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0601" w14:textId="77777777" w:rsidR="00D62EFC" w:rsidRDefault="00D62EFC" w:rsidP="00D62EFC">
      <w:pPr>
        <w:tabs>
          <w:tab w:val="center" w:pos="4680"/>
        </w:tabs>
        <w:spacing w:before="120"/>
        <w:jc w:val="center"/>
        <w:rPr>
          <w:b/>
          <w:bCs/>
          <w:sz w:val="32"/>
          <w:szCs w:val="32"/>
        </w:rPr>
      </w:pPr>
      <w:bookmarkStart w:id="0" w:name="_GoBack"/>
      <w:bookmarkEnd w:id="0"/>
      <w:r>
        <w:rPr>
          <w:b/>
          <w:bCs/>
          <w:sz w:val="32"/>
          <w:szCs w:val="32"/>
        </w:rPr>
        <w:t>Supporting Statement A</w:t>
      </w:r>
    </w:p>
    <w:p w14:paraId="55A14F18" w14:textId="77777777" w:rsidR="00D62EFC" w:rsidRDefault="00D62EFC" w:rsidP="00D62EFC">
      <w:pPr>
        <w:tabs>
          <w:tab w:val="center" w:pos="4680"/>
        </w:tabs>
        <w:spacing w:before="120"/>
        <w:jc w:val="center"/>
        <w:rPr>
          <w:b/>
          <w:bCs/>
          <w:sz w:val="32"/>
          <w:szCs w:val="32"/>
        </w:rPr>
      </w:pPr>
    </w:p>
    <w:p w14:paraId="286439CA" w14:textId="77777777" w:rsidR="00D62EFC" w:rsidRDefault="00D62EFC" w:rsidP="00D62EFC">
      <w:pPr>
        <w:tabs>
          <w:tab w:val="center" w:pos="4680"/>
        </w:tabs>
        <w:spacing w:before="120"/>
        <w:jc w:val="center"/>
        <w:rPr>
          <w:b/>
          <w:bCs/>
          <w:sz w:val="32"/>
          <w:szCs w:val="32"/>
        </w:rPr>
      </w:pPr>
      <w:r>
        <w:rPr>
          <w:b/>
          <w:bCs/>
          <w:sz w:val="32"/>
          <w:szCs w:val="32"/>
        </w:rPr>
        <w:t>National Practitioner Data Bank for Adverse Information on Physicians and Other Health Care Practitioners – 45 CFR Part 60 Regulations and Forms</w:t>
      </w:r>
    </w:p>
    <w:p w14:paraId="2809CDB4" w14:textId="77777777" w:rsidR="00D62EFC" w:rsidRDefault="00D62EFC" w:rsidP="00D62EFC">
      <w:pPr>
        <w:tabs>
          <w:tab w:val="center" w:pos="4680"/>
        </w:tabs>
        <w:spacing w:before="120"/>
        <w:jc w:val="center"/>
        <w:rPr>
          <w:b/>
          <w:bCs/>
          <w:sz w:val="32"/>
          <w:szCs w:val="32"/>
        </w:rPr>
      </w:pPr>
    </w:p>
    <w:p w14:paraId="1B254BA2" w14:textId="77777777" w:rsidR="00D62EFC" w:rsidRDefault="00D62EFC" w:rsidP="00D62EFC">
      <w:pPr>
        <w:tabs>
          <w:tab w:val="center" w:pos="4680"/>
        </w:tabs>
        <w:spacing w:before="120"/>
        <w:jc w:val="center"/>
        <w:rPr>
          <w:b/>
          <w:bCs/>
          <w:sz w:val="32"/>
          <w:szCs w:val="32"/>
        </w:rPr>
      </w:pPr>
      <w:r>
        <w:rPr>
          <w:b/>
          <w:bCs/>
          <w:sz w:val="32"/>
          <w:szCs w:val="32"/>
        </w:rPr>
        <w:t>OMB Control No. 0915-0126</w:t>
      </w:r>
    </w:p>
    <w:p w14:paraId="00D34625" w14:textId="77777777" w:rsidR="009B3794" w:rsidRPr="001F006B" w:rsidRDefault="009B3794" w:rsidP="00CE5AA9">
      <w:pPr>
        <w:tabs>
          <w:tab w:val="center" w:pos="4680"/>
        </w:tabs>
        <w:spacing w:before="120"/>
        <w:jc w:val="center"/>
        <w:rPr>
          <w:b/>
          <w:bCs/>
          <w:sz w:val="24"/>
        </w:rPr>
      </w:pPr>
    </w:p>
    <w:p w14:paraId="4436A713" w14:textId="77777777" w:rsidR="009B3794" w:rsidRPr="001F006B" w:rsidRDefault="009B3794" w:rsidP="00CA3DA6">
      <w:pPr>
        <w:spacing w:before="120"/>
        <w:rPr>
          <w:b/>
          <w:bCs/>
          <w:sz w:val="24"/>
        </w:rPr>
      </w:pPr>
      <w:r w:rsidRPr="001F006B">
        <w:rPr>
          <w:b/>
          <w:bCs/>
          <w:sz w:val="24"/>
        </w:rPr>
        <w:t>A.</w:t>
      </w:r>
      <w:r w:rsidRPr="001F006B">
        <w:rPr>
          <w:b/>
          <w:bCs/>
          <w:sz w:val="24"/>
        </w:rPr>
        <w:tab/>
        <w:t>Justification</w:t>
      </w:r>
    </w:p>
    <w:p w14:paraId="7FB44F21" w14:textId="77777777" w:rsidR="009B3794" w:rsidRPr="009C3FE4" w:rsidRDefault="009B3794" w:rsidP="009C3FE4">
      <w:pPr>
        <w:pStyle w:val="frn"/>
        <w:numPr>
          <w:ilvl w:val="0"/>
          <w:numId w:val="1"/>
        </w:numPr>
        <w:outlineLvl w:val="0"/>
      </w:pPr>
      <w:bookmarkStart w:id="1" w:name="_Toc496878833"/>
      <w:r w:rsidRPr="009C3FE4">
        <w:t>Circumstances Making the Collection of Information Necessary</w:t>
      </w:r>
      <w:bookmarkEnd w:id="1"/>
    </w:p>
    <w:p w14:paraId="434C9861" w14:textId="77777777" w:rsidR="00414F53" w:rsidRPr="00414F53" w:rsidRDefault="00414F53" w:rsidP="00414F53">
      <w:pPr>
        <w:spacing w:before="120"/>
        <w:rPr>
          <w:sz w:val="24"/>
        </w:rPr>
      </w:pPr>
      <w:r w:rsidRPr="00414F53">
        <w:rPr>
          <w:sz w:val="24"/>
        </w:rPr>
        <w:t xml:space="preserve">This is a request for revision of Office of Management and Budget (OMB) approval of the information collections contained in the Code of Federal Regulations (CFR) for Title 45 CFR Part 60 governing the National Practitioner Data Bank (NPDB) and the forms to be used in registering with, reporting information to, and requesting information from the NPDB. </w:t>
      </w:r>
    </w:p>
    <w:p w14:paraId="6C7E9096" w14:textId="77777777" w:rsidR="005D2B08" w:rsidRDefault="00414F53" w:rsidP="00414F53">
      <w:pPr>
        <w:spacing w:before="120"/>
        <w:rPr>
          <w:sz w:val="24"/>
        </w:rPr>
      </w:pPr>
      <w:r w:rsidRPr="00414F53">
        <w:rPr>
          <w:sz w:val="24"/>
        </w:rPr>
        <w:t>Responsibility for NPDB implementation and operation resides in the Bureau of Health Workforce, Health Resources and Services Administration (HRSA), Department of Health and Human Services (HHS).</w:t>
      </w:r>
    </w:p>
    <w:p w14:paraId="4E7DB20B" w14:textId="77777777" w:rsidR="00414F53" w:rsidRPr="00E64C47" w:rsidRDefault="00414F53" w:rsidP="00414F53">
      <w:pPr>
        <w:spacing w:before="120"/>
        <w:rPr>
          <w:b/>
          <w:bCs/>
          <w:sz w:val="24"/>
        </w:rPr>
      </w:pPr>
    </w:p>
    <w:p w14:paraId="47242B09" w14:textId="77777777" w:rsidR="00B326D9" w:rsidRPr="00272FC4" w:rsidRDefault="00272FC4" w:rsidP="00B326D9">
      <w:pPr>
        <w:rPr>
          <w:b/>
          <w:sz w:val="24"/>
        </w:rPr>
      </w:pPr>
      <w:r w:rsidRPr="00272FC4">
        <w:rPr>
          <w:b/>
          <w:sz w:val="24"/>
        </w:rPr>
        <w:t>Legal Authorities Governing the NPDB</w:t>
      </w:r>
    </w:p>
    <w:p w14:paraId="5193C658" w14:textId="77777777" w:rsidR="00272FC4" w:rsidRPr="001F006B" w:rsidRDefault="00272FC4" w:rsidP="00B326D9">
      <w:pPr>
        <w:rPr>
          <w:sz w:val="24"/>
        </w:rPr>
      </w:pPr>
    </w:p>
    <w:p w14:paraId="2D2D0226" w14:textId="77777777" w:rsidR="00B326D9" w:rsidRPr="001F006B" w:rsidRDefault="00B326D9" w:rsidP="00B326D9">
      <w:pPr>
        <w:rPr>
          <w:sz w:val="24"/>
        </w:rPr>
      </w:pPr>
      <w:r w:rsidRPr="001F006B">
        <w:rPr>
          <w:sz w:val="24"/>
        </w:rPr>
        <w:t xml:space="preserve">As discussed below, there are multiple legal authorities governing the NPDB.  The NPDB regulations are applicable to entities in all 50 States, the District of Columbia, and the U.S. territories of American Samoa, Guam, </w:t>
      </w:r>
      <w:r w:rsidR="00F42048">
        <w:rPr>
          <w:sz w:val="24"/>
        </w:rPr>
        <w:t xml:space="preserve">the </w:t>
      </w:r>
      <w:r w:rsidRPr="001F006B">
        <w:rPr>
          <w:sz w:val="24"/>
        </w:rPr>
        <w:t>Northern Mariana</w:t>
      </w:r>
      <w:r w:rsidR="00F42048">
        <w:rPr>
          <w:sz w:val="24"/>
        </w:rPr>
        <w:t xml:space="preserve"> Islands</w:t>
      </w:r>
      <w:r w:rsidRPr="001F006B">
        <w:rPr>
          <w:sz w:val="24"/>
        </w:rPr>
        <w:t xml:space="preserve">, Puerto Rico, and the Virgin Islands. For simplicity, any reference to a state or entity in this Supporting Statement should be interpreted to include the District of Columbia and the five U.S. territories. </w:t>
      </w:r>
      <w:r w:rsidR="00310638" w:rsidRPr="001F006B">
        <w:rPr>
          <w:sz w:val="24"/>
        </w:rPr>
        <w:t xml:space="preserve">The NPDB regulations implementing these laws are codified at </w:t>
      </w:r>
      <w:hyperlink r:id="rId13" w:history="1">
        <w:r w:rsidR="00310638" w:rsidRPr="009D1D89">
          <w:rPr>
            <w:rStyle w:val="Hyperlink"/>
            <w:sz w:val="24"/>
          </w:rPr>
          <w:t>45 CFR Part 60</w:t>
        </w:r>
      </w:hyperlink>
      <w:r w:rsidR="00310638" w:rsidRPr="001F006B">
        <w:rPr>
          <w:sz w:val="24"/>
        </w:rPr>
        <w:t>.</w:t>
      </w:r>
    </w:p>
    <w:p w14:paraId="32B84006" w14:textId="77777777" w:rsidR="00B326D9" w:rsidRPr="001F006B" w:rsidRDefault="00B326D9" w:rsidP="00B32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617D0650" w14:textId="77777777" w:rsidR="00B326D9" w:rsidRPr="001F006B" w:rsidRDefault="00B51426" w:rsidP="00436DD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rPr>
      </w:pPr>
      <w:hyperlink r:id="rId14" w:history="1">
        <w:r w:rsidR="00DF0996">
          <w:rPr>
            <w:rStyle w:val="Hyperlink"/>
            <w:sz w:val="24"/>
          </w:rPr>
          <w:t xml:space="preserve">Title IV of Public Law 99-660, Health Care Quality Improvement Act (HCQIA) of 1986 </w:t>
        </w:r>
      </w:hyperlink>
    </w:p>
    <w:p w14:paraId="146806A1" w14:textId="77777777" w:rsidR="00B326D9" w:rsidRPr="001F006B" w:rsidRDefault="00B326D9" w:rsidP="00B32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75D3009D" w14:textId="77777777" w:rsidR="00B326D9" w:rsidRPr="001F006B" w:rsidRDefault="00B326D9" w:rsidP="00B32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1F006B">
        <w:rPr>
          <w:sz w:val="24"/>
        </w:rPr>
        <w:t>The intent of Title IV is to improve the quality of health care by encouraging State licensing boards, professional societies, hospitals, and other health care entities to restrict the ability of incompetent physicians, dentists, and other health care practitioners to move from State to State without disclosure or discovery of previous medical malpractice payment and adverse action history. These adverse actions include certain licensure, clinical privileges, and professional society membership actions, as well as Drug Enforcement Administration (DEA) controlled-substance registration actions and exclusions from participation in Medicare, Medicaid, and other Federal health care programs.</w:t>
      </w:r>
    </w:p>
    <w:p w14:paraId="3ACB74BB" w14:textId="77777777" w:rsidR="00B326D9" w:rsidRPr="001F006B" w:rsidRDefault="00B326D9" w:rsidP="00B32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2A4A00C7" w14:textId="77777777" w:rsidR="00607AF3" w:rsidRPr="00607AF3" w:rsidRDefault="00B51426" w:rsidP="00436DD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rPr>
      </w:pPr>
      <w:hyperlink r:id="rId15" w:history="1">
        <w:r w:rsidR="00DF0996">
          <w:rPr>
            <w:rStyle w:val="Hyperlink"/>
            <w:sz w:val="24"/>
          </w:rPr>
          <w:t xml:space="preserve">Section 1921 of the Social Security Act </w:t>
        </w:r>
      </w:hyperlink>
      <w:r w:rsidR="00607AF3" w:rsidRPr="00607AF3">
        <w:rPr>
          <w:sz w:val="24"/>
        </w:rPr>
        <w:t xml:space="preserve"> </w:t>
      </w:r>
    </w:p>
    <w:p w14:paraId="740C99C6" w14:textId="77777777" w:rsidR="00B326D9" w:rsidRPr="001F006B" w:rsidRDefault="00B326D9" w:rsidP="00B32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227425B6" w14:textId="77777777" w:rsidR="00B326D9" w:rsidRPr="001F006B" w:rsidRDefault="00B326D9" w:rsidP="00B32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1F006B">
        <w:rPr>
          <w:sz w:val="24"/>
        </w:rPr>
        <w:t>Section 1921 was enacted to provide protection from unfit health care practitioners to beneficiaries participating in Medicare and State health care programs and to improve the anti-fraud provisions of these programs. Information collected and disclosed by the NPDB under Section 1921 includes State licensure and certification actions against health care practitioners, entities, providers, and suppliers; negative actions or findings by peer review organizations and private accreditation organizations; and certain final adverse actions taken by certain State</w:t>
      </w:r>
    </w:p>
    <w:p w14:paraId="5CD7766E" w14:textId="77777777" w:rsidR="00B326D9" w:rsidRPr="001F006B" w:rsidRDefault="00B326D9" w:rsidP="00B32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1F006B">
        <w:rPr>
          <w:sz w:val="24"/>
        </w:rPr>
        <w:t>Agencies, including State law enforcement agencies, State Medicaid fraud control units, and State agencies administering or supervising the administration of State health care programs. These final adverse actions include exclusions from a State health care program, health care-related criminal convictions and civil judgments in State court, and other adjudicated actions or decisions specified in regulations.</w:t>
      </w:r>
    </w:p>
    <w:p w14:paraId="50E74675" w14:textId="77777777" w:rsidR="00B326D9" w:rsidRPr="001F006B" w:rsidRDefault="00B326D9" w:rsidP="00B32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5386D0F1" w14:textId="77777777" w:rsidR="00CD6C3F" w:rsidRPr="009B23FA" w:rsidRDefault="00B51426" w:rsidP="0000324D">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rPr>
      </w:pPr>
      <w:hyperlink r:id="rId16" w:history="1">
        <w:r w:rsidR="00DF0996">
          <w:rPr>
            <w:rStyle w:val="Hyperlink"/>
            <w:sz w:val="24"/>
          </w:rPr>
          <w:t xml:space="preserve">Section 1128E of the Social Security Act </w:t>
        </w:r>
      </w:hyperlink>
      <w:r w:rsidR="005601C2" w:rsidRPr="005601C2">
        <w:rPr>
          <w:sz w:val="24"/>
        </w:rPr>
        <w:t xml:space="preserve"> </w:t>
      </w:r>
    </w:p>
    <w:p w14:paraId="760A909A" w14:textId="77777777" w:rsidR="0028723B" w:rsidRDefault="0028723B" w:rsidP="0000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0E5A6919" w14:textId="77777777" w:rsidR="0028723B" w:rsidRDefault="00B51426" w:rsidP="00287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hyperlink r:id="rId17" w:history="1">
        <w:r w:rsidR="0028723B" w:rsidRPr="00F10AA1">
          <w:rPr>
            <w:rStyle w:val="Hyperlink"/>
            <w:rFonts w:eastAsiaTheme="minorEastAsia"/>
            <w:sz w:val="24"/>
          </w:rPr>
          <w:t>Section 1128E</w:t>
        </w:r>
      </w:hyperlink>
      <w:r w:rsidR="0028723B" w:rsidRPr="0072393C">
        <w:rPr>
          <w:rFonts w:eastAsiaTheme="minorEastAsia"/>
          <w:sz w:val="24"/>
        </w:rPr>
        <w:t xml:space="preserve"> of the Social Security Act (herein referred to as </w:t>
      </w:r>
      <w:r w:rsidR="0002798C">
        <w:rPr>
          <w:rFonts w:eastAsiaTheme="minorEastAsia"/>
          <w:sz w:val="24"/>
        </w:rPr>
        <w:t>S</w:t>
      </w:r>
      <w:r w:rsidR="0028723B" w:rsidRPr="0072393C">
        <w:rPr>
          <w:rFonts w:eastAsiaTheme="minorEastAsia"/>
          <w:sz w:val="24"/>
        </w:rPr>
        <w:t xml:space="preserve">ection 1128E), as added by </w:t>
      </w:r>
      <w:r w:rsidR="00337D01">
        <w:rPr>
          <w:rFonts w:eastAsiaTheme="minorEastAsia"/>
          <w:sz w:val="24"/>
        </w:rPr>
        <w:t>S</w:t>
      </w:r>
      <w:r w:rsidR="0028723B" w:rsidRPr="0072393C">
        <w:rPr>
          <w:rFonts w:eastAsiaTheme="minorEastAsia"/>
          <w:sz w:val="24"/>
        </w:rPr>
        <w:t>ection</w:t>
      </w:r>
      <w:r w:rsidR="0028723B">
        <w:rPr>
          <w:rFonts w:eastAsiaTheme="minorEastAsia"/>
          <w:sz w:val="24"/>
        </w:rPr>
        <w:t xml:space="preserve"> 221(a) of the Health Insurance </w:t>
      </w:r>
      <w:r w:rsidR="0028723B" w:rsidRPr="0072393C">
        <w:rPr>
          <w:rFonts w:eastAsiaTheme="minorEastAsia"/>
          <w:sz w:val="24"/>
        </w:rPr>
        <w:t>Portability and Accountability Act of 1996, Public Law 104-191, directed the</w:t>
      </w:r>
      <w:r w:rsidR="0028723B">
        <w:rPr>
          <w:rFonts w:eastAsiaTheme="minorEastAsia"/>
          <w:sz w:val="24"/>
        </w:rPr>
        <w:t xml:space="preserve"> </w:t>
      </w:r>
      <w:r w:rsidR="0028723B" w:rsidRPr="0072393C">
        <w:rPr>
          <w:rFonts w:eastAsiaTheme="minorEastAsia"/>
          <w:sz w:val="24"/>
        </w:rPr>
        <w:t>Secretary to establish and maintain a national health care fraud and abuse data collection program for the</w:t>
      </w:r>
      <w:r w:rsidR="0028723B">
        <w:rPr>
          <w:rFonts w:eastAsiaTheme="minorEastAsia"/>
          <w:sz w:val="24"/>
        </w:rPr>
        <w:t xml:space="preserve"> </w:t>
      </w:r>
      <w:r w:rsidR="0028723B" w:rsidRPr="0072393C">
        <w:rPr>
          <w:rFonts w:eastAsiaTheme="minorEastAsia"/>
          <w:sz w:val="24"/>
        </w:rPr>
        <w:t>reporting and disclosing of certain final adverse actions taken against health care practiti</w:t>
      </w:r>
      <w:r w:rsidR="0028723B">
        <w:rPr>
          <w:rFonts w:eastAsiaTheme="minorEastAsia"/>
          <w:sz w:val="24"/>
        </w:rPr>
        <w:t xml:space="preserve">oners, providers, or suppliers. Formerly known as the Healthcare Integrity and Protection Data Bank (HIPDB), the HIPDB began collecting reports in 1999. Congress amended Sections 1921 and 1128E with Section 6403 of the Patient Protection and Affordable Care Act of 2010 (Public Law 111-148), which merged the NPDB and HIPDB operations into one data bank: the NPDB. </w:t>
      </w:r>
      <w:r w:rsidR="0028723B" w:rsidRPr="0072393C">
        <w:rPr>
          <w:rFonts w:eastAsiaTheme="minorEastAsia"/>
          <w:sz w:val="24"/>
        </w:rPr>
        <w:t xml:space="preserve">Section 1128E required Federal and State government agencies and health plans to report to the </w:t>
      </w:r>
      <w:r w:rsidR="0028723B">
        <w:rPr>
          <w:rFonts w:eastAsiaTheme="minorEastAsia"/>
          <w:sz w:val="24"/>
        </w:rPr>
        <w:t>NPDB</w:t>
      </w:r>
      <w:r w:rsidR="0028723B" w:rsidRPr="0072393C">
        <w:rPr>
          <w:rFonts w:eastAsiaTheme="minorEastAsia"/>
          <w:sz w:val="24"/>
        </w:rPr>
        <w:t xml:space="preserve"> the following final adverse actions: Licensing and certification actions; criminal convictions and civil judgments related to the delivery of health care services; exclusions from Federal or State health care programs; and other adjudicated actions or decisions. Federal and State government agencies and health plans have access to this information. Individual practitioners, providers, and suppliers may self-query the </w:t>
      </w:r>
      <w:r w:rsidR="0028723B">
        <w:rPr>
          <w:rFonts w:eastAsiaTheme="minorEastAsia"/>
          <w:sz w:val="24"/>
        </w:rPr>
        <w:t>NPDB</w:t>
      </w:r>
      <w:r w:rsidR="0028723B" w:rsidRPr="0072393C">
        <w:rPr>
          <w:rFonts w:eastAsiaTheme="minorEastAsia"/>
          <w:sz w:val="24"/>
        </w:rPr>
        <w:t>.</w:t>
      </w:r>
      <w:r w:rsidR="0028723B">
        <w:rPr>
          <w:rFonts w:eastAsiaTheme="minorEastAsia"/>
          <w:sz w:val="24"/>
        </w:rPr>
        <w:t xml:space="preserve"> </w:t>
      </w:r>
      <w:r w:rsidR="0028723B" w:rsidRPr="0072393C">
        <w:rPr>
          <w:rFonts w:eastAsiaTheme="minorEastAsia"/>
          <w:sz w:val="24"/>
        </w:rPr>
        <w:t xml:space="preserve">The </w:t>
      </w:r>
      <w:r w:rsidR="0028723B">
        <w:rPr>
          <w:rFonts w:eastAsiaTheme="minorEastAsia"/>
          <w:sz w:val="24"/>
        </w:rPr>
        <w:t xml:space="preserve">NPDB </w:t>
      </w:r>
      <w:r w:rsidR="0028723B" w:rsidRPr="0072393C">
        <w:rPr>
          <w:rFonts w:eastAsiaTheme="minorEastAsia"/>
          <w:sz w:val="24"/>
        </w:rPr>
        <w:t xml:space="preserve">began collecting reports in November 1999. </w:t>
      </w:r>
      <w:r w:rsidR="00337D01">
        <w:rPr>
          <w:rFonts w:eastAsiaTheme="minorEastAsia"/>
          <w:sz w:val="24"/>
        </w:rPr>
        <w:t>Requirements of both HCQIA and S</w:t>
      </w:r>
      <w:r w:rsidR="0028723B" w:rsidRPr="0072393C">
        <w:rPr>
          <w:rFonts w:eastAsiaTheme="minorEastAsia"/>
          <w:sz w:val="24"/>
        </w:rPr>
        <w:t>ection 1921 overl</w:t>
      </w:r>
      <w:r w:rsidR="00337D01">
        <w:rPr>
          <w:rFonts w:eastAsiaTheme="minorEastAsia"/>
          <w:sz w:val="24"/>
        </w:rPr>
        <w:t>ap with the requirements under S</w:t>
      </w:r>
      <w:r w:rsidR="0028723B" w:rsidRPr="0072393C">
        <w:rPr>
          <w:rFonts w:eastAsiaTheme="minorEastAsia"/>
          <w:sz w:val="24"/>
        </w:rPr>
        <w:t>ection 1128E, although each law has unique characteristics, including differences in the types of reportable actions and the types of agencies, entities, and officials with access to information. For example, all three reporting schemes require the reporting of State licensure actions. The HCQIA, however, only requires the reporting of licensure actions taken against physicians and dentists that are based on professional competence or conduct. In contrast, sections 1921 and 1128E do not have a requirement that reportable adverse licensure actions be based on professional competence or conduct and also differ in the types of subjects reported. In addition, sections 1921 and 1128E authorize access to many of the same types of agencies, organizations, and officials. For example, both statutes authorize access by law enforcement agencies, agencies that administer or pay for health care services or programs, and State licensing authorities. Private-sector hospitals and health care service providers are only able to access information reported under the HCQIA an</w:t>
      </w:r>
      <w:r w:rsidR="005F470F">
        <w:rPr>
          <w:rFonts w:eastAsiaTheme="minorEastAsia"/>
          <w:sz w:val="24"/>
        </w:rPr>
        <w:t>d Section 1921, but not under S</w:t>
      </w:r>
      <w:r w:rsidR="0028723B" w:rsidRPr="0072393C">
        <w:rPr>
          <w:rFonts w:eastAsiaTheme="minorEastAsia"/>
          <w:sz w:val="24"/>
        </w:rPr>
        <w:t>ection 1128E.</w:t>
      </w:r>
    </w:p>
    <w:p w14:paraId="3D7E8F04" w14:textId="77777777" w:rsidR="0028723B" w:rsidRDefault="0028723B" w:rsidP="0000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3B41695D" w14:textId="77777777" w:rsidR="00CD6C3F" w:rsidRPr="0072393C" w:rsidRDefault="00B51426" w:rsidP="000E176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hyperlink r:id="rId18" w:history="1">
        <w:r w:rsidR="00DF0996">
          <w:rPr>
            <w:rStyle w:val="Hyperlink"/>
            <w:rFonts w:eastAsiaTheme="minorEastAsia"/>
            <w:b/>
            <w:sz w:val="24"/>
          </w:rPr>
          <w:t>Section 6403 of the Patient Protection and Affordable Care Act of 2010</w:t>
        </w:r>
      </w:hyperlink>
    </w:p>
    <w:p w14:paraId="5773F79D" w14:textId="77777777" w:rsidR="00CD6C3F" w:rsidRDefault="00CD6C3F" w:rsidP="00CD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14:paraId="16EF3248" w14:textId="77777777" w:rsidR="00CD6C3F" w:rsidRPr="0072393C" w:rsidRDefault="00B51426" w:rsidP="00CD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hyperlink r:id="rId19" w:history="1">
        <w:r w:rsidR="00CD6C3F" w:rsidRPr="00754EB5">
          <w:rPr>
            <w:rStyle w:val="Hyperlink"/>
            <w:rFonts w:eastAsiaTheme="minorEastAsia"/>
            <w:sz w:val="24"/>
          </w:rPr>
          <w:t>Section 6403</w:t>
        </w:r>
      </w:hyperlink>
      <w:r w:rsidR="00CD6C3F" w:rsidRPr="00D16BBC">
        <w:rPr>
          <w:rFonts w:eastAsiaTheme="minorEastAsia"/>
        </w:rPr>
        <w:t xml:space="preserve"> </w:t>
      </w:r>
      <w:r w:rsidR="00CD6C3F" w:rsidRPr="00777DC5">
        <w:rPr>
          <w:rFonts w:eastAsiaTheme="minorEastAsia"/>
          <w:sz w:val="24"/>
        </w:rPr>
        <w:t>of the Patient Protection and Affordable Care Act of 2010</w:t>
      </w:r>
      <w:r w:rsidR="005F470F">
        <w:rPr>
          <w:rFonts w:eastAsiaTheme="minorEastAsia"/>
          <w:sz w:val="24"/>
        </w:rPr>
        <w:t xml:space="preserve"> (hereinafter referred to as S</w:t>
      </w:r>
      <w:r w:rsidR="00CD6C3F" w:rsidRPr="0072393C">
        <w:rPr>
          <w:rFonts w:eastAsiaTheme="minorEastAsia"/>
          <w:sz w:val="24"/>
        </w:rPr>
        <w:t>ection</w:t>
      </w:r>
      <w:r w:rsidR="00CD6C3F">
        <w:rPr>
          <w:rFonts w:eastAsiaTheme="minorEastAsia"/>
          <w:sz w:val="24"/>
        </w:rPr>
        <w:t xml:space="preserve"> </w:t>
      </w:r>
      <w:r w:rsidR="00CD6C3F" w:rsidRPr="0072393C">
        <w:rPr>
          <w:rFonts w:eastAsiaTheme="minorEastAsia"/>
          <w:sz w:val="24"/>
        </w:rPr>
        <w:t>6403), Public Law 111-148, amend</w:t>
      </w:r>
      <w:r w:rsidR="00CD6C3F">
        <w:rPr>
          <w:rFonts w:eastAsiaTheme="minorEastAsia"/>
          <w:sz w:val="24"/>
        </w:rPr>
        <w:t>ed</w:t>
      </w:r>
      <w:r w:rsidR="00CD6C3F" w:rsidRPr="0072393C">
        <w:rPr>
          <w:rFonts w:eastAsiaTheme="minorEastAsia"/>
          <w:sz w:val="24"/>
        </w:rPr>
        <w:t xml:space="preserve"> sections 1921 and 1128E to eliminate duplication between the </w:t>
      </w:r>
      <w:r w:rsidR="00CD6C3F">
        <w:rPr>
          <w:rFonts w:eastAsiaTheme="minorEastAsia"/>
          <w:sz w:val="24"/>
        </w:rPr>
        <w:t xml:space="preserve">former </w:t>
      </w:r>
      <w:r w:rsidR="00CD6C3F" w:rsidRPr="0072393C">
        <w:rPr>
          <w:rFonts w:eastAsiaTheme="minorEastAsia"/>
          <w:sz w:val="24"/>
        </w:rPr>
        <w:t>HIPDB and the NPDB, and require</w:t>
      </w:r>
      <w:r w:rsidR="00CD6C3F">
        <w:rPr>
          <w:rFonts w:eastAsiaTheme="minorEastAsia"/>
          <w:sz w:val="24"/>
        </w:rPr>
        <w:t>d</w:t>
      </w:r>
      <w:r w:rsidR="00CD6C3F" w:rsidRPr="0072393C">
        <w:rPr>
          <w:rFonts w:eastAsiaTheme="minorEastAsia"/>
          <w:sz w:val="24"/>
        </w:rPr>
        <w:t xml:space="preserve"> the Secretary to establish a transition period for transferring data collected in the HIPDB to the NPDB and to cease HIPDB operations</w:t>
      </w:r>
      <w:r w:rsidR="00CD6C3F">
        <w:rPr>
          <w:rFonts w:eastAsiaTheme="minorEastAsia"/>
          <w:sz w:val="24"/>
        </w:rPr>
        <w:t>, which occurred on May 6, 2013.</w:t>
      </w:r>
    </w:p>
    <w:p w14:paraId="7168AB60" w14:textId="77777777" w:rsidR="00CD6C3F" w:rsidRPr="0000324D" w:rsidRDefault="00CD6C3F" w:rsidP="0000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57837D0E" w14:textId="77777777" w:rsidR="00436DDA" w:rsidRDefault="00436DDA" w:rsidP="00DC6636">
      <w:pPr>
        <w:pStyle w:val="frn"/>
        <w:numPr>
          <w:ilvl w:val="0"/>
          <w:numId w:val="1"/>
        </w:numPr>
        <w:outlineLvl w:val="0"/>
      </w:pPr>
      <w:bookmarkStart w:id="2" w:name="_Toc349561483"/>
      <w:bookmarkStart w:id="3" w:name="_Toc496878834"/>
      <w:r>
        <w:t>Purpose and Use of Information Collection</w:t>
      </w:r>
      <w:bookmarkEnd w:id="2"/>
      <w:bookmarkEnd w:id="3"/>
    </w:p>
    <w:p w14:paraId="6A61739A" w14:textId="77777777" w:rsidR="00436DDA" w:rsidRDefault="00436DDA" w:rsidP="00436DDA">
      <w:pPr>
        <w:widowControl/>
        <w:rPr>
          <w:sz w:val="24"/>
        </w:rPr>
      </w:pPr>
    </w:p>
    <w:p w14:paraId="379CBBE7" w14:textId="77777777" w:rsidR="003B4A04" w:rsidRDefault="003B4A04" w:rsidP="00436DDA">
      <w:pPr>
        <w:pStyle w:val="BodyText"/>
        <w:rPr>
          <w:sz w:val="24"/>
        </w:rPr>
      </w:pPr>
      <w:r>
        <w:rPr>
          <w:sz w:val="24"/>
        </w:rPr>
        <w:t xml:space="preserve">NPDB </w:t>
      </w:r>
      <w:r w:rsidRPr="003B4A04">
        <w:rPr>
          <w:sz w:val="24"/>
          <w:lang w:val="en"/>
        </w:rPr>
        <w:t>is a web-based repository of reports containing information on medical malpractice payments and certain adverse actions related to health care practitioners, providers, and suppliers. Established by Congress in 1986, it is a workforce tool that prevents practitioners from moving state-to-state without disclosure or discovery of previous damaging performance.</w:t>
      </w:r>
    </w:p>
    <w:p w14:paraId="12E16869" w14:textId="14391C0A" w:rsidR="00A44862" w:rsidRDefault="00436DDA" w:rsidP="00436DDA">
      <w:pPr>
        <w:pStyle w:val="BodyText"/>
        <w:rPr>
          <w:sz w:val="24"/>
        </w:rPr>
      </w:pPr>
      <w:r w:rsidRPr="0072393C">
        <w:rPr>
          <w:sz w:val="24"/>
        </w:rPr>
        <w:t>Information is collected from, and disseminated to, eligible entities (entities that are entitled to query and/or report to the NPDB</w:t>
      </w:r>
      <w:r>
        <w:rPr>
          <w:sz w:val="24"/>
        </w:rPr>
        <w:t xml:space="preserve"> </w:t>
      </w:r>
      <w:r w:rsidRPr="0072393C">
        <w:rPr>
          <w:sz w:val="24"/>
        </w:rPr>
        <w:t xml:space="preserve">under </w:t>
      </w:r>
      <w:r w:rsidR="00B24FF0">
        <w:rPr>
          <w:sz w:val="24"/>
        </w:rPr>
        <w:t>T</w:t>
      </w:r>
      <w:r w:rsidR="0002798C">
        <w:rPr>
          <w:sz w:val="24"/>
        </w:rPr>
        <w:t>itle IV</w:t>
      </w:r>
      <w:r w:rsidR="00394FEE">
        <w:rPr>
          <w:sz w:val="24"/>
        </w:rPr>
        <w:t xml:space="preserve">, </w:t>
      </w:r>
      <w:r w:rsidR="00B24FF0">
        <w:rPr>
          <w:sz w:val="24"/>
        </w:rPr>
        <w:t>Sections 1921</w:t>
      </w:r>
      <w:r w:rsidR="000E0F0D">
        <w:rPr>
          <w:sz w:val="24"/>
        </w:rPr>
        <w:t>, 1128E</w:t>
      </w:r>
      <w:r w:rsidR="00B24FF0">
        <w:rPr>
          <w:sz w:val="24"/>
        </w:rPr>
        <w:t>, and</w:t>
      </w:r>
      <w:r w:rsidR="0002798C">
        <w:rPr>
          <w:sz w:val="24"/>
        </w:rPr>
        <w:t xml:space="preserve"> </w:t>
      </w:r>
      <w:r w:rsidR="00B24FF0">
        <w:rPr>
          <w:sz w:val="24"/>
        </w:rPr>
        <w:t>6403</w:t>
      </w:r>
      <w:r w:rsidR="000E0F0D">
        <w:rPr>
          <w:sz w:val="24"/>
        </w:rPr>
        <w:t>)</w:t>
      </w:r>
      <w:r w:rsidR="00B24FF0">
        <w:rPr>
          <w:sz w:val="24"/>
        </w:rPr>
        <w:t>.</w:t>
      </w:r>
      <w:r w:rsidRPr="0072393C">
        <w:rPr>
          <w:sz w:val="24"/>
        </w:rPr>
        <w:t xml:space="preserve"> The statutes</w:t>
      </w:r>
      <w:r>
        <w:rPr>
          <w:sz w:val="24"/>
        </w:rPr>
        <w:t xml:space="preserve"> </w:t>
      </w:r>
      <w:r w:rsidRPr="0072393C">
        <w:rPr>
          <w:sz w:val="24"/>
        </w:rPr>
        <w:t>require the Secreta</w:t>
      </w:r>
      <w:r>
        <w:rPr>
          <w:sz w:val="24"/>
        </w:rPr>
        <w:t>ry to assure that</w:t>
      </w:r>
      <w:r w:rsidRPr="0072393C">
        <w:rPr>
          <w:sz w:val="24"/>
        </w:rPr>
        <w:t xml:space="preserve"> information is provided and utilized in a manner that appropriately protects the confidentiality of the information and the privacy of </w:t>
      </w:r>
      <w:r>
        <w:rPr>
          <w:sz w:val="24"/>
        </w:rPr>
        <w:t xml:space="preserve">subjects in the </w:t>
      </w:r>
      <w:r w:rsidR="00903E6A">
        <w:rPr>
          <w:sz w:val="24"/>
        </w:rPr>
        <w:t>NPDB</w:t>
      </w:r>
      <w:r>
        <w:rPr>
          <w:sz w:val="24"/>
        </w:rPr>
        <w:t xml:space="preserve"> reports.</w:t>
      </w:r>
      <w:r w:rsidRPr="0072393C">
        <w:rPr>
          <w:sz w:val="24"/>
        </w:rPr>
        <w:t xml:space="preserve"> </w:t>
      </w:r>
      <w:r w:rsidR="00A44862" w:rsidRPr="00A44862">
        <w:rPr>
          <w:sz w:val="24"/>
        </w:rPr>
        <w:t xml:space="preserve">Users of the NPDB include reporters (entities that are required to submit reports) and queriers (entities that are authorized to request for information). The list of reportable actions collected by reporters and disclosed to queriers allow the NPDB to fulfill its mission to </w:t>
      </w:r>
      <w:r w:rsidR="00A44862" w:rsidRPr="00A44862">
        <w:rPr>
          <w:sz w:val="24"/>
          <w:lang w:val="en"/>
        </w:rPr>
        <w:t>improve health care quality, protect the public, and reduce health care fraud and abuse in the U.S.</w:t>
      </w:r>
    </w:p>
    <w:p w14:paraId="00768ECB" w14:textId="6DF56759" w:rsidR="00FA111A" w:rsidRDefault="00436DDA" w:rsidP="00436DDA">
      <w:pPr>
        <w:pStyle w:val="BodyText"/>
        <w:rPr>
          <w:sz w:val="24"/>
        </w:rPr>
      </w:pPr>
      <w:r w:rsidRPr="0072393C">
        <w:rPr>
          <w:sz w:val="24"/>
        </w:rPr>
        <w:t xml:space="preserve">The NPDB </w:t>
      </w:r>
      <w:r w:rsidR="005E43DA">
        <w:rPr>
          <w:sz w:val="24"/>
        </w:rPr>
        <w:t>is a vital source</w:t>
      </w:r>
      <w:r w:rsidRPr="0072393C">
        <w:rPr>
          <w:sz w:val="24"/>
        </w:rPr>
        <w:t xml:space="preserve"> of information for the effective evaluation of health care practitioners and entities and play</w:t>
      </w:r>
      <w:r w:rsidR="00A44862">
        <w:rPr>
          <w:sz w:val="24"/>
        </w:rPr>
        <w:t>s</w:t>
      </w:r>
      <w:r w:rsidRPr="0072393C">
        <w:rPr>
          <w:sz w:val="24"/>
        </w:rPr>
        <w:t xml:space="preserve"> an important role in improving the quality of health care.</w:t>
      </w:r>
      <w:r>
        <w:rPr>
          <w:sz w:val="24"/>
        </w:rPr>
        <w:t xml:space="preserve"> I</w:t>
      </w:r>
      <w:r w:rsidRPr="0072393C">
        <w:rPr>
          <w:sz w:val="24"/>
        </w:rPr>
        <w:t xml:space="preserve">nformation </w:t>
      </w:r>
      <w:r>
        <w:rPr>
          <w:sz w:val="24"/>
        </w:rPr>
        <w:t xml:space="preserve">in the </w:t>
      </w:r>
      <w:r w:rsidR="00903E6A">
        <w:rPr>
          <w:sz w:val="24"/>
        </w:rPr>
        <w:t>NPDB</w:t>
      </w:r>
      <w:r>
        <w:rPr>
          <w:sz w:val="24"/>
        </w:rPr>
        <w:t xml:space="preserve"> reports </w:t>
      </w:r>
      <w:r w:rsidRPr="0072393C">
        <w:rPr>
          <w:sz w:val="24"/>
        </w:rPr>
        <w:t>should be considered with other relevant information in evaluating credentials of health care practitioners, providers, and suppliers.</w:t>
      </w:r>
    </w:p>
    <w:p w14:paraId="5F50B1EC" w14:textId="77777777" w:rsidR="00B6750A" w:rsidRPr="007B4464" w:rsidRDefault="00B6750A" w:rsidP="00B6750A">
      <w:pPr>
        <w:pStyle w:val="BodyText"/>
        <w:rPr>
          <w:i/>
          <w:sz w:val="24"/>
        </w:rPr>
      </w:pPr>
      <w:r w:rsidRPr="007B4464">
        <w:rPr>
          <w:i/>
          <w:sz w:val="24"/>
        </w:rPr>
        <w:t xml:space="preserve">The majority of the </w:t>
      </w:r>
      <w:r w:rsidR="00E0731C" w:rsidRPr="007B4464">
        <w:rPr>
          <w:i/>
          <w:sz w:val="24"/>
        </w:rPr>
        <w:t xml:space="preserve">proposed </w:t>
      </w:r>
      <w:r w:rsidRPr="007B4464">
        <w:rPr>
          <w:i/>
          <w:sz w:val="24"/>
        </w:rPr>
        <w:t xml:space="preserve">revisions </w:t>
      </w:r>
      <w:r w:rsidR="00E0731C" w:rsidRPr="007B4464">
        <w:rPr>
          <w:i/>
          <w:sz w:val="24"/>
        </w:rPr>
        <w:t xml:space="preserve">in this package </w:t>
      </w:r>
      <w:r w:rsidRPr="007B4464">
        <w:rPr>
          <w:i/>
          <w:sz w:val="24"/>
        </w:rPr>
        <w:t>were made to forms that are used for registering or renewing</w:t>
      </w:r>
      <w:r w:rsidR="008B67C0" w:rsidRPr="007B4464">
        <w:rPr>
          <w:i/>
          <w:sz w:val="24"/>
        </w:rPr>
        <w:t>/updating</w:t>
      </w:r>
      <w:r w:rsidRPr="007B4464">
        <w:rPr>
          <w:i/>
          <w:sz w:val="24"/>
        </w:rPr>
        <w:t xml:space="preserve"> re</w:t>
      </w:r>
      <w:r w:rsidR="00E0731C" w:rsidRPr="007B4464">
        <w:rPr>
          <w:i/>
          <w:sz w:val="24"/>
        </w:rPr>
        <w:t>gistration with the NPDB.  Revisions include:</w:t>
      </w:r>
    </w:p>
    <w:p w14:paraId="35C6A312" w14:textId="07C5F5E8" w:rsidR="00B6750A" w:rsidRPr="007B4464" w:rsidRDefault="00B6750A" w:rsidP="00B96919">
      <w:pPr>
        <w:pStyle w:val="BodyText"/>
        <w:numPr>
          <w:ilvl w:val="0"/>
          <w:numId w:val="29"/>
        </w:numPr>
        <w:rPr>
          <w:bCs/>
          <w:i/>
          <w:sz w:val="24"/>
        </w:rPr>
      </w:pPr>
      <w:r w:rsidRPr="007B4464">
        <w:rPr>
          <w:bCs/>
          <w:i/>
          <w:sz w:val="24"/>
        </w:rPr>
        <w:t>Allow user</w:t>
      </w:r>
      <w:r w:rsidR="00711612" w:rsidRPr="007B4464">
        <w:rPr>
          <w:bCs/>
          <w:i/>
          <w:sz w:val="24"/>
        </w:rPr>
        <w:t>s</w:t>
      </w:r>
      <w:r w:rsidRPr="007B4464">
        <w:rPr>
          <w:bCs/>
          <w:i/>
          <w:sz w:val="24"/>
        </w:rPr>
        <w:t xml:space="preserve"> to create an account before providing entity data and save incomplete form</w:t>
      </w:r>
      <w:r w:rsidR="00E0731C" w:rsidRPr="007B4464">
        <w:rPr>
          <w:bCs/>
          <w:i/>
          <w:sz w:val="24"/>
        </w:rPr>
        <w:t>s. Users can</w:t>
      </w:r>
      <w:r w:rsidRPr="007B4464">
        <w:rPr>
          <w:bCs/>
          <w:i/>
          <w:sz w:val="24"/>
        </w:rPr>
        <w:t xml:space="preserve"> return later to complete the registration </w:t>
      </w:r>
      <w:r w:rsidR="00B96919" w:rsidRPr="007B4464">
        <w:rPr>
          <w:bCs/>
          <w:i/>
          <w:sz w:val="24"/>
        </w:rPr>
        <w:t>form that</w:t>
      </w:r>
      <w:r w:rsidR="00711612" w:rsidRPr="007B4464">
        <w:rPr>
          <w:bCs/>
          <w:i/>
          <w:sz w:val="24"/>
        </w:rPr>
        <w:t xml:space="preserve"> will decrease the number of </w:t>
      </w:r>
      <w:r w:rsidRPr="007B4464">
        <w:rPr>
          <w:bCs/>
          <w:i/>
          <w:sz w:val="24"/>
        </w:rPr>
        <w:t xml:space="preserve">abandoned registrations.  </w:t>
      </w:r>
      <w:r w:rsidR="00E0731C" w:rsidRPr="007B4464">
        <w:rPr>
          <w:bCs/>
          <w:i/>
          <w:sz w:val="24"/>
        </w:rPr>
        <w:t>This change increase</w:t>
      </w:r>
      <w:r w:rsidR="00711612" w:rsidRPr="007B4464">
        <w:rPr>
          <w:bCs/>
          <w:i/>
          <w:sz w:val="24"/>
        </w:rPr>
        <w:t>s</w:t>
      </w:r>
      <w:r w:rsidR="00E0731C" w:rsidRPr="007B4464">
        <w:rPr>
          <w:bCs/>
          <w:i/>
          <w:sz w:val="24"/>
        </w:rPr>
        <w:t xml:space="preserve"> the p</w:t>
      </w:r>
      <w:r w:rsidRPr="007B4464">
        <w:rPr>
          <w:bCs/>
          <w:i/>
          <w:sz w:val="24"/>
        </w:rPr>
        <w:t xml:space="preserve">otential </w:t>
      </w:r>
      <w:r w:rsidR="00711612" w:rsidRPr="007B4464">
        <w:rPr>
          <w:bCs/>
          <w:i/>
          <w:sz w:val="24"/>
        </w:rPr>
        <w:t>to collect</w:t>
      </w:r>
      <w:r w:rsidR="00874420" w:rsidRPr="007B4464">
        <w:rPr>
          <w:bCs/>
          <w:i/>
          <w:sz w:val="24"/>
        </w:rPr>
        <w:t xml:space="preserve"> more</w:t>
      </w:r>
      <w:r w:rsidRPr="007B4464">
        <w:rPr>
          <w:bCs/>
          <w:i/>
          <w:sz w:val="24"/>
        </w:rPr>
        <w:t xml:space="preserve"> accurate data since </w:t>
      </w:r>
      <w:r w:rsidR="00E0731C" w:rsidRPr="007B4464">
        <w:rPr>
          <w:bCs/>
          <w:i/>
          <w:sz w:val="24"/>
        </w:rPr>
        <w:t xml:space="preserve">the </w:t>
      </w:r>
      <w:r w:rsidRPr="007B4464">
        <w:rPr>
          <w:bCs/>
          <w:i/>
          <w:sz w:val="24"/>
        </w:rPr>
        <w:t xml:space="preserve">user is not pressured to complete </w:t>
      </w:r>
      <w:r w:rsidR="00874420" w:rsidRPr="007B4464">
        <w:rPr>
          <w:bCs/>
          <w:i/>
          <w:sz w:val="24"/>
        </w:rPr>
        <w:t xml:space="preserve">the form </w:t>
      </w:r>
      <w:r w:rsidRPr="007B4464">
        <w:rPr>
          <w:bCs/>
          <w:i/>
          <w:sz w:val="24"/>
        </w:rPr>
        <w:t>in one session.</w:t>
      </w:r>
    </w:p>
    <w:p w14:paraId="206AC3E8" w14:textId="0D183D19" w:rsidR="00B6750A" w:rsidRPr="007B4464" w:rsidRDefault="00F866FC" w:rsidP="00B6750A">
      <w:pPr>
        <w:pStyle w:val="BodyText"/>
        <w:numPr>
          <w:ilvl w:val="0"/>
          <w:numId w:val="29"/>
        </w:numPr>
        <w:rPr>
          <w:bCs/>
          <w:i/>
          <w:sz w:val="24"/>
        </w:rPr>
      </w:pPr>
      <w:r w:rsidRPr="007B4464">
        <w:rPr>
          <w:bCs/>
          <w:i/>
          <w:sz w:val="24"/>
        </w:rPr>
        <w:t>Implementation of p</w:t>
      </w:r>
      <w:r w:rsidR="00B6750A" w:rsidRPr="007B4464">
        <w:rPr>
          <w:bCs/>
          <w:i/>
          <w:sz w:val="24"/>
        </w:rPr>
        <w:t xml:space="preserve">aperless registration renewal process that </w:t>
      </w:r>
      <w:r w:rsidR="00B6750A" w:rsidRPr="007B4464">
        <w:rPr>
          <w:i/>
          <w:sz w:val="24"/>
        </w:rPr>
        <w:t xml:space="preserve">allows users to upload registration paperwork directly to NPDB and </w:t>
      </w:r>
      <w:r w:rsidRPr="007B4464">
        <w:rPr>
          <w:i/>
          <w:sz w:val="24"/>
        </w:rPr>
        <w:t xml:space="preserve">to </w:t>
      </w:r>
      <w:r w:rsidR="00B6750A" w:rsidRPr="007B4464">
        <w:rPr>
          <w:i/>
          <w:sz w:val="24"/>
        </w:rPr>
        <w:t>shorten the renewal workflow</w:t>
      </w:r>
      <w:r w:rsidR="002B761F" w:rsidRPr="007B4464">
        <w:rPr>
          <w:i/>
          <w:sz w:val="24"/>
        </w:rPr>
        <w:t>, which</w:t>
      </w:r>
      <w:r w:rsidRPr="007B4464">
        <w:rPr>
          <w:i/>
          <w:sz w:val="24"/>
        </w:rPr>
        <w:t xml:space="preserve"> </w:t>
      </w:r>
      <w:r w:rsidR="00B6750A" w:rsidRPr="007B4464">
        <w:rPr>
          <w:i/>
          <w:sz w:val="24"/>
        </w:rPr>
        <w:t>sav</w:t>
      </w:r>
      <w:r w:rsidRPr="007B4464">
        <w:rPr>
          <w:i/>
          <w:sz w:val="24"/>
        </w:rPr>
        <w:t>e</w:t>
      </w:r>
      <w:r w:rsidR="002B761F" w:rsidRPr="007B4464">
        <w:rPr>
          <w:i/>
          <w:sz w:val="24"/>
        </w:rPr>
        <w:t>s time and</w:t>
      </w:r>
      <w:r w:rsidR="00B6750A" w:rsidRPr="007B4464">
        <w:rPr>
          <w:i/>
          <w:sz w:val="24"/>
        </w:rPr>
        <w:t xml:space="preserve"> mailing costs. </w:t>
      </w:r>
    </w:p>
    <w:p w14:paraId="3AEA5101" w14:textId="7553370A" w:rsidR="00B6750A" w:rsidRPr="007B4464" w:rsidRDefault="00397EA1" w:rsidP="00B6750A">
      <w:pPr>
        <w:pStyle w:val="BodyText"/>
        <w:numPr>
          <w:ilvl w:val="0"/>
          <w:numId w:val="29"/>
        </w:numPr>
        <w:rPr>
          <w:i/>
          <w:sz w:val="24"/>
          <w:lang w:val="en"/>
        </w:rPr>
      </w:pPr>
      <w:r w:rsidRPr="007B4464">
        <w:rPr>
          <w:i/>
          <w:sz w:val="24"/>
          <w:lang w:val="en"/>
        </w:rPr>
        <w:t>Start registration renewal/update by showing user</w:t>
      </w:r>
      <w:r w:rsidR="002B761F" w:rsidRPr="007B4464">
        <w:rPr>
          <w:i/>
          <w:sz w:val="24"/>
          <w:lang w:val="en"/>
        </w:rPr>
        <w:t>s</w:t>
      </w:r>
      <w:r w:rsidRPr="007B4464">
        <w:rPr>
          <w:i/>
          <w:sz w:val="24"/>
          <w:lang w:val="en"/>
        </w:rPr>
        <w:t xml:space="preserve"> the summary page i</w:t>
      </w:r>
      <w:r w:rsidR="00B6750A" w:rsidRPr="007B4464">
        <w:rPr>
          <w:i/>
          <w:sz w:val="24"/>
          <w:lang w:val="en"/>
        </w:rPr>
        <w:t xml:space="preserve">nstead of </w:t>
      </w:r>
      <w:r w:rsidRPr="007B4464">
        <w:rPr>
          <w:i/>
          <w:sz w:val="24"/>
          <w:lang w:val="en"/>
        </w:rPr>
        <w:t>the current process that sends the</w:t>
      </w:r>
      <w:r w:rsidR="00B6750A" w:rsidRPr="007B4464">
        <w:rPr>
          <w:i/>
          <w:sz w:val="24"/>
          <w:lang w:val="en"/>
        </w:rPr>
        <w:t xml:space="preserve"> user through </w:t>
      </w:r>
      <w:r w:rsidRPr="007B4464">
        <w:rPr>
          <w:i/>
          <w:sz w:val="24"/>
          <w:lang w:val="en"/>
        </w:rPr>
        <w:t>each</w:t>
      </w:r>
      <w:r w:rsidR="00B6750A" w:rsidRPr="007B4464">
        <w:rPr>
          <w:i/>
          <w:sz w:val="24"/>
          <w:lang w:val="en"/>
        </w:rPr>
        <w:t xml:space="preserve"> </w:t>
      </w:r>
      <w:r w:rsidR="0079113B" w:rsidRPr="007B4464">
        <w:rPr>
          <w:i/>
          <w:sz w:val="24"/>
          <w:lang w:val="en"/>
        </w:rPr>
        <w:t xml:space="preserve">page </w:t>
      </w:r>
      <w:r w:rsidR="00B6750A" w:rsidRPr="007B4464">
        <w:rPr>
          <w:i/>
          <w:sz w:val="24"/>
          <w:lang w:val="en"/>
        </w:rPr>
        <w:t>of the registration form. If the data is correct</w:t>
      </w:r>
      <w:r w:rsidR="0079113B" w:rsidRPr="007B4464">
        <w:rPr>
          <w:i/>
          <w:sz w:val="24"/>
          <w:lang w:val="en"/>
        </w:rPr>
        <w:t xml:space="preserve"> on the summary page</w:t>
      </w:r>
      <w:r w:rsidR="00B6750A" w:rsidRPr="007B4464">
        <w:rPr>
          <w:i/>
          <w:sz w:val="24"/>
          <w:lang w:val="en"/>
        </w:rPr>
        <w:t xml:space="preserve">, </w:t>
      </w:r>
      <w:r w:rsidRPr="007B4464">
        <w:rPr>
          <w:i/>
          <w:sz w:val="24"/>
          <w:lang w:val="en"/>
        </w:rPr>
        <w:t>user</w:t>
      </w:r>
      <w:r w:rsidR="002B761F" w:rsidRPr="007B4464">
        <w:rPr>
          <w:i/>
          <w:sz w:val="24"/>
          <w:lang w:val="en"/>
        </w:rPr>
        <w:t>s</w:t>
      </w:r>
      <w:r w:rsidR="00B6750A" w:rsidRPr="007B4464">
        <w:rPr>
          <w:i/>
          <w:sz w:val="24"/>
          <w:lang w:val="en"/>
        </w:rPr>
        <w:t xml:space="preserve"> can </w:t>
      </w:r>
      <w:r w:rsidR="002B761F" w:rsidRPr="007B4464">
        <w:rPr>
          <w:i/>
          <w:sz w:val="24"/>
          <w:lang w:val="en"/>
        </w:rPr>
        <w:t xml:space="preserve">just </w:t>
      </w:r>
      <w:r w:rsidR="00B6750A" w:rsidRPr="007B4464">
        <w:rPr>
          <w:i/>
          <w:sz w:val="24"/>
          <w:lang w:val="en"/>
        </w:rPr>
        <w:t xml:space="preserve">submit </w:t>
      </w:r>
      <w:r w:rsidR="0079113B" w:rsidRPr="007B4464">
        <w:rPr>
          <w:i/>
          <w:sz w:val="24"/>
          <w:lang w:val="en"/>
        </w:rPr>
        <w:t xml:space="preserve">it </w:t>
      </w:r>
      <w:r w:rsidR="00B6750A" w:rsidRPr="007B4464">
        <w:rPr>
          <w:i/>
          <w:sz w:val="24"/>
          <w:lang w:val="en"/>
        </w:rPr>
        <w:t xml:space="preserve">and be done. If not, </w:t>
      </w:r>
      <w:r w:rsidR="00ED208A" w:rsidRPr="007B4464">
        <w:rPr>
          <w:i/>
          <w:sz w:val="24"/>
          <w:lang w:val="en"/>
        </w:rPr>
        <w:t>user</w:t>
      </w:r>
      <w:r w:rsidR="002B761F" w:rsidRPr="007B4464">
        <w:rPr>
          <w:i/>
          <w:sz w:val="24"/>
          <w:lang w:val="en"/>
        </w:rPr>
        <w:t>s</w:t>
      </w:r>
      <w:r w:rsidR="00ED208A" w:rsidRPr="007B4464">
        <w:rPr>
          <w:i/>
          <w:sz w:val="24"/>
          <w:lang w:val="en"/>
        </w:rPr>
        <w:t xml:space="preserve"> can</w:t>
      </w:r>
      <w:r w:rsidR="00B6750A" w:rsidRPr="007B4464">
        <w:rPr>
          <w:i/>
          <w:sz w:val="24"/>
          <w:lang w:val="en"/>
        </w:rPr>
        <w:t xml:space="preserve"> navigate t</w:t>
      </w:r>
      <w:r w:rsidR="00ED208A" w:rsidRPr="007B4464">
        <w:rPr>
          <w:i/>
          <w:sz w:val="24"/>
          <w:lang w:val="en"/>
        </w:rPr>
        <w:t xml:space="preserve">o the appropriate </w:t>
      </w:r>
      <w:r w:rsidR="00B6750A" w:rsidRPr="007B4464">
        <w:rPr>
          <w:i/>
          <w:sz w:val="24"/>
          <w:lang w:val="en"/>
        </w:rPr>
        <w:t>section</w:t>
      </w:r>
      <w:r w:rsidR="002B761F" w:rsidRPr="007B4464">
        <w:rPr>
          <w:i/>
          <w:sz w:val="24"/>
          <w:lang w:val="en"/>
        </w:rPr>
        <w:t>(s)</w:t>
      </w:r>
      <w:r w:rsidR="00B6750A" w:rsidRPr="007B4464">
        <w:rPr>
          <w:i/>
          <w:sz w:val="24"/>
          <w:lang w:val="en"/>
        </w:rPr>
        <w:t xml:space="preserve"> and update the data before submitting</w:t>
      </w:r>
      <w:r w:rsidR="002B761F" w:rsidRPr="007B4464">
        <w:rPr>
          <w:i/>
          <w:sz w:val="24"/>
          <w:lang w:val="en"/>
        </w:rPr>
        <w:t xml:space="preserve"> to the NPDB</w:t>
      </w:r>
      <w:r w:rsidR="00B6750A" w:rsidRPr="007B4464">
        <w:rPr>
          <w:i/>
          <w:sz w:val="24"/>
          <w:lang w:val="en"/>
        </w:rPr>
        <w:t>.</w:t>
      </w:r>
    </w:p>
    <w:p w14:paraId="0CF005EB" w14:textId="2FA530A2" w:rsidR="00546A97" w:rsidRPr="007B4464" w:rsidRDefault="00B6750A" w:rsidP="00907042">
      <w:pPr>
        <w:pStyle w:val="BodyText"/>
        <w:numPr>
          <w:ilvl w:val="0"/>
          <w:numId w:val="29"/>
        </w:numPr>
        <w:rPr>
          <w:i/>
          <w:sz w:val="24"/>
          <w:lang w:val="en"/>
        </w:rPr>
      </w:pPr>
      <w:r w:rsidRPr="007B4464">
        <w:rPr>
          <w:i/>
          <w:sz w:val="24"/>
          <w:lang w:val="en"/>
        </w:rPr>
        <w:t xml:space="preserve">Clarified statutory authority </w:t>
      </w:r>
      <w:r w:rsidR="00561DBD" w:rsidRPr="007B4464">
        <w:rPr>
          <w:i/>
          <w:sz w:val="24"/>
          <w:lang w:val="en"/>
        </w:rPr>
        <w:t xml:space="preserve">to ensure entities register correctly with the NPDB </w:t>
      </w:r>
      <w:r w:rsidR="007175E3" w:rsidRPr="007B4464">
        <w:rPr>
          <w:i/>
          <w:sz w:val="24"/>
          <w:lang w:val="en"/>
        </w:rPr>
        <w:t>and</w:t>
      </w:r>
      <w:r w:rsidRPr="007B4464">
        <w:rPr>
          <w:i/>
          <w:sz w:val="24"/>
          <w:lang w:val="en"/>
        </w:rPr>
        <w:t xml:space="preserve"> clearly communicate the entity’s reporting and querying requirements.</w:t>
      </w:r>
    </w:p>
    <w:p w14:paraId="6F1FBB78" w14:textId="6DE5F763" w:rsidR="00B6750A" w:rsidRPr="007B4464" w:rsidRDefault="007B727C" w:rsidP="00B96919">
      <w:pPr>
        <w:pStyle w:val="BodyText"/>
        <w:numPr>
          <w:ilvl w:val="0"/>
          <w:numId w:val="29"/>
        </w:numPr>
        <w:rPr>
          <w:i/>
          <w:sz w:val="24"/>
          <w:lang w:val="en"/>
        </w:rPr>
      </w:pPr>
      <w:r w:rsidRPr="007B4464">
        <w:rPr>
          <w:i/>
          <w:sz w:val="24"/>
        </w:rPr>
        <w:t>Added text</w:t>
      </w:r>
      <w:r w:rsidR="00546A97" w:rsidRPr="007B4464">
        <w:rPr>
          <w:i/>
          <w:sz w:val="24"/>
        </w:rPr>
        <w:t xml:space="preserve"> </w:t>
      </w:r>
      <w:r w:rsidR="00535393" w:rsidRPr="007B4464">
        <w:rPr>
          <w:i/>
          <w:sz w:val="24"/>
        </w:rPr>
        <w:t xml:space="preserve">early in the registration process </w:t>
      </w:r>
      <w:r w:rsidRPr="007B4464">
        <w:rPr>
          <w:i/>
          <w:sz w:val="24"/>
        </w:rPr>
        <w:t>to redirect users</w:t>
      </w:r>
      <w:r w:rsidR="00535393" w:rsidRPr="007B4464">
        <w:rPr>
          <w:i/>
          <w:sz w:val="24"/>
        </w:rPr>
        <w:t xml:space="preserve">, if necessary, </w:t>
      </w:r>
      <w:r w:rsidR="00CC1A07" w:rsidRPr="007B4464">
        <w:rPr>
          <w:i/>
          <w:sz w:val="24"/>
        </w:rPr>
        <w:t>to the correct paths for their requests.</w:t>
      </w:r>
      <w:r w:rsidR="00546A97" w:rsidRPr="007B4464">
        <w:rPr>
          <w:i/>
          <w:sz w:val="24"/>
        </w:rPr>
        <w:t xml:space="preserve"> </w:t>
      </w:r>
    </w:p>
    <w:p w14:paraId="2F67E627" w14:textId="6FE428E6" w:rsidR="00B6750A" w:rsidRPr="007B4464" w:rsidRDefault="00B6750A" w:rsidP="00B6750A">
      <w:pPr>
        <w:pStyle w:val="BodyText"/>
        <w:rPr>
          <w:i/>
          <w:sz w:val="24"/>
        </w:rPr>
      </w:pPr>
      <w:r w:rsidRPr="007B4464">
        <w:rPr>
          <w:i/>
          <w:sz w:val="24"/>
        </w:rPr>
        <w:t>Other minor changes include:</w:t>
      </w:r>
    </w:p>
    <w:p w14:paraId="3BEDBDB2" w14:textId="011F274F" w:rsidR="00907042" w:rsidRPr="007B4464" w:rsidRDefault="00907042">
      <w:pPr>
        <w:pStyle w:val="BodyText"/>
        <w:numPr>
          <w:ilvl w:val="0"/>
          <w:numId w:val="30"/>
        </w:numPr>
        <w:rPr>
          <w:i/>
          <w:sz w:val="24"/>
        </w:rPr>
      </w:pPr>
      <w:r w:rsidRPr="007B4464">
        <w:rPr>
          <w:i/>
          <w:sz w:val="24"/>
        </w:rPr>
        <w:t>Reworded text to use</w:t>
      </w:r>
      <w:r w:rsidR="00B6750A" w:rsidRPr="007B4464">
        <w:rPr>
          <w:i/>
          <w:sz w:val="24"/>
        </w:rPr>
        <w:t xml:space="preserve"> “plain language</w:t>
      </w:r>
      <w:r w:rsidR="00676FAA" w:rsidRPr="007B4464">
        <w:rPr>
          <w:i/>
          <w:sz w:val="24"/>
        </w:rPr>
        <w:t>.</w:t>
      </w:r>
      <w:r w:rsidRPr="007B4464">
        <w:rPr>
          <w:i/>
          <w:sz w:val="24"/>
        </w:rPr>
        <w:t>”</w:t>
      </w:r>
    </w:p>
    <w:p w14:paraId="2A932EE8" w14:textId="14A5C3A3" w:rsidR="00B6750A" w:rsidRPr="007B4464" w:rsidRDefault="00B6750A">
      <w:pPr>
        <w:pStyle w:val="BodyText"/>
        <w:numPr>
          <w:ilvl w:val="0"/>
          <w:numId w:val="30"/>
        </w:numPr>
        <w:rPr>
          <w:i/>
          <w:sz w:val="24"/>
        </w:rPr>
      </w:pPr>
      <w:r w:rsidRPr="007B4464">
        <w:rPr>
          <w:i/>
          <w:sz w:val="24"/>
        </w:rPr>
        <w:t xml:space="preserve">Changed </w:t>
      </w:r>
      <w:r w:rsidR="007175E3" w:rsidRPr="007B4464">
        <w:rPr>
          <w:i/>
          <w:sz w:val="24"/>
        </w:rPr>
        <w:t xml:space="preserve">“Data Bank” </w:t>
      </w:r>
      <w:r w:rsidRPr="007B4464">
        <w:rPr>
          <w:i/>
          <w:sz w:val="24"/>
        </w:rPr>
        <w:t>references to the National Practitioner Data Bank</w:t>
      </w:r>
      <w:r w:rsidR="00BA404E" w:rsidRPr="007B4464">
        <w:rPr>
          <w:i/>
          <w:sz w:val="24"/>
        </w:rPr>
        <w:t xml:space="preserve"> or NPDB</w:t>
      </w:r>
      <w:r w:rsidRPr="007B4464">
        <w:rPr>
          <w:i/>
          <w:sz w:val="24"/>
        </w:rPr>
        <w:t>.</w:t>
      </w:r>
    </w:p>
    <w:p w14:paraId="6B7B3A91" w14:textId="77777777" w:rsidR="007B727C" w:rsidRPr="007B4464" w:rsidRDefault="00B6750A" w:rsidP="00B6750A">
      <w:pPr>
        <w:pStyle w:val="BodyText"/>
        <w:numPr>
          <w:ilvl w:val="0"/>
          <w:numId w:val="30"/>
        </w:numPr>
        <w:rPr>
          <w:i/>
          <w:sz w:val="24"/>
        </w:rPr>
      </w:pPr>
      <w:r w:rsidRPr="007B4464">
        <w:rPr>
          <w:i/>
          <w:sz w:val="24"/>
        </w:rPr>
        <w:t xml:space="preserve">Reordered response choices based on </w:t>
      </w:r>
      <w:r w:rsidR="007B727C" w:rsidRPr="007B4464">
        <w:rPr>
          <w:i/>
          <w:sz w:val="24"/>
        </w:rPr>
        <w:t xml:space="preserve">most common </w:t>
      </w:r>
      <w:r w:rsidRPr="007B4464">
        <w:rPr>
          <w:i/>
          <w:sz w:val="24"/>
        </w:rPr>
        <w:t>usage</w:t>
      </w:r>
      <w:r w:rsidR="00CE1AA7" w:rsidRPr="007B4464">
        <w:rPr>
          <w:i/>
          <w:sz w:val="24"/>
        </w:rPr>
        <w:t>.</w:t>
      </w:r>
    </w:p>
    <w:p w14:paraId="7182C708" w14:textId="0EF450F8" w:rsidR="00B6750A" w:rsidRPr="007B4464" w:rsidRDefault="007B727C" w:rsidP="00B6750A">
      <w:pPr>
        <w:pStyle w:val="BodyText"/>
        <w:numPr>
          <w:ilvl w:val="0"/>
          <w:numId w:val="30"/>
        </w:numPr>
        <w:rPr>
          <w:i/>
          <w:sz w:val="24"/>
        </w:rPr>
      </w:pPr>
      <w:r w:rsidRPr="007B4464">
        <w:rPr>
          <w:i/>
          <w:sz w:val="24"/>
        </w:rPr>
        <w:t xml:space="preserve">Added modal windows to provide </w:t>
      </w:r>
      <w:r w:rsidR="00BF36C3" w:rsidRPr="007B4464">
        <w:rPr>
          <w:i/>
          <w:sz w:val="24"/>
        </w:rPr>
        <w:t>context for completing fields.</w:t>
      </w:r>
    </w:p>
    <w:p w14:paraId="411A6F93" w14:textId="4DD2E6B7" w:rsidR="00CE1AA7" w:rsidRPr="007B4464" w:rsidRDefault="00CE1AA7" w:rsidP="00CE1AA7">
      <w:pPr>
        <w:pStyle w:val="BodyText"/>
        <w:numPr>
          <w:ilvl w:val="0"/>
          <w:numId w:val="30"/>
        </w:numPr>
        <w:rPr>
          <w:i/>
          <w:sz w:val="24"/>
        </w:rPr>
      </w:pPr>
      <w:r w:rsidRPr="007B4464">
        <w:rPr>
          <w:i/>
          <w:sz w:val="24"/>
        </w:rPr>
        <w:t>Delet</w:t>
      </w:r>
      <w:r w:rsidR="00676FAA" w:rsidRPr="007B4464">
        <w:rPr>
          <w:i/>
          <w:sz w:val="24"/>
        </w:rPr>
        <w:t xml:space="preserve">ed </w:t>
      </w:r>
      <w:r w:rsidRPr="007B4464">
        <w:rPr>
          <w:i/>
          <w:sz w:val="24"/>
        </w:rPr>
        <w:t>Reporting Entity Discrepancy Letter because it is not a data collection form.</w:t>
      </w:r>
    </w:p>
    <w:p w14:paraId="2E372302" w14:textId="77777777" w:rsidR="00B6750A" w:rsidRPr="007B4464" w:rsidRDefault="00B6750A" w:rsidP="00B6750A">
      <w:pPr>
        <w:pStyle w:val="BodyText"/>
        <w:rPr>
          <w:i/>
          <w:sz w:val="24"/>
        </w:rPr>
      </w:pPr>
      <w:r w:rsidRPr="007B4464">
        <w:rPr>
          <w:i/>
          <w:sz w:val="24"/>
        </w:rPr>
        <w:t xml:space="preserve">As a result, these proposed revisions will eliminate redundant and unnecessary forms, improve user error recovery, and improve overall data integrity.  </w:t>
      </w:r>
    </w:p>
    <w:p w14:paraId="7DBD34B3" w14:textId="77777777" w:rsidR="009B3794" w:rsidRPr="00B5784C" w:rsidRDefault="009B3794" w:rsidP="00B5784C">
      <w:pPr>
        <w:pStyle w:val="frn"/>
        <w:numPr>
          <w:ilvl w:val="0"/>
          <w:numId w:val="1"/>
        </w:numPr>
        <w:outlineLvl w:val="0"/>
      </w:pPr>
      <w:bookmarkStart w:id="4" w:name="_Toc496878835"/>
      <w:r w:rsidRPr="00B5784C">
        <w:t>Use of Improved Information Technology and Burden Reduction</w:t>
      </w:r>
      <w:bookmarkEnd w:id="4"/>
    </w:p>
    <w:p w14:paraId="5E9BA22C" w14:textId="77777777" w:rsidR="00960956" w:rsidRPr="001F006B" w:rsidRDefault="00960956" w:rsidP="00960956">
      <w:pPr>
        <w:widowControl/>
        <w:spacing w:before="120"/>
        <w:rPr>
          <w:sz w:val="24"/>
        </w:rPr>
      </w:pPr>
    </w:p>
    <w:p w14:paraId="13A96899" w14:textId="77777777" w:rsidR="00960956" w:rsidRPr="001F006B" w:rsidRDefault="00960956" w:rsidP="007F3A8E">
      <w:pPr>
        <w:spacing w:after="120"/>
        <w:rPr>
          <w:sz w:val="24"/>
        </w:rPr>
      </w:pPr>
      <w:r w:rsidRPr="001F006B">
        <w:rPr>
          <w:sz w:val="24"/>
        </w:rPr>
        <w:t xml:space="preserve">The reporting forms and request for information forms (query forms), are accessed, completed, and submitted online at </w:t>
      </w:r>
      <w:hyperlink r:id="rId20" w:history="1">
        <w:r w:rsidRPr="001F006B">
          <w:rPr>
            <w:rStyle w:val="Hyperlink"/>
            <w:sz w:val="24"/>
          </w:rPr>
          <w:t>www.npdb.hrsa.gov</w:t>
        </w:r>
      </w:hyperlink>
      <w:r w:rsidRPr="001F006B">
        <w:rPr>
          <w:sz w:val="24"/>
        </w:rPr>
        <w:t xml:space="preserve">. All reporting and querying is performed through this secure website. </w:t>
      </w:r>
    </w:p>
    <w:p w14:paraId="651E7DA9" w14:textId="77777777" w:rsidR="00960956" w:rsidRPr="001F006B" w:rsidRDefault="00960956" w:rsidP="00960956">
      <w:pPr>
        <w:widowControl/>
        <w:rPr>
          <w:sz w:val="24"/>
        </w:rPr>
      </w:pPr>
      <w:r w:rsidRPr="001F006B">
        <w:rPr>
          <w:sz w:val="24"/>
        </w:rPr>
        <w:t>A number of security features are employed to assure the confidentiality of the information transmitted as well as to prevent unauthorized access.  These features include data encryption</w:t>
      </w:r>
      <w:r w:rsidR="00150795">
        <w:rPr>
          <w:sz w:val="24"/>
        </w:rPr>
        <w:t xml:space="preserve"> of all submissions across the i</w:t>
      </w:r>
      <w:r w:rsidRPr="001F006B">
        <w:rPr>
          <w:sz w:val="24"/>
        </w:rPr>
        <w:t xml:space="preserve">nternet, entry of user names and passwords by all registered users, and firewall protection of the NPDB network and server to prevent unauthorized access from the internet.  </w:t>
      </w:r>
    </w:p>
    <w:p w14:paraId="5DC7B28E" w14:textId="77777777" w:rsidR="00960956" w:rsidRPr="001F006B" w:rsidRDefault="00960956" w:rsidP="00960956">
      <w:pPr>
        <w:widowControl/>
        <w:rPr>
          <w:sz w:val="24"/>
        </w:rPr>
      </w:pPr>
    </w:p>
    <w:p w14:paraId="5119DC95" w14:textId="77777777" w:rsidR="00960956" w:rsidRPr="001F006B" w:rsidRDefault="00960956" w:rsidP="00960956">
      <w:pPr>
        <w:widowControl/>
        <w:rPr>
          <w:sz w:val="24"/>
        </w:rPr>
      </w:pPr>
      <w:r w:rsidRPr="001F006B">
        <w:rPr>
          <w:sz w:val="24"/>
        </w:rPr>
        <w:t xml:space="preserve">Self-query forms for individuals and organizations are also submitted via the NPDB website.  Individuals or organizations complete query information and submit self-queries online.  The computer system automatically verifies that the online form has been completed correctly, reducing the chance for errors or missing data fields.  Self-queriers need to print the form for signature and notarization.  In addition to online reporting and querying, entities may update certain registration information e.g., address, telephone number, directly via the </w:t>
      </w:r>
      <w:r w:rsidRPr="00B15979">
        <w:rPr>
          <w:sz w:val="24"/>
        </w:rPr>
        <w:t>NPDB website.</w:t>
      </w:r>
      <w:r w:rsidRPr="001F006B">
        <w:rPr>
          <w:sz w:val="24"/>
        </w:rPr>
        <w:t xml:space="preserve">  </w:t>
      </w:r>
    </w:p>
    <w:p w14:paraId="683028A7" w14:textId="77777777" w:rsidR="00960956" w:rsidRPr="001F006B" w:rsidRDefault="00960956" w:rsidP="00960956">
      <w:pPr>
        <w:widowControl/>
        <w:spacing w:before="120"/>
        <w:rPr>
          <w:sz w:val="24"/>
        </w:rPr>
      </w:pPr>
    </w:p>
    <w:p w14:paraId="1A94776C" w14:textId="77777777" w:rsidR="006C56F3" w:rsidRPr="000E1765" w:rsidRDefault="006C56F3" w:rsidP="006C56F3">
      <w:pPr>
        <w:pStyle w:val="NormalWeb"/>
        <w:spacing w:before="0" w:beforeAutospacing="0" w:after="0" w:afterAutospacing="0"/>
      </w:pPr>
      <w:r w:rsidRPr="000E1765">
        <w:t>HRSA follows the National Institute of Standards and Technology (NIST) security guidelines.  The HRSA IT Security Policy outlines high-level security requirements for both HRSA IT systems and management processes, encompassing Management, Operational, and Technical controls as defined in NIST Special Publication 800-53, Revision 4, Recommended Security Controls for Federal Information Systems and Organizations.  Any subsequent documentation (e.g., procedures, standards or other operational guidance) must comply with the HRSA IT Security Policy. In addition to NIST guidance, the HRSA IT Security Policy incorporates standards established by HHS, existing HRSA documentation and information obtained from interviews with Personnel Security, Office of Information Technology staff, and other HRSA stakeholders.</w:t>
      </w:r>
    </w:p>
    <w:p w14:paraId="4CB61B29" w14:textId="77777777" w:rsidR="006C56F3" w:rsidRPr="000E1765" w:rsidRDefault="006C56F3" w:rsidP="006C56F3">
      <w:pPr>
        <w:pStyle w:val="NormalWeb"/>
        <w:spacing w:before="0" w:beforeAutospacing="0" w:after="0" w:afterAutospacing="0"/>
      </w:pPr>
      <w:r w:rsidRPr="000E1765">
        <w:t> </w:t>
      </w:r>
    </w:p>
    <w:p w14:paraId="013CE531" w14:textId="77777777" w:rsidR="006C56F3" w:rsidRPr="000E1765" w:rsidRDefault="006C56F3" w:rsidP="006C56F3">
      <w:pPr>
        <w:pStyle w:val="NormalWeb"/>
        <w:spacing w:before="0" w:beforeAutospacing="0" w:after="0" w:afterAutospacing="0"/>
      </w:pPr>
      <w:r w:rsidRPr="000E1765">
        <w:t xml:space="preserve">The protection level of NPDB program data is commensurate with a </w:t>
      </w:r>
      <w:r w:rsidRPr="002745DE">
        <w:rPr>
          <w:bCs/>
          <w:iCs/>
        </w:rPr>
        <w:t>moderate</w:t>
      </w:r>
      <w:r w:rsidRPr="000E1765">
        <w:t xml:space="preserve"> level of sensitivity as defined by the guidelines set forth in </w:t>
      </w:r>
      <w:r w:rsidR="00310638" w:rsidRPr="002745DE">
        <w:rPr>
          <w:lang w:val="en"/>
        </w:rPr>
        <w:t xml:space="preserve">Federal Information Processing Standard </w:t>
      </w:r>
      <w:r w:rsidRPr="000E1765">
        <w:t xml:space="preserve">199, “Standards for Security Categorization of Federal Information and Information Systems.”  The NPDB contains information classified under the Privacy Act that is considered personally identifiable information (PII). In accordance with HHS policy, a Privacy Impact Assessment (PIA) has been completed for the NPDB.  On an annual basis, the NPDB conducts a detailed security review process that tests the effectiveness of the security controls to ensure the PII in the system remains safe.  </w:t>
      </w:r>
    </w:p>
    <w:p w14:paraId="18312E7E" w14:textId="77777777" w:rsidR="006C56F3" w:rsidRPr="000E1765" w:rsidRDefault="006C56F3" w:rsidP="006C56F3">
      <w:pPr>
        <w:pStyle w:val="NormalWeb"/>
        <w:spacing w:before="0" w:beforeAutospacing="0" w:after="0" w:afterAutospacing="0"/>
      </w:pPr>
      <w:r w:rsidRPr="000E1765">
        <w:t> </w:t>
      </w:r>
    </w:p>
    <w:p w14:paraId="31D15943" w14:textId="77777777" w:rsidR="00960956" w:rsidRPr="002745DE" w:rsidRDefault="006C56F3" w:rsidP="00AB2961">
      <w:pPr>
        <w:pStyle w:val="NormalWeb"/>
        <w:spacing w:before="0" w:beforeAutospacing="0" w:after="0" w:afterAutospacing="0"/>
        <w:rPr>
          <w:rFonts w:ascii="Calibri" w:hAnsi="Calibri"/>
          <w:sz w:val="22"/>
          <w:szCs w:val="22"/>
        </w:rPr>
      </w:pPr>
      <w:r w:rsidRPr="000E1765">
        <w:t xml:space="preserve">Finally, a critical aspect of the Security Assessment and Authorization (SA&amp;A) process is the post-authorization period involving the continuous monitoring of security controls in the information system over time. An effective continuous monitoring program requires configuration management and configuration control processes; security impact analyses on changes to the information system; and assessment of selected security controls in the information system and security status reporting to appropriate agency officials. For </w:t>
      </w:r>
      <w:r w:rsidR="00310638" w:rsidRPr="002745DE">
        <w:t xml:space="preserve">the </w:t>
      </w:r>
      <w:r w:rsidRPr="000E1765">
        <w:t xml:space="preserve">NPDB, continuous monitoring is conducted, whereby one-third of the controls are tested each year.  At the end of the third year, and once all the controls have been tested, an Authority to Operate (ATO) is issued.  Additionally, if enhancements to a system are made which change the system’s security posture, an updated authorization to operate is required before deployment, regardless of where the system is in the 3-year cycle. </w:t>
      </w:r>
    </w:p>
    <w:p w14:paraId="475A3B3D" w14:textId="77777777" w:rsidR="009B3794" w:rsidRPr="00113343" w:rsidRDefault="009B3794" w:rsidP="00113343">
      <w:pPr>
        <w:pStyle w:val="frn"/>
        <w:numPr>
          <w:ilvl w:val="0"/>
          <w:numId w:val="1"/>
        </w:numPr>
        <w:outlineLvl w:val="0"/>
      </w:pPr>
      <w:bookmarkStart w:id="5" w:name="_Toc496878836"/>
      <w:r w:rsidRPr="00113343">
        <w:t>Efforts to  Identify Duplication and Use of Similar Information</w:t>
      </w:r>
      <w:bookmarkEnd w:id="5"/>
    </w:p>
    <w:p w14:paraId="6B9F77D3" w14:textId="77777777" w:rsidR="00963C6C" w:rsidRPr="001F006B" w:rsidRDefault="00963C6C" w:rsidP="00963C6C">
      <w:pPr>
        <w:spacing w:before="120"/>
        <w:rPr>
          <w:sz w:val="24"/>
        </w:rPr>
      </w:pPr>
    </w:p>
    <w:p w14:paraId="5FC4C7F2" w14:textId="77777777" w:rsidR="001B3A3F" w:rsidRPr="001F006B" w:rsidRDefault="001B3A3F" w:rsidP="001B3A3F">
      <w:pPr>
        <w:rPr>
          <w:sz w:val="24"/>
        </w:rPr>
      </w:pPr>
      <w:r w:rsidRPr="001F006B">
        <w:rPr>
          <w:sz w:val="24"/>
        </w:rPr>
        <w:t xml:space="preserve">There is a large amount of confidential information in the NPDB that is not available from any other source. Prior to 1990, when the NPDB began operations, a single, consolidated, national repository of information on medical malpractice payments, State licensure disciplinary actions, adverse actions on clinical privileges and professional society membership did not exist. The Federation of State Medical Boards (FSMB) has maintained a data bank of information on State Medical Board licensure actions. </w:t>
      </w:r>
    </w:p>
    <w:p w14:paraId="1B377724" w14:textId="77777777" w:rsidR="001B3A3F" w:rsidRPr="001F006B" w:rsidRDefault="001B3A3F" w:rsidP="001B3A3F">
      <w:pPr>
        <w:rPr>
          <w:sz w:val="24"/>
        </w:rPr>
      </w:pPr>
    </w:p>
    <w:p w14:paraId="39E26CF5" w14:textId="77777777" w:rsidR="00DF5149" w:rsidRPr="0000324D" w:rsidRDefault="001B3A3F" w:rsidP="0000324D">
      <w:pPr>
        <w:rPr>
          <w:sz w:val="24"/>
        </w:rPr>
      </w:pPr>
      <w:r w:rsidRPr="001F006B">
        <w:rPr>
          <w:sz w:val="24"/>
        </w:rPr>
        <w:t>The majority of States require some form of reporting of medical malpractice payments, usually to State Medical Boards, but such information is not routinely compiled on a national basis. In some States, information on adverse actions taken by health care entities is reported to the State licensing board, but it has never been collected systematically or been generally available. Similarly, there has been no centralized reporting of professional society membership adverse actions. HRSA drew on the experience of similar existing information collection systems to the extent feasible when developing the NPDB. For example, the classification system used in reporting licensure disciplinary actions is a modification of the system used by the FSMB. The classification system used for acts or omissions that resulted in a medical malpractice insurance payment is adapted from a coding system developed by the Harvard Risk Management Foundation. Standardized methods of collecting the required information typically do not exist.</w:t>
      </w:r>
    </w:p>
    <w:p w14:paraId="3E7AB46B" w14:textId="77777777" w:rsidR="009B3794" w:rsidRPr="00113343" w:rsidRDefault="009B3794" w:rsidP="00113343">
      <w:pPr>
        <w:pStyle w:val="frn"/>
        <w:numPr>
          <w:ilvl w:val="0"/>
          <w:numId w:val="1"/>
        </w:numPr>
        <w:outlineLvl w:val="0"/>
      </w:pPr>
      <w:bookmarkStart w:id="6" w:name="_Toc496878837"/>
      <w:r w:rsidRPr="00113343">
        <w:t>Impact on Small Businesses or Other Small Entities</w:t>
      </w:r>
      <w:bookmarkEnd w:id="6"/>
    </w:p>
    <w:p w14:paraId="0468364E" w14:textId="77777777" w:rsidR="00963C6C" w:rsidRPr="001F006B" w:rsidRDefault="00963C6C" w:rsidP="00963C6C">
      <w:pPr>
        <w:spacing w:before="120"/>
        <w:rPr>
          <w:b/>
          <w:color w:val="000000"/>
          <w:sz w:val="24"/>
        </w:rPr>
      </w:pPr>
    </w:p>
    <w:p w14:paraId="2CF8021D" w14:textId="77777777" w:rsidR="00963C6C" w:rsidRPr="00414F53" w:rsidRDefault="00496692" w:rsidP="00414F53">
      <w:pPr>
        <w:widowControl/>
        <w:rPr>
          <w:sz w:val="24"/>
        </w:rPr>
      </w:pPr>
      <w:r w:rsidRPr="001F006B">
        <w:rPr>
          <w:sz w:val="24"/>
        </w:rPr>
        <w:t xml:space="preserve">The information collected is not expected to have a significant effect on small businesses.  The electronic forms incorporate the data elements found in the regulations.  Attempts are made to keep data collections to the minimum needed to differentiate adequately among individuals with similar names and to comply with statutory requirements. An eligible entity may use an authorized agent to report to and request information from (query) the NPDB at the discretion of that entity. </w:t>
      </w:r>
    </w:p>
    <w:p w14:paraId="4175D9B8" w14:textId="77777777" w:rsidR="009B3794" w:rsidRPr="00113343" w:rsidRDefault="009B3794" w:rsidP="00113343">
      <w:pPr>
        <w:pStyle w:val="frn"/>
        <w:numPr>
          <w:ilvl w:val="0"/>
          <w:numId w:val="1"/>
        </w:numPr>
        <w:outlineLvl w:val="0"/>
      </w:pPr>
      <w:bookmarkStart w:id="7" w:name="_Toc496878838"/>
      <w:r w:rsidRPr="00113343">
        <w:t>Consequences of Collecting the Information Less Frequent</w:t>
      </w:r>
      <w:r w:rsidR="001325B2" w:rsidRPr="00113343">
        <w:t>ly</w:t>
      </w:r>
      <w:bookmarkEnd w:id="7"/>
    </w:p>
    <w:p w14:paraId="612E30BF" w14:textId="77777777" w:rsidR="006D6580" w:rsidRPr="001F006B" w:rsidRDefault="009B3794" w:rsidP="00F27E0B">
      <w:pPr>
        <w:widowControl/>
        <w:autoSpaceDE/>
        <w:autoSpaceDN/>
        <w:adjustRightInd/>
        <w:spacing w:before="120"/>
        <w:ind w:left="360"/>
        <w:rPr>
          <w:sz w:val="24"/>
        </w:rPr>
      </w:pPr>
      <w:r w:rsidRPr="001F006B">
        <w:rPr>
          <w:sz w:val="24"/>
        </w:rPr>
        <w:tab/>
      </w:r>
    </w:p>
    <w:p w14:paraId="44110579" w14:textId="77777777" w:rsidR="006D6580" w:rsidRPr="001F006B" w:rsidRDefault="006D6580" w:rsidP="006D6580">
      <w:pPr>
        <w:widowControl/>
        <w:rPr>
          <w:sz w:val="24"/>
        </w:rPr>
      </w:pPr>
      <w:r w:rsidRPr="001F006B">
        <w:rPr>
          <w:sz w:val="24"/>
        </w:rPr>
        <w:t xml:space="preserve">Information on medical malpractice payments, State Medical or Dental Board licensure disciplinary actions, and adverse actions on clinical privileges or memberships are to be reported to the NPDB "regularly (but not less often than monthly)."  HCQIA requires frequent reporting to the NPDB to increase its capacity to provide current information on health care providers to its users.  Less frequent collection would place HHS in non-compliance with HCQIA.  In addition, less frequent collection could allow substandard practitioners to remain in practice without detection for longer periods of time, increasing the risk to patient safety.   </w:t>
      </w:r>
    </w:p>
    <w:p w14:paraId="5C0BD6FC" w14:textId="77777777" w:rsidR="006D6580" w:rsidRPr="001F006B" w:rsidRDefault="006D6580" w:rsidP="006D6580">
      <w:pPr>
        <w:widowControl/>
        <w:rPr>
          <w:sz w:val="24"/>
        </w:rPr>
      </w:pPr>
    </w:p>
    <w:p w14:paraId="4D436E31" w14:textId="77777777" w:rsidR="006D6580" w:rsidRPr="001F006B" w:rsidRDefault="006D6580" w:rsidP="0000324D">
      <w:pPr>
        <w:widowControl/>
        <w:rPr>
          <w:sz w:val="24"/>
        </w:rPr>
      </w:pPr>
      <w:r w:rsidRPr="001F006B">
        <w:rPr>
          <w:sz w:val="24"/>
        </w:rPr>
        <w:t>Information on licensing and certification actions, criminal convictions, civil judgments and other adjudicated actions must be submitted to the NPDB within 30 calendar days from the date when the reporting entity became aware of the final adverse action or by the close of the entity’s next monthly reporting cycle.  If information is reported to the NPDB less frequently, the NPDB will not be able to provide accurate and timely information to law enforcement officials, regulatory agencies, or health insurance plans for their investigations.</w:t>
      </w:r>
    </w:p>
    <w:p w14:paraId="2EE7362D" w14:textId="77777777" w:rsidR="009B3794" w:rsidRPr="00113343" w:rsidRDefault="009B3794" w:rsidP="00113343">
      <w:pPr>
        <w:pStyle w:val="frn"/>
        <w:numPr>
          <w:ilvl w:val="0"/>
          <w:numId w:val="1"/>
        </w:numPr>
        <w:outlineLvl w:val="0"/>
      </w:pPr>
      <w:bookmarkStart w:id="8" w:name="_Toc496878839"/>
      <w:r w:rsidRPr="00113343">
        <w:t>Special Circumstances Relating to the Guidelines of 5 CFR 1320.5</w:t>
      </w:r>
      <w:bookmarkEnd w:id="8"/>
    </w:p>
    <w:p w14:paraId="77163728" w14:textId="77777777" w:rsidR="00B67AC6" w:rsidRPr="00414F53" w:rsidRDefault="004F152A" w:rsidP="009064A2">
      <w:pPr>
        <w:widowControl/>
        <w:spacing w:before="240"/>
        <w:rPr>
          <w:sz w:val="24"/>
        </w:rPr>
      </w:pPr>
      <w:r w:rsidRPr="001F006B">
        <w:rPr>
          <w:sz w:val="24"/>
        </w:rPr>
        <w:t>This request fully complies with the aforementioned regulations.</w:t>
      </w:r>
    </w:p>
    <w:p w14:paraId="2A4EFF6E" w14:textId="77777777" w:rsidR="005574E9" w:rsidRPr="00113343" w:rsidRDefault="009B3794" w:rsidP="009064A2">
      <w:pPr>
        <w:pStyle w:val="frn"/>
        <w:numPr>
          <w:ilvl w:val="0"/>
          <w:numId w:val="1"/>
        </w:numPr>
        <w:outlineLvl w:val="0"/>
      </w:pPr>
      <w:bookmarkStart w:id="9" w:name="_Toc496878840"/>
      <w:r w:rsidRPr="00113343">
        <w:t>Comments in Response to the Federal Register Notice/Outside Consultation</w:t>
      </w:r>
      <w:bookmarkEnd w:id="9"/>
    </w:p>
    <w:p w14:paraId="684C4C36" w14:textId="5270B47B" w:rsidR="008512E0" w:rsidRPr="008512E0" w:rsidRDefault="005574E9" w:rsidP="008512E0">
      <w:pPr>
        <w:spacing w:before="120"/>
        <w:rPr>
          <w:sz w:val="24"/>
          <w:lang w:val="en"/>
        </w:rPr>
      </w:pPr>
      <w:r w:rsidRPr="001F006B">
        <w:rPr>
          <w:b/>
          <w:sz w:val="24"/>
        </w:rPr>
        <w:t xml:space="preserve">8A: </w:t>
      </w:r>
      <w:r w:rsidRPr="001F006B">
        <w:rPr>
          <w:sz w:val="24"/>
        </w:rPr>
        <w:t xml:space="preserve">A 60-day Federal Register Notice was published in the </w:t>
      </w:r>
      <w:r w:rsidRPr="001F006B">
        <w:rPr>
          <w:i/>
          <w:iCs/>
          <w:sz w:val="24"/>
        </w:rPr>
        <w:t xml:space="preserve">Federal Register </w:t>
      </w:r>
      <w:r w:rsidRPr="001F006B">
        <w:rPr>
          <w:sz w:val="24"/>
        </w:rPr>
        <w:t xml:space="preserve">on </w:t>
      </w:r>
      <w:r w:rsidR="000B1B1C" w:rsidRPr="000B1B1C">
        <w:rPr>
          <w:sz w:val="24"/>
        </w:rPr>
        <w:t>September 12</w:t>
      </w:r>
      <w:r w:rsidRPr="000B1B1C">
        <w:rPr>
          <w:sz w:val="24"/>
        </w:rPr>
        <w:t>, 2017,</w:t>
      </w:r>
      <w:r w:rsidR="000B1B1C" w:rsidRPr="000B1B1C">
        <w:rPr>
          <w:sz w:val="24"/>
        </w:rPr>
        <w:t xml:space="preserve"> Vol. 82, No. 175</w:t>
      </w:r>
      <w:r w:rsidRPr="000B1B1C">
        <w:rPr>
          <w:sz w:val="24"/>
        </w:rPr>
        <w:t xml:space="preserve">; pp. </w:t>
      </w:r>
      <w:r w:rsidR="003C4879">
        <w:rPr>
          <w:sz w:val="24"/>
        </w:rPr>
        <w:t>42821- 42822</w:t>
      </w:r>
      <w:r w:rsidRPr="000B1B1C">
        <w:rPr>
          <w:sz w:val="24"/>
        </w:rPr>
        <w:t xml:space="preserve"> (see </w:t>
      </w:r>
      <w:hyperlink r:id="rId21" w:history="1">
        <w:r w:rsidRPr="000B1B1C">
          <w:rPr>
            <w:rStyle w:val="Hyperlink"/>
            <w:sz w:val="24"/>
          </w:rPr>
          <w:t>60-Day FRN</w:t>
        </w:r>
      </w:hyperlink>
      <w:r w:rsidR="00A14D5F" w:rsidRPr="00AD111F">
        <w:rPr>
          <w:sz w:val="24"/>
        </w:rPr>
        <w:t xml:space="preserve">). </w:t>
      </w:r>
      <w:r w:rsidRPr="00AD111F">
        <w:rPr>
          <w:sz w:val="24"/>
        </w:rPr>
        <w:t xml:space="preserve"> </w:t>
      </w:r>
      <w:r w:rsidR="00A14D5F" w:rsidRPr="00AD111F">
        <w:rPr>
          <w:sz w:val="24"/>
        </w:rPr>
        <w:t xml:space="preserve">There was </w:t>
      </w:r>
      <w:r w:rsidR="00C45456" w:rsidRPr="00AD111F">
        <w:rPr>
          <w:sz w:val="24"/>
        </w:rPr>
        <w:t xml:space="preserve">a </w:t>
      </w:r>
      <w:r w:rsidR="00A14D5F" w:rsidRPr="00AD111F">
        <w:rPr>
          <w:sz w:val="24"/>
        </w:rPr>
        <w:t>public comment</w:t>
      </w:r>
      <w:r w:rsidR="00C45456">
        <w:rPr>
          <w:sz w:val="24"/>
        </w:rPr>
        <w:t xml:space="preserve"> from one organization</w:t>
      </w:r>
      <w:r w:rsidRPr="001F006B">
        <w:rPr>
          <w:sz w:val="24"/>
        </w:rPr>
        <w:t xml:space="preserve">. </w:t>
      </w:r>
      <w:r w:rsidR="008512E0" w:rsidRPr="008512E0">
        <w:rPr>
          <w:sz w:val="24"/>
          <w:lang w:val="en"/>
        </w:rPr>
        <w:t>The NPDB had a preliminary discussion with th</w:t>
      </w:r>
      <w:r w:rsidR="00C45456">
        <w:rPr>
          <w:sz w:val="24"/>
          <w:lang w:val="en"/>
        </w:rPr>
        <w:t>is</w:t>
      </w:r>
      <w:r w:rsidR="008512E0" w:rsidRPr="008512E0">
        <w:rPr>
          <w:sz w:val="24"/>
          <w:lang w:val="en"/>
        </w:rPr>
        <w:t xml:space="preserve"> </w:t>
      </w:r>
      <w:r w:rsidR="00C45456">
        <w:rPr>
          <w:sz w:val="24"/>
          <w:lang w:val="en"/>
        </w:rPr>
        <w:t>organization</w:t>
      </w:r>
      <w:r w:rsidR="008512E0" w:rsidRPr="008512E0">
        <w:rPr>
          <w:sz w:val="24"/>
          <w:lang w:val="en"/>
        </w:rPr>
        <w:t xml:space="preserve"> to address questions related to NPDB reporting policy and offered an opportunity for a formal meeting, as they desire.</w:t>
      </w:r>
    </w:p>
    <w:p w14:paraId="52149AB8" w14:textId="77777777" w:rsidR="008512E0" w:rsidRPr="008512E0" w:rsidRDefault="008512E0" w:rsidP="008512E0">
      <w:pPr>
        <w:spacing w:before="120"/>
        <w:rPr>
          <w:sz w:val="24"/>
        </w:rPr>
      </w:pPr>
    </w:p>
    <w:p w14:paraId="33A9E937" w14:textId="77777777" w:rsidR="005574E9" w:rsidRPr="000C04D7" w:rsidRDefault="005574E9" w:rsidP="005574E9">
      <w:pPr>
        <w:spacing w:before="120"/>
        <w:rPr>
          <w:b/>
          <w:sz w:val="24"/>
        </w:rPr>
      </w:pPr>
    </w:p>
    <w:p w14:paraId="1864BD0C" w14:textId="4B5EA48F" w:rsidR="005574E9" w:rsidRDefault="005574E9" w:rsidP="005574E9">
      <w:pPr>
        <w:spacing w:before="120"/>
        <w:rPr>
          <w:sz w:val="24"/>
        </w:rPr>
      </w:pPr>
      <w:r w:rsidRPr="001F006B">
        <w:rPr>
          <w:b/>
          <w:sz w:val="24"/>
        </w:rPr>
        <w:t xml:space="preserve">8B: </w:t>
      </w:r>
      <w:r w:rsidRPr="001F006B">
        <w:rPr>
          <w:sz w:val="24"/>
        </w:rPr>
        <w:t xml:space="preserve">In preparing this request for revision, the NPDB consulted with its users to detect any problems they may have had with electronic querying and reporting.  As part of this effort, we collected feedback from over </w:t>
      </w:r>
      <w:r w:rsidR="0043554C">
        <w:rPr>
          <w:sz w:val="24"/>
        </w:rPr>
        <w:t>60</w:t>
      </w:r>
      <w:r w:rsidR="0043554C" w:rsidRPr="001F006B">
        <w:rPr>
          <w:sz w:val="24"/>
        </w:rPr>
        <w:t xml:space="preserve"> </w:t>
      </w:r>
      <w:r w:rsidRPr="001F006B">
        <w:rPr>
          <w:sz w:val="24"/>
        </w:rPr>
        <w:t xml:space="preserve">users </w:t>
      </w:r>
      <w:r w:rsidR="00F14F14">
        <w:rPr>
          <w:sz w:val="24"/>
        </w:rPr>
        <w:t>via</w:t>
      </w:r>
      <w:r w:rsidR="00BF39E1">
        <w:rPr>
          <w:sz w:val="24"/>
        </w:rPr>
        <w:t xml:space="preserve"> </w:t>
      </w:r>
      <w:r w:rsidR="00B96919">
        <w:rPr>
          <w:sz w:val="24"/>
        </w:rPr>
        <w:t>six</w:t>
      </w:r>
      <w:r w:rsidRPr="001F006B">
        <w:rPr>
          <w:sz w:val="24"/>
        </w:rPr>
        <w:t xml:space="preserve"> </w:t>
      </w:r>
      <w:r w:rsidR="00BF39E1">
        <w:rPr>
          <w:sz w:val="24"/>
        </w:rPr>
        <w:t xml:space="preserve">usability sessions </w:t>
      </w:r>
      <w:r w:rsidR="00BF39E1" w:rsidRPr="00BF39E1">
        <w:rPr>
          <w:sz w:val="24"/>
        </w:rPr>
        <w:t>(approved through HRSA generic clearance, OMB 0915-0212, exp. 5/31/18)</w:t>
      </w:r>
      <w:r w:rsidR="00BF39E1">
        <w:rPr>
          <w:sz w:val="24"/>
        </w:rPr>
        <w:t xml:space="preserve"> and a user education forum</w:t>
      </w:r>
      <w:r w:rsidRPr="001F006B">
        <w:rPr>
          <w:sz w:val="24"/>
        </w:rPr>
        <w:t xml:space="preserve">. See </w:t>
      </w:r>
      <w:r w:rsidR="00BF39E1">
        <w:rPr>
          <w:sz w:val="24"/>
        </w:rPr>
        <w:t xml:space="preserve">Table </w:t>
      </w:r>
      <w:r w:rsidR="00DE416F">
        <w:rPr>
          <w:sz w:val="24"/>
        </w:rPr>
        <w:t xml:space="preserve">1 </w:t>
      </w:r>
      <w:r w:rsidRPr="001F006B">
        <w:rPr>
          <w:sz w:val="24"/>
        </w:rPr>
        <w:t>for specific event details. The consultatio</w:t>
      </w:r>
      <w:r w:rsidR="008B07AB">
        <w:rPr>
          <w:sz w:val="24"/>
        </w:rPr>
        <w:t>n activities conducted from 2015-2017</w:t>
      </w:r>
      <w:r w:rsidRPr="001F006B">
        <w:rPr>
          <w:sz w:val="24"/>
        </w:rPr>
        <w:t xml:space="preserve"> allowed the NPDB to gather feedback from users of the </w:t>
      </w:r>
      <w:r w:rsidR="00AE3BE1">
        <w:rPr>
          <w:sz w:val="24"/>
        </w:rPr>
        <w:t>Integrated Querying and Reporting Service (</w:t>
      </w:r>
      <w:r w:rsidRPr="001F006B">
        <w:rPr>
          <w:sz w:val="24"/>
        </w:rPr>
        <w:t>IQRS</w:t>
      </w:r>
      <w:r w:rsidR="00AE3BE1">
        <w:rPr>
          <w:sz w:val="24"/>
        </w:rPr>
        <w:t>)</w:t>
      </w:r>
      <w:r w:rsidRPr="001F006B">
        <w:rPr>
          <w:sz w:val="24"/>
        </w:rPr>
        <w:t xml:space="preserve"> and </w:t>
      </w:r>
      <w:r w:rsidR="008B07AB">
        <w:rPr>
          <w:sz w:val="24"/>
        </w:rPr>
        <w:t>solicit</w:t>
      </w:r>
      <w:r w:rsidRPr="001F006B">
        <w:rPr>
          <w:sz w:val="24"/>
        </w:rPr>
        <w:t xml:space="preserve"> suggestions on areas for improvement. In addition, HRSA continues to solicit comments from </w:t>
      </w:r>
      <w:r w:rsidR="00ED5F22">
        <w:rPr>
          <w:sz w:val="24"/>
        </w:rPr>
        <w:t>stakeholder organizations</w:t>
      </w:r>
      <w:r w:rsidRPr="000B1B1C">
        <w:rPr>
          <w:sz w:val="24"/>
        </w:rPr>
        <w:t xml:space="preserve"> as</w:t>
      </w:r>
      <w:r w:rsidRPr="001F006B">
        <w:rPr>
          <w:sz w:val="24"/>
        </w:rPr>
        <w:t xml:space="preserve"> they receive information from their constituents on problems related to the NPDB.</w:t>
      </w:r>
    </w:p>
    <w:p w14:paraId="6BB53592" w14:textId="77777777" w:rsidR="00993FC9" w:rsidRPr="001F006B" w:rsidRDefault="00993FC9" w:rsidP="005574E9">
      <w:pPr>
        <w:spacing w:before="120"/>
        <w:rPr>
          <w:b/>
          <w:sz w:val="24"/>
        </w:rPr>
      </w:pPr>
    </w:p>
    <w:p w14:paraId="21D5156E" w14:textId="77777777" w:rsidR="00820C65" w:rsidRPr="00993FC9" w:rsidRDefault="00BF39E1" w:rsidP="00993FC9">
      <w:pPr>
        <w:rPr>
          <w:b/>
          <w:bCs/>
          <w:sz w:val="24"/>
        </w:rPr>
      </w:pPr>
      <w:r w:rsidRPr="00993FC9">
        <w:rPr>
          <w:b/>
          <w:bCs/>
          <w:sz w:val="24"/>
        </w:rPr>
        <w:t xml:space="preserve">Table </w:t>
      </w:r>
      <w:r w:rsidR="00B337C3" w:rsidRPr="00993FC9">
        <w:rPr>
          <w:b/>
          <w:bCs/>
          <w:sz w:val="24"/>
        </w:rPr>
        <w:t>1</w:t>
      </w:r>
      <w:r w:rsidRPr="00993FC9">
        <w:rPr>
          <w:b/>
          <w:bCs/>
          <w:sz w:val="24"/>
        </w:rPr>
        <w:t xml:space="preserve">: </w:t>
      </w:r>
      <w:r w:rsidR="00820C65" w:rsidRPr="00993FC9">
        <w:rPr>
          <w:b/>
          <w:bCs/>
          <w:sz w:val="24"/>
        </w:rPr>
        <w:t>User Feedback Gathering Events</w:t>
      </w:r>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674"/>
        <w:gridCol w:w="2632"/>
        <w:gridCol w:w="2310"/>
      </w:tblGrid>
      <w:tr w:rsidR="006646E5" w:rsidRPr="00820C65" w14:paraId="496C5937" w14:textId="77777777" w:rsidTr="0079452E">
        <w:tc>
          <w:tcPr>
            <w:tcW w:w="26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A3EC50" w14:textId="77777777" w:rsidR="006646E5" w:rsidRPr="00820C65" w:rsidRDefault="006646E5" w:rsidP="00820C65">
            <w:pPr>
              <w:widowControl/>
              <w:autoSpaceDE/>
              <w:autoSpaceDN/>
              <w:adjustRightInd/>
              <w:jc w:val="center"/>
              <w:rPr>
                <w:sz w:val="24"/>
              </w:rPr>
            </w:pPr>
            <w:r w:rsidRPr="00820C65">
              <w:rPr>
                <w:sz w:val="24"/>
              </w:rPr>
              <w:t>Topic</w:t>
            </w:r>
          </w:p>
        </w:tc>
        <w:tc>
          <w:tcPr>
            <w:tcW w:w="26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AD7A40" w14:textId="77777777" w:rsidR="006646E5" w:rsidRPr="00820C65" w:rsidRDefault="006646E5" w:rsidP="00820C65">
            <w:pPr>
              <w:widowControl/>
              <w:autoSpaceDE/>
              <w:autoSpaceDN/>
              <w:adjustRightInd/>
              <w:jc w:val="center"/>
              <w:rPr>
                <w:sz w:val="24"/>
              </w:rPr>
            </w:pPr>
            <w:r w:rsidRPr="00820C65">
              <w:rPr>
                <w:sz w:val="24"/>
              </w:rPr>
              <w:t>Date/Time Frame</w:t>
            </w:r>
          </w:p>
        </w:tc>
        <w:tc>
          <w:tcPr>
            <w:tcW w:w="2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37C423" w14:textId="77777777" w:rsidR="006646E5" w:rsidRPr="00820C65" w:rsidRDefault="006646E5" w:rsidP="00820C65">
            <w:pPr>
              <w:widowControl/>
              <w:autoSpaceDE/>
              <w:autoSpaceDN/>
              <w:adjustRightInd/>
              <w:jc w:val="center"/>
              <w:rPr>
                <w:sz w:val="24"/>
              </w:rPr>
            </w:pPr>
            <w:r w:rsidRPr="00820C65">
              <w:rPr>
                <w:sz w:val="24"/>
              </w:rPr>
              <w:t>Number of Attendees/Participants</w:t>
            </w:r>
          </w:p>
        </w:tc>
      </w:tr>
      <w:tr w:rsidR="006646E5" w:rsidRPr="00820C65" w14:paraId="2D7A1DFD" w14:textId="77777777" w:rsidTr="0079452E">
        <w:trPr>
          <w:cantSplit/>
        </w:trPr>
        <w:tc>
          <w:tcPr>
            <w:tcW w:w="26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A77F66" w14:textId="77777777" w:rsidR="006646E5" w:rsidRPr="00820C65" w:rsidRDefault="006646E5" w:rsidP="00820C65">
            <w:pPr>
              <w:widowControl/>
              <w:autoSpaceDE/>
              <w:autoSpaceDN/>
              <w:adjustRightInd/>
              <w:rPr>
                <w:sz w:val="24"/>
              </w:rPr>
            </w:pPr>
            <w:r w:rsidRPr="00820C65">
              <w:rPr>
                <w:sz w:val="24"/>
              </w:rPr>
              <w:t>Compliance</w:t>
            </w:r>
          </w:p>
        </w:tc>
        <w:tc>
          <w:tcPr>
            <w:tcW w:w="26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CF65E4" w14:textId="77777777" w:rsidR="006646E5" w:rsidRPr="00820C65" w:rsidRDefault="006646E5" w:rsidP="00820C65">
            <w:pPr>
              <w:widowControl/>
              <w:autoSpaceDE/>
              <w:autoSpaceDN/>
              <w:adjustRightInd/>
              <w:rPr>
                <w:sz w:val="24"/>
              </w:rPr>
            </w:pPr>
            <w:r w:rsidRPr="00820C65">
              <w:rPr>
                <w:sz w:val="24"/>
              </w:rPr>
              <w:t>April 7, 2015</w:t>
            </w:r>
          </w:p>
        </w:tc>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49CA4" w14:textId="77777777" w:rsidR="006646E5" w:rsidRPr="00820C65" w:rsidRDefault="006646E5" w:rsidP="0079452E">
            <w:pPr>
              <w:widowControl/>
              <w:autoSpaceDE/>
              <w:autoSpaceDN/>
              <w:adjustRightInd/>
              <w:jc w:val="center"/>
              <w:rPr>
                <w:sz w:val="24"/>
              </w:rPr>
            </w:pPr>
            <w:r>
              <w:rPr>
                <w:sz w:val="24"/>
              </w:rPr>
              <w:t>5</w:t>
            </w:r>
          </w:p>
        </w:tc>
      </w:tr>
      <w:tr w:rsidR="006646E5" w:rsidRPr="00820C65" w14:paraId="60706D8F" w14:textId="77777777" w:rsidTr="0079452E">
        <w:trPr>
          <w:cantSplit/>
        </w:trPr>
        <w:tc>
          <w:tcPr>
            <w:tcW w:w="26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DD47A8" w14:textId="77777777" w:rsidR="006646E5" w:rsidRPr="00820C65" w:rsidRDefault="006646E5" w:rsidP="00820C65">
            <w:pPr>
              <w:widowControl/>
              <w:autoSpaceDE/>
              <w:autoSpaceDN/>
              <w:adjustRightInd/>
              <w:rPr>
                <w:sz w:val="24"/>
              </w:rPr>
            </w:pPr>
            <w:r w:rsidRPr="00820C65">
              <w:rPr>
                <w:sz w:val="24"/>
              </w:rPr>
              <w:t>Reporting</w:t>
            </w:r>
          </w:p>
        </w:tc>
        <w:tc>
          <w:tcPr>
            <w:tcW w:w="26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12BC38" w14:textId="77777777" w:rsidR="006646E5" w:rsidRPr="00820C65" w:rsidRDefault="006646E5" w:rsidP="00820C65">
            <w:pPr>
              <w:widowControl/>
              <w:autoSpaceDE/>
              <w:autoSpaceDN/>
              <w:adjustRightInd/>
              <w:rPr>
                <w:sz w:val="24"/>
              </w:rPr>
            </w:pPr>
            <w:r w:rsidRPr="00820C65">
              <w:rPr>
                <w:sz w:val="24"/>
              </w:rPr>
              <w:t>May 29 - July 10, 2015</w:t>
            </w:r>
          </w:p>
        </w:tc>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6F0F" w14:textId="77777777" w:rsidR="006646E5" w:rsidRPr="00820C65" w:rsidRDefault="006646E5" w:rsidP="0079452E">
            <w:pPr>
              <w:widowControl/>
              <w:autoSpaceDE/>
              <w:autoSpaceDN/>
              <w:adjustRightInd/>
              <w:jc w:val="center"/>
              <w:rPr>
                <w:sz w:val="24"/>
              </w:rPr>
            </w:pPr>
            <w:r w:rsidRPr="00820C65">
              <w:rPr>
                <w:sz w:val="24"/>
              </w:rPr>
              <w:t>24</w:t>
            </w:r>
          </w:p>
        </w:tc>
      </w:tr>
      <w:tr w:rsidR="006646E5" w:rsidRPr="00820C65" w14:paraId="269CCA63" w14:textId="77777777" w:rsidTr="0079452E">
        <w:trPr>
          <w:cantSplit/>
        </w:trPr>
        <w:tc>
          <w:tcPr>
            <w:tcW w:w="26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28025B" w14:textId="77777777" w:rsidR="006646E5" w:rsidRPr="00820C65" w:rsidRDefault="006646E5" w:rsidP="00820C65">
            <w:pPr>
              <w:widowControl/>
              <w:autoSpaceDE/>
              <w:autoSpaceDN/>
              <w:adjustRightInd/>
              <w:rPr>
                <w:sz w:val="24"/>
              </w:rPr>
            </w:pPr>
            <w:r w:rsidRPr="00820C65">
              <w:rPr>
                <w:sz w:val="24"/>
              </w:rPr>
              <w:t>Report Response Service</w:t>
            </w:r>
          </w:p>
        </w:tc>
        <w:tc>
          <w:tcPr>
            <w:tcW w:w="26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F3D1E" w14:textId="77777777" w:rsidR="006646E5" w:rsidRPr="00820C65" w:rsidRDefault="006646E5" w:rsidP="00820C65">
            <w:pPr>
              <w:widowControl/>
              <w:autoSpaceDE/>
              <w:autoSpaceDN/>
              <w:adjustRightInd/>
              <w:rPr>
                <w:sz w:val="24"/>
              </w:rPr>
            </w:pPr>
            <w:r w:rsidRPr="00820C65">
              <w:rPr>
                <w:sz w:val="24"/>
              </w:rPr>
              <w:t>June 3 - July 24, 2015</w:t>
            </w:r>
          </w:p>
        </w:tc>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087C7D" w14:textId="77777777" w:rsidR="006646E5" w:rsidRPr="00820C65" w:rsidRDefault="006646E5" w:rsidP="0079452E">
            <w:pPr>
              <w:widowControl/>
              <w:autoSpaceDE/>
              <w:autoSpaceDN/>
              <w:adjustRightInd/>
              <w:jc w:val="center"/>
              <w:rPr>
                <w:sz w:val="24"/>
              </w:rPr>
            </w:pPr>
            <w:r w:rsidRPr="00820C65">
              <w:rPr>
                <w:sz w:val="24"/>
              </w:rPr>
              <w:t>8</w:t>
            </w:r>
          </w:p>
        </w:tc>
      </w:tr>
      <w:tr w:rsidR="006646E5" w:rsidRPr="00820C65" w14:paraId="2A029187" w14:textId="77777777" w:rsidTr="0079452E">
        <w:trPr>
          <w:cantSplit/>
        </w:trPr>
        <w:tc>
          <w:tcPr>
            <w:tcW w:w="26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0CFEEB" w14:textId="77777777" w:rsidR="006646E5" w:rsidRPr="00820C65" w:rsidRDefault="006646E5" w:rsidP="00820C65">
            <w:pPr>
              <w:widowControl/>
              <w:autoSpaceDE/>
              <w:autoSpaceDN/>
              <w:adjustRightInd/>
              <w:rPr>
                <w:sz w:val="24"/>
              </w:rPr>
            </w:pPr>
            <w:r w:rsidRPr="00820C65">
              <w:rPr>
                <w:sz w:val="24"/>
              </w:rPr>
              <w:t>Query Responses</w:t>
            </w:r>
          </w:p>
        </w:tc>
        <w:tc>
          <w:tcPr>
            <w:tcW w:w="26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C7E19" w14:textId="77777777" w:rsidR="006646E5" w:rsidRPr="00820C65" w:rsidRDefault="006646E5" w:rsidP="00820C65">
            <w:pPr>
              <w:widowControl/>
              <w:autoSpaceDE/>
              <w:autoSpaceDN/>
              <w:adjustRightInd/>
              <w:rPr>
                <w:sz w:val="24"/>
              </w:rPr>
            </w:pPr>
            <w:r w:rsidRPr="00820C65">
              <w:rPr>
                <w:sz w:val="24"/>
              </w:rPr>
              <w:t>June 17 - July 24, 2015</w:t>
            </w:r>
          </w:p>
        </w:tc>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E612B" w14:textId="77777777" w:rsidR="006646E5" w:rsidRPr="00820C65" w:rsidRDefault="006646E5" w:rsidP="0079452E">
            <w:pPr>
              <w:widowControl/>
              <w:autoSpaceDE/>
              <w:autoSpaceDN/>
              <w:adjustRightInd/>
              <w:jc w:val="center"/>
              <w:rPr>
                <w:sz w:val="24"/>
              </w:rPr>
            </w:pPr>
            <w:r w:rsidRPr="00820C65">
              <w:rPr>
                <w:sz w:val="24"/>
              </w:rPr>
              <w:t>5</w:t>
            </w:r>
          </w:p>
        </w:tc>
      </w:tr>
      <w:tr w:rsidR="006646E5" w:rsidRPr="00820C65" w14:paraId="6D12FCC1" w14:textId="77777777" w:rsidTr="0079452E">
        <w:trPr>
          <w:cantSplit/>
        </w:trPr>
        <w:tc>
          <w:tcPr>
            <w:tcW w:w="26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B8E4" w14:textId="77777777" w:rsidR="006646E5" w:rsidRPr="00820C65" w:rsidRDefault="006646E5" w:rsidP="00820C65">
            <w:pPr>
              <w:widowControl/>
              <w:autoSpaceDE/>
              <w:autoSpaceDN/>
              <w:adjustRightInd/>
              <w:rPr>
                <w:sz w:val="24"/>
              </w:rPr>
            </w:pPr>
            <w:r w:rsidRPr="00820C65">
              <w:rPr>
                <w:sz w:val="24"/>
              </w:rPr>
              <w:t>Health Center Attestation</w:t>
            </w:r>
          </w:p>
        </w:tc>
        <w:tc>
          <w:tcPr>
            <w:tcW w:w="26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2DC4A" w14:textId="77777777" w:rsidR="006646E5" w:rsidRPr="00820C65" w:rsidRDefault="006646E5" w:rsidP="00820C65">
            <w:pPr>
              <w:widowControl/>
              <w:autoSpaceDE/>
              <w:autoSpaceDN/>
              <w:adjustRightInd/>
              <w:rPr>
                <w:sz w:val="24"/>
              </w:rPr>
            </w:pPr>
            <w:r w:rsidRPr="00820C65">
              <w:rPr>
                <w:sz w:val="24"/>
              </w:rPr>
              <w:t>January 12 - February 1, 2016</w:t>
            </w:r>
          </w:p>
        </w:tc>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9FE71" w14:textId="77777777" w:rsidR="006646E5" w:rsidRPr="00820C65" w:rsidRDefault="006646E5" w:rsidP="0079452E">
            <w:pPr>
              <w:widowControl/>
              <w:autoSpaceDE/>
              <w:autoSpaceDN/>
              <w:adjustRightInd/>
              <w:jc w:val="center"/>
              <w:rPr>
                <w:sz w:val="24"/>
              </w:rPr>
            </w:pPr>
            <w:r w:rsidRPr="00820C65">
              <w:rPr>
                <w:sz w:val="24"/>
              </w:rPr>
              <w:t>6</w:t>
            </w:r>
          </w:p>
        </w:tc>
      </w:tr>
      <w:tr w:rsidR="006646E5" w:rsidRPr="00820C65" w14:paraId="42559B8B" w14:textId="77777777" w:rsidTr="0079452E">
        <w:trPr>
          <w:cantSplit/>
        </w:trPr>
        <w:tc>
          <w:tcPr>
            <w:tcW w:w="26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771CD" w14:textId="77777777" w:rsidR="006646E5" w:rsidRPr="00820C65" w:rsidRDefault="006646E5" w:rsidP="00820C65">
            <w:pPr>
              <w:widowControl/>
              <w:autoSpaceDE/>
              <w:autoSpaceDN/>
              <w:adjustRightInd/>
              <w:rPr>
                <w:sz w:val="24"/>
              </w:rPr>
            </w:pPr>
            <w:r w:rsidRPr="00820C65">
              <w:rPr>
                <w:sz w:val="24"/>
              </w:rPr>
              <w:t>Hospital Profile</w:t>
            </w:r>
          </w:p>
        </w:tc>
        <w:tc>
          <w:tcPr>
            <w:tcW w:w="26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57859" w14:textId="77777777" w:rsidR="006646E5" w:rsidRPr="00820C65" w:rsidRDefault="006646E5" w:rsidP="00820C65">
            <w:pPr>
              <w:widowControl/>
              <w:autoSpaceDE/>
              <w:autoSpaceDN/>
              <w:adjustRightInd/>
              <w:rPr>
                <w:sz w:val="24"/>
              </w:rPr>
            </w:pPr>
            <w:r w:rsidRPr="00820C65">
              <w:rPr>
                <w:sz w:val="24"/>
              </w:rPr>
              <w:t>June 9 - 23, 2016</w:t>
            </w:r>
          </w:p>
        </w:tc>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6D4FC" w14:textId="77777777" w:rsidR="006646E5" w:rsidRPr="00820C65" w:rsidRDefault="006646E5" w:rsidP="0079452E">
            <w:pPr>
              <w:widowControl/>
              <w:autoSpaceDE/>
              <w:autoSpaceDN/>
              <w:adjustRightInd/>
              <w:jc w:val="center"/>
              <w:rPr>
                <w:sz w:val="24"/>
              </w:rPr>
            </w:pPr>
            <w:r w:rsidRPr="00820C65">
              <w:rPr>
                <w:sz w:val="24"/>
              </w:rPr>
              <w:t>8</w:t>
            </w:r>
          </w:p>
        </w:tc>
      </w:tr>
      <w:tr w:rsidR="006646E5" w:rsidRPr="00820C65" w14:paraId="5D0A46BD" w14:textId="77777777" w:rsidTr="0079452E">
        <w:trPr>
          <w:cantSplit/>
        </w:trPr>
        <w:tc>
          <w:tcPr>
            <w:tcW w:w="26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3CEEB9" w14:textId="77777777" w:rsidR="006646E5" w:rsidRPr="00820C65" w:rsidRDefault="006646E5" w:rsidP="00820C65">
            <w:pPr>
              <w:widowControl/>
              <w:autoSpaceDE/>
              <w:autoSpaceDN/>
              <w:adjustRightInd/>
              <w:rPr>
                <w:sz w:val="24"/>
              </w:rPr>
            </w:pPr>
            <w:r w:rsidRPr="00820C65">
              <w:rPr>
                <w:sz w:val="24"/>
              </w:rPr>
              <w:t>Entity Registration</w:t>
            </w:r>
          </w:p>
        </w:tc>
        <w:tc>
          <w:tcPr>
            <w:tcW w:w="26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F1721" w14:textId="77777777" w:rsidR="006646E5" w:rsidRPr="00820C65" w:rsidRDefault="006646E5" w:rsidP="00820C65">
            <w:pPr>
              <w:widowControl/>
              <w:autoSpaceDE/>
              <w:autoSpaceDN/>
              <w:adjustRightInd/>
              <w:rPr>
                <w:sz w:val="24"/>
              </w:rPr>
            </w:pPr>
            <w:r w:rsidRPr="00820C65">
              <w:rPr>
                <w:sz w:val="24"/>
              </w:rPr>
              <w:t>April 24 - May 3, 2017</w:t>
            </w:r>
          </w:p>
        </w:tc>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474AB8" w14:textId="77777777" w:rsidR="006646E5" w:rsidRPr="00820C65" w:rsidRDefault="006646E5" w:rsidP="0079452E">
            <w:pPr>
              <w:widowControl/>
              <w:autoSpaceDE/>
              <w:autoSpaceDN/>
              <w:adjustRightInd/>
              <w:jc w:val="center"/>
              <w:rPr>
                <w:sz w:val="24"/>
              </w:rPr>
            </w:pPr>
            <w:r w:rsidRPr="00820C65">
              <w:rPr>
                <w:sz w:val="24"/>
              </w:rPr>
              <w:t>6</w:t>
            </w:r>
          </w:p>
        </w:tc>
      </w:tr>
      <w:tr w:rsidR="00BF6377" w:rsidRPr="00820C65" w14:paraId="657D4799" w14:textId="77777777" w:rsidTr="002272B8">
        <w:trPr>
          <w:cantSplit/>
        </w:trPr>
        <w:tc>
          <w:tcPr>
            <w:tcW w:w="5306"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48AEF4" w14:textId="77777777" w:rsidR="00BF6377" w:rsidRPr="00BF6377" w:rsidRDefault="00BF6377" w:rsidP="00BF6377">
            <w:pPr>
              <w:widowControl/>
              <w:autoSpaceDE/>
              <w:autoSpaceDN/>
              <w:adjustRightInd/>
              <w:ind w:left="4320"/>
              <w:rPr>
                <w:b/>
                <w:sz w:val="24"/>
              </w:rPr>
            </w:pPr>
            <w:r w:rsidRPr="00BF6377">
              <w:rPr>
                <w:b/>
                <w:sz w:val="24"/>
              </w:rPr>
              <w:t>Total</w:t>
            </w:r>
          </w:p>
        </w:tc>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6CAEDD" w14:textId="77777777" w:rsidR="00BF6377" w:rsidRPr="00820C65" w:rsidRDefault="00BF6377" w:rsidP="0079452E">
            <w:pPr>
              <w:widowControl/>
              <w:autoSpaceDE/>
              <w:autoSpaceDN/>
              <w:adjustRightInd/>
              <w:jc w:val="center"/>
              <w:rPr>
                <w:sz w:val="24"/>
              </w:rPr>
            </w:pPr>
            <w:r>
              <w:rPr>
                <w:b/>
                <w:sz w:val="24"/>
              </w:rPr>
              <w:t>62</w:t>
            </w:r>
          </w:p>
        </w:tc>
      </w:tr>
    </w:tbl>
    <w:p w14:paraId="1230A767" w14:textId="77777777" w:rsidR="00BB6A4F" w:rsidRPr="00BB6A4F" w:rsidRDefault="00BB6A4F" w:rsidP="00BB6A4F">
      <w:pPr>
        <w:widowControl/>
        <w:autoSpaceDE/>
        <w:autoSpaceDN/>
        <w:adjustRightInd/>
        <w:spacing w:before="100" w:beforeAutospacing="1" w:after="100" w:afterAutospacing="1"/>
        <w:outlineLvl w:val="3"/>
        <w:rPr>
          <w:sz w:val="24"/>
        </w:rPr>
      </w:pPr>
      <w:r w:rsidRPr="00BB6A4F">
        <w:rPr>
          <w:bCs/>
          <w:sz w:val="24"/>
        </w:rPr>
        <w:t xml:space="preserve">A summary of the comments received are provided below. </w:t>
      </w:r>
    </w:p>
    <w:p w14:paraId="6F92E6B1" w14:textId="77777777" w:rsidR="00820C65" w:rsidRPr="00BB6A4F" w:rsidRDefault="00820C65" w:rsidP="00820C65">
      <w:pPr>
        <w:widowControl/>
        <w:autoSpaceDE/>
        <w:autoSpaceDN/>
        <w:adjustRightInd/>
        <w:spacing w:before="100" w:beforeAutospacing="1" w:after="100" w:afterAutospacing="1"/>
        <w:outlineLvl w:val="3"/>
        <w:rPr>
          <w:b/>
          <w:sz w:val="24"/>
        </w:rPr>
      </w:pPr>
      <w:r w:rsidRPr="00BB6A4F">
        <w:rPr>
          <w:b/>
          <w:sz w:val="24"/>
        </w:rPr>
        <w:t>Suggestions that have been implemented</w:t>
      </w:r>
      <w:r w:rsidR="009B51EF" w:rsidRPr="00BB6A4F">
        <w:rPr>
          <w:b/>
          <w:sz w:val="24"/>
        </w:rPr>
        <w:t>:</w:t>
      </w:r>
    </w:p>
    <w:p w14:paraId="71A9110E" w14:textId="77777777" w:rsidR="00820C65" w:rsidRPr="00820C65" w:rsidRDefault="00820C65" w:rsidP="00436DDA">
      <w:pPr>
        <w:widowControl/>
        <w:numPr>
          <w:ilvl w:val="0"/>
          <w:numId w:val="9"/>
        </w:numPr>
        <w:autoSpaceDE/>
        <w:autoSpaceDN/>
        <w:adjustRightInd/>
        <w:spacing w:before="100" w:beforeAutospacing="1" w:after="100" w:afterAutospacing="1"/>
        <w:rPr>
          <w:sz w:val="24"/>
        </w:rPr>
      </w:pPr>
      <w:r w:rsidRPr="00820C65">
        <w:rPr>
          <w:sz w:val="24"/>
        </w:rPr>
        <w:t>Added display for the number of saved draft reports</w:t>
      </w:r>
    </w:p>
    <w:p w14:paraId="7E00308E" w14:textId="77777777" w:rsidR="00820C65" w:rsidRPr="00820C65" w:rsidRDefault="00820C65" w:rsidP="00436DDA">
      <w:pPr>
        <w:widowControl/>
        <w:numPr>
          <w:ilvl w:val="0"/>
          <w:numId w:val="9"/>
        </w:numPr>
        <w:autoSpaceDE/>
        <w:autoSpaceDN/>
        <w:adjustRightInd/>
        <w:spacing w:before="100" w:beforeAutospacing="1" w:after="100" w:afterAutospacing="1"/>
        <w:rPr>
          <w:sz w:val="24"/>
        </w:rPr>
      </w:pPr>
      <w:r w:rsidRPr="00820C65">
        <w:rPr>
          <w:sz w:val="24"/>
        </w:rPr>
        <w:t>Added functionality to delete a draft report</w:t>
      </w:r>
    </w:p>
    <w:p w14:paraId="6853BC22" w14:textId="77777777" w:rsidR="00820C65" w:rsidRPr="00820C65" w:rsidRDefault="00820C65" w:rsidP="00436DDA">
      <w:pPr>
        <w:widowControl/>
        <w:numPr>
          <w:ilvl w:val="0"/>
          <w:numId w:val="9"/>
        </w:numPr>
        <w:autoSpaceDE/>
        <w:autoSpaceDN/>
        <w:adjustRightInd/>
        <w:spacing w:before="100" w:beforeAutospacing="1" w:after="100" w:afterAutospacing="1"/>
        <w:rPr>
          <w:sz w:val="24"/>
        </w:rPr>
      </w:pPr>
      <w:r w:rsidRPr="00820C65">
        <w:rPr>
          <w:sz w:val="24"/>
        </w:rPr>
        <w:t>Added functionality to print a draft report</w:t>
      </w:r>
    </w:p>
    <w:p w14:paraId="6F654AA0" w14:textId="77777777" w:rsidR="00820C65" w:rsidRPr="00820C65" w:rsidRDefault="00820C65" w:rsidP="00436DDA">
      <w:pPr>
        <w:widowControl/>
        <w:numPr>
          <w:ilvl w:val="0"/>
          <w:numId w:val="9"/>
        </w:numPr>
        <w:autoSpaceDE/>
        <w:autoSpaceDN/>
        <w:adjustRightInd/>
        <w:spacing w:before="100" w:beforeAutospacing="1" w:after="100" w:afterAutospacing="1"/>
        <w:rPr>
          <w:sz w:val="24"/>
        </w:rPr>
      </w:pPr>
      <w:r w:rsidRPr="00820C65">
        <w:rPr>
          <w:sz w:val="24"/>
        </w:rPr>
        <w:t>Hospital profile design released 2017 incorporating enhancements from user evaluations</w:t>
      </w:r>
    </w:p>
    <w:p w14:paraId="1BECDA02" w14:textId="77777777" w:rsidR="00820C65" w:rsidRPr="00820C65" w:rsidRDefault="00820C65" w:rsidP="00436DDA">
      <w:pPr>
        <w:widowControl/>
        <w:numPr>
          <w:ilvl w:val="0"/>
          <w:numId w:val="9"/>
        </w:numPr>
        <w:autoSpaceDE/>
        <w:autoSpaceDN/>
        <w:adjustRightInd/>
        <w:spacing w:before="100" w:beforeAutospacing="1" w:after="100" w:afterAutospacing="1"/>
        <w:rPr>
          <w:sz w:val="24"/>
        </w:rPr>
      </w:pPr>
      <w:r w:rsidRPr="00820C65">
        <w:rPr>
          <w:sz w:val="24"/>
        </w:rPr>
        <w:t>Changed font treatment for report narratives from block case to mixed case</w:t>
      </w:r>
    </w:p>
    <w:p w14:paraId="68743832" w14:textId="77777777" w:rsidR="00820C65" w:rsidRPr="00820C65" w:rsidRDefault="00820C65" w:rsidP="00436DDA">
      <w:pPr>
        <w:widowControl/>
        <w:numPr>
          <w:ilvl w:val="0"/>
          <w:numId w:val="9"/>
        </w:numPr>
        <w:autoSpaceDE/>
        <w:autoSpaceDN/>
        <w:adjustRightInd/>
        <w:spacing w:before="100" w:beforeAutospacing="1" w:after="100" w:afterAutospacing="1"/>
        <w:rPr>
          <w:sz w:val="24"/>
        </w:rPr>
      </w:pPr>
      <w:r w:rsidRPr="00820C65">
        <w:rPr>
          <w:sz w:val="24"/>
        </w:rPr>
        <w:t>Added display of "Not provided" to indicate information that was not collected (e.g.</w:t>
      </w:r>
      <w:r w:rsidR="00154AAA">
        <w:rPr>
          <w:sz w:val="24"/>
        </w:rPr>
        <w:t>,</w:t>
      </w:r>
      <w:r w:rsidRPr="00820C65">
        <w:rPr>
          <w:sz w:val="24"/>
        </w:rPr>
        <w:t xml:space="preserve"> blank text entry form fields)</w:t>
      </w:r>
    </w:p>
    <w:p w14:paraId="4D9CBC37" w14:textId="77777777" w:rsidR="00820C65" w:rsidRPr="00820C65" w:rsidRDefault="00820C65" w:rsidP="00436DDA">
      <w:pPr>
        <w:widowControl/>
        <w:numPr>
          <w:ilvl w:val="0"/>
          <w:numId w:val="9"/>
        </w:numPr>
        <w:autoSpaceDE/>
        <w:autoSpaceDN/>
        <w:adjustRightInd/>
        <w:spacing w:before="100" w:beforeAutospacing="1" w:after="100" w:afterAutospacing="1"/>
        <w:rPr>
          <w:sz w:val="24"/>
        </w:rPr>
      </w:pPr>
      <w:r w:rsidRPr="00820C65">
        <w:rPr>
          <w:sz w:val="24"/>
        </w:rPr>
        <w:t>Added SMS 2nd factor authentication to allow credentials recovery for user accounts</w:t>
      </w:r>
    </w:p>
    <w:p w14:paraId="10ED72F5" w14:textId="77777777" w:rsidR="00820C65" w:rsidRPr="00820C65" w:rsidRDefault="00820C65" w:rsidP="00436DDA">
      <w:pPr>
        <w:widowControl/>
        <w:numPr>
          <w:ilvl w:val="0"/>
          <w:numId w:val="9"/>
        </w:numPr>
        <w:autoSpaceDE/>
        <w:autoSpaceDN/>
        <w:adjustRightInd/>
        <w:spacing w:before="100" w:beforeAutospacing="1" w:after="100" w:afterAutospacing="1"/>
        <w:rPr>
          <w:sz w:val="24"/>
        </w:rPr>
      </w:pPr>
      <w:r w:rsidRPr="00820C65">
        <w:rPr>
          <w:sz w:val="24"/>
        </w:rPr>
        <w:t>Prevent previous actions from carrying over to Revision to Actions</w:t>
      </w:r>
    </w:p>
    <w:p w14:paraId="005FE6D7" w14:textId="77777777" w:rsidR="00820C65" w:rsidRPr="00820C65" w:rsidRDefault="00820C65" w:rsidP="00436DDA">
      <w:pPr>
        <w:widowControl/>
        <w:numPr>
          <w:ilvl w:val="0"/>
          <w:numId w:val="9"/>
        </w:numPr>
        <w:autoSpaceDE/>
        <w:autoSpaceDN/>
        <w:adjustRightInd/>
        <w:spacing w:before="100" w:beforeAutospacing="1" w:after="100" w:afterAutospacing="1"/>
        <w:rPr>
          <w:sz w:val="24"/>
        </w:rPr>
      </w:pPr>
      <w:r w:rsidRPr="00820C65">
        <w:rPr>
          <w:sz w:val="24"/>
        </w:rPr>
        <w:t>Implemented Tiny Moxiecode Content Editor (MCE) to make it easier to copy and paste content from MS Word to report form narrative text entries</w:t>
      </w:r>
    </w:p>
    <w:p w14:paraId="7A2784AB" w14:textId="77777777" w:rsidR="00820C65" w:rsidRPr="00BB6A4F" w:rsidRDefault="00820C65" w:rsidP="00820C65">
      <w:pPr>
        <w:widowControl/>
        <w:autoSpaceDE/>
        <w:autoSpaceDN/>
        <w:adjustRightInd/>
        <w:spacing w:before="100" w:beforeAutospacing="1" w:after="100" w:afterAutospacing="1"/>
        <w:outlineLvl w:val="3"/>
        <w:rPr>
          <w:b/>
          <w:sz w:val="24"/>
        </w:rPr>
      </w:pPr>
      <w:r w:rsidRPr="00BB6A4F">
        <w:rPr>
          <w:b/>
          <w:sz w:val="24"/>
        </w:rPr>
        <w:t>Suggestions that have been prioritized for future system enhancements</w:t>
      </w:r>
      <w:r w:rsidR="009B51EF" w:rsidRPr="00BB6A4F">
        <w:rPr>
          <w:b/>
          <w:sz w:val="24"/>
        </w:rPr>
        <w:t>:</w:t>
      </w:r>
    </w:p>
    <w:p w14:paraId="591987A9"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Streamline reporting workflow</w:t>
      </w:r>
    </w:p>
    <w:p w14:paraId="43764A11"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Redesign and simplify report documents for increased readability</w:t>
      </w:r>
    </w:p>
    <w:p w14:paraId="2C0448B1"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Streamline and simplify identity proofing documents</w:t>
      </w:r>
    </w:p>
    <w:p w14:paraId="3B6571F6"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Increase functionality to store a draft report</w:t>
      </w:r>
    </w:p>
    <w:p w14:paraId="3DD1C508"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Enhance search for subjects to include prior reports and queries  to reuse data elements</w:t>
      </w:r>
    </w:p>
    <w:p w14:paraId="33809581"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Evaluate forms for opportunities to remove or consolidate data collection elements</w:t>
      </w:r>
    </w:p>
    <w:p w14:paraId="66F44848"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Enhance autocomplete/autosuggest for elements with selections &gt; 10</w:t>
      </w:r>
    </w:p>
    <w:p w14:paraId="4485EADE"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Indicate form elements that are mandatory for form completion</w:t>
      </w:r>
    </w:p>
    <w:p w14:paraId="60901206"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Enhance report response service and self-query to allow SMS 2nd factor authentication</w:t>
      </w:r>
    </w:p>
    <w:p w14:paraId="1210660C"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Enhance forms to allow users to clearly specify data they do not have</w:t>
      </w:r>
    </w:p>
    <w:p w14:paraId="1A27831F"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Enhance functionality to allow continuous monitoring for practitioners (continuous Self-Query)</w:t>
      </w:r>
    </w:p>
    <w:p w14:paraId="78DE0EE8"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Add option to opt out of paper Subject Notification Document by the subject</w:t>
      </w:r>
    </w:p>
    <w:p w14:paraId="79EEC187"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Allow single sign-in for report response for practitioners with multiple reports (e.g. create a unique user name or use primary email address)</w:t>
      </w:r>
    </w:p>
    <w:p w14:paraId="578363EF"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Streamline initial entity registration and renewal workflow</w:t>
      </w:r>
    </w:p>
    <w:p w14:paraId="669DA675"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Streamline and simplify content and form element labels to support plain language initiative</w:t>
      </w:r>
    </w:p>
    <w:p w14:paraId="4907C027"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Add a review summaries to report submission and registration workflows</w:t>
      </w:r>
    </w:p>
    <w:p w14:paraId="4963765A"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Clarify and simplify verbiage regarding definitions that are NPDB's "terms of art"</w:t>
      </w:r>
    </w:p>
    <w:p w14:paraId="07C040E7"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Add more contextual help on all forms</w:t>
      </w:r>
    </w:p>
    <w:p w14:paraId="7586881A" w14:textId="77777777" w:rsidR="00820C65" w:rsidRPr="00820C65" w:rsidRDefault="00820C65" w:rsidP="00436DDA">
      <w:pPr>
        <w:widowControl/>
        <w:numPr>
          <w:ilvl w:val="0"/>
          <w:numId w:val="10"/>
        </w:numPr>
        <w:autoSpaceDE/>
        <w:autoSpaceDN/>
        <w:adjustRightInd/>
        <w:spacing w:before="100" w:beforeAutospacing="1" w:after="100" w:afterAutospacing="1"/>
        <w:rPr>
          <w:sz w:val="24"/>
        </w:rPr>
      </w:pPr>
      <w:r w:rsidRPr="00820C65">
        <w:rPr>
          <w:sz w:val="24"/>
        </w:rPr>
        <w:t>Streamline forms to hide elements that are used infrequently</w:t>
      </w:r>
    </w:p>
    <w:p w14:paraId="45203166" w14:textId="77777777" w:rsidR="005574E9" w:rsidRPr="00BB6A4F" w:rsidRDefault="00820C65" w:rsidP="00436DDA">
      <w:pPr>
        <w:widowControl/>
        <w:numPr>
          <w:ilvl w:val="0"/>
          <w:numId w:val="10"/>
        </w:numPr>
        <w:autoSpaceDE/>
        <w:autoSpaceDN/>
        <w:adjustRightInd/>
        <w:spacing w:before="100" w:beforeAutospacing="1" w:after="100" w:afterAutospacing="1"/>
        <w:rPr>
          <w:sz w:val="24"/>
        </w:rPr>
      </w:pPr>
      <w:r w:rsidRPr="00820C65">
        <w:rPr>
          <w:sz w:val="24"/>
        </w:rPr>
        <w:t>Increase opportunities for paperless transactions</w:t>
      </w:r>
    </w:p>
    <w:p w14:paraId="7F13FBE1" w14:textId="77777777" w:rsidR="009B3794" w:rsidRPr="00113343" w:rsidRDefault="009B3794" w:rsidP="00113343">
      <w:pPr>
        <w:pStyle w:val="frn"/>
        <w:numPr>
          <w:ilvl w:val="0"/>
          <w:numId w:val="1"/>
        </w:numPr>
        <w:outlineLvl w:val="0"/>
      </w:pPr>
      <w:bookmarkStart w:id="10" w:name="_Toc496878841"/>
      <w:r w:rsidRPr="00113343">
        <w:t>Explanation of any Payment/Gift to Respondents</w:t>
      </w:r>
      <w:bookmarkEnd w:id="10"/>
    </w:p>
    <w:p w14:paraId="3CB2E12C" w14:textId="77777777" w:rsidR="00935E77" w:rsidRPr="001F006B" w:rsidRDefault="00935E77" w:rsidP="000A39C4">
      <w:pPr>
        <w:spacing w:before="120"/>
        <w:rPr>
          <w:sz w:val="24"/>
        </w:rPr>
      </w:pPr>
      <w:r w:rsidRPr="001F006B">
        <w:rPr>
          <w:sz w:val="24"/>
        </w:rPr>
        <w:t xml:space="preserve">Respondents will not receive </w:t>
      </w:r>
      <w:r w:rsidR="008B04CA" w:rsidRPr="001F006B">
        <w:rPr>
          <w:sz w:val="24"/>
        </w:rPr>
        <w:t xml:space="preserve">any </w:t>
      </w:r>
      <w:r w:rsidRPr="001F006B">
        <w:rPr>
          <w:sz w:val="24"/>
        </w:rPr>
        <w:t>payment</w:t>
      </w:r>
      <w:r w:rsidR="008B04CA" w:rsidRPr="001F006B">
        <w:rPr>
          <w:sz w:val="24"/>
        </w:rPr>
        <w:t>s</w:t>
      </w:r>
      <w:r w:rsidR="000A39C4" w:rsidRPr="001F006B">
        <w:rPr>
          <w:sz w:val="24"/>
        </w:rPr>
        <w:t xml:space="preserve"> or gifts.</w:t>
      </w:r>
    </w:p>
    <w:p w14:paraId="35752755" w14:textId="77777777" w:rsidR="009B3794" w:rsidRPr="00113343" w:rsidRDefault="009B3794" w:rsidP="00113343">
      <w:pPr>
        <w:pStyle w:val="frn"/>
        <w:numPr>
          <w:ilvl w:val="0"/>
          <w:numId w:val="1"/>
        </w:numPr>
        <w:outlineLvl w:val="0"/>
      </w:pPr>
      <w:bookmarkStart w:id="11" w:name="_Toc496878842"/>
      <w:r w:rsidRPr="00113343">
        <w:t>Assurance of Confidentiality Provided to Respondents</w:t>
      </w:r>
      <w:bookmarkEnd w:id="11"/>
    </w:p>
    <w:p w14:paraId="6A72B341" w14:textId="4FFDA2C2" w:rsidR="00872529" w:rsidRDefault="004338DC" w:rsidP="00872529">
      <w:pPr>
        <w:widowControl/>
        <w:spacing w:before="120"/>
        <w:rPr>
          <w:rFonts w:ascii="Arial" w:hAnsi="Arial" w:cs="Arial"/>
          <w:color w:val="000000"/>
          <w:sz w:val="22"/>
          <w:szCs w:val="22"/>
          <w:shd w:val="clear" w:color="auto" w:fill="FFFFFF"/>
        </w:rPr>
      </w:pPr>
      <w:r w:rsidRPr="004338DC">
        <w:rPr>
          <w:sz w:val="24"/>
        </w:rPr>
        <w:t xml:space="preserve">45 CFR </w:t>
      </w:r>
      <w:r w:rsidR="00172FDC">
        <w:rPr>
          <w:sz w:val="24"/>
        </w:rPr>
        <w:t>Section</w:t>
      </w:r>
      <w:r w:rsidR="00172FDC" w:rsidRPr="00872529">
        <w:rPr>
          <w:sz w:val="24"/>
        </w:rPr>
        <w:t xml:space="preserve"> </w:t>
      </w:r>
      <w:r w:rsidR="00872529" w:rsidRPr="00872529">
        <w:rPr>
          <w:sz w:val="24"/>
        </w:rPr>
        <w:t xml:space="preserve">60.20 provides information on the confidentiality of the NPDB. Information reported to the NPDB is considered confidential and shall not </w:t>
      </w:r>
      <w:r w:rsidR="00881E90">
        <w:rPr>
          <w:sz w:val="24"/>
        </w:rPr>
        <w:t>be disclosed outside of HHS</w:t>
      </w:r>
      <w:r w:rsidR="00872529" w:rsidRPr="00872529">
        <w:rPr>
          <w:sz w:val="24"/>
        </w:rPr>
        <w:t xml:space="preserve">, except as specified in </w:t>
      </w:r>
      <w:r w:rsidR="00172FDC">
        <w:rPr>
          <w:sz w:val="24"/>
        </w:rPr>
        <w:t>Sections</w:t>
      </w:r>
      <w:r w:rsidR="00172FDC" w:rsidRPr="00872529">
        <w:rPr>
          <w:sz w:val="24"/>
        </w:rPr>
        <w:t xml:space="preserve"> </w:t>
      </w:r>
      <w:r w:rsidR="00872529" w:rsidRPr="00872529">
        <w:rPr>
          <w:sz w:val="24"/>
        </w:rPr>
        <w:t>60.17, 60.18, and 60.21. Persons and entities receiving information from the NPDB, either directly or from another party, must use it solely with respect to the purpose for which it was provided. Nothing in this section will prevent the disclosure of information by a party from its own files used to create such reports where disclosure is otherwise authorized under applicable State or Federal law. Any person who violates NPDB confidentiality shall be subject to a civil money penalty</w:t>
      </w:r>
      <w:r w:rsidR="00A657CD">
        <w:rPr>
          <w:sz w:val="24"/>
        </w:rPr>
        <w:t>.</w:t>
      </w:r>
      <w:r w:rsidR="00872529" w:rsidRPr="00872529">
        <w:rPr>
          <w:sz w:val="24"/>
        </w:rPr>
        <w:t xml:space="preserve"> This penalty will be imposed pursuant to procedures at 42 CFR Part 1003.</w:t>
      </w:r>
      <w:r w:rsidR="00A657CD">
        <w:rPr>
          <w:sz w:val="24"/>
        </w:rPr>
        <w:t xml:space="preserve"> </w:t>
      </w:r>
      <w:r w:rsidR="00A657CD" w:rsidRPr="00A657CD">
        <w:rPr>
          <w:sz w:val="24"/>
        </w:rPr>
        <w:t>T</w:t>
      </w:r>
      <w:r w:rsidR="00A657CD" w:rsidRPr="00A657CD">
        <w:rPr>
          <w:color w:val="000000"/>
          <w:sz w:val="24"/>
          <w:shd w:val="clear" w:color="auto" w:fill="FFFFFF"/>
        </w:rPr>
        <w:t xml:space="preserve">he penalty amounts in this section are adjusted for inflation annually. Adjusted amounts are published at 45 CFR </w:t>
      </w:r>
      <w:r w:rsidR="00245F93">
        <w:rPr>
          <w:color w:val="000000"/>
          <w:sz w:val="24"/>
          <w:shd w:val="clear" w:color="auto" w:fill="FFFFFF"/>
        </w:rPr>
        <w:t>P</w:t>
      </w:r>
      <w:r w:rsidR="00A657CD" w:rsidRPr="00A657CD">
        <w:rPr>
          <w:color w:val="000000"/>
          <w:sz w:val="24"/>
          <w:shd w:val="clear" w:color="auto" w:fill="FFFFFF"/>
        </w:rPr>
        <w:t>art 102.</w:t>
      </w:r>
      <w:r w:rsidR="00A0124E">
        <w:rPr>
          <w:color w:val="000000"/>
          <w:sz w:val="24"/>
          <w:shd w:val="clear" w:color="auto" w:fill="FFFFFF"/>
        </w:rPr>
        <w:t xml:space="preserve"> The NPDB has system of record notice number</w:t>
      </w:r>
      <w:r w:rsidR="00A0124E">
        <w:rPr>
          <w:rFonts w:ascii="Arial" w:hAnsi="Arial" w:cs="Arial"/>
          <w:b/>
          <w:bCs/>
          <w:color w:val="000000"/>
          <w:sz w:val="22"/>
          <w:szCs w:val="22"/>
          <w:bdr w:val="none" w:sz="0" w:space="0" w:color="auto" w:frame="1"/>
          <w:shd w:val="clear" w:color="auto" w:fill="FFFFFF"/>
        </w:rPr>
        <w:t> </w:t>
      </w:r>
      <w:r w:rsidR="00A0124E" w:rsidRPr="00B96919">
        <w:rPr>
          <w:color w:val="000000"/>
          <w:sz w:val="24"/>
          <w:shd w:val="clear" w:color="auto" w:fill="FFFFFF"/>
        </w:rPr>
        <w:t>09-15-0054</w:t>
      </w:r>
      <w:r w:rsidR="00A0124E">
        <w:rPr>
          <w:rFonts w:ascii="Arial" w:hAnsi="Arial" w:cs="Arial"/>
          <w:color w:val="000000"/>
          <w:sz w:val="22"/>
          <w:szCs w:val="22"/>
          <w:shd w:val="clear" w:color="auto" w:fill="FFFFFF"/>
        </w:rPr>
        <w:t xml:space="preserve"> (</w:t>
      </w:r>
      <w:hyperlink r:id="rId22" w:history="1">
        <w:r w:rsidR="00A0124E" w:rsidRPr="00AD5517">
          <w:rPr>
            <w:rStyle w:val="Hyperlink"/>
            <w:rFonts w:ascii="Arial" w:hAnsi="Arial" w:cs="Arial"/>
            <w:sz w:val="22"/>
            <w:szCs w:val="22"/>
            <w:shd w:val="clear" w:color="auto" w:fill="FFFFFF"/>
          </w:rPr>
          <w:t>https://www.hrsa.gov/about/privacy-act/09-15-0054.html</w:t>
        </w:r>
      </w:hyperlink>
      <w:r w:rsidR="00A0124E">
        <w:rPr>
          <w:rFonts w:ascii="Arial" w:hAnsi="Arial" w:cs="Arial"/>
          <w:color w:val="000000"/>
          <w:sz w:val="22"/>
          <w:szCs w:val="22"/>
          <w:shd w:val="clear" w:color="auto" w:fill="FFFFFF"/>
        </w:rPr>
        <w:t>).</w:t>
      </w:r>
    </w:p>
    <w:p w14:paraId="5059C8A3" w14:textId="631BCDCE" w:rsidR="00F611A3" w:rsidRDefault="00F611A3" w:rsidP="00872529">
      <w:pPr>
        <w:widowControl/>
        <w:spacing w:before="120"/>
        <w:rPr>
          <w:rFonts w:ascii="Arial" w:hAnsi="Arial" w:cs="Arial"/>
          <w:color w:val="000000"/>
          <w:sz w:val="22"/>
          <w:szCs w:val="22"/>
          <w:shd w:val="clear" w:color="auto" w:fill="FFFFFF"/>
        </w:rPr>
      </w:pPr>
    </w:p>
    <w:p w14:paraId="3CB341B6" w14:textId="77777777" w:rsidR="00F611A3" w:rsidRDefault="00F611A3" w:rsidP="00872529">
      <w:pPr>
        <w:widowControl/>
        <w:spacing w:before="120"/>
        <w:rPr>
          <w:sz w:val="24"/>
        </w:rPr>
      </w:pPr>
    </w:p>
    <w:p w14:paraId="4D53BA7A" w14:textId="77777777" w:rsidR="009B3794" w:rsidRPr="00113343" w:rsidRDefault="009B3794" w:rsidP="00113343">
      <w:pPr>
        <w:pStyle w:val="frn"/>
        <w:numPr>
          <w:ilvl w:val="0"/>
          <w:numId w:val="1"/>
        </w:numPr>
        <w:outlineLvl w:val="0"/>
      </w:pPr>
      <w:bookmarkStart w:id="12" w:name="_Toc496878843"/>
      <w:r w:rsidRPr="00113343">
        <w:t>Justification for Sensitive Questions</w:t>
      </w:r>
      <w:bookmarkEnd w:id="12"/>
    </w:p>
    <w:p w14:paraId="2025A972" w14:textId="77777777" w:rsidR="000A39C4" w:rsidRPr="001F006B" w:rsidRDefault="000A39C4" w:rsidP="009064A2">
      <w:pPr>
        <w:widowControl/>
        <w:spacing w:before="120"/>
        <w:rPr>
          <w:sz w:val="24"/>
        </w:rPr>
      </w:pPr>
    </w:p>
    <w:p w14:paraId="5FE24D0F" w14:textId="77777777" w:rsidR="000A39C4" w:rsidRPr="001F006B" w:rsidRDefault="000A39C4" w:rsidP="000A39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sz w:val="24"/>
        </w:rPr>
      </w:pPr>
      <w:r w:rsidRPr="001F006B">
        <w:rPr>
          <w:sz w:val="24"/>
        </w:rPr>
        <w:t xml:space="preserve">The purpose of HCQIA is to facilitate the exchange of information on medical malpractice payments, licensure disciplinary actions and adverse actions on clinical privileges, information that by its nature may be considered sensitive.  The questions on these forms that solicit sensitive information result from requirements of HCQIA and are necessary to achieve its purposes.  Collection of the Social Security Number </w:t>
      </w:r>
      <w:r w:rsidR="009B23FA">
        <w:rPr>
          <w:sz w:val="24"/>
        </w:rPr>
        <w:t xml:space="preserve">(SSN) </w:t>
      </w:r>
      <w:r w:rsidRPr="001F006B">
        <w:rPr>
          <w:sz w:val="24"/>
        </w:rPr>
        <w:t xml:space="preserve">of report subjects will take place only in accordance with </w:t>
      </w:r>
      <w:r w:rsidR="005F470F">
        <w:rPr>
          <w:sz w:val="24"/>
        </w:rPr>
        <w:t>S</w:t>
      </w:r>
      <w:r w:rsidRPr="001F006B">
        <w:rPr>
          <w:sz w:val="24"/>
        </w:rPr>
        <w:t xml:space="preserve">ection 7 of the Privacy Act.  The </w:t>
      </w:r>
      <w:r w:rsidR="009B23FA">
        <w:rPr>
          <w:sz w:val="24"/>
        </w:rPr>
        <w:t>SSN</w:t>
      </w:r>
      <w:r w:rsidRPr="001F006B">
        <w:rPr>
          <w:sz w:val="24"/>
        </w:rPr>
        <w:t xml:space="preserve"> will be used as an identifier to distinguish among practitioners with similar names. </w:t>
      </w:r>
    </w:p>
    <w:p w14:paraId="07B31FB4" w14:textId="77777777" w:rsidR="000A39C4" w:rsidRPr="001F006B" w:rsidRDefault="000A39C4" w:rsidP="000A39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sz w:val="24"/>
        </w:rPr>
      </w:pPr>
    </w:p>
    <w:p w14:paraId="7DD3FB67" w14:textId="77777777" w:rsidR="00B050B2" w:rsidRDefault="000A39C4" w:rsidP="000A39C4">
      <w:pPr>
        <w:widowControl/>
        <w:rPr>
          <w:sz w:val="24"/>
        </w:rPr>
      </w:pPr>
      <w:r w:rsidRPr="001F006B">
        <w:rPr>
          <w:sz w:val="24"/>
        </w:rPr>
        <w:t xml:space="preserve">The purpose of </w:t>
      </w:r>
      <w:r w:rsidR="005F470F">
        <w:rPr>
          <w:sz w:val="24"/>
        </w:rPr>
        <w:t>S</w:t>
      </w:r>
      <w:r w:rsidRPr="001F006B">
        <w:rPr>
          <w:sz w:val="24"/>
        </w:rPr>
        <w:t>ection 1128E is to facilitate the exchange of health care fraud-related information among law enforcement agencies, regulatory a</w:t>
      </w:r>
      <w:r w:rsidR="00B050B2">
        <w:rPr>
          <w:sz w:val="24"/>
        </w:rPr>
        <w:t xml:space="preserve">gencies, and health plans.  </w:t>
      </w:r>
    </w:p>
    <w:p w14:paraId="48609567" w14:textId="0FEA2F25" w:rsidR="001025F0" w:rsidRDefault="00B050B2" w:rsidP="000A39C4">
      <w:pPr>
        <w:widowControl/>
        <w:rPr>
          <w:sz w:val="24"/>
        </w:rPr>
      </w:pPr>
      <w:r>
        <w:rPr>
          <w:sz w:val="24"/>
        </w:rPr>
        <w:t>HHS</w:t>
      </w:r>
      <w:r w:rsidR="000A39C4" w:rsidRPr="001F006B">
        <w:rPr>
          <w:sz w:val="24"/>
        </w:rPr>
        <w:t xml:space="preserve"> has determined that the reporting of </w:t>
      </w:r>
      <w:r w:rsidR="00260AE0">
        <w:rPr>
          <w:sz w:val="24"/>
        </w:rPr>
        <w:t>SSN</w:t>
      </w:r>
      <w:r w:rsidR="000A39C4" w:rsidRPr="001F006B">
        <w:rPr>
          <w:sz w:val="24"/>
        </w:rPr>
        <w:t xml:space="preserve"> and/or Federal Employer Identification Numbers is mandatory to differentiate between health care providers, suppliers and practitioners with similar names.  However, </w:t>
      </w:r>
      <w:r>
        <w:rPr>
          <w:sz w:val="24"/>
        </w:rPr>
        <w:t>HHS</w:t>
      </w:r>
      <w:r w:rsidR="000A39C4" w:rsidRPr="001F006B">
        <w:rPr>
          <w:sz w:val="24"/>
        </w:rPr>
        <w:t xml:space="preserve"> discloses these numbers only to individuals or organizations permitted by the statute to obtain such information from the </w:t>
      </w:r>
      <w:r w:rsidR="00EE68C2">
        <w:rPr>
          <w:sz w:val="24"/>
        </w:rPr>
        <w:t>NPDB.</w:t>
      </w:r>
    </w:p>
    <w:p w14:paraId="261F4F5F" w14:textId="0590DF38" w:rsidR="00F611A3" w:rsidRDefault="00F611A3" w:rsidP="000A39C4">
      <w:pPr>
        <w:widowControl/>
        <w:rPr>
          <w:sz w:val="24"/>
        </w:rPr>
      </w:pPr>
    </w:p>
    <w:p w14:paraId="21D01294" w14:textId="77777777" w:rsidR="00F611A3" w:rsidRPr="001F006B" w:rsidRDefault="00F611A3" w:rsidP="000A39C4">
      <w:pPr>
        <w:widowControl/>
        <w:rPr>
          <w:sz w:val="24"/>
        </w:rPr>
      </w:pPr>
    </w:p>
    <w:p w14:paraId="3C507B57" w14:textId="77777777" w:rsidR="00306287" w:rsidRPr="001F006B" w:rsidRDefault="00306287" w:rsidP="00306287">
      <w:pPr>
        <w:rPr>
          <w:sz w:val="24"/>
        </w:rPr>
      </w:pPr>
    </w:p>
    <w:p w14:paraId="76989A29" w14:textId="77777777" w:rsidR="00306287" w:rsidRPr="001F006B" w:rsidRDefault="00123CAA" w:rsidP="00113343">
      <w:pPr>
        <w:pStyle w:val="frn"/>
        <w:numPr>
          <w:ilvl w:val="0"/>
          <w:numId w:val="1"/>
        </w:numPr>
        <w:outlineLvl w:val="0"/>
        <w:rPr>
          <w:b w:val="0"/>
        </w:rPr>
      </w:pPr>
      <w:bookmarkStart w:id="13" w:name="_Toc496878844"/>
      <w:r>
        <w:t>Estimates of</w:t>
      </w:r>
      <w:r w:rsidR="00306287" w:rsidRPr="00113343">
        <w:t xml:space="preserve"> Annualized</w:t>
      </w:r>
      <w:r>
        <w:t xml:space="preserve"> Hour and Cost Burden</w:t>
      </w:r>
      <w:bookmarkEnd w:id="13"/>
      <w:r>
        <w:t xml:space="preserve"> </w:t>
      </w:r>
      <w:r w:rsidR="00306287" w:rsidRPr="00113343">
        <w:rPr>
          <w:b w:val="0"/>
        </w:rPr>
        <w:br/>
      </w:r>
    </w:p>
    <w:p w14:paraId="575F03C4" w14:textId="48C8A87A" w:rsidR="00EE68C2" w:rsidRDefault="00EE68C2" w:rsidP="00EE68C2">
      <w:pPr>
        <w:spacing w:before="120"/>
        <w:rPr>
          <w:sz w:val="24"/>
        </w:rPr>
      </w:pPr>
      <w:bookmarkStart w:id="14" w:name="Table6BurdenHours"/>
      <w:r>
        <w:rPr>
          <w:sz w:val="24"/>
        </w:rPr>
        <w:t xml:space="preserve">This section summarizes the total burden hours for information collection and the cost associated with those hours. Table </w:t>
      </w:r>
      <w:r w:rsidR="00B242E9">
        <w:rPr>
          <w:sz w:val="24"/>
        </w:rPr>
        <w:t>2</w:t>
      </w:r>
      <w:r>
        <w:rPr>
          <w:sz w:val="24"/>
        </w:rPr>
        <w:t xml:space="preserve"> provides the estimated annualized burden hours and Table </w:t>
      </w:r>
      <w:r w:rsidR="00B242E9">
        <w:rPr>
          <w:sz w:val="24"/>
        </w:rPr>
        <w:t>3</w:t>
      </w:r>
      <w:r>
        <w:rPr>
          <w:sz w:val="24"/>
        </w:rPr>
        <w:t xml:space="preserve"> provides the estimated annualized cost burden. Note that</w:t>
      </w:r>
      <w:r w:rsidRPr="0020464A">
        <w:rPr>
          <w:sz w:val="24"/>
        </w:rPr>
        <w:t xml:space="preserve"> </w:t>
      </w:r>
      <w:r>
        <w:rPr>
          <w:sz w:val="24"/>
        </w:rPr>
        <w:t>the “</w:t>
      </w:r>
      <w:r w:rsidRPr="0020464A">
        <w:rPr>
          <w:sz w:val="24"/>
        </w:rPr>
        <w:t xml:space="preserve">number of </w:t>
      </w:r>
      <w:r>
        <w:rPr>
          <w:sz w:val="24"/>
        </w:rPr>
        <w:t>respondents”</w:t>
      </w:r>
      <w:r w:rsidRPr="0020464A">
        <w:rPr>
          <w:sz w:val="24"/>
        </w:rPr>
        <w:t xml:space="preserve"> </w:t>
      </w:r>
      <w:r>
        <w:rPr>
          <w:sz w:val="24"/>
        </w:rPr>
        <w:t xml:space="preserve">in Table </w:t>
      </w:r>
      <w:r w:rsidR="00B242E9">
        <w:rPr>
          <w:sz w:val="24"/>
        </w:rPr>
        <w:t>2</w:t>
      </w:r>
      <w:r>
        <w:rPr>
          <w:sz w:val="24"/>
        </w:rPr>
        <w:t xml:space="preserve"> includes IQRS users </w:t>
      </w:r>
      <w:r w:rsidRPr="0020464A">
        <w:rPr>
          <w:sz w:val="24"/>
        </w:rPr>
        <w:t xml:space="preserve">who </w:t>
      </w:r>
      <w:r>
        <w:rPr>
          <w:sz w:val="24"/>
        </w:rPr>
        <w:t xml:space="preserve">will manually complete the </w:t>
      </w:r>
      <w:r w:rsidRPr="0020464A">
        <w:rPr>
          <w:sz w:val="24"/>
        </w:rPr>
        <w:t>form</w:t>
      </w:r>
      <w:r w:rsidR="00FF5861">
        <w:rPr>
          <w:sz w:val="24"/>
        </w:rPr>
        <w:t>s available on the NPDB website and e</w:t>
      </w:r>
      <w:r w:rsidRPr="0020464A">
        <w:rPr>
          <w:sz w:val="24"/>
        </w:rPr>
        <w:t>ntities that use</w:t>
      </w:r>
      <w:r w:rsidR="00E03327">
        <w:rPr>
          <w:sz w:val="24"/>
        </w:rPr>
        <w:t xml:space="preserve"> Querying and Reporting XML Service</w:t>
      </w:r>
      <w:r w:rsidRPr="0020464A">
        <w:rPr>
          <w:sz w:val="24"/>
        </w:rPr>
        <w:t xml:space="preserve"> </w:t>
      </w:r>
      <w:r w:rsidR="00AE3BE1">
        <w:rPr>
          <w:sz w:val="24"/>
        </w:rPr>
        <w:t>(</w:t>
      </w:r>
      <w:r w:rsidRPr="0020464A">
        <w:rPr>
          <w:sz w:val="24"/>
        </w:rPr>
        <w:t>QRXS</w:t>
      </w:r>
      <w:r w:rsidR="00AE3BE1">
        <w:rPr>
          <w:sz w:val="24"/>
        </w:rPr>
        <w:t>)</w:t>
      </w:r>
      <w:r w:rsidR="00A87515">
        <w:rPr>
          <w:sz w:val="24"/>
        </w:rPr>
        <w:t xml:space="preserve"> </w:t>
      </w:r>
      <w:r w:rsidR="00E9059C">
        <w:rPr>
          <w:sz w:val="24"/>
        </w:rPr>
        <w:t>to query</w:t>
      </w:r>
      <w:r>
        <w:rPr>
          <w:sz w:val="24"/>
        </w:rPr>
        <w:t xml:space="preserve"> and reports through an external application</w:t>
      </w:r>
      <w:r w:rsidRPr="0020464A">
        <w:rPr>
          <w:sz w:val="24"/>
        </w:rPr>
        <w:t>.</w:t>
      </w:r>
    </w:p>
    <w:bookmarkEnd w:id="14"/>
    <w:p w14:paraId="260CCCAB" w14:textId="61B484DF" w:rsidR="00AF1446" w:rsidRDefault="00AF1446" w:rsidP="00AF1446">
      <w:pPr>
        <w:widowControl/>
        <w:tabs>
          <w:tab w:val="num" w:pos="720"/>
        </w:tabs>
        <w:rPr>
          <w:b/>
          <w:sz w:val="24"/>
        </w:rPr>
      </w:pPr>
    </w:p>
    <w:p w14:paraId="655A46A3" w14:textId="78BD99BD" w:rsidR="00F611A3" w:rsidRDefault="00F611A3" w:rsidP="00AF1446">
      <w:pPr>
        <w:widowControl/>
        <w:tabs>
          <w:tab w:val="num" w:pos="720"/>
        </w:tabs>
        <w:rPr>
          <w:b/>
          <w:sz w:val="24"/>
        </w:rPr>
      </w:pPr>
    </w:p>
    <w:p w14:paraId="1CBFE791" w14:textId="01A69EE3" w:rsidR="00F611A3" w:rsidRDefault="00F611A3" w:rsidP="00AF1446">
      <w:pPr>
        <w:widowControl/>
        <w:tabs>
          <w:tab w:val="num" w:pos="720"/>
        </w:tabs>
        <w:rPr>
          <w:b/>
          <w:sz w:val="24"/>
        </w:rPr>
      </w:pPr>
    </w:p>
    <w:p w14:paraId="702A25F5" w14:textId="56A4B013" w:rsidR="00F611A3" w:rsidRDefault="00F611A3" w:rsidP="00AF1446">
      <w:pPr>
        <w:widowControl/>
        <w:tabs>
          <w:tab w:val="num" w:pos="720"/>
        </w:tabs>
        <w:rPr>
          <w:b/>
          <w:sz w:val="24"/>
        </w:rPr>
      </w:pPr>
    </w:p>
    <w:p w14:paraId="0703A49E" w14:textId="6543E709" w:rsidR="00F611A3" w:rsidRDefault="00F611A3" w:rsidP="00AF1446">
      <w:pPr>
        <w:widowControl/>
        <w:tabs>
          <w:tab w:val="num" w:pos="720"/>
        </w:tabs>
        <w:rPr>
          <w:b/>
          <w:sz w:val="24"/>
        </w:rPr>
      </w:pPr>
    </w:p>
    <w:p w14:paraId="79034225" w14:textId="63470EB3" w:rsidR="00F611A3" w:rsidRDefault="00F611A3" w:rsidP="00AF1446">
      <w:pPr>
        <w:widowControl/>
        <w:tabs>
          <w:tab w:val="num" w:pos="720"/>
        </w:tabs>
        <w:rPr>
          <w:b/>
          <w:sz w:val="24"/>
        </w:rPr>
      </w:pPr>
    </w:p>
    <w:p w14:paraId="380BC2DE" w14:textId="27C64CFD" w:rsidR="00F611A3" w:rsidRDefault="00F611A3" w:rsidP="00AF1446">
      <w:pPr>
        <w:widowControl/>
        <w:tabs>
          <w:tab w:val="num" w:pos="720"/>
        </w:tabs>
        <w:rPr>
          <w:b/>
          <w:sz w:val="24"/>
        </w:rPr>
      </w:pPr>
    </w:p>
    <w:p w14:paraId="7D8447B2" w14:textId="12504098" w:rsidR="00F611A3" w:rsidRDefault="00F611A3" w:rsidP="00AF1446">
      <w:pPr>
        <w:widowControl/>
        <w:tabs>
          <w:tab w:val="num" w:pos="720"/>
        </w:tabs>
        <w:rPr>
          <w:b/>
          <w:sz w:val="24"/>
        </w:rPr>
      </w:pPr>
    </w:p>
    <w:p w14:paraId="2BCAD106" w14:textId="77777777" w:rsidR="00F611A3" w:rsidRDefault="00F611A3" w:rsidP="00AF1446">
      <w:pPr>
        <w:widowControl/>
        <w:tabs>
          <w:tab w:val="num" w:pos="720"/>
        </w:tabs>
        <w:rPr>
          <w:b/>
          <w:sz w:val="24"/>
        </w:rPr>
      </w:pPr>
    </w:p>
    <w:p w14:paraId="24E26604" w14:textId="77777777" w:rsidR="00846125" w:rsidRDefault="00846125" w:rsidP="00B96919">
      <w:pPr>
        <w:widowControl/>
        <w:tabs>
          <w:tab w:val="num" w:pos="720"/>
        </w:tabs>
        <w:ind w:left="720"/>
        <w:rPr>
          <w:b/>
          <w:sz w:val="24"/>
        </w:rPr>
      </w:pPr>
      <w:r>
        <w:rPr>
          <w:b/>
          <w:sz w:val="24"/>
        </w:rPr>
        <w:t>1</w:t>
      </w:r>
      <w:r w:rsidRPr="001F006B">
        <w:rPr>
          <w:b/>
          <w:sz w:val="24"/>
        </w:rPr>
        <w:t>2</w:t>
      </w:r>
      <w:r>
        <w:rPr>
          <w:b/>
          <w:sz w:val="24"/>
        </w:rPr>
        <w:t>A</w:t>
      </w:r>
      <w:r w:rsidRPr="001F006B">
        <w:rPr>
          <w:b/>
          <w:sz w:val="24"/>
        </w:rPr>
        <w:t>: Estimated Annualized Burden Hours</w:t>
      </w:r>
    </w:p>
    <w:p w14:paraId="52C75A1D" w14:textId="77777777" w:rsidR="009064A2" w:rsidRDefault="009064A2" w:rsidP="001F38C7">
      <w:pPr>
        <w:widowControl/>
        <w:tabs>
          <w:tab w:val="num" w:pos="720"/>
        </w:tabs>
        <w:rPr>
          <w:b/>
          <w:sz w:val="24"/>
        </w:rPr>
      </w:pPr>
    </w:p>
    <w:p w14:paraId="44D8F3E2" w14:textId="77777777" w:rsidR="000D26E1" w:rsidRDefault="00AF1446" w:rsidP="001F38C7">
      <w:pPr>
        <w:widowControl/>
        <w:tabs>
          <w:tab w:val="num" w:pos="720"/>
        </w:tabs>
        <w:rPr>
          <w:b/>
          <w:sz w:val="24"/>
        </w:rPr>
      </w:pPr>
      <w:r>
        <w:rPr>
          <w:b/>
          <w:sz w:val="24"/>
        </w:rPr>
        <w:t xml:space="preserve">Table </w:t>
      </w:r>
      <w:r w:rsidR="00B242E9">
        <w:rPr>
          <w:b/>
          <w:sz w:val="24"/>
        </w:rPr>
        <w:t>2</w:t>
      </w:r>
      <w:r>
        <w:rPr>
          <w:b/>
          <w:sz w:val="24"/>
        </w:rPr>
        <w:t>: Estimated Annualized Burden Hours</w:t>
      </w:r>
    </w:p>
    <w:tbl>
      <w:tblPr>
        <w:tblStyle w:val="TableGrid4"/>
        <w:tblW w:w="9828" w:type="dxa"/>
        <w:tblLayout w:type="fixed"/>
        <w:tblLook w:val="04A0" w:firstRow="1" w:lastRow="0" w:firstColumn="1" w:lastColumn="0" w:noHBand="0" w:noVBand="1"/>
      </w:tblPr>
      <w:tblGrid>
        <w:gridCol w:w="2088"/>
        <w:gridCol w:w="2227"/>
        <w:gridCol w:w="1260"/>
        <w:gridCol w:w="1193"/>
        <w:gridCol w:w="1170"/>
        <w:gridCol w:w="990"/>
        <w:gridCol w:w="900"/>
      </w:tblGrid>
      <w:tr w:rsidR="001F38C7" w:rsidRPr="001F38C7" w14:paraId="7A420C51" w14:textId="77777777" w:rsidTr="000C04D7">
        <w:trPr>
          <w:trHeight w:val="900"/>
          <w:tblHeader/>
        </w:trPr>
        <w:tc>
          <w:tcPr>
            <w:tcW w:w="2088" w:type="dxa"/>
            <w:shd w:val="clear" w:color="auto" w:fill="BFBFBF" w:themeFill="background1" w:themeFillShade="BF"/>
            <w:noWrap/>
            <w:hideMark/>
          </w:tcPr>
          <w:p w14:paraId="52110DC7"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b/>
                <w:bCs/>
                <w:sz w:val="18"/>
                <w:szCs w:val="18"/>
              </w:rPr>
            </w:pPr>
            <w:r w:rsidRPr="001F38C7">
              <w:rPr>
                <w:b/>
                <w:bCs/>
                <w:sz w:val="18"/>
                <w:szCs w:val="18"/>
              </w:rPr>
              <w:t xml:space="preserve">Regulation Citation </w:t>
            </w:r>
          </w:p>
        </w:tc>
        <w:tc>
          <w:tcPr>
            <w:tcW w:w="2227" w:type="dxa"/>
            <w:shd w:val="clear" w:color="auto" w:fill="BFBFBF" w:themeFill="background1" w:themeFillShade="BF"/>
            <w:noWrap/>
            <w:hideMark/>
          </w:tcPr>
          <w:p w14:paraId="734A5B9D"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b/>
                <w:bCs/>
                <w:sz w:val="18"/>
                <w:szCs w:val="18"/>
              </w:rPr>
            </w:pPr>
            <w:r w:rsidRPr="001F38C7">
              <w:rPr>
                <w:b/>
                <w:bCs/>
                <w:sz w:val="18"/>
                <w:szCs w:val="18"/>
              </w:rPr>
              <w:t>Form Name</w:t>
            </w:r>
          </w:p>
        </w:tc>
        <w:tc>
          <w:tcPr>
            <w:tcW w:w="1260" w:type="dxa"/>
            <w:shd w:val="clear" w:color="auto" w:fill="BFBFBF" w:themeFill="background1" w:themeFillShade="BF"/>
            <w:hideMark/>
          </w:tcPr>
          <w:p w14:paraId="06A98B74"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bCs/>
                <w:sz w:val="18"/>
                <w:szCs w:val="18"/>
              </w:rPr>
            </w:pPr>
            <w:r w:rsidRPr="001F38C7">
              <w:rPr>
                <w:b/>
                <w:bCs/>
                <w:sz w:val="18"/>
                <w:szCs w:val="18"/>
              </w:rPr>
              <w:t>Number of Respondents</w:t>
            </w:r>
          </w:p>
        </w:tc>
        <w:tc>
          <w:tcPr>
            <w:tcW w:w="1193" w:type="dxa"/>
            <w:shd w:val="clear" w:color="auto" w:fill="BFBFBF" w:themeFill="background1" w:themeFillShade="BF"/>
            <w:hideMark/>
          </w:tcPr>
          <w:p w14:paraId="3157868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bCs/>
                <w:sz w:val="18"/>
                <w:szCs w:val="18"/>
              </w:rPr>
            </w:pPr>
            <w:r w:rsidRPr="001F38C7">
              <w:rPr>
                <w:b/>
                <w:bCs/>
                <w:sz w:val="18"/>
                <w:szCs w:val="18"/>
              </w:rPr>
              <w:t>Responses per Respondent</w:t>
            </w:r>
          </w:p>
        </w:tc>
        <w:tc>
          <w:tcPr>
            <w:tcW w:w="1170" w:type="dxa"/>
            <w:shd w:val="clear" w:color="auto" w:fill="BFBFBF" w:themeFill="background1" w:themeFillShade="BF"/>
            <w:hideMark/>
          </w:tcPr>
          <w:p w14:paraId="05D0DB63"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bCs/>
                <w:sz w:val="18"/>
                <w:szCs w:val="18"/>
              </w:rPr>
            </w:pPr>
            <w:r w:rsidRPr="001F38C7">
              <w:rPr>
                <w:b/>
                <w:bCs/>
                <w:sz w:val="18"/>
                <w:szCs w:val="18"/>
              </w:rPr>
              <w:t>Total Responses</w:t>
            </w:r>
          </w:p>
        </w:tc>
        <w:tc>
          <w:tcPr>
            <w:tcW w:w="990" w:type="dxa"/>
            <w:shd w:val="clear" w:color="auto" w:fill="BFBFBF" w:themeFill="background1" w:themeFillShade="BF"/>
            <w:hideMark/>
          </w:tcPr>
          <w:p w14:paraId="387D1F7C"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bCs/>
                <w:sz w:val="18"/>
                <w:szCs w:val="18"/>
              </w:rPr>
            </w:pPr>
            <w:r w:rsidRPr="001F38C7">
              <w:rPr>
                <w:b/>
                <w:bCs/>
                <w:sz w:val="18"/>
                <w:szCs w:val="18"/>
              </w:rPr>
              <w:t>Average Burden per Response (in hours)</w:t>
            </w:r>
          </w:p>
        </w:tc>
        <w:tc>
          <w:tcPr>
            <w:tcW w:w="900" w:type="dxa"/>
            <w:shd w:val="clear" w:color="auto" w:fill="BFBFBF" w:themeFill="background1" w:themeFillShade="BF"/>
            <w:hideMark/>
          </w:tcPr>
          <w:p w14:paraId="332DAC9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bCs/>
                <w:sz w:val="18"/>
                <w:szCs w:val="18"/>
              </w:rPr>
            </w:pPr>
            <w:r w:rsidRPr="001F38C7">
              <w:rPr>
                <w:b/>
                <w:bCs/>
                <w:sz w:val="18"/>
                <w:szCs w:val="18"/>
              </w:rPr>
              <w:t>Total Burden Hours</w:t>
            </w:r>
          </w:p>
        </w:tc>
      </w:tr>
      <w:tr w:rsidR="001F38C7" w:rsidRPr="001F38C7" w14:paraId="432BCE3E" w14:textId="77777777" w:rsidTr="000C04D7">
        <w:trPr>
          <w:trHeight w:val="600"/>
        </w:trPr>
        <w:tc>
          <w:tcPr>
            <w:tcW w:w="2088" w:type="dxa"/>
            <w:vMerge w:val="restart"/>
            <w:hideMark/>
          </w:tcPr>
          <w:p w14:paraId="52DF70DE" w14:textId="77777777" w:rsidR="001F38C7" w:rsidRPr="001F38C7" w:rsidRDefault="001F38C7" w:rsidP="001F38C7">
            <w:pPr>
              <w:widowControl/>
              <w:autoSpaceDE/>
              <w:autoSpaceDN/>
              <w:adjustRightInd/>
              <w:rPr>
                <w:sz w:val="18"/>
                <w:szCs w:val="18"/>
              </w:rPr>
            </w:pPr>
            <w:r w:rsidRPr="001F38C7">
              <w:rPr>
                <w:bCs/>
                <w:sz w:val="18"/>
                <w:szCs w:val="18"/>
              </w:rPr>
              <w:t>§</w:t>
            </w:r>
            <w:r w:rsidRPr="001F38C7">
              <w:rPr>
                <w:sz w:val="18"/>
                <w:szCs w:val="18"/>
              </w:rPr>
              <w:t xml:space="preserve"> 60.6: Reporting errors, omissions, revisions or whether an action is on appeal.</w:t>
            </w:r>
          </w:p>
        </w:tc>
        <w:tc>
          <w:tcPr>
            <w:tcW w:w="2227" w:type="dxa"/>
            <w:hideMark/>
          </w:tcPr>
          <w:p w14:paraId="60F9CEC9" w14:textId="77777777" w:rsidR="001F38C7" w:rsidRPr="001F38C7" w:rsidRDefault="001F38C7" w:rsidP="001F38C7">
            <w:pPr>
              <w:widowControl/>
              <w:autoSpaceDE/>
              <w:autoSpaceDN/>
              <w:adjustRightInd/>
              <w:rPr>
                <w:sz w:val="18"/>
                <w:szCs w:val="18"/>
              </w:rPr>
            </w:pPr>
            <w:r w:rsidRPr="001F38C7">
              <w:rPr>
                <w:sz w:val="18"/>
                <w:szCs w:val="18"/>
              </w:rPr>
              <w:t>Correction, Revision to Action, Correction of Revision to Action, Void, Notice of Appeal</w:t>
            </w:r>
          </w:p>
          <w:p w14:paraId="6A7EE290" w14:textId="77777777" w:rsidR="001F38C7" w:rsidRPr="001F38C7" w:rsidRDefault="001F38C7" w:rsidP="001F38C7">
            <w:pPr>
              <w:widowControl/>
              <w:autoSpaceDE/>
              <w:autoSpaceDN/>
              <w:adjustRightInd/>
              <w:rPr>
                <w:sz w:val="18"/>
                <w:szCs w:val="18"/>
              </w:rPr>
            </w:pPr>
            <w:r w:rsidRPr="001F38C7">
              <w:rPr>
                <w:sz w:val="18"/>
                <w:szCs w:val="18"/>
              </w:rPr>
              <w:t>(manual)</w:t>
            </w:r>
          </w:p>
        </w:tc>
        <w:tc>
          <w:tcPr>
            <w:tcW w:w="1260" w:type="dxa"/>
            <w:noWrap/>
            <w:vAlign w:val="center"/>
            <w:hideMark/>
          </w:tcPr>
          <w:p w14:paraId="20C69D95"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11,114</w:t>
            </w:r>
          </w:p>
        </w:tc>
        <w:tc>
          <w:tcPr>
            <w:tcW w:w="1193" w:type="dxa"/>
            <w:noWrap/>
            <w:vAlign w:val="center"/>
            <w:hideMark/>
          </w:tcPr>
          <w:p w14:paraId="7E982CD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2EFD8B3A"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11,114</w:t>
            </w:r>
          </w:p>
        </w:tc>
        <w:tc>
          <w:tcPr>
            <w:tcW w:w="990" w:type="dxa"/>
            <w:noWrap/>
            <w:vAlign w:val="center"/>
            <w:hideMark/>
          </w:tcPr>
          <w:p w14:paraId="4FD2F66D"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.25</w:t>
            </w:r>
          </w:p>
        </w:tc>
        <w:tc>
          <w:tcPr>
            <w:tcW w:w="900" w:type="dxa"/>
            <w:vAlign w:val="center"/>
            <w:hideMark/>
          </w:tcPr>
          <w:p w14:paraId="6B44A2F0"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2,779</w:t>
            </w:r>
          </w:p>
        </w:tc>
      </w:tr>
      <w:tr w:rsidR="001F38C7" w:rsidRPr="001F38C7" w14:paraId="11231DD8" w14:textId="77777777" w:rsidTr="000C04D7">
        <w:trPr>
          <w:trHeight w:val="600"/>
        </w:trPr>
        <w:tc>
          <w:tcPr>
            <w:tcW w:w="2088" w:type="dxa"/>
            <w:vMerge/>
          </w:tcPr>
          <w:p w14:paraId="02940083" w14:textId="77777777" w:rsidR="001F38C7" w:rsidRPr="001F38C7" w:rsidRDefault="001F38C7" w:rsidP="001F38C7">
            <w:pPr>
              <w:widowControl/>
              <w:autoSpaceDE/>
              <w:autoSpaceDN/>
              <w:adjustRightInd/>
              <w:rPr>
                <w:bCs/>
                <w:sz w:val="18"/>
                <w:szCs w:val="18"/>
              </w:rPr>
            </w:pPr>
          </w:p>
        </w:tc>
        <w:tc>
          <w:tcPr>
            <w:tcW w:w="2227" w:type="dxa"/>
          </w:tcPr>
          <w:p w14:paraId="02E448DB" w14:textId="77777777" w:rsidR="001F38C7" w:rsidRPr="001F38C7" w:rsidRDefault="001F38C7" w:rsidP="001F38C7">
            <w:pPr>
              <w:widowControl/>
              <w:autoSpaceDE/>
              <w:autoSpaceDN/>
              <w:adjustRightInd/>
              <w:rPr>
                <w:sz w:val="18"/>
                <w:szCs w:val="18"/>
              </w:rPr>
            </w:pPr>
            <w:r w:rsidRPr="001F38C7">
              <w:rPr>
                <w:sz w:val="18"/>
                <w:szCs w:val="18"/>
              </w:rPr>
              <w:t>Correction, Revision to Action, Correction of Revision to Action, Void, Notice of Appeal</w:t>
            </w:r>
          </w:p>
          <w:p w14:paraId="0ACBB3EF" w14:textId="77777777" w:rsidR="001F38C7" w:rsidRPr="001F38C7" w:rsidRDefault="001F38C7" w:rsidP="001F38C7">
            <w:pPr>
              <w:widowControl/>
              <w:autoSpaceDE/>
              <w:autoSpaceDN/>
              <w:adjustRightInd/>
              <w:rPr>
                <w:sz w:val="18"/>
                <w:szCs w:val="18"/>
              </w:rPr>
            </w:pPr>
            <w:r w:rsidRPr="001F38C7">
              <w:rPr>
                <w:sz w:val="18"/>
                <w:szCs w:val="18"/>
              </w:rPr>
              <w:t>(automated)</w:t>
            </w:r>
          </w:p>
        </w:tc>
        <w:tc>
          <w:tcPr>
            <w:tcW w:w="1260" w:type="dxa"/>
            <w:noWrap/>
            <w:vAlign w:val="center"/>
          </w:tcPr>
          <w:p w14:paraId="43C28F0B"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17,966</w:t>
            </w:r>
          </w:p>
        </w:tc>
        <w:tc>
          <w:tcPr>
            <w:tcW w:w="1193" w:type="dxa"/>
            <w:noWrap/>
            <w:vAlign w:val="center"/>
          </w:tcPr>
          <w:p w14:paraId="19F66632"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1CBB3B3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17,966</w:t>
            </w:r>
          </w:p>
        </w:tc>
        <w:tc>
          <w:tcPr>
            <w:tcW w:w="990" w:type="dxa"/>
            <w:noWrap/>
            <w:vAlign w:val="center"/>
          </w:tcPr>
          <w:p w14:paraId="55DBAFE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.0003</w:t>
            </w:r>
          </w:p>
        </w:tc>
        <w:tc>
          <w:tcPr>
            <w:tcW w:w="900" w:type="dxa"/>
            <w:vAlign w:val="center"/>
          </w:tcPr>
          <w:p w14:paraId="67F73117"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w:t>
            </w:r>
          </w:p>
        </w:tc>
      </w:tr>
      <w:tr w:rsidR="001F38C7" w:rsidRPr="001F38C7" w14:paraId="2854FE80" w14:textId="77777777" w:rsidTr="000C04D7">
        <w:trPr>
          <w:trHeight w:val="600"/>
        </w:trPr>
        <w:tc>
          <w:tcPr>
            <w:tcW w:w="2088" w:type="dxa"/>
            <w:vMerge w:val="restart"/>
            <w:hideMark/>
          </w:tcPr>
          <w:p w14:paraId="0B3C9CD2" w14:textId="77777777" w:rsidR="001F38C7" w:rsidRPr="001F38C7" w:rsidRDefault="001F38C7" w:rsidP="001F38C7">
            <w:pPr>
              <w:widowControl/>
              <w:autoSpaceDE/>
              <w:autoSpaceDN/>
              <w:adjustRightInd/>
              <w:rPr>
                <w:sz w:val="18"/>
                <w:szCs w:val="18"/>
              </w:rPr>
            </w:pPr>
            <w:r w:rsidRPr="001F38C7">
              <w:rPr>
                <w:bCs/>
                <w:sz w:val="18"/>
                <w:szCs w:val="18"/>
              </w:rPr>
              <w:t>§</w:t>
            </w:r>
            <w:r w:rsidRPr="001F38C7">
              <w:rPr>
                <w:sz w:val="18"/>
                <w:szCs w:val="18"/>
              </w:rPr>
              <w:t xml:space="preserve"> 60.7: Reporting medical malpractice payments.</w:t>
            </w:r>
          </w:p>
        </w:tc>
        <w:tc>
          <w:tcPr>
            <w:tcW w:w="2227" w:type="dxa"/>
            <w:noWrap/>
            <w:hideMark/>
          </w:tcPr>
          <w:p w14:paraId="2F58E45B" w14:textId="77777777" w:rsidR="001F38C7" w:rsidRPr="001F38C7" w:rsidRDefault="001F38C7" w:rsidP="001F38C7">
            <w:pPr>
              <w:widowControl/>
              <w:autoSpaceDE/>
              <w:autoSpaceDN/>
              <w:adjustRightInd/>
              <w:rPr>
                <w:sz w:val="18"/>
                <w:szCs w:val="18"/>
              </w:rPr>
            </w:pPr>
            <w:r w:rsidRPr="001F38C7">
              <w:rPr>
                <w:sz w:val="18"/>
                <w:szCs w:val="18"/>
              </w:rPr>
              <w:t xml:space="preserve">Medical Malpractice Payment </w:t>
            </w:r>
          </w:p>
          <w:p w14:paraId="003D3627" w14:textId="77777777" w:rsidR="001F38C7" w:rsidRPr="001F38C7" w:rsidRDefault="001F38C7" w:rsidP="001F38C7">
            <w:pPr>
              <w:widowControl/>
              <w:autoSpaceDE/>
              <w:autoSpaceDN/>
              <w:adjustRightInd/>
              <w:rPr>
                <w:sz w:val="18"/>
                <w:szCs w:val="18"/>
              </w:rPr>
            </w:pPr>
            <w:r w:rsidRPr="001F38C7">
              <w:rPr>
                <w:sz w:val="18"/>
                <w:szCs w:val="18"/>
              </w:rPr>
              <w:t>(manual)</w:t>
            </w:r>
          </w:p>
        </w:tc>
        <w:tc>
          <w:tcPr>
            <w:tcW w:w="1260" w:type="dxa"/>
            <w:noWrap/>
            <w:vAlign w:val="center"/>
            <w:hideMark/>
          </w:tcPr>
          <w:p w14:paraId="47532765"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11,993</w:t>
            </w:r>
          </w:p>
        </w:tc>
        <w:tc>
          <w:tcPr>
            <w:tcW w:w="1193" w:type="dxa"/>
            <w:noWrap/>
            <w:vAlign w:val="center"/>
            <w:hideMark/>
          </w:tcPr>
          <w:p w14:paraId="5C1B347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1AB9B61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11,993</w:t>
            </w:r>
          </w:p>
        </w:tc>
        <w:tc>
          <w:tcPr>
            <w:tcW w:w="990" w:type="dxa"/>
            <w:noWrap/>
            <w:vAlign w:val="center"/>
            <w:hideMark/>
          </w:tcPr>
          <w:p w14:paraId="618B74E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3E10DF5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8,995</w:t>
            </w:r>
          </w:p>
        </w:tc>
      </w:tr>
      <w:tr w:rsidR="001F38C7" w:rsidRPr="001F38C7" w14:paraId="658FEA53" w14:textId="77777777" w:rsidTr="000C04D7">
        <w:trPr>
          <w:trHeight w:val="600"/>
        </w:trPr>
        <w:tc>
          <w:tcPr>
            <w:tcW w:w="2088" w:type="dxa"/>
            <w:vMerge/>
          </w:tcPr>
          <w:p w14:paraId="5FB42B92" w14:textId="77777777" w:rsidR="001F38C7" w:rsidRPr="001F38C7" w:rsidRDefault="001F38C7" w:rsidP="001F38C7">
            <w:pPr>
              <w:widowControl/>
              <w:autoSpaceDE/>
              <w:autoSpaceDN/>
              <w:adjustRightInd/>
              <w:rPr>
                <w:bCs/>
                <w:sz w:val="18"/>
                <w:szCs w:val="18"/>
              </w:rPr>
            </w:pPr>
          </w:p>
        </w:tc>
        <w:tc>
          <w:tcPr>
            <w:tcW w:w="2227" w:type="dxa"/>
            <w:noWrap/>
          </w:tcPr>
          <w:p w14:paraId="1DF86D49" w14:textId="77777777" w:rsidR="001F38C7" w:rsidRPr="001F38C7" w:rsidRDefault="001F38C7" w:rsidP="001F38C7">
            <w:pPr>
              <w:widowControl/>
              <w:autoSpaceDE/>
              <w:autoSpaceDN/>
              <w:adjustRightInd/>
              <w:rPr>
                <w:sz w:val="18"/>
                <w:szCs w:val="18"/>
              </w:rPr>
            </w:pPr>
            <w:r w:rsidRPr="001F38C7">
              <w:rPr>
                <w:sz w:val="18"/>
                <w:szCs w:val="18"/>
              </w:rPr>
              <w:t>Medical Malpractice Payment</w:t>
            </w:r>
          </w:p>
          <w:p w14:paraId="5E855CEA" w14:textId="77777777" w:rsidR="001F38C7" w:rsidRPr="001F38C7" w:rsidRDefault="001F38C7" w:rsidP="001F38C7">
            <w:pPr>
              <w:widowControl/>
              <w:autoSpaceDE/>
              <w:autoSpaceDN/>
              <w:adjustRightInd/>
              <w:rPr>
                <w:sz w:val="18"/>
                <w:szCs w:val="18"/>
              </w:rPr>
            </w:pPr>
            <w:r w:rsidRPr="001F38C7">
              <w:rPr>
                <w:sz w:val="18"/>
                <w:szCs w:val="18"/>
              </w:rPr>
              <w:t>(automated)</w:t>
            </w:r>
          </w:p>
          <w:p w14:paraId="3D4A5D37" w14:textId="77777777" w:rsidR="001F38C7" w:rsidRPr="001F38C7" w:rsidRDefault="001F38C7" w:rsidP="001F38C7">
            <w:pPr>
              <w:widowControl/>
              <w:autoSpaceDE/>
              <w:autoSpaceDN/>
              <w:adjustRightInd/>
              <w:rPr>
                <w:sz w:val="18"/>
                <w:szCs w:val="18"/>
              </w:rPr>
            </w:pPr>
          </w:p>
        </w:tc>
        <w:tc>
          <w:tcPr>
            <w:tcW w:w="1260" w:type="dxa"/>
            <w:noWrap/>
            <w:vAlign w:val="center"/>
          </w:tcPr>
          <w:p w14:paraId="68E6E982"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242</w:t>
            </w:r>
          </w:p>
        </w:tc>
        <w:tc>
          <w:tcPr>
            <w:tcW w:w="1193" w:type="dxa"/>
            <w:noWrap/>
            <w:vAlign w:val="center"/>
          </w:tcPr>
          <w:p w14:paraId="7D991AF5"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75AC1712"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242</w:t>
            </w:r>
          </w:p>
        </w:tc>
        <w:tc>
          <w:tcPr>
            <w:tcW w:w="990" w:type="dxa"/>
            <w:noWrap/>
            <w:vAlign w:val="center"/>
          </w:tcPr>
          <w:p w14:paraId="65FE074C"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.0003</w:t>
            </w:r>
          </w:p>
        </w:tc>
        <w:tc>
          <w:tcPr>
            <w:tcW w:w="900" w:type="dxa"/>
            <w:vAlign w:val="center"/>
          </w:tcPr>
          <w:p w14:paraId="5D6ACEE4"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r>
      <w:tr w:rsidR="001F38C7" w:rsidRPr="001F38C7" w14:paraId="5A9F1286" w14:textId="77777777" w:rsidTr="000C04D7">
        <w:trPr>
          <w:trHeight w:val="900"/>
        </w:trPr>
        <w:tc>
          <w:tcPr>
            <w:tcW w:w="2088" w:type="dxa"/>
            <w:vMerge w:val="restart"/>
            <w:hideMark/>
          </w:tcPr>
          <w:p w14:paraId="5D1D68C3" w14:textId="77777777" w:rsidR="001F38C7" w:rsidRPr="001F38C7" w:rsidRDefault="001F38C7" w:rsidP="001F38C7">
            <w:pPr>
              <w:widowControl/>
              <w:autoSpaceDE/>
              <w:autoSpaceDN/>
              <w:adjustRightInd/>
              <w:rPr>
                <w:sz w:val="18"/>
                <w:szCs w:val="18"/>
              </w:rPr>
            </w:pPr>
            <w:r w:rsidRPr="001F38C7">
              <w:rPr>
                <w:bCs/>
                <w:sz w:val="18"/>
                <w:szCs w:val="18"/>
              </w:rPr>
              <w:t>§</w:t>
            </w:r>
            <w:r w:rsidRPr="001F38C7">
              <w:rPr>
                <w:sz w:val="18"/>
                <w:szCs w:val="18"/>
              </w:rPr>
              <w:t xml:space="preserve"> 60.8: Reporting licensure actions taken by Boards of Medical Examiners </w:t>
            </w:r>
          </w:p>
          <w:p w14:paraId="4C48EF49" w14:textId="77777777" w:rsidR="001F38C7" w:rsidRPr="001F38C7" w:rsidRDefault="001F38C7" w:rsidP="001F38C7">
            <w:pPr>
              <w:widowControl/>
              <w:autoSpaceDE/>
              <w:autoSpaceDN/>
              <w:adjustRightInd/>
              <w:rPr>
                <w:sz w:val="18"/>
                <w:szCs w:val="18"/>
              </w:rPr>
            </w:pPr>
            <w:r w:rsidRPr="001F38C7">
              <w:rPr>
                <w:sz w:val="18"/>
                <w:szCs w:val="18"/>
              </w:rPr>
              <w:t xml:space="preserve">&amp; </w:t>
            </w:r>
          </w:p>
          <w:p w14:paraId="25109352" w14:textId="77777777" w:rsidR="001F38C7" w:rsidRPr="001F38C7" w:rsidRDefault="001F38C7" w:rsidP="001F38C7">
            <w:pPr>
              <w:widowControl/>
              <w:autoSpaceDE/>
              <w:autoSpaceDN/>
              <w:adjustRightInd/>
              <w:rPr>
                <w:sz w:val="18"/>
                <w:szCs w:val="18"/>
              </w:rPr>
            </w:pPr>
            <w:r w:rsidRPr="001F38C7">
              <w:rPr>
                <w:bCs/>
                <w:sz w:val="18"/>
                <w:szCs w:val="18"/>
              </w:rPr>
              <w:t>§</w:t>
            </w:r>
            <w:r w:rsidRPr="001F38C7">
              <w:rPr>
                <w:sz w:val="18"/>
                <w:szCs w:val="18"/>
              </w:rPr>
              <w:t>60.9: Reporting licensure and certification actions taken by States.</w:t>
            </w:r>
          </w:p>
        </w:tc>
        <w:tc>
          <w:tcPr>
            <w:tcW w:w="2227" w:type="dxa"/>
            <w:noWrap/>
            <w:hideMark/>
          </w:tcPr>
          <w:p w14:paraId="07F0756D" w14:textId="77777777" w:rsidR="001F38C7" w:rsidRPr="001F38C7" w:rsidRDefault="001F38C7" w:rsidP="001F38C7">
            <w:pPr>
              <w:widowControl/>
              <w:autoSpaceDE/>
              <w:autoSpaceDN/>
              <w:adjustRightInd/>
              <w:rPr>
                <w:sz w:val="18"/>
                <w:szCs w:val="18"/>
              </w:rPr>
            </w:pPr>
            <w:r w:rsidRPr="001F38C7">
              <w:rPr>
                <w:sz w:val="18"/>
                <w:szCs w:val="18"/>
              </w:rPr>
              <w:t xml:space="preserve">State Licensure </w:t>
            </w:r>
          </w:p>
          <w:p w14:paraId="2ED598C3" w14:textId="77777777" w:rsidR="001F38C7" w:rsidRPr="001F38C7" w:rsidRDefault="001F38C7" w:rsidP="001F38C7">
            <w:pPr>
              <w:widowControl/>
              <w:autoSpaceDE/>
              <w:autoSpaceDN/>
              <w:adjustRightInd/>
              <w:rPr>
                <w:sz w:val="18"/>
                <w:szCs w:val="18"/>
              </w:rPr>
            </w:pPr>
            <w:r w:rsidRPr="001F38C7">
              <w:rPr>
                <w:sz w:val="18"/>
                <w:szCs w:val="18"/>
              </w:rPr>
              <w:t>(manual)</w:t>
            </w:r>
          </w:p>
        </w:tc>
        <w:tc>
          <w:tcPr>
            <w:tcW w:w="1260" w:type="dxa"/>
            <w:noWrap/>
            <w:vAlign w:val="center"/>
            <w:hideMark/>
          </w:tcPr>
          <w:p w14:paraId="5352333A"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19,160</w:t>
            </w:r>
          </w:p>
        </w:tc>
        <w:tc>
          <w:tcPr>
            <w:tcW w:w="1193" w:type="dxa"/>
            <w:noWrap/>
            <w:vAlign w:val="center"/>
            <w:hideMark/>
          </w:tcPr>
          <w:p w14:paraId="13840F5D"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4C4E2DB7"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19,160</w:t>
            </w:r>
          </w:p>
        </w:tc>
        <w:tc>
          <w:tcPr>
            <w:tcW w:w="990" w:type="dxa"/>
            <w:noWrap/>
            <w:vAlign w:val="center"/>
            <w:hideMark/>
          </w:tcPr>
          <w:p w14:paraId="6E3C918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24A7F642"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14,370</w:t>
            </w:r>
          </w:p>
        </w:tc>
      </w:tr>
      <w:tr w:rsidR="001F38C7" w:rsidRPr="001F38C7" w14:paraId="23096F13" w14:textId="77777777" w:rsidTr="0039528F">
        <w:trPr>
          <w:trHeight w:val="900"/>
        </w:trPr>
        <w:tc>
          <w:tcPr>
            <w:tcW w:w="2088" w:type="dxa"/>
            <w:vMerge/>
          </w:tcPr>
          <w:p w14:paraId="239682A3" w14:textId="77777777" w:rsidR="001F38C7" w:rsidRPr="001F38C7" w:rsidRDefault="001F38C7" w:rsidP="001F38C7">
            <w:pPr>
              <w:widowControl/>
              <w:autoSpaceDE/>
              <w:autoSpaceDN/>
              <w:adjustRightInd/>
              <w:rPr>
                <w:bCs/>
                <w:sz w:val="18"/>
                <w:szCs w:val="18"/>
              </w:rPr>
            </w:pPr>
          </w:p>
        </w:tc>
        <w:tc>
          <w:tcPr>
            <w:tcW w:w="2227" w:type="dxa"/>
            <w:noWrap/>
          </w:tcPr>
          <w:p w14:paraId="601E6687" w14:textId="77777777" w:rsidR="001F38C7" w:rsidRPr="001F38C7" w:rsidRDefault="001F38C7" w:rsidP="001F38C7">
            <w:pPr>
              <w:widowControl/>
              <w:autoSpaceDE/>
              <w:autoSpaceDN/>
              <w:adjustRightInd/>
              <w:rPr>
                <w:sz w:val="18"/>
                <w:szCs w:val="18"/>
              </w:rPr>
            </w:pPr>
            <w:r w:rsidRPr="001F38C7">
              <w:rPr>
                <w:sz w:val="18"/>
                <w:szCs w:val="18"/>
              </w:rPr>
              <w:t xml:space="preserve">State Licensure  </w:t>
            </w:r>
          </w:p>
          <w:p w14:paraId="0950358B" w14:textId="77777777" w:rsidR="001F38C7" w:rsidRPr="001F38C7" w:rsidRDefault="001F38C7" w:rsidP="001F38C7">
            <w:pPr>
              <w:widowControl/>
              <w:autoSpaceDE/>
              <w:autoSpaceDN/>
              <w:adjustRightInd/>
              <w:rPr>
                <w:sz w:val="18"/>
                <w:szCs w:val="18"/>
              </w:rPr>
            </w:pPr>
            <w:r w:rsidRPr="001F38C7">
              <w:rPr>
                <w:sz w:val="18"/>
                <w:szCs w:val="18"/>
              </w:rPr>
              <w:t>(automated)</w:t>
            </w:r>
          </w:p>
        </w:tc>
        <w:tc>
          <w:tcPr>
            <w:tcW w:w="1260" w:type="dxa"/>
            <w:noWrap/>
            <w:vAlign w:val="center"/>
          </w:tcPr>
          <w:p w14:paraId="6522C992"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25,980</w:t>
            </w:r>
          </w:p>
        </w:tc>
        <w:tc>
          <w:tcPr>
            <w:tcW w:w="1193" w:type="dxa"/>
            <w:noWrap/>
            <w:vAlign w:val="center"/>
          </w:tcPr>
          <w:p w14:paraId="029BC919"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2D7E7C81"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25,980</w:t>
            </w:r>
          </w:p>
        </w:tc>
        <w:tc>
          <w:tcPr>
            <w:tcW w:w="990" w:type="dxa"/>
            <w:noWrap/>
            <w:vAlign w:val="center"/>
          </w:tcPr>
          <w:p w14:paraId="687B3216"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.0003</w:t>
            </w:r>
          </w:p>
        </w:tc>
        <w:tc>
          <w:tcPr>
            <w:tcW w:w="900" w:type="dxa"/>
            <w:vAlign w:val="center"/>
          </w:tcPr>
          <w:p w14:paraId="593D62F0"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w:t>
            </w:r>
          </w:p>
        </w:tc>
      </w:tr>
      <w:tr w:rsidR="001F38C7" w:rsidRPr="001F38C7" w14:paraId="1B4C8BEA" w14:textId="77777777" w:rsidTr="000C04D7">
        <w:trPr>
          <w:trHeight w:val="600"/>
        </w:trPr>
        <w:tc>
          <w:tcPr>
            <w:tcW w:w="2088" w:type="dxa"/>
            <w:hideMark/>
          </w:tcPr>
          <w:p w14:paraId="3BF6F63B" w14:textId="77777777" w:rsidR="001F38C7" w:rsidRPr="001F38C7" w:rsidRDefault="001F38C7" w:rsidP="001F38C7">
            <w:pPr>
              <w:widowControl/>
              <w:autoSpaceDE/>
              <w:autoSpaceDN/>
              <w:adjustRightInd/>
              <w:rPr>
                <w:sz w:val="18"/>
                <w:szCs w:val="18"/>
              </w:rPr>
            </w:pPr>
            <w:r w:rsidRPr="001F38C7">
              <w:rPr>
                <w:bCs/>
                <w:sz w:val="18"/>
                <w:szCs w:val="18"/>
              </w:rPr>
              <w:t>§</w:t>
            </w:r>
            <w:r w:rsidRPr="001F38C7">
              <w:rPr>
                <w:sz w:val="18"/>
                <w:szCs w:val="18"/>
              </w:rPr>
              <w:t xml:space="preserve"> 60.10: Reporting Federal licensure and certification actions.</w:t>
            </w:r>
          </w:p>
        </w:tc>
        <w:tc>
          <w:tcPr>
            <w:tcW w:w="2227" w:type="dxa"/>
            <w:noWrap/>
            <w:hideMark/>
          </w:tcPr>
          <w:p w14:paraId="0C51167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DEA/Federal Licensure</w:t>
            </w:r>
          </w:p>
        </w:tc>
        <w:tc>
          <w:tcPr>
            <w:tcW w:w="1260" w:type="dxa"/>
            <w:noWrap/>
            <w:vAlign w:val="center"/>
            <w:hideMark/>
          </w:tcPr>
          <w:p w14:paraId="1DD7B5B0"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698</w:t>
            </w:r>
          </w:p>
        </w:tc>
        <w:tc>
          <w:tcPr>
            <w:tcW w:w="1193" w:type="dxa"/>
            <w:noWrap/>
            <w:vAlign w:val="center"/>
            <w:hideMark/>
          </w:tcPr>
          <w:p w14:paraId="7761EE5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03014B70"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698</w:t>
            </w:r>
          </w:p>
        </w:tc>
        <w:tc>
          <w:tcPr>
            <w:tcW w:w="990" w:type="dxa"/>
            <w:noWrap/>
            <w:vAlign w:val="center"/>
            <w:hideMark/>
          </w:tcPr>
          <w:p w14:paraId="63B7B445"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198B97D5"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524</w:t>
            </w:r>
          </w:p>
        </w:tc>
      </w:tr>
      <w:tr w:rsidR="001F38C7" w:rsidRPr="001F38C7" w14:paraId="718B846E" w14:textId="77777777" w:rsidTr="000C04D7">
        <w:trPr>
          <w:trHeight w:val="510"/>
        </w:trPr>
        <w:tc>
          <w:tcPr>
            <w:tcW w:w="2088" w:type="dxa"/>
            <w:vMerge w:val="restart"/>
            <w:hideMark/>
          </w:tcPr>
          <w:p w14:paraId="62A05910" w14:textId="77777777" w:rsidR="001F38C7" w:rsidRPr="001F38C7" w:rsidRDefault="001F38C7" w:rsidP="001F38C7">
            <w:pPr>
              <w:widowControl/>
              <w:autoSpaceDE/>
              <w:autoSpaceDN/>
              <w:adjustRightInd/>
              <w:rPr>
                <w:sz w:val="18"/>
                <w:szCs w:val="18"/>
              </w:rPr>
            </w:pPr>
            <w:r w:rsidRPr="001F38C7">
              <w:rPr>
                <w:bCs/>
                <w:sz w:val="18"/>
                <w:szCs w:val="18"/>
              </w:rPr>
              <w:t>§</w:t>
            </w:r>
            <w:r w:rsidRPr="001F38C7">
              <w:rPr>
                <w:sz w:val="18"/>
                <w:szCs w:val="18"/>
              </w:rPr>
              <w:t xml:space="preserve"> 60.11: Reporting negative actions or findings taken by peer review organizations or private accreditation entities.</w:t>
            </w:r>
          </w:p>
        </w:tc>
        <w:tc>
          <w:tcPr>
            <w:tcW w:w="2227" w:type="dxa"/>
            <w:noWrap/>
            <w:hideMark/>
          </w:tcPr>
          <w:p w14:paraId="3C85987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Peer Review Organization</w:t>
            </w:r>
          </w:p>
        </w:tc>
        <w:tc>
          <w:tcPr>
            <w:tcW w:w="1260" w:type="dxa"/>
            <w:noWrap/>
            <w:vAlign w:val="center"/>
            <w:hideMark/>
          </w:tcPr>
          <w:p w14:paraId="6C3735B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1193" w:type="dxa"/>
            <w:noWrap/>
            <w:vAlign w:val="center"/>
            <w:hideMark/>
          </w:tcPr>
          <w:p w14:paraId="1D15A76C"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62C49533"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990" w:type="dxa"/>
            <w:noWrap/>
            <w:vAlign w:val="center"/>
            <w:hideMark/>
          </w:tcPr>
          <w:p w14:paraId="2A9CC3DC" w14:textId="77777777" w:rsidR="001F38C7" w:rsidRPr="001F38C7" w:rsidRDefault="001F38C7" w:rsidP="001F38C7">
            <w:pPr>
              <w:widowControl/>
              <w:autoSpaceDE/>
              <w:autoSpaceDN/>
              <w:adjustRightInd/>
              <w:jc w:val="center"/>
              <w:rPr>
                <w:sz w:val="18"/>
                <w:szCs w:val="18"/>
              </w:rPr>
            </w:pPr>
            <w:r w:rsidRPr="001F38C7">
              <w:rPr>
                <w:sz w:val="18"/>
                <w:szCs w:val="18"/>
              </w:rPr>
              <w:t>.75</w:t>
            </w:r>
          </w:p>
        </w:tc>
        <w:tc>
          <w:tcPr>
            <w:tcW w:w="900" w:type="dxa"/>
            <w:vAlign w:val="center"/>
            <w:hideMark/>
          </w:tcPr>
          <w:p w14:paraId="5B128BD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w:t>
            </w:r>
          </w:p>
        </w:tc>
      </w:tr>
      <w:tr w:rsidR="001F38C7" w:rsidRPr="001F38C7" w14:paraId="6EFBA346" w14:textId="77777777" w:rsidTr="000C04D7">
        <w:trPr>
          <w:trHeight w:val="510"/>
        </w:trPr>
        <w:tc>
          <w:tcPr>
            <w:tcW w:w="2088" w:type="dxa"/>
            <w:vMerge/>
            <w:hideMark/>
          </w:tcPr>
          <w:p w14:paraId="10645B30"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750AF137"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Accreditation</w:t>
            </w:r>
          </w:p>
        </w:tc>
        <w:tc>
          <w:tcPr>
            <w:tcW w:w="1260" w:type="dxa"/>
            <w:noWrap/>
            <w:vAlign w:val="center"/>
            <w:hideMark/>
          </w:tcPr>
          <w:p w14:paraId="3FD4AE5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1193" w:type="dxa"/>
            <w:noWrap/>
            <w:vAlign w:val="center"/>
            <w:hideMark/>
          </w:tcPr>
          <w:p w14:paraId="5D30EDAF"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391B479D"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990" w:type="dxa"/>
            <w:noWrap/>
            <w:vAlign w:val="center"/>
            <w:hideMark/>
          </w:tcPr>
          <w:p w14:paraId="6697213B"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4EE2D46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w:t>
            </w:r>
          </w:p>
        </w:tc>
      </w:tr>
      <w:tr w:rsidR="001F38C7" w:rsidRPr="001F38C7" w14:paraId="7E9D0F54" w14:textId="77777777" w:rsidTr="000C04D7">
        <w:trPr>
          <w:trHeight w:val="600"/>
        </w:trPr>
        <w:tc>
          <w:tcPr>
            <w:tcW w:w="2088" w:type="dxa"/>
            <w:vMerge w:val="restart"/>
            <w:hideMark/>
          </w:tcPr>
          <w:p w14:paraId="46B39A2F" w14:textId="77777777" w:rsidR="001F38C7" w:rsidRPr="001F38C7" w:rsidRDefault="001F38C7" w:rsidP="001F38C7">
            <w:pPr>
              <w:widowControl/>
              <w:autoSpaceDE/>
              <w:autoSpaceDN/>
              <w:adjustRightInd/>
              <w:rPr>
                <w:sz w:val="18"/>
                <w:szCs w:val="18"/>
              </w:rPr>
            </w:pPr>
            <w:r w:rsidRPr="001F38C7">
              <w:rPr>
                <w:bCs/>
                <w:sz w:val="18"/>
                <w:szCs w:val="18"/>
              </w:rPr>
              <w:t>§</w:t>
            </w:r>
            <w:r w:rsidRPr="001F38C7">
              <w:rPr>
                <w:sz w:val="18"/>
                <w:szCs w:val="18"/>
              </w:rPr>
              <w:t xml:space="preserve"> 60.12: Reporting adverse actions taken against clinical privileges.</w:t>
            </w:r>
          </w:p>
          <w:p w14:paraId="732ECA53"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tc>
        <w:tc>
          <w:tcPr>
            <w:tcW w:w="2227" w:type="dxa"/>
            <w:noWrap/>
            <w:hideMark/>
          </w:tcPr>
          <w:p w14:paraId="6514B668" w14:textId="77777777" w:rsidR="001F38C7" w:rsidRPr="001F38C7" w:rsidRDefault="001F38C7" w:rsidP="001F38C7">
            <w:pPr>
              <w:widowControl/>
              <w:autoSpaceDE/>
              <w:autoSpaceDN/>
              <w:adjustRightInd/>
              <w:rPr>
                <w:sz w:val="18"/>
                <w:szCs w:val="18"/>
              </w:rPr>
            </w:pPr>
            <w:r w:rsidRPr="001F38C7">
              <w:rPr>
                <w:sz w:val="18"/>
                <w:szCs w:val="18"/>
              </w:rPr>
              <w:t>Title IV Clinical Privileges Actions</w:t>
            </w:r>
          </w:p>
        </w:tc>
        <w:tc>
          <w:tcPr>
            <w:tcW w:w="1260" w:type="dxa"/>
            <w:noWrap/>
            <w:vAlign w:val="center"/>
            <w:hideMark/>
          </w:tcPr>
          <w:p w14:paraId="66A68F1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698</w:t>
            </w:r>
          </w:p>
        </w:tc>
        <w:tc>
          <w:tcPr>
            <w:tcW w:w="1193" w:type="dxa"/>
            <w:noWrap/>
            <w:vAlign w:val="center"/>
            <w:hideMark/>
          </w:tcPr>
          <w:p w14:paraId="1ECD5BD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47496787"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698</w:t>
            </w:r>
          </w:p>
        </w:tc>
        <w:tc>
          <w:tcPr>
            <w:tcW w:w="990" w:type="dxa"/>
            <w:noWrap/>
            <w:vAlign w:val="center"/>
            <w:hideMark/>
          </w:tcPr>
          <w:p w14:paraId="66157BC2"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6139B9E2"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524</w:t>
            </w:r>
          </w:p>
        </w:tc>
      </w:tr>
      <w:tr w:rsidR="001F38C7" w:rsidRPr="001F38C7" w14:paraId="2F14E55A" w14:textId="77777777" w:rsidTr="000C04D7">
        <w:trPr>
          <w:trHeight w:val="600"/>
        </w:trPr>
        <w:tc>
          <w:tcPr>
            <w:tcW w:w="2088" w:type="dxa"/>
            <w:vMerge/>
            <w:hideMark/>
          </w:tcPr>
          <w:p w14:paraId="6A620FDC"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4F075EFC"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xml:space="preserve">Professional Society </w:t>
            </w:r>
          </w:p>
        </w:tc>
        <w:tc>
          <w:tcPr>
            <w:tcW w:w="1260" w:type="dxa"/>
            <w:noWrap/>
            <w:vAlign w:val="center"/>
            <w:hideMark/>
          </w:tcPr>
          <w:p w14:paraId="68D3D13F"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49</w:t>
            </w:r>
          </w:p>
        </w:tc>
        <w:tc>
          <w:tcPr>
            <w:tcW w:w="1193" w:type="dxa"/>
            <w:noWrap/>
            <w:vAlign w:val="center"/>
            <w:hideMark/>
          </w:tcPr>
          <w:p w14:paraId="210F46B7"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62189260"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49</w:t>
            </w:r>
          </w:p>
        </w:tc>
        <w:tc>
          <w:tcPr>
            <w:tcW w:w="990" w:type="dxa"/>
            <w:noWrap/>
            <w:vAlign w:val="center"/>
            <w:hideMark/>
          </w:tcPr>
          <w:p w14:paraId="63B45A0B"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18EF4ACA"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37</w:t>
            </w:r>
          </w:p>
        </w:tc>
      </w:tr>
      <w:tr w:rsidR="001F38C7" w:rsidRPr="001F38C7" w14:paraId="2D312825" w14:textId="77777777" w:rsidTr="000C04D7">
        <w:trPr>
          <w:trHeight w:val="600"/>
        </w:trPr>
        <w:tc>
          <w:tcPr>
            <w:tcW w:w="2088" w:type="dxa"/>
            <w:vMerge w:val="restart"/>
            <w:hideMark/>
          </w:tcPr>
          <w:p w14:paraId="4FAF697D" w14:textId="77777777" w:rsidR="001F38C7" w:rsidRPr="001F38C7" w:rsidRDefault="001F38C7" w:rsidP="001F38C7">
            <w:pPr>
              <w:widowControl/>
              <w:autoSpaceDE/>
              <w:autoSpaceDN/>
              <w:adjustRightInd/>
              <w:rPr>
                <w:sz w:val="18"/>
                <w:szCs w:val="18"/>
              </w:rPr>
            </w:pPr>
            <w:r w:rsidRPr="001F38C7">
              <w:rPr>
                <w:bCs/>
                <w:sz w:val="18"/>
                <w:szCs w:val="18"/>
              </w:rPr>
              <w:t>§</w:t>
            </w:r>
            <w:r w:rsidRPr="001F38C7">
              <w:rPr>
                <w:sz w:val="18"/>
                <w:szCs w:val="18"/>
              </w:rPr>
              <w:t xml:space="preserve"> 60.13: Reporting Federal or State criminal convictions related to the delivery of a health care item or service.</w:t>
            </w:r>
          </w:p>
          <w:p w14:paraId="176EB84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p w14:paraId="0DA13E4A"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p w14:paraId="7DDF47F7"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tc>
        <w:tc>
          <w:tcPr>
            <w:tcW w:w="2227" w:type="dxa"/>
            <w:noWrap/>
            <w:hideMark/>
          </w:tcPr>
          <w:p w14:paraId="79D8B993" w14:textId="77777777" w:rsidR="001F38C7" w:rsidRPr="001F38C7" w:rsidRDefault="001F38C7" w:rsidP="001F38C7">
            <w:pPr>
              <w:widowControl/>
              <w:autoSpaceDE/>
              <w:autoSpaceDN/>
              <w:adjustRightInd/>
              <w:rPr>
                <w:sz w:val="18"/>
                <w:szCs w:val="18"/>
              </w:rPr>
            </w:pPr>
            <w:r w:rsidRPr="001F38C7">
              <w:rPr>
                <w:sz w:val="18"/>
                <w:szCs w:val="18"/>
              </w:rPr>
              <w:t>Criminal Conviction (Guilty Plea or Trial)</w:t>
            </w:r>
          </w:p>
          <w:p w14:paraId="0A543D82" w14:textId="77777777" w:rsidR="001F38C7" w:rsidRPr="001F38C7" w:rsidRDefault="001F38C7" w:rsidP="001F38C7">
            <w:pPr>
              <w:widowControl/>
              <w:autoSpaceDE/>
              <w:autoSpaceDN/>
              <w:adjustRightInd/>
              <w:rPr>
                <w:sz w:val="18"/>
                <w:szCs w:val="18"/>
              </w:rPr>
            </w:pPr>
            <w:r w:rsidRPr="001F38C7">
              <w:rPr>
                <w:sz w:val="18"/>
                <w:szCs w:val="18"/>
              </w:rPr>
              <w:t>(manual)</w:t>
            </w:r>
          </w:p>
        </w:tc>
        <w:tc>
          <w:tcPr>
            <w:tcW w:w="1260" w:type="dxa"/>
            <w:noWrap/>
            <w:vAlign w:val="center"/>
            <w:hideMark/>
          </w:tcPr>
          <w:p w14:paraId="5CC8568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1,140</w:t>
            </w:r>
          </w:p>
        </w:tc>
        <w:tc>
          <w:tcPr>
            <w:tcW w:w="1193" w:type="dxa"/>
            <w:noWrap/>
            <w:vAlign w:val="center"/>
            <w:hideMark/>
          </w:tcPr>
          <w:p w14:paraId="0CAB6823"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26C6AEF4"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1,140</w:t>
            </w:r>
          </w:p>
        </w:tc>
        <w:tc>
          <w:tcPr>
            <w:tcW w:w="990" w:type="dxa"/>
            <w:noWrap/>
            <w:vAlign w:val="center"/>
            <w:hideMark/>
          </w:tcPr>
          <w:p w14:paraId="2F328EDF"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419FDEBF"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855</w:t>
            </w:r>
          </w:p>
        </w:tc>
      </w:tr>
      <w:tr w:rsidR="001F38C7" w:rsidRPr="001F38C7" w14:paraId="41CF1093" w14:textId="77777777" w:rsidTr="000C04D7">
        <w:trPr>
          <w:trHeight w:val="600"/>
        </w:trPr>
        <w:tc>
          <w:tcPr>
            <w:tcW w:w="2088" w:type="dxa"/>
            <w:vMerge/>
          </w:tcPr>
          <w:p w14:paraId="51DDD65A" w14:textId="77777777" w:rsidR="001F38C7" w:rsidRPr="001F38C7" w:rsidRDefault="001F38C7" w:rsidP="001F38C7">
            <w:pPr>
              <w:widowControl/>
              <w:autoSpaceDE/>
              <w:autoSpaceDN/>
              <w:adjustRightInd/>
              <w:rPr>
                <w:bCs/>
                <w:sz w:val="18"/>
                <w:szCs w:val="18"/>
              </w:rPr>
            </w:pPr>
          </w:p>
        </w:tc>
        <w:tc>
          <w:tcPr>
            <w:tcW w:w="2227" w:type="dxa"/>
            <w:noWrap/>
          </w:tcPr>
          <w:p w14:paraId="46751C67" w14:textId="77777777" w:rsidR="001F38C7" w:rsidRPr="001F38C7" w:rsidRDefault="001F38C7" w:rsidP="001F38C7">
            <w:pPr>
              <w:widowControl/>
              <w:autoSpaceDE/>
              <w:autoSpaceDN/>
              <w:adjustRightInd/>
              <w:rPr>
                <w:sz w:val="18"/>
                <w:szCs w:val="18"/>
              </w:rPr>
            </w:pPr>
            <w:r w:rsidRPr="001F38C7">
              <w:rPr>
                <w:sz w:val="18"/>
                <w:szCs w:val="18"/>
              </w:rPr>
              <w:t>Criminal Conviction (Guilty Plea or Trial)</w:t>
            </w:r>
          </w:p>
          <w:p w14:paraId="15CF6FDD" w14:textId="77777777" w:rsidR="001F38C7" w:rsidRPr="001F38C7" w:rsidRDefault="001F38C7" w:rsidP="001F38C7">
            <w:pPr>
              <w:widowControl/>
              <w:autoSpaceDE/>
              <w:autoSpaceDN/>
              <w:adjustRightInd/>
              <w:rPr>
                <w:sz w:val="18"/>
                <w:szCs w:val="18"/>
              </w:rPr>
            </w:pPr>
            <w:r w:rsidRPr="001F38C7">
              <w:rPr>
                <w:sz w:val="18"/>
                <w:szCs w:val="18"/>
              </w:rPr>
              <w:t>(automated)</w:t>
            </w:r>
          </w:p>
        </w:tc>
        <w:tc>
          <w:tcPr>
            <w:tcW w:w="1260" w:type="dxa"/>
            <w:noWrap/>
            <w:vAlign w:val="center"/>
          </w:tcPr>
          <w:p w14:paraId="52033FF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688</w:t>
            </w:r>
          </w:p>
        </w:tc>
        <w:tc>
          <w:tcPr>
            <w:tcW w:w="1193" w:type="dxa"/>
            <w:noWrap/>
            <w:vAlign w:val="center"/>
          </w:tcPr>
          <w:p w14:paraId="61B98F9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26C5874B"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688</w:t>
            </w:r>
          </w:p>
        </w:tc>
        <w:tc>
          <w:tcPr>
            <w:tcW w:w="990" w:type="dxa"/>
            <w:noWrap/>
            <w:vAlign w:val="center"/>
          </w:tcPr>
          <w:p w14:paraId="02E40504"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.0003</w:t>
            </w:r>
          </w:p>
        </w:tc>
        <w:tc>
          <w:tcPr>
            <w:tcW w:w="900" w:type="dxa"/>
            <w:vAlign w:val="center"/>
          </w:tcPr>
          <w:p w14:paraId="00A129D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r>
      <w:tr w:rsidR="001F38C7" w:rsidRPr="001F38C7" w14:paraId="666DEA66" w14:textId="77777777" w:rsidTr="000C04D7">
        <w:trPr>
          <w:trHeight w:val="600"/>
        </w:trPr>
        <w:tc>
          <w:tcPr>
            <w:tcW w:w="2088" w:type="dxa"/>
            <w:vMerge/>
            <w:hideMark/>
          </w:tcPr>
          <w:p w14:paraId="3FBB9E5B"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1BB6D051" w14:textId="77777777" w:rsidR="001F38C7" w:rsidRPr="001F38C7" w:rsidRDefault="001F38C7" w:rsidP="001F38C7">
            <w:pPr>
              <w:widowControl/>
              <w:autoSpaceDE/>
              <w:autoSpaceDN/>
              <w:adjustRightInd/>
              <w:rPr>
                <w:sz w:val="18"/>
                <w:szCs w:val="18"/>
              </w:rPr>
            </w:pPr>
            <w:r w:rsidRPr="001F38C7">
              <w:rPr>
                <w:sz w:val="18"/>
                <w:szCs w:val="18"/>
              </w:rPr>
              <w:t xml:space="preserve">Deferred Conviction or Pre-Trial Diversion </w:t>
            </w:r>
          </w:p>
        </w:tc>
        <w:tc>
          <w:tcPr>
            <w:tcW w:w="1260" w:type="dxa"/>
            <w:noWrap/>
            <w:vAlign w:val="center"/>
            <w:hideMark/>
          </w:tcPr>
          <w:p w14:paraId="4F62834C"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54</w:t>
            </w:r>
          </w:p>
        </w:tc>
        <w:tc>
          <w:tcPr>
            <w:tcW w:w="1193" w:type="dxa"/>
            <w:noWrap/>
            <w:vAlign w:val="center"/>
            <w:hideMark/>
          </w:tcPr>
          <w:p w14:paraId="1153EC94"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5BA7A7C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54</w:t>
            </w:r>
          </w:p>
        </w:tc>
        <w:tc>
          <w:tcPr>
            <w:tcW w:w="990" w:type="dxa"/>
            <w:noWrap/>
            <w:vAlign w:val="center"/>
            <w:hideMark/>
          </w:tcPr>
          <w:p w14:paraId="49DD72F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4F901B23"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41</w:t>
            </w:r>
          </w:p>
        </w:tc>
      </w:tr>
      <w:tr w:rsidR="001F38C7" w:rsidRPr="001F38C7" w14:paraId="64B1510B" w14:textId="77777777" w:rsidTr="000C04D7">
        <w:trPr>
          <w:trHeight w:val="600"/>
        </w:trPr>
        <w:tc>
          <w:tcPr>
            <w:tcW w:w="2088" w:type="dxa"/>
            <w:vMerge/>
            <w:hideMark/>
          </w:tcPr>
          <w:p w14:paraId="21C63F5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4D78E936" w14:textId="77777777" w:rsidR="001F38C7" w:rsidRPr="001F38C7" w:rsidRDefault="001F38C7" w:rsidP="001F38C7">
            <w:pPr>
              <w:widowControl/>
              <w:autoSpaceDE/>
              <w:autoSpaceDN/>
              <w:adjustRightInd/>
              <w:rPr>
                <w:sz w:val="18"/>
                <w:szCs w:val="18"/>
              </w:rPr>
            </w:pPr>
            <w:r w:rsidRPr="001F38C7">
              <w:rPr>
                <w:sz w:val="18"/>
                <w:szCs w:val="18"/>
              </w:rPr>
              <w:t>Nolo Contendere (No Contest) Plea</w:t>
            </w:r>
          </w:p>
        </w:tc>
        <w:tc>
          <w:tcPr>
            <w:tcW w:w="1260" w:type="dxa"/>
            <w:noWrap/>
            <w:vAlign w:val="center"/>
            <w:hideMark/>
          </w:tcPr>
          <w:p w14:paraId="32979914"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85</w:t>
            </w:r>
          </w:p>
        </w:tc>
        <w:tc>
          <w:tcPr>
            <w:tcW w:w="1193" w:type="dxa"/>
            <w:noWrap/>
            <w:vAlign w:val="center"/>
            <w:hideMark/>
          </w:tcPr>
          <w:p w14:paraId="7CD873A5"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16D989EA"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85</w:t>
            </w:r>
          </w:p>
        </w:tc>
        <w:tc>
          <w:tcPr>
            <w:tcW w:w="990" w:type="dxa"/>
            <w:noWrap/>
            <w:vAlign w:val="center"/>
            <w:hideMark/>
          </w:tcPr>
          <w:p w14:paraId="328C8AFC"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54BCA922"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64</w:t>
            </w:r>
          </w:p>
        </w:tc>
      </w:tr>
      <w:tr w:rsidR="001F38C7" w:rsidRPr="001F38C7" w14:paraId="1AFE73D0" w14:textId="77777777" w:rsidTr="000C04D7">
        <w:trPr>
          <w:trHeight w:val="600"/>
        </w:trPr>
        <w:tc>
          <w:tcPr>
            <w:tcW w:w="2088" w:type="dxa"/>
            <w:vMerge/>
            <w:hideMark/>
          </w:tcPr>
          <w:p w14:paraId="017F0F15"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0272445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Injunction</w:t>
            </w:r>
          </w:p>
        </w:tc>
        <w:tc>
          <w:tcPr>
            <w:tcW w:w="1260" w:type="dxa"/>
            <w:noWrap/>
            <w:vAlign w:val="center"/>
            <w:hideMark/>
          </w:tcPr>
          <w:p w14:paraId="74B386E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1193" w:type="dxa"/>
            <w:noWrap/>
            <w:vAlign w:val="center"/>
            <w:hideMark/>
          </w:tcPr>
          <w:p w14:paraId="264C43F2"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56D7603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990" w:type="dxa"/>
            <w:noWrap/>
            <w:vAlign w:val="center"/>
            <w:hideMark/>
          </w:tcPr>
          <w:p w14:paraId="1F934539" w14:textId="77777777" w:rsidR="001F38C7" w:rsidRPr="001F38C7" w:rsidRDefault="001F38C7" w:rsidP="001F38C7">
            <w:pPr>
              <w:widowControl/>
              <w:autoSpaceDE/>
              <w:autoSpaceDN/>
              <w:adjustRightInd/>
              <w:jc w:val="center"/>
              <w:rPr>
                <w:sz w:val="18"/>
                <w:szCs w:val="18"/>
              </w:rPr>
            </w:pPr>
            <w:r w:rsidRPr="001F38C7">
              <w:rPr>
                <w:sz w:val="18"/>
                <w:szCs w:val="18"/>
              </w:rPr>
              <w:t>.75</w:t>
            </w:r>
          </w:p>
        </w:tc>
        <w:tc>
          <w:tcPr>
            <w:tcW w:w="900" w:type="dxa"/>
            <w:vAlign w:val="center"/>
            <w:hideMark/>
          </w:tcPr>
          <w:p w14:paraId="6FD35F5D"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w:t>
            </w:r>
          </w:p>
        </w:tc>
      </w:tr>
      <w:tr w:rsidR="001F38C7" w:rsidRPr="001F38C7" w14:paraId="466F310D" w14:textId="77777777" w:rsidTr="000C04D7">
        <w:trPr>
          <w:trHeight w:val="980"/>
        </w:trPr>
        <w:tc>
          <w:tcPr>
            <w:tcW w:w="2088" w:type="dxa"/>
            <w:hideMark/>
          </w:tcPr>
          <w:p w14:paraId="2EADC450" w14:textId="77777777" w:rsidR="001F38C7" w:rsidRPr="001F38C7" w:rsidRDefault="001F38C7" w:rsidP="001F38C7">
            <w:pPr>
              <w:widowControl/>
              <w:autoSpaceDE/>
              <w:autoSpaceDN/>
              <w:adjustRightInd/>
              <w:rPr>
                <w:sz w:val="18"/>
                <w:szCs w:val="18"/>
              </w:rPr>
            </w:pPr>
            <w:r w:rsidRPr="001F38C7">
              <w:rPr>
                <w:bCs/>
                <w:sz w:val="18"/>
                <w:szCs w:val="18"/>
              </w:rPr>
              <w:t>§</w:t>
            </w:r>
            <w:r w:rsidRPr="001F38C7">
              <w:rPr>
                <w:sz w:val="18"/>
                <w:szCs w:val="18"/>
              </w:rPr>
              <w:t xml:space="preserve"> 60.14: Reporting </w:t>
            </w:r>
            <w:r w:rsidR="00216A45" w:rsidRPr="001F38C7">
              <w:rPr>
                <w:sz w:val="18"/>
                <w:szCs w:val="18"/>
              </w:rPr>
              <w:t>civil judgments</w:t>
            </w:r>
            <w:r w:rsidRPr="001F38C7">
              <w:rPr>
                <w:sz w:val="18"/>
                <w:szCs w:val="18"/>
              </w:rPr>
              <w:t xml:space="preserve"> related to the delivery of a health care item or service.</w:t>
            </w:r>
          </w:p>
        </w:tc>
        <w:tc>
          <w:tcPr>
            <w:tcW w:w="2227" w:type="dxa"/>
            <w:noWrap/>
            <w:hideMark/>
          </w:tcPr>
          <w:p w14:paraId="5B50EB0E" w14:textId="77777777" w:rsidR="001F38C7" w:rsidRPr="001F38C7" w:rsidRDefault="001F38C7" w:rsidP="001F38C7">
            <w:pPr>
              <w:widowControl/>
              <w:autoSpaceDE/>
              <w:autoSpaceDN/>
              <w:adjustRightInd/>
              <w:rPr>
                <w:sz w:val="18"/>
                <w:szCs w:val="18"/>
              </w:rPr>
            </w:pPr>
            <w:r w:rsidRPr="001F38C7">
              <w:rPr>
                <w:sz w:val="18"/>
                <w:szCs w:val="18"/>
              </w:rPr>
              <w:t>Civil Judgment</w:t>
            </w:r>
          </w:p>
        </w:tc>
        <w:tc>
          <w:tcPr>
            <w:tcW w:w="1260" w:type="dxa"/>
            <w:noWrap/>
            <w:vAlign w:val="center"/>
            <w:hideMark/>
          </w:tcPr>
          <w:p w14:paraId="4A56688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1193" w:type="dxa"/>
            <w:noWrap/>
            <w:vAlign w:val="center"/>
            <w:hideMark/>
          </w:tcPr>
          <w:p w14:paraId="6FF5DBB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45FAC3F0"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990" w:type="dxa"/>
            <w:noWrap/>
            <w:vAlign w:val="center"/>
            <w:hideMark/>
          </w:tcPr>
          <w:p w14:paraId="403B9A8A"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49A47D7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w:t>
            </w:r>
          </w:p>
        </w:tc>
      </w:tr>
      <w:tr w:rsidR="001F38C7" w:rsidRPr="001F38C7" w14:paraId="35CF2FB6" w14:textId="77777777" w:rsidTr="000C04D7">
        <w:trPr>
          <w:trHeight w:val="600"/>
        </w:trPr>
        <w:tc>
          <w:tcPr>
            <w:tcW w:w="2088" w:type="dxa"/>
            <w:vMerge w:val="restart"/>
            <w:hideMark/>
          </w:tcPr>
          <w:p w14:paraId="32B9973D" w14:textId="77777777" w:rsidR="001F38C7" w:rsidRPr="001F38C7" w:rsidRDefault="001F38C7" w:rsidP="001F38C7">
            <w:pPr>
              <w:widowControl/>
              <w:autoSpaceDE/>
              <w:autoSpaceDN/>
              <w:adjustRightInd/>
              <w:rPr>
                <w:sz w:val="18"/>
                <w:szCs w:val="18"/>
              </w:rPr>
            </w:pPr>
            <w:r w:rsidRPr="001F38C7">
              <w:rPr>
                <w:bCs/>
                <w:sz w:val="18"/>
                <w:szCs w:val="18"/>
              </w:rPr>
              <w:t>§</w:t>
            </w:r>
            <w:r w:rsidRPr="001F38C7">
              <w:rPr>
                <w:sz w:val="18"/>
                <w:szCs w:val="18"/>
              </w:rPr>
              <w:t xml:space="preserve"> 60.15: Reporting exclusions from participation in Federal or State health care programs.</w:t>
            </w:r>
          </w:p>
          <w:p w14:paraId="14EBDEFF" w14:textId="77777777" w:rsidR="001F38C7" w:rsidRPr="001F38C7" w:rsidRDefault="001F38C7" w:rsidP="001F38C7">
            <w:pPr>
              <w:widowControl/>
              <w:autoSpaceDE/>
              <w:autoSpaceDN/>
              <w:adjustRightInd/>
              <w:rPr>
                <w:sz w:val="18"/>
                <w:szCs w:val="18"/>
              </w:rPr>
            </w:pPr>
          </w:p>
          <w:p w14:paraId="37D69C54" w14:textId="77777777" w:rsidR="001F38C7" w:rsidRPr="001F38C7" w:rsidRDefault="001F38C7" w:rsidP="001F38C7">
            <w:pPr>
              <w:widowControl/>
              <w:autoSpaceDE/>
              <w:autoSpaceDN/>
              <w:adjustRightInd/>
              <w:rPr>
                <w:sz w:val="18"/>
                <w:szCs w:val="18"/>
              </w:rPr>
            </w:pPr>
          </w:p>
        </w:tc>
        <w:tc>
          <w:tcPr>
            <w:tcW w:w="2227" w:type="dxa"/>
            <w:noWrap/>
            <w:hideMark/>
          </w:tcPr>
          <w:p w14:paraId="3F380521" w14:textId="77777777" w:rsidR="001F38C7" w:rsidRPr="001F38C7" w:rsidRDefault="001F38C7" w:rsidP="001F38C7">
            <w:pPr>
              <w:widowControl/>
              <w:autoSpaceDE/>
              <w:autoSpaceDN/>
              <w:adjustRightInd/>
              <w:rPr>
                <w:sz w:val="18"/>
                <w:szCs w:val="18"/>
              </w:rPr>
            </w:pPr>
            <w:r w:rsidRPr="001F38C7">
              <w:rPr>
                <w:sz w:val="18"/>
                <w:szCs w:val="18"/>
              </w:rPr>
              <w:t>Exclusion/Debarment</w:t>
            </w:r>
          </w:p>
          <w:p w14:paraId="632988D2" w14:textId="77777777" w:rsidR="001F38C7" w:rsidRPr="001F38C7" w:rsidRDefault="001F38C7" w:rsidP="001F38C7">
            <w:pPr>
              <w:widowControl/>
              <w:autoSpaceDE/>
              <w:autoSpaceDN/>
              <w:adjustRightInd/>
              <w:rPr>
                <w:sz w:val="18"/>
                <w:szCs w:val="18"/>
              </w:rPr>
            </w:pPr>
            <w:r w:rsidRPr="001F38C7">
              <w:rPr>
                <w:sz w:val="18"/>
                <w:szCs w:val="18"/>
              </w:rPr>
              <w:t>(manual)</w:t>
            </w:r>
          </w:p>
        </w:tc>
        <w:tc>
          <w:tcPr>
            <w:tcW w:w="1260" w:type="dxa"/>
            <w:noWrap/>
            <w:vAlign w:val="center"/>
            <w:hideMark/>
          </w:tcPr>
          <w:p w14:paraId="4B72C53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1,624</w:t>
            </w:r>
          </w:p>
        </w:tc>
        <w:tc>
          <w:tcPr>
            <w:tcW w:w="1193" w:type="dxa"/>
            <w:noWrap/>
            <w:vAlign w:val="center"/>
            <w:hideMark/>
          </w:tcPr>
          <w:p w14:paraId="0D04C28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0AA7459B"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1,624</w:t>
            </w:r>
          </w:p>
        </w:tc>
        <w:tc>
          <w:tcPr>
            <w:tcW w:w="990" w:type="dxa"/>
            <w:noWrap/>
            <w:vAlign w:val="center"/>
            <w:hideMark/>
          </w:tcPr>
          <w:p w14:paraId="4E26044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237E0D4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1,218</w:t>
            </w:r>
          </w:p>
        </w:tc>
      </w:tr>
      <w:tr w:rsidR="001F38C7" w:rsidRPr="001F38C7" w14:paraId="5FB40277" w14:textId="77777777" w:rsidTr="000C04D7">
        <w:trPr>
          <w:trHeight w:val="600"/>
        </w:trPr>
        <w:tc>
          <w:tcPr>
            <w:tcW w:w="2088" w:type="dxa"/>
            <w:vMerge/>
          </w:tcPr>
          <w:p w14:paraId="68661C53" w14:textId="77777777" w:rsidR="001F38C7" w:rsidRPr="001F38C7" w:rsidRDefault="001F38C7" w:rsidP="001F38C7">
            <w:pPr>
              <w:widowControl/>
              <w:autoSpaceDE/>
              <w:autoSpaceDN/>
              <w:adjustRightInd/>
              <w:rPr>
                <w:bCs/>
                <w:sz w:val="18"/>
                <w:szCs w:val="18"/>
              </w:rPr>
            </w:pPr>
          </w:p>
        </w:tc>
        <w:tc>
          <w:tcPr>
            <w:tcW w:w="2227" w:type="dxa"/>
            <w:noWrap/>
          </w:tcPr>
          <w:p w14:paraId="305999BC" w14:textId="77777777" w:rsidR="001F38C7" w:rsidRPr="001F38C7" w:rsidRDefault="001F38C7" w:rsidP="001F38C7">
            <w:pPr>
              <w:widowControl/>
              <w:autoSpaceDE/>
              <w:autoSpaceDN/>
              <w:adjustRightInd/>
              <w:rPr>
                <w:sz w:val="18"/>
                <w:szCs w:val="18"/>
              </w:rPr>
            </w:pPr>
            <w:r w:rsidRPr="001F38C7">
              <w:rPr>
                <w:sz w:val="18"/>
                <w:szCs w:val="18"/>
              </w:rPr>
              <w:t>Exclusion/Debarment</w:t>
            </w:r>
          </w:p>
          <w:p w14:paraId="786B8541" w14:textId="77777777" w:rsidR="001F38C7" w:rsidRPr="001F38C7" w:rsidRDefault="001F38C7" w:rsidP="001F38C7">
            <w:pPr>
              <w:widowControl/>
              <w:autoSpaceDE/>
              <w:autoSpaceDN/>
              <w:adjustRightInd/>
              <w:rPr>
                <w:sz w:val="18"/>
                <w:szCs w:val="18"/>
              </w:rPr>
            </w:pPr>
            <w:r w:rsidRPr="001F38C7">
              <w:rPr>
                <w:sz w:val="18"/>
                <w:szCs w:val="18"/>
              </w:rPr>
              <w:t>(automated)</w:t>
            </w:r>
          </w:p>
        </w:tc>
        <w:tc>
          <w:tcPr>
            <w:tcW w:w="1260" w:type="dxa"/>
            <w:noWrap/>
            <w:vAlign w:val="center"/>
          </w:tcPr>
          <w:p w14:paraId="4FE4052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3,180</w:t>
            </w:r>
          </w:p>
        </w:tc>
        <w:tc>
          <w:tcPr>
            <w:tcW w:w="1193" w:type="dxa"/>
            <w:noWrap/>
            <w:vAlign w:val="center"/>
          </w:tcPr>
          <w:p w14:paraId="79A66A6D"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004DDFD2"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3,180</w:t>
            </w:r>
          </w:p>
        </w:tc>
        <w:tc>
          <w:tcPr>
            <w:tcW w:w="990" w:type="dxa"/>
            <w:noWrap/>
            <w:vAlign w:val="center"/>
          </w:tcPr>
          <w:p w14:paraId="46903775"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.0003</w:t>
            </w:r>
          </w:p>
        </w:tc>
        <w:tc>
          <w:tcPr>
            <w:tcW w:w="900" w:type="dxa"/>
            <w:vAlign w:val="center"/>
          </w:tcPr>
          <w:p w14:paraId="25AC57E0"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r>
      <w:tr w:rsidR="001F38C7" w:rsidRPr="001F38C7" w14:paraId="786515C3" w14:textId="77777777" w:rsidTr="0039528F">
        <w:trPr>
          <w:trHeight w:val="600"/>
        </w:trPr>
        <w:tc>
          <w:tcPr>
            <w:tcW w:w="2088" w:type="dxa"/>
            <w:vMerge w:val="restart"/>
            <w:hideMark/>
          </w:tcPr>
          <w:p w14:paraId="17CF841F" w14:textId="77777777" w:rsidR="001F38C7" w:rsidRPr="001F38C7" w:rsidRDefault="001F38C7" w:rsidP="001F38C7">
            <w:pPr>
              <w:widowControl/>
              <w:autoSpaceDE/>
              <w:autoSpaceDN/>
              <w:adjustRightInd/>
              <w:rPr>
                <w:sz w:val="18"/>
                <w:szCs w:val="18"/>
              </w:rPr>
            </w:pPr>
            <w:r w:rsidRPr="001F38C7">
              <w:rPr>
                <w:bCs/>
                <w:sz w:val="18"/>
                <w:szCs w:val="18"/>
              </w:rPr>
              <w:t>§</w:t>
            </w:r>
            <w:r w:rsidRPr="001F38C7">
              <w:rPr>
                <w:sz w:val="18"/>
                <w:szCs w:val="18"/>
              </w:rPr>
              <w:t xml:space="preserve"> 60.16: Reporting other adjudicated actions or decisions.</w:t>
            </w:r>
          </w:p>
          <w:p w14:paraId="0F0C5A87"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tc>
        <w:tc>
          <w:tcPr>
            <w:tcW w:w="2227" w:type="dxa"/>
            <w:noWrap/>
            <w:hideMark/>
          </w:tcPr>
          <w:p w14:paraId="67F9A889" w14:textId="77777777" w:rsidR="001F38C7" w:rsidRPr="001F38C7" w:rsidRDefault="001F38C7" w:rsidP="001F38C7">
            <w:pPr>
              <w:widowControl/>
              <w:autoSpaceDE/>
              <w:autoSpaceDN/>
              <w:adjustRightInd/>
              <w:rPr>
                <w:sz w:val="18"/>
                <w:szCs w:val="18"/>
              </w:rPr>
            </w:pPr>
            <w:r w:rsidRPr="001F38C7">
              <w:rPr>
                <w:sz w:val="18"/>
                <w:szCs w:val="18"/>
              </w:rPr>
              <w:t>Government Administrative</w:t>
            </w:r>
          </w:p>
        </w:tc>
        <w:tc>
          <w:tcPr>
            <w:tcW w:w="1260" w:type="dxa"/>
            <w:noWrap/>
            <w:vAlign w:val="center"/>
            <w:hideMark/>
          </w:tcPr>
          <w:p w14:paraId="6FC37226"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2,062</w:t>
            </w:r>
          </w:p>
        </w:tc>
        <w:tc>
          <w:tcPr>
            <w:tcW w:w="1193" w:type="dxa"/>
            <w:noWrap/>
            <w:vAlign w:val="center"/>
            <w:hideMark/>
          </w:tcPr>
          <w:p w14:paraId="37FF089A"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4DF9CBE5"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2,062</w:t>
            </w:r>
          </w:p>
        </w:tc>
        <w:tc>
          <w:tcPr>
            <w:tcW w:w="990" w:type="dxa"/>
            <w:noWrap/>
            <w:vAlign w:val="center"/>
            <w:hideMark/>
          </w:tcPr>
          <w:p w14:paraId="030FE2C4"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137B3320"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1,547</w:t>
            </w:r>
          </w:p>
        </w:tc>
      </w:tr>
      <w:tr w:rsidR="001F38C7" w:rsidRPr="001F38C7" w14:paraId="0591063A" w14:textId="77777777" w:rsidTr="0039528F">
        <w:trPr>
          <w:trHeight w:val="600"/>
        </w:trPr>
        <w:tc>
          <w:tcPr>
            <w:tcW w:w="2088" w:type="dxa"/>
            <w:vMerge/>
            <w:hideMark/>
          </w:tcPr>
          <w:p w14:paraId="5900C117"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0CFC74E3"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xml:space="preserve">Health Plan Action  </w:t>
            </w:r>
          </w:p>
        </w:tc>
        <w:tc>
          <w:tcPr>
            <w:tcW w:w="1260" w:type="dxa"/>
            <w:noWrap/>
            <w:vAlign w:val="center"/>
            <w:hideMark/>
          </w:tcPr>
          <w:p w14:paraId="4C1CE0A9"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335</w:t>
            </w:r>
          </w:p>
        </w:tc>
        <w:tc>
          <w:tcPr>
            <w:tcW w:w="1193" w:type="dxa"/>
            <w:noWrap/>
            <w:vAlign w:val="center"/>
            <w:hideMark/>
          </w:tcPr>
          <w:p w14:paraId="0AE39614"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58013935"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335</w:t>
            </w:r>
          </w:p>
        </w:tc>
        <w:tc>
          <w:tcPr>
            <w:tcW w:w="990" w:type="dxa"/>
            <w:noWrap/>
            <w:vAlign w:val="center"/>
            <w:hideMark/>
          </w:tcPr>
          <w:p w14:paraId="41FC8C15"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1096D5B4"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252</w:t>
            </w:r>
          </w:p>
        </w:tc>
      </w:tr>
      <w:tr w:rsidR="001F38C7" w:rsidRPr="001F38C7" w14:paraId="3218AB85" w14:textId="77777777" w:rsidTr="0039528F">
        <w:trPr>
          <w:trHeight w:val="300"/>
        </w:trPr>
        <w:tc>
          <w:tcPr>
            <w:tcW w:w="2088" w:type="dxa"/>
            <w:vMerge w:val="restart"/>
            <w:noWrap/>
            <w:hideMark/>
          </w:tcPr>
          <w:p w14:paraId="27A89C83" w14:textId="77777777" w:rsidR="001F38C7" w:rsidRPr="001F38C7" w:rsidRDefault="001F38C7" w:rsidP="001F38C7">
            <w:pPr>
              <w:widowControl/>
              <w:autoSpaceDE/>
              <w:autoSpaceDN/>
              <w:adjustRightInd/>
              <w:rPr>
                <w:sz w:val="18"/>
                <w:szCs w:val="18"/>
              </w:rPr>
            </w:pPr>
            <w:r w:rsidRPr="001F38C7">
              <w:rPr>
                <w:bCs/>
                <w:sz w:val="18"/>
                <w:szCs w:val="18"/>
              </w:rPr>
              <w:t>§</w:t>
            </w:r>
            <w:r w:rsidRPr="001F38C7">
              <w:rPr>
                <w:sz w:val="18"/>
                <w:szCs w:val="18"/>
              </w:rPr>
              <w:t xml:space="preserve"> 60.18 Requesting Information from the NPDB.</w:t>
            </w:r>
          </w:p>
          <w:p w14:paraId="0A89255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p w14:paraId="4A69FC4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p w14:paraId="5EFF234D"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p w14:paraId="7CFA2B1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tc>
        <w:tc>
          <w:tcPr>
            <w:tcW w:w="2227" w:type="dxa"/>
            <w:noWrap/>
            <w:hideMark/>
          </w:tcPr>
          <w:p w14:paraId="2453332C" w14:textId="77777777" w:rsidR="001F38C7" w:rsidRPr="001F38C7" w:rsidRDefault="001F38C7" w:rsidP="001F38C7">
            <w:pPr>
              <w:widowControl/>
              <w:autoSpaceDE/>
              <w:autoSpaceDN/>
              <w:adjustRightInd/>
              <w:rPr>
                <w:sz w:val="18"/>
                <w:szCs w:val="18"/>
              </w:rPr>
            </w:pPr>
            <w:r w:rsidRPr="001F38C7">
              <w:rPr>
                <w:sz w:val="18"/>
                <w:szCs w:val="18"/>
              </w:rPr>
              <w:t>One-Time Query for an Individual</w:t>
            </w:r>
          </w:p>
          <w:p w14:paraId="26DEEC89" w14:textId="77777777" w:rsidR="001F38C7" w:rsidRPr="001F38C7" w:rsidRDefault="001F38C7" w:rsidP="001F38C7">
            <w:pPr>
              <w:widowControl/>
              <w:autoSpaceDE/>
              <w:autoSpaceDN/>
              <w:adjustRightInd/>
              <w:rPr>
                <w:sz w:val="18"/>
                <w:szCs w:val="18"/>
              </w:rPr>
            </w:pPr>
            <w:r w:rsidRPr="001F38C7">
              <w:rPr>
                <w:sz w:val="18"/>
                <w:szCs w:val="18"/>
              </w:rPr>
              <w:t>(manual)</w:t>
            </w:r>
          </w:p>
        </w:tc>
        <w:tc>
          <w:tcPr>
            <w:tcW w:w="1260" w:type="dxa"/>
            <w:noWrap/>
            <w:vAlign w:val="center"/>
            <w:hideMark/>
          </w:tcPr>
          <w:p w14:paraId="51251D88"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2,054,381</w:t>
            </w:r>
          </w:p>
        </w:tc>
        <w:tc>
          <w:tcPr>
            <w:tcW w:w="1193" w:type="dxa"/>
            <w:noWrap/>
            <w:vAlign w:val="center"/>
            <w:hideMark/>
          </w:tcPr>
          <w:p w14:paraId="17EADB7A"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27F28E78"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2,054,381</w:t>
            </w:r>
          </w:p>
        </w:tc>
        <w:tc>
          <w:tcPr>
            <w:tcW w:w="990" w:type="dxa"/>
            <w:noWrap/>
            <w:vAlign w:val="center"/>
            <w:hideMark/>
          </w:tcPr>
          <w:p w14:paraId="1F505F72"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.08</w:t>
            </w:r>
          </w:p>
        </w:tc>
        <w:tc>
          <w:tcPr>
            <w:tcW w:w="900" w:type="dxa"/>
            <w:vAlign w:val="center"/>
            <w:hideMark/>
          </w:tcPr>
          <w:p w14:paraId="696A67B0"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164,351</w:t>
            </w:r>
          </w:p>
        </w:tc>
      </w:tr>
      <w:tr w:rsidR="001F38C7" w:rsidRPr="001F38C7" w14:paraId="1D8AD7B2" w14:textId="77777777" w:rsidTr="0039528F">
        <w:trPr>
          <w:trHeight w:val="300"/>
        </w:trPr>
        <w:tc>
          <w:tcPr>
            <w:tcW w:w="2088" w:type="dxa"/>
            <w:vMerge/>
            <w:noWrap/>
          </w:tcPr>
          <w:p w14:paraId="7778EC53" w14:textId="77777777" w:rsidR="001F38C7" w:rsidRPr="001F38C7" w:rsidRDefault="001F38C7" w:rsidP="001F38C7">
            <w:pPr>
              <w:widowControl/>
              <w:autoSpaceDE/>
              <w:autoSpaceDN/>
              <w:adjustRightInd/>
              <w:rPr>
                <w:bCs/>
                <w:sz w:val="18"/>
                <w:szCs w:val="18"/>
              </w:rPr>
            </w:pPr>
          </w:p>
        </w:tc>
        <w:tc>
          <w:tcPr>
            <w:tcW w:w="2227" w:type="dxa"/>
            <w:noWrap/>
          </w:tcPr>
          <w:p w14:paraId="750F1247" w14:textId="77777777" w:rsidR="001F38C7" w:rsidRPr="001F38C7" w:rsidRDefault="001F38C7" w:rsidP="001F38C7">
            <w:pPr>
              <w:widowControl/>
              <w:autoSpaceDE/>
              <w:autoSpaceDN/>
              <w:adjustRightInd/>
              <w:rPr>
                <w:sz w:val="18"/>
                <w:szCs w:val="18"/>
              </w:rPr>
            </w:pPr>
            <w:r w:rsidRPr="001F38C7">
              <w:rPr>
                <w:sz w:val="18"/>
                <w:szCs w:val="18"/>
              </w:rPr>
              <w:t>One-Time Query for an Individual</w:t>
            </w:r>
          </w:p>
          <w:p w14:paraId="5E3D1DCF" w14:textId="77777777" w:rsidR="001F38C7" w:rsidRPr="001F38C7" w:rsidRDefault="001F38C7" w:rsidP="001F38C7">
            <w:pPr>
              <w:widowControl/>
              <w:autoSpaceDE/>
              <w:autoSpaceDN/>
              <w:adjustRightInd/>
              <w:rPr>
                <w:sz w:val="18"/>
                <w:szCs w:val="18"/>
              </w:rPr>
            </w:pPr>
            <w:r w:rsidRPr="001F38C7">
              <w:rPr>
                <w:sz w:val="18"/>
                <w:szCs w:val="18"/>
              </w:rPr>
              <w:t>(automated)</w:t>
            </w:r>
          </w:p>
        </w:tc>
        <w:tc>
          <w:tcPr>
            <w:tcW w:w="1260" w:type="dxa"/>
            <w:noWrap/>
            <w:vAlign w:val="center"/>
          </w:tcPr>
          <w:p w14:paraId="69AD7D51"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2,813,341</w:t>
            </w:r>
          </w:p>
        </w:tc>
        <w:tc>
          <w:tcPr>
            <w:tcW w:w="1193" w:type="dxa"/>
            <w:noWrap/>
            <w:vAlign w:val="center"/>
          </w:tcPr>
          <w:p w14:paraId="3FAD7494"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7C5E17AC"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2,813,341</w:t>
            </w:r>
          </w:p>
        </w:tc>
        <w:tc>
          <w:tcPr>
            <w:tcW w:w="990" w:type="dxa"/>
            <w:noWrap/>
            <w:vAlign w:val="center"/>
          </w:tcPr>
          <w:p w14:paraId="40BF0D62"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.0003</w:t>
            </w:r>
          </w:p>
        </w:tc>
        <w:tc>
          <w:tcPr>
            <w:tcW w:w="900" w:type="dxa"/>
            <w:vAlign w:val="center"/>
          </w:tcPr>
          <w:p w14:paraId="7C7131A7"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844</w:t>
            </w:r>
          </w:p>
        </w:tc>
      </w:tr>
      <w:tr w:rsidR="001F38C7" w:rsidRPr="001F38C7" w14:paraId="4C3D52FD" w14:textId="77777777" w:rsidTr="0039528F">
        <w:trPr>
          <w:trHeight w:val="300"/>
        </w:trPr>
        <w:tc>
          <w:tcPr>
            <w:tcW w:w="2088" w:type="dxa"/>
            <w:vMerge/>
            <w:noWrap/>
            <w:hideMark/>
          </w:tcPr>
          <w:p w14:paraId="72817D3C"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6CAE6220" w14:textId="77777777" w:rsidR="001F38C7" w:rsidRPr="001F38C7" w:rsidRDefault="001F38C7" w:rsidP="001F38C7">
            <w:pPr>
              <w:widowControl/>
              <w:autoSpaceDE/>
              <w:autoSpaceDN/>
              <w:adjustRightInd/>
              <w:rPr>
                <w:sz w:val="18"/>
                <w:szCs w:val="18"/>
              </w:rPr>
            </w:pPr>
            <w:r w:rsidRPr="001F38C7">
              <w:rPr>
                <w:sz w:val="18"/>
                <w:szCs w:val="18"/>
              </w:rPr>
              <w:t>One-Time Query for an Organization</w:t>
            </w:r>
          </w:p>
          <w:p w14:paraId="78F7653A" w14:textId="77777777" w:rsidR="001F38C7" w:rsidRPr="001F38C7" w:rsidRDefault="001F38C7" w:rsidP="001F38C7">
            <w:pPr>
              <w:widowControl/>
              <w:autoSpaceDE/>
              <w:autoSpaceDN/>
              <w:adjustRightInd/>
              <w:rPr>
                <w:sz w:val="18"/>
                <w:szCs w:val="18"/>
              </w:rPr>
            </w:pPr>
            <w:r w:rsidRPr="001F38C7">
              <w:rPr>
                <w:sz w:val="18"/>
                <w:szCs w:val="18"/>
              </w:rPr>
              <w:t>(manual)</w:t>
            </w:r>
          </w:p>
        </w:tc>
        <w:tc>
          <w:tcPr>
            <w:tcW w:w="1260" w:type="dxa"/>
            <w:noWrap/>
            <w:vAlign w:val="center"/>
            <w:hideMark/>
          </w:tcPr>
          <w:p w14:paraId="45F348CC"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39,695</w:t>
            </w:r>
          </w:p>
        </w:tc>
        <w:tc>
          <w:tcPr>
            <w:tcW w:w="1193" w:type="dxa"/>
            <w:noWrap/>
            <w:vAlign w:val="center"/>
            <w:hideMark/>
          </w:tcPr>
          <w:p w14:paraId="213C9526"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2C32A0E2"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39,695</w:t>
            </w:r>
          </w:p>
        </w:tc>
        <w:tc>
          <w:tcPr>
            <w:tcW w:w="990" w:type="dxa"/>
            <w:noWrap/>
            <w:vAlign w:val="center"/>
            <w:hideMark/>
          </w:tcPr>
          <w:p w14:paraId="2D52BBEB"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.08</w:t>
            </w:r>
          </w:p>
        </w:tc>
        <w:tc>
          <w:tcPr>
            <w:tcW w:w="900" w:type="dxa"/>
            <w:vAlign w:val="center"/>
            <w:hideMark/>
          </w:tcPr>
          <w:p w14:paraId="59FFFA97"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3,176</w:t>
            </w:r>
          </w:p>
        </w:tc>
      </w:tr>
      <w:tr w:rsidR="001F38C7" w:rsidRPr="001F38C7" w14:paraId="04DB8F88" w14:textId="77777777" w:rsidTr="0039528F">
        <w:trPr>
          <w:trHeight w:val="300"/>
        </w:trPr>
        <w:tc>
          <w:tcPr>
            <w:tcW w:w="2088" w:type="dxa"/>
            <w:vMerge/>
            <w:noWrap/>
          </w:tcPr>
          <w:p w14:paraId="67A58F7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557DED72" w14:textId="77777777" w:rsidR="001F38C7" w:rsidRPr="001F38C7" w:rsidRDefault="001F38C7" w:rsidP="001F38C7">
            <w:pPr>
              <w:widowControl/>
              <w:autoSpaceDE/>
              <w:autoSpaceDN/>
              <w:adjustRightInd/>
              <w:rPr>
                <w:sz w:val="18"/>
                <w:szCs w:val="18"/>
              </w:rPr>
            </w:pPr>
            <w:r w:rsidRPr="001F38C7">
              <w:rPr>
                <w:sz w:val="18"/>
                <w:szCs w:val="18"/>
              </w:rPr>
              <w:t>One-Time Query for an Organization</w:t>
            </w:r>
          </w:p>
          <w:p w14:paraId="5B0B1C1C" w14:textId="77777777" w:rsidR="001F38C7" w:rsidRPr="001F38C7" w:rsidRDefault="001F38C7" w:rsidP="001F38C7">
            <w:pPr>
              <w:widowControl/>
              <w:autoSpaceDE/>
              <w:autoSpaceDN/>
              <w:adjustRightInd/>
              <w:rPr>
                <w:sz w:val="18"/>
                <w:szCs w:val="18"/>
              </w:rPr>
            </w:pPr>
            <w:r w:rsidRPr="001F38C7">
              <w:rPr>
                <w:sz w:val="18"/>
                <w:szCs w:val="18"/>
              </w:rPr>
              <w:t>(automated)</w:t>
            </w:r>
          </w:p>
        </w:tc>
        <w:tc>
          <w:tcPr>
            <w:tcW w:w="1260" w:type="dxa"/>
            <w:noWrap/>
            <w:vAlign w:val="center"/>
          </w:tcPr>
          <w:p w14:paraId="54423503"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10,201</w:t>
            </w:r>
          </w:p>
        </w:tc>
        <w:tc>
          <w:tcPr>
            <w:tcW w:w="1193" w:type="dxa"/>
            <w:noWrap/>
            <w:vAlign w:val="center"/>
          </w:tcPr>
          <w:p w14:paraId="0AF8A1F0"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7F693299"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10,201</w:t>
            </w:r>
          </w:p>
        </w:tc>
        <w:tc>
          <w:tcPr>
            <w:tcW w:w="990" w:type="dxa"/>
            <w:noWrap/>
            <w:vAlign w:val="center"/>
          </w:tcPr>
          <w:p w14:paraId="01C7238D"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.0003</w:t>
            </w:r>
          </w:p>
        </w:tc>
        <w:tc>
          <w:tcPr>
            <w:tcW w:w="900" w:type="dxa"/>
            <w:vAlign w:val="center"/>
          </w:tcPr>
          <w:p w14:paraId="4FAB9763"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4</w:t>
            </w:r>
          </w:p>
        </w:tc>
      </w:tr>
      <w:tr w:rsidR="001F38C7" w:rsidRPr="001F38C7" w14:paraId="3E8BC6C8" w14:textId="77777777" w:rsidTr="0039528F">
        <w:trPr>
          <w:trHeight w:val="300"/>
        </w:trPr>
        <w:tc>
          <w:tcPr>
            <w:tcW w:w="2088" w:type="dxa"/>
            <w:vMerge/>
            <w:noWrap/>
            <w:hideMark/>
          </w:tcPr>
          <w:p w14:paraId="761E015C"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78272606" w14:textId="77777777" w:rsidR="001F38C7" w:rsidRPr="001F38C7" w:rsidRDefault="001F38C7" w:rsidP="001F38C7">
            <w:pPr>
              <w:widowControl/>
              <w:autoSpaceDE/>
              <w:autoSpaceDN/>
              <w:adjustRightInd/>
              <w:rPr>
                <w:sz w:val="18"/>
                <w:szCs w:val="18"/>
              </w:rPr>
            </w:pPr>
            <w:r w:rsidRPr="001F38C7">
              <w:rPr>
                <w:sz w:val="18"/>
                <w:szCs w:val="18"/>
              </w:rPr>
              <w:t>Self-Query on an Individual</w:t>
            </w:r>
          </w:p>
        </w:tc>
        <w:tc>
          <w:tcPr>
            <w:tcW w:w="1260" w:type="dxa"/>
            <w:noWrap/>
            <w:vAlign w:val="center"/>
            <w:hideMark/>
          </w:tcPr>
          <w:p w14:paraId="10EA9AE9"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131,481</w:t>
            </w:r>
          </w:p>
        </w:tc>
        <w:tc>
          <w:tcPr>
            <w:tcW w:w="1193" w:type="dxa"/>
            <w:noWrap/>
            <w:vAlign w:val="center"/>
            <w:hideMark/>
          </w:tcPr>
          <w:p w14:paraId="13459152"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6EE4C4DD"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131,481</w:t>
            </w:r>
          </w:p>
        </w:tc>
        <w:tc>
          <w:tcPr>
            <w:tcW w:w="990" w:type="dxa"/>
            <w:noWrap/>
            <w:vAlign w:val="center"/>
            <w:hideMark/>
          </w:tcPr>
          <w:p w14:paraId="59613677"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.42</w:t>
            </w:r>
          </w:p>
        </w:tc>
        <w:tc>
          <w:tcPr>
            <w:tcW w:w="900" w:type="dxa"/>
            <w:vAlign w:val="center"/>
            <w:hideMark/>
          </w:tcPr>
          <w:p w14:paraId="01734787"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55,223</w:t>
            </w:r>
          </w:p>
        </w:tc>
      </w:tr>
      <w:tr w:rsidR="001F38C7" w:rsidRPr="001F38C7" w14:paraId="2A5162EB" w14:textId="77777777" w:rsidTr="0039528F">
        <w:trPr>
          <w:trHeight w:val="300"/>
        </w:trPr>
        <w:tc>
          <w:tcPr>
            <w:tcW w:w="2088" w:type="dxa"/>
            <w:vMerge/>
            <w:noWrap/>
            <w:hideMark/>
          </w:tcPr>
          <w:p w14:paraId="1355BE1A"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5B6AA969" w14:textId="77777777" w:rsidR="001F38C7" w:rsidRPr="001F38C7" w:rsidRDefault="001F38C7" w:rsidP="001F38C7">
            <w:pPr>
              <w:widowControl/>
              <w:autoSpaceDE/>
              <w:autoSpaceDN/>
              <w:adjustRightInd/>
              <w:rPr>
                <w:sz w:val="18"/>
                <w:szCs w:val="18"/>
              </w:rPr>
            </w:pPr>
            <w:r w:rsidRPr="001F38C7">
              <w:rPr>
                <w:sz w:val="18"/>
                <w:szCs w:val="18"/>
              </w:rPr>
              <w:t>Self-Query on an Organization</w:t>
            </w:r>
          </w:p>
        </w:tc>
        <w:tc>
          <w:tcPr>
            <w:tcW w:w="1260" w:type="dxa"/>
            <w:noWrap/>
            <w:vAlign w:val="center"/>
            <w:hideMark/>
          </w:tcPr>
          <w:p w14:paraId="25F2034D"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1,545</w:t>
            </w:r>
          </w:p>
        </w:tc>
        <w:tc>
          <w:tcPr>
            <w:tcW w:w="1193" w:type="dxa"/>
            <w:noWrap/>
            <w:vAlign w:val="center"/>
            <w:hideMark/>
          </w:tcPr>
          <w:p w14:paraId="507578DD"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45AA9299"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1,545</w:t>
            </w:r>
          </w:p>
        </w:tc>
        <w:tc>
          <w:tcPr>
            <w:tcW w:w="990" w:type="dxa"/>
            <w:noWrap/>
            <w:vAlign w:val="center"/>
            <w:hideMark/>
          </w:tcPr>
          <w:p w14:paraId="3BC6C908"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.42</w:t>
            </w:r>
          </w:p>
        </w:tc>
        <w:tc>
          <w:tcPr>
            <w:tcW w:w="900" w:type="dxa"/>
            <w:vAlign w:val="center"/>
            <w:hideMark/>
          </w:tcPr>
          <w:p w14:paraId="541AFC64"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649</w:t>
            </w:r>
          </w:p>
        </w:tc>
      </w:tr>
      <w:tr w:rsidR="001F38C7" w:rsidRPr="001F38C7" w14:paraId="7FA1C371" w14:textId="77777777" w:rsidTr="0039528F">
        <w:trPr>
          <w:trHeight w:val="300"/>
        </w:trPr>
        <w:tc>
          <w:tcPr>
            <w:tcW w:w="2088" w:type="dxa"/>
            <w:vMerge/>
            <w:noWrap/>
            <w:hideMark/>
          </w:tcPr>
          <w:p w14:paraId="0F4C9C0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0909828C" w14:textId="77777777" w:rsidR="001F38C7" w:rsidRPr="001F38C7" w:rsidRDefault="001F38C7" w:rsidP="001F38C7">
            <w:pPr>
              <w:widowControl/>
              <w:autoSpaceDE/>
              <w:autoSpaceDN/>
              <w:adjustRightInd/>
              <w:rPr>
                <w:sz w:val="18"/>
                <w:szCs w:val="18"/>
              </w:rPr>
            </w:pPr>
            <w:r w:rsidRPr="001F38C7">
              <w:rPr>
                <w:sz w:val="18"/>
                <w:szCs w:val="18"/>
              </w:rPr>
              <w:t>Continuous Query  (manual)</w:t>
            </w:r>
          </w:p>
        </w:tc>
        <w:tc>
          <w:tcPr>
            <w:tcW w:w="1260" w:type="dxa"/>
            <w:noWrap/>
            <w:vAlign w:val="center"/>
            <w:hideMark/>
          </w:tcPr>
          <w:p w14:paraId="4CE1E078"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643,860</w:t>
            </w:r>
          </w:p>
        </w:tc>
        <w:tc>
          <w:tcPr>
            <w:tcW w:w="1193" w:type="dxa"/>
            <w:noWrap/>
            <w:vAlign w:val="center"/>
            <w:hideMark/>
          </w:tcPr>
          <w:p w14:paraId="106D2A7F"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470407E1"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643,860</w:t>
            </w:r>
          </w:p>
        </w:tc>
        <w:tc>
          <w:tcPr>
            <w:tcW w:w="990" w:type="dxa"/>
            <w:noWrap/>
            <w:vAlign w:val="center"/>
            <w:hideMark/>
          </w:tcPr>
          <w:p w14:paraId="00AF0FFE"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.08</w:t>
            </w:r>
          </w:p>
        </w:tc>
        <w:tc>
          <w:tcPr>
            <w:tcW w:w="900" w:type="dxa"/>
            <w:vAlign w:val="center"/>
            <w:hideMark/>
          </w:tcPr>
          <w:p w14:paraId="5705412A"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51,509</w:t>
            </w:r>
          </w:p>
        </w:tc>
      </w:tr>
      <w:tr w:rsidR="001F38C7" w:rsidRPr="001F38C7" w14:paraId="74E3DCB1" w14:textId="77777777" w:rsidTr="0039528F">
        <w:trPr>
          <w:trHeight w:val="300"/>
        </w:trPr>
        <w:tc>
          <w:tcPr>
            <w:tcW w:w="2088" w:type="dxa"/>
            <w:vMerge/>
            <w:noWrap/>
          </w:tcPr>
          <w:p w14:paraId="7BD3D3E3"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0874A5D4" w14:textId="77777777" w:rsidR="001F38C7" w:rsidRPr="001F38C7" w:rsidRDefault="001F38C7" w:rsidP="001F38C7">
            <w:pPr>
              <w:widowControl/>
              <w:autoSpaceDE/>
              <w:autoSpaceDN/>
              <w:adjustRightInd/>
              <w:rPr>
                <w:sz w:val="18"/>
                <w:szCs w:val="18"/>
              </w:rPr>
            </w:pPr>
            <w:r w:rsidRPr="001F38C7">
              <w:rPr>
                <w:sz w:val="18"/>
                <w:szCs w:val="18"/>
              </w:rPr>
              <w:t>Continuous Query (automated)</w:t>
            </w:r>
          </w:p>
        </w:tc>
        <w:tc>
          <w:tcPr>
            <w:tcW w:w="1260" w:type="dxa"/>
            <w:noWrap/>
            <w:vAlign w:val="center"/>
          </w:tcPr>
          <w:p w14:paraId="7E0A5AF4"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226,838</w:t>
            </w:r>
          </w:p>
        </w:tc>
        <w:tc>
          <w:tcPr>
            <w:tcW w:w="1193" w:type="dxa"/>
            <w:noWrap/>
            <w:vAlign w:val="center"/>
          </w:tcPr>
          <w:p w14:paraId="6E503188"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15892805"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226,838</w:t>
            </w:r>
          </w:p>
        </w:tc>
        <w:tc>
          <w:tcPr>
            <w:tcW w:w="990" w:type="dxa"/>
            <w:noWrap/>
            <w:vAlign w:val="center"/>
          </w:tcPr>
          <w:p w14:paraId="49D0F3CD"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.0003</w:t>
            </w:r>
          </w:p>
        </w:tc>
        <w:tc>
          <w:tcPr>
            <w:tcW w:w="900" w:type="dxa"/>
            <w:vAlign w:val="center"/>
          </w:tcPr>
          <w:p w14:paraId="7025CAD9"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69</w:t>
            </w:r>
          </w:p>
        </w:tc>
      </w:tr>
      <w:tr w:rsidR="001F38C7" w:rsidRPr="001F38C7" w14:paraId="56A6D52F" w14:textId="77777777" w:rsidTr="0039528F">
        <w:trPr>
          <w:trHeight w:val="300"/>
        </w:trPr>
        <w:tc>
          <w:tcPr>
            <w:tcW w:w="2088" w:type="dxa"/>
            <w:vMerge w:val="restart"/>
            <w:noWrap/>
            <w:hideMark/>
          </w:tcPr>
          <w:p w14:paraId="649667DD" w14:textId="77777777" w:rsidR="001F38C7" w:rsidRPr="001F38C7" w:rsidRDefault="001F38C7" w:rsidP="001F38C7">
            <w:pPr>
              <w:widowControl/>
              <w:autoSpaceDE/>
              <w:autoSpaceDN/>
              <w:adjustRightInd/>
              <w:rPr>
                <w:sz w:val="18"/>
                <w:szCs w:val="18"/>
              </w:rPr>
            </w:pPr>
            <w:r w:rsidRPr="001F38C7">
              <w:rPr>
                <w:bCs/>
                <w:sz w:val="18"/>
                <w:szCs w:val="18"/>
              </w:rPr>
              <w:t>§</w:t>
            </w:r>
            <w:r w:rsidRPr="001F38C7">
              <w:rPr>
                <w:sz w:val="18"/>
                <w:szCs w:val="18"/>
              </w:rPr>
              <w:t xml:space="preserve"> 60.21: How to dispute the accuracy of NPDB information.</w:t>
            </w:r>
          </w:p>
          <w:p w14:paraId="791B62F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tc>
        <w:tc>
          <w:tcPr>
            <w:tcW w:w="2227" w:type="dxa"/>
            <w:noWrap/>
            <w:hideMark/>
          </w:tcPr>
          <w:p w14:paraId="2AB0D48F" w14:textId="77777777" w:rsidR="001F38C7" w:rsidRPr="001F38C7" w:rsidRDefault="001F38C7" w:rsidP="001F38C7">
            <w:pPr>
              <w:widowControl/>
              <w:autoSpaceDE/>
              <w:autoSpaceDN/>
              <w:adjustRightInd/>
              <w:rPr>
                <w:sz w:val="18"/>
                <w:szCs w:val="18"/>
              </w:rPr>
            </w:pPr>
            <w:r w:rsidRPr="001F38C7">
              <w:rPr>
                <w:sz w:val="18"/>
                <w:szCs w:val="18"/>
              </w:rPr>
              <w:t>Subject Statement and Dispute</w:t>
            </w:r>
          </w:p>
        </w:tc>
        <w:tc>
          <w:tcPr>
            <w:tcW w:w="1260" w:type="dxa"/>
            <w:noWrap/>
            <w:vAlign w:val="center"/>
            <w:hideMark/>
          </w:tcPr>
          <w:p w14:paraId="5CD72D37"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3,547</w:t>
            </w:r>
          </w:p>
        </w:tc>
        <w:tc>
          <w:tcPr>
            <w:tcW w:w="1193" w:type="dxa"/>
            <w:noWrap/>
            <w:vAlign w:val="center"/>
            <w:hideMark/>
          </w:tcPr>
          <w:p w14:paraId="45EE8AD2"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6B506D15"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3,547</w:t>
            </w:r>
          </w:p>
        </w:tc>
        <w:tc>
          <w:tcPr>
            <w:tcW w:w="990" w:type="dxa"/>
            <w:noWrap/>
            <w:vAlign w:val="center"/>
            <w:hideMark/>
          </w:tcPr>
          <w:p w14:paraId="0775B3D2"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.75</w:t>
            </w:r>
          </w:p>
        </w:tc>
        <w:tc>
          <w:tcPr>
            <w:tcW w:w="900" w:type="dxa"/>
            <w:vAlign w:val="center"/>
            <w:hideMark/>
          </w:tcPr>
          <w:p w14:paraId="49803610"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2,661</w:t>
            </w:r>
          </w:p>
        </w:tc>
      </w:tr>
      <w:tr w:rsidR="001F38C7" w:rsidRPr="001F38C7" w14:paraId="45A743B4" w14:textId="77777777" w:rsidTr="0039528F">
        <w:trPr>
          <w:trHeight w:val="300"/>
        </w:trPr>
        <w:tc>
          <w:tcPr>
            <w:tcW w:w="2088" w:type="dxa"/>
            <w:vMerge/>
            <w:noWrap/>
            <w:hideMark/>
          </w:tcPr>
          <w:p w14:paraId="594D4FF4"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0601225B" w14:textId="77777777" w:rsidR="001F38C7" w:rsidRPr="001F38C7" w:rsidRDefault="001F38C7" w:rsidP="001F38C7">
            <w:pPr>
              <w:widowControl/>
              <w:autoSpaceDE/>
              <w:autoSpaceDN/>
              <w:adjustRightInd/>
              <w:rPr>
                <w:sz w:val="18"/>
                <w:szCs w:val="18"/>
              </w:rPr>
            </w:pPr>
            <w:r w:rsidRPr="001F38C7">
              <w:rPr>
                <w:sz w:val="18"/>
                <w:szCs w:val="18"/>
              </w:rPr>
              <w:t>Request for Dispute Resolution</w:t>
            </w:r>
          </w:p>
        </w:tc>
        <w:tc>
          <w:tcPr>
            <w:tcW w:w="1260" w:type="dxa"/>
            <w:noWrap/>
            <w:vAlign w:val="center"/>
            <w:hideMark/>
          </w:tcPr>
          <w:p w14:paraId="748FA0F2"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99</w:t>
            </w:r>
          </w:p>
        </w:tc>
        <w:tc>
          <w:tcPr>
            <w:tcW w:w="1193" w:type="dxa"/>
            <w:noWrap/>
            <w:vAlign w:val="center"/>
            <w:hideMark/>
          </w:tcPr>
          <w:p w14:paraId="451E6457"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39FC4455"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99</w:t>
            </w:r>
          </w:p>
        </w:tc>
        <w:tc>
          <w:tcPr>
            <w:tcW w:w="990" w:type="dxa"/>
            <w:noWrap/>
            <w:vAlign w:val="center"/>
            <w:hideMark/>
          </w:tcPr>
          <w:p w14:paraId="1DD64BD8"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w:t>
            </w:r>
          </w:p>
        </w:tc>
        <w:tc>
          <w:tcPr>
            <w:tcW w:w="900" w:type="dxa"/>
            <w:vAlign w:val="center"/>
            <w:hideMark/>
          </w:tcPr>
          <w:p w14:paraId="41286493"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792</w:t>
            </w:r>
          </w:p>
        </w:tc>
      </w:tr>
      <w:tr w:rsidR="001F38C7" w:rsidRPr="001F38C7" w14:paraId="26651ABC" w14:textId="77777777" w:rsidTr="0039528F">
        <w:trPr>
          <w:trHeight w:val="300"/>
        </w:trPr>
        <w:tc>
          <w:tcPr>
            <w:tcW w:w="2088" w:type="dxa"/>
            <w:vMerge w:val="restart"/>
            <w:noWrap/>
            <w:hideMark/>
          </w:tcPr>
          <w:p w14:paraId="3CDD243C"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xml:space="preserve">Administrative </w:t>
            </w:r>
          </w:p>
          <w:p w14:paraId="0AC3F574"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p w14:paraId="1AAC2CF3"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p w14:paraId="5A45168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p w14:paraId="277E385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p w14:paraId="3044791D"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p w14:paraId="4DE70BA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1F38C7">
              <w:rPr>
                <w:sz w:val="18"/>
                <w:szCs w:val="18"/>
              </w:rPr>
              <w:t> </w:t>
            </w:r>
          </w:p>
        </w:tc>
        <w:tc>
          <w:tcPr>
            <w:tcW w:w="2227" w:type="dxa"/>
            <w:noWrap/>
            <w:vAlign w:val="center"/>
            <w:hideMark/>
          </w:tcPr>
          <w:p w14:paraId="33B6CF66" w14:textId="77777777" w:rsidR="001F38C7" w:rsidRPr="001F38C7" w:rsidRDefault="001F38C7" w:rsidP="001F38C7">
            <w:pPr>
              <w:widowControl/>
              <w:autoSpaceDE/>
              <w:autoSpaceDN/>
              <w:adjustRightInd/>
              <w:rPr>
                <w:sz w:val="18"/>
                <w:szCs w:val="18"/>
                <w:highlight w:val="yellow"/>
              </w:rPr>
            </w:pPr>
            <w:r w:rsidRPr="001F38C7">
              <w:rPr>
                <w:sz w:val="18"/>
                <w:szCs w:val="18"/>
              </w:rPr>
              <w:t>Entity Registration (Initial)</w:t>
            </w:r>
          </w:p>
        </w:tc>
        <w:tc>
          <w:tcPr>
            <w:tcW w:w="1260" w:type="dxa"/>
            <w:noWrap/>
            <w:vAlign w:val="center"/>
            <w:hideMark/>
          </w:tcPr>
          <w:p w14:paraId="073F4BB5"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1F38C7">
              <w:rPr>
                <w:sz w:val="18"/>
                <w:szCs w:val="18"/>
              </w:rPr>
              <w:t>1,073</w:t>
            </w:r>
          </w:p>
        </w:tc>
        <w:tc>
          <w:tcPr>
            <w:tcW w:w="1193" w:type="dxa"/>
            <w:noWrap/>
            <w:vAlign w:val="center"/>
            <w:hideMark/>
          </w:tcPr>
          <w:p w14:paraId="22481574"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1F38C7">
              <w:rPr>
                <w:sz w:val="18"/>
                <w:szCs w:val="18"/>
              </w:rPr>
              <w:t>1</w:t>
            </w:r>
          </w:p>
        </w:tc>
        <w:tc>
          <w:tcPr>
            <w:tcW w:w="1170" w:type="dxa"/>
            <w:noWrap/>
            <w:vAlign w:val="center"/>
            <w:hideMark/>
          </w:tcPr>
          <w:p w14:paraId="426BCD8B"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1F38C7">
              <w:rPr>
                <w:sz w:val="18"/>
                <w:szCs w:val="18"/>
              </w:rPr>
              <w:t>1,073</w:t>
            </w:r>
          </w:p>
        </w:tc>
        <w:tc>
          <w:tcPr>
            <w:tcW w:w="990" w:type="dxa"/>
            <w:noWrap/>
            <w:vAlign w:val="center"/>
            <w:hideMark/>
          </w:tcPr>
          <w:p w14:paraId="3CB9357F"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1F38C7">
              <w:rPr>
                <w:sz w:val="18"/>
                <w:szCs w:val="18"/>
              </w:rPr>
              <w:t>1</w:t>
            </w:r>
          </w:p>
        </w:tc>
        <w:tc>
          <w:tcPr>
            <w:tcW w:w="900" w:type="dxa"/>
            <w:vAlign w:val="center"/>
            <w:hideMark/>
          </w:tcPr>
          <w:p w14:paraId="28462779"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1F38C7">
              <w:rPr>
                <w:sz w:val="18"/>
                <w:szCs w:val="18"/>
              </w:rPr>
              <w:t>1,073</w:t>
            </w:r>
          </w:p>
        </w:tc>
      </w:tr>
      <w:tr w:rsidR="001F38C7" w:rsidRPr="001F38C7" w14:paraId="4AE3C558" w14:textId="77777777" w:rsidTr="0039528F">
        <w:trPr>
          <w:trHeight w:val="300"/>
        </w:trPr>
        <w:tc>
          <w:tcPr>
            <w:tcW w:w="2088" w:type="dxa"/>
            <w:vMerge/>
            <w:noWrap/>
            <w:hideMark/>
          </w:tcPr>
          <w:p w14:paraId="0FBF669B"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hideMark/>
          </w:tcPr>
          <w:p w14:paraId="3CD006A6" w14:textId="77777777" w:rsidR="001F38C7" w:rsidRPr="001F38C7" w:rsidRDefault="001F38C7" w:rsidP="001F38C7">
            <w:pPr>
              <w:widowControl/>
              <w:autoSpaceDE/>
              <w:autoSpaceDN/>
              <w:adjustRightInd/>
              <w:rPr>
                <w:sz w:val="18"/>
                <w:szCs w:val="18"/>
                <w:highlight w:val="yellow"/>
              </w:rPr>
            </w:pPr>
            <w:r w:rsidRPr="001F38C7">
              <w:rPr>
                <w:sz w:val="18"/>
                <w:szCs w:val="18"/>
              </w:rPr>
              <w:t>Entity Registration (Renewal &amp; Update)</w:t>
            </w:r>
          </w:p>
        </w:tc>
        <w:tc>
          <w:tcPr>
            <w:tcW w:w="1260" w:type="dxa"/>
            <w:noWrap/>
            <w:vAlign w:val="center"/>
            <w:hideMark/>
          </w:tcPr>
          <w:p w14:paraId="139BECF1"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1F38C7">
              <w:rPr>
                <w:sz w:val="18"/>
                <w:szCs w:val="18"/>
              </w:rPr>
              <w:t>14,060</w:t>
            </w:r>
          </w:p>
        </w:tc>
        <w:tc>
          <w:tcPr>
            <w:tcW w:w="1193" w:type="dxa"/>
            <w:noWrap/>
            <w:vAlign w:val="center"/>
            <w:hideMark/>
          </w:tcPr>
          <w:p w14:paraId="5FDD9CD6"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1F38C7">
              <w:rPr>
                <w:sz w:val="18"/>
                <w:szCs w:val="18"/>
              </w:rPr>
              <w:t>1</w:t>
            </w:r>
          </w:p>
        </w:tc>
        <w:tc>
          <w:tcPr>
            <w:tcW w:w="1170" w:type="dxa"/>
            <w:noWrap/>
            <w:vAlign w:val="center"/>
            <w:hideMark/>
          </w:tcPr>
          <w:p w14:paraId="53D69BED"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1F38C7">
              <w:rPr>
                <w:sz w:val="18"/>
                <w:szCs w:val="18"/>
              </w:rPr>
              <w:t>14,060</w:t>
            </w:r>
          </w:p>
        </w:tc>
        <w:tc>
          <w:tcPr>
            <w:tcW w:w="990" w:type="dxa"/>
            <w:noWrap/>
            <w:vAlign w:val="center"/>
            <w:hideMark/>
          </w:tcPr>
          <w:p w14:paraId="6B28B94C"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1F38C7">
              <w:rPr>
                <w:sz w:val="18"/>
                <w:szCs w:val="18"/>
              </w:rPr>
              <w:t>.25</w:t>
            </w:r>
          </w:p>
        </w:tc>
        <w:tc>
          <w:tcPr>
            <w:tcW w:w="900" w:type="dxa"/>
            <w:vAlign w:val="center"/>
            <w:hideMark/>
          </w:tcPr>
          <w:p w14:paraId="14598F86"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1F38C7">
              <w:rPr>
                <w:sz w:val="18"/>
                <w:szCs w:val="18"/>
              </w:rPr>
              <w:t>3,515</w:t>
            </w:r>
          </w:p>
        </w:tc>
      </w:tr>
      <w:tr w:rsidR="001F38C7" w:rsidRPr="001F38C7" w14:paraId="076F4D17" w14:textId="77777777" w:rsidTr="0039528F">
        <w:trPr>
          <w:trHeight w:val="300"/>
        </w:trPr>
        <w:tc>
          <w:tcPr>
            <w:tcW w:w="2088" w:type="dxa"/>
            <w:vMerge/>
            <w:noWrap/>
          </w:tcPr>
          <w:p w14:paraId="1F16AD9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tcPr>
          <w:p w14:paraId="440F4869" w14:textId="77777777" w:rsidR="001F38C7" w:rsidRPr="001F38C7" w:rsidRDefault="001F38C7" w:rsidP="001F38C7">
            <w:pPr>
              <w:widowControl/>
              <w:autoSpaceDE/>
              <w:autoSpaceDN/>
              <w:adjustRightInd/>
              <w:rPr>
                <w:sz w:val="18"/>
                <w:szCs w:val="18"/>
              </w:rPr>
            </w:pPr>
            <w:r w:rsidRPr="001F38C7">
              <w:rPr>
                <w:sz w:val="18"/>
                <w:szCs w:val="18"/>
              </w:rPr>
              <w:t>Entity Profile</w:t>
            </w:r>
          </w:p>
        </w:tc>
        <w:tc>
          <w:tcPr>
            <w:tcW w:w="1260" w:type="dxa"/>
            <w:noWrap/>
            <w:vAlign w:val="center"/>
          </w:tcPr>
          <w:p w14:paraId="1959BEF6"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9,000</w:t>
            </w:r>
          </w:p>
        </w:tc>
        <w:tc>
          <w:tcPr>
            <w:tcW w:w="1193" w:type="dxa"/>
            <w:noWrap/>
            <w:vAlign w:val="center"/>
          </w:tcPr>
          <w:p w14:paraId="22FF9C8A"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43252450"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9,000</w:t>
            </w:r>
          </w:p>
        </w:tc>
        <w:tc>
          <w:tcPr>
            <w:tcW w:w="990" w:type="dxa"/>
            <w:noWrap/>
            <w:vAlign w:val="center"/>
          </w:tcPr>
          <w:p w14:paraId="02EEE429"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.25</w:t>
            </w:r>
          </w:p>
        </w:tc>
        <w:tc>
          <w:tcPr>
            <w:tcW w:w="900" w:type="dxa"/>
            <w:vAlign w:val="center"/>
          </w:tcPr>
          <w:p w14:paraId="21B3BD3B"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2,250</w:t>
            </w:r>
          </w:p>
        </w:tc>
      </w:tr>
      <w:tr w:rsidR="001F38C7" w:rsidRPr="001F38C7" w14:paraId="2F81FD6D" w14:textId="77777777" w:rsidTr="0039528F">
        <w:trPr>
          <w:trHeight w:val="300"/>
        </w:trPr>
        <w:tc>
          <w:tcPr>
            <w:tcW w:w="2088" w:type="dxa"/>
            <w:vMerge/>
            <w:noWrap/>
          </w:tcPr>
          <w:p w14:paraId="53ED2EDD"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4D2BC760" w14:textId="77777777" w:rsidR="001F38C7" w:rsidRPr="001F38C7" w:rsidRDefault="001F38C7" w:rsidP="001F38C7">
            <w:pPr>
              <w:widowControl/>
              <w:autoSpaceDE/>
              <w:autoSpaceDN/>
              <w:adjustRightInd/>
              <w:rPr>
                <w:sz w:val="18"/>
                <w:szCs w:val="18"/>
              </w:rPr>
            </w:pPr>
            <w:r w:rsidRPr="001F38C7">
              <w:rPr>
                <w:sz w:val="18"/>
                <w:szCs w:val="18"/>
              </w:rPr>
              <w:t>Licensing Board Data Request</w:t>
            </w:r>
          </w:p>
        </w:tc>
        <w:tc>
          <w:tcPr>
            <w:tcW w:w="1260" w:type="dxa"/>
            <w:noWrap/>
            <w:vAlign w:val="center"/>
          </w:tcPr>
          <w:p w14:paraId="238C87B7"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146</w:t>
            </w:r>
          </w:p>
        </w:tc>
        <w:tc>
          <w:tcPr>
            <w:tcW w:w="1193" w:type="dxa"/>
            <w:noWrap/>
            <w:vAlign w:val="center"/>
          </w:tcPr>
          <w:p w14:paraId="613F4927"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53E6368E"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146</w:t>
            </w:r>
          </w:p>
        </w:tc>
        <w:tc>
          <w:tcPr>
            <w:tcW w:w="990" w:type="dxa"/>
            <w:noWrap/>
            <w:vAlign w:val="center"/>
          </w:tcPr>
          <w:p w14:paraId="41C7DA2D"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10.5</w:t>
            </w:r>
          </w:p>
        </w:tc>
        <w:tc>
          <w:tcPr>
            <w:tcW w:w="900" w:type="dxa"/>
            <w:vAlign w:val="center"/>
          </w:tcPr>
          <w:p w14:paraId="2B09BC1A"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1,533</w:t>
            </w:r>
          </w:p>
        </w:tc>
      </w:tr>
      <w:tr w:rsidR="001F38C7" w:rsidRPr="001F38C7" w14:paraId="309864BD" w14:textId="77777777" w:rsidTr="0039528F">
        <w:trPr>
          <w:trHeight w:val="300"/>
        </w:trPr>
        <w:tc>
          <w:tcPr>
            <w:tcW w:w="2088" w:type="dxa"/>
            <w:vMerge/>
            <w:noWrap/>
          </w:tcPr>
          <w:p w14:paraId="28E3F91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4CD8C86B" w14:textId="77777777" w:rsidR="001F38C7" w:rsidRPr="001F38C7" w:rsidRDefault="001F38C7" w:rsidP="001F38C7">
            <w:pPr>
              <w:widowControl/>
              <w:autoSpaceDE/>
              <w:autoSpaceDN/>
              <w:adjustRightInd/>
              <w:rPr>
                <w:sz w:val="18"/>
                <w:szCs w:val="18"/>
              </w:rPr>
            </w:pPr>
            <w:r w:rsidRPr="001F38C7">
              <w:rPr>
                <w:sz w:val="18"/>
                <w:szCs w:val="18"/>
              </w:rPr>
              <w:t>Licensing Board Attestation</w:t>
            </w:r>
          </w:p>
        </w:tc>
        <w:tc>
          <w:tcPr>
            <w:tcW w:w="1260" w:type="dxa"/>
            <w:noWrap/>
            <w:vAlign w:val="center"/>
          </w:tcPr>
          <w:p w14:paraId="338D8684"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301</w:t>
            </w:r>
          </w:p>
        </w:tc>
        <w:tc>
          <w:tcPr>
            <w:tcW w:w="1193" w:type="dxa"/>
            <w:noWrap/>
            <w:vAlign w:val="center"/>
          </w:tcPr>
          <w:p w14:paraId="576E4108"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3BC1A9E5"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301</w:t>
            </w:r>
          </w:p>
        </w:tc>
        <w:tc>
          <w:tcPr>
            <w:tcW w:w="990" w:type="dxa"/>
            <w:noWrap/>
            <w:vAlign w:val="center"/>
          </w:tcPr>
          <w:p w14:paraId="0F9F95CE"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900" w:type="dxa"/>
            <w:vAlign w:val="center"/>
          </w:tcPr>
          <w:p w14:paraId="7842AA9E"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301</w:t>
            </w:r>
          </w:p>
        </w:tc>
      </w:tr>
      <w:tr w:rsidR="001F38C7" w:rsidRPr="001F38C7" w14:paraId="581E1570" w14:textId="77777777" w:rsidTr="0039528F">
        <w:trPr>
          <w:trHeight w:val="300"/>
        </w:trPr>
        <w:tc>
          <w:tcPr>
            <w:tcW w:w="2088" w:type="dxa"/>
            <w:vMerge/>
            <w:noWrap/>
          </w:tcPr>
          <w:p w14:paraId="615D6B84"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57F2A462" w14:textId="77777777" w:rsidR="001F38C7" w:rsidRPr="001F38C7" w:rsidRDefault="001F38C7" w:rsidP="001F38C7">
            <w:pPr>
              <w:widowControl/>
              <w:autoSpaceDE/>
              <w:autoSpaceDN/>
              <w:adjustRightInd/>
              <w:rPr>
                <w:sz w:val="18"/>
                <w:szCs w:val="18"/>
              </w:rPr>
            </w:pPr>
            <w:r w:rsidRPr="001F38C7">
              <w:rPr>
                <w:sz w:val="18"/>
                <w:szCs w:val="18"/>
              </w:rPr>
              <w:t>Corrective Action Plan</w:t>
            </w:r>
          </w:p>
        </w:tc>
        <w:tc>
          <w:tcPr>
            <w:tcW w:w="1260" w:type="dxa"/>
            <w:noWrap/>
            <w:vAlign w:val="center"/>
          </w:tcPr>
          <w:p w14:paraId="12991FFE"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1193" w:type="dxa"/>
            <w:noWrap/>
            <w:vAlign w:val="center"/>
          </w:tcPr>
          <w:p w14:paraId="176D0554"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4C7227E1"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990" w:type="dxa"/>
            <w:noWrap/>
            <w:vAlign w:val="center"/>
          </w:tcPr>
          <w:p w14:paraId="5270BDB3"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.08</w:t>
            </w:r>
          </w:p>
        </w:tc>
        <w:tc>
          <w:tcPr>
            <w:tcW w:w="900" w:type="dxa"/>
            <w:vAlign w:val="center"/>
          </w:tcPr>
          <w:p w14:paraId="4A2A697F"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r>
      <w:tr w:rsidR="001F38C7" w:rsidRPr="001F38C7" w14:paraId="2E09C086" w14:textId="77777777" w:rsidTr="0039528F">
        <w:trPr>
          <w:trHeight w:val="300"/>
        </w:trPr>
        <w:tc>
          <w:tcPr>
            <w:tcW w:w="2088" w:type="dxa"/>
            <w:vMerge/>
            <w:noWrap/>
          </w:tcPr>
          <w:p w14:paraId="15293D8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6A2A6E0F" w14:textId="77777777" w:rsidR="001F38C7" w:rsidRPr="001F38C7" w:rsidRDefault="001F38C7" w:rsidP="001F38C7">
            <w:pPr>
              <w:widowControl/>
              <w:autoSpaceDE/>
              <w:autoSpaceDN/>
              <w:adjustRightInd/>
              <w:rPr>
                <w:sz w:val="18"/>
                <w:szCs w:val="18"/>
              </w:rPr>
            </w:pPr>
            <w:r w:rsidRPr="001F38C7">
              <w:rPr>
                <w:sz w:val="18"/>
                <w:szCs w:val="18"/>
              </w:rPr>
              <w:t>Reconciling Missing Actions</w:t>
            </w:r>
          </w:p>
        </w:tc>
        <w:tc>
          <w:tcPr>
            <w:tcW w:w="1260" w:type="dxa"/>
            <w:noWrap/>
            <w:vAlign w:val="center"/>
          </w:tcPr>
          <w:p w14:paraId="78CD259D"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7,981</w:t>
            </w:r>
          </w:p>
        </w:tc>
        <w:tc>
          <w:tcPr>
            <w:tcW w:w="1193" w:type="dxa"/>
            <w:noWrap/>
            <w:vAlign w:val="center"/>
          </w:tcPr>
          <w:p w14:paraId="7128F503"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4B4C7365"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7,981</w:t>
            </w:r>
          </w:p>
        </w:tc>
        <w:tc>
          <w:tcPr>
            <w:tcW w:w="990" w:type="dxa"/>
            <w:noWrap/>
            <w:vAlign w:val="center"/>
          </w:tcPr>
          <w:p w14:paraId="4EF3B48B"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0.8</w:t>
            </w:r>
          </w:p>
        </w:tc>
        <w:tc>
          <w:tcPr>
            <w:tcW w:w="900" w:type="dxa"/>
            <w:vAlign w:val="center"/>
          </w:tcPr>
          <w:p w14:paraId="766223F1"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6,385</w:t>
            </w:r>
          </w:p>
        </w:tc>
      </w:tr>
      <w:tr w:rsidR="001F38C7" w:rsidRPr="001F38C7" w14:paraId="238E708E" w14:textId="77777777" w:rsidTr="0039528F">
        <w:trPr>
          <w:trHeight w:val="300"/>
        </w:trPr>
        <w:tc>
          <w:tcPr>
            <w:tcW w:w="2088" w:type="dxa"/>
            <w:vMerge/>
            <w:noWrap/>
          </w:tcPr>
          <w:p w14:paraId="472BA4C7"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705D46CC" w14:textId="77777777" w:rsidR="001F38C7" w:rsidRPr="001F38C7" w:rsidRDefault="001F38C7" w:rsidP="001F38C7">
            <w:pPr>
              <w:widowControl/>
              <w:autoSpaceDE/>
              <w:autoSpaceDN/>
              <w:adjustRightInd/>
              <w:rPr>
                <w:sz w:val="18"/>
                <w:szCs w:val="18"/>
              </w:rPr>
            </w:pPr>
            <w:r w:rsidRPr="001F38C7">
              <w:rPr>
                <w:sz w:val="18"/>
                <w:szCs w:val="18"/>
              </w:rPr>
              <w:t>Agent Registration (Initial)</w:t>
            </w:r>
          </w:p>
        </w:tc>
        <w:tc>
          <w:tcPr>
            <w:tcW w:w="1260" w:type="dxa"/>
            <w:noWrap/>
            <w:vAlign w:val="center"/>
          </w:tcPr>
          <w:p w14:paraId="4571FE83"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85</w:t>
            </w:r>
          </w:p>
        </w:tc>
        <w:tc>
          <w:tcPr>
            <w:tcW w:w="1193" w:type="dxa"/>
            <w:noWrap/>
            <w:vAlign w:val="center"/>
          </w:tcPr>
          <w:p w14:paraId="413DD1EA"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7BAACE2E"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85</w:t>
            </w:r>
          </w:p>
        </w:tc>
        <w:tc>
          <w:tcPr>
            <w:tcW w:w="990" w:type="dxa"/>
            <w:noWrap/>
            <w:vAlign w:val="center"/>
          </w:tcPr>
          <w:p w14:paraId="62B4A22F"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900" w:type="dxa"/>
            <w:vAlign w:val="center"/>
          </w:tcPr>
          <w:p w14:paraId="46BEDF6F" w14:textId="77777777" w:rsidR="001F38C7" w:rsidRPr="001F38C7" w:rsidRDefault="001F38C7" w:rsidP="00395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85</w:t>
            </w:r>
          </w:p>
        </w:tc>
      </w:tr>
      <w:tr w:rsidR="001F38C7" w:rsidRPr="001F38C7" w14:paraId="42CB2343" w14:textId="77777777" w:rsidTr="000C04D7">
        <w:trPr>
          <w:trHeight w:val="300"/>
        </w:trPr>
        <w:tc>
          <w:tcPr>
            <w:tcW w:w="2088" w:type="dxa"/>
            <w:vMerge/>
            <w:noWrap/>
            <w:hideMark/>
          </w:tcPr>
          <w:p w14:paraId="2A80B92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274BBE2C" w14:textId="77777777" w:rsidR="001F38C7" w:rsidRPr="001F38C7" w:rsidRDefault="001F38C7" w:rsidP="001F38C7">
            <w:pPr>
              <w:widowControl/>
              <w:autoSpaceDE/>
              <w:autoSpaceDN/>
              <w:adjustRightInd/>
              <w:rPr>
                <w:sz w:val="18"/>
                <w:szCs w:val="18"/>
              </w:rPr>
            </w:pPr>
            <w:r w:rsidRPr="001F38C7">
              <w:rPr>
                <w:sz w:val="18"/>
                <w:szCs w:val="18"/>
              </w:rPr>
              <w:t>Agent Registration (Renewal)</w:t>
            </w:r>
          </w:p>
        </w:tc>
        <w:tc>
          <w:tcPr>
            <w:tcW w:w="1260" w:type="dxa"/>
            <w:noWrap/>
            <w:vAlign w:val="center"/>
            <w:hideMark/>
          </w:tcPr>
          <w:p w14:paraId="1FCB6FE2"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278</w:t>
            </w:r>
          </w:p>
        </w:tc>
        <w:tc>
          <w:tcPr>
            <w:tcW w:w="1193" w:type="dxa"/>
            <w:noWrap/>
            <w:vAlign w:val="center"/>
            <w:hideMark/>
          </w:tcPr>
          <w:p w14:paraId="5A8FF90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6051902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278</w:t>
            </w:r>
          </w:p>
        </w:tc>
        <w:tc>
          <w:tcPr>
            <w:tcW w:w="990" w:type="dxa"/>
            <w:noWrap/>
            <w:vAlign w:val="center"/>
            <w:hideMark/>
          </w:tcPr>
          <w:p w14:paraId="3413353B"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.08</w:t>
            </w:r>
          </w:p>
        </w:tc>
        <w:tc>
          <w:tcPr>
            <w:tcW w:w="900" w:type="dxa"/>
            <w:vAlign w:val="center"/>
            <w:hideMark/>
          </w:tcPr>
          <w:p w14:paraId="5FEDD9D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23</w:t>
            </w:r>
          </w:p>
        </w:tc>
      </w:tr>
      <w:tr w:rsidR="001F38C7" w:rsidRPr="001F38C7" w14:paraId="56C2CDDF" w14:textId="77777777" w:rsidTr="000C04D7">
        <w:trPr>
          <w:trHeight w:val="300"/>
        </w:trPr>
        <w:tc>
          <w:tcPr>
            <w:tcW w:w="2088" w:type="dxa"/>
            <w:vMerge/>
            <w:noWrap/>
            <w:hideMark/>
          </w:tcPr>
          <w:p w14:paraId="06149B7C"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5F9D84DD" w14:textId="77777777" w:rsidR="001F38C7" w:rsidRPr="001F38C7" w:rsidRDefault="001F38C7" w:rsidP="001F38C7">
            <w:pPr>
              <w:widowControl/>
              <w:autoSpaceDE/>
              <w:autoSpaceDN/>
              <w:adjustRightInd/>
              <w:rPr>
                <w:sz w:val="18"/>
                <w:szCs w:val="18"/>
              </w:rPr>
            </w:pPr>
            <w:r w:rsidRPr="001F38C7">
              <w:rPr>
                <w:sz w:val="18"/>
                <w:szCs w:val="18"/>
              </w:rPr>
              <w:t>Electronic Transfer of Funds (EFT) Authorization</w:t>
            </w:r>
          </w:p>
        </w:tc>
        <w:tc>
          <w:tcPr>
            <w:tcW w:w="1260" w:type="dxa"/>
            <w:noWrap/>
            <w:vAlign w:val="center"/>
            <w:hideMark/>
          </w:tcPr>
          <w:p w14:paraId="38FF018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654</w:t>
            </w:r>
          </w:p>
        </w:tc>
        <w:tc>
          <w:tcPr>
            <w:tcW w:w="1193" w:type="dxa"/>
            <w:noWrap/>
            <w:vAlign w:val="center"/>
            <w:hideMark/>
          </w:tcPr>
          <w:p w14:paraId="29EB7450"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48D9DEBA"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654</w:t>
            </w:r>
          </w:p>
        </w:tc>
        <w:tc>
          <w:tcPr>
            <w:tcW w:w="990" w:type="dxa"/>
            <w:noWrap/>
            <w:vAlign w:val="center"/>
            <w:hideMark/>
          </w:tcPr>
          <w:p w14:paraId="69427237"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.08</w:t>
            </w:r>
          </w:p>
        </w:tc>
        <w:tc>
          <w:tcPr>
            <w:tcW w:w="900" w:type="dxa"/>
            <w:vAlign w:val="center"/>
            <w:hideMark/>
          </w:tcPr>
          <w:p w14:paraId="3524905B"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53</w:t>
            </w:r>
          </w:p>
        </w:tc>
      </w:tr>
      <w:tr w:rsidR="001F38C7" w:rsidRPr="001F38C7" w14:paraId="2E1D5C72" w14:textId="77777777" w:rsidTr="000C04D7">
        <w:trPr>
          <w:trHeight w:val="300"/>
        </w:trPr>
        <w:tc>
          <w:tcPr>
            <w:tcW w:w="2088" w:type="dxa"/>
            <w:vMerge/>
            <w:noWrap/>
            <w:hideMark/>
          </w:tcPr>
          <w:p w14:paraId="0A60C38D"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3D3A9C0A" w14:textId="77777777" w:rsidR="001F38C7" w:rsidRPr="001F38C7" w:rsidRDefault="001F38C7" w:rsidP="001F38C7">
            <w:pPr>
              <w:widowControl/>
              <w:autoSpaceDE/>
              <w:autoSpaceDN/>
              <w:adjustRightInd/>
              <w:rPr>
                <w:sz w:val="18"/>
                <w:szCs w:val="18"/>
              </w:rPr>
            </w:pPr>
            <w:r w:rsidRPr="001F38C7">
              <w:rPr>
                <w:sz w:val="18"/>
                <w:szCs w:val="18"/>
              </w:rPr>
              <w:t>Authorized Agent Designation</w:t>
            </w:r>
          </w:p>
        </w:tc>
        <w:tc>
          <w:tcPr>
            <w:tcW w:w="1260" w:type="dxa"/>
            <w:noWrap/>
            <w:vAlign w:val="center"/>
            <w:hideMark/>
          </w:tcPr>
          <w:p w14:paraId="0C80FEBB"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213</w:t>
            </w:r>
          </w:p>
        </w:tc>
        <w:tc>
          <w:tcPr>
            <w:tcW w:w="1193" w:type="dxa"/>
            <w:noWrap/>
            <w:vAlign w:val="center"/>
            <w:hideMark/>
          </w:tcPr>
          <w:p w14:paraId="4BB91045"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hideMark/>
          </w:tcPr>
          <w:p w14:paraId="15B1F3B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213</w:t>
            </w:r>
          </w:p>
        </w:tc>
        <w:tc>
          <w:tcPr>
            <w:tcW w:w="990" w:type="dxa"/>
            <w:noWrap/>
            <w:vAlign w:val="center"/>
            <w:hideMark/>
          </w:tcPr>
          <w:p w14:paraId="66DFACB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.25</w:t>
            </w:r>
          </w:p>
        </w:tc>
        <w:tc>
          <w:tcPr>
            <w:tcW w:w="900" w:type="dxa"/>
            <w:vAlign w:val="center"/>
            <w:hideMark/>
          </w:tcPr>
          <w:p w14:paraId="2DF1BE4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54</w:t>
            </w:r>
          </w:p>
        </w:tc>
      </w:tr>
      <w:tr w:rsidR="001F38C7" w:rsidRPr="001F38C7" w14:paraId="77D77C47" w14:textId="77777777" w:rsidTr="000C04D7">
        <w:trPr>
          <w:trHeight w:val="300"/>
        </w:trPr>
        <w:tc>
          <w:tcPr>
            <w:tcW w:w="2088" w:type="dxa"/>
            <w:vMerge/>
            <w:noWrap/>
          </w:tcPr>
          <w:p w14:paraId="3770532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6B332C40" w14:textId="77777777" w:rsidR="001F38C7" w:rsidRPr="001F38C7" w:rsidRDefault="001F38C7" w:rsidP="001F38C7">
            <w:pPr>
              <w:widowControl/>
              <w:autoSpaceDE/>
              <w:autoSpaceDN/>
              <w:adjustRightInd/>
              <w:rPr>
                <w:sz w:val="18"/>
                <w:szCs w:val="18"/>
              </w:rPr>
            </w:pPr>
            <w:r w:rsidRPr="001F38C7">
              <w:rPr>
                <w:sz w:val="18"/>
                <w:szCs w:val="18"/>
              </w:rPr>
              <w:t>Account Discrepancy</w:t>
            </w:r>
          </w:p>
        </w:tc>
        <w:tc>
          <w:tcPr>
            <w:tcW w:w="1260" w:type="dxa"/>
            <w:noWrap/>
            <w:vAlign w:val="center"/>
          </w:tcPr>
          <w:p w14:paraId="253583B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1193" w:type="dxa"/>
            <w:noWrap/>
            <w:vAlign w:val="center"/>
          </w:tcPr>
          <w:p w14:paraId="110AF60D"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6C8DF9C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990" w:type="dxa"/>
            <w:noWrap/>
            <w:vAlign w:val="center"/>
          </w:tcPr>
          <w:p w14:paraId="1DB45C2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.25</w:t>
            </w:r>
          </w:p>
        </w:tc>
        <w:tc>
          <w:tcPr>
            <w:tcW w:w="900" w:type="dxa"/>
            <w:vAlign w:val="center"/>
          </w:tcPr>
          <w:p w14:paraId="2B41013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w:t>
            </w:r>
          </w:p>
        </w:tc>
      </w:tr>
      <w:tr w:rsidR="001F38C7" w:rsidRPr="001F38C7" w14:paraId="4A298D1F" w14:textId="77777777" w:rsidTr="000C04D7">
        <w:trPr>
          <w:trHeight w:val="300"/>
        </w:trPr>
        <w:tc>
          <w:tcPr>
            <w:tcW w:w="2088" w:type="dxa"/>
            <w:vMerge/>
            <w:noWrap/>
          </w:tcPr>
          <w:p w14:paraId="20C7BAF0"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tcPr>
          <w:p w14:paraId="295B4881" w14:textId="77777777" w:rsidR="001F38C7" w:rsidRPr="001F38C7" w:rsidRDefault="001F38C7" w:rsidP="001F38C7">
            <w:pPr>
              <w:widowControl/>
              <w:autoSpaceDE/>
              <w:autoSpaceDN/>
              <w:adjustRightInd/>
              <w:rPr>
                <w:sz w:val="18"/>
                <w:szCs w:val="18"/>
              </w:rPr>
            </w:pPr>
            <w:r w:rsidRPr="001F38C7">
              <w:rPr>
                <w:sz w:val="18"/>
                <w:szCs w:val="18"/>
              </w:rPr>
              <w:t>New Administrator Request</w:t>
            </w:r>
          </w:p>
        </w:tc>
        <w:tc>
          <w:tcPr>
            <w:tcW w:w="1260" w:type="dxa"/>
            <w:noWrap/>
            <w:vAlign w:val="center"/>
          </w:tcPr>
          <w:p w14:paraId="2DF942FF"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3,016</w:t>
            </w:r>
          </w:p>
        </w:tc>
        <w:tc>
          <w:tcPr>
            <w:tcW w:w="1193" w:type="dxa"/>
            <w:noWrap/>
            <w:vAlign w:val="center"/>
          </w:tcPr>
          <w:p w14:paraId="4E8C0B13"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6D91BAF5"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3,016</w:t>
            </w:r>
          </w:p>
        </w:tc>
        <w:tc>
          <w:tcPr>
            <w:tcW w:w="990" w:type="dxa"/>
            <w:noWrap/>
            <w:vAlign w:val="center"/>
          </w:tcPr>
          <w:p w14:paraId="0ABE27CB"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.08</w:t>
            </w:r>
          </w:p>
        </w:tc>
        <w:tc>
          <w:tcPr>
            <w:tcW w:w="900" w:type="dxa"/>
            <w:vAlign w:val="center"/>
          </w:tcPr>
          <w:p w14:paraId="3C0941A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242</w:t>
            </w:r>
          </w:p>
        </w:tc>
      </w:tr>
      <w:tr w:rsidR="001F38C7" w:rsidRPr="001F38C7" w14:paraId="0551C65B" w14:textId="77777777" w:rsidTr="000C04D7">
        <w:trPr>
          <w:trHeight w:val="300"/>
        </w:trPr>
        <w:tc>
          <w:tcPr>
            <w:tcW w:w="2088" w:type="dxa"/>
            <w:vMerge/>
            <w:noWrap/>
          </w:tcPr>
          <w:p w14:paraId="3717C118"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tcPr>
          <w:p w14:paraId="25577F9A" w14:textId="77777777" w:rsidR="001F38C7" w:rsidRPr="001F38C7" w:rsidRDefault="001F38C7" w:rsidP="001F38C7">
            <w:pPr>
              <w:widowControl/>
              <w:autoSpaceDE/>
              <w:autoSpaceDN/>
              <w:adjustRightInd/>
              <w:rPr>
                <w:sz w:val="18"/>
                <w:szCs w:val="18"/>
              </w:rPr>
            </w:pPr>
            <w:r w:rsidRPr="001F38C7">
              <w:rPr>
                <w:sz w:val="18"/>
                <w:szCs w:val="18"/>
              </w:rPr>
              <w:t>Query Credit Purchase</w:t>
            </w:r>
          </w:p>
        </w:tc>
        <w:tc>
          <w:tcPr>
            <w:tcW w:w="1260" w:type="dxa"/>
            <w:noWrap/>
            <w:vAlign w:val="center"/>
          </w:tcPr>
          <w:p w14:paraId="28C6EE2B"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789</w:t>
            </w:r>
          </w:p>
        </w:tc>
        <w:tc>
          <w:tcPr>
            <w:tcW w:w="1193" w:type="dxa"/>
            <w:noWrap/>
            <w:vAlign w:val="center"/>
          </w:tcPr>
          <w:p w14:paraId="72ABBC70"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41690634"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789</w:t>
            </w:r>
          </w:p>
        </w:tc>
        <w:tc>
          <w:tcPr>
            <w:tcW w:w="990" w:type="dxa"/>
            <w:noWrap/>
            <w:vAlign w:val="center"/>
          </w:tcPr>
          <w:p w14:paraId="751FD9EB"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.08</w:t>
            </w:r>
          </w:p>
        </w:tc>
        <w:tc>
          <w:tcPr>
            <w:tcW w:w="900" w:type="dxa"/>
            <w:vAlign w:val="center"/>
          </w:tcPr>
          <w:p w14:paraId="61F81530"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64</w:t>
            </w:r>
          </w:p>
        </w:tc>
      </w:tr>
      <w:tr w:rsidR="001F38C7" w:rsidRPr="001F38C7" w14:paraId="4BBB66B8" w14:textId="77777777" w:rsidTr="000C04D7">
        <w:trPr>
          <w:trHeight w:val="300"/>
        </w:trPr>
        <w:tc>
          <w:tcPr>
            <w:tcW w:w="2088" w:type="dxa"/>
            <w:vMerge/>
            <w:noWrap/>
          </w:tcPr>
          <w:p w14:paraId="2D33447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tcPr>
          <w:p w14:paraId="22D62D93" w14:textId="77777777" w:rsidR="001F38C7" w:rsidRPr="001F38C7" w:rsidRDefault="001F38C7" w:rsidP="001F38C7">
            <w:pPr>
              <w:widowControl/>
              <w:autoSpaceDE/>
              <w:autoSpaceDN/>
              <w:adjustRightInd/>
              <w:rPr>
                <w:sz w:val="18"/>
                <w:szCs w:val="18"/>
              </w:rPr>
            </w:pPr>
            <w:r w:rsidRPr="001F38C7">
              <w:rPr>
                <w:sz w:val="18"/>
                <w:szCs w:val="18"/>
              </w:rPr>
              <w:t>Educational Request</w:t>
            </w:r>
          </w:p>
        </w:tc>
        <w:tc>
          <w:tcPr>
            <w:tcW w:w="1260" w:type="dxa"/>
            <w:noWrap/>
            <w:vAlign w:val="center"/>
          </w:tcPr>
          <w:p w14:paraId="0D9F178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1193" w:type="dxa"/>
            <w:noWrap/>
            <w:vAlign w:val="center"/>
          </w:tcPr>
          <w:p w14:paraId="2B574A13"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4EC18A2D"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990" w:type="dxa"/>
            <w:noWrap/>
            <w:vAlign w:val="center"/>
          </w:tcPr>
          <w:p w14:paraId="71DEC0ED"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.08</w:t>
            </w:r>
          </w:p>
        </w:tc>
        <w:tc>
          <w:tcPr>
            <w:tcW w:w="900" w:type="dxa"/>
            <w:vAlign w:val="center"/>
          </w:tcPr>
          <w:p w14:paraId="099C497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r>
      <w:tr w:rsidR="001F38C7" w:rsidRPr="001F38C7" w14:paraId="6C1EE24E" w14:textId="77777777" w:rsidTr="000C04D7">
        <w:trPr>
          <w:trHeight w:val="300"/>
        </w:trPr>
        <w:tc>
          <w:tcPr>
            <w:tcW w:w="2088" w:type="dxa"/>
            <w:vMerge/>
            <w:noWrap/>
          </w:tcPr>
          <w:p w14:paraId="6F6090C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tcPr>
          <w:p w14:paraId="669F5718" w14:textId="77777777" w:rsidR="001F38C7" w:rsidRPr="001F38C7" w:rsidRDefault="001F38C7" w:rsidP="001F38C7">
            <w:pPr>
              <w:widowControl/>
              <w:autoSpaceDE/>
              <w:autoSpaceDN/>
              <w:adjustRightInd/>
              <w:rPr>
                <w:sz w:val="18"/>
                <w:szCs w:val="18"/>
              </w:rPr>
            </w:pPr>
            <w:r w:rsidRPr="001F38C7">
              <w:rPr>
                <w:sz w:val="18"/>
                <w:szCs w:val="18"/>
              </w:rPr>
              <w:t>Account Balance Transfer</w:t>
            </w:r>
          </w:p>
        </w:tc>
        <w:tc>
          <w:tcPr>
            <w:tcW w:w="1260" w:type="dxa"/>
            <w:noWrap/>
            <w:vAlign w:val="center"/>
          </w:tcPr>
          <w:p w14:paraId="09DD191A"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1193" w:type="dxa"/>
            <w:noWrap/>
            <w:vAlign w:val="center"/>
          </w:tcPr>
          <w:p w14:paraId="0218A4B5"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0673785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10</w:t>
            </w:r>
          </w:p>
        </w:tc>
        <w:tc>
          <w:tcPr>
            <w:tcW w:w="990" w:type="dxa"/>
            <w:noWrap/>
            <w:vAlign w:val="center"/>
          </w:tcPr>
          <w:p w14:paraId="16DB76A0"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.08</w:t>
            </w:r>
          </w:p>
        </w:tc>
        <w:tc>
          <w:tcPr>
            <w:tcW w:w="900" w:type="dxa"/>
            <w:vAlign w:val="center"/>
          </w:tcPr>
          <w:p w14:paraId="7C628F42"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r>
      <w:tr w:rsidR="001F38C7" w:rsidRPr="001F38C7" w14:paraId="1EE8CE99" w14:textId="77777777" w:rsidTr="000C04D7">
        <w:trPr>
          <w:trHeight w:val="300"/>
        </w:trPr>
        <w:tc>
          <w:tcPr>
            <w:tcW w:w="2088" w:type="dxa"/>
            <w:vMerge/>
            <w:noWrap/>
          </w:tcPr>
          <w:p w14:paraId="77DCAE3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tcPr>
          <w:p w14:paraId="681452C3" w14:textId="77777777" w:rsidR="001F38C7" w:rsidRPr="001F38C7" w:rsidRDefault="001F38C7" w:rsidP="001F38C7">
            <w:pPr>
              <w:widowControl/>
              <w:autoSpaceDE/>
              <w:autoSpaceDN/>
              <w:adjustRightInd/>
              <w:rPr>
                <w:sz w:val="18"/>
                <w:szCs w:val="18"/>
              </w:rPr>
            </w:pPr>
            <w:r w:rsidRPr="001F38C7">
              <w:rPr>
                <w:sz w:val="18"/>
                <w:szCs w:val="18"/>
              </w:rPr>
              <w:t>Missing Report Form</w:t>
            </w:r>
          </w:p>
        </w:tc>
        <w:tc>
          <w:tcPr>
            <w:tcW w:w="1260" w:type="dxa"/>
            <w:noWrap/>
            <w:vAlign w:val="center"/>
          </w:tcPr>
          <w:p w14:paraId="6EB7FA7F"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29</w:t>
            </w:r>
          </w:p>
        </w:tc>
        <w:tc>
          <w:tcPr>
            <w:tcW w:w="1193" w:type="dxa"/>
            <w:noWrap/>
            <w:vAlign w:val="center"/>
          </w:tcPr>
          <w:p w14:paraId="2311DD6A"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1</w:t>
            </w:r>
          </w:p>
        </w:tc>
        <w:tc>
          <w:tcPr>
            <w:tcW w:w="1170" w:type="dxa"/>
            <w:noWrap/>
            <w:vAlign w:val="center"/>
          </w:tcPr>
          <w:p w14:paraId="7F67E7F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29</w:t>
            </w:r>
          </w:p>
        </w:tc>
        <w:tc>
          <w:tcPr>
            <w:tcW w:w="990" w:type="dxa"/>
            <w:noWrap/>
            <w:vAlign w:val="center"/>
          </w:tcPr>
          <w:p w14:paraId="503B2BB3"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.08</w:t>
            </w:r>
          </w:p>
        </w:tc>
        <w:tc>
          <w:tcPr>
            <w:tcW w:w="900" w:type="dxa"/>
            <w:vAlign w:val="center"/>
          </w:tcPr>
          <w:p w14:paraId="09084FC4"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F38C7">
              <w:rPr>
                <w:sz w:val="18"/>
                <w:szCs w:val="18"/>
              </w:rPr>
              <w:t>3</w:t>
            </w:r>
          </w:p>
        </w:tc>
      </w:tr>
      <w:tr w:rsidR="001F38C7" w:rsidRPr="001F38C7" w14:paraId="522D22AF" w14:textId="77777777" w:rsidTr="000C04D7">
        <w:trPr>
          <w:trHeight w:val="300"/>
        </w:trPr>
        <w:tc>
          <w:tcPr>
            <w:tcW w:w="2088" w:type="dxa"/>
            <w:vMerge/>
            <w:noWrap/>
            <w:hideMark/>
          </w:tcPr>
          <w:p w14:paraId="644A867E"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1A16717C"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b/>
                <w:sz w:val="18"/>
                <w:szCs w:val="18"/>
              </w:rPr>
            </w:pPr>
            <w:r w:rsidRPr="001F38C7">
              <w:rPr>
                <w:b/>
                <w:sz w:val="18"/>
                <w:szCs w:val="18"/>
              </w:rPr>
              <w:t>TOTAL</w:t>
            </w:r>
          </w:p>
        </w:tc>
        <w:tc>
          <w:tcPr>
            <w:tcW w:w="1260" w:type="dxa"/>
            <w:noWrap/>
            <w:hideMark/>
          </w:tcPr>
          <w:p w14:paraId="6A0C5020"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sz w:val="18"/>
                <w:szCs w:val="18"/>
              </w:rPr>
            </w:pPr>
            <w:r w:rsidRPr="001F38C7">
              <w:rPr>
                <w:b/>
                <w:sz w:val="18"/>
                <w:szCs w:val="18"/>
              </w:rPr>
              <w:t>6,059,761</w:t>
            </w:r>
          </w:p>
        </w:tc>
        <w:tc>
          <w:tcPr>
            <w:tcW w:w="1193" w:type="dxa"/>
            <w:noWrap/>
            <w:hideMark/>
          </w:tcPr>
          <w:p w14:paraId="756AD0A9"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sz w:val="18"/>
                <w:szCs w:val="18"/>
              </w:rPr>
            </w:pPr>
            <w:r w:rsidRPr="001F38C7">
              <w:rPr>
                <w:b/>
                <w:sz w:val="18"/>
                <w:szCs w:val="18"/>
              </w:rPr>
              <w:t>……</w:t>
            </w:r>
          </w:p>
        </w:tc>
        <w:tc>
          <w:tcPr>
            <w:tcW w:w="1170" w:type="dxa"/>
            <w:noWrap/>
            <w:hideMark/>
          </w:tcPr>
          <w:p w14:paraId="1DD3D8F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sz w:val="18"/>
                <w:szCs w:val="18"/>
              </w:rPr>
            </w:pPr>
            <w:r w:rsidRPr="001F38C7">
              <w:rPr>
                <w:b/>
                <w:sz w:val="18"/>
                <w:szCs w:val="18"/>
              </w:rPr>
              <w:t>6,059,761</w:t>
            </w:r>
          </w:p>
        </w:tc>
        <w:tc>
          <w:tcPr>
            <w:tcW w:w="990" w:type="dxa"/>
            <w:noWrap/>
            <w:hideMark/>
          </w:tcPr>
          <w:p w14:paraId="633708B1"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sz w:val="18"/>
                <w:szCs w:val="18"/>
              </w:rPr>
            </w:pPr>
            <w:r w:rsidRPr="001F38C7">
              <w:rPr>
                <w:b/>
                <w:sz w:val="18"/>
                <w:szCs w:val="18"/>
              </w:rPr>
              <w:t>……</w:t>
            </w:r>
          </w:p>
        </w:tc>
        <w:tc>
          <w:tcPr>
            <w:tcW w:w="900" w:type="dxa"/>
          </w:tcPr>
          <w:p w14:paraId="51555866" w14:textId="77777777" w:rsidR="001F38C7" w:rsidRPr="001F38C7" w:rsidRDefault="001F38C7" w:rsidP="001F3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sz w:val="18"/>
                <w:szCs w:val="18"/>
              </w:rPr>
            </w:pPr>
            <w:r w:rsidRPr="001F38C7">
              <w:rPr>
                <w:b/>
                <w:sz w:val="18"/>
                <w:szCs w:val="18"/>
              </w:rPr>
              <w:t>326,120</w:t>
            </w:r>
          </w:p>
        </w:tc>
      </w:tr>
    </w:tbl>
    <w:p w14:paraId="2898876A" w14:textId="77777777" w:rsidR="000D26E1" w:rsidRDefault="000D26E1" w:rsidP="00306287">
      <w:pPr>
        <w:widowControl/>
        <w:rPr>
          <w:b/>
          <w:sz w:val="24"/>
        </w:rPr>
      </w:pPr>
    </w:p>
    <w:p w14:paraId="7E8FC04D" w14:textId="77777777" w:rsidR="00C72B41" w:rsidRDefault="00C72B41" w:rsidP="00426346">
      <w:pPr>
        <w:widowControl/>
        <w:rPr>
          <w:b/>
          <w:sz w:val="24"/>
        </w:rPr>
      </w:pPr>
    </w:p>
    <w:p w14:paraId="6BD13F28" w14:textId="77777777" w:rsidR="00C72B41" w:rsidRDefault="00C72B41" w:rsidP="00426346">
      <w:pPr>
        <w:widowControl/>
        <w:rPr>
          <w:b/>
          <w:sz w:val="24"/>
        </w:rPr>
      </w:pPr>
    </w:p>
    <w:p w14:paraId="5570E508" w14:textId="77777777" w:rsidR="00C72B41" w:rsidRDefault="00C72B41" w:rsidP="00426346">
      <w:pPr>
        <w:widowControl/>
        <w:rPr>
          <w:b/>
          <w:sz w:val="24"/>
        </w:rPr>
      </w:pPr>
    </w:p>
    <w:p w14:paraId="670F355A" w14:textId="77777777" w:rsidR="00306287" w:rsidRPr="001F006B" w:rsidRDefault="00306287" w:rsidP="00B96919">
      <w:pPr>
        <w:widowControl/>
        <w:ind w:left="720"/>
        <w:rPr>
          <w:sz w:val="24"/>
        </w:rPr>
      </w:pPr>
      <w:r w:rsidRPr="001F006B">
        <w:rPr>
          <w:b/>
          <w:sz w:val="24"/>
        </w:rPr>
        <w:t>12B</w:t>
      </w:r>
      <w:r w:rsidRPr="001F006B">
        <w:rPr>
          <w:sz w:val="24"/>
        </w:rPr>
        <w:t xml:space="preserve">. </w:t>
      </w:r>
      <w:r w:rsidRPr="001F006B">
        <w:rPr>
          <w:b/>
          <w:sz w:val="24"/>
        </w:rPr>
        <w:t xml:space="preserve">Estimated Annualized </w:t>
      </w:r>
      <w:r w:rsidR="00086E9D" w:rsidRPr="001F006B">
        <w:rPr>
          <w:b/>
          <w:sz w:val="24"/>
        </w:rPr>
        <w:t xml:space="preserve">Burden </w:t>
      </w:r>
      <w:r w:rsidRPr="001F006B">
        <w:rPr>
          <w:b/>
          <w:sz w:val="24"/>
        </w:rPr>
        <w:t>Cost</w:t>
      </w:r>
      <w:r w:rsidR="00086E9D">
        <w:rPr>
          <w:b/>
          <w:sz w:val="24"/>
        </w:rPr>
        <w:t>s</w:t>
      </w:r>
      <w:r w:rsidRPr="001F006B">
        <w:rPr>
          <w:b/>
          <w:sz w:val="24"/>
        </w:rPr>
        <w:t xml:space="preserve"> </w:t>
      </w:r>
    </w:p>
    <w:p w14:paraId="4D7EA88B" w14:textId="77777777" w:rsidR="00306287" w:rsidRPr="001F006B" w:rsidRDefault="00306287" w:rsidP="00306287">
      <w:pPr>
        <w:widowControl/>
        <w:rPr>
          <w:sz w:val="24"/>
        </w:rPr>
      </w:pPr>
    </w:p>
    <w:p w14:paraId="0F14B716" w14:textId="77777777" w:rsidR="00306287" w:rsidRPr="001F006B" w:rsidRDefault="00306287" w:rsidP="00306287">
      <w:pPr>
        <w:widowControl/>
        <w:rPr>
          <w:sz w:val="24"/>
        </w:rPr>
      </w:pPr>
      <w:r w:rsidRPr="001F006B">
        <w:rPr>
          <w:sz w:val="24"/>
        </w:rPr>
        <w:t>The Department of Labor website was used to determine appropriate wage rates for respondents (</w:t>
      </w:r>
      <w:hyperlink r:id="rId23" w:history="1">
        <w:r w:rsidRPr="001F006B">
          <w:rPr>
            <w:rStyle w:val="Hyperlink"/>
            <w:sz w:val="24"/>
          </w:rPr>
          <w:t>http://www.bls.gov/bls/blswage.htm</w:t>
        </w:r>
      </w:hyperlink>
      <w:r w:rsidRPr="001F006B">
        <w:rPr>
          <w:sz w:val="24"/>
        </w:rPr>
        <w:t>). The mean hourly wages for the following professions were selected as samples from the website:</w:t>
      </w:r>
      <w:r w:rsidRPr="001F006B">
        <w:rPr>
          <w:sz w:val="24"/>
        </w:rPr>
        <w:br/>
      </w:r>
    </w:p>
    <w:p w14:paraId="28C0919F" w14:textId="77777777" w:rsidR="00306287" w:rsidRPr="001F006B" w:rsidRDefault="00306287" w:rsidP="00436DDA">
      <w:pPr>
        <w:pStyle w:val="ListParagraph"/>
        <w:widowControl/>
        <w:numPr>
          <w:ilvl w:val="0"/>
          <w:numId w:val="7"/>
        </w:numPr>
        <w:rPr>
          <w:sz w:val="24"/>
        </w:rPr>
      </w:pPr>
      <w:r w:rsidRPr="004338DC">
        <w:rPr>
          <w:sz w:val="24"/>
        </w:rPr>
        <w:t>Education, Training, and Library Occupations</w:t>
      </w:r>
      <w:r w:rsidRPr="001F006B">
        <w:rPr>
          <w:sz w:val="24"/>
        </w:rPr>
        <w:t xml:space="preserve"> ($</w:t>
      </w:r>
      <w:r w:rsidR="005C63D7">
        <w:rPr>
          <w:sz w:val="24"/>
        </w:rPr>
        <w:t>26.21</w:t>
      </w:r>
      <w:r w:rsidRPr="001F006B">
        <w:rPr>
          <w:sz w:val="24"/>
        </w:rPr>
        <w:t>)</w:t>
      </w:r>
    </w:p>
    <w:p w14:paraId="7E9F574D" w14:textId="77777777" w:rsidR="00306287" w:rsidRPr="001F006B" w:rsidRDefault="00306287" w:rsidP="00436DDA">
      <w:pPr>
        <w:pStyle w:val="ListParagraph"/>
        <w:widowControl/>
        <w:numPr>
          <w:ilvl w:val="0"/>
          <w:numId w:val="7"/>
        </w:numPr>
        <w:rPr>
          <w:sz w:val="24"/>
        </w:rPr>
      </w:pPr>
      <w:r w:rsidRPr="004338DC">
        <w:rPr>
          <w:sz w:val="24"/>
        </w:rPr>
        <w:t>Claims Adjusters, Appraisers, Examiners, and Investigators</w:t>
      </w:r>
      <w:r w:rsidRPr="001F006B">
        <w:rPr>
          <w:sz w:val="24"/>
        </w:rPr>
        <w:t xml:space="preserve"> ($</w:t>
      </w:r>
      <w:r w:rsidR="005C63D7">
        <w:rPr>
          <w:sz w:val="24"/>
        </w:rPr>
        <w:t>30.61</w:t>
      </w:r>
      <w:r w:rsidRPr="001F006B">
        <w:rPr>
          <w:sz w:val="24"/>
        </w:rPr>
        <w:t>)</w:t>
      </w:r>
    </w:p>
    <w:p w14:paraId="41E51D4F" w14:textId="77777777" w:rsidR="00306287" w:rsidRPr="001F006B" w:rsidRDefault="00306287" w:rsidP="00436DDA">
      <w:pPr>
        <w:pStyle w:val="ListParagraph"/>
        <w:widowControl/>
        <w:numPr>
          <w:ilvl w:val="0"/>
          <w:numId w:val="7"/>
        </w:numPr>
        <w:rPr>
          <w:sz w:val="24"/>
        </w:rPr>
      </w:pPr>
      <w:r w:rsidRPr="004338DC">
        <w:rPr>
          <w:sz w:val="24"/>
        </w:rPr>
        <w:t>Business and Financial Operations Occupations</w:t>
      </w:r>
      <w:r w:rsidRPr="001F006B">
        <w:rPr>
          <w:sz w:val="24"/>
        </w:rPr>
        <w:t xml:space="preserve"> ($</w:t>
      </w:r>
      <w:r w:rsidR="005C63D7">
        <w:rPr>
          <w:sz w:val="24"/>
        </w:rPr>
        <w:t>36.09</w:t>
      </w:r>
      <w:r w:rsidRPr="001F006B">
        <w:rPr>
          <w:sz w:val="24"/>
        </w:rPr>
        <w:t>)</w:t>
      </w:r>
    </w:p>
    <w:p w14:paraId="0DA22EC1" w14:textId="77777777" w:rsidR="00306287" w:rsidRPr="001F006B" w:rsidRDefault="00306287" w:rsidP="00436DDA">
      <w:pPr>
        <w:pStyle w:val="ListParagraph"/>
        <w:widowControl/>
        <w:numPr>
          <w:ilvl w:val="0"/>
          <w:numId w:val="7"/>
        </w:numPr>
        <w:rPr>
          <w:sz w:val="24"/>
        </w:rPr>
      </w:pPr>
      <w:r w:rsidRPr="004338DC">
        <w:rPr>
          <w:sz w:val="24"/>
        </w:rPr>
        <w:t>Healthcare Practitioners and Technical Occupations</w:t>
      </w:r>
      <w:r w:rsidRPr="001F006B">
        <w:rPr>
          <w:sz w:val="24"/>
        </w:rPr>
        <w:t xml:space="preserve"> ($</w:t>
      </w:r>
      <w:r w:rsidR="005C63D7">
        <w:rPr>
          <w:sz w:val="24"/>
        </w:rPr>
        <w:t>38.06</w:t>
      </w:r>
      <w:r w:rsidRPr="001F006B">
        <w:rPr>
          <w:sz w:val="24"/>
        </w:rPr>
        <w:t>)</w:t>
      </w:r>
    </w:p>
    <w:p w14:paraId="21E8476E" w14:textId="77777777" w:rsidR="00306287" w:rsidRPr="001F006B" w:rsidRDefault="00306287" w:rsidP="00436DDA">
      <w:pPr>
        <w:pStyle w:val="ListParagraph"/>
        <w:widowControl/>
        <w:numPr>
          <w:ilvl w:val="0"/>
          <w:numId w:val="7"/>
        </w:numPr>
        <w:rPr>
          <w:sz w:val="24"/>
        </w:rPr>
      </w:pPr>
      <w:r w:rsidRPr="004338DC">
        <w:rPr>
          <w:sz w:val="24"/>
        </w:rPr>
        <w:t>Administrative Services Managers</w:t>
      </w:r>
      <w:r w:rsidRPr="001F006B">
        <w:rPr>
          <w:sz w:val="24"/>
        </w:rPr>
        <w:t xml:space="preserve"> ($</w:t>
      </w:r>
      <w:r w:rsidR="002C23B0">
        <w:rPr>
          <w:sz w:val="24"/>
        </w:rPr>
        <w:t>43.29</w:t>
      </w:r>
      <w:r w:rsidRPr="001F006B">
        <w:rPr>
          <w:sz w:val="24"/>
        </w:rPr>
        <w:t>)</w:t>
      </w:r>
    </w:p>
    <w:p w14:paraId="67090BF8" w14:textId="77777777" w:rsidR="00306287" w:rsidRDefault="00306287" w:rsidP="00436DDA">
      <w:pPr>
        <w:pStyle w:val="ListParagraph"/>
        <w:widowControl/>
        <w:numPr>
          <w:ilvl w:val="0"/>
          <w:numId w:val="7"/>
        </w:numPr>
        <w:rPr>
          <w:sz w:val="24"/>
        </w:rPr>
      </w:pPr>
      <w:r w:rsidRPr="004338DC">
        <w:rPr>
          <w:sz w:val="24"/>
        </w:rPr>
        <w:t>Management Occupations</w:t>
      </w:r>
      <w:r w:rsidRPr="001F006B">
        <w:rPr>
          <w:sz w:val="24"/>
        </w:rPr>
        <w:t xml:space="preserve"> ($</w:t>
      </w:r>
      <w:r w:rsidR="002C23B0">
        <w:rPr>
          <w:sz w:val="24"/>
        </w:rPr>
        <w:t>56.74</w:t>
      </w:r>
      <w:r w:rsidRPr="001F006B">
        <w:rPr>
          <w:sz w:val="24"/>
        </w:rPr>
        <w:t>)</w:t>
      </w:r>
    </w:p>
    <w:p w14:paraId="611D0E18" w14:textId="77777777" w:rsidR="00426346" w:rsidRPr="00275F04" w:rsidRDefault="00EF557F" w:rsidP="00553E48">
      <w:pPr>
        <w:pStyle w:val="ListParagraph"/>
        <w:widowControl/>
        <w:numPr>
          <w:ilvl w:val="0"/>
          <w:numId w:val="7"/>
        </w:numPr>
        <w:rPr>
          <w:sz w:val="24"/>
        </w:rPr>
      </w:pPr>
      <w:r>
        <w:rPr>
          <w:sz w:val="24"/>
        </w:rPr>
        <w:t>Family and General Practitioners (</w:t>
      </w:r>
      <w:r w:rsidR="00110454">
        <w:rPr>
          <w:sz w:val="24"/>
        </w:rPr>
        <w:t>$96.54)</w:t>
      </w:r>
      <w:bookmarkStart w:id="15" w:name="Table9CostBurden"/>
      <w:bookmarkStart w:id="16" w:name="Table7CostBurden"/>
    </w:p>
    <w:p w14:paraId="32B2A93A" w14:textId="77777777" w:rsidR="00426346" w:rsidRDefault="00426346" w:rsidP="00553E48">
      <w:pPr>
        <w:widowControl/>
        <w:rPr>
          <w:b/>
          <w:sz w:val="24"/>
        </w:rPr>
      </w:pPr>
    </w:p>
    <w:p w14:paraId="0B12EF3D" w14:textId="77777777" w:rsidR="00FF7F06" w:rsidRPr="00553E48" w:rsidRDefault="00FF7F06" w:rsidP="00553E48">
      <w:pPr>
        <w:widowControl/>
        <w:rPr>
          <w:b/>
          <w:sz w:val="24"/>
        </w:rPr>
      </w:pPr>
      <w:r w:rsidRPr="00553E48">
        <w:rPr>
          <w:b/>
          <w:sz w:val="24"/>
        </w:rPr>
        <w:t xml:space="preserve">Table </w:t>
      </w:r>
      <w:r w:rsidR="008B167E" w:rsidRPr="00553E48">
        <w:rPr>
          <w:b/>
          <w:sz w:val="24"/>
        </w:rPr>
        <w:t>3</w:t>
      </w:r>
      <w:r w:rsidRPr="00553E48">
        <w:rPr>
          <w:b/>
          <w:sz w:val="24"/>
        </w:rPr>
        <w:t>: Estimated Annual Burden Costs</w:t>
      </w:r>
    </w:p>
    <w:tbl>
      <w:tblPr>
        <w:tblStyle w:val="TableGrid5"/>
        <w:tblW w:w="9085" w:type="dxa"/>
        <w:tblLayout w:type="fixed"/>
        <w:tblLook w:val="04A0" w:firstRow="1" w:lastRow="0" w:firstColumn="1" w:lastColumn="0" w:noHBand="0" w:noVBand="1"/>
      </w:tblPr>
      <w:tblGrid>
        <w:gridCol w:w="2088"/>
        <w:gridCol w:w="2227"/>
        <w:gridCol w:w="1350"/>
        <w:gridCol w:w="1440"/>
        <w:gridCol w:w="1980"/>
      </w:tblGrid>
      <w:tr w:rsidR="00076950" w:rsidRPr="00ED57BC" w14:paraId="1FEC049D" w14:textId="77777777" w:rsidTr="00F056C8">
        <w:trPr>
          <w:trHeight w:val="900"/>
          <w:tblHeader/>
        </w:trPr>
        <w:tc>
          <w:tcPr>
            <w:tcW w:w="2088" w:type="dxa"/>
            <w:shd w:val="clear" w:color="auto" w:fill="BFBFBF" w:themeFill="background1" w:themeFillShade="BF"/>
            <w:noWrap/>
            <w:hideMark/>
          </w:tcPr>
          <w:p w14:paraId="7070B07A" w14:textId="77777777" w:rsidR="00076950" w:rsidRPr="00ED57BC" w:rsidRDefault="00076950" w:rsidP="00ED5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b/>
                <w:bCs/>
                <w:sz w:val="18"/>
                <w:szCs w:val="18"/>
              </w:rPr>
            </w:pPr>
            <w:r w:rsidRPr="00ED57BC">
              <w:rPr>
                <w:b/>
                <w:bCs/>
                <w:sz w:val="18"/>
                <w:szCs w:val="18"/>
              </w:rPr>
              <w:t xml:space="preserve">Regulation Citation </w:t>
            </w:r>
          </w:p>
        </w:tc>
        <w:tc>
          <w:tcPr>
            <w:tcW w:w="2227" w:type="dxa"/>
            <w:shd w:val="clear" w:color="auto" w:fill="BFBFBF" w:themeFill="background1" w:themeFillShade="BF"/>
            <w:noWrap/>
            <w:hideMark/>
          </w:tcPr>
          <w:p w14:paraId="2E2F36CD" w14:textId="77777777" w:rsidR="00076950" w:rsidRPr="00ED57BC" w:rsidRDefault="00076950" w:rsidP="00ED5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b/>
                <w:bCs/>
                <w:sz w:val="18"/>
                <w:szCs w:val="18"/>
              </w:rPr>
            </w:pPr>
            <w:r w:rsidRPr="00ED57BC">
              <w:rPr>
                <w:b/>
                <w:bCs/>
                <w:sz w:val="18"/>
                <w:szCs w:val="18"/>
              </w:rPr>
              <w:t>Form Name</w:t>
            </w:r>
          </w:p>
        </w:tc>
        <w:tc>
          <w:tcPr>
            <w:tcW w:w="1350" w:type="dxa"/>
            <w:shd w:val="clear" w:color="auto" w:fill="BFBFBF" w:themeFill="background1" w:themeFillShade="BF"/>
            <w:hideMark/>
          </w:tcPr>
          <w:p w14:paraId="64562153" w14:textId="77777777" w:rsidR="00076950" w:rsidRPr="00ED57BC" w:rsidRDefault="00076950" w:rsidP="00ED5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bCs/>
                <w:sz w:val="18"/>
                <w:szCs w:val="18"/>
              </w:rPr>
            </w:pPr>
            <w:r w:rsidRPr="00ED57BC">
              <w:rPr>
                <w:b/>
                <w:bCs/>
                <w:sz w:val="18"/>
                <w:szCs w:val="18"/>
              </w:rPr>
              <w:t>Total Burden Hours</w:t>
            </w:r>
          </w:p>
        </w:tc>
        <w:tc>
          <w:tcPr>
            <w:tcW w:w="1440" w:type="dxa"/>
            <w:shd w:val="clear" w:color="auto" w:fill="BFBFBF" w:themeFill="background1" w:themeFillShade="BF"/>
          </w:tcPr>
          <w:p w14:paraId="57495899" w14:textId="77777777" w:rsidR="00076950" w:rsidRPr="00ED57BC" w:rsidRDefault="00076950" w:rsidP="00ED5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bCs/>
                <w:sz w:val="18"/>
                <w:szCs w:val="18"/>
              </w:rPr>
            </w:pPr>
            <w:r>
              <w:rPr>
                <w:b/>
                <w:bCs/>
                <w:sz w:val="18"/>
                <w:szCs w:val="18"/>
              </w:rPr>
              <w:t>Wage Rate</w:t>
            </w:r>
          </w:p>
        </w:tc>
        <w:tc>
          <w:tcPr>
            <w:tcW w:w="1980" w:type="dxa"/>
            <w:shd w:val="clear" w:color="auto" w:fill="BFBFBF" w:themeFill="background1" w:themeFillShade="BF"/>
          </w:tcPr>
          <w:p w14:paraId="33D8D18E" w14:textId="77777777" w:rsidR="00076950" w:rsidRPr="00ED57BC" w:rsidRDefault="00076950" w:rsidP="00ED5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bCs/>
                <w:sz w:val="18"/>
                <w:szCs w:val="18"/>
              </w:rPr>
            </w:pPr>
            <w:r>
              <w:rPr>
                <w:b/>
                <w:bCs/>
                <w:sz w:val="18"/>
                <w:szCs w:val="18"/>
              </w:rPr>
              <w:t>Total Respondent Costs</w:t>
            </w:r>
          </w:p>
        </w:tc>
      </w:tr>
      <w:tr w:rsidR="00076950" w:rsidRPr="00ED57BC" w14:paraId="133B996D" w14:textId="77777777" w:rsidTr="00107F1C">
        <w:trPr>
          <w:trHeight w:val="600"/>
        </w:trPr>
        <w:tc>
          <w:tcPr>
            <w:tcW w:w="2088" w:type="dxa"/>
            <w:vMerge w:val="restart"/>
            <w:hideMark/>
          </w:tcPr>
          <w:p w14:paraId="3C79AE36" w14:textId="77777777" w:rsidR="00076950" w:rsidRPr="00ED57BC" w:rsidRDefault="00076950" w:rsidP="00ED57BC">
            <w:pPr>
              <w:widowControl/>
              <w:autoSpaceDE/>
              <w:autoSpaceDN/>
              <w:adjustRightInd/>
              <w:rPr>
                <w:sz w:val="18"/>
                <w:szCs w:val="18"/>
              </w:rPr>
            </w:pPr>
            <w:r w:rsidRPr="00ED57BC">
              <w:rPr>
                <w:bCs/>
                <w:sz w:val="18"/>
                <w:szCs w:val="18"/>
              </w:rPr>
              <w:t>§</w:t>
            </w:r>
            <w:r w:rsidRPr="00ED57BC">
              <w:rPr>
                <w:sz w:val="18"/>
                <w:szCs w:val="18"/>
              </w:rPr>
              <w:t xml:space="preserve"> 60.6: Reporting errors, omissions, revisions or whether an action is on appeal.</w:t>
            </w:r>
          </w:p>
        </w:tc>
        <w:tc>
          <w:tcPr>
            <w:tcW w:w="2227" w:type="dxa"/>
            <w:hideMark/>
          </w:tcPr>
          <w:p w14:paraId="231D29C8" w14:textId="77777777" w:rsidR="00076950" w:rsidRPr="00ED57BC" w:rsidRDefault="00076950" w:rsidP="00ED57BC">
            <w:pPr>
              <w:widowControl/>
              <w:autoSpaceDE/>
              <w:autoSpaceDN/>
              <w:adjustRightInd/>
              <w:rPr>
                <w:sz w:val="18"/>
                <w:szCs w:val="18"/>
              </w:rPr>
            </w:pPr>
            <w:r w:rsidRPr="00ED57BC">
              <w:rPr>
                <w:sz w:val="18"/>
                <w:szCs w:val="18"/>
              </w:rPr>
              <w:t>Correction, Revision to Action, Correction of Revision to Action, Void, Notice of Appeal</w:t>
            </w:r>
          </w:p>
          <w:p w14:paraId="30D8A12B" w14:textId="77777777" w:rsidR="00076950" w:rsidRPr="00ED57BC" w:rsidRDefault="00076950" w:rsidP="00ED57BC">
            <w:pPr>
              <w:widowControl/>
              <w:autoSpaceDE/>
              <w:autoSpaceDN/>
              <w:adjustRightInd/>
              <w:rPr>
                <w:sz w:val="18"/>
                <w:szCs w:val="18"/>
              </w:rPr>
            </w:pPr>
            <w:r w:rsidRPr="00ED57BC">
              <w:rPr>
                <w:sz w:val="18"/>
                <w:szCs w:val="18"/>
              </w:rPr>
              <w:t>(manual)</w:t>
            </w:r>
          </w:p>
        </w:tc>
        <w:tc>
          <w:tcPr>
            <w:tcW w:w="1350" w:type="dxa"/>
            <w:vAlign w:val="center"/>
            <w:hideMark/>
          </w:tcPr>
          <w:p w14:paraId="01ABBB5A" w14:textId="77777777" w:rsidR="00076950" w:rsidRPr="00ED57BC" w:rsidRDefault="0007695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2,779</w:t>
            </w:r>
          </w:p>
        </w:tc>
        <w:tc>
          <w:tcPr>
            <w:tcW w:w="1440" w:type="dxa"/>
            <w:vAlign w:val="center"/>
          </w:tcPr>
          <w:p w14:paraId="343F1F2C" w14:textId="77777777" w:rsidR="00076950" w:rsidRPr="00ED57BC" w:rsidRDefault="0007695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$56.74</w:t>
            </w:r>
          </w:p>
        </w:tc>
        <w:tc>
          <w:tcPr>
            <w:tcW w:w="1980" w:type="dxa"/>
            <w:vAlign w:val="center"/>
          </w:tcPr>
          <w:p w14:paraId="749BACA8" w14:textId="77777777" w:rsidR="00076950" w:rsidRPr="00ED57BC" w:rsidRDefault="0007695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$157,680.46</w:t>
            </w:r>
          </w:p>
        </w:tc>
      </w:tr>
      <w:tr w:rsidR="00076950" w:rsidRPr="00ED57BC" w14:paraId="4064BB4B" w14:textId="77777777" w:rsidTr="00107F1C">
        <w:trPr>
          <w:trHeight w:val="600"/>
        </w:trPr>
        <w:tc>
          <w:tcPr>
            <w:tcW w:w="2088" w:type="dxa"/>
            <w:vMerge/>
          </w:tcPr>
          <w:p w14:paraId="7079AFC1" w14:textId="77777777" w:rsidR="00076950" w:rsidRPr="00ED57BC" w:rsidRDefault="00076950" w:rsidP="00ED57BC">
            <w:pPr>
              <w:widowControl/>
              <w:autoSpaceDE/>
              <w:autoSpaceDN/>
              <w:adjustRightInd/>
              <w:rPr>
                <w:bCs/>
                <w:sz w:val="18"/>
                <w:szCs w:val="18"/>
              </w:rPr>
            </w:pPr>
          </w:p>
        </w:tc>
        <w:tc>
          <w:tcPr>
            <w:tcW w:w="2227" w:type="dxa"/>
          </w:tcPr>
          <w:p w14:paraId="0758720F" w14:textId="77777777" w:rsidR="00076950" w:rsidRPr="00ED57BC" w:rsidRDefault="00076950" w:rsidP="00ED57BC">
            <w:pPr>
              <w:widowControl/>
              <w:autoSpaceDE/>
              <w:autoSpaceDN/>
              <w:adjustRightInd/>
              <w:rPr>
                <w:sz w:val="18"/>
                <w:szCs w:val="18"/>
              </w:rPr>
            </w:pPr>
            <w:r w:rsidRPr="00ED57BC">
              <w:rPr>
                <w:sz w:val="18"/>
                <w:szCs w:val="18"/>
              </w:rPr>
              <w:t>Correction, Revision to Action, Correction of Revision to Action, Void, Notice of Appeal</w:t>
            </w:r>
          </w:p>
          <w:p w14:paraId="671C4F23" w14:textId="77777777" w:rsidR="00076950" w:rsidRPr="00ED57BC" w:rsidRDefault="00076950" w:rsidP="00ED57BC">
            <w:pPr>
              <w:widowControl/>
              <w:autoSpaceDE/>
              <w:autoSpaceDN/>
              <w:adjustRightInd/>
              <w:rPr>
                <w:sz w:val="18"/>
                <w:szCs w:val="18"/>
              </w:rPr>
            </w:pPr>
            <w:r w:rsidRPr="00ED57BC">
              <w:rPr>
                <w:sz w:val="18"/>
                <w:szCs w:val="18"/>
              </w:rPr>
              <w:t>(automated)</w:t>
            </w:r>
          </w:p>
        </w:tc>
        <w:tc>
          <w:tcPr>
            <w:tcW w:w="1350" w:type="dxa"/>
            <w:vAlign w:val="center"/>
          </w:tcPr>
          <w:p w14:paraId="4414D991" w14:textId="77777777" w:rsidR="00076950" w:rsidRPr="00ED57BC" w:rsidRDefault="0007695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6</w:t>
            </w:r>
          </w:p>
        </w:tc>
        <w:tc>
          <w:tcPr>
            <w:tcW w:w="1440" w:type="dxa"/>
            <w:vAlign w:val="center"/>
          </w:tcPr>
          <w:p w14:paraId="6EEB6012" w14:textId="77777777" w:rsidR="00076950" w:rsidRPr="00ED57BC" w:rsidRDefault="0007695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$56.74</w:t>
            </w:r>
          </w:p>
        </w:tc>
        <w:tc>
          <w:tcPr>
            <w:tcW w:w="1980" w:type="dxa"/>
            <w:vAlign w:val="center"/>
          </w:tcPr>
          <w:p w14:paraId="56D18EEB" w14:textId="77777777" w:rsidR="00076950" w:rsidRPr="00ED57BC" w:rsidRDefault="004A4983"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$340.44</w:t>
            </w:r>
          </w:p>
        </w:tc>
      </w:tr>
      <w:tr w:rsidR="00076950" w:rsidRPr="00ED57BC" w14:paraId="1121BDE1" w14:textId="77777777" w:rsidTr="00107F1C">
        <w:trPr>
          <w:trHeight w:val="600"/>
        </w:trPr>
        <w:tc>
          <w:tcPr>
            <w:tcW w:w="2088" w:type="dxa"/>
            <w:vMerge w:val="restart"/>
            <w:hideMark/>
          </w:tcPr>
          <w:p w14:paraId="7371F1A0" w14:textId="77777777" w:rsidR="00076950" w:rsidRPr="00ED57BC" w:rsidRDefault="00076950" w:rsidP="00ED57BC">
            <w:pPr>
              <w:widowControl/>
              <w:autoSpaceDE/>
              <w:autoSpaceDN/>
              <w:adjustRightInd/>
              <w:rPr>
                <w:sz w:val="18"/>
                <w:szCs w:val="18"/>
              </w:rPr>
            </w:pPr>
            <w:r w:rsidRPr="00ED57BC">
              <w:rPr>
                <w:bCs/>
                <w:sz w:val="18"/>
                <w:szCs w:val="18"/>
              </w:rPr>
              <w:t>§</w:t>
            </w:r>
            <w:r w:rsidRPr="00ED57BC">
              <w:rPr>
                <w:sz w:val="18"/>
                <w:szCs w:val="18"/>
              </w:rPr>
              <w:t xml:space="preserve"> 60.7: Reporting medical malpractice payments.</w:t>
            </w:r>
          </w:p>
        </w:tc>
        <w:tc>
          <w:tcPr>
            <w:tcW w:w="2227" w:type="dxa"/>
            <w:noWrap/>
            <w:hideMark/>
          </w:tcPr>
          <w:p w14:paraId="754F8EF8" w14:textId="77777777" w:rsidR="00076950" w:rsidRPr="00ED57BC" w:rsidRDefault="00076950" w:rsidP="00ED57BC">
            <w:pPr>
              <w:widowControl/>
              <w:autoSpaceDE/>
              <w:autoSpaceDN/>
              <w:adjustRightInd/>
              <w:rPr>
                <w:sz w:val="18"/>
                <w:szCs w:val="18"/>
              </w:rPr>
            </w:pPr>
            <w:r w:rsidRPr="00ED57BC">
              <w:rPr>
                <w:sz w:val="18"/>
                <w:szCs w:val="18"/>
              </w:rPr>
              <w:t xml:space="preserve">Medical Malpractice Payment </w:t>
            </w:r>
          </w:p>
          <w:p w14:paraId="082CA613" w14:textId="77777777" w:rsidR="00076950" w:rsidRPr="00ED57BC" w:rsidRDefault="00076950" w:rsidP="00ED57BC">
            <w:pPr>
              <w:widowControl/>
              <w:autoSpaceDE/>
              <w:autoSpaceDN/>
              <w:adjustRightInd/>
              <w:rPr>
                <w:sz w:val="18"/>
                <w:szCs w:val="18"/>
              </w:rPr>
            </w:pPr>
            <w:r w:rsidRPr="00ED57BC">
              <w:rPr>
                <w:sz w:val="18"/>
                <w:szCs w:val="18"/>
              </w:rPr>
              <w:t>(manual)</w:t>
            </w:r>
          </w:p>
        </w:tc>
        <w:tc>
          <w:tcPr>
            <w:tcW w:w="1350" w:type="dxa"/>
            <w:vAlign w:val="center"/>
            <w:hideMark/>
          </w:tcPr>
          <w:p w14:paraId="33EBE29F" w14:textId="77777777" w:rsidR="00076950" w:rsidRPr="00ED57BC" w:rsidRDefault="0007695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8,995</w:t>
            </w:r>
          </w:p>
        </w:tc>
        <w:tc>
          <w:tcPr>
            <w:tcW w:w="1440" w:type="dxa"/>
            <w:vAlign w:val="center"/>
          </w:tcPr>
          <w:p w14:paraId="7B61BEAE" w14:textId="77777777" w:rsidR="00076950" w:rsidRPr="00ED57BC" w:rsidRDefault="0007695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$30.61</w:t>
            </w:r>
          </w:p>
        </w:tc>
        <w:tc>
          <w:tcPr>
            <w:tcW w:w="1980" w:type="dxa"/>
            <w:vAlign w:val="center"/>
          </w:tcPr>
          <w:p w14:paraId="6FDD2001" w14:textId="77777777" w:rsidR="00076950" w:rsidRPr="00ED57BC" w:rsidRDefault="004A4983"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$275,336.95</w:t>
            </w:r>
          </w:p>
        </w:tc>
      </w:tr>
      <w:tr w:rsidR="00076950" w:rsidRPr="00ED57BC" w14:paraId="0C3389FF" w14:textId="77777777" w:rsidTr="00107F1C">
        <w:trPr>
          <w:trHeight w:val="600"/>
        </w:trPr>
        <w:tc>
          <w:tcPr>
            <w:tcW w:w="2088" w:type="dxa"/>
            <w:vMerge/>
          </w:tcPr>
          <w:p w14:paraId="567E096C" w14:textId="77777777" w:rsidR="00076950" w:rsidRPr="00ED57BC" w:rsidRDefault="00076950" w:rsidP="00ED57BC">
            <w:pPr>
              <w:widowControl/>
              <w:autoSpaceDE/>
              <w:autoSpaceDN/>
              <w:adjustRightInd/>
              <w:rPr>
                <w:bCs/>
                <w:sz w:val="18"/>
                <w:szCs w:val="18"/>
              </w:rPr>
            </w:pPr>
          </w:p>
        </w:tc>
        <w:tc>
          <w:tcPr>
            <w:tcW w:w="2227" w:type="dxa"/>
            <w:noWrap/>
          </w:tcPr>
          <w:p w14:paraId="3C3C6647" w14:textId="77777777" w:rsidR="00076950" w:rsidRPr="00ED57BC" w:rsidRDefault="00076950" w:rsidP="00ED57BC">
            <w:pPr>
              <w:widowControl/>
              <w:autoSpaceDE/>
              <w:autoSpaceDN/>
              <w:adjustRightInd/>
              <w:rPr>
                <w:sz w:val="18"/>
                <w:szCs w:val="18"/>
              </w:rPr>
            </w:pPr>
            <w:r w:rsidRPr="00ED57BC">
              <w:rPr>
                <w:sz w:val="18"/>
                <w:szCs w:val="18"/>
              </w:rPr>
              <w:t>Medical Malpractice Payment</w:t>
            </w:r>
          </w:p>
          <w:p w14:paraId="742C76CD" w14:textId="77777777" w:rsidR="00076950" w:rsidRPr="00ED57BC" w:rsidRDefault="00076950" w:rsidP="00ED57BC">
            <w:pPr>
              <w:widowControl/>
              <w:autoSpaceDE/>
              <w:autoSpaceDN/>
              <w:adjustRightInd/>
              <w:rPr>
                <w:sz w:val="18"/>
                <w:szCs w:val="18"/>
              </w:rPr>
            </w:pPr>
            <w:r w:rsidRPr="00ED57BC">
              <w:rPr>
                <w:sz w:val="18"/>
                <w:szCs w:val="18"/>
              </w:rPr>
              <w:t>(automated)</w:t>
            </w:r>
          </w:p>
          <w:p w14:paraId="68D67B79" w14:textId="77777777" w:rsidR="00076950" w:rsidRPr="00ED57BC" w:rsidRDefault="00076950" w:rsidP="00ED57BC">
            <w:pPr>
              <w:widowControl/>
              <w:autoSpaceDE/>
              <w:autoSpaceDN/>
              <w:adjustRightInd/>
              <w:rPr>
                <w:sz w:val="18"/>
                <w:szCs w:val="18"/>
              </w:rPr>
            </w:pPr>
          </w:p>
        </w:tc>
        <w:tc>
          <w:tcPr>
            <w:tcW w:w="1350" w:type="dxa"/>
            <w:vAlign w:val="center"/>
          </w:tcPr>
          <w:p w14:paraId="074BCB78" w14:textId="77777777" w:rsidR="00076950" w:rsidRPr="00ED57BC" w:rsidRDefault="0007695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1</w:t>
            </w:r>
          </w:p>
        </w:tc>
        <w:tc>
          <w:tcPr>
            <w:tcW w:w="1440" w:type="dxa"/>
            <w:vAlign w:val="center"/>
          </w:tcPr>
          <w:p w14:paraId="01C96D66" w14:textId="77777777" w:rsidR="00076950" w:rsidRPr="00ED57BC" w:rsidRDefault="00F6186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$30.61</w:t>
            </w:r>
          </w:p>
        </w:tc>
        <w:tc>
          <w:tcPr>
            <w:tcW w:w="1980" w:type="dxa"/>
            <w:vAlign w:val="center"/>
          </w:tcPr>
          <w:p w14:paraId="27769B60" w14:textId="77777777" w:rsidR="00076950" w:rsidRPr="00ED57BC" w:rsidRDefault="00F6186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$30.61</w:t>
            </w:r>
          </w:p>
        </w:tc>
      </w:tr>
      <w:tr w:rsidR="00076950" w:rsidRPr="00ED57BC" w14:paraId="46036A08" w14:textId="77777777" w:rsidTr="00107F1C">
        <w:trPr>
          <w:trHeight w:val="900"/>
        </w:trPr>
        <w:tc>
          <w:tcPr>
            <w:tcW w:w="2088" w:type="dxa"/>
            <w:vMerge w:val="restart"/>
            <w:hideMark/>
          </w:tcPr>
          <w:p w14:paraId="3041B722" w14:textId="77777777" w:rsidR="00076950" w:rsidRPr="00ED57BC" w:rsidRDefault="00076950" w:rsidP="00ED57BC">
            <w:pPr>
              <w:widowControl/>
              <w:autoSpaceDE/>
              <w:autoSpaceDN/>
              <w:adjustRightInd/>
              <w:rPr>
                <w:sz w:val="18"/>
                <w:szCs w:val="18"/>
              </w:rPr>
            </w:pPr>
            <w:r w:rsidRPr="00ED57BC">
              <w:rPr>
                <w:bCs/>
                <w:sz w:val="18"/>
                <w:szCs w:val="18"/>
              </w:rPr>
              <w:t>§</w:t>
            </w:r>
            <w:r w:rsidRPr="00ED57BC">
              <w:rPr>
                <w:sz w:val="18"/>
                <w:szCs w:val="18"/>
              </w:rPr>
              <w:t xml:space="preserve"> 60.8: Reporting licensure actions taken by Boards of Medical Examiners </w:t>
            </w:r>
          </w:p>
          <w:p w14:paraId="641B4F5E" w14:textId="77777777" w:rsidR="00076950" w:rsidRPr="00ED57BC" w:rsidRDefault="00076950" w:rsidP="00ED57BC">
            <w:pPr>
              <w:widowControl/>
              <w:autoSpaceDE/>
              <w:autoSpaceDN/>
              <w:adjustRightInd/>
              <w:rPr>
                <w:sz w:val="18"/>
                <w:szCs w:val="18"/>
              </w:rPr>
            </w:pPr>
            <w:r w:rsidRPr="00ED57BC">
              <w:rPr>
                <w:sz w:val="18"/>
                <w:szCs w:val="18"/>
              </w:rPr>
              <w:t xml:space="preserve">&amp; </w:t>
            </w:r>
          </w:p>
          <w:p w14:paraId="06C0B5F3" w14:textId="77777777" w:rsidR="00076950" w:rsidRPr="00ED57BC" w:rsidRDefault="00076950" w:rsidP="00ED57BC">
            <w:pPr>
              <w:widowControl/>
              <w:autoSpaceDE/>
              <w:autoSpaceDN/>
              <w:adjustRightInd/>
              <w:rPr>
                <w:sz w:val="18"/>
                <w:szCs w:val="18"/>
              </w:rPr>
            </w:pPr>
            <w:r w:rsidRPr="00ED57BC">
              <w:rPr>
                <w:bCs/>
                <w:sz w:val="18"/>
                <w:szCs w:val="18"/>
              </w:rPr>
              <w:t>§</w:t>
            </w:r>
            <w:r w:rsidRPr="00ED57BC">
              <w:rPr>
                <w:sz w:val="18"/>
                <w:szCs w:val="18"/>
              </w:rPr>
              <w:t>60.9: Reporting licensure and certification actions taken by States.</w:t>
            </w:r>
          </w:p>
        </w:tc>
        <w:tc>
          <w:tcPr>
            <w:tcW w:w="2227" w:type="dxa"/>
            <w:noWrap/>
            <w:hideMark/>
          </w:tcPr>
          <w:p w14:paraId="2A10D4DD" w14:textId="77777777" w:rsidR="00076950" w:rsidRPr="00ED57BC" w:rsidRDefault="00076950" w:rsidP="00ED57BC">
            <w:pPr>
              <w:widowControl/>
              <w:autoSpaceDE/>
              <w:autoSpaceDN/>
              <w:adjustRightInd/>
              <w:rPr>
                <w:sz w:val="18"/>
                <w:szCs w:val="18"/>
              </w:rPr>
            </w:pPr>
            <w:r w:rsidRPr="00ED57BC">
              <w:rPr>
                <w:sz w:val="18"/>
                <w:szCs w:val="18"/>
              </w:rPr>
              <w:t xml:space="preserve">State Licensure </w:t>
            </w:r>
          </w:p>
          <w:p w14:paraId="62C2F4DB" w14:textId="77777777" w:rsidR="00076950" w:rsidRPr="00ED57BC" w:rsidRDefault="00076950" w:rsidP="00ED57BC">
            <w:pPr>
              <w:widowControl/>
              <w:autoSpaceDE/>
              <w:autoSpaceDN/>
              <w:adjustRightInd/>
              <w:rPr>
                <w:sz w:val="18"/>
                <w:szCs w:val="18"/>
              </w:rPr>
            </w:pPr>
            <w:r w:rsidRPr="00ED57BC">
              <w:rPr>
                <w:sz w:val="18"/>
                <w:szCs w:val="18"/>
              </w:rPr>
              <w:t>(manual)</w:t>
            </w:r>
          </w:p>
        </w:tc>
        <w:tc>
          <w:tcPr>
            <w:tcW w:w="1350" w:type="dxa"/>
            <w:vAlign w:val="center"/>
            <w:hideMark/>
          </w:tcPr>
          <w:p w14:paraId="6C3855D7" w14:textId="77777777" w:rsidR="00076950" w:rsidRPr="00ED57BC" w:rsidRDefault="0007695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14,370</w:t>
            </w:r>
          </w:p>
        </w:tc>
        <w:tc>
          <w:tcPr>
            <w:tcW w:w="1440" w:type="dxa"/>
            <w:vAlign w:val="center"/>
          </w:tcPr>
          <w:p w14:paraId="4842029B" w14:textId="77777777" w:rsidR="00076950" w:rsidRPr="00ED57BC" w:rsidRDefault="00F6186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276AC48F" w14:textId="77777777" w:rsidR="00076950" w:rsidRPr="00ED57BC" w:rsidRDefault="00F6186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$622,077.30</w:t>
            </w:r>
          </w:p>
        </w:tc>
      </w:tr>
      <w:tr w:rsidR="00076950" w:rsidRPr="00ED57BC" w14:paraId="6CE99433" w14:textId="77777777" w:rsidTr="00107F1C">
        <w:trPr>
          <w:trHeight w:val="900"/>
        </w:trPr>
        <w:tc>
          <w:tcPr>
            <w:tcW w:w="2088" w:type="dxa"/>
            <w:vMerge/>
          </w:tcPr>
          <w:p w14:paraId="0C0784B5" w14:textId="77777777" w:rsidR="00076950" w:rsidRPr="00ED57BC" w:rsidRDefault="00076950" w:rsidP="00ED57BC">
            <w:pPr>
              <w:widowControl/>
              <w:autoSpaceDE/>
              <w:autoSpaceDN/>
              <w:adjustRightInd/>
              <w:rPr>
                <w:bCs/>
                <w:sz w:val="18"/>
                <w:szCs w:val="18"/>
              </w:rPr>
            </w:pPr>
          </w:p>
        </w:tc>
        <w:tc>
          <w:tcPr>
            <w:tcW w:w="2227" w:type="dxa"/>
            <w:noWrap/>
          </w:tcPr>
          <w:p w14:paraId="177AD864" w14:textId="77777777" w:rsidR="00076950" w:rsidRPr="00ED57BC" w:rsidRDefault="00076950" w:rsidP="00ED57BC">
            <w:pPr>
              <w:widowControl/>
              <w:autoSpaceDE/>
              <w:autoSpaceDN/>
              <w:adjustRightInd/>
              <w:rPr>
                <w:sz w:val="18"/>
                <w:szCs w:val="18"/>
              </w:rPr>
            </w:pPr>
            <w:r w:rsidRPr="00ED57BC">
              <w:rPr>
                <w:sz w:val="18"/>
                <w:szCs w:val="18"/>
              </w:rPr>
              <w:t xml:space="preserve">State Licensure  </w:t>
            </w:r>
          </w:p>
          <w:p w14:paraId="5ECC367D" w14:textId="77777777" w:rsidR="00076950" w:rsidRPr="00ED57BC" w:rsidRDefault="00076950" w:rsidP="00ED57BC">
            <w:pPr>
              <w:widowControl/>
              <w:autoSpaceDE/>
              <w:autoSpaceDN/>
              <w:adjustRightInd/>
              <w:rPr>
                <w:sz w:val="18"/>
                <w:szCs w:val="18"/>
              </w:rPr>
            </w:pPr>
            <w:r w:rsidRPr="00ED57BC">
              <w:rPr>
                <w:sz w:val="18"/>
                <w:szCs w:val="18"/>
              </w:rPr>
              <w:t>(automated)</w:t>
            </w:r>
          </w:p>
        </w:tc>
        <w:tc>
          <w:tcPr>
            <w:tcW w:w="1350" w:type="dxa"/>
            <w:vAlign w:val="center"/>
          </w:tcPr>
          <w:p w14:paraId="5B534229" w14:textId="77777777" w:rsidR="00076950" w:rsidRPr="00ED57BC" w:rsidRDefault="0007695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8</w:t>
            </w:r>
          </w:p>
        </w:tc>
        <w:tc>
          <w:tcPr>
            <w:tcW w:w="1440" w:type="dxa"/>
            <w:vAlign w:val="center"/>
          </w:tcPr>
          <w:p w14:paraId="241DF630" w14:textId="77777777" w:rsidR="00076950" w:rsidRPr="00ED57BC" w:rsidRDefault="00F6186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2C7A5A5E" w14:textId="77777777" w:rsidR="00076950"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$346.32</w:t>
            </w:r>
          </w:p>
        </w:tc>
      </w:tr>
      <w:tr w:rsidR="00076950" w:rsidRPr="00ED57BC" w14:paraId="7D0CDC23" w14:textId="77777777" w:rsidTr="00107F1C">
        <w:trPr>
          <w:trHeight w:val="600"/>
        </w:trPr>
        <w:tc>
          <w:tcPr>
            <w:tcW w:w="2088" w:type="dxa"/>
            <w:hideMark/>
          </w:tcPr>
          <w:p w14:paraId="57E75060" w14:textId="77777777" w:rsidR="00076950" w:rsidRPr="00ED57BC" w:rsidRDefault="00076950" w:rsidP="00ED57BC">
            <w:pPr>
              <w:widowControl/>
              <w:autoSpaceDE/>
              <w:autoSpaceDN/>
              <w:adjustRightInd/>
              <w:rPr>
                <w:sz w:val="18"/>
                <w:szCs w:val="18"/>
              </w:rPr>
            </w:pPr>
            <w:r w:rsidRPr="00ED57BC">
              <w:rPr>
                <w:bCs/>
                <w:sz w:val="18"/>
                <w:szCs w:val="18"/>
              </w:rPr>
              <w:t>§</w:t>
            </w:r>
            <w:r w:rsidRPr="00ED57BC">
              <w:rPr>
                <w:sz w:val="18"/>
                <w:szCs w:val="18"/>
              </w:rPr>
              <w:t xml:space="preserve"> 60.10: Reporting Federal licensure and certification actions.</w:t>
            </w:r>
          </w:p>
        </w:tc>
        <w:tc>
          <w:tcPr>
            <w:tcW w:w="2227" w:type="dxa"/>
            <w:noWrap/>
            <w:hideMark/>
          </w:tcPr>
          <w:p w14:paraId="600369C9" w14:textId="77777777" w:rsidR="00076950" w:rsidRPr="00ED57BC" w:rsidRDefault="00076950" w:rsidP="00ED5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DEA/Federal Licensure</w:t>
            </w:r>
          </w:p>
        </w:tc>
        <w:tc>
          <w:tcPr>
            <w:tcW w:w="1350" w:type="dxa"/>
            <w:vAlign w:val="center"/>
            <w:hideMark/>
          </w:tcPr>
          <w:p w14:paraId="7DFE27F8" w14:textId="77777777" w:rsidR="00076950" w:rsidRPr="00ED57BC" w:rsidRDefault="0007695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524</w:t>
            </w:r>
          </w:p>
        </w:tc>
        <w:tc>
          <w:tcPr>
            <w:tcW w:w="1440" w:type="dxa"/>
            <w:vAlign w:val="center"/>
          </w:tcPr>
          <w:p w14:paraId="1A506123" w14:textId="77777777" w:rsidR="00076950" w:rsidRPr="00ED57BC" w:rsidRDefault="00F6186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18AB41ED" w14:textId="77777777" w:rsidR="00076950"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$22,683.96</w:t>
            </w:r>
          </w:p>
        </w:tc>
      </w:tr>
      <w:tr w:rsidR="00076950" w:rsidRPr="00ED57BC" w14:paraId="6A8D9BA9" w14:textId="77777777" w:rsidTr="00107F1C">
        <w:trPr>
          <w:trHeight w:val="510"/>
        </w:trPr>
        <w:tc>
          <w:tcPr>
            <w:tcW w:w="2088" w:type="dxa"/>
            <w:vMerge w:val="restart"/>
            <w:hideMark/>
          </w:tcPr>
          <w:p w14:paraId="71663002" w14:textId="77777777" w:rsidR="00076950" w:rsidRPr="00ED57BC" w:rsidRDefault="00076950" w:rsidP="00ED57BC">
            <w:pPr>
              <w:widowControl/>
              <w:autoSpaceDE/>
              <w:autoSpaceDN/>
              <w:adjustRightInd/>
              <w:rPr>
                <w:sz w:val="18"/>
                <w:szCs w:val="18"/>
              </w:rPr>
            </w:pPr>
            <w:r w:rsidRPr="00ED57BC">
              <w:rPr>
                <w:bCs/>
                <w:sz w:val="18"/>
                <w:szCs w:val="18"/>
              </w:rPr>
              <w:t>§</w:t>
            </w:r>
            <w:r w:rsidRPr="00ED57BC">
              <w:rPr>
                <w:sz w:val="18"/>
                <w:szCs w:val="18"/>
              </w:rPr>
              <w:t xml:space="preserve"> 60.11: Reporting negative actions or findings taken by peer review organizations or private accreditation entities.</w:t>
            </w:r>
          </w:p>
        </w:tc>
        <w:tc>
          <w:tcPr>
            <w:tcW w:w="2227" w:type="dxa"/>
            <w:noWrap/>
            <w:hideMark/>
          </w:tcPr>
          <w:p w14:paraId="784CC252" w14:textId="77777777" w:rsidR="00076950" w:rsidRPr="00ED57BC" w:rsidRDefault="00076950" w:rsidP="00ED5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Peer Review Organization</w:t>
            </w:r>
          </w:p>
        </w:tc>
        <w:tc>
          <w:tcPr>
            <w:tcW w:w="1350" w:type="dxa"/>
            <w:vAlign w:val="center"/>
            <w:hideMark/>
          </w:tcPr>
          <w:p w14:paraId="33C7BEE6" w14:textId="77777777" w:rsidR="00076950" w:rsidRPr="00ED57BC" w:rsidRDefault="0007695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8</w:t>
            </w:r>
          </w:p>
        </w:tc>
        <w:tc>
          <w:tcPr>
            <w:tcW w:w="1440" w:type="dxa"/>
            <w:vAlign w:val="center"/>
          </w:tcPr>
          <w:p w14:paraId="10F341D1" w14:textId="77777777" w:rsidR="00076950" w:rsidRPr="00ED57BC" w:rsidRDefault="00F6186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5F30B49C" w14:textId="77777777" w:rsidR="00076950"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$346.32</w:t>
            </w:r>
          </w:p>
        </w:tc>
      </w:tr>
      <w:tr w:rsidR="00076950" w:rsidRPr="00ED57BC" w14:paraId="1F243976" w14:textId="77777777" w:rsidTr="00107F1C">
        <w:trPr>
          <w:trHeight w:val="510"/>
        </w:trPr>
        <w:tc>
          <w:tcPr>
            <w:tcW w:w="2088" w:type="dxa"/>
            <w:vMerge/>
            <w:hideMark/>
          </w:tcPr>
          <w:p w14:paraId="55999E2D" w14:textId="77777777" w:rsidR="00076950" w:rsidRPr="00ED57BC" w:rsidRDefault="00076950" w:rsidP="00ED5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015600E3" w14:textId="77777777" w:rsidR="00076950" w:rsidRPr="00ED57BC" w:rsidRDefault="00076950" w:rsidP="00ED5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Accreditation</w:t>
            </w:r>
          </w:p>
        </w:tc>
        <w:tc>
          <w:tcPr>
            <w:tcW w:w="1350" w:type="dxa"/>
            <w:vAlign w:val="center"/>
            <w:hideMark/>
          </w:tcPr>
          <w:p w14:paraId="5B6CC474" w14:textId="77777777" w:rsidR="00076950" w:rsidRPr="00ED57BC" w:rsidRDefault="0007695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8</w:t>
            </w:r>
          </w:p>
        </w:tc>
        <w:tc>
          <w:tcPr>
            <w:tcW w:w="1440" w:type="dxa"/>
            <w:vAlign w:val="center"/>
          </w:tcPr>
          <w:p w14:paraId="76B974A0" w14:textId="77777777" w:rsidR="00076950" w:rsidRPr="00ED57BC" w:rsidRDefault="00F6186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43BC054D" w14:textId="77777777" w:rsidR="00076950"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$346.32</w:t>
            </w:r>
          </w:p>
        </w:tc>
      </w:tr>
      <w:tr w:rsidR="000B1B1C" w:rsidRPr="00ED57BC" w14:paraId="7A0093B3" w14:textId="77777777" w:rsidTr="00107F1C">
        <w:trPr>
          <w:trHeight w:val="600"/>
        </w:trPr>
        <w:tc>
          <w:tcPr>
            <w:tcW w:w="2088" w:type="dxa"/>
            <w:vMerge w:val="restart"/>
            <w:hideMark/>
          </w:tcPr>
          <w:p w14:paraId="4BBD1937" w14:textId="77777777" w:rsidR="000B1B1C" w:rsidRPr="00ED57BC" w:rsidRDefault="000B1B1C" w:rsidP="000B1B1C">
            <w:pPr>
              <w:widowControl/>
              <w:autoSpaceDE/>
              <w:autoSpaceDN/>
              <w:adjustRightInd/>
              <w:rPr>
                <w:sz w:val="18"/>
                <w:szCs w:val="18"/>
              </w:rPr>
            </w:pPr>
            <w:r w:rsidRPr="00ED57BC">
              <w:rPr>
                <w:bCs/>
                <w:sz w:val="18"/>
                <w:szCs w:val="18"/>
              </w:rPr>
              <w:t>§</w:t>
            </w:r>
            <w:r w:rsidRPr="00ED57BC">
              <w:rPr>
                <w:sz w:val="18"/>
                <w:szCs w:val="18"/>
              </w:rPr>
              <w:t xml:space="preserve"> 60.12: Reporting adverse actions taken against clinical privileges.</w:t>
            </w:r>
          </w:p>
          <w:p w14:paraId="307D3969"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tc>
        <w:tc>
          <w:tcPr>
            <w:tcW w:w="2227" w:type="dxa"/>
            <w:noWrap/>
            <w:hideMark/>
          </w:tcPr>
          <w:p w14:paraId="4F10303C" w14:textId="77777777" w:rsidR="000B1B1C" w:rsidRPr="00ED57BC" w:rsidRDefault="000B1B1C" w:rsidP="000B1B1C">
            <w:pPr>
              <w:widowControl/>
              <w:autoSpaceDE/>
              <w:autoSpaceDN/>
              <w:adjustRightInd/>
              <w:rPr>
                <w:sz w:val="18"/>
                <w:szCs w:val="18"/>
              </w:rPr>
            </w:pPr>
            <w:r w:rsidRPr="00ED57BC">
              <w:rPr>
                <w:sz w:val="18"/>
                <w:szCs w:val="18"/>
              </w:rPr>
              <w:t>Title IV Clinical Privileges Actions</w:t>
            </w:r>
          </w:p>
        </w:tc>
        <w:tc>
          <w:tcPr>
            <w:tcW w:w="1350" w:type="dxa"/>
            <w:vAlign w:val="center"/>
            <w:hideMark/>
          </w:tcPr>
          <w:p w14:paraId="3B174564"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524</w:t>
            </w:r>
          </w:p>
        </w:tc>
        <w:tc>
          <w:tcPr>
            <w:tcW w:w="1440" w:type="dxa"/>
            <w:vAlign w:val="center"/>
          </w:tcPr>
          <w:p w14:paraId="06CDCDC5"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205BBA23"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$22,683.96</w:t>
            </w:r>
          </w:p>
        </w:tc>
      </w:tr>
      <w:tr w:rsidR="000B1B1C" w:rsidRPr="00ED57BC" w14:paraId="0595F4E2" w14:textId="77777777" w:rsidTr="00107F1C">
        <w:trPr>
          <w:trHeight w:val="600"/>
        </w:trPr>
        <w:tc>
          <w:tcPr>
            <w:tcW w:w="2088" w:type="dxa"/>
            <w:vMerge/>
            <w:hideMark/>
          </w:tcPr>
          <w:p w14:paraId="032F22B5"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425323CA"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xml:space="preserve">Professional Society </w:t>
            </w:r>
          </w:p>
        </w:tc>
        <w:tc>
          <w:tcPr>
            <w:tcW w:w="1350" w:type="dxa"/>
            <w:vAlign w:val="center"/>
            <w:hideMark/>
          </w:tcPr>
          <w:p w14:paraId="0A90D268"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37</w:t>
            </w:r>
          </w:p>
        </w:tc>
        <w:tc>
          <w:tcPr>
            <w:tcW w:w="1440" w:type="dxa"/>
            <w:vAlign w:val="center"/>
          </w:tcPr>
          <w:p w14:paraId="70E497FA"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$26.21</w:t>
            </w:r>
          </w:p>
        </w:tc>
        <w:tc>
          <w:tcPr>
            <w:tcW w:w="1980" w:type="dxa"/>
            <w:vAlign w:val="center"/>
          </w:tcPr>
          <w:p w14:paraId="0CA73481"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$969.77</w:t>
            </w:r>
          </w:p>
        </w:tc>
      </w:tr>
      <w:tr w:rsidR="000B1B1C" w:rsidRPr="00ED57BC" w14:paraId="4C8A4627" w14:textId="77777777" w:rsidTr="00107F1C">
        <w:trPr>
          <w:trHeight w:val="600"/>
        </w:trPr>
        <w:tc>
          <w:tcPr>
            <w:tcW w:w="2088" w:type="dxa"/>
            <w:vMerge w:val="restart"/>
            <w:hideMark/>
          </w:tcPr>
          <w:p w14:paraId="64E04888" w14:textId="77777777" w:rsidR="000B1B1C" w:rsidRPr="00ED57BC" w:rsidRDefault="000B1B1C" w:rsidP="000B1B1C">
            <w:pPr>
              <w:widowControl/>
              <w:autoSpaceDE/>
              <w:autoSpaceDN/>
              <w:adjustRightInd/>
              <w:rPr>
                <w:sz w:val="18"/>
                <w:szCs w:val="18"/>
              </w:rPr>
            </w:pPr>
            <w:r w:rsidRPr="00ED57BC">
              <w:rPr>
                <w:bCs/>
                <w:sz w:val="18"/>
                <w:szCs w:val="18"/>
              </w:rPr>
              <w:t>§</w:t>
            </w:r>
            <w:r w:rsidRPr="00ED57BC">
              <w:rPr>
                <w:sz w:val="18"/>
                <w:szCs w:val="18"/>
              </w:rPr>
              <w:t xml:space="preserve"> 60.13: Reporting Federal or State criminal convictions related to the delivery of a health care item or service.</w:t>
            </w:r>
          </w:p>
          <w:p w14:paraId="0B4B7FB9"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p w14:paraId="6A6F886A"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p w14:paraId="53D12ACA"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tc>
        <w:tc>
          <w:tcPr>
            <w:tcW w:w="2227" w:type="dxa"/>
            <w:noWrap/>
            <w:hideMark/>
          </w:tcPr>
          <w:p w14:paraId="1A6370E2" w14:textId="77777777" w:rsidR="000B1B1C" w:rsidRPr="00ED57BC" w:rsidRDefault="000B1B1C" w:rsidP="000B1B1C">
            <w:pPr>
              <w:widowControl/>
              <w:autoSpaceDE/>
              <w:autoSpaceDN/>
              <w:adjustRightInd/>
              <w:rPr>
                <w:sz w:val="18"/>
                <w:szCs w:val="18"/>
              </w:rPr>
            </w:pPr>
            <w:r w:rsidRPr="00ED57BC">
              <w:rPr>
                <w:sz w:val="18"/>
                <w:szCs w:val="18"/>
              </w:rPr>
              <w:t>Criminal Conviction (Guilty Plea or Trial)</w:t>
            </w:r>
          </w:p>
          <w:p w14:paraId="73EE5E59" w14:textId="77777777" w:rsidR="000B1B1C" w:rsidRPr="00ED57BC" w:rsidRDefault="000B1B1C" w:rsidP="000B1B1C">
            <w:pPr>
              <w:widowControl/>
              <w:autoSpaceDE/>
              <w:autoSpaceDN/>
              <w:adjustRightInd/>
              <w:rPr>
                <w:sz w:val="18"/>
                <w:szCs w:val="18"/>
              </w:rPr>
            </w:pPr>
            <w:r w:rsidRPr="00ED57BC">
              <w:rPr>
                <w:sz w:val="18"/>
                <w:szCs w:val="18"/>
              </w:rPr>
              <w:t>(manual)</w:t>
            </w:r>
          </w:p>
        </w:tc>
        <w:tc>
          <w:tcPr>
            <w:tcW w:w="1350" w:type="dxa"/>
            <w:vAlign w:val="center"/>
            <w:hideMark/>
          </w:tcPr>
          <w:p w14:paraId="1AA66AC7"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855</w:t>
            </w:r>
          </w:p>
        </w:tc>
        <w:tc>
          <w:tcPr>
            <w:tcW w:w="1440" w:type="dxa"/>
            <w:vAlign w:val="center"/>
          </w:tcPr>
          <w:p w14:paraId="7D5B243D"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2C8A3119"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$37,012.95</w:t>
            </w:r>
          </w:p>
        </w:tc>
      </w:tr>
      <w:tr w:rsidR="000B1B1C" w:rsidRPr="00ED57BC" w14:paraId="4D68CDBD" w14:textId="77777777" w:rsidTr="00107F1C">
        <w:trPr>
          <w:trHeight w:val="600"/>
        </w:trPr>
        <w:tc>
          <w:tcPr>
            <w:tcW w:w="2088" w:type="dxa"/>
            <w:vMerge/>
          </w:tcPr>
          <w:p w14:paraId="6FB2173D" w14:textId="77777777" w:rsidR="000B1B1C" w:rsidRPr="00ED57BC" w:rsidRDefault="000B1B1C" w:rsidP="000B1B1C">
            <w:pPr>
              <w:widowControl/>
              <w:autoSpaceDE/>
              <w:autoSpaceDN/>
              <w:adjustRightInd/>
              <w:rPr>
                <w:bCs/>
                <w:sz w:val="18"/>
                <w:szCs w:val="18"/>
              </w:rPr>
            </w:pPr>
          </w:p>
        </w:tc>
        <w:tc>
          <w:tcPr>
            <w:tcW w:w="2227" w:type="dxa"/>
            <w:noWrap/>
          </w:tcPr>
          <w:p w14:paraId="1E326D88" w14:textId="77777777" w:rsidR="000B1B1C" w:rsidRPr="00ED57BC" w:rsidRDefault="000B1B1C" w:rsidP="000B1B1C">
            <w:pPr>
              <w:widowControl/>
              <w:autoSpaceDE/>
              <w:autoSpaceDN/>
              <w:adjustRightInd/>
              <w:rPr>
                <w:sz w:val="18"/>
                <w:szCs w:val="18"/>
              </w:rPr>
            </w:pPr>
            <w:r w:rsidRPr="00ED57BC">
              <w:rPr>
                <w:sz w:val="18"/>
                <w:szCs w:val="18"/>
              </w:rPr>
              <w:t>Criminal Conviction (Guilty Plea or Trial)</w:t>
            </w:r>
          </w:p>
          <w:p w14:paraId="0FA0C351" w14:textId="77777777" w:rsidR="000B1B1C" w:rsidRPr="00ED57BC" w:rsidRDefault="000B1B1C" w:rsidP="000B1B1C">
            <w:pPr>
              <w:widowControl/>
              <w:autoSpaceDE/>
              <w:autoSpaceDN/>
              <w:adjustRightInd/>
              <w:rPr>
                <w:sz w:val="18"/>
                <w:szCs w:val="18"/>
              </w:rPr>
            </w:pPr>
            <w:r w:rsidRPr="00ED57BC">
              <w:rPr>
                <w:sz w:val="18"/>
                <w:szCs w:val="18"/>
              </w:rPr>
              <w:t>(automated)</w:t>
            </w:r>
          </w:p>
        </w:tc>
        <w:tc>
          <w:tcPr>
            <w:tcW w:w="1350" w:type="dxa"/>
            <w:vAlign w:val="center"/>
          </w:tcPr>
          <w:p w14:paraId="2571A3CA"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1</w:t>
            </w:r>
          </w:p>
        </w:tc>
        <w:tc>
          <w:tcPr>
            <w:tcW w:w="1440" w:type="dxa"/>
            <w:vAlign w:val="center"/>
          </w:tcPr>
          <w:p w14:paraId="13A53A0D"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44B0CB01"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r>
      <w:tr w:rsidR="000B1B1C" w:rsidRPr="00ED57BC" w14:paraId="62259249" w14:textId="77777777" w:rsidTr="00107F1C">
        <w:trPr>
          <w:trHeight w:val="600"/>
        </w:trPr>
        <w:tc>
          <w:tcPr>
            <w:tcW w:w="2088" w:type="dxa"/>
            <w:vMerge/>
            <w:hideMark/>
          </w:tcPr>
          <w:p w14:paraId="48A9A679"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2F644F7E" w14:textId="77777777" w:rsidR="000B1B1C" w:rsidRPr="00ED57BC" w:rsidRDefault="000B1B1C" w:rsidP="000B1B1C">
            <w:pPr>
              <w:widowControl/>
              <w:autoSpaceDE/>
              <w:autoSpaceDN/>
              <w:adjustRightInd/>
              <w:rPr>
                <w:sz w:val="18"/>
                <w:szCs w:val="18"/>
              </w:rPr>
            </w:pPr>
            <w:r w:rsidRPr="00ED57BC">
              <w:rPr>
                <w:sz w:val="18"/>
                <w:szCs w:val="18"/>
              </w:rPr>
              <w:t xml:space="preserve">Deferred Conviction or Pre-Trial Diversion </w:t>
            </w:r>
          </w:p>
        </w:tc>
        <w:tc>
          <w:tcPr>
            <w:tcW w:w="1350" w:type="dxa"/>
            <w:vAlign w:val="center"/>
            <w:hideMark/>
          </w:tcPr>
          <w:p w14:paraId="364A5EF4"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41</w:t>
            </w:r>
          </w:p>
        </w:tc>
        <w:tc>
          <w:tcPr>
            <w:tcW w:w="1440" w:type="dxa"/>
            <w:vAlign w:val="center"/>
          </w:tcPr>
          <w:p w14:paraId="5E2989BC"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7A95DBFE"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$1,774.89</w:t>
            </w:r>
          </w:p>
        </w:tc>
      </w:tr>
      <w:tr w:rsidR="000B1B1C" w:rsidRPr="00ED57BC" w14:paraId="0F96E2F6" w14:textId="77777777" w:rsidTr="00107F1C">
        <w:trPr>
          <w:trHeight w:val="600"/>
        </w:trPr>
        <w:tc>
          <w:tcPr>
            <w:tcW w:w="2088" w:type="dxa"/>
            <w:vMerge/>
            <w:hideMark/>
          </w:tcPr>
          <w:p w14:paraId="5669F3D4"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39BBE8C7" w14:textId="77777777" w:rsidR="000B1B1C" w:rsidRPr="00ED57BC" w:rsidRDefault="000B1B1C" w:rsidP="000B1B1C">
            <w:pPr>
              <w:widowControl/>
              <w:autoSpaceDE/>
              <w:autoSpaceDN/>
              <w:adjustRightInd/>
              <w:rPr>
                <w:sz w:val="18"/>
                <w:szCs w:val="18"/>
              </w:rPr>
            </w:pPr>
            <w:r w:rsidRPr="00ED57BC">
              <w:rPr>
                <w:sz w:val="18"/>
                <w:szCs w:val="18"/>
              </w:rPr>
              <w:t>Nolo Contendere (No Contest) Plea</w:t>
            </w:r>
          </w:p>
        </w:tc>
        <w:tc>
          <w:tcPr>
            <w:tcW w:w="1350" w:type="dxa"/>
            <w:vAlign w:val="center"/>
            <w:hideMark/>
          </w:tcPr>
          <w:p w14:paraId="78DDEF2F"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64</w:t>
            </w:r>
          </w:p>
        </w:tc>
        <w:tc>
          <w:tcPr>
            <w:tcW w:w="1440" w:type="dxa"/>
            <w:vAlign w:val="center"/>
          </w:tcPr>
          <w:p w14:paraId="752DD68E"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7A8D08C8" w14:textId="77777777" w:rsidR="000B1B1C" w:rsidRPr="00ED57BC" w:rsidRDefault="00186813"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$3,410.56</w:t>
            </w:r>
          </w:p>
        </w:tc>
      </w:tr>
      <w:tr w:rsidR="000B1B1C" w:rsidRPr="00ED57BC" w14:paraId="2939050A" w14:textId="77777777" w:rsidTr="00107F1C">
        <w:trPr>
          <w:trHeight w:val="600"/>
        </w:trPr>
        <w:tc>
          <w:tcPr>
            <w:tcW w:w="2088" w:type="dxa"/>
            <w:vMerge/>
            <w:hideMark/>
          </w:tcPr>
          <w:p w14:paraId="2A8DA60D"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1727FA6C"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Injunction</w:t>
            </w:r>
          </w:p>
        </w:tc>
        <w:tc>
          <w:tcPr>
            <w:tcW w:w="1350" w:type="dxa"/>
            <w:vAlign w:val="center"/>
            <w:hideMark/>
          </w:tcPr>
          <w:p w14:paraId="73BEAF76"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8</w:t>
            </w:r>
          </w:p>
        </w:tc>
        <w:tc>
          <w:tcPr>
            <w:tcW w:w="1440" w:type="dxa"/>
            <w:vAlign w:val="center"/>
          </w:tcPr>
          <w:p w14:paraId="755E44D7"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3C83D96D" w14:textId="77777777" w:rsidR="000B1B1C" w:rsidRPr="00ED57BC" w:rsidRDefault="00186813"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$346.32</w:t>
            </w:r>
          </w:p>
        </w:tc>
      </w:tr>
      <w:tr w:rsidR="000B1B1C" w:rsidRPr="00ED57BC" w14:paraId="6CD5786B" w14:textId="77777777" w:rsidTr="00107F1C">
        <w:trPr>
          <w:trHeight w:val="980"/>
        </w:trPr>
        <w:tc>
          <w:tcPr>
            <w:tcW w:w="2088" w:type="dxa"/>
            <w:hideMark/>
          </w:tcPr>
          <w:p w14:paraId="0B830D54" w14:textId="7853F236" w:rsidR="000B1B1C" w:rsidRPr="00ED57BC" w:rsidRDefault="000B1B1C" w:rsidP="000B1B1C">
            <w:pPr>
              <w:widowControl/>
              <w:autoSpaceDE/>
              <w:autoSpaceDN/>
              <w:adjustRightInd/>
              <w:rPr>
                <w:sz w:val="18"/>
                <w:szCs w:val="18"/>
              </w:rPr>
            </w:pPr>
            <w:r w:rsidRPr="00ED57BC">
              <w:rPr>
                <w:bCs/>
                <w:sz w:val="18"/>
                <w:szCs w:val="18"/>
              </w:rPr>
              <w:t>§</w:t>
            </w:r>
            <w:r w:rsidRPr="00ED57BC">
              <w:rPr>
                <w:sz w:val="18"/>
                <w:szCs w:val="18"/>
              </w:rPr>
              <w:t xml:space="preserve"> 60.14: Reporting </w:t>
            </w:r>
            <w:r w:rsidR="001D11D2" w:rsidRPr="00ED57BC">
              <w:rPr>
                <w:sz w:val="18"/>
                <w:szCs w:val="18"/>
              </w:rPr>
              <w:t>civil judgments</w:t>
            </w:r>
            <w:r w:rsidRPr="00ED57BC">
              <w:rPr>
                <w:sz w:val="18"/>
                <w:szCs w:val="18"/>
              </w:rPr>
              <w:t xml:space="preserve"> related to the delivery of a health care item or service.</w:t>
            </w:r>
          </w:p>
        </w:tc>
        <w:tc>
          <w:tcPr>
            <w:tcW w:w="2227" w:type="dxa"/>
            <w:noWrap/>
            <w:hideMark/>
          </w:tcPr>
          <w:p w14:paraId="3DA307F0" w14:textId="77777777" w:rsidR="000B1B1C" w:rsidRPr="00ED57BC" w:rsidRDefault="000B1B1C" w:rsidP="000B1B1C">
            <w:pPr>
              <w:widowControl/>
              <w:autoSpaceDE/>
              <w:autoSpaceDN/>
              <w:adjustRightInd/>
              <w:rPr>
                <w:sz w:val="18"/>
                <w:szCs w:val="18"/>
              </w:rPr>
            </w:pPr>
            <w:r w:rsidRPr="00ED57BC">
              <w:rPr>
                <w:sz w:val="18"/>
                <w:szCs w:val="18"/>
              </w:rPr>
              <w:t>Civil Judgment</w:t>
            </w:r>
          </w:p>
        </w:tc>
        <w:tc>
          <w:tcPr>
            <w:tcW w:w="1350" w:type="dxa"/>
            <w:vAlign w:val="center"/>
            <w:hideMark/>
          </w:tcPr>
          <w:p w14:paraId="32745369"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8</w:t>
            </w:r>
          </w:p>
        </w:tc>
        <w:tc>
          <w:tcPr>
            <w:tcW w:w="1440" w:type="dxa"/>
            <w:vAlign w:val="center"/>
          </w:tcPr>
          <w:p w14:paraId="33B0B917"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1DB967F2" w14:textId="77777777" w:rsidR="000B1B1C" w:rsidRPr="00ED57BC" w:rsidRDefault="00186813"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$346.32</w:t>
            </w:r>
          </w:p>
        </w:tc>
      </w:tr>
      <w:tr w:rsidR="000B1B1C" w:rsidRPr="00ED57BC" w14:paraId="7C739345" w14:textId="77777777" w:rsidTr="00107F1C">
        <w:trPr>
          <w:trHeight w:val="600"/>
        </w:trPr>
        <w:tc>
          <w:tcPr>
            <w:tcW w:w="2088" w:type="dxa"/>
            <w:vMerge w:val="restart"/>
            <w:hideMark/>
          </w:tcPr>
          <w:p w14:paraId="547981FA" w14:textId="77777777" w:rsidR="000B1B1C" w:rsidRPr="00ED57BC" w:rsidRDefault="000B1B1C" w:rsidP="000B1B1C">
            <w:pPr>
              <w:widowControl/>
              <w:autoSpaceDE/>
              <w:autoSpaceDN/>
              <w:adjustRightInd/>
              <w:rPr>
                <w:sz w:val="18"/>
                <w:szCs w:val="18"/>
              </w:rPr>
            </w:pPr>
            <w:r w:rsidRPr="00ED57BC">
              <w:rPr>
                <w:bCs/>
                <w:sz w:val="18"/>
                <w:szCs w:val="18"/>
              </w:rPr>
              <w:t>§</w:t>
            </w:r>
            <w:r w:rsidRPr="00ED57BC">
              <w:rPr>
                <w:sz w:val="18"/>
                <w:szCs w:val="18"/>
              </w:rPr>
              <w:t xml:space="preserve"> 60.15: Reporting exclusions from participation in Federal or State health care programs.</w:t>
            </w:r>
          </w:p>
          <w:p w14:paraId="547C3D3E" w14:textId="77777777" w:rsidR="000B1B1C" w:rsidRPr="00ED57BC" w:rsidRDefault="000B1B1C" w:rsidP="000B1B1C">
            <w:pPr>
              <w:widowControl/>
              <w:autoSpaceDE/>
              <w:autoSpaceDN/>
              <w:adjustRightInd/>
              <w:rPr>
                <w:sz w:val="18"/>
                <w:szCs w:val="18"/>
              </w:rPr>
            </w:pPr>
          </w:p>
          <w:p w14:paraId="3D46632B" w14:textId="77777777" w:rsidR="000B1B1C" w:rsidRPr="00ED57BC" w:rsidRDefault="000B1B1C" w:rsidP="000B1B1C">
            <w:pPr>
              <w:widowControl/>
              <w:autoSpaceDE/>
              <w:autoSpaceDN/>
              <w:adjustRightInd/>
              <w:rPr>
                <w:sz w:val="18"/>
                <w:szCs w:val="18"/>
              </w:rPr>
            </w:pPr>
          </w:p>
        </w:tc>
        <w:tc>
          <w:tcPr>
            <w:tcW w:w="2227" w:type="dxa"/>
            <w:noWrap/>
            <w:hideMark/>
          </w:tcPr>
          <w:p w14:paraId="505734D3" w14:textId="77777777" w:rsidR="000B1B1C" w:rsidRPr="00ED57BC" w:rsidRDefault="000B1B1C" w:rsidP="000B1B1C">
            <w:pPr>
              <w:widowControl/>
              <w:autoSpaceDE/>
              <w:autoSpaceDN/>
              <w:adjustRightInd/>
              <w:rPr>
                <w:sz w:val="18"/>
                <w:szCs w:val="18"/>
              </w:rPr>
            </w:pPr>
            <w:r w:rsidRPr="00ED57BC">
              <w:rPr>
                <w:sz w:val="18"/>
                <w:szCs w:val="18"/>
              </w:rPr>
              <w:t>Exclusion/Debarment</w:t>
            </w:r>
          </w:p>
          <w:p w14:paraId="3C925214" w14:textId="77777777" w:rsidR="000B1B1C" w:rsidRPr="00ED57BC" w:rsidRDefault="000B1B1C" w:rsidP="000B1B1C">
            <w:pPr>
              <w:widowControl/>
              <w:autoSpaceDE/>
              <w:autoSpaceDN/>
              <w:adjustRightInd/>
              <w:rPr>
                <w:sz w:val="18"/>
                <w:szCs w:val="18"/>
              </w:rPr>
            </w:pPr>
            <w:r w:rsidRPr="00ED57BC">
              <w:rPr>
                <w:sz w:val="18"/>
                <w:szCs w:val="18"/>
              </w:rPr>
              <w:t>(manual)</w:t>
            </w:r>
          </w:p>
        </w:tc>
        <w:tc>
          <w:tcPr>
            <w:tcW w:w="1350" w:type="dxa"/>
            <w:vAlign w:val="center"/>
            <w:hideMark/>
          </w:tcPr>
          <w:p w14:paraId="5463916C"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1,218</w:t>
            </w:r>
          </w:p>
        </w:tc>
        <w:tc>
          <w:tcPr>
            <w:tcW w:w="1440" w:type="dxa"/>
            <w:vAlign w:val="center"/>
          </w:tcPr>
          <w:p w14:paraId="0ACEB301"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36B5EDE1" w14:textId="77777777" w:rsidR="000B1B1C" w:rsidRPr="00ED57BC" w:rsidRDefault="00186813"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$52,727.22</w:t>
            </w:r>
          </w:p>
        </w:tc>
      </w:tr>
      <w:tr w:rsidR="000B1B1C" w:rsidRPr="00ED57BC" w14:paraId="5E0CDEBC" w14:textId="77777777" w:rsidTr="00107F1C">
        <w:trPr>
          <w:trHeight w:val="600"/>
        </w:trPr>
        <w:tc>
          <w:tcPr>
            <w:tcW w:w="2088" w:type="dxa"/>
            <w:vMerge/>
          </w:tcPr>
          <w:p w14:paraId="78E5C9A8" w14:textId="77777777" w:rsidR="000B1B1C" w:rsidRPr="00ED57BC" w:rsidRDefault="000B1B1C" w:rsidP="000B1B1C">
            <w:pPr>
              <w:widowControl/>
              <w:autoSpaceDE/>
              <w:autoSpaceDN/>
              <w:adjustRightInd/>
              <w:rPr>
                <w:bCs/>
                <w:sz w:val="18"/>
                <w:szCs w:val="18"/>
              </w:rPr>
            </w:pPr>
          </w:p>
        </w:tc>
        <w:tc>
          <w:tcPr>
            <w:tcW w:w="2227" w:type="dxa"/>
            <w:noWrap/>
          </w:tcPr>
          <w:p w14:paraId="22761B28" w14:textId="77777777" w:rsidR="000B1B1C" w:rsidRPr="00ED57BC" w:rsidRDefault="000B1B1C" w:rsidP="000B1B1C">
            <w:pPr>
              <w:widowControl/>
              <w:autoSpaceDE/>
              <w:autoSpaceDN/>
              <w:adjustRightInd/>
              <w:rPr>
                <w:sz w:val="18"/>
                <w:szCs w:val="18"/>
              </w:rPr>
            </w:pPr>
            <w:r w:rsidRPr="00ED57BC">
              <w:rPr>
                <w:sz w:val="18"/>
                <w:szCs w:val="18"/>
              </w:rPr>
              <w:t>Exclusion/Debarment</w:t>
            </w:r>
          </w:p>
          <w:p w14:paraId="27FCA161" w14:textId="77777777" w:rsidR="000B1B1C" w:rsidRPr="00ED57BC" w:rsidRDefault="000B1B1C" w:rsidP="000B1B1C">
            <w:pPr>
              <w:widowControl/>
              <w:autoSpaceDE/>
              <w:autoSpaceDN/>
              <w:adjustRightInd/>
              <w:rPr>
                <w:sz w:val="18"/>
                <w:szCs w:val="18"/>
              </w:rPr>
            </w:pPr>
            <w:r w:rsidRPr="00ED57BC">
              <w:rPr>
                <w:sz w:val="18"/>
                <w:szCs w:val="18"/>
              </w:rPr>
              <w:t>(automated)</w:t>
            </w:r>
          </w:p>
        </w:tc>
        <w:tc>
          <w:tcPr>
            <w:tcW w:w="1350" w:type="dxa"/>
            <w:vAlign w:val="center"/>
          </w:tcPr>
          <w:p w14:paraId="21C7C388"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1</w:t>
            </w:r>
          </w:p>
        </w:tc>
        <w:tc>
          <w:tcPr>
            <w:tcW w:w="1440" w:type="dxa"/>
            <w:vAlign w:val="center"/>
          </w:tcPr>
          <w:p w14:paraId="07A50237"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6052A83C" w14:textId="77777777" w:rsidR="000B1B1C" w:rsidRPr="00ED57BC" w:rsidRDefault="008B479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r>
      <w:tr w:rsidR="000B1B1C" w:rsidRPr="00ED57BC" w14:paraId="71C5B7B2" w14:textId="77777777" w:rsidTr="00107F1C">
        <w:trPr>
          <w:trHeight w:val="600"/>
        </w:trPr>
        <w:tc>
          <w:tcPr>
            <w:tcW w:w="2088" w:type="dxa"/>
            <w:vMerge w:val="restart"/>
            <w:hideMark/>
          </w:tcPr>
          <w:p w14:paraId="2EC9C371" w14:textId="77777777" w:rsidR="000B1B1C" w:rsidRPr="00ED57BC" w:rsidRDefault="000B1B1C" w:rsidP="000B1B1C">
            <w:pPr>
              <w:widowControl/>
              <w:autoSpaceDE/>
              <w:autoSpaceDN/>
              <w:adjustRightInd/>
              <w:rPr>
                <w:sz w:val="18"/>
                <w:szCs w:val="18"/>
              </w:rPr>
            </w:pPr>
            <w:r w:rsidRPr="00ED57BC">
              <w:rPr>
                <w:bCs/>
                <w:sz w:val="18"/>
                <w:szCs w:val="18"/>
              </w:rPr>
              <w:t>§</w:t>
            </w:r>
            <w:r w:rsidRPr="00ED57BC">
              <w:rPr>
                <w:sz w:val="18"/>
                <w:szCs w:val="18"/>
              </w:rPr>
              <w:t xml:space="preserve"> 60.16: Reporting other adjudicated actions or decisions.</w:t>
            </w:r>
          </w:p>
          <w:p w14:paraId="0D5B842B"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tc>
        <w:tc>
          <w:tcPr>
            <w:tcW w:w="2227" w:type="dxa"/>
            <w:noWrap/>
            <w:hideMark/>
          </w:tcPr>
          <w:p w14:paraId="0AEA2F5B" w14:textId="77777777" w:rsidR="000B1B1C" w:rsidRPr="00ED57BC" w:rsidRDefault="000B1B1C" w:rsidP="000B1B1C">
            <w:pPr>
              <w:widowControl/>
              <w:autoSpaceDE/>
              <w:autoSpaceDN/>
              <w:adjustRightInd/>
              <w:rPr>
                <w:sz w:val="18"/>
                <w:szCs w:val="18"/>
              </w:rPr>
            </w:pPr>
            <w:r w:rsidRPr="00ED57BC">
              <w:rPr>
                <w:sz w:val="18"/>
                <w:szCs w:val="18"/>
              </w:rPr>
              <w:t>Government Administrative</w:t>
            </w:r>
          </w:p>
        </w:tc>
        <w:tc>
          <w:tcPr>
            <w:tcW w:w="1350" w:type="dxa"/>
            <w:vAlign w:val="center"/>
            <w:hideMark/>
          </w:tcPr>
          <w:p w14:paraId="55275F58"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1,547</w:t>
            </w:r>
          </w:p>
        </w:tc>
        <w:tc>
          <w:tcPr>
            <w:tcW w:w="1440" w:type="dxa"/>
            <w:vAlign w:val="center"/>
          </w:tcPr>
          <w:p w14:paraId="62819007"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1F7F4D50" w14:textId="77777777" w:rsidR="000B1B1C" w:rsidRPr="00ED57BC" w:rsidRDefault="008B479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$66,969.63</w:t>
            </w:r>
          </w:p>
        </w:tc>
      </w:tr>
      <w:tr w:rsidR="000B1B1C" w:rsidRPr="00ED57BC" w14:paraId="53856B48" w14:textId="77777777" w:rsidTr="00107F1C">
        <w:trPr>
          <w:trHeight w:val="600"/>
        </w:trPr>
        <w:tc>
          <w:tcPr>
            <w:tcW w:w="2088" w:type="dxa"/>
            <w:vMerge/>
            <w:hideMark/>
          </w:tcPr>
          <w:p w14:paraId="49252C5D"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3223B9A3"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xml:space="preserve">Health Plan Action  </w:t>
            </w:r>
          </w:p>
        </w:tc>
        <w:tc>
          <w:tcPr>
            <w:tcW w:w="1350" w:type="dxa"/>
            <w:vAlign w:val="center"/>
            <w:hideMark/>
          </w:tcPr>
          <w:p w14:paraId="1F95717E"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252</w:t>
            </w:r>
          </w:p>
        </w:tc>
        <w:tc>
          <w:tcPr>
            <w:tcW w:w="1440" w:type="dxa"/>
            <w:vAlign w:val="center"/>
          </w:tcPr>
          <w:p w14:paraId="432FA8FE"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$43.29</w:t>
            </w:r>
          </w:p>
        </w:tc>
        <w:tc>
          <w:tcPr>
            <w:tcW w:w="1980" w:type="dxa"/>
            <w:vAlign w:val="center"/>
          </w:tcPr>
          <w:p w14:paraId="1672F749" w14:textId="77777777" w:rsidR="000B1B1C" w:rsidRPr="00ED57BC" w:rsidRDefault="008B479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$10,909.08</w:t>
            </w:r>
          </w:p>
        </w:tc>
      </w:tr>
      <w:tr w:rsidR="000B1B1C" w:rsidRPr="00ED57BC" w14:paraId="57EA290D" w14:textId="77777777" w:rsidTr="00107F1C">
        <w:trPr>
          <w:trHeight w:val="300"/>
        </w:trPr>
        <w:tc>
          <w:tcPr>
            <w:tcW w:w="2088" w:type="dxa"/>
            <w:vMerge w:val="restart"/>
            <w:noWrap/>
            <w:hideMark/>
          </w:tcPr>
          <w:p w14:paraId="40719919" w14:textId="77777777" w:rsidR="000B1B1C" w:rsidRPr="00ED57BC" w:rsidRDefault="000B1B1C" w:rsidP="000B1B1C">
            <w:pPr>
              <w:widowControl/>
              <w:autoSpaceDE/>
              <w:autoSpaceDN/>
              <w:adjustRightInd/>
              <w:rPr>
                <w:sz w:val="18"/>
                <w:szCs w:val="18"/>
              </w:rPr>
            </w:pPr>
            <w:r w:rsidRPr="00ED57BC">
              <w:rPr>
                <w:bCs/>
                <w:sz w:val="18"/>
                <w:szCs w:val="18"/>
              </w:rPr>
              <w:t>§</w:t>
            </w:r>
            <w:r w:rsidRPr="00ED57BC">
              <w:rPr>
                <w:sz w:val="18"/>
                <w:szCs w:val="18"/>
              </w:rPr>
              <w:t xml:space="preserve"> 60.18 Requesting Information from the NPDB.</w:t>
            </w:r>
          </w:p>
          <w:p w14:paraId="610B3C28"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p w14:paraId="070FAFD7"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p w14:paraId="7FD96E65"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p w14:paraId="536D07BC"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tc>
        <w:tc>
          <w:tcPr>
            <w:tcW w:w="2227" w:type="dxa"/>
            <w:noWrap/>
            <w:hideMark/>
          </w:tcPr>
          <w:p w14:paraId="18CE98A2" w14:textId="77777777" w:rsidR="000B1B1C" w:rsidRPr="00ED57BC" w:rsidRDefault="000B1B1C" w:rsidP="000B1B1C">
            <w:pPr>
              <w:widowControl/>
              <w:autoSpaceDE/>
              <w:autoSpaceDN/>
              <w:adjustRightInd/>
              <w:rPr>
                <w:sz w:val="18"/>
                <w:szCs w:val="18"/>
              </w:rPr>
            </w:pPr>
            <w:r w:rsidRPr="00ED57BC">
              <w:rPr>
                <w:sz w:val="18"/>
                <w:szCs w:val="18"/>
              </w:rPr>
              <w:t>One-Time Query for an Individual</w:t>
            </w:r>
          </w:p>
          <w:p w14:paraId="48C23074" w14:textId="77777777" w:rsidR="000B1B1C" w:rsidRPr="00ED57BC" w:rsidRDefault="000B1B1C" w:rsidP="000B1B1C">
            <w:pPr>
              <w:widowControl/>
              <w:autoSpaceDE/>
              <w:autoSpaceDN/>
              <w:adjustRightInd/>
              <w:rPr>
                <w:sz w:val="18"/>
                <w:szCs w:val="18"/>
              </w:rPr>
            </w:pPr>
            <w:r w:rsidRPr="00ED57BC">
              <w:rPr>
                <w:sz w:val="18"/>
                <w:szCs w:val="18"/>
              </w:rPr>
              <w:t>(manual)</w:t>
            </w:r>
          </w:p>
        </w:tc>
        <w:tc>
          <w:tcPr>
            <w:tcW w:w="1350" w:type="dxa"/>
            <w:vAlign w:val="center"/>
            <w:hideMark/>
          </w:tcPr>
          <w:p w14:paraId="5CC9B56B"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164,351</w:t>
            </w:r>
          </w:p>
        </w:tc>
        <w:tc>
          <w:tcPr>
            <w:tcW w:w="1440" w:type="dxa"/>
            <w:vAlign w:val="center"/>
          </w:tcPr>
          <w:p w14:paraId="4141BD90"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$38.06</w:t>
            </w:r>
          </w:p>
        </w:tc>
        <w:tc>
          <w:tcPr>
            <w:tcW w:w="1980" w:type="dxa"/>
            <w:vAlign w:val="center"/>
          </w:tcPr>
          <w:p w14:paraId="1212022D" w14:textId="77777777" w:rsidR="000B1B1C" w:rsidRPr="00ED57BC" w:rsidRDefault="00757652"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$6,255,199.06</w:t>
            </w:r>
          </w:p>
        </w:tc>
      </w:tr>
      <w:tr w:rsidR="000B1B1C" w:rsidRPr="00ED57BC" w14:paraId="2EE7E490" w14:textId="77777777" w:rsidTr="00107F1C">
        <w:trPr>
          <w:trHeight w:val="300"/>
        </w:trPr>
        <w:tc>
          <w:tcPr>
            <w:tcW w:w="2088" w:type="dxa"/>
            <w:vMerge/>
            <w:noWrap/>
          </w:tcPr>
          <w:p w14:paraId="4D35B41C" w14:textId="77777777" w:rsidR="000B1B1C" w:rsidRPr="00ED57BC" w:rsidRDefault="000B1B1C" w:rsidP="000B1B1C">
            <w:pPr>
              <w:widowControl/>
              <w:autoSpaceDE/>
              <w:autoSpaceDN/>
              <w:adjustRightInd/>
              <w:rPr>
                <w:bCs/>
                <w:sz w:val="18"/>
                <w:szCs w:val="18"/>
              </w:rPr>
            </w:pPr>
          </w:p>
        </w:tc>
        <w:tc>
          <w:tcPr>
            <w:tcW w:w="2227" w:type="dxa"/>
            <w:noWrap/>
          </w:tcPr>
          <w:p w14:paraId="204B6E97" w14:textId="77777777" w:rsidR="000B1B1C" w:rsidRPr="00ED57BC" w:rsidRDefault="000B1B1C" w:rsidP="000B1B1C">
            <w:pPr>
              <w:widowControl/>
              <w:autoSpaceDE/>
              <w:autoSpaceDN/>
              <w:adjustRightInd/>
              <w:rPr>
                <w:sz w:val="18"/>
                <w:szCs w:val="18"/>
              </w:rPr>
            </w:pPr>
            <w:r w:rsidRPr="00ED57BC">
              <w:rPr>
                <w:sz w:val="18"/>
                <w:szCs w:val="18"/>
              </w:rPr>
              <w:t>One-Time Query for an Individual</w:t>
            </w:r>
          </w:p>
          <w:p w14:paraId="08DE5739" w14:textId="77777777" w:rsidR="000B1B1C" w:rsidRPr="00ED57BC" w:rsidRDefault="000B1B1C" w:rsidP="000B1B1C">
            <w:pPr>
              <w:widowControl/>
              <w:autoSpaceDE/>
              <w:autoSpaceDN/>
              <w:adjustRightInd/>
              <w:rPr>
                <w:sz w:val="18"/>
                <w:szCs w:val="18"/>
              </w:rPr>
            </w:pPr>
            <w:r w:rsidRPr="00ED57BC">
              <w:rPr>
                <w:sz w:val="18"/>
                <w:szCs w:val="18"/>
              </w:rPr>
              <w:t>(automated)</w:t>
            </w:r>
          </w:p>
        </w:tc>
        <w:tc>
          <w:tcPr>
            <w:tcW w:w="1350" w:type="dxa"/>
            <w:vAlign w:val="center"/>
          </w:tcPr>
          <w:p w14:paraId="54C4DA4E"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844</w:t>
            </w:r>
          </w:p>
        </w:tc>
        <w:tc>
          <w:tcPr>
            <w:tcW w:w="1440" w:type="dxa"/>
            <w:vAlign w:val="center"/>
          </w:tcPr>
          <w:p w14:paraId="1EF7CFCF"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$38.06</w:t>
            </w:r>
          </w:p>
        </w:tc>
        <w:tc>
          <w:tcPr>
            <w:tcW w:w="1980" w:type="dxa"/>
            <w:vAlign w:val="center"/>
          </w:tcPr>
          <w:p w14:paraId="23EBFA23" w14:textId="77777777" w:rsidR="000B1B1C" w:rsidRPr="00ED57BC" w:rsidRDefault="00757652"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$32,122.64</w:t>
            </w:r>
          </w:p>
        </w:tc>
      </w:tr>
      <w:tr w:rsidR="000B1B1C" w:rsidRPr="00ED57BC" w14:paraId="54723348" w14:textId="77777777" w:rsidTr="00107F1C">
        <w:trPr>
          <w:trHeight w:val="300"/>
        </w:trPr>
        <w:tc>
          <w:tcPr>
            <w:tcW w:w="2088" w:type="dxa"/>
            <w:vMerge/>
            <w:noWrap/>
            <w:hideMark/>
          </w:tcPr>
          <w:p w14:paraId="1138259B"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3207751D" w14:textId="77777777" w:rsidR="000B1B1C" w:rsidRPr="00ED57BC" w:rsidRDefault="000B1B1C" w:rsidP="000B1B1C">
            <w:pPr>
              <w:widowControl/>
              <w:autoSpaceDE/>
              <w:autoSpaceDN/>
              <w:adjustRightInd/>
              <w:rPr>
                <w:sz w:val="18"/>
                <w:szCs w:val="18"/>
              </w:rPr>
            </w:pPr>
            <w:r w:rsidRPr="00ED57BC">
              <w:rPr>
                <w:sz w:val="18"/>
                <w:szCs w:val="18"/>
              </w:rPr>
              <w:t>One-Time Query for an Organization</w:t>
            </w:r>
          </w:p>
          <w:p w14:paraId="6324B027" w14:textId="77777777" w:rsidR="000B1B1C" w:rsidRPr="00ED57BC" w:rsidRDefault="000B1B1C" w:rsidP="000B1B1C">
            <w:pPr>
              <w:widowControl/>
              <w:autoSpaceDE/>
              <w:autoSpaceDN/>
              <w:adjustRightInd/>
              <w:rPr>
                <w:sz w:val="18"/>
                <w:szCs w:val="18"/>
              </w:rPr>
            </w:pPr>
            <w:r w:rsidRPr="00ED57BC">
              <w:rPr>
                <w:sz w:val="18"/>
                <w:szCs w:val="18"/>
              </w:rPr>
              <w:t>(manual)</w:t>
            </w:r>
          </w:p>
        </w:tc>
        <w:tc>
          <w:tcPr>
            <w:tcW w:w="1350" w:type="dxa"/>
            <w:vAlign w:val="center"/>
            <w:hideMark/>
          </w:tcPr>
          <w:p w14:paraId="1186A11C"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3,176</w:t>
            </w:r>
          </w:p>
        </w:tc>
        <w:tc>
          <w:tcPr>
            <w:tcW w:w="1440" w:type="dxa"/>
            <w:vAlign w:val="center"/>
          </w:tcPr>
          <w:p w14:paraId="74DF79F3"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$38.06</w:t>
            </w:r>
          </w:p>
        </w:tc>
        <w:tc>
          <w:tcPr>
            <w:tcW w:w="1980" w:type="dxa"/>
            <w:vAlign w:val="center"/>
          </w:tcPr>
          <w:p w14:paraId="3C5643C2" w14:textId="77777777" w:rsidR="000B1B1C" w:rsidRPr="00ED57BC" w:rsidRDefault="00D94F24"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$120,878.56</w:t>
            </w:r>
          </w:p>
        </w:tc>
      </w:tr>
      <w:tr w:rsidR="000B1B1C" w:rsidRPr="00ED57BC" w14:paraId="6C7B2481" w14:textId="77777777" w:rsidTr="00107F1C">
        <w:trPr>
          <w:trHeight w:val="300"/>
        </w:trPr>
        <w:tc>
          <w:tcPr>
            <w:tcW w:w="2088" w:type="dxa"/>
            <w:vMerge/>
            <w:noWrap/>
          </w:tcPr>
          <w:p w14:paraId="3C2627C6"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1ED0AFDF" w14:textId="77777777" w:rsidR="000B1B1C" w:rsidRPr="00ED57BC" w:rsidRDefault="000B1B1C" w:rsidP="000B1B1C">
            <w:pPr>
              <w:widowControl/>
              <w:autoSpaceDE/>
              <w:autoSpaceDN/>
              <w:adjustRightInd/>
              <w:rPr>
                <w:sz w:val="18"/>
                <w:szCs w:val="18"/>
              </w:rPr>
            </w:pPr>
            <w:r w:rsidRPr="00ED57BC">
              <w:rPr>
                <w:sz w:val="18"/>
                <w:szCs w:val="18"/>
              </w:rPr>
              <w:t>One-Time Query for an Organization</w:t>
            </w:r>
          </w:p>
          <w:p w14:paraId="46F7C8CA" w14:textId="77777777" w:rsidR="000B1B1C" w:rsidRPr="00ED57BC" w:rsidRDefault="000B1B1C" w:rsidP="000B1B1C">
            <w:pPr>
              <w:widowControl/>
              <w:autoSpaceDE/>
              <w:autoSpaceDN/>
              <w:adjustRightInd/>
              <w:rPr>
                <w:sz w:val="18"/>
                <w:szCs w:val="18"/>
              </w:rPr>
            </w:pPr>
            <w:r w:rsidRPr="00ED57BC">
              <w:rPr>
                <w:sz w:val="18"/>
                <w:szCs w:val="18"/>
              </w:rPr>
              <w:t>(automated)</w:t>
            </w:r>
          </w:p>
        </w:tc>
        <w:tc>
          <w:tcPr>
            <w:tcW w:w="1350" w:type="dxa"/>
            <w:vAlign w:val="center"/>
          </w:tcPr>
          <w:p w14:paraId="2ADED1DD"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4</w:t>
            </w:r>
          </w:p>
        </w:tc>
        <w:tc>
          <w:tcPr>
            <w:tcW w:w="1440" w:type="dxa"/>
            <w:vAlign w:val="center"/>
          </w:tcPr>
          <w:p w14:paraId="4125D504"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$38.06</w:t>
            </w:r>
          </w:p>
        </w:tc>
        <w:tc>
          <w:tcPr>
            <w:tcW w:w="1980" w:type="dxa"/>
            <w:vAlign w:val="center"/>
          </w:tcPr>
          <w:p w14:paraId="6369CA1A" w14:textId="77777777" w:rsidR="000B1B1C" w:rsidRPr="00ED57BC" w:rsidRDefault="00C14809"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$152.24</w:t>
            </w:r>
          </w:p>
        </w:tc>
      </w:tr>
      <w:tr w:rsidR="000B1B1C" w:rsidRPr="00ED57BC" w14:paraId="78EEB688" w14:textId="77777777" w:rsidTr="00107F1C">
        <w:trPr>
          <w:trHeight w:val="300"/>
        </w:trPr>
        <w:tc>
          <w:tcPr>
            <w:tcW w:w="2088" w:type="dxa"/>
            <w:vMerge/>
            <w:noWrap/>
            <w:hideMark/>
          </w:tcPr>
          <w:p w14:paraId="4B3459A1"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325F5D91" w14:textId="77777777" w:rsidR="000B1B1C" w:rsidRPr="00ED57BC" w:rsidRDefault="000B1B1C" w:rsidP="000B1B1C">
            <w:pPr>
              <w:widowControl/>
              <w:autoSpaceDE/>
              <w:autoSpaceDN/>
              <w:adjustRightInd/>
              <w:rPr>
                <w:sz w:val="18"/>
                <w:szCs w:val="18"/>
              </w:rPr>
            </w:pPr>
            <w:r w:rsidRPr="00ED57BC">
              <w:rPr>
                <w:sz w:val="18"/>
                <w:szCs w:val="18"/>
              </w:rPr>
              <w:t>Self-Query on an Individual</w:t>
            </w:r>
          </w:p>
        </w:tc>
        <w:tc>
          <w:tcPr>
            <w:tcW w:w="1350" w:type="dxa"/>
            <w:vAlign w:val="center"/>
            <w:hideMark/>
          </w:tcPr>
          <w:p w14:paraId="0F95429E"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55,223</w:t>
            </w:r>
          </w:p>
        </w:tc>
        <w:tc>
          <w:tcPr>
            <w:tcW w:w="1440" w:type="dxa"/>
            <w:vAlign w:val="center"/>
          </w:tcPr>
          <w:p w14:paraId="6C29710D"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$38.06</w:t>
            </w:r>
          </w:p>
        </w:tc>
        <w:tc>
          <w:tcPr>
            <w:tcW w:w="1980" w:type="dxa"/>
            <w:vAlign w:val="center"/>
          </w:tcPr>
          <w:p w14:paraId="0CE2EEC5" w14:textId="77777777" w:rsidR="000B1B1C" w:rsidRPr="00ED57BC" w:rsidRDefault="00C14809"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$2,101,787.38</w:t>
            </w:r>
          </w:p>
        </w:tc>
      </w:tr>
      <w:tr w:rsidR="000B1B1C" w:rsidRPr="00ED57BC" w14:paraId="42BB1EB5" w14:textId="77777777" w:rsidTr="00107F1C">
        <w:trPr>
          <w:trHeight w:val="300"/>
        </w:trPr>
        <w:tc>
          <w:tcPr>
            <w:tcW w:w="2088" w:type="dxa"/>
            <w:vMerge/>
            <w:noWrap/>
            <w:hideMark/>
          </w:tcPr>
          <w:p w14:paraId="78DD7DBB"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642D78BA" w14:textId="77777777" w:rsidR="000B1B1C" w:rsidRPr="00ED57BC" w:rsidRDefault="000B1B1C" w:rsidP="000B1B1C">
            <w:pPr>
              <w:widowControl/>
              <w:autoSpaceDE/>
              <w:autoSpaceDN/>
              <w:adjustRightInd/>
              <w:rPr>
                <w:sz w:val="18"/>
                <w:szCs w:val="18"/>
              </w:rPr>
            </w:pPr>
            <w:r w:rsidRPr="00ED57BC">
              <w:rPr>
                <w:sz w:val="18"/>
                <w:szCs w:val="18"/>
              </w:rPr>
              <w:t>Self-Query on an Organization</w:t>
            </w:r>
          </w:p>
        </w:tc>
        <w:tc>
          <w:tcPr>
            <w:tcW w:w="1350" w:type="dxa"/>
            <w:vAlign w:val="center"/>
            <w:hideMark/>
          </w:tcPr>
          <w:p w14:paraId="3F7D52E9"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649</w:t>
            </w:r>
          </w:p>
        </w:tc>
        <w:tc>
          <w:tcPr>
            <w:tcW w:w="1440" w:type="dxa"/>
            <w:vAlign w:val="center"/>
          </w:tcPr>
          <w:p w14:paraId="45E2783B"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$38.06</w:t>
            </w:r>
          </w:p>
        </w:tc>
        <w:tc>
          <w:tcPr>
            <w:tcW w:w="1980" w:type="dxa"/>
            <w:vAlign w:val="center"/>
          </w:tcPr>
          <w:p w14:paraId="1C2B4322" w14:textId="77777777" w:rsidR="000B1B1C" w:rsidRPr="00ED57BC" w:rsidRDefault="00C14809"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$24,700.94</w:t>
            </w:r>
          </w:p>
        </w:tc>
      </w:tr>
      <w:tr w:rsidR="000B1B1C" w:rsidRPr="00ED57BC" w14:paraId="53146674" w14:textId="77777777" w:rsidTr="00107F1C">
        <w:trPr>
          <w:trHeight w:val="300"/>
        </w:trPr>
        <w:tc>
          <w:tcPr>
            <w:tcW w:w="2088" w:type="dxa"/>
            <w:vMerge/>
            <w:noWrap/>
            <w:hideMark/>
          </w:tcPr>
          <w:p w14:paraId="1F95D7CD"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5284A957" w14:textId="77777777" w:rsidR="000B1B1C" w:rsidRPr="00ED57BC" w:rsidRDefault="000B1B1C" w:rsidP="000B1B1C">
            <w:pPr>
              <w:widowControl/>
              <w:autoSpaceDE/>
              <w:autoSpaceDN/>
              <w:adjustRightInd/>
              <w:rPr>
                <w:sz w:val="18"/>
                <w:szCs w:val="18"/>
              </w:rPr>
            </w:pPr>
            <w:r w:rsidRPr="00ED57BC">
              <w:rPr>
                <w:sz w:val="18"/>
                <w:szCs w:val="18"/>
              </w:rPr>
              <w:t>Continuous Query  (manual)</w:t>
            </w:r>
          </w:p>
        </w:tc>
        <w:tc>
          <w:tcPr>
            <w:tcW w:w="1350" w:type="dxa"/>
            <w:vAlign w:val="center"/>
            <w:hideMark/>
          </w:tcPr>
          <w:p w14:paraId="46614E97"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51,509</w:t>
            </w:r>
          </w:p>
        </w:tc>
        <w:tc>
          <w:tcPr>
            <w:tcW w:w="1440" w:type="dxa"/>
            <w:vAlign w:val="center"/>
          </w:tcPr>
          <w:p w14:paraId="1E10C47C"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$38.06</w:t>
            </w:r>
          </w:p>
        </w:tc>
        <w:tc>
          <w:tcPr>
            <w:tcW w:w="1980" w:type="dxa"/>
            <w:vAlign w:val="center"/>
          </w:tcPr>
          <w:p w14:paraId="044E836C" w14:textId="77777777" w:rsidR="000B1B1C" w:rsidRPr="00ED57BC" w:rsidRDefault="00790A34"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$1,960,432.54</w:t>
            </w:r>
          </w:p>
        </w:tc>
      </w:tr>
      <w:tr w:rsidR="000B1B1C" w:rsidRPr="00ED57BC" w14:paraId="1F75A311" w14:textId="77777777" w:rsidTr="00107F1C">
        <w:trPr>
          <w:trHeight w:val="300"/>
        </w:trPr>
        <w:tc>
          <w:tcPr>
            <w:tcW w:w="2088" w:type="dxa"/>
            <w:vMerge/>
            <w:noWrap/>
          </w:tcPr>
          <w:p w14:paraId="50AB4E06"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56DD2CDF" w14:textId="77777777" w:rsidR="000B1B1C" w:rsidRPr="00ED57BC" w:rsidRDefault="000B1B1C" w:rsidP="000B1B1C">
            <w:pPr>
              <w:widowControl/>
              <w:autoSpaceDE/>
              <w:autoSpaceDN/>
              <w:adjustRightInd/>
              <w:rPr>
                <w:sz w:val="18"/>
                <w:szCs w:val="18"/>
              </w:rPr>
            </w:pPr>
            <w:r w:rsidRPr="00ED57BC">
              <w:rPr>
                <w:sz w:val="18"/>
                <w:szCs w:val="18"/>
              </w:rPr>
              <w:t>Continuous Query (automated)</w:t>
            </w:r>
          </w:p>
        </w:tc>
        <w:tc>
          <w:tcPr>
            <w:tcW w:w="1350" w:type="dxa"/>
            <w:vAlign w:val="center"/>
          </w:tcPr>
          <w:p w14:paraId="7E0F480A"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69</w:t>
            </w:r>
          </w:p>
        </w:tc>
        <w:tc>
          <w:tcPr>
            <w:tcW w:w="1440" w:type="dxa"/>
            <w:vAlign w:val="center"/>
          </w:tcPr>
          <w:p w14:paraId="2B4BB074"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$38.06</w:t>
            </w:r>
          </w:p>
        </w:tc>
        <w:tc>
          <w:tcPr>
            <w:tcW w:w="1980" w:type="dxa"/>
            <w:vAlign w:val="center"/>
          </w:tcPr>
          <w:p w14:paraId="11BD1FB2" w14:textId="77777777" w:rsidR="000B1B1C" w:rsidRPr="00ED57BC" w:rsidRDefault="00790A34"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$2,626.14</w:t>
            </w:r>
          </w:p>
        </w:tc>
      </w:tr>
      <w:tr w:rsidR="000B1B1C" w:rsidRPr="00ED57BC" w14:paraId="236EB217" w14:textId="77777777" w:rsidTr="00107F1C">
        <w:trPr>
          <w:trHeight w:val="300"/>
        </w:trPr>
        <w:tc>
          <w:tcPr>
            <w:tcW w:w="2088" w:type="dxa"/>
            <w:vMerge w:val="restart"/>
            <w:noWrap/>
            <w:hideMark/>
          </w:tcPr>
          <w:p w14:paraId="7EFD8DE0" w14:textId="77777777" w:rsidR="000B1B1C" w:rsidRPr="00ED57BC" w:rsidRDefault="000B1B1C" w:rsidP="000B1B1C">
            <w:pPr>
              <w:widowControl/>
              <w:autoSpaceDE/>
              <w:autoSpaceDN/>
              <w:adjustRightInd/>
              <w:rPr>
                <w:sz w:val="18"/>
                <w:szCs w:val="18"/>
              </w:rPr>
            </w:pPr>
            <w:r w:rsidRPr="00ED57BC">
              <w:rPr>
                <w:bCs/>
                <w:sz w:val="18"/>
                <w:szCs w:val="18"/>
              </w:rPr>
              <w:t>§</w:t>
            </w:r>
            <w:r w:rsidRPr="00ED57BC">
              <w:rPr>
                <w:sz w:val="18"/>
                <w:szCs w:val="18"/>
              </w:rPr>
              <w:t xml:space="preserve"> 60.21: How to dispute the accuracy of NPDB information.</w:t>
            </w:r>
          </w:p>
          <w:p w14:paraId="6038CE3F"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tc>
        <w:tc>
          <w:tcPr>
            <w:tcW w:w="2227" w:type="dxa"/>
            <w:noWrap/>
            <w:hideMark/>
          </w:tcPr>
          <w:p w14:paraId="7E4D3B19" w14:textId="77777777" w:rsidR="000B1B1C" w:rsidRPr="00ED57BC" w:rsidRDefault="000B1B1C" w:rsidP="000B1B1C">
            <w:pPr>
              <w:widowControl/>
              <w:autoSpaceDE/>
              <w:autoSpaceDN/>
              <w:adjustRightInd/>
              <w:rPr>
                <w:sz w:val="18"/>
                <w:szCs w:val="18"/>
              </w:rPr>
            </w:pPr>
            <w:r w:rsidRPr="00ED57BC">
              <w:rPr>
                <w:sz w:val="18"/>
                <w:szCs w:val="18"/>
              </w:rPr>
              <w:t>Subject Statement and Dispute</w:t>
            </w:r>
          </w:p>
        </w:tc>
        <w:tc>
          <w:tcPr>
            <w:tcW w:w="1350" w:type="dxa"/>
            <w:vAlign w:val="center"/>
            <w:hideMark/>
          </w:tcPr>
          <w:p w14:paraId="73E123B7"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2,661</w:t>
            </w:r>
          </w:p>
        </w:tc>
        <w:tc>
          <w:tcPr>
            <w:tcW w:w="1440" w:type="dxa"/>
            <w:vAlign w:val="center"/>
          </w:tcPr>
          <w:p w14:paraId="1F242A94"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$96.54</w:t>
            </w:r>
          </w:p>
        </w:tc>
        <w:tc>
          <w:tcPr>
            <w:tcW w:w="1980" w:type="dxa"/>
            <w:vAlign w:val="center"/>
          </w:tcPr>
          <w:p w14:paraId="4982366C" w14:textId="77777777" w:rsidR="000B1B1C" w:rsidRPr="00ED57BC" w:rsidRDefault="00941E39"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$256,892.94</w:t>
            </w:r>
          </w:p>
        </w:tc>
      </w:tr>
      <w:tr w:rsidR="000B1B1C" w:rsidRPr="00ED57BC" w14:paraId="272FDF8D" w14:textId="77777777" w:rsidTr="00107F1C">
        <w:trPr>
          <w:trHeight w:val="300"/>
        </w:trPr>
        <w:tc>
          <w:tcPr>
            <w:tcW w:w="2088" w:type="dxa"/>
            <w:vMerge/>
            <w:noWrap/>
            <w:hideMark/>
          </w:tcPr>
          <w:p w14:paraId="68B2E290"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31AA8FB8" w14:textId="77777777" w:rsidR="000B1B1C" w:rsidRPr="00ED57BC" w:rsidRDefault="000B1B1C" w:rsidP="000B1B1C">
            <w:pPr>
              <w:widowControl/>
              <w:autoSpaceDE/>
              <w:autoSpaceDN/>
              <w:adjustRightInd/>
              <w:rPr>
                <w:sz w:val="18"/>
                <w:szCs w:val="18"/>
              </w:rPr>
            </w:pPr>
            <w:r w:rsidRPr="00ED57BC">
              <w:rPr>
                <w:sz w:val="18"/>
                <w:szCs w:val="18"/>
              </w:rPr>
              <w:t>Request for Dispute Resolution</w:t>
            </w:r>
          </w:p>
        </w:tc>
        <w:tc>
          <w:tcPr>
            <w:tcW w:w="1350" w:type="dxa"/>
            <w:vAlign w:val="center"/>
            <w:hideMark/>
          </w:tcPr>
          <w:p w14:paraId="775864C6"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792</w:t>
            </w:r>
          </w:p>
        </w:tc>
        <w:tc>
          <w:tcPr>
            <w:tcW w:w="1440" w:type="dxa"/>
            <w:vAlign w:val="center"/>
          </w:tcPr>
          <w:p w14:paraId="151F0574"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$96.54</w:t>
            </w:r>
          </w:p>
        </w:tc>
        <w:tc>
          <w:tcPr>
            <w:tcW w:w="1980" w:type="dxa"/>
            <w:vAlign w:val="center"/>
          </w:tcPr>
          <w:p w14:paraId="622100FD" w14:textId="77777777" w:rsidR="000B1B1C" w:rsidRPr="00ED57BC" w:rsidRDefault="000E7600"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$76,459.68</w:t>
            </w:r>
          </w:p>
        </w:tc>
      </w:tr>
      <w:tr w:rsidR="000B1B1C" w:rsidRPr="00ED57BC" w14:paraId="46ACD0C7" w14:textId="77777777" w:rsidTr="00107F1C">
        <w:trPr>
          <w:trHeight w:val="300"/>
        </w:trPr>
        <w:tc>
          <w:tcPr>
            <w:tcW w:w="2088" w:type="dxa"/>
            <w:vMerge w:val="restart"/>
            <w:noWrap/>
            <w:hideMark/>
          </w:tcPr>
          <w:p w14:paraId="729FDE70"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xml:space="preserve">Administrative </w:t>
            </w:r>
          </w:p>
          <w:p w14:paraId="7A25740E"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p w14:paraId="09E24995"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p w14:paraId="492D7C6B"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p w14:paraId="710B03EA"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p w14:paraId="4EA20930"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p w14:paraId="394766E8"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ED57BC">
              <w:rPr>
                <w:sz w:val="18"/>
                <w:szCs w:val="18"/>
              </w:rPr>
              <w:t> </w:t>
            </w:r>
          </w:p>
        </w:tc>
        <w:tc>
          <w:tcPr>
            <w:tcW w:w="2227" w:type="dxa"/>
            <w:noWrap/>
            <w:vAlign w:val="center"/>
            <w:hideMark/>
          </w:tcPr>
          <w:p w14:paraId="03439E6A" w14:textId="77777777" w:rsidR="000B1B1C" w:rsidRPr="00ED57BC" w:rsidRDefault="000B1B1C" w:rsidP="000B1B1C">
            <w:pPr>
              <w:widowControl/>
              <w:autoSpaceDE/>
              <w:autoSpaceDN/>
              <w:adjustRightInd/>
              <w:rPr>
                <w:sz w:val="18"/>
                <w:szCs w:val="18"/>
                <w:highlight w:val="yellow"/>
              </w:rPr>
            </w:pPr>
            <w:r w:rsidRPr="00ED57BC">
              <w:rPr>
                <w:sz w:val="18"/>
                <w:szCs w:val="18"/>
              </w:rPr>
              <w:t>Entity Registration (Initial)</w:t>
            </w:r>
          </w:p>
        </w:tc>
        <w:tc>
          <w:tcPr>
            <w:tcW w:w="1350" w:type="dxa"/>
            <w:vAlign w:val="center"/>
            <w:hideMark/>
          </w:tcPr>
          <w:p w14:paraId="5420EA99"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ED57BC">
              <w:rPr>
                <w:sz w:val="18"/>
                <w:szCs w:val="18"/>
              </w:rPr>
              <w:t>1,073</w:t>
            </w:r>
          </w:p>
        </w:tc>
        <w:tc>
          <w:tcPr>
            <w:tcW w:w="1440" w:type="dxa"/>
            <w:vAlign w:val="center"/>
          </w:tcPr>
          <w:p w14:paraId="0DD4E23A"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$36.09</w:t>
            </w:r>
          </w:p>
        </w:tc>
        <w:tc>
          <w:tcPr>
            <w:tcW w:w="1980" w:type="dxa"/>
            <w:vAlign w:val="center"/>
          </w:tcPr>
          <w:p w14:paraId="3AF7921A" w14:textId="77777777" w:rsidR="000B1B1C" w:rsidRPr="00ED57BC" w:rsidRDefault="00717A3B"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$38,724.57</w:t>
            </w:r>
          </w:p>
        </w:tc>
      </w:tr>
      <w:tr w:rsidR="000B1B1C" w:rsidRPr="00ED57BC" w14:paraId="4C926006" w14:textId="77777777" w:rsidTr="00107F1C">
        <w:trPr>
          <w:trHeight w:val="300"/>
        </w:trPr>
        <w:tc>
          <w:tcPr>
            <w:tcW w:w="2088" w:type="dxa"/>
            <w:vMerge/>
            <w:noWrap/>
            <w:hideMark/>
          </w:tcPr>
          <w:p w14:paraId="6ED23A42"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hideMark/>
          </w:tcPr>
          <w:p w14:paraId="1211D942" w14:textId="77777777" w:rsidR="000B1B1C" w:rsidRPr="00ED57BC" w:rsidRDefault="000B1B1C" w:rsidP="000B1B1C">
            <w:pPr>
              <w:widowControl/>
              <w:autoSpaceDE/>
              <w:autoSpaceDN/>
              <w:adjustRightInd/>
              <w:rPr>
                <w:sz w:val="18"/>
                <w:szCs w:val="18"/>
                <w:highlight w:val="yellow"/>
              </w:rPr>
            </w:pPr>
            <w:r w:rsidRPr="00ED57BC">
              <w:rPr>
                <w:sz w:val="18"/>
                <w:szCs w:val="18"/>
              </w:rPr>
              <w:t>Entity Registration (Renewal &amp; Update)</w:t>
            </w:r>
          </w:p>
        </w:tc>
        <w:tc>
          <w:tcPr>
            <w:tcW w:w="1350" w:type="dxa"/>
            <w:vAlign w:val="center"/>
            <w:hideMark/>
          </w:tcPr>
          <w:p w14:paraId="51C88660" w14:textId="77777777" w:rsidR="000B1B1C" w:rsidRPr="00ED57BC" w:rsidRDefault="000B1B1C"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ED57BC">
              <w:rPr>
                <w:sz w:val="18"/>
                <w:szCs w:val="18"/>
              </w:rPr>
              <w:t>3,515</w:t>
            </w:r>
          </w:p>
        </w:tc>
        <w:tc>
          <w:tcPr>
            <w:tcW w:w="1440" w:type="dxa"/>
            <w:vAlign w:val="center"/>
          </w:tcPr>
          <w:p w14:paraId="14D80312" w14:textId="77777777" w:rsidR="000B1B1C" w:rsidRPr="00ED57BC" w:rsidRDefault="00F90106"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$36.09</w:t>
            </w:r>
          </w:p>
        </w:tc>
        <w:tc>
          <w:tcPr>
            <w:tcW w:w="1980" w:type="dxa"/>
            <w:vAlign w:val="center"/>
          </w:tcPr>
          <w:p w14:paraId="3DFA761F" w14:textId="77777777" w:rsidR="000B1B1C" w:rsidRPr="00ED57BC" w:rsidRDefault="00717A3B" w:rsidP="00107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$126,856.35</w:t>
            </w:r>
          </w:p>
        </w:tc>
      </w:tr>
      <w:tr w:rsidR="000B1B1C" w:rsidRPr="00ED57BC" w14:paraId="686E85CE" w14:textId="77777777" w:rsidTr="00F056C8">
        <w:trPr>
          <w:trHeight w:val="300"/>
        </w:trPr>
        <w:tc>
          <w:tcPr>
            <w:tcW w:w="2088" w:type="dxa"/>
            <w:vMerge/>
            <w:noWrap/>
          </w:tcPr>
          <w:p w14:paraId="267A9B13"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tcPr>
          <w:p w14:paraId="489BFA06" w14:textId="77777777" w:rsidR="000B1B1C" w:rsidRPr="00ED57BC" w:rsidRDefault="000B1B1C" w:rsidP="000B1B1C">
            <w:pPr>
              <w:widowControl/>
              <w:autoSpaceDE/>
              <w:autoSpaceDN/>
              <w:adjustRightInd/>
              <w:rPr>
                <w:sz w:val="18"/>
                <w:szCs w:val="18"/>
              </w:rPr>
            </w:pPr>
            <w:r w:rsidRPr="00ED57BC">
              <w:rPr>
                <w:sz w:val="18"/>
                <w:szCs w:val="18"/>
              </w:rPr>
              <w:t>Entity Profile</w:t>
            </w:r>
          </w:p>
        </w:tc>
        <w:tc>
          <w:tcPr>
            <w:tcW w:w="1350" w:type="dxa"/>
            <w:vAlign w:val="center"/>
          </w:tcPr>
          <w:p w14:paraId="22D39505"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2,250</w:t>
            </w:r>
          </w:p>
        </w:tc>
        <w:tc>
          <w:tcPr>
            <w:tcW w:w="1440" w:type="dxa"/>
          </w:tcPr>
          <w:p w14:paraId="2A089651" w14:textId="77777777" w:rsidR="000B1B1C" w:rsidRPr="00ED57BC" w:rsidRDefault="00F90106"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$36.09</w:t>
            </w:r>
          </w:p>
        </w:tc>
        <w:tc>
          <w:tcPr>
            <w:tcW w:w="1980" w:type="dxa"/>
          </w:tcPr>
          <w:p w14:paraId="267B6F6E" w14:textId="77777777" w:rsidR="000B1B1C" w:rsidRPr="00ED57BC" w:rsidRDefault="00717A3B"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$81,202.50</w:t>
            </w:r>
          </w:p>
        </w:tc>
      </w:tr>
      <w:tr w:rsidR="00F90106" w:rsidRPr="00ED57BC" w14:paraId="56072C8A" w14:textId="77777777" w:rsidTr="00F056C8">
        <w:trPr>
          <w:trHeight w:val="300"/>
        </w:trPr>
        <w:tc>
          <w:tcPr>
            <w:tcW w:w="2088" w:type="dxa"/>
            <w:vMerge/>
            <w:noWrap/>
          </w:tcPr>
          <w:p w14:paraId="73102E89"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4ED643E4" w14:textId="77777777" w:rsidR="00F90106" w:rsidRPr="00ED57BC" w:rsidRDefault="00F90106" w:rsidP="00F90106">
            <w:pPr>
              <w:widowControl/>
              <w:autoSpaceDE/>
              <w:autoSpaceDN/>
              <w:adjustRightInd/>
              <w:rPr>
                <w:sz w:val="18"/>
                <w:szCs w:val="18"/>
              </w:rPr>
            </w:pPr>
            <w:r w:rsidRPr="00ED57BC">
              <w:rPr>
                <w:sz w:val="18"/>
                <w:szCs w:val="18"/>
              </w:rPr>
              <w:t>Licensing Board Data Request</w:t>
            </w:r>
          </w:p>
        </w:tc>
        <w:tc>
          <w:tcPr>
            <w:tcW w:w="1350" w:type="dxa"/>
            <w:vAlign w:val="center"/>
          </w:tcPr>
          <w:p w14:paraId="0CF76111"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1,533</w:t>
            </w:r>
          </w:p>
        </w:tc>
        <w:tc>
          <w:tcPr>
            <w:tcW w:w="1440" w:type="dxa"/>
          </w:tcPr>
          <w:p w14:paraId="0953777C"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01D73">
              <w:rPr>
                <w:sz w:val="18"/>
                <w:szCs w:val="18"/>
              </w:rPr>
              <w:t>$36.09</w:t>
            </w:r>
          </w:p>
        </w:tc>
        <w:tc>
          <w:tcPr>
            <w:tcW w:w="1980" w:type="dxa"/>
          </w:tcPr>
          <w:p w14:paraId="621B8D43" w14:textId="77777777" w:rsidR="00F90106" w:rsidRPr="00ED57BC" w:rsidRDefault="00717A3B"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$55,325.97</w:t>
            </w:r>
          </w:p>
        </w:tc>
      </w:tr>
      <w:tr w:rsidR="00F90106" w:rsidRPr="00ED57BC" w14:paraId="415C818C" w14:textId="77777777" w:rsidTr="00F056C8">
        <w:trPr>
          <w:trHeight w:val="300"/>
        </w:trPr>
        <w:tc>
          <w:tcPr>
            <w:tcW w:w="2088" w:type="dxa"/>
            <w:vMerge/>
            <w:noWrap/>
          </w:tcPr>
          <w:p w14:paraId="6C4484DE"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1BAA3794" w14:textId="77777777" w:rsidR="00F90106" w:rsidRPr="00ED57BC" w:rsidRDefault="00F90106" w:rsidP="00F90106">
            <w:pPr>
              <w:widowControl/>
              <w:autoSpaceDE/>
              <w:autoSpaceDN/>
              <w:adjustRightInd/>
              <w:rPr>
                <w:sz w:val="18"/>
                <w:szCs w:val="18"/>
              </w:rPr>
            </w:pPr>
            <w:r w:rsidRPr="00ED57BC">
              <w:rPr>
                <w:sz w:val="18"/>
                <w:szCs w:val="18"/>
              </w:rPr>
              <w:t>Licensing Board Attestation</w:t>
            </w:r>
          </w:p>
        </w:tc>
        <w:tc>
          <w:tcPr>
            <w:tcW w:w="1350" w:type="dxa"/>
            <w:vAlign w:val="center"/>
          </w:tcPr>
          <w:p w14:paraId="6C22F737"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301</w:t>
            </w:r>
          </w:p>
        </w:tc>
        <w:tc>
          <w:tcPr>
            <w:tcW w:w="1440" w:type="dxa"/>
          </w:tcPr>
          <w:p w14:paraId="1472D9A4"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01D73">
              <w:rPr>
                <w:sz w:val="18"/>
                <w:szCs w:val="18"/>
              </w:rPr>
              <w:t>$36.09</w:t>
            </w:r>
          </w:p>
        </w:tc>
        <w:tc>
          <w:tcPr>
            <w:tcW w:w="1980" w:type="dxa"/>
          </w:tcPr>
          <w:p w14:paraId="15142858" w14:textId="77777777" w:rsidR="00F90106" w:rsidRPr="00ED57BC" w:rsidRDefault="00717A3B"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$10,863.09</w:t>
            </w:r>
          </w:p>
        </w:tc>
      </w:tr>
      <w:tr w:rsidR="00F90106" w:rsidRPr="00ED57BC" w14:paraId="244993F2" w14:textId="77777777" w:rsidTr="00F056C8">
        <w:trPr>
          <w:trHeight w:val="300"/>
        </w:trPr>
        <w:tc>
          <w:tcPr>
            <w:tcW w:w="2088" w:type="dxa"/>
            <w:vMerge/>
            <w:noWrap/>
          </w:tcPr>
          <w:p w14:paraId="14E2BFF0"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59EA1920" w14:textId="77777777" w:rsidR="00F90106" w:rsidRPr="00ED57BC" w:rsidRDefault="00F90106" w:rsidP="00F90106">
            <w:pPr>
              <w:widowControl/>
              <w:autoSpaceDE/>
              <w:autoSpaceDN/>
              <w:adjustRightInd/>
              <w:rPr>
                <w:sz w:val="18"/>
                <w:szCs w:val="18"/>
              </w:rPr>
            </w:pPr>
            <w:r w:rsidRPr="00ED57BC">
              <w:rPr>
                <w:sz w:val="18"/>
                <w:szCs w:val="18"/>
              </w:rPr>
              <w:t>Corrective Action Plan</w:t>
            </w:r>
          </w:p>
        </w:tc>
        <w:tc>
          <w:tcPr>
            <w:tcW w:w="1350" w:type="dxa"/>
          </w:tcPr>
          <w:p w14:paraId="04D2D0A6"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1</w:t>
            </w:r>
          </w:p>
        </w:tc>
        <w:tc>
          <w:tcPr>
            <w:tcW w:w="1440" w:type="dxa"/>
          </w:tcPr>
          <w:p w14:paraId="269B12A0"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01D73">
              <w:rPr>
                <w:sz w:val="18"/>
                <w:szCs w:val="18"/>
              </w:rPr>
              <w:t>$36.09</w:t>
            </w:r>
          </w:p>
        </w:tc>
        <w:tc>
          <w:tcPr>
            <w:tcW w:w="1980" w:type="dxa"/>
          </w:tcPr>
          <w:p w14:paraId="26263EF2" w14:textId="77777777" w:rsidR="00F90106" w:rsidRPr="00ED57BC" w:rsidRDefault="00C14809"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01D73">
              <w:rPr>
                <w:sz w:val="18"/>
                <w:szCs w:val="18"/>
              </w:rPr>
              <w:t>$36.09</w:t>
            </w:r>
          </w:p>
        </w:tc>
      </w:tr>
      <w:tr w:rsidR="00F90106" w:rsidRPr="00ED57BC" w14:paraId="793B7580" w14:textId="77777777" w:rsidTr="00F056C8">
        <w:trPr>
          <w:trHeight w:val="300"/>
        </w:trPr>
        <w:tc>
          <w:tcPr>
            <w:tcW w:w="2088" w:type="dxa"/>
            <w:vMerge/>
            <w:noWrap/>
          </w:tcPr>
          <w:p w14:paraId="35BD7013"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3F81557B" w14:textId="77777777" w:rsidR="00F90106" w:rsidRPr="00ED57BC" w:rsidRDefault="00F90106" w:rsidP="00F90106">
            <w:pPr>
              <w:widowControl/>
              <w:autoSpaceDE/>
              <w:autoSpaceDN/>
              <w:adjustRightInd/>
              <w:rPr>
                <w:sz w:val="18"/>
                <w:szCs w:val="18"/>
              </w:rPr>
            </w:pPr>
            <w:r w:rsidRPr="00ED57BC">
              <w:rPr>
                <w:sz w:val="18"/>
                <w:szCs w:val="18"/>
              </w:rPr>
              <w:t>Reconciling Missing Actions</w:t>
            </w:r>
          </w:p>
        </w:tc>
        <w:tc>
          <w:tcPr>
            <w:tcW w:w="1350" w:type="dxa"/>
            <w:vAlign w:val="center"/>
          </w:tcPr>
          <w:p w14:paraId="5FB91B96"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6,385</w:t>
            </w:r>
          </w:p>
        </w:tc>
        <w:tc>
          <w:tcPr>
            <w:tcW w:w="1440" w:type="dxa"/>
          </w:tcPr>
          <w:p w14:paraId="5B642368"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01D73">
              <w:rPr>
                <w:sz w:val="18"/>
                <w:szCs w:val="18"/>
              </w:rPr>
              <w:t>$36.09</w:t>
            </w:r>
          </w:p>
        </w:tc>
        <w:tc>
          <w:tcPr>
            <w:tcW w:w="1980" w:type="dxa"/>
          </w:tcPr>
          <w:p w14:paraId="2BAF256C" w14:textId="77777777" w:rsidR="00F90106" w:rsidRPr="00ED57BC" w:rsidRDefault="00717A3B"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$230,434.65</w:t>
            </w:r>
          </w:p>
        </w:tc>
      </w:tr>
      <w:tr w:rsidR="00F90106" w:rsidRPr="00ED57BC" w14:paraId="1BABC254" w14:textId="77777777" w:rsidTr="00F056C8">
        <w:trPr>
          <w:trHeight w:val="300"/>
        </w:trPr>
        <w:tc>
          <w:tcPr>
            <w:tcW w:w="2088" w:type="dxa"/>
            <w:vMerge/>
            <w:noWrap/>
          </w:tcPr>
          <w:p w14:paraId="7917A476"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1B0D318A" w14:textId="77777777" w:rsidR="00F90106" w:rsidRPr="00ED57BC" w:rsidRDefault="00F90106" w:rsidP="00F90106">
            <w:pPr>
              <w:widowControl/>
              <w:autoSpaceDE/>
              <w:autoSpaceDN/>
              <w:adjustRightInd/>
              <w:rPr>
                <w:sz w:val="18"/>
                <w:szCs w:val="18"/>
              </w:rPr>
            </w:pPr>
            <w:r w:rsidRPr="00ED57BC">
              <w:rPr>
                <w:sz w:val="18"/>
                <w:szCs w:val="18"/>
              </w:rPr>
              <w:t>Agent Registration (Initial)</w:t>
            </w:r>
          </w:p>
        </w:tc>
        <w:tc>
          <w:tcPr>
            <w:tcW w:w="1350" w:type="dxa"/>
            <w:vAlign w:val="center"/>
          </w:tcPr>
          <w:p w14:paraId="6432398C"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85</w:t>
            </w:r>
          </w:p>
        </w:tc>
        <w:tc>
          <w:tcPr>
            <w:tcW w:w="1440" w:type="dxa"/>
          </w:tcPr>
          <w:p w14:paraId="75D69576"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9348E">
              <w:rPr>
                <w:sz w:val="18"/>
                <w:szCs w:val="18"/>
              </w:rPr>
              <w:t>$36.09</w:t>
            </w:r>
          </w:p>
        </w:tc>
        <w:tc>
          <w:tcPr>
            <w:tcW w:w="1980" w:type="dxa"/>
          </w:tcPr>
          <w:p w14:paraId="4430B565" w14:textId="77777777" w:rsidR="00F90106" w:rsidRPr="00ED57BC" w:rsidRDefault="001122FA"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$3,067.65</w:t>
            </w:r>
          </w:p>
        </w:tc>
      </w:tr>
      <w:tr w:rsidR="00F90106" w:rsidRPr="00ED57BC" w14:paraId="0671F449" w14:textId="77777777" w:rsidTr="00F056C8">
        <w:trPr>
          <w:trHeight w:val="300"/>
        </w:trPr>
        <w:tc>
          <w:tcPr>
            <w:tcW w:w="2088" w:type="dxa"/>
            <w:vMerge/>
            <w:noWrap/>
            <w:hideMark/>
          </w:tcPr>
          <w:p w14:paraId="274AD3CE"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7CAC3DA7" w14:textId="77777777" w:rsidR="00F90106" w:rsidRPr="00ED57BC" w:rsidRDefault="00F90106" w:rsidP="00F90106">
            <w:pPr>
              <w:widowControl/>
              <w:autoSpaceDE/>
              <w:autoSpaceDN/>
              <w:adjustRightInd/>
              <w:rPr>
                <w:sz w:val="18"/>
                <w:szCs w:val="18"/>
              </w:rPr>
            </w:pPr>
            <w:r w:rsidRPr="00ED57BC">
              <w:rPr>
                <w:sz w:val="18"/>
                <w:szCs w:val="18"/>
              </w:rPr>
              <w:t>Agent Registration (Renewal)</w:t>
            </w:r>
          </w:p>
        </w:tc>
        <w:tc>
          <w:tcPr>
            <w:tcW w:w="1350" w:type="dxa"/>
            <w:vAlign w:val="center"/>
            <w:hideMark/>
          </w:tcPr>
          <w:p w14:paraId="76C63C3B"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23</w:t>
            </w:r>
          </w:p>
        </w:tc>
        <w:tc>
          <w:tcPr>
            <w:tcW w:w="1440" w:type="dxa"/>
          </w:tcPr>
          <w:p w14:paraId="2E019A59"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9348E">
              <w:rPr>
                <w:sz w:val="18"/>
                <w:szCs w:val="18"/>
              </w:rPr>
              <w:t>$36.09</w:t>
            </w:r>
          </w:p>
        </w:tc>
        <w:tc>
          <w:tcPr>
            <w:tcW w:w="1980" w:type="dxa"/>
          </w:tcPr>
          <w:p w14:paraId="0E8B0600" w14:textId="77777777" w:rsidR="00F90106" w:rsidRPr="00ED57BC" w:rsidRDefault="009A3260"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$830.07</w:t>
            </w:r>
          </w:p>
        </w:tc>
      </w:tr>
      <w:tr w:rsidR="00F90106" w:rsidRPr="00ED57BC" w14:paraId="5DDF93ED" w14:textId="77777777" w:rsidTr="00F056C8">
        <w:trPr>
          <w:trHeight w:val="300"/>
        </w:trPr>
        <w:tc>
          <w:tcPr>
            <w:tcW w:w="2088" w:type="dxa"/>
            <w:vMerge/>
            <w:noWrap/>
            <w:hideMark/>
          </w:tcPr>
          <w:p w14:paraId="5CB55688"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33C57A38" w14:textId="77777777" w:rsidR="00F90106" w:rsidRPr="00ED57BC" w:rsidRDefault="00F90106" w:rsidP="00F90106">
            <w:pPr>
              <w:widowControl/>
              <w:autoSpaceDE/>
              <w:autoSpaceDN/>
              <w:adjustRightInd/>
              <w:rPr>
                <w:sz w:val="18"/>
                <w:szCs w:val="18"/>
              </w:rPr>
            </w:pPr>
            <w:r w:rsidRPr="00ED57BC">
              <w:rPr>
                <w:sz w:val="18"/>
                <w:szCs w:val="18"/>
              </w:rPr>
              <w:t>Electronic Transfer of Funds (EFT) Authorization</w:t>
            </w:r>
          </w:p>
        </w:tc>
        <w:tc>
          <w:tcPr>
            <w:tcW w:w="1350" w:type="dxa"/>
            <w:vAlign w:val="center"/>
            <w:hideMark/>
          </w:tcPr>
          <w:p w14:paraId="39EE95E1"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53</w:t>
            </w:r>
          </w:p>
        </w:tc>
        <w:tc>
          <w:tcPr>
            <w:tcW w:w="1440" w:type="dxa"/>
          </w:tcPr>
          <w:p w14:paraId="10F8A2EC"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9348E">
              <w:rPr>
                <w:sz w:val="18"/>
                <w:szCs w:val="18"/>
              </w:rPr>
              <w:t>$36.09</w:t>
            </w:r>
          </w:p>
        </w:tc>
        <w:tc>
          <w:tcPr>
            <w:tcW w:w="1980" w:type="dxa"/>
          </w:tcPr>
          <w:p w14:paraId="2D8EE478" w14:textId="77777777" w:rsidR="00F90106" w:rsidRPr="00ED57BC" w:rsidRDefault="009A3260"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$1,912.77</w:t>
            </w:r>
          </w:p>
        </w:tc>
      </w:tr>
      <w:tr w:rsidR="00F90106" w:rsidRPr="00ED57BC" w14:paraId="0EBC57C2" w14:textId="77777777" w:rsidTr="00F056C8">
        <w:trPr>
          <w:trHeight w:val="300"/>
        </w:trPr>
        <w:tc>
          <w:tcPr>
            <w:tcW w:w="2088" w:type="dxa"/>
            <w:vMerge/>
            <w:noWrap/>
            <w:hideMark/>
          </w:tcPr>
          <w:p w14:paraId="653ADE1C"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1E67D169" w14:textId="77777777" w:rsidR="00F90106" w:rsidRPr="00ED57BC" w:rsidRDefault="00F90106" w:rsidP="00F90106">
            <w:pPr>
              <w:widowControl/>
              <w:autoSpaceDE/>
              <w:autoSpaceDN/>
              <w:adjustRightInd/>
              <w:rPr>
                <w:sz w:val="18"/>
                <w:szCs w:val="18"/>
              </w:rPr>
            </w:pPr>
            <w:r w:rsidRPr="00ED57BC">
              <w:rPr>
                <w:sz w:val="18"/>
                <w:szCs w:val="18"/>
              </w:rPr>
              <w:t>Authorized Agent Designation</w:t>
            </w:r>
          </w:p>
        </w:tc>
        <w:tc>
          <w:tcPr>
            <w:tcW w:w="1350" w:type="dxa"/>
            <w:vAlign w:val="center"/>
            <w:hideMark/>
          </w:tcPr>
          <w:p w14:paraId="0FD95894"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54</w:t>
            </w:r>
          </w:p>
        </w:tc>
        <w:tc>
          <w:tcPr>
            <w:tcW w:w="1440" w:type="dxa"/>
          </w:tcPr>
          <w:p w14:paraId="2027D86B"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9348E">
              <w:rPr>
                <w:sz w:val="18"/>
                <w:szCs w:val="18"/>
              </w:rPr>
              <w:t>$36.09</w:t>
            </w:r>
          </w:p>
        </w:tc>
        <w:tc>
          <w:tcPr>
            <w:tcW w:w="1980" w:type="dxa"/>
          </w:tcPr>
          <w:p w14:paraId="33A6529E" w14:textId="77777777" w:rsidR="00F90106" w:rsidRPr="00ED57BC" w:rsidRDefault="009A3260"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$1,948.86</w:t>
            </w:r>
          </w:p>
        </w:tc>
      </w:tr>
      <w:tr w:rsidR="00F90106" w:rsidRPr="00ED57BC" w14:paraId="42F6D4A4" w14:textId="77777777" w:rsidTr="00F056C8">
        <w:trPr>
          <w:trHeight w:val="300"/>
        </w:trPr>
        <w:tc>
          <w:tcPr>
            <w:tcW w:w="2088" w:type="dxa"/>
            <w:vMerge/>
            <w:noWrap/>
          </w:tcPr>
          <w:p w14:paraId="6A7F7794"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tcPr>
          <w:p w14:paraId="371B5B42" w14:textId="77777777" w:rsidR="00F90106" w:rsidRPr="00ED57BC" w:rsidRDefault="00F90106" w:rsidP="00F90106">
            <w:pPr>
              <w:widowControl/>
              <w:autoSpaceDE/>
              <w:autoSpaceDN/>
              <w:adjustRightInd/>
              <w:rPr>
                <w:sz w:val="18"/>
                <w:szCs w:val="18"/>
              </w:rPr>
            </w:pPr>
            <w:r w:rsidRPr="00ED57BC">
              <w:rPr>
                <w:sz w:val="18"/>
                <w:szCs w:val="18"/>
              </w:rPr>
              <w:t>Account Discrepancy</w:t>
            </w:r>
          </w:p>
        </w:tc>
        <w:tc>
          <w:tcPr>
            <w:tcW w:w="1350" w:type="dxa"/>
            <w:vAlign w:val="center"/>
          </w:tcPr>
          <w:p w14:paraId="2F88BB6F"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3</w:t>
            </w:r>
          </w:p>
        </w:tc>
        <w:tc>
          <w:tcPr>
            <w:tcW w:w="1440" w:type="dxa"/>
          </w:tcPr>
          <w:p w14:paraId="2B8B5D9A"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9348E">
              <w:rPr>
                <w:sz w:val="18"/>
                <w:szCs w:val="18"/>
              </w:rPr>
              <w:t>$36.09</w:t>
            </w:r>
          </w:p>
        </w:tc>
        <w:tc>
          <w:tcPr>
            <w:tcW w:w="1980" w:type="dxa"/>
          </w:tcPr>
          <w:p w14:paraId="1C92B357" w14:textId="77777777" w:rsidR="00F90106" w:rsidRPr="00ED57BC" w:rsidRDefault="00207ADE"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$108.27</w:t>
            </w:r>
          </w:p>
        </w:tc>
      </w:tr>
      <w:tr w:rsidR="00F90106" w:rsidRPr="00ED57BC" w14:paraId="7F568A52" w14:textId="77777777" w:rsidTr="00F056C8">
        <w:trPr>
          <w:trHeight w:val="300"/>
        </w:trPr>
        <w:tc>
          <w:tcPr>
            <w:tcW w:w="2088" w:type="dxa"/>
            <w:vMerge/>
            <w:noWrap/>
          </w:tcPr>
          <w:p w14:paraId="12486EB9"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tcPr>
          <w:p w14:paraId="7FCC6C32" w14:textId="77777777" w:rsidR="00F90106" w:rsidRPr="00ED57BC" w:rsidRDefault="00F90106" w:rsidP="00F90106">
            <w:pPr>
              <w:widowControl/>
              <w:autoSpaceDE/>
              <w:autoSpaceDN/>
              <w:adjustRightInd/>
              <w:rPr>
                <w:sz w:val="18"/>
                <w:szCs w:val="18"/>
              </w:rPr>
            </w:pPr>
            <w:r w:rsidRPr="00ED57BC">
              <w:rPr>
                <w:sz w:val="18"/>
                <w:szCs w:val="18"/>
              </w:rPr>
              <w:t>New Administrator Request</w:t>
            </w:r>
          </w:p>
        </w:tc>
        <w:tc>
          <w:tcPr>
            <w:tcW w:w="1350" w:type="dxa"/>
            <w:vAlign w:val="center"/>
          </w:tcPr>
          <w:p w14:paraId="605FB4D2"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242</w:t>
            </w:r>
          </w:p>
        </w:tc>
        <w:tc>
          <w:tcPr>
            <w:tcW w:w="1440" w:type="dxa"/>
          </w:tcPr>
          <w:p w14:paraId="52A8C377"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9348E">
              <w:rPr>
                <w:sz w:val="18"/>
                <w:szCs w:val="18"/>
              </w:rPr>
              <w:t>$36.09</w:t>
            </w:r>
          </w:p>
        </w:tc>
        <w:tc>
          <w:tcPr>
            <w:tcW w:w="1980" w:type="dxa"/>
          </w:tcPr>
          <w:p w14:paraId="2F5F8AA4" w14:textId="77777777" w:rsidR="00F90106" w:rsidRPr="00ED57BC" w:rsidRDefault="00207ADE"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$8,733.78</w:t>
            </w:r>
          </w:p>
        </w:tc>
      </w:tr>
      <w:tr w:rsidR="00F90106" w:rsidRPr="00ED57BC" w14:paraId="12239DEF" w14:textId="77777777" w:rsidTr="00F056C8">
        <w:trPr>
          <w:trHeight w:val="300"/>
        </w:trPr>
        <w:tc>
          <w:tcPr>
            <w:tcW w:w="2088" w:type="dxa"/>
            <w:vMerge/>
            <w:noWrap/>
          </w:tcPr>
          <w:p w14:paraId="36055657"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tcPr>
          <w:p w14:paraId="05CE0679" w14:textId="77777777" w:rsidR="00F90106" w:rsidRPr="00ED57BC" w:rsidRDefault="00F90106" w:rsidP="00F90106">
            <w:pPr>
              <w:widowControl/>
              <w:autoSpaceDE/>
              <w:autoSpaceDN/>
              <w:adjustRightInd/>
              <w:rPr>
                <w:sz w:val="18"/>
                <w:szCs w:val="18"/>
              </w:rPr>
            </w:pPr>
            <w:r w:rsidRPr="00ED57BC">
              <w:rPr>
                <w:sz w:val="18"/>
                <w:szCs w:val="18"/>
              </w:rPr>
              <w:t>Query Credit Purchase</w:t>
            </w:r>
          </w:p>
        </w:tc>
        <w:tc>
          <w:tcPr>
            <w:tcW w:w="1350" w:type="dxa"/>
            <w:vAlign w:val="center"/>
          </w:tcPr>
          <w:p w14:paraId="4BDB12A5"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64</w:t>
            </w:r>
          </w:p>
        </w:tc>
        <w:tc>
          <w:tcPr>
            <w:tcW w:w="1440" w:type="dxa"/>
          </w:tcPr>
          <w:p w14:paraId="2E6710BF"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9348E">
              <w:rPr>
                <w:sz w:val="18"/>
                <w:szCs w:val="18"/>
              </w:rPr>
              <w:t>$36.09</w:t>
            </w:r>
          </w:p>
        </w:tc>
        <w:tc>
          <w:tcPr>
            <w:tcW w:w="1980" w:type="dxa"/>
          </w:tcPr>
          <w:p w14:paraId="42FA29D5" w14:textId="77777777" w:rsidR="00F90106" w:rsidRPr="00ED57BC" w:rsidRDefault="00207ADE"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$2,309.76</w:t>
            </w:r>
          </w:p>
        </w:tc>
      </w:tr>
      <w:tr w:rsidR="00F90106" w:rsidRPr="00ED57BC" w14:paraId="24B55E97" w14:textId="77777777" w:rsidTr="00F056C8">
        <w:trPr>
          <w:trHeight w:val="300"/>
        </w:trPr>
        <w:tc>
          <w:tcPr>
            <w:tcW w:w="2088" w:type="dxa"/>
            <w:vMerge/>
            <w:noWrap/>
          </w:tcPr>
          <w:p w14:paraId="7B6E8D39"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tcPr>
          <w:p w14:paraId="5B2CB4C6" w14:textId="77777777" w:rsidR="00F90106" w:rsidRPr="00ED57BC" w:rsidRDefault="00207ADE" w:rsidP="00F90106">
            <w:pPr>
              <w:widowControl/>
              <w:autoSpaceDE/>
              <w:autoSpaceDN/>
              <w:adjustRightInd/>
              <w:rPr>
                <w:sz w:val="18"/>
                <w:szCs w:val="18"/>
              </w:rPr>
            </w:pPr>
            <w:r>
              <w:rPr>
                <w:sz w:val="18"/>
                <w:szCs w:val="18"/>
              </w:rPr>
              <w:t>Education</w:t>
            </w:r>
            <w:r w:rsidR="00F90106" w:rsidRPr="00ED57BC">
              <w:rPr>
                <w:sz w:val="18"/>
                <w:szCs w:val="18"/>
              </w:rPr>
              <w:t xml:space="preserve"> Request</w:t>
            </w:r>
          </w:p>
        </w:tc>
        <w:tc>
          <w:tcPr>
            <w:tcW w:w="1350" w:type="dxa"/>
            <w:vAlign w:val="center"/>
          </w:tcPr>
          <w:p w14:paraId="5D1FED84"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1</w:t>
            </w:r>
          </w:p>
        </w:tc>
        <w:tc>
          <w:tcPr>
            <w:tcW w:w="1440" w:type="dxa"/>
          </w:tcPr>
          <w:p w14:paraId="2CE7B5C6"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9348E">
              <w:rPr>
                <w:sz w:val="18"/>
                <w:szCs w:val="18"/>
              </w:rPr>
              <w:t>$36.09</w:t>
            </w:r>
          </w:p>
        </w:tc>
        <w:tc>
          <w:tcPr>
            <w:tcW w:w="1980" w:type="dxa"/>
          </w:tcPr>
          <w:p w14:paraId="50353815" w14:textId="77777777" w:rsidR="00F90106" w:rsidRPr="00ED57BC" w:rsidRDefault="00207ADE"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9348E">
              <w:rPr>
                <w:sz w:val="18"/>
                <w:szCs w:val="18"/>
              </w:rPr>
              <w:t>$36.09</w:t>
            </w:r>
          </w:p>
        </w:tc>
      </w:tr>
      <w:tr w:rsidR="00F90106" w:rsidRPr="00ED57BC" w14:paraId="56A561B6" w14:textId="77777777" w:rsidTr="00F056C8">
        <w:trPr>
          <w:trHeight w:val="300"/>
        </w:trPr>
        <w:tc>
          <w:tcPr>
            <w:tcW w:w="2088" w:type="dxa"/>
            <w:vMerge/>
            <w:noWrap/>
          </w:tcPr>
          <w:p w14:paraId="5CFA7BFA"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tcPr>
          <w:p w14:paraId="10731DB5" w14:textId="77777777" w:rsidR="00F90106" w:rsidRPr="00ED57BC" w:rsidRDefault="00F90106" w:rsidP="00F90106">
            <w:pPr>
              <w:widowControl/>
              <w:autoSpaceDE/>
              <w:autoSpaceDN/>
              <w:adjustRightInd/>
              <w:rPr>
                <w:sz w:val="18"/>
                <w:szCs w:val="18"/>
              </w:rPr>
            </w:pPr>
            <w:r w:rsidRPr="00ED57BC">
              <w:rPr>
                <w:sz w:val="18"/>
                <w:szCs w:val="18"/>
              </w:rPr>
              <w:t>Account Balance Transfer</w:t>
            </w:r>
          </w:p>
        </w:tc>
        <w:tc>
          <w:tcPr>
            <w:tcW w:w="1350" w:type="dxa"/>
            <w:vAlign w:val="center"/>
          </w:tcPr>
          <w:p w14:paraId="2B477435"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1</w:t>
            </w:r>
          </w:p>
        </w:tc>
        <w:tc>
          <w:tcPr>
            <w:tcW w:w="1440" w:type="dxa"/>
          </w:tcPr>
          <w:p w14:paraId="6F41EBB8"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9348E">
              <w:rPr>
                <w:sz w:val="18"/>
                <w:szCs w:val="18"/>
              </w:rPr>
              <w:t>$36.09</w:t>
            </w:r>
          </w:p>
        </w:tc>
        <w:tc>
          <w:tcPr>
            <w:tcW w:w="1980" w:type="dxa"/>
          </w:tcPr>
          <w:p w14:paraId="4EFCE336" w14:textId="77777777" w:rsidR="00F90106" w:rsidRPr="00ED57BC" w:rsidRDefault="00207ADE"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9348E">
              <w:rPr>
                <w:sz w:val="18"/>
                <w:szCs w:val="18"/>
              </w:rPr>
              <w:t>$36.09</w:t>
            </w:r>
          </w:p>
        </w:tc>
      </w:tr>
      <w:tr w:rsidR="00F90106" w:rsidRPr="00ED57BC" w14:paraId="1EE3918E" w14:textId="77777777" w:rsidTr="00F056C8">
        <w:trPr>
          <w:trHeight w:val="300"/>
        </w:trPr>
        <w:tc>
          <w:tcPr>
            <w:tcW w:w="2088" w:type="dxa"/>
            <w:vMerge/>
            <w:noWrap/>
          </w:tcPr>
          <w:p w14:paraId="21A26DD1"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vAlign w:val="center"/>
          </w:tcPr>
          <w:p w14:paraId="6F5BB793" w14:textId="77777777" w:rsidR="00F90106" w:rsidRPr="00ED57BC" w:rsidRDefault="00F90106" w:rsidP="00F90106">
            <w:pPr>
              <w:widowControl/>
              <w:autoSpaceDE/>
              <w:autoSpaceDN/>
              <w:adjustRightInd/>
              <w:rPr>
                <w:sz w:val="18"/>
                <w:szCs w:val="18"/>
              </w:rPr>
            </w:pPr>
            <w:r w:rsidRPr="00ED57BC">
              <w:rPr>
                <w:sz w:val="18"/>
                <w:szCs w:val="18"/>
              </w:rPr>
              <w:t>Missing Report Form</w:t>
            </w:r>
          </w:p>
        </w:tc>
        <w:tc>
          <w:tcPr>
            <w:tcW w:w="1350" w:type="dxa"/>
            <w:vAlign w:val="center"/>
          </w:tcPr>
          <w:p w14:paraId="2C9E7BA3"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D57BC">
              <w:rPr>
                <w:sz w:val="18"/>
                <w:szCs w:val="18"/>
              </w:rPr>
              <w:t>3</w:t>
            </w:r>
          </w:p>
        </w:tc>
        <w:tc>
          <w:tcPr>
            <w:tcW w:w="1440" w:type="dxa"/>
          </w:tcPr>
          <w:p w14:paraId="56F9F228" w14:textId="77777777" w:rsidR="00F90106" w:rsidRPr="00ED57BC" w:rsidRDefault="00F90106"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E9348E">
              <w:rPr>
                <w:sz w:val="18"/>
                <w:szCs w:val="18"/>
              </w:rPr>
              <w:t>$36.09</w:t>
            </w:r>
          </w:p>
        </w:tc>
        <w:tc>
          <w:tcPr>
            <w:tcW w:w="1980" w:type="dxa"/>
          </w:tcPr>
          <w:p w14:paraId="4DCBCF7B" w14:textId="77777777" w:rsidR="00F90106" w:rsidRPr="00ED57BC" w:rsidRDefault="00207ADE" w:rsidP="00F90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$108.27</w:t>
            </w:r>
          </w:p>
        </w:tc>
      </w:tr>
      <w:tr w:rsidR="000B1B1C" w:rsidRPr="00ED57BC" w14:paraId="2F667986" w14:textId="77777777" w:rsidTr="00F056C8">
        <w:trPr>
          <w:trHeight w:val="300"/>
        </w:trPr>
        <w:tc>
          <w:tcPr>
            <w:tcW w:w="2088" w:type="dxa"/>
            <w:vMerge/>
            <w:noWrap/>
            <w:hideMark/>
          </w:tcPr>
          <w:p w14:paraId="1B53AF55"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227" w:type="dxa"/>
            <w:noWrap/>
            <w:hideMark/>
          </w:tcPr>
          <w:p w14:paraId="747A12F0"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b/>
                <w:sz w:val="18"/>
                <w:szCs w:val="18"/>
              </w:rPr>
            </w:pPr>
            <w:r w:rsidRPr="00ED57BC">
              <w:rPr>
                <w:b/>
                <w:sz w:val="18"/>
                <w:szCs w:val="18"/>
              </w:rPr>
              <w:t>TOTAL</w:t>
            </w:r>
          </w:p>
        </w:tc>
        <w:tc>
          <w:tcPr>
            <w:tcW w:w="1350" w:type="dxa"/>
          </w:tcPr>
          <w:p w14:paraId="0A3570D6" w14:textId="77777777" w:rsidR="000B1B1C" w:rsidRPr="00ED57BC" w:rsidRDefault="000B1B1C"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sz w:val="18"/>
                <w:szCs w:val="18"/>
              </w:rPr>
            </w:pPr>
            <w:r w:rsidRPr="00ED57BC">
              <w:rPr>
                <w:b/>
                <w:sz w:val="18"/>
                <w:szCs w:val="18"/>
              </w:rPr>
              <w:t>326,120</w:t>
            </w:r>
          </w:p>
        </w:tc>
        <w:tc>
          <w:tcPr>
            <w:tcW w:w="1440" w:type="dxa"/>
          </w:tcPr>
          <w:p w14:paraId="3F3667BB" w14:textId="77777777" w:rsidR="000B1B1C" w:rsidRPr="00ED57BC" w:rsidRDefault="0039528F"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sz w:val="18"/>
                <w:szCs w:val="18"/>
              </w:rPr>
            </w:pPr>
            <w:r w:rsidRPr="001F38C7">
              <w:rPr>
                <w:b/>
                <w:sz w:val="18"/>
                <w:szCs w:val="18"/>
              </w:rPr>
              <w:t>……</w:t>
            </w:r>
          </w:p>
        </w:tc>
        <w:tc>
          <w:tcPr>
            <w:tcW w:w="1980" w:type="dxa"/>
          </w:tcPr>
          <w:p w14:paraId="25364E4C" w14:textId="77777777" w:rsidR="000B1B1C" w:rsidRDefault="00F056C8" w:rsidP="000B1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sz w:val="18"/>
                <w:szCs w:val="18"/>
              </w:rPr>
            </w:pPr>
            <w:r>
              <w:rPr>
                <w:b/>
                <w:sz w:val="18"/>
                <w:szCs w:val="18"/>
              </w:rPr>
              <w:t>$12,670,213</w:t>
            </w:r>
          </w:p>
        </w:tc>
      </w:tr>
      <w:bookmarkEnd w:id="15"/>
      <w:bookmarkEnd w:id="16"/>
    </w:tbl>
    <w:p w14:paraId="0950E133" w14:textId="77777777" w:rsidR="00306287" w:rsidRPr="001F006B" w:rsidRDefault="00306287" w:rsidP="00494A99">
      <w:pPr>
        <w:widowControl/>
        <w:spacing w:before="120"/>
        <w:rPr>
          <w:sz w:val="24"/>
        </w:rPr>
      </w:pPr>
    </w:p>
    <w:p w14:paraId="7EDC1AFE" w14:textId="77777777" w:rsidR="009B3794" w:rsidRPr="001323AC" w:rsidRDefault="009B3794" w:rsidP="001323AC">
      <w:pPr>
        <w:pStyle w:val="frn"/>
        <w:numPr>
          <w:ilvl w:val="0"/>
          <w:numId w:val="1"/>
        </w:numPr>
        <w:outlineLvl w:val="0"/>
      </w:pPr>
      <w:bookmarkStart w:id="17" w:name="_Toc496878845"/>
      <w:r w:rsidRPr="001323AC">
        <w:t>Estimates of other Total Annual Cost Burden to Respondents or Recordkeepers/Capital Costs</w:t>
      </w:r>
      <w:bookmarkEnd w:id="17"/>
    </w:p>
    <w:p w14:paraId="5D048EB0" w14:textId="77777777" w:rsidR="004A0C71" w:rsidRDefault="004A0C71" w:rsidP="004A0C71">
      <w:pPr>
        <w:pStyle w:val="BodyTextIndent"/>
        <w:spacing w:before="120"/>
        <w:rPr>
          <w:rFonts w:ascii="Times New Roman" w:hAnsi="Times New Roman"/>
          <w:b/>
        </w:rPr>
      </w:pPr>
    </w:p>
    <w:p w14:paraId="12E2DF11" w14:textId="77777777" w:rsidR="004A0C71" w:rsidRPr="00BD6007" w:rsidRDefault="004A0C71" w:rsidP="004A0C71">
      <w:pPr>
        <w:widowControl/>
        <w:rPr>
          <w:color w:val="0000FF"/>
          <w:sz w:val="24"/>
          <w:u w:val="single"/>
        </w:rPr>
      </w:pPr>
      <w:r w:rsidRPr="00EC71B6">
        <w:rPr>
          <w:sz w:val="24"/>
        </w:rPr>
        <w:t xml:space="preserve">There are no capital </w:t>
      </w:r>
      <w:r w:rsidR="007E4FD2">
        <w:rPr>
          <w:sz w:val="24"/>
        </w:rPr>
        <w:t>or</w:t>
      </w:r>
      <w:r w:rsidRPr="00EC71B6">
        <w:rPr>
          <w:sz w:val="24"/>
        </w:rPr>
        <w:t xml:space="preserve"> start-up costs</w:t>
      </w:r>
      <w:r w:rsidR="007E4FD2">
        <w:rPr>
          <w:sz w:val="24"/>
        </w:rPr>
        <w:t>.</w:t>
      </w:r>
    </w:p>
    <w:p w14:paraId="24943C96" w14:textId="77777777" w:rsidR="004A0C71" w:rsidRPr="00EC71B6" w:rsidRDefault="004A0C71" w:rsidP="004A0C71">
      <w:pPr>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65E4FCD0" w14:textId="77777777" w:rsidR="00DE1304" w:rsidRPr="00AA72A3" w:rsidRDefault="004A0C71" w:rsidP="00AA72A3">
      <w:pPr>
        <w:widowControl/>
        <w:autoSpaceDE/>
        <w:autoSpaceDN/>
        <w:adjustRightInd/>
        <w:rPr>
          <w:b/>
          <w:bCs/>
          <w:color w:val="000000"/>
          <w:sz w:val="24"/>
        </w:rPr>
      </w:pPr>
      <w:r w:rsidRPr="00EC71B6">
        <w:rPr>
          <w:i/>
          <w:iCs/>
          <w:sz w:val="24"/>
        </w:rPr>
        <w:t xml:space="preserve">Operation and Maintenance Costs:  </w:t>
      </w:r>
      <w:r w:rsidRPr="00EC71B6">
        <w:rPr>
          <w:sz w:val="24"/>
        </w:rPr>
        <w:t>Since 1990, the NPDB has operated entirely on user fees</w:t>
      </w:r>
      <w:r w:rsidR="00B90797">
        <w:rPr>
          <w:sz w:val="24"/>
        </w:rPr>
        <w:t xml:space="preserve"> and is statutorily required to operate through the collection of fe</w:t>
      </w:r>
      <w:r w:rsidR="003B59C9">
        <w:rPr>
          <w:sz w:val="24"/>
        </w:rPr>
        <w:t>es.  The NPDB does not receive F</w:t>
      </w:r>
      <w:r w:rsidR="00B90797">
        <w:rPr>
          <w:sz w:val="24"/>
        </w:rPr>
        <w:t xml:space="preserve">ederal appropriations.  </w:t>
      </w:r>
      <w:r>
        <w:rPr>
          <w:sz w:val="24"/>
        </w:rPr>
        <w:t xml:space="preserve">Since </w:t>
      </w:r>
      <w:r w:rsidR="000C1771">
        <w:rPr>
          <w:sz w:val="24"/>
        </w:rPr>
        <w:t>October 1, 201</w:t>
      </w:r>
      <w:r>
        <w:rPr>
          <w:sz w:val="24"/>
        </w:rPr>
        <w:t>6, the</w:t>
      </w:r>
      <w:r w:rsidRPr="00EC71B6">
        <w:rPr>
          <w:sz w:val="24"/>
        </w:rPr>
        <w:t xml:space="preserve"> fee </w:t>
      </w:r>
      <w:r w:rsidR="000C1771">
        <w:rPr>
          <w:sz w:val="24"/>
        </w:rPr>
        <w:t>cost of both the one-time query and continuous query is $2</w:t>
      </w:r>
      <w:r w:rsidR="00B90797">
        <w:rPr>
          <w:sz w:val="24"/>
        </w:rPr>
        <w:t>.00</w:t>
      </w:r>
      <w:r w:rsidR="000C1771">
        <w:rPr>
          <w:sz w:val="24"/>
        </w:rPr>
        <w:t>.  The cost of a self-query is $4</w:t>
      </w:r>
      <w:r w:rsidR="00B90797">
        <w:rPr>
          <w:sz w:val="24"/>
        </w:rPr>
        <w:t>.00</w:t>
      </w:r>
      <w:r w:rsidR="000C1771">
        <w:rPr>
          <w:sz w:val="24"/>
        </w:rPr>
        <w:t>.  These</w:t>
      </w:r>
      <w:r w:rsidRPr="00EC71B6">
        <w:rPr>
          <w:sz w:val="24"/>
        </w:rPr>
        <w:t xml:space="preserve"> fee</w:t>
      </w:r>
      <w:r w:rsidR="000C1771">
        <w:rPr>
          <w:sz w:val="24"/>
        </w:rPr>
        <w:t>s were</w:t>
      </w:r>
      <w:r w:rsidRPr="00EC71B6">
        <w:rPr>
          <w:sz w:val="24"/>
        </w:rPr>
        <w:t xml:space="preserve"> published in the Federal Register on </w:t>
      </w:r>
      <w:r w:rsidR="00C50F80">
        <w:rPr>
          <w:sz w:val="24"/>
        </w:rPr>
        <w:t>July</w:t>
      </w:r>
      <w:r w:rsidRPr="00EC71B6">
        <w:rPr>
          <w:sz w:val="24"/>
        </w:rPr>
        <w:t xml:space="preserve"> </w:t>
      </w:r>
      <w:r w:rsidR="00C50F80">
        <w:rPr>
          <w:sz w:val="24"/>
        </w:rPr>
        <w:t>20, 201</w:t>
      </w:r>
      <w:r w:rsidRPr="00EC71B6">
        <w:rPr>
          <w:sz w:val="24"/>
        </w:rPr>
        <w:t>6 (</w:t>
      </w:r>
      <w:r w:rsidR="00C50F80">
        <w:rPr>
          <w:sz w:val="24"/>
        </w:rPr>
        <w:t>81</w:t>
      </w:r>
      <w:r w:rsidRPr="00EC71B6">
        <w:rPr>
          <w:sz w:val="24"/>
        </w:rPr>
        <w:t xml:space="preserve"> FR </w:t>
      </w:r>
      <w:r w:rsidR="00C50F80">
        <w:rPr>
          <w:sz w:val="24"/>
        </w:rPr>
        <w:t>47173</w:t>
      </w:r>
      <w:r w:rsidRPr="00EC71B6">
        <w:rPr>
          <w:sz w:val="24"/>
        </w:rPr>
        <w:t xml:space="preserve">).  </w:t>
      </w:r>
      <w:r w:rsidR="00B0649A" w:rsidRPr="00AA72A3">
        <w:rPr>
          <w:sz w:val="24"/>
        </w:rPr>
        <w:t xml:space="preserve">For fiscal year 2017, the </w:t>
      </w:r>
      <w:r w:rsidR="00DE1304" w:rsidRPr="00AA72A3">
        <w:rPr>
          <w:sz w:val="24"/>
        </w:rPr>
        <w:t>collection fr</w:t>
      </w:r>
      <w:r w:rsidR="00B0649A" w:rsidRPr="00AA72A3">
        <w:rPr>
          <w:sz w:val="24"/>
        </w:rPr>
        <w:t>om query fees was</w:t>
      </w:r>
      <w:r w:rsidR="00DE1304" w:rsidRPr="00AA72A3">
        <w:rPr>
          <w:sz w:val="24"/>
        </w:rPr>
        <w:t xml:space="preserve"> </w:t>
      </w:r>
      <w:r w:rsidR="00372AC3">
        <w:rPr>
          <w:sz w:val="24"/>
        </w:rPr>
        <w:t xml:space="preserve">approximately </w:t>
      </w:r>
      <w:r w:rsidR="00527793" w:rsidRPr="00527793">
        <w:rPr>
          <w:bCs/>
          <w:color w:val="000000"/>
          <w:sz w:val="24"/>
        </w:rPr>
        <w:t>$15.8</w:t>
      </w:r>
      <w:r w:rsidR="00527793">
        <w:rPr>
          <w:b/>
          <w:bCs/>
          <w:color w:val="000000"/>
          <w:sz w:val="24"/>
        </w:rPr>
        <w:t xml:space="preserve"> </w:t>
      </w:r>
      <w:r w:rsidR="00527793" w:rsidRPr="00527793">
        <w:rPr>
          <w:bCs/>
          <w:color w:val="000000"/>
          <w:sz w:val="24"/>
        </w:rPr>
        <w:t>million</w:t>
      </w:r>
      <w:r w:rsidR="00AA72A3" w:rsidRPr="00AA72A3">
        <w:rPr>
          <w:b/>
          <w:bCs/>
          <w:color w:val="000000"/>
          <w:sz w:val="24"/>
        </w:rPr>
        <w:t xml:space="preserve"> </w:t>
      </w:r>
      <w:r w:rsidR="00DE1304" w:rsidRPr="00AA72A3">
        <w:rPr>
          <w:sz w:val="24"/>
        </w:rPr>
        <w:t>shown in Table 4 below.</w:t>
      </w:r>
    </w:p>
    <w:p w14:paraId="1CC3ABDB" w14:textId="77777777" w:rsidR="0039528F" w:rsidRDefault="0039528F" w:rsidP="00B907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A4A071" w14:textId="5238EB01" w:rsidR="00AA72A3" w:rsidRDefault="001853BC" w:rsidP="001853BC">
      <w:pPr>
        <w:widowControl/>
        <w:rPr>
          <w:b/>
          <w:sz w:val="24"/>
        </w:rPr>
      </w:pPr>
      <w:bookmarkStart w:id="18" w:name="Table8QueryVolumeFeeCollection"/>
      <w:r w:rsidRPr="009B2E8B">
        <w:rPr>
          <w:b/>
          <w:sz w:val="24"/>
        </w:rPr>
        <w:t xml:space="preserve">Table </w:t>
      </w:r>
      <w:bookmarkEnd w:id="18"/>
      <w:r>
        <w:rPr>
          <w:b/>
          <w:sz w:val="24"/>
        </w:rPr>
        <w:t>4</w:t>
      </w:r>
      <w:r w:rsidRPr="009B2E8B">
        <w:rPr>
          <w:b/>
          <w:sz w:val="24"/>
        </w:rPr>
        <w:t>:</w:t>
      </w:r>
      <w:r>
        <w:rPr>
          <w:sz w:val="24"/>
        </w:rPr>
        <w:t xml:space="preserve"> </w:t>
      </w:r>
      <w:r w:rsidR="00B0649A">
        <w:rPr>
          <w:b/>
          <w:sz w:val="24"/>
        </w:rPr>
        <w:t xml:space="preserve">Fiscal Year </w:t>
      </w:r>
      <w:r w:rsidR="001D11D2">
        <w:rPr>
          <w:b/>
          <w:sz w:val="24"/>
        </w:rPr>
        <w:t>2017-Estimated</w:t>
      </w:r>
      <w:r w:rsidR="00372AC3">
        <w:rPr>
          <w:b/>
          <w:sz w:val="24"/>
        </w:rPr>
        <w:t xml:space="preserve"> </w:t>
      </w:r>
      <w:r w:rsidR="00B0649A">
        <w:rPr>
          <w:b/>
          <w:sz w:val="24"/>
        </w:rPr>
        <w:t>Q</w:t>
      </w:r>
      <w:r>
        <w:rPr>
          <w:b/>
          <w:sz w:val="24"/>
        </w:rPr>
        <w:t>uery Volume and Fee Collection</w:t>
      </w:r>
    </w:p>
    <w:tbl>
      <w:tblPr>
        <w:tblW w:w="8360" w:type="dxa"/>
        <w:tblInd w:w="-10" w:type="dxa"/>
        <w:tblLook w:val="04A0" w:firstRow="1" w:lastRow="0" w:firstColumn="1" w:lastColumn="0" w:noHBand="0" w:noVBand="1"/>
      </w:tblPr>
      <w:tblGrid>
        <w:gridCol w:w="3180"/>
        <w:gridCol w:w="960"/>
        <w:gridCol w:w="1840"/>
        <w:gridCol w:w="2380"/>
      </w:tblGrid>
      <w:tr w:rsidR="00AA72A3" w:rsidRPr="00AA72A3" w14:paraId="372FE1E7" w14:textId="77777777" w:rsidTr="00AA72A3">
        <w:trPr>
          <w:trHeight w:val="300"/>
        </w:trPr>
        <w:tc>
          <w:tcPr>
            <w:tcW w:w="3180" w:type="dxa"/>
            <w:tcBorders>
              <w:top w:val="single" w:sz="8" w:space="0" w:color="auto"/>
              <w:left w:val="single" w:sz="8" w:space="0" w:color="auto"/>
              <w:bottom w:val="single" w:sz="8" w:space="0" w:color="000000"/>
              <w:right w:val="single" w:sz="8" w:space="0" w:color="auto"/>
            </w:tcBorders>
            <w:shd w:val="clear" w:color="auto" w:fill="BFBFBF" w:themeFill="background1" w:themeFillShade="BF"/>
            <w:noWrap/>
            <w:vAlign w:val="center"/>
          </w:tcPr>
          <w:p w14:paraId="5BABC526" w14:textId="77777777" w:rsidR="00AA72A3" w:rsidRPr="00AA72A3" w:rsidRDefault="00AA72A3" w:rsidP="00AA72A3">
            <w:pPr>
              <w:widowControl/>
              <w:autoSpaceDE/>
              <w:autoSpaceDN/>
              <w:adjustRightInd/>
              <w:rPr>
                <w:b/>
                <w:color w:val="000000"/>
                <w:sz w:val="24"/>
              </w:rPr>
            </w:pPr>
            <w:r w:rsidRPr="00AA72A3">
              <w:rPr>
                <w:b/>
                <w:color w:val="000000"/>
                <w:sz w:val="24"/>
              </w:rPr>
              <w:t>Query Type</w:t>
            </w:r>
          </w:p>
        </w:tc>
        <w:tc>
          <w:tcPr>
            <w:tcW w:w="960" w:type="dxa"/>
            <w:tcBorders>
              <w:top w:val="single" w:sz="8" w:space="0" w:color="auto"/>
              <w:left w:val="single" w:sz="8" w:space="0" w:color="auto"/>
              <w:bottom w:val="single" w:sz="8" w:space="0" w:color="000000"/>
              <w:right w:val="single" w:sz="8" w:space="0" w:color="auto"/>
            </w:tcBorders>
            <w:shd w:val="clear" w:color="auto" w:fill="BFBFBF" w:themeFill="background1" w:themeFillShade="BF"/>
            <w:noWrap/>
            <w:vAlign w:val="center"/>
          </w:tcPr>
          <w:p w14:paraId="67B72230" w14:textId="77777777" w:rsidR="00AA72A3" w:rsidRPr="00AA72A3" w:rsidRDefault="00AA72A3" w:rsidP="00AA72A3">
            <w:pPr>
              <w:widowControl/>
              <w:autoSpaceDE/>
              <w:autoSpaceDN/>
              <w:adjustRightInd/>
              <w:jc w:val="right"/>
              <w:rPr>
                <w:b/>
                <w:color w:val="000000"/>
                <w:sz w:val="24"/>
              </w:rPr>
            </w:pPr>
            <w:r w:rsidRPr="00AA72A3">
              <w:rPr>
                <w:b/>
                <w:color w:val="000000"/>
                <w:sz w:val="24"/>
              </w:rPr>
              <w:t>Fee</w:t>
            </w:r>
          </w:p>
        </w:tc>
        <w:tc>
          <w:tcPr>
            <w:tcW w:w="1840" w:type="dxa"/>
            <w:tcBorders>
              <w:top w:val="single" w:sz="8" w:space="0" w:color="auto"/>
              <w:left w:val="single" w:sz="8" w:space="0" w:color="auto"/>
              <w:bottom w:val="single" w:sz="8" w:space="0" w:color="000000"/>
              <w:right w:val="single" w:sz="8" w:space="0" w:color="auto"/>
            </w:tcBorders>
            <w:shd w:val="clear" w:color="auto" w:fill="BFBFBF" w:themeFill="background1" w:themeFillShade="BF"/>
            <w:noWrap/>
            <w:vAlign w:val="center"/>
          </w:tcPr>
          <w:p w14:paraId="77A76E0A" w14:textId="77777777" w:rsidR="00AA72A3" w:rsidRPr="00AA72A3" w:rsidRDefault="00AA72A3" w:rsidP="00AA72A3">
            <w:pPr>
              <w:widowControl/>
              <w:autoSpaceDE/>
              <w:autoSpaceDN/>
              <w:adjustRightInd/>
              <w:jc w:val="right"/>
              <w:rPr>
                <w:b/>
                <w:color w:val="000000"/>
                <w:sz w:val="24"/>
              </w:rPr>
            </w:pPr>
            <w:r w:rsidRPr="00AA72A3">
              <w:rPr>
                <w:b/>
                <w:color w:val="000000"/>
                <w:sz w:val="24"/>
              </w:rPr>
              <w:t>Query Count</w:t>
            </w:r>
          </w:p>
        </w:tc>
        <w:tc>
          <w:tcPr>
            <w:tcW w:w="2380" w:type="dxa"/>
            <w:tcBorders>
              <w:top w:val="single" w:sz="8" w:space="0" w:color="auto"/>
              <w:left w:val="single" w:sz="8" w:space="0" w:color="auto"/>
              <w:bottom w:val="single" w:sz="8" w:space="0" w:color="000000"/>
              <w:right w:val="single" w:sz="8" w:space="0" w:color="auto"/>
            </w:tcBorders>
            <w:shd w:val="clear" w:color="auto" w:fill="BFBFBF" w:themeFill="background1" w:themeFillShade="BF"/>
            <w:noWrap/>
            <w:vAlign w:val="center"/>
          </w:tcPr>
          <w:p w14:paraId="6D357755" w14:textId="77777777" w:rsidR="00AA72A3" w:rsidRPr="00AA72A3" w:rsidRDefault="00AA72A3" w:rsidP="00AA72A3">
            <w:pPr>
              <w:widowControl/>
              <w:autoSpaceDE/>
              <w:autoSpaceDN/>
              <w:adjustRightInd/>
              <w:jc w:val="right"/>
              <w:rPr>
                <w:b/>
                <w:color w:val="000000"/>
                <w:sz w:val="24"/>
              </w:rPr>
            </w:pPr>
            <w:r w:rsidRPr="00AA72A3">
              <w:rPr>
                <w:b/>
                <w:color w:val="000000"/>
                <w:sz w:val="24"/>
              </w:rPr>
              <w:t>Net Revenue</w:t>
            </w:r>
          </w:p>
        </w:tc>
      </w:tr>
      <w:tr w:rsidR="00AA72A3" w:rsidRPr="00AA72A3" w14:paraId="729D8781" w14:textId="77777777" w:rsidTr="00AA72A3">
        <w:trPr>
          <w:trHeight w:val="300"/>
        </w:trPr>
        <w:tc>
          <w:tcPr>
            <w:tcW w:w="3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2FA35A8" w14:textId="77777777" w:rsidR="00AA72A3" w:rsidRPr="00AA72A3" w:rsidRDefault="00AA72A3" w:rsidP="00AA72A3">
            <w:pPr>
              <w:widowControl/>
              <w:autoSpaceDE/>
              <w:autoSpaceDN/>
              <w:adjustRightInd/>
              <w:rPr>
                <w:color w:val="000000"/>
                <w:sz w:val="24"/>
              </w:rPr>
            </w:pPr>
            <w:r w:rsidRPr="00AA72A3">
              <w:rPr>
                <w:color w:val="000000"/>
                <w:sz w:val="24"/>
              </w:rPr>
              <w:t xml:space="preserve">One-Time Query </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3E94699" w14:textId="77777777" w:rsidR="00AA72A3" w:rsidRPr="00AA72A3" w:rsidRDefault="00AA72A3" w:rsidP="00AA72A3">
            <w:pPr>
              <w:widowControl/>
              <w:autoSpaceDE/>
              <w:autoSpaceDN/>
              <w:adjustRightInd/>
              <w:jc w:val="right"/>
              <w:rPr>
                <w:color w:val="000000"/>
                <w:sz w:val="24"/>
              </w:rPr>
            </w:pPr>
            <w:r w:rsidRPr="00AA72A3">
              <w:rPr>
                <w:color w:val="000000"/>
                <w:sz w:val="24"/>
              </w:rPr>
              <w:t xml:space="preserve">$2.00 </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74629E1" w14:textId="77777777" w:rsidR="00AA72A3" w:rsidRPr="00AA72A3" w:rsidRDefault="00D05543" w:rsidP="00D05543">
            <w:pPr>
              <w:widowControl/>
              <w:autoSpaceDE/>
              <w:autoSpaceDN/>
              <w:adjustRightInd/>
              <w:jc w:val="right"/>
              <w:rPr>
                <w:color w:val="000000"/>
                <w:sz w:val="24"/>
              </w:rPr>
            </w:pPr>
            <w:r>
              <w:rPr>
                <w:color w:val="000000"/>
                <w:sz w:val="24"/>
              </w:rPr>
              <w:t>4,631</w:t>
            </w:r>
            <w:r w:rsidR="00AA72A3" w:rsidRPr="00AA72A3">
              <w:rPr>
                <w:color w:val="000000"/>
                <w:sz w:val="24"/>
              </w:rPr>
              <w:t>,</w:t>
            </w:r>
            <w:r>
              <w:rPr>
                <w:color w:val="000000"/>
                <w:sz w:val="24"/>
              </w:rPr>
              <w:t>000</w:t>
            </w:r>
          </w:p>
        </w:tc>
        <w:tc>
          <w:tcPr>
            <w:tcW w:w="23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9C195D2" w14:textId="77777777" w:rsidR="00AA72A3" w:rsidRPr="00AA72A3" w:rsidRDefault="00AA72A3" w:rsidP="00AA72A3">
            <w:pPr>
              <w:widowControl/>
              <w:autoSpaceDE/>
              <w:autoSpaceDN/>
              <w:adjustRightInd/>
              <w:jc w:val="right"/>
              <w:rPr>
                <w:color w:val="000000"/>
                <w:sz w:val="24"/>
              </w:rPr>
            </w:pPr>
            <w:r w:rsidRPr="00AA72A3">
              <w:rPr>
                <w:color w:val="000000"/>
                <w:sz w:val="24"/>
              </w:rPr>
              <w:t>$</w:t>
            </w:r>
            <w:r w:rsidR="00D05543">
              <w:rPr>
                <w:color w:val="000000"/>
                <w:sz w:val="24"/>
              </w:rPr>
              <w:t>9,262,000</w:t>
            </w:r>
            <w:r w:rsidRPr="00AA72A3">
              <w:rPr>
                <w:color w:val="000000"/>
                <w:sz w:val="24"/>
              </w:rPr>
              <w:t xml:space="preserve"> </w:t>
            </w:r>
          </w:p>
        </w:tc>
      </w:tr>
      <w:tr w:rsidR="00AA72A3" w:rsidRPr="00AA72A3" w14:paraId="2E597D84" w14:textId="77777777" w:rsidTr="00AA72A3">
        <w:trPr>
          <w:trHeight w:val="315"/>
        </w:trPr>
        <w:tc>
          <w:tcPr>
            <w:tcW w:w="3180" w:type="dxa"/>
            <w:vMerge/>
            <w:tcBorders>
              <w:top w:val="single" w:sz="8" w:space="0" w:color="auto"/>
              <w:left w:val="single" w:sz="8" w:space="0" w:color="auto"/>
              <w:bottom w:val="single" w:sz="8" w:space="0" w:color="000000"/>
              <w:right w:val="single" w:sz="8" w:space="0" w:color="auto"/>
            </w:tcBorders>
            <w:vAlign w:val="center"/>
            <w:hideMark/>
          </w:tcPr>
          <w:p w14:paraId="2064677C" w14:textId="77777777" w:rsidR="00AA72A3" w:rsidRPr="00AA72A3" w:rsidRDefault="00AA72A3" w:rsidP="00AA72A3">
            <w:pPr>
              <w:widowControl/>
              <w:autoSpaceDE/>
              <w:autoSpaceDN/>
              <w:adjustRightInd/>
              <w:rPr>
                <w:color w:val="000000"/>
                <w:sz w:val="24"/>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6E2D132" w14:textId="77777777" w:rsidR="00AA72A3" w:rsidRPr="00AA72A3" w:rsidRDefault="00AA72A3" w:rsidP="00AA72A3">
            <w:pPr>
              <w:widowControl/>
              <w:autoSpaceDE/>
              <w:autoSpaceDN/>
              <w:adjustRightInd/>
              <w:rPr>
                <w:color w:val="000000"/>
                <w:sz w:val="24"/>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14:paraId="06803A24" w14:textId="77777777" w:rsidR="00AA72A3" w:rsidRPr="00AA72A3" w:rsidRDefault="00AA72A3" w:rsidP="00AA72A3">
            <w:pPr>
              <w:widowControl/>
              <w:autoSpaceDE/>
              <w:autoSpaceDN/>
              <w:adjustRightInd/>
              <w:rPr>
                <w:color w:val="000000"/>
                <w:sz w:val="24"/>
              </w:rPr>
            </w:pPr>
          </w:p>
        </w:tc>
        <w:tc>
          <w:tcPr>
            <w:tcW w:w="2380" w:type="dxa"/>
            <w:vMerge/>
            <w:tcBorders>
              <w:top w:val="single" w:sz="8" w:space="0" w:color="auto"/>
              <w:left w:val="single" w:sz="8" w:space="0" w:color="auto"/>
              <w:bottom w:val="single" w:sz="8" w:space="0" w:color="000000"/>
              <w:right w:val="single" w:sz="8" w:space="0" w:color="auto"/>
            </w:tcBorders>
            <w:vAlign w:val="center"/>
            <w:hideMark/>
          </w:tcPr>
          <w:p w14:paraId="00433BCB" w14:textId="77777777" w:rsidR="00AA72A3" w:rsidRPr="00AA72A3" w:rsidRDefault="00AA72A3" w:rsidP="00AA72A3">
            <w:pPr>
              <w:widowControl/>
              <w:autoSpaceDE/>
              <w:autoSpaceDN/>
              <w:adjustRightInd/>
              <w:rPr>
                <w:color w:val="000000"/>
                <w:sz w:val="24"/>
              </w:rPr>
            </w:pPr>
          </w:p>
        </w:tc>
      </w:tr>
      <w:tr w:rsidR="00AA72A3" w:rsidRPr="00AA72A3" w14:paraId="169C7193" w14:textId="77777777" w:rsidTr="00AA72A3">
        <w:trPr>
          <w:trHeight w:val="300"/>
        </w:trPr>
        <w:tc>
          <w:tcPr>
            <w:tcW w:w="31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A30EF38" w14:textId="77777777" w:rsidR="00AA72A3" w:rsidRPr="00AA72A3" w:rsidRDefault="00AA72A3" w:rsidP="00AA72A3">
            <w:pPr>
              <w:widowControl/>
              <w:autoSpaceDE/>
              <w:autoSpaceDN/>
              <w:adjustRightInd/>
              <w:rPr>
                <w:color w:val="000000"/>
                <w:sz w:val="24"/>
              </w:rPr>
            </w:pPr>
            <w:r w:rsidRPr="00AA72A3">
              <w:rPr>
                <w:color w:val="000000"/>
                <w:sz w:val="24"/>
              </w:rPr>
              <w:t xml:space="preserve">Continuous Query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561D66" w14:textId="77777777" w:rsidR="00AA72A3" w:rsidRPr="00AA72A3" w:rsidRDefault="00AA72A3" w:rsidP="00AA72A3">
            <w:pPr>
              <w:widowControl/>
              <w:autoSpaceDE/>
              <w:autoSpaceDN/>
              <w:adjustRightInd/>
              <w:jc w:val="right"/>
              <w:rPr>
                <w:color w:val="000000"/>
                <w:sz w:val="24"/>
              </w:rPr>
            </w:pPr>
            <w:r w:rsidRPr="00AA72A3">
              <w:rPr>
                <w:color w:val="000000"/>
                <w:sz w:val="24"/>
              </w:rPr>
              <w:t xml:space="preserve">$2.00 </w:t>
            </w:r>
          </w:p>
        </w:tc>
        <w:tc>
          <w:tcPr>
            <w:tcW w:w="18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B294AB" w14:textId="77777777" w:rsidR="00AA72A3" w:rsidRPr="00AA72A3" w:rsidRDefault="00D05543" w:rsidP="00D05543">
            <w:pPr>
              <w:widowControl/>
              <w:autoSpaceDE/>
              <w:autoSpaceDN/>
              <w:adjustRightInd/>
              <w:jc w:val="right"/>
              <w:rPr>
                <w:color w:val="000000"/>
                <w:sz w:val="24"/>
              </w:rPr>
            </w:pPr>
            <w:r>
              <w:rPr>
                <w:color w:val="000000"/>
                <w:sz w:val="24"/>
              </w:rPr>
              <w:t>2,702</w:t>
            </w:r>
            <w:r w:rsidR="00AA72A3" w:rsidRPr="00AA72A3">
              <w:rPr>
                <w:color w:val="000000"/>
                <w:sz w:val="24"/>
              </w:rPr>
              <w:t>,</w:t>
            </w:r>
            <w:r>
              <w:rPr>
                <w:color w:val="000000"/>
                <w:sz w:val="24"/>
              </w:rPr>
              <w:t>000</w:t>
            </w:r>
          </w:p>
        </w:tc>
        <w:tc>
          <w:tcPr>
            <w:tcW w:w="23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9FE29F5" w14:textId="77777777" w:rsidR="00AA72A3" w:rsidRPr="00AA72A3" w:rsidRDefault="00D05543" w:rsidP="00D05543">
            <w:pPr>
              <w:widowControl/>
              <w:autoSpaceDE/>
              <w:autoSpaceDN/>
              <w:adjustRightInd/>
              <w:jc w:val="right"/>
              <w:rPr>
                <w:color w:val="000000"/>
                <w:sz w:val="24"/>
              </w:rPr>
            </w:pPr>
            <w:r>
              <w:rPr>
                <w:color w:val="000000"/>
                <w:sz w:val="24"/>
              </w:rPr>
              <w:t>$5,404</w:t>
            </w:r>
            <w:r w:rsidR="00AA72A3" w:rsidRPr="00AA72A3">
              <w:rPr>
                <w:color w:val="000000"/>
                <w:sz w:val="24"/>
              </w:rPr>
              <w:t>,</w:t>
            </w:r>
            <w:r>
              <w:rPr>
                <w:color w:val="000000"/>
                <w:sz w:val="24"/>
              </w:rPr>
              <w:t>000</w:t>
            </w:r>
            <w:r w:rsidR="00AA72A3" w:rsidRPr="00AA72A3">
              <w:rPr>
                <w:color w:val="000000"/>
                <w:sz w:val="24"/>
              </w:rPr>
              <w:t xml:space="preserve"> </w:t>
            </w:r>
          </w:p>
        </w:tc>
      </w:tr>
      <w:tr w:rsidR="00AA72A3" w:rsidRPr="00AA72A3" w14:paraId="04CAC84F" w14:textId="77777777" w:rsidTr="00AA72A3">
        <w:trPr>
          <w:trHeight w:val="315"/>
        </w:trPr>
        <w:tc>
          <w:tcPr>
            <w:tcW w:w="3180" w:type="dxa"/>
            <w:vMerge/>
            <w:tcBorders>
              <w:top w:val="nil"/>
              <w:left w:val="single" w:sz="8" w:space="0" w:color="auto"/>
              <w:bottom w:val="single" w:sz="8" w:space="0" w:color="000000"/>
              <w:right w:val="single" w:sz="8" w:space="0" w:color="auto"/>
            </w:tcBorders>
            <w:vAlign w:val="center"/>
            <w:hideMark/>
          </w:tcPr>
          <w:p w14:paraId="0ABDD884" w14:textId="77777777" w:rsidR="00AA72A3" w:rsidRPr="00AA72A3" w:rsidRDefault="00AA72A3" w:rsidP="00AA72A3">
            <w:pPr>
              <w:widowControl/>
              <w:autoSpaceDE/>
              <w:autoSpaceDN/>
              <w:adjustRightInd/>
              <w:rPr>
                <w:color w:val="000000"/>
                <w:sz w:val="24"/>
              </w:rPr>
            </w:pPr>
          </w:p>
        </w:tc>
        <w:tc>
          <w:tcPr>
            <w:tcW w:w="960" w:type="dxa"/>
            <w:vMerge/>
            <w:tcBorders>
              <w:top w:val="nil"/>
              <w:left w:val="single" w:sz="8" w:space="0" w:color="auto"/>
              <w:bottom w:val="single" w:sz="8" w:space="0" w:color="000000"/>
              <w:right w:val="single" w:sz="8" w:space="0" w:color="auto"/>
            </w:tcBorders>
            <w:vAlign w:val="center"/>
            <w:hideMark/>
          </w:tcPr>
          <w:p w14:paraId="3027F7B3" w14:textId="77777777" w:rsidR="00AA72A3" w:rsidRPr="00AA72A3" w:rsidRDefault="00AA72A3" w:rsidP="00AA72A3">
            <w:pPr>
              <w:widowControl/>
              <w:autoSpaceDE/>
              <w:autoSpaceDN/>
              <w:adjustRightInd/>
              <w:rPr>
                <w:color w:val="000000"/>
                <w:sz w:val="24"/>
              </w:rPr>
            </w:pPr>
          </w:p>
        </w:tc>
        <w:tc>
          <w:tcPr>
            <w:tcW w:w="1840" w:type="dxa"/>
            <w:vMerge/>
            <w:tcBorders>
              <w:top w:val="nil"/>
              <w:left w:val="single" w:sz="8" w:space="0" w:color="auto"/>
              <w:bottom w:val="single" w:sz="8" w:space="0" w:color="000000"/>
              <w:right w:val="single" w:sz="8" w:space="0" w:color="auto"/>
            </w:tcBorders>
            <w:vAlign w:val="center"/>
            <w:hideMark/>
          </w:tcPr>
          <w:p w14:paraId="08566D44" w14:textId="77777777" w:rsidR="00AA72A3" w:rsidRPr="00AA72A3" w:rsidRDefault="00AA72A3" w:rsidP="00AA72A3">
            <w:pPr>
              <w:widowControl/>
              <w:autoSpaceDE/>
              <w:autoSpaceDN/>
              <w:adjustRightInd/>
              <w:rPr>
                <w:color w:val="000000"/>
                <w:sz w:val="24"/>
              </w:rPr>
            </w:pPr>
          </w:p>
        </w:tc>
        <w:tc>
          <w:tcPr>
            <w:tcW w:w="2380" w:type="dxa"/>
            <w:vMerge/>
            <w:tcBorders>
              <w:top w:val="nil"/>
              <w:left w:val="single" w:sz="8" w:space="0" w:color="auto"/>
              <w:bottom w:val="single" w:sz="8" w:space="0" w:color="000000"/>
              <w:right w:val="single" w:sz="8" w:space="0" w:color="auto"/>
            </w:tcBorders>
            <w:vAlign w:val="center"/>
            <w:hideMark/>
          </w:tcPr>
          <w:p w14:paraId="76AA7801" w14:textId="77777777" w:rsidR="00AA72A3" w:rsidRPr="00AA72A3" w:rsidRDefault="00AA72A3" w:rsidP="00AA72A3">
            <w:pPr>
              <w:widowControl/>
              <w:autoSpaceDE/>
              <w:autoSpaceDN/>
              <w:adjustRightInd/>
              <w:rPr>
                <w:color w:val="000000"/>
                <w:sz w:val="24"/>
              </w:rPr>
            </w:pPr>
          </w:p>
        </w:tc>
      </w:tr>
      <w:tr w:rsidR="00AA72A3" w:rsidRPr="00AA72A3" w14:paraId="531DAE73" w14:textId="77777777" w:rsidTr="00AA72A3">
        <w:trPr>
          <w:trHeight w:val="300"/>
        </w:trPr>
        <w:tc>
          <w:tcPr>
            <w:tcW w:w="31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73419C" w14:textId="77777777" w:rsidR="00AA72A3" w:rsidRPr="00AA72A3" w:rsidRDefault="00AA72A3" w:rsidP="00AA72A3">
            <w:pPr>
              <w:widowControl/>
              <w:autoSpaceDE/>
              <w:autoSpaceDN/>
              <w:adjustRightInd/>
              <w:rPr>
                <w:color w:val="000000"/>
                <w:sz w:val="24"/>
              </w:rPr>
            </w:pPr>
            <w:r w:rsidRPr="00AA72A3">
              <w:rPr>
                <w:color w:val="000000"/>
                <w:sz w:val="24"/>
              </w:rPr>
              <w:t xml:space="preserve">Self-Query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A8DF61" w14:textId="77777777" w:rsidR="00AA72A3" w:rsidRPr="00AA72A3" w:rsidRDefault="00AA72A3" w:rsidP="00AA72A3">
            <w:pPr>
              <w:widowControl/>
              <w:autoSpaceDE/>
              <w:autoSpaceDN/>
              <w:adjustRightInd/>
              <w:jc w:val="right"/>
              <w:rPr>
                <w:color w:val="000000"/>
                <w:sz w:val="24"/>
              </w:rPr>
            </w:pPr>
            <w:r w:rsidRPr="00AA72A3">
              <w:rPr>
                <w:color w:val="000000"/>
                <w:sz w:val="24"/>
              </w:rPr>
              <w:t xml:space="preserve">$4.00 </w:t>
            </w:r>
          </w:p>
        </w:tc>
        <w:tc>
          <w:tcPr>
            <w:tcW w:w="18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8E60AF" w14:textId="77777777" w:rsidR="00AA72A3" w:rsidRPr="00AA72A3" w:rsidRDefault="00D05543" w:rsidP="00D05543">
            <w:pPr>
              <w:widowControl/>
              <w:autoSpaceDE/>
              <w:autoSpaceDN/>
              <w:adjustRightInd/>
              <w:jc w:val="right"/>
              <w:rPr>
                <w:color w:val="000000"/>
                <w:sz w:val="24"/>
              </w:rPr>
            </w:pPr>
            <w:r>
              <w:rPr>
                <w:color w:val="000000"/>
                <w:sz w:val="24"/>
              </w:rPr>
              <w:t>156</w:t>
            </w:r>
            <w:r w:rsidR="00AA72A3" w:rsidRPr="00AA72A3">
              <w:rPr>
                <w:color w:val="000000"/>
                <w:sz w:val="24"/>
              </w:rPr>
              <w:t>,</w:t>
            </w:r>
            <w:r>
              <w:rPr>
                <w:color w:val="000000"/>
                <w:sz w:val="24"/>
              </w:rPr>
              <w:t xml:space="preserve">000 </w:t>
            </w:r>
          </w:p>
        </w:tc>
        <w:tc>
          <w:tcPr>
            <w:tcW w:w="23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01FE840" w14:textId="77777777" w:rsidR="00AA72A3" w:rsidRPr="00AA72A3" w:rsidRDefault="00AA72A3" w:rsidP="00AA72A3">
            <w:pPr>
              <w:widowControl/>
              <w:autoSpaceDE/>
              <w:autoSpaceDN/>
              <w:adjustRightInd/>
              <w:jc w:val="right"/>
              <w:rPr>
                <w:color w:val="000000"/>
                <w:sz w:val="24"/>
              </w:rPr>
            </w:pPr>
            <w:r w:rsidRPr="00AA72A3">
              <w:rPr>
                <w:color w:val="000000"/>
                <w:sz w:val="24"/>
              </w:rPr>
              <w:t>$</w:t>
            </w:r>
            <w:r w:rsidR="00D05543">
              <w:rPr>
                <w:color w:val="000000"/>
                <w:sz w:val="24"/>
              </w:rPr>
              <w:t>624,0</w:t>
            </w:r>
            <w:r w:rsidRPr="00AA72A3">
              <w:rPr>
                <w:color w:val="000000"/>
                <w:sz w:val="24"/>
              </w:rPr>
              <w:t xml:space="preserve">00 </w:t>
            </w:r>
          </w:p>
        </w:tc>
      </w:tr>
      <w:tr w:rsidR="00AA72A3" w:rsidRPr="00AA72A3" w14:paraId="1FB616A9" w14:textId="77777777" w:rsidTr="00AA72A3">
        <w:trPr>
          <w:trHeight w:val="315"/>
        </w:trPr>
        <w:tc>
          <w:tcPr>
            <w:tcW w:w="3180" w:type="dxa"/>
            <w:vMerge/>
            <w:tcBorders>
              <w:top w:val="nil"/>
              <w:left w:val="single" w:sz="8" w:space="0" w:color="auto"/>
              <w:bottom w:val="single" w:sz="4" w:space="0" w:color="auto"/>
              <w:right w:val="single" w:sz="8" w:space="0" w:color="auto"/>
            </w:tcBorders>
            <w:vAlign w:val="center"/>
            <w:hideMark/>
          </w:tcPr>
          <w:p w14:paraId="34BA4B65" w14:textId="77777777" w:rsidR="00AA72A3" w:rsidRPr="00AA72A3" w:rsidRDefault="00AA72A3" w:rsidP="00AA72A3">
            <w:pPr>
              <w:widowControl/>
              <w:autoSpaceDE/>
              <w:autoSpaceDN/>
              <w:adjustRightInd/>
              <w:rPr>
                <w:color w:val="000000"/>
                <w:sz w:val="24"/>
              </w:rPr>
            </w:pPr>
          </w:p>
        </w:tc>
        <w:tc>
          <w:tcPr>
            <w:tcW w:w="960" w:type="dxa"/>
            <w:vMerge/>
            <w:tcBorders>
              <w:top w:val="nil"/>
              <w:left w:val="single" w:sz="8" w:space="0" w:color="auto"/>
              <w:bottom w:val="single" w:sz="4" w:space="0" w:color="auto"/>
              <w:right w:val="single" w:sz="8" w:space="0" w:color="auto"/>
            </w:tcBorders>
            <w:vAlign w:val="center"/>
            <w:hideMark/>
          </w:tcPr>
          <w:p w14:paraId="69EB1E75" w14:textId="77777777" w:rsidR="00AA72A3" w:rsidRPr="00AA72A3" w:rsidRDefault="00AA72A3" w:rsidP="00AA72A3">
            <w:pPr>
              <w:widowControl/>
              <w:autoSpaceDE/>
              <w:autoSpaceDN/>
              <w:adjustRightInd/>
              <w:rPr>
                <w:color w:val="000000"/>
                <w:sz w:val="24"/>
              </w:rPr>
            </w:pPr>
          </w:p>
        </w:tc>
        <w:tc>
          <w:tcPr>
            <w:tcW w:w="1840" w:type="dxa"/>
            <w:vMerge/>
            <w:tcBorders>
              <w:top w:val="nil"/>
              <w:left w:val="single" w:sz="8" w:space="0" w:color="auto"/>
              <w:bottom w:val="single" w:sz="4" w:space="0" w:color="auto"/>
              <w:right w:val="single" w:sz="8" w:space="0" w:color="auto"/>
            </w:tcBorders>
            <w:vAlign w:val="center"/>
            <w:hideMark/>
          </w:tcPr>
          <w:p w14:paraId="7BFC5441" w14:textId="77777777" w:rsidR="00AA72A3" w:rsidRPr="00AA72A3" w:rsidRDefault="00AA72A3" w:rsidP="00AA72A3">
            <w:pPr>
              <w:widowControl/>
              <w:autoSpaceDE/>
              <w:autoSpaceDN/>
              <w:adjustRightInd/>
              <w:rPr>
                <w:color w:val="000000"/>
                <w:sz w:val="24"/>
              </w:rPr>
            </w:pPr>
          </w:p>
        </w:tc>
        <w:tc>
          <w:tcPr>
            <w:tcW w:w="2380" w:type="dxa"/>
            <w:vMerge/>
            <w:tcBorders>
              <w:top w:val="nil"/>
              <w:left w:val="single" w:sz="8" w:space="0" w:color="auto"/>
              <w:bottom w:val="single" w:sz="4" w:space="0" w:color="auto"/>
              <w:right w:val="single" w:sz="8" w:space="0" w:color="auto"/>
            </w:tcBorders>
            <w:vAlign w:val="center"/>
            <w:hideMark/>
          </w:tcPr>
          <w:p w14:paraId="1A393515" w14:textId="77777777" w:rsidR="00AA72A3" w:rsidRPr="00AA72A3" w:rsidRDefault="00AA72A3" w:rsidP="00AA72A3">
            <w:pPr>
              <w:widowControl/>
              <w:autoSpaceDE/>
              <w:autoSpaceDN/>
              <w:adjustRightInd/>
              <w:rPr>
                <w:color w:val="000000"/>
                <w:sz w:val="24"/>
              </w:rPr>
            </w:pPr>
          </w:p>
        </w:tc>
      </w:tr>
      <w:tr w:rsidR="00495585" w:rsidRPr="00AA72A3" w14:paraId="0B17EE4F" w14:textId="77777777" w:rsidTr="00372AC3">
        <w:trPr>
          <w:trHeight w:val="575"/>
        </w:trPr>
        <w:tc>
          <w:tcPr>
            <w:tcW w:w="3180" w:type="dxa"/>
            <w:tcBorders>
              <w:top w:val="nil"/>
              <w:left w:val="single" w:sz="8" w:space="0" w:color="auto"/>
              <w:bottom w:val="single" w:sz="8" w:space="0" w:color="000000"/>
              <w:right w:val="single" w:sz="8" w:space="0" w:color="auto"/>
            </w:tcBorders>
            <w:shd w:val="clear" w:color="auto" w:fill="auto"/>
            <w:noWrap/>
            <w:vAlign w:val="center"/>
          </w:tcPr>
          <w:p w14:paraId="2790156E" w14:textId="77777777" w:rsidR="00495585" w:rsidRPr="00495585" w:rsidRDefault="00495585" w:rsidP="00495585">
            <w:pPr>
              <w:widowControl/>
              <w:autoSpaceDE/>
              <w:autoSpaceDN/>
              <w:adjustRightInd/>
              <w:rPr>
                <w:bCs/>
                <w:color w:val="000000"/>
                <w:sz w:val="24"/>
              </w:rPr>
            </w:pPr>
            <w:r>
              <w:rPr>
                <w:color w:val="000000"/>
                <w:sz w:val="24"/>
              </w:rPr>
              <w:t>Query Credit Purchase</w:t>
            </w:r>
            <w:r w:rsidRPr="00AA72A3">
              <w:rPr>
                <w:color w:val="000000"/>
                <w:sz w:val="24"/>
              </w:rPr>
              <w:t xml:space="preserve"> </w:t>
            </w:r>
          </w:p>
        </w:tc>
        <w:tc>
          <w:tcPr>
            <w:tcW w:w="960" w:type="dxa"/>
            <w:tcBorders>
              <w:top w:val="nil"/>
              <w:left w:val="single" w:sz="8" w:space="0" w:color="auto"/>
              <w:bottom w:val="single" w:sz="8" w:space="0" w:color="000000"/>
              <w:right w:val="single" w:sz="8" w:space="0" w:color="auto"/>
            </w:tcBorders>
            <w:shd w:val="clear" w:color="auto" w:fill="auto"/>
            <w:noWrap/>
            <w:vAlign w:val="center"/>
          </w:tcPr>
          <w:p w14:paraId="5D92F41A" w14:textId="77777777" w:rsidR="00495585" w:rsidRPr="00AA72A3" w:rsidRDefault="00495585" w:rsidP="00495585">
            <w:pPr>
              <w:widowControl/>
              <w:autoSpaceDE/>
              <w:autoSpaceDN/>
              <w:adjustRightInd/>
              <w:rPr>
                <w:b/>
                <w:bCs/>
                <w:color w:val="000000"/>
                <w:sz w:val="24"/>
              </w:rPr>
            </w:pPr>
            <w:r>
              <w:rPr>
                <w:color w:val="000000"/>
                <w:sz w:val="24"/>
              </w:rPr>
              <w:t xml:space="preserve">   </w:t>
            </w:r>
            <w:r w:rsidRPr="00AA72A3">
              <w:rPr>
                <w:color w:val="000000"/>
                <w:sz w:val="24"/>
              </w:rPr>
              <w:t>$</w:t>
            </w:r>
            <w:r>
              <w:rPr>
                <w:color w:val="000000"/>
                <w:sz w:val="24"/>
              </w:rPr>
              <w:t>2</w:t>
            </w:r>
            <w:r w:rsidRPr="00AA72A3">
              <w:rPr>
                <w:color w:val="000000"/>
                <w:sz w:val="24"/>
              </w:rPr>
              <w:t xml:space="preserve">.00 </w:t>
            </w:r>
          </w:p>
        </w:tc>
        <w:tc>
          <w:tcPr>
            <w:tcW w:w="1840" w:type="dxa"/>
            <w:tcBorders>
              <w:top w:val="nil"/>
              <w:left w:val="single" w:sz="8" w:space="0" w:color="auto"/>
              <w:bottom w:val="single" w:sz="8" w:space="0" w:color="000000"/>
              <w:right w:val="single" w:sz="8" w:space="0" w:color="auto"/>
            </w:tcBorders>
            <w:shd w:val="clear" w:color="auto" w:fill="auto"/>
            <w:noWrap/>
            <w:vAlign w:val="center"/>
          </w:tcPr>
          <w:p w14:paraId="69AB6CCC" w14:textId="77777777" w:rsidR="00495585" w:rsidRPr="00AA72A3" w:rsidRDefault="000244A9" w:rsidP="00495585">
            <w:pPr>
              <w:widowControl/>
              <w:autoSpaceDE/>
              <w:autoSpaceDN/>
              <w:adjustRightInd/>
              <w:ind w:left="720"/>
              <w:rPr>
                <w:szCs w:val="20"/>
              </w:rPr>
            </w:pPr>
            <w:r>
              <w:rPr>
                <w:color w:val="000000"/>
                <w:sz w:val="24"/>
              </w:rPr>
              <w:t xml:space="preserve">  </w:t>
            </w:r>
            <w:r w:rsidR="00D05543">
              <w:rPr>
                <w:color w:val="000000"/>
                <w:sz w:val="24"/>
              </w:rPr>
              <w:t>283,50</w:t>
            </w:r>
            <w:r w:rsidR="00495585">
              <w:rPr>
                <w:color w:val="000000"/>
                <w:sz w:val="24"/>
              </w:rPr>
              <w:t>0</w:t>
            </w:r>
          </w:p>
        </w:tc>
        <w:tc>
          <w:tcPr>
            <w:tcW w:w="2380" w:type="dxa"/>
            <w:tcBorders>
              <w:top w:val="nil"/>
              <w:left w:val="single" w:sz="8" w:space="0" w:color="auto"/>
              <w:bottom w:val="single" w:sz="8" w:space="0" w:color="000000"/>
              <w:right w:val="single" w:sz="8" w:space="0" w:color="auto"/>
            </w:tcBorders>
            <w:shd w:val="clear" w:color="auto" w:fill="auto"/>
            <w:noWrap/>
            <w:vAlign w:val="center"/>
          </w:tcPr>
          <w:p w14:paraId="7079C8C4" w14:textId="77777777" w:rsidR="00495585" w:rsidRPr="00AA72A3" w:rsidRDefault="00D05543" w:rsidP="00495585">
            <w:pPr>
              <w:widowControl/>
              <w:autoSpaceDE/>
              <w:autoSpaceDN/>
              <w:adjustRightInd/>
              <w:jc w:val="right"/>
              <w:rPr>
                <w:b/>
                <w:bCs/>
                <w:color w:val="000000"/>
                <w:sz w:val="24"/>
              </w:rPr>
            </w:pPr>
            <w:r>
              <w:rPr>
                <w:color w:val="000000"/>
                <w:sz w:val="24"/>
              </w:rPr>
              <w:t>$567,0</w:t>
            </w:r>
            <w:r w:rsidR="00495585" w:rsidRPr="00AA72A3">
              <w:rPr>
                <w:color w:val="000000"/>
                <w:sz w:val="24"/>
              </w:rPr>
              <w:t xml:space="preserve">00 </w:t>
            </w:r>
          </w:p>
        </w:tc>
      </w:tr>
      <w:tr w:rsidR="00AA72A3" w:rsidRPr="00AA72A3" w14:paraId="7AE9A2A0" w14:textId="77777777" w:rsidTr="00AA72A3">
        <w:trPr>
          <w:trHeight w:val="315"/>
        </w:trPr>
        <w:tc>
          <w:tcPr>
            <w:tcW w:w="3180" w:type="dxa"/>
            <w:tcBorders>
              <w:top w:val="single" w:sz="4" w:space="0" w:color="auto"/>
              <w:left w:val="single" w:sz="4" w:space="0" w:color="auto"/>
              <w:bottom w:val="single" w:sz="4" w:space="0" w:color="auto"/>
              <w:right w:val="nil"/>
            </w:tcBorders>
            <w:shd w:val="clear" w:color="auto" w:fill="auto"/>
            <w:noWrap/>
            <w:vAlign w:val="bottom"/>
            <w:hideMark/>
          </w:tcPr>
          <w:p w14:paraId="301DFDC7" w14:textId="77777777" w:rsidR="00AA72A3" w:rsidRPr="00AA72A3" w:rsidRDefault="00372AC3" w:rsidP="00372AC3">
            <w:pPr>
              <w:widowControl/>
              <w:autoSpaceDE/>
              <w:autoSpaceDN/>
              <w:adjustRightInd/>
              <w:rPr>
                <w:b/>
                <w:bCs/>
                <w:color w:val="000000"/>
                <w:sz w:val="24"/>
              </w:rPr>
            </w:pPr>
            <w:r>
              <w:rPr>
                <w:b/>
                <w:bCs/>
                <w:color w:val="000000"/>
                <w:sz w:val="24"/>
              </w:rPr>
              <w:t>Estimated</w:t>
            </w:r>
            <w:r w:rsidRPr="00AA72A3">
              <w:rPr>
                <w:b/>
                <w:bCs/>
                <w:color w:val="000000"/>
                <w:sz w:val="24"/>
              </w:rPr>
              <w:t xml:space="preserve"> </w:t>
            </w:r>
            <w:r w:rsidR="00AA72A3" w:rsidRPr="00AA72A3">
              <w:rPr>
                <w:b/>
                <w:bCs/>
                <w:color w:val="000000"/>
                <w:sz w:val="24"/>
              </w:rPr>
              <w:t>Total</w:t>
            </w:r>
            <w:r>
              <w:rPr>
                <w:b/>
                <w:bCs/>
                <w:color w:val="000000"/>
                <w:sz w:val="24"/>
              </w:rPr>
              <w:t xml:space="preserve"> </w:t>
            </w:r>
          </w:p>
        </w:tc>
        <w:tc>
          <w:tcPr>
            <w:tcW w:w="960" w:type="dxa"/>
            <w:tcBorders>
              <w:top w:val="single" w:sz="4" w:space="0" w:color="auto"/>
              <w:left w:val="nil"/>
              <w:bottom w:val="single" w:sz="4" w:space="0" w:color="auto"/>
              <w:right w:val="nil"/>
            </w:tcBorders>
            <w:shd w:val="clear" w:color="auto" w:fill="auto"/>
            <w:noWrap/>
            <w:vAlign w:val="bottom"/>
            <w:hideMark/>
          </w:tcPr>
          <w:p w14:paraId="099D9429" w14:textId="77777777" w:rsidR="00AA72A3" w:rsidRPr="00AA72A3" w:rsidRDefault="00AA72A3" w:rsidP="00AA72A3">
            <w:pPr>
              <w:widowControl/>
              <w:autoSpaceDE/>
              <w:autoSpaceDN/>
              <w:adjustRightInd/>
              <w:rPr>
                <w:b/>
                <w:bCs/>
                <w:color w:val="000000"/>
                <w:sz w:val="24"/>
              </w:rPr>
            </w:pPr>
          </w:p>
        </w:tc>
        <w:tc>
          <w:tcPr>
            <w:tcW w:w="1840" w:type="dxa"/>
            <w:tcBorders>
              <w:top w:val="single" w:sz="4" w:space="0" w:color="auto"/>
              <w:left w:val="nil"/>
              <w:bottom w:val="single" w:sz="4" w:space="0" w:color="auto"/>
              <w:right w:val="nil"/>
            </w:tcBorders>
            <w:shd w:val="clear" w:color="auto" w:fill="auto"/>
            <w:noWrap/>
            <w:vAlign w:val="bottom"/>
            <w:hideMark/>
          </w:tcPr>
          <w:p w14:paraId="7D49ACB4" w14:textId="77777777" w:rsidR="00AA72A3" w:rsidRPr="00AA72A3" w:rsidRDefault="00AA72A3" w:rsidP="00AA72A3">
            <w:pPr>
              <w:widowControl/>
              <w:autoSpaceDE/>
              <w:autoSpaceDN/>
              <w:adjustRightInd/>
              <w:rPr>
                <w:szCs w:val="20"/>
              </w:rPr>
            </w:pP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0E735DFE" w14:textId="77777777" w:rsidR="00AA72A3" w:rsidRPr="00AA72A3" w:rsidRDefault="00CB173C" w:rsidP="00AA72A3">
            <w:pPr>
              <w:widowControl/>
              <w:autoSpaceDE/>
              <w:autoSpaceDN/>
              <w:adjustRightInd/>
              <w:jc w:val="right"/>
              <w:rPr>
                <w:b/>
                <w:bCs/>
                <w:color w:val="000000"/>
                <w:sz w:val="24"/>
              </w:rPr>
            </w:pPr>
            <w:r>
              <w:rPr>
                <w:b/>
                <w:bCs/>
                <w:color w:val="000000"/>
                <w:sz w:val="24"/>
              </w:rPr>
              <w:t>$15,857,0</w:t>
            </w:r>
            <w:r w:rsidR="00AA72A3" w:rsidRPr="00AA72A3">
              <w:rPr>
                <w:b/>
                <w:bCs/>
                <w:color w:val="000000"/>
                <w:sz w:val="24"/>
              </w:rPr>
              <w:t xml:space="preserve">00 </w:t>
            </w:r>
          </w:p>
        </w:tc>
      </w:tr>
    </w:tbl>
    <w:p w14:paraId="7010CDA8" w14:textId="77777777" w:rsidR="00AA72A3" w:rsidRDefault="00AA72A3" w:rsidP="00AA72A3">
      <w:pPr>
        <w:widowControl/>
        <w:rPr>
          <w:b/>
          <w:sz w:val="24"/>
          <w:u w:val="single"/>
        </w:rPr>
      </w:pPr>
    </w:p>
    <w:p w14:paraId="4FAE97D9" w14:textId="77777777" w:rsidR="009B3794" w:rsidRPr="001323AC" w:rsidRDefault="009B3794" w:rsidP="001323AC">
      <w:pPr>
        <w:pStyle w:val="frn"/>
        <w:numPr>
          <w:ilvl w:val="0"/>
          <w:numId w:val="1"/>
        </w:numPr>
        <w:outlineLvl w:val="0"/>
      </w:pPr>
      <w:bookmarkStart w:id="19" w:name="_Toc496878846"/>
      <w:r w:rsidRPr="001323AC">
        <w:t>Annualized Cost to Federal Government</w:t>
      </w:r>
      <w:bookmarkEnd w:id="19"/>
    </w:p>
    <w:p w14:paraId="7804365F" w14:textId="77777777" w:rsidR="002E1522" w:rsidRDefault="002E1522" w:rsidP="002E1522">
      <w:pPr>
        <w:pStyle w:val="BodyTextIndent"/>
        <w:spacing w:before="120"/>
        <w:ind w:left="360"/>
        <w:rPr>
          <w:rFonts w:ascii="Times New Roman" w:hAnsi="Times New Roman"/>
        </w:rPr>
      </w:pPr>
    </w:p>
    <w:p w14:paraId="54A6D2D8" w14:textId="77777777" w:rsidR="002E1522" w:rsidRPr="002E1522" w:rsidRDefault="003B59C9" w:rsidP="002E1522">
      <w:pPr>
        <w:rPr>
          <w:color w:val="000000"/>
          <w:sz w:val="24"/>
        </w:rPr>
      </w:pPr>
      <w:r>
        <w:rPr>
          <w:color w:val="000000"/>
          <w:sz w:val="24"/>
        </w:rPr>
        <w:t>The annual cost to the F</w:t>
      </w:r>
      <w:r w:rsidR="002E1522" w:rsidRPr="00903ADE">
        <w:rPr>
          <w:color w:val="000000"/>
          <w:sz w:val="24"/>
        </w:rPr>
        <w:t>ederal government is estimated at $</w:t>
      </w:r>
      <w:r w:rsidR="002E1522">
        <w:rPr>
          <w:color w:val="000000"/>
          <w:sz w:val="24"/>
        </w:rPr>
        <w:t>19</w:t>
      </w:r>
      <w:r w:rsidR="00527793">
        <w:rPr>
          <w:color w:val="000000"/>
          <w:sz w:val="24"/>
        </w:rPr>
        <w:t>.5</w:t>
      </w:r>
      <w:r w:rsidR="002E1522" w:rsidRPr="00903ADE">
        <w:rPr>
          <w:color w:val="000000"/>
          <w:sz w:val="24"/>
        </w:rPr>
        <w:t xml:space="preserve"> million. </w:t>
      </w:r>
      <w:r w:rsidR="002E1522" w:rsidRPr="00F963F3">
        <w:rPr>
          <w:sz w:val="24"/>
        </w:rPr>
        <w:t xml:space="preserve">Table </w:t>
      </w:r>
      <w:r w:rsidR="002E1522" w:rsidRPr="00F963F3">
        <w:rPr>
          <w:rStyle w:val="Hyperlink"/>
          <w:color w:val="auto"/>
          <w:sz w:val="24"/>
          <w:u w:val="none"/>
        </w:rPr>
        <w:t>5</w:t>
      </w:r>
      <w:r w:rsidR="002E1522" w:rsidRPr="00F963F3">
        <w:rPr>
          <w:sz w:val="24"/>
        </w:rPr>
        <w:t xml:space="preserve"> details </w:t>
      </w:r>
      <w:r w:rsidR="002E1522">
        <w:rPr>
          <w:color w:val="000000"/>
          <w:sz w:val="24"/>
        </w:rPr>
        <w:t xml:space="preserve">the specific items that were included in the calculation of this estimate. </w:t>
      </w:r>
    </w:p>
    <w:p w14:paraId="1EF39DE2" w14:textId="77777777" w:rsidR="00FF3E89" w:rsidRDefault="00FF3E89" w:rsidP="00FF3E89">
      <w:pPr>
        <w:pStyle w:val="BodyTextIndent"/>
        <w:spacing w:before="120"/>
        <w:ind w:left="0"/>
        <w:rPr>
          <w:rFonts w:ascii="Times New Roman" w:hAnsi="Times New Roman"/>
        </w:rPr>
      </w:pPr>
    </w:p>
    <w:p w14:paraId="02FCB2C8" w14:textId="77777777" w:rsidR="00530A28" w:rsidRDefault="00530A28" w:rsidP="00530A28">
      <w:pPr>
        <w:widowControl/>
        <w:rPr>
          <w:sz w:val="24"/>
        </w:rPr>
      </w:pPr>
      <w:r w:rsidRPr="009B2E8B">
        <w:rPr>
          <w:b/>
          <w:sz w:val="24"/>
        </w:rPr>
        <w:t xml:space="preserve">Table </w:t>
      </w:r>
      <w:r>
        <w:rPr>
          <w:b/>
          <w:sz w:val="24"/>
        </w:rPr>
        <w:t>5</w:t>
      </w:r>
      <w:r w:rsidRPr="009B2E8B">
        <w:rPr>
          <w:b/>
          <w:sz w:val="24"/>
        </w:rPr>
        <w:t>:</w:t>
      </w:r>
      <w:r>
        <w:rPr>
          <w:sz w:val="24"/>
        </w:rPr>
        <w:t xml:space="preserve"> </w:t>
      </w:r>
      <w:r>
        <w:rPr>
          <w:b/>
          <w:sz w:val="24"/>
        </w:rPr>
        <w:t>Estimated Annualized Cost to Federal Government</w:t>
      </w:r>
    </w:p>
    <w:tbl>
      <w:tblPr>
        <w:tblW w:w="9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2535"/>
        <w:gridCol w:w="4590"/>
        <w:gridCol w:w="1890"/>
      </w:tblGrid>
      <w:tr w:rsidR="00530A28" w:rsidRPr="00E81537" w14:paraId="0FA24203" w14:textId="77777777" w:rsidTr="00F963F3">
        <w:trPr>
          <w:trHeight w:val="300"/>
          <w:tblHeader/>
        </w:trPr>
        <w:tc>
          <w:tcPr>
            <w:tcW w:w="2535" w:type="dxa"/>
            <w:shd w:val="clear" w:color="000000" w:fill="A6A6A6" w:themeFill="background1" w:themeFillShade="A6"/>
            <w:noWrap/>
            <w:vAlign w:val="bottom"/>
          </w:tcPr>
          <w:p w14:paraId="336367AB" w14:textId="77777777" w:rsidR="00530A28" w:rsidRPr="00E81537" w:rsidRDefault="00530A28" w:rsidP="00F963F3">
            <w:pPr>
              <w:widowControl/>
              <w:autoSpaceDE/>
              <w:autoSpaceDN/>
              <w:adjustRightInd/>
              <w:rPr>
                <w:b/>
                <w:color w:val="000000"/>
                <w:sz w:val="24"/>
              </w:rPr>
            </w:pPr>
            <w:r>
              <w:rPr>
                <w:b/>
                <w:color w:val="000000"/>
                <w:sz w:val="24"/>
              </w:rPr>
              <w:t>Item</w:t>
            </w:r>
            <w:r w:rsidRPr="00E81537">
              <w:rPr>
                <w:b/>
                <w:color w:val="000000"/>
                <w:sz w:val="24"/>
              </w:rPr>
              <w:t xml:space="preserve"> </w:t>
            </w:r>
          </w:p>
        </w:tc>
        <w:tc>
          <w:tcPr>
            <w:tcW w:w="4590" w:type="dxa"/>
            <w:shd w:val="clear" w:color="000000" w:fill="A6A6A6" w:themeFill="background1" w:themeFillShade="A6"/>
            <w:noWrap/>
            <w:vAlign w:val="bottom"/>
          </w:tcPr>
          <w:p w14:paraId="078CC9C4" w14:textId="77777777" w:rsidR="00530A28" w:rsidRPr="00E81537" w:rsidRDefault="00530A28" w:rsidP="00F963F3">
            <w:pPr>
              <w:widowControl/>
              <w:autoSpaceDE/>
              <w:autoSpaceDN/>
              <w:adjustRightInd/>
              <w:rPr>
                <w:b/>
                <w:color w:val="000000"/>
                <w:sz w:val="24"/>
              </w:rPr>
            </w:pPr>
            <w:r>
              <w:rPr>
                <w:b/>
                <w:color w:val="000000"/>
                <w:sz w:val="24"/>
              </w:rPr>
              <w:t>Details</w:t>
            </w:r>
          </w:p>
        </w:tc>
        <w:tc>
          <w:tcPr>
            <w:tcW w:w="1890" w:type="dxa"/>
            <w:shd w:val="clear" w:color="000000" w:fill="A6A6A6" w:themeFill="background1" w:themeFillShade="A6"/>
            <w:noWrap/>
            <w:vAlign w:val="bottom"/>
          </w:tcPr>
          <w:p w14:paraId="3F2528FD" w14:textId="77777777" w:rsidR="00530A28" w:rsidRPr="00E81537" w:rsidRDefault="00530A28" w:rsidP="00F963F3">
            <w:pPr>
              <w:widowControl/>
              <w:autoSpaceDE/>
              <w:autoSpaceDN/>
              <w:adjustRightInd/>
              <w:rPr>
                <w:b/>
                <w:color w:val="000000"/>
                <w:sz w:val="24"/>
              </w:rPr>
            </w:pPr>
            <w:r>
              <w:rPr>
                <w:b/>
                <w:color w:val="000000"/>
                <w:sz w:val="24"/>
              </w:rPr>
              <w:t>Annual Value</w:t>
            </w:r>
          </w:p>
        </w:tc>
      </w:tr>
      <w:tr w:rsidR="00530A28" w:rsidRPr="00E81537" w14:paraId="7ECF1BEA" w14:textId="77777777" w:rsidTr="00F963F3">
        <w:trPr>
          <w:trHeight w:val="300"/>
        </w:trPr>
        <w:tc>
          <w:tcPr>
            <w:tcW w:w="2535" w:type="dxa"/>
            <w:shd w:val="clear" w:color="000000" w:fill="auto"/>
            <w:noWrap/>
            <w:hideMark/>
          </w:tcPr>
          <w:p w14:paraId="5ECB273C" w14:textId="77777777" w:rsidR="00530A28" w:rsidRPr="00E81537" w:rsidRDefault="00530A28" w:rsidP="00F963F3">
            <w:pPr>
              <w:widowControl/>
              <w:autoSpaceDE/>
              <w:autoSpaceDN/>
              <w:adjustRightInd/>
              <w:rPr>
                <w:color w:val="000000"/>
                <w:sz w:val="24"/>
              </w:rPr>
            </w:pPr>
            <w:r>
              <w:rPr>
                <w:color w:val="000000"/>
                <w:sz w:val="24"/>
              </w:rPr>
              <w:t>NPDB Program Staff</w:t>
            </w:r>
          </w:p>
          <w:p w14:paraId="32AD00D7" w14:textId="77777777" w:rsidR="00530A28" w:rsidRPr="00E81537" w:rsidRDefault="00530A28" w:rsidP="00F963F3">
            <w:pPr>
              <w:widowControl/>
              <w:autoSpaceDE/>
              <w:autoSpaceDN/>
              <w:adjustRightInd/>
              <w:rPr>
                <w:color w:val="000000"/>
                <w:sz w:val="24"/>
              </w:rPr>
            </w:pPr>
          </w:p>
        </w:tc>
        <w:tc>
          <w:tcPr>
            <w:tcW w:w="4590" w:type="dxa"/>
            <w:shd w:val="clear" w:color="000000" w:fill="auto"/>
            <w:noWrap/>
            <w:hideMark/>
          </w:tcPr>
          <w:p w14:paraId="3205FBFE" w14:textId="77777777" w:rsidR="00530A28" w:rsidRPr="00E81537" w:rsidRDefault="00636FA3" w:rsidP="00F963F3">
            <w:pPr>
              <w:widowControl/>
              <w:autoSpaceDE/>
              <w:autoSpaceDN/>
              <w:adjustRightInd/>
              <w:rPr>
                <w:color w:val="000000"/>
                <w:sz w:val="24"/>
              </w:rPr>
            </w:pPr>
            <w:r>
              <w:rPr>
                <w:color w:val="000000"/>
                <w:sz w:val="24"/>
              </w:rPr>
              <w:t>34</w:t>
            </w:r>
            <w:r w:rsidR="00530A28">
              <w:rPr>
                <w:color w:val="000000"/>
                <w:sz w:val="24"/>
              </w:rPr>
              <w:t xml:space="preserve"> government full-time equivalent staff involved in various aspects of support contract management and oversight, IT investments, disputes, compliance, policy, and gener</w:t>
            </w:r>
            <w:r w:rsidR="00547D23">
              <w:rPr>
                <w:color w:val="000000"/>
                <w:sz w:val="24"/>
              </w:rPr>
              <w:t>al oversight and management of N</w:t>
            </w:r>
            <w:r w:rsidR="00530A28">
              <w:rPr>
                <w:color w:val="000000"/>
                <w:sz w:val="24"/>
              </w:rPr>
              <w:t xml:space="preserve">PDB operations. </w:t>
            </w:r>
          </w:p>
        </w:tc>
        <w:tc>
          <w:tcPr>
            <w:tcW w:w="1890" w:type="dxa"/>
            <w:shd w:val="clear" w:color="000000" w:fill="auto"/>
            <w:noWrap/>
            <w:hideMark/>
          </w:tcPr>
          <w:p w14:paraId="2AA1087B" w14:textId="77777777" w:rsidR="00530A28" w:rsidRPr="0087080B" w:rsidRDefault="00636FA3" w:rsidP="00F963F3">
            <w:pPr>
              <w:widowControl/>
              <w:autoSpaceDE/>
              <w:autoSpaceDN/>
              <w:adjustRightInd/>
              <w:rPr>
                <w:color w:val="000000"/>
                <w:sz w:val="24"/>
              </w:rPr>
            </w:pPr>
            <w:r>
              <w:rPr>
                <w:color w:val="000000"/>
                <w:sz w:val="24"/>
              </w:rPr>
              <w:t>$ 5,54</w:t>
            </w:r>
            <w:r w:rsidR="00530A28" w:rsidRPr="00530A28">
              <w:rPr>
                <w:color w:val="000000"/>
                <w:sz w:val="24"/>
              </w:rPr>
              <w:t>0,000.00</w:t>
            </w:r>
          </w:p>
        </w:tc>
      </w:tr>
      <w:tr w:rsidR="00530A28" w:rsidRPr="00E81537" w14:paraId="373FE584" w14:textId="77777777" w:rsidTr="00F963F3">
        <w:trPr>
          <w:trHeight w:val="300"/>
        </w:trPr>
        <w:tc>
          <w:tcPr>
            <w:tcW w:w="2535" w:type="dxa"/>
            <w:shd w:val="clear" w:color="000000" w:fill="auto"/>
            <w:noWrap/>
            <w:hideMark/>
          </w:tcPr>
          <w:p w14:paraId="6A6ED9EA" w14:textId="77777777" w:rsidR="00530A28" w:rsidRPr="00E81537" w:rsidRDefault="00530A28" w:rsidP="00F963F3">
            <w:pPr>
              <w:widowControl/>
              <w:autoSpaceDE/>
              <w:autoSpaceDN/>
              <w:adjustRightInd/>
              <w:rPr>
                <w:color w:val="000000"/>
                <w:sz w:val="24"/>
              </w:rPr>
            </w:pPr>
            <w:r>
              <w:rPr>
                <w:color w:val="000000"/>
                <w:sz w:val="24"/>
              </w:rPr>
              <w:t>NPDB Support Contract</w:t>
            </w:r>
          </w:p>
        </w:tc>
        <w:tc>
          <w:tcPr>
            <w:tcW w:w="4590" w:type="dxa"/>
            <w:shd w:val="clear" w:color="000000" w:fill="auto"/>
            <w:noWrap/>
            <w:hideMark/>
          </w:tcPr>
          <w:p w14:paraId="39AAD43A" w14:textId="77777777" w:rsidR="00530A28" w:rsidRPr="00E81537" w:rsidRDefault="00530A28" w:rsidP="00F963F3">
            <w:pPr>
              <w:rPr>
                <w:color w:val="000000"/>
                <w:sz w:val="24"/>
              </w:rPr>
            </w:pPr>
            <w:r>
              <w:rPr>
                <w:color w:val="000000"/>
                <w:sz w:val="24"/>
              </w:rPr>
              <w:t>Support contract for the operation, maintenance, and enhancement of the NPDB IT system, customer service center, maintenance of the public NPDB website, and related technical services.</w:t>
            </w:r>
          </w:p>
        </w:tc>
        <w:tc>
          <w:tcPr>
            <w:tcW w:w="1890" w:type="dxa"/>
            <w:shd w:val="clear" w:color="000000" w:fill="auto"/>
            <w:noWrap/>
            <w:hideMark/>
          </w:tcPr>
          <w:p w14:paraId="699C9653" w14:textId="77777777" w:rsidR="00530A28" w:rsidRPr="00E81537" w:rsidRDefault="00530A28" w:rsidP="00547D23">
            <w:pPr>
              <w:rPr>
                <w:color w:val="000000"/>
                <w:sz w:val="24"/>
              </w:rPr>
            </w:pPr>
            <w:r>
              <w:rPr>
                <w:color w:val="000000"/>
                <w:sz w:val="24"/>
              </w:rPr>
              <w:t>$</w:t>
            </w:r>
            <w:r w:rsidR="00547D23" w:rsidRPr="00547D23">
              <w:rPr>
                <w:color w:val="000000"/>
                <w:sz w:val="24"/>
              </w:rPr>
              <w:t xml:space="preserve"> 14,000,000.00</w:t>
            </w:r>
          </w:p>
        </w:tc>
      </w:tr>
      <w:tr w:rsidR="00530A28" w:rsidRPr="00E81537" w14:paraId="10780374" w14:textId="77777777" w:rsidTr="00F963F3">
        <w:trPr>
          <w:trHeight w:val="300"/>
        </w:trPr>
        <w:tc>
          <w:tcPr>
            <w:tcW w:w="7125" w:type="dxa"/>
            <w:gridSpan w:val="2"/>
            <w:shd w:val="clear" w:color="000000" w:fill="auto"/>
            <w:noWrap/>
            <w:vAlign w:val="bottom"/>
          </w:tcPr>
          <w:p w14:paraId="2954B9FE" w14:textId="77777777" w:rsidR="00530A28" w:rsidRPr="00E81537" w:rsidRDefault="00530A28" w:rsidP="00F963F3">
            <w:pPr>
              <w:widowControl/>
              <w:autoSpaceDE/>
              <w:autoSpaceDN/>
              <w:adjustRightInd/>
              <w:jc w:val="right"/>
              <w:rPr>
                <w:b/>
                <w:color w:val="000000"/>
                <w:sz w:val="24"/>
              </w:rPr>
            </w:pPr>
            <w:r>
              <w:rPr>
                <w:b/>
                <w:color w:val="000000"/>
                <w:sz w:val="24"/>
              </w:rPr>
              <w:t>Estimated Annualized Cost to Federal Government</w:t>
            </w:r>
          </w:p>
        </w:tc>
        <w:tc>
          <w:tcPr>
            <w:tcW w:w="1890" w:type="dxa"/>
            <w:shd w:val="clear" w:color="000000" w:fill="auto"/>
            <w:noWrap/>
            <w:vAlign w:val="bottom"/>
          </w:tcPr>
          <w:p w14:paraId="3270123A" w14:textId="77777777" w:rsidR="00530A28" w:rsidRPr="00E81537" w:rsidRDefault="00530A28" w:rsidP="00F963F3">
            <w:pPr>
              <w:widowControl/>
              <w:autoSpaceDE/>
              <w:autoSpaceDN/>
              <w:adjustRightInd/>
              <w:rPr>
                <w:b/>
                <w:color w:val="000000"/>
                <w:sz w:val="24"/>
              </w:rPr>
            </w:pPr>
            <w:r>
              <w:rPr>
                <w:b/>
                <w:color w:val="000000"/>
                <w:sz w:val="24"/>
              </w:rPr>
              <w:t>$</w:t>
            </w:r>
            <w:r w:rsidR="00E42A72">
              <w:rPr>
                <w:b/>
                <w:color w:val="000000"/>
                <w:sz w:val="24"/>
              </w:rPr>
              <w:t>19,54</w:t>
            </w:r>
            <w:r>
              <w:rPr>
                <w:b/>
                <w:color w:val="000000"/>
                <w:sz w:val="24"/>
              </w:rPr>
              <w:t>0,000</w:t>
            </w:r>
          </w:p>
        </w:tc>
      </w:tr>
    </w:tbl>
    <w:p w14:paraId="67293E72" w14:textId="77777777" w:rsidR="00530A28" w:rsidRPr="001F006B" w:rsidRDefault="00530A28" w:rsidP="00FF3E89">
      <w:pPr>
        <w:pStyle w:val="BodyTextIndent"/>
        <w:spacing w:before="120"/>
        <w:ind w:left="0"/>
        <w:rPr>
          <w:rFonts w:ascii="Times New Roman" w:hAnsi="Times New Roman"/>
        </w:rPr>
      </w:pPr>
    </w:p>
    <w:p w14:paraId="344D9C4B" w14:textId="77777777" w:rsidR="009B3794" w:rsidRPr="001323AC" w:rsidRDefault="009B3794" w:rsidP="001323AC">
      <w:pPr>
        <w:pStyle w:val="frn"/>
        <w:numPr>
          <w:ilvl w:val="0"/>
          <w:numId w:val="1"/>
        </w:numPr>
        <w:outlineLvl w:val="0"/>
      </w:pPr>
      <w:bookmarkStart w:id="20" w:name="_Toc496878847"/>
      <w:r w:rsidRPr="001323AC">
        <w:t>Explanation for Program Changes or Adjustments</w:t>
      </w:r>
      <w:bookmarkEnd w:id="20"/>
    </w:p>
    <w:p w14:paraId="2071ACE9" w14:textId="77777777" w:rsidR="009B5498" w:rsidRPr="001F006B" w:rsidRDefault="009B5498" w:rsidP="00CA3DA6">
      <w:pPr>
        <w:pStyle w:val="BodyTextIndent"/>
        <w:spacing w:before="120"/>
        <w:ind w:left="360"/>
        <w:rPr>
          <w:rFonts w:ascii="Times New Roman" w:hAnsi="Times New Roman"/>
        </w:rPr>
      </w:pPr>
    </w:p>
    <w:p w14:paraId="44031AF2" w14:textId="77777777" w:rsidR="00F258B9" w:rsidRDefault="009B5498" w:rsidP="009B5498">
      <w:pPr>
        <w:rPr>
          <w:sz w:val="24"/>
        </w:rPr>
      </w:pPr>
      <w:r w:rsidRPr="00482FA7">
        <w:rPr>
          <w:sz w:val="24"/>
        </w:rPr>
        <w:t xml:space="preserve">The total burden hours increased by approximately </w:t>
      </w:r>
      <w:r w:rsidR="006068D6">
        <w:rPr>
          <w:sz w:val="24"/>
        </w:rPr>
        <w:t xml:space="preserve">47,347 </w:t>
      </w:r>
      <w:r w:rsidRPr="00482FA7">
        <w:rPr>
          <w:sz w:val="24"/>
        </w:rPr>
        <w:t xml:space="preserve">hours and the total number of respondents increased by approximately </w:t>
      </w:r>
      <w:r w:rsidR="006068D6">
        <w:rPr>
          <w:sz w:val="24"/>
        </w:rPr>
        <w:t>1,047,426</w:t>
      </w:r>
      <w:r w:rsidRPr="00482FA7">
        <w:rPr>
          <w:sz w:val="24"/>
        </w:rPr>
        <w:t xml:space="preserve"> million respondents</w:t>
      </w:r>
      <w:r>
        <w:rPr>
          <w:sz w:val="24"/>
        </w:rPr>
        <w:t xml:space="preserve"> </w:t>
      </w:r>
      <w:r w:rsidR="002256EB">
        <w:rPr>
          <w:sz w:val="24"/>
        </w:rPr>
        <w:t xml:space="preserve">since our last approved burden </w:t>
      </w:r>
      <w:r>
        <w:rPr>
          <w:sz w:val="24"/>
        </w:rPr>
        <w:t xml:space="preserve">as shown in </w:t>
      </w:r>
      <w:r w:rsidRPr="002256EB">
        <w:rPr>
          <w:sz w:val="24"/>
        </w:rPr>
        <w:t xml:space="preserve">Table </w:t>
      </w:r>
      <w:r w:rsidRPr="002256EB">
        <w:rPr>
          <w:rStyle w:val="Hyperlink"/>
          <w:color w:val="auto"/>
          <w:sz w:val="24"/>
          <w:u w:val="none"/>
        </w:rPr>
        <w:t>6</w:t>
      </w:r>
      <w:r w:rsidR="002256EB">
        <w:rPr>
          <w:sz w:val="24"/>
        </w:rPr>
        <w:t xml:space="preserve">.  This is </w:t>
      </w:r>
      <w:r w:rsidR="002256EB" w:rsidRPr="006160D5">
        <w:rPr>
          <w:sz w:val="24"/>
        </w:rPr>
        <w:t>primarily attributable to increases in use of the “One-Time Query for an Individual</w:t>
      </w:r>
      <w:r w:rsidR="002256EB">
        <w:rPr>
          <w:sz w:val="24"/>
        </w:rPr>
        <w:t>” and “Continuous Query” forms</w:t>
      </w:r>
      <w:r w:rsidR="006068D6">
        <w:rPr>
          <w:sz w:val="24"/>
        </w:rPr>
        <w:t>.</w:t>
      </w:r>
    </w:p>
    <w:p w14:paraId="462D8783" w14:textId="77777777" w:rsidR="009B5498" w:rsidRDefault="009B5498" w:rsidP="009B5498">
      <w:pPr>
        <w:rPr>
          <w:sz w:val="24"/>
        </w:rPr>
      </w:pPr>
    </w:p>
    <w:p w14:paraId="5BB47F02" w14:textId="77777777" w:rsidR="009B5498" w:rsidRPr="00482FA7" w:rsidRDefault="009B5498" w:rsidP="009B5498">
      <w:pPr>
        <w:widowControl/>
        <w:rPr>
          <w:sz w:val="24"/>
        </w:rPr>
      </w:pPr>
      <w:bookmarkStart w:id="21" w:name="Table10BurdenChanges"/>
      <w:r w:rsidRPr="009B2E8B">
        <w:rPr>
          <w:b/>
          <w:sz w:val="24"/>
        </w:rPr>
        <w:t xml:space="preserve">Table </w:t>
      </w:r>
      <w:bookmarkEnd w:id="21"/>
      <w:r>
        <w:rPr>
          <w:b/>
          <w:sz w:val="24"/>
        </w:rPr>
        <w:t>6</w:t>
      </w:r>
      <w:r w:rsidRPr="009B2E8B">
        <w:rPr>
          <w:b/>
          <w:sz w:val="24"/>
        </w:rPr>
        <w:t>:</w:t>
      </w:r>
      <w:r>
        <w:rPr>
          <w:sz w:val="24"/>
        </w:rPr>
        <w:t xml:space="preserve"> </w:t>
      </w:r>
      <w:r>
        <w:rPr>
          <w:b/>
          <w:sz w:val="24"/>
        </w:rPr>
        <w:t>Explanation for Burden Changes</w:t>
      </w:r>
    </w:p>
    <w:tbl>
      <w:tblPr>
        <w:tblW w:w="81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2985"/>
        <w:gridCol w:w="2790"/>
        <w:gridCol w:w="2340"/>
      </w:tblGrid>
      <w:tr w:rsidR="009B5498" w:rsidRPr="00E81537" w14:paraId="655906F8" w14:textId="77777777" w:rsidTr="00F963F3">
        <w:trPr>
          <w:trHeight w:val="300"/>
          <w:tblHeader/>
        </w:trPr>
        <w:tc>
          <w:tcPr>
            <w:tcW w:w="2985" w:type="dxa"/>
            <w:shd w:val="clear" w:color="000000" w:fill="A6A6A6" w:themeFill="background1" w:themeFillShade="A6"/>
            <w:noWrap/>
            <w:vAlign w:val="bottom"/>
          </w:tcPr>
          <w:p w14:paraId="36796870" w14:textId="77777777" w:rsidR="009B5498" w:rsidRPr="00E81537" w:rsidRDefault="009B5498" w:rsidP="00F963F3">
            <w:pPr>
              <w:widowControl/>
              <w:autoSpaceDE/>
              <w:autoSpaceDN/>
              <w:adjustRightInd/>
              <w:rPr>
                <w:b/>
                <w:color w:val="000000"/>
                <w:sz w:val="24"/>
              </w:rPr>
            </w:pPr>
            <w:r>
              <w:rPr>
                <w:b/>
                <w:color w:val="000000"/>
                <w:sz w:val="24"/>
              </w:rPr>
              <w:t>Item</w:t>
            </w:r>
            <w:r w:rsidRPr="00E81537">
              <w:rPr>
                <w:b/>
                <w:color w:val="000000"/>
                <w:sz w:val="24"/>
              </w:rPr>
              <w:t xml:space="preserve"> </w:t>
            </w:r>
          </w:p>
        </w:tc>
        <w:tc>
          <w:tcPr>
            <w:tcW w:w="2790" w:type="dxa"/>
            <w:shd w:val="clear" w:color="000000" w:fill="A6A6A6" w:themeFill="background1" w:themeFillShade="A6"/>
            <w:noWrap/>
            <w:vAlign w:val="bottom"/>
          </w:tcPr>
          <w:p w14:paraId="6AA85C10" w14:textId="77777777" w:rsidR="009B5498" w:rsidRPr="00E81537" w:rsidRDefault="009B5498" w:rsidP="00F963F3">
            <w:pPr>
              <w:widowControl/>
              <w:autoSpaceDE/>
              <w:autoSpaceDN/>
              <w:adjustRightInd/>
              <w:rPr>
                <w:b/>
                <w:color w:val="000000"/>
                <w:sz w:val="24"/>
              </w:rPr>
            </w:pPr>
            <w:r>
              <w:rPr>
                <w:b/>
                <w:color w:val="000000"/>
                <w:sz w:val="24"/>
              </w:rPr>
              <w:t>Number of Respondents</w:t>
            </w:r>
          </w:p>
        </w:tc>
        <w:tc>
          <w:tcPr>
            <w:tcW w:w="2340" w:type="dxa"/>
            <w:shd w:val="clear" w:color="000000" w:fill="A6A6A6" w:themeFill="background1" w:themeFillShade="A6"/>
            <w:noWrap/>
            <w:vAlign w:val="bottom"/>
          </w:tcPr>
          <w:p w14:paraId="57E0C7AC" w14:textId="77777777" w:rsidR="009B5498" w:rsidRPr="00E81537" w:rsidRDefault="009B5498" w:rsidP="00F963F3">
            <w:pPr>
              <w:widowControl/>
              <w:autoSpaceDE/>
              <w:autoSpaceDN/>
              <w:adjustRightInd/>
              <w:rPr>
                <w:b/>
                <w:color w:val="000000"/>
                <w:sz w:val="24"/>
              </w:rPr>
            </w:pPr>
            <w:r>
              <w:rPr>
                <w:b/>
                <w:color w:val="000000"/>
                <w:sz w:val="24"/>
              </w:rPr>
              <w:t>Total Burden Hours</w:t>
            </w:r>
          </w:p>
        </w:tc>
      </w:tr>
      <w:tr w:rsidR="009B5498" w:rsidRPr="00E81537" w14:paraId="0E51419F" w14:textId="77777777" w:rsidTr="00F963F3">
        <w:trPr>
          <w:trHeight w:val="278"/>
        </w:trPr>
        <w:tc>
          <w:tcPr>
            <w:tcW w:w="2985" w:type="dxa"/>
            <w:shd w:val="clear" w:color="000000" w:fill="auto"/>
            <w:noWrap/>
            <w:hideMark/>
          </w:tcPr>
          <w:p w14:paraId="236D511B" w14:textId="77777777" w:rsidR="009B5498" w:rsidRPr="00E81537" w:rsidRDefault="009B5498" w:rsidP="00F963F3">
            <w:pPr>
              <w:widowControl/>
              <w:autoSpaceDE/>
              <w:autoSpaceDN/>
              <w:adjustRightInd/>
              <w:rPr>
                <w:color w:val="000000"/>
                <w:sz w:val="24"/>
              </w:rPr>
            </w:pPr>
            <w:r>
              <w:rPr>
                <w:color w:val="000000"/>
                <w:sz w:val="24"/>
              </w:rPr>
              <w:t>Requested Burden (2017)</w:t>
            </w:r>
          </w:p>
        </w:tc>
        <w:tc>
          <w:tcPr>
            <w:tcW w:w="2790" w:type="dxa"/>
            <w:shd w:val="clear" w:color="000000" w:fill="auto"/>
            <w:noWrap/>
            <w:hideMark/>
          </w:tcPr>
          <w:p w14:paraId="33CD39B3" w14:textId="77777777" w:rsidR="009B5498" w:rsidRPr="00E81537" w:rsidRDefault="00E03E53" w:rsidP="00F963F3">
            <w:pPr>
              <w:widowControl/>
              <w:autoSpaceDE/>
              <w:autoSpaceDN/>
              <w:adjustRightInd/>
              <w:jc w:val="center"/>
              <w:rPr>
                <w:color w:val="000000"/>
                <w:sz w:val="24"/>
              </w:rPr>
            </w:pPr>
            <w:r>
              <w:rPr>
                <w:color w:val="000000"/>
                <w:sz w:val="24"/>
              </w:rPr>
              <w:t>6,059,761</w:t>
            </w:r>
          </w:p>
        </w:tc>
        <w:tc>
          <w:tcPr>
            <w:tcW w:w="2340" w:type="dxa"/>
            <w:shd w:val="clear" w:color="000000" w:fill="auto"/>
            <w:noWrap/>
            <w:hideMark/>
          </w:tcPr>
          <w:p w14:paraId="632B470A" w14:textId="77777777" w:rsidR="009B5498" w:rsidRPr="00E81537" w:rsidRDefault="00E03E53" w:rsidP="00F963F3">
            <w:pPr>
              <w:widowControl/>
              <w:autoSpaceDE/>
              <w:autoSpaceDN/>
              <w:adjustRightInd/>
              <w:jc w:val="center"/>
              <w:rPr>
                <w:color w:val="000000"/>
                <w:sz w:val="24"/>
              </w:rPr>
            </w:pPr>
            <w:r>
              <w:rPr>
                <w:color w:val="000000"/>
                <w:sz w:val="24"/>
              </w:rPr>
              <w:t>326,120</w:t>
            </w:r>
          </w:p>
        </w:tc>
      </w:tr>
      <w:tr w:rsidR="009B5498" w:rsidRPr="00E81537" w14:paraId="2C470706" w14:textId="77777777" w:rsidTr="00F963F3">
        <w:trPr>
          <w:trHeight w:val="300"/>
        </w:trPr>
        <w:tc>
          <w:tcPr>
            <w:tcW w:w="2985" w:type="dxa"/>
            <w:shd w:val="clear" w:color="000000" w:fill="auto"/>
            <w:noWrap/>
          </w:tcPr>
          <w:p w14:paraId="5E4F3552" w14:textId="77777777" w:rsidR="009B5498" w:rsidRDefault="006068D6" w:rsidP="00F963F3">
            <w:pPr>
              <w:widowControl/>
              <w:autoSpaceDE/>
              <w:autoSpaceDN/>
              <w:adjustRightInd/>
              <w:rPr>
                <w:color w:val="000000"/>
                <w:sz w:val="24"/>
              </w:rPr>
            </w:pPr>
            <w:r>
              <w:rPr>
                <w:color w:val="000000"/>
                <w:sz w:val="24"/>
              </w:rPr>
              <w:t>Approved Burden (2016</w:t>
            </w:r>
            <w:r w:rsidR="009B5498">
              <w:rPr>
                <w:color w:val="000000"/>
                <w:sz w:val="24"/>
              </w:rPr>
              <w:t>)</w:t>
            </w:r>
          </w:p>
        </w:tc>
        <w:tc>
          <w:tcPr>
            <w:tcW w:w="2790" w:type="dxa"/>
            <w:shd w:val="clear" w:color="000000" w:fill="auto"/>
            <w:noWrap/>
          </w:tcPr>
          <w:p w14:paraId="1FBD6C59" w14:textId="77777777" w:rsidR="009B5498" w:rsidRDefault="006068D6" w:rsidP="00F963F3">
            <w:pPr>
              <w:widowControl/>
              <w:autoSpaceDE/>
              <w:autoSpaceDN/>
              <w:adjustRightInd/>
              <w:jc w:val="center"/>
              <w:rPr>
                <w:color w:val="000000"/>
                <w:sz w:val="24"/>
              </w:rPr>
            </w:pPr>
            <w:r>
              <w:rPr>
                <w:bCs/>
                <w:color w:val="000000"/>
                <w:sz w:val="24"/>
              </w:rPr>
              <w:t>5,012,335</w:t>
            </w:r>
          </w:p>
        </w:tc>
        <w:tc>
          <w:tcPr>
            <w:tcW w:w="2340" w:type="dxa"/>
            <w:shd w:val="clear" w:color="000000" w:fill="auto"/>
            <w:noWrap/>
          </w:tcPr>
          <w:p w14:paraId="40F258D7" w14:textId="77777777" w:rsidR="009B5498" w:rsidRDefault="006068D6" w:rsidP="00F963F3">
            <w:pPr>
              <w:widowControl/>
              <w:autoSpaceDE/>
              <w:autoSpaceDN/>
              <w:adjustRightInd/>
              <w:jc w:val="center"/>
              <w:rPr>
                <w:color w:val="000000"/>
                <w:sz w:val="24"/>
              </w:rPr>
            </w:pPr>
            <w:r>
              <w:rPr>
                <w:bCs/>
                <w:color w:val="000000"/>
                <w:sz w:val="24"/>
              </w:rPr>
              <w:t>278,753</w:t>
            </w:r>
          </w:p>
        </w:tc>
      </w:tr>
      <w:tr w:rsidR="009B5498" w:rsidRPr="00E81537" w14:paraId="4012FBE1" w14:textId="77777777" w:rsidTr="00F963F3">
        <w:trPr>
          <w:trHeight w:val="300"/>
        </w:trPr>
        <w:tc>
          <w:tcPr>
            <w:tcW w:w="2985" w:type="dxa"/>
            <w:shd w:val="clear" w:color="000000" w:fill="auto"/>
            <w:noWrap/>
            <w:hideMark/>
          </w:tcPr>
          <w:p w14:paraId="3BE53FA1" w14:textId="77777777" w:rsidR="009B5498" w:rsidRPr="00154ACD" w:rsidRDefault="009B5498" w:rsidP="00F963F3">
            <w:pPr>
              <w:widowControl/>
              <w:autoSpaceDE/>
              <w:autoSpaceDN/>
              <w:adjustRightInd/>
              <w:jc w:val="right"/>
              <w:rPr>
                <w:b/>
                <w:color w:val="000000"/>
                <w:sz w:val="24"/>
              </w:rPr>
            </w:pPr>
            <w:r w:rsidRPr="00154ACD">
              <w:rPr>
                <w:b/>
                <w:color w:val="000000"/>
                <w:sz w:val="24"/>
              </w:rPr>
              <w:t>Difference</w:t>
            </w:r>
          </w:p>
        </w:tc>
        <w:tc>
          <w:tcPr>
            <w:tcW w:w="2790" w:type="dxa"/>
            <w:shd w:val="clear" w:color="000000" w:fill="auto"/>
            <w:noWrap/>
            <w:hideMark/>
          </w:tcPr>
          <w:p w14:paraId="64C6E425" w14:textId="77777777" w:rsidR="009B5498" w:rsidRPr="00E81537" w:rsidRDefault="006068D6" w:rsidP="00F963F3">
            <w:pPr>
              <w:widowControl/>
              <w:autoSpaceDE/>
              <w:autoSpaceDN/>
              <w:adjustRightInd/>
              <w:jc w:val="center"/>
              <w:rPr>
                <w:color w:val="000000"/>
                <w:sz w:val="24"/>
              </w:rPr>
            </w:pPr>
            <w:r>
              <w:rPr>
                <w:color w:val="000000"/>
                <w:sz w:val="24"/>
              </w:rPr>
              <w:t>1,047,426</w:t>
            </w:r>
          </w:p>
        </w:tc>
        <w:tc>
          <w:tcPr>
            <w:tcW w:w="2340" w:type="dxa"/>
            <w:shd w:val="clear" w:color="000000" w:fill="auto"/>
            <w:noWrap/>
            <w:hideMark/>
          </w:tcPr>
          <w:p w14:paraId="3D2B456B" w14:textId="77777777" w:rsidR="009B5498" w:rsidRPr="00E81537" w:rsidRDefault="006068D6" w:rsidP="00F963F3">
            <w:pPr>
              <w:widowControl/>
              <w:autoSpaceDE/>
              <w:autoSpaceDN/>
              <w:adjustRightInd/>
              <w:jc w:val="center"/>
              <w:rPr>
                <w:color w:val="000000"/>
                <w:sz w:val="24"/>
              </w:rPr>
            </w:pPr>
            <w:r>
              <w:rPr>
                <w:color w:val="000000"/>
                <w:sz w:val="24"/>
              </w:rPr>
              <w:t>47,367</w:t>
            </w:r>
          </w:p>
        </w:tc>
      </w:tr>
    </w:tbl>
    <w:p w14:paraId="3355B0B2" w14:textId="77777777" w:rsidR="00781F76" w:rsidRPr="001F006B" w:rsidRDefault="00781F76" w:rsidP="00C72B41">
      <w:pPr>
        <w:pStyle w:val="BodyTextIndent"/>
        <w:ind w:left="0"/>
        <w:rPr>
          <w:rFonts w:ascii="Times New Roman" w:hAnsi="Times New Roman"/>
        </w:rPr>
      </w:pPr>
    </w:p>
    <w:p w14:paraId="79685ADA" w14:textId="77777777" w:rsidR="009B3794" w:rsidRDefault="009B3794" w:rsidP="001323AC">
      <w:pPr>
        <w:pStyle w:val="frn"/>
        <w:numPr>
          <w:ilvl w:val="0"/>
          <w:numId w:val="1"/>
        </w:numPr>
        <w:outlineLvl w:val="0"/>
      </w:pPr>
      <w:bookmarkStart w:id="22" w:name="_Toc496878848"/>
      <w:r w:rsidRPr="001323AC">
        <w:t>Plans for Tabulation</w:t>
      </w:r>
      <w:r w:rsidR="002118B4" w:rsidRPr="001323AC">
        <w:t xml:space="preserve">, </w:t>
      </w:r>
      <w:r w:rsidRPr="001323AC">
        <w:t>Publication</w:t>
      </w:r>
      <w:r w:rsidR="002118B4" w:rsidRPr="001323AC">
        <w:t>,</w:t>
      </w:r>
      <w:r w:rsidRPr="001323AC">
        <w:t xml:space="preserve"> and Project Time Schedule</w:t>
      </w:r>
      <w:bookmarkEnd w:id="22"/>
    </w:p>
    <w:p w14:paraId="33725442" w14:textId="77777777" w:rsidR="00794487" w:rsidRPr="001323AC" w:rsidRDefault="00794487" w:rsidP="00794487">
      <w:pPr>
        <w:pStyle w:val="frn"/>
        <w:tabs>
          <w:tab w:val="clear" w:pos="360"/>
        </w:tabs>
        <w:spacing w:before="0"/>
        <w:ind w:left="1080" w:firstLine="0"/>
        <w:outlineLvl w:val="0"/>
      </w:pPr>
    </w:p>
    <w:p w14:paraId="44173394" w14:textId="77777777" w:rsidR="00781F76" w:rsidRPr="001F006B" w:rsidRDefault="00620D81" w:rsidP="00C72B41">
      <w:pPr>
        <w:divId w:val="1217743676"/>
        <w:rPr>
          <w:sz w:val="24"/>
        </w:rPr>
      </w:pPr>
      <w:r w:rsidRPr="000E1765">
        <w:rPr>
          <w:sz w:val="24"/>
        </w:rPr>
        <w:t>Aggregate data and data that are stripped of identifiers are made available on the NPDB website for statistical purposes.  In addition, de-identified data may be made available for research purposes.</w:t>
      </w:r>
    </w:p>
    <w:p w14:paraId="4922992B" w14:textId="77777777" w:rsidR="00C72B41" w:rsidRPr="001323AC" w:rsidRDefault="009B3794" w:rsidP="00C72B41">
      <w:pPr>
        <w:pStyle w:val="frn"/>
        <w:numPr>
          <w:ilvl w:val="0"/>
          <w:numId w:val="1"/>
        </w:numPr>
        <w:spacing w:before="120"/>
        <w:outlineLvl w:val="0"/>
      </w:pPr>
      <w:bookmarkStart w:id="23" w:name="_Toc496878849"/>
      <w:r w:rsidRPr="001323AC">
        <w:t>Reason(s) Display of OMB Expiration Date is Inappropriate</w:t>
      </w:r>
      <w:bookmarkEnd w:id="23"/>
    </w:p>
    <w:p w14:paraId="4F5AEFBF" w14:textId="77777777" w:rsidR="009B3794" w:rsidRPr="001F006B" w:rsidRDefault="00A90762" w:rsidP="00C72B41">
      <w:pPr>
        <w:pStyle w:val="BodyTextIndent"/>
        <w:spacing w:before="120"/>
        <w:ind w:left="0"/>
        <w:rPr>
          <w:rFonts w:ascii="Times New Roman" w:hAnsi="Times New Roman"/>
        </w:rPr>
      </w:pPr>
      <w:r w:rsidRPr="001F006B">
        <w:rPr>
          <w:rFonts w:ascii="Times New Roman" w:hAnsi="Times New Roman"/>
        </w:rPr>
        <w:t>The OMB number and expiration d</w:t>
      </w:r>
      <w:r w:rsidR="00D11CA3" w:rsidRPr="001F006B">
        <w:rPr>
          <w:rFonts w:ascii="Times New Roman" w:hAnsi="Times New Roman"/>
        </w:rPr>
        <w:t>ate will be displayed on every</w:t>
      </w:r>
      <w:r w:rsidR="003F0602" w:rsidRPr="001F006B">
        <w:rPr>
          <w:rFonts w:ascii="Times New Roman" w:hAnsi="Times New Roman"/>
        </w:rPr>
        <w:t xml:space="preserve"> page of every form/instrument.</w:t>
      </w:r>
    </w:p>
    <w:p w14:paraId="6EAC4627" w14:textId="77777777" w:rsidR="009B3794" w:rsidRPr="001323AC" w:rsidRDefault="009B3794" w:rsidP="001323AC">
      <w:pPr>
        <w:pStyle w:val="frn"/>
        <w:numPr>
          <w:ilvl w:val="0"/>
          <w:numId w:val="1"/>
        </w:numPr>
        <w:outlineLvl w:val="0"/>
      </w:pPr>
      <w:bookmarkStart w:id="24" w:name="_Toc496878850"/>
      <w:r w:rsidRPr="001323AC">
        <w:t>Exceptions to Certification for Paperwork Reduction Act Submissions</w:t>
      </w:r>
      <w:bookmarkEnd w:id="24"/>
    </w:p>
    <w:p w14:paraId="620C4937" w14:textId="77777777" w:rsidR="009B3794" w:rsidRPr="001F006B" w:rsidRDefault="009B3794" w:rsidP="00D37947">
      <w:pPr>
        <w:pStyle w:val="BodyTextIndent"/>
        <w:spacing w:before="120"/>
        <w:ind w:left="0"/>
        <w:rPr>
          <w:rFonts w:ascii="Times New Roman" w:hAnsi="Times New Roman"/>
        </w:rPr>
      </w:pPr>
      <w:r w:rsidRPr="001F006B">
        <w:rPr>
          <w:rFonts w:ascii="Times New Roman" w:hAnsi="Times New Roman"/>
        </w:rPr>
        <w:t>There are no exceptions to the certification.</w:t>
      </w:r>
    </w:p>
    <w:sectPr w:rsidR="009B3794" w:rsidRPr="001F006B" w:rsidSect="001D4856">
      <w:footerReference w:type="default" r:id="rId2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7982F" w14:textId="77777777" w:rsidR="00846125" w:rsidRDefault="00846125">
      <w:r>
        <w:separator/>
      </w:r>
    </w:p>
  </w:endnote>
  <w:endnote w:type="continuationSeparator" w:id="0">
    <w:p w14:paraId="092888F0" w14:textId="77777777" w:rsidR="00846125" w:rsidRDefault="00846125">
      <w:r>
        <w:continuationSeparator/>
      </w:r>
    </w:p>
  </w:endnote>
  <w:endnote w:type="continuationNotice" w:id="1">
    <w:p w14:paraId="491FE2E1" w14:textId="77777777" w:rsidR="00846125" w:rsidRDefault="00846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79392" w14:textId="77777777" w:rsidR="00846125" w:rsidRDefault="00846125">
    <w:pPr>
      <w:spacing w:line="240" w:lineRule="exact"/>
    </w:pPr>
  </w:p>
  <w:p w14:paraId="5B9546E4" w14:textId="38887EA5" w:rsidR="00846125" w:rsidRDefault="00846125">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51426">
      <w:rPr>
        <w:noProof/>
        <w:sz w:val="24"/>
      </w:rPr>
      <w:t>1</w:t>
    </w:r>
    <w:r>
      <w:rPr>
        <w:sz w:val="24"/>
      </w:rPr>
      <w:fldChar w:fldCharType="end"/>
    </w:r>
  </w:p>
  <w:p w14:paraId="08CD869A" w14:textId="77777777" w:rsidR="00846125" w:rsidRDefault="00846125">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A614D" w14:textId="77777777" w:rsidR="00846125" w:rsidRDefault="00846125">
      <w:r>
        <w:separator/>
      </w:r>
    </w:p>
  </w:footnote>
  <w:footnote w:type="continuationSeparator" w:id="0">
    <w:p w14:paraId="67FC2EE1" w14:textId="77777777" w:rsidR="00846125" w:rsidRDefault="00846125">
      <w:r>
        <w:continuationSeparator/>
      </w:r>
    </w:p>
  </w:footnote>
  <w:footnote w:type="continuationNotice" w:id="1">
    <w:p w14:paraId="09E8A62C" w14:textId="77777777" w:rsidR="00846125" w:rsidRDefault="0084612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838"/>
    <w:multiLevelType w:val="hybridMultilevel"/>
    <w:tmpl w:val="3E7A2E8A"/>
    <w:lvl w:ilvl="0" w:tplc="FCFCF6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83C0700"/>
    <w:multiLevelType w:val="hybridMultilevel"/>
    <w:tmpl w:val="5164C2D4"/>
    <w:lvl w:ilvl="0" w:tplc="A77A7E48">
      <w:start w:val="13"/>
      <w:numFmt w:val="decimal"/>
      <w:lvlText w:val="%1."/>
      <w:lvlJc w:val="left"/>
      <w:pPr>
        <w:tabs>
          <w:tab w:val="num" w:pos="1080"/>
        </w:tabs>
        <w:ind w:left="1080" w:hanging="360"/>
      </w:pPr>
      <w:rPr>
        <w:rFonts w:hint="default"/>
        <w:b/>
      </w:rPr>
    </w:lvl>
    <w:lvl w:ilvl="1" w:tplc="04090019">
      <w:start w:val="1"/>
      <w:numFmt w:val="lowerLetter"/>
      <w:lvlText w:val="%2."/>
      <w:lvlJc w:val="left"/>
      <w:pPr>
        <w:ind w:left="-1350" w:hanging="360"/>
      </w:pPr>
    </w:lvl>
    <w:lvl w:ilvl="2" w:tplc="0409001B">
      <w:start w:val="1"/>
      <w:numFmt w:val="lowerRoman"/>
      <w:lvlText w:val="%3."/>
      <w:lvlJc w:val="right"/>
      <w:pPr>
        <w:ind w:left="-630" w:hanging="180"/>
      </w:pPr>
    </w:lvl>
    <w:lvl w:ilvl="3" w:tplc="0409000F">
      <w:start w:val="1"/>
      <w:numFmt w:val="decimal"/>
      <w:lvlText w:val="%4."/>
      <w:lvlJc w:val="left"/>
      <w:pPr>
        <w:ind w:left="90" w:hanging="360"/>
      </w:pPr>
    </w:lvl>
    <w:lvl w:ilvl="4" w:tplc="04090019">
      <w:start w:val="1"/>
      <w:numFmt w:val="lowerLetter"/>
      <w:lvlText w:val="%5."/>
      <w:lvlJc w:val="left"/>
      <w:pPr>
        <w:ind w:left="810" w:hanging="360"/>
      </w:pPr>
    </w:lvl>
    <w:lvl w:ilvl="5" w:tplc="0409001B">
      <w:start w:val="1"/>
      <w:numFmt w:val="lowerRoman"/>
      <w:lvlText w:val="%6."/>
      <w:lvlJc w:val="right"/>
      <w:pPr>
        <w:ind w:left="1530" w:hanging="180"/>
      </w:pPr>
    </w:lvl>
    <w:lvl w:ilvl="6" w:tplc="0409000F">
      <w:start w:val="1"/>
      <w:numFmt w:val="decimal"/>
      <w:lvlText w:val="%7."/>
      <w:lvlJc w:val="left"/>
      <w:pPr>
        <w:ind w:left="2250" w:hanging="360"/>
      </w:pPr>
    </w:lvl>
    <w:lvl w:ilvl="7" w:tplc="04090019" w:tentative="1">
      <w:start w:val="1"/>
      <w:numFmt w:val="lowerLetter"/>
      <w:lvlText w:val="%8."/>
      <w:lvlJc w:val="left"/>
      <w:pPr>
        <w:ind w:left="2970" w:hanging="360"/>
      </w:pPr>
    </w:lvl>
    <w:lvl w:ilvl="8" w:tplc="0409001B" w:tentative="1">
      <w:start w:val="1"/>
      <w:numFmt w:val="lowerRoman"/>
      <w:lvlText w:val="%9."/>
      <w:lvlJc w:val="right"/>
      <w:pPr>
        <w:ind w:left="3690" w:hanging="180"/>
      </w:pPr>
    </w:lvl>
  </w:abstractNum>
  <w:abstractNum w:abstractNumId="2">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51C0BAC"/>
    <w:multiLevelType w:val="multilevel"/>
    <w:tmpl w:val="D0FA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937A6"/>
    <w:multiLevelType w:val="hybridMultilevel"/>
    <w:tmpl w:val="53A07CC0"/>
    <w:lvl w:ilvl="0" w:tplc="A77A7E48">
      <w:start w:val="13"/>
      <w:numFmt w:val="decimal"/>
      <w:lvlText w:val="%1."/>
      <w:lvlJc w:val="left"/>
      <w:pPr>
        <w:tabs>
          <w:tab w:val="num" w:pos="1080"/>
        </w:tabs>
        <w:ind w:left="1080" w:hanging="360"/>
      </w:pPr>
      <w:rPr>
        <w:rFonts w:hint="default"/>
        <w:b/>
      </w:rPr>
    </w:lvl>
    <w:lvl w:ilvl="1" w:tplc="04090019">
      <w:start w:val="1"/>
      <w:numFmt w:val="lowerLetter"/>
      <w:lvlText w:val="%2."/>
      <w:lvlJc w:val="left"/>
      <w:pPr>
        <w:ind w:left="-1350" w:hanging="360"/>
      </w:pPr>
    </w:lvl>
    <w:lvl w:ilvl="2" w:tplc="0409001B">
      <w:start w:val="1"/>
      <w:numFmt w:val="lowerRoman"/>
      <w:lvlText w:val="%3."/>
      <w:lvlJc w:val="right"/>
      <w:pPr>
        <w:ind w:left="-630" w:hanging="180"/>
      </w:pPr>
    </w:lvl>
    <w:lvl w:ilvl="3" w:tplc="0409000F">
      <w:start w:val="1"/>
      <w:numFmt w:val="decimal"/>
      <w:lvlText w:val="%4."/>
      <w:lvlJc w:val="left"/>
      <w:pPr>
        <w:ind w:left="90" w:hanging="360"/>
      </w:pPr>
    </w:lvl>
    <w:lvl w:ilvl="4" w:tplc="04090019">
      <w:start w:val="1"/>
      <w:numFmt w:val="lowerLetter"/>
      <w:lvlText w:val="%5."/>
      <w:lvlJc w:val="left"/>
      <w:pPr>
        <w:ind w:left="810" w:hanging="360"/>
      </w:pPr>
    </w:lvl>
    <w:lvl w:ilvl="5" w:tplc="0409001B">
      <w:start w:val="1"/>
      <w:numFmt w:val="lowerRoman"/>
      <w:lvlText w:val="%6."/>
      <w:lvlJc w:val="right"/>
      <w:pPr>
        <w:ind w:left="1530" w:hanging="180"/>
      </w:pPr>
    </w:lvl>
    <w:lvl w:ilvl="6" w:tplc="0409000F">
      <w:start w:val="1"/>
      <w:numFmt w:val="decimal"/>
      <w:lvlText w:val="%7."/>
      <w:lvlJc w:val="left"/>
      <w:pPr>
        <w:ind w:left="2250" w:hanging="360"/>
      </w:pPr>
    </w:lvl>
    <w:lvl w:ilvl="7" w:tplc="04090019" w:tentative="1">
      <w:start w:val="1"/>
      <w:numFmt w:val="lowerLetter"/>
      <w:lvlText w:val="%8."/>
      <w:lvlJc w:val="left"/>
      <w:pPr>
        <w:ind w:left="2970" w:hanging="360"/>
      </w:pPr>
    </w:lvl>
    <w:lvl w:ilvl="8" w:tplc="0409001B" w:tentative="1">
      <w:start w:val="1"/>
      <w:numFmt w:val="lowerRoman"/>
      <w:lvlText w:val="%9."/>
      <w:lvlJc w:val="right"/>
      <w:pPr>
        <w:ind w:left="3690" w:hanging="180"/>
      </w:pPr>
    </w:lvl>
  </w:abstractNum>
  <w:abstractNum w:abstractNumId="5">
    <w:nsid w:val="181101CB"/>
    <w:multiLevelType w:val="hybridMultilevel"/>
    <w:tmpl w:val="0B52B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D72E1"/>
    <w:multiLevelType w:val="hybridMultilevel"/>
    <w:tmpl w:val="E70C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1B3E91"/>
    <w:multiLevelType w:val="hybridMultilevel"/>
    <w:tmpl w:val="81DAEEEE"/>
    <w:lvl w:ilvl="0" w:tplc="B14A038C">
      <w:start w:val="1"/>
      <w:numFmt w:val="decimal"/>
      <w:lvlText w:val="%1."/>
      <w:lvlJc w:val="left"/>
      <w:pPr>
        <w:ind w:left="958" w:hanging="360"/>
      </w:pPr>
      <w:rPr>
        <w:rFonts w:ascii="Times New Roman" w:eastAsiaTheme="minorEastAsia" w:hAnsi="Times New Roman" w:cs="Times New Roman"/>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8">
    <w:nsid w:val="289043B2"/>
    <w:multiLevelType w:val="hybridMultilevel"/>
    <w:tmpl w:val="29E4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D3B07"/>
    <w:multiLevelType w:val="hybridMultilevel"/>
    <w:tmpl w:val="07CC71F0"/>
    <w:lvl w:ilvl="0" w:tplc="5CDAACDC">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91609"/>
    <w:multiLevelType w:val="hybridMultilevel"/>
    <w:tmpl w:val="5846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B42AB"/>
    <w:multiLevelType w:val="hybridMultilevel"/>
    <w:tmpl w:val="0512D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F645E2"/>
    <w:multiLevelType w:val="hybridMultilevel"/>
    <w:tmpl w:val="953E0F3A"/>
    <w:lvl w:ilvl="0" w:tplc="68364A2C">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647F29"/>
    <w:multiLevelType w:val="hybridMultilevel"/>
    <w:tmpl w:val="43C8D69E"/>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7026BB"/>
    <w:multiLevelType w:val="hybridMultilevel"/>
    <w:tmpl w:val="499082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D375F0"/>
    <w:multiLevelType w:val="hybridMultilevel"/>
    <w:tmpl w:val="E05234CC"/>
    <w:lvl w:ilvl="0" w:tplc="0082E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9F6A8C"/>
    <w:multiLevelType w:val="hybridMultilevel"/>
    <w:tmpl w:val="499082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6A48F9"/>
    <w:multiLevelType w:val="hybridMultilevel"/>
    <w:tmpl w:val="CBCCF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D19B8"/>
    <w:multiLevelType w:val="hybridMultilevel"/>
    <w:tmpl w:val="43C2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B815A5"/>
    <w:multiLevelType w:val="hybridMultilevel"/>
    <w:tmpl w:val="F8D0E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1D7109"/>
    <w:multiLevelType w:val="hybridMultilevel"/>
    <w:tmpl w:val="7DD6F7AC"/>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D97C00"/>
    <w:multiLevelType w:val="hybridMultilevel"/>
    <w:tmpl w:val="648C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5E955292"/>
    <w:multiLevelType w:val="hybridMultilevel"/>
    <w:tmpl w:val="361E7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0D60AF"/>
    <w:multiLevelType w:val="multilevel"/>
    <w:tmpl w:val="E70E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55C0FD7"/>
    <w:multiLevelType w:val="hybridMultilevel"/>
    <w:tmpl w:val="BAA4A2B2"/>
    <w:lvl w:ilvl="0" w:tplc="450C4EA2">
      <w:start w:val="3"/>
      <w:numFmt w:val="decimal"/>
      <w:lvlText w:val="%1."/>
      <w:lvlJc w:val="left"/>
      <w:pPr>
        <w:tabs>
          <w:tab w:val="num" w:pos="1080"/>
        </w:tabs>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7AFE3033"/>
    <w:multiLevelType w:val="hybridMultilevel"/>
    <w:tmpl w:val="6AA6F88E"/>
    <w:lvl w:ilvl="0" w:tplc="F2C4E4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8"/>
  </w:num>
  <w:num w:numId="3">
    <w:abstractNumId w:val="26"/>
  </w:num>
  <w:num w:numId="4">
    <w:abstractNumId w:val="2"/>
  </w:num>
  <w:num w:numId="5">
    <w:abstractNumId w:val="22"/>
  </w:num>
  <w:num w:numId="6">
    <w:abstractNumId w:val="23"/>
  </w:num>
  <w:num w:numId="7">
    <w:abstractNumId w:val="18"/>
  </w:num>
  <w:num w:numId="8">
    <w:abstractNumId w:val="15"/>
  </w:num>
  <w:num w:numId="9">
    <w:abstractNumId w:val="3"/>
  </w:num>
  <w:num w:numId="10">
    <w:abstractNumId w:val="25"/>
  </w:num>
  <w:num w:numId="11">
    <w:abstractNumId w:val="4"/>
  </w:num>
  <w:num w:numId="12">
    <w:abstractNumId w:val="17"/>
  </w:num>
  <w:num w:numId="13">
    <w:abstractNumId w:val="13"/>
  </w:num>
  <w:num w:numId="14">
    <w:abstractNumId w:val="9"/>
  </w:num>
  <w:num w:numId="15">
    <w:abstractNumId w:val="0"/>
  </w:num>
  <w:num w:numId="16">
    <w:abstractNumId w:val="5"/>
  </w:num>
  <w:num w:numId="17">
    <w:abstractNumId w:val="12"/>
  </w:num>
  <w:num w:numId="18">
    <w:abstractNumId w:val="27"/>
  </w:num>
  <w:num w:numId="19">
    <w:abstractNumId w:val="16"/>
  </w:num>
  <w:num w:numId="20">
    <w:abstractNumId w:val="14"/>
  </w:num>
  <w:num w:numId="21">
    <w:abstractNumId w:val="24"/>
  </w:num>
  <w:num w:numId="22">
    <w:abstractNumId w:val="8"/>
  </w:num>
  <w:num w:numId="23">
    <w:abstractNumId w:val="7"/>
  </w:num>
  <w:num w:numId="24">
    <w:abstractNumId w:val="10"/>
  </w:num>
  <w:num w:numId="25">
    <w:abstractNumId w:val="11"/>
  </w:num>
  <w:num w:numId="26">
    <w:abstractNumId w:val="1"/>
  </w:num>
  <w:num w:numId="27">
    <w:abstractNumId w:val="19"/>
  </w:num>
  <w:num w:numId="28">
    <w:abstractNumId w:val="29"/>
  </w:num>
  <w:num w:numId="29">
    <w:abstractNumId w:val="21"/>
  </w:num>
  <w:num w:numId="3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1A3D"/>
    <w:rsid w:val="0000324D"/>
    <w:rsid w:val="00015505"/>
    <w:rsid w:val="000209D7"/>
    <w:rsid w:val="000233EF"/>
    <w:rsid w:val="000244A9"/>
    <w:rsid w:val="0002798C"/>
    <w:rsid w:val="00060406"/>
    <w:rsid w:val="000617AE"/>
    <w:rsid w:val="00071917"/>
    <w:rsid w:val="000729BF"/>
    <w:rsid w:val="00076950"/>
    <w:rsid w:val="00081888"/>
    <w:rsid w:val="00083B12"/>
    <w:rsid w:val="000850A2"/>
    <w:rsid w:val="00086E9D"/>
    <w:rsid w:val="00092018"/>
    <w:rsid w:val="000A1774"/>
    <w:rsid w:val="000A39C4"/>
    <w:rsid w:val="000B1B1C"/>
    <w:rsid w:val="000B767E"/>
    <w:rsid w:val="000C04D7"/>
    <w:rsid w:val="000C1771"/>
    <w:rsid w:val="000C6390"/>
    <w:rsid w:val="000C6445"/>
    <w:rsid w:val="000C76CE"/>
    <w:rsid w:val="000D26E1"/>
    <w:rsid w:val="000D55A8"/>
    <w:rsid w:val="000E0F0D"/>
    <w:rsid w:val="000E1765"/>
    <w:rsid w:val="000E7600"/>
    <w:rsid w:val="001008F4"/>
    <w:rsid w:val="001024F8"/>
    <w:rsid w:val="001025F0"/>
    <w:rsid w:val="001073DF"/>
    <w:rsid w:val="00107F1C"/>
    <w:rsid w:val="00110454"/>
    <w:rsid w:val="001122FA"/>
    <w:rsid w:val="00113343"/>
    <w:rsid w:val="00123CAA"/>
    <w:rsid w:val="001323AC"/>
    <w:rsid w:val="001325B2"/>
    <w:rsid w:val="00143977"/>
    <w:rsid w:val="001462CF"/>
    <w:rsid w:val="00150795"/>
    <w:rsid w:val="00154AAA"/>
    <w:rsid w:val="001711BF"/>
    <w:rsid w:val="00172FDC"/>
    <w:rsid w:val="00177850"/>
    <w:rsid w:val="001818BA"/>
    <w:rsid w:val="001853BC"/>
    <w:rsid w:val="00186813"/>
    <w:rsid w:val="0019084D"/>
    <w:rsid w:val="00190E17"/>
    <w:rsid w:val="00191767"/>
    <w:rsid w:val="001920C3"/>
    <w:rsid w:val="00197589"/>
    <w:rsid w:val="001A7A5C"/>
    <w:rsid w:val="001B3A3F"/>
    <w:rsid w:val="001B446F"/>
    <w:rsid w:val="001B68F2"/>
    <w:rsid w:val="001D11D2"/>
    <w:rsid w:val="001D4856"/>
    <w:rsid w:val="001E0779"/>
    <w:rsid w:val="001F006B"/>
    <w:rsid w:val="001F095C"/>
    <w:rsid w:val="001F2B9D"/>
    <w:rsid w:val="001F38C7"/>
    <w:rsid w:val="00200E83"/>
    <w:rsid w:val="00201E85"/>
    <w:rsid w:val="0020373D"/>
    <w:rsid w:val="00207ADE"/>
    <w:rsid w:val="002118B4"/>
    <w:rsid w:val="00215270"/>
    <w:rsid w:val="00216A45"/>
    <w:rsid w:val="002256EB"/>
    <w:rsid w:val="002272B8"/>
    <w:rsid w:val="0023199C"/>
    <w:rsid w:val="00240015"/>
    <w:rsid w:val="00245F93"/>
    <w:rsid w:val="00260AE0"/>
    <w:rsid w:val="0026113E"/>
    <w:rsid w:val="00261944"/>
    <w:rsid w:val="002640E7"/>
    <w:rsid w:val="00272FC4"/>
    <w:rsid w:val="002745DE"/>
    <w:rsid w:val="00275BDA"/>
    <w:rsid w:val="00275F04"/>
    <w:rsid w:val="002865A7"/>
    <w:rsid w:val="0028723B"/>
    <w:rsid w:val="0028742F"/>
    <w:rsid w:val="00287A16"/>
    <w:rsid w:val="002A21A7"/>
    <w:rsid w:val="002B1649"/>
    <w:rsid w:val="002B761F"/>
    <w:rsid w:val="002C19C5"/>
    <w:rsid w:val="002C23B0"/>
    <w:rsid w:val="002C4701"/>
    <w:rsid w:val="002D3AB3"/>
    <w:rsid w:val="002D3EA7"/>
    <w:rsid w:val="002E1522"/>
    <w:rsid w:val="00306287"/>
    <w:rsid w:val="00310638"/>
    <w:rsid w:val="003135BE"/>
    <w:rsid w:val="00320304"/>
    <w:rsid w:val="003212B0"/>
    <w:rsid w:val="00322313"/>
    <w:rsid w:val="0032236E"/>
    <w:rsid w:val="00333E7D"/>
    <w:rsid w:val="003365E0"/>
    <w:rsid w:val="00337D01"/>
    <w:rsid w:val="00342018"/>
    <w:rsid w:val="00347D52"/>
    <w:rsid w:val="0036117E"/>
    <w:rsid w:val="00365A1B"/>
    <w:rsid w:val="00372AC3"/>
    <w:rsid w:val="003859B4"/>
    <w:rsid w:val="00391E16"/>
    <w:rsid w:val="00394FEE"/>
    <w:rsid w:val="0039528F"/>
    <w:rsid w:val="00397EA1"/>
    <w:rsid w:val="003A1EE6"/>
    <w:rsid w:val="003A4193"/>
    <w:rsid w:val="003B4A04"/>
    <w:rsid w:val="003B59C9"/>
    <w:rsid w:val="003C4879"/>
    <w:rsid w:val="003C648A"/>
    <w:rsid w:val="003D23B1"/>
    <w:rsid w:val="003F048A"/>
    <w:rsid w:val="003F0602"/>
    <w:rsid w:val="003F2991"/>
    <w:rsid w:val="003F4DB2"/>
    <w:rsid w:val="00400CD0"/>
    <w:rsid w:val="00403BD2"/>
    <w:rsid w:val="00414F53"/>
    <w:rsid w:val="00422B31"/>
    <w:rsid w:val="00426346"/>
    <w:rsid w:val="00431B86"/>
    <w:rsid w:val="004338DC"/>
    <w:rsid w:val="0043554C"/>
    <w:rsid w:val="00436DDA"/>
    <w:rsid w:val="004407A7"/>
    <w:rsid w:val="00446EC9"/>
    <w:rsid w:val="00472847"/>
    <w:rsid w:val="004746CA"/>
    <w:rsid w:val="00490720"/>
    <w:rsid w:val="00494A99"/>
    <w:rsid w:val="0049555A"/>
    <w:rsid w:val="00495585"/>
    <w:rsid w:val="00496692"/>
    <w:rsid w:val="004A0C71"/>
    <w:rsid w:val="004A4983"/>
    <w:rsid w:val="004C392C"/>
    <w:rsid w:val="004C4006"/>
    <w:rsid w:val="004C6AC6"/>
    <w:rsid w:val="004E47DB"/>
    <w:rsid w:val="004E687D"/>
    <w:rsid w:val="004F152A"/>
    <w:rsid w:val="005039F2"/>
    <w:rsid w:val="00503BAB"/>
    <w:rsid w:val="0051392F"/>
    <w:rsid w:val="005148D7"/>
    <w:rsid w:val="00527793"/>
    <w:rsid w:val="00530A28"/>
    <w:rsid w:val="00535393"/>
    <w:rsid w:val="00540686"/>
    <w:rsid w:val="00544A29"/>
    <w:rsid w:val="00546A97"/>
    <w:rsid w:val="00547D23"/>
    <w:rsid w:val="00553E48"/>
    <w:rsid w:val="005574E9"/>
    <w:rsid w:val="005601C2"/>
    <w:rsid w:val="00561DBD"/>
    <w:rsid w:val="005860B1"/>
    <w:rsid w:val="00594A61"/>
    <w:rsid w:val="005B463C"/>
    <w:rsid w:val="005C63D7"/>
    <w:rsid w:val="005D0CE7"/>
    <w:rsid w:val="005D2B08"/>
    <w:rsid w:val="005D42BB"/>
    <w:rsid w:val="005D7625"/>
    <w:rsid w:val="005E1765"/>
    <w:rsid w:val="005E43DA"/>
    <w:rsid w:val="005F470F"/>
    <w:rsid w:val="00601A48"/>
    <w:rsid w:val="00601E56"/>
    <w:rsid w:val="006068D6"/>
    <w:rsid w:val="00607AF3"/>
    <w:rsid w:val="00620D81"/>
    <w:rsid w:val="00621AD0"/>
    <w:rsid w:val="00624019"/>
    <w:rsid w:val="00627FFD"/>
    <w:rsid w:val="0063221C"/>
    <w:rsid w:val="006333E5"/>
    <w:rsid w:val="006358F5"/>
    <w:rsid w:val="0063635C"/>
    <w:rsid w:val="00636FA3"/>
    <w:rsid w:val="00654500"/>
    <w:rsid w:val="00655B81"/>
    <w:rsid w:val="0066155D"/>
    <w:rsid w:val="0066160C"/>
    <w:rsid w:val="00663643"/>
    <w:rsid w:val="006646E5"/>
    <w:rsid w:val="00676FAA"/>
    <w:rsid w:val="00677398"/>
    <w:rsid w:val="00680D76"/>
    <w:rsid w:val="006820DD"/>
    <w:rsid w:val="006C21DA"/>
    <w:rsid w:val="006C56F3"/>
    <w:rsid w:val="006D6580"/>
    <w:rsid w:val="006E1BDA"/>
    <w:rsid w:val="006E55A6"/>
    <w:rsid w:val="00711612"/>
    <w:rsid w:val="007124E7"/>
    <w:rsid w:val="007169D9"/>
    <w:rsid w:val="007175E3"/>
    <w:rsid w:val="00717A3B"/>
    <w:rsid w:val="00720239"/>
    <w:rsid w:val="00724B0B"/>
    <w:rsid w:val="0073114C"/>
    <w:rsid w:val="007313E6"/>
    <w:rsid w:val="00734F1D"/>
    <w:rsid w:val="00737758"/>
    <w:rsid w:val="00754F2E"/>
    <w:rsid w:val="00757652"/>
    <w:rsid w:val="00761C1E"/>
    <w:rsid w:val="00775F2D"/>
    <w:rsid w:val="00781F76"/>
    <w:rsid w:val="007858B1"/>
    <w:rsid w:val="00790A34"/>
    <w:rsid w:val="0079113B"/>
    <w:rsid w:val="00794487"/>
    <w:rsid w:val="0079452E"/>
    <w:rsid w:val="007A1427"/>
    <w:rsid w:val="007A5983"/>
    <w:rsid w:val="007B4464"/>
    <w:rsid w:val="007B727C"/>
    <w:rsid w:val="007C014E"/>
    <w:rsid w:val="007C4FD3"/>
    <w:rsid w:val="007C6208"/>
    <w:rsid w:val="007C795E"/>
    <w:rsid w:val="007E34BE"/>
    <w:rsid w:val="007E4FD2"/>
    <w:rsid w:val="007F047A"/>
    <w:rsid w:val="007F3A8E"/>
    <w:rsid w:val="007F6B68"/>
    <w:rsid w:val="007F7657"/>
    <w:rsid w:val="008002AB"/>
    <w:rsid w:val="00820C65"/>
    <w:rsid w:val="008276B9"/>
    <w:rsid w:val="00830C1A"/>
    <w:rsid w:val="00846125"/>
    <w:rsid w:val="00850B14"/>
    <w:rsid w:val="008512E0"/>
    <w:rsid w:val="00861E2D"/>
    <w:rsid w:val="0086605E"/>
    <w:rsid w:val="008669B1"/>
    <w:rsid w:val="00866C3E"/>
    <w:rsid w:val="00872529"/>
    <w:rsid w:val="00874420"/>
    <w:rsid w:val="00880050"/>
    <w:rsid w:val="00881E90"/>
    <w:rsid w:val="00891486"/>
    <w:rsid w:val="0089404E"/>
    <w:rsid w:val="008B04CA"/>
    <w:rsid w:val="008B06A6"/>
    <w:rsid w:val="008B07AB"/>
    <w:rsid w:val="008B167E"/>
    <w:rsid w:val="008B2E43"/>
    <w:rsid w:val="008B4796"/>
    <w:rsid w:val="008B5631"/>
    <w:rsid w:val="008B6424"/>
    <w:rsid w:val="008B67C0"/>
    <w:rsid w:val="008C4794"/>
    <w:rsid w:val="008D2D67"/>
    <w:rsid w:val="008E334A"/>
    <w:rsid w:val="008F3CB4"/>
    <w:rsid w:val="00903E6A"/>
    <w:rsid w:val="009064A2"/>
    <w:rsid w:val="00907042"/>
    <w:rsid w:val="00912508"/>
    <w:rsid w:val="00916176"/>
    <w:rsid w:val="00917E64"/>
    <w:rsid w:val="00925FBE"/>
    <w:rsid w:val="00935E77"/>
    <w:rsid w:val="00941E39"/>
    <w:rsid w:val="00953DE5"/>
    <w:rsid w:val="009568E7"/>
    <w:rsid w:val="00960956"/>
    <w:rsid w:val="00963C6C"/>
    <w:rsid w:val="009835E7"/>
    <w:rsid w:val="00993FC9"/>
    <w:rsid w:val="009A3260"/>
    <w:rsid w:val="009A5FEE"/>
    <w:rsid w:val="009B23FA"/>
    <w:rsid w:val="009B3794"/>
    <w:rsid w:val="009B51EF"/>
    <w:rsid w:val="009B5498"/>
    <w:rsid w:val="009B5831"/>
    <w:rsid w:val="009B5A19"/>
    <w:rsid w:val="009B7E4D"/>
    <w:rsid w:val="009C3FE4"/>
    <w:rsid w:val="009D1B16"/>
    <w:rsid w:val="009D1D89"/>
    <w:rsid w:val="009D6452"/>
    <w:rsid w:val="009F2A77"/>
    <w:rsid w:val="00A0124E"/>
    <w:rsid w:val="00A14D5F"/>
    <w:rsid w:val="00A1688A"/>
    <w:rsid w:val="00A25011"/>
    <w:rsid w:val="00A3068F"/>
    <w:rsid w:val="00A44862"/>
    <w:rsid w:val="00A611E3"/>
    <w:rsid w:val="00A657CD"/>
    <w:rsid w:val="00A66442"/>
    <w:rsid w:val="00A70234"/>
    <w:rsid w:val="00A87515"/>
    <w:rsid w:val="00A90762"/>
    <w:rsid w:val="00A92CAB"/>
    <w:rsid w:val="00AA1F49"/>
    <w:rsid w:val="00AA247A"/>
    <w:rsid w:val="00AA72A3"/>
    <w:rsid w:val="00AB0E54"/>
    <w:rsid w:val="00AB2961"/>
    <w:rsid w:val="00AB4DBB"/>
    <w:rsid w:val="00AC283E"/>
    <w:rsid w:val="00AC6F38"/>
    <w:rsid w:val="00AD111F"/>
    <w:rsid w:val="00AD5517"/>
    <w:rsid w:val="00AE00DE"/>
    <w:rsid w:val="00AE0BCC"/>
    <w:rsid w:val="00AE3BE1"/>
    <w:rsid w:val="00AE7154"/>
    <w:rsid w:val="00AF10EA"/>
    <w:rsid w:val="00AF1446"/>
    <w:rsid w:val="00AF55FA"/>
    <w:rsid w:val="00AF660B"/>
    <w:rsid w:val="00B050B2"/>
    <w:rsid w:val="00B059E3"/>
    <w:rsid w:val="00B0649A"/>
    <w:rsid w:val="00B139B9"/>
    <w:rsid w:val="00B15979"/>
    <w:rsid w:val="00B242E9"/>
    <w:rsid w:val="00B24FF0"/>
    <w:rsid w:val="00B31E66"/>
    <w:rsid w:val="00B326D9"/>
    <w:rsid w:val="00B337C3"/>
    <w:rsid w:val="00B365FA"/>
    <w:rsid w:val="00B51426"/>
    <w:rsid w:val="00B5784C"/>
    <w:rsid w:val="00B655C6"/>
    <w:rsid w:val="00B6750A"/>
    <w:rsid w:val="00B67AC6"/>
    <w:rsid w:val="00B7177C"/>
    <w:rsid w:val="00B90797"/>
    <w:rsid w:val="00B96919"/>
    <w:rsid w:val="00BA1A0C"/>
    <w:rsid w:val="00BA404E"/>
    <w:rsid w:val="00BB6A4F"/>
    <w:rsid w:val="00BF36C3"/>
    <w:rsid w:val="00BF39E1"/>
    <w:rsid w:val="00BF6377"/>
    <w:rsid w:val="00C046E0"/>
    <w:rsid w:val="00C05CB5"/>
    <w:rsid w:val="00C14809"/>
    <w:rsid w:val="00C15F13"/>
    <w:rsid w:val="00C17748"/>
    <w:rsid w:val="00C45431"/>
    <w:rsid w:val="00C45456"/>
    <w:rsid w:val="00C45EDF"/>
    <w:rsid w:val="00C50F80"/>
    <w:rsid w:val="00C72B41"/>
    <w:rsid w:val="00C74B86"/>
    <w:rsid w:val="00C86DD8"/>
    <w:rsid w:val="00C94832"/>
    <w:rsid w:val="00CA3DA6"/>
    <w:rsid w:val="00CB173C"/>
    <w:rsid w:val="00CB1C48"/>
    <w:rsid w:val="00CB2C9D"/>
    <w:rsid w:val="00CB6030"/>
    <w:rsid w:val="00CC1A07"/>
    <w:rsid w:val="00CC31EB"/>
    <w:rsid w:val="00CD36E7"/>
    <w:rsid w:val="00CD6C3F"/>
    <w:rsid w:val="00CE1AA7"/>
    <w:rsid w:val="00CE4A33"/>
    <w:rsid w:val="00CE5AA9"/>
    <w:rsid w:val="00CF19C9"/>
    <w:rsid w:val="00CF6F75"/>
    <w:rsid w:val="00D05543"/>
    <w:rsid w:val="00D11CA3"/>
    <w:rsid w:val="00D137D1"/>
    <w:rsid w:val="00D21342"/>
    <w:rsid w:val="00D213CA"/>
    <w:rsid w:val="00D22734"/>
    <w:rsid w:val="00D33D8F"/>
    <w:rsid w:val="00D37947"/>
    <w:rsid w:val="00D462A1"/>
    <w:rsid w:val="00D46313"/>
    <w:rsid w:val="00D50321"/>
    <w:rsid w:val="00D54B1E"/>
    <w:rsid w:val="00D56CC2"/>
    <w:rsid w:val="00D62EFC"/>
    <w:rsid w:val="00D67B18"/>
    <w:rsid w:val="00D74B86"/>
    <w:rsid w:val="00D779A8"/>
    <w:rsid w:val="00D85F76"/>
    <w:rsid w:val="00D92E1D"/>
    <w:rsid w:val="00D94F24"/>
    <w:rsid w:val="00DA457A"/>
    <w:rsid w:val="00DB18AF"/>
    <w:rsid w:val="00DC6636"/>
    <w:rsid w:val="00DD6E79"/>
    <w:rsid w:val="00DE1304"/>
    <w:rsid w:val="00DE24FA"/>
    <w:rsid w:val="00DE3A45"/>
    <w:rsid w:val="00DE416F"/>
    <w:rsid w:val="00DE51D3"/>
    <w:rsid w:val="00DF0996"/>
    <w:rsid w:val="00DF110A"/>
    <w:rsid w:val="00DF5149"/>
    <w:rsid w:val="00E00CEE"/>
    <w:rsid w:val="00E03327"/>
    <w:rsid w:val="00E03E53"/>
    <w:rsid w:val="00E0731C"/>
    <w:rsid w:val="00E203FA"/>
    <w:rsid w:val="00E34A1F"/>
    <w:rsid w:val="00E40F7D"/>
    <w:rsid w:val="00E42A72"/>
    <w:rsid w:val="00E43791"/>
    <w:rsid w:val="00E558CD"/>
    <w:rsid w:val="00E64C47"/>
    <w:rsid w:val="00E87554"/>
    <w:rsid w:val="00E9059C"/>
    <w:rsid w:val="00E916A4"/>
    <w:rsid w:val="00E962DB"/>
    <w:rsid w:val="00E97A4F"/>
    <w:rsid w:val="00EA5795"/>
    <w:rsid w:val="00EB533E"/>
    <w:rsid w:val="00EB6965"/>
    <w:rsid w:val="00EC38CD"/>
    <w:rsid w:val="00ED18EA"/>
    <w:rsid w:val="00ED208A"/>
    <w:rsid w:val="00ED57BC"/>
    <w:rsid w:val="00ED5F22"/>
    <w:rsid w:val="00EE1428"/>
    <w:rsid w:val="00EE529C"/>
    <w:rsid w:val="00EE68C2"/>
    <w:rsid w:val="00EF557F"/>
    <w:rsid w:val="00F056C8"/>
    <w:rsid w:val="00F14F14"/>
    <w:rsid w:val="00F251DF"/>
    <w:rsid w:val="00F258B9"/>
    <w:rsid w:val="00F27E0B"/>
    <w:rsid w:val="00F33730"/>
    <w:rsid w:val="00F42048"/>
    <w:rsid w:val="00F4221E"/>
    <w:rsid w:val="00F611A3"/>
    <w:rsid w:val="00F6186C"/>
    <w:rsid w:val="00F645D8"/>
    <w:rsid w:val="00F7551D"/>
    <w:rsid w:val="00F77242"/>
    <w:rsid w:val="00F866FC"/>
    <w:rsid w:val="00F90106"/>
    <w:rsid w:val="00F963F3"/>
    <w:rsid w:val="00FA013C"/>
    <w:rsid w:val="00FA111A"/>
    <w:rsid w:val="00FA2612"/>
    <w:rsid w:val="00FA2BB8"/>
    <w:rsid w:val="00FA6BE2"/>
    <w:rsid w:val="00FA7BCF"/>
    <w:rsid w:val="00FB014A"/>
    <w:rsid w:val="00FB55CD"/>
    <w:rsid w:val="00FC3F0C"/>
    <w:rsid w:val="00FE6083"/>
    <w:rsid w:val="00FE6C30"/>
    <w:rsid w:val="00FF3E89"/>
    <w:rsid w:val="00FF5861"/>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31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5D2B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820C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customStyle="1" w:styleId="Heading2Char">
    <w:name w:val="Heading 2 Char"/>
    <w:basedOn w:val="DefaultParagraphFont"/>
    <w:link w:val="Heading2"/>
    <w:semiHidden/>
    <w:rsid w:val="005D2B08"/>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5D2B08"/>
    <w:pPr>
      <w:spacing w:after="120"/>
    </w:pPr>
  </w:style>
  <w:style w:type="character" w:customStyle="1" w:styleId="BodyTextChar">
    <w:name w:val="Body Text Char"/>
    <w:basedOn w:val="DefaultParagraphFont"/>
    <w:link w:val="BodyText"/>
    <w:rsid w:val="005D2B08"/>
    <w:rPr>
      <w:szCs w:val="24"/>
    </w:rPr>
  </w:style>
  <w:style w:type="character" w:styleId="CommentReference">
    <w:name w:val="annotation reference"/>
    <w:basedOn w:val="DefaultParagraphFont"/>
    <w:semiHidden/>
    <w:unhideWhenUsed/>
    <w:rsid w:val="000A39C4"/>
    <w:rPr>
      <w:sz w:val="16"/>
      <w:szCs w:val="16"/>
    </w:rPr>
  </w:style>
  <w:style w:type="paragraph" w:styleId="CommentText">
    <w:name w:val="annotation text"/>
    <w:basedOn w:val="Normal"/>
    <w:link w:val="CommentTextChar"/>
    <w:semiHidden/>
    <w:unhideWhenUsed/>
    <w:rsid w:val="000A39C4"/>
    <w:rPr>
      <w:szCs w:val="20"/>
    </w:rPr>
  </w:style>
  <w:style w:type="character" w:customStyle="1" w:styleId="CommentTextChar">
    <w:name w:val="Comment Text Char"/>
    <w:basedOn w:val="DefaultParagraphFont"/>
    <w:link w:val="CommentText"/>
    <w:semiHidden/>
    <w:rsid w:val="000A39C4"/>
  </w:style>
  <w:style w:type="paragraph" w:styleId="CommentSubject">
    <w:name w:val="annotation subject"/>
    <w:basedOn w:val="CommentText"/>
    <w:next w:val="CommentText"/>
    <w:link w:val="CommentSubjectChar"/>
    <w:semiHidden/>
    <w:unhideWhenUsed/>
    <w:rsid w:val="000A39C4"/>
    <w:rPr>
      <w:b/>
      <w:bCs/>
    </w:rPr>
  </w:style>
  <w:style w:type="character" w:customStyle="1" w:styleId="CommentSubjectChar">
    <w:name w:val="Comment Subject Char"/>
    <w:basedOn w:val="CommentTextChar"/>
    <w:link w:val="CommentSubject"/>
    <w:semiHidden/>
    <w:rsid w:val="000A39C4"/>
    <w:rPr>
      <w:b/>
      <w:bCs/>
    </w:rPr>
  </w:style>
  <w:style w:type="table" w:customStyle="1" w:styleId="TableGrid2">
    <w:name w:val="Table Grid2"/>
    <w:basedOn w:val="TableNormal"/>
    <w:next w:val="TableGrid"/>
    <w:uiPriority w:val="59"/>
    <w:rsid w:val="0030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06287"/>
    <w:rPr>
      <w:szCs w:val="24"/>
    </w:rPr>
  </w:style>
  <w:style w:type="paragraph" w:styleId="FootnoteText">
    <w:name w:val="footnote text"/>
    <w:basedOn w:val="Normal"/>
    <w:link w:val="FootnoteTextChar"/>
    <w:rsid w:val="00306287"/>
    <w:rPr>
      <w:szCs w:val="20"/>
    </w:rPr>
  </w:style>
  <w:style w:type="character" w:customStyle="1" w:styleId="FootnoteTextChar">
    <w:name w:val="Footnote Text Char"/>
    <w:basedOn w:val="DefaultParagraphFont"/>
    <w:link w:val="FootnoteText"/>
    <w:rsid w:val="00306287"/>
  </w:style>
  <w:style w:type="character" w:styleId="FollowedHyperlink">
    <w:name w:val="FollowedHyperlink"/>
    <w:basedOn w:val="DefaultParagraphFont"/>
    <w:semiHidden/>
    <w:unhideWhenUsed/>
    <w:rsid w:val="00306287"/>
    <w:rPr>
      <w:color w:val="800080" w:themeColor="followedHyperlink"/>
      <w:u w:val="single"/>
    </w:rPr>
  </w:style>
  <w:style w:type="character" w:customStyle="1" w:styleId="Heading4Char">
    <w:name w:val="Heading 4 Char"/>
    <w:basedOn w:val="DefaultParagraphFont"/>
    <w:link w:val="Heading4"/>
    <w:semiHidden/>
    <w:rsid w:val="00820C65"/>
    <w:rPr>
      <w:rFonts w:asciiTheme="majorHAnsi" w:eastAsiaTheme="majorEastAsia" w:hAnsiTheme="majorHAnsi" w:cstheme="majorBidi"/>
      <w:i/>
      <w:iCs/>
      <w:color w:val="365F91" w:themeColor="accent1" w:themeShade="BF"/>
      <w:szCs w:val="24"/>
    </w:rPr>
  </w:style>
  <w:style w:type="table" w:customStyle="1" w:styleId="TableGrid1">
    <w:name w:val="Table Grid1"/>
    <w:basedOn w:val="TableNormal"/>
    <w:next w:val="TableGrid"/>
    <w:uiPriority w:val="59"/>
    <w:rsid w:val="001E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F7F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436DDA"/>
  </w:style>
  <w:style w:type="paragraph" w:customStyle="1" w:styleId="frn">
    <w:name w:val="frn"/>
    <w:basedOn w:val="Normal"/>
    <w:link w:val="frnChar"/>
    <w:qFormat/>
    <w:rsid w:val="00436DDA"/>
    <w:pPr>
      <w:tabs>
        <w:tab w:val="num" w:pos="360"/>
      </w:tabs>
      <w:spacing w:before="240"/>
      <w:ind w:left="360" w:hanging="360"/>
    </w:pPr>
    <w:rPr>
      <w:b/>
      <w:sz w:val="24"/>
      <w:u w:val="single"/>
    </w:rPr>
  </w:style>
  <w:style w:type="character" w:customStyle="1" w:styleId="frnChar">
    <w:name w:val="frn Char"/>
    <w:basedOn w:val="DefaultParagraphFont"/>
    <w:link w:val="frn"/>
    <w:rsid w:val="00436DDA"/>
    <w:rPr>
      <w:b/>
      <w:sz w:val="24"/>
      <w:szCs w:val="24"/>
      <w:u w:val="single"/>
    </w:rPr>
  </w:style>
  <w:style w:type="table" w:customStyle="1" w:styleId="TableGrid4">
    <w:name w:val="Table Grid4"/>
    <w:basedOn w:val="TableNormal"/>
    <w:next w:val="TableGrid"/>
    <w:uiPriority w:val="59"/>
    <w:rsid w:val="001F3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D5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62EFC"/>
    <w:pPr>
      <w:spacing w:after="100"/>
    </w:pPr>
  </w:style>
  <w:style w:type="paragraph" w:styleId="TOC2">
    <w:name w:val="toc 2"/>
    <w:basedOn w:val="Normal"/>
    <w:next w:val="Normal"/>
    <w:autoRedefine/>
    <w:uiPriority w:val="39"/>
    <w:rsid w:val="00D62EFC"/>
    <w:pPr>
      <w:spacing w:after="100"/>
      <w:ind w:left="200"/>
    </w:pPr>
  </w:style>
  <w:style w:type="paragraph" w:styleId="Revision">
    <w:name w:val="Revision"/>
    <w:hidden/>
    <w:uiPriority w:val="99"/>
    <w:semiHidden/>
    <w:rsid w:val="00601E56"/>
    <w:rPr>
      <w:szCs w:val="24"/>
    </w:rPr>
  </w:style>
  <w:style w:type="paragraph" w:styleId="NormalWeb">
    <w:name w:val="Normal (Web)"/>
    <w:basedOn w:val="Normal"/>
    <w:uiPriority w:val="99"/>
    <w:unhideWhenUsed/>
    <w:rsid w:val="008B2E43"/>
    <w:pPr>
      <w:widowControl/>
      <w:autoSpaceDE/>
      <w:autoSpaceDN/>
      <w:adjustRightInd/>
      <w:spacing w:before="100" w:beforeAutospacing="1" w:after="100" w:afterAutospacing="1"/>
    </w:pPr>
    <w:rPr>
      <w:rFonts w:eastAsiaTheme="minorHAnsi"/>
      <w:sz w:val="24"/>
    </w:rPr>
  </w:style>
  <w:style w:type="paragraph" w:styleId="Header">
    <w:name w:val="header"/>
    <w:basedOn w:val="Normal"/>
    <w:link w:val="HeaderChar"/>
    <w:unhideWhenUsed/>
    <w:rsid w:val="00D54B1E"/>
    <w:pPr>
      <w:tabs>
        <w:tab w:val="center" w:pos="4680"/>
        <w:tab w:val="right" w:pos="9360"/>
      </w:tabs>
    </w:pPr>
  </w:style>
  <w:style w:type="character" w:customStyle="1" w:styleId="HeaderChar">
    <w:name w:val="Header Char"/>
    <w:basedOn w:val="DefaultParagraphFont"/>
    <w:link w:val="Header"/>
    <w:rsid w:val="00D54B1E"/>
    <w:rPr>
      <w:szCs w:val="24"/>
    </w:rPr>
  </w:style>
  <w:style w:type="paragraph" w:styleId="Footer">
    <w:name w:val="footer"/>
    <w:basedOn w:val="Normal"/>
    <w:link w:val="FooterChar"/>
    <w:unhideWhenUsed/>
    <w:rsid w:val="00D54B1E"/>
    <w:pPr>
      <w:tabs>
        <w:tab w:val="center" w:pos="4680"/>
        <w:tab w:val="right" w:pos="9360"/>
      </w:tabs>
    </w:pPr>
  </w:style>
  <w:style w:type="character" w:customStyle="1" w:styleId="FooterChar">
    <w:name w:val="Footer Char"/>
    <w:basedOn w:val="DefaultParagraphFont"/>
    <w:link w:val="Footer"/>
    <w:rsid w:val="00D54B1E"/>
    <w:rPr>
      <w:szCs w:val="24"/>
    </w:rPr>
  </w:style>
  <w:style w:type="character" w:customStyle="1" w:styleId="BodyTextIndentChar">
    <w:name w:val="Body Text Indent Char"/>
    <w:basedOn w:val="DefaultParagraphFont"/>
    <w:link w:val="BodyTextIndent"/>
    <w:rsid w:val="00D54B1E"/>
    <w:rPr>
      <w:rFonts w:ascii="Baskerville Old Face" w:hAnsi="Baskerville Old Fac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5D2B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820C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customStyle="1" w:styleId="Heading2Char">
    <w:name w:val="Heading 2 Char"/>
    <w:basedOn w:val="DefaultParagraphFont"/>
    <w:link w:val="Heading2"/>
    <w:semiHidden/>
    <w:rsid w:val="005D2B08"/>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5D2B08"/>
    <w:pPr>
      <w:spacing w:after="120"/>
    </w:pPr>
  </w:style>
  <w:style w:type="character" w:customStyle="1" w:styleId="BodyTextChar">
    <w:name w:val="Body Text Char"/>
    <w:basedOn w:val="DefaultParagraphFont"/>
    <w:link w:val="BodyText"/>
    <w:rsid w:val="005D2B08"/>
    <w:rPr>
      <w:szCs w:val="24"/>
    </w:rPr>
  </w:style>
  <w:style w:type="character" w:styleId="CommentReference">
    <w:name w:val="annotation reference"/>
    <w:basedOn w:val="DefaultParagraphFont"/>
    <w:semiHidden/>
    <w:unhideWhenUsed/>
    <w:rsid w:val="000A39C4"/>
    <w:rPr>
      <w:sz w:val="16"/>
      <w:szCs w:val="16"/>
    </w:rPr>
  </w:style>
  <w:style w:type="paragraph" w:styleId="CommentText">
    <w:name w:val="annotation text"/>
    <w:basedOn w:val="Normal"/>
    <w:link w:val="CommentTextChar"/>
    <w:semiHidden/>
    <w:unhideWhenUsed/>
    <w:rsid w:val="000A39C4"/>
    <w:rPr>
      <w:szCs w:val="20"/>
    </w:rPr>
  </w:style>
  <w:style w:type="character" w:customStyle="1" w:styleId="CommentTextChar">
    <w:name w:val="Comment Text Char"/>
    <w:basedOn w:val="DefaultParagraphFont"/>
    <w:link w:val="CommentText"/>
    <w:semiHidden/>
    <w:rsid w:val="000A39C4"/>
  </w:style>
  <w:style w:type="paragraph" w:styleId="CommentSubject">
    <w:name w:val="annotation subject"/>
    <w:basedOn w:val="CommentText"/>
    <w:next w:val="CommentText"/>
    <w:link w:val="CommentSubjectChar"/>
    <w:semiHidden/>
    <w:unhideWhenUsed/>
    <w:rsid w:val="000A39C4"/>
    <w:rPr>
      <w:b/>
      <w:bCs/>
    </w:rPr>
  </w:style>
  <w:style w:type="character" w:customStyle="1" w:styleId="CommentSubjectChar">
    <w:name w:val="Comment Subject Char"/>
    <w:basedOn w:val="CommentTextChar"/>
    <w:link w:val="CommentSubject"/>
    <w:semiHidden/>
    <w:rsid w:val="000A39C4"/>
    <w:rPr>
      <w:b/>
      <w:bCs/>
    </w:rPr>
  </w:style>
  <w:style w:type="table" w:customStyle="1" w:styleId="TableGrid2">
    <w:name w:val="Table Grid2"/>
    <w:basedOn w:val="TableNormal"/>
    <w:next w:val="TableGrid"/>
    <w:uiPriority w:val="59"/>
    <w:rsid w:val="0030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06287"/>
    <w:rPr>
      <w:szCs w:val="24"/>
    </w:rPr>
  </w:style>
  <w:style w:type="paragraph" w:styleId="FootnoteText">
    <w:name w:val="footnote text"/>
    <w:basedOn w:val="Normal"/>
    <w:link w:val="FootnoteTextChar"/>
    <w:rsid w:val="00306287"/>
    <w:rPr>
      <w:szCs w:val="20"/>
    </w:rPr>
  </w:style>
  <w:style w:type="character" w:customStyle="1" w:styleId="FootnoteTextChar">
    <w:name w:val="Footnote Text Char"/>
    <w:basedOn w:val="DefaultParagraphFont"/>
    <w:link w:val="FootnoteText"/>
    <w:rsid w:val="00306287"/>
  </w:style>
  <w:style w:type="character" w:styleId="FollowedHyperlink">
    <w:name w:val="FollowedHyperlink"/>
    <w:basedOn w:val="DefaultParagraphFont"/>
    <w:semiHidden/>
    <w:unhideWhenUsed/>
    <w:rsid w:val="00306287"/>
    <w:rPr>
      <w:color w:val="800080" w:themeColor="followedHyperlink"/>
      <w:u w:val="single"/>
    </w:rPr>
  </w:style>
  <w:style w:type="character" w:customStyle="1" w:styleId="Heading4Char">
    <w:name w:val="Heading 4 Char"/>
    <w:basedOn w:val="DefaultParagraphFont"/>
    <w:link w:val="Heading4"/>
    <w:semiHidden/>
    <w:rsid w:val="00820C65"/>
    <w:rPr>
      <w:rFonts w:asciiTheme="majorHAnsi" w:eastAsiaTheme="majorEastAsia" w:hAnsiTheme="majorHAnsi" w:cstheme="majorBidi"/>
      <w:i/>
      <w:iCs/>
      <w:color w:val="365F91" w:themeColor="accent1" w:themeShade="BF"/>
      <w:szCs w:val="24"/>
    </w:rPr>
  </w:style>
  <w:style w:type="table" w:customStyle="1" w:styleId="TableGrid1">
    <w:name w:val="Table Grid1"/>
    <w:basedOn w:val="TableNormal"/>
    <w:next w:val="TableGrid"/>
    <w:uiPriority w:val="59"/>
    <w:rsid w:val="001E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F7F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436DDA"/>
  </w:style>
  <w:style w:type="paragraph" w:customStyle="1" w:styleId="frn">
    <w:name w:val="frn"/>
    <w:basedOn w:val="Normal"/>
    <w:link w:val="frnChar"/>
    <w:qFormat/>
    <w:rsid w:val="00436DDA"/>
    <w:pPr>
      <w:tabs>
        <w:tab w:val="num" w:pos="360"/>
      </w:tabs>
      <w:spacing w:before="240"/>
      <w:ind w:left="360" w:hanging="360"/>
    </w:pPr>
    <w:rPr>
      <w:b/>
      <w:sz w:val="24"/>
      <w:u w:val="single"/>
    </w:rPr>
  </w:style>
  <w:style w:type="character" w:customStyle="1" w:styleId="frnChar">
    <w:name w:val="frn Char"/>
    <w:basedOn w:val="DefaultParagraphFont"/>
    <w:link w:val="frn"/>
    <w:rsid w:val="00436DDA"/>
    <w:rPr>
      <w:b/>
      <w:sz w:val="24"/>
      <w:szCs w:val="24"/>
      <w:u w:val="single"/>
    </w:rPr>
  </w:style>
  <w:style w:type="table" w:customStyle="1" w:styleId="TableGrid4">
    <w:name w:val="Table Grid4"/>
    <w:basedOn w:val="TableNormal"/>
    <w:next w:val="TableGrid"/>
    <w:uiPriority w:val="59"/>
    <w:rsid w:val="001F3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D5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62EFC"/>
    <w:pPr>
      <w:spacing w:after="100"/>
    </w:pPr>
  </w:style>
  <w:style w:type="paragraph" w:styleId="TOC2">
    <w:name w:val="toc 2"/>
    <w:basedOn w:val="Normal"/>
    <w:next w:val="Normal"/>
    <w:autoRedefine/>
    <w:uiPriority w:val="39"/>
    <w:rsid w:val="00D62EFC"/>
    <w:pPr>
      <w:spacing w:after="100"/>
      <w:ind w:left="200"/>
    </w:pPr>
  </w:style>
  <w:style w:type="paragraph" w:styleId="Revision">
    <w:name w:val="Revision"/>
    <w:hidden/>
    <w:uiPriority w:val="99"/>
    <w:semiHidden/>
    <w:rsid w:val="00601E56"/>
    <w:rPr>
      <w:szCs w:val="24"/>
    </w:rPr>
  </w:style>
  <w:style w:type="paragraph" w:styleId="NormalWeb">
    <w:name w:val="Normal (Web)"/>
    <w:basedOn w:val="Normal"/>
    <w:uiPriority w:val="99"/>
    <w:unhideWhenUsed/>
    <w:rsid w:val="008B2E43"/>
    <w:pPr>
      <w:widowControl/>
      <w:autoSpaceDE/>
      <w:autoSpaceDN/>
      <w:adjustRightInd/>
      <w:spacing w:before="100" w:beforeAutospacing="1" w:after="100" w:afterAutospacing="1"/>
    </w:pPr>
    <w:rPr>
      <w:rFonts w:eastAsiaTheme="minorHAnsi"/>
      <w:sz w:val="24"/>
    </w:rPr>
  </w:style>
  <w:style w:type="paragraph" w:styleId="Header">
    <w:name w:val="header"/>
    <w:basedOn w:val="Normal"/>
    <w:link w:val="HeaderChar"/>
    <w:unhideWhenUsed/>
    <w:rsid w:val="00D54B1E"/>
    <w:pPr>
      <w:tabs>
        <w:tab w:val="center" w:pos="4680"/>
        <w:tab w:val="right" w:pos="9360"/>
      </w:tabs>
    </w:pPr>
  </w:style>
  <w:style w:type="character" w:customStyle="1" w:styleId="HeaderChar">
    <w:name w:val="Header Char"/>
    <w:basedOn w:val="DefaultParagraphFont"/>
    <w:link w:val="Header"/>
    <w:rsid w:val="00D54B1E"/>
    <w:rPr>
      <w:szCs w:val="24"/>
    </w:rPr>
  </w:style>
  <w:style w:type="paragraph" w:styleId="Footer">
    <w:name w:val="footer"/>
    <w:basedOn w:val="Normal"/>
    <w:link w:val="FooterChar"/>
    <w:unhideWhenUsed/>
    <w:rsid w:val="00D54B1E"/>
    <w:pPr>
      <w:tabs>
        <w:tab w:val="center" w:pos="4680"/>
        <w:tab w:val="right" w:pos="9360"/>
      </w:tabs>
    </w:pPr>
  </w:style>
  <w:style w:type="character" w:customStyle="1" w:styleId="FooterChar">
    <w:name w:val="Footer Char"/>
    <w:basedOn w:val="DefaultParagraphFont"/>
    <w:link w:val="Footer"/>
    <w:rsid w:val="00D54B1E"/>
    <w:rPr>
      <w:szCs w:val="24"/>
    </w:rPr>
  </w:style>
  <w:style w:type="character" w:customStyle="1" w:styleId="BodyTextIndentChar">
    <w:name w:val="Body Text Indent Char"/>
    <w:basedOn w:val="DefaultParagraphFont"/>
    <w:link w:val="BodyTextIndent"/>
    <w:rsid w:val="00D54B1E"/>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41761">
      <w:bodyDiv w:val="1"/>
      <w:marLeft w:val="0"/>
      <w:marRight w:val="0"/>
      <w:marTop w:val="0"/>
      <w:marBottom w:val="0"/>
      <w:divBdr>
        <w:top w:val="none" w:sz="0" w:space="0" w:color="auto"/>
        <w:left w:val="none" w:sz="0" w:space="0" w:color="auto"/>
        <w:bottom w:val="none" w:sz="0" w:space="0" w:color="auto"/>
        <w:right w:val="none" w:sz="0" w:space="0" w:color="auto"/>
      </w:divBdr>
    </w:div>
    <w:div w:id="373773923">
      <w:bodyDiv w:val="1"/>
      <w:marLeft w:val="0"/>
      <w:marRight w:val="0"/>
      <w:marTop w:val="0"/>
      <w:marBottom w:val="0"/>
      <w:divBdr>
        <w:top w:val="none" w:sz="0" w:space="0" w:color="auto"/>
        <w:left w:val="none" w:sz="0" w:space="0" w:color="auto"/>
        <w:bottom w:val="none" w:sz="0" w:space="0" w:color="auto"/>
        <w:right w:val="none" w:sz="0" w:space="0" w:color="auto"/>
      </w:divBdr>
    </w:div>
    <w:div w:id="373968130">
      <w:bodyDiv w:val="1"/>
      <w:marLeft w:val="0"/>
      <w:marRight w:val="0"/>
      <w:marTop w:val="0"/>
      <w:marBottom w:val="0"/>
      <w:divBdr>
        <w:top w:val="none" w:sz="0" w:space="0" w:color="auto"/>
        <w:left w:val="none" w:sz="0" w:space="0" w:color="auto"/>
        <w:bottom w:val="none" w:sz="0" w:space="0" w:color="auto"/>
        <w:right w:val="none" w:sz="0" w:space="0" w:color="auto"/>
      </w:divBdr>
    </w:div>
    <w:div w:id="731578999">
      <w:bodyDiv w:val="1"/>
      <w:marLeft w:val="0"/>
      <w:marRight w:val="0"/>
      <w:marTop w:val="0"/>
      <w:marBottom w:val="0"/>
      <w:divBdr>
        <w:top w:val="none" w:sz="0" w:space="0" w:color="auto"/>
        <w:left w:val="none" w:sz="0" w:space="0" w:color="auto"/>
        <w:bottom w:val="none" w:sz="0" w:space="0" w:color="auto"/>
        <w:right w:val="none" w:sz="0" w:space="0" w:color="auto"/>
      </w:divBdr>
    </w:div>
    <w:div w:id="790438049">
      <w:bodyDiv w:val="1"/>
      <w:marLeft w:val="0"/>
      <w:marRight w:val="0"/>
      <w:marTop w:val="0"/>
      <w:marBottom w:val="0"/>
      <w:divBdr>
        <w:top w:val="none" w:sz="0" w:space="0" w:color="auto"/>
        <w:left w:val="none" w:sz="0" w:space="0" w:color="auto"/>
        <w:bottom w:val="none" w:sz="0" w:space="0" w:color="auto"/>
        <w:right w:val="none" w:sz="0" w:space="0" w:color="auto"/>
      </w:divBdr>
    </w:div>
    <w:div w:id="916937793">
      <w:bodyDiv w:val="1"/>
      <w:marLeft w:val="0"/>
      <w:marRight w:val="0"/>
      <w:marTop w:val="0"/>
      <w:marBottom w:val="0"/>
      <w:divBdr>
        <w:top w:val="none" w:sz="0" w:space="0" w:color="auto"/>
        <w:left w:val="none" w:sz="0" w:space="0" w:color="auto"/>
        <w:bottom w:val="none" w:sz="0" w:space="0" w:color="auto"/>
        <w:right w:val="none" w:sz="0" w:space="0" w:color="auto"/>
      </w:divBdr>
    </w:div>
    <w:div w:id="929463887">
      <w:bodyDiv w:val="1"/>
      <w:marLeft w:val="0"/>
      <w:marRight w:val="0"/>
      <w:marTop w:val="0"/>
      <w:marBottom w:val="0"/>
      <w:divBdr>
        <w:top w:val="none" w:sz="0" w:space="0" w:color="auto"/>
        <w:left w:val="none" w:sz="0" w:space="0" w:color="auto"/>
        <w:bottom w:val="none" w:sz="0" w:space="0" w:color="auto"/>
        <w:right w:val="none" w:sz="0" w:space="0" w:color="auto"/>
      </w:divBdr>
    </w:div>
    <w:div w:id="1203981223">
      <w:bodyDiv w:val="1"/>
      <w:marLeft w:val="0"/>
      <w:marRight w:val="0"/>
      <w:marTop w:val="0"/>
      <w:marBottom w:val="0"/>
      <w:divBdr>
        <w:top w:val="none" w:sz="0" w:space="0" w:color="auto"/>
        <w:left w:val="none" w:sz="0" w:space="0" w:color="auto"/>
        <w:bottom w:val="none" w:sz="0" w:space="0" w:color="auto"/>
        <w:right w:val="none" w:sz="0" w:space="0" w:color="auto"/>
      </w:divBdr>
    </w:div>
    <w:div w:id="1217743676">
      <w:bodyDiv w:val="1"/>
      <w:marLeft w:val="0"/>
      <w:marRight w:val="0"/>
      <w:marTop w:val="0"/>
      <w:marBottom w:val="0"/>
      <w:divBdr>
        <w:top w:val="none" w:sz="0" w:space="0" w:color="auto"/>
        <w:left w:val="none" w:sz="0" w:space="0" w:color="auto"/>
        <w:bottom w:val="none" w:sz="0" w:space="0" w:color="auto"/>
        <w:right w:val="none" w:sz="0" w:space="0" w:color="auto"/>
      </w:divBdr>
    </w:div>
    <w:div w:id="1259094131">
      <w:bodyDiv w:val="1"/>
      <w:marLeft w:val="0"/>
      <w:marRight w:val="0"/>
      <w:marTop w:val="0"/>
      <w:marBottom w:val="0"/>
      <w:divBdr>
        <w:top w:val="none" w:sz="0" w:space="0" w:color="auto"/>
        <w:left w:val="none" w:sz="0" w:space="0" w:color="auto"/>
        <w:bottom w:val="none" w:sz="0" w:space="0" w:color="auto"/>
        <w:right w:val="none" w:sz="0" w:space="0" w:color="auto"/>
      </w:divBdr>
    </w:div>
    <w:div w:id="1316494220">
      <w:bodyDiv w:val="1"/>
      <w:marLeft w:val="0"/>
      <w:marRight w:val="0"/>
      <w:marTop w:val="0"/>
      <w:marBottom w:val="0"/>
      <w:divBdr>
        <w:top w:val="none" w:sz="0" w:space="0" w:color="auto"/>
        <w:left w:val="none" w:sz="0" w:space="0" w:color="auto"/>
        <w:bottom w:val="none" w:sz="0" w:space="0" w:color="auto"/>
        <w:right w:val="none" w:sz="0" w:space="0" w:color="auto"/>
      </w:divBdr>
    </w:div>
    <w:div w:id="1583415537">
      <w:bodyDiv w:val="1"/>
      <w:marLeft w:val="0"/>
      <w:marRight w:val="0"/>
      <w:marTop w:val="0"/>
      <w:marBottom w:val="0"/>
      <w:divBdr>
        <w:top w:val="none" w:sz="0" w:space="0" w:color="auto"/>
        <w:left w:val="none" w:sz="0" w:space="0" w:color="auto"/>
        <w:bottom w:val="none" w:sz="0" w:space="0" w:color="auto"/>
        <w:right w:val="none" w:sz="0" w:space="0" w:color="auto"/>
      </w:divBdr>
    </w:div>
    <w:div w:id="1601133931">
      <w:bodyDiv w:val="1"/>
      <w:marLeft w:val="0"/>
      <w:marRight w:val="0"/>
      <w:marTop w:val="0"/>
      <w:marBottom w:val="0"/>
      <w:divBdr>
        <w:top w:val="none" w:sz="0" w:space="0" w:color="auto"/>
        <w:left w:val="none" w:sz="0" w:space="0" w:color="auto"/>
        <w:bottom w:val="none" w:sz="0" w:space="0" w:color="auto"/>
        <w:right w:val="none" w:sz="0" w:space="0" w:color="auto"/>
      </w:divBdr>
    </w:div>
    <w:div w:id="1603999377">
      <w:bodyDiv w:val="1"/>
      <w:marLeft w:val="0"/>
      <w:marRight w:val="0"/>
      <w:marTop w:val="0"/>
      <w:marBottom w:val="0"/>
      <w:divBdr>
        <w:top w:val="none" w:sz="0" w:space="0" w:color="auto"/>
        <w:left w:val="none" w:sz="0" w:space="0" w:color="auto"/>
        <w:bottom w:val="none" w:sz="0" w:space="0" w:color="auto"/>
        <w:right w:val="none" w:sz="0" w:space="0" w:color="auto"/>
      </w:divBdr>
    </w:div>
    <w:div w:id="1676418638">
      <w:bodyDiv w:val="1"/>
      <w:marLeft w:val="0"/>
      <w:marRight w:val="0"/>
      <w:marTop w:val="0"/>
      <w:marBottom w:val="0"/>
      <w:divBdr>
        <w:top w:val="none" w:sz="0" w:space="0" w:color="auto"/>
        <w:left w:val="none" w:sz="0" w:space="0" w:color="auto"/>
        <w:bottom w:val="none" w:sz="0" w:space="0" w:color="auto"/>
        <w:right w:val="none" w:sz="0" w:space="0" w:color="auto"/>
      </w:divBdr>
    </w:div>
    <w:div w:id="1714425839">
      <w:bodyDiv w:val="1"/>
      <w:marLeft w:val="0"/>
      <w:marRight w:val="0"/>
      <w:marTop w:val="0"/>
      <w:marBottom w:val="0"/>
      <w:divBdr>
        <w:top w:val="none" w:sz="0" w:space="0" w:color="auto"/>
        <w:left w:val="none" w:sz="0" w:space="0" w:color="auto"/>
        <w:bottom w:val="none" w:sz="0" w:space="0" w:color="auto"/>
        <w:right w:val="none" w:sz="0" w:space="0" w:color="auto"/>
      </w:divBdr>
    </w:div>
    <w:div w:id="197763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gpo.gov/fdsys/search/pagedetails.action?sr=20&amp;originalSearch=&amp;st=content%3A%22patient+protection%22+AND+collection%3ACFR&amp;ps=10&amp;na=&amp;se=&amp;sb=re&amp;timeFrame=&amp;dateBrowse=&amp;govAuthBrowse=&amp;collection=&amp;historical=true&amp;granuleId=CFR-2016-title45-vol1-part60&amp;packageId=CFR-2016-title45-vol1&amp;fromState=&amp;collectionCode=CFR&amp;browsePath=Title+45%2FSubtitle+A%2FSubchapter+A%2FPart+60&amp;collapse=true&amp;fromBrowse=true&amp;bread=true" TargetMode="External"/><Relationship Id="rId18" Type="http://schemas.openxmlformats.org/officeDocument/2006/relationships/hyperlink" Target="https://www.gpo.gov/fdsys/pkg/PLAW-111publ148/html/PLAW-111publ148.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po.gov/fdsys/pkg/FR-2017-09-12/pdf/2017-19252.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ssa.gov/OP_Home/ssact/title11/1128E.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sa.gov/OP_Home/ssact/title11/1128E.htm" TargetMode="External"/><Relationship Id="rId20" Type="http://schemas.openxmlformats.org/officeDocument/2006/relationships/hyperlink" Target="http://www.npdb.hrs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ssa.gov/OP_Home/ssact/title19/1921.htm" TargetMode="External"/><Relationship Id="rId23" Type="http://schemas.openxmlformats.org/officeDocument/2006/relationships/hyperlink" Target="http://www.bls.gov/bls/blswage.htm" TargetMode="External"/><Relationship Id="rId10" Type="http://schemas.openxmlformats.org/officeDocument/2006/relationships/webSettings" Target="webSettings.xml"/><Relationship Id="rId19" Type="http://schemas.openxmlformats.org/officeDocument/2006/relationships/hyperlink" Target="http://www.gpo.gov/fdsys/search/pagedetails.action?na=&amp;se=&amp;sm=&amp;flr=&amp;ercode=&amp;dateBrowse=&amp;govAuthBrowse=&amp;collection=&amp;historical=false&amp;st=PUBLIC+LAW+111%E2%80%93148&amp;psh=&amp;sbh=&amp;tfh=&amp;originalSearch=&amp;sb=re&amp;sb=re&amp;ps=10&amp;ps=10&amp;granuleId=&amp;packageId=PLAW-111publ14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sa.gov/OP_Home/comp2/F099-660.html" TargetMode="External"/><Relationship Id="rId22" Type="http://schemas.openxmlformats.org/officeDocument/2006/relationships/hyperlink" Target="https://www.hrsa.gov/about/privacy-act/09-15-00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7" ma:contentTypeDescription="Create a new document." ma:contentTypeScope="" ma:versionID="d6fb7311ad670bef7065f6184fe47994">
  <xsd:schema xmlns:xsd="http://www.w3.org/2001/XMLSchema" xmlns:xs="http://www.w3.org/2001/XMLSchema" xmlns:p="http://schemas.microsoft.com/office/2006/metadata/properties" targetNamespace="http://schemas.microsoft.com/office/2006/metadata/properties" ma:root="true" ma:fieldsID="354a52027b8d7edd7a4694e36f4c1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870FE-68FF-4086-A00B-9ED1BD117798}">
  <ds:schemaRef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56952866-AE16-4410-9A79-DEA5B7370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F5246A-87B5-4215-BE70-DE09186FE35B}">
  <ds:schemaRefs>
    <ds:schemaRef ds:uri="Microsoft.SharePoint.Taxonomy.ContentTypeSync"/>
  </ds:schemaRefs>
</ds:datastoreItem>
</file>

<file path=customXml/itemProps4.xml><?xml version="1.0" encoding="utf-8"?>
<ds:datastoreItem xmlns:ds="http://schemas.openxmlformats.org/officeDocument/2006/customXml" ds:itemID="{E1274190-516B-4BE6-8992-4DEE85C93A40}">
  <ds:schemaRefs>
    <ds:schemaRef ds:uri="http://schemas.microsoft.com/sharepoint/v3/contenttype/forms"/>
  </ds:schemaRefs>
</ds:datastoreItem>
</file>

<file path=customXml/itemProps5.xml><?xml version="1.0" encoding="utf-8"?>
<ds:datastoreItem xmlns:ds="http://schemas.openxmlformats.org/officeDocument/2006/customXml" ds:itemID="{48815BD8-FB09-4BA2-919B-096FF783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5429</Words>
  <Characters>30947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NPDB_SSA_OMB0915-0126 _for_OGC_Approval</vt:lpstr>
    </vt:vector>
  </TitlesOfParts>
  <Company/>
  <LinksUpToDate>false</LinksUpToDate>
  <CharactersWithSpaces>36304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NPDB_SSA_OMB0915-0126 _for_OGC_Approval</dc:title>
  <dc:subject/>
  <dc:creator/>
  <cp:keywords/>
  <cp:lastModifiedBy/>
  <cp:revision>1</cp:revision>
  <dcterms:created xsi:type="dcterms:W3CDTF">2018-01-31T20:18:00Z</dcterms:created>
  <dcterms:modified xsi:type="dcterms:W3CDTF">2018-01-31T20:18:00Z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70800</vt:r8>
  </property>
</Properties>
</file>