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5DF3" w:rsidRDefault="00795DF3" w:rsidP="00BD0AD6">
      <w:pPr>
        <w:rPr>
          <w:b/>
        </w:rPr>
      </w:pPr>
      <w:bookmarkStart w:id="0" w:name="_GoBack"/>
      <w:bookmarkEnd w:id="0"/>
    </w:p>
    <w:p w:rsidR="00EB7538" w:rsidRPr="009A1674" w:rsidRDefault="00BD0AD6" w:rsidP="00795DF3">
      <w:pPr>
        <w:jc w:val="center"/>
      </w:pPr>
      <w:r>
        <w:t>Medical Devices; Device Tracking</w:t>
      </w:r>
    </w:p>
    <w:p w:rsidR="00B23769" w:rsidRPr="009A1674" w:rsidRDefault="00B23769" w:rsidP="00B23769">
      <w:pPr>
        <w:jc w:val="center"/>
      </w:pPr>
    </w:p>
    <w:p w:rsidR="00EB7538" w:rsidRPr="009A1674" w:rsidRDefault="00EB7538" w:rsidP="00B23769">
      <w:pPr>
        <w:jc w:val="center"/>
      </w:pPr>
      <w:r w:rsidRPr="009A1674">
        <w:t>0910-</w:t>
      </w:r>
      <w:r w:rsidR="00BD0AD6">
        <w:t>0442</w:t>
      </w:r>
      <w:r w:rsidR="00A35D42" w:rsidRPr="009A1674">
        <w:br/>
      </w:r>
    </w:p>
    <w:p w:rsidR="00EB7538" w:rsidRPr="009A1674" w:rsidRDefault="00EB7538" w:rsidP="00B23769">
      <w:pPr>
        <w:jc w:val="center"/>
      </w:pPr>
      <w:r w:rsidRPr="009A1674">
        <w:t>SUPPORTING STATEMENT</w:t>
      </w:r>
    </w:p>
    <w:p w:rsidR="00810FF1" w:rsidRDefault="00810FF1" w:rsidP="00B23769">
      <w:pPr>
        <w:jc w:val="center"/>
        <w:rPr>
          <w:b/>
        </w:rPr>
      </w:pPr>
    </w:p>
    <w:p w:rsidR="00810FF1" w:rsidRPr="00810FF1" w:rsidRDefault="00810FF1" w:rsidP="00810FF1">
      <w:r>
        <w:rPr>
          <w:b/>
        </w:rPr>
        <w:t xml:space="preserve">Terms of Clearance: </w:t>
      </w:r>
      <w:r w:rsidR="00BD0AD6">
        <w:t>None</w:t>
      </w:r>
      <w:r w:rsidRPr="007D3DFC">
        <w:t>.</w:t>
      </w:r>
    </w:p>
    <w:p w:rsidR="00EB7538" w:rsidRDefault="00EB7538" w:rsidP="00EB7538">
      <w:pPr>
        <w:pStyle w:val="NormalWeb"/>
      </w:pPr>
      <w:r>
        <w:rPr>
          <w:b/>
          <w:bCs/>
        </w:rPr>
        <w:t>A. Justification</w:t>
      </w:r>
    </w:p>
    <w:p w:rsidR="008B30AB" w:rsidRDefault="00EB7538" w:rsidP="008B30AB">
      <w:pPr>
        <w:numPr>
          <w:ilvl w:val="0"/>
          <w:numId w:val="1"/>
        </w:numPr>
        <w:spacing w:before="100" w:beforeAutospacing="1" w:after="100" w:afterAutospacing="1"/>
        <w:rPr>
          <w:u w:val="single"/>
        </w:rPr>
      </w:pPr>
      <w:r w:rsidRPr="002746DB">
        <w:rPr>
          <w:u w:val="single"/>
        </w:rPr>
        <w:t>Circumstances Making the Collection of Information Necessary</w:t>
      </w:r>
    </w:p>
    <w:p w:rsidR="00BD0AD6" w:rsidRDefault="00BD0AD6" w:rsidP="00BD0AD6">
      <w:pPr>
        <w:ind w:left="720"/>
      </w:pPr>
      <w:r>
        <w:t xml:space="preserve">Under the Safe Medical Devices Act of 1990 (Public Law 101-629) (SMDA), section 519(e) of the Federal Food, Drug, and Cosmetic Act (the FD&amp;C Act) was amended to require that any person registered as a manufacturer of a device meeting the criteria described in section 519(e)(1) must track that device.  Section 519(e)(1) describes the types of devices that manufacturers must track: (1) </w:t>
      </w:r>
      <w:r w:rsidR="00480A12">
        <w:t>a</w:t>
      </w:r>
      <w:r>
        <w:t xml:space="preserve"> device the failure of which would be reasonably likely to have serious adverse health consequences and which is (</w:t>
      </w:r>
      <w:r w:rsidR="00480A12">
        <w:t>A</w:t>
      </w:r>
      <w:r>
        <w:t>) a permanently implantable device or (</w:t>
      </w:r>
      <w:r w:rsidR="00480A12">
        <w:t>B</w:t>
      </w:r>
      <w:r>
        <w:t xml:space="preserve">) a life-sustaining or life-supporting device used outside a device user facility, or (2) any other device which the Secretary may designate.  In implementing the SMDA provisions, the regulations established requirements for manufacturer tracking systems and distributor reporting.  </w:t>
      </w:r>
    </w:p>
    <w:p w:rsidR="00BD0AD6" w:rsidRDefault="00BD0AD6" w:rsidP="00BD0AD6">
      <w:pPr>
        <w:ind w:left="720"/>
      </w:pPr>
    </w:p>
    <w:p w:rsidR="00BD0AD6" w:rsidRDefault="00480A12" w:rsidP="00BD0AD6">
      <w:pPr>
        <w:ind w:left="720"/>
      </w:pPr>
      <w:r>
        <w:t>T</w:t>
      </w:r>
      <w:r w:rsidR="00BD0AD6">
        <w:t>he FDA Modernization Act of 1997 (Public Law 105-115) (FDAMA)</w:t>
      </w:r>
      <w:r>
        <w:t xml:space="preserve"> amended section 519(e) of the FD&amp;C Act, which became effective February 19, 1998</w:t>
      </w:r>
      <w:r w:rsidR="00BD0AD6">
        <w:t>.  Amended section 519(e)(1), provided FDA with discretionary authority to issue orders that require a manufacturer to track a class II or class III device if its failure would be reasonably likely to have serious adverse health consequences, or it is intended to be implanted in the human body for more than one year, or it is life-sustaining or life-supporting (“l/s-l/s”) and used outside a device user facility.  Amended section 519(e)(2) provide</w:t>
      </w:r>
      <w:r>
        <w:t>d</w:t>
      </w:r>
      <w:r w:rsidR="00BD0AD6">
        <w:t xml:space="preserve"> that patients may refuse permission to release, their names, addresses, social security numbers, or other identifying information for tracking purposes.  On February 8, 2002, FDA issued a final rule (67 FR 5943) to conform existing tracking regulations (21 CFR 821) to changes in tracking provisions effected by FDAMA.</w:t>
      </w:r>
    </w:p>
    <w:p w:rsidR="00BD0AD6" w:rsidRDefault="00BD0AD6" w:rsidP="00BD0AD6">
      <w:pPr>
        <w:ind w:left="720"/>
      </w:pPr>
    </w:p>
    <w:p w:rsidR="00BD0AD6" w:rsidRDefault="00BD0AD6" w:rsidP="00BD0AD6">
      <w:pPr>
        <w:pStyle w:val="BodyTextIndent"/>
        <w:ind w:left="720"/>
      </w:pPr>
      <w:r>
        <w:t xml:space="preserve">FDA is requesting an extension of OMB approval for the information collection requirements in 21 CFR part 821. </w:t>
      </w:r>
    </w:p>
    <w:p w:rsidR="00BD0AD6" w:rsidRDefault="00BD0AD6" w:rsidP="00BD0AD6">
      <w:pPr>
        <w:pStyle w:val="BodyTextIndent"/>
        <w:ind w:left="720"/>
      </w:pPr>
    </w:p>
    <w:p w:rsidR="00BD0AD6" w:rsidRDefault="00BD0AD6" w:rsidP="00BD0AD6">
      <w:pPr>
        <w:spacing w:line="360" w:lineRule="auto"/>
        <w:ind w:left="720"/>
      </w:pPr>
      <w:r>
        <w:t>A description of the information collection requirements follows:</w:t>
      </w:r>
    </w:p>
    <w:p w:rsidR="00BD0AD6" w:rsidRPr="002E6653" w:rsidRDefault="00BD0AD6" w:rsidP="00BD0AD6">
      <w:pPr>
        <w:ind w:left="720"/>
      </w:pPr>
    </w:p>
    <w:p w:rsidR="00BD0AD6" w:rsidRPr="00157994" w:rsidRDefault="006A127A" w:rsidP="00BD0AD6">
      <w:pPr>
        <w:ind w:left="720"/>
      </w:pPr>
      <w:r>
        <w:rPr>
          <w:b/>
        </w:rPr>
        <w:t>Discontinuation of business (</w:t>
      </w:r>
      <w:r w:rsidR="00BD0AD6">
        <w:rPr>
          <w:b/>
        </w:rPr>
        <w:t>§</w:t>
      </w:r>
      <w:r>
        <w:rPr>
          <w:b/>
        </w:rPr>
        <w:t xml:space="preserve"> </w:t>
      </w:r>
      <w:r w:rsidR="00BD0AD6">
        <w:rPr>
          <w:b/>
        </w:rPr>
        <w:t>821.1(d)</w:t>
      </w:r>
      <w:r>
        <w:rPr>
          <w:b/>
        </w:rPr>
        <w:t>)</w:t>
      </w:r>
      <w:r w:rsidR="00C52445">
        <w:rPr>
          <w:b/>
        </w:rPr>
        <w:t xml:space="preserve"> - </w:t>
      </w:r>
      <w:r w:rsidR="00BD0AD6">
        <w:rPr>
          <w:b/>
        </w:rPr>
        <w:t>Reporting</w:t>
      </w:r>
      <w:r w:rsidR="00C52445">
        <w:rPr>
          <w:b/>
        </w:rPr>
        <w:t xml:space="preserve"> - </w:t>
      </w:r>
      <w:r w:rsidR="00BD0AD6">
        <w:t>Requires persons subject to device tracking regulations to report permanent discontinuation of business and provide FDA with a complete set of its tracking records.</w:t>
      </w:r>
    </w:p>
    <w:p w:rsidR="00BD0AD6" w:rsidRDefault="00BD0AD6" w:rsidP="00BD0AD6">
      <w:pPr>
        <w:ind w:left="720"/>
        <w:rPr>
          <w:b/>
        </w:rPr>
      </w:pPr>
    </w:p>
    <w:p w:rsidR="00BD0AD6" w:rsidRPr="00157994" w:rsidRDefault="006A127A" w:rsidP="00BD0AD6">
      <w:pPr>
        <w:ind w:left="720"/>
      </w:pPr>
      <w:r>
        <w:rPr>
          <w:b/>
        </w:rPr>
        <w:lastRenderedPageBreak/>
        <w:t>Exemption or variance (</w:t>
      </w:r>
      <w:r w:rsidR="00BD0AD6">
        <w:rPr>
          <w:b/>
        </w:rPr>
        <w:t>§§</w:t>
      </w:r>
      <w:r>
        <w:rPr>
          <w:b/>
        </w:rPr>
        <w:t xml:space="preserve"> </w:t>
      </w:r>
      <w:r w:rsidR="00BD0AD6">
        <w:rPr>
          <w:b/>
        </w:rPr>
        <w:t>821.2 and 821.30(e)</w:t>
      </w:r>
      <w:r>
        <w:rPr>
          <w:b/>
        </w:rPr>
        <w:t>)</w:t>
      </w:r>
      <w:r w:rsidR="00C52445">
        <w:rPr>
          <w:b/>
        </w:rPr>
        <w:t xml:space="preserve"> - </w:t>
      </w:r>
      <w:r w:rsidR="00BD0AD6">
        <w:rPr>
          <w:b/>
        </w:rPr>
        <w:t>Reporting</w:t>
      </w:r>
      <w:r w:rsidR="00C52445">
        <w:rPr>
          <w:b/>
        </w:rPr>
        <w:t xml:space="preserve"> - </w:t>
      </w:r>
      <w:r w:rsidR="00BD0AD6">
        <w:t>Provides mechanism for obtaining an exemption or variance from existing medical device tracking regulations under this part through agency petition process.</w:t>
      </w:r>
    </w:p>
    <w:p w:rsidR="00BD0AD6" w:rsidRDefault="00BD0AD6" w:rsidP="00BD0AD6">
      <w:pPr>
        <w:ind w:left="720"/>
        <w:rPr>
          <w:b/>
        </w:rPr>
      </w:pPr>
    </w:p>
    <w:p w:rsidR="00BD0AD6" w:rsidRDefault="006A127A" w:rsidP="00BD0AD6">
      <w:pPr>
        <w:ind w:left="720"/>
      </w:pPr>
      <w:r>
        <w:rPr>
          <w:b/>
        </w:rPr>
        <w:t>Tracking information (</w:t>
      </w:r>
      <w:r w:rsidR="00BD0AD6">
        <w:rPr>
          <w:b/>
        </w:rPr>
        <w:t>§</w:t>
      </w:r>
      <w:r>
        <w:rPr>
          <w:b/>
        </w:rPr>
        <w:t xml:space="preserve"> </w:t>
      </w:r>
      <w:r w:rsidR="00BD0AD6">
        <w:rPr>
          <w:b/>
        </w:rPr>
        <w:t>821.25(a)</w:t>
      </w:r>
      <w:r>
        <w:rPr>
          <w:b/>
        </w:rPr>
        <w:t>)</w:t>
      </w:r>
      <w:r w:rsidR="00C52445">
        <w:rPr>
          <w:b/>
        </w:rPr>
        <w:t xml:space="preserve"> - </w:t>
      </w:r>
      <w:r w:rsidR="00221B05">
        <w:rPr>
          <w:b/>
        </w:rPr>
        <w:t xml:space="preserve">Recordkeeping </w:t>
      </w:r>
      <w:r w:rsidR="00BD0AD6">
        <w:rPr>
          <w:b/>
        </w:rPr>
        <w:t>-</w:t>
      </w:r>
      <w:r w:rsidR="00C52445">
        <w:rPr>
          <w:b/>
        </w:rPr>
        <w:t xml:space="preserve"> </w:t>
      </w:r>
      <w:r w:rsidR="00BD0AD6">
        <w:t>Requires manufacturers of tracked devices to adopt a tracking method which can provide certain information to FDA within defined timeframes.</w:t>
      </w:r>
    </w:p>
    <w:p w:rsidR="00BD0AD6" w:rsidRDefault="00BD0AD6" w:rsidP="00BD0AD6">
      <w:pPr>
        <w:ind w:left="720"/>
        <w:rPr>
          <w:b/>
        </w:rPr>
      </w:pPr>
    </w:p>
    <w:p w:rsidR="00BD0AD6" w:rsidRDefault="00C52445" w:rsidP="00BD0AD6">
      <w:pPr>
        <w:ind w:left="720"/>
      </w:pPr>
      <w:r>
        <w:rPr>
          <w:b/>
        </w:rPr>
        <w:t>Record</w:t>
      </w:r>
      <w:r w:rsidR="006D529A">
        <w:rPr>
          <w:b/>
        </w:rPr>
        <w:t xml:space="preserve"> of tracking data (</w:t>
      </w:r>
      <w:r w:rsidR="00BD0AD6">
        <w:rPr>
          <w:b/>
        </w:rPr>
        <w:t>§</w:t>
      </w:r>
      <w:r w:rsidR="006D529A">
        <w:rPr>
          <w:b/>
        </w:rPr>
        <w:t xml:space="preserve"> </w:t>
      </w:r>
      <w:r w:rsidR="00BD0AD6">
        <w:rPr>
          <w:b/>
        </w:rPr>
        <w:t>821.25(b)</w:t>
      </w:r>
      <w:r w:rsidR="006D529A">
        <w:rPr>
          <w:b/>
        </w:rPr>
        <w:t>)</w:t>
      </w:r>
      <w:r w:rsidR="00BD0AD6">
        <w:rPr>
          <w:b/>
        </w:rPr>
        <w:t xml:space="preserve"> - Recordkeeping -</w:t>
      </w:r>
      <w:r w:rsidR="00BD0AD6">
        <w:t xml:space="preserve"> Requires manufacturers of tracked devices to keep current records of tracking data according to their standard operating procedures (SOPs).</w:t>
      </w:r>
    </w:p>
    <w:p w:rsidR="00BD0AD6" w:rsidRDefault="00BD0AD6" w:rsidP="00BD0AD6">
      <w:pPr>
        <w:ind w:left="720"/>
      </w:pPr>
    </w:p>
    <w:p w:rsidR="00BD0AD6" w:rsidRDefault="00C52445" w:rsidP="00BD0AD6">
      <w:pPr>
        <w:ind w:left="720"/>
      </w:pPr>
      <w:r>
        <w:rPr>
          <w:b/>
        </w:rPr>
        <w:t>Standard operating procedures</w:t>
      </w:r>
      <w:r w:rsidR="00221B05">
        <w:rPr>
          <w:b/>
        </w:rPr>
        <w:t xml:space="preserve"> and Manufacturer data audit</w:t>
      </w:r>
      <w:r>
        <w:rPr>
          <w:b/>
        </w:rPr>
        <w:t xml:space="preserve"> (</w:t>
      </w:r>
      <w:r w:rsidR="00BD0AD6">
        <w:rPr>
          <w:b/>
        </w:rPr>
        <w:t>§</w:t>
      </w:r>
      <w:r>
        <w:rPr>
          <w:b/>
        </w:rPr>
        <w:t xml:space="preserve"> </w:t>
      </w:r>
      <w:r w:rsidR="00BD0AD6">
        <w:rPr>
          <w:b/>
        </w:rPr>
        <w:t>821.25(c)</w:t>
      </w:r>
      <w:r w:rsidR="00FF1039">
        <w:rPr>
          <w:b/>
        </w:rPr>
        <w:t xml:space="preserve"> and (c)(3)</w:t>
      </w:r>
      <w:r>
        <w:rPr>
          <w:b/>
        </w:rPr>
        <w:t>)</w:t>
      </w:r>
      <w:r w:rsidR="00BD0AD6">
        <w:rPr>
          <w:b/>
        </w:rPr>
        <w:t xml:space="preserve"> </w:t>
      </w:r>
      <w:r>
        <w:rPr>
          <w:b/>
        </w:rPr>
        <w:t>-</w:t>
      </w:r>
      <w:r w:rsidR="00BD0AD6">
        <w:rPr>
          <w:b/>
        </w:rPr>
        <w:t xml:space="preserve"> Recordkeeping</w:t>
      </w:r>
      <w:r>
        <w:rPr>
          <w:b/>
        </w:rPr>
        <w:t xml:space="preserve"> </w:t>
      </w:r>
      <w:r w:rsidR="00BD0AD6">
        <w:rPr>
          <w:b/>
        </w:rPr>
        <w:t>-</w:t>
      </w:r>
      <w:r w:rsidR="00BD0AD6">
        <w:t xml:space="preserve"> Requires manufacturers to establish SOPs for collecting, maintaining, and auditing tracking data and to incorporate a quality assurance program, procedures for auditing devices twice annually for the first three years of tracking, and annually thereafter.</w:t>
      </w:r>
    </w:p>
    <w:p w:rsidR="00BD0AD6" w:rsidRDefault="00BD0AD6" w:rsidP="00BD0AD6">
      <w:pPr>
        <w:ind w:left="720"/>
      </w:pPr>
      <w:r>
        <w:t xml:space="preserve"> </w:t>
      </w:r>
    </w:p>
    <w:p w:rsidR="00BD0AD6" w:rsidRDefault="00C52445" w:rsidP="00BD0AD6">
      <w:pPr>
        <w:ind w:left="720"/>
      </w:pPr>
      <w:r>
        <w:rPr>
          <w:b/>
        </w:rPr>
        <w:t>Notification of failure to comply (</w:t>
      </w:r>
      <w:r w:rsidR="00BD0AD6">
        <w:rPr>
          <w:b/>
        </w:rPr>
        <w:t>§</w:t>
      </w:r>
      <w:r>
        <w:rPr>
          <w:b/>
        </w:rPr>
        <w:t xml:space="preserve"> </w:t>
      </w:r>
      <w:r w:rsidR="00BD0AD6">
        <w:rPr>
          <w:b/>
        </w:rPr>
        <w:t>821.25(d)</w:t>
      </w:r>
      <w:r>
        <w:rPr>
          <w:b/>
        </w:rPr>
        <w:t>)</w:t>
      </w:r>
      <w:r w:rsidR="00BD0AD6">
        <w:rPr>
          <w:b/>
        </w:rPr>
        <w:t xml:space="preserve"> - Reporting</w:t>
      </w:r>
      <w:r w:rsidR="00BD0AD6">
        <w:t xml:space="preserve"> - Requires manufacturers to notify FDA of distributors, final distributors, or multiple distributors not maintaining or reporting required information.</w:t>
      </w:r>
    </w:p>
    <w:p w:rsidR="00BD0AD6" w:rsidRDefault="00BD0AD6" w:rsidP="00BD0AD6">
      <w:pPr>
        <w:ind w:left="720"/>
      </w:pPr>
    </w:p>
    <w:p w:rsidR="00BD0AD6" w:rsidRDefault="00C52445" w:rsidP="00BD0AD6">
      <w:pPr>
        <w:ind w:left="720"/>
      </w:pPr>
      <w:r>
        <w:rPr>
          <w:b/>
        </w:rPr>
        <w:t>Acquisition of tracked devices (</w:t>
      </w:r>
      <w:r w:rsidR="00BD0AD6">
        <w:rPr>
          <w:b/>
        </w:rPr>
        <w:t>§</w:t>
      </w:r>
      <w:r>
        <w:rPr>
          <w:b/>
        </w:rPr>
        <w:t xml:space="preserve"> </w:t>
      </w:r>
      <w:r w:rsidR="00BD0AD6">
        <w:rPr>
          <w:b/>
        </w:rPr>
        <w:t>821.30(a)</w:t>
      </w:r>
      <w:r>
        <w:rPr>
          <w:b/>
        </w:rPr>
        <w:t>)</w:t>
      </w:r>
      <w:r w:rsidR="00BD0AD6">
        <w:rPr>
          <w:b/>
        </w:rPr>
        <w:t xml:space="preserve"> </w:t>
      </w:r>
      <w:r>
        <w:rPr>
          <w:b/>
        </w:rPr>
        <w:t>-</w:t>
      </w:r>
      <w:r w:rsidR="00BD0AD6">
        <w:rPr>
          <w:b/>
        </w:rPr>
        <w:t xml:space="preserve"> Third</w:t>
      </w:r>
      <w:r>
        <w:rPr>
          <w:b/>
        </w:rPr>
        <w:t>-</w:t>
      </w:r>
      <w:r w:rsidR="00BD0AD6">
        <w:rPr>
          <w:b/>
        </w:rPr>
        <w:t>Party Disclosure -</w:t>
      </w:r>
      <w:r w:rsidR="00BD0AD6">
        <w:t xml:space="preserve"> Requires distributors, final distributors, and multiple distributors, upon acquiring tracked devices, to provide manufacturers with data about the distributors, the devices, receipt, and other usage. </w:t>
      </w:r>
    </w:p>
    <w:p w:rsidR="00BD0AD6" w:rsidRDefault="00BD0AD6" w:rsidP="00BD0AD6">
      <w:pPr>
        <w:ind w:left="720"/>
      </w:pPr>
    </w:p>
    <w:p w:rsidR="00BD0AD6" w:rsidRDefault="001B5F71" w:rsidP="00BD0AD6">
      <w:pPr>
        <w:ind w:left="720"/>
      </w:pPr>
      <w:r>
        <w:rPr>
          <w:b/>
        </w:rPr>
        <w:t>Final distributor data (</w:t>
      </w:r>
      <w:r w:rsidR="00BD0AD6">
        <w:rPr>
          <w:b/>
        </w:rPr>
        <w:t>§</w:t>
      </w:r>
      <w:r>
        <w:rPr>
          <w:b/>
        </w:rPr>
        <w:t xml:space="preserve"> </w:t>
      </w:r>
      <w:r w:rsidR="00BD0AD6">
        <w:rPr>
          <w:b/>
        </w:rPr>
        <w:t>821.30(b)</w:t>
      </w:r>
      <w:r>
        <w:rPr>
          <w:b/>
        </w:rPr>
        <w:t>) -</w:t>
      </w:r>
      <w:r w:rsidR="00BD0AD6">
        <w:rPr>
          <w:b/>
        </w:rPr>
        <w:t xml:space="preserve"> Third</w:t>
      </w:r>
      <w:r>
        <w:rPr>
          <w:b/>
        </w:rPr>
        <w:t>-</w:t>
      </w:r>
      <w:r w:rsidR="00BD0AD6">
        <w:rPr>
          <w:b/>
        </w:rPr>
        <w:t>Party Disclosure -</w:t>
      </w:r>
      <w:r w:rsidR="00BD0AD6">
        <w:t xml:space="preserve"> Requires that final distributors of tracked devices intended for single patient use, upon distribution to patients, provide manufacturers with data about patient identities (if permitted), the devices, use dates, physicians, and other information.</w:t>
      </w:r>
    </w:p>
    <w:p w:rsidR="00BD0AD6" w:rsidRDefault="00BD0AD6" w:rsidP="00BD0AD6">
      <w:pPr>
        <w:ind w:left="720"/>
      </w:pPr>
    </w:p>
    <w:p w:rsidR="00BD0AD6" w:rsidRDefault="00FF1039" w:rsidP="00BD0AD6">
      <w:pPr>
        <w:ind w:left="720"/>
      </w:pPr>
      <w:r>
        <w:rPr>
          <w:b/>
        </w:rPr>
        <w:t>Multiple distributor data (</w:t>
      </w:r>
      <w:r w:rsidR="00BD0AD6">
        <w:rPr>
          <w:b/>
        </w:rPr>
        <w:t>§</w:t>
      </w:r>
      <w:r>
        <w:rPr>
          <w:b/>
        </w:rPr>
        <w:t xml:space="preserve"> </w:t>
      </w:r>
      <w:r w:rsidR="00BD0AD6">
        <w:rPr>
          <w:b/>
        </w:rPr>
        <w:t>821.30(c)(2)</w:t>
      </w:r>
      <w:r>
        <w:rPr>
          <w:b/>
        </w:rPr>
        <w:t>)</w:t>
      </w:r>
      <w:r w:rsidR="00BD0AD6">
        <w:rPr>
          <w:b/>
        </w:rPr>
        <w:t xml:space="preserve"> </w:t>
      </w:r>
      <w:r w:rsidR="00C621AA">
        <w:rPr>
          <w:b/>
        </w:rPr>
        <w:t>–</w:t>
      </w:r>
      <w:r w:rsidR="00BD0AD6">
        <w:rPr>
          <w:b/>
        </w:rPr>
        <w:t xml:space="preserve"> </w:t>
      </w:r>
      <w:r w:rsidR="00C621AA">
        <w:rPr>
          <w:b/>
        </w:rPr>
        <w:t>Reporting</w:t>
      </w:r>
      <w:r w:rsidR="00221B05">
        <w:rPr>
          <w:b/>
        </w:rPr>
        <w:t>, Recordkeeping,</w:t>
      </w:r>
      <w:r w:rsidR="00C621AA">
        <w:rPr>
          <w:b/>
        </w:rPr>
        <w:t xml:space="preserve"> and </w:t>
      </w:r>
      <w:r w:rsidR="00BD0AD6">
        <w:rPr>
          <w:b/>
        </w:rPr>
        <w:t>Third</w:t>
      </w:r>
      <w:r>
        <w:rPr>
          <w:b/>
        </w:rPr>
        <w:t>-</w:t>
      </w:r>
      <w:r w:rsidR="00BD0AD6">
        <w:rPr>
          <w:b/>
        </w:rPr>
        <w:t>Party Disclosure</w:t>
      </w:r>
      <w:r w:rsidR="00BD0AD6">
        <w:t xml:space="preserve"> - Requires multiple distributors to provide data on current users of tracked devices, current device locations, and other information, within 5 working days of a manufacturer’s request or within 10 working days of FDA’s request. </w:t>
      </w:r>
    </w:p>
    <w:p w:rsidR="00DC76C7" w:rsidRPr="00415E23" w:rsidRDefault="00B91F7B" w:rsidP="00BD0AD6">
      <w:pPr>
        <w:spacing w:before="100" w:beforeAutospacing="1" w:after="100" w:afterAutospacing="1"/>
        <w:ind w:left="720"/>
      </w:pPr>
      <w:r>
        <w:rPr>
          <w:b/>
        </w:rPr>
        <w:t>Distributor tracking records (</w:t>
      </w:r>
      <w:r w:rsidR="00BD0AD6">
        <w:rPr>
          <w:b/>
        </w:rPr>
        <w:t>§</w:t>
      </w:r>
      <w:r>
        <w:rPr>
          <w:b/>
        </w:rPr>
        <w:t xml:space="preserve"> </w:t>
      </w:r>
      <w:r w:rsidR="00BD0AD6">
        <w:rPr>
          <w:b/>
        </w:rPr>
        <w:t>821.30(d)</w:t>
      </w:r>
      <w:r>
        <w:rPr>
          <w:b/>
        </w:rPr>
        <w:t xml:space="preserve">) </w:t>
      </w:r>
      <w:r w:rsidR="00221B05">
        <w:rPr>
          <w:b/>
        </w:rPr>
        <w:t>–</w:t>
      </w:r>
      <w:r w:rsidR="00BD0AD6">
        <w:rPr>
          <w:b/>
        </w:rPr>
        <w:t xml:space="preserve"> </w:t>
      </w:r>
      <w:r w:rsidR="00221B05">
        <w:rPr>
          <w:b/>
        </w:rPr>
        <w:t xml:space="preserve">Recordkeeping and </w:t>
      </w:r>
      <w:r w:rsidR="00BD0AD6">
        <w:rPr>
          <w:b/>
        </w:rPr>
        <w:t>Third</w:t>
      </w:r>
      <w:r>
        <w:rPr>
          <w:b/>
        </w:rPr>
        <w:t>-</w:t>
      </w:r>
      <w:r w:rsidR="00BD0AD6">
        <w:rPr>
          <w:b/>
        </w:rPr>
        <w:t>Party Disclosure -</w:t>
      </w:r>
      <w:r w:rsidR="00BD0AD6">
        <w:t xml:space="preserve"> Requires all distributors to make required tracking information records available for auditing, upon a manufacturer’s written request.</w:t>
      </w:r>
    </w:p>
    <w:p w:rsidR="00584583" w:rsidRDefault="00B91F7B" w:rsidP="00823DFA">
      <w:pPr>
        <w:ind w:left="720"/>
      </w:pPr>
      <w:r w:rsidRPr="00B91F7B">
        <w:t>The</w:t>
      </w:r>
      <w:r w:rsidR="00A35D42" w:rsidRPr="00B91F7B">
        <w:t xml:space="preserve"> information collection</w:t>
      </w:r>
      <w:r w:rsidRPr="00B91F7B">
        <w:t xml:space="preserve"> is not</w:t>
      </w:r>
      <w:r w:rsidR="00A35D42" w:rsidRPr="00B91F7B">
        <w:t xml:space="preserve"> related to the American Recovery and Reinvestment Act of 2009 (</w:t>
      </w:r>
      <w:r w:rsidR="00A35D42" w:rsidRPr="00B91F7B">
        <w:rPr>
          <w:rStyle w:val="HTMLAcronym"/>
        </w:rPr>
        <w:t>ARRA</w:t>
      </w:r>
      <w:r w:rsidR="00A35D42" w:rsidRPr="00B91F7B">
        <w:t>)</w:t>
      </w:r>
      <w:r w:rsidR="003B42B3" w:rsidRPr="00B91F7B">
        <w:t>.</w:t>
      </w:r>
    </w:p>
    <w:p w:rsidR="008B30AB" w:rsidRPr="002746DB" w:rsidRDefault="00EB7538" w:rsidP="00B91F7B">
      <w:pPr>
        <w:keepNext/>
        <w:numPr>
          <w:ilvl w:val="0"/>
          <w:numId w:val="1"/>
        </w:numPr>
        <w:spacing w:before="100" w:beforeAutospacing="1" w:after="100" w:afterAutospacing="1"/>
        <w:rPr>
          <w:u w:val="single"/>
        </w:rPr>
      </w:pPr>
      <w:r w:rsidRPr="002746DB">
        <w:rPr>
          <w:u w:val="single"/>
        </w:rPr>
        <w:lastRenderedPageBreak/>
        <w:t xml:space="preserve">Purpose and Use of the Information Collection </w:t>
      </w:r>
    </w:p>
    <w:p w:rsidR="00424061" w:rsidRDefault="00956C0C" w:rsidP="00544138">
      <w:pPr>
        <w:ind w:left="720"/>
      </w:pPr>
      <w:r>
        <w:t>Tracking information is collected to facilitate identifying the current location of tracked devices, and patients (or end-users) possessing the devices, to the extent that patients permit the collection of identifying information (see item 10).  Manufacturers and, as necessary, FDA use the data to expedite recalling distributed devices that are dangerous or defective, and to facilitate the timely notification of patients or licensed practitioners of risks associated with the devices.  So far FDA has not found it necessary to utilize tracking information for these purposes.</w:t>
      </w:r>
    </w:p>
    <w:p w:rsidR="00544138" w:rsidRDefault="00544138" w:rsidP="00544138">
      <w:pPr>
        <w:ind w:left="720"/>
      </w:pPr>
    </w:p>
    <w:p w:rsidR="00CC2894" w:rsidRDefault="00125ACC" w:rsidP="00F207A4">
      <w:pPr>
        <w:ind w:left="720"/>
        <w:rPr>
          <w:i/>
        </w:rPr>
      </w:pPr>
      <w:r w:rsidRPr="00125ACC">
        <w:t>Respondents are</w:t>
      </w:r>
      <w:r w:rsidRPr="00125ACC">
        <w:rPr>
          <w:i/>
        </w:rPr>
        <w:t xml:space="preserve"> </w:t>
      </w:r>
      <w:r w:rsidRPr="00125ACC">
        <w:t>p</w:t>
      </w:r>
      <w:r w:rsidR="00584583" w:rsidRPr="00125ACC">
        <w:t xml:space="preserve">rivate </w:t>
      </w:r>
      <w:r w:rsidRPr="00125ACC">
        <w:t>s</w:t>
      </w:r>
      <w:r w:rsidR="00584583" w:rsidRPr="00125ACC">
        <w:t xml:space="preserve">ector, </w:t>
      </w:r>
      <w:r w:rsidR="00584583" w:rsidRPr="00125ACC">
        <w:rPr>
          <w:iCs/>
        </w:rPr>
        <w:t>for-profit</w:t>
      </w:r>
      <w:r w:rsidRPr="00125ACC">
        <w:rPr>
          <w:iCs/>
        </w:rPr>
        <w:t xml:space="preserve"> businesses</w:t>
      </w:r>
      <w:r w:rsidR="00584583" w:rsidRPr="00125ACC">
        <w:t>.</w:t>
      </w:r>
    </w:p>
    <w:p w:rsidR="002746DB" w:rsidRPr="004C6979" w:rsidRDefault="00EB7538" w:rsidP="00EB7538">
      <w:pPr>
        <w:numPr>
          <w:ilvl w:val="0"/>
          <w:numId w:val="1"/>
        </w:numPr>
        <w:spacing w:before="100" w:beforeAutospacing="1" w:after="100" w:afterAutospacing="1"/>
        <w:ind w:right="-1440"/>
        <w:rPr>
          <w:u w:val="single"/>
        </w:rPr>
      </w:pPr>
      <w:r w:rsidRPr="004C6979">
        <w:rPr>
          <w:u w:val="single"/>
        </w:rPr>
        <w:t xml:space="preserve">Use of Improved Information Technology and Burden Reduction </w:t>
      </w:r>
    </w:p>
    <w:p w:rsidR="00843752" w:rsidRDefault="00344884" w:rsidP="00F207A4">
      <w:pPr>
        <w:ind w:left="720"/>
      </w:pPr>
      <w:r>
        <w:t>Respondents have complete flexibility to use tracking system procedures, computer technology, and automation that reduce the time needed to compile tracking information.  Based on inspections conducted to date, FDA believes that manufacturers and distributors keep at least 90% of these records in electronic format.  If FDA requests submission of reports, FDA expects that manufacturers will also submit at least 90% of these reports in electronic format.</w:t>
      </w:r>
    </w:p>
    <w:p w:rsidR="002746DB" w:rsidRPr="002746DB" w:rsidRDefault="00EB7538" w:rsidP="00EB7538">
      <w:pPr>
        <w:numPr>
          <w:ilvl w:val="0"/>
          <w:numId w:val="1"/>
        </w:numPr>
        <w:spacing w:before="100" w:beforeAutospacing="1" w:after="100" w:afterAutospacing="1"/>
        <w:rPr>
          <w:u w:val="single"/>
        </w:rPr>
      </w:pPr>
      <w:r w:rsidRPr="002746DB">
        <w:rPr>
          <w:u w:val="single"/>
        </w:rPr>
        <w:t xml:space="preserve">Efforts to Identify Duplication and Use of Similar Information </w:t>
      </w:r>
    </w:p>
    <w:p w:rsidR="00344884" w:rsidRDefault="00344884" w:rsidP="00344884">
      <w:pPr>
        <w:ind w:left="720"/>
      </w:pPr>
      <w:r>
        <w:t xml:space="preserve">FDA is the only agency requiring an information collection that tracks devices to patients and distributors.  Legal impediments prevent using Social Security and Internal Revenue Service data that might help locate patients with tracked implants lost to follow-up.  </w:t>
      </w:r>
    </w:p>
    <w:p w:rsidR="00344884" w:rsidRDefault="00344884" w:rsidP="00344884">
      <w:pPr>
        <w:ind w:left="720"/>
      </w:pPr>
    </w:p>
    <w:p w:rsidR="002746DB" w:rsidRDefault="00344884" w:rsidP="00344884">
      <w:pPr>
        <w:ind w:left="720"/>
      </w:pPr>
      <w:r>
        <w:t>Under FDA’s Quality System Regulation (OMB Control No. 0910-0073; 21 CFR §820.160), manufacturers must maintain distribution records identifying initial consignees of devices.  Under §821.30(a), some device distributors might report to manufacturers tracking data already contained in initial consignee records.  In practice, FDA believes many final distributors, such as hospitals receiving tracked implants directly from manufacturers, rely on manufacturer records identifying initial consignees as fulfilling the intent of §821.30(a).  They only report, under §821.30(b), when tracked implants are implanted in patients and not when they are received.  Also, many distributors and multiple distributors of tracked life-sustaining or life-supporting devices do not receive the devices directly from manufacturers.  Consequently, duplicative reporting is minimal.</w:t>
      </w:r>
      <w:r w:rsidR="002746DB">
        <w:t xml:space="preserve"> </w:t>
      </w:r>
    </w:p>
    <w:p w:rsidR="002746DB" w:rsidRPr="004C6979" w:rsidRDefault="00EB7538" w:rsidP="00EB7538">
      <w:pPr>
        <w:numPr>
          <w:ilvl w:val="0"/>
          <w:numId w:val="1"/>
        </w:numPr>
        <w:spacing w:before="100" w:beforeAutospacing="1" w:after="100" w:afterAutospacing="1"/>
        <w:rPr>
          <w:u w:val="single"/>
        </w:rPr>
      </w:pPr>
      <w:r w:rsidRPr="004C6979">
        <w:rPr>
          <w:u w:val="single"/>
        </w:rPr>
        <w:t>Impact on Small Businesses or Other Small Entities</w:t>
      </w:r>
    </w:p>
    <w:p w:rsidR="00CD77C3" w:rsidRDefault="00125ACC" w:rsidP="00125ACC">
      <w:pPr>
        <w:ind w:left="720"/>
      </w:pPr>
      <w:r w:rsidRPr="00125ACC">
        <w:t>We estimate that approximately 80 percent</w:t>
      </w:r>
      <w:r w:rsidR="00544138" w:rsidRPr="00125ACC">
        <w:t xml:space="preserve"> of respondents are </w:t>
      </w:r>
      <w:r w:rsidRPr="00125ACC">
        <w:t xml:space="preserve">small </w:t>
      </w:r>
      <w:r w:rsidR="00E77B48" w:rsidRPr="00125ACC">
        <w:t>businesses</w:t>
      </w:r>
      <w:r w:rsidR="00544138" w:rsidRPr="00125ACC">
        <w:t>.</w:t>
      </w:r>
      <w:r>
        <w:t xml:space="preserve"> </w:t>
      </w:r>
      <w:r w:rsidR="00344884">
        <w:t xml:space="preserve">FDA helps to minimize the impact by aiding small business in dealing with tracking through guidance provided by the Center for Devices and Radiological Health’s Division of International and Consumer </w:t>
      </w:r>
      <w:r w:rsidR="00B1799F">
        <w:t xml:space="preserve">Education </w:t>
      </w:r>
      <w:r w:rsidR="00344884">
        <w:t>(</w:t>
      </w:r>
      <w:r w:rsidR="00B1799F">
        <w:t>DICE</w:t>
      </w:r>
      <w:r w:rsidR="00344884">
        <w:t>) and its scientific and compliance staffs.</w:t>
      </w:r>
    </w:p>
    <w:p w:rsidR="00CD77C3" w:rsidRPr="004C6979" w:rsidRDefault="00EB7538" w:rsidP="00EB7538">
      <w:pPr>
        <w:numPr>
          <w:ilvl w:val="0"/>
          <w:numId w:val="1"/>
        </w:numPr>
        <w:spacing w:before="100" w:beforeAutospacing="1" w:after="100" w:afterAutospacing="1"/>
        <w:rPr>
          <w:u w:val="single"/>
        </w:rPr>
      </w:pPr>
      <w:r w:rsidRPr="004C6979">
        <w:rPr>
          <w:u w:val="single"/>
        </w:rPr>
        <w:t>Consequences of Collecting the Information Less Frequently</w:t>
      </w:r>
    </w:p>
    <w:p w:rsidR="00CD77C3" w:rsidRDefault="00CD6EA9" w:rsidP="00F207A4">
      <w:pPr>
        <w:ind w:left="720"/>
      </w:pPr>
      <w:r>
        <w:t xml:space="preserve">Respondents will respond to the data collection occasionally. </w:t>
      </w:r>
      <w:r w:rsidR="00344884">
        <w:t>FDA does not require a specific collection frequency, because the agency reviews tracking data during an FDA inspection or upon FDA request.  Failure of manufacturers to record, and of distributors to report, data upon the distribution and patient receipt of tracked devices could delay the expeditious recall of distributed devices that are dangerous or defective.</w:t>
      </w:r>
      <w:r>
        <w:t xml:space="preserve"> </w:t>
      </w:r>
    </w:p>
    <w:p w:rsidR="00CD77C3" w:rsidRPr="004C6979" w:rsidRDefault="00EB7538" w:rsidP="00EB7538">
      <w:pPr>
        <w:numPr>
          <w:ilvl w:val="0"/>
          <w:numId w:val="1"/>
        </w:numPr>
        <w:spacing w:before="100" w:beforeAutospacing="1" w:after="100" w:afterAutospacing="1"/>
        <w:rPr>
          <w:u w:val="single"/>
        </w:rPr>
      </w:pPr>
      <w:r w:rsidRPr="004C6979">
        <w:rPr>
          <w:u w:val="single"/>
        </w:rPr>
        <w:t>Special Circumstances Relating to the Guidelines of 5 CFR 1320.5</w:t>
      </w:r>
    </w:p>
    <w:p w:rsidR="008108FA" w:rsidRDefault="008108FA" w:rsidP="008108FA">
      <w:pPr>
        <w:ind w:left="720"/>
      </w:pPr>
      <w:r>
        <w:t xml:space="preserve">There are no special circumstances for </w:t>
      </w:r>
      <w:r w:rsidR="002F419F">
        <w:t>this collection of information.</w:t>
      </w:r>
    </w:p>
    <w:p w:rsidR="00CD77C3" w:rsidRDefault="00EB7538" w:rsidP="00EB7538">
      <w:pPr>
        <w:numPr>
          <w:ilvl w:val="0"/>
          <w:numId w:val="1"/>
        </w:numPr>
        <w:spacing w:before="100" w:beforeAutospacing="1" w:after="100" w:afterAutospacing="1"/>
        <w:rPr>
          <w:u w:val="single"/>
        </w:rPr>
      </w:pPr>
      <w:r w:rsidRPr="004C6979">
        <w:rPr>
          <w:u w:val="single"/>
        </w:rPr>
        <w:t>Comments in Response to the Federal Register Notice and Efforts to Consult Outside the Agency</w:t>
      </w:r>
    </w:p>
    <w:p w:rsidR="00892400" w:rsidRDefault="00705086" w:rsidP="00DE43CF">
      <w:pPr>
        <w:ind w:left="720"/>
      </w:pPr>
      <w:r w:rsidRPr="00DD09F5">
        <w:t xml:space="preserve">In accordance with 5 CFR 1320.8(d), FDA published a 60 day notice for public comment in the FEDERAL REGISTER of </w:t>
      </w:r>
      <w:r w:rsidR="0032560E">
        <w:t>10/18/2017</w:t>
      </w:r>
      <w:r w:rsidRPr="00DD09F5">
        <w:t xml:space="preserve"> (</w:t>
      </w:r>
      <w:r w:rsidR="0032560E">
        <w:t>82</w:t>
      </w:r>
      <w:r w:rsidR="0032560E" w:rsidRPr="00DD09F5">
        <w:t xml:space="preserve"> </w:t>
      </w:r>
      <w:r w:rsidRPr="00DD09F5">
        <w:t xml:space="preserve">FR </w:t>
      </w:r>
      <w:r w:rsidR="0032560E">
        <w:t>48516</w:t>
      </w:r>
      <w:r w:rsidRPr="00DD09F5">
        <w:t xml:space="preserve">). </w:t>
      </w:r>
      <w:r w:rsidR="007A6FAE" w:rsidRPr="005045DA">
        <w:t>We received one comment that</w:t>
      </w:r>
      <w:r w:rsidR="00E65734" w:rsidRPr="005045DA">
        <w:t>, in summary,</w:t>
      </w:r>
      <w:r w:rsidR="007A6FAE" w:rsidRPr="005045DA">
        <w:t xml:space="preserve"> </w:t>
      </w:r>
      <w:r w:rsidR="001D24C7" w:rsidRPr="005045DA">
        <w:t>opined that the potential benefits of the dev</w:t>
      </w:r>
      <w:r w:rsidR="001D24C7">
        <w:t xml:space="preserve">ice tracking requirements cannot be realized in the regulation’s present state and the regulation should be withdrawn. We believe the basis of the comment relates to deregulation, rather than the estimate of PRA burden. </w:t>
      </w:r>
      <w:r w:rsidR="00E65734">
        <w:t>We have forwarded the comment to the appropriate program office for consideration.</w:t>
      </w:r>
    </w:p>
    <w:p w:rsidR="00CD77C3" w:rsidRPr="004C6979" w:rsidRDefault="00EB7538" w:rsidP="00E00EA0">
      <w:pPr>
        <w:numPr>
          <w:ilvl w:val="0"/>
          <w:numId w:val="1"/>
        </w:numPr>
        <w:spacing w:before="100" w:beforeAutospacing="1" w:after="100" w:afterAutospacing="1"/>
        <w:rPr>
          <w:u w:val="single"/>
        </w:rPr>
      </w:pPr>
      <w:r w:rsidRPr="004C6979">
        <w:rPr>
          <w:u w:val="single"/>
        </w:rPr>
        <w:t>Explanation of Any Payment or Gift to Respondents</w:t>
      </w:r>
    </w:p>
    <w:p w:rsidR="00CD77C3" w:rsidRDefault="002F419F" w:rsidP="00DD09F5">
      <w:pPr>
        <w:ind w:left="720"/>
      </w:pPr>
      <w:r>
        <w:t>No payment or gift is provided to respondents.</w:t>
      </w:r>
    </w:p>
    <w:p w:rsidR="00CD77C3" w:rsidRPr="004C6979" w:rsidRDefault="00EB7538" w:rsidP="00EB7538">
      <w:pPr>
        <w:numPr>
          <w:ilvl w:val="0"/>
          <w:numId w:val="1"/>
        </w:numPr>
        <w:spacing w:before="100" w:beforeAutospacing="1" w:after="100" w:afterAutospacing="1"/>
        <w:rPr>
          <w:u w:val="single"/>
        </w:rPr>
      </w:pPr>
      <w:r w:rsidRPr="004C6979">
        <w:rPr>
          <w:u w:val="single"/>
        </w:rPr>
        <w:t>Assurance of Confidentiality Provided to Respondents</w:t>
      </w:r>
    </w:p>
    <w:p w:rsidR="001D5380" w:rsidRDefault="002F419F" w:rsidP="001D5380">
      <w:pPr>
        <w:ind w:left="720"/>
        <w:rPr>
          <w:i/>
        </w:rPr>
      </w:pPr>
      <w:r>
        <w:t xml:space="preserve">Tracking data identifying customers or patients, either reviewed by or submitted to FDA, is </w:t>
      </w:r>
      <w:r w:rsidR="00C5765A">
        <w:t>covered under</w:t>
      </w:r>
      <w:r w:rsidR="00DE43CF">
        <w:t xml:space="preserve"> 21 CFR p</w:t>
      </w:r>
      <w:r>
        <w:t>art 20.</w:t>
      </w:r>
      <w:r w:rsidR="00C5765A" w:rsidRPr="00C5765A">
        <w:t xml:space="preserve"> Data will be kept private to the fullest extent allowed by law.</w:t>
      </w:r>
      <w:r w:rsidRPr="00C5765A">
        <w:t xml:space="preserve"> </w:t>
      </w:r>
      <w:r>
        <w:t xml:space="preserve"> Although patients are not respondents, patients receiving tracked devices may refuse to provide personal identifying data under §821.55(a).</w:t>
      </w:r>
    </w:p>
    <w:p w:rsidR="004C6979" w:rsidRPr="004C6979" w:rsidRDefault="00EB7538" w:rsidP="00DE43CF">
      <w:pPr>
        <w:keepNext/>
        <w:numPr>
          <w:ilvl w:val="0"/>
          <w:numId w:val="1"/>
        </w:numPr>
        <w:spacing w:before="100" w:beforeAutospacing="1" w:after="100" w:afterAutospacing="1"/>
        <w:rPr>
          <w:u w:val="single"/>
        </w:rPr>
      </w:pPr>
      <w:r w:rsidRPr="004C6979">
        <w:rPr>
          <w:u w:val="single"/>
        </w:rPr>
        <w:t>Justification for Sensitive Questions</w:t>
      </w:r>
    </w:p>
    <w:p w:rsidR="004C6979" w:rsidRDefault="00205933" w:rsidP="00DE43CF">
      <w:pPr>
        <w:ind w:left="720"/>
      </w:pPr>
      <w:r>
        <w:t>The information collection does not include</w:t>
      </w:r>
      <w:r w:rsidR="004C6979">
        <w:t xml:space="preserve"> questions that are of a sensitive nature, such as, sexual behavior and attitudes, religious beliefs, and other matters that are commonly considered private.</w:t>
      </w:r>
    </w:p>
    <w:p w:rsidR="004C6979" w:rsidRPr="004C6979" w:rsidRDefault="00EB7538" w:rsidP="002959AD">
      <w:pPr>
        <w:keepNext/>
        <w:numPr>
          <w:ilvl w:val="0"/>
          <w:numId w:val="1"/>
        </w:numPr>
        <w:spacing w:before="100" w:beforeAutospacing="1" w:after="100" w:afterAutospacing="1"/>
        <w:rPr>
          <w:u w:val="single"/>
        </w:rPr>
      </w:pPr>
      <w:r w:rsidRPr="004C6979">
        <w:rPr>
          <w:u w:val="single"/>
        </w:rPr>
        <w:t>Estimates of Annualized Burden Hours and Costs</w:t>
      </w:r>
    </w:p>
    <w:p w:rsidR="004C6979" w:rsidRDefault="008B0E29" w:rsidP="00BE6605">
      <w:pPr>
        <w:keepNext/>
        <w:ind w:left="360"/>
      </w:pPr>
      <w:r w:rsidRPr="00BE6605">
        <w:t xml:space="preserve">12a. </w:t>
      </w:r>
      <w:r w:rsidR="00411D11">
        <w:rPr>
          <w:u w:val="single"/>
        </w:rPr>
        <w:t xml:space="preserve">Annualized </w:t>
      </w:r>
      <w:r w:rsidR="004C6979">
        <w:rPr>
          <w:u w:val="single"/>
        </w:rPr>
        <w:t>Hour Burden Estimate</w:t>
      </w:r>
    </w:p>
    <w:p w:rsidR="00DC76C7" w:rsidRDefault="00DC76C7" w:rsidP="002959AD">
      <w:pPr>
        <w:keepNext/>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1"/>
        <w:gridCol w:w="1440"/>
        <w:gridCol w:w="1708"/>
        <w:gridCol w:w="1350"/>
        <w:gridCol w:w="1800"/>
        <w:gridCol w:w="917"/>
      </w:tblGrid>
      <w:tr w:rsidR="00E65A37" w:rsidRPr="004C24F9" w:rsidTr="000C575B">
        <w:trPr>
          <w:cantSplit/>
          <w:trHeight w:val="20"/>
          <w:tblHeader/>
          <w:jc w:val="center"/>
        </w:trPr>
        <w:tc>
          <w:tcPr>
            <w:tcW w:w="5000" w:type="pct"/>
            <w:gridSpan w:val="6"/>
            <w:shd w:val="clear" w:color="auto" w:fill="auto"/>
          </w:tcPr>
          <w:p w:rsidR="00E65A37" w:rsidRPr="004C24F9" w:rsidRDefault="00E65A37" w:rsidP="002959AD">
            <w:pPr>
              <w:keepNext/>
              <w:jc w:val="center"/>
              <w:rPr>
                <w:sz w:val="20"/>
                <w:szCs w:val="20"/>
              </w:rPr>
            </w:pPr>
            <w:r w:rsidRPr="004C24F9">
              <w:rPr>
                <w:sz w:val="20"/>
                <w:szCs w:val="20"/>
              </w:rPr>
              <w:t>Table 1.--Estimated Annual Reporting Burden</w:t>
            </w:r>
          </w:p>
        </w:tc>
      </w:tr>
      <w:tr w:rsidR="000C575B" w:rsidRPr="004C24F9" w:rsidTr="00221B05">
        <w:trPr>
          <w:cantSplit/>
          <w:trHeight w:val="20"/>
          <w:tblHeader/>
          <w:jc w:val="center"/>
        </w:trPr>
        <w:tc>
          <w:tcPr>
            <w:tcW w:w="1232" w:type="pct"/>
            <w:shd w:val="clear" w:color="auto" w:fill="auto"/>
          </w:tcPr>
          <w:p w:rsidR="00E65A37" w:rsidRPr="004C24F9" w:rsidRDefault="004C24F9" w:rsidP="002959AD">
            <w:pPr>
              <w:keepNext/>
              <w:jc w:val="center"/>
              <w:rPr>
                <w:sz w:val="20"/>
                <w:szCs w:val="20"/>
              </w:rPr>
            </w:pPr>
            <w:r w:rsidRPr="004C24F9">
              <w:rPr>
                <w:sz w:val="20"/>
                <w:szCs w:val="20"/>
              </w:rPr>
              <w:t xml:space="preserve">Activity/ </w:t>
            </w:r>
            <w:r w:rsidR="00E65A37" w:rsidRPr="004C24F9">
              <w:rPr>
                <w:sz w:val="20"/>
                <w:szCs w:val="20"/>
              </w:rPr>
              <w:t>21 CFR Part</w:t>
            </w:r>
          </w:p>
        </w:tc>
        <w:tc>
          <w:tcPr>
            <w:tcW w:w="752" w:type="pct"/>
            <w:shd w:val="clear" w:color="auto" w:fill="auto"/>
          </w:tcPr>
          <w:p w:rsidR="00E65A37" w:rsidRPr="004C24F9" w:rsidRDefault="00E65A37" w:rsidP="002959AD">
            <w:pPr>
              <w:keepNext/>
              <w:jc w:val="center"/>
              <w:rPr>
                <w:sz w:val="20"/>
                <w:szCs w:val="20"/>
              </w:rPr>
            </w:pPr>
            <w:r w:rsidRPr="004C24F9">
              <w:rPr>
                <w:sz w:val="20"/>
                <w:szCs w:val="20"/>
              </w:rPr>
              <w:t>No. of Respondents</w:t>
            </w:r>
          </w:p>
        </w:tc>
        <w:tc>
          <w:tcPr>
            <w:tcW w:w="892" w:type="pct"/>
            <w:shd w:val="clear" w:color="auto" w:fill="auto"/>
          </w:tcPr>
          <w:p w:rsidR="00E65A37" w:rsidRPr="004C24F9" w:rsidRDefault="00E65A37" w:rsidP="002959AD">
            <w:pPr>
              <w:keepNext/>
              <w:jc w:val="center"/>
              <w:rPr>
                <w:sz w:val="20"/>
                <w:szCs w:val="20"/>
              </w:rPr>
            </w:pPr>
            <w:r w:rsidRPr="004C24F9">
              <w:rPr>
                <w:bCs/>
                <w:sz w:val="20"/>
                <w:szCs w:val="20"/>
              </w:rPr>
              <w:t>No. of Responses per Respondent</w:t>
            </w:r>
          </w:p>
        </w:tc>
        <w:tc>
          <w:tcPr>
            <w:tcW w:w="705" w:type="pct"/>
            <w:shd w:val="clear" w:color="auto" w:fill="auto"/>
          </w:tcPr>
          <w:p w:rsidR="00E65A37" w:rsidRPr="004C24F9" w:rsidRDefault="00E65A37" w:rsidP="002959AD">
            <w:pPr>
              <w:keepNext/>
              <w:jc w:val="center"/>
              <w:rPr>
                <w:sz w:val="20"/>
                <w:szCs w:val="20"/>
              </w:rPr>
            </w:pPr>
            <w:r w:rsidRPr="004C24F9">
              <w:rPr>
                <w:sz w:val="20"/>
                <w:szCs w:val="20"/>
              </w:rPr>
              <w:t>Total Annual Responses</w:t>
            </w:r>
          </w:p>
        </w:tc>
        <w:tc>
          <w:tcPr>
            <w:tcW w:w="940" w:type="pct"/>
            <w:shd w:val="clear" w:color="auto" w:fill="auto"/>
          </w:tcPr>
          <w:p w:rsidR="00E65A37" w:rsidRPr="004C24F9" w:rsidRDefault="00E65A37" w:rsidP="002959AD">
            <w:pPr>
              <w:keepNext/>
              <w:jc w:val="center"/>
              <w:rPr>
                <w:sz w:val="20"/>
                <w:szCs w:val="20"/>
              </w:rPr>
            </w:pPr>
            <w:r w:rsidRPr="004C24F9">
              <w:rPr>
                <w:bCs/>
                <w:sz w:val="20"/>
                <w:szCs w:val="20"/>
              </w:rPr>
              <w:t>Average Burden per Response</w:t>
            </w:r>
          </w:p>
        </w:tc>
        <w:tc>
          <w:tcPr>
            <w:tcW w:w="480" w:type="pct"/>
            <w:shd w:val="clear" w:color="auto" w:fill="auto"/>
          </w:tcPr>
          <w:p w:rsidR="00E65A37" w:rsidRPr="004C24F9" w:rsidRDefault="00E65A37" w:rsidP="002959AD">
            <w:pPr>
              <w:keepNext/>
              <w:jc w:val="center"/>
              <w:rPr>
                <w:sz w:val="20"/>
                <w:szCs w:val="20"/>
              </w:rPr>
            </w:pPr>
            <w:r w:rsidRPr="004C24F9">
              <w:rPr>
                <w:sz w:val="20"/>
                <w:szCs w:val="20"/>
              </w:rPr>
              <w:t>Total Hours</w:t>
            </w:r>
          </w:p>
        </w:tc>
      </w:tr>
      <w:tr w:rsidR="000C575B" w:rsidRPr="004C24F9" w:rsidTr="00221B05">
        <w:trPr>
          <w:cantSplit/>
          <w:trHeight w:val="20"/>
          <w:jc w:val="center"/>
        </w:trPr>
        <w:tc>
          <w:tcPr>
            <w:tcW w:w="1232" w:type="pct"/>
            <w:shd w:val="clear" w:color="auto" w:fill="auto"/>
          </w:tcPr>
          <w:p w:rsidR="00E65A37" w:rsidRPr="004C24F9" w:rsidRDefault="000C575B" w:rsidP="002959AD">
            <w:pPr>
              <w:keepNext/>
              <w:rPr>
                <w:sz w:val="20"/>
                <w:szCs w:val="20"/>
              </w:rPr>
            </w:pPr>
            <w:r>
              <w:rPr>
                <w:sz w:val="20"/>
                <w:szCs w:val="20"/>
              </w:rPr>
              <w:t>Discontinuation of business--</w:t>
            </w:r>
            <w:r w:rsidR="004C24F9" w:rsidRPr="004C24F9">
              <w:rPr>
                <w:sz w:val="20"/>
                <w:szCs w:val="20"/>
              </w:rPr>
              <w:t>821.1(d)</w:t>
            </w:r>
          </w:p>
        </w:tc>
        <w:tc>
          <w:tcPr>
            <w:tcW w:w="752" w:type="pct"/>
            <w:shd w:val="clear" w:color="auto" w:fill="auto"/>
          </w:tcPr>
          <w:p w:rsidR="00E65A37" w:rsidRPr="004C24F9" w:rsidRDefault="004C24F9" w:rsidP="002959AD">
            <w:pPr>
              <w:keepNext/>
              <w:jc w:val="right"/>
              <w:rPr>
                <w:sz w:val="20"/>
                <w:szCs w:val="20"/>
              </w:rPr>
            </w:pPr>
            <w:r w:rsidRPr="004C24F9">
              <w:rPr>
                <w:sz w:val="20"/>
                <w:szCs w:val="20"/>
              </w:rPr>
              <w:t>1</w:t>
            </w:r>
          </w:p>
        </w:tc>
        <w:tc>
          <w:tcPr>
            <w:tcW w:w="892" w:type="pct"/>
            <w:shd w:val="clear" w:color="auto" w:fill="auto"/>
          </w:tcPr>
          <w:p w:rsidR="00E65A37" w:rsidRPr="004C24F9" w:rsidRDefault="004C24F9" w:rsidP="002959AD">
            <w:pPr>
              <w:keepNext/>
              <w:jc w:val="right"/>
              <w:rPr>
                <w:sz w:val="20"/>
                <w:szCs w:val="20"/>
              </w:rPr>
            </w:pPr>
            <w:r w:rsidRPr="004C24F9">
              <w:rPr>
                <w:sz w:val="20"/>
                <w:szCs w:val="20"/>
              </w:rPr>
              <w:t>1</w:t>
            </w:r>
          </w:p>
        </w:tc>
        <w:tc>
          <w:tcPr>
            <w:tcW w:w="705" w:type="pct"/>
            <w:shd w:val="clear" w:color="auto" w:fill="auto"/>
          </w:tcPr>
          <w:p w:rsidR="00E65A37" w:rsidRPr="004C24F9" w:rsidRDefault="004C24F9" w:rsidP="002959AD">
            <w:pPr>
              <w:keepNext/>
              <w:jc w:val="right"/>
              <w:rPr>
                <w:sz w:val="20"/>
                <w:szCs w:val="20"/>
              </w:rPr>
            </w:pPr>
            <w:r w:rsidRPr="004C24F9">
              <w:rPr>
                <w:sz w:val="20"/>
                <w:szCs w:val="20"/>
              </w:rPr>
              <w:t>1</w:t>
            </w:r>
          </w:p>
        </w:tc>
        <w:tc>
          <w:tcPr>
            <w:tcW w:w="940" w:type="pct"/>
            <w:shd w:val="clear" w:color="auto" w:fill="auto"/>
          </w:tcPr>
          <w:p w:rsidR="00E65A37" w:rsidRPr="004C24F9" w:rsidRDefault="004C24F9" w:rsidP="002959AD">
            <w:pPr>
              <w:keepNext/>
              <w:jc w:val="right"/>
              <w:rPr>
                <w:sz w:val="20"/>
                <w:szCs w:val="20"/>
              </w:rPr>
            </w:pPr>
            <w:r w:rsidRPr="004C24F9">
              <w:rPr>
                <w:sz w:val="20"/>
                <w:szCs w:val="20"/>
              </w:rPr>
              <w:t>1</w:t>
            </w:r>
          </w:p>
        </w:tc>
        <w:tc>
          <w:tcPr>
            <w:tcW w:w="480" w:type="pct"/>
            <w:shd w:val="clear" w:color="auto" w:fill="auto"/>
          </w:tcPr>
          <w:p w:rsidR="00E65A37" w:rsidRPr="004C24F9" w:rsidRDefault="004C24F9" w:rsidP="002959AD">
            <w:pPr>
              <w:keepNext/>
              <w:jc w:val="right"/>
              <w:rPr>
                <w:sz w:val="20"/>
                <w:szCs w:val="20"/>
              </w:rPr>
            </w:pPr>
            <w:r w:rsidRPr="004C24F9">
              <w:rPr>
                <w:sz w:val="20"/>
                <w:szCs w:val="20"/>
              </w:rPr>
              <w:t>1</w:t>
            </w:r>
          </w:p>
        </w:tc>
      </w:tr>
      <w:tr w:rsidR="000C575B" w:rsidRPr="004C24F9" w:rsidTr="00221B05">
        <w:trPr>
          <w:cantSplit/>
          <w:trHeight w:val="20"/>
          <w:jc w:val="center"/>
        </w:trPr>
        <w:tc>
          <w:tcPr>
            <w:tcW w:w="1232" w:type="pct"/>
            <w:shd w:val="clear" w:color="auto" w:fill="auto"/>
          </w:tcPr>
          <w:p w:rsidR="00E65A37" w:rsidRPr="004C24F9" w:rsidRDefault="000C575B" w:rsidP="002959AD">
            <w:pPr>
              <w:keepNext/>
              <w:rPr>
                <w:sz w:val="20"/>
                <w:szCs w:val="20"/>
              </w:rPr>
            </w:pPr>
            <w:r>
              <w:rPr>
                <w:sz w:val="20"/>
                <w:szCs w:val="20"/>
              </w:rPr>
              <w:t>Exemption or variance--</w:t>
            </w:r>
            <w:r w:rsidR="004C24F9" w:rsidRPr="004C24F9">
              <w:rPr>
                <w:sz w:val="20"/>
                <w:szCs w:val="20"/>
              </w:rPr>
              <w:t>821.2 and 821.30(e)</w:t>
            </w:r>
          </w:p>
        </w:tc>
        <w:tc>
          <w:tcPr>
            <w:tcW w:w="752" w:type="pct"/>
            <w:shd w:val="clear" w:color="auto" w:fill="auto"/>
          </w:tcPr>
          <w:p w:rsidR="00E65A37" w:rsidRPr="004C24F9" w:rsidRDefault="004C24F9" w:rsidP="002959AD">
            <w:pPr>
              <w:keepNext/>
              <w:jc w:val="right"/>
              <w:rPr>
                <w:sz w:val="20"/>
                <w:szCs w:val="20"/>
              </w:rPr>
            </w:pPr>
            <w:r w:rsidRPr="004C24F9">
              <w:rPr>
                <w:sz w:val="20"/>
                <w:szCs w:val="20"/>
              </w:rPr>
              <w:t>1</w:t>
            </w:r>
          </w:p>
        </w:tc>
        <w:tc>
          <w:tcPr>
            <w:tcW w:w="892" w:type="pct"/>
            <w:shd w:val="clear" w:color="auto" w:fill="auto"/>
          </w:tcPr>
          <w:p w:rsidR="00E65A37" w:rsidRPr="004C24F9" w:rsidRDefault="004C24F9" w:rsidP="002959AD">
            <w:pPr>
              <w:keepNext/>
              <w:jc w:val="right"/>
              <w:rPr>
                <w:sz w:val="20"/>
                <w:szCs w:val="20"/>
              </w:rPr>
            </w:pPr>
            <w:r w:rsidRPr="004C24F9">
              <w:rPr>
                <w:sz w:val="20"/>
                <w:szCs w:val="20"/>
              </w:rPr>
              <w:t>1</w:t>
            </w:r>
          </w:p>
        </w:tc>
        <w:tc>
          <w:tcPr>
            <w:tcW w:w="705" w:type="pct"/>
            <w:shd w:val="clear" w:color="auto" w:fill="auto"/>
          </w:tcPr>
          <w:p w:rsidR="00E65A37" w:rsidRPr="004C24F9" w:rsidRDefault="004C24F9" w:rsidP="002959AD">
            <w:pPr>
              <w:keepNext/>
              <w:jc w:val="right"/>
              <w:rPr>
                <w:sz w:val="20"/>
                <w:szCs w:val="20"/>
              </w:rPr>
            </w:pPr>
            <w:r w:rsidRPr="004C24F9">
              <w:rPr>
                <w:sz w:val="20"/>
                <w:szCs w:val="20"/>
              </w:rPr>
              <w:t>1</w:t>
            </w:r>
          </w:p>
        </w:tc>
        <w:tc>
          <w:tcPr>
            <w:tcW w:w="940" w:type="pct"/>
            <w:shd w:val="clear" w:color="auto" w:fill="auto"/>
          </w:tcPr>
          <w:p w:rsidR="00E65A37" w:rsidRPr="004C24F9" w:rsidRDefault="004C24F9" w:rsidP="002959AD">
            <w:pPr>
              <w:keepNext/>
              <w:jc w:val="right"/>
              <w:rPr>
                <w:sz w:val="20"/>
                <w:szCs w:val="20"/>
              </w:rPr>
            </w:pPr>
            <w:r w:rsidRPr="004C24F9">
              <w:rPr>
                <w:sz w:val="20"/>
                <w:szCs w:val="20"/>
              </w:rPr>
              <w:t>1</w:t>
            </w:r>
          </w:p>
        </w:tc>
        <w:tc>
          <w:tcPr>
            <w:tcW w:w="480" w:type="pct"/>
            <w:shd w:val="clear" w:color="auto" w:fill="auto"/>
          </w:tcPr>
          <w:p w:rsidR="00E65A37" w:rsidRPr="004C24F9" w:rsidRDefault="004C24F9" w:rsidP="002959AD">
            <w:pPr>
              <w:keepNext/>
              <w:jc w:val="right"/>
              <w:rPr>
                <w:sz w:val="20"/>
                <w:szCs w:val="20"/>
              </w:rPr>
            </w:pPr>
            <w:r w:rsidRPr="004C24F9">
              <w:rPr>
                <w:sz w:val="20"/>
                <w:szCs w:val="20"/>
              </w:rPr>
              <w:t>1</w:t>
            </w:r>
          </w:p>
        </w:tc>
      </w:tr>
      <w:tr w:rsidR="000C575B" w:rsidRPr="004C24F9" w:rsidTr="00221B05">
        <w:trPr>
          <w:cantSplit/>
          <w:trHeight w:val="20"/>
          <w:jc w:val="center"/>
        </w:trPr>
        <w:tc>
          <w:tcPr>
            <w:tcW w:w="1232" w:type="pct"/>
            <w:shd w:val="clear" w:color="auto" w:fill="auto"/>
          </w:tcPr>
          <w:p w:rsidR="004C24F9" w:rsidRPr="004C24F9" w:rsidRDefault="000C575B" w:rsidP="002959AD">
            <w:pPr>
              <w:keepNext/>
              <w:rPr>
                <w:sz w:val="20"/>
                <w:szCs w:val="20"/>
              </w:rPr>
            </w:pPr>
            <w:r>
              <w:rPr>
                <w:sz w:val="20"/>
                <w:szCs w:val="20"/>
              </w:rPr>
              <w:t>Notification of failure to comply--</w:t>
            </w:r>
            <w:r w:rsidR="004C24F9" w:rsidRPr="004C24F9">
              <w:rPr>
                <w:sz w:val="20"/>
                <w:szCs w:val="20"/>
              </w:rPr>
              <w:t>821.25(d)</w:t>
            </w:r>
          </w:p>
        </w:tc>
        <w:tc>
          <w:tcPr>
            <w:tcW w:w="752" w:type="pct"/>
            <w:shd w:val="clear" w:color="auto" w:fill="auto"/>
          </w:tcPr>
          <w:p w:rsidR="004C24F9" w:rsidRPr="004C24F9" w:rsidRDefault="004C24F9" w:rsidP="002959AD">
            <w:pPr>
              <w:keepNext/>
              <w:jc w:val="right"/>
              <w:rPr>
                <w:sz w:val="20"/>
                <w:szCs w:val="20"/>
              </w:rPr>
            </w:pPr>
            <w:r w:rsidRPr="004C24F9">
              <w:rPr>
                <w:sz w:val="20"/>
                <w:szCs w:val="20"/>
              </w:rPr>
              <w:t>1</w:t>
            </w:r>
          </w:p>
        </w:tc>
        <w:tc>
          <w:tcPr>
            <w:tcW w:w="892" w:type="pct"/>
            <w:shd w:val="clear" w:color="auto" w:fill="auto"/>
          </w:tcPr>
          <w:p w:rsidR="004C24F9" w:rsidRPr="004C24F9" w:rsidRDefault="004C24F9" w:rsidP="002959AD">
            <w:pPr>
              <w:keepNext/>
              <w:jc w:val="right"/>
              <w:rPr>
                <w:sz w:val="20"/>
                <w:szCs w:val="20"/>
              </w:rPr>
            </w:pPr>
            <w:r w:rsidRPr="004C24F9">
              <w:rPr>
                <w:sz w:val="20"/>
                <w:szCs w:val="20"/>
              </w:rPr>
              <w:t>1</w:t>
            </w:r>
          </w:p>
        </w:tc>
        <w:tc>
          <w:tcPr>
            <w:tcW w:w="705" w:type="pct"/>
            <w:shd w:val="clear" w:color="auto" w:fill="auto"/>
          </w:tcPr>
          <w:p w:rsidR="004C24F9" w:rsidRPr="004C24F9" w:rsidRDefault="004C24F9" w:rsidP="002959AD">
            <w:pPr>
              <w:keepNext/>
              <w:jc w:val="right"/>
              <w:rPr>
                <w:sz w:val="20"/>
                <w:szCs w:val="20"/>
              </w:rPr>
            </w:pPr>
            <w:r w:rsidRPr="004C24F9">
              <w:rPr>
                <w:sz w:val="20"/>
                <w:szCs w:val="20"/>
              </w:rPr>
              <w:t>1</w:t>
            </w:r>
          </w:p>
        </w:tc>
        <w:tc>
          <w:tcPr>
            <w:tcW w:w="940" w:type="pct"/>
            <w:shd w:val="clear" w:color="auto" w:fill="auto"/>
          </w:tcPr>
          <w:p w:rsidR="004C24F9" w:rsidRPr="004C24F9" w:rsidRDefault="004C24F9" w:rsidP="002959AD">
            <w:pPr>
              <w:keepNext/>
              <w:jc w:val="right"/>
              <w:rPr>
                <w:sz w:val="20"/>
                <w:szCs w:val="20"/>
              </w:rPr>
            </w:pPr>
            <w:r w:rsidRPr="004C24F9">
              <w:rPr>
                <w:sz w:val="20"/>
                <w:szCs w:val="20"/>
              </w:rPr>
              <w:t>1</w:t>
            </w:r>
          </w:p>
        </w:tc>
        <w:tc>
          <w:tcPr>
            <w:tcW w:w="480" w:type="pct"/>
            <w:shd w:val="clear" w:color="auto" w:fill="auto"/>
          </w:tcPr>
          <w:p w:rsidR="004C24F9" w:rsidRPr="004C24F9" w:rsidRDefault="004C24F9" w:rsidP="002959AD">
            <w:pPr>
              <w:keepNext/>
              <w:jc w:val="right"/>
              <w:rPr>
                <w:sz w:val="20"/>
                <w:szCs w:val="20"/>
              </w:rPr>
            </w:pPr>
            <w:r w:rsidRPr="004C24F9">
              <w:rPr>
                <w:sz w:val="20"/>
                <w:szCs w:val="20"/>
              </w:rPr>
              <w:t>1</w:t>
            </w:r>
          </w:p>
        </w:tc>
      </w:tr>
      <w:tr w:rsidR="000C575B" w:rsidRPr="004C24F9" w:rsidTr="00221B05">
        <w:trPr>
          <w:cantSplit/>
          <w:trHeight w:val="20"/>
          <w:jc w:val="center"/>
        </w:trPr>
        <w:tc>
          <w:tcPr>
            <w:tcW w:w="1232" w:type="pct"/>
            <w:shd w:val="clear" w:color="auto" w:fill="auto"/>
          </w:tcPr>
          <w:p w:rsidR="004C24F9" w:rsidRPr="004C24F9" w:rsidRDefault="00C621AA" w:rsidP="002959AD">
            <w:pPr>
              <w:keepNext/>
              <w:rPr>
                <w:sz w:val="20"/>
                <w:szCs w:val="20"/>
              </w:rPr>
            </w:pPr>
            <w:r>
              <w:rPr>
                <w:sz w:val="20"/>
                <w:szCs w:val="20"/>
              </w:rPr>
              <w:t>Multiple distributor data--</w:t>
            </w:r>
            <w:r w:rsidR="004C24F9" w:rsidRPr="004C24F9">
              <w:rPr>
                <w:sz w:val="20"/>
                <w:szCs w:val="20"/>
              </w:rPr>
              <w:t>821.3</w:t>
            </w:r>
            <w:r>
              <w:rPr>
                <w:sz w:val="20"/>
                <w:szCs w:val="20"/>
              </w:rPr>
              <w:t>0</w:t>
            </w:r>
            <w:r w:rsidR="00715502">
              <w:rPr>
                <w:sz w:val="20"/>
                <w:szCs w:val="20"/>
              </w:rPr>
              <w:t>(c)(2)</w:t>
            </w:r>
          </w:p>
        </w:tc>
        <w:tc>
          <w:tcPr>
            <w:tcW w:w="752" w:type="pct"/>
            <w:shd w:val="clear" w:color="auto" w:fill="auto"/>
          </w:tcPr>
          <w:p w:rsidR="004C24F9" w:rsidRPr="004C24F9" w:rsidRDefault="00715502" w:rsidP="002959AD">
            <w:pPr>
              <w:keepNext/>
              <w:jc w:val="right"/>
              <w:rPr>
                <w:sz w:val="20"/>
                <w:szCs w:val="20"/>
              </w:rPr>
            </w:pPr>
            <w:r>
              <w:rPr>
                <w:sz w:val="20"/>
                <w:szCs w:val="20"/>
              </w:rPr>
              <w:t>1</w:t>
            </w:r>
          </w:p>
        </w:tc>
        <w:tc>
          <w:tcPr>
            <w:tcW w:w="892" w:type="pct"/>
            <w:shd w:val="clear" w:color="auto" w:fill="auto"/>
          </w:tcPr>
          <w:p w:rsidR="004C24F9" w:rsidRPr="004C24F9" w:rsidRDefault="004C24F9" w:rsidP="002959AD">
            <w:pPr>
              <w:keepNext/>
              <w:jc w:val="right"/>
              <w:rPr>
                <w:sz w:val="20"/>
                <w:szCs w:val="20"/>
              </w:rPr>
            </w:pPr>
            <w:r w:rsidRPr="004C24F9">
              <w:rPr>
                <w:sz w:val="20"/>
                <w:szCs w:val="20"/>
              </w:rPr>
              <w:t>1</w:t>
            </w:r>
          </w:p>
        </w:tc>
        <w:tc>
          <w:tcPr>
            <w:tcW w:w="705" w:type="pct"/>
            <w:shd w:val="clear" w:color="auto" w:fill="auto"/>
          </w:tcPr>
          <w:p w:rsidR="004C24F9" w:rsidRPr="004C24F9" w:rsidRDefault="00715502" w:rsidP="002959AD">
            <w:pPr>
              <w:keepNext/>
              <w:jc w:val="right"/>
              <w:rPr>
                <w:sz w:val="20"/>
                <w:szCs w:val="20"/>
              </w:rPr>
            </w:pPr>
            <w:r>
              <w:rPr>
                <w:sz w:val="20"/>
                <w:szCs w:val="20"/>
              </w:rPr>
              <w:t>1</w:t>
            </w:r>
          </w:p>
        </w:tc>
        <w:tc>
          <w:tcPr>
            <w:tcW w:w="940" w:type="pct"/>
            <w:shd w:val="clear" w:color="auto" w:fill="auto"/>
          </w:tcPr>
          <w:p w:rsidR="004C24F9" w:rsidRPr="004C24F9" w:rsidRDefault="004C24F9" w:rsidP="002959AD">
            <w:pPr>
              <w:keepNext/>
              <w:jc w:val="right"/>
              <w:rPr>
                <w:sz w:val="20"/>
                <w:szCs w:val="20"/>
              </w:rPr>
            </w:pPr>
            <w:r w:rsidRPr="004C24F9">
              <w:rPr>
                <w:sz w:val="20"/>
                <w:szCs w:val="20"/>
              </w:rPr>
              <w:t>1</w:t>
            </w:r>
          </w:p>
        </w:tc>
        <w:tc>
          <w:tcPr>
            <w:tcW w:w="480" w:type="pct"/>
            <w:shd w:val="clear" w:color="auto" w:fill="auto"/>
          </w:tcPr>
          <w:p w:rsidR="004C24F9" w:rsidRPr="004C24F9" w:rsidRDefault="00715502" w:rsidP="002959AD">
            <w:pPr>
              <w:keepNext/>
              <w:jc w:val="right"/>
              <w:rPr>
                <w:sz w:val="20"/>
                <w:szCs w:val="20"/>
              </w:rPr>
            </w:pPr>
            <w:r>
              <w:rPr>
                <w:sz w:val="20"/>
                <w:szCs w:val="20"/>
              </w:rPr>
              <w:t>1</w:t>
            </w:r>
          </w:p>
        </w:tc>
      </w:tr>
      <w:tr w:rsidR="000C575B" w:rsidRPr="004C24F9" w:rsidTr="00221B05">
        <w:trPr>
          <w:cantSplit/>
          <w:trHeight w:val="20"/>
          <w:jc w:val="center"/>
        </w:trPr>
        <w:tc>
          <w:tcPr>
            <w:tcW w:w="1232" w:type="pct"/>
            <w:shd w:val="clear" w:color="auto" w:fill="auto"/>
          </w:tcPr>
          <w:p w:rsidR="004C24F9" w:rsidRPr="004C24F9" w:rsidRDefault="004C24F9" w:rsidP="002959AD">
            <w:pPr>
              <w:keepNext/>
              <w:rPr>
                <w:sz w:val="20"/>
                <w:szCs w:val="20"/>
              </w:rPr>
            </w:pPr>
            <w:r w:rsidRPr="004C24F9">
              <w:rPr>
                <w:sz w:val="20"/>
                <w:szCs w:val="20"/>
              </w:rPr>
              <w:t>Total</w:t>
            </w:r>
          </w:p>
        </w:tc>
        <w:tc>
          <w:tcPr>
            <w:tcW w:w="752" w:type="pct"/>
            <w:shd w:val="clear" w:color="auto" w:fill="auto"/>
          </w:tcPr>
          <w:p w:rsidR="004C24F9" w:rsidRPr="004C24F9" w:rsidRDefault="004C24F9" w:rsidP="002959AD">
            <w:pPr>
              <w:keepNext/>
              <w:jc w:val="right"/>
              <w:rPr>
                <w:sz w:val="20"/>
                <w:szCs w:val="20"/>
              </w:rPr>
            </w:pPr>
          </w:p>
        </w:tc>
        <w:tc>
          <w:tcPr>
            <w:tcW w:w="892" w:type="pct"/>
            <w:shd w:val="clear" w:color="auto" w:fill="auto"/>
          </w:tcPr>
          <w:p w:rsidR="004C24F9" w:rsidRPr="004C24F9" w:rsidRDefault="004C24F9" w:rsidP="002959AD">
            <w:pPr>
              <w:keepNext/>
              <w:jc w:val="right"/>
              <w:rPr>
                <w:sz w:val="20"/>
                <w:szCs w:val="20"/>
              </w:rPr>
            </w:pPr>
          </w:p>
        </w:tc>
        <w:tc>
          <w:tcPr>
            <w:tcW w:w="705" w:type="pct"/>
            <w:shd w:val="clear" w:color="auto" w:fill="auto"/>
          </w:tcPr>
          <w:p w:rsidR="004C24F9" w:rsidRPr="004C24F9" w:rsidRDefault="004C24F9" w:rsidP="002959AD">
            <w:pPr>
              <w:keepNext/>
              <w:jc w:val="right"/>
              <w:rPr>
                <w:sz w:val="20"/>
                <w:szCs w:val="20"/>
              </w:rPr>
            </w:pPr>
          </w:p>
        </w:tc>
        <w:tc>
          <w:tcPr>
            <w:tcW w:w="940" w:type="pct"/>
            <w:shd w:val="clear" w:color="auto" w:fill="auto"/>
          </w:tcPr>
          <w:p w:rsidR="004C24F9" w:rsidRPr="004C24F9" w:rsidRDefault="004C24F9" w:rsidP="002959AD">
            <w:pPr>
              <w:keepNext/>
              <w:jc w:val="right"/>
              <w:rPr>
                <w:sz w:val="20"/>
                <w:szCs w:val="20"/>
              </w:rPr>
            </w:pPr>
          </w:p>
        </w:tc>
        <w:tc>
          <w:tcPr>
            <w:tcW w:w="480" w:type="pct"/>
            <w:shd w:val="clear" w:color="auto" w:fill="auto"/>
          </w:tcPr>
          <w:p w:rsidR="004C24F9" w:rsidRPr="004C24F9" w:rsidRDefault="00221B05" w:rsidP="002959AD">
            <w:pPr>
              <w:keepNext/>
              <w:jc w:val="right"/>
              <w:rPr>
                <w:sz w:val="20"/>
                <w:szCs w:val="20"/>
              </w:rPr>
            </w:pPr>
            <w:r>
              <w:rPr>
                <w:sz w:val="20"/>
                <w:szCs w:val="20"/>
              </w:rPr>
              <w:t>4</w:t>
            </w:r>
          </w:p>
        </w:tc>
      </w:tr>
    </w:tbl>
    <w:p w:rsidR="00E65A37" w:rsidRDefault="00E65A37" w:rsidP="00E65A37">
      <w:pPr>
        <w:jc w:val="center"/>
      </w:pPr>
    </w:p>
    <w:p w:rsidR="00E65A37" w:rsidRPr="00231519" w:rsidRDefault="00E65A37" w:rsidP="00E65A37">
      <w:pPr>
        <w:jc w:val="cente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61"/>
        <w:gridCol w:w="1440"/>
        <w:gridCol w:w="1710"/>
        <w:gridCol w:w="1350"/>
        <w:gridCol w:w="1800"/>
        <w:gridCol w:w="915"/>
      </w:tblGrid>
      <w:tr w:rsidR="00E65A37" w:rsidRPr="000C575B" w:rsidTr="000C575B">
        <w:trPr>
          <w:cantSplit/>
          <w:trHeight w:val="20"/>
          <w:tblHeader/>
          <w:jc w:val="center"/>
        </w:trPr>
        <w:tc>
          <w:tcPr>
            <w:tcW w:w="5000" w:type="pct"/>
            <w:gridSpan w:val="6"/>
            <w:shd w:val="clear" w:color="auto" w:fill="auto"/>
          </w:tcPr>
          <w:p w:rsidR="00E65A37" w:rsidRPr="000C575B" w:rsidRDefault="00E65A37" w:rsidP="00B86DFA">
            <w:pPr>
              <w:jc w:val="center"/>
              <w:rPr>
                <w:sz w:val="20"/>
                <w:szCs w:val="20"/>
              </w:rPr>
            </w:pPr>
            <w:r w:rsidRPr="000C575B">
              <w:rPr>
                <w:sz w:val="20"/>
                <w:szCs w:val="20"/>
              </w:rPr>
              <w:t>Table 2.--Estimated Annual Recordkeeping Burden</w:t>
            </w:r>
          </w:p>
        </w:tc>
      </w:tr>
      <w:tr w:rsidR="000C575B" w:rsidRPr="000C575B" w:rsidTr="00715502">
        <w:trPr>
          <w:cantSplit/>
          <w:trHeight w:val="20"/>
          <w:tblHeader/>
          <w:jc w:val="center"/>
        </w:trPr>
        <w:tc>
          <w:tcPr>
            <w:tcW w:w="1232" w:type="pct"/>
            <w:shd w:val="clear" w:color="auto" w:fill="auto"/>
          </w:tcPr>
          <w:p w:rsidR="004C24F9" w:rsidRPr="000C575B" w:rsidRDefault="004C24F9" w:rsidP="004C24F9">
            <w:pPr>
              <w:jc w:val="center"/>
              <w:rPr>
                <w:sz w:val="20"/>
                <w:szCs w:val="20"/>
              </w:rPr>
            </w:pPr>
            <w:r w:rsidRPr="000C575B">
              <w:rPr>
                <w:sz w:val="20"/>
                <w:szCs w:val="20"/>
              </w:rPr>
              <w:t xml:space="preserve">Activity/ </w:t>
            </w:r>
            <w:r w:rsidR="00E65A37" w:rsidRPr="000C575B">
              <w:rPr>
                <w:sz w:val="20"/>
                <w:szCs w:val="20"/>
              </w:rPr>
              <w:t>21 CFR Part</w:t>
            </w:r>
          </w:p>
          <w:p w:rsidR="00E65A37" w:rsidRPr="000C575B" w:rsidRDefault="00E65A37" w:rsidP="00B86DFA">
            <w:pPr>
              <w:jc w:val="center"/>
              <w:rPr>
                <w:sz w:val="20"/>
                <w:szCs w:val="20"/>
              </w:rPr>
            </w:pPr>
          </w:p>
        </w:tc>
        <w:tc>
          <w:tcPr>
            <w:tcW w:w="752" w:type="pct"/>
            <w:shd w:val="clear" w:color="auto" w:fill="auto"/>
          </w:tcPr>
          <w:p w:rsidR="00E65A37" w:rsidRPr="000C575B" w:rsidRDefault="00E65A37" w:rsidP="00B86DFA">
            <w:pPr>
              <w:jc w:val="center"/>
              <w:rPr>
                <w:sz w:val="20"/>
                <w:szCs w:val="20"/>
              </w:rPr>
            </w:pPr>
            <w:r w:rsidRPr="000C575B">
              <w:rPr>
                <w:sz w:val="20"/>
                <w:szCs w:val="20"/>
              </w:rPr>
              <w:t>No. of Recordkeepers</w:t>
            </w:r>
          </w:p>
        </w:tc>
        <w:tc>
          <w:tcPr>
            <w:tcW w:w="893" w:type="pct"/>
            <w:shd w:val="clear" w:color="auto" w:fill="auto"/>
          </w:tcPr>
          <w:p w:rsidR="00E65A37" w:rsidRPr="000C575B" w:rsidRDefault="00E65A37" w:rsidP="00B86DFA">
            <w:pPr>
              <w:jc w:val="center"/>
              <w:rPr>
                <w:sz w:val="20"/>
                <w:szCs w:val="20"/>
              </w:rPr>
            </w:pPr>
            <w:r w:rsidRPr="000C575B">
              <w:rPr>
                <w:bCs/>
                <w:sz w:val="20"/>
                <w:szCs w:val="20"/>
              </w:rPr>
              <w:t>No. of Records per Recordkeeper</w:t>
            </w:r>
          </w:p>
        </w:tc>
        <w:tc>
          <w:tcPr>
            <w:tcW w:w="704" w:type="pct"/>
            <w:shd w:val="clear" w:color="auto" w:fill="auto"/>
          </w:tcPr>
          <w:p w:rsidR="00E65A37" w:rsidRPr="000C575B" w:rsidRDefault="00E65A37" w:rsidP="00B86DFA">
            <w:pPr>
              <w:jc w:val="center"/>
              <w:rPr>
                <w:sz w:val="20"/>
                <w:szCs w:val="20"/>
              </w:rPr>
            </w:pPr>
            <w:r w:rsidRPr="000C575B">
              <w:rPr>
                <w:sz w:val="20"/>
                <w:szCs w:val="20"/>
              </w:rPr>
              <w:t>Total Annual Records</w:t>
            </w:r>
          </w:p>
        </w:tc>
        <w:tc>
          <w:tcPr>
            <w:tcW w:w="939" w:type="pct"/>
            <w:shd w:val="clear" w:color="auto" w:fill="auto"/>
          </w:tcPr>
          <w:p w:rsidR="00E65A37" w:rsidRPr="000C575B" w:rsidRDefault="00E65A37" w:rsidP="00B86DFA">
            <w:pPr>
              <w:jc w:val="center"/>
              <w:rPr>
                <w:sz w:val="20"/>
                <w:szCs w:val="20"/>
              </w:rPr>
            </w:pPr>
            <w:r w:rsidRPr="000C575B">
              <w:rPr>
                <w:bCs/>
                <w:sz w:val="20"/>
                <w:szCs w:val="20"/>
              </w:rPr>
              <w:t xml:space="preserve">Average Burden per Recordkeeping </w:t>
            </w:r>
          </w:p>
        </w:tc>
        <w:tc>
          <w:tcPr>
            <w:tcW w:w="481" w:type="pct"/>
            <w:shd w:val="clear" w:color="auto" w:fill="auto"/>
          </w:tcPr>
          <w:p w:rsidR="00E65A37" w:rsidRPr="000C575B" w:rsidRDefault="00E65A37" w:rsidP="00B86DFA">
            <w:pPr>
              <w:jc w:val="center"/>
              <w:rPr>
                <w:sz w:val="20"/>
                <w:szCs w:val="20"/>
              </w:rPr>
            </w:pPr>
            <w:r w:rsidRPr="000C575B">
              <w:rPr>
                <w:sz w:val="20"/>
                <w:szCs w:val="20"/>
              </w:rPr>
              <w:t>Total Hours</w:t>
            </w:r>
          </w:p>
        </w:tc>
      </w:tr>
      <w:tr w:rsidR="00715502" w:rsidRPr="004C24F9" w:rsidTr="00715502">
        <w:trPr>
          <w:cantSplit/>
          <w:trHeight w:val="20"/>
          <w:jc w:val="center"/>
        </w:trPr>
        <w:tc>
          <w:tcPr>
            <w:tcW w:w="1232" w:type="pct"/>
            <w:shd w:val="clear" w:color="auto" w:fill="auto"/>
          </w:tcPr>
          <w:p w:rsidR="00715502" w:rsidRPr="004C24F9" w:rsidRDefault="00715502" w:rsidP="00F65270">
            <w:pPr>
              <w:rPr>
                <w:sz w:val="20"/>
                <w:szCs w:val="20"/>
              </w:rPr>
            </w:pPr>
            <w:r>
              <w:rPr>
                <w:sz w:val="20"/>
                <w:szCs w:val="20"/>
              </w:rPr>
              <w:t>Tracking information--</w:t>
            </w:r>
            <w:r w:rsidRPr="004C24F9">
              <w:rPr>
                <w:sz w:val="20"/>
                <w:szCs w:val="20"/>
              </w:rPr>
              <w:t>821.25(a)</w:t>
            </w:r>
          </w:p>
        </w:tc>
        <w:tc>
          <w:tcPr>
            <w:tcW w:w="752" w:type="pct"/>
            <w:shd w:val="clear" w:color="auto" w:fill="auto"/>
          </w:tcPr>
          <w:p w:rsidR="00715502" w:rsidRPr="004C24F9" w:rsidRDefault="00715502" w:rsidP="00F65270">
            <w:pPr>
              <w:jc w:val="right"/>
              <w:rPr>
                <w:sz w:val="20"/>
                <w:szCs w:val="20"/>
              </w:rPr>
            </w:pPr>
            <w:r w:rsidRPr="004C24F9">
              <w:rPr>
                <w:sz w:val="20"/>
                <w:szCs w:val="20"/>
              </w:rPr>
              <w:t>12</w:t>
            </w:r>
          </w:p>
        </w:tc>
        <w:tc>
          <w:tcPr>
            <w:tcW w:w="892" w:type="pct"/>
            <w:shd w:val="clear" w:color="auto" w:fill="auto"/>
          </w:tcPr>
          <w:p w:rsidR="00715502" w:rsidRPr="004C24F9" w:rsidRDefault="00715502" w:rsidP="00F65270">
            <w:pPr>
              <w:jc w:val="right"/>
              <w:rPr>
                <w:sz w:val="20"/>
                <w:szCs w:val="20"/>
              </w:rPr>
            </w:pPr>
            <w:r w:rsidRPr="004C24F9">
              <w:rPr>
                <w:sz w:val="20"/>
                <w:szCs w:val="20"/>
              </w:rPr>
              <w:t>1</w:t>
            </w:r>
          </w:p>
        </w:tc>
        <w:tc>
          <w:tcPr>
            <w:tcW w:w="705" w:type="pct"/>
            <w:shd w:val="clear" w:color="auto" w:fill="auto"/>
          </w:tcPr>
          <w:p w:rsidR="00715502" w:rsidRPr="004C24F9" w:rsidRDefault="00715502" w:rsidP="00F65270">
            <w:pPr>
              <w:jc w:val="right"/>
              <w:rPr>
                <w:sz w:val="20"/>
                <w:szCs w:val="20"/>
              </w:rPr>
            </w:pPr>
            <w:r w:rsidRPr="004C24F9">
              <w:rPr>
                <w:sz w:val="20"/>
                <w:szCs w:val="20"/>
              </w:rPr>
              <w:t>12</w:t>
            </w:r>
          </w:p>
        </w:tc>
        <w:tc>
          <w:tcPr>
            <w:tcW w:w="940" w:type="pct"/>
            <w:shd w:val="clear" w:color="auto" w:fill="auto"/>
          </w:tcPr>
          <w:p w:rsidR="00715502" w:rsidRPr="004C24F9" w:rsidRDefault="00715502" w:rsidP="00F65270">
            <w:pPr>
              <w:jc w:val="right"/>
              <w:rPr>
                <w:sz w:val="20"/>
                <w:szCs w:val="20"/>
              </w:rPr>
            </w:pPr>
            <w:r w:rsidRPr="004C24F9">
              <w:rPr>
                <w:sz w:val="20"/>
                <w:szCs w:val="20"/>
              </w:rPr>
              <w:t>76</w:t>
            </w:r>
          </w:p>
        </w:tc>
        <w:tc>
          <w:tcPr>
            <w:tcW w:w="480" w:type="pct"/>
            <w:shd w:val="clear" w:color="auto" w:fill="auto"/>
          </w:tcPr>
          <w:p w:rsidR="00715502" w:rsidRPr="004C24F9" w:rsidRDefault="00715502" w:rsidP="00F65270">
            <w:pPr>
              <w:jc w:val="right"/>
              <w:rPr>
                <w:sz w:val="20"/>
                <w:szCs w:val="20"/>
              </w:rPr>
            </w:pPr>
            <w:r w:rsidRPr="004C24F9">
              <w:rPr>
                <w:sz w:val="20"/>
                <w:szCs w:val="20"/>
              </w:rPr>
              <w:t>912</w:t>
            </w:r>
          </w:p>
        </w:tc>
      </w:tr>
      <w:tr w:rsidR="000C575B" w:rsidRPr="000C575B" w:rsidTr="00715502">
        <w:trPr>
          <w:cantSplit/>
          <w:trHeight w:val="20"/>
          <w:jc w:val="center"/>
        </w:trPr>
        <w:tc>
          <w:tcPr>
            <w:tcW w:w="1232" w:type="pct"/>
            <w:shd w:val="clear" w:color="auto" w:fill="auto"/>
          </w:tcPr>
          <w:p w:rsidR="00E65A37" w:rsidRPr="000C575B" w:rsidRDefault="000C575B" w:rsidP="00B86DFA">
            <w:pPr>
              <w:keepNext/>
              <w:rPr>
                <w:sz w:val="20"/>
                <w:szCs w:val="20"/>
              </w:rPr>
            </w:pPr>
            <w:r>
              <w:rPr>
                <w:sz w:val="20"/>
                <w:szCs w:val="20"/>
              </w:rPr>
              <w:t>Record of tracking data--</w:t>
            </w:r>
            <w:r w:rsidR="004C24F9" w:rsidRPr="000C575B">
              <w:rPr>
                <w:sz w:val="20"/>
                <w:szCs w:val="20"/>
              </w:rPr>
              <w:t>821.25(b)</w:t>
            </w:r>
          </w:p>
        </w:tc>
        <w:tc>
          <w:tcPr>
            <w:tcW w:w="752" w:type="pct"/>
            <w:shd w:val="clear" w:color="auto" w:fill="auto"/>
          </w:tcPr>
          <w:p w:rsidR="00E65A37" w:rsidRPr="000C575B" w:rsidRDefault="004C24F9" w:rsidP="00B86DFA">
            <w:pPr>
              <w:keepNext/>
              <w:jc w:val="right"/>
              <w:rPr>
                <w:sz w:val="20"/>
                <w:szCs w:val="20"/>
              </w:rPr>
            </w:pPr>
            <w:r w:rsidRPr="000C575B">
              <w:rPr>
                <w:sz w:val="20"/>
                <w:szCs w:val="20"/>
              </w:rPr>
              <w:t>12</w:t>
            </w:r>
          </w:p>
        </w:tc>
        <w:tc>
          <w:tcPr>
            <w:tcW w:w="893" w:type="pct"/>
            <w:shd w:val="clear" w:color="auto" w:fill="auto"/>
          </w:tcPr>
          <w:p w:rsidR="00E65A37" w:rsidRPr="000C575B" w:rsidRDefault="004C24F9" w:rsidP="00B86DFA">
            <w:pPr>
              <w:keepNext/>
              <w:jc w:val="right"/>
              <w:rPr>
                <w:sz w:val="20"/>
                <w:szCs w:val="20"/>
              </w:rPr>
            </w:pPr>
            <w:r w:rsidRPr="000C575B">
              <w:rPr>
                <w:sz w:val="20"/>
                <w:szCs w:val="20"/>
              </w:rPr>
              <w:t>46,260</w:t>
            </w:r>
          </w:p>
        </w:tc>
        <w:tc>
          <w:tcPr>
            <w:tcW w:w="704" w:type="pct"/>
            <w:shd w:val="clear" w:color="auto" w:fill="auto"/>
          </w:tcPr>
          <w:p w:rsidR="00E65A37" w:rsidRPr="000C575B" w:rsidRDefault="004C24F9" w:rsidP="00B86DFA">
            <w:pPr>
              <w:keepNext/>
              <w:jc w:val="right"/>
              <w:rPr>
                <w:sz w:val="20"/>
                <w:szCs w:val="20"/>
              </w:rPr>
            </w:pPr>
            <w:r w:rsidRPr="000C575B">
              <w:rPr>
                <w:sz w:val="20"/>
                <w:szCs w:val="20"/>
              </w:rPr>
              <w:t>555,120</w:t>
            </w:r>
          </w:p>
        </w:tc>
        <w:tc>
          <w:tcPr>
            <w:tcW w:w="939" w:type="pct"/>
            <w:shd w:val="clear" w:color="auto" w:fill="auto"/>
          </w:tcPr>
          <w:p w:rsidR="00E65A37" w:rsidRPr="000C575B" w:rsidRDefault="004C24F9" w:rsidP="00B86DFA">
            <w:pPr>
              <w:keepNext/>
              <w:jc w:val="right"/>
              <w:rPr>
                <w:sz w:val="20"/>
                <w:szCs w:val="20"/>
              </w:rPr>
            </w:pPr>
            <w:r w:rsidRPr="000C575B">
              <w:rPr>
                <w:sz w:val="20"/>
                <w:szCs w:val="20"/>
              </w:rPr>
              <w:t>1</w:t>
            </w:r>
          </w:p>
        </w:tc>
        <w:tc>
          <w:tcPr>
            <w:tcW w:w="481" w:type="pct"/>
            <w:shd w:val="clear" w:color="auto" w:fill="auto"/>
          </w:tcPr>
          <w:p w:rsidR="00E65A37" w:rsidRPr="000C575B" w:rsidRDefault="004C24F9" w:rsidP="00B86DFA">
            <w:pPr>
              <w:keepNext/>
              <w:jc w:val="right"/>
              <w:rPr>
                <w:sz w:val="20"/>
                <w:szCs w:val="20"/>
              </w:rPr>
            </w:pPr>
            <w:r w:rsidRPr="000C575B">
              <w:rPr>
                <w:sz w:val="20"/>
                <w:szCs w:val="20"/>
              </w:rPr>
              <w:t>555,120</w:t>
            </w:r>
          </w:p>
        </w:tc>
      </w:tr>
      <w:tr w:rsidR="000C575B" w:rsidRPr="000C575B" w:rsidTr="00715502">
        <w:trPr>
          <w:cantSplit/>
          <w:trHeight w:val="20"/>
          <w:jc w:val="center"/>
        </w:trPr>
        <w:tc>
          <w:tcPr>
            <w:tcW w:w="1232" w:type="pct"/>
            <w:shd w:val="clear" w:color="auto" w:fill="auto"/>
          </w:tcPr>
          <w:p w:rsidR="00E65A37" w:rsidRPr="000C575B" w:rsidRDefault="000C575B" w:rsidP="00B86DFA">
            <w:pPr>
              <w:keepNext/>
              <w:rPr>
                <w:sz w:val="20"/>
                <w:szCs w:val="20"/>
              </w:rPr>
            </w:pPr>
            <w:r>
              <w:rPr>
                <w:sz w:val="20"/>
                <w:szCs w:val="20"/>
              </w:rPr>
              <w:t>Standard operating procedures--</w:t>
            </w:r>
            <w:r w:rsidR="004C24F9" w:rsidRPr="000C575B">
              <w:rPr>
                <w:sz w:val="20"/>
                <w:szCs w:val="20"/>
              </w:rPr>
              <w:t>821.25(c)</w:t>
            </w:r>
            <w:r w:rsidR="004C24F9" w:rsidRPr="000C575B">
              <w:rPr>
                <w:sz w:val="20"/>
                <w:szCs w:val="20"/>
                <w:vertAlign w:val="superscript"/>
              </w:rPr>
              <w:t>1</w:t>
            </w:r>
          </w:p>
        </w:tc>
        <w:tc>
          <w:tcPr>
            <w:tcW w:w="752" w:type="pct"/>
            <w:shd w:val="clear" w:color="auto" w:fill="auto"/>
          </w:tcPr>
          <w:p w:rsidR="00E65A37" w:rsidRPr="000C575B" w:rsidRDefault="004C24F9" w:rsidP="00B86DFA">
            <w:pPr>
              <w:keepNext/>
              <w:jc w:val="right"/>
              <w:rPr>
                <w:sz w:val="20"/>
                <w:szCs w:val="20"/>
              </w:rPr>
            </w:pPr>
            <w:r w:rsidRPr="000C575B">
              <w:rPr>
                <w:sz w:val="20"/>
                <w:szCs w:val="20"/>
              </w:rPr>
              <w:t>12</w:t>
            </w:r>
          </w:p>
        </w:tc>
        <w:tc>
          <w:tcPr>
            <w:tcW w:w="893" w:type="pct"/>
            <w:shd w:val="clear" w:color="auto" w:fill="auto"/>
          </w:tcPr>
          <w:p w:rsidR="00E65A37" w:rsidRPr="000C575B" w:rsidRDefault="004C24F9" w:rsidP="00B86DFA">
            <w:pPr>
              <w:keepNext/>
              <w:jc w:val="right"/>
              <w:rPr>
                <w:sz w:val="20"/>
                <w:szCs w:val="20"/>
              </w:rPr>
            </w:pPr>
            <w:r w:rsidRPr="000C575B">
              <w:rPr>
                <w:sz w:val="20"/>
                <w:szCs w:val="20"/>
              </w:rPr>
              <w:t>1</w:t>
            </w:r>
          </w:p>
        </w:tc>
        <w:tc>
          <w:tcPr>
            <w:tcW w:w="704" w:type="pct"/>
            <w:shd w:val="clear" w:color="auto" w:fill="auto"/>
          </w:tcPr>
          <w:p w:rsidR="00E65A37" w:rsidRPr="000C575B" w:rsidRDefault="004C24F9" w:rsidP="00B86DFA">
            <w:pPr>
              <w:keepNext/>
              <w:jc w:val="right"/>
              <w:rPr>
                <w:sz w:val="20"/>
                <w:szCs w:val="20"/>
              </w:rPr>
            </w:pPr>
            <w:r w:rsidRPr="000C575B">
              <w:rPr>
                <w:sz w:val="20"/>
                <w:szCs w:val="20"/>
              </w:rPr>
              <w:t>12</w:t>
            </w:r>
          </w:p>
        </w:tc>
        <w:tc>
          <w:tcPr>
            <w:tcW w:w="939" w:type="pct"/>
            <w:shd w:val="clear" w:color="auto" w:fill="auto"/>
          </w:tcPr>
          <w:p w:rsidR="00E65A37" w:rsidRPr="000C575B" w:rsidRDefault="004C24F9" w:rsidP="00B86DFA">
            <w:pPr>
              <w:jc w:val="right"/>
              <w:rPr>
                <w:sz w:val="20"/>
                <w:szCs w:val="20"/>
              </w:rPr>
            </w:pPr>
            <w:r w:rsidRPr="000C575B">
              <w:rPr>
                <w:sz w:val="20"/>
                <w:szCs w:val="20"/>
              </w:rPr>
              <w:t>63</w:t>
            </w:r>
          </w:p>
        </w:tc>
        <w:tc>
          <w:tcPr>
            <w:tcW w:w="481" w:type="pct"/>
            <w:shd w:val="clear" w:color="auto" w:fill="auto"/>
          </w:tcPr>
          <w:p w:rsidR="00E65A37" w:rsidRPr="000C575B" w:rsidRDefault="004C24F9" w:rsidP="00B86DFA">
            <w:pPr>
              <w:keepNext/>
              <w:jc w:val="right"/>
              <w:rPr>
                <w:sz w:val="20"/>
                <w:szCs w:val="20"/>
              </w:rPr>
            </w:pPr>
            <w:r w:rsidRPr="000C575B">
              <w:rPr>
                <w:sz w:val="20"/>
                <w:szCs w:val="20"/>
              </w:rPr>
              <w:t>756</w:t>
            </w:r>
          </w:p>
        </w:tc>
      </w:tr>
      <w:tr w:rsidR="000C575B" w:rsidRPr="000C575B" w:rsidTr="00715502">
        <w:trPr>
          <w:cantSplit/>
          <w:trHeight w:val="20"/>
          <w:jc w:val="center"/>
        </w:trPr>
        <w:tc>
          <w:tcPr>
            <w:tcW w:w="1232" w:type="pct"/>
            <w:shd w:val="clear" w:color="auto" w:fill="auto"/>
          </w:tcPr>
          <w:p w:rsidR="004C24F9" w:rsidRPr="000C575B" w:rsidRDefault="00715502" w:rsidP="00B86DFA">
            <w:pPr>
              <w:keepNext/>
              <w:rPr>
                <w:sz w:val="20"/>
                <w:szCs w:val="20"/>
              </w:rPr>
            </w:pPr>
            <w:r>
              <w:rPr>
                <w:sz w:val="20"/>
                <w:szCs w:val="20"/>
              </w:rPr>
              <w:t>Manufacturer data audit</w:t>
            </w:r>
            <w:r w:rsidR="000C575B">
              <w:rPr>
                <w:sz w:val="20"/>
                <w:szCs w:val="20"/>
              </w:rPr>
              <w:t>--</w:t>
            </w:r>
            <w:r w:rsidR="004C24F9" w:rsidRPr="000C575B">
              <w:rPr>
                <w:sz w:val="20"/>
                <w:szCs w:val="20"/>
              </w:rPr>
              <w:t>821.25(c)(3)</w:t>
            </w:r>
          </w:p>
        </w:tc>
        <w:tc>
          <w:tcPr>
            <w:tcW w:w="752" w:type="pct"/>
            <w:shd w:val="clear" w:color="auto" w:fill="auto"/>
          </w:tcPr>
          <w:p w:rsidR="004C24F9" w:rsidRPr="000C575B" w:rsidRDefault="004C24F9" w:rsidP="00B86DFA">
            <w:pPr>
              <w:keepNext/>
              <w:jc w:val="right"/>
              <w:rPr>
                <w:sz w:val="20"/>
                <w:szCs w:val="20"/>
              </w:rPr>
            </w:pPr>
            <w:r w:rsidRPr="000C575B">
              <w:rPr>
                <w:sz w:val="20"/>
                <w:szCs w:val="20"/>
              </w:rPr>
              <w:t>12</w:t>
            </w:r>
          </w:p>
        </w:tc>
        <w:tc>
          <w:tcPr>
            <w:tcW w:w="893" w:type="pct"/>
            <w:shd w:val="clear" w:color="auto" w:fill="auto"/>
          </w:tcPr>
          <w:p w:rsidR="004C24F9" w:rsidRPr="000C575B" w:rsidRDefault="004C24F9" w:rsidP="00B86DFA">
            <w:pPr>
              <w:keepNext/>
              <w:jc w:val="right"/>
              <w:rPr>
                <w:sz w:val="20"/>
                <w:szCs w:val="20"/>
              </w:rPr>
            </w:pPr>
            <w:r w:rsidRPr="000C575B">
              <w:rPr>
                <w:sz w:val="20"/>
                <w:szCs w:val="20"/>
              </w:rPr>
              <w:t>1,124</w:t>
            </w:r>
          </w:p>
        </w:tc>
        <w:tc>
          <w:tcPr>
            <w:tcW w:w="704" w:type="pct"/>
            <w:shd w:val="clear" w:color="auto" w:fill="auto"/>
          </w:tcPr>
          <w:p w:rsidR="004C24F9" w:rsidRPr="000C575B" w:rsidRDefault="004C24F9" w:rsidP="00B86DFA">
            <w:pPr>
              <w:keepNext/>
              <w:jc w:val="right"/>
              <w:rPr>
                <w:sz w:val="20"/>
                <w:szCs w:val="20"/>
              </w:rPr>
            </w:pPr>
            <w:r w:rsidRPr="000C575B">
              <w:rPr>
                <w:sz w:val="20"/>
                <w:szCs w:val="20"/>
              </w:rPr>
              <w:t>13,488</w:t>
            </w:r>
          </w:p>
        </w:tc>
        <w:tc>
          <w:tcPr>
            <w:tcW w:w="939" w:type="pct"/>
            <w:shd w:val="clear" w:color="auto" w:fill="auto"/>
          </w:tcPr>
          <w:p w:rsidR="004C24F9" w:rsidRPr="000C575B" w:rsidRDefault="004C24F9" w:rsidP="00B86DFA">
            <w:pPr>
              <w:jc w:val="right"/>
              <w:rPr>
                <w:sz w:val="20"/>
                <w:szCs w:val="20"/>
              </w:rPr>
            </w:pPr>
            <w:r w:rsidRPr="000C575B">
              <w:rPr>
                <w:sz w:val="20"/>
                <w:szCs w:val="20"/>
              </w:rPr>
              <w:t>1</w:t>
            </w:r>
          </w:p>
        </w:tc>
        <w:tc>
          <w:tcPr>
            <w:tcW w:w="481" w:type="pct"/>
            <w:shd w:val="clear" w:color="auto" w:fill="auto"/>
          </w:tcPr>
          <w:p w:rsidR="004C24F9" w:rsidRPr="000C575B" w:rsidRDefault="004C24F9" w:rsidP="00B86DFA">
            <w:pPr>
              <w:keepNext/>
              <w:jc w:val="right"/>
              <w:rPr>
                <w:sz w:val="20"/>
                <w:szCs w:val="20"/>
              </w:rPr>
            </w:pPr>
            <w:r w:rsidRPr="000C575B">
              <w:rPr>
                <w:sz w:val="20"/>
                <w:szCs w:val="20"/>
              </w:rPr>
              <w:t>13,488</w:t>
            </w:r>
          </w:p>
        </w:tc>
      </w:tr>
      <w:tr w:rsidR="006220EC" w:rsidRPr="000C575B" w:rsidTr="00715502">
        <w:trPr>
          <w:cantSplit/>
          <w:trHeight w:val="20"/>
          <w:jc w:val="center"/>
        </w:trPr>
        <w:tc>
          <w:tcPr>
            <w:tcW w:w="1232" w:type="pct"/>
            <w:shd w:val="clear" w:color="auto" w:fill="auto"/>
          </w:tcPr>
          <w:p w:rsidR="006220EC" w:rsidRPr="000C575B" w:rsidRDefault="006220EC" w:rsidP="00B86DFA">
            <w:pPr>
              <w:keepNext/>
              <w:rPr>
                <w:sz w:val="20"/>
                <w:szCs w:val="20"/>
              </w:rPr>
            </w:pPr>
            <w:r>
              <w:rPr>
                <w:sz w:val="20"/>
                <w:szCs w:val="20"/>
              </w:rPr>
              <w:t>Multiple distributor data and distributor tracking records—821.30(c)(2) and (d)</w:t>
            </w:r>
          </w:p>
        </w:tc>
        <w:tc>
          <w:tcPr>
            <w:tcW w:w="752" w:type="pct"/>
            <w:shd w:val="clear" w:color="auto" w:fill="auto"/>
          </w:tcPr>
          <w:p w:rsidR="006220EC" w:rsidRPr="000C575B" w:rsidRDefault="00526A9D" w:rsidP="00B86DFA">
            <w:pPr>
              <w:keepNext/>
              <w:jc w:val="right"/>
              <w:rPr>
                <w:sz w:val="20"/>
                <w:szCs w:val="20"/>
              </w:rPr>
            </w:pPr>
            <w:r>
              <w:rPr>
                <w:sz w:val="20"/>
                <w:szCs w:val="20"/>
              </w:rPr>
              <w:t>22,000</w:t>
            </w:r>
          </w:p>
        </w:tc>
        <w:tc>
          <w:tcPr>
            <w:tcW w:w="893" w:type="pct"/>
            <w:shd w:val="clear" w:color="auto" w:fill="auto"/>
          </w:tcPr>
          <w:p w:rsidR="006220EC" w:rsidRPr="000C575B" w:rsidRDefault="006220EC" w:rsidP="00B86DFA">
            <w:pPr>
              <w:keepNext/>
              <w:jc w:val="right"/>
              <w:rPr>
                <w:sz w:val="20"/>
                <w:szCs w:val="20"/>
              </w:rPr>
            </w:pPr>
            <w:r>
              <w:rPr>
                <w:sz w:val="20"/>
                <w:szCs w:val="20"/>
              </w:rPr>
              <w:t>1</w:t>
            </w:r>
          </w:p>
        </w:tc>
        <w:tc>
          <w:tcPr>
            <w:tcW w:w="704" w:type="pct"/>
            <w:shd w:val="clear" w:color="auto" w:fill="auto"/>
          </w:tcPr>
          <w:p w:rsidR="006220EC" w:rsidRPr="000C575B" w:rsidRDefault="00526A9D" w:rsidP="00B86DFA">
            <w:pPr>
              <w:keepNext/>
              <w:jc w:val="right"/>
              <w:rPr>
                <w:sz w:val="20"/>
                <w:szCs w:val="20"/>
              </w:rPr>
            </w:pPr>
            <w:r>
              <w:rPr>
                <w:sz w:val="20"/>
                <w:szCs w:val="20"/>
              </w:rPr>
              <w:t>22,000</w:t>
            </w:r>
          </w:p>
        </w:tc>
        <w:tc>
          <w:tcPr>
            <w:tcW w:w="939" w:type="pct"/>
            <w:shd w:val="clear" w:color="auto" w:fill="auto"/>
          </w:tcPr>
          <w:p w:rsidR="006220EC" w:rsidRPr="000C575B" w:rsidRDefault="006220EC" w:rsidP="00B86DFA">
            <w:pPr>
              <w:jc w:val="right"/>
              <w:rPr>
                <w:sz w:val="20"/>
                <w:szCs w:val="20"/>
              </w:rPr>
            </w:pPr>
            <w:r>
              <w:rPr>
                <w:sz w:val="20"/>
                <w:szCs w:val="20"/>
              </w:rPr>
              <w:t>1</w:t>
            </w:r>
          </w:p>
        </w:tc>
        <w:tc>
          <w:tcPr>
            <w:tcW w:w="481" w:type="pct"/>
            <w:shd w:val="clear" w:color="auto" w:fill="auto"/>
          </w:tcPr>
          <w:p w:rsidR="006220EC" w:rsidRPr="000C575B" w:rsidRDefault="00526A9D" w:rsidP="00B86DFA">
            <w:pPr>
              <w:keepNext/>
              <w:jc w:val="right"/>
              <w:rPr>
                <w:sz w:val="20"/>
                <w:szCs w:val="20"/>
              </w:rPr>
            </w:pPr>
            <w:r>
              <w:rPr>
                <w:sz w:val="20"/>
                <w:szCs w:val="20"/>
              </w:rPr>
              <w:t>22,000</w:t>
            </w:r>
          </w:p>
        </w:tc>
      </w:tr>
      <w:tr w:rsidR="000C575B" w:rsidRPr="000C575B" w:rsidTr="00715502">
        <w:trPr>
          <w:cantSplit/>
          <w:trHeight w:val="20"/>
          <w:jc w:val="center"/>
        </w:trPr>
        <w:tc>
          <w:tcPr>
            <w:tcW w:w="1232" w:type="pct"/>
            <w:shd w:val="clear" w:color="auto" w:fill="auto"/>
          </w:tcPr>
          <w:p w:rsidR="004C24F9" w:rsidRPr="000C575B" w:rsidRDefault="004C24F9" w:rsidP="00B86DFA">
            <w:pPr>
              <w:keepNext/>
              <w:rPr>
                <w:sz w:val="20"/>
                <w:szCs w:val="20"/>
              </w:rPr>
            </w:pPr>
            <w:r w:rsidRPr="000C575B">
              <w:rPr>
                <w:sz w:val="20"/>
                <w:szCs w:val="20"/>
              </w:rPr>
              <w:t>Total</w:t>
            </w:r>
          </w:p>
        </w:tc>
        <w:tc>
          <w:tcPr>
            <w:tcW w:w="752" w:type="pct"/>
            <w:shd w:val="clear" w:color="auto" w:fill="auto"/>
          </w:tcPr>
          <w:p w:rsidR="004C24F9" w:rsidRPr="000C575B" w:rsidRDefault="004C24F9" w:rsidP="00B86DFA">
            <w:pPr>
              <w:keepNext/>
              <w:jc w:val="right"/>
              <w:rPr>
                <w:sz w:val="20"/>
                <w:szCs w:val="20"/>
              </w:rPr>
            </w:pPr>
          </w:p>
        </w:tc>
        <w:tc>
          <w:tcPr>
            <w:tcW w:w="893" w:type="pct"/>
            <w:shd w:val="clear" w:color="auto" w:fill="auto"/>
          </w:tcPr>
          <w:p w:rsidR="004C24F9" w:rsidRPr="000C575B" w:rsidRDefault="004C24F9" w:rsidP="00B86DFA">
            <w:pPr>
              <w:keepNext/>
              <w:jc w:val="right"/>
              <w:rPr>
                <w:sz w:val="20"/>
                <w:szCs w:val="20"/>
              </w:rPr>
            </w:pPr>
          </w:p>
        </w:tc>
        <w:tc>
          <w:tcPr>
            <w:tcW w:w="704" w:type="pct"/>
            <w:shd w:val="clear" w:color="auto" w:fill="auto"/>
          </w:tcPr>
          <w:p w:rsidR="004C24F9" w:rsidRPr="000C575B" w:rsidRDefault="004C24F9" w:rsidP="00B86DFA">
            <w:pPr>
              <w:keepNext/>
              <w:jc w:val="right"/>
              <w:rPr>
                <w:sz w:val="20"/>
                <w:szCs w:val="20"/>
              </w:rPr>
            </w:pPr>
          </w:p>
        </w:tc>
        <w:tc>
          <w:tcPr>
            <w:tcW w:w="939" w:type="pct"/>
            <w:shd w:val="clear" w:color="auto" w:fill="auto"/>
          </w:tcPr>
          <w:p w:rsidR="004C24F9" w:rsidRPr="000C575B" w:rsidRDefault="004C24F9" w:rsidP="00B86DFA">
            <w:pPr>
              <w:jc w:val="right"/>
              <w:rPr>
                <w:sz w:val="20"/>
                <w:szCs w:val="20"/>
              </w:rPr>
            </w:pPr>
          </w:p>
        </w:tc>
        <w:tc>
          <w:tcPr>
            <w:tcW w:w="481" w:type="pct"/>
            <w:shd w:val="clear" w:color="auto" w:fill="auto"/>
          </w:tcPr>
          <w:p w:rsidR="004C24F9" w:rsidRPr="000C575B" w:rsidRDefault="00A76936" w:rsidP="00B86DFA">
            <w:pPr>
              <w:keepNext/>
              <w:jc w:val="right"/>
              <w:rPr>
                <w:sz w:val="20"/>
                <w:szCs w:val="20"/>
              </w:rPr>
            </w:pPr>
            <w:r>
              <w:rPr>
                <w:sz w:val="20"/>
                <w:szCs w:val="20"/>
              </w:rPr>
              <w:t>592,276</w:t>
            </w:r>
          </w:p>
        </w:tc>
      </w:tr>
      <w:tr w:rsidR="004C24F9" w:rsidRPr="000C575B" w:rsidTr="000C575B">
        <w:trPr>
          <w:cantSplit/>
          <w:trHeight w:val="20"/>
          <w:jc w:val="center"/>
        </w:trPr>
        <w:tc>
          <w:tcPr>
            <w:tcW w:w="5000" w:type="pct"/>
            <w:gridSpan w:val="6"/>
            <w:shd w:val="clear" w:color="auto" w:fill="auto"/>
          </w:tcPr>
          <w:p w:rsidR="004C24F9" w:rsidRPr="000C575B" w:rsidRDefault="004C24F9" w:rsidP="004C24F9">
            <w:pPr>
              <w:keepNext/>
              <w:rPr>
                <w:sz w:val="20"/>
                <w:szCs w:val="20"/>
              </w:rPr>
            </w:pPr>
            <w:r w:rsidRPr="000C575B">
              <w:rPr>
                <w:sz w:val="20"/>
                <w:szCs w:val="20"/>
                <w:vertAlign w:val="superscript"/>
              </w:rPr>
              <w:t>1</w:t>
            </w:r>
            <w:r w:rsidRPr="000C575B">
              <w:rPr>
                <w:sz w:val="20"/>
                <w:szCs w:val="20"/>
              </w:rPr>
              <w:t xml:space="preserve"> One-time burden.</w:t>
            </w:r>
          </w:p>
        </w:tc>
      </w:tr>
    </w:tbl>
    <w:p w:rsidR="00E65A37" w:rsidRPr="00176B07" w:rsidRDefault="00E65A37" w:rsidP="00E65A37"/>
    <w:p w:rsidR="00E65A37" w:rsidRPr="00231519" w:rsidRDefault="00E65A37" w:rsidP="00E65A37">
      <w:pPr>
        <w:pStyle w:val="BodyText2"/>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1"/>
        <w:gridCol w:w="1440"/>
        <w:gridCol w:w="1710"/>
        <w:gridCol w:w="1350"/>
        <w:gridCol w:w="1798"/>
        <w:gridCol w:w="917"/>
      </w:tblGrid>
      <w:tr w:rsidR="00E65A37" w:rsidRPr="000C575B" w:rsidTr="000C575B">
        <w:trPr>
          <w:cantSplit/>
          <w:trHeight w:val="20"/>
          <w:tblHeader/>
          <w:jc w:val="center"/>
        </w:trPr>
        <w:tc>
          <w:tcPr>
            <w:tcW w:w="5000" w:type="pct"/>
            <w:gridSpan w:val="6"/>
          </w:tcPr>
          <w:p w:rsidR="00E65A37" w:rsidRPr="000C575B" w:rsidRDefault="002D14D8" w:rsidP="00913B43">
            <w:pPr>
              <w:jc w:val="center"/>
              <w:rPr>
                <w:sz w:val="20"/>
                <w:szCs w:val="20"/>
              </w:rPr>
            </w:pPr>
            <w:r w:rsidRPr="000C575B">
              <w:rPr>
                <w:sz w:val="20"/>
                <w:szCs w:val="20"/>
              </w:rPr>
              <w:t>Table 3</w:t>
            </w:r>
            <w:r w:rsidR="00E65A37" w:rsidRPr="000C575B">
              <w:rPr>
                <w:sz w:val="20"/>
                <w:szCs w:val="20"/>
              </w:rPr>
              <w:t>.--Estimated Annual Third-Party Disclosure Burden</w:t>
            </w:r>
          </w:p>
        </w:tc>
      </w:tr>
      <w:tr w:rsidR="00E65A37" w:rsidRPr="000C575B" w:rsidTr="003F5C48">
        <w:trPr>
          <w:cantSplit/>
          <w:trHeight w:val="20"/>
          <w:tblHeader/>
          <w:jc w:val="center"/>
        </w:trPr>
        <w:tc>
          <w:tcPr>
            <w:tcW w:w="1232" w:type="pct"/>
          </w:tcPr>
          <w:p w:rsidR="004C24F9" w:rsidRPr="000C575B" w:rsidRDefault="004C24F9" w:rsidP="004C24F9">
            <w:pPr>
              <w:jc w:val="center"/>
              <w:rPr>
                <w:sz w:val="20"/>
                <w:szCs w:val="20"/>
              </w:rPr>
            </w:pPr>
            <w:r w:rsidRPr="000C575B">
              <w:rPr>
                <w:sz w:val="20"/>
                <w:szCs w:val="20"/>
              </w:rPr>
              <w:t xml:space="preserve">Activity/ </w:t>
            </w:r>
            <w:r w:rsidR="00E65A37" w:rsidRPr="000C575B">
              <w:rPr>
                <w:sz w:val="20"/>
                <w:szCs w:val="20"/>
              </w:rPr>
              <w:t>21 CFR Part</w:t>
            </w:r>
          </w:p>
          <w:p w:rsidR="00E65A37" w:rsidRPr="000C575B" w:rsidRDefault="00E65A37" w:rsidP="00913B43">
            <w:pPr>
              <w:jc w:val="center"/>
              <w:rPr>
                <w:sz w:val="20"/>
                <w:szCs w:val="20"/>
              </w:rPr>
            </w:pPr>
          </w:p>
        </w:tc>
        <w:tc>
          <w:tcPr>
            <w:tcW w:w="752" w:type="pct"/>
          </w:tcPr>
          <w:p w:rsidR="00E65A37" w:rsidRPr="000C575B" w:rsidRDefault="00E65A37" w:rsidP="00913B43">
            <w:pPr>
              <w:jc w:val="center"/>
              <w:rPr>
                <w:sz w:val="20"/>
                <w:szCs w:val="20"/>
              </w:rPr>
            </w:pPr>
            <w:r w:rsidRPr="000C575B">
              <w:rPr>
                <w:sz w:val="20"/>
                <w:szCs w:val="20"/>
              </w:rPr>
              <w:t>No. of Respondents</w:t>
            </w:r>
          </w:p>
        </w:tc>
        <w:tc>
          <w:tcPr>
            <w:tcW w:w="893" w:type="pct"/>
          </w:tcPr>
          <w:p w:rsidR="00E65A37" w:rsidRPr="000C575B" w:rsidRDefault="00E65A37" w:rsidP="00913B43">
            <w:pPr>
              <w:jc w:val="center"/>
              <w:rPr>
                <w:sz w:val="20"/>
                <w:szCs w:val="20"/>
              </w:rPr>
            </w:pPr>
            <w:r w:rsidRPr="000C575B">
              <w:rPr>
                <w:bCs/>
                <w:sz w:val="20"/>
                <w:szCs w:val="20"/>
              </w:rPr>
              <w:t>No. of Disclosures per Respondent</w:t>
            </w:r>
          </w:p>
        </w:tc>
        <w:tc>
          <w:tcPr>
            <w:tcW w:w="705" w:type="pct"/>
          </w:tcPr>
          <w:p w:rsidR="00E65A37" w:rsidRPr="000C575B" w:rsidRDefault="00E65A37" w:rsidP="00913B43">
            <w:pPr>
              <w:jc w:val="center"/>
              <w:rPr>
                <w:sz w:val="20"/>
                <w:szCs w:val="20"/>
              </w:rPr>
            </w:pPr>
            <w:r w:rsidRPr="000C575B">
              <w:rPr>
                <w:sz w:val="20"/>
                <w:szCs w:val="20"/>
              </w:rPr>
              <w:t>Total Annual Disclosures</w:t>
            </w:r>
          </w:p>
        </w:tc>
        <w:tc>
          <w:tcPr>
            <w:tcW w:w="939" w:type="pct"/>
          </w:tcPr>
          <w:p w:rsidR="00E65A37" w:rsidRPr="000C575B" w:rsidRDefault="00E65A37" w:rsidP="00913B43">
            <w:pPr>
              <w:jc w:val="center"/>
              <w:rPr>
                <w:sz w:val="20"/>
                <w:szCs w:val="20"/>
              </w:rPr>
            </w:pPr>
            <w:r w:rsidRPr="000C575B">
              <w:rPr>
                <w:bCs/>
                <w:sz w:val="20"/>
                <w:szCs w:val="20"/>
              </w:rPr>
              <w:t xml:space="preserve">Average Burden per Disclosure </w:t>
            </w:r>
          </w:p>
        </w:tc>
        <w:tc>
          <w:tcPr>
            <w:tcW w:w="480" w:type="pct"/>
          </w:tcPr>
          <w:p w:rsidR="00E65A37" w:rsidRPr="000C575B" w:rsidRDefault="00E65A37" w:rsidP="00913B43">
            <w:pPr>
              <w:jc w:val="center"/>
              <w:rPr>
                <w:sz w:val="20"/>
                <w:szCs w:val="20"/>
              </w:rPr>
            </w:pPr>
            <w:r w:rsidRPr="000C575B">
              <w:rPr>
                <w:sz w:val="20"/>
                <w:szCs w:val="20"/>
              </w:rPr>
              <w:t>Total Hours</w:t>
            </w:r>
          </w:p>
        </w:tc>
      </w:tr>
      <w:tr w:rsidR="00E65A37" w:rsidRPr="000C575B" w:rsidTr="003F5C48">
        <w:trPr>
          <w:cantSplit/>
          <w:trHeight w:val="20"/>
          <w:jc w:val="center"/>
        </w:trPr>
        <w:tc>
          <w:tcPr>
            <w:tcW w:w="1232" w:type="pct"/>
          </w:tcPr>
          <w:p w:rsidR="00E65A37" w:rsidRPr="000C575B" w:rsidRDefault="00563AC3" w:rsidP="00913B43">
            <w:pPr>
              <w:rPr>
                <w:sz w:val="20"/>
                <w:szCs w:val="20"/>
              </w:rPr>
            </w:pPr>
            <w:r>
              <w:rPr>
                <w:sz w:val="20"/>
                <w:szCs w:val="20"/>
              </w:rPr>
              <w:t>Acquisition of tracked devices and final distributor data--</w:t>
            </w:r>
            <w:r w:rsidR="004C24F9" w:rsidRPr="000C575B">
              <w:rPr>
                <w:sz w:val="20"/>
                <w:szCs w:val="20"/>
              </w:rPr>
              <w:t>821.30(a) and (b)</w:t>
            </w:r>
          </w:p>
        </w:tc>
        <w:tc>
          <w:tcPr>
            <w:tcW w:w="752" w:type="pct"/>
          </w:tcPr>
          <w:p w:rsidR="00E65A37" w:rsidRPr="000C575B" w:rsidRDefault="00D00F1D" w:rsidP="00913B43">
            <w:pPr>
              <w:jc w:val="right"/>
              <w:rPr>
                <w:sz w:val="20"/>
                <w:szCs w:val="20"/>
              </w:rPr>
            </w:pPr>
            <w:r>
              <w:rPr>
                <w:sz w:val="20"/>
                <w:szCs w:val="20"/>
              </w:rPr>
              <w:t>22</w:t>
            </w:r>
            <w:r w:rsidR="004C24F9" w:rsidRPr="000C575B">
              <w:rPr>
                <w:sz w:val="20"/>
                <w:szCs w:val="20"/>
              </w:rPr>
              <w:t>,000</w:t>
            </w:r>
          </w:p>
        </w:tc>
        <w:tc>
          <w:tcPr>
            <w:tcW w:w="893" w:type="pct"/>
          </w:tcPr>
          <w:p w:rsidR="00E65A37" w:rsidRPr="000C575B" w:rsidRDefault="004C24F9" w:rsidP="00913B43">
            <w:pPr>
              <w:jc w:val="right"/>
              <w:rPr>
                <w:sz w:val="20"/>
                <w:szCs w:val="20"/>
              </w:rPr>
            </w:pPr>
            <w:r w:rsidRPr="000C575B">
              <w:rPr>
                <w:sz w:val="20"/>
                <w:szCs w:val="20"/>
              </w:rPr>
              <w:t>1</w:t>
            </w:r>
          </w:p>
        </w:tc>
        <w:tc>
          <w:tcPr>
            <w:tcW w:w="705" w:type="pct"/>
          </w:tcPr>
          <w:p w:rsidR="00E65A37" w:rsidRPr="000C575B" w:rsidRDefault="00D00F1D" w:rsidP="00913B43">
            <w:pPr>
              <w:jc w:val="right"/>
              <w:rPr>
                <w:sz w:val="20"/>
                <w:szCs w:val="20"/>
              </w:rPr>
            </w:pPr>
            <w:r>
              <w:rPr>
                <w:sz w:val="20"/>
                <w:szCs w:val="20"/>
              </w:rPr>
              <w:t>22</w:t>
            </w:r>
            <w:r w:rsidR="004C24F9" w:rsidRPr="000C575B">
              <w:rPr>
                <w:sz w:val="20"/>
                <w:szCs w:val="20"/>
              </w:rPr>
              <w:t>,000</w:t>
            </w:r>
          </w:p>
        </w:tc>
        <w:tc>
          <w:tcPr>
            <w:tcW w:w="939" w:type="pct"/>
          </w:tcPr>
          <w:p w:rsidR="00E65A37" w:rsidRPr="000C575B" w:rsidRDefault="004C24F9" w:rsidP="004C24F9">
            <w:pPr>
              <w:jc w:val="right"/>
              <w:rPr>
                <w:sz w:val="20"/>
                <w:szCs w:val="20"/>
              </w:rPr>
            </w:pPr>
            <w:r w:rsidRPr="000C575B">
              <w:rPr>
                <w:sz w:val="20"/>
                <w:szCs w:val="20"/>
              </w:rPr>
              <w:t>1</w:t>
            </w:r>
          </w:p>
        </w:tc>
        <w:tc>
          <w:tcPr>
            <w:tcW w:w="480" w:type="pct"/>
          </w:tcPr>
          <w:p w:rsidR="00E65A37" w:rsidRPr="000C575B" w:rsidRDefault="00D00F1D" w:rsidP="00913B43">
            <w:pPr>
              <w:jc w:val="right"/>
              <w:rPr>
                <w:sz w:val="20"/>
                <w:szCs w:val="20"/>
              </w:rPr>
            </w:pPr>
            <w:r>
              <w:rPr>
                <w:sz w:val="20"/>
                <w:szCs w:val="20"/>
              </w:rPr>
              <w:t>22</w:t>
            </w:r>
            <w:r w:rsidR="004C24F9" w:rsidRPr="000C575B">
              <w:rPr>
                <w:sz w:val="20"/>
                <w:szCs w:val="20"/>
              </w:rPr>
              <w:t>,000</w:t>
            </w:r>
          </w:p>
        </w:tc>
      </w:tr>
      <w:tr w:rsidR="00450A74" w:rsidRPr="000C575B" w:rsidTr="003F5C48">
        <w:trPr>
          <w:cantSplit/>
          <w:trHeight w:val="20"/>
          <w:jc w:val="center"/>
        </w:trPr>
        <w:tc>
          <w:tcPr>
            <w:tcW w:w="1232" w:type="pct"/>
          </w:tcPr>
          <w:p w:rsidR="00450A74" w:rsidRPr="000C575B" w:rsidRDefault="00563AC3" w:rsidP="00913B43">
            <w:pPr>
              <w:rPr>
                <w:sz w:val="20"/>
                <w:szCs w:val="20"/>
              </w:rPr>
            </w:pPr>
            <w:r>
              <w:rPr>
                <w:sz w:val="20"/>
                <w:szCs w:val="20"/>
              </w:rPr>
              <w:t>Multiple distributor data and distributor tracking records--</w:t>
            </w:r>
            <w:r w:rsidR="004C24F9" w:rsidRPr="000C575B">
              <w:rPr>
                <w:sz w:val="20"/>
                <w:szCs w:val="20"/>
              </w:rPr>
              <w:t>821.30(c)(2) and (d)</w:t>
            </w:r>
          </w:p>
        </w:tc>
        <w:tc>
          <w:tcPr>
            <w:tcW w:w="752" w:type="pct"/>
          </w:tcPr>
          <w:p w:rsidR="00450A74" w:rsidRPr="000C575B" w:rsidRDefault="00A76936" w:rsidP="00913B43">
            <w:pPr>
              <w:jc w:val="right"/>
              <w:rPr>
                <w:sz w:val="20"/>
                <w:szCs w:val="20"/>
              </w:rPr>
            </w:pPr>
            <w:r>
              <w:rPr>
                <w:sz w:val="20"/>
                <w:szCs w:val="20"/>
              </w:rPr>
              <w:t>1,100</w:t>
            </w:r>
          </w:p>
        </w:tc>
        <w:tc>
          <w:tcPr>
            <w:tcW w:w="893" w:type="pct"/>
          </w:tcPr>
          <w:p w:rsidR="00450A74" w:rsidRPr="000C575B" w:rsidRDefault="004C24F9" w:rsidP="00913B43">
            <w:pPr>
              <w:jc w:val="right"/>
              <w:rPr>
                <w:sz w:val="20"/>
                <w:szCs w:val="20"/>
              </w:rPr>
            </w:pPr>
            <w:r w:rsidRPr="000C575B">
              <w:rPr>
                <w:sz w:val="20"/>
                <w:szCs w:val="20"/>
              </w:rPr>
              <w:t>1</w:t>
            </w:r>
          </w:p>
        </w:tc>
        <w:tc>
          <w:tcPr>
            <w:tcW w:w="705" w:type="pct"/>
          </w:tcPr>
          <w:p w:rsidR="00450A74" w:rsidRPr="000C575B" w:rsidRDefault="00A76936" w:rsidP="00913B43">
            <w:pPr>
              <w:jc w:val="right"/>
              <w:rPr>
                <w:sz w:val="20"/>
                <w:szCs w:val="20"/>
              </w:rPr>
            </w:pPr>
            <w:r>
              <w:rPr>
                <w:sz w:val="20"/>
                <w:szCs w:val="20"/>
              </w:rPr>
              <w:t>1,100</w:t>
            </w:r>
          </w:p>
        </w:tc>
        <w:tc>
          <w:tcPr>
            <w:tcW w:w="939" w:type="pct"/>
          </w:tcPr>
          <w:p w:rsidR="00450A74" w:rsidRPr="000C575B" w:rsidRDefault="004C24F9" w:rsidP="00913B43">
            <w:pPr>
              <w:jc w:val="right"/>
              <w:rPr>
                <w:sz w:val="20"/>
                <w:szCs w:val="20"/>
              </w:rPr>
            </w:pPr>
            <w:r w:rsidRPr="000C575B">
              <w:rPr>
                <w:sz w:val="20"/>
                <w:szCs w:val="20"/>
              </w:rPr>
              <w:t>1</w:t>
            </w:r>
          </w:p>
        </w:tc>
        <w:tc>
          <w:tcPr>
            <w:tcW w:w="480" w:type="pct"/>
          </w:tcPr>
          <w:p w:rsidR="00450A74" w:rsidRPr="000C575B" w:rsidRDefault="00A76936" w:rsidP="00913B43">
            <w:pPr>
              <w:jc w:val="right"/>
              <w:rPr>
                <w:sz w:val="20"/>
                <w:szCs w:val="20"/>
              </w:rPr>
            </w:pPr>
            <w:r>
              <w:rPr>
                <w:sz w:val="20"/>
                <w:szCs w:val="20"/>
              </w:rPr>
              <w:t>1,100</w:t>
            </w:r>
          </w:p>
        </w:tc>
      </w:tr>
      <w:tr w:rsidR="004C24F9" w:rsidRPr="000C575B" w:rsidTr="003F5C48">
        <w:trPr>
          <w:cantSplit/>
          <w:trHeight w:val="20"/>
          <w:jc w:val="center"/>
        </w:trPr>
        <w:tc>
          <w:tcPr>
            <w:tcW w:w="1232" w:type="pct"/>
          </w:tcPr>
          <w:p w:rsidR="004C24F9" w:rsidRPr="000C575B" w:rsidRDefault="004C24F9" w:rsidP="00913B43">
            <w:pPr>
              <w:rPr>
                <w:sz w:val="20"/>
                <w:szCs w:val="20"/>
              </w:rPr>
            </w:pPr>
            <w:r w:rsidRPr="000C575B">
              <w:rPr>
                <w:sz w:val="20"/>
                <w:szCs w:val="20"/>
              </w:rPr>
              <w:t>Total</w:t>
            </w:r>
          </w:p>
        </w:tc>
        <w:tc>
          <w:tcPr>
            <w:tcW w:w="752" w:type="pct"/>
          </w:tcPr>
          <w:p w:rsidR="004C24F9" w:rsidRPr="000C575B" w:rsidRDefault="004C24F9" w:rsidP="00913B43">
            <w:pPr>
              <w:jc w:val="right"/>
              <w:rPr>
                <w:sz w:val="20"/>
                <w:szCs w:val="20"/>
              </w:rPr>
            </w:pPr>
          </w:p>
        </w:tc>
        <w:tc>
          <w:tcPr>
            <w:tcW w:w="893" w:type="pct"/>
          </w:tcPr>
          <w:p w:rsidR="004C24F9" w:rsidRPr="000C575B" w:rsidRDefault="004C24F9" w:rsidP="00913B43">
            <w:pPr>
              <w:jc w:val="right"/>
              <w:rPr>
                <w:sz w:val="20"/>
                <w:szCs w:val="20"/>
              </w:rPr>
            </w:pPr>
          </w:p>
        </w:tc>
        <w:tc>
          <w:tcPr>
            <w:tcW w:w="705" w:type="pct"/>
          </w:tcPr>
          <w:p w:rsidR="004C24F9" w:rsidRPr="000C575B" w:rsidRDefault="004C24F9" w:rsidP="00913B43">
            <w:pPr>
              <w:jc w:val="right"/>
              <w:rPr>
                <w:sz w:val="20"/>
                <w:szCs w:val="20"/>
              </w:rPr>
            </w:pPr>
          </w:p>
        </w:tc>
        <w:tc>
          <w:tcPr>
            <w:tcW w:w="939" w:type="pct"/>
          </w:tcPr>
          <w:p w:rsidR="004C24F9" w:rsidRPr="000C575B" w:rsidRDefault="004C24F9" w:rsidP="00913B43">
            <w:pPr>
              <w:jc w:val="right"/>
              <w:rPr>
                <w:sz w:val="20"/>
                <w:szCs w:val="20"/>
              </w:rPr>
            </w:pPr>
          </w:p>
        </w:tc>
        <w:tc>
          <w:tcPr>
            <w:tcW w:w="480" w:type="pct"/>
          </w:tcPr>
          <w:p w:rsidR="004C24F9" w:rsidRPr="000C575B" w:rsidRDefault="00A76936" w:rsidP="00913B43">
            <w:pPr>
              <w:jc w:val="right"/>
              <w:rPr>
                <w:sz w:val="20"/>
                <w:szCs w:val="20"/>
              </w:rPr>
            </w:pPr>
            <w:r>
              <w:rPr>
                <w:sz w:val="20"/>
                <w:szCs w:val="20"/>
              </w:rPr>
              <w:t>23,100</w:t>
            </w:r>
          </w:p>
        </w:tc>
      </w:tr>
    </w:tbl>
    <w:p w:rsidR="0005789F" w:rsidRDefault="0005789F" w:rsidP="003F5C48">
      <w:pPr>
        <w:ind w:left="720"/>
      </w:pPr>
    </w:p>
    <w:p w:rsidR="003F5C48" w:rsidRPr="00382243" w:rsidRDefault="003F5C48" w:rsidP="003F5C48">
      <w:pPr>
        <w:ind w:left="720"/>
      </w:pPr>
      <w:r w:rsidRPr="00382243">
        <w:t xml:space="preserve">Respondents </w:t>
      </w:r>
      <w:r>
        <w:t>to</w:t>
      </w:r>
      <w:r w:rsidRPr="00382243">
        <w:t xml:space="preserve"> this collection of information are medical device manufacturers, importers, and distributors of tracked implants or tracked l/s-l/s devices used outside a device user facility.  Distributors include multiple and final distributors, including hospitals.</w:t>
      </w:r>
    </w:p>
    <w:p w:rsidR="003F5C48" w:rsidRPr="00382243" w:rsidRDefault="003F5C48" w:rsidP="003F5C48">
      <w:pPr>
        <w:ind w:left="720"/>
      </w:pPr>
    </w:p>
    <w:p w:rsidR="003F5C48" w:rsidRPr="00382243" w:rsidRDefault="003F5C48" w:rsidP="003F5C48">
      <w:pPr>
        <w:ind w:left="720"/>
      </w:pPr>
      <w:r w:rsidRPr="00382243">
        <w:t>The</w:t>
      </w:r>
      <w:r>
        <w:t xml:space="preserve"> total</w:t>
      </w:r>
      <w:r w:rsidRPr="00382243">
        <w:t xml:space="preserve"> hourly burden for respondents involved with medical device tracking is estimated to be </w:t>
      </w:r>
      <w:r w:rsidR="00A258DA">
        <w:t>615,38</w:t>
      </w:r>
      <w:r w:rsidR="00221B05">
        <w:t>0</w:t>
      </w:r>
      <w:r w:rsidRPr="00382243">
        <w:t xml:space="preserve"> hours per year.  The burden estimates cited in Tables 1, 2, and 3 are based </w:t>
      </w:r>
      <w:r>
        <w:t>on the tracking orders</w:t>
      </w:r>
      <w:r w:rsidR="00D00F1D">
        <w:t xml:space="preserve"> FDA has issued</w:t>
      </w:r>
      <w:r>
        <w:t xml:space="preserve"> over the past three years, an average of 12 tracking orders annually.  </w:t>
      </w:r>
      <w:r w:rsidRPr="00382243">
        <w:t>FDA estimate</w:t>
      </w:r>
      <w:r w:rsidR="00F17A5E">
        <w:t>s</w:t>
      </w:r>
      <w:r w:rsidRPr="00382243">
        <w:t xml:space="preserve"> </w:t>
      </w:r>
      <w:r w:rsidR="00F17A5E">
        <w:t>that approximately 22</w:t>
      </w:r>
      <w:r w:rsidRPr="00382243">
        <w:t xml:space="preserve">,000 </w:t>
      </w:r>
      <w:r w:rsidR="00F17A5E">
        <w:t>respondents</w:t>
      </w:r>
      <w:r w:rsidRPr="00382243">
        <w:t xml:space="preserve"> </w:t>
      </w:r>
      <w:r w:rsidR="00F17A5E">
        <w:t xml:space="preserve">may be </w:t>
      </w:r>
      <w:r w:rsidRPr="00382243">
        <w:t>subject to tracking reporting requirements</w:t>
      </w:r>
      <w:r>
        <w:t>.</w:t>
      </w:r>
    </w:p>
    <w:p w:rsidR="003F5C48" w:rsidRPr="00382243" w:rsidRDefault="003F5C48" w:rsidP="003F5C48">
      <w:pPr>
        <w:ind w:left="720"/>
      </w:pPr>
    </w:p>
    <w:p w:rsidR="003F5C48" w:rsidRPr="00382243" w:rsidRDefault="003F5C48" w:rsidP="003F5C48">
      <w:pPr>
        <w:ind w:left="720"/>
      </w:pPr>
      <w:r w:rsidRPr="00382243">
        <w:t xml:space="preserve">Under §821.25(a), device manufacturers subject to FDA tracking orders must adopt a tracking method which can provide certain device, patient, and distributor information to FDA within 3-10 working days.  Assuming one occurrence </w:t>
      </w:r>
      <w:r>
        <w:t>per</w:t>
      </w:r>
      <w:r w:rsidRPr="00382243">
        <w:t xml:space="preserve"> year, FDA estimates it would take a firm 20 hours to provide FDA with location data for all tracked devices and 56 hours to identify all patients and/or multiple distributors possessing tracked devices.</w:t>
      </w:r>
    </w:p>
    <w:p w:rsidR="003F5C48" w:rsidRPr="00382243" w:rsidRDefault="003F5C48" w:rsidP="003F5C48">
      <w:pPr>
        <w:ind w:left="720"/>
      </w:pPr>
    </w:p>
    <w:p w:rsidR="003F5C48" w:rsidRPr="00382243" w:rsidRDefault="003F5C48" w:rsidP="003F5C48">
      <w:pPr>
        <w:ind w:left="720"/>
      </w:pPr>
      <w:r w:rsidRPr="00382243">
        <w:t xml:space="preserve">Under §821.25(d) manufacturers must notify FDA of distributor noncompliance with reporting requirements.  FDA is unaware of receiving any such notices and assumes only repeated noncompliances would be reported.  Based on the number of audits manufacturers conduct annually, FDA estimates it would receive no more than </w:t>
      </w:r>
      <w:r>
        <w:t>one notice</w:t>
      </w:r>
      <w:r w:rsidRPr="00382243">
        <w:t xml:space="preserve"> in any year</w:t>
      </w:r>
      <w:r>
        <w:t>, and that it would take 1 hour</w:t>
      </w:r>
      <w:r w:rsidRPr="00382243">
        <w:t xml:space="preserve"> per incident</w:t>
      </w:r>
      <w:r>
        <w:t>.</w:t>
      </w:r>
      <w:r w:rsidRPr="00382243">
        <w:t xml:space="preserve"> </w:t>
      </w:r>
    </w:p>
    <w:p w:rsidR="003F5C48" w:rsidRPr="00382243" w:rsidRDefault="003F5C48" w:rsidP="003F5C48">
      <w:pPr>
        <w:ind w:left="720"/>
      </w:pPr>
    </w:p>
    <w:p w:rsidR="003F5C48" w:rsidRPr="00382243" w:rsidRDefault="003F5C48" w:rsidP="003F5C48">
      <w:pPr>
        <w:ind w:left="720"/>
      </w:pPr>
      <w:r w:rsidRPr="00382243">
        <w:t xml:space="preserve">Under §821.30(c)(2), multiple distributors must provide data on current users of tracked devices, current device locations, and other information, upon request from a manufacturer or FDA.  FDA has not made such a request and is not aware of any manufacturer making a request.  Assuming one multiple distributor receives one request in a year from either a manufacturer or FDA, </w:t>
      </w:r>
      <w:r>
        <w:t xml:space="preserve">and that lists may be generated electronically, </w:t>
      </w:r>
      <w:r w:rsidRPr="00382243">
        <w:t xml:space="preserve">the agency estimates </w:t>
      </w:r>
      <w:r>
        <w:t xml:space="preserve">a burden of one hour </w:t>
      </w:r>
      <w:r w:rsidRPr="00382243">
        <w:t>to comply.</w:t>
      </w:r>
    </w:p>
    <w:p w:rsidR="003F5C48" w:rsidRPr="00382243" w:rsidRDefault="003F5C48" w:rsidP="003F5C48">
      <w:pPr>
        <w:ind w:left="720"/>
      </w:pPr>
    </w:p>
    <w:p w:rsidR="003F5C48" w:rsidRPr="00516697" w:rsidRDefault="003F5C48" w:rsidP="003F5C48">
      <w:pPr>
        <w:ind w:left="720"/>
      </w:pPr>
      <w:r w:rsidRPr="00382243">
        <w:t>Under §821.30(d) distributors must verify data or make required records available for auditing, if a manufactu</w:t>
      </w:r>
      <w:r>
        <w:t>rer provides a written request.</w:t>
      </w:r>
      <w:r w:rsidR="00A76936">
        <w:t xml:space="preserve">  FDA’s estimate of the burden for distributor audit responses assumes that manufacturers audit database entries for 5% of tracked devices distributed.</w:t>
      </w:r>
      <w:r>
        <w:t xml:space="preserve">  </w:t>
      </w:r>
      <w:r w:rsidRPr="00382243">
        <w:t xml:space="preserve">Each audited database entry prompts one distributor audit response.  </w:t>
      </w:r>
      <w:r>
        <w:t>Because lists may be generated electronically, FDA estimates a burden of one hour to comply.</w:t>
      </w:r>
    </w:p>
    <w:p w:rsidR="00C75CBF" w:rsidRDefault="00C75CBF" w:rsidP="00A93ED9">
      <w:pPr>
        <w:pStyle w:val="BodyText2"/>
        <w:ind w:left="360"/>
      </w:pPr>
    </w:p>
    <w:p w:rsidR="003740BC" w:rsidRDefault="003740BC" w:rsidP="00A93ED9">
      <w:pPr>
        <w:pStyle w:val="BodyText2"/>
        <w:ind w:left="360"/>
      </w:pPr>
    </w:p>
    <w:p w:rsidR="00A93ED9" w:rsidRDefault="00A93ED9" w:rsidP="004E7B9D">
      <w:pPr>
        <w:pStyle w:val="BodyText2"/>
        <w:keepNext/>
        <w:ind w:left="360"/>
      </w:pPr>
      <w:r w:rsidRPr="00C75CBF">
        <w:t xml:space="preserve">12b. </w:t>
      </w:r>
      <w:r w:rsidR="00411D11" w:rsidRPr="00C75CBF">
        <w:rPr>
          <w:u w:val="single"/>
        </w:rPr>
        <w:t>Annualized Cost Burden Estimate</w:t>
      </w:r>
    </w:p>
    <w:p w:rsidR="00A93ED9" w:rsidRDefault="00A93ED9" w:rsidP="004E7B9D">
      <w:pPr>
        <w:pStyle w:val="BodyText2"/>
        <w:keepNext/>
        <w:ind w:left="720"/>
      </w:pPr>
    </w:p>
    <w:p w:rsidR="00711776" w:rsidRPr="00EF6A2B" w:rsidRDefault="00711776" w:rsidP="00711776">
      <w:pPr>
        <w:ind w:left="720"/>
      </w:pPr>
      <w:r w:rsidRPr="001A1F2E">
        <w:t xml:space="preserve">The </w:t>
      </w:r>
      <w:r>
        <w:t xml:space="preserve">estimated </w:t>
      </w:r>
      <w:r w:rsidRPr="001A1F2E">
        <w:t xml:space="preserve">annual reporting cost to respondents for </w:t>
      </w:r>
      <w:r>
        <w:t>device tracking</w:t>
      </w:r>
      <w:r w:rsidRPr="001A1F2E">
        <w:t xml:space="preserve"> </w:t>
      </w:r>
      <w:r>
        <w:t xml:space="preserve">is </w:t>
      </w:r>
      <w:r w:rsidR="00A258DA">
        <w:t>$27,975,</w:t>
      </w:r>
      <w:r w:rsidR="00221B05">
        <w:t>174</w:t>
      </w:r>
      <w:r w:rsidR="00A258DA">
        <w:t xml:space="preserve">. </w:t>
      </w:r>
      <w:r>
        <w:t xml:space="preserve">We </w:t>
      </w:r>
      <w:r w:rsidR="00A258DA">
        <w:t xml:space="preserve">updated </w:t>
      </w:r>
      <w:r>
        <w:t xml:space="preserve">the annual cost burden </w:t>
      </w:r>
      <w:r w:rsidR="00A258DA">
        <w:t xml:space="preserve">estimate </w:t>
      </w:r>
      <w:r>
        <w:t xml:space="preserve">based on the wage rate for a Regulatory Affairs Professional* ($45.46), multiplied by the total estimated burden hours </w:t>
      </w:r>
      <w:r w:rsidR="00A258DA">
        <w:t>(615,38</w:t>
      </w:r>
      <w:r w:rsidR="00221B05">
        <w:t>0</w:t>
      </w:r>
      <w:r w:rsidR="00A258DA">
        <w:t>).</w:t>
      </w:r>
    </w:p>
    <w:p w:rsidR="00711776" w:rsidRDefault="00711776" w:rsidP="00711776">
      <w:pPr>
        <w:pStyle w:val="BodyTextIndent3"/>
        <w:tabs>
          <w:tab w:val="left" w:pos="-1080"/>
          <w:tab w:val="left" w:pos="-720"/>
          <w:tab w:val="left" w:pos="360"/>
          <w:tab w:val="left" w:pos="540"/>
          <w:tab w:val="left" w:pos="1440"/>
        </w:tabs>
        <w:rPr>
          <w:szCs w:val="24"/>
        </w:rPr>
      </w:pPr>
    </w:p>
    <w:tbl>
      <w:tblPr>
        <w:tblW w:w="80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5"/>
        <w:gridCol w:w="1789"/>
        <w:gridCol w:w="2187"/>
        <w:gridCol w:w="1940"/>
      </w:tblGrid>
      <w:tr w:rsidR="00711776" w:rsidRPr="006970DD" w:rsidTr="003426EA">
        <w:trPr>
          <w:cantSplit/>
          <w:tblHeader/>
          <w:jc w:val="center"/>
        </w:trPr>
        <w:tc>
          <w:tcPr>
            <w:tcW w:w="2145" w:type="dxa"/>
            <w:shd w:val="clear" w:color="auto" w:fill="auto"/>
          </w:tcPr>
          <w:p w:rsidR="00711776" w:rsidRPr="006970DD" w:rsidRDefault="00711776" w:rsidP="003426EA">
            <w:pPr>
              <w:keepNext/>
              <w:jc w:val="center"/>
            </w:pPr>
            <w:r w:rsidRPr="006970DD">
              <w:t>Type of Respondent</w:t>
            </w:r>
          </w:p>
        </w:tc>
        <w:tc>
          <w:tcPr>
            <w:tcW w:w="1789" w:type="dxa"/>
            <w:shd w:val="clear" w:color="auto" w:fill="auto"/>
          </w:tcPr>
          <w:p w:rsidR="00711776" w:rsidRPr="006970DD" w:rsidRDefault="00711776" w:rsidP="003426EA">
            <w:pPr>
              <w:keepNext/>
              <w:jc w:val="center"/>
            </w:pPr>
            <w:r w:rsidRPr="006970DD">
              <w:t>Total Burden Hours</w:t>
            </w:r>
          </w:p>
        </w:tc>
        <w:tc>
          <w:tcPr>
            <w:tcW w:w="2187" w:type="dxa"/>
            <w:shd w:val="clear" w:color="auto" w:fill="auto"/>
          </w:tcPr>
          <w:p w:rsidR="00711776" w:rsidRPr="006970DD" w:rsidRDefault="00711776" w:rsidP="003426EA">
            <w:pPr>
              <w:keepNext/>
              <w:jc w:val="center"/>
            </w:pPr>
            <w:r w:rsidRPr="006970DD">
              <w:t>Hourly Wage Rate</w:t>
            </w:r>
          </w:p>
        </w:tc>
        <w:tc>
          <w:tcPr>
            <w:tcW w:w="1940" w:type="dxa"/>
            <w:shd w:val="clear" w:color="auto" w:fill="auto"/>
          </w:tcPr>
          <w:p w:rsidR="00711776" w:rsidRPr="006970DD" w:rsidRDefault="00711776" w:rsidP="003426EA">
            <w:pPr>
              <w:keepNext/>
              <w:jc w:val="center"/>
            </w:pPr>
            <w:r w:rsidRPr="006970DD">
              <w:t>Total Respondent Costs</w:t>
            </w:r>
          </w:p>
        </w:tc>
      </w:tr>
      <w:tr w:rsidR="00711776" w:rsidRPr="006970DD" w:rsidTr="003426EA">
        <w:trPr>
          <w:cantSplit/>
          <w:jc w:val="center"/>
        </w:trPr>
        <w:tc>
          <w:tcPr>
            <w:tcW w:w="2145" w:type="dxa"/>
            <w:shd w:val="clear" w:color="auto" w:fill="auto"/>
          </w:tcPr>
          <w:p w:rsidR="00711776" w:rsidRPr="006970DD" w:rsidRDefault="00711776" w:rsidP="003426EA">
            <w:pPr>
              <w:keepNext/>
            </w:pPr>
            <w:r w:rsidRPr="006970DD">
              <w:t>Regulatory Affairs</w:t>
            </w:r>
            <w:r>
              <w:t xml:space="preserve"> Professional</w:t>
            </w:r>
          </w:p>
        </w:tc>
        <w:tc>
          <w:tcPr>
            <w:tcW w:w="1789" w:type="dxa"/>
            <w:shd w:val="clear" w:color="auto" w:fill="auto"/>
          </w:tcPr>
          <w:p w:rsidR="00711776" w:rsidRPr="006970DD" w:rsidRDefault="00A76936" w:rsidP="00221B05">
            <w:pPr>
              <w:keepNext/>
              <w:jc w:val="right"/>
            </w:pPr>
            <w:r>
              <w:t>615,38</w:t>
            </w:r>
            <w:r w:rsidR="00221B05">
              <w:t>0</w:t>
            </w:r>
          </w:p>
        </w:tc>
        <w:tc>
          <w:tcPr>
            <w:tcW w:w="2187" w:type="dxa"/>
            <w:shd w:val="clear" w:color="auto" w:fill="auto"/>
          </w:tcPr>
          <w:p w:rsidR="00711776" w:rsidRPr="006970DD" w:rsidRDefault="00711776" w:rsidP="003426EA">
            <w:pPr>
              <w:keepNext/>
              <w:jc w:val="right"/>
            </w:pPr>
            <w:r w:rsidRPr="006970DD">
              <w:t>$</w:t>
            </w:r>
            <w:r>
              <w:t>45.46</w:t>
            </w:r>
          </w:p>
        </w:tc>
        <w:tc>
          <w:tcPr>
            <w:tcW w:w="1940" w:type="dxa"/>
            <w:shd w:val="clear" w:color="auto" w:fill="auto"/>
          </w:tcPr>
          <w:p w:rsidR="00711776" w:rsidRPr="006970DD" w:rsidRDefault="00711776" w:rsidP="00221B05">
            <w:pPr>
              <w:keepNext/>
              <w:jc w:val="right"/>
            </w:pPr>
            <w:r w:rsidRPr="006970DD">
              <w:t>$</w:t>
            </w:r>
            <w:r w:rsidR="00A258DA">
              <w:t>27,975,</w:t>
            </w:r>
            <w:r w:rsidR="00221B05">
              <w:t>174</w:t>
            </w:r>
          </w:p>
        </w:tc>
      </w:tr>
    </w:tbl>
    <w:p w:rsidR="00711776" w:rsidRDefault="00711776" w:rsidP="00711776">
      <w:pPr>
        <w:pStyle w:val="BodyTextIndent3"/>
        <w:tabs>
          <w:tab w:val="left" w:pos="-1080"/>
          <w:tab w:val="left" w:pos="-720"/>
          <w:tab w:val="left" w:pos="360"/>
          <w:tab w:val="left" w:pos="540"/>
          <w:tab w:val="left" w:pos="1440"/>
        </w:tabs>
        <w:rPr>
          <w:szCs w:val="24"/>
        </w:rPr>
      </w:pPr>
    </w:p>
    <w:p w:rsidR="00711776" w:rsidRDefault="00711776" w:rsidP="00711776">
      <w:pPr>
        <w:ind w:left="720"/>
      </w:pPr>
      <w:r>
        <w:t>*The estimated wage rate for a Regulatory Affairs Professional is an average of the annual wage rates listed in several sources including Salary.com, eHow.com, MDDIonline.com, and Recruiter.com. The hourly wage rate assumes a 40-hour work week.</w:t>
      </w:r>
    </w:p>
    <w:p w:rsidR="004C6979" w:rsidRPr="004C6979" w:rsidRDefault="00EB7538" w:rsidP="00EB7538">
      <w:pPr>
        <w:numPr>
          <w:ilvl w:val="0"/>
          <w:numId w:val="1"/>
        </w:numPr>
        <w:spacing w:before="100" w:beforeAutospacing="1" w:after="100" w:afterAutospacing="1"/>
        <w:rPr>
          <w:u w:val="single"/>
        </w:rPr>
      </w:pPr>
      <w:r w:rsidRPr="004C6979">
        <w:rPr>
          <w:u w:val="single"/>
        </w:rPr>
        <w:t>Estimates of Other Total Annual Cost</w:t>
      </w:r>
      <w:r w:rsidR="007C75B1">
        <w:rPr>
          <w:u w:val="single"/>
        </w:rPr>
        <w:t>s</w:t>
      </w:r>
      <w:r w:rsidRPr="004C6979">
        <w:rPr>
          <w:u w:val="single"/>
        </w:rPr>
        <w:t xml:space="preserve"> to Respondents and</w:t>
      </w:r>
      <w:r w:rsidR="00350523">
        <w:rPr>
          <w:u w:val="single"/>
        </w:rPr>
        <w:t>/or Recordkeepers/Capital Costs</w:t>
      </w:r>
    </w:p>
    <w:p w:rsidR="00350523" w:rsidRDefault="00350523" w:rsidP="003E553E">
      <w:pPr>
        <w:ind w:left="720"/>
      </w:pPr>
      <w:r>
        <w:t>There are no capital, start-up, operating or maintenance costs associated with this information collection.</w:t>
      </w:r>
    </w:p>
    <w:p w:rsidR="004C6979" w:rsidRPr="004C6979" w:rsidRDefault="00EB7538" w:rsidP="00EB7538">
      <w:pPr>
        <w:numPr>
          <w:ilvl w:val="0"/>
          <w:numId w:val="1"/>
        </w:numPr>
        <w:spacing w:before="100" w:beforeAutospacing="1" w:after="100" w:afterAutospacing="1"/>
        <w:rPr>
          <w:u w:val="single"/>
        </w:rPr>
      </w:pPr>
      <w:r w:rsidRPr="004C6979">
        <w:rPr>
          <w:u w:val="single"/>
        </w:rPr>
        <w:t>Annualized Cost to the Federal Government</w:t>
      </w:r>
    </w:p>
    <w:p w:rsidR="00D02ADA" w:rsidRPr="00EE3B89" w:rsidRDefault="004429EC" w:rsidP="00B408C6">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80"/>
        </w:tabs>
        <w:ind w:left="720"/>
      </w:pPr>
      <w:r>
        <w:t xml:space="preserve">We estimate the annualized cost to the Federal government </w:t>
      </w:r>
      <w:r w:rsidR="002959AD">
        <w:t xml:space="preserve">is </w:t>
      </w:r>
      <w:r w:rsidR="00B408C6">
        <w:t>$</w:t>
      </w:r>
      <w:r w:rsidR="001D24C7">
        <w:t>20,690</w:t>
      </w:r>
      <w:r w:rsidR="002959AD">
        <w:t xml:space="preserve">. The estimate </w:t>
      </w:r>
      <w:r w:rsidR="005648A4">
        <w:t>includes</w:t>
      </w:r>
      <w:r w:rsidR="002959AD">
        <w:t xml:space="preserve"> FDA’s District </w:t>
      </w:r>
      <w:r w:rsidR="005648A4">
        <w:t>o</w:t>
      </w:r>
      <w:r w:rsidR="002959AD">
        <w:t xml:space="preserve">ffice personnel </w:t>
      </w:r>
      <w:r w:rsidR="005648A4">
        <w:t>as well as</w:t>
      </w:r>
      <w:r w:rsidR="002959AD">
        <w:t xml:space="preserve"> headquarters personnel</w:t>
      </w:r>
      <w:r w:rsidR="005648A4">
        <w:t xml:space="preserve"> who work with tracked device information</w:t>
      </w:r>
      <w:r w:rsidR="002959AD">
        <w:t xml:space="preserve">. </w:t>
      </w:r>
      <w:r w:rsidR="00D02ADA" w:rsidRPr="00EE3B89">
        <w:t>A</w:t>
      </w:r>
      <w:r w:rsidR="005648A4">
        <w:t xml:space="preserve"> full time equivalent position</w:t>
      </w:r>
      <w:r w:rsidR="00D02ADA" w:rsidRPr="00EE3B89">
        <w:t xml:space="preserve"> </w:t>
      </w:r>
      <w:r w:rsidR="005648A4">
        <w:t>(</w:t>
      </w:r>
      <w:r w:rsidR="00D02ADA" w:rsidRPr="00EE3B89">
        <w:t>FTE</w:t>
      </w:r>
      <w:r w:rsidR="005648A4">
        <w:t>)</w:t>
      </w:r>
      <w:r w:rsidR="00D02ADA" w:rsidRPr="00EE3B89">
        <w:t xml:space="preserve"> is </w:t>
      </w:r>
      <w:r w:rsidR="005648A4">
        <w:t xml:space="preserve">estimated </w:t>
      </w:r>
      <w:r w:rsidR="00D02ADA">
        <w:t>to cost FDA/CDRH $</w:t>
      </w:r>
      <w:r w:rsidR="001D24C7">
        <w:t>306,800</w:t>
      </w:r>
      <w:r w:rsidR="00D02ADA" w:rsidRPr="00EE3B89">
        <w:t>*</w:t>
      </w:r>
      <w:r w:rsidR="00D02ADA">
        <w:t xml:space="preserve"> annually,</w:t>
      </w:r>
      <w:r w:rsidR="00D02ADA" w:rsidRPr="00EE3B89">
        <w:t xml:space="preserve"> which consists of the employee’s salary and any overhead which accompanies that employee. </w:t>
      </w:r>
      <w:r w:rsidR="005648A4">
        <w:t>Assuming a 40-hour work week, that equals approximately $</w:t>
      </w:r>
      <w:r w:rsidR="001D24C7">
        <w:t xml:space="preserve">148 </w:t>
      </w:r>
      <w:r w:rsidR="005648A4">
        <w:t>per hour</w:t>
      </w:r>
      <w:r w:rsidR="001D24C7">
        <w:t xml:space="preserve"> (rounded)</w:t>
      </w:r>
      <w:r w:rsidR="005648A4">
        <w:t>. District office personnel spend approximately 2 hours reviewing tracked device information during each of approximately 60 inspections annually ($</w:t>
      </w:r>
      <w:r w:rsidR="001D24C7">
        <w:t xml:space="preserve">148 </w:t>
      </w:r>
      <w:r w:rsidR="005648A4">
        <w:t>x 2 hours x 60 inspections = $</w:t>
      </w:r>
      <w:r w:rsidR="001D24C7">
        <w:t>17,760</w:t>
      </w:r>
      <w:r w:rsidR="005648A4">
        <w:t>). Headquarters personnel spend approximately 20 minutes reviewing the tracked device information from each of the 60 inspections ($</w:t>
      </w:r>
      <w:r w:rsidR="001D24C7">
        <w:t>148</w:t>
      </w:r>
      <w:r w:rsidR="005648A4">
        <w:t xml:space="preserve"> x 0.</w:t>
      </w:r>
      <w:r w:rsidR="00B408C6">
        <w:t>33 hours x 60 inspections = $</w:t>
      </w:r>
      <w:r w:rsidR="001D24C7">
        <w:t>2,930 (rounded)</w:t>
      </w:r>
      <w:r w:rsidR="00B408C6">
        <w:t>).</w:t>
      </w:r>
    </w:p>
    <w:p w:rsidR="00D02ADA" w:rsidRPr="00EE3B89" w:rsidRDefault="00D02ADA" w:rsidP="00D02ADA">
      <w:pPr>
        <w:pStyle w:val="BodyText2"/>
        <w:ind w:left="720"/>
        <w:rPr>
          <w:szCs w:val="24"/>
        </w:rPr>
      </w:pPr>
    </w:p>
    <w:p w:rsidR="00A70426" w:rsidRDefault="00D02ADA" w:rsidP="00203331">
      <w:pPr>
        <w:pStyle w:val="BodyText2"/>
        <w:ind w:left="720"/>
      </w:pPr>
      <w:r w:rsidRPr="00581B3D">
        <w:rPr>
          <w:sz w:val="20"/>
        </w:rPr>
        <w:t xml:space="preserve">*Based on the </w:t>
      </w:r>
      <w:hyperlink r:id="rId9" w:history="1">
        <w:r w:rsidR="0032560E">
          <w:rPr>
            <w:rStyle w:val="Hyperlink"/>
            <w:sz w:val="20"/>
          </w:rPr>
          <w:t>FY 2017</w:t>
        </w:r>
        <w:r w:rsidRPr="0032560E">
          <w:rPr>
            <w:rStyle w:val="Hyperlink"/>
            <w:sz w:val="20"/>
          </w:rPr>
          <w:t xml:space="preserve"> President’s Budget Request All Purpose Table – Total Program Level</w:t>
        </w:r>
      </w:hyperlink>
      <w:r w:rsidRPr="00581B3D">
        <w:rPr>
          <w:sz w:val="20"/>
        </w:rPr>
        <w:t xml:space="preserve"> table.</w:t>
      </w:r>
    </w:p>
    <w:p w:rsidR="004C6979" w:rsidRDefault="00EB7538" w:rsidP="00EB7538">
      <w:pPr>
        <w:numPr>
          <w:ilvl w:val="0"/>
          <w:numId w:val="1"/>
        </w:numPr>
        <w:spacing w:before="100" w:beforeAutospacing="1" w:after="100" w:afterAutospacing="1"/>
        <w:rPr>
          <w:u w:val="single"/>
        </w:rPr>
      </w:pPr>
      <w:r w:rsidRPr="004C6979">
        <w:rPr>
          <w:u w:val="single"/>
        </w:rPr>
        <w:t>Explanation for Program Changes or Adjustments</w:t>
      </w:r>
    </w:p>
    <w:p w:rsidR="00DD445B" w:rsidRPr="00DD445B" w:rsidRDefault="00BC14F8" w:rsidP="00464DBE">
      <w:pPr>
        <w:spacing w:before="100" w:beforeAutospacing="1" w:after="100" w:afterAutospacing="1"/>
        <w:ind w:left="720"/>
      </w:pPr>
      <w:r>
        <w:t>This is a request for extension without change to the burden hour estimate. There are no adjustments or program changes.</w:t>
      </w:r>
      <w:r w:rsidR="009168D9">
        <w:t xml:space="preserve"> </w:t>
      </w:r>
    </w:p>
    <w:p w:rsidR="004C6979" w:rsidRPr="004C6979" w:rsidRDefault="00EB7538" w:rsidP="00EB7538">
      <w:pPr>
        <w:numPr>
          <w:ilvl w:val="0"/>
          <w:numId w:val="1"/>
        </w:numPr>
        <w:spacing w:before="100" w:beforeAutospacing="1" w:after="100" w:afterAutospacing="1"/>
        <w:rPr>
          <w:u w:val="single"/>
        </w:rPr>
      </w:pPr>
      <w:r w:rsidRPr="004C6979">
        <w:rPr>
          <w:u w:val="single"/>
        </w:rPr>
        <w:t>Plans for Tabulation and Publication and Project Time Schedule</w:t>
      </w:r>
    </w:p>
    <w:p w:rsidR="003C4EBB" w:rsidRDefault="00203331" w:rsidP="003C4EBB">
      <w:pPr>
        <w:ind w:left="720"/>
      </w:pPr>
      <w:r>
        <w:t>Tracking information collections are not collected as part of a statistical analysis.</w:t>
      </w:r>
    </w:p>
    <w:p w:rsidR="004C6979" w:rsidRPr="004C6979" w:rsidRDefault="00EB7538" w:rsidP="00EB7538">
      <w:pPr>
        <w:numPr>
          <w:ilvl w:val="0"/>
          <w:numId w:val="1"/>
        </w:numPr>
        <w:spacing w:before="100" w:beforeAutospacing="1" w:after="100" w:afterAutospacing="1"/>
        <w:rPr>
          <w:u w:val="single"/>
        </w:rPr>
      </w:pPr>
      <w:r w:rsidRPr="004C6979">
        <w:rPr>
          <w:u w:val="single"/>
        </w:rPr>
        <w:t>Reason(s) Display of OMB Expiration Date is Inappropriate</w:t>
      </w:r>
    </w:p>
    <w:p w:rsidR="004C6979" w:rsidRDefault="00203331" w:rsidP="00D730BF">
      <w:pPr>
        <w:ind w:left="720"/>
      </w:pPr>
      <w:r>
        <w:t>FDA is not seeking approval to not display the expiration date of OMB approval.</w:t>
      </w:r>
    </w:p>
    <w:p w:rsidR="00EB7538" w:rsidRDefault="00EB7538" w:rsidP="00EB7538">
      <w:pPr>
        <w:numPr>
          <w:ilvl w:val="0"/>
          <w:numId w:val="1"/>
        </w:numPr>
        <w:spacing w:before="100" w:beforeAutospacing="1" w:after="100" w:afterAutospacing="1"/>
        <w:rPr>
          <w:u w:val="single"/>
        </w:rPr>
      </w:pPr>
      <w:r w:rsidRPr="004C6979">
        <w:rPr>
          <w:u w:val="single"/>
        </w:rPr>
        <w:t>Exceptions to Certification for Paperwork Reduction Act Submissions</w:t>
      </w:r>
    </w:p>
    <w:p w:rsidR="00E00EA0" w:rsidRDefault="00203331" w:rsidP="00D730BF">
      <w:pPr>
        <w:spacing w:before="100" w:beforeAutospacing="1" w:after="100" w:afterAutospacing="1"/>
        <w:ind w:left="720"/>
      </w:pPr>
      <w:r>
        <w:t>T</w:t>
      </w:r>
      <w:r w:rsidR="00754497">
        <w:t>here are no exceptions to the certification.</w:t>
      </w:r>
    </w:p>
    <w:sectPr w:rsidR="00E00EA0" w:rsidSect="00EB7538">
      <w:footerReference w:type="even" r:id="rId10"/>
      <w:footerReference w:type="defaul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78DF" w:rsidRDefault="00A478DF">
      <w:r>
        <w:separator/>
      </w:r>
    </w:p>
  </w:endnote>
  <w:endnote w:type="continuationSeparator" w:id="0">
    <w:p w:rsidR="00A478DF" w:rsidRDefault="00A478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3DE5" w:rsidRDefault="00E63DE5" w:rsidP="003F3DF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63DE5" w:rsidRDefault="00E63DE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3DE5" w:rsidRDefault="00E63DE5" w:rsidP="003F3DF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B4426">
      <w:rPr>
        <w:rStyle w:val="PageNumber"/>
        <w:noProof/>
      </w:rPr>
      <w:t>1</w:t>
    </w:r>
    <w:r>
      <w:rPr>
        <w:rStyle w:val="PageNumber"/>
      </w:rPr>
      <w:fldChar w:fldCharType="end"/>
    </w:r>
  </w:p>
  <w:p w:rsidR="00E63DE5" w:rsidRDefault="00E63DE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78DF" w:rsidRDefault="00A478DF">
      <w:r>
        <w:separator/>
      </w:r>
    </w:p>
  </w:footnote>
  <w:footnote w:type="continuationSeparator" w:id="0">
    <w:p w:rsidR="00A478DF" w:rsidRDefault="00A478D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45F4DB8"/>
    <w:multiLevelType w:val="hybridMultilevel"/>
    <w:tmpl w:val="7EBEB4E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
    <w:nsid w:val="0B3A6ACE"/>
    <w:multiLevelType w:val="hybridMultilevel"/>
    <w:tmpl w:val="44EA2790"/>
    <w:lvl w:ilvl="0" w:tplc="17F0BFD2">
      <w:start w:val="1"/>
      <w:numFmt w:val="bullet"/>
      <w:lvlText w:val=""/>
      <w:lvlJc w:val="left"/>
      <w:pPr>
        <w:tabs>
          <w:tab w:val="num" w:pos="1440"/>
        </w:tabs>
        <w:ind w:left="1440" w:hanging="360"/>
      </w:pPr>
      <w:rPr>
        <w:rFonts w:ascii="Symbol" w:hAnsi="Symbol" w:hint="default"/>
        <w:color w:val="auto"/>
        <w:sz w:val="20"/>
        <w:szCs w:val="20"/>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nsid w:val="10D2775F"/>
    <w:multiLevelType w:val="hybridMultilevel"/>
    <w:tmpl w:val="2B06F13C"/>
    <w:lvl w:ilvl="0" w:tplc="809AF7AC">
      <w:start w:val="1"/>
      <w:numFmt w:val="lowerLetter"/>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4">
    <w:nsid w:val="14B91F04"/>
    <w:multiLevelType w:val="hybridMultilevel"/>
    <w:tmpl w:val="0764FE0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nsid w:val="1B610989"/>
    <w:multiLevelType w:val="hybridMultilevel"/>
    <w:tmpl w:val="03A8AD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E2515D4"/>
    <w:multiLevelType w:val="hybridMultilevel"/>
    <w:tmpl w:val="3A8806B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nsid w:val="29CA6BBF"/>
    <w:multiLevelType w:val="hybridMultilevel"/>
    <w:tmpl w:val="B4AEF0E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nsid w:val="2A3F6F8E"/>
    <w:multiLevelType w:val="hybridMultilevel"/>
    <w:tmpl w:val="F3F0DD98"/>
    <w:lvl w:ilvl="0" w:tplc="04090001">
      <w:start w:val="1"/>
      <w:numFmt w:val="bullet"/>
      <w:lvlText w:val=""/>
      <w:lvlJc w:val="left"/>
      <w:pPr>
        <w:tabs>
          <w:tab w:val="num" w:pos="1500"/>
        </w:tabs>
        <w:ind w:left="1500" w:hanging="360"/>
      </w:pPr>
      <w:rPr>
        <w:rFonts w:ascii="Symbol" w:hAnsi="Symbol" w:hint="default"/>
      </w:rPr>
    </w:lvl>
    <w:lvl w:ilvl="1" w:tplc="04090003" w:tentative="1">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9">
    <w:nsid w:val="2E385D16"/>
    <w:multiLevelType w:val="hybridMultilevel"/>
    <w:tmpl w:val="06B4897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nsid w:val="32133949"/>
    <w:multiLevelType w:val="hybridMultilevel"/>
    <w:tmpl w:val="EE1E777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nsid w:val="329D65D6"/>
    <w:multiLevelType w:val="hybridMultilevel"/>
    <w:tmpl w:val="35AA028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nsid w:val="399D09AB"/>
    <w:multiLevelType w:val="multilevel"/>
    <w:tmpl w:val="247863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A727494"/>
    <w:multiLevelType w:val="hybridMultilevel"/>
    <w:tmpl w:val="33C2E12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nsid w:val="41AB03BC"/>
    <w:multiLevelType w:val="hybridMultilevel"/>
    <w:tmpl w:val="CB806EC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nsid w:val="434F798B"/>
    <w:multiLevelType w:val="hybridMultilevel"/>
    <w:tmpl w:val="4D5AF6F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nsid w:val="45912058"/>
    <w:multiLevelType w:val="hybridMultilevel"/>
    <w:tmpl w:val="063EBFB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nsid w:val="4A97385B"/>
    <w:multiLevelType w:val="multilevel"/>
    <w:tmpl w:val="6870F0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4B0E2065"/>
    <w:multiLevelType w:val="hybridMultilevel"/>
    <w:tmpl w:val="FDFAF3D2"/>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9">
    <w:nsid w:val="4D422FFD"/>
    <w:multiLevelType w:val="hybridMultilevel"/>
    <w:tmpl w:val="69FEA0E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0">
    <w:nsid w:val="4D5C0C3F"/>
    <w:multiLevelType w:val="hybridMultilevel"/>
    <w:tmpl w:val="C9A0A82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nsid w:val="503A1327"/>
    <w:multiLevelType w:val="hybridMultilevel"/>
    <w:tmpl w:val="D930ACD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2">
    <w:nsid w:val="50A4594D"/>
    <w:multiLevelType w:val="hybridMultilevel"/>
    <w:tmpl w:val="A8BA880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3">
    <w:nsid w:val="52B10A5B"/>
    <w:multiLevelType w:val="hybridMultilevel"/>
    <w:tmpl w:val="F4C6EC1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4">
    <w:nsid w:val="5ADB58CB"/>
    <w:multiLevelType w:val="hybridMultilevel"/>
    <w:tmpl w:val="A57AC9B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nsid w:val="5B9A63D6"/>
    <w:multiLevelType w:val="hybridMultilevel"/>
    <w:tmpl w:val="707CAA4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6">
    <w:nsid w:val="658B58D1"/>
    <w:multiLevelType w:val="hybridMultilevel"/>
    <w:tmpl w:val="4204126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7">
    <w:nsid w:val="68DA5096"/>
    <w:multiLevelType w:val="hybridMultilevel"/>
    <w:tmpl w:val="AC744B66"/>
    <w:lvl w:ilvl="0" w:tplc="04090001">
      <w:start w:val="1"/>
      <w:numFmt w:val="bullet"/>
      <w:lvlText w:val=""/>
      <w:lvlJc w:val="left"/>
      <w:pPr>
        <w:tabs>
          <w:tab w:val="num" w:pos="1500"/>
        </w:tabs>
        <w:ind w:left="1500" w:hanging="360"/>
      </w:pPr>
      <w:rPr>
        <w:rFonts w:ascii="Symbol" w:hAnsi="Symbol" w:hint="default"/>
      </w:rPr>
    </w:lvl>
    <w:lvl w:ilvl="1" w:tplc="04090003" w:tentative="1">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28">
    <w:nsid w:val="72FB651B"/>
    <w:multiLevelType w:val="hybridMultilevel"/>
    <w:tmpl w:val="0566598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9">
    <w:nsid w:val="73346864"/>
    <w:multiLevelType w:val="hybridMultilevel"/>
    <w:tmpl w:val="06C6322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0">
    <w:nsid w:val="739F61EA"/>
    <w:multiLevelType w:val="hybridMultilevel"/>
    <w:tmpl w:val="4344FD8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1">
    <w:nsid w:val="77567685"/>
    <w:multiLevelType w:val="hybridMultilevel"/>
    <w:tmpl w:val="1FEE564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2">
    <w:nsid w:val="77DC103B"/>
    <w:multiLevelType w:val="hybridMultilevel"/>
    <w:tmpl w:val="AB600B5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3">
    <w:nsid w:val="7FE538FE"/>
    <w:multiLevelType w:val="hybridMultilevel"/>
    <w:tmpl w:val="30D832A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12"/>
  </w:num>
  <w:num w:numId="2">
    <w:abstractNumId w:val="17"/>
  </w:num>
  <w:num w:numId="3">
    <w:abstractNumId w:val="0"/>
    <w:lvlOverride w:ilvl="0">
      <w:lvl w:ilvl="0">
        <w:numFmt w:val="bullet"/>
        <w:lvlText w:val=""/>
        <w:legacy w:legacy="1" w:legacySpace="0" w:legacyIndent="360"/>
        <w:lvlJc w:val="left"/>
        <w:pPr>
          <w:ind w:left="720" w:hanging="360"/>
        </w:pPr>
        <w:rPr>
          <w:rFonts w:ascii="Symbol" w:hAnsi="Symbol" w:hint="default"/>
        </w:rPr>
      </w:lvl>
    </w:lvlOverride>
  </w:num>
  <w:num w:numId="4">
    <w:abstractNumId w:val="22"/>
  </w:num>
  <w:num w:numId="5">
    <w:abstractNumId w:val="9"/>
  </w:num>
  <w:num w:numId="6">
    <w:abstractNumId w:val="24"/>
  </w:num>
  <w:num w:numId="7">
    <w:abstractNumId w:val="29"/>
  </w:num>
  <w:num w:numId="8">
    <w:abstractNumId w:val="6"/>
  </w:num>
  <w:num w:numId="9">
    <w:abstractNumId w:val="25"/>
  </w:num>
  <w:num w:numId="10">
    <w:abstractNumId w:val="21"/>
  </w:num>
  <w:num w:numId="11">
    <w:abstractNumId w:val="11"/>
  </w:num>
  <w:num w:numId="12">
    <w:abstractNumId w:val="32"/>
  </w:num>
  <w:num w:numId="13">
    <w:abstractNumId w:val="20"/>
  </w:num>
  <w:num w:numId="14">
    <w:abstractNumId w:val="10"/>
  </w:num>
  <w:num w:numId="15">
    <w:abstractNumId w:val="16"/>
  </w:num>
  <w:num w:numId="16">
    <w:abstractNumId w:val="15"/>
  </w:num>
  <w:num w:numId="17">
    <w:abstractNumId w:val="28"/>
  </w:num>
  <w:num w:numId="18">
    <w:abstractNumId w:val="31"/>
  </w:num>
  <w:num w:numId="19">
    <w:abstractNumId w:val="30"/>
  </w:num>
  <w:num w:numId="20">
    <w:abstractNumId w:val="19"/>
  </w:num>
  <w:num w:numId="21">
    <w:abstractNumId w:val="14"/>
  </w:num>
  <w:num w:numId="22">
    <w:abstractNumId w:val="4"/>
  </w:num>
  <w:num w:numId="23">
    <w:abstractNumId w:val="26"/>
  </w:num>
  <w:num w:numId="24">
    <w:abstractNumId w:val="23"/>
  </w:num>
  <w:num w:numId="25">
    <w:abstractNumId w:val="13"/>
  </w:num>
  <w:num w:numId="26">
    <w:abstractNumId w:val="8"/>
  </w:num>
  <w:num w:numId="27">
    <w:abstractNumId w:val="33"/>
  </w:num>
  <w:num w:numId="28">
    <w:abstractNumId w:val="27"/>
  </w:num>
  <w:num w:numId="29">
    <w:abstractNumId w:val="7"/>
  </w:num>
  <w:num w:numId="30">
    <w:abstractNumId w:val="18"/>
  </w:num>
  <w:num w:numId="31">
    <w:abstractNumId w:val="2"/>
  </w:num>
  <w:num w:numId="32">
    <w:abstractNumId w:val="1"/>
  </w:num>
  <w:num w:numId="33">
    <w:abstractNumId w:val="3"/>
  </w:num>
  <w:num w:numId="34">
    <w:abstractNumId w:val="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7538"/>
    <w:rsid w:val="00005325"/>
    <w:rsid w:val="00020AA7"/>
    <w:rsid w:val="00042861"/>
    <w:rsid w:val="0005047C"/>
    <w:rsid w:val="0005641C"/>
    <w:rsid w:val="0005789F"/>
    <w:rsid w:val="0006570F"/>
    <w:rsid w:val="00092245"/>
    <w:rsid w:val="000C0660"/>
    <w:rsid w:val="000C575B"/>
    <w:rsid w:val="000D48FD"/>
    <w:rsid w:val="000E1C64"/>
    <w:rsid w:val="000F7D9D"/>
    <w:rsid w:val="00100739"/>
    <w:rsid w:val="00101C77"/>
    <w:rsid w:val="00107885"/>
    <w:rsid w:val="00114FC4"/>
    <w:rsid w:val="0012329C"/>
    <w:rsid w:val="00125ACC"/>
    <w:rsid w:val="00126C3B"/>
    <w:rsid w:val="00134FA7"/>
    <w:rsid w:val="00137950"/>
    <w:rsid w:val="00152F29"/>
    <w:rsid w:val="00185270"/>
    <w:rsid w:val="001A3B5A"/>
    <w:rsid w:val="001B5F71"/>
    <w:rsid w:val="001B7CE9"/>
    <w:rsid w:val="001C2B20"/>
    <w:rsid w:val="001C5D35"/>
    <w:rsid w:val="001D24C7"/>
    <w:rsid w:val="001D495A"/>
    <w:rsid w:val="001D5380"/>
    <w:rsid w:val="00203331"/>
    <w:rsid w:val="002034DD"/>
    <w:rsid w:val="00205933"/>
    <w:rsid w:val="002132A3"/>
    <w:rsid w:val="00221B05"/>
    <w:rsid w:val="002259EF"/>
    <w:rsid w:val="00242ED1"/>
    <w:rsid w:val="00254069"/>
    <w:rsid w:val="002734E5"/>
    <w:rsid w:val="0027450C"/>
    <w:rsid w:val="002746DB"/>
    <w:rsid w:val="00280CAF"/>
    <w:rsid w:val="00282F09"/>
    <w:rsid w:val="002959AD"/>
    <w:rsid w:val="002D14D8"/>
    <w:rsid w:val="002D4799"/>
    <w:rsid w:val="002E3FA4"/>
    <w:rsid w:val="002F419F"/>
    <w:rsid w:val="00302694"/>
    <w:rsid w:val="00303F6D"/>
    <w:rsid w:val="0031096A"/>
    <w:rsid w:val="0032277F"/>
    <w:rsid w:val="0032560E"/>
    <w:rsid w:val="003426EA"/>
    <w:rsid w:val="00344884"/>
    <w:rsid w:val="00350523"/>
    <w:rsid w:val="003738CD"/>
    <w:rsid w:val="003740BC"/>
    <w:rsid w:val="003801A3"/>
    <w:rsid w:val="00382DB7"/>
    <w:rsid w:val="00383D90"/>
    <w:rsid w:val="003A485A"/>
    <w:rsid w:val="003B42B3"/>
    <w:rsid w:val="003B6384"/>
    <w:rsid w:val="003C4EBB"/>
    <w:rsid w:val="003D1531"/>
    <w:rsid w:val="003E4EC6"/>
    <w:rsid w:val="003E527E"/>
    <w:rsid w:val="003E553E"/>
    <w:rsid w:val="003E7078"/>
    <w:rsid w:val="003F3DF5"/>
    <w:rsid w:val="003F5C48"/>
    <w:rsid w:val="00411D11"/>
    <w:rsid w:val="00415E23"/>
    <w:rsid w:val="00424061"/>
    <w:rsid w:val="00433F47"/>
    <w:rsid w:val="004429EC"/>
    <w:rsid w:val="00443969"/>
    <w:rsid w:val="00447D74"/>
    <w:rsid w:val="00450A74"/>
    <w:rsid w:val="004541AE"/>
    <w:rsid w:val="00464DBE"/>
    <w:rsid w:val="00465350"/>
    <w:rsid w:val="00480A12"/>
    <w:rsid w:val="004846BF"/>
    <w:rsid w:val="00487288"/>
    <w:rsid w:val="004B56C2"/>
    <w:rsid w:val="004C24F9"/>
    <w:rsid w:val="004C6979"/>
    <w:rsid w:val="004D3E7A"/>
    <w:rsid w:val="004E7B9D"/>
    <w:rsid w:val="005045DA"/>
    <w:rsid w:val="00526A9D"/>
    <w:rsid w:val="00544138"/>
    <w:rsid w:val="00544EED"/>
    <w:rsid w:val="00563AC3"/>
    <w:rsid w:val="005648A4"/>
    <w:rsid w:val="00584583"/>
    <w:rsid w:val="005A4099"/>
    <w:rsid w:val="005B0749"/>
    <w:rsid w:val="005C38B2"/>
    <w:rsid w:val="005C5029"/>
    <w:rsid w:val="005C55C2"/>
    <w:rsid w:val="005D4DF5"/>
    <w:rsid w:val="00611D6B"/>
    <w:rsid w:val="00612028"/>
    <w:rsid w:val="006220EC"/>
    <w:rsid w:val="006610E5"/>
    <w:rsid w:val="006A127A"/>
    <w:rsid w:val="006A26C6"/>
    <w:rsid w:val="006A7D5D"/>
    <w:rsid w:val="006D529A"/>
    <w:rsid w:val="006E692B"/>
    <w:rsid w:val="006F4D6D"/>
    <w:rsid w:val="00705086"/>
    <w:rsid w:val="00711776"/>
    <w:rsid w:val="00715502"/>
    <w:rsid w:val="00754497"/>
    <w:rsid w:val="00787C39"/>
    <w:rsid w:val="00795DF3"/>
    <w:rsid w:val="007A373C"/>
    <w:rsid w:val="007A6FAE"/>
    <w:rsid w:val="007B225C"/>
    <w:rsid w:val="007B4426"/>
    <w:rsid w:val="007C75B1"/>
    <w:rsid w:val="007D3DFC"/>
    <w:rsid w:val="007E1901"/>
    <w:rsid w:val="00805E7D"/>
    <w:rsid w:val="0080776D"/>
    <w:rsid w:val="00810145"/>
    <w:rsid w:val="008108FA"/>
    <w:rsid w:val="00810FF1"/>
    <w:rsid w:val="00813EBA"/>
    <w:rsid w:val="00822336"/>
    <w:rsid w:val="00823DFA"/>
    <w:rsid w:val="00843752"/>
    <w:rsid w:val="00843E7F"/>
    <w:rsid w:val="00856CA6"/>
    <w:rsid w:val="00865D75"/>
    <w:rsid w:val="00885B09"/>
    <w:rsid w:val="00892400"/>
    <w:rsid w:val="008A209D"/>
    <w:rsid w:val="008B0E29"/>
    <w:rsid w:val="008B0EFA"/>
    <w:rsid w:val="008B30AB"/>
    <w:rsid w:val="008B5651"/>
    <w:rsid w:val="008D2AE2"/>
    <w:rsid w:val="00905DEF"/>
    <w:rsid w:val="00913B43"/>
    <w:rsid w:val="009168D9"/>
    <w:rsid w:val="00930203"/>
    <w:rsid w:val="009311D2"/>
    <w:rsid w:val="00931275"/>
    <w:rsid w:val="00936AC7"/>
    <w:rsid w:val="00937F75"/>
    <w:rsid w:val="00956C0C"/>
    <w:rsid w:val="00970BEB"/>
    <w:rsid w:val="00983B2D"/>
    <w:rsid w:val="009A0987"/>
    <w:rsid w:val="009A1674"/>
    <w:rsid w:val="009C684F"/>
    <w:rsid w:val="009D074C"/>
    <w:rsid w:val="009F2B4F"/>
    <w:rsid w:val="009F66B5"/>
    <w:rsid w:val="00A00E1F"/>
    <w:rsid w:val="00A117E4"/>
    <w:rsid w:val="00A20A7D"/>
    <w:rsid w:val="00A258DA"/>
    <w:rsid w:val="00A35BC5"/>
    <w:rsid w:val="00A35D42"/>
    <w:rsid w:val="00A46CCF"/>
    <w:rsid w:val="00A478DF"/>
    <w:rsid w:val="00A62A41"/>
    <w:rsid w:val="00A70426"/>
    <w:rsid w:val="00A76936"/>
    <w:rsid w:val="00A91E9A"/>
    <w:rsid w:val="00A93ED9"/>
    <w:rsid w:val="00A9412E"/>
    <w:rsid w:val="00AA7659"/>
    <w:rsid w:val="00AC04FE"/>
    <w:rsid w:val="00AC6A99"/>
    <w:rsid w:val="00B055EF"/>
    <w:rsid w:val="00B155AB"/>
    <w:rsid w:val="00B1799F"/>
    <w:rsid w:val="00B23769"/>
    <w:rsid w:val="00B408C6"/>
    <w:rsid w:val="00B62D16"/>
    <w:rsid w:val="00B71D93"/>
    <w:rsid w:val="00B86DFA"/>
    <w:rsid w:val="00B91F7B"/>
    <w:rsid w:val="00B936D0"/>
    <w:rsid w:val="00BA0796"/>
    <w:rsid w:val="00BC14F8"/>
    <w:rsid w:val="00BC7240"/>
    <w:rsid w:val="00BD0AD6"/>
    <w:rsid w:val="00BE1928"/>
    <w:rsid w:val="00BE292A"/>
    <w:rsid w:val="00BE3600"/>
    <w:rsid w:val="00BE6605"/>
    <w:rsid w:val="00BF1523"/>
    <w:rsid w:val="00C01F6F"/>
    <w:rsid w:val="00C04B21"/>
    <w:rsid w:val="00C06B1C"/>
    <w:rsid w:val="00C149AB"/>
    <w:rsid w:val="00C40694"/>
    <w:rsid w:val="00C52445"/>
    <w:rsid w:val="00C5765A"/>
    <w:rsid w:val="00C621AA"/>
    <w:rsid w:val="00C70542"/>
    <w:rsid w:val="00C75CBF"/>
    <w:rsid w:val="00C85481"/>
    <w:rsid w:val="00C91E89"/>
    <w:rsid w:val="00CC2894"/>
    <w:rsid w:val="00CD6EA9"/>
    <w:rsid w:val="00CD77C3"/>
    <w:rsid w:val="00CE112C"/>
    <w:rsid w:val="00CE6796"/>
    <w:rsid w:val="00D00F1D"/>
    <w:rsid w:val="00D02ADA"/>
    <w:rsid w:val="00D0391B"/>
    <w:rsid w:val="00D608DA"/>
    <w:rsid w:val="00D730BF"/>
    <w:rsid w:val="00D837DA"/>
    <w:rsid w:val="00DC0356"/>
    <w:rsid w:val="00DC0935"/>
    <w:rsid w:val="00DC76C7"/>
    <w:rsid w:val="00DD09F5"/>
    <w:rsid w:val="00DD4201"/>
    <w:rsid w:val="00DD445B"/>
    <w:rsid w:val="00DE43CF"/>
    <w:rsid w:val="00DE5711"/>
    <w:rsid w:val="00E00EA0"/>
    <w:rsid w:val="00E26758"/>
    <w:rsid w:val="00E4357B"/>
    <w:rsid w:val="00E57C84"/>
    <w:rsid w:val="00E63DE5"/>
    <w:rsid w:val="00E65734"/>
    <w:rsid w:val="00E65A37"/>
    <w:rsid w:val="00E77B48"/>
    <w:rsid w:val="00E91799"/>
    <w:rsid w:val="00EA0026"/>
    <w:rsid w:val="00EA34E3"/>
    <w:rsid w:val="00EB7538"/>
    <w:rsid w:val="00F17A5E"/>
    <w:rsid w:val="00F207A4"/>
    <w:rsid w:val="00F355AC"/>
    <w:rsid w:val="00F65270"/>
    <w:rsid w:val="00F71A5A"/>
    <w:rsid w:val="00F769E0"/>
    <w:rsid w:val="00FC6BDE"/>
    <w:rsid w:val="00FE1EC3"/>
    <w:rsid w:val="00FF10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6CC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B7538"/>
    <w:pPr>
      <w:spacing w:before="100" w:beforeAutospacing="1" w:after="100" w:afterAutospacing="1"/>
    </w:pPr>
  </w:style>
  <w:style w:type="paragraph" w:styleId="BodyText2">
    <w:name w:val="Body Text 2"/>
    <w:basedOn w:val="Normal"/>
    <w:link w:val="BodyText2Char"/>
    <w:rsid w:val="00CD77C3"/>
    <w:rPr>
      <w:szCs w:val="20"/>
    </w:rPr>
  </w:style>
  <w:style w:type="paragraph" w:styleId="BodyTextIndent">
    <w:name w:val="Body Text Indent"/>
    <w:basedOn w:val="Normal"/>
    <w:rsid w:val="00CD77C3"/>
    <w:pPr>
      <w:spacing w:after="120"/>
      <w:ind w:left="360"/>
    </w:pPr>
  </w:style>
  <w:style w:type="paragraph" w:styleId="BodyTextIndent2">
    <w:name w:val="Body Text Indent 2"/>
    <w:basedOn w:val="Normal"/>
    <w:rsid w:val="00CD77C3"/>
    <w:pPr>
      <w:spacing w:after="120" w:line="480" w:lineRule="auto"/>
      <w:ind w:left="360"/>
    </w:pPr>
  </w:style>
  <w:style w:type="character" w:styleId="HTMLAcronym">
    <w:name w:val="HTML Acronym"/>
    <w:basedOn w:val="DefaultParagraphFont"/>
    <w:rsid w:val="00A35D42"/>
  </w:style>
  <w:style w:type="paragraph" w:styleId="z-TopofForm">
    <w:name w:val="HTML Top of Form"/>
    <w:basedOn w:val="Normal"/>
    <w:next w:val="Normal"/>
    <w:hidden/>
    <w:rsid w:val="00584583"/>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584583"/>
    <w:pPr>
      <w:pBdr>
        <w:top w:val="single" w:sz="6" w:space="1" w:color="auto"/>
      </w:pBdr>
      <w:jc w:val="center"/>
    </w:pPr>
    <w:rPr>
      <w:rFonts w:ascii="Arial" w:hAnsi="Arial" w:cs="Arial"/>
      <w:vanish/>
      <w:sz w:val="16"/>
      <w:szCs w:val="16"/>
    </w:rPr>
  </w:style>
  <w:style w:type="paragraph" w:styleId="BalloonText">
    <w:name w:val="Balloon Text"/>
    <w:basedOn w:val="Normal"/>
    <w:semiHidden/>
    <w:rsid w:val="00254069"/>
    <w:rPr>
      <w:rFonts w:ascii="Tahoma" w:hAnsi="Tahoma" w:cs="Tahoma"/>
      <w:sz w:val="16"/>
      <w:szCs w:val="16"/>
    </w:rPr>
  </w:style>
  <w:style w:type="table" w:styleId="TableGrid">
    <w:name w:val="Table Grid"/>
    <w:basedOn w:val="TableNormal"/>
    <w:rsid w:val="009F2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611D6B"/>
    <w:pPr>
      <w:tabs>
        <w:tab w:val="center" w:pos="4320"/>
        <w:tab w:val="right" w:pos="8640"/>
      </w:tabs>
    </w:pPr>
  </w:style>
  <w:style w:type="character" w:styleId="PageNumber">
    <w:name w:val="page number"/>
    <w:basedOn w:val="DefaultParagraphFont"/>
    <w:rsid w:val="00611D6B"/>
  </w:style>
  <w:style w:type="character" w:styleId="CommentReference">
    <w:name w:val="annotation reference"/>
    <w:rsid w:val="00BD0AD6"/>
    <w:rPr>
      <w:sz w:val="16"/>
      <w:szCs w:val="16"/>
    </w:rPr>
  </w:style>
  <w:style w:type="paragraph" w:styleId="CommentText">
    <w:name w:val="annotation text"/>
    <w:basedOn w:val="Normal"/>
    <w:link w:val="CommentTextChar"/>
    <w:rsid w:val="00BD0AD6"/>
    <w:rPr>
      <w:sz w:val="20"/>
      <w:szCs w:val="20"/>
    </w:rPr>
  </w:style>
  <w:style w:type="character" w:customStyle="1" w:styleId="CommentTextChar">
    <w:name w:val="Comment Text Char"/>
    <w:basedOn w:val="DefaultParagraphFont"/>
    <w:link w:val="CommentText"/>
    <w:rsid w:val="00BD0AD6"/>
  </w:style>
  <w:style w:type="paragraph" w:styleId="CommentSubject">
    <w:name w:val="annotation subject"/>
    <w:basedOn w:val="CommentText"/>
    <w:next w:val="CommentText"/>
    <w:link w:val="CommentSubjectChar"/>
    <w:rsid w:val="00BD0AD6"/>
    <w:rPr>
      <w:b/>
      <w:bCs/>
    </w:rPr>
  </w:style>
  <w:style w:type="character" w:customStyle="1" w:styleId="CommentSubjectChar">
    <w:name w:val="Comment Subject Char"/>
    <w:link w:val="CommentSubject"/>
    <w:rsid w:val="00BD0AD6"/>
    <w:rPr>
      <w:b/>
      <w:bCs/>
    </w:rPr>
  </w:style>
  <w:style w:type="character" w:styleId="Hyperlink">
    <w:name w:val="Hyperlink"/>
    <w:rsid w:val="00BD0AD6"/>
    <w:rPr>
      <w:color w:val="0000FF"/>
      <w:u w:val="single"/>
    </w:rPr>
  </w:style>
  <w:style w:type="paragraph" w:styleId="BodyTextIndent3">
    <w:name w:val="Body Text Indent 3"/>
    <w:basedOn w:val="Normal"/>
    <w:link w:val="BodyTextIndent3Char"/>
    <w:rsid w:val="00711776"/>
    <w:pPr>
      <w:spacing w:after="120"/>
      <w:ind w:left="360"/>
    </w:pPr>
    <w:rPr>
      <w:sz w:val="16"/>
      <w:szCs w:val="16"/>
    </w:rPr>
  </w:style>
  <w:style w:type="character" w:customStyle="1" w:styleId="BodyTextIndent3Char">
    <w:name w:val="Body Text Indent 3 Char"/>
    <w:link w:val="BodyTextIndent3"/>
    <w:rsid w:val="00711776"/>
    <w:rPr>
      <w:sz w:val="16"/>
      <w:szCs w:val="16"/>
    </w:rPr>
  </w:style>
  <w:style w:type="character" w:customStyle="1" w:styleId="BodyText2Char">
    <w:name w:val="Body Text 2 Char"/>
    <w:link w:val="BodyText2"/>
    <w:rsid w:val="00D02ADA"/>
    <w:rPr>
      <w:sz w:val="24"/>
    </w:rPr>
  </w:style>
  <w:style w:type="character" w:styleId="FollowedHyperlink">
    <w:name w:val="FollowedHyperlink"/>
    <w:rsid w:val="005648A4"/>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6CC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B7538"/>
    <w:pPr>
      <w:spacing w:before="100" w:beforeAutospacing="1" w:after="100" w:afterAutospacing="1"/>
    </w:pPr>
  </w:style>
  <w:style w:type="paragraph" w:styleId="BodyText2">
    <w:name w:val="Body Text 2"/>
    <w:basedOn w:val="Normal"/>
    <w:link w:val="BodyText2Char"/>
    <w:rsid w:val="00CD77C3"/>
    <w:rPr>
      <w:szCs w:val="20"/>
    </w:rPr>
  </w:style>
  <w:style w:type="paragraph" w:styleId="BodyTextIndent">
    <w:name w:val="Body Text Indent"/>
    <w:basedOn w:val="Normal"/>
    <w:rsid w:val="00CD77C3"/>
    <w:pPr>
      <w:spacing w:after="120"/>
      <w:ind w:left="360"/>
    </w:pPr>
  </w:style>
  <w:style w:type="paragraph" w:styleId="BodyTextIndent2">
    <w:name w:val="Body Text Indent 2"/>
    <w:basedOn w:val="Normal"/>
    <w:rsid w:val="00CD77C3"/>
    <w:pPr>
      <w:spacing w:after="120" w:line="480" w:lineRule="auto"/>
      <w:ind w:left="360"/>
    </w:pPr>
  </w:style>
  <w:style w:type="character" w:styleId="HTMLAcronym">
    <w:name w:val="HTML Acronym"/>
    <w:basedOn w:val="DefaultParagraphFont"/>
    <w:rsid w:val="00A35D42"/>
  </w:style>
  <w:style w:type="paragraph" w:styleId="z-TopofForm">
    <w:name w:val="HTML Top of Form"/>
    <w:basedOn w:val="Normal"/>
    <w:next w:val="Normal"/>
    <w:hidden/>
    <w:rsid w:val="00584583"/>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584583"/>
    <w:pPr>
      <w:pBdr>
        <w:top w:val="single" w:sz="6" w:space="1" w:color="auto"/>
      </w:pBdr>
      <w:jc w:val="center"/>
    </w:pPr>
    <w:rPr>
      <w:rFonts w:ascii="Arial" w:hAnsi="Arial" w:cs="Arial"/>
      <w:vanish/>
      <w:sz w:val="16"/>
      <w:szCs w:val="16"/>
    </w:rPr>
  </w:style>
  <w:style w:type="paragraph" w:styleId="BalloonText">
    <w:name w:val="Balloon Text"/>
    <w:basedOn w:val="Normal"/>
    <w:semiHidden/>
    <w:rsid w:val="00254069"/>
    <w:rPr>
      <w:rFonts w:ascii="Tahoma" w:hAnsi="Tahoma" w:cs="Tahoma"/>
      <w:sz w:val="16"/>
      <w:szCs w:val="16"/>
    </w:rPr>
  </w:style>
  <w:style w:type="table" w:styleId="TableGrid">
    <w:name w:val="Table Grid"/>
    <w:basedOn w:val="TableNormal"/>
    <w:rsid w:val="009F2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611D6B"/>
    <w:pPr>
      <w:tabs>
        <w:tab w:val="center" w:pos="4320"/>
        <w:tab w:val="right" w:pos="8640"/>
      </w:tabs>
    </w:pPr>
  </w:style>
  <w:style w:type="character" w:styleId="PageNumber">
    <w:name w:val="page number"/>
    <w:basedOn w:val="DefaultParagraphFont"/>
    <w:rsid w:val="00611D6B"/>
  </w:style>
  <w:style w:type="character" w:styleId="CommentReference">
    <w:name w:val="annotation reference"/>
    <w:rsid w:val="00BD0AD6"/>
    <w:rPr>
      <w:sz w:val="16"/>
      <w:szCs w:val="16"/>
    </w:rPr>
  </w:style>
  <w:style w:type="paragraph" w:styleId="CommentText">
    <w:name w:val="annotation text"/>
    <w:basedOn w:val="Normal"/>
    <w:link w:val="CommentTextChar"/>
    <w:rsid w:val="00BD0AD6"/>
    <w:rPr>
      <w:sz w:val="20"/>
      <w:szCs w:val="20"/>
    </w:rPr>
  </w:style>
  <w:style w:type="character" w:customStyle="1" w:styleId="CommentTextChar">
    <w:name w:val="Comment Text Char"/>
    <w:basedOn w:val="DefaultParagraphFont"/>
    <w:link w:val="CommentText"/>
    <w:rsid w:val="00BD0AD6"/>
  </w:style>
  <w:style w:type="paragraph" w:styleId="CommentSubject">
    <w:name w:val="annotation subject"/>
    <w:basedOn w:val="CommentText"/>
    <w:next w:val="CommentText"/>
    <w:link w:val="CommentSubjectChar"/>
    <w:rsid w:val="00BD0AD6"/>
    <w:rPr>
      <w:b/>
      <w:bCs/>
    </w:rPr>
  </w:style>
  <w:style w:type="character" w:customStyle="1" w:styleId="CommentSubjectChar">
    <w:name w:val="Comment Subject Char"/>
    <w:link w:val="CommentSubject"/>
    <w:rsid w:val="00BD0AD6"/>
    <w:rPr>
      <w:b/>
      <w:bCs/>
    </w:rPr>
  </w:style>
  <w:style w:type="character" w:styleId="Hyperlink">
    <w:name w:val="Hyperlink"/>
    <w:rsid w:val="00BD0AD6"/>
    <w:rPr>
      <w:color w:val="0000FF"/>
      <w:u w:val="single"/>
    </w:rPr>
  </w:style>
  <w:style w:type="paragraph" w:styleId="BodyTextIndent3">
    <w:name w:val="Body Text Indent 3"/>
    <w:basedOn w:val="Normal"/>
    <w:link w:val="BodyTextIndent3Char"/>
    <w:rsid w:val="00711776"/>
    <w:pPr>
      <w:spacing w:after="120"/>
      <w:ind w:left="360"/>
    </w:pPr>
    <w:rPr>
      <w:sz w:val="16"/>
      <w:szCs w:val="16"/>
    </w:rPr>
  </w:style>
  <w:style w:type="character" w:customStyle="1" w:styleId="BodyTextIndent3Char">
    <w:name w:val="Body Text Indent 3 Char"/>
    <w:link w:val="BodyTextIndent3"/>
    <w:rsid w:val="00711776"/>
    <w:rPr>
      <w:sz w:val="16"/>
      <w:szCs w:val="16"/>
    </w:rPr>
  </w:style>
  <w:style w:type="character" w:customStyle="1" w:styleId="BodyText2Char">
    <w:name w:val="Body Text 2 Char"/>
    <w:link w:val="BodyText2"/>
    <w:rsid w:val="00D02ADA"/>
    <w:rPr>
      <w:sz w:val="24"/>
    </w:rPr>
  </w:style>
  <w:style w:type="character" w:styleId="FollowedHyperlink">
    <w:name w:val="FollowedHyperlink"/>
    <w:rsid w:val="005648A4"/>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4607699">
      <w:bodyDiv w:val="1"/>
      <w:marLeft w:val="0"/>
      <w:marRight w:val="0"/>
      <w:marTop w:val="0"/>
      <w:marBottom w:val="0"/>
      <w:divBdr>
        <w:top w:val="none" w:sz="0" w:space="0" w:color="auto"/>
        <w:left w:val="none" w:sz="0" w:space="0" w:color="auto"/>
        <w:bottom w:val="none" w:sz="0" w:space="0" w:color="auto"/>
        <w:right w:val="none" w:sz="0" w:space="0" w:color="auto"/>
      </w:divBdr>
      <w:divsChild>
        <w:div w:id="79911520">
          <w:marLeft w:val="0"/>
          <w:marRight w:val="0"/>
          <w:marTop w:val="0"/>
          <w:marBottom w:val="0"/>
          <w:divBdr>
            <w:top w:val="none" w:sz="0" w:space="0" w:color="auto"/>
            <w:left w:val="none" w:sz="0" w:space="0" w:color="auto"/>
            <w:bottom w:val="none" w:sz="0" w:space="0" w:color="auto"/>
            <w:right w:val="none" w:sz="0" w:space="0" w:color="auto"/>
          </w:divBdr>
        </w:div>
        <w:div w:id="146094746">
          <w:marLeft w:val="0"/>
          <w:marRight w:val="0"/>
          <w:marTop w:val="0"/>
          <w:marBottom w:val="0"/>
          <w:divBdr>
            <w:top w:val="none" w:sz="0" w:space="0" w:color="auto"/>
            <w:left w:val="none" w:sz="0" w:space="0" w:color="auto"/>
            <w:bottom w:val="none" w:sz="0" w:space="0" w:color="auto"/>
            <w:right w:val="none" w:sz="0" w:space="0" w:color="auto"/>
          </w:divBdr>
        </w:div>
        <w:div w:id="149491147">
          <w:marLeft w:val="0"/>
          <w:marRight w:val="0"/>
          <w:marTop w:val="0"/>
          <w:marBottom w:val="0"/>
          <w:divBdr>
            <w:top w:val="none" w:sz="0" w:space="0" w:color="auto"/>
            <w:left w:val="none" w:sz="0" w:space="0" w:color="auto"/>
            <w:bottom w:val="none" w:sz="0" w:space="0" w:color="auto"/>
            <w:right w:val="none" w:sz="0" w:space="0" w:color="auto"/>
          </w:divBdr>
        </w:div>
        <w:div w:id="182402205">
          <w:marLeft w:val="0"/>
          <w:marRight w:val="0"/>
          <w:marTop w:val="0"/>
          <w:marBottom w:val="0"/>
          <w:divBdr>
            <w:top w:val="none" w:sz="0" w:space="0" w:color="auto"/>
            <w:left w:val="none" w:sz="0" w:space="0" w:color="auto"/>
            <w:bottom w:val="none" w:sz="0" w:space="0" w:color="auto"/>
            <w:right w:val="none" w:sz="0" w:space="0" w:color="auto"/>
          </w:divBdr>
        </w:div>
        <w:div w:id="812908934">
          <w:marLeft w:val="0"/>
          <w:marRight w:val="0"/>
          <w:marTop w:val="0"/>
          <w:marBottom w:val="0"/>
          <w:divBdr>
            <w:top w:val="none" w:sz="0" w:space="0" w:color="auto"/>
            <w:left w:val="none" w:sz="0" w:space="0" w:color="auto"/>
            <w:bottom w:val="none" w:sz="0" w:space="0" w:color="auto"/>
            <w:right w:val="none" w:sz="0" w:space="0" w:color="auto"/>
          </w:divBdr>
        </w:div>
        <w:div w:id="933439673">
          <w:marLeft w:val="0"/>
          <w:marRight w:val="0"/>
          <w:marTop w:val="0"/>
          <w:marBottom w:val="0"/>
          <w:divBdr>
            <w:top w:val="none" w:sz="0" w:space="0" w:color="auto"/>
            <w:left w:val="none" w:sz="0" w:space="0" w:color="auto"/>
            <w:bottom w:val="none" w:sz="0" w:space="0" w:color="auto"/>
            <w:right w:val="none" w:sz="0" w:space="0" w:color="auto"/>
          </w:divBdr>
        </w:div>
        <w:div w:id="1047341194">
          <w:marLeft w:val="0"/>
          <w:marRight w:val="0"/>
          <w:marTop w:val="0"/>
          <w:marBottom w:val="0"/>
          <w:divBdr>
            <w:top w:val="none" w:sz="0" w:space="0" w:color="auto"/>
            <w:left w:val="none" w:sz="0" w:space="0" w:color="auto"/>
            <w:bottom w:val="none" w:sz="0" w:space="0" w:color="auto"/>
            <w:right w:val="none" w:sz="0" w:space="0" w:color="auto"/>
          </w:divBdr>
        </w:div>
        <w:div w:id="1132288032">
          <w:marLeft w:val="0"/>
          <w:marRight w:val="0"/>
          <w:marTop w:val="0"/>
          <w:marBottom w:val="0"/>
          <w:divBdr>
            <w:top w:val="none" w:sz="0" w:space="0" w:color="auto"/>
            <w:left w:val="none" w:sz="0" w:space="0" w:color="auto"/>
            <w:bottom w:val="none" w:sz="0" w:space="0" w:color="auto"/>
            <w:right w:val="none" w:sz="0" w:space="0" w:color="auto"/>
          </w:divBdr>
        </w:div>
        <w:div w:id="1326975170">
          <w:marLeft w:val="0"/>
          <w:marRight w:val="0"/>
          <w:marTop w:val="0"/>
          <w:marBottom w:val="0"/>
          <w:divBdr>
            <w:top w:val="none" w:sz="0" w:space="0" w:color="auto"/>
            <w:left w:val="none" w:sz="0" w:space="0" w:color="auto"/>
            <w:bottom w:val="none" w:sz="0" w:space="0" w:color="auto"/>
            <w:right w:val="none" w:sz="0" w:space="0" w:color="auto"/>
          </w:divBdr>
        </w:div>
        <w:div w:id="1352802270">
          <w:marLeft w:val="0"/>
          <w:marRight w:val="0"/>
          <w:marTop w:val="0"/>
          <w:marBottom w:val="0"/>
          <w:divBdr>
            <w:top w:val="none" w:sz="0" w:space="0" w:color="auto"/>
            <w:left w:val="none" w:sz="0" w:space="0" w:color="auto"/>
            <w:bottom w:val="none" w:sz="0" w:space="0" w:color="auto"/>
            <w:right w:val="none" w:sz="0" w:space="0" w:color="auto"/>
          </w:divBdr>
        </w:div>
        <w:div w:id="1593706274">
          <w:marLeft w:val="0"/>
          <w:marRight w:val="0"/>
          <w:marTop w:val="0"/>
          <w:marBottom w:val="0"/>
          <w:divBdr>
            <w:top w:val="none" w:sz="0" w:space="0" w:color="auto"/>
            <w:left w:val="none" w:sz="0" w:space="0" w:color="auto"/>
            <w:bottom w:val="none" w:sz="0" w:space="0" w:color="auto"/>
            <w:right w:val="none" w:sz="0" w:space="0" w:color="auto"/>
          </w:divBdr>
        </w:div>
        <w:div w:id="1863787555">
          <w:marLeft w:val="0"/>
          <w:marRight w:val="0"/>
          <w:marTop w:val="0"/>
          <w:marBottom w:val="0"/>
          <w:divBdr>
            <w:top w:val="none" w:sz="0" w:space="0" w:color="auto"/>
            <w:left w:val="none" w:sz="0" w:space="0" w:color="auto"/>
            <w:bottom w:val="none" w:sz="0" w:space="0" w:color="auto"/>
            <w:right w:val="none" w:sz="0" w:space="0" w:color="auto"/>
          </w:divBdr>
        </w:div>
        <w:div w:id="1949659624">
          <w:marLeft w:val="0"/>
          <w:marRight w:val="0"/>
          <w:marTop w:val="0"/>
          <w:marBottom w:val="0"/>
          <w:divBdr>
            <w:top w:val="none" w:sz="0" w:space="0" w:color="auto"/>
            <w:left w:val="none" w:sz="0" w:space="0" w:color="auto"/>
            <w:bottom w:val="none" w:sz="0" w:space="0" w:color="auto"/>
            <w:right w:val="none" w:sz="0" w:space="0" w:color="auto"/>
          </w:divBdr>
        </w:div>
        <w:div w:id="2001158477">
          <w:marLeft w:val="0"/>
          <w:marRight w:val="0"/>
          <w:marTop w:val="0"/>
          <w:marBottom w:val="0"/>
          <w:divBdr>
            <w:top w:val="none" w:sz="0" w:space="0" w:color="auto"/>
            <w:left w:val="none" w:sz="0" w:space="0" w:color="auto"/>
            <w:bottom w:val="none" w:sz="0" w:space="0" w:color="auto"/>
            <w:right w:val="none" w:sz="0" w:space="0" w:color="auto"/>
          </w:divBdr>
        </w:div>
      </w:divsChild>
    </w:div>
    <w:div w:id="1619528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www.fda.gov/downloads/AboutFDA/ReportsManualsForms/Reports/BudgetReports/UCM48846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D82184-157B-42A1-B802-3654C304FB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2379</Words>
  <Characters>13563</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[Insert Title of Information Collection]</vt:lpstr>
    </vt:vector>
  </TitlesOfParts>
  <Company>US FDA</Company>
  <LinksUpToDate>false</LinksUpToDate>
  <CharactersWithSpaces>15911</CharactersWithSpaces>
  <SharedDoc>false</SharedDoc>
  <HLinks>
    <vt:vector size="6" baseType="variant">
      <vt:variant>
        <vt:i4>3866685</vt:i4>
      </vt:variant>
      <vt:variant>
        <vt:i4>0</vt:i4>
      </vt:variant>
      <vt:variant>
        <vt:i4>0</vt:i4>
      </vt:variant>
      <vt:variant>
        <vt:i4>5</vt:i4>
      </vt:variant>
      <vt:variant>
        <vt:lpwstr>https://www.fda.gov/downloads/AboutFDA/ReportsManualsForms/Reports/BudgetReports/UCM488461.pdf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[Insert Title of Information Collection]</dc:title>
  <dc:subject/>
  <dc:creator>jcapezzu</dc:creator>
  <cp:keywords/>
  <cp:lastModifiedBy>SYSTEM</cp:lastModifiedBy>
  <cp:revision>2</cp:revision>
  <cp:lastPrinted>2014-04-02T15:47:00Z</cp:lastPrinted>
  <dcterms:created xsi:type="dcterms:W3CDTF">2018-01-18T16:44:00Z</dcterms:created>
  <dcterms:modified xsi:type="dcterms:W3CDTF">2018-01-18T16:44:00Z</dcterms:modified>
</cp:coreProperties>
</file>