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7131A" w14:textId="77777777" w:rsidR="008A06A0" w:rsidRDefault="008A06A0" w:rsidP="008A0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9B4A456" w14:textId="74858BAB" w:rsidR="008A06A0" w:rsidRPr="008A06A0" w:rsidRDefault="008A06A0" w:rsidP="008A0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6A0">
        <w:rPr>
          <w:rFonts w:ascii="Times New Roman" w:hAnsi="Times New Roman" w:cs="Times New Roman"/>
          <w:b/>
          <w:bCs/>
          <w:sz w:val="24"/>
          <w:szCs w:val="24"/>
        </w:rPr>
        <w:t>APPENDIX A</w:t>
      </w:r>
      <w:r w:rsidR="00540F9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211538D" w14:textId="77777777" w:rsidR="008A06A0" w:rsidRPr="008A06A0" w:rsidRDefault="008A06A0" w:rsidP="008A06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F4008" w14:textId="77777777" w:rsidR="008A06A0" w:rsidRDefault="008A06A0" w:rsidP="008A06A0">
      <w:pPr>
        <w:jc w:val="center"/>
        <w:rPr>
          <w:b/>
          <w:bCs/>
        </w:rPr>
        <w:sectPr w:rsidR="008A06A0" w:rsidSect="008A06A0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06A0">
        <w:rPr>
          <w:rFonts w:ascii="Times New Roman" w:hAnsi="Times New Roman" w:cs="Times New Roman"/>
          <w:b/>
          <w:sz w:val="24"/>
          <w:szCs w:val="24"/>
        </w:rPr>
        <w:t>NSWP-III RESEARCH QUESTIONS AND OBJECTIVES</w:t>
      </w:r>
      <w:r w:rsidRPr="008A06A0">
        <w:rPr>
          <w:b/>
          <w:bCs/>
        </w:rPr>
        <w:t xml:space="preserve"> </w:t>
      </w:r>
    </w:p>
    <w:tbl>
      <w:tblPr>
        <w:tblStyle w:val="ListTable21"/>
        <w:tblW w:w="5000" w:type="pct"/>
        <w:tblLook w:val="0620" w:firstRow="1" w:lastRow="0" w:firstColumn="0" w:lastColumn="0" w:noHBand="1" w:noVBand="1"/>
      </w:tblPr>
      <w:tblGrid>
        <w:gridCol w:w="2561"/>
        <w:gridCol w:w="10615"/>
      </w:tblGrid>
      <w:tr w:rsidR="005520B0" w:rsidRPr="005520B0" w14:paraId="27F2B705" w14:textId="77777777" w:rsidTr="00552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972" w:type="pct"/>
            <w:vAlign w:val="center"/>
          </w:tcPr>
          <w:p w14:paraId="3D085DC1" w14:textId="77777777" w:rsidR="005520B0" w:rsidRPr="005520B0" w:rsidRDefault="00EA3587" w:rsidP="005520B0">
            <w:pPr>
              <w:jc w:val="center"/>
              <w:rPr>
                <w:rFonts w:cstheme="minorHAnsi"/>
                <w:sz w:val="18"/>
              </w:rPr>
            </w:pPr>
            <w:r w:rsidRPr="008A06A0">
              <w:rPr>
                <w:b w:val="0"/>
                <w:bCs w:val="0"/>
              </w:rPr>
              <w:lastRenderedPageBreak/>
              <w:br w:type="page"/>
            </w:r>
            <w:r w:rsidR="005520B0" w:rsidRPr="005520B0">
              <w:rPr>
                <w:rFonts w:cstheme="minorHAnsi"/>
                <w:sz w:val="18"/>
              </w:rPr>
              <w:t>Study Objectives</w:t>
            </w:r>
          </w:p>
        </w:tc>
        <w:tc>
          <w:tcPr>
            <w:tcW w:w="4028" w:type="pct"/>
            <w:vAlign w:val="center"/>
          </w:tcPr>
          <w:p w14:paraId="05018FB5" w14:textId="77777777" w:rsidR="005520B0" w:rsidRPr="005520B0" w:rsidRDefault="005520B0" w:rsidP="005520B0">
            <w:pPr>
              <w:jc w:val="center"/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Research Questions</w:t>
            </w:r>
          </w:p>
        </w:tc>
      </w:tr>
      <w:tr w:rsidR="005520B0" w:rsidRPr="005520B0" w14:paraId="5E799E36" w14:textId="77777777" w:rsidTr="005520B0">
        <w:trPr>
          <w:trHeight w:val="20"/>
        </w:trPr>
        <w:tc>
          <w:tcPr>
            <w:tcW w:w="972" w:type="pct"/>
            <w:vAlign w:val="center"/>
          </w:tcPr>
          <w:p w14:paraId="2564115C" w14:textId="55CD35DB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I. Calculate a national estimate of annual improper payments (case and dollar error rates and dollar error amount) in WIC due to income eligibility error (one component of certification error) to fulfill USDA-FNS’s obligations under </w:t>
            </w:r>
            <w:r w:rsidR="002837E6" w:rsidRPr="002837E6">
              <w:rPr>
                <w:rFonts w:cstheme="minorHAnsi"/>
                <w:sz w:val="18"/>
              </w:rPr>
              <w:t>the Improper Payment Elimination and Recovery Act (IPERIA) of 2012</w:t>
            </w:r>
            <w:r w:rsidRPr="005520B0">
              <w:rPr>
                <w:rFonts w:cstheme="minorHAnsi"/>
                <w:sz w:val="18"/>
              </w:rPr>
              <w:t>.</w:t>
            </w:r>
          </w:p>
        </w:tc>
        <w:tc>
          <w:tcPr>
            <w:tcW w:w="4028" w:type="pct"/>
            <w:vAlign w:val="center"/>
          </w:tcPr>
          <w:p w14:paraId="0AFAC866" w14:textId="77777777" w:rsidR="005520B0" w:rsidRPr="005520B0" w:rsidRDefault="005520B0" w:rsidP="005520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What is the annual case error rate due to income ineligibility for WIC overall and for each certification category: pregnant women, breastfeeding women, non-breastfeeding postpartum women, infants, and children? </w:t>
            </w:r>
          </w:p>
          <w:p w14:paraId="51E69997" w14:textId="77777777" w:rsidR="005520B0" w:rsidRPr="005520B0" w:rsidRDefault="005520B0" w:rsidP="005520B0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variation in error rates by FNS region, SA and LA characteristics.</w:t>
            </w:r>
          </w:p>
          <w:p w14:paraId="169F19F6" w14:textId="77777777" w:rsidR="005520B0" w:rsidRPr="005520B0" w:rsidRDefault="005520B0" w:rsidP="005520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income data overall and for each certification category for all WIC participants, including income for adjunctively or automatically eligible WIC participants.</w:t>
            </w:r>
          </w:p>
          <w:p w14:paraId="70B3BF9E" w14:textId="77777777" w:rsidR="005520B0" w:rsidRPr="005520B0" w:rsidRDefault="005520B0" w:rsidP="005520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What are the monthly and annualized dollar error rates and amounts associated with income ineligibility case errors both pre- and post-rebate for infant formula?</w:t>
            </w:r>
          </w:p>
          <w:p w14:paraId="3ACAF4A7" w14:textId="77777777" w:rsidR="005520B0" w:rsidRPr="005520B0" w:rsidRDefault="005520B0" w:rsidP="005520B0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What is the average monthly value of issued and redeemed food packages? </w:t>
            </w:r>
          </w:p>
          <w:p w14:paraId="17188602" w14:textId="77777777" w:rsidR="005520B0" w:rsidRPr="005520B0" w:rsidRDefault="005520B0" w:rsidP="005520B0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How do these error rates vary by FNS region, SA and LA characteristics, and WIC participant characteristics?</w:t>
            </w:r>
          </w:p>
          <w:p w14:paraId="22D9BE50" w14:textId="77777777" w:rsidR="005520B0" w:rsidRPr="005520B0" w:rsidRDefault="005520B0" w:rsidP="005520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possible correlates of erroneous certification due to income ineligibility (e.g., participant characteristics, SA and LA characteristics, SA and LA certification policies and practices).</w:t>
            </w:r>
          </w:p>
          <w:p w14:paraId="1666D6C3" w14:textId="77777777" w:rsidR="005520B0" w:rsidRPr="005520B0" w:rsidRDefault="005520B0" w:rsidP="005520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proportion of WIC participants (overall and by certification category) certified without providing income documentation.</w:t>
            </w:r>
            <w:r w:rsidRPr="005520B0">
              <w:rPr>
                <w:rFonts w:cstheme="minorHAnsi"/>
                <w:sz w:val="18"/>
                <w:vertAlign w:val="superscript"/>
              </w:rPr>
              <w:footnoteReference w:id="1"/>
            </w:r>
            <w:r w:rsidRPr="005520B0">
              <w:rPr>
                <w:rFonts w:cstheme="minorHAnsi"/>
                <w:sz w:val="18"/>
                <w:vertAlign w:val="superscript"/>
              </w:rPr>
              <w:t xml:space="preserve"> </w:t>
            </w:r>
          </w:p>
          <w:p w14:paraId="0249A633" w14:textId="77777777" w:rsidR="005520B0" w:rsidRPr="005520B0" w:rsidRDefault="005520B0" w:rsidP="005520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Compare error estimates to NSWP–I, NSWP–II, and the FNS WIC Income Verification Study.</w:t>
            </w:r>
          </w:p>
        </w:tc>
      </w:tr>
      <w:tr w:rsidR="005520B0" w:rsidRPr="005520B0" w14:paraId="725878E5" w14:textId="77777777" w:rsidTr="005520B0">
        <w:trPr>
          <w:trHeight w:val="20"/>
        </w:trPr>
        <w:tc>
          <w:tcPr>
            <w:tcW w:w="972" w:type="pct"/>
            <w:vAlign w:val="center"/>
          </w:tcPr>
          <w:p w14:paraId="7AB7537C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II. Provide nationally representative error rates and associated dollar error for all types of case error and for denied applicants.</w:t>
            </w:r>
            <w:r w:rsidRPr="005520B0">
              <w:rPr>
                <w:rFonts w:cstheme="minorHAnsi"/>
                <w:sz w:val="18"/>
                <w:vertAlign w:val="superscript"/>
              </w:rPr>
              <w:footnoteReference w:id="2"/>
            </w:r>
          </w:p>
        </w:tc>
        <w:tc>
          <w:tcPr>
            <w:tcW w:w="4028" w:type="pct"/>
            <w:vAlign w:val="center"/>
          </w:tcPr>
          <w:p w14:paraId="660AB308" w14:textId="77777777" w:rsidR="005520B0" w:rsidRPr="005520B0" w:rsidRDefault="005520B0" w:rsidP="005520B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annual case error rates due to reasons other than income ineligibility for WIC overall and for each certification category: pregnant women, breastfeeding women, non-breastfeeding postpartum women, infants, and children, taking into account Federal, SA, and LA regulations and guidance for certification and variation in SA and LA regulations and guidance for certification.</w:t>
            </w:r>
          </w:p>
          <w:p w14:paraId="438324D4" w14:textId="77777777" w:rsidR="005520B0" w:rsidRPr="005520B0" w:rsidRDefault="005520B0" w:rsidP="005520B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distribution of case error by reason:</w:t>
            </w:r>
          </w:p>
          <w:p w14:paraId="1928BA93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income eligibility error</w:t>
            </w:r>
          </w:p>
          <w:p w14:paraId="4A8A5FE9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categorical error</w:t>
            </w:r>
          </w:p>
          <w:p w14:paraId="398E4490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identity error</w:t>
            </w:r>
          </w:p>
          <w:p w14:paraId="21E916C4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residence error</w:t>
            </w:r>
          </w:p>
          <w:p w14:paraId="061B1780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expired certification error</w:t>
            </w:r>
          </w:p>
          <w:p w14:paraId="5861491D" w14:textId="77777777" w:rsidR="005520B0" w:rsidRPr="005520B0" w:rsidRDefault="005520B0" w:rsidP="005520B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For each type of case error, including expired certification errors and denied applicants, what are the associated dollar error rates overall and by certification category, both pre- and post-rebate, for infant formula (i.e., gross and net improper payments)? </w:t>
            </w:r>
          </w:p>
          <w:p w14:paraId="273EBF8B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Average monthly value of issued and redeemed food packages</w:t>
            </w:r>
          </w:p>
          <w:p w14:paraId="2D470174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Annualized dollar cost of redeemed food packages to erroneously and correctly certified participants with expired certifications throughout their certification period</w:t>
            </w:r>
          </w:p>
          <w:p w14:paraId="180F7D55" w14:textId="77777777" w:rsidR="005520B0" w:rsidRPr="005520B0" w:rsidRDefault="005520B0" w:rsidP="005520B0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Duration of issuing food instruments (or EBT benefits) past expired certification date, duration of post-expiration redemption, dollar value of benefits issued post-expiration</w:t>
            </w:r>
          </w:p>
          <w:p w14:paraId="2547F694" w14:textId="77777777" w:rsidR="005520B0" w:rsidRPr="005520B0" w:rsidRDefault="005520B0" w:rsidP="005520B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possible correlates of each error estimate, including correlates of expired certification issuance of food instruments/EBT benefits (e.g., participant characteristics, SA and LA characteristics, SA and LA certification policies and practices).</w:t>
            </w:r>
          </w:p>
          <w:p w14:paraId="54CB574B" w14:textId="77777777" w:rsidR="005520B0" w:rsidRDefault="005520B0" w:rsidP="005520B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rate of denied applicants, both correctly and erroneously denied, showing distribution of reasons for denial for each group.</w:t>
            </w:r>
          </w:p>
          <w:p w14:paraId="17E0B5AF" w14:textId="77777777" w:rsidR="008A06A0" w:rsidRDefault="008A06A0" w:rsidP="008A06A0">
            <w:pPr>
              <w:rPr>
                <w:rFonts w:cstheme="minorHAnsi"/>
                <w:sz w:val="18"/>
              </w:rPr>
            </w:pPr>
          </w:p>
          <w:p w14:paraId="22A6C175" w14:textId="77777777" w:rsidR="008A06A0" w:rsidRPr="008A06A0" w:rsidRDefault="008A06A0" w:rsidP="008A06A0">
            <w:pPr>
              <w:rPr>
                <w:rFonts w:cstheme="minorHAnsi"/>
                <w:sz w:val="18"/>
              </w:rPr>
            </w:pPr>
          </w:p>
        </w:tc>
      </w:tr>
      <w:tr w:rsidR="005520B0" w:rsidRPr="005520B0" w14:paraId="3C086D4C" w14:textId="77777777" w:rsidTr="005520B0">
        <w:trPr>
          <w:trHeight w:val="20"/>
        </w:trPr>
        <w:tc>
          <w:tcPr>
            <w:tcW w:w="972" w:type="pct"/>
            <w:vAlign w:val="center"/>
          </w:tcPr>
          <w:p w14:paraId="4722EFC3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III. Conduct a census of State agencies to provide information on their certification-related policies and a description of their caseload and operations.</w:t>
            </w:r>
          </w:p>
        </w:tc>
        <w:tc>
          <w:tcPr>
            <w:tcW w:w="4028" w:type="pct"/>
            <w:vAlign w:val="center"/>
          </w:tcPr>
          <w:p w14:paraId="2254EE5F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the number of LAs in each SA and number of clinics or sites within each LA.</w:t>
            </w:r>
          </w:p>
          <w:p w14:paraId="2F4986E2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how income eligibility is determined.</w:t>
            </w:r>
          </w:p>
          <w:p w14:paraId="32C853CF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program characteristics used to determine adjunctive/automatic income eligibility.</w:t>
            </w:r>
          </w:p>
          <w:p w14:paraId="4A43FF85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criteria used to determine whether individual belongs in family/economic unit.</w:t>
            </w:r>
          </w:p>
          <w:p w14:paraId="2DAE6A8F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policies used to document identity and residency of WIC applicant.</w:t>
            </w:r>
          </w:p>
          <w:p w14:paraId="173AB03E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guidance provided by the SA on what constitutes a WIC application.</w:t>
            </w:r>
          </w:p>
          <w:p w14:paraId="4187E828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policies regarding documentation of WIC applications for certification that are denied.</w:t>
            </w:r>
          </w:p>
          <w:p w14:paraId="15E211C3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which SAs calculate a retention rate for WIC participants, including how often and how they have changed over the last five years.</w:t>
            </w:r>
          </w:p>
          <w:p w14:paraId="1CD02768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rate of terminations in WIC and reasons why.</w:t>
            </w:r>
          </w:p>
          <w:p w14:paraId="788471C8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how WIC food benefits distributed to participants (on-site; in the home; EBT).</w:t>
            </w:r>
          </w:p>
          <w:p w14:paraId="0C0DFDEB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the policies regarding certification periods by categorical group.</w:t>
            </w:r>
          </w:p>
          <w:p w14:paraId="0FD2E861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the policies regarding accepted activities for proxies.</w:t>
            </w:r>
          </w:p>
          <w:p w14:paraId="29299A12" w14:textId="77777777" w:rsidR="005520B0" w:rsidRPr="005520B0" w:rsidRDefault="005520B0" w:rsidP="005520B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record keeping systems SAs have in place for certification, termination, and denial.</w:t>
            </w:r>
          </w:p>
        </w:tc>
      </w:tr>
      <w:tr w:rsidR="005520B0" w:rsidRPr="005520B0" w14:paraId="3D1D8A5E" w14:textId="77777777" w:rsidTr="005520B0">
        <w:trPr>
          <w:trHeight w:val="20"/>
        </w:trPr>
        <w:tc>
          <w:tcPr>
            <w:tcW w:w="972" w:type="pct"/>
            <w:vAlign w:val="center"/>
          </w:tcPr>
          <w:p w14:paraId="2A55BE66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IV. Provide nationally representative information on LAs’ and service delivery sites’ certification policies and operations.</w:t>
            </w:r>
          </w:p>
        </w:tc>
        <w:tc>
          <w:tcPr>
            <w:tcW w:w="4028" w:type="pct"/>
            <w:vAlign w:val="center"/>
          </w:tcPr>
          <w:p w14:paraId="367614F7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SA and participant characteristics of denied applicants.</w:t>
            </w:r>
          </w:p>
          <w:p w14:paraId="6B0F0D43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procedures used to verify residency.</w:t>
            </w:r>
          </w:p>
          <w:p w14:paraId="3B7CB2C2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the average distribution of caseload-to-certification staff.</w:t>
            </w:r>
          </w:p>
          <w:p w14:paraId="39E29A36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characteristics of LAs that conduct off-site (i.e., clinic, satellites, mobile units) certifications.</w:t>
            </w:r>
          </w:p>
          <w:p w14:paraId="4542EC5F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the ages of infants who are being certified for fully breastfeeding packages and the variation of certification timing across SAs and LAs.</w:t>
            </w:r>
          </w:p>
          <w:p w14:paraId="3372E1C9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process and rates of verifying proof of procedures to determine income eligibility including proportions of documentation provided.</w:t>
            </w:r>
          </w:p>
          <w:p w14:paraId="594CBDBA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who administers the LA (i.e., local government, SA, nongovernmental organization).</w:t>
            </w:r>
          </w:p>
          <w:p w14:paraId="70175D03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the number of LAs and the services they provide.</w:t>
            </w:r>
          </w:p>
          <w:p w14:paraId="4B583121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the characteristics of staff at LAs.</w:t>
            </w:r>
          </w:p>
          <w:p w14:paraId="11618E57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caseload of WIC participants at LAs.</w:t>
            </w:r>
          </w:p>
          <w:p w14:paraId="669E60CB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retention rates at LAs.</w:t>
            </w:r>
          </w:p>
          <w:p w14:paraId="64F426A2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characteristics of the physical space of the LAs.</w:t>
            </w:r>
          </w:p>
          <w:p w14:paraId="057AFB5B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types of technology present at LAs.</w:t>
            </w:r>
          </w:p>
          <w:p w14:paraId="5A09981E" w14:textId="77777777" w:rsidR="005520B0" w:rsidRPr="005520B0" w:rsidRDefault="005520B0" w:rsidP="005520B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regular and extended hours of operations of LAs.</w:t>
            </w:r>
          </w:p>
        </w:tc>
      </w:tr>
      <w:tr w:rsidR="005520B0" w:rsidRPr="005520B0" w14:paraId="66CCD848" w14:textId="77777777" w:rsidTr="005520B0">
        <w:trPr>
          <w:trHeight w:val="20"/>
        </w:trPr>
        <w:tc>
          <w:tcPr>
            <w:tcW w:w="972" w:type="pct"/>
            <w:vAlign w:val="center"/>
          </w:tcPr>
          <w:p w14:paraId="31521F53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V. Provide nationally representative descriptions and analyses of WIC participants’ experiences with the WIC program.</w:t>
            </w:r>
          </w:p>
        </w:tc>
        <w:tc>
          <w:tcPr>
            <w:tcW w:w="4028" w:type="pct"/>
            <w:vAlign w:val="center"/>
          </w:tcPr>
          <w:p w14:paraId="36889190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participants’ characteristics.</w:t>
            </w:r>
          </w:p>
          <w:p w14:paraId="3045160F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participants’ household characteristics.</w:t>
            </w:r>
          </w:p>
          <w:p w14:paraId="656C01A2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participants’ monthly and annual income amounts.</w:t>
            </w:r>
          </w:p>
          <w:p w14:paraId="7B8788ED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participants’ prior experiences with the program.</w:t>
            </w:r>
          </w:p>
          <w:p w14:paraId="199CED94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participants’ perceived benefits to participation.</w:t>
            </w:r>
          </w:p>
          <w:p w14:paraId="3452F572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participants’ satisfaction with food packages, specifically the food instruments, shopping experiences, EBTs, cash-value vouchers, and farmers’ markets.</w:t>
            </w:r>
          </w:p>
          <w:p w14:paraId="6D9EF678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participants’ satisfaction with WIC staff, certification and recertification processes, clinic location, provided/referred services, informal benefits (such as savings on groceries or opportunities to socialize), and farmers’ markets.</w:t>
            </w:r>
          </w:p>
          <w:p w14:paraId="0662548E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Report participants’ participation in other assistance programs.</w:t>
            </w:r>
          </w:p>
          <w:p w14:paraId="055281EA" w14:textId="77777777" w:rsidR="005520B0" w:rsidRPr="005520B0" w:rsidRDefault="005520B0" w:rsidP="005520B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Examine participants’ level of food security. </w:t>
            </w:r>
          </w:p>
          <w:p w14:paraId="494E9592" w14:textId="77777777" w:rsidR="005520B0" w:rsidRPr="005520B0" w:rsidRDefault="005520B0" w:rsidP="005520B0">
            <w:pPr>
              <w:numPr>
                <w:ilvl w:val="0"/>
                <w:numId w:val="17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how participating in WIC affects participants’ food purchases with other food resources.</w:t>
            </w:r>
          </w:p>
        </w:tc>
      </w:tr>
      <w:tr w:rsidR="005520B0" w:rsidRPr="005520B0" w14:paraId="7B3E34CB" w14:textId="77777777" w:rsidTr="005520B0">
        <w:trPr>
          <w:trHeight w:val="20"/>
        </w:trPr>
        <w:tc>
          <w:tcPr>
            <w:tcW w:w="972" w:type="pct"/>
            <w:vAlign w:val="center"/>
          </w:tcPr>
          <w:p w14:paraId="5B921E9E" w14:textId="77777777" w:rsidR="005520B0" w:rsidRPr="005520B0" w:rsidRDefault="005520B0" w:rsidP="005520B0">
            <w:pPr>
              <w:rPr>
                <w:rFonts w:cstheme="minorHAnsi"/>
                <w:sz w:val="18"/>
                <w:highlight w:val="yellow"/>
              </w:rPr>
            </w:pPr>
            <w:r w:rsidRPr="005520B0">
              <w:rPr>
                <w:rFonts w:cstheme="minorHAnsi"/>
                <w:sz w:val="18"/>
              </w:rPr>
              <w:t>VI. Conduct a case study of former WIC participants who are still eligible for the program.</w:t>
            </w:r>
          </w:p>
        </w:tc>
        <w:tc>
          <w:tcPr>
            <w:tcW w:w="4028" w:type="pct"/>
            <w:vAlign w:val="center"/>
          </w:tcPr>
          <w:p w14:paraId="0FAD72C9" w14:textId="77777777" w:rsidR="005520B0" w:rsidRPr="005520B0" w:rsidRDefault="005520B0" w:rsidP="005520B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the reasons why the former participants discontinued participation in the program.</w:t>
            </w:r>
          </w:p>
          <w:p w14:paraId="0C194544" w14:textId="77777777" w:rsidR="005520B0" w:rsidRPr="005520B0" w:rsidRDefault="005520B0" w:rsidP="005520B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the former participants’ satisfaction with the program.</w:t>
            </w:r>
          </w:p>
          <w:p w14:paraId="4082F6AD" w14:textId="77777777" w:rsidR="005520B0" w:rsidRPr="005520B0" w:rsidRDefault="005520B0" w:rsidP="005520B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Examine the former participants’ involvement in other assistance programs.</w:t>
            </w:r>
          </w:p>
        </w:tc>
      </w:tr>
      <w:tr w:rsidR="005520B0" w:rsidRPr="005520B0" w14:paraId="2C2E5C9D" w14:textId="77777777" w:rsidTr="005520B0">
        <w:trPr>
          <w:trHeight w:val="20"/>
        </w:trPr>
        <w:tc>
          <w:tcPr>
            <w:tcW w:w="972" w:type="pct"/>
            <w:vAlign w:val="center"/>
          </w:tcPr>
          <w:p w14:paraId="1C7C49CF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VII. Propose and pilot a new methodology for the NSWP series that provides necessary precision with greater efficiency and reduced cost.</w:t>
            </w:r>
          </w:p>
        </w:tc>
        <w:tc>
          <w:tcPr>
            <w:tcW w:w="4028" w:type="pct"/>
            <w:vAlign w:val="center"/>
          </w:tcPr>
          <w:p w14:paraId="672839A0" w14:textId="1ADA6C89" w:rsidR="005520B0" w:rsidRPr="005520B0" w:rsidRDefault="005520B0" w:rsidP="005520B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What alternative method can produce estimates that meet </w:t>
            </w:r>
            <w:r w:rsidR="002837E6">
              <w:rPr>
                <w:rFonts w:cstheme="minorHAnsi"/>
                <w:sz w:val="18"/>
              </w:rPr>
              <w:t>IPERIA</w:t>
            </w:r>
            <w:r w:rsidRPr="005520B0">
              <w:rPr>
                <w:rFonts w:cstheme="minorHAnsi"/>
                <w:sz w:val="18"/>
              </w:rPr>
              <w:t xml:space="preserve"> precision requirements for the case error amounts and rates and associated dollar error amounts and rates for income eligibility, denied applicant, expired certification, identity, residence, and category error?</w:t>
            </w:r>
          </w:p>
          <w:p w14:paraId="0D37AE82" w14:textId="77777777" w:rsidR="005520B0" w:rsidRPr="005520B0" w:rsidRDefault="005520B0" w:rsidP="005520B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What are the results of a pilot of the method and how do they compare to the estimation model (Objective VIII) to age improper payment estimates annually?</w:t>
            </w:r>
          </w:p>
        </w:tc>
      </w:tr>
      <w:tr w:rsidR="005520B0" w:rsidRPr="005520B0" w14:paraId="02F2ED04" w14:textId="77777777" w:rsidTr="005520B0">
        <w:trPr>
          <w:trHeight w:val="20"/>
        </w:trPr>
        <w:tc>
          <w:tcPr>
            <w:tcW w:w="972" w:type="pct"/>
            <w:vAlign w:val="center"/>
          </w:tcPr>
          <w:p w14:paraId="09A3AD09" w14:textId="48827B4B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VIII. Develop estimation model(s) for use by FNS staff to age the improper payment estimate annually for </w:t>
            </w:r>
            <w:r w:rsidR="002837E6">
              <w:rPr>
                <w:rFonts w:cstheme="minorHAnsi"/>
                <w:sz w:val="18"/>
              </w:rPr>
              <w:t>IPERIA</w:t>
            </w:r>
            <w:r w:rsidRPr="005520B0">
              <w:rPr>
                <w:rFonts w:cstheme="minorHAnsi"/>
                <w:sz w:val="18"/>
              </w:rPr>
              <w:t xml:space="preserve"> reporting using easily accessible data.</w:t>
            </w:r>
          </w:p>
        </w:tc>
        <w:tc>
          <w:tcPr>
            <w:tcW w:w="4028" w:type="pct"/>
            <w:vAlign w:val="center"/>
          </w:tcPr>
          <w:p w14:paraId="6731D602" w14:textId="50C0B693" w:rsidR="005520B0" w:rsidRPr="005520B0" w:rsidRDefault="005520B0" w:rsidP="005520B0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 xml:space="preserve">Propose an evidence-based approach to meet </w:t>
            </w:r>
            <w:r w:rsidR="002837E6">
              <w:rPr>
                <w:rFonts w:cstheme="minorHAnsi"/>
                <w:sz w:val="18"/>
              </w:rPr>
              <w:t>IPERIA</w:t>
            </w:r>
            <w:r w:rsidRPr="005520B0">
              <w:rPr>
                <w:rFonts w:cstheme="minorHAnsi"/>
                <w:sz w:val="18"/>
              </w:rPr>
              <w:t xml:space="preserve"> required annual estimates of income eligibility and associated dollar error rate and amount) using other extant data (e.g., WIC-PC series, WIC Eligibles annual report) and discuss strengths and limitations.</w:t>
            </w:r>
          </w:p>
          <w:p w14:paraId="7DEBFD37" w14:textId="77777777" w:rsidR="005520B0" w:rsidRPr="005520B0" w:rsidRDefault="005520B0" w:rsidP="005520B0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Compare proposed approach to previously used aging process (NSWP–II) and to estimates based on NSWP–III survey data.</w:t>
            </w:r>
          </w:p>
          <w:p w14:paraId="615E15CC" w14:textId="77777777" w:rsidR="005520B0" w:rsidRPr="005520B0" w:rsidRDefault="005520B0" w:rsidP="005520B0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Describe validity and reliability measures of the proposed approach and how the estimation model’s reliability can be tested in the future.</w:t>
            </w:r>
          </w:p>
          <w:p w14:paraId="717725D2" w14:textId="77777777" w:rsidR="005520B0" w:rsidRPr="005520B0" w:rsidRDefault="005520B0" w:rsidP="005520B0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Describe adjustments or alternative approaches to improve estimates in future years.</w:t>
            </w:r>
          </w:p>
        </w:tc>
      </w:tr>
      <w:tr w:rsidR="005520B0" w:rsidRPr="005520B0" w14:paraId="7DBFDF5F" w14:textId="77777777" w:rsidTr="005520B0">
        <w:trPr>
          <w:trHeight w:val="20"/>
        </w:trPr>
        <w:tc>
          <w:tcPr>
            <w:tcW w:w="972" w:type="pct"/>
            <w:vAlign w:val="center"/>
          </w:tcPr>
          <w:p w14:paraId="3C7B7284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IX. Provide certification and dollar error rates accounting for rebates for items other than infant formula.</w:t>
            </w:r>
          </w:p>
        </w:tc>
        <w:tc>
          <w:tcPr>
            <w:tcW w:w="4028" w:type="pct"/>
            <w:vAlign w:val="center"/>
          </w:tcPr>
          <w:p w14:paraId="66E51768" w14:textId="77777777" w:rsidR="005520B0" w:rsidRPr="005520B0" w:rsidRDefault="005520B0" w:rsidP="005520B0">
            <w:pPr>
              <w:rPr>
                <w:rFonts w:cstheme="minorHAnsi"/>
                <w:sz w:val="18"/>
              </w:rPr>
            </w:pPr>
            <w:r w:rsidRPr="005520B0">
              <w:rPr>
                <w:rFonts w:cstheme="minorHAnsi"/>
                <w:sz w:val="18"/>
              </w:rPr>
              <w:t>Using information on WIC rebates other than infant formula, produce pre- and post-rebate case and dollar error estimates and total case and dollar error estimates</w:t>
            </w:r>
            <w:r w:rsidR="00BD6E6A">
              <w:rPr>
                <w:rFonts w:cstheme="minorHAnsi"/>
                <w:sz w:val="18"/>
              </w:rPr>
              <w:t>.</w:t>
            </w:r>
          </w:p>
        </w:tc>
      </w:tr>
    </w:tbl>
    <w:p w14:paraId="44E9439C" w14:textId="77777777" w:rsidR="00761EA6" w:rsidRDefault="00761EA6"/>
    <w:sectPr w:rsidR="00761EA6" w:rsidSect="00DE14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DEC3EC" w15:done="0"/>
  <w15:commentEx w15:paraId="210F3C0F" w15:paraIdParent="74DEC3EC" w15:done="0"/>
  <w15:commentEx w15:paraId="607FC0B9" w15:done="0"/>
  <w15:commentEx w15:paraId="201158AB" w15:paraIdParent="607FC0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DEC3EC" w16cid:durableId="1DA1C593"/>
  <w16cid:commentId w16cid:paraId="210F3C0F" w16cid:durableId="1DA1C5B8"/>
  <w16cid:commentId w16cid:paraId="607FC0B9" w16cid:durableId="1DA1C594"/>
  <w16cid:commentId w16cid:paraId="201158AB" w16cid:durableId="1DA1C6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B7F4" w14:textId="77777777" w:rsidR="007E54E9" w:rsidRDefault="007E54E9" w:rsidP="00DE141E">
      <w:pPr>
        <w:spacing w:after="0" w:line="240" w:lineRule="auto"/>
      </w:pPr>
      <w:r>
        <w:separator/>
      </w:r>
    </w:p>
  </w:endnote>
  <w:endnote w:type="continuationSeparator" w:id="0">
    <w:p w14:paraId="1307FA0A" w14:textId="77777777" w:rsidR="007E54E9" w:rsidRDefault="007E54E9" w:rsidP="00DE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4081" w14:textId="3DFFD3C0" w:rsidR="008A06A0" w:rsidRPr="003C1317" w:rsidRDefault="008A06A0">
    <w:pPr>
      <w:pStyle w:val="Footer"/>
      <w:jc w:val="right"/>
      <w:rPr>
        <w:sz w:val="18"/>
        <w:szCs w:val="18"/>
      </w:rPr>
    </w:pPr>
    <w:r w:rsidRPr="003C1317">
      <w:rPr>
        <w:sz w:val="18"/>
        <w:szCs w:val="18"/>
      </w:rPr>
      <w:t xml:space="preserve">pg. </w:t>
    </w:r>
    <w:sdt>
      <w:sdtPr>
        <w:rPr>
          <w:sz w:val="18"/>
          <w:szCs w:val="18"/>
        </w:rPr>
        <w:id w:val="1540783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C1317">
          <w:rPr>
            <w:sz w:val="18"/>
            <w:szCs w:val="18"/>
          </w:rPr>
          <w:fldChar w:fldCharType="begin"/>
        </w:r>
        <w:r w:rsidRPr="003C1317">
          <w:rPr>
            <w:sz w:val="18"/>
            <w:szCs w:val="18"/>
          </w:rPr>
          <w:instrText xml:space="preserve"> PAGE   \* MERGEFORMAT </w:instrText>
        </w:r>
        <w:r w:rsidRPr="003C1317">
          <w:rPr>
            <w:sz w:val="18"/>
            <w:szCs w:val="18"/>
          </w:rPr>
          <w:fldChar w:fldCharType="separate"/>
        </w:r>
        <w:r w:rsidR="00C41F9E">
          <w:rPr>
            <w:noProof/>
            <w:sz w:val="18"/>
            <w:szCs w:val="18"/>
          </w:rPr>
          <w:t>1</w:t>
        </w:r>
        <w:r w:rsidRPr="003C1317">
          <w:rPr>
            <w:noProof/>
            <w:sz w:val="18"/>
            <w:szCs w:val="18"/>
          </w:rPr>
          <w:fldChar w:fldCharType="end"/>
        </w:r>
      </w:sdtContent>
    </w:sdt>
  </w:p>
  <w:p w14:paraId="150F7D2B" w14:textId="77777777" w:rsidR="008A06A0" w:rsidRDefault="008A0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FC528" w14:textId="77777777" w:rsidR="007E54E9" w:rsidRDefault="007E54E9" w:rsidP="00DE141E">
      <w:pPr>
        <w:spacing w:after="0" w:line="240" w:lineRule="auto"/>
      </w:pPr>
      <w:r>
        <w:separator/>
      </w:r>
    </w:p>
  </w:footnote>
  <w:footnote w:type="continuationSeparator" w:id="0">
    <w:p w14:paraId="0AD6E57B" w14:textId="77777777" w:rsidR="007E54E9" w:rsidRDefault="007E54E9" w:rsidP="00DE141E">
      <w:pPr>
        <w:spacing w:after="0" w:line="240" w:lineRule="auto"/>
      </w:pPr>
      <w:r>
        <w:continuationSeparator/>
      </w:r>
    </w:p>
  </w:footnote>
  <w:footnote w:id="1">
    <w:p w14:paraId="78DB7C3F" w14:textId="77777777" w:rsidR="005520B0" w:rsidRDefault="005520B0" w:rsidP="005520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proportion certified without providing income documentation includes those certified as adjunctively/automatically income eligible, those given a 30-day certification without providing </w:t>
      </w:r>
      <w:r w:rsidRPr="005520B0">
        <w:t>income</w:t>
      </w:r>
      <w:r>
        <w:t xml:space="preserve"> documentation, and any participants certified erroneously for a longer period without providing income documentation.</w:t>
      </w:r>
    </w:p>
  </w:footnote>
  <w:footnote w:id="2">
    <w:p w14:paraId="173A79DF" w14:textId="7BA5988E" w:rsidR="005520B0" w:rsidRPr="00A91FC5" w:rsidRDefault="005520B0" w:rsidP="006F6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A91FC5">
        <w:t xml:space="preserve">Objective II </w:t>
      </w:r>
      <w:r>
        <w:t>also contributes to USDA’s requirements for</w:t>
      </w:r>
      <w:r w:rsidRPr="00A91FC5">
        <w:t xml:space="preserve"> </w:t>
      </w:r>
      <w:r w:rsidR="002837E6">
        <w:t>IPERIA</w:t>
      </w:r>
      <w:r w:rsidRPr="00A91FC5">
        <w:t xml:space="preserve"> </w:t>
      </w:r>
      <w:r>
        <w:t xml:space="preserve">reporting; that is, error rates for </w:t>
      </w:r>
      <w:r w:rsidR="002837E6">
        <w:t>IPERIA</w:t>
      </w:r>
      <w:r>
        <w:t xml:space="preserve"> </w:t>
      </w:r>
      <w:r w:rsidRPr="00A91FC5">
        <w:t>inclu</w:t>
      </w:r>
      <w:r>
        <w:t xml:space="preserve">de </w:t>
      </w:r>
      <w:r w:rsidRPr="00A91FC5">
        <w:t xml:space="preserve">not just error due to income ineligibility </w:t>
      </w:r>
      <w:r>
        <w:t xml:space="preserve">(Objective I) but the </w:t>
      </w:r>
      <w:r w:rsidRPr="00A91FC5">
        <w:t>other types of error</w:t>
      </w:r>
      <w:r>
        <w:t xml:space="preserve"> delineated under</w:t>
      </w:r>
      <w:r w:rsidRPr="00A91FC5">
        <w:t xml:space="preserve"> Objective II.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7FF9"/>
    <w:multiLevelType w:val="hybridMultilevel"/>
    <w:tmpl w:val="7D38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DCE"/>
    <w:multiLevelType w:val="hybridMultilevel"/>
    <w:tmpl w:val="717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1B2"/>
    <w:multiLevelType w:val="hybridMultilevel"/>
    <w:tmpl w:val="717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22530"/>
    <w:multiLevelType w:val="hybridMultilevel"/>
    <w:tmpl w:val="D6088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54F09"/>
    <w:multiLevelType w:val="hybridMultilevel"/>
    <w:tmpl w:val="A184D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CE4724"/>
    <w:multiLevelType w:val="hybridMultilevel"/>
    <w:tmpl w:val="C324B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C63CC"/>
    <w:multiLevelType w:val="hybridMultilevel"/>
    <w:tmpl w:val="CBFE59B4"/>
    <w:lvl w:ilvl="0" w:tplc="899E01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10C9"/>
    <w:multiLevelType w:val="hybridMultilevel"/>
    <w:tmpl w:val="E84C6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522156"/>
    <w:multiLevelType w:val="hybridMultilevel"/>
    <w:tmpl w:val="20DA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225CB"/>
    <w:multiLevelType w:val="hybridMultilevel"/>
    <w:tmpl w:val="37786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93881"/>
    <w:multiLevelType w:val="hybridMultilevel"/>
    <w:tmpl w:val="0F7AF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54B3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B7663"/>
    <w:multiLevelType w:val="hybridMultilevel"/>
    <w:tmpl w:val="717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22983"/>
    <w:multiLevelType w:val="hybridMultilevel"/>
    <w:tmpl w:val="A2122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165F0"/>
    <w:multiLevelType w:val="hybridMultilevel"/>
    <w:tmpl w:val="D6088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0167"/>
    <w:multiLevelType w:val="hybridMultilevel"/>
    <w:tmpl w:val="F80A278A"/>
    <w:lvl w:ilvl="0" w:tplc="B41664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C18DC"/>
    <w:multiLevelType w:val="hybridMultilevel"/>
    <w:tmpl w:val="C8F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10F62"/>
    <w:multiLevelType w:val="hybridMultilevel"/>
    <w:tmpl w:val="A2122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63187"/>
    <w:multiLevelType w:val="hybridMultilevel"/>
    <w:tmpl w:val="C56A00FC"/>
    <w:lvl w:ilvl="0" w:tplc="4086D6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EE7DE5"/>
    <w:multiLevelType w:val="hybridMultilevel"/>
    <w:tmpl w:val="DDCA1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E7A15"/>
    <w:multiLevelType w:val="hybridMultilevel"/>
    <w:tmpl w:val="73D8B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4"/>
  </w:num>
  <w:num w:numId="4">
    <w:abstractNumId w:val="10"/>
  </w:num>
  <w:num w:numId="5">
    <w:abstractNumId w:val="18"/>
  </w:num>
  <w:num w:numId="6">
    <w:abstractNumId w:val="5"/>
  </w:num>
  <w:num w:numId="7">
    <w:abstractNumId w:val="16"/>
  </w:num>
  <w:num w:numId="8">
    <w:abstractNumId w:val="9"/>
  </w:num>
  <w:num w:numId="9">
    <w:abstractNumId w:val="14"/>
  </w:num>
  <w:num w:numId="10">
    <w:abstractNumId w:val="12"/>
  </w:num>
  <w:num w:numId="11">
    <w:abstractNumId w:val="8"/>
  </w:num>
  <w:num w:numId="12">
    <w:abstractNumId w:val="17"/>
  </w:num>
  <w:num w:numId="13">
    <w:abstractNumId w:val="2"/>
  </w:num>
  <w:num w:numId="14">
    <w:abstractNumId w:val="0"/>
  </w:num>
  <w:num w:numId="15">
    <w:abstractNumId w:val="6"/>
  </w:num>
  <w:num w:numId="16">
    <w:abstractNumId w:val="11"/>
  </w:num>
  <w:num w:numId="17">
    <w:abstractNumId w:val="1"/>
  </w:num>
  <w:num w:numId="18">
    <w:abstractNumId w:val="3"/>
  </w:num>
  <w:num w:numId="19">
    <w:abstractNumId w:val="13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 [2]">
    <w15:presenceInfo w15:providerId="AD" w15:userId="S-1-5-21-2530180562-2284943630-2546815069-1812"/>
  </w15:person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1E"/>
    <w:rsid w:val="000175C8"/>
    <w:rsid w:val="00102603"/>
    <w:rsid w:val="00157220"/>
    <w:rsid w:val="002837E6"/>
    <w:rsid w:val="002F40C8"/>
    <w:rsid w:val="00355E32"/>
    <w:rsid w:val="00386D44"/>
    <w:rsid w:val="003C1317"/>
    <w:rsid w:val="00540F9E"/>
    <w:rsid w:val="005520B0"/>
    <w:rsid w:val="005A057A"/>
    <w:rsid w:val="005F4A17"/>
    <w:rsid w:val="006256EB"/>
    <w:rsid w:val="006B15F0"/>
    <w:rsid w:val="006F6F2B"/>
    <w:rsid w:val="00761EA6"/>
    <w:rsid w:val="007E54E9"/>
    <w:rsid w:val="008A06A0"/>
    <w:rsid w:val="008D716C"/>
    <w:rsid w:val="00BD6E6A"/>
    <w:rsid w:val="00C41F9E"/>
    <w:rsid w:val="00C837A0"/>
    <w:rsid w:val="00C87A8D"/>
    <w:rsid w:val="00DE141E"/>
    <w:rsid w:val="00EA3587"/>
    <w:rsid w:val="00EC6B8C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AB2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520B0"/>
    <w:pPr>
      <w:spacing w:after="0" w:line="240" w:lineRule="auto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0B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DE141E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520B0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5" w:themeTint="99"/>
        <w:left w:val="single" w:sz="4" w:space="0" w:color="6F92D2" w:themeColor="accent5" w:themeTint="99"/>
        <w:bottom w:val="single" w:sz="4" w:space="0" w:color="6F92D2" w:themeColor="accent5" w:themeTint="99"/>
        <w:right w:val="single" w:sz="4" w:space="0" w:color="6F92D2" w:themeColor="accent5" w:themeTint="99"/>
        <w:insideH w:val="single" w:sz="4" w:space="0" w:color="6F92D2" w:themeColor="accent5" w:themeTint="99"/>
        <w:insideV w:val="single" w:sz="4" w:space="0" w:color="6F92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5"/>
          <w:left w:val="single" w:sz="4" w:space="0" w:color="2F5496" w:themeColor="accent5"/>
          <w:bottom w:val="single" w:sz="4" w:space="0" w:color="2F5496" w:themeColor="accent5"/>
          <w:right w:val="single" w:sz="4" w:space="0" w:color="2F5496" w:themeColor="accent5"/>
          <w:insideH w:val="nil"/>
          <w:insideV w:val="nil"/>
        </w:tcBorders>
        <w:shd w:val="clear" w:color="auto" w:fill="2F5496" w:themeFill="accent5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5" w:themeFillTint="33"/>
      </w:tcPr>
    </w:tblStylePr>
    <w:tblStylePr w:type="band1Horz">
      <w:tblPr/>
      <w:tcPr>
        <w:shd w:val="clear" w:color="auto" w:fill="CFDAF0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520B0"/>
    <w:pPr>
      <w:ind w:left="720"/>
      <w:contextualSpacing/>
    </w:pPr>
  </w:style>
  <w:style w:type="table" w:customStyle="1" w:styleId="ListTable6Colorful-Accent11">
    <w:name w:val="List Table 6 Colorful - Accent 11"/>
    <w:basedOn w:val="TableNormal"/>
    <w:uiPriority w:val="51"/>
    <w:rsid w:val="005520B0"/>
    <w:pPr>
      <w:spacing w:after="0" w:line="240" w:lineRule="auto"/>
    </w:pPr>
    <w:rPr>
      <w:color w:val="034990" w:themeColor="accent1" w:themeShade="BF"/>
    </w:rPr>
    <w:tblPr>
      <w:tblStyleRowBandSize w:val="1"/>
      <w:tblStyleColBandSize w:val="1"/>
      <w:tblBorders>
        <w:top w:val="single" w:sz="4" w:space="0" w:color="0563C1" w:themeColor="accent1"/>
        <w:bottom w:val="single" w:sz="4" w:space="0" w:color="0563C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563C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63C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FD" w:themeFill="accent1" w:themeFillTint="33"/>
      </w:tcPr>
    </w:tblStylePr>
    <w:tblStylePr w:type="band1Horz">
      <w:tblPr/>
      <w:tcPr>
        <w:shd w:val="clear" w:color="auto" w:fill="C1DFFD" w:themeFill="accent1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5520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5520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6C"/>
  </w:style>
  <w:style w:type="paragraph" w:styleId="Footer">
    <w:name w:val="footer"/>
    <w:basedOn w:val="Normal"/>
    <w:link w:val="FooterChar"/>
    <w:uiPriority w:val="99"/>
    <w:unhideWhenUsed/>
    <w:rsid w:val="008D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6C"/>
  </w:style>
  <w:style w:type="character" w:customStyle="1" w:styleId="HeaderChar1">
    <w:name w:val="Header Char1"/>
    <w:basedOn w:val="DefaultParagraphFont"/>
    <w:uiPriority w:val="99"/>
    <w:rsid w:val="008A06A0"/>
  </w:style>
  <w:style w:type="paragraph" w:styleId="Revision">
    <w:name w:val="Revision"/>
    <w:hidden/>
    <w:uiPriority w:val="99"/>
    <w:semiHidden/>
    <w:rsid w:val="008A06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520B0"/>
    <w:pPr>
      <w:spacing w:after="0" w:line="240" w:lineRule="auto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20B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DE141E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520B0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5" w:themeTint="99"/>
        <w:left w:val="single" w:sz="4" w:space="0" w:color="6F92D2" w:themeColor="accent5" w:themeTint="99"/>
        <w:bottom w:val="single" w:sz="4" w:space="0" w:color="6F92D2" w:themeColor="accent5" w:themeTint="99"/>
        <w:right w:val="single" w:sz="4" w:space="0" w:color="6F92D2" w:themeColor="accent5" w:themeTint="99"/>
        <w:insideH w:val="single" w:sz="4" w:space="0" w:color="6F92D2" w:themeColor="accent5" w:themeTint="99"/>
        <w:insideV w:val="single" w:sz="4" w:space="0" w:color="6F92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5"/>
          <w:left w:val="single" w:sz="4" w:space="0" w:color="2F5496" w:themeColor="accent5"/>
          <w:bottom w:val="single" w:sz="4" w:space="0" w:color="2F5496" w:themeColor="accent5"/>
          <w:right w:val="single" w:sz="4" w:space="0" w:color="2F5496" w:themeColor="accent5"/>
          <w:insideH w:val="nil"/>
          <w:insideV w:val="nil"/>
        </w:tcBorders>
        <w:shd w:val="clear" w:color="auto" w:fill="2F5496" w:themeFill="accent5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5" w:themeFillTint="33"/>
      </w:tcPr>
    </w:tblStylePr>
    <w:tblStylePr w:type="band1Horz">
      <w:tblPr/>
      <w:tcPr>
        <w:shd w:val="clear" w:color="auto" w:fill="CFDAF0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520B0"/>
    <w:pPr>
      <w:ind w:left="720"/>
      <w:contextualSpacing/>
    </w:pPr>
  </w:style>
  <w:style w:type="table" w:customStyle="1" w:styleId="ListTable6Colorful-Accent11">
    <w:name w:val="List Table 6 Colorful - Accent 11"/>
    <w:basedOn w:val="TableNormal"/>
    <w:uiPriority w:val="51"/>
    <w:rsid w:val="005520B0"/>
    <w:pPr>
      <w:spacing w:after="0" w:line="240" w:lineRule="auto"/>
    </w:pPr>
    <w:rPr>
      <w:color w:val="034990" w:themeColor="accent1" w:themeShade="BF"/>
    </w:rPr>
    <w:tblPr>
      <w:tblStyleRowBandSize w:val="1"/>
      <w:tblStyleColBandSize w:val="1"/>
      <w:tblBorders>
        <w:top w:val="single" w:sz="4" w:space="0" w:color="0563C1" w:themeColor="accent1"/>
        <w:bottom w:val="single" w:sz="4" w:space="0" w:color="0563C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563C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63C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FD" w:themeFill="accent1" w:themeFillTint="33"/>
      </w:tcPr>
    </w:tblStylePr>
    <w:tblStylePr w:type="band1Horz">
      <w:tblPr/>
      <w:tcPr>
        <w:shd w:val="clear" w:color="auto" w:fill="C1DFFD" w:themeFill="accent1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5520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5520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6C"/>
  </w:style>
  <w:style w:type="paragraph" w:styleId="Footer">
    <w:name w:val="footer"/>
    <w:basedOn w:val="Normal"/>
    <w:link w:val="FooterChar"/>
    <w:uiPriority w:val="99"/>
    <w:unhideWhenUsed/>
    <w:rsid w:val="008D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6C"/>
  </w:style>
  <w:style w:type="character" w:customStyle="1" w:styleId="HeaderChar1">
    <w:name w:val="Header Char1"/>
    <w:basedOn w:val="DefaultParagraphFont"/>
    <w:uiPriority w:val="99"/>
    <w:rsid w:val="008A06A0"/>
  </w:style>
  <w:style w:type="paragraph" w:styleId="Revision">
    <w:name w:val="Revision"/>
    <w:hidden/>
    <w:uiPriority w:val="99"/>
    <w:semiHidden/>
    <w:rsid w:val="008A06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Murdoch, PhD</dc:creator>
  <cp:keywords/>
  <dc:description/>
  <cp:lastModifiedBy>SYSTEM</cp:lastModifiedBy>
  <cp:revision>2</cp:revision>
  <dcterms:created xsi:type="dcterms:W3CDTF">2018-01-31T18:02:00Z</dcterms:created>
  <dcterms:modified xsi:type="dcterms:W3CDTF">2018-01-31T18:02:00Z</dcterms:modified>
</cp:coreProperties>
</file>