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5E581" w14:textId="77777777" w:rsidR="001B78A3" w:rsidRPr="00FF416C" w:rsidRDefault="001B7421" w:rsidP="001B7421">
      <w:pPr>
        <w:jc w:val="center"/>
        <w:rPr>
          <w:b/>
        </w:rPr>
      </w:pPr>
      <w:bookmarkStart w:id="0" w:name="_GoBack"/>
      <w:bookmarkEnd w:id="0"/>
      <w:r w:rsidRPr="00FF416C">
        <w:rPr>
          <w:b/>
        </w:rPr>
        <w:t xml:space="preserve">Supporting Statement for a Request for OMB Review </w:t>
      </w:r>
    </w:p>
    <w:p w14:paraId="2F925B5C" w14:textId="77777777" w:rsidR="001B7421" w:rsidRPr="00FF416C" w:rsidRDefault="001B7421" w:rsidP="001B7421">
      <w:pPr>
        <w:jc w:val="center"/>
      </w:pPr>
      <w:r w:rsidRPr="00FF416C">
        <w:rPr>
          <w:b/>
        </w:rPr>
        <w:t>under The Paperwork Reduction Act</w:t>
      </w:r>
    </w:p>
    <w:p w14:paraId="1CC79591" w14:textId="77777777" w:rsidR="001B7421" w:rsidRPr="00FF416C" w:rsidRDefault="001B7421" w:rsidP="009C74D2">
      <w:pPr>
        <w:rPr>
          <w:b/>
          <w:bCs/>
        </w:rPr>
      </w:pPr>
    </w:p>
    <w:p w14:paraId="2FC1978B" w14:textId="77777777" w:rsidR="001B78A3" w:rsidRPr="00FF416C" w:rsidRDefault="001B78A3">
      <w:pPr>
        <w:pStyle w:val="Heading1"/>
      </w:pPr>
      <w:bookmarkStart w:id="1" w:name="_Toc227390368"/>
      <w:bookmarkStart w:id="2" w:name="_Toc442977097"/>
    </w:p>
    <w:p w14:paraId="30DF8E5B" w14:textId="77777777" w:rsidR="001B7421" w:rsidRPr="00FF416C" w:rsidRDefault="001B7421">
      <w:pPr>
        <w:pStyle w:val="Heading1"/>
      </w:pPr>
      <w:r w:rsidRPr="00FF416C">
        <w:t>1</w:t>
      </w:r>
      <w:r w:rsidRPr="00FF416C">
        <w:tab/>
        <w:t>IDENTIFICATION OF THE INFORMATION COLLECTION</w:t>
      </w:r>
      <w:bookmarkEnd w:id="1"/>
      <w:bookmarkEnd w:id="2"/>
    </w:p>
    <w:p w14:paraId="0B651141" w14:textId="77777777" w:rsidR="001B7421" w:rsidRPr="00FF416C" w:rsidRDefault="001B7421">
      <w:pPr>
        <w:jc w:val="both"/>
        <w:rPr>
          <w:b/>
          <w:bCs/>
        </w:rPr>
      </w:pPr>
    </w:p>
    <w:p w14:paraId="3F539612" w14:textId="77777777" w:rsidR="001B7421" w:rsidRPr="00FF416C" w:rsidRDefault="001B7421">
      <w:pPr>
        <w:pStyle w:val="Heading2"/>
        <w:ind w:left="1440" w:hanging="720"/>
        <w:jc w:val="left"/>
        <w:rPr>
          <w:sz w:val="24"/>
          <w:szCs w:val="24"/>
        </w:rPr>
      </w:pPr>
      <w:bookmarkStart w:id="3" w:name="_Toc227390369"/>
      <w:bookmarkStart w:id="4" w:name="_Toc442977098"/>
      <w:r w:rsidRPr="00FF416C">
        <w:rPr>
          <w:sz w:val="24"/>
          <w:szCs w:val="24"/>
        </w:rPr>
        <w:t>1(a)</w:t>
      </w:r>
      <w:r w:rsidRPr="00FF416C">
        <w:rPr>
          <w:sz w:val="24"/>
          <w:szCs w:val="24"/>
        </w:rPr>
        <w:tab/>
        <w:t xml:space="preserve">Title </w:t>
      </w:r>
      <w:r w:rsidR="002A6AE6" w:rsidRPr="00FF416C">
        <w:rPr>
          <w:sz w:val="24"/>
          <w:szCs w:val="24"/>
        </w:rPr>
        <w:t xml:space="preserve">and Number </w:t>
      </w:r>
      <w:r w:rsidRPr="00FF416C">
        <w:rPr>
          <w:sz w:val="24"/>
          <w:szCs w:val="24"/>
        </w:rPr>
        <w:t>of the Information Collection</w:t>
      </w:r>
      <w:bookmarkEnd w:id="3"/>
      <w:bookmarkEnd w:id="4"/>
      <w:r w:rsidRPr="00FF416C">
        <w:rPr>
          <w:sz w:val="24"/>
          <w:szCs w:val="24"/>
        </w:rPr>
        <w:t xml:space="preserve">  </w:t>
      </w:r>
    </w:p>
    <w:p w14:paraId="04B117DE" w14:textId="77777777" w:rsidR="008559BE" w:rsidRPr="00FF416C" w:rsidRDefault="008559BE" w:rsidP="009C74D2">
      <w:pPr>
        <w:rPr>
          <w:b/>
        </w:rPr>
      </w:pPr>
    </w:p>
    <w:p w14:paraId="18ED65A2" w14:textId="77777777" w:rsidR="001B7421" w:rsidRPr="00FF416C" w:rsidRDefault="001B7421" w:rsidP="00EE4483">
      <w:pPr>
        <w:ind w:left="720" w:firstLine="720"/>
        <w:rPr>
          <w:b/>
        </w:rPr>
      </w:pPr>
      <w:r w:rsidRPr="00FF416C">
        <w:rPr>
          <w:b/>
        </w:rPr>
        <w:t xml:space="preserve">EPA’s </w:t>
      </w:r>
      <w:r w:rsidR="008D4C79" w:rsidRPr="00FF416C">
        <w:rPr>
          <w:b/>
        </w:rPr>
        <w:t>Safer Choice</w:t>
      </w:r>
      <w:r w:rsidRPr="00FF416C">
        <w:rPr>
          <w:b/>
        </w:rPr>
        <w:t xml:space="preserve"> Product Recognition</w:t>
      </w:r>
      <w:r w:rsidR="001B78A3" w:rsidRPr="00FF416C">
        <w:rPr>
          <w:b/>
        </w:rPr>
        <w:t xml:space="preserve"> Program</w:t>
      </w:r>
    </w:p>
    <w:p w14:paraId="6660C45A" w14:textId="77777777" w:rsidR="008559BE" w:rsidRPr="00FF416C" w:rsidRDefault="008559BE" w:rsidP="009C74D2">
      <w:pPr>
        <w:rPr>
          <w:b/>
        </w:rPr>
      </w:pPr>
    </w:p>
    <w:p w14:paraId="29599BFF" w14:textId="77777777" w:rsidR="001B7421" w:rsidRPr="00FF416C" w:rsidRDefault="00A2177E" w:rsidP="00EE4483">
      <w:pPr>
        <w:ind w:left="720" w:firstLine="720"/>
        <w:rPr>
          <w:b/>
        </w:rPr>
      </w:pPr>
      <w:r>
        <w:rPr>
          <w:b/>
        </w:rPr>
        <w:t xml:space="preserve">ICR Numbers:  </w:t>
      </w:r>
      <w:r w:rsidR="001B7421" w:rsidRPr="00FF416C">
        <w:rPr>
          <w:b/>
        </w:rPr>
        <w:t>EPA ICR No. 2302.0</w:t>
      </w:r>
      <w:r w:rsidR="001B78A3" w:rsidRPr="00FF416C">
        <w:rPr>
          <w:b/>
        </w:rPr>
        <w:t>3</w:t>
      </w:r>
      <w:r w:rsidR="006D4106">
        <w:rPr>
          <w:b/>
        </w:rPr>
        <w:tab/>
      </w:r>
      <w:r w:rsidR="001B7421" w:rsidRPr="00FF416C">
        <w:rPr>
          <w:b/>
        </w:rPr>
        <w:t>OMB Control No. 2070-</w:t>
      </w:r>
      <w:r w:rsidR="001B78A3" w:rsidRPr="00FF416C">
        <w:rPr>
          <w:b/>
        </w:rPr>
        <w:t>0178</w:t>
      </w:r>
    </w:p>
    <w:p w14:paraId="6DC23D4E" w14:textId="77777777" w:rsidR="008559BE" w:rsidRPr="00FF416C" w:rsidRDefault="008559BE" w:rsidP="009C74D2"/>
    <w:p w14:paraId="4FB6D7F7" w14:textId="77777777" w:rsidR="001B7421" w:rsidRPr="00FF416C" w:rsidRDefault="001B7421">
      <w:pPr>
        <w:pStyle w:val="Heading2"/>
        <w:ind w:firstLine="720"/>
        <w:jc w:val="left"/>
        <w:rPr>
          <w:sz w:val="24"/>
          <w:szCs w:val="24"/>
        </w:rPr>
      </w:pPr>
      <w:bookmarkStart w:id="5" w:name="_Toc227390370"/>
      <w:bookmarkStart w:id="6" w:name="_Toc442977099"/>
      <w:r w:rsidRPr="00FF416C">
        <w:rPr>
          <w:sz w:val="24"/>
          <w:szCs w:val="24"/>
        </w:rPr>
        <w:t>1(b)</w:t>
      </w:r>
      <w:r w:rsidRPr="00FF416C">
        <w:rPr>
          <w:sz w:val="24"/>
          <w:szCs w:val="24"/>
        </w:rPr>
        <w:tab/>
        <w:t>Short Characterization / Abstract</w:t>
      </w:r>
      <w:bookmarkEnd w:id="5"/>
      <w:bookmarkEnd w:id="6"/>
    </w:p>
    <w:p w14:paraId="3487F7AC" w14:textId="77777777" w:rsidR="001B7421" w:rsidRPr="00FF416C" w:rsidRDefault="001B7421" w:rsidP="001B7421">
      <w:pPr>
        <w:jc w:val="both"/>
        <w:rPr>
          <w:b/>
        </w:rPr>
      </w:pPr>
    </w:p>
    <w:p w14:paraId="5F354C43" w14:textId="77777777" w:rsidR="001B7421" w:rsidRPr="006D4106" w:rsidRDefault="001B7421" w:rsidP="002A6AE6">
      <w:pPr>
        <w:ind w:firstLine="720"/>
      </w:pPr>
      <w:r w:rsidRPr="00FF416C">
        <w:t xml:space="preserve">This information collection request (ICR) addresses the submission of applications to EPA for recognition under the </w:t>
      </w:r>
      <w:r w:rsidR="008D4C79" w:rsidRPr="00FF416C">
        <w:t xml:space="preserve">Safer Choice </w:t>
      </w:r>
      <w:r w:rsidRPr="00FF416C">
        <w:t>Product Recognition Program (</w:t>
      </w:r>
      <w:r w:rsidR="008D4C79" w:rsidRPr="00FF416C">
        <w:t>Safer Choice program</w:t>
      </w:r>
      <w:r w:rsidRPr="00FF416C">
        <w:t>)</w:t>
      </w:r>
      <w:r w:rsidR="008D4C79" w:rsidRPr="00FF416C">
        <w:t>, formerly known as the Design for the Environment Program</w:t>
      </w:r>
      <w:r w:rsidRPr="00FF416C">
        <w:t xml:space="preserve">. </w:t>
      </w:r>
      <w:r w:rsidR="008D4C79" w:rsidRPr="00FF416C">
        <w:t>The Safer Choice program</w:t>
      </w:r>
      <w:r w:rsidRPr="00FF416C">
        <w:t xml:space="preserve"> recognizes products where all ingredients </w:t>
      </w:r>
      <w:r w:rsidR="00980EF5" w:rsidRPr="00FF416C">
        <w:t xml:space="preserve">meet EPA’s stringent requirements for human health and the environment as found in the Safer Choice Standard. </w:t>
      </w:r>
      <w:r w:rsidRPr="00FF416C">
        <w:t xml:space="preserve">Under the encouragement of the current </w:t>
      </w:r>
      <w:r w:rsidR="008D4C79" w:rsidRPr="00FF416C">
        <w:t>p</w:t>
      </w:r>
      <w:r w:rsidRPr="00FF416C">
        <w:t>rogram, leading companies have already made great progress in developing safer, highly effective chemical products</w:t>
      </w:r>
      <w:r w:rsidR="006D4106">
        <w:t xml:space="preserve">. </w:t>
      </w:r>
      <w:r w:rsidRPr="00FF416C">
        <w:t>Since the program’s inception in 1997, formulators have been using the program as a portal to OPPT’s unique chemical expertise, information resources, and guidance on greener chemistry</w:t>
      </w:r>
      <w:r w:rsidR="006D4106">
        <w:t xml:space="preserve">. </w:t>
      </w:r>
      <w:r w:rsidR="008D4C79" w:rsidRPr="00FF416C">
        <w:rPr>
          <w:lang w:val="en"/>
        </w:rPr>
        <w:t xml:space="preserve">Safer Choice </w:t>
      </w:r>
      <w:r w:rsidRPr="00FF416C">
        <w:rPr>
          <w:lang w:val="en"/>
        </w:rPr>
        <w:t xml:space="preserve">partners enjoy Agency recognition, including the use of the </w:t>
      </w:r>
      <w:r w:rsidR="008D4C79" w:rsidRPr="00FF416C">
        <w:rPr>
          <w:lang w:val="en"/>
        </w:rPr>
        <w:t xml:space="preserve">Safer Choice </w:t>
      </w:r>
      <w:r w:rsidR="0024161C" w:rsidRPr="00FF416C">
        <w:rPr>
          <w:lang w:val="en"/>
        </w:rPr>
        <w:t xml:space="preserve">label </w:t>
      </w:r>
      <w:r w:rsidRPr="00FF416C">
        <w:rPr>
          <w:lang w:val="en"/>
        </w:rPr>
        <w:t xml:space="preserve">on </w:t>
      </w:r>
      <w:r w:rsidR="00980EF5" w:rsidRPr="00FF416C">
        <w:rPr>
          <w:lang w:val="en"/>
        </w:rPr>
        <w:t>qualifying products</w:t>
      </w:r>
      <w:r w:rsidR="006D4106">
        <w:rPr>
          <w:lang w:val="en"/>
        </w:rPr>
        <w:t xml:space="preserve">. </w:t>
      </w:r>
      <w:r w:rsidRPr="00FF416C">
        <w:t xml:space="preserve">This ICR would enable </w:t>
      </w:r>
      <w:r w:rsidR="008D4C79" w:rsidRPr="00FF416C">
        <w:t xml:space="preserve">Safer Choice </w:t>
      </w:r>
      <w:r w:rsidRPr="00FF416C">
        <w:t>to accommodate participation by more than nine formulators each year</w:t>
      </w:r>
      <w:r w:rsidR="0024161C" w:rsidRPr="00FF416C">
        <w:t xml:space="preserve">, </w:t>
      </w:r>
      <w:r w:rsidRPr="00FF416C">
        <w:t>enhance program transparency</w:t>
      </w:r>
      <w:r w:rsidR="0024161C" w:rsidRPr="00FF416C">
        <w:t>, and further promote chemical safety</w:t>
      </w:r>
      <w:r w:rsidRPr="00FF416C">
        <w:t>.</w:t>
      </w:r>
    </w:p>
    <w:p w14:paraId="1ABB8AD2" w14:textId="77777777" w:rsidR="006D4106" w:rsidRDefault="006D4106" w:rsidP="006D4106">
      <w:pPr>
        <w:pStyle w:val="NoSpacing"/>
        <w:rPr>
          <w:rFonts w:ascii="Times New Roman" w:hAnsi="Times New Roman"/>
          <w:sz w:val="24"/>
          <w:szCs w:val="24"/>
          <w:lang w:val="en"/>
        </w:rPr>
      </w:pPr>
    </w:p>
    <w:p w14:paraId="27C96405" w14:textId="77777777" w:rsidR="001B7421" w:rsidRDefault="008D4C79" w:rsidP="006D4106">
      <w:pPr>
        <w:pStyle w:val="NoSpacing"/>
        <w:ind w:firstLine="720"/>
        <w:rPr>
          <w:rFonts w:ascii="Times New Roman" w:hAnsi="Times New Roman"/>
          <w:sz w:val="24"/>
          <w:szCs w:val="24"/>
          <w:lang w:val="en"/>
        </w:rPr>
      </w:pPr>
      <w:r w:rsidRPr="006D4106">
        <w:rPr>
          <w:rFonts w:ascii="Times New Roman" w:hAnsi="Times New Roman"/>
          <w:sz w:val="24"/>
          <w:szCs w:val="24"/>
          <w:lang w:val="en"/>
        </w:rPr>
        <w:t xml:space="preserve">Safer Choice </w:t>
      </w:r>
      <w:r w:rsidR="001B7421" w:rsidRPr="006D4106">
        <w:rPr>
          <w:rFonts w:ascii="Times New Roman" w:hAnsi="Times New Roman"/>
          <w:sz w:val="24"/>
          <w:szCs w:val="24"/>
          <w:lang w:val="en"/>
        </w:rPr>
        <w:t>participates in the development of CleanGredients™, a database of safer cleaning product ingredients, which identifies safer formulations and makes forming partnerships easier</w:t>
      </w:r>
      <w:r w:rsidR="006D4106" w:rsidRPr="006D4106">
        <w:rPr>
          <w:rFonts w:ascii="Times New Roman" w:hAnsi="Times New Roman"/>
          <w:sz w:val="24"/>
          <w:szCs w:val="24"/>
          <w:lang w:val="en"/>
        </w:rPr>
        <w:t xml:space="preserve">. </w:t>
      </w:r>
      <w:r w:rsidR="001B7421" w:rsidRPr="006D4106">
        <w:rPr>
          <w:rFonts w:ascii="Times New Roman" w:hAnsi="Times New Roman"/>
          <w:sz w:val="24"/>
          <w:szCs w:val="24"/>
          <w:lang w:val="en"/>
        </w:rPr>
        <w:t xml:space="preserve">Organized by product functional use class (e.g., surfactants, solvents, etc.), CleanGredients™ facilitates a green marketplace where formulators can select functionally appropriate and safer </w:t>
      </w:r>
      <w:r w:rsidR="00A8297E" w:rsidRPr="006D4106">
        <w:rPr>
          <w:rFonts w:ascii="Times New Roman" w:hAnsi="Times New Roman"/>
          <w:sz w:val="24"/>
          <w:szCs w:val="24"/>
          <w:lang w:val="en"/>
        </w:rPr>
        <w:t>ingredients.</w:t>
      </w:r>
    </w:p>
    <w:p w14:paraId="740EE376" w14:textId="77777777" w:rsidR="006D4106" w:rsidRPr="006D4106" w:rsidRDefault="006D4106" w:rsidP="006D4106">
      <w:pPr>
        <w:pStyle w:val="NoSpacing"/>
        <w:rPr>
          <w:rFonts w:ascii="Times New Roman" w:hAnsi="Times New Roman"/>
          <w:sz w:val="24"/>
          <w:szCs w:val="24"/>
          <w:lang w:val="en"/>
        </w:rPr>
      </w:pPr>
    </w:p>
    <w:p w14:paraId="7A39294A" w14:textId="77777777" w:rsidR="001B7421" w:rsidRDefault="001B7421" w:rsidP="006D4106">
      <w:pPr>
        <w:pStyle w:val="NoSpacing"/>
        <w:ind w:firstLine="720"/>
        <w:rPr>
          <w:rFonts w:ascii="Times New Roman" w:hAnsi="Times New Roman"/>
          <w:sz w:val="24"/>
          <w:szCs w:val="24"/>
          <w:lang w:val="en"/>
        </w:rPr>
      </w:pPr>
      <w:r w:rsidRPr="006D4106">
        <w:rPr>
          <w:rFonts w:ascii="Times New Roman" w:hAnsi="Times New Roman"/>
          <w:sz w:val="24"/>
          <w:szCs w:val="24"/>
          <w:lang w:val="en"/>
        </w:rPr>
        <w:t>The redesign of chemical products offers opportunities to:</w:t>
      </w:r>
    </w:p>
    <w:p w14:paraId="7DF1ECCC" w14:textId="77777777" w:rsidR="006D4106" w:rsidRPr="006D4106" w:rsidRDefault="006D4106" w:rsidP="006D4106">
      <w:pPr>
        <w:pStyle w:val="NoSpacing"/>
        <w:rPr>
          <w:rFonts w:ascii="Times New Roman" w:hAnsi="Times New Roman"/>
          <w:sz w:val="24"/>
          <w:szCs w:val="24"/>
          <w:lang w:val="en"/>
        </w:rPr>
      </w:pPr>
    </w:p>
    <w:p w14:paraId="4516441F" w14:textId="77777777" w:rsidR="001B7421" w:rsidRPr="006D4106" w:rsidRDefault="001B7421" w:rsidP="006D4106">
      <w:pPr>
        <w:pStyle w:val="NoSpacing"/>
        <w:numPr>
          <w:ilvl w:val="0"/>
          <w:numId w:val="40"/>
        </w:numPr>
        <w:rPr>
          <w:rFonts w:ascii="Times New Roman" w:hAnsi="Times New Roman"/>
          <w:sz w:val="24"/>
          <w:szCs w:val="24"/>
          <w:lang w:val="en"/>
        </w:rPr>
      </w:pPr>
      <w:r w:rsidRPr="006D4106">
        <w:rPr>
          <w:rFonts w:ascii="Times New Roman" w:hAnsi="Times New Roman"/>
          <w:sz w:val="24"/>
          <w:szCs w:val="24"/>
          <w:lang w:val="en"/>
        </w:rPr>
        <w:t>Remove hazardous chemicals from formulations before they can enter the w</w:t>
      </w:r>
      <w:r w:rsidR="001C04B2" w:rsidRPr="006D4106">
        <w:rPr>
          <w:rFonts w:ascii="Times New Roman" w:hAnsi="Times New Roman"/>
          <w:sz w:val="24"/>
          <w:szCs w:val="24"/>
          <w:lang w:val="en"/>
        </w:rPr>
        <w:t>orkplace, home, or environment.</w:t>
      </w:r>
    </w:p>
    <w:p w14:paraId="02403667" w14:textId="77777777" w:rsidR="001B7421" w:rsidRPr="006D4106" w:rsidRDefault="001B7421" w:rsidP="006D4106">
      <w:pPr>
        <w:pStyle w:val="NoSpacing"/>
        <w:numPr>
          <w:ilvl w:val="0"/>
          <w:numId w:val="40"/>
        </w:numPr>
        <w:rPr>
          <w:rFonts w:ascii="Times New Roman" w:hAnsi="Times New Roman"/>
          <w:sz w:val="24"/>
          <w:szCs w:val="24"/>
          <w:lang w:val="en"/>
        </w:rPr>
      </w:pPr>
      <w:r w:rsidRPr="006D4106">
        <w:rPr>
          <w:rFonts w:ascii="Times New Roman" w:hAnsi="Times New Roman"/>
          <w:sz w:val="24"/>
          <w:szCs w:val="24"/>
          <w:lang w:val="en"/>
        </w:rPr>
        <w:t xml:space="preserve">Advance energy and water efficiency, resource conservation, and innovative technologies. </w:t>
      </w:r>
    </w:p>
    <w:p w14:paraId="7473B86D" w14:textId="77777777" w:rsidR="001B7421" w:rsidRPr="006D4106" w:rsidRDefault="001B7421" w:rsidP="006D4106">
      <w:pPr>
        <w:pStyle w:val="NoSpacing"/>
        <w:numPr>
          <w:ilvl w:val="0"/>
          <w:numId w:val="40"/>
        </w:numPr>
        <w:rPr>
          <w:rFonts w:ascii="Times New Roman" w:hAnsi="Times New Roman"/>
          <w:sz w:val="24"/>
          <w:szCs w:val="24"/>
          <w:lang w:val="en"/>
        </w:rPr>
      </w:pPr>
      <w:r w:rsidRPr="006D4106">
        <w:rPr>
          <w:rFonts w:ascii="Times New Roman" w:hAnsi="Times New Roman"/>
          <w:sz w:val="24"/>
          <w:szCs w:val="24"/>
          <w:lang w:val="en"/>
        </w:rPr>
        <w:t>Qualify for environmentally preferred product status, increasingly sought by government, re</w:t>
      </w:r>
      <w:r w:rsidR="001C04B2" w:rsidRPr="006D4106">
        <w:rPr>
          <w:rFonts w:ascii="Times New Roman" w:hAnsi="Times New Roman"/>
          <w:sz w:val="24"/>
          <w:szCs w:val="24"/>
          <w:lang w:val="en"/>
        </w:rPr>
        <w:t>tailer and consumer purchasers.</w:t>
      </w:r>
    </w:p>
    <w:p w14:paraId="1677117B" w14:textId="77777777" w:rsidR="001B7421" w:rsidRPr="00FF416C" w:rsidRDefault="001B7421" w:rsidP="006D4106">
      <w:pPr>
        <w:pStyle w:val="NoSpacing"/>
      </w:pPr>
    </w:p>
    <w:p w14:paraId="70E66B08" w14:textId="77777777" w:rsidR="001B7421" w:rsidRPr="00FF416C" w:rsidRDefault="001B7421" w:rsidP="001C04B2">
      <w:pPr>
        <w:pStyle w:val="CM3"/>
        <w:spacing w:after="0"/>
        <w:ind w:right="86" w:firstLine="720"/>
      </w:pPr>
      <w:r w:rsidRPr="00FF416C">
        <w:t>Companies formulate products from a broad range of chemicals with a variety of applications</w:t>
      </w:r>
      <w:r w:rsidR="006D4106">
        <w:t xml:space="preserve">. </w:t>
      </w:r>
      <w:r w:rsidRPr="00FF416C">
        <w:t xml:space="preserve">The </w:t>
      </w:r>
      <w:r w:rsidR="008D4C79" w:rsidRPr="00FF416C">
        <w:t>Safer Choice p</w:t>
      </w:r>
      <w:r w:rsidRPr="00FF416C">
        <w:t xml:space="preserve">rogram </w:t>
      </w:r>
      <w:r w:rsidR="005074E7" w:rsidRPr="00FF416C">
        <w:t>labels cleaning and other chemical-based products such as dish detergents, laundry deterge</w:t>
      </w:r>
      <w:r w:rsidR="006D4106">
        <w:t>nt</w:t>
      </w:r>
      <w:r w:rsidR="005074E7" w:rsidRPr="00FF416C">
        <w:t>s, hand soaps, and all-purpose cleaners</w:t>
      </w:r>
      <w:r w:rsidR="00266B67" w:rsidRPr="00FF416C">
        <w:t xml:space="preserve"> for consumer and industrial use</w:t>
      </w:r>
      <w:r w:rsidR="006D4106">
        <w:t xml:space="preserve">. </w:t>
      </w:r>
      <w:r w:rsidRPr="00FF416C">
        <w:t xml:space="preserve">Cleaning products make up the majority of partnership products, and cleaning product manufacturers </w:t>
      </w:r>
      <w:r w:rsidR="00D740F1" w:rsidRPr="00FF416C">
        <w:t>have the greatest</w:t>
      </w:r>
      <w:r w:rsidRPr="00FF416C">
        <w:t xml:space="preserve"> demand for program participation by potential partners</w:t>
      </w:r>
      <w:r w:rsidR="006D4106">
        <w:t xml:space="preserve">. </w:t>
      </w:r>
      <w:r w:rsidRPr="00FF416C">
        <w:t xml:space="preserve">Third-party profilers review all product applications prior to </w:t>
      </w:r>
      <w:r w:rsidR="008D4C79" w:rsidRPr="00FF416C">
        <w:t xml:space="preserve">Safer Choice </w:t>
      </w:r>
      <w:r w:rsidR="001C04B2">
        <w:t>submission.</w:t>
      </w:r>
    </w:p>
    <w:p w14:paraId="52A4F975" w14:textId="77777777" w:rsidR="001B7421" w:rsidRPr="00FF416C" w:rsidRDefault="001B7421" w:rsidP="001B7421">
      <w:pPr>
        <w:pStyle w:val="Default"/>
        <w:rPr>
          <w:rFonts w:ascii="Times New Roman" w:hAnsi="Times New Roman" w:cs="Times New Roman"/>
        </w:rPr>
      </w:pPr>
    </w:p>
    <w:p w14:paraId="1E02D88B" w14:textId="77777777" w:rsidR="001B7421" w:rsidRPr="00FF416C" w:rsidRDefault="001B7421" w:rsidP="001C04B2">
      <w:pPr>
        <w:autoSpaceDE w:val="0"/>
        <w:autoSpaceDN w:val="0"/>
        <w:adjustRightInd w:val="0"/>
        <w:ind w:firstLine="720"/>
      </w:pPr>
      <w:r w:rsidRPr="00FF416C">
        <w:t>The review team carefully reviews each product component</w:t>
      </w:r>
      <w:r w:rsidR="006D4106">
        <w:t xml:space="preserve">. </w:t>
      </w:r>
      <w:r w:rsidRPr="00FF416C">
        <w:t xml:space="preserve">A literature review, and when appropriate, structural activity relationships, are used to understand each chemical’s health and </w:t>
      </w:r>
      <w:r w:rsidRPr="00FF416C">
        <w:lastRenderedPageBreak/>
        <w:t xml:space="preserve">environmental characteristics. The review includes all chemicals, including those in proprietary raw material blends, which ingredient suppliers share with </w:t>
      </w:r>
      <w:r w:rsidR="008D4C79" w:rsidRPr="00FF416C">
        <w:t>Safer Choice</w:t>
      </w:r>
      <w:r w:rsidR="00C306CE" w:rsidRPr="00FF416C">
        <w:t xml:space="preserve"> and the third-party profilers</w:t>
      </w:r>
      <w:r w:rsidR="008D4C79" w:rsidRPr="00FF416C">
        <w:t xml:space="preserve"> </w:t>
      </w:r>
      <w:r w:rsidRPr="00FF416C">
        <w:t>in confidentiality. The review team then compares an ingredient’s characteristics to other chemicals in the same use class, considers possible negative synergies between ingredients, and places the ingredient on a continuum of improvement relative to other similar chemicals</w:t>
      </w:r>
      <w:r w:rsidR="006D4106">
        <w:t xml:space="preserve">. </w:t>
      </w:r>
      <w:r w:rsidR="008E10E8" w:rsidRPr="00FF416C">
        <w:t>By means of its</w:t>
      </w:r>
      <w:r w:rsidRPr="00FF416C">
        <w:t xml:space="preserve"> review team and methodology, </w:t>
      </w:r>
      <w:r w:rsidR="008D4C79" w:rsidRPr="00FF416C">
        <w:t>Safer Choice</w:t>
      </w:r>
      <w:r w:rsidRPr="00FF416C">
        <w:t xml:space="preserve"> provides information to formulators that helps them select from among the safest chemicals in an ingredient class</w:t>
      </w:r>
      <w:r w:rsidR="006D4106">
        <w:t xml:space="preserve">. </w:t>
      </w:r>
      <w:r w:rsidRPr="00FF416C">
        <w:t xml:space="preserve">Only formulations containing exclusively safer ingredients are recognized by </w:t>
      </w:r>
      <w:r w:rsidR="008D4C79" w:rsidRPr="00FF416C">
        <w:t>Safer Choice</w:t>
      </w:r>
      <w:r w:rsidRPr="00FF416C">
        <w:t>.</w:t>
      </w:r>
    </w:p>
    <w:p w14:paraId="6E3A1A92" w14:textId="77777777" w:rsidR="001B78A3" w:rsidRPr="00FF416C" w:rsidRDefault="001B78A3" w:rsidP="001B7421">
      <w:pPr>
        <w:autoSpaceDE w:val="0"/>
        <w:autoSpaceDN w:val="0"/>
        <w:adjustRightInd w:val="0"/>
      </w:pPr>
    </w:p>
    <w:p w14:paraId="461A3738" w14:textId="77777777" w:rsidR="008D4C79" w:rsidRPr="00FF416C" w:rsidRDefault="008D4C79" w:rsidP="001B7421">
      <w:pPr>
        <w:autoSpaceDE w:val="0"/>
        <w:autoSpaceDN w:val="0"/>
        <w:adjustRightInd w:val="0"/>
      </w:pPr>
    </w:p>
    <w:p w14:paraId="76C533A3" w14:textId="77777777" w:rsidR="001B7421" w:rsidRPr="00FF416C" w:rsidRDefault="001B7421">
      <w:pPr>
        <w:pStyle w:val="Heading1"/>
      </w:pPr>
      <w:r w:rsidRPr="00FF416C">
        <w:rPr>
          <w:lang w:val="en-CA"/>
        </w:rPr>
        <w:fldChar w:fldCharType="begin"/>
      </w:r>
      <w:r w:rsidRPr="00FF416C">
        <w:rPr>
          <w:lang w:val="en-CA"/>
        </w:rPr>
        <w:instrText xml:space="preserve"> SEQ CHAPTER \h \r 1</w:instrText>
      </w:r>
      <w:r w:rsidRPr="00FF416C">
        <w:rPr>
          <w:lang w:val="en-CA"/>
        </w:rPr>
        <w:fldChar w:fldCharType="end"/>
      </w:r>
      <w:bookmarkStart w:id="7" w:name="_Toc227390371"/>
      <w:bookmarkStart w:id="8" w:name="_Toc442977100"/>
      <w:r w:rsidRPr="00FF416C">
        <w:t>2.</w:t>
      </w:r>
      <w:r w:rsidRPr="00FF416C">
        <w:tab/>
        <w:t>NEED FOR AND USE OF THE COLLECTION</w:t>
      </w:r>
      <w:bookmarkEnd w:id="7"/>
      <w:bookmarkEnd w:id="8"/>
    </w:p>
    <w:p w14:paraId="065ADB52" w14:textId="77777777" w:rsidR="001B7421" w:rsidRPr="00FF416C" w:rsidRDefault="001B7421"/>
    <w:p w14:paraId="669C89DD" w14:textId="77777777" w:rsidR="001B7421" w:rsidRPr="00FF416C" w:rsidRDefault="001B7421">
      <w:pPr>
        <w:pStyle w:val="Heading2"/>
        <w:jc w:val="left"/>
        <w:rPr>
          <w:sz w:val="24"/>
          <w:szCs w:val="24"/>
        </w:rPr>
      </w:pPr>
      <w:r w:rsidRPr="00FF416C">
        <w:rPr>
          <w:sz w:val="24"/>
          <w:szCs w:val="24"/>
        </w:rPr>
        <w:tab/>
      </w:r>
      <w:bookmarkStart w:id="9" w:name="_Toc227390372"/>
      <w:bookmarkStart w:id="10" w:name="_Toc442977101"/>
      <w:r w:rsidRPr="00FF416C">
        <w:rPr>
          <w:sz w:val="24"/>
          <w:szCs w:val="24"/>
        </w:rPr>
        <w:t>2(a)</w:t>
      </w:r>
      <w:r w:rsidRPr="00FF416C">
        <w:rPr>
          <w:sz w:val="24"/>
          <w:szCs w:val="24"/>
        </w:rPr>
        <w:tab/>
        <w:t>Need/Authority for the Collection</w:t>
      </w:r>
      <w:bookmarkEnd w:id="9"/>
      <w:bookmarkEnd w:id="10"/>
    </w:p>
    <w:p w14:paraId="1E61E284" w14:textId="77777777" w:rsidR="001B7421" w:rsidRPr="00FF416C" w:rsidRDefault="001B7421">
      <w:pPr>
        <w:rPr>
          <w:b/>
          <w:bCs/>
        </w:rPr>
      </w:pPr>
    </w:p>
    <w:p w14:paraId="2C3BA5C4" w14:textId="77777777" w:rsidR="001B7421" w:rsidRPr="00FF416C" w:rsidRDefault="001B7421" w:rsidP="002A6AE6">
      <w:pPr>
        <w:pStyle w:val="BodyText"/>
        <w:ind w:firstLine="720"/>
        <w:rPr>
          <w:rFonts w:ascii="Times New Roman" w:hAnsi="Times New Roman" w:cs="Times New Roman"/>
          <w:sz w:val="24"/>
        </w:rPr>
      </w:pPr>
      <w:r w:rsidRPr="00FF416C">
        <w:rPr>
          <w:rFonts w:ascii="Times New Roman" w:hAnsi="Times New Roman" w:cs="Times New Roman"/>
          <w:sz w:val="24"/>
        </w:rPr>
        <w:t xml:space="preserve">Authority for the </w:t>
      </w:r>
      <w:r w:rsidR="008D4C79" w:rsidRPr="00FF416C">
        <w:rPr>
          <w:rFonts w:ascii="Times New Roman" w:hAnsi="Times New Roman" w:cs="Times New Roman"/>
          <w:sz w:val="24"/>
        </w:rPr>
        <w:t>Safer Choice p</w:t>
      </w:r>
      <w:r w:rsidRPr="00FF416C">
        <w:rPr>
          <w:rFonts w:ascii="Times New Roman" w:hAnsi="Times New Roman" w:cs="Times New Roman"/>
          <w:sz w:val="24"/>
        </w:rPr>
        <w:t xml:space="preserve">rogram derives from Section 6604(b)(5) of the Pollution Prevention Act (PPA), 42 U.S.C. 13103(b)(5) </w:t>
      </w:r>
      <w:r w:rsidR="009379B6" w:rsidRPr="00FF416C">
        <w:rPr>
          <w:rFonts w:ascii="Times New Roman" w:hAnsi="Times New Roman" w:cs="Times New Roman"/>
          <w:sz w:val="24"/>
        </w:rPr>
        <w:t>(</w:t>
      </w:r>
      <w:r w:rsidRPr="00FF416C">
        <w:rPr>
          <w:rFonts w:ascii="Times New Roman" w:hAnsi="Times New Roman" w:cs="Times New Roman"/>
          <w:sz w:val="24"/>
        </w:rPr>
        <w:t>see Attachment A</w:t>
      </w:r>
      <w:r w:rsidR="009379B6" w:rsidRPr="00FF416C">
        <w:rPr>
          <w:rFonts w:ascii="Times New Roman" w:hAnsi="Times New Roman" w:cs="Times New Roman"/>
          <w:sz w:val="24"/>
        </w:rPr>
        <w:t>)</w:t>
      </w:r>
      <w:r w:rsidRPr="00FF416C">
        <w:rPr>
          <w:rFonts w:ascii="Times New Roman" w:hAnsi="Times New Roman" w:cs="Times New Roman"/>
          <w:sz w:val="24"/>
        </w:rPr>
        <w:t>, which directs EPA to facilitate the adoption of source-reduction techniques by businesses, and the Toxic Substances Control Act (15 U.S.C. 2601 et seq.), which encourages safety in technological innovation in chemistry</w:t>
      </w:r>
      <w:r w:rsidR="006D4106">
        <w:rPr>
          <w:rFonts w:ascii="Times New Roman" w:hAnsi="Times New Roman" w:cs="Times New Roman"/>
          <w:sz w:val="24"/>
        </w:rPr>
        <w:t xml:space="preserve">. </w:t>
      </w:r>
      <w:r w:rsidRPr="00FF416C">
        <w:rPr>
          <w:rFonts w:ascii="Times New Roman" w:hAnsi="Times New Roman" w:cs="Times New Roman"/>
          <w:sz w:val="24"/>
        </w:rPr>
        <w:t xml:space="preserve">In recognition of this statutory directive, and through consultation with a broad range of stakeholders, EPA developed the </w:t>
      </w:r>
      <w:r w:rsidR="008D4C79" w:rsidRPr="00FF416C">
        <w:rPr>
          <w:rFonts w:ascii="Times New Roman" w:hAnsi="Times New Roman" w:cs="Times New Roman"/>
          <w:sz w:val="24"/>
        </w:rPr>
        <w:t>Safer Choice p</w:t>
      </w:r>
      <w:r w:rsidR="001C04B2">
        <w:rPr>
          <w:rFonts w:ascii="Times New Roman" w:hAnsi="Times New Roman" w:cs="Times New Roman"/>
          <w:sz w:val="24"/>
        </w:rPr>
        <w:t>rogram.</w:t>
      </w:r>
    </w:p>
    <w:p w14:paraId="07531272" w14:textId="77777777" w:rsidR="001B7421" w:rsidRPr="00FF416C" w:rsidRDefault="001B7421">
      <w:pPr>
        <w:pStyle w:val="BodyText"/>
        <w:rPr>
          <w:rFonts w:ascii="Times New Roman" w:hAnsi="Times New Roman" w:cs="Times New Roman"/>
          <w:sz w:val="24"/>
        </w:rPr>
      </w:pPr>
    </w:p>
    <w:p w14:paraId="18F74269" w14:textId="77777777" w:rsidR="001B7421" w:rsidRPr="00FF416C" w:rsidRDefault="008D4C79" w:rsidP="002A6AE6">
      <w:pPr>
        <w:ind w:firstLine="720"/>
      </w:pPr>
      <w:r w:rsidRPr="00FF416C">
        <w:t>Safer Choice p</w:t>
      </w:r>
      <w:r w:rsidR="001B7421" w:rsidRPr="00FF416C">
        <w:t>rogram information collection activities will assist the Agency in meeting the goals of the PPA by providing resources and recognition for businesses committed to promoting and using safer chemical products</w:t>
      </w:r>
      <w:r w:rsidR="006D4106">
        <w:t xml:space="preserve">. </w:t>
      </w:r>
      <w:r w:rsidR="001B7421" w:rsidRPr="00FF416C">
        <w:t xml:space="preserve">In turn, the </w:t>
      </w:r>
      <w:r w:rsidRPr="00FF416C">
        <w:t>Safer Choice p</w:t>
      </w:r>
      <w:r w:rsidR="001B7421" w:rsidRPr="00FF416C">
        <w:t>rogram will help businesses meet corporate sustainability goals by providing the means to, and an objective measure of, environmental stewardship. Investment analysts and advisers seek these types of measures in evaluating a corporation’s sustainability profile and investment worthiness.</w:t>
      </w:r>
      <w:r w:rsidR="001B7421" w:rsidRPr="00FF416C">
        <w:rPr>
          <w:rStyle w:val="FootnoteReference"/>
        </w:rPr>
        <w:footnoteReference w:id="1"/>
      </w:r>
      <w:r w:rsidR="001B7421" w:rsidRPr="00FF416C">
        <w:t xml:space="preserve">  It is not surprising then that EPA has heard from many organizations that </w:t>
      </w:r>
      <w:r w:rsidRPr="00FF416C">
        <w:t>Safer Choice p</w:t>
      </w:r>
      <w:r w:rsidR="001B7421" w:rsidRPr="00FF416C">
        <w:t>rogram partnership is an important impetus for prioritizing and completing the transition to safer chemical products</w:t>
      </w:r>
      <w:r w:rsidR="006D4106">
        <w:t xml:space="preserve">. </w:t>
      </w:r>
      <w:r w:rsidR="001B7421" w:rsidRPr="00FF416C">
        <w:t xml:space="preserve">The </w:t>
      </w:r>
      <w:r w:rsidRPr="00FF416C">
        <w:t>Safer Choice p</w:t>
      </w:r>
      <w:r w:rsidR="001B7421" w:rsidRPr="00FF416C">
        <w:t>rogram is also needed to promote greater use of safer chemical products by companies unaware of the benefits of such a change.</w:t>
      </w:r>
    </w:p>
    <w:p w14:paraId="60BB62F3" w14:textId="77777777" w:rsidR="001B7421" w:rsidRPr="00FF416C" w:rsidRDefault="001B7421"/>
    <w:p w14:paraId="0FCFF5F2" w14:textId="77777777" w:rsidR="008559BE" w:rsidRPr="00FF416C" w:rsidRDefault="008D4C79" w:rsidP="002A6AE6">
      <w:pPr>
        <w:ind w:firstLine="720"/>
      </w:pPr>
      <w:r w:rsidRPr="00FF416C">
        <w:t xml:space="preserve">Safer Choice </w:t>
      </w:r>
      <w:r w:rsidR="001B7421" w:rsidRPr="00FF416C">
        <w:t xml:space="preserve">has carefully tailored its request for information, and especially the </w:t>
      </w:r>
      <w:r w:rsidRPr="00FF416C">
        <w:t>Safer Choice p</w:t>
      </w:r>
      <w:r w:rsidR="001B7421" w:rsidRPr="00FF416C">
        <w:t>rogram application</w:t>
      </w:r>
      <w:r w:rsidR="0024161C" w:rsidRPr="00FF416C">
        <w:t xml:space="preserve"> forms</w:t>
      </w:r>
      <w:r w:rsidR="001B7421" w:rsidRPr="00FF416C">
        <w:t>, to ensure that it only asks for information essential to verifying applicants’ eligibility for recognition.</w:t>
      </w:r>
    </w:p>
    <w:p w14:paraId="381B0D72" w14:textId="77777777" w:rsidR="001B7421" w:rsidRPr="00FF416C" w:rsidRDefault="006D4106">
      <w:r>
        <w:t xml:space="preserve"> </w:t>
      </w:r>
    </w:p>
    <w:p w14:paraId="00DFA1AA"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11" w:name="_Toc227390373"/>
      <w:bookmarkStart w:id="12" w:name="_Toc442977102"/>
      <w:r w:rsidRPr="00FF416C">
        <w:rPr>
          <w:sz w:val="24"/>
          <w:szCs w:val="24"/>
        </w:rPr>
        <w:t>2(b)</w:t>
      </w:r>
      <w:r w:rsidRPr="00FF416C">
        <w:rPr>
          <w:sz w:val="24"/>
          <w:szCs w:val="24"/>
        </w:rPr>
        <w:tab/>
        <w:t>Practical Utility/Users of the Data</w:t>
      </w:r>
      <w:bookmarkEnd w:id="11"/>
      <w:bookmarkEnd w:id="12"/>
    </w:p>
    <w:p w14:paraId="1E49A2AB" w14:textId="77777777" w:rsidR="001B7421" w:rsidRPr="00FF416C" w:rsidRDefault="001B7421"/>
    <w:p w14:paraId="09F23E89" w14:textId="77777777" w:rsidR="001B7421" w:rsidRPr="00FF416C" w:rsidRDefault="001B7421" w:rsidP="002A6AE6">
      <w:pPr>
        <w:pStyle w:val="Default"/>
        <w:ind w:firstLine="720"/>
        <w:rPr>
          <w:rFonts w:ascii="Times New Roman" w:hAnsi="Times New Roman" w:cs="Times New Roman"/>
          <w:color w:val="auto"/>
        </w:rPr>
      </w:pPr>
      <w:r w:rsidRPr="00FF416C">
        <w:rPr>
          <w:rFonts w:ascii="Times New Roman" w:hAnsi="Times New Roman" w:cs="Times New Roman"/>
          <w:color w:val="auto"/>
        </w:rPr>
        <w:t xml:space="preserve">The information collected by the </w:t>
      </w:r>
      <w:r w:rsidR="008D4C79" w:rsidRPr="00FF416C">
        <w:rPr>
          <w:rFonts w:ascii="Times New Roman" w:hAnsi="Times New Roman" w:cs="Times New Roman"/>
          <w:color w:val="auto"/>
        </w:rPr>
        <w:t>Safer Choice p</w:t>
      </w:r>
      <w:r w:rsidRPr="00FF416C">
        <w:rPr>
          <w:rFonts w:ascii="Times New Roman" w:hAnsi="Times New Roman" w:cs="Times New Roman"/>
          <w:color w:val="auto"/>
        </w:rPr>
        <w:t xml:space="preserve">rogram is not designed or intended to support regulatory decision-making by EPA. EPA uses the information collected in the </w:t>
      </w:r>
      <w:r w:rsidR="008D4C79" w:rsidRPr="00FF416C">
        <w:rPr>
          <w:rFonts w:ascii="Times New Roman" w:hAnsi="Times New Roman" w:cs="Times New Roman"/>
          <w:color w:val="auto"/>
        </w:rPr>
        <w:t>Safer Choice p</w:t>
      </w:r>
      <w:r w:rsidRPr="00FF416C">
        <w:rPr>
          <w:rFonts w:ascii="Times New Roman" w:hAnsi="Times New Roman" w:cs="Times New Roman"/>
          <w:color w:val="auto"/>
        </w:rPr>
        <w:t>rogram application to: (1) review products and their components; (2) complete chemical profiles for each product component to determine its key health and environmental characteristics; and (3) establish a partnership agreement with the company outlining how the company and EPA/</w:t>
      </w:r>
      <w:r w:rsidR="008D4C79" w:rsidRPr="00FF416C">
        <w:rPr>
          <w:rFonts w:ascii="Times New Roman" w:hAnsi="Times New Roman" w:cs="Times New Roman"/>
          <w:color w:val="auto"/>
        </w:rPr>
        <w:t xml:space="preserve">Safer Choice </w:t>
      </w:r>
      <w:r w:rsidRPr="00FF416C">
        <w:rPr>
          <w:rFonts w:ascii="Times New Roman" w:hAnsi="Times New Roman" w:cs="Times New Roman"/>
          <w:color w:val="auto"/>
        </w:rPr>
        <w:t>will work together to continually improve the health and environmental profile of the product(s)</w:t>
      </w:r>
      <w:r w:rsidR="001B78A3" w:rsidRPr="00FF416C">
        <w:rPr>
          <w:rFonts w:ascii="Times New Roman" w:hAnsi="Times New Roman" w:cs="Times New Roman"/>
          <w:color w:val="auto"/>
        </w:rPr>
        <w:t>.</w:t>
      </w:r>
    </w:p>
    <w:p w14:paraId="2D55C687" w14:textId="77777777" w:rsidR="001B78A3" w:rsidRPr="00FF416C" w:rsidRDefault="001B78A3" w:rsidP="008559BE">
      <w:pPr>
        <w:pStyle w:val="Default"/>
        <w:rPr>
          <w:rFonts w:ascii="Times New Roman" w:hAnsi="Times New Roman" w:cs="Times New Roman"/>
          <w:color w:val="auto"/>
        </w:rPr>
      </w:pPr>
    </w:p>
    <w:p w14:paraId="4EAE0671" w14:textId="77777777" w:rsidR="001B7421" w:rsidRPr="00FF416C" w:rsidRDefault="001B7421">
      <w:pPr>
        <w:pStyle w:val="Heading1"/>
      </w:pPr>
      <w:r w:rsidRPr="00FF416C">
        <w:rPr>
          <w:lang w:val="en-CA"/>
        </w:rPr>
        <w:lastRenderedPageBreak/>
        <w:fldChar w:fldCharType="begin"/>
      </w:r>
      <w:r w:rsidRPr="00FF416C">
        <w:rPr>
          <w:lang w:val="en-CA"/>
        </w:rPr>
        <w:instrText xml:space="preserve"> SEQ CHAPTER \h \r 1</w:instrText>
      </w:r>
      <w:r w:rsidRPr="00FF416C">
        <w:rPr>
          <w:lang w:val="en-CA"/>
        </w:rPr>
        <w:fldChar w:fldCharType="end"/>
      </w:r>
      <w:bookmarkStart w:id="13" w:name="_Toc227390374"/>
      <w:bookmarkStart w:id="14" w:name="_Toc442977103"/>
      <w:r w:rsidRPr="00FF416C">
        <w:t>3.     NON-DUPLICATION, CONSULTATIONS, AND OTHER COLLECTION CRITERIA</w:t>
      </w:r>
      <w:bookmarkEnd w:id="13"/>
      <w:bookmarkEnd w:id="14"/>
    </w:p>
    <w:p w14:paraId="0539F3A2" w14:textId="77777777" w:rsidR="001B7421" w:rsidRPr="00FF416C" w:rsidRDefault="001B7421"/>
    <w:p w14:paraId="1B445017" w14:textId="77777777" w:rsidR="001B7421" w:rsidRPr="00FF416C" w:rsidRDefault="001B7421" w:rsidP="001B7421">
      <w:pPr>
        <w:pStyle w:val="Heading2"/>
        <w:jc w:val="left"/>
        <w:rPr>
          <w:sz w:val="24"/>
          <w:szCs w:val="24"/>
        </w:rPr>
      </w:pPr>
      <w:r w:rsidRPr="00FF416C">
        <w:rPr>
          <w:sz w:val="24"/>
          <w:szCs w:val="24"/>
        </w:rPr>
        <w:tab/>
      </w:r>
      <w:bookmarkStart w:id="15" w:name="_Toc227390375"/>
      <w:bookmarkStart w:id="16" w:name="_Toc442977104"/>
      <w:r w:rsidRPr="00FF416C">
        <w:rPr>
          <w:sz w:val="24"/>
          <w:szCs w:val="24"/>
        </w:rPr>
        <w:t>3(a)</w:t>
      </w:r>
      <w:r w:rsidRPr="00FF416C">
        <w:rPr>
          <w:sz w:val="24"/>
          <w:szCs w:val="24"/>
        </w:rPr>
        <w:tab/>
        <w:t>Non-Duplication</w:t>
      </w:r>
      <w:bookmarkEnd w:id="15"/>
      <w:bookmarkEnd w:id="16"/>
    </w:p>
    <w:p w14:paraId="26C14BB6" w14:textId="77777777" w:rsidR="001B7421" w:rsidRPr="00FF416C" w:rsidRDefault="001B7421" w:rsidP="001B7421"/>
    <w:p w14:paraId="60825849" w14:textId="77777777" w:rsidR="00FE4AC8" w:rsidRPr="00FF416C" w:rsidRDefault="001B7421" w:rsidP="00FF416C">
      <w:pPr>
        <w:pStyle w:val="BodyText"/>
        <w:ind w:firstLine="720"/>
        <w:rPr>
          <w:rFonts w:ascii="Times New Roman" w:hAnsi="Times New Roman" w:cs="Times New Roman"/>
          <w:sz w:val="24"/>
        </w:rPr>
      </w:pPr>
      <w:r w:rsidRPr="00FF416C">
        <w:rPr>
          <w:rFonts w:ascii="Times New Roman" w:hAnsi="Times New Roman" w:cs="Times New Roman"/>
          <w:sz w:val="24"/>
        </w:rPr>
        <w:t xml:space="preserve">Respondents will not be asked to provide information that has been or is currently being collected by EPA, other federal or state agencies, or proprietary sources. The information collected by the </w:t>
      </w:r>
      <w:r w:rsidR="008D4C79" w:rsidRPr="00FF416C">
        <w:rPr>
          <w:rFonts w:ascii="Times New Roman" w:hAnsi="Times New Roman" w:cs="Times New Roman"/>
          <w:sz w:val="24"/>
        </w:rPr>
        <w:t>Safer Choice p</w:t>
      </w:r>
      <w:r w:rsidRPr="00FF416C">
        <w:rPr>
          <w:rFonts w:ascii="Times New Roman" w:hAnsi="Times New Roman" w:cs="Times New Roman"/>
          <w:sz w:val="24"/>
        </w:rPr>
        <w:t xml:space="preserve">rogram is unique and is not duplicative of previous information collection requests.  As due diligence, EPA also checked with trade associations and potential partners to confirm that the information being collected by the </w:t>
      </w:r>
      <w:r w:rsidR="008D4C79" w:rsidRPr="00FF416C">
        <w:rPr>
          <w:rFonts w:ascii="Times New Roman" w:hAnsi="Times New Roman" w:cs="Times New Roman"/>
          <w:sz w:val="24"/>
        </w:rPr>
        <w:t>Safer Choice p</w:t>
      </w:r>
      <w:r w:rsidRPr="00FF416C">
        <w:rPr>
          <w:rFonts w:ascii="Times New Roman" w:hAnsi="Times New Roman" w:cs="Times New Roman"/>
          <w:sz w:val="24"/>
        </w:rPr>
        <w:t>rogram does not exist elsewhere.</w:t>
      </w:r>
    </w:p>
    <w:p w14:paraId="0381DA31" w14:textId="77777777" w:rsidR="001B7421" w:rsidRPr="00FF416C" w:rsidRDefault="001B7421" w:rsidP="001B7421">
      <w:pPr>
        <w:pStyle w:val="BodyText"/>
        <w:rPr>
          <w:rFonts w:ascii="Times New Roman" w:hAnsi="Times New Roman" w:cs="Times New Roman"/>
          <w:sz w:val="24"/>
        </w:rPr>
      </w:pPr>
    </w:p>
    <w:p w14:paraId="279C2BF8"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17" w:name="_Toc227390376"/>
      <w:bookmarkStart w:id="18" w:name="_Toc442977105"/>
      <w:r w:rsidRPr="00FF416C">
        <w:rPr>
          <w:sz w:val="24"/>
          <w:szCs w:val="24"/>
        </w:rPr>
        <w:t>3(b)</w:t>
      </w:r>
      <w:r w:rsidRPr="00FF416C">
        <w:rPr>
          <w:sz w:val="24"/>
          <w:szCs w:val="24"/>
        </w:rPr>
        <w:tab/>
        <w:t>Public Notice Required Prior to ICR Submission to OMB</w:t>
      </w:r>
      <w:bookmarkEnd w:id="17"/>
      <w:bookmarkEnd w:id="18"/>
    </w:p>
    <w:p w14:paraId="2D4F9C57" w14:textId="77777777" w:rsidR="008559BE" w:rsidRPr="00FF416C" w:rsidRDefault="008559BE" w:rsidP="001B7421">
      <w:pPr>
        <w:rPr>
          <w:lang w:val="en-CA"/>
        </w:rPr>
      </w:pPr>
    </w:p>
    <w:p w14:paraId="622D87E0" w14:textId="77777777" w:rsidR="001B7421" w:rsidRDefault="0072337B" w:rsidP="0072337B">
      <w:pPr>
        <w:ind w:firstLine="720"/>
        <w:rPr>
          <w:lang w:val="en-CA"/>
        </w:rPr>
      </w:pPr>
      <w:r w:rsidRPr="0072337B">
        <w:rPr>
          <w:lang w:val="en-CA"/>
        </w:rPr>
        <w:t>EPA provided a 60-day public notice and comment period that ended on May 9, 2016 (81 FR 12097, March 8, 2016). EPA received no comments during the comment period.</w:t>
      </w:r>
    </w:p>
    <w:p w14:paraId="07C28727" w14:textId="77777777" w:rsidR="00E77F70" w:rsidRPr="00FF416C" w:rsidRDefault="00E77F70" w:rsidP="0072337B">
      <w:pPr>
        <w:ind w:firstLine="720"/>
        <w:rPr>
          <w:lang w:val="en-CA"/>
        </w:rPr>
      </w:pPr>
    </w:p>
    <w:p w14:paraId="4CC7906D"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19" w:name="_Toc227390377"/>
      <w:bookmarkStart w:id="20" w:name="_Toc442977106"/>
      <w:r w:rsidRPr="00FF416C">
        <w:rPr>
          <w:sz w:val="24"/>
          <w:szCs w:val="24"/>
        </w:rPr>
        <w:t>3(c)</w:t>
      </w:r>
      <w:r w:rsidRPr="00FF416C">
        <w:rPr>
          <w:sz w:val="24"/>
          <w:szCs w:val="24"/>
        </w:rPr>
        <w:tab/>
        <w:t>Consultations</w:t>
      </w:r>
      <w:bookmarkEnd w:id="19"/>
      <w:bookmarkEnd w:id="20"/>
    </w:p>
    <w:p w14:paraId="1EFC745A" w14:textId="77777777" w:rsidR="001B7421" w:rsidRPr="00FF416C" w:rsidRDefault="001B7421" w:rsidP="001B7421"/>
    <w:p w14:paraId="56085080" w14:textId="77777777" w:rsidR="001B7421" w:rsidRDefault="00E77F70" w:rsidP="00513DD2">
      <w:pPr>
        <w:ind w:firstLine="720"/>
      </w:pPr>
      <w:r w:rsidRPr="00E77F70">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t>three</w:t>
      </w:r>
      <w:r w:rsidRPr="00E77F70">
        <w:t xml:space="preserve"> parties via e-mail.</w:t>
      </w:r>
      <w:r>
        <w:t xml:space="preserve"> The individuals contacted were:</w:t>
      </w:r>
    </w:p>
    <w:p w14:paraId="180513FF" w14:textId="77777777" w:rsidR="003F7A49" w:rsidRDefault="003F7A49" w:rsidP="00513DD2">
      <w:pPr>
        <w:ind w:firstLine="720"/>
      </w:pPr>
    </w:p>
    <w:p w14:paraId="15DCDAC8" w14:textId="77777777" w:rsidR="009662E7" w:rsidRDefault="003F7A49" w:rsidP="00513DD2">
      <w:pPr>
        <w:ind w:firstLine="720"/>
      </w:pPr>
      <w:r>
        <w:t>Kathleen Stanton</w:t>
      </w:r>
      <w:r w:rsidR="009662E7">
        <w:t>, Director</w:t>
      </w:r>
    </w:p>
    <w:p w14:paraId="54C1E686" w14:textId="77777777" w:rsidR="003F7A49" w:rsidRDefault="009662E7" w:rsidP="00513DD2">
      <w:pPr>
        <w:ind w:firstLine="720"/>
      </w:pPr>
      <w:r w:rsidRPr="009662E7">
        <w:t>Technical and Regulatory Affairs</w:t>
      </w:r>
    </w:p>
    <w:p w14:paraId="2DB5818A" w14:textId="77777777" w:rsidR="003F7A49" w:rsidRDefault="009662E7" w:rsidP="00513DD2">
      <w:pPr>
        <w:ind w:firstLine="720"/>
      </w:pPr>
      <w:r>
        <w:t xml:space="preserve">American </w:t>
      </w:r>
      <w:r w:rsidR="003F7A49">
        <w:t>Cleaning Institute</w:t>
      </w:r>
    </w:p>
    <w:p w14:paraId="27376353" w14:textId="77777777" w:rsidR="003F7A49" w:rsidRDefault="003F7A49" w:rsidP="00513DD2">
      <w:pPr>
        <w:ind w:firstLine="720"/>
      </w:pPr>
      <w:r w:rsidRPr="003F7A49">
        <w:t>KStanton@cleaninginstitute.org</w:t>
      </w:r>
    </w:p>
    <w:p w14:paraId="12EA38FA" w14:textId="77777777" w:rsidR="00E77F70" w:rsidRDefault="00E77F70" w:rsidP="00513DD2">
      <w:pPr>
        <w:ind w:firstLine="720"/>
      </w:pPr>
    </w:p>
    <w:p w14:paraId="3E988FC9" w14:textId="77777777" w:rsidR="00CF589D" w:rsidRDefault="003F7A49" w:rsidP="00513DD2">
      <w:pPr>
        <w:ind w:firstLine="720"/>
      </w:pPr>
      <w:r>
        <w:t xml:space="preserve">Beth </w:t>
      </w:r>
      <w:r w:rsidR="00CF589D">
        <w:t xml:space="preserve">L. </w:t>
      </w:r>
      <w:r>
        <w:t>Law</w:t>
      </w:r>
      <w:r w:rsidR="00CF589D">
        <w:t>, Assistant General Counsel</w:t>
      </w:r>
    </w:p>
    <w:p w14:paraId="7DD0D800" w14:textId="77777777" w:rsidR="003F7A49" w:rsidRDefault="00CF589D" w:rsidP="00513DD2">
      <w:pPr>
        <w:ind w:firstLine="720"/>
      </w:pPr>
      <w:r w:rsidRPr="00CF589D">
        <w:t>V</w:t>
      </w:r>
      <w:r>
        <w:t xml:space="preserve">ice </w:t>
      </w:r>
      <w:r w:rsidRPr="00CF589D">
        <w:t>P</w:t>
      </w:r>
      <w:r>
        <w:t>resident,</w:t>
      </w:r>
      <w:r w:rsidRPr="00CF589D">
        <w:t xml:space="preserve"> Stewardship &amp; Sustainability</w:t>
      </w:r>
    </w:p>
    <w:p w14:paraId="4FFB6ADD" w14:textId="77777777" w:rsidR="00CF589D" w:rsidRDefault="00CF589D" w:rsidP="00513DD2">
      <w:pPr>
        <w:ind w:firstLine="720"/>
      </w:pPr>
      <w:r w:rsidRPr="00CF589D">
        <w:t>Consumer Specialty Products Association</w:t>
      </w:r>
    </w:p>
    <w:p w14:paraId="7B3F8BA7" w14:textId="77777777" w:rsidR="003F7A49" w:rsidRDefault="003F7A49" w:rsidP="00513DD2">
      <w:pPr>
        <w:ind w:firstLine="720"/>
      </w:pPr>
      <w:r w:rsidRPr="003F7A49">
        <w:t>BLaw@cspa.org</w:t>
      </w:r>
    </w:p>
    <w:p w14:paraId="4FDD9109" w14:textId="77777777" w:rsidR="003F7A49" w:rsidRDefault="003F7A49" w:rsidP="00513DD2">
      <w:pPr>
        <w:ind w:firstLine="720"/>
      </w:pPr>
    </w:p>
    <w:p w14:paraId="0211DA6B" w14:textId="77777777" w:rsidR="006A442E" w:rsidRDefault="003F7A49" w:rsidP="006A442E">
      <w:pPr>
        <w:ind w:firstLine="720"/>
      </w:pPr>
      <w:r>
        <w:t>Bill</w:t>
      </w:r>
      <w:r w:rsidR="006A442E">
        <w:t xml:space="preserve"> Balek</w:t>
      </w:r>
      <w:r w:rsidR="005C6E81">
        <w:t>, Director</w:t>
      </w:r>
    </w:p>
    <w:p w14:paraId="01F4EDAD" w14:textId="77777777" w:rsidR="003F7A49" w:rsidRDefault="006A442E" w:rsidP="006A442E">
      <w:pPr>
        <w:ind w:firstLine="720"/>
      </w:pPr>
      <w:r>
        <w:t>Legislative &amp; Environmental Services</w:t>
      </w:r>
    </w:p>
    <w:p w14:paraId="2C4EBF2C" w14:textId="77777777" w:rsidR="006A442E" w:rsidRDefault="006A442E" w:rsidP="00513DD2">
      <w:pPr>
        <w:ind w:firstLine="720"/>
      </w:pPr>
      <w:r>
        <w:t xml:space="preserve">ISSA - </w:t>
      </w:r>
      <w:r w:rsidRPr="006A442E">
        <w:t>The Worldwide</w:t>
      </w:r>
      <w:r>
        <w:t xml:space="preserve"> Cleaning Industry Association</w:t>
      </w:r>
    </w:p>
    <w:p w14:paraId="6408C3BC" w14:textId="77777777" w:rsidR="003F7A49" w:rsidRDefault="00470700" w:rsidP="00513DD2">
      <w:pPr>
        <w:ind w:firstLine="720"/>
      </w:pPr>
      <w:r>
        <w:t>bill</w:t>
      </w:r>
      <w:r w:rsidR="003F7A49" w:rsidRPr="003F7A49">
        <w:t>@issa.com</w:t>
      </w:r>
    </w:p>
    <w:p w14:paraId="3F49E3CE" w14:textId="77777777" w:rsidR="003F7A49" w:rsidRDefault="003F7A49" w:rsidP="00513DD2">
      <w:pPr>
        <w:ind w:firstLine="720"/>
      </w:pPr>
    </w:p>
    <w:p w14:paraId="10B52DE1" w14:textId="77777777" w:rsidR="00E77F70" w:rsidRDefault="00E77F70" w:rsidP="00E77F70">
      <w:pPr>
        <w:widowControl w:val="0"/>
        <w:autoSpaceDE w:val="0"/>
        <w:autoSpaceDN w:val="0"/>
        <w:adjustRightInd w:val="0"/>
        <w:ind w:firstLine="720"/>
      </w:pPr>
      <w:r w:rsidRPr="00E77F70">
        <w:t xml:space="preserve">EPA received no responses to its solicitation for consultations. A copy of EPA’s consultation e-mail to the above potential respondents is included in </w:t>
      </w:r>
      <w:r w:rsidRPr="003F7A49">
        <w:t xml:space="preserve">Attachment </w:t>
      </w:r>
      <w:r w:rsidR="003F7A49">
        <w:t>E</w:t>
      </w:r>
      <w:r w:rsidRPr="00E77F70">
        <w:t>.</w:t>
      </w:r>
    </w:p>
    <w:p w14:paraId="11ADD4A0" w14:textId="77777777" w:rsidR="00513DD2" w:rsidRPr="00FF416C" w:rsidRDefault="00513DD2" w:rsidP="006D4106">
      <w:pPr>
        <w:rPr>
          <w:highlight w:val="yellow"/>
        </w:rPr>
      </w:pPr>
    </w:p>
    <w:p w14:paraId="54C2C754"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21" w:name="_Toc227390378"/>
      <w:bookmarkStart w:id="22" w:name="_Toc442977107"/>
      <w:r w:rsidRPr="00FF416C">
        <w:rPr>
          <w:sz w:val="24"/>
          <w:szCs w:val="24"/>
        </w:rPr>
        <w:t>3(d)</w:t>
      </w:r>
      <w:r w:rsidRPr="00FF416C">
        <w:rPr>
          <w:sz w:val="24"/>
          <w:szCs w:val="24"/>
        </w:rPr>
        <w:tab/>
        <w:t>Effects of Less Frequent Collection</w:t>
      </w:r>
      <w:bookmarkEnd w:id="21"/>
      <w:bookmarkEnd w:id="22"/>
    </w:p>
    <w:p w14:paraId="4F65CD1D" w14:textId="77777777" w:rsidR="001B7421" w:rsidRPr="00FF416C" w:rsidRDefault="001B7421">
      <w:pPr>
        <w:rPr>
          <w:b/>
          <w:bCs/>
        </w:rPr>
      </w:pPr>
    </w:p>
    <w:p w14:paraId="0F7AA515" w14:textId="77777777" w:rsidR="001B7421" w:rsidRPr="00FF416C" w:rsidRDefault="00B10C9A" w:rsidP="002A6AE6">
      <w:pPr>
        <w:pStyle w:val="BodyText"/>
        <w:ind w:firstLine="720"/>
        <w:rPr>
          <w:rFonts w:ascii="Times New Roman" w:hAnsi="Times New Roman" w:cs="Times New Roman"/>
          <w:sz w:val="24"/>
        </w:rPr>
      </w:pPr>
      <w:r w:rsidRPr="00FF416C">
        <w:rPr>
          <w:rFonts w:ascii="Times New Roman" w:hAnsi="Times New Roman" w:cs="Times New Roman"/>
          <w:sz w:val="24"/>
        </w:rPr>
        <w:t>Safer Choice p</w:t>
      </w:r>
      <w:r w:rsidR="001B7421" w:rsidRPr="00FF416C">
        <w:rPr>
          <w:rFonts w:ascii="Times New Roman" w:hAnsi="Times New Roman" w:cs="Times New Roman"/>
          <w:sz w:val="24"/>
        </w:rPr>
        <w:t xml:space="preserve">rogram applications will be received on an ongoing basis over the three years covered by this ICR. The applications are designed to be one-time information submissions for organizations that wish to participate in the </w:t>
      </w:r>
      <w:r w:rsidRPr="00FF416C">
        <w:rPr>
          <w:rFonts w:ascii="Times New Roman" w:hAnsi="Times New Roman" w:cs="Times New Roman"/>
          <w:sz w:val="24"/>
        </w:rPr>
        <w:t>Safer Choice p</w:t>
      </w:r>
      <w:r w:rsidR="001B7421" w:rsidRPr="00FF416C">
        <w:rPr>
          <w:rFonts w:ascii="Times New Roman" w:hAnsi="Times New Roman" w:cs="Times New Roman"/>
          <w:sz w:val="24"/>
        </w:rPr>
        <w:t>rogram, with the opportunity to renew the partnership agreement at the end of the three-year partnership period</w:t>
      </w:r>
      <w:r w:rsidR="006D4106">
        <w:rPr>
          <w:rFonts w:ascii="Times New Roman" w:hAnsi="Times New Roman" w:cs="Times New Roman"/>
          <w:sz w:val="24"/>
        </w:rPr>
        <w:t xml:space="preserve">. </w:t>
      </w:r>
      <w:r w:rsidR="001B7421" w:rsidRPr="00FF416C">
        <w:rPr>
          <w:rFonts w:ascii="Times New Roman" w:hAnsi="Times New Roman" w:cs="Times New Roman"/>
          <w:sz w:val="24"/>
        </w:rPr>
        <w:t xml:space="preserve">This means that once every three years, the organization will submit a renewal application to confirm that no changes have been made to ingredients; this step is done in response to correspondence from </w:t>
      </w:r>
      <w:r w:rsidRPr="00FF416C">
        <w:rPr>
          <w:rFonts w:ascii="Times New Roman" w:hAnsi="Times New Roman" w:cs="Times New Roman"/>
          <w:sz w:val="24"/>
        </w:rPr>
        <w:t xml:space="preserve">Safer Choice </w:t>
      </w:r>
      <w:r w:rsidR="001B7421" w:rsidRPr="00FF416C">
        <w:rPr>
          <w:rFonts w:ascii="Times New Roman" w:hAnsi="Times New Roman" w:cs="Times New Roman"/>
          <w:sz w:val="24"/>
        </w:rPr>
        <w:t xml:space="preserve">that reminds organizations of the terms of their partnership agreements. Without this information collection mechanism, </w:t>
      </w:r>
      <w:r w:rsidRPr="00FF416C">
        <w:rPr>
          <w:rFonts w:ascii="Times New Roman" w:hAnsi="Times New Roman" w:cs="Times New Roman"/>
          <w:sz w:val="24"/>
        </w:rPr>
        <w:t xml:space="preserve">Safer Choice </w:t>
      </w:r>
      <w:r w:rsidR="001B7421" w:rsidRPr="00FF416C">
        <w:rPr>
          <w:rFonts w:ascii="Times New Roman" w:hAnsi="Times New Roman" w:cs="Times New Roman"/>
          <w:sz w:val="24"/>
        </w:rPr>
        <w:t>will not have the ability to assist formulators in developing safer, highly effective chemical products or to formally recognize formulators who have successfully done so.</w:t>
      </w:r>
    </w:p>
    <w:p w14:paraId="6F1BDE68" w14:textId="77777777" w:rsidR="001B7421" w:rsidRPr="00FF416C" w:rsidRDefault="001B7421">
      <w:pPr>
        <w:pStyle w:val="BodyText"/>
        <w:rPr>
          <w:rFonts w:ascii="Times New Roman" w:hAnsi="Times New Roman" w:cs="Times New Roman"/>
          <w:sz w:val="24"/>
        </w:rPr>
      </w:pPr>
    </w:p>
    <w:p w14:paraId="1B303C70"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23" w:name="_Toc227390379"/>
      <w:bookmarkStart w:id="24" w:name="_Toc442977108"/>
      <w:r w:rsidRPr="00FF416C">
        <w:rPr>
          <w:sz w:val="24"/>
          <w:szCs w:val="24"/>
        </w:rPr>
        <w:t>3(e)</w:t>
      </w:r>
      <w:r w:rsidRPr="00FF416C">
        <w:rPr>
          <w:sz w:val="24"/>
          <w:szCs w:val="24"/>
        </w:rPr>
        <w:tab/>
        <w:t>General Guidelines</w:t>
      </w:r>
      <w:bookmarkEnd w:id="23"/>
      <w:bookmarkEnd w:id="24"/>
    </w:p>
    <w:p w14:paraId="248B4385" w14:textId="77777777" w:rsidR="001B7421" w:rsidRPr="00FF416C" w:rsidRDefault="001B7421">
      <w:pPr>
        <w:rPr>
          <w:b/>
          <w:bCs/>
        </w:rPr>
      </w:pPr>
    </w:p>
    <w:p w14:paraId="0DAA0CF4" w14:textId="77777777" w:rsidR="001B7421" w:rsidRPr="00FF416C" w:rsidRDefault="001B7421" w:rsidP="002A6AE6">
      <w:pPr>
        <w:ind w:firstLine="720"/>
      </w:pPr>
      <w:r w:rsidRPr="00FF416C">
        <w:t>The information collection activities discussed in this ICR comply with all regulatory guidel</w:t>
      </w:r>
      <w:r w:rsidR="001C04B2">
        <w:t>ines under 5 CFR 1320.5(d)(2).</w:t>
      </w:r>
    </w:p>
    <w:p w14:paraId="4FBF92A1" w14:textId="77777777" w:rsidR="001B7421" w:rsidRPr="00FF416C" w:rsidRDefault="001B7421">
      <w:pPr>
        <w:rPr>
          <w:b/>
          <w:bCs/>
        </w:rPr>
      </w:pPr>
    </w:p>
    <w:p w14:paraId="036907DA"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25" w:name="_Toc227390380"/>
      <w:bookmarkStart w:id="26" w:name="_Toc442977109"/>
      <w:r w:rsidRPr="00FF416C">
        <w:rPr>
          <w:sz w:val="24"/>
          <w:szCs w:val="24"/>
        </w:rPr>
        <w:t>3(f)</w:t>
      </w:r>
      <w:r w:rsidRPr="00FF416C">
        <w:rPr>
          <w:sz w:val="24"/>
          <w:szCs w:val="24"/>
        </w:rPr>
        <w:tab/>
        <w:t>Confidentiality</w:t>
      </w:r>
      <w:bookmarkEnd w:id="25"/>
      <w:bookmarkEnd w:id="26"/>
    </w:p>
    <w:p w14:paraId="6F5EF61B" w14:textId="77777777" w:rsidR="001B7421" w:rsidRPr="00FF416C" w:rsidRDefault="001B7421">
      <w:pPr>
        <w:rPr>
          <w:b/>
          <w:bCs/>
        </w:rPr>
      </w:pPr>
    </w:p>
    <w:p w14:paraId="291467B1" w14:textId="77777777" w:rsidR="001B7421" w:rsidRPr="00FF416C" w:rsidRDefault="001B7421" w:rsidP="002A6AE6">
      <w:pPr>
        <w:ind w:firstLine="720"/>
      </w:pPr>
      <w:r w:rsidRPr="00FF416C">
        <w:t xml:space="preserve">Some information collected by EPA under the </w:t>
      </w:r>
      <w:r w:rsidR="00B10C9A" w:rsidRPr="00FF416C">
        <w:t>Safer Choice p</w:t>
      </w:r>
      <w:r w:rsidRPr="00FF416C">
        <w:t xml:space="preserve">rogram involves confidential business </w:t>
      </w:r>
      <w:r w:rsidR="00B10C9A" w:rsidRPr="00FF416C">
        <w:t xml:space="preserve">(CBI) </w:t>
      </w:r>
      <w:r w:rsidR="006D4106">
        <w:t xml:space="preserve">or trade secret information. </w:t>
      </w:r>
      <w:r w:rsidRPr="00FF416C">
        <w:t xml:space="preserve">The </w:t>
      </w:r>
      <w:r w:rsidR="00B10C9A" w:rsidRPr="00FF416C">
        <w:t>Safer Choice p</w:t>
      </w:r>
      <w:r w:rsidRPr="00FF416C">
        <w:t>rogram handles all information claimed as confidential business information in accordance with Agency confidentiality procedures (se</w:t>
      </w:r>
      <w:r w:rsidR="006D4106">
        <w:t xml:space="preserve">e 40 CFR part 2, subpart B). </w:t>
      </w:r>
      <w:r w:rsidRPr="00FF416C">
        <w:t xml:space="preserve">The </w:t>
      </w:r>
      <w:r w:rsidR="00B10C9A" w:rsidRPr="00FF416C">
        <w:t>Safer Choice p</w:t>
      </w:r>
      <w:r w:rsidRPr="00FF416C">
        <w:t>rogram uses information provided by formulators solely for purposes related to forming the partnership and discloses the information only to EPA employees and EPA contractors cleared for confidential information with a specific need to know.</w:t>
      </w:r>
    </w:p>
    <w:p w14:paraId="0EDAAAC6" w14:textId="77777777" w:rsidR="001B7421" w:rsidRPr="00FF416C" w:rsidRDefault="001B7421" w:rsidP="001B7421"/>
    <w:p w14:paraId="75D62D9E" w14:textId="77777777" w:rsidR="001B7421" w:rsidRPr="00FF416C" w:rsidRDefault="001B7421" w:rsidP="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27" w:name="_Toc227390381"/>
      <w:bookmarkStart w:id="28" w:name="_Toc442977110"/>
      <w:r w:rsidRPr="00FF416C">
        <w:rPr>
          <w:sz w:val="24"/>
          <w:szCs w:val="24"/>
        </w:rPr>
        <w:t>3(g)</w:t>
      </w:r>
      <w:r w:rsidRPr="00FF416C">
        <w:rPr>
          <w:sz w:val="24"/>
          <w:szCs w:val="24"/>
        </w:rPr>
        <w:tab/>
        <w:t>Sensitive Questions</w:t>
      </w:r>
      <w:bookmarkEnd w:id="27"/>
      <w:bookmarkEnd w:id="28"/>
    </w:p>
    <w:p w14:paraId="34A0EF60" w14:textId="77777777" w:rsidR="001B7421" w:rsidRPr="00FF416C" w:rsidRDefault="001B7421">
      <w:pPr>
        <w:rPr>
          <w:b/>
          <w:bCs/>
        </w:rPr>
      </w:pPr>
    </w:p>
    <w:p w14:paraId="1D0BFBC9" w14:textId="77777777" w:rsidR="006D1951" w:rsidRPr="00FF416C" w:rsidRDefault="001B7421" w:rsidP="00513DD2">
      <w:pPr>
        <w:ind w:firstLine="720"/>
      </w:pPr>
      <w:r w:rsidRPr="00FF416C">
        <w:t>The information collection activities do</w:t>
      </w:r>
      <w:r w:rsidR="006267EA">
        <w:t>es</w:t>
      </w:r>
      <w:r w:rsidRPr="00FF416C">
        <w:t xml:space="preserve"> not involve any sensitive questions.</w:t>
      </w:r>
    </w:p>
    <w:p w14:paraId="6FC7138D" w14:textId="77777777" w:rsidR="006D1951" w:rsidRPr="00FF416C" w:rsidRDefault="006D1951"/>
    <w:p w14:paraId="4345F7A4" w14:textId="77777777" w:rsidR="001B7421" w:rsidRPr="00FF416C" w:rsidRDefault="001B7421">
      <w:pPr>
        <w:rPr>
          <w:b/>
          <w:bCs/>
        </w:rPr>
      </w:pPr>
    </w:p>
    <w:p w14:paraId="6E3A2C50" w14:textId="77777777" w:rsidR="001B7421" w:rsidRPr="00FF416C" w:rsidRDefault="001B7421">
      <w:pPr>
        <w:pStyle w:val="Heading1"/>
      </w:pPr>
      <w:r w:rsidRPr="00FF416C">
        <w:rPr>
          <w:lang w:val="en-CA"/>
        </w:rPr>
        <w:fldChar w:fldCharType="begin"/>
      </w:r>
      <w:r w:rsidRPr="00FF416C">
        <w:rPr>
          <w:lang w:val="en-CA"/>
        </w:rPr>
        <w:instrText xml:space="preserve"> SEQ CHAPTER \h \r 1</w:instrText>
      </w:r>
      <w:r w:rsidRPr="00FF416C">
        <w:rPr>
          <w:lang w:val="en-CA"/>
        </w:rPr>
        <w:fldChar w:fldCharType="end"/>
      </w:r>
      <w:bookmarkStart w:id="29" w:name="_Toc227390382"/>
      <w:bookmarkStart w:id="30" w:name="_Toc442977111"/>
      <w:r w:rsidRPr="00FF416C">
        <w:t>4.</w:t>
      </w:r>
      <w:r w:rsidRPr="00FF416C">
        <w:tab/>
        <w:t>THE RESPONDENTS AND THE INFORMATION REQUESTED</w:t>
      </w:r>
      <w:bookmarkEnd w:id="29"/>
      <w:bookmarkEnd w:id="30"/>
    </w:p>
    <w:p w14:paraId="48C2DBD1" w14:textId="77777777" w:rsidR="001B7421" w:rsidRPr="00FF416C" w:rsidRDefault="001B7421"/>
    <w:p w14:paraId="7677CA59" w14:textId="77777777" w:rsidR="001B7421" w:rsidRPr="00FF416C" w:rsidRDefault="001B7421">
      <w:pPr>
        <w:pStyle w:val="Heading2"/>
        <w:jc w:val="left"/>
        <w:rPr>
          <w:sz w:val="24"/>
          <w:szCs w:val="24"/>
        </w:rPr>
      </w:pPr>
      <w:r w:rsidRPr="00FF416C">
        <w:rPr>
          <w:sz w:val="24"/>
          <w:szCs w:val="24"/>
        </w:rPr>
        <w:tab/>
      </w:r>
      <w:bookmarkStart w:id="31" w:name="_Toc227390383"/>
      <w:bookmarkStart w:id="32" w:name="_Toc442977112"/>
      <w:r w:rsidRPr="00FF416C">
        <w:rPr>
          <w:sz w:val="24"/>
          <w:szCs w:val="24"/>
        </w:rPr>
        <w:t>4(a)</w:t>
      </w:r>
      <w:r w:rsidRPr="00FF416C">
        <w:rPr>
          <w:sz w:val="24"/>
          <w:szCs w:val="24"/>
        </w:rPr>
        <w:tab/>
        <w:t>Respondents and NAICS Codes</w:t>
      </w:r>
      <w:bookmarkEnd w:id="31"/>
      <w:bookmarkEnd w:id="32"/>
    </w:p>
    <w:p w14:paraId="6C9AA7F9" w14:textId="77777777" w:rsidR="001B7421" w:rsidRPr="00FF416C" w:rsidRDefault="001B7421"/>
    <w:p w14:paraId="042AEE2D" w14:textId="77777777" w:rsidR="001B7421" w:rsidRPr="00FF416C" w:rsidRDefault="001B7421" w:rsidP="002A6AE6">
      <w:pPr>
        <w:pStyle w:val="BodyText"/>
        <w:ind w:firstLine="720"/>
        <w:rPr>
          <w:rFonts w:ascii="Times New Roman" w:hAnsi="Times New Roman" w:cs="Times New Roman"/>
          <w:sz w:val="24"/>
        </w:rPr>
      </w:pPr>
      <w:r w:rsidRPr="00FF416C">
        <w:rPr>
          <w:rFonts w:ascii="Times New Roman" w:hAnsi="Times New Roman" w:cs="Times New Roman"/>
          <w:sz w:val="24"/>
        </w:rPr>
        <w:t xml:space="preserve">The </w:t>
      </w:r>
      <w:r w:rsidR="00B10C9A" w:rsidRPr="00FF416C">
        <w:rPr>
          <w:rFonts w:ascii="Times New Roman" w:hAnsi="Times New Roman" w:cs="Times New Roman"/>
          <w:sz w:val="24"/>
        </w:rPr>
        <w:t>Safer Choice p</w:t>
      </w:r>
      <w:r w:rsidRPr="00FF416C">
        <w:rPr>
          <w:rFonts w:ascii="Times New Roman" w:hAnsi="Times New Roman" w:cs="Times New Roman"/>
          <w:sz w:val="24"/>
        </w:rPr>
        <w:t>rogram seeks partners from establishments engaged in the formulation of end-us</w:t>
      </w:r>
      <w:r w:rsidR="001C04B2">
        <w:rPr>
          <w:rFonts w:ascii="Times New Roman" w:hAnsi="Times New Roman" w:cs="Times New Roman"/>
          <w:sz w:val="24"/>
        </w:rPr>
        <w:t>e, for-sale chemical products.</w:t>
      </w:r>
    </w:p>
    <w:p w14:paraId="7DFFEB6B" w14:textId="77777777" w:rsidR="001B7421" w:rsidRPr="00FF416C" w:rsidRDefault="001B7421">
      <w:pPr>
        <w:rPr>
          <w:b/>
          <w:bCs/>
        </w:rPr>
      </w:pPr>
    </w:p>
    <w:p w14:paraId="5DF7551D" w14:textId="77777777" w:rsidR="001B7421" w:rsidRDefault="001B7421" w:rsidP="002A6AE6">
      <w:pPr>
        <w:ind w:firstLine="720"/>
      </w:pPr>
      <w:r w:rsidRPr="00FF416C">
        <w:t xml:space="preserve">Below is a list of </w:t>
      </w:r>
      <w:r w:rsidR="004A2A50" w:rsidRPr="00FF416C">
        <w:t xml:space="preserve">representative </w:t>
      </w:r>
      <w:r w:rsidRPr="00FF416C">
        <w:t xml:space="preserve">North American Industry Classification System (NAICS) codes and associated industries that may be affected by information collection requirements covered under this ICR. This list is intended to be illustrative; entities from other industries may elect to apply for recognition through the </w:t>
      </w:r>
      <w:r w:rsidR="00B10C9A" w:rsidRPr="00FF416C">
        <w:t>Safer Choice p</w:t>
      </w:r>
      <w:r w:rsidRPr="00FF416C">
        <w:t>rogram. However, EPA expects that most applications will come from the following industries:</w:t>
      </w:r>
    </w:p>
    <w:p w14:paraId="74893371" w14:textId="77777777" w:rsidR="00861845" w:rsidRDefault="00861845" w:rsidP="006D4106"/>
    <w:p w14:paraId="4E876432" w14:textId="77777777" w:rsidR="00861845" w:rsidRDefault="00861845" w:rsidP="002A6AE6">
      <w:pPr>
        <w:ind w:firstLine="720"/>
      </w:pPr>
      <w:r>
        <w:rPr>
          <w:u w:val="single"/>
        </w:rPr>
        <w:t>NAICS Code</w:t>
      </w:r>
      <w:r>
        <w:tab/>
      </w:r>
      <w:r>
        <w:rPr>
          <w:u w:val="single"/>
        </w:rPr>
        <w:t>Affected Industry</w:t>
      </w:r>
    </w:p>
    <w:p w14:paraId="3B1BAC9A" w14:textId="77777777" w:rsidR="00861845" w:rsidRDefault="00861845" w:rsidP="00861845">
      <w:pPr>
        <w:ind w:firstLine="720"/>
      </w:pPr>
      <w:r>
        <w:t>325510</w:t>
      </w:r>
      <w:r>
        <w:tab/>
      </w:r>
      <w:r w:rsidRPr="00861845">
        <w:t>Paint and Coating Manufacturing</w:t>
      </w:r>
    </w:p>
    <w:p w14:paraId="2FB97300" w14:textId="77777777" w:rsidR="00861845" w:rsidRDefault="00861845" w:rsidP="00861845">
      <w:pPr>
        <w:ind w:firstLine="720"/>
      </w:pPr>
      <w:r>
        <w:t>325611</w:t>
      </w:r>
      <w:r>
        <w:tab/>
      </w:r>
      <w:r w:rsidRPr="00861845">
        <w:t>Soap and Other Detergent Manufacturing</w:t>
      </w:r>
    </w:p>
    <w:p w14:paraId="787DA5C8" w14:textId="77777777" w:rsidR="00861845" w:rsidRDefault="00861845" w:rsidP="00861845">
      <w:pPr>
        <w:ind w:firstLine="720"/>
      </w:pPr>
      <w:r>
        <w:t>325612</w:t>
      </w:r>
      <w:r>
        <w:tab/>
      </w:r>
      <w:r w:rsidRPr="00861845">
        <w:t>Polish and Other Sanitation Good Manufacturing</w:t>
      </w:r>
    </w:p>
    <w:p w14:paraId="074DE13F" w14:textId="77777777" w:rsidR="00861845" w:rsidRDefault="00861845" w:rsidP="00861845">
      <w:pPr>
        <w:ind w:firstLine="720"/>
      </w:pPr>
      <w:r>
        <w:t>325910</w:t>
      </w:r>
      <w:r>
        <w:tab/>
      </w:r>
      <w:r w:rsidRPr="00861845">
        <w:t>Printing Ink Manufacturing</w:t>
      </w:r>
    </w:p>
    <w:p w14:paraId="51C6DD77" w14:textId="77777777" w:rsidR="00861845" w:rsidRDefault="00861845" w:rsidP="00861845">
      <w:pPr>
        <w:ind w:firstLine="720"/>
      </w:pPr>
      <w:r>
        <w:t>325992</w:t>
      </w:r>
      <w:r>
        <w:tab/>
      </w:r>
      <w:r w:rsidRPr="00861845">
        <w:t>Photographic Film, Paper, Plate, and Chemical Manufacturing</w:t>
      </w:r>
    </w:p>
    <w:p w14:paraId="552B052E" w14:textId="77777777" w:rsidR="00861845" w:rsidRPr="00861845" w:rsidRDefault="00861845" w:rsidP="00861845">
      <w:pPr>
        <w:ind w:firstLine="720"/>
      </w:pPr>
      <w:r>
        <w:t>325998</w:t>
      </w:r>
      <w:r>
        <w:tab/>
      </w:r>
      <w:r w:rsidRPr="00861845">
        <w:t>All Other Miscellaneous Ch</w:t>
      </w:r>
      <w:r>
        <w:t xml:space="preserve">emical Product and Preparation </w:t>
      </w:r>
      <w:r w:rsidRPr="00861845">
        <w:t>Manufacturing</w:t>
      </w:r>
    </w:p>
    <w:p w14:paraId="6E72A594" w14:textId="77777777" w:rsidR="0040595D" w:rsidRDefault="0040595D">
      <w:pPr>
        <w:pStyle w:val="Heading2"/>
        <w:jc w:val="left"/>
        <w:rPr>
          <w:sz w:val="24"/>
          <w:szCs w:val="24"/>
        </w:rPr>
      </w:pPr>
      <w:bookmarkStart w:id="33" w:name="_Toc227390384"/>
      <w:bookmarkStart w:id="34" w:name="_Toc442977113"/>
    </w:p>
    <w:p w14:paraId="3F46FFE0" w14:textId="77777777" w:rsidR="001B7421" w:rsidRPr="00FF416C" w:rsidRDefault="0040595D" w:rsidP="0040595D">
      <w:pPr>
        <w:pStyle w:val="Heading2"/>
        <w:ind w:firstLine="720"/>
        <w:jc w:val="left"/>
        <w:rPr>
          <w:sz w:val="24"/>
          <w:szCs w:val="24"/>
        </w:rPr>
      </w:pPr>
      <w:r w:rsidRPr="00FF416C">
        <w:rPr>
          <w:sz w:val="24"/>
          <w:szCs w:val="24"/>
        </w:rPr>
        <w:t>4(b)</w:t>
      </w:r>
      <w:r w:rsidR="001B7421" w:rsidRPr="00FF416C">
        <w:rPr>
          <w:sz w:val="24"/>
          <w:szCs w:val="24"/>
        </w:rPr>
        <w:tab/>
        <w:t>Information Requested</w:t>
      </w:r>
      <w:bookmarkEnd w:id="33"/>
      <w:bookmarkEnd w:id="34"/>
    </w:p>
    <w:p w14:paraId="21D2F770" w14:textId="77777777" w:rsidR="001B7421" w:rsidRPr="00FF416C" w:rsidRDefault="001B7421"/>
    <w:p w14:paraId="356B4CF8" w14:textId="77777777" w:rsidR="001B7421" w:rsidRPr="00FF416C" w:rsidRDefault="001B7421" w:rsidP="002A6AE6">
      <w:pPr>
        <w:pStyle w:val="BodyText"/>
        <w:ind w:firstLine="720"/>
        <w:rPr>
          <w:rFonts w:ascii="Times New Roman" w:hAnsi="Times New Roman" w:cs="Times New Roman"/>
          <w:sz w:val="24"/>
        </w:rPr>
      </w:pPr>
      <w:r w:rsidRPr="00FF416C">
        <w:rPr>
          <w:rFonts w:ascii="Times New Roman" w:hAnsi="Times New Roman" w:cs="Times New Roman"/>
          <w:sz w:val="24"/>
        </w:rPr>
        <w:t xml:space="preserve">Once a company with an interest in partnership with the </w:t>
      </w:r>
      <w:r w:rsidR="00B10C9A" w:rsidRPr="00FF416C">
        <w:rPr>
          <w:rFonts w:ascii="Times New Roman" w:hAnsi="Times New Roman" w:cs="Times New Roman"/>
          <w:sz w:val="24"/>
        </w:rPr>
        <w:t>Safer Choice p</w:t>
      </w:r>
      <w:r w:rsidRPr="00FF416C">
        <w:rPr>
          <w:rFonts w:ascii="Times New Roman" w:hAnsi="Times New Roman" w:cs="Times New Roman"/>
          <w:sz w:val="24"/>
        </w:rPr>
        <w:t>rogram reviews the program materials and decides to apply, the next step for the organization is to submi</w:t>
      </w:r>
      <w:r w:rsidR="008F4212">
        <w:rPr>
          <w:rFonts w:ascii="Times New Roman" w:hAnsi="Times New Roman" w:cs="Times New Roman"/>
          <w:sz w:val="24"/>
        </w:rPr>
        <w:t>t the appropriate application.</w:t>
      </w:r>
    </w:p>
    <w:p w14:paraId="7074924B" w14:textId="77777777" w:rsidR="001B7421" w:rsidRPr="00FF416C" w:rsidRDefault="001B7421">
      <w:pPr>
        <w:numPr>
          <w:ilvl w:val="0"/>
          <w:numId w:val="1"/>
        </w:numPr>
      </w:pPr>
      <w:r w:rsidRPr="00FF416C">
        <w:rPr>
          <w:u w:val="single"/>
        </w:rPr>
        <w:t>Data items</w:t>
      </w:r>
      <w:r w:rsidRPr="00FF416C">
        <w:t>:</w:t>
      </w:r>
    </w:p>
    <w:p w14:paraId="431D3D09" w14:textId="77777777" w:rsidR="001B7421" w:rsidRPr="00FF416C" w:rsidRDefault="001B7421" w:rsidP="006D4106"/>
    <w:p w14:paraId="53BB4A6D" w14:textId="77777777" w:rsidR="001B7421" w:rsidRPr="00FF416C" w:rsidRDefault="001B7421" w:rsidP="002A6AE6">
      <w:pPr>
        <w:ind w:firstLine="720"/>
      </w:pPr>
      <w:r w:rsidRPr="00FF416C">
        <w:t>Applicants for this voluntary program submit information items that vary depend</w:t>
      </w:r>
      <w:r w:rsidR="008F4212">
        <w:t xml:space="preserve">ing upon the class of product. </w:t>
      </w:r>
      <w:r w:rsidRPr="00FF416C">
        <w:t>The items include:</w:t>
      </w:r>
    </w:p>
    <w:p w14:paraId="53230E5D" w14:textId="77777777" w:rsidR="001B7421" w:rsidRPr="00FF416C" w:rsidRDefault="001B7421">
      <w:pPr>
        <w:rPr>
          <w:b/>
        </w:rPr>
      </w:pPr>
    </w:p>
    <w:p w14:paraId="02EAECAA" w14:textId="77777777" w:rsidR="001B7421" w:rsidRPr="00FF416C" w:rsidRDefault="001B7421" w:rsidP="002A6AE6">
      <w:pPr>
        <w:ind w:firstLine="720"/>
        <w:rPr>
          <w:b/>
        </w:rPr>
      </w:pPr>
      <w:r w:rsidRPr="00FF416C">
        <w:rPr>
          <w:b/>
        </w:rPr>
        <w:t>Partnership Applications</w:t>
      </w:r>
    </w:p>
    <w:p w14:paraId="0985F84C" w14:textId="77777777" w:rsidR="001B7421" w:rsidRPr="00FF416C" w:rsidRDefault="001B7421" w:rsidP="001B7421">
      <w:pPr>
        <w:pStyle w:val="BodyText"/>
        <w:rPr>
          <w:rFonts w:ascii="Times New Roman" w:hAnsi="Times New Roman" w:cs="Times New Roman"/>
          <w:sz w:val="24"/>
        </w:rPr>
      </w:pPr>
    </w:p>
    <w:p w14:paraId="73933A79" w14:textId="77777777" w:rsidR="001B7421" w:rsidRPr="00FF416C" w:rsidRDefault="009D726C" w:rsidP="002A6AE6">
      <w:pPr>
        <w:pStyle w:val="BodyText"/>
        <w:ind w:firstLine="720"/>
        <w:rPr>
          <w:rFonts w:ascii="Times New Roman" w:hAnsi="Times New Roman" w:cs="Times New Roman"/>
          <w:sz w:val="24"/>
        </w:rPr>
      </w:pPr>
      <w:r w:rsidRPr="00FF416C">
        <w:rPr>
          <w:rFonts w:ascii="Times New Roman" w:hAnsi="Times New Roman" w:cs="Times New Roman"/>
          <w:sz w:val="24"/>
        </w:rPr>
        <w:t>P</w:t>
      </w:r>
      <w:r w:rsidR="001B7421" w:rsidRPr="00FF416C">
        <w:rPr>
          <w:rFonts w:ascii="Times New Roman" w:hAnsi="Times New Roman" w:cs="Times New Roman"/>
          <w:sz w:val="24"/>
        </w:rPr>
        <w:t xml:space="preserve">roduct manufacturers will submit ingredient information, as described here, </w:t>
      </w:r>
      <w:r w:rsidR="009F5C4C" w:rsidRPr="00FF416C">
        <w:rPr>
          <w:rFonts w:ascii="Times New Roman" w:hAnsi="Times New Roman" w:cs="Times New Roman"/>
          <w:sz w:val="24"/>
        </w:rPr>
        <w:t xml:space="preserve">through a cloud-based Salesforce system, </w:t>
      </w:r>
      <w:r w:rsidR="001B7421" w:rsidRPr="00FF416C">
        <w:rPr>
          <w:rFonts w:ascii="Times New Roman" w:hAnsi="Times New Roman" w:cs="Times New Roman"/>
          <w:sz w:val="24"/>
        </w:rPr>
        <w:t>to a qualified third-party profiler before submittal to EPA</w:t>
      </w:r>
      <w:r w:rsidR="009F5C4C" w:rsidRPr="00FF416C">
        <w:rPr>
          <w:rFonts w:ascii="Times New Roman" w:hAnsi="Times New Roman" w:cs="Times New Roman"/>
          <w:sz w:val="24"/>
        </w:rPr>
        <w:t xml:space="preserve"> (see Attachment B).</w:t>
      </w:r>
    </w:p>
    <w:p w14:paraId="723733FF" w14:textId="77777777" w:rsidR="00A8297E" w:rsidRDefault="00A8297E">
      <w:pPr>
        <w:rPr>
          <w:i/>
        </w:rPr>
      </w:pPr>
    </w:p>
    <w:p w14:paraId="4AD2BEE3" w14:textId="77777777" w:rsidR="001B7421" w:rsidRPr="00FF416C" w:rsidRDefault="001B7421" w:rsidP="001B7421">
      <w:pPr>
        <w:ind w:firstLine="720"/>
      </w:pPr>
      <w:r w:rsidRPr="00A8297E">
        <w:rPr>
          <w:i/>
        </w:rPr>
        <w:t xml:space="preserve">Information submitted to </w:t>
      </w:r>
      <w:r w:rsidR="00E4115E" w:rsidRPr="00A8297E">
        <w:rPr>
          <w:i/>
        </w:rPr>
        <w:t>third-</w:t>
      </w:r>
      <w:r w:rsidRPr="00A8297E">
        <w:rPr>
          <w:i/>
        </w:rPr>
        <w:t>part</w:t>
      </w:r>
      <w:r w:rsidR="00E4115E" w:rsidRPr="00A8297E">
        <w:rPr>
          <w:i/>
        </w:rPr>
        <w:t>y profilers</w:t>
      </w:r>
      <w:r w:rsidRPr="00FF416C">
        <w:t>:</w:t>
      </w:r>
    </w:p>
    <w:p w14:paraId="11F1F10B" w14:textId="77777777" w:rsidR="001B7421" w:rsidRPr="00FF416C" w:rsidRDefault="001B7421" w:rsidP="001B7421">
      <w:pPr>
        <w:numPr>
          <w:ilvl w:val="0"/>
          <w:numId w:val="2"/>
        </w:numPr>
      </w:pPr>
      <w:r w:rsidRPr="00FF416C">
        <w:t>Company name and Web site URL;</w:t>
      </w:r>
    </w:p>
    <w:p w14:paraId="09B90007" w14:textId="77777777" w:rsidR="00D972B8" w:rsidRPr="00FF416C" w:rsidRDefault="00D972B8" w:rsidP="00D972B8">
      <w:pPr>
        <w:numPr>
          <w:ilvl w:val="0"/>
          <w:numId w:val="2"/>
        </w:numPr>
      </w:pPr>
      <w:r w:rsidRPr="00FF416C">
        <w:t>Number of employees;</w:t>
      </w:r>
    </w:p>
    <w:p w14:paraId="1942B588" w14:textId="77777777" w:rsidR="00D972B8" w:rsidRPr="00FF416C" w:rsidRDefault="00D972B8" w:rsidP="001B7421">
      <w:pPr>
        <w:numPr>
          <w:ilvl w:val="0"/>
          <w:numId w:val="2"/>
        </w:numPr>
      </w:pPr>
      <w:r w:rsidRPr="00FF416C">
        <w:t>Company headquarters address and manufacturing address;</w:t>
      </w:r>
    </w:p>
    <w:p w14:paraId="2F3AE398" w14:textId="77777777" w:rsidR="001B7421" w:rsidRPr="00FF416C" w:rsidRDefault="001B7421" w:rsidP="001B7421">
      <w:pPr>
        <w:numPr>
          <w:ilvl w:val="0"/>
          <w:numId w:val="2"/>
        </w:numPr>
      </w:pPr>
      <w:r w:rsidRPr="00FF416C">
        <w:t xml:space="preserve">Name, title, phone number, and e-mail address of the candidate’s </w:t>
      </w:r>
      <w:r w:rsidR="0062417D" w:rsidRPr="00FF416C">
        <w:t xml:space="preserve">signatory </w:t>
      </w:r>
      <w:r w:rsidRPr="00FF416C">
        <w:t>contact person</w:t>
      </w:r>
      <w:r w:rsidR="0062417D" w:rsidRPr="00FF416C">
        <w:t xml:space="preserve"> (e.g., CEO, or vice president for health and environment)</w:t>
      </w:r>
      <w:r w:rsidRPr="00FF416C">
        <w:t>;</w:t>
      </w:r>
    </w:p>
    <w:p w14:paraId="013A191C" w14:textId="77777777" w:rsidR="001B7421" w:rsidRPr="00FF416C" w:rsidRDefault="0062417D" w:rsidP="001B7421">
      <w:pPr>
        <w:numPr>
          <w:ilvl w:val="0"/>
          <w:numId w:val="2"/>
        </w:numPr>
      </w:pPr>
      <w:r w:rsidRPr="00FF416C">
        <w:t>N</w:t>
      </w:r>
      <w:r w:rsidR="001B7421" w:rsidRPr="00FF416C">
        <w:t>ame, title</w:t>
      </w:r>
      <w:r w:rsidRPr="00FF416C">
        <w:t>, phone number, and e-mail address</w:t>
      </w:r>
      <w:r w:rsidR="001B7421" w:rsidRPr="00FF416C">
        <w:t xml:space="preserve"> of </w:t>
      </w:r>
      <w:r w:rsidRPr="00FF416C">
        <w:t>candidate’s technical contact person</w:t>
      </w:r>
      <w:r w:rsidR="001B7421" w:rsidRPr="00FF416C">
        <w:t>;</w:t>
      </w:r>
    </w:p>
    <w:p w14:paraId="2CE20750" w14:textId="77777777" w:rsidR="0062417D" w:rsidRPr="00FF416C" w:rsidRDefault="0062417D" w:rsidP="0062417D">
      <w:pPr>
        <w:numPr>
          <w:ilvl w:val="0"/>
          <w:numId w:val="2"/>
        </w:numPr>
      </w:pPr>
      <w:r w:rsidRPr="00FF416C">
        <w:t>Name, title, phone number, and e-mail address of candidate’s marketing/outreach contact person;</w:t>
      </w:r>
    </w:p>
    <w:p w14:paraId="763F4E1E" w14:textId="77777777" w:rsidR="0062417D" w:rsidRPr="00FF416C" w:rsidRDefault="0062417D" w:rsidP="0062417D">
      <w:pPr>
        <w:numPr>
          <w:ilvl w:val="0"/>
          <w:numId w:val="2"/>
        </w:numPr>
      </w:pPr>
      <w:r w:rsidRPr="00FF416C">
        <w:t>Product information (name</w:t>
      </w:r>
      <w:r w:rsidR="009F5C4C" w:rsidRPr="00FF416C">
        <w:t>(s)</w:t>
      </w:r>
      <w:r w:rsidRPr="00FF416C">
        <w:t xml:space="preserve">, UPC, </w:t>
      </w:r>
      <w:r w:rsidR="009F5C4C" w:rsidRPr="00FF416C">
        <w:t xml:space="preserve">GSA number, </w:t>
      </w:r>
      <w:r w:rsidRPr="00FF416C">
        <w:t xml:space="preserve">sector, production volume, pH, </w:t>
      </w:r>
      <w:r w:rsidR="00C306CE" w:rsidRPr="00FF416C">
        <w:t xml:space="preserve">flashpoint, </w:t>
      </w:r>
      <w:r w:rsidRPr="00FF416C">
        <w:t>product form</w:t>
      </w:r>
      <w:r w:rsidR="009F5C4C" w:rsidRPr="00FF416C">
        <w:t>, product use</w:t>
      </w:r>
      <w:r w:rsidRPr="00FF416C">
        <w:t>);</w:t>
      </w:r>
    </w:p>
    <w:p w14:paraId="75A4DA3B" w14:textId="77777777" w:rsidR="0062417D" w:rsidRPr="00FF416C" w:rsidRDefault="0062417D" w:rsidP="0062417D">
      <w:pPr>
        <w:numPr>
          <w:ilvl w:val="0"/>
          <w:numId w:val="2"/>
        </w:numPr>
      </w:pPr>
      <w:r w:rsidRPr="00FF416C">
        <w:t>Product characteristics on whether or not the product is:</w:t>
      </w:r>
    </w:p>
    <w:p w14:paraId="5054FF4C" w14:textId="77777777" w:rsidR="0062417D" w:rsidRPr="00FF416C" w:rsidRDefault="0062417D" w:rsidP="00D146C4">
      <w:pPr>
        <w:numPr>
          <w:ilvl w:val="1"/>
          <w:numId w:val="2"/>
        </w:numPr>
      </w:pPr>
      <w:r w:rsidRPr="00FF416C">
        <w:t>An EPA registered pesticide</w:t>
      </w:r>
      <w:r w:rsidR="000B0B0C" w:rsidRPr="00FF416C">
        <w:t>;</w:t>
      </w:r>
    </w:p>
    <w:p w14:paraId="67D2D5CE" w14:textId="77777777" w:rsidR="0062417D" w:rsidRPr="00FF416C" w:rsidRDefault="0062417D" w:rsidP="00D146C4">
      <w:pPr>
        <w:numPr>
          <w:ilvl w:val="1"/>
          <w:numId w:val="2"/>
        </w:numPr>
      </w:pPr>
      <w:r w:rsidRPr="00FF416C">
        <w:t>A direct release product</w:t>
      </w:r>
      <w:r w:rsidR="000B0B0C" w:rsidRPr="00FF416C">
        <w:t>;</w:t>
      </w:r>
    </w:p>
    <w:p w14:paraId="1E613FD1" w14:textId="77777777" w:rsidR="0062417D" w:rsidRPr="00FF416C" w:rsidRDefault="0062417D" w:rsidP="00D146C4">
      <w:pPr>
        <w:numPr>
          <w:ilvl w:val="1"/>
          <w:numId w:val="2"/>
        </w:numPr>
      </w:pPr>
      <w:r w:rsidRPr="00FF416C">
        <w:t>A concentrate</w:t>
      </w:r>
      <w:r w:rsidR="000B0B0C" w:rsidRPr="00FF416C">
        <w:t>;</w:t>
      </w:r>
    </w:p>
    <w:p w14:paraId="13D9F1B2" w14:textId="77777777" w:rsidR="0062417D" w:rsidRPr="00FF416C" w:rsidRDefault="0062417D" w:rsidP="00D146C4">
      <w:pPr>
        <w:numPr>
          <w:ilvl w:val="1"/>
          <w:numId w:val="2"/>
        </w:numPr>
      </w:pPr>
      <w:r w:rsidRPr="00FF416C">
        <w:t>Contains enzymes, fragrance, or VOCs</w:t>
      </w:r>
      <w:r w:rsidR="000B0B0C" w:rsidRPr="00FF416C">
        <w:t>;</w:t>
      </w:r>
    </w:p>
    <w:p w14:paraId="2B19F90E" w14:textId="77777777" w:rsidR="0062417D" w:rsidRPr="00FF416C" w:rsidRDefault="0062417D" w:rsidP="00D146C4">
      <w:pPr>
        <w:numPr>
          <w:ilvl w:val="1"/>
          <w:numId w:val="2"/>
        </w:numPr>
      </w:pPr>
      <w:r w:rsidRPr="00FF416C">
        <w:t>Requires hazard labeling</w:t>
      </w:r>
      <w:r w:rsidR="000B0B0C" w:rsidRPr="00FF416C">
        <w:t>;</w:t>
      </w:r>
    </w:p>
    <w:p w14:paraId="1E745B31" w14:textId="77777777" w:rsidR="0062417D" w:rsidRPr="00FF416C" w:rsidRDefault="0062417D" w:rsidP="00D146C4">
      <w:pPr>
        <w:numPr>
          <w:ilvl w:val="1"/>
          <w:numId w:val="2"/>
        </w:numPr>
      </w:pPr>
      <w:r w:rsidRPr="00FF416C">
        <w:t>Ingredient disclosure and performance data submitted</w:t>
      </w:r>
      <w:r w:rsidR="008F4212">
        <w:t>;</w:t>
      </w:r>
    </w:p>
    <w:p w14:paraId="70DB16C1" w14:textId="77777777" w:rsidR="0062417D" w:rsidRPr="00FF416C" w:rsidRDefault="0062417D" w:rsidP="000B0B0C">
      <w:pPr>
        <w:numPr>
          <w:ilvl w:val="0"/>
          <w:numId w:val="2"/>
        </w:numPr>
      </w:pPr>
      <w:r w:rsidRPr="00FF416C">
        <w:t>Packaging information</w:t>
      </w:r>
      <w:r w:rsidR="000B0B0C" w:rsidRPr="00FF416C">
        <w:t>:</w:t>
      </w:r>
    </w:p>
    <w:p w14:paraId="2004CD8C" w14:textId="77777777" w:rsidR="009F5C4C" w:rsidRPr="00FF416C" w:rsidRDefault="009F5C4C" w:rsidP="00D146C4">
      <w:pPr>
        <w:numPr>
          <w:ilvl w:val="1"/>
          <w:numId w:val="2"/>
        </w:numPr>
      </w:pPr>
      <w:r w:rsidRPr="00FF416C">
        <w:t>Container size and shapes;</w:t>
      </w:r>
    </w:p>
    <w:p w14:paraId="734E28D5" w14:textId="77777777" w:rsidR="009F5C4C" w:rsidRPr="00FF416C" w:rsidRDefault="009F5C4C" w:rsidP="00D146C4">
      <w:pPr>
        <w:numPr>
          <w:ilvl w:val="1"/>
          <w:numId w:val="2"/>
        </w:numPr>
      </w:pPr>
      <w:r w:rsidRPr="00FF416C">
        <w:t>Material;</w:t>
      </w:r>
    </w:p>
    <w:p w14:paraId="18815D55" w14:textId="77777777" w:rsidR="0062417D" w:rsidRPr="00FF416C" w:rsidRDefault="008F4212" w:rsidP="009F5C4C">
      <w:pPr>
        <w:numPr>
          <w:ilvl w:val="1"/>
          <w:numId w:val="2"/>
        </w:numPr>
      </w:pPr>
      <w:r>
        <w:t>Supplier;</w:t>
      </w:r>
    </w:p>
    <w:p w14:paraId="35E6335C" w14:textId="77777777" w:rsidR="000B0B0C" w:rsidRPr="00FF416C" w:rsidRDefault="001B7421" w:rsidP="001B7421">
      <w:pPr>
        <w:numPr>
          <w:ilvl w:val="0"/>
          <w:numId w:val="2"/>
        </w:numPr>
      </w:pPr>
      <w:r w:rsidRPr="00FF416C">
        <w:t>Description of all chemical ingredients</w:t>
      </w:r>
      <w:r w:rsidR="009F5C4C" w:rsidRPr="00FF416C">
        <w:t>, including raw materials and alternative ingredients, in product</w:t>
      </w:r>
      <w:r w:rsidR="000B0B0C" w:rsidRPr="00FF416C">
        <w:t>:</w:t>
      </w:r>
    </w:p>
    <w:p w14:paraId="5B4D3413" w14:textId="77777777" w:rsidR="000B0B0C" w:rsidRPr="00FF416C" w:rsidRDefault="000B0B0C" w:rsidP="00D146C4">
      <w:pPr>
        <w:numPr>
          <w:ilvl w:val="1"/>
          <w:numId w:val="2"/>
        </w:numPr>
      </w:pPr>
      <w:r w:rsidRPr="00FF416C">
        <w:t>CAS number;</w:t>
      </w:r>
    </w:p>
    <w:p w14:paraId="3BD3AD12" w14:textId="77777777" w:rsidR="000B0B0C" w:rsidRPr="00FF416C" w:rsidRDefault="000B0B0C" w:rsidP="00D146C4">
      <w:pPr>
        <w:numPr>
          <w:ilvl w:val="1"/>
          <w:numId w:val="2"/>
        </w:numPr>
      </w:pPr>
      <w:r w:rsidRPr="00FF416C">
        <w:t>Chemical name;</w:t>
      </w:r>
    </w:p>
    <w:p w14:paraId="42A36228" w14:textId="77777777" w:rsidR="000B0B0C" w:rsidRPr="00FF416C" w:rsidRDefault="00AA37CC" w:rsidP="00D146C4">
      <w:pPr>
        <w:numPr>
          <w:ilvl w:val="1"/>
          <w:numId w:val="2"/>
        </w:numPr>
      </w:pPr>
      <w:r w:rsidRPr="00FF416C">
        <w:t>Trade name</w:t>
      </w:r>
      <w:r w:rsidR="000B0B0C" w:rsidRPr="00FF416C">
        <w:t>;</w:t>
      </w:r>
    </w:p>
    <w:p w14:paraId="10F97179" w14:textId="77777777" w:rsidR="000B0B0C" w:rsidRPr="00FF416C" w:rsidRDefault="000B0B0C" w:rsidP="00D146C4">
      <w:pPr>
        <w:numPr>
          <w:ilvl w:val="1"/>
          <w:numId w:val="2"/>
        </w:numPr>
      </w:pPr>
      <w:r w:rsidRPr="00FF416C">
        <w:t>Percent composition;</w:t>
      </w:r>
    </w:p>
    <w:p w14:paraId="4C82F9BC" w14:textId="77777777" w:rsidR="000B0B0C" w:rsidRPr="00FF416C" w:rsidRDefault="000B0B0C" w:rsidP="00D146C4">
      <w:pPr>
        <w:numPr>
          <w:ilvl w:val="1"/>
          <w:numId w:val="2"/>
        </w:numPr>
      </w:pPr>
      <w:r w:rsidRPr="00FF416C">
        <w:t>Ingredient class;</w:t>
      </w:r>
    </w:p>
    <w:p w14:paraId="57B385C6" w14:textId="77777777" w:rsidR="000B0B0C" w:rsidRPr="00FF416C" w:rsidRDefault="008F4212" w:rsidP="00D146C4">
      <w:pPr>
        <w:numPr>
          <w:ilvl w:val="1"/>
          <w:numId w:val="2"/>
        </w:numPr>
      </w:pPr>
      <w:r>
        <w:t>Supplier name;</w:t>
      </w:r>
    </w:p>
    <w:p w14:paraId="1D1FED06" w14:textId="77777777" w:rsidR="001B7421" w:rsidRPr="00FF416C" w:rsidRDefault="001B7421" w:rsidP="001B7421">
      <w:pPr>
        <w:numPr>
          <w:ilvl w:val="0"/>
          <w:numId w:val="2"/>
        </w:numPr>
      </w:pPr>
      <w:r w:rsidRPr="00FF416C">
        <w:t>An SDS for the product and each ingredient;</w:t>
      </w:r>
    </w:p>
    <w:p w14:paraId="6CD4CED3" w14:textId="77777777" w:rsidR="001B7421" w:rsidRPr="00FF416C" w:rsidRDefault="001B7421" w:rsidP="001B7421">
      <w:pPr>
        <w:pStyle w:val="FootnoteText"/>
        <w:numPr>
          <w:ilvl w:val="0"/>
          <w:numId w:val="2"/>
        </w:numPr>
        <w:rPr>
          <w:sz w:val="24"/>
          <w:szCs w:val="24"/>
        </w:rPr>
      </w:pPr>
      <w:r w:rsidRPr="00FF416C">
        <w:rPr>
          <w:sz w:val="24"/>
          <w:szCs w:val="24"/>
        </w:rPr>
        <w:t>Product performance testing (any method of demonstrating product performance is acceptable as long as it is a co</w:t>
      </w:r>
      <w:r w:rsidR="008F4212">
        <w:rPr>
          <w:sz w:val="24"/>
          <w:szCs w:val="24"/>
        </w:rPr>
        <w:t>mmonly used industry standard);</w:t>
      </w:r>
    </w:p>
    <w:p w14:paraId="3B0F7814" w14:textId="77777777" w:rsidR="00C306CE" w:rsidRPr="00FF416C" w:rsidRDefault="00C306CE" w:rsidP="001B7421">
      <w:pPr>
        <w:pStyle w:val="FootnoteText"/>
        <w:numPr>
          <w:ilvl w:val="0"/>
          <w:numId w:val="2"/>
        </w:numPr>
        <w:rPr>
          <w:sz w:val="24"/>
          <w:szCs w:val="24"/>
        </w:rPr>
      </w:pPr>
      <w:r w:rsidRPr="00FF416C">
        <w:rPr>
          <w:sz w:val="24"/>
          <w:szCs w:val="24"/>
        </w:rPr>
        <w:t>Other product information specific to particular product classes, such as flushability / compostability</w:t>
      </w:r>
      <w:r w:rsidR="008F4212">
        <w:rPr>
          <w:sz w:val="24"/>
          <w:szCs w:val="24"/>
        </w:rPr>
        <w:t xml:space="preserve"> for disposable cleaning wipes;</w:t>
      </w:r>
    </w:p>
    <w:p w14:paraId="5B7E61D1" w14:textId="77777777" w:rsidR="001B7421" w:rsidRPr="00FF416C" w:rsidRDefault="001B7421" w:rsidP="001B7421">
      <w:pPr>
        <w:pStyle w:val="FootnoteText"/>
        <w:numPr>
          <w:ilvl w:val="0"/>
          <w:numId w:val="2"/>
        </w:numPr>
        <w:rPr>
          <w:sz w:val="24"/>
          <w:szCs w:val="24"/>
        </w:rPr>
      </w:pPr>
      <w:r w:rsidRPr="00FF416C">
        <w:rPr>
          <w:sz w:val="24"/>
          <w:szCs w:val="24"/>
        </w:rPr>
        <w:t>If available, any supplemental product or ingredient environmental health and safety information, such as:</w:t>
      </w:r>
    </w:p>
    <w:p w14:paraId="1A7B84DE" w14:textId="77777777" w:rsidR="001B7421" w:rsidRPr="00FF416C" w:rsidRDefault="001B7421" w:rsidP="001B7421">
      <w:pPr>
        <w:pStyle w:val="FootnoteText"/>
        <w:numPr>
          <w:ilvl w:val="1"/>
          <w:numId w:val="2"/>
        </w:numPr>
        <w:rPr>
          <w:sz w:val="24"/>
          <w:szCs w:val="24"/>
        </w:rPr>
      </w:pPr>
      <w:r w:rsidRPr="00FF416C">
        <w:rPr>
          <w:sz w:val="24"/>
          <w:szCs w:val="24"/>
        </w:rPr>
        <w:t>Biodegradation tests on individual ingredients</w:t>
      </w:r>
      <w:r w:rsidR="000B0B0C" w:rsidRPr="00FF416C">
        <w:rPr>
          <w:sz w:val="24"/>
          <w:szCs w:val="24"/>
        </w:rPr>
        <w:t>;</w:t>
      </w:r>
    </w:p>
    <w:p w14:paraId="0FA4E862" w14:textId="77777777" w:rsidR="001B7421" w:rsidRPr="00FF416C" w:rsidRDefault="001B7421" w:rsidP="001B7421">
      <w:pPr>
        <w:pStyle w:val="FootnoteText"/>
        <w:numPr>
          <w:ilvl w:val="1"/>
          <w:numId w:val="2"/>
        </w:numPr>
        <w:rPr>
          <w:sz w:val="24"/>
          <w:szCs w:val="24"/>
        </w:rPr>
      </w:pPr>
      <w:r w:rsidRPr="00FF416C">
        <w:rPr>
          <w:sz w:val="24"/>
          <w:szCs w:val="24"/>
        </w:rPr>
        <w:t>Acute aquatic toxicity tests on product as a whole or individual ingredients</w:t>
      </w:r>
      <w:r w:rsidR="000B0B0C" w:rsidRPr="00FF416C">
        <w:rPr>
          <w:sz w:val="24"/>
          <w:szCs w:val="24"/>
        </w:rPr>
        <w:t>;</w:t>
      </w:r>
    </w:p>
    <w:p w14:paraId="44739FC3" w14:textId="77777777" w:rsidR="001B7421" w:rsidRPr="00FF416C" w:rsidRDefault="001B7421" w:rsidP="001B7421">
      <w:pPr>
        <w:pStyle w:val="FootnoteText"/>
        <w:numPr>
          <w:ilvl w:val="1"/>
          <w:numId w:val="2"/>
        </w:numPr>
        <w:rPr>
          <w:sz w:val="24"/>
          <w:szCs w:val="24"/>
        </w:rPr>
      </w:pPr>
      <w:r w:rsidRPr="00FF416C">
        <w:rPr>
          <w:sz w:val="24"/>
          <w:szCs w:val="24"/>
        </w:rPr>
        <w:t>Human health and safety tests</w:t>
      </w:r>
      <w:r w:rsidR="000B0B0C" w:rsidRPr="00FF416C">
        <w:rPr>
          <w:sz w:val="24"/>
          <w:szCs w:val="24"/>
        </w:rPr>
        <w:t>;</w:t>
      </w:r>
    </w:p>
    <w:p w14:paraId="22C4E378" w14:textId="77777777" w:rsidR="001B7421" w:rsidRPr="00FF416C" w:rsidRDefault="001B7421" w:rsidP="00D146C4">
      <w:pPr>
        <w:pStyle w:val="FootnoteText"/>
        <w:numPr>
          <w:ilvl w:val="0"/>
          <w:numId w:val="2"/>
        </w:numPr>
        <w:rPr>
          <w:sz w:val="24"/>
          <w:szCs w:val="24"/>
        </w:rPr>
      </w:pPr>
      <w:r w:rsidRPr="00FF416C">
        <w:rPr>
          <w:sz w:val="24"/>
          <w:szCs w:val="24"/>
        </w:rPr>
        <w:t>Description of the type of training the company provides to customers on environmental and worker safety matters</w:t>
      </w:r>
      <w:r w:rsidR="000B0B0C" w:rsidRPr="00FF416C">
        <w:rPr>
          <w:sz w:val="24"/>
          <w:szCs w:val="24"/>
        </w:rPr>
        <w:t>.</w:t>
      </w:r>
    </w:p>
    <w:p w14:paraId="76572E15" w14:textId="77777777" w:rsidR="001B7421" w:rsidRPr="00FF416C" w:rsidRDefault="001B7421"/>
    <w:p w14:paraId="098FE460" w14:textId="77777777" w:rsidR="00A8297E" w:rsidRDefault="001B7421" w:rsidP="00A8297E">
      <w:pPr>
        <w:ind w:firstLine="720"/>
      </w:pPr>
      <w:r w:rsidRPr="00A8297E">
        <w:rPr>
          <w:i/>
        </w:rPr>
        <w:t>Information submitted to EPA</w:t>
      </w:r>
      <w:r w:rsidRPr="00FF416C">
        <w:t>:</w:t>
      </w:r>
    </w:p>
    <w:p w14:paraId="7038FD61" w14:textId="77777777" w:rsidR="00A8297E" w:rsidRPr="00A8297E" w:rsidRDefault="00A8297E" w:rsidP="00A8297E">
      <w:pPr>
        <w:pStyle w:val="ListParagraph"/>
        <w:numPr>
          <w:ilvl w:val="0"/>
          <w:numId w:val="2"/>
        </w:numPr>
        <w:rPr>
          <w:rFonts w:ascii="Times New Roman" w:hAnsi="Times New Roman" w:cs="Times New Roman"/>
          <w:sz w:val="24"/>
          <w:szCs w:val="24"/>
        </w:rPr>
      </w:pPr>
      <w:r w:rsidRPr="00A8297E">
        <w:rPr>
          <w:rFonts w:ascii="Times New Roman" w:hAnsi="Times New Roman" w:cs="Times New Roman"/>
          <w:sz w:val="24"/>
          <w:szCs w:val="24"/>
        </w:rPr>
        <w:t>Summary report, containing same data items as above</w:t>
      </w:r>
      <w:r w:rsidR="008F4212">
        <w:rPr>
          <w:rFonts w:ascii="Times New Roman" w:hAnsi="Times New Roman" w:cs="Times New Roman"/>
          <w:sz w:val="24"/>
          <w:szCs w:val="24"/>
        </w:rPr>
        <w:t>.</w:t>
      </w:r>
    </w:p>
    <w:p w14:paraId="555D6F84" w14:textId="77777777" w:rsidR="001B7421" w:rsidRPr="00FF416C" w:rsidRDefault="001B7421" w:rsidP="002A6AE6">
      <w:pPr>
        <w:ind w:firstLine="720"/>
        <w:rPr>
          <w:b/>
        </w:rPr>
      </w:pPr>
      <w:r w:rsidRPr="00FF416C">
        <w:rPr>
          <w:b/>
        </w:rPr>
        <w:t>Adding Third-Party Partners and Products</w:t>
      </w:r>
    </w:p>
    <w:p w14:paraId="7C8C0FC3" w14:textId="77777777" w:rsidR="000B0B0C" w:rsidRPr="00FF416C" w:rsidRDefault="000B0B0C" w:rsidP="001B7421">
      <w:pPr>
        <w:rPr>
          <w:b/>
        </w:rPr>
      </w:pPr>
    </w:p>
    <w:p w14:paraId="2445B2DD" w14:textId="77777777" w:rsidR="00D27F25" w:rsidRPr="00FF416C" w:rsidRDefault="000B0B0C" w:rsidP="002A6AE6">
      <w:pPr>
        <w:ind w:firstLine="720"/>
      </w:pPr>
      <w:r w:rsidRPr="00FF416C">
        <w:t>Cleaning product manufacturers will submit information about third-party additions</w:t>
      </w:r>
      <w:r w:rsidR="00D27F25" w:rsidRPr="00FF416C">
        <w:t xml:space="preserve"> </w:t>
      </w:r>
      <w:r w:rsidRPr="00FF416C">
        <w:t xml:space="preserve">to </w:t>
      </w:r>
      <w:r w:rsidR="00B10C9A" w:rsidRPr="00FF416C">
        <w:t>Safer Choice</w:t>
      </w:r>
      <w:r w:rsidR="00C306CE" w:rsidRPr="00FF416C">
        <w:t xml:space="preserve"> through their third-party profiler</w:t>
      </w:r>
      <w:r w:rsidRPr="00FF416C">
        <w:t xml:space="preserve">. </w:t>
      </w:r>
      <w:r w:rsidR="00D27F25" w:rsidRPr="00FF416C">
        <w:t>The three types of third-party partners and products are private labels, licensees, and toll manufacturers.</w:t>
      </w:r>
      <w:r w:rsidR="00874ED2" w:rsidRPr="00FF416C">
        <w:t xml:space="preserve"> </w:t>
      </w:r>
      <w:r w:rsidRPr="00FF416C">
        <w:t>To be label-eligible, third-party product</w:t>
      </w:r>
      <w:r w:rsidR="00E4115E" w:rsidRPr="00FF416C">
        <w:t>s</w:t>
      </w:r>
      <w:r w:rsidRPr="00FF416C">
        <w:t xml:space="preserve"> must contain ingredients identical to those in a </w:t>
      </w:r>
      <w:r w:rsidR="00B10C9A" w:rsidRPr="00FF416C">
        <w:t>Safer Choice</w:t>
      </w:r>
      <w:r w:rsidRPr="00FF416C">
        <w:t>-</w:t>
      </w:r>
      <w:r w:rsidR="00B10C9A" w:rsidRPr="00FF416C">
        <w:t xml:space="preserve">labeled </w:t>
      </w:r>
      <w:r w:rsidR="008F4212">
        <w:t>product.</w:t>
      </w:r>
    </w:p>
    <w:p w14:paraId="20EB880D" w14:textId="77777777" w:rsidR="000B0B0C" w:rsidRPr="00FF416C" w:rsidRDefault="000B0B0C" w:rsidP="001B7421"/>
    <w:p w14:paraId="06CF244E" w14:textId="77777777" w:rsidR="000B0B0C" w:rsidRPr="00FF416C" w:rsidRDefault="000B0B0C" w:rsidP="001B7421">
      <w:r w:rsidRPr="00FF416C">
        <w:tab/>
      </w:r>
      <w:r w:rsidRPr="00A8297E">
        <w:rPr>
          <w:i/>
        </w:rPr>
        <w:t>Information submitted to EPA</w:t>
      </w:r>
      <w:r w:rsidRPr="00FF416C">
        <w:t>:</w:t>
      </w:r>
    </w:p>
    <w:p w14:paraId="53B0860C" w14:textId="77777777" w:rsidR="000B0B0C" w:rsidRDefault="00B10C9A" w:rsidP="000B0B0C">
      <w:pPr>
        <w:numPr>
          <w:ilvl w:val="0"/>
          <w:numId w:val="29"/>
        </w:numPr>
      </w:pPr>
      <w:r w:rsidRPr="00FF416C">
        <w:t xml:space="preserve">Safer Choice </w:t>
      </w:r>
      <w:r w:rsidR="000B0B0C" w:rsidRPr="00FF416C">
        <w:t>Form for Adding Third-Party Partn</w:t>
      </w:r>
      <w:r w:rsidR="008F4212">
        <w:t xml:space="preserve">ers and Products (Private Label </w:t>
      </w:r>
      <w:r w:rsidR="000B0B0C" w:rsidRPr="00FF416C">
        <w:t xml:space="preserve">Companies, Licensees, or Toll Manufacturers) (EPA Form XXXX-X) (See Attachment </w:t>
      </w:r>
      <w:r w:rsidR="008E1F30" w:rsidRPr="00FF416C">
        <w:t>C</w:t>
      </w:r>
      <w:r w:rsidR="000B0B0C" w:rsidRPr="00FF416C">
        <w:t>)</w:t>
      </w:r>
    </w:p>
    <w:p w14:paraId="36135FAA" w14:textId="77777777" w:rsidR="006267EA" w:rsidRPr="00FF416C" w:rsidRDefault="006267EA" w:rsidP="006267EA">
      <w:pPr>
        <w:ind w:left="1080"/>
      </w:pPr>
    </w:p>
    <w:p w14:paraId="494D9930" w14:textId="77777777" w:rsidR="001B7421" w:rsidRPr="00FF416C" w:rsidRDefault="001B7421"/>
    <w:p w14:paraId="40FAA79F" w14:textId="77777777" w:rsidR="001B7421" w:rsidRPr="00FF416C" w:rsidRDefault="001B7421">
      <w:pPr>
        <w:numPr>
          <w:ilvl w:val="0"/>
          <w:numId w:val="1"/>
        </w:numPr>
      </w:pPr>
      <w:r w:rsidRPr="00FF416C">
        <w:rPr>
          <w:u w:val="single"/>
        </w:rPr>
        <w:t>Respondent activities</w:t>
      </w:r>
      <w:r w:rsidRPr="00FF416C">
        <w:t>:</w:t>
      </w:r>
    </w:p>
    <w:p w14:paraId="6AFD48CA" w14:textId="77777777" w:rsidR="001B7421" w:rsidRPr="00FF416C" w:rsidRDefault="001B7421"/>
    <w:p w14:paraId="11DE58E8" w14:textId="77777777" w:rsidR="001B7421" w:rsidRPr="00A8297E" w:rsidRDefault="001B7421" w:rsidP="001B7421">
      <w:pPr>
        <w:ind w:left="720"/>
        <w:rPr>
          <w:i/>
        </w:rPr>
      </w:pPr>
      <w:r w:rsidRPr="00A8297E">
        <w:rPr>
          <w:i/>
        </w:rPr>
        <w:t>Applicants for Cleaning</w:t>
      </w:r>
      <w:r w:rsidR="001F5715" w:rsidRPr="00A8297E">
        <w:rPr>
          <w:i/>
        </w:rPr>
        <w:t xml:space="preserve"> and Non-Cleaning</w:t>
      </w:r>
      <w:r w:rsidRPr="00A8297E">
        <w:rPr>
          <w:i/>
        </w:rPr>
        <w:t xml:space="preserve"> Product Formulation Partnerships</w:t>
      </w:r>
    </w:p>
    <w:p w14:paraId="1A0588EF" w14:textId="77777777" w:rsidR="001B7421" w:rsidRPr="00FF416C" w:rsidRDefault="001B7421" w:rsidP="00980EF5">
      <w:pPr>
        <w:numPr>
          <w:ilvl w:val="0"/>
          <w:numId w:val="27"/>
        </w:numPr>
        <w:tabs>
          <w:tab w:val="clear" w:pos="1440"/>
          <w:tab w:val="num" w:pos="1080"/>
        </w:tabs>
        <w:ind w:left="1080"/>
      </w:pPr>
      <w:r w:rsidRPr="00FF416C">
        <w:t xml:space="preserve">Review program information, including instructions on submitting information to </w:t>
      </w:r>
      <w:r w:rsidR="00E4115E" w:rsidRPr="00FF416C">
        <w:t>third-</w:t>
      </w:r>
      <w:r w:rsidRPr="00FF416C">
        <w:t xml:space="preserve">party profilers </w:t>
      </w:r>
      <w:r w:rsidR="00D27F25" w:rsidRPr="00FF416C">
        <w:t xml:space="preserve">(note: third-party profilers are separate and distinct from third-party partners and products; a third-party profiler is an organization that has partnered with the Safer Choice Program </w:t>
      </w:r>
      <w:r w:rsidR="0085108B" w:rsidRPr="00FF416C">
        <w:t>to assist in the evaluation of product formulations against the Safer Choice Standard. To become a third-party profiler, the organization must meet</w:t>
      </w:r>
      <w:r w:rsidR="00D27F25" w:rsidRPr="00FF416C">
        <w:t xml:space="preserve"> stringent requirements as laid out in Section 7 of the Safer Choice Standard</w:t>
      </w:r>
      <w:r w:rsidR="0085108B" w:rsidRPr="00FF416C">
        <w:t>.)</w:t>
      </w:r>
    </w:p>
    <w:p w14:paraId="61630BB1" w14:textId="77777777" w:rsidR="001B7421" w:rsidRPr="00FF416C" w:rsidRDefault="001B7421" w:rsidP="001B7421">
      <w:pPr>
        <w:numPr>
          <w:ilvl w:val="0"/>
          <w:numId w:val="27"/>
        </w:numPr>
        <w:tabs>
          <w:tab w:val="clear" w:pos="1440"/>
          <w:tab w:val="num" w:pos="1080"/>
        </w:tabs>
        <w:ind w:hanging="720"/>
      </w:pPr>
      <w:r w:rsidRPr="00FF416C">
        <w:t xml:space="preserve">Submit information described in section 4(b)(i) of this supporting statement to </w:t>
      </w:r>
      <w:r w:rsidR="00E4115E" w:rsidRPr="00FF416C">
        <w:t>third-</w:t>
      </w:r>
      <w:r w:rsidRPr="00FF416C">
        <w:t>party profiler</w:t>
      </w:r>
      <w:r w:rsidR="008F4212">
        <w:t>;</w:t>
      </w:r>
    </w:p>
    <w:p w14:paraId="2FC48175" w14:textId="77777777" w:rsidR="001B7421" w:rsidRPr="00FF416C" w:rsidRDefault="001B7421" w:rsidP="001B7421">
      <w:pPr>
        <w:numPr>
          <w:ilvl w:val="0"/>
          <w:numId w:val="27"/>
        </w:numPr>
        <w:tabs>
          <w:tab w:val="clear" w:pos="1440"/>
          <w:tab w:val="num" w:pos="1080"/>
        </w:tabs>
        <w:ind w:hanging="720"/>
      </w:pPr>
      <w:r w:rsidRPr="00FF416C">
        <w:t xml:space="preserve">Establish agreement with </w:t>
      </w:r>
      <w:r w:rsidR="00E4115E" w:rsidRPr="00FF416C">
        <w:t>third-</w:t>
      </w:r>
      <w:r w:rsidRPr="00FF416C">
        <w:t>party profiler</w:t>
      </w:r>
      <w:r w:rsidR="008F4212">
        <w:t>;</w:t>
      </w:r>
    </w:p>
    <w:p w14:paraId="20A73E85" w14:textId="77777777" w:rsidR="001B7421" w:rsidRPr="00FF416C" w:rsidRDefault="001B7421" w:rsidP="001B7421">
      <w:pPr>
        <w:numPr>
          <w:ilvl w:val="0"/>
          <w:numId w:val="27"/>
        </w:numPr>
        <w:tabs>
          <w:tab w:val="clear" w:pos="1440"/>
          <w:tab w:val="num" w:pos="1080"/>
        </w:tabs>
        <w:ind w:hanging="720"/>
      </w:pPr>
      <w:r w:rsidRPr="00FF416C">
        <w:t xml:space="preserve">Submit summary report to </w:t>
      </w:r>
      <w:r w:rsidR="00B10C9A" w:rsidRPr="00FF416C">
        <w:t>Safer Choice</w:t>
      </w:r>
      <w:r w:rsidR="008F4212">
        <w:t>;</w:t>
      </w:r>
    </w:p>
    <w:p w14:paraId="4B164610" w14:textId="77777777" w:rsidR="001B7421" w:rsidRPr="00FF416C" w:rsidRDefault="001B7421" w:rsidP="001B7421">
      <w:pPr>
        <w:numPr>
          <w:ilvl w:val="0"/>
          <w:numId w:val="27"/>
        </w:numPr>
        <w:tabs>
          <w:tab w:val="clear" w:pos="1440"/>
          <w:tab w:val="num" w:pos="1080"/>
        </w:tabs>
        <w:ind w:hanging="720"/>
      </w:pPr>
      <w:r w:rsidRPr="00FF416C">
        <w:t xml:space="preserve">Negotiate / establish Partnership Agreement with </w:t>
      </w:r>
      <w:r w:rsidR="00B10C9A" w:rsidRPr="00FF416C">
        <w:t>Safer Choice</w:t>
      </w:r>
      <w:r w:rsidR="008F4212">
        <w:t>;</w:t>
      </w:r>
    </w:p>
    <w:p w14:paraId="308AB42C" w14:textId="77777777" w:rsidR="001B7421" w:rsidRPr="00FF416C" w:rsidRDefault="001B7421" w:rsidP="001B7421">
      <w:pPr>
        <w:numPr>
          <w:ilvl w:val="0"/>
          <w:numId w:val="27"/>
        </w:numPr>
        <w:tabs>
          <w:tab w:val="clear" w:pos="1440"/>
          <w:tab w:val="num" w:pos="1080"/>
        </w:tabs>
        <w:ind w:hanging="720"/>
      </w:pPr>
      <w:r w:rsidRPr="00FF416C">
        <w:t>Renew partnership, with no changes needed</w:t>
      </w:r>
      <w:r w:rsidR="008F4212">
        <w:t>;</w:t>
      </w:r>
    </w:p>
    <w:p w14:paraId="542EC616" w14:textId="77777777" w:rsidR="001B7421" w:rsidRPr="00FF416C" w:rsidRDefault="001B7421" w:rsidP="001B7421">
      <w:pPr>
        <w:numPr>
          <w:ilvl w:val="0"/>
          <w:numId w:val="27"/>
        </w:numPr>
        <w:tabs>
          <w:tab w:val="clear" w:pos="1440"/>
          <w:tab w:val="num" w:pos="1080"/>
        </w:tabs>
        <w:ind w:hanging="720"/>
      </w:pPr>
      <w:r w:rsidRPr="00FF416C">
        <w:t>Site audit</w:t>
      </w:r>
      <w:r w:rsidR="005274E1" w:rsidRPr="00FF416C">
        <w:t xml:space="preserve"> (See Attachment </w:t>
      </w:r>
      <w:r w:rsidR="008E1F30" w:rsidRPr="00FF416C">
        <w:t>D</w:t>
      </w:r>
      <w:r w:rsidR="005274E1" w:rsidRPr="00FF416C">
        <w:t>)</w:t>
      </w:r>
      <w:r w:rsidR="008F4212">
        <w:t>.</w:t>
      </w:r>
    </w:p>
    <w:p w14:paraId="21722C7C" w14:textId="77777777" w:rsidR="001B7421" w:rsidRPr="00FF416C" w:rsidRDefault="001B7421" w:rsidP="001B7421"/>
    <w:p w14:paraId="34215981" w14:textId="77777777" w:rsidR="001B7421" w:rsidRPr="00A8297E" w:rsidRDefault="001B7421" w:rsidP="001B7421">
      <w:pPr>
        <w:ind w:left="720"/>
        <w:rPr>
          <w:i/>
        </w:rPr>
      </w:pPr>
      <w:r w:rsidRPr="00A8297E">
        <w:rPr>
          <w:i/>
        </w:rPr>
        <w:t>Adding Third-Party Partners and Products</w:t>
      </w:r>
    </w:p>
    <w:p w14:paraId="7E737623" w14:textId="77777777" w:rsidR="008559BE" w:rsidRPr="00FF416C" w:rsidRDefault="00A500F0" w:rsidP="008559BE">
      <w:pPr>
        <w:numPr>
          <w:ilvl w:val="0"/>
          <w:numId w:val="29"/>
        </w:numPr>
      </w:pPr>
      <w:r w:rsidRPr="00FF416C">
        <w:t>Review program information</w:t>
      </w:r>
      <w:r w:rsidR="008F4212">
        <w:t>;</w:t>
      </w:r>
    </w:p>
    <w:p w14:paraId="2E881979" w14:textId="77777777" w:rsidR="008559BE" w:rsidRPr="00FF416C" w:rsidRDefault="008559BE" w:rsidP="008559BE">
      <w:pPr>
        <w:numPr>
          <w:ilvl w:val="0"/>
          <w:numId w:val="29"/>
        </w:numPr>
      </w:pPr>
      <w:r w:rsidRPr="00FF416C">
        <w:t xml:space="preserve">Fill out and submit </w:t>
      </w:r>
      <w:r w:rsidR="00B10C9A" w:rsidRPr="00FF416C">
        <w:t xml:space="preserve">Safer Choice </w:t>
      </w:r>
      <w:r w:rsidR="009D726C" w:rsidRPr="00FF416C">
        <w:t xml:space="preserve">Program </w:t>
      </w:r>
      <w:r w:rsidRPr="00FF416C">
        <w:t>Form for Adding Third-Party Partners and Products (Private Label Companies, Licensees, or Toll Manufacturers)</w:t>
      </w:r>
      <w:r w:rsidR="008F4212">
        <w:t>.</w:t>
      </w:r>
    </w:p>
    <w:p w14:paraId="3645FB11" w14:textId="77777777" w:rsidR="001B78A3" w:rsidRPr="00FF416C" w:rsidRDefault="001B78A3" w:rsidP="001B78A3"/>
    <w:p w14:paraId="35BD9949" w14:textId="77777777" w:rsidR="00572F02" w:rsidRPr="00FF416C" w:rsidRDefault="00572F02" w:rsidP="003615D5"/>
    <w:p w14:paraId="45AE64C1" w14:textId="77777777" w:rsidR="001B7421" w:rsidRPr="00FF416C" w:rsidRDefault="001B7421" w:rsidP="008559BE">
      <w:pPr>
        <w:pStyle w:val="Heading1"/>
      </w:pPr>
      <w:r w:rsidRPr="00FF416C">
        <w:rPr>
          <w:lang w:val="en-CA"/>
        </w:rPr>
        <w:fldChar w:fldCharType="begin"/>
      </w:r>
      <w:r w:rsidRPr="00FF416C">
        <w:rPr>
          <w:lang w:val="en-CA"/>
        </w:rPr>
        <w:instrText xml:space="preserve"> SEQ CHAPTER \h \r 1</w:instrText>
      </w:r>
      <w:r w:rsidRPr="00FF416C">
        <w:rPr>
          <w:lang w:val="en-CA"/>
        </w:rPr>
        <w:fldChar w:fldCharType="end"/>
      </w:r>
      <w:bookmarkStart w:id="35" w:name="_Toc227390385"/>
      <w:bookmarkStart w:id="36" w:name="_Toc442977114"/>
      <w:r w:rsidRPr="00FF416C">
        <w:t xml:space="preserve">5.      </w:t>
      </w:r>
      <w:r w:rsidRPr="00FF416C">
        <w:tab/>
        <w:t xml:space="preserve">THE INFORMATION COLLECTED </w:t>
      </w:r>
      <w:r w:rsidR="00AB6F64" w:rsidRPr="00FF416C">
        <w:t xml:space="preserve">– AGENCY ACTIVITIES, COLLECTION </w:t>
      </w:r>
      <w:r w:rsidRPr="00FF416C">
        <w:t>METHODOLOGY, AND INFORMATION MANAGEMENT</w:t>
      </w:r>
      <w:bookmarkEnd w:id="35"/>
      <w:bookmarkEnd w:id="36"/>
    </w:p>
    <w:p w14:paraId="4E5C14C8" w14:textId="77777777" w:rsidR="001B7421" w:rsidRPr="00FF416C" w:rsidRDefault="001B7421"/>
    <w:p w14:paraId="3D96203D" w14:textId="77777777" w:rsidR="001B7421" w:rsidRPr="00FF416C" w:rsidRDefault="001B7421">
      <w:pPr>
        <w:pStyle w:val="Heading2"/>
        <w:jc w:val="left"/>
        <w:rPr>
          <w:sz w:val="24"/>
          <w:szCs w:val="24"/>
        </w:rPr>
      </w:pPr>
      <w:r w:rsidRPr="00FF416C">
        <w:rPr>
          <w:sz w:val="24"/>
          <w:szCs w:val="24"/>
        </w:rPr>
        <w:tab/>
      </w:r>
      <w:bookmarkStart w:id="37" w:name="_Toc227390386"/>
      <w:bookmarkStart w:id="38" w:name="_Toc442977115"/>
      <w:r w:rsidRPr="00FF416C">
        <w:rPr>
          <w:sz w:val="24"/>
          <w:szCs w:val="24"/>
        </w:rPr>
        <w:t>5(a)</w:t>
      </w:r>
      <w:r w:rsidRPr="00FF416C">
        <w:rPr>
          <w:sz w:val="24"/>
          <w:szCs w:val="24"/>
        </w:rPr>
        <w:tab/>
        <w:t>Agency Activities</w:t>
      </w:r>
      <w:bookmarkEnd w:id="37"/>
      <w:bookmarkEnd w:id="38"/>
    </w:p>
    <w:p w14:paraId="435F86FF" w14:textId="77777777" w:rsidR="001B7421" w:rsidRPr="00FF416C" w:rsidRDefault="001B7421"/>
    <w:p w14:paraId="42CABF60" w14:textId="77777777" w:rsidR="001B7421" w:rsidRPr="00FF416C" w:rsidRDefault="001B7421" w:rsidP="002A6AE6">
      <w:pPr>
        <w:ind w:firstLine="432"/>
      </w:pPr>
      <w:r w:rsidRPr="00FF416C">
        <w:t xml:space="preserve">Under the </w:t>
      </w:r>
      <w:r w:rsidR="00B10C9A" w:rsidRPr="00FF416C">
        <w:t>Safer Choice p</w:t>
      </w:r>
      <w:r w:rsidRPr="00FF416C">
        <w:t>rogram, EPA engages in the following activities related to the Formulator application and decision process</w:t>
      </w:r>
      <w:r w:rsidR="00FC1F84" w:rsidRPr="00FF416C">
        <w:t>:</w:t>
      </w:r>
    </w:p>
    <w:p w14:paraId="771C9E70" w14:textId="77777777" w:rsidR="001B7421" w:rsidRPr="00FF416C" w:rsidRDefault="001B7421"/>
    <w:p w14:paraId="1FF7235A" w14:textId="77777777" w:rsidR="00D621B3" w:rsidRPr="00FF416C" w:rsidRDefault="00F5354D" w:rsidP="00560290">
      <w:pPr>
        <w:numPr>
          <w:ilvl w:val="0"/>
          <w:numId w:val="4"/>
        </w:numPr>
      </w:pPr>
      <w:r w:rsidRPr="00FF416C">
        <w:t>P</w:t>
      </w:r>
      <w:r w:rsidR="00FC1F84" w:rsidRPr="00FF416C">
        <w:t>rovide applications via Salesforce</w:t>
      </w:r>
      <w:r w:rsidR="00D621B3" w:rsidRPr="00FF416C">
        <w:t xml:space="preserve"> </w:t>
      </w:r>
      <w:r w:rsidRPr="00FF416C">
        <w:t xml:space="preserve">for </w:t>
      </w:r>
      <w:r w:rsidR="00D621B3" w:rsidRPr="00FF416C">
        <w:t>potential participants;</w:t>
      </w:r>
    </w:p>
    <w:p w14:paraId="6714067D" w14:textId="77777777" w:rsidR="001B7421" w:rsidRPr="00FF416C" w:rsidRDefault="001B7421" w:rsidP="00560290">
      <w:pPr>
        <w:numPr>
          <w:ilvl w:val="0"/>
          <w:numId w:val="4"/>
        </w:numPr>
      </w:pPr>
      <w:r w:rsidRPr="00FF416C">
        <w:t xml:space="preserve">Answer questions posed by potential applicants regarding recognition under the </w:t>
      </w:r>
      <w:r w:rsidR="00B10C9A" w:rsidRPr="00FF416C">
        <w:t>program</w:t>
      </w:r>
      <w:r w:rsidR="008F4212">
        <w:t>;</w:t>
      </w:r>
    </w:p>
    <w:p w14:paraId="0649DE9A" w14:textId="77777777" w:rsidR="001B7421" w:rsidRPr="00FF416C" w:rsidRDefault="001B7421">
      <w:pPr>
        <w:numPr>
          <w:ilvl w:val="0"/>
          <w:numId w:val="4"/>
        </w:numPr>
      </w:pPr>
      <w:r w:rsidRPr="00FF416C">
        <w:t>Receive the completed applications, review for accuracy, and place any necessary follow-up calls;</w:t>
      </w:r>
    </w:p>
    <w:p w14:paraId="5AED70B7" w14:textId="77777777" w:rsidR="001B7421" w:rsidRPr="00FF416C" w:rsidRDefault="001B7421">
      <w:pPr>
        <w:numPr>
          <w:ilvl w:val="0"/>
          <w:numId w:val="4"/>
        </w:numPr>
      </w:pPr>
      <w:r w:rsidRPr="00FF416C">
        <w:t>Apply EPA’s chemical tools and expertise to understand toxicological characteristics of chemical ingredients and to ensure that they are the safest wit</w:t>
      </w:r>
      <w:r w:rsidR="008F4212">
        <w:t>hin their functional use class;</w:t>
      </w:r>
    </w:p>
    <w:p w14:paraId="620A1437" w14:textId="77777777" w:rsidR="001B7421" w:rsidRPr="00FF416C" w:rsidRDefault="001B7421">
      <w:pPr>
        <w:numPr>
          <w:ilvl w:val="0"/>
          <w:numId w:val="4"/>
        </w:numPr>
      </w:pPr>
      <w:r w:rsidRPr="00FF416C">
        <w:t>Approve candidates for recognition and notify both successful and unsuccessful applicants of the decisions</w:t>
      </w:r>
      <w:r w:rsidR="003B11AB" w:rsidRPr="00FF416C">
        <w:t>; and</w:t>
      </w:r>
    </w:p>
    <w:p w14:paraId="37B665DC" w14:textId="77777777" w:rsidR="00F5354D" w:rsidRPr="00FF416C" w:rsidRDefault="00F5354D">
      <w:pPr>
        <w:numPr>
          <w:ilvl w:val="0"/>
          <w:numId w:val="4"/>
        </w:numPr>
      </w:pPr>
      <w:r w:rsidRPr="00FF416C">
        <w:t>Make final decisions about which products may carry the Safer Choice label.</w:t>
      </w:r>
    </w:p>
    <w:p w14:paraId="6B6E87A1" w14:textId="77777777" w:rsidR="001B7421" w:rsidRPr="00FF416C" w:rsidRDefault="001B7421"/>
    <w:p w14:paraId="0A561C1C"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39" w:name="_Toc227390387"/>
      <w:bookmarkStart w:id="40" w:name="_Toc442977116"/>
      <w:r w:rsidRPr="00FF416C">
        <w:rPr>
          <w:sz w:val="24"/>
          <w:szCs w:val="24"/>
        </w:rPr>
        <w:t>5(b)</w:t>
      </w:r>
      <w:r w:rsidRPr="00FF416C">
        <w:rPr>
          <w:sz w:val="24"/>
          <w:szCs w:val="24"/>
        </w:rPr>
        <w:tab/>
        <w:t>Collection Methodology and Management</w:t>
      </w:r>
      <w:bookmarkEnd w:id="39"/>
      <w:bookmarkEnd w:id="40"/>
    </w:p>
    <w:p w14:paraId="248111F3" w14:textId="77777777" w:rsidR="001B7421" w:rsidRPr="00FF416C" w:rsidRDefault="001B7421"/>
    <w:p w14:paraId="069A5E77" w14:textId="77777777" w:rsidR="001B7421" w:rsidRDefault="0012491C" w:rsidP="008F4212">
      <w:pPr>
        <w:ind w:firstLine="720"/>
      </w:pPr>
      <w:r w:rsidRPr="00FF416C">
        <w:t>P</w:t>
      </w:r>
      <w:r w:rsidR="001B7421" w:rsidRPr="00FF416C">
        <w:t xml:space="preserve">roduct manufacturers may obtain applications for providing ingredient information by </w:t>
      </w:r>
      <w:r w:rsidR="00F5354D" w:rsidRPr="00FF416C">
        <w:t>contacting a</w:t>
      </w:r>
      <w:r w:rsidR="001B7421" w:rsidRPr="00FF416C">
        <w:t xml:space="preserve"> third-party profiler. </w:t>
      </w:r>
      <w:r w:rsidR="00F5354D" w:rsidRPr="00FF416C">
        <w:t>The third-party profiler will then coordinate with EPA to direct the potential applicant to a link via Salesforce to complete the application online.</w:t>
      </w:r>
      <w:r w:rsidR="005A0705" w:rsidRPr="00FF416C">
        <w:t xml:space="preserve"> If a product manufacturer would like to </w:t>
      </w:r>
      <w:r w:rsidR="001C33FB" w:rsidRPr="00FF416C">
        <w:t xml:space="preserve">submit information that they believe is Confidential Business Information as defined under the Toxic Substances Control Act, </w:t>
      </w:r>
      <w:r w:rsidR="005A0705" w:rsidRPr="00FF416C">
        <w:t>the applica</w:t>
      </w:r>
      <w:r w:rsidR="008F4212">
        <w:t>nt should contact EPA by phone.</w:t>
      </w:r>
    </w:p>
    <w:p w14:paraId="6B269DC5" w14:textId="77777777" w:rsidR="008F4212" w:rsidRPr="00FF416C" w:rsidRDefault="008F4212" w:rsidP="000B4D7C"/>
    <w:p w14:paraId="437F84A7" w14:textId="77777777" w:rsidR="001B7421" w:rsidRPr="00FF416C" w:rsidRDefault="001B7421" w:rsidP="002A6AE6">
      <w:pPr>
        <w:ind w:firstLine="720"/>
      </w:pPr>
      <w:r w:rsidRPr="00FF416C">
        <w:t>In collecting and analyzing the information associated with this ICR, EPA will use a telephone system, personal computers, and applicable database software</w:t>
      </w:r>
      <w:r w:rsidR="00F5354D" w:rsidRPr="00FF416C">
        <w:t xml:space="preserve"> such as Salesforce</w:t>
      </w:r>
      <w:r w:rsidRPr="00FF416C">
        <w:t>. EPA will ensure the accuracy and completeness of collected information by reserving the right to request proof of the list of ingredients (e.g., bills of lading, invoices) or other relevant documentation at any time to confirm that candidates have the achieved the criteria for recognition.</w:t>
      </w:r>
      <w:r w:rsidR="00F5354D" w:rsidRPr="00FF416C">
        <w:t xml:space="preserve"> Th</w:t>
      </w:r>
      <w:r w:rsidR="00ED2B4B" w:rsidRPr="00FF416C">
        <w:t xml:space="preserve">e cloud-based Salesforce system, which </w:t>
      </w:r>
      <w:r w:rsidR="00F5354D" w:rsidRPr="00FF416C">
        <w:t>house</w:t>
      </w:r>
      <w:r w:rsidR="00ED2B4B" w:rsidRPr="00FF416C">
        <w:t>s</w:t>
      </w:r>
      <w:r w:rsidR="00F5354D" w:rsidRPr="00FF416C">
        <w:t xml:space="preserve"> applications and other information related to the Safer Choice program</w:t>
      </w:r>
      <w:r w:rsidR="00ED2B4B" w:rsidRPr="00FF416C">
        <w:t>,</w:t>
      </w:r>
      <w:r w:rsidR="00F5354D" w:rsidRPr="00FF416C">
        <w:t xml:space="preserve"> is designed to reduce the public and Agency burden related to the application and decision process.</w:t>
      </w:r>
      <w:r w:rsidR="001C33FB" w:rsidRPr="00FF416C">
        <w:t xml:space="preserve"> However, if a product manufacturer would like to submit information as a hard copy rather than using the Salesforce system, the applicant should contact</w:t>
      </w:r>
      <w:r w:rsidR="008F4212">
        <w:t xml:space="preserve"> EPA for the appropriate forms.</w:t>
      </w:r>
    </w:p>
    <w:p w14:paraId="0E10DEB3" w14:textId="77777777" w:rsidR="001B7421" w:rsidRPr="00FF416C" w:rsidRDefault="001B7421"/>
    <w:p w14:paraId="383C3F50"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41" w:name="_Toc227390388"/>
      <w:bookmarkStart w:id="42" w:name="_Toc442977117"/>
      <w:r w:rsidRPr="00FF416C">
        <w:rPr>
          <w:sz w:val="24"/>
          <w:szCs w:val="24"/>
        </w:rPr>
        <w:t>5(c)</w:t>
      </w:r>
      <w:r w:rsidRPr="00FF416C">
        <w:rPr>
          <w:sz w:val="24"/>
          <w:szCs w:val="24"/>
        </w:rPr>
        <w:tab/>
        <w:t>Small Entity Flexibility</w:t>
      </w:r>
      <w:bookmarkEnd w:id="41"/>
      <w:bookmarkEnd w:id="42"/>
    </w:p>
    <w:p w14:paraId="7A55A212" w14:textId="77777777" w:rsidR="001B7421" w:rsidRPr="00FF416C" w:rsidRDefault="001B7421"/>
    <w:p w14:paraId="42378DB7" w14:textId="77777777" w:rsidR="001B7421" w:rsidRDefault="001B7421" w:rsidP="002A6AE6">
      <w:pPr>
        <w:ind w:firstLine="720"/>
      </w:pPr>
      <w:r w:rsidRPr="00FF416C">
        <w:t xml:space="preserve">EPA expects that some of the participants in the </w:t>
      </w:r>
      <w:r w:rsidR="000F0371" w:rsidRPr="00FF416C">
        <w:t>Safer Choice p</w:t>
      </w:r>
      <w:r w:rsidR="000B4D7C">
        <w:t xml:space="preserve">rogram will be small entities. </w:t>
      </w:r>
      <w:r w:rsidRPr="00FF416C">
        <w:t>EPA has designed its application form to minimize respondent burden while obtaining suffic</w:t>
      </w:r>
      <w:r w:rsidR="000B4D7C">
        <w:t xml:space="preserve">ient and accurate information. </w:t>
      </w:r>
      <w:r w:rsidRPr="00FF416C">
        <w:t>In addition, given the voluntary nature of the collection, EPA expects that respondents will participate only if the benefits of participation outweigh the information collection burden.</w:t>
      </w:r>
    </w:p>
    <w:p w14:paraId="68448503" w14:textId="77777777" w:rsidR="00D97E40" w:rsidRPr="00FF416C" w:rsidRDefault="00D97E40" w:rsidP="002A6AE6">
      <w:pPr>
        <w:ind w:firstLine="720"/>
      </w:pPr>
    </w:p>
    <w:p w14:paraId="27AFB4A2" w14:textId="77777777" w:rsidR="001B7421" w:rsidRPr="00FF416C" w:rsidRDefault="001B7421">
      <w:pPr>
        <w:pStyle w:val="Heading2"/>
        <w:jc w:val="left"/>
        <w:rPr>
          <w:sz w:val="24"/>
          <w:szCs w:val="24"/>
        </w:rPr>
      </w:pPr>
      <w:r w:rsidRPr="00FF416C">
        <w:rPr>
          <w:sz w:val="24"/>
          <w:szCs w:val="24"/>
          <w:lang w:val="en-CA"/>
        </w:rPr>
        <w:fldChar w:fldCharType="begin"/>
      </w:r>
      <w:r w:rsidRPr="00FF416C">
        <w:rPr>
          <w:sz w:val="24"/>
          <w:szCs w:val="24"/>
          <w:lang w:val="en-CA"/>
        </w:rPr>
        <w:instrText xml:space="preserve"> SEQ CHAPTER \h \r 1</w:instrText>
      </w:r>
      <w:r w:rsidRPr="00FF416C">
        <w:rPr>
          <w:sz w:val="24"/>
          <w:szCs w:val="24"/>
          <w:lang w:val="en-CA"/>
        </w:rPr>
        <w:fldChar w:fldCharType="end"/>
      </w:r>
      <w:r w:rsidRPr="00FF416C">
        <w:rPr>
          <w:sz w:val="24"/>
          <w:szCs w:val="24"/>
        </w:rPr>
        <w:tab/>
      </w:r>
      <w:bookmarkStart w:id="43" w:name="_Toc227390389"/>
      <w:bookmarkStart w:id="44" w:name="_Toc442977118"/>
      <w:r w:rsidRPr="00FF416C">
        <w:rPr>
          <w:sz w:val="24"/>
          <w:szCs w:val="24"/>
        </w:rPr>
        <w:t>5(d)</w:t>
      </w:r>
      <w:r w:rsidRPr="00FF416C">
        <w:rPr>
          <w:sz w:val="24"/>
          <w:szCs w:val="24"/>
        </w:rPr>
        <w:tab/>
        <w:t>Collection Schedule</w:t>
      </w:r>
      <w:bookmarkEnd w:id="43"/>
      <w:bookmarkEnd w:id="44"/>
    </w:p>
    <w:p w14:paraId="1AB17DF3" w14:textId="77777777" w:rsidR="001B7421" w:rsidRPr="00FF416C" w:rsidRDefault="001B7421"/>
    <w:p w14:paraId="2639979D" w14:textId="77777777" w:rsidR="00FE4AC8" w:rsidRPr="00FF416C" w:rsidRDefault="001B7421" w:rsidP="002A6AE6">
      <w:pPr>
        <w:ind w:firstLine="720"/>
        <w:rPr>
          <w:b/>
          <w:bCs/>
        </w:rPr>
      </w:pPr>
      <w:r w:rsidRPr="00FF416C">
        <w:t>Organizations may submit an application for recognition at any time.</w:t>
      </w:r>
    </w:p>
    <w:p w14:paraId="0A7A2EB1" w14:textId="77777777" w:rsidR="00FE4AC8" w:rsidRPr="00FF416C" w:rsidRDefault="00FE4AC8">
      <w:pPr>
        <w:rPr>
          <w:b/>
          <w:bCs/>
        </w:rPr>
      </w:pPr>
    </w:p>
    <w:p w14:paraId="0C5DE8D0" w14:textId="77777777" w:rsidR="00FE4AC8" w:rsidRPr="00FF416C" w:rsidRDefault="00FE4AC8">
      <w:pPr>
        <w:rPr>
          <w:b/>
          <w:bCs/>
        </w:rPr>
      </w:pPr>
    </w:p>
    <w:p w14:paraId="09B922FF" w14:textId="77777777" w:rsidR="001B7421" w:rsidRPr="00FF416C" w:rsidRDefault="001B7421" w:rsidP="001B7421">
      <w:pPr>
        <w:pStyle w:val="Heading1"/>
      </w:pPr>
      <w:r w:rsidRPr="00FF416C">
        <w:rPr>
          <w:lang w:val="en-CA"/>
        </w:rPr>
        <w:fldChar w:fldCharType="begin"/>
      </w:r>
      <w:r w:rsidRPr="00FF416C">
        <w:rPr>
          <w:lang w:val="en-CA"/>
        </w:rPr>
        <w:instrText xml:space="preserve"> SEQ CHAPTER \h \r 1</w:instrText>
      </w:r>
      <w:r w:rsidRPr="00FF416C">
        <w:rPr>
          <w:lang w:val="en-CA"/>
        </w:rPr>
        <w:fldChar w:fldCharType="end"/>
      </w:r>
      <w:bookmarkStart w:id="45" w:name="_Toc160347328"/>
      <w:bookmarkStart w:id="46" w:name="_Toc227390390"/>
      <w:bookmarkStart w:id="47" w:name="_Toc442977119"/>
      <w:r w:rsidRPr="00FF416C">
        <w:t>6.</w:t>
      </w:r>
      <w:r w:rsidRPr="00FF416C">
        <w:tab/>
        <w:t>ESTIMATING THE BURDEN AND COST OF THE COLLECTION</w:t>
      </w:r>
      <w:bookmarkEnd w:id="45"/>
      <w:bookmarkEnd w:id="46"/>
      <w:bookmarkEnd w:id="47"/>
    </w:p>
    <w:p w14:paraId="1E80434A" w14:textId="77777777" w:rsidR="001B7421" w:rsidRPr="00FF416C" w:rsidRDefault="001B7421" w:rsidP="001B7421"/>
    <w:p w14:paraId="39A23FA1" w14:textId="77777777" w:rsidR="001B7421" w:rsidRPr="00FF416C" w:rsidRDefault="001B7421" w:rsidP="001B7421">
      <w:pPr>
        <w:pStyle w:val="Heading2"/>
        <w:jc w:val="left"/>
        <w:rPr>
          <w:sz w:val="24"/>
          <w:szCs w:val="24"/>
        </w:rPr>
      </w:pPr>
      <w:r w:rsidRPr="00FF416C">
        <w:rPr>
          <w:sz w:val="24"/>
          <w:szCs w:val="24"/>
        </w:rPr>
        <w:tab/>
      </w:r>
      <w:bookmarkStart w:id="48" w:name="_Toc160347329"/>
      <w:bookmarkStart w:id="49" w:name="_Toc227390391"/>
      <w:bookmarkStart w:id="50" w:name="_Toc442977120"/>
      <w:r w:rsidRPr="00FF416C">
        <w:rPr>
          <w:sz w:val="24"/>
          <w:szCs w:val="24"/>
        </w:rPr>
        <w:t>6(a)</w:t>
      </w:r>
      <w:r w:rsidRPr="00FF416C">
        <w:rPr>
          <w:sz w:val="24"/>
          <w:szCs w:val="24"/>
        </w:rPr>
        <w:tab/>
        <w:t>Estimating Respondent Burden</w:t>
      </w:r>
      <w:bookmarkEnd w:id="48"/>
      <w:bookmarkEnd w:id="49"/>
      <w:bookmarkEnd w:id="50"/>
    </w:p>
    <w:p w14:paraId="206FE3D9" w14:textId="77777777" w:rsidR="001B7421" w:rsidRPr="00FF416C" w:rsidRDefault="001B7421" w:rsidP="001B7421"/>
    <w:p w14:paraId="7F84C5EF" w14:textId="77777777" w:rsidR="001B7421" w:rsidRPr="00FF416C" w:rsidRDefault="001B7421" w:rsidP="002A6AE6">
      <w:pPr>
        <w:pStyle w:val="BodyText"/>
        <w:ind w:firstLine="720"/>
        <w:rPr>
          <w:rFonts w:ascii="Times New Roman" w:hAnsi="Times New Roman" w:cs="Times New Roman"/>
          <w:sz w:val="24"/>
        </w:rPr>
      </w:pPr>
      <w:r w:rsidRPr="00FF416C">
        <w:rPr>
          <w:rFonts w:ascii="Times New Roman" w:hAnsi="Times New Roman" w:cs="Times New Roman"/>
          <w:sz w:val="24"/>
        </w:rPr>
        <w:t xml:space="preserve">The average respondent burden is estimated to be </w:t>
      </w:r>
      <w:r w:rsidR="00D87028" w:rsidRPr="00FF416C">
        <w:rPr>
          <w:rFonts w:ascii="Times New Roman" w:hAnsi="Times New Roman" w:cs="Times New Roman"/>
          <w:sz w:val="24"/>
        </w:rPr>
        <w:t>16</w:t>
      </w:r>
      <w:r w:rsidRPr="00FF416C">
        <w:rPr>
          <w:rFonts w:ascii="Times New Roman" w:hAnsi="Times New Roman" w:cs="Times New Roman"/>
          <w:sz w:val="24"/>
        </w:rPr>
        <w:t xml:space="preserve"> hours for </w:t>
      </w:r>
      <w:r w:rsidR="00D87028" w:rsidRPr="00FF416C">
        <w:rPr>
          <w:rFonts w:ascii="Times New Roman" w:hAnsi="Times New Roman" w:cs="Times New Roman"/>
          <w:sz w:val="24"/>
        </w:rPr>
        <w:t xml:space="preserve">new </w:t>
      </w:r>
      <w:r w:rsidRPr="00FF416C">
        <w:rPr>
          <w:rFonts w:ascii="Times New Roman" w:hAnsi="Times New Roman" w:cs="Times New Roman"/>
          <w:sz w:val="24"/>
        </w:rPr>
        <w:t>product formulators</w:t>
      </w:r>
      <w:r w:rsidR="005773CD" w:rsidRPr="00FF416C">
        <w:rPr>
          <w:rFonts w:ascii="Times New Roman" w:hAnsi="Times New Roman" w:cs="Times New Roman"/>
          <w:sz w:val="24"/>
        </w:rPr>
        <w:t xml:space="preserve"> </w:t>
      </w:r>
      <w:r w:rsidR="001A24C3" w:rsidRPr="00FF416C">
        <w:rPr>
          <w:rFonts w:ascii="Times New Roman" w:hAnsi="Times New Roman" w:cs="Times New Roman"/>
          <w:sz w:val="24"/>
        </w:rPr>
        <w:t xml:space="preserve">and </w:t>
      </w:r>
      <w:r w:rsidR="00A715C5" w:rsidRPr="00FF416C">
        <w:rPr>
          <w:rFonts w:ascii="Times New Roman" w:hAnsi="Times New Roman" w:cs="Times New Roman"/>
          <w:sz w:val="24"/>
        </w:rPr>
        <w:t>8</w:t>
      </w:r>
      <w:r w:rsidR="001A24C3" w:rsidRPr="00FF416C">
        <w:rPr>
          <w:rFonts w:ascii="Times New Roman" w:hAnsi="Times New Roman" w:cs="Times New Roman"/>
          <w:sz w:val="24"/>
        </w:rPr>
        <w:t xml:space="preserve"> hours for product formulators wishing to add third-party partners and products</w:t>
      </w:r>
      <w:r w:rsidRPr="00FF416C">
        <w:rPr>
          <w:rFonts w:ascii="Times New Roman" w:hAnsi="Times New Roman" w:cs="Times New Roman"/>
          <w:sz w:val="24"/>
        </w:rPr>
        <w:t xml:space="preserve"> (see Exhibit 6.2). EPA used professional judgment to arrive at a burden estimate and then consulted representatives from the participant categories to make sure the burden estimates were </w:t>
      </w:r>
      <w:r w:rsidR="008F4212">
        <w:rPr>
          <w:rFonts w:ascii="Times New Roman" w:hAnsi="Times New Roman" w:cs="Times New Roman"/>
          <w:sz w:val="24"/>
        </w:rPr>
        <w:t>reasonable (see section 3(c)).</w:t>
      </w:r>
    </w:p>
    <w:p w14:paraId="23AA5451" w14:textId="77777777" w:rsidR="001B7421" w:rsidRPr="00FF416C" w:rsidRDefault="001B7421" w:rsidP="001B7421"/>
    <w:p w14:paraId="58716FE1" w14:textId="77777777" w:rsidR="001B7421" w:rsidRPr="00FF416C" w:rsidRDefault="001B7421" w:rsidP="002A6AE6">
      <w:pPr>
        <w:pStyle w:val="BodyText"/>
        <w:ind w:firstLine="720"/>
        <w:rPr>
          <w:rFonts w:ascii="Times New Roman" w:hAnsi="Times New Roman" w:cs="Times New Roman"/>
          <w:sz w:val="24"/>
        </w:rPr>
      </w:pPr>
      <w:r w:rsidRPr="00FF416C">
        <w:rPr>
          <w:rFonts w:ascii="Times New Roman" w:hAnsi="Times New Roman" w:cs="Times New Roman"/>
          <w:sz w:val="24"/>
        </w:rPr>
        <w:t xml:space="preserve">EPA expects that for a typical product formulator, program and application review will take about </w:t>
      </w:r>
      <w:r w:rsidR="005977D9" w:rsidRPr="00FF416C">
        <w:rPr>
          <w:rFonts w:ascii="Times New Roman" w:hAnsi="Times New Roman" w:cs="Times New Roman"/>
          <w:sz w:val="24"/>
        </w:rPr>
        <w:t>2</w:t>
      </w:r>
      <w:r w:rsidR="00A500F0" w:rsidRPr="00FF416C">
        <w:rPr>
          <w:rFonts w:ascii="Times New Roman" w:hAnsi="Times New Roman" w:cs="Times New Roman"/>
          <w:sz w:val="24"/>
        </w:rPr>
        <w:t xml:space="preserve"> </w:t>
      </w:r>
      <w:r w:rsidRPr="00FF416C">
        <w:rPr>
          <w:rFonts w:ascii="Times New Roman" w:hAnsi="Times New Roman" w:cs="Times New Roman"/>
          <w:sz w:val="24"/>
        </w:rPr>
        <w:t>hours (1 managerial, 1</w:t>
      </w:r>
      <w:r w:rsidR="00732E1A" w:rsidRPr="00FF416C">
        <w:rPr>
          <w:rFonts w:ascii="Times New Roman" w:hAnsi="Times New Roman" w:cs="Times New Roman"/>
          <w:sz w:val="24"/>
        </w:rPr>
        <w:t xml:space="preserve"> </w:t>
      </w:r>
      <w:r w:rsidRPr="00FF416C">
        <w:rPr>
          <w:rFonts w:ascii="Times New Roman" w:hAnsi="Times New Roman" w:cs="Times New Roman"/>
          <w:sz w:val="24"/>
        </w:rPr>
        <w:t>technical)</w:t>
      </w:r>
      <w:r w:rsidR="000B4D7C">
        <w:rPr>
          <w:rFonts w:ascii="Times New Roman" w:hAnsi="Times New Roman" w:cs="Times New Roman"/>
          <w:sz w:val="24"/>
        </w:rPr>
        <w:t xml:space="preserve">. </w:t>
      </w:r>
      <w:r w:rsidRPr="00FF416C">
        <w:rPr>
          <w:rFonts w:ascii="Times New Roman" w:hAnsi="Times New Roman" w:cs="Times New Roman"/>
          <w:sz w:val="24"/>
        </w:rPr>
        <w:t>Filling out and submitting third-party</w:t>
      </w:r>
      <w:r w:rsidR="0012009A" w:rsidRPr="00FF416C">
        <w:rPr>
          <w:rFonts w:ascii="Times New Roman" w:hAnsi="Times New Roman" w:cs="Times New Roman"/>
          <w:sz w:val="24"/>
        </w:rPr>
        <w:t xml:space="preserve"> profiler</w:t>
      </w:r>
      <w:r w:rsidRPr="00FF416C">
        <w:rPr>
          <w:rFonts w:ascii="Times New Roman" w:hAnsi="Times New Roman" w:cs="Times New Roman"/>
          <w:sz w:val="24"/>
        </w:rPr>
        <w:t xml:space="preserve"> information request forms will take about </w:t>
      </w:r>
      <w:r w:rsidR="00D87028" w:rsidRPr="00FF416C">
        <w:rPr>
          <w:rFonts w:ascii="Times New Roman" w:hAnsi="Times New Roman" w:cs="Times New Roman"/>
          <w:sz w:val="24"/>
        </w:rPr>
        <w:t>6</w:t>
      </w:r>
      <w:r w:rsidRPr="00FF416C">
        <w:rPr>
          <w:rFonts w:ascii="Times New Roman" w:hAnsi="Times New Roman" w:cs="Times New Roman"/>
          <w:sz w:val="24"/>
        </w:rPr>
        <w:t xml:space="preserve"> hours (</w:t>
      </w:r>
      <w:r w:rsidR="00D87028" w:rsidRPr="00FF416C">
        <w:rPr>
          <w:rFonts w:ascii="Times New Roman" w:hAnsi="Times New Roman" w:cs="Times New Roman"/>
          <w:sz w:val="24"/>
        </w:rPr>
        <w:t xml:space="preserve">5 </w:t>
      </w:r>
      <w:r w:rsidRPr="00FF416C">
        <w:rPr>
          <w:rFonts w:ascii="Times New Roman" w:hAnsi="Times New Roman" w:cs="Times New Roman"/>
          <w:sz w:val="24"/>
        </w:rPr>
        <w:t>technical, 1 clerical), and then establishing an agreement with the third</w:t>
      </w:r>
      <w:r w:rsidR="0012009A" w:rsidRPr="00FF416C">
        <w:rPr>
          <w:rFonts w:ascii="Times New Roman" w:hAnsi="Times New Roman" w:cs="Times New Roman"/>
          <w:sz w:val="24"/>
        </w:rPr>
        <w:t>-</w:t>
      </w:r>
      <w:r w:rsidRPr="00FF416C">
        <w:rPr>
          <w:rFonts w:ascii="Times New Roman" w:hAnsi="Times New Roman" w:cs="Times New Roman"/>
          <w:sz w:val="24"/>
        </w:rPr>
        <w:t xml:space="preserve">party </w:t>
      </w:r>
      <w:r w:rsidR="0012009A" w:rsidRPr="00FF416C">
        <w:rPr>
          <w:rFonts w:ascii="Times New Roman" w:hAnsi="Times New Roman" w:cs="Times New Roman"/>
          <w:sz w:val="24"/>
        </w:rPr>
        <w:t xml:space="preserve">profiler </w:t>
      </w:r>
      <w:r w:rsidRPr="00FF416C">
        <w:rPr>
          <w:rFonts w:ascii="Times New Roman" w:hAnsi="Times New Roman" w:cs="Times New Roman"/>
          <w:sz w:val="24"/>
        </w:rPr>
        <w:t>will take about 3 hours (1 managerial, 1 technical, 1 clerical)</w:t>
      </w:r>
      <w:r w:rsidR="000B4D7C">
        <w:rPr>
          <w:rFonts w:ascii="Times New Roman" w:hAnsi="Times New Roman" w:cs="Times New Roman"/>
          <w:sz w:val="24"/>
        </w:rPr>
        <w:t xml:space="preserve">. </w:t>
      </w:r>
      <w:r w:rsidRPr="00FF416C">
        <w:rPr>
          <w:rFonts w:ascii="Times New Roman" w:hAnsi="Times New Roman" w:cs="Times New Roman"/>
          <w:sz w:val="24"/>
        </w:rPr>
        <w:t xml:space="preserve">Submitting a summary report to </w:t>
      </w:r>
      <w:r w:rsidR="00D87028" w:rsidRPr="00FF416C">
        <w:rPr>
          <w:rFonts w:ascii="Times New Roman" w:hAnsi="Times New Roman" w:cs="Times New Roman"/>
          <w:sz w:val="24"/>
        </w:rPr>
        <w:t xml:space="preserve">Safer Choice </w:t>
      </w:r>
      <w:r w:rsidRPr="00FF416C">
        <w:rPr>
          <w:rFonts w:ascii="Times New Roman" w:hAnsi="Times New Roman" w:cs="Times New Roman"/>
          <w:sz w:val="24"/>
        </w:rPr>
        <w:t>will take about 2 hours (1 managerial, 1 technical)</w:t>
      </w:r>
      <w:r w:rsidR="000B4D7C">
        <w:rPr>
          <w:rFonts w:ascii="Times New Roman" w:hAnsi="Times New Roman" w:cs="Times New Roman"/>
          <w:sz w:val="24"/>
        </w:rPr>
        <w:t xml:space="preserve">. </w:t>
      </w:r>
      <w:r w:rsidRPr="00FF416C">
        <w:rPr>
          <w:rFonts w:ascii="Times New Roman" w:hAnsi="Times New Roman" w:cs="Times New Roman"/>
          <w:sz w:val="24"/>
        </w:rPr>
        <w:t xml:space="preserve">Finally, establishing a Partnership Agreement </w:t>
      </w:r>
      <w:r w:rsidR="00D87028" w:rsidRPr="00FF416C">
        <w:rPr>
          <w:rFonts w:ascii="Times New Roman" w:hAnsi="Times New Roman" w:cs="Times New Roman"/>
          <w:sz w:val="24"/>
        </w:rPr>
        <w:t xml:space="preserve">with Safer Choice </w:t>
      </w:r>
      <w:r w:rsidRPr="00FF416C">
        <w:rPr>
          <w:rFonts w:ascii="Times New Roman" w:hAnsi="Times New Roman" w:cs="Times New Roman"/>
          <w:sz w:val="24"/>
        </w:rPr>
        <w:t>will take 3 hou</w:t>
      </w:r>
      <w:r w:rsidR="008F4212">
        <w:rPr>
          <w:rFonts w:ascii="Times New Roman" w:hAnsi="Times New Roman" w:cs="Times New Roman"/>
          <w:sz w:val="24"/>
        </w:rPr>
        <w:t>rs (1 managerial, 2 technical).</w:t>
      </w:r>
    </w:p>
    <w:p w14:paraId="12DDFD62" w14:textId="77777777" w:rsidR="009C0CCB" w:rsidRPr="00FF416C" w:rsidRDefault="009C0CCB" w:rsidP="001B7421">
      <w:pPr>
        <w:pStyle w:val="BodyText"/>
        <w:rPr>
          <w:rFonts w:ascii="Times New Roman" w:hAnsi="Times New Roman" w:cs="Times New Roman"/>
          <w:sz w:val="24"/>
        </w:rPr>
      </w:pPr>
    </w:p>
    <w:p w14:paraId="694E48A1" w14:textId="77777777" w:rsidR="009C0CCB" w:rsidRPr="00FF416C" w:rsidRDefault="009C0CCB" w:rsidP="002A6AE6">
      <w:pPr>
        <w:pStyle w:val="BodyText"/>
        <w:ind w:firstLine="720"/>
        <w:rPr>
          <w:rFonts w:ascii="Times New Roman" w:hAnsi="Times New Roman" w:cs="Times New Roman"/>
          <w:sz w:val="24"/>
        </w:rPr>
      </w:pPr>
      <w:r w:rsidRPr="00FF416C">
        <w:rPr>
          <w:rFonts w:ascii="Times New Roman" w:hAnsi="Times New Roman" w:cs="Times New Roman"/>
          <w:sz w:val="24"/>
        </w:rPr>
        <w:t xml:space="preserve">For a typical addition of a third-party partner and products, program and application review will take about </w:t>
      </w:r>
      <w:r w:rsidR="000510EB" w:rsidRPr="00FF416C">
        <w:rPr>
          <w:rFonts w:ascii="Times New Roman" w:hAnsi="Times New Roman" w:cs="Times New Roman"/>
          <w:sz w:val="24"/>
        </w:rPr>
        <w:t>2</w:t>
      </w:r>
      <w:r w:rsidRPr="00FF416C">
        <w:rPr>
          <w:rFonts w:ascii="Times New Roman" w:hAnsi="Times New Roman" w:cs="Times New Roman"/>
          <w:sz w:val="24"/>
        </w:rPr>
        <w:t xml:space="preserve"> hours (1</w:t>
      </w:r>
      <w:r w:rsidR="005977D9" w:rsidRPr="00FF416C">
        <w:rPr>
          <w:rFonts w:ascii="Times New Roman" w:hAnsi="Times New Roman" w:cs="Times New Roman"/>
          <w:sz w:val="24"/>
        </w:rPr>
        <w:t xml:space="preserve"> </w:t>
      </w:r>
      <w:r w:rsidRPr="00FF416C">
        <w:rPr>
          <w:rFonts w:ascii="Times New Roman" w:hAnsi="Times New Roman" w:cs="Times New Roman"/>
          <w:sz w:val="24"/>
        </w:rPr>
        <w:t>managerial, 1</w:t>
      </w:r>
      <w:r w:rsidR="005977D9" w:rsidRPr="00FF416C">
        <w:rPr>
          <w:rFonts w:ascii="Times New Roman" w:hAnsi="Times New Roman" w:cs="Times New Roman"/>
          <w:sz w:val="24"/>
        </w:rPr>
        <w:t xml:space="preserve"> </w:t>
      </w:r>
      <w:r w:rsidRPr="00FF416C">
        <w:rPr>
          <w:rFonts w:ascii="Times New Roman" w:hAnsi="Times New Roman" w:cs="Times New Roman"/>
          <w:sz w:val="24"/>
        </w:rPr>
        <w:t xml:space="preserve">technical). Filling out and submitting </w:t>
      </w:r>
      <w:r w:rsidR="00A839D5" w:rsidRPr="00FF416C">
        <w:rPr>
          <w:rFonts w:ascii="Times New Roman" w:hAnsi="Times New Roman" w:cs="Times New Roman"/>
          <w:sz w:val="24"/>
        </w:rPr>
        <w:t>one</w:t>
      </w:r>
      <w:r w:rsidRPr="00FF416C">
        <w:rPr>
          <w:rFonts w:ascii="Times New Roman" w:hAnsi="Times New Roman" w:cs="Times New Roman"/>
          <w:sz w:val="24"/>
        </w:rPr>
        <w:t xml:space="preserve"> </w:t>
      </w:r>
      <w:r w:rsidR="00D87028" w:rsidRPr="00FF416C">
        <w:rPr>
          <w:rFonts w:ascii="Times New Roman" w:hAnsi="Times New Roman" w:cs="Times New Roman"/>
          <w:sz w:val="24"/>
        </w:rPr>
        <w:t xml:space="preserve">Safer Choice Program </w:t>
      </w:r>
      <w:r w:rsidRPr="00FF416C">
        <w:rPr>
          <w:rFonts w:ascii="Times New Roman" w:hAnsi="Times New Roman" w:cs="Times New Roman"/>
          <w:sz w:val="24"/>
        </w:rPr>
        <w:t>Form for Adding Third-Party Partners and Products (Private Label Companies, Licensees, or Toll Manufacturers) is estimated to take about</w:t>
      </w:r>
      <w:r w:rsidR="00A839D5" w:rsidRPr="00FF416C">
        <w:rPr>
          <w:rFonts w:ascii="Times New Roman" w:hAnsi="Times New Roman" w:cs="Times New Roman"/>
          <w:sz w:val="24"/>
        </w:rPr>
        <w:t xml:space="preserve"> </w:t>
      </w:r>
      <w:r w:rsidR="004E44BB" w:rsidRPr="00FF416C">
        <w:rPr>
          <w:rFonts w:ascii="Times New Roman" w:hAnsi="Times New Roman" w:cs="Times New Roman"/>
          <w:sz w:val="24"/>
        </w:rPr>
        <w:t>2 hours</w:t>
      </w:r>
      <w:r w:rsidRPr="00FF416C">
        <w:rPr>
          <w:rFonts w:ascii="Times New Roman" w:hAnsi="Times New Roman" w:cs="Times New Roman"/>
          <w:sz w:val="24"/>
        </w:rPr>
        <w:t xml:space="preserve"> (</w:t>
      </w:r>
      <w:r w:rsidR="00D87028" w:rsidRPr="00FF416C">
        <w:rPr>
          <w:rFonts w:ascii="Times New Roman" w:hAnsi="Times New Roman" w:cs="Times New Roman"/>
          <w:sz w:val="24"/>
        </w:rPr>
        <w:t xml:space="preserve">1.5 </w:t>
      </w:r>
      <w:r w:rsidR="00242E77" w:rsidRPr="00FF416C">
        <w:rPr>
          <w:rFonts w:ascii="Times New Roman" w:hAnsi="Times New Roman" w:cs="Times New Roman"/>
          <w:sz w:val="24"/>
        </w:rPr>
        <w:t>technical</w:t>
      </w:r>
      <w:r w:rsidRPr="00FF416C">
        <w:rPr>
          <w:rFonts w:ascii="Times New Roman" w:hAnsi="Times New Roman" w:cs="Times New Roman"/>
          <w:sz w:val="24"/>
        </w:rPr>
        <w:t xml:space="preserve">, </w:t>
      </w:r>
      <w:r w:rsidR="00242E77" w:rsidRPr="00FF416C">
        <w:rPr>
          <w:rFonts w:ascii="Times New Roman" w:hAnsi="Times New Roman" w:cs="Times New Roman"/>
          <w:sz w:val="24"/>
        </w:rPr>
        <w:t>0.5</w:t>
      </w:r>
      <w:r w:rsidRPr="00FF416C">
        <w:rPr>
          <w:rFonts w:ascii="Times New Roman" w:hAnsi="Times New Roman" w:cs="Times New Roman"/>
          <w:sz w:val="24"/>
        </w:rPr>
        <w:t xml:space="preserve"> </w:t>
      </w:r>
      <w:r w:rsidR="00242E77" w:rsidRPr="00FF416C">
        <w:rPr>
          <w:rFonts w:ascii="Times New Roman" w:hAnsi="Times New Roman" w:cs="Times New Roman"/>
          <w:sz w:val="24"/>
        </w:rPr>
        <w:t>clerical</w:t>
      </w:r>
      <w:r w:rsidRPr="00FF416C">
        <w:rPr>
          <w:rFonts w:ascii="Times New Roman" w:hAnsi="Times New Roman" w:cs="Times New Roman"/>
          <w:sz w:val="24"/>
        </w:rPr>
        <w:t xml:space="preserve">). </w:t>
      </w:r>
      <w:r w:rsidR="00A839D5" w:rsidRPr="00FF416C">
        <w:rPr>
          <w:rFonts w:ascii="Times New Roman" w:hAnsi="Times New Roman" w:cs="Times New Roman"/>
          <w:sz w:val="24"/>
        </w:rPr>
        <w:t xml:space="preserve">On average, a partner will fill out 3 third-party partners and products forms annually. Therefore, it is estimated that it will take one respondent </w:t>
      </w:r>
      <w:r w:rsidR="00D87028" w:rsidRPr="00FF416C">
        <w:rPr>
          <w:rFonts w:ascii="Times New Roman" w:hAnsi="Times New Roman" w:cs="Times New Roman"/>
          <w:sz w:val="24"/>
        </w:rPr>
        <w:t xml:space="preserve">6 </w:t>
      </w:r>
      <w:r w:rsidR="00A839D5" w:rsidRPr="00FF416C">
        <w:rPr>
          <w:rFonts w:ascii="Times New Roman" w:hAnsi="Times New Roman" w:cs="Times New Roman"/>
          <w:sz w:val="24"/>
        </w:rPr>
        <w:t>hours (</w:t>
      </w:r>
      <w:r w:rsidR="00D87028" w:rsidRPr="00FF416C">
        <w:rPr>
          <w:rFonts w:ascii="Times New Roman" w:hAnsi="Times New Roman" w:cs="Times New Roman"/>
          <w:sz w:val="24"/>
        </w:rPr>
        <w:t xml:space="preserve">4.5 </w:t>
      </w:r>
      <w:r w:rsidR="00242E77" w:rsidRPr="00FF416C">
        <w:rPr>
          <w:rFonts w:ascii="Times New Roman" w:hAnsi="Times New Roman" w:cs="Times New Roman"/>
          <w:sz w:val="24"/>
        </w:rPr>
        <w:t>technical</w:t>
      </w:r>
      <w:r w:rsidR="00A839D5" w:rsidRPr="00FF416C">
        <w:rPr>
          <w:rFonts w:ascii="Times New Roman" w:hAnsi="Times New Roman" w:cs="Times New Roman"/>
          <w:sz w:val="24"/>
        </w:rPr>
        <w:t xml:space="preserve">, </w:t>
      </w:r>
      <w:r w:rsidR="00242E77" w:rsidRPr="00FF416C">
        <w:rPr>
          <w:rFonts w:ascii="Times New Roman" w:hAnsi="Times New Roman" w:cs="Times New Roman"/>
          <w:sz w:val="24"/>
        </w:rPr>
        <w:t>1.5 clerical) to add third-party partners and products.</w:t>
      </w:r>
    </w:p>
    <w:p w14:paraId="7B4532E2" w14:textId="77777777" w:rsidR="001B7421" w:rsidRPr="00FF416C" w:rsidRDefault="001B7421" w:rsidP="001B7421">
      <w:pPr>
        <w:pStyle w:val="BodyText"/>
        <w:rPr>
          <w:rFonts w:ascii="Times New Roman" w:hAnsi="Times New Roman" w:cs="Times New Roman"/>
          <w:sz w:val="24"/>
        </w:rPr>
      </w:pPr>
    </w:p>
    <w:p w14:paraId="28BE059C" w14:textId="77777777" w:rsidR="001B7421" w:rsidRPr="00FF416C" w:rsidRDefault="001B7421" w:rsidP="002A6AE6">
      <w:pPr>
        <w:autoSpaceDE w:val="0"/>
        <w:autoSpaceDN w:val="0"/>
        <w:adjustRightInd w:val="0"/>
        <w:ind w:firstLine="720"/>
        <w:rPr>
          <w:color w:val="000000"/>
        </w:rPr>
      </w:pPr>
      <w:r w:rsidRPr="00FF416C">
        <w:rPr>
          <w:color w:val="000000"/>
        </w:rPr>
        <w:t>In addition to the burden associated with first-time submission of applications, each formulator has the opportunity to renew its Partnership Agreement at the end of the three-year partnership period. This means that once every three years, the formulator re-submits its application for each partnership product to confirm that no changes have been made to ingredients</w:t>
      </w:r>
      <w:r w:rsidR="000B4D7C">
        <w:rPr>
          <w:color w:val="000000"/>
        </w:rPr>
        <w:t xml:space="preserve">. </w:t>
      </w:r>
      <w:r w:rsidRPr="00FF416C">
        <w:rPr>
          <w:color w:val="000000"/>
        </w:rPr>
        <w:t>EPA then evaluates the application</w:t>
      </w:r>
      <w:r w:rsidR="000B4D7C">
        <w:rPr>
          <w:color w:val="000000"/>
        </w:rPr>
        <w:t xml:space="preserve">. </w:t>
      </w:r>
      <w:r w:rsidRPr="00FF416C">
        <w:rPr>
          <w:color w:val="000000"/>
        </w:rPr>
        <w:t xml:space="preserve">EPA estimates that the partnership renewal process will take </w:t>
      </w:r>
      <w:r w:rsidR="006A06AB" w:rsidRPr="00FF416C">
        <w:rPr>
          <w:color w:val="000000"/>
        </w:rPr>
        <w:t xml:space="preserve">4 </w:t>
      </w:r>
      <w:r w:rsidRPr="00FF416C">
        <w:rPr>
          <w:color w:val="000000"/>
        </w:rPr>
        <w:t>hours (</w:t>
      </w:r>
      <w:r w:rsidR="006A06AB" w:rsidRPr="00FF416C">
        <w:rPr>
          <w:color w:val="000000"/>
        </w:rPr>
        <w:t xml:space="preserve">3 </w:t>
      </w:r>
      <w:r w:rsidRPr="00FF416C">
        <w:rPr>
          <w:color w:val="000000"/>
        </w:rPr>
        <w:t>technical, 1 clerical) for cleaning and non-cleaning product formulators.</w:t>
      </w:r>
    </w:p>
    <w:p w14:paraId="1CE9EEBE" w14:textId="77777777" w:rsidR="00A867B8" w:rsidRPr="00FF416C" w:rsidRDefault="00A867B8" w:rsidP="001B7421">
      <w:pPr>
        <w:autoSpaceDE w:val="0"/>
        <w:autoSpaceDN w:val="0"/>
        <w:adjustRightInd w:val="0"/>
        <w:rPr>
          <w:color w:val="000000"/>
        </w:rPr>
      </w:pPr>
    </w:p>
    <w:p w14:paraId="5578A3EC" w14:textId="77777777" w:rsidR="001B7421" w:rsidRPr="00FF416C" w:rsidRDefault="001B7421" w:rsidP="002A6AE6">
      <w:pPr>
        <w:autoSpaceDE w:val="0"/>
        <w:autoSpaceDN w:val="0"/>
        <w:adjustRightInd w:val="0"/>
        <w:ind w:firstLine="720"/>
      </w:pPr>
      <w:r w:rsidRPr="00FF416C">
        <w:rPr>
          <w:color w:val="000000"/>
        </w:rPr>
        <w:t xml:space="preserve">For purposes of this ICR, EPA expects that </w:t>
      </w:r>
      <w:r w:rsidR="00923C91" w:rsidRPr="00FF416C">
        <w:rPr>
          <w:color w:val="000000"/>
        </w:rPr>
        <w:t xml:space="preserve">108 </w:t>
      </w:r>
      <w:r w:rsidRPr="00FF416C">
        <w:rPr>
          <w:color w:val="000000"/>
        </w:rPr>
        <w:t>(see Section 6</w:t>
      </w:r>
      <w:r w:rsidR="00457BFA" w:rsidRPr="00FF416C">
        <w:rPr>
          <w:color w:val="000000"/>
        </w:rPr>
        <w:t>(e)</w:t>
      </w:r>
      <w:r w:rsidRPr="00FF416C">
        <w:rPr>
          <w:color w:val="000000"/>
        </w:rPr>
        <w:t xml:space="preserve"> on estimating the respondent universe) product formulators will choose to renew their partnerships</w:t>
      </w:r>
      <w:r w:rsidR="000B4D7C">
        <w:rPr>
          <w:color w:val="000000"/>
        </w:rPr>
        <w:t xml:space="preserve">. </w:t>
      </w:r>
      <w:r w:rsidRPr="00FF416C">
        <w:rPr>
          <w:color w:val="000000"/>
        </w:rPr>
        <w:t xml:space="preserve">Furthermore, EPA anticipates that one in ten product formulators </w:t>
      </w:r>
      <w:r w:rsidR="00941A3F" w:rsidRPr="00FF416C">
        <w:rPr>
          <w:color w:val="000000"/>
        </w:rPr>
        <w:t xml:space="preserve">(i.e., 12) </w:t>
      </w:r>
      <w:r w:rsidRPr="00FF416C">
        <w:rPr>
          <w:color w:val="000000"/>
        </w:rPr>
        <w:t>over the three-year period of this ICR will need to make improvements to their formulations so that they contain the safest ingredients within each functional use class; in these cases, a new partnership approval process, as described above, will be triggered</w:t>
      </w:r>
      <w:r w:rsidR="000B4D7C">
        <w:rPr>
          <w:color w:val="000000"/>
        </w:rPr>
        <w:t xml:space="preserve">. </w:t>
      </w:r>
      <w:r w:rsidRPr="00FF416C">
        <w:rPr>
          <w:color w:val="000000"/>
        </w:rPr>
        <w:t>The associated burden for completing the new partnership approval process is assumed to be the same as first-time</w:t>
      </w:r>
      <w:r w:rsidR="00795FF4" w:rsidRPr="00FF416C">
        <w:rPr>
          <w:color w:val="000000"/>
        </w:rPr>
        <w:t xml:space="preserve"> </w:t>
      </w:r>
      <w:r w:rsidRPr="00FF416C">
        <w:rPr>
          <w:color w:val="000000"/>
        </w:rPr>
        <w:t>submission.</w:t>
      </w:r>
    </w:p>
    <w:p w14:paraId="103577B8" w14:textId="77777777" w:rsidR="001B7421" w:rsidRPr="00FF416C" w:rsidRDefault="001B7421" w:rsidP="001B7421">
      <w:pPr>
        <w:autoSpaceDE w:val="0"/>
        <w:autoSpaceDN w:val="0"/>
        <w:adjustRightInd w:val="0"/>
      </w:pPr>
    </w:p>
    <w:p w14:paraId="6E3E7F4B" w14:textId="77777777" w:rsidR="004C068F" w:rsidRPr="00FF416C" w:rsidRDefault="001B7421" w:rsidP="002A6AE6">
      <w:pPr>
        <w:autoSpaceDE w:val="0"/>
        <w:autoSpaceDN w:val="0"/>
        <w:adjustRightInd w:val="0"/>
        <w:ind w:firstLine="720"/>
        <w:rPr>
          <w:color w:val="000000"/>
        </w:rPr>
      </w:pPr>
      <w:r w:rsidRPr="00FF416C">
        <w:t xml:space="preserve">As part of the application process, the third-party </w:t>
      </w:r>
      <w:r w:rsidR="0012009A" w:rsidRPr="00FF416C">
        <w:t>profiler</w:t>
      </w:r>
      <w:r w:rsidRPr="00FF416C">
        <w:t xml:space="preserve"> will also reserve the right to </w:t>
      </w:r>
      <w:r w:rsidR="009A1017" w:rsidRPr="00FF416C">
        <w:t xml:space="preserve">conduct </w:t>
      </w:r>
      <w:r w:rsidR="004C068F" w:rsidRPr="00FF416C">
        <w:t xml:space="preserve">site </w:t>
      </w:r>
      <w:r w:rsidR="009A1017" w:rsidRPr="00FF416C">
        <w:t>audits</w:t>
      </w:r>
      <w:r w:rsidR="004C068F" w:rsidRPr="00FF416C">
        <w:t xml:space="preserve"> and desk audits</w:t>
      </w:r>
      <w:r w:rsidR="009A1017" w:rsidRPr="00FF416C">
        <w:t xml:space="preserve">. </w:t>
      </w:r>
      <w:r w:rsidR="004C068F" w:rsidRPr="00FF416C">
        <w:t xml:space="preserve">The purpose of site </w:t>
      </w:r>
      <w:r w:rsidRPr="00FF416C">
        <w:t>visit</w:t>
      </w:r>
      <w:r w:rsidR="004C068F" w:rsidRPr="00FF416C">
        <w:t>s</w:t>
      </w:r>
      <w:r w:rsidRPr="00FF416C">
        <w:t xml:space="preserve"> </w:t>
      </w:r>
      <w:r w:rsidR="004C068F" w:rsidRPr="00FF416C">
        <w:t xml:space="preserve">to </w:t>
      </w:r>
      <w:r w:rsidRPr="00FF416C">
        <w:t>facilities</w:t>
      </w:r>
      <w:r w:rsidR="004C068F" w:rsidRPr="00FF416C">
        <w:t xml:space="preserve"> is</w:t>
      </w:r>
      <w:r w:rsidRPr="00FF416C">
        <w:t xml:space="preserve"> to verify that each partnership product contains the </w:t>
      </w:r>
      <w:r w:rsidRPr="00FF416C">
        <w:rPr>
          <w:color w:val="000000"/>
        </w:rPr>
        <w:t xml:space="preserve">same ingredients, in the same volumes, that are reported by the company as part of the </w:t>
      </w:r>
      <w:r w:rsidR="001C33FB" w:rsidRPr="00FF416C">
        <w:rPr>
          <w:color w:val="000000"/>
        </w:rPr>
        <w:t xml:space="preserve">Safer Choice </w:t>
      </w:r>
      <w:r w:rsidRPr="00FF416C">
        <w:rPr>
          <w:color w:val="000000"/>
        </w:rPr>
        <w:t>recognition process</w:t>
      </w:r>
      <w:r w:rsidR="000B4D7C">
        <w:rPr>
          <w:color w:val="000000"/>
        </w:rPr>
        <w:t xml:space="preserve">. </w:t>
      </w:r>
      <w:r w:rsidRPr="00FF416C">
        <w:rPr>
          <w:color w:val="000000"/>
        </w:rPr>
        <w:t>The site auditor will review batch tickets associated with each recognized product to ensure that ingredient claims are accurate</w:t>
      </w:r>
      <w:r w:rsidR="000B4D7C">
        <w:rPr>
          <w:color w:val="000000"/>
        </w:rPr>
        <w:t xml:space="preserve">. </w:t>
      </w:r>
      <w:r w:rsidR="004C068F" w:rsidRPr="00FF416C">
        <w:rPr>
          <w:color w:val="000000"/>
        </w:rPr>
        <w:t xml:space="preserve">Additional audit procedures are listed in </w:t>
      </w:r>
      <w:r w:rsidR="004C068F" w:rsidRPr="006267EA">
        <w:rPr>
          <w:color w:val="000000"/>
        </w:rPr>
        <w:t xml:space="preserve">Attachment </w:t>
      </w:r>
      <w:r w:rsidR="008E1F30" w:rsidRPr="006267EA">
        <w:rPr>
          <w:color w:val="000000"/>
        </w:rPr>
        <w:t>D</w:t>
      </w:r>
      <w:r w:rsidR="008E1F30" w:rsidRPr="00FF416C">
        <w:rPr>
          <w:color w:val="000000"/>
        </w:rPr>
        <w:t xml:space="preserve"> </w:t>
      </w:r>
      <w:r w:rsidR="004C068F" w:rsidRPr="00FF416C">
        <w:rPr>
          <w:color w:val="000000"/>
        </w:rPr>
        <w:t xml:space="preserve">of this document. </w:t>
      </w:r>
      <w:r w:rsidRPr="00FF416C">
        <w:rPr>
          <w:color w:val="000000"/>
        </w:rPr>
        <w:t>For purposes of estimating annual cost and burden in Exhibit 6.2, it is assumed that about 33% of formulators will get audited</w:t>
      </w:r>
      <w:r w:rsidR="004C068F" w:rsidRPr="00FF416C">
        <w:rPr>
          <w:color w:val="000000"/>
        </w:rPr>
        <w:t xml:space="preserve"> on-site</w:t>
      </w:r>
      <w:r w:rsidRPr="00FF416C">
        <w:rPr>
          <w:color w:val="000000"/>
        </w:rPr>
        <w:t xml:space="preserve"> each year over the three-year period of this ICR</w:t>
      </w:r>
      <w:r w:rsidR="000B4D7C">
        <w:rPr>
          <w:color w:val="000000"/>
        </w:rPr>
        <w:t xml:space="preserve">. </w:t>
      </w:r>
      <w:r w:rsidRPr="00FF416C">
        <w:rPr>
          <w:color w:val="000000"/>
        </w:rPr>
        <w:t>Each</w:t>
      </w:r>
      <w:r w:rsidR="004C068F" w:rsidRPr="00FF416C">
        <w:rPr>
          <w:color w:val="000000"/>
        </w:rPr>
        <w:t xml:space="preserve"> site</w:t>
      </w:r>
      <w:r w:rsidRPr="00FF416C">
        <w:rPr>
          <w:color w:val="000000"/>
        </w:rPr>
        <w:t xml:space="preserve"> audit is estimated to require two hours of a technical person’s time and one hour of a clerical person’s time.</w:t>
      </w:r>
      <w:r w:rsidR="004C068F" w:rsidRPr="00FF416C">
        <w:rPr>
          <w:color w:val="000000"/>
        </w:rPr>
        <w:t xml:space="preserve"> Desk audits will also be conducted by third-party profilers. Prior to the desk audit, formulators will be responsible for providing a list of all ingredients for each recognized product, product labels displaying the </w:t>
      </w:r>
      <w:r w:rsidR="006A06AB" w:rsidRPr="00FF416C">
        <w:rPr>
          <w:color w:val="000000"/>
        </w:rPr>
        <w:t xml:space="preserve">Safer Choice </w:t>
      </w:r>
      <w:r w:rsidR="004C068F" w:rsidRPr="00FF416C">
        <w:rPr>
          <w:color w:val="000000"/>
        </w:rPr>
        <w:t xml:space="preserve">logo, </w:t>
      </w:r>
      <w:r w:rsidR="00B622AC" w:rsidRPr="00FF416C">
        <w:rPr>
          <w:color w:val="000000"/>
        </w:rPr>
        <w:t xml:space="preserve">private label information (where applicable), and various other materials. For the purposes of estimating annual cost and burden in Exhibit 6.2, it is assumed that </w:t>
      </w:r>
      <w:r w:rsidR="00803A3D" w:rsidRPr="00FF416C">
        <w:rPr>
          <w:color w:val="000000"/>
        </w:rPr>
        <w:t>66% of formulators will be subject to a desk audit each year over the three-year period of this ICR. Each desk audit is estimated to require two hours of a technical person’s time and two hours of a clerical person’s time.</w:t>
      </w:r>
      <w:r w:rsidR="0028108F" w:rsidRPr="00FF416C">
        <w:rPr>
          <w:color w:val="000000"/>
        </w:rPr>
        <w:t xml:space="preserve"> As with the site audits, additional information on desk audits can be found in </w:t>
      </w:r>
      <w:r w:rsidR="0028108F" w:rsidRPr="006267EA">
        <w:rPr>
          <w:color w:val="000000"/>
        </w:rPr>
        <w:t xml:space="preserve">Attachment </w:t>
      </w:r>
      <w:r w:rsidR="008E1F30" w:rsidRPr="006267EA">
        <w:rPr>
          <w:color w:val="000000"/>
        </w:rPr>
        <w:t>D</w:t>
      </w:r>
      <w:r w:rsidR="008E1F30" w:rsidRPr="00FF416C">
        <w:rPr>
          <w:color w:val="000000"/>
        </w:rPr>
        <w:t xml:space="preserve"> </w:t>
      </w:r>
      <w:r w:rsidR="0028108F" w:rsidRPr="00FF416C">
        <w:rPr>
          <w:color w:val="000000"/>
        </w:rPr>
        <w:t>of this document.</w:t>
      </w:r>
    </w:p>
    <w:p w14:paraId="6EA65BF3" w14:textId="77777777" w:rsidR="001B7421" w:rsidRPr="00FF416C" w:rsidRDefault="001B7421" w:rsidP="001B7421">
      <w:bookmarkStart w:id="51" w:name="_Toc160347330"/>
    </w:p>
    <w:p w14:paraId="7F227548" w14:textId="77777777" w:rsidR="001B7421" w:rsidRPr="00FF416C" w:rsidRDefault="001B7421" w:rsidP="001B7421">
      <w:pPr>
        <w:pStyle w:val="Heading2"/>
        <w:ind w:firstLine="720"/>
        <w:jc w:val="left"/>
        <w:rPr>
          <w:sz w:val="24"/>
          <w:szCs w:val="24"/>
        </w:rPr>
      </w:pPr>
      <w:bookmarkStart w:id="52" w:name="_Toc227390392"/>
      <w:bookmarkStart w:id="53" w:name="_Toc442977121"/>
      <w:r w:rsidRPr="00FF416C">
        <w:rPr>
          <w:sz w:val="24"/>
          <w:szCs w:val="24"/>
        </w:rPr>
        <w:t>6(b)</w:t>
      </w:r>
      <w:r w:rsidRPr="00FF416C">
        <w:rPr>
          <w:sz w:val="24"/>
          <w:szCs w:val="24"/>
        </w:rPr>
        <w:tab/>
        <w:t>Estimating Respondent Costs</w:t>
      </w:r>
      <w:bookmarkEnd w:id="51"/>
      <w:bookmarkEnd w:id="52"/>
      <w:bookmarkEnd w:id="53"/>
    </w:p>
    <w:p w14:paraId="67FA3CAC" w14:textId="77777777" w:rsidR="001B7421" w:rsidRPr="00FF416C" w:rsidRDefault="001B7421" w:rsidP="001B7421"/>
    <w:p w14:paraId="05F67385" w14:textId="77777777" w:rsidR="001B7421" w:rsidRPr="00FF416C" w:rsidRDefault="001B7421" w:rsidP="002A6AE6">
      <w:pPr>
        <w:pStyle w:val="BodyText"/>
        <w:ind w:firstLine="720"/>
        <w:rPr>
          <w:rFonts w:ascii="Times New Roman" w:hAnsi="Times New Roman" w:cs="Times New Roman"/>
          <w:sz w:val="24"/>
        </w:rPr>
      </w:pPr>
      <w:r w:rsidRPr="00FF416C">
        <w:rPr>
          <w:rFonts w:ascii="Times New Roman" w:hAnsi="Times New Roman" w:cs="Times New Roman"/>
          <w:sz w:val="24"/>
        </w:rPr>
        <w:t>EPA estimates an average loaded hourly labor rate (base hourly rate plus fringe and overhead) of $</w:t>
      </w:r>
      <w:r w:rsidR="00AA0302" w:rsidRPr="00FF416C">
        <w:rPr>
          <w:rFonts w:ascii="Times New Roman" w:hAnsi="Times New Roman" w:cs="Times New Roman"/>
          <w:sz w:val="24"/>
        </w:rPr>
        <w:t>8</w:t>
      </w:r>
      <w:r w:rsidR="00B21230" w:rsidRPr="00FF416C">
        <w:rPr>
          <w:rFonts w:ascii="Times New Roman" w:hAnsi="Times New Roman" w:cs="Times New Roman"/>
          <w:sz w:val="24"/>
        </w:rPr>
        <w:t>3</w:t>
      </w:r>
      <w:r w:rsidRPr="00FF416C">
        <w:rPr>
          <w:rFonts w:ascii="Times New Roman" w:hAnsi="Times New Roman" w:cs="Times New Roman"/>
          <w:sz w:val="24"/>
        </w:rPr>
        <w:t xml:space="preserve"> for managerial staff, $</w:t>
      </w:r>
      <w:r w:rsidR="00AA0302" w:rsidRPr="00FF416C">
        <w:rPr>
          <w:rFonts w:ascii="Times New Roman" w:hAnsi="Times New Roman" w:cs="Times New Roman"/>
          <w:sz w:val="24"/>
        </w:rPr>
        <w:t>73</w:t>
      </w:r>
      <w:r w:rsidRPr="00FF416C">
        <w:rPr>
          <w:rFonts w:ascii="Times New Roman" w:hAnsi="Times New Roman" w:cs="Times New Roman"/>
          <w:sz w:val="24"/>
        </w:rPr>
        <w:t xml:space="preserve"> for technical staff, and $</w:t>
      </w:r>
      <w:r w:rsidR="00AA0302" w:rsidRPr="00FF416C">
        <w:rPr>
          <w:rFonts w:ascii="Times New Roman" w:hAnsi="Times New Roman" w:cs="Times New Roman"/>
          <w:sz w:val="24"/>
        </w:rPr>
        <w:t>32</w:t>
      </w:r>
      <w:r w:rsidR="009C0CCB" w:rsidRPr="00FF416C">
        <w:rPr>
          <w:rFonts w:ascii="Times New Roman" w:hAnsi="Times New Roman" w:cs="Times New Roman"/>
          <w:sz w:val="24"/>
        </w:rPr>
        <w:t xml:space="preserve"> </w:t>
      </w:r>
      <w:r w:rsidR="000B4D7C">
        <w:rPr>
          <w:rFonts w:ascii="Times New Roman" w:hAnsi="Times New Roman" w:cs="Times New Roman"/>
          <w:sz w:val="24"/>
        </w:rPr>
        <w:t xml:space="preserve">for clerical staff. </w:t>
      </w:r>
      <w:r w:rsidRPr="00FF416C">
        <w:rPr>
          <w:rFonts w:ascii="Times New Roman" w:hAnsi="Times New Roman" w:cs="Times New Roman"/>
          <w:sz w:val="24"/>
        </w:rPr>
        <w:t xml:space="preserve">These three labor rate estimates are based upon manufacturing industry wage data from the Bureau of Labor Statistics (BLS) </w:t>
      </w:r>
      <w:r w:rsidRPr="00FF416C">
        <w:rPr>
          <w:rFonts w:ascii="Times New Roman" w:hAnsi="Times New Roman" w:cs="Times New Roman"/>
          <w:i/>
          <w:iCs/>
          <w:sz w:val="24"/>
        </w:rPr>
        <w:t>Employer Costs for Employee Compensation, Supplementary Tables</w:t>
      </w:r>
      <w:r w:rsidRPr="00FF416C">
        <w:rPr>
          <w:rFonts w:ascii="Times New Roman" w:hAnsi="Times New Roman" w:cs="Times New Roman"/>
          <w:sz w:val="24"/>
        </w:rPr>
        <w:t xml:space="preserve"> from </w:t>
      </w:r>
      <w:r w:rsidR="00B21230" w:rsidRPr="00FF416C">
        <w:rPr>
          <w:rFonts w:ascii="Times New Roman" w:hAnsi="Times New Roman" w:cs="Times New Roman"/>
          <w:sz w:val="24"/>
        </w:rPr>
        <w:t>September 2015</w:t>
      </w:r>
      <w:r w:rsidRPr="00FF416C">
        <w:rPr>
          <w:rFonts w:ascii="Times New Roman" w:hAnsi="Times New Roman" w:cs="Times New Roman"/>
          <w:sz w:val="24"/>
        </w:rPr>
        <w:t xml:space="preserve">.  The hourly labor rates include a 17% overhead; this overhead rate is used for consistency with OPPT economic analyses for two major rulemakings: </w:t>
      </w:r>
      <w:r w:rsidRPr="00FF416C">
        <w:rPr>
          <w:rFonts w:ascii="Times New Roman" w:hAnsi="Times New Roman" w:cs="Times New Roman"/>
          <w:i/>
          <w:iCs/>
          <w:sz w:val="24"/>
        </w:rPr>
        <w:t>Wage Rates for Economic Analyses of the Toxics Release Inventory Program</w:t>
      </w:r>
      <w:r w:rsidR="00CC63E9" w:rsidRPr="00FF416C">
        <w:rPr>
          <w:rStyle w:val="FootnoteReference"/>
          <w:rFonts w:ascii="Times New Roman" w:hAnsi="Times New Roman" w:cs="Times New Roman"/>
          <w:i/>
          <w:iCs/>
          <w:sz w:val="24"/>
        </w:rPr>
        <w:footnoteReference w:id="2"/>
      </w:r>
      <w:r w:rsidRPr="00FF416C">
        <w:rPr>
          <w:rFonts w:ascii="Times New Roman" w:hAnsi="Times New Roman" w:cs="Times New Roman"/>
          <w:sz w:val="24"/>
        </w:rPr>
        <w:t xml:space="preserve"> and the</w:t>
      </w:r>
      <w:r w:rsidRPr="00FF416C">
        <w:rPr>
          <w:rFonts w:ascii="Times New Roman" w:hAnsi="Times New Roman" w:cs="Times New Roman"/>
          <w:i/>
          <w:iCs/>
          <w:sz w:val="24"/>
        </w:rPr>
        <w:t xml:space="preserve"> Revised Economic Analysis for the Amended Inventory Update Rule: Final Report</w:t>
      </w:r>
      <w:r w:rsidRPr="00FF416C">
        <w:rPr>
          <w:rFonts w:ascii="Times New Roman" w:hAnsi="Times New Roman" w:cs="Times New Roman"/>
          <w:sz w:val="24"/>
        </w:rPr>
        <w:t>.</w:t>
      </w:r>
      <w:r w:rsidR="00CC63E9" w:rsidRPr="00FF416C">
        <w:rPr>
          <w:rStyle w:val="FootnoteReference"/>
          <w:rFonts w:ascii="Times New Roman" w:hAnsi="Times New Roman" w:cs="Times New Roman"/>
          <w:sz w:val="24"/>
        </w:rPr>
        <w:footnoteReference w:id="3"/>
      </w:r>
      <w:r w:rsidRPr="00FF416C">
        <w:rPr>
          <w:rFonts w:ascii="Times New Roman" w:hAnsi="Times New Roman" w:cs="Times New Roman"/>
          <w:sz w:val="24"/>
        </w:rPr>
        <w:t xml:space="preserve"> In addition, the hourly labor rates have been rounded for the purposes of this ICR.  The type of staff needed to complete the Formulator’s applications and their associated hourly labor rates were verified by contacting representatives from the participant categories.</w:t>
      </w:r>
    </w:p>
    <w:p w14:paraId="5ABA7168" w14:textId="77777777" w:rsidR="004E44BB" w:rsidRPr="00FF416C" w:rsidRDefault="004E44BB" w:rsidP="001B7421">
      <w:pPr>
        <w:pStyle w:val="BodyText"/>
        <w:rPr>
          <w:rFonts w:ascii="Times New Roman" w:hAnsi="Times New Roman" w:cs="Times New Roman"/>
          <w:sz w:val="24"/>
        </w:rPr>
      </w:pPr>
    </w:p>
    <w:p w14:paraId="3D9D968C" w14:textId="77777777" w:rsidR="001B7421" w:rsidRPr="00FF416C" w:rsidRDefault="001B7421" w:rsidP="002A6AE6">
      <w:pPr>
        <w:pStyle w:val="BodyText"/>
        <w:ind w:firstLine="720"/>
        <w:rPr>
          <w:rFonts w:ascii="Times New Roman" w:hAnsi="Times New Roman" w:cs="Times New Roman"/>
          <w:sz w:val="24"/>
        </w:rPr>
      </w:pPr>
      <w:r w:rsidRPr="00FF416C">
        <w:rPr>
          <w:rFonts w:ascii="Times New Roman" w:hAnsi="Times New Roman" w:cs="Times New Roman"/>
          <w:sz w:val="24"/>
        </w:rPr>
        <w:t xml:space="preserve">The derivation of labor rates for managerial, technical, and clerical staff </w:t>
      </w:r>
      <w:r w:rsidR="00066CAD">
        <w:rPr>
          <w:rFonts w:ascii="Times New Roman" w:hAnsi="Times New Roman" w:cs="Times New Roman"/>
          <w:sz w:val="24"/>
        </w:rPr>
        <w:t>appears</w:t>
      </w:r>
      <w:r w:rsidRPr="00FF416C">
        <w:rPr>
          <w:rFonts w:ascii="Times New Roman" w:hAnsi="Times New Roman" w:cs="Times New Roman"/>
          <w:sz w:val="24"/>
        </w:rPr>
        <w:t xml:space="preserve"> in Exhibit 6.1.</w:t>
      </w:r>
    </w:p>
    <w:p w14:paraId="61A544AF" w14:textId="77777777" w:rsidR="001B7421" w:rsidRDefault="001B7421" w:rsidP="001B7421">
      <w:pPr>
        <w:rPr>
          <w:sz w:val="22"/>
          <w:lang w:val="en-CA"/>
        </w:rPr>
      </w:pPr>
    </w:p>
    <w:p w14:paraId="1C48E6E3" w14:textId="77777777" w:rsidR="001B7421" w:rsidRDefault="001B7421" w:rsidP="001B7421">
      <w:pPr>
        <w:rPr>
          <w:b/>
          <w:bCs/>
          <w:sz w:val="22"/>
        </w:rPr>
      </w:pPr>
      <w:r>
        <w:rPr>
          <w:sz w:val="22"/>
          <w:lang w:val="en-CA"/>
        </w:rPr>
        <w:fldChar w:fldCharType="begin"/>
      </w:r>
      <w:r>
        <w:rPr>
          <w:sz w:val="22"/>
          <w:lang w:val="en-CA"/>
        </w:rPr>
        <w:instrText xml:space="preserve"> SEQ CHAPTER \h \r 1</w:instrText>
      </w:r>
      <w:r>
        <w:rPr>
          <w:sz w:val="22"/>
          <w:lang w:val="en-CA"/>
        </w:rPr>
        <w:fldChar w:fldCharType="end"/>
      </w:r>
      <w:r>
        <w:rPr>
          <w:b/>
          <w:bCs/>
          <w:sz w:val="22"/>
        </w:rPr>
        <w:t>Exhibit 6.1.  Derivation of Loaded Wage Rates</w:t>
      </w:r>
      <w:r w:rsidR="00152356">
        <w:rPr>
          <w:b/>
          <w:bCs/>
          <w:sz w:val="22"/>
        </w:rPr>
        <w:t xml:space="preserve"> in </w:t>
      </w:r>
      <w:r w:rsidR="006A06AB">
        <w:rPr>
          <w:b/>
          <w:bCs/>
          <w:sz w:val="22"/>
        </w:rPr>
        <w:t>2015</w:t>
      </w:r>
      <w:r w:rsidR="00152356">
        <w:rPr>
          <w:b/>
          <w:bCs/>
          <w:sz w:val="22"/>
        </w:rPr>
        <w:t>$</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068"/>
        <w:gridCol w:w="1086"/>
        <w:gridCol w:w="1121"/>
        <w:gridCol w:w="1071"/>
        <w:gridCol w:w="1234"/>
        <w:gridCol w:w="1338"/>
        <w:gridCol w:w="1221"/>
      </w:tblGrid>
      <w:tr w:rsidR="001B7421" w:rsidRPr="00C20E73" w14:paraId="4DA542AD" w14:textId="77777777">
        <w:trPr>
          <w:jc w:val="center"/>
        </w:trPr>
        <w:tc>
          <w:tcPr>
            <w:tcW w:w="1317" w:type="dxa"/>
            <w:vMerge w:val="restart"/>
            <w:shd w:val="clear" w:color="auto" w:fill="F3F3F3"/>
            <w:vAlign w:val="center"/>
          </w:tcPr>
          <w:p w14:paraId="33CE48DD" w14:textId="77777777"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Labor category</w:t>
            </w:r>
          </w:p>
        </w:tc>
        <w:tc>
          <w:tcPr>
            <w:tcW w:w="1068" w:type="dxa"/>
            <w:shd w:val="clear" w:color="auto" w:fill="F3F3F3"/>
            <w:vAlign w:val="center"/>
          </w:tcPr>
          <w:p w14:paraId="0BCE1B2F" w14:textId="77777777"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Wage</w:t>
            </w:r>
          </w:p>
        </w:tc>
        <w:tc>
          <w:tcPr>
            <w:tcW w:w="1086" w:type="dxa"/>
            <w:shd w:val="clear" w:color="auto" w:fill="F3F3F3"/>
            <w:vAlign w:val="center"/>
          </w:tcPr>
          <w:p w14:paraId="7CF585D4" w14:textId="77777777"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Fringe Benefit</w:t>
            </w:r>
          </w:p>
        </w:tc>
        <w:tc>
          <w:tcPr>
            <w:tcW w:w="1121" w:type="dxa"/>
            <w:shd w:val="clear" w:color="auto" w:fill="F3F3F3"/>
            <w:vAlign w:val="center"/>
          </w:tcPr>
          <w:p w14:paraId="721C1936" w14:textId="77777777"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Fringes as % wage</w:t>
            </w:r>
          </w:p>
        </w:tc>
        <w:tc>
          <w:tcPr>
            <w:tcW w:w="1071" w:type="dxa"/>
            <w:shd w:val="clear" w:color="auto" w:fill="F3F3F3"/>
            <w:vAlign w:val="center"/>
          </w:tcPr>
          <w:p w14:paraId="3B002EEB" w14:textId="77777777" w:rsidR="001B7421" w:rsidRPr="00C20E73" w:rsidRDefault="001B7421" w:rsidP="001B7421">
            <w:pPr>
              <w:autoSpaceDE w:val="0"/>
              <w:autoSpaceDN w:val="0"/>
              <w:adjustRightInd w:val="0"/>
              <w:jc w:val="center"/>
              <w:rPr>
                <w:b/>
                <w:bCs/>
                <w:color w:val="000000"/>
                <w:sz w:val="20"/>
                <w:szCs w:val="20"/>
                <w:vertAlign w:val="superscript"/>
              </w:rPr>
            </w:pPr>
            <w:r w:rsidRPr="00C20E73">
              <w:rPr>
                <w:b/>
                <w:bCs/>
                <w:color w:val="000000"/>
                <w:sz w:val="20"/>
                <w:szCs w:val="20"/>
              </w:rPr>
              <w:t>Overhead % wage</w:t>
            </w:r>
          </w:p>
        </w:tc>
        <w:tc>
          <w:tcPr>
            <w:tcW w:w="1234" w:type="dxa"/>
            <w:shd w:val="clear" w:color="auto" w:fill="F3F3F3"/>
            <w:vAlign w:val="center"/>
          </w:tcPr>
          <w:p w14:paraId="1114C26B" w14:textId="77777777"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Fringe + overhead factor</w:t>
            </w:r>
          </w:p>
        </w:tc>
        <w:tc>
          <w:tcPr>
            <w:tcW w:w="1338" w:type="dxa"/>
            <w:shd w:val="clear" w:color="auto" w:fill="F3F3F3"/>
            <w:vAlign w:val="center"/>
          </w:tcPr>
          <w:p w14:paraId="64733C90" w14:textId="77777777"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Loaded Wages</w:t>
            </w:r>
          </w:p>
        </w:tc>
        <w:tc>
          <w:tcPr>
            <w:tcW w:w="1221" w:type="dxa"/>
            <w:vMerge w:val="restart"/>
            <w:shd w:val="clear" w:color="auto" w:fill="F3F3F3"/>
            <w:vAlign w:val="center"/>
          </w:tcPr>
          <w:p w14:paraId="33E75B45" w14:textId="77777777"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Loaded Wages (rounded)</w:t>
            </w:r>
          </w:p>
        </w:tc>
      </w:tr>
      <w:tr w:rsidR="001B7421" w:rsidRPr="00C20E73" w14:paraId="0883F0D4" w14:textId="77777777">
        <w:trPr>
          <w:jc w:val="center"/>
        </w:trPr>
        <w:tc>
          <w:tcPr>
            <w:tcW w:w="1317" w:type="dxa"/>
            <w:vMerge/>
            <w:shd w:val="clear" w:color="auto" w:fill="F3F3F3"/>
          </w:tcPr>
          <w:p w14:paraId="57FBD42B" w14:textId="77777777" w:rsidR="001B7421" w:rsidRPr="00C20E73" w:rsidRDefault="001B7421" w:rsidP="001B7421">
            <w:pPr>
              <w:pStyle w:val="BodyText"/>
              <w:rPr>
                <w:rFonts w:ascii="Times New Roman" w:hAnsi="Times New Roman" w:cs="Times New Roman"/>
                <w:b/>
                <w:sz w:val="20"/>
                <w:szCs w:val="20"/>
              </w:rPr>
            </w:pPr>
          </w:p>
        </w:tc>
        <w:tc>
          <w:tcPr>
            <w:tcW w:w="1068" w:type="dxa"/>
            <w:shd w:val="clear" w:color="auto" w:fill="F3F3F3"/>
            <w:vAlign w:val="center"/>
          </w:tcPr>
          <w:p w14:paraId="73074FFB" w14:textId="77777777"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(a)</w:t>
            </w:r>
          </w:p>
        </w:tc>
        <w:tc>
          <w:tcPr>
            <w:tcW w:w="1086" w:type="dxa"/>
            <w:shd w:val="clear" w:color="auto" w:fill="F3F3F3"/>
            <w:vAlign w:val="center"/>
          </w:tcPr>
          <w:p w14:paraId="7A9452A1" w14:textId="77777777" w:rsidR="001B7421" w:rsidRPr="00C20E73" w:rsidRDefault="001B7421" w:rsidP="001B7421">
            <w:pPr>
              <w:pStyle w:val="BodyText"/>
              <w:jc w:val="center"/>
              <w:rPr>
                <w:rFonts w:ascii="Times New Roman" w:hAnsi="Times New Roman" w:cs="Times New Roman"/>
                <w:b/>
                <w:sz w:val="20"/>
                <w:szCs w:val="20"/>
              </w:rPr>
            </w:pPr>
            <w:r w:rsidRPr="00C20E73">
              <w:rPr>
                <w:rFonts w:ascii="Times New Roman" w:hAnsi="Times New Roman" w:cs="Times New Roman"/>
                <w:b/>
                <w:sz w:val="20"/>
                <w:szCs w:val="20"/>
              </w:rPr>
              <w:t>(b)</w:t>
            </w:r>
          </w:p>
        </w:tc>
        <w:tc>
          <w:tcPr>
            <w:tcW w:w="1121" w:type="dxa"/>
            <w:shd w:val="clear" w:color="auto" w:fill="F3F3F3"/>
            <w:vAlign w:val="center"/>
          </w:tcPr>
          <w:p w14:paraId="2732F3D5" w14:textId="77777777" w:rsidR="001B7421" w:rsidRPr="00C20E73" w:rsidRDefault="001B7421" w:rsidP="001B7421">
            <w:pPr>
              <w:autoSpaceDE w:val="0"/>
              <w:autoSpaceDN w:val="0"/>
              <w:adjustRightInd w:val="0"/>
              <w:jc w:val="center"/>
              <w:rPr>
                <w:b/>
                <w:color w:val="000000"/>
                <w:sz w:val="20"/>
                <w:szCs w:val="20"/>
              </w:rPr>
            </w:pPr>
            <w:r w:rsidRPr="00C20E73">
              <w:rPr>
                <w:b/>
                <w:color w:val="000000"/>
                <w:sz w:val="20"/>
                <w:szCs w:val="20"/>
              </w:rPr>
              <w:t>(c)=(b)/(a)</w:t>
            </w:r>
          </w:p>
        </w:tc>
        <w:tc>
          <w:tcPr>
            <w:tcW w:w="1071" w:type="dxa"/>
            <w:shd w:val="clear" w:color="auto" w:fill="F3F3F3"/>
            <w:vAlign w:val="center"/>
          </w:tcPr>
          <w:p w14:paraId="68C10A45" w14:textId="77777777" w:rsidR="001B7421" w:rsidRPr="00C20E73" w:rsidRDefault="001B7421" w:rsidP="001B7421">
            <w:pPr>
              <w:autoSpaceDE w:val="0"/>
              <w:autoSpaceDN w:val="0"/>
              <w:adjustRightInd w:val="0"/>
              <w:jc w:val="center"/>
              <w:rPr>
                <w:b/>
                <w:color w:val="000000"/>
                <w:sz w:val="20"/>
                <w:szCs w:val="20"/>
              </w:rPr>
            </w:pPr>
            <w:r w:rsidRPr="00C20E73">
              <w:rPr>
                <w:b/>
                <w:color w:val="000000"/>
                <w:sz w:val="20"/>
                <w:szCs w:val="20"/>
              </w:rPr>
              <w:t>(d)</w:t>
            </w:r>
          </w:p>
        </w:tc>
        <w:tc>
          <w:tcPr>
            <w:tcW w:w="1234" w:type="dxa"/>
            <w:shd w:val="clear" w:color="auto" w:fill="F3F3F3"/>
            <w:vAlign w:val="center"/>
          </w:tcPr>
          <w:p w14:paraId="50B3D561" w14:textId="77777777" w:rsidR="001B7421" w:rsidRPr="00C20E73" w:rsidRDefault="001B7421" w:rsidP="001B7421">
            <w:pPr>
              <w:autoSpaceDE w:val="0"/>
              <w:autoSpaceDN w:val="0"/>
              <w:adjustRightInd w:val="0"/>
              <w:jc w:val="center"/>
              <w:rPr>
                <w:b/>
                <w:color w:val="000000"/>
                <w:sz w:val="18"/>
                <w:szCs w:val="20"/>
              </w:rPr>
            </w:pPr>
            <w:r w:rsidRPr="00C20E73">
              <w:rPr>
                <w:b/>
                <w:color w:val="000000"/>
                <w:sz w:val="18"/>
                <w:szCs w:val="20"/>
              </w:rPr>
              <w:t>(e)=(c)+(d)+1</w:t>
            </w:r>
          </w:p>
        </w:tc>
        <w:tc>
          <w:tcPr>
            <w:tcW w:w="1338" w:type="dxa"/>
            <w:shd w:val="clear" w:color="auto" w:fill="F3F3F3"/>
            <w:vAlign w:val="center"/>
          </w:tcPr>
          <w:p w14:paraId="1E0DBBB0" w14:textId="77777777" w:rsidR="001B7421" w:rsidRPr="00C20E73" w:rsidRDefault="001B7421" w:rsidP="001B7421">
            <w:pPr>
              <w:autoSpaceDE w:val="0"/>
              <w:autoSpaceDN w:val="0"/>
              <w:adjustRightInd w:val="0"/>
              <w:jc w:val="center"/>
              <w:rPr>
                <w:b/>
                <w:color w:val="000000"/>
                <w:sz w:val="20"/>
                <w:szCs w:val="20"/>
              </w:rPr>
            </w:pPr>
            <w:r w:rsidRPr="00C20E73">
              <w:rPr>
                <w:b/>
                <w:color w:val="000000"/>
                <w:sz w:val="20"/>
                <w:szCs w:val="20"/>
              </w:rPr>
              <w:t xml:space="preserve">(f)=(a) </w:t>
            </w:r>
            <w:r w:rsidRPr="00C20E73">
              <w:rPr>
                <w:rFonts w:ascii="Symbol" w:hAnsi="Symbol"/>
                <w:b/>
                <w:color w:val="000000"/>
                <w:sz w:val="20"/>
                <w:szCs w:val="20"/>
              </w:rPr>
              <w:t></w:t>
            </w:r>
            <w:r w:rsidRPr="00C20E73">
              <w:rPr>
                <w:b/>
                <w:color w:val="000000"/>
                <w:sz w:val="20"/>
                <w:szCs w:val="20"/>
              </w:rPr>
              <w:t xml:space="preserve"> (e)</w:t>
            </w:r>
          </w:p>
        </w:tc>
        <w:tc>
          <w:tcPr>
            <w:tcW w:w="1221" w:type="dxa"/>
            <w:vMerge/>
            <w:shd w:val="clear" w:color="auto" w:fill="F3F3F3"/>
            <w:vAlign w:val="center"/>
          </w:tcPr>
          <w:p w14:paraId="0FE6136D" w14:textId="77777777" w:rsidR="001B7421" w:rsidRPr="00C20E73" w:rsidRDefault="001B7421" w:rsidP="001B7421">
            <w:pPr>
              <w:autoSpaceDE w:val="0"/>
              <w:autoSpaceDN w:val="0"/>
              <w:adjustRightInd w:val="0"/>
              <w:jc w:val="center"/>
              <w:rPr>
                <w:b/>
                <w:color w:val="000000"/>
                <w:sz w:val="20"/>
                <w:szCs w:val="20"/>
              </w:rPr>
            </w:pPr>
          </w:p>
        </w:tc>
      </w:tr>
      <w:tr w:rsidR="001B7421" w:rsidRPr="00C20E73" w14:paraId="345DAA14" w14:textId="77777777">
        <w:trPr>
          <w:trHeight w:val="459"/>
          <w:jc w:val="center"/>
        </w:trPr>
        <w:tc>
          <w:tcPr>
            <w:tcW w:w="1317" w:type="dxa"/>
            <w:shd w:val="clear" w:color="auto" w:fill="auto"/>
            <w:vAlign w:val="center"/>
          </w:tcPr>
          <w:p w14:paraId="48BA9948" w14:textId="77777777"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Managerial</w:t>
            </w:r>
            <w:r w:rsidRPr="00C20E73">
              <w:rPr>
                <w:rStyle w:val="FootnoteReference"/>
                <w:b/>
                <w:bCs/>
                <w:color w:val="000000"/>
                <w:sz w:val="20"/>
                <w:szCs w:val="20"/>
              </w:rPr>
              <w:footnoteReference w:id="4"/>
            </w:r>
          </w:p>
        </w:tc>
        <w:tc>
          <w:tcPr>
            <w:tcW w:w="1068" w:type="dxa"/>
            <w:shd w:val="clear" w:color="auto" w:fill="auto"/>
            <w:vAlign w:val="center"/>
          </w:tcPr>
          <w:p w14:paraId="399735B3"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49.78</w:t>
            </w:r>
          </w:p>
        </w:tc>
        <w:tc>
          <w:tcPr>
            <w:tcW w:w="1086" w:type="dxa"/>
            <w:shd w:val="clear" w:color="auto" w:fill="auto"/>
            <w:vAlign w:val="center"/>
          </w:tcPr>
          <w:p w14:paraId="78F3E5FF"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24.70</w:t>
            </w:r>
          </w:p>
        </w:tc>
        <w:tc>
          <w:tcPr>
            <w:tcW w:w="1121" w:type="dxa"/>
            <w:shd w:val="clear" w:color="auto" w:fill="auto"/>
            <w:vAlign w:val="center"/>
          </w:tcPr>
          <w:p w14:paraId="3FCB5CE6" w14:textId="77777777" w:rsidR="001B7421" w:rsidRPr="00C20E73" w:rsidRDefault="00AA0302" w:rsidP="009C0CCB">
            <w:pPr>
              <w:autoSpaceDE w:val="0"/>
              <w:autoSpaceDN w:val="0"/>
              <w:adjustRightInd w:val="0"/>
              <w:jc w:val="center"/>
              <w:rPr>
                <w:color w:val="000000"/>
                <w:sz w:val="20"/>
                <w:szCs w:val="20"/>
              </w:rPr>
            </w:pPr>
            <w:r>
              <w:rPr>
                <w:color w:val="000000"/>
                <w:sz w:val="20"/>
                <w:szCs w:val="20"/>
              </w:rPr>
              <w:t>49.62</w:t>
            </w:r>
            <w:r w:rsidR="001B7421" w:rsidRPr="00C20E73">
              <w:rPr>
                <w:color w:val="000000"/>
                <w:sz w:val="20"/>
                <w:szCs w:val="20"/>
              </w:rPr>
              <w:t>%</w:t>
            </w:r>
          </w:p>
        </w:tc>
        <w:tc>
          <w:tcPr>
            <w:tcW w:w="1071" w:type="dxa"/>
            <w:shd w:val="clear" w:color="auto" w:fill="auto"/>
            <w:vAlign w:val="center"/>
          </w:tcPr>
          <w:p w14:paraId="77B7C7BB" w14:textId="77777777"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17%</w:t>
            </w:r>
          </w:p>
        </w:tc>
        <w:tc>
          <w:tcPr>
            <w:tcW w:w="1234" w:type="dxa"/>
            <w:shd w:val="clear" w:color="auto" w:fill="auto"/>
            <w:vAlign w:val="center"/>
          </w:tcPr>
          <w:p w14:paraId="60764B84"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1.</w:t>
            </w:r>
            <w:r w:rsidR="00AA0302">
              <w:rPr>
                <w:color w:val="000000"/>
                <w:sz w:val="20"/>
                <w:szCs w:val="20"/>
              </w:rPr>
              <w:t>67</w:t>
            </w:r>
          </w:p>
        </w:tc>
        <w:tc>
          <w:tcPr>
            <w:tcW w:w="1338" w:type="dxa"/>
            <w:shd w:val="clear" w:color="auto" w:fill="auto"/>
            <w:vAlign w:val="center"/>
          </w:tcPr>
          <w:p w14:paraId="353BE716"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82.94</w:t>
            </w:r>
          </w:p>
        </w:tc>
        <w:tc>
          <w:tcPr>
            <w:tcW w:w="1221" w:type="dxa"/>
            <w:shd w:val="clear" w:color="auto" w:fill="auto"/>
            <w:vAlign w:val="center"/>
          </w:tcPr>
          <w:p w14:paraId="561D128E"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83</w:t>
            </w:r>
            <w:r w:rsidRPr="00C20E73">
              <w:rPr>
                <w:color w:val="000000"/>
                <w:sz w:val="20"/>
                <w:szCs w:val="20"/>
              </w:rPr>
              <w:t>.00</w:t>
            </w:r>
          </w:p>
        </w:tc>
      </w:tr>
      <w:tr w:rsidR="001B7421" w:rsidRPr="00C20E73" w14:paraId="32E5AF61" w14:textId="77777777">
        <w:trPr>
          <w:trHeight w:val="459"/>
          <w:jc w:val="center"/>
        </w:trPr>
        <w:tc>
          <w:tcPr>
            <w:tcW w:w="1317" w:type="dxa"/>
            <w:shd w:val="clear" w:color="auto" w:fill="auto"/>
            <w:vAlign w:val="center"/>
          </w:tcPr>
          <w:p w14:paraId="0852889A" w14:textId="77777777"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Professional/</w:t>
            </w:r>
          </w:p>
          <w:p w14:paraId="614F2C6C" w14:textId="77777777"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Technical</w:t>
            </w:r>
            <w:r w:rsidRPr="00C20E73">
              <w:rPr>
                <w:rFonts w:ascii="Times New Roman Bold" w:hAnsi="Times New Roman Bold"/>
                <w:b/>
                <w:bCs/>
                <w:color w:val="000000"/>
                <w:sz w:val="20"/>
                <w:szCs w:val="20"/>
                <w:vertAlign w:val="superscript"/>
              </w:rPr>
              <w:t>2</w:t>
            </w:r>
          </w:p>
        </w:tc>
        <w:tc>
          <w:tcPr>
            <w:tcW w:w="1068" w:type="dxa"/>
            <w:shd w:val="clear" w:color="auto" w:fill="auto"/>
            <w:vAlign w:val="center"/>
          </w:tcPr>
          <w:p w14:paraId="35681915"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42.76</w:t>
            </w:r>
          </w:p>
        </w:tc>
        <w:tc>
          <w:tcPr>
            <w:tcW w:w="1086" w:type="dxa"/>
            <w:shd w:val="clear" w:color="auto" w:fill="auto"/>
            <w:vAlign w:val="center"/>
          </w:tcPr>
          <w:p w14:paraId="7596F90B"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23.07</w:t>
            </w:r>
          </w:p>
        </w:tc>
        <w:tc>
          <w:tcPr>
            <w:tcW w:w="1121" w:type="dxa"/>
            <w:shd w:val="clear" w:color="auto" w:fill="auto"/>
            <w:vAlign w:val="center"/>
          </w:tcPr>
          <w:p w14:paraId="3BDD0099" w14:textId="77777777" w:rsidR="001B7421" w:rsidRPr="00C20E73" w:rsidRDefault="00AA0302" w:rsidP="009C0CCB">
            <w:pPr>
              <w:autoSpaceDE w:val="0"/>
              <w:autoSpaceDN w:val="0"/>
              <w:adjustRightInd w:val="0"/>
              <w:jc w:val="center"/>
              <w:rPr>
                <w:color w:val="000000"/>
                <w:sz w:val="20"/>
                <w:szCs w:val="20"/>
              </w:rPr>
            </w:pPr>
            <w:r>
              <w:rPr>
                <w:color w:val="000000"/>
                <w:sz w:val="20"/>
                <w:szCs w:val="20"/>
              </w:rPr>
              <w:t>53.95</w:t>
            </w:r>
            <w:r w:rsidR="001B7421" w:rsidRPr="00C20E73">
              <w:rPr>
                <w:color w:val="000000"/>
                <w:sz w:val="20"/>
                <w:szCs w:val="20"/>
              </w:rPr>
              <w:t>%</w:t>
            </w:r>
          </w:p>
        </w:tc>
        <w:tc>
          <w:tcPr>
            <w:tcW w:w="1071" w:type="dxa"/>
            <w:shd w:val="clear" w:color="auto" w:fill="auto"/>
            <w:vAlign w:val="center"/>
          </w:tcPr>
          <w:p w14:paraId="286CD31D" w14:textId="77777777"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17%</w:t>
            </w:r>
          </w:p>
        </w:tc>
        <w:tc>
          <w:tcPr>
            <w:tcW w:w="1234" w:type="dxa"/>
            <w:shd w:val="clear" w:color="auto" w:fill="auto"/>
            <w:vAlign w:val="center"/>
          </w:tcPr>
          <w:p w14:paraId="71EBB7BB"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1.</w:t>
            </w:r>
            <w:r w:rsidR="00AA0302">
              <w:rPr>
                <w:color w:val="000000"/>
                <w:sz w:val="20"/>
                <w:szCs w:val="20"/>
              </w:rPr>
              <w:t>71</w:t>
            </w:r>
          </w:p>
        </w:tc>
        <w:tc>
          <w:tcPr>
            <w:tcW w:w="1338" w:type="dxa"/>
            <w:shd w:val="clear" w:color="auto" w:fill="auto"/>
            <w:vAlign w:val="center"/>
          </w:tcPr>
          <w:p w14:paraId="7AF4639C" w14:textId="77777777"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73.10</w:t>
            </w:r>
          </w:p>
        </w:tc>
        <w:tc>
          <w:tcPr>
            <w:tcW w:w="1221" w:type="dxa"/>
            <w:shd w:val="clear" w:color="auto" w:fill="auto"/>
            <w:vAlign w:val="center"/>
          </w:tcPr>
          <w:p w14:paraId="0C9E606B" w14:textId="77777777"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73</w:t>
            </w:r>
            <w:r w:rsidRPr="00C20E73">
              <w:rPr>
                <w:color w:val="000000"/>
                <w:sz w:val="20"/>
                <w:szCs w:val="20"/>
              </w:rPr>
              <w:t>.00</w:t>
            </w:r>
          </w:p>
        </w:tc>
      </w:tr>
      <w:tr w:rsidR="001B7421" w:rsidRPr="00C20E73" w14:paraId="3CBE24A1" w14:textId="77777777">
        <w:trPr>
          <w:trHeight w:val="459"/>
          <w:jc w:val="center"/>
        </w:trPr>
        <w:tc>
          <w:tcPr>
            <w:tcW w:w="1317" w:type="dxa"/>
            <w:shd w:val="clear" w:color="auto" w:fill="auto"/>
            <w:vAlign w:val="center"/>
          </w:tcPr>
          <w:p w14:paraId="3085F328" w14:textId="77777777" w:rsidR="001B7421" w:rsidRPr="00C20E73" w:rsidRDefault="001B7421" w:rsidP="001B7421">
            <w:pPr>
              <w:autoSpaceDE w:val="0"/>
              <w:autoSpaceDN w:val="0"/>
              <w:adjustRightInd w:val="0"/>
              <w:jc w:val="center"/>
              <w:rPr>
                <w:b/>
                <w:bCs/>
                <w:color w:val="000000"/>
                <w:sz w:val="20"/>
                <w:szCs w:val="20"/>
              </w:rPr>
            </w:pPr>
            <w:r w:rsidRPr="00C20E73">
              <w:rPr>
                <w:b/>
                <w:bCs/>
                <w:color w:val="000000"/>
                <w:sz w:val="20"/>
                <w:szCs w:val="20"/>
              </w:rPr>
              <w:t>Clerical</w:t>
            </w:r>
            <w:r w:rsidRPr="00C20E73">
              <w:rPr>
                <w:rFonts w:ascii="Times New Roman Bold" w:hAnsi="Times New Roman Bold"/>
                <w:b/>
                <w:bCs/>
                <w:color w:val="000000"/>
                <w:sz w:val="20"/>
                <w:szCs w:val="20"/>
                <w:vertAlign w:val="superscript"/>
              </w:rPr>
              <w:t>2</w:t>
            </w:r>
          </w:p>
        </w:tc>
        <w:tc>
          <w:tcPr>
            <w:tcW w:w="1068" w:type="dxa"/>
            <w:shd w:val="clear" w:color="auto" w:fill="auto"/>
            <w:vAlign w:val="center"/>
          </w:tcPr>
          <w:p w14:paraId="1DCE13FC"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19.04</w:t>
            </w:r>
          </w:p>
        </w:tc>
        <w:tc>
          <w:tcPr>
            <w:tcW w:w="1086" w:type="dxa"/>
            <w:shd w:val="clear" w:color="auto" w:fill="auto"/>
            <w:vAlign w:val="center"/>
          </w:tcPr>
          <w:p w14:paraId="05E164D8" w14:textId="77777777" w:rsidR="001B7421" w:rsidRPr="00C20E73" w:rsidRDefault="001B7421" w:rsidP="00AA0302">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9.</w:t>
            </w:r>
            <w:r w:rsidR="00AA0302">
              <w:rPr>
                <w:color w:val="000000"/>
                <w:sz w:val="20"/>
                <w:szCs w:val="20"/>
              </w:rPr>
              <w:t>61</w:t>
            </w:r>
          </w:p>
        </w:tc>
        <w:tc>
          <w:tcPr>
            <w:tcW w:w="1121" w:type="dxa"/>
            <w:shd w:val="clear" w:color="auto" w:fill="auto"/>
            <w:vAlign w:val="center"/>
          </w:tcPr>
          <w:p w14:paraId="32E67216" w14:textId="77777777" w:rsidR="001B7421" w:rsidRPr="00C20E73" w:rsidRDefault="009C0CCB" w:rsidP="00AA0302">
            <w:pPr>
              <w:autoSpaceDE w:val="0"/>
              <w:autoSpaceDN w:val="0"/>
              <w:adjustRightInd w:val="0"/>
              <w:jc w:val="center"/>
              <w:rPr>
                <w:color w:val="000000"/>
                <w:sz w:val="20"/>
                <w:szCs w:val="20"/>
              </w:rPr>
            </w:pPr>
            <w:r>
              <w:rPr>
                <w:color w:val="000000"/>
                <w:sz w:val="20"/>
                <w:szCs w:val="20"/>
              </w:rPr>
              <w:t>50.</w:t>
            </w:r>
            <w:r w:rsidR="00AA0302">
              <w:rPr>
                <w:color w:val="000000"/>
                <w:sz w:val="20"/>
                <w:szCs w:val="20"/>
              </w:rPr>
              <w:t>47</w:t>
            </w:r>
            <w:r w:rsidR="001B7421" w:rsidRPr="00C20E73">
              <w:rPr>
                <w:color w:val="000000"/>
                <w:sz w:val="20"/>
                <w:szCs w:val="20"/>
              </w:rPr>
              <w:t>%</w:t>
            </w:r>
          </w:p>
        </w:tc>
        <w:tc>
          <w:tcPr>
            <w:tcW w:w="1071" w:type="dxa"/>
            <w:shd w:val="clear" w:color="auto" w:fill="auto"/>
            <w:vAlign w:val="center"/>
          </w:tcPr>
          <w:p w14:paraId="4DB371A2" w14:textId="77777777" w:rsidR="001B7421" w:rsidRPr="00C20E73" w:rsidRDefault="001B7421" w:rsidP="001B7421">
            <w:pPr>
              <w:autoSpaceDE w:val="0"/>
              <w:autoSpaceDN w:val="0"/>
              <w:adjustRightInd w:val="0"/>
              <w:jc w:val="center"/>
              <w:rPr>
                <w:color w:val="000000"/>
                <w:sz w:val="20"/>
                <w:szCs w:val="20"/>
              </w:rPr>
            </w:pPr>
            <w:r w:rsidRPr="00C20E73">
              <w:rPr>
                <w:color w:val="000000"/>
                <w:sz w:val="20"/>
                <w:szCs w:val="20"/>
              </w:rPr>
              <w:t>17%</w:t>
            </w:r>
          </w:p>
        </w:tc>
        <w:tc>
          <w:tcPr>
            <w:tcW w:w="1234" w:type="dxa"/>
            <w:shd w:val="clear" w:color="auto" w:fill="auto"/>
            <w:vAlign w:val="center"/>
          </w:tcPr>
          <w:p w14:paraId="781B442A" w14:textId="77777777"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1.6</w:t>
            </w:r>
            <w:r w:rsidR="00AA0302">
              <w:rPr>
                <w:color w:val="000000"/>
                <w:sz w:val="20"/>
                <w:szCs w:val="20"/>
              </w:rPr>
              <w:t>7</w:t>
            </w:r>
          </w:p>
        </w:tc>
        <w:tc>
          <w:tcPr>
            <w:tcW w:w="1338" w:type="dxa"/>
            <w:shd w:val="clear" w:color="auto" w:fill="auto"/>
            <w:vAlign w:val="center"/>
          </w:tcPr>
          <w:p w14:paraId="49130A2D" w14:textId="77777777"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AA0302">
              <w:rPr>
                <w:color w:val="000000"/>
                <w:sz w:val="20"/>
                <w:szCs w:val="20"/>
              </w:rPr>
              <w:t>31.89</w:t>
            </w:r>
          </w:p>
        </w:tc>
        <w:tc>
          <w:tcPr>
            <w:tcW w:w="1221" w:type="dxa"/>
            <w:shd w:val="clear" w:color="auto" w:fill="auto"/>
            <w:vAlign w:val="center"/>
          </w:tcPr>
          <w:p w14:paraId="7A7A3131" w14:textId="77777777" w:rsidR="001B7421" w:rsidRPr="00C20E73" w:rsidRDefault="001B7421" w:rsidP="009C0CCB">
            <w:pPr>
              <w:autoSpaceDE w:val="0"/>
              <w:autoSpaceDN w:val="0"/>
              <w:adjustRightInd w:val="0"/>
              <w:jc w:val="center"/>
              <w:rPr>
                <w:color w:val="000000"/>
                <w:sz w:val="20"/>
                <w:szCs w:val="20"/>
              </w:rPr>
            </w:pPr>
            <w:r w:rsidRPr="00C20E73">
              <w:rPr>
                <w:color w:val="000000"/>
                <w:sz w:val="20"/>
                <w:szCs w:val="20"/>
              </w:rPr>
              <w:t>$</w:t>
            </w:r>
            <w:r w:rsidR="009C0CCB">
              <w:rPr>
                <w:color w:val="000000"/>
                <w:sz w:val="20"/>
                <w:szCs w:val="20"/>
              </w:rPr>
              <w:t>3</w:t>
            </w:r>
            <w:r w:rsidR="00AA0302">
              <w:rPr>
                <w:color w:val="000000"/>
                <w:sz w:val="20"/>
                <w:szCs w:val="20"/>
              </w:rPr>
              <w:t>2</w:t>
            </w:r>
            <w:r w:rsidRPr="00C20E73">
              <w:rPr>
                <w:color w:val="000000"/>
                <w:sz w:val="20"/>
                <w:szCs w:val="20"/>
              </w:rPr>
              <w:t>.00</w:t>
            </w:r>
          </w:p>
        </w:tc>
      </w:tr>
    </w:tbl>
    <w:p w14:paraId="659009D4" w14:textId="77777777" w:rsidR="001B7421" w:rsidRPr="00000CB5" w:rsidRDefault="001B7421" w:rsidP="001B7421">
      <w:pPr>
        <w:pStyle w:val="BodyText"/>
        <w:rPr>
          <w:rFonts w:ascii="Times New Roman" w:hAnsi="Times New Roman" w:cs="Times New Roman"/>
          <w:szCs w:val="22"/>
        </w:rPr>
      </w:pPr>
    </w:p>
    <w:p w14:paraId="61D605F2" w14:textId="77777777" w:rsidR="001B7421" w:rsidRPr="008F4212" w:rsidRDefault="001B7421" w:rsidP="002A6AE6">
      <w:pPr>
        <w:ind w:firstLine="720"/>
      </w:pPr>
      <w:r w:rsidRPr="008F4212">
        <w:t xml:space="preserve">In exhibit 6.2 </w:t>
      </w:r>
      <w:r w:rsidR="002A6AE6" w:rsidRPr="008F4212">
        <w:t>is</w:t>
      </w:r>
      <w:r w:rsidRPr="008F4212">
        <w:t xml:space="preserve"> the breakdown of burden costs, assuming </w:t>
      </w:r>
      <w:r w:rsidR="00A715C5" w:rsidRPr="008F4212">
        <w:t>16</w:t>
      </w:r>
      <w:r w:rsidR="00415C24" w:rsidRPr="008F4212">
        <w:t xml:space="preserve"> </w:t>
      </w:r>
      <w:r w:rsidRPr="008F4212">
        <w:t xml:space="preserve">hours for </w:t>
      </w:r>
      <w:r w:rsidR="00DF093A" w:rsidRPr="008F4212">
        <w:t>completing the partnership agreement</w:t>
      </w:r>
      <w:r w:rsidR="00A715C5" w:rsidRPr="008F4212">
        <w:t>, 11 hours for renewals and associated audits,</w:t>
      </w:r>
      <w:r w:rsidR="003B554C" w:rsidRPr="008F4212">
        <w:t xml:space="preserve"> and </w:t>
      </w:r>
      <w:r w:rsidR="00923C91" w:rsidRPr="008F4212">
        <w:t>8</w:t>
      </w:r>
      <w:r w:rsidR="003B554C" w:rsidRPr="008F4212">
        <w:t xml:space="preserve"> hours for cleaning product formulators wishing to add third-party partners and products</w:t>
      </w:r>
      <w:r w:rsidR="00732E1A" w:rsidRPr="008F4212">
        <w:t>.</w:t>
      </w:r>
      <w:r w:rsidR="003B554C" w:rsidRPr="008F4212">
        <w:t xml:space="preserve"> </w:t>
      </w:r>
      <w:r w:rsidRPr="008F4212">
        <w:t>The third-party</w:t>
      </w:r>
      <w:r w:rsidR="00E4115E" w:rsidRPr="008F4212">
        <w:t xml:space="preserve"> profiler</w:t>
      </w:r>
      <w:r w:rsidRPr="008F4212">
        <w:t xml:space="preserve"> verification process for cleaning products also adds a</w:t>
      </w:r>
      <w:r w:rsidR="00F6109C" w:rsidRPr="008F4212">
        <w:t>n</w:t>
      </w:r>
      <w:r w:rsidRPr="008F4212">
        <w:t xml:space="preserve"> operating and management (O&amp;M) cost of about $</w:t>
      </w:r>
      <w:r w:rsidR="00755DC4" w:rsidRPr="008F4212">
        <w:t>12,400</w:t>
      </w:r>
      <w:r w:rsidR="000B4D7C">
        <w:t xml:space="preserve"> per company per application. </w:t>
      </w:r>
      <w:r w:rsidRPr="008F4212">
        <w:t xml:space="preserve">This cost estimate is from NSF International, which has experience </w:t>
      </w:r>
      <w:r w:rsidR="00F6109C" w:rsidRPr="008F4212">
        <w:t xml:space="preserve">as a </w:t>
      </w:r>
      <w:r w:rsidRPr="008F4212">
        <w:t>third-party</w:t>
      </w:r>
      <w:r w:rsidR="00F6109C" w:rsidRPr="008F4212">
        <w:t xml:space="preserve"> profiler</w:t>
      </w:r>
      <w:r w:rsidRPr="008F4212">
        <w:t xml:space="preserve"> </w:t>
      </w:r>
      <w:r w:rsidR="000B4D7C">
        <w:t xml:space="preserve">of ingredient characteristics. </w:t>
      </w:r>
      <w:r w:rsidRPr="008F4212">
        <w:t xml:space="preserve">For </w:t>
      </w:r>
      <w:r w:rsidR="00732E1A" w:rsidRPr="008F4212">
        <w:t>this ICR, it is assumed that</w:t>
      </w:r>
      <w:r w:rsidRPr="008F4212">
        <w:t xml:space="preserve"> typical product manufacturer</w:t>
      </w:r>
      <w:r w:rsidR="00732E1A" w:rsidRPr="008F4212">
        <w:t>s</w:t>
      </w:r>
      <w:r w:rsidRPr="008F4212">
        <w:t xml:space="preserve"> </w:t>
      </w:r>
      <w:r w:rsidRPr="008F4212">
        <w:rPr>
          <w:rFonts w:cs="Courier"/>
          <w:color w:val="000000"/>
        </w:rPr>
        <w:t>will submit four prod</w:t>
      </w:r>
      <w:r w:rsidR="000B4D7C">
        <w:rPr>
          <w:rFonts w:cs="Courier"/>
          <w:color w:val="000000"/>
        </w:rPr>
        <w:t xml:space="preserve">ucts in an application. </w:t>
      </w:r>
      <w:r w:rsidRPr="008F4212">
        <w:rPr>
          <w:rFonts w:cs="Courier"/>
          <w:color w:val="000000"/>
        </w:rPr>
        <w:t>Each product is assumed to contain 2 ingredients at $</w:t>
      </w:r>
      <w:r w:rsidR="00755DC4" w:rsidRPr="008F4212">
        <w:rPr>
          <w:rFonts w:cs="Courier"/>
          <w:color w:val="000000"/>
        </w:rPr>
        <w:t>650</w:t>
      </w:r>
      <w:r w:rsidRPr="008F4212">
        <w:rPr>
          <w:rFonts w:cs="Courier"/>
          <w:color w:val="000000"/>
        </w:rPr>
        <w:t xml:space="preserve"> each, </w:t>
      </w:r>
      <w:r w:rsidR="00755DC4" w:rsidRPr="008F4212">
        <w:rPr>
          <w:rFonts w:cs="Courier"/>
          <w:color w:val="000000"/>
        </w:rPr>
        <w:t xml:space="preserve">1 </w:t>
      </w:r>
      <w:r w:rsidRPr="008F4212">
        <w:rPr>
          <w:rFonts w:cs="Courier"/>
          <w:color w:val="000000"/>
        </w:rPr>
        <w:t>proprietary ingredient at $</w:t>
      </w:r>
      <w:r w:rsidR="00755DC4" w:rsidRPr="008F4212">
        <w:rPr>
          <w:rFonts w:cs="Courier"/>
          <w:color w:val="000000"/>
        </w:rPr>
        <w:t>1,300</w:t>
      </w:r>
      <w:r w:rsidRPr="008F4212">
        <w:rPr>
          <w:rFonts w:cs="Courier"/>
          <w:color w:val="000000"/>
        </w:rPr>
        <w:t xml:space="preserve"> each, and </w:t>
      </w:r>
      <w:r w:rsidR="00755DC4" w:rsidRPr="008F4212">
        <w:rPr>
          <w:rFonts w:cs="Courier"/>
          <w:color w:val="000000"/>
        </w:rPr>
        <w:t>3</w:t>
      </w:r>
      <w:r w:rsidRPr="008F4212">
        <w:rPr>
          <w:rFonts w:cs="Courier"/>
          <w:color w:val="000000"/>
        </w:rPr>
        <w:t xml:space="preserve"> CleanGredients</w:t>
      </w:r>
      <w:r w:rsidRPr="008F4212">
        <w:rPr>
          <w:lang w:val="en"/>
        </w:rPr>
        <w:t>™</w:t>
      </w:r>
      <w:r w:rsidRPr="008F4212">
        <w:rPr>
          <w:rFonts w:cs="Courier"/>
          <w:color w:val="000000"/>
        </w:rPr>
        <w:t xml:space="preserve"> ingredient at no charge, for a total of $</w:t>
      </w:r>
      <w:r w:rsidR="00755DC4" w:rsidRPr="008F4212">
        <w:rPr>
          <w:rFonts w:cs="Courier"/>
          <w:color w:val="000000"/>
        </w:rPr>
        <w:t>2</w:t>
      </w:r>
      <w:r w:rsidRPr="008F4212">
        <w:rPr>
          <w:rFonts w:cs="Courier"/>
          <w:color w:val="000000"/>
        </w:rPr>
        <w:t>,</w:t>
      </w:r>
      <w:r w:rsidR="00755DC4" w:rsidRPr="008F4212">
        <w:rPr>
          <w:rFonts w:cs="Courier"/>
          <w:color w:val="000000"/>
        </w:rPr>
        <w:t>6</w:t>
      </w:r>
      <w:r w:rsidR="000B4D7C">
        <w:rPr>
          <w:rFonts w:cs="Courier"/>
          <w:color w:val="000000"/>
        </w:rPr>
        <w:t xml:space="preserve">00 per product. </w:t>
      </w:r>
      <w:r w:rsidRPr="008F4212">
        <w:rPr>
          <w:rFonts w:cs="Courier"/>
          <w:color w:val="000000"/>
        </w:rPr>
        <w:t>In addition, a $</w:t>
      </w:r>
      <w:r w:rsidR="00755DC4" w:rsidRPr="008F4212">
        <w:rPr>
          <w:rFonts w:cs="Courier"/>
          <w:color w:val="000000"/>
        </w:rPr>
        <w:t xml:space="preserve">500 </w:t>
      </w:r>
      <w:r w:rsidRPr="008F4212">
        <w:rPr>
          <w:rFonts w:cs="Courier"/>
          <w:color w:val="000000"/>
        </w:rPr>
        <w:t>administrative fee per product is assumed. The total will be $</w:t>
      </w:r>
      <w:r w:rsidR="00755DC4" w:rsidRPr="008F4212">
        <w:rPr>
          <w:rFonts w:cs="Courier"/>
          <w:color w:val="000000"/>
        </w:rPr>
        <w:t>12,400</w:t>
      </w:r>
      <w:r w:rsidR="00732E1A" w:rsidRPr="008F4212">
        <w:rPr>
          <w:rFonts w:cs="Courier"/>
          <w:color w:val="000000"/>
        </w:rPr>
        <w:t xml:space="preserve"> per company per application.</w:t>
      </w:r>
      <w:r w:rsidRPr="008F4212">
        <w:rPr>
          <w:rFonts w:cs="Courier"/>
          <w:color w:val="000000"/>
        </w:rPr>
        <w:t xml:space="preserve"> </w:t>
      </w:r>
      <w:r w:rsidRPr="008F4212">
        <w:t>No additional capital or O&amp;M costs are incurred by respondents under this ICR.</w:t>
      </w:r>
    </w:p>
    <w:p w14:paraId="6AAEFF63" w14:textId="77777777" w:rsidR="001B7421" w:rsidRPr="008F4212" w:rsidRDefault="001B7421" w:rsidP="001B7421"/>
    <w:p w14:paraId="56885713" w14:textId="77777777" w:rsidR="001B7421" w:rsidRDefault="001B7421" w:rsidP="001B7421">
      <w:pPr>
        <w:sectPr w:rsidR="001B7421" w:rsidSect="001B7421">
          <w:headerReference w:type="default" r:id="rId9"/>
          <w:footerReference w:type="default" r:id="rId10"/>
          <w:footnotePr>
            <w:numRestart w:val="eachSect"/>
          </w:footnotePr>
          <w:pgSz w:w="12240" w:h="15840"/>
          <w:pgMar w:top="1080" w:right="1152" w:bottom="1080" w:left="1152" w:header="720" w:footer="720" w:gutter="0"/>
          <w:cols w:space="720"/>
          <w:docGrid w:linePitch="360"/>
        </w:sectPr>
      </w:pPr>
    </w:p>
    <w:p w14:paraId="47815323" w14:textId="77777777" w:rsidR="001B7421" w:rsidRDefault="001B7421" w:rsidP="001B7421">
      <w:pPr>
        <w:rPr>
          <w:b/>
          <w:bCs/>
          <w:sz w:val="22"/>
        </w:rPr>
      </w:pPr>
      <w:r>
        <w:rPr>
          <w:sz w:val="22"/>
          <w:lang w:val="en-CA"/>
        </w:rPr>
        <w:fldChar w:fldCharType="begin"/>
      </w:r>
      <w:r>
        <w:rPr>
          <w:sz w:val="22"/>
          <w:lang w:val="en-CA"/>
        </w:rPr>
        <w:instrText xml:space="preserve"> SEQ CHAPTER \h \r 1</w:instrText>
      </w:r>
      <w:r>
        <w:rPr>
          <w:sz w:val="22"/>
          <w:lang w:val="en-CA"/>
        </w:rPr>
        <w:fldChar w:fldCharType="end"/>
      </w:r>
      <w:r>
        <w:rPr>
          <w:b/>
          <w:bCs/>
          <w:sz w:val="22"/>
        </w:rPr>
        <w:t>Exhibit 6.2.  Estimated Annual Burden and Costs to Respondents</w:t>
      </w:r>
    </w:p>
    <w:tbl>
      <w:tblPr>
        <w:tblW w:w="13230" w:type="dxa"/>
        <w:jc w:val="center"/>
        <w:tblLayout w:type="fixed"/>
        <w:tblLook w:val="04A0" w:firstRow="1" w:lastRow="0" w:firstColumn="1" w:lastColumn="0" w:noHBand="0" w:noVBand="1"/>
      </w:tblPr>
      <w:tblGrid>
        <w:gridCol w:w="2695"/>
        <w:gridCol w:w="1167"/>
        <w:gridCol w:w="1169"/>
        <w:gridCol w:w="989"/>
        <w:gridCol w:w="1170"/>
        <w:gridCol w:w="1080"/>
        <w:gridCol w:w="815"/>
        <w:gridCol w:w="810"/>
        <w:gridCol w:w="1080"/>
        <w:gridCol w:w="1170"/>
        <w:gridCol w:w="1085"/>
      </w:tblGrid>
      <w:tr w:rsidR="00D61473" w14:paraId="4B28CB62" w14:textId="77777777" w:rsidTr="00260237">
        <w:trPr>
          <w:trHeight w:val="288"/>
          <w:jc w:val="center"/>
        </w:trPr>
        <w:tc>
          <w:tcPr>
            <w:tcW w:w="2695"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475F3A62" w14:textId="77777777" w:rsidR="00D61473" w:rsidRDefault="00D61473">
            <w:pPr>
              <w:rPr>
                <w:b/>
                <w:bCs/>
                <w:sz w:val="18"/>
                <w:szCs w:val="18"/>
              </w:rPr>
            </w:pPr>
            <w:r>
              <w:rPr>
                <w:b/>
                <w:bCs/>
                <w:sz w:val="18"/>
                <w:szCs w:val="18"/>
              </w:rPr>
              <w:t>Collection activity</w:t>
            </w:r>
          </w:p>
        </w:tc>
        <w:tc>
          <w:tcPr>
            <w:tcW w:w="7200" w:type="dxa"/>
            <w:gridSpan w:val="7"/>
            <w:tcBorders>
              <w:top w:val="single" w:sz="4" w:space="0" w:color="auto"/>
              <w:left w:val="single" w:sz="4" w:space="0" w:color="auto"/>
              <w:bottom w:val="single" w:sz="4" w:space="0" w:color="auto"/>
              <w:right w:val="single" w:sz="4" w:space="0" w:color="000000"/>
            </w:tcBorders>
            <w:shd w:val="clear" w:color="000000" w:fill="D9D9D9"/>
            <w:vAlign w:val="bottom"/>
            <w:hideMark/>
          </w:tcPr>
          <w:p w14:paraId="2B4FA52F" w14:textId="77777777" w:rsidR="00D61473" w:rsidRDefault="00D61473">
            <w:pPr>
              <w:jc w:val="center"/>
              <w:rPr>
                <w:b/>
                <w:bCs/>
                <w:sz w:val="18"/>
                <w:szCs w:val="18"/>
              </w:rPr>
            </w:pPr>
            <w:r>
              <w:rPr>
                <w:b/>
                <w:bCs/>
                <w:sz w:val="18"/>
                <w:szCs w:val="18"/>
              </w:rPr>
              <w:t>Hours and Costs Per Respondent</w:t>
            </w:r>
          </w:p>
        </w:tc>
        <w:tc>
          <w:tcPr>
            <w:tcW w:w="3335" w:type="dxa"/>
            <w:gridSpan w:val="3"/>
            <w:tcBorders>
              <w:top w:val="single" w:sz="4" w:space="0" w:color="auto"/>
              <w:left w:val="nil"/>
              <w:bottom w:val="single" w:sz="4" w:space="0" w:color="auto"/>
              <w:right w:val="single" w:sz="4" w:space="0" w:color="000000"/>
            </w:tcBorders>
            <w:shd w:val="clear" w:color="000000" w:fill="D9D9D9"/>
            <w:vAlign w:val="bottom"/>
            <w:hideMark/>
          </w:tcPr>
          <w:p w14:paraId="2980BEE9" w14:textId="77777777" w:rsidR="00D61473" w:rsidRDefault="00D61473">
            <w:pPr>
              <w:jc w:val="center"/>
              <w:rPr>
                <w:b/>
                <w:bCs/>
                <w:sz w:val="18"/>
                <w:szCs w:val="18"/>
              </w:rPr>
            </w:pPr>
            <w:r>
              <w:rPr>
                <w:b/>
                <w:bCs/>
                <w:sz w:val="18"/>
                <w:szCs w:val="18"/>
              </w:rPr>
              <w:t>Total Hours and Costs</w:t>
            </w:r>
          </w:p>
        </w:tc>
      </w:tr>
      <w:tr w:rsidR="00D61473" w14:paraId="46E47C01" w14:textId="77777777" w:rsidTr="00260237">
        <w:trPr>
          <w:trHeight w:val="288"/>
          <w:jc w:val="cent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770F472A" w14:textId="77777777" w:rsidR="00D61473" w:rsidRDefault="00D61473">
            <w:pPr>
              <w:rPr>
                <w:b/>
                <w:bCs/>
                <w:sz w:val="18"/>
                <w:szCs w:val="18"/>
              </w:rPr>
            </w:pPr>
          </w:p>
        </w:tc>
        <w:tc>
          <w:tcPr>
            <w:tcW w:w="1167" w:type="dxa"/>
            <w:tcBorders>
              <w:top w:val="nil"/>
              <w:left w:val="single" w:sz="4" w:space="0" w:color="auto"/>
              <w:bottom w:val="nil"/>
              <w:right w:val="nil"/>
            </w:tcBorders>
            <w:shd w:val="clear" w:color="000000" w:fill="D9D9D9"/>
            <w:vAlign w:val="center"/>
            <w:hideMark/>
          </w:tcPr>
          <w:p w14:paraId="202A0AEC" w14:textId="77777777" w:rsidR="00D61473" w:rsidRDefault="00E024B5" w:rsidP="00E024B5">
            <w:pPr>
              <w:jc w:val="center"/>
              <w:rPr>
                <w:b/>
                <w:bCs/>
                <w:sz w:val="18"/>
                <w:szCs w:val="18"/>
              </w:rPr>
            </w:pPr>
            <w:r>
              <w:rPr>
                <w:b/>
                <w:bCs/>
                <w:sz w:val="18"/>
                <w:szCs w:val="18"/>
              </w:rPr>
              <w:t>Managerial</w:t>
            </w:r>
          </w:p>
        </w:tc>
        <w:tc>
          <w:tcPr>
            <w:tcW w:w="1169" w:type="dxa"/>
            <w:tcBorders>
              <w:top w:val="nil"/>
              <w:left w:val="single" w:sz="4" w:space="0" w:color="auto"/>
              <w:bottom w:val="nil"/>
              <w:right w:val="single" w:sz="4" w:space="0" w:color="auto"/>
            </w:tcBorders>
            <w:shd w:val="clear" w:color="000000" w:fill="D9D9D9"/>
            <w:vAlign w:val="center"/>
            <w:hideMark/>
          </w:tcPr>
          <w:p w14:paraId="07F1D289" w14:textId="77777777" w:rsidR="00D61473" w:rsidRDefault="00D61473">
            <w:pPr>
              <w:jc w:val="center"/>
              <w:rPr>
                <w:b/>
                <w:bCs/>
                <w:sz w:val="18"/>
                <w:szCs w:val="18"/>
              </w:rPr>
            </w:pPr>
            <w:r>
              <w:rPr>
                <w:b/>
                <w:bCs/>
                <w:sz w:val="18"/>
                <w:szCs w:val="18"/>
              </w:rPr>
              <w:t>Tech</w:t>
            </w:r>
            <w:r w:rsidR="00E024B5">
              <w:rPr>
                <w:b/>
                <w:bCs/>
                <w:sz w:val="18"/>
                <w:szCs w:val="18"/>
              </w:rPr>
              <w:t>nical</w:t>
            </w:r>
          </w:p>
        </w:tc>
        <w:tc>
          <w:tcPr>
            <w:tcW w:w="989" w:type="dxa"/>
            <w:tcBorders>
              <w:top w:val="nil"/>
              <w:left w:val="nil"/>
              <w:bottom w:val="nil"/>
              <w:right w:val="single" w:sz="4" w:space="0" w:color="auto"/>
            </w:tcBorders>
            <w:shd w:val="clear" w:color="000000" w:fill="D9D9D9"/>
            <w:vAlign w:val="center"/>
            <w:hideMark/>
          </w:tcPr>
          <w:p w14:paraId="63267A3B" w14:textId="77777777" w:rsidR="00D61473" w:rsidRDefault="00D61473" w:rsidP="00E024B5">
            <w:pPr>
              <w:jc w:val="center"/>
              <w:rPr>
                <w:b/>
                <w:bCs/>
                <w:sz w:val="18"/>
                <w:szCs w:val="18"/>
              </w:rPr>
            </w:pPr>
            <w:r>
              <w:rPr>
                <w:b/>
                <w:bCs/>
                <w:sz w:val="18"/>
                <w:szCs w:val="18"/>
              </w:rPr>
              <w:t>Cler</w:t>
            </w:r>
            <w:r w:rsidR="00E024B5">
              <w:rPr>
                <w:b/>
                <w:bCs/>
                <w:sz w:val="18"/>
                <w:szCs w:val="18"/>
              </w:rPr>
              <w:t>ical</w:t>
            </w:r>
          </w:p>
        </w:tc>
        <w:tc>
          <w:tcPr>
            <w:tcW w:w="1170" w:type="dxa"/>
            <w:vMerge w:val="restart"/>
            <w:tcBorders>
              <w:top w:val="nil"/>
              <w:left w:val="nil"/>
              <w:bottom w:val="single" w:sz="4" w:space="0" w:color="auto"/>
              <w:right w:val="single" w:sz="4" w:space="0" w:color="auto"/>
            </w:tcBorders>
            <w:shd w:val="clear" w:color="000000" w:fill="D9D9D9"/>
            <w:vAlign w:val="center"/>
            <w:hideMark/>
          </w:tcPr>
          <w:p w14:paraId="562C0692" w14:textId="77777777" w:rsidR="00D61473" w:rsidRDefault="00D61473" w:rsidP="00260237">
            <w:pPr>
              <w:jc w:val="center"/>
              <w:rPr>
                <w:b/>
                <w:bCs/>
                <w:sz w:val="18"/>
                <w:szCs w:val="18"/>
              </w:rPr>
            </w:pPr>
            <w:r>
              <w:rPr>
                <w:b/>
                <w:bCs/>
                <w:sz w:val="18"/>
                <w:szCs w:val="18"/>
              </w:rPr>
              <w:t>Response Hours/Y</w:t>
            </w:r>
            <w:r w:rsidR="00260237">
              <w:rPr>
                <w:b/>
                <w:bCs/>
                <w:sz w:val="18"/>
                <w:szCs w:val="18"/>
              </w:rPr>
              <w:t>ea</w:t>
            </w:r>
            <w:r>
              <w:rPr>
                <w:b/>
                <w:bCs/>
                <w:sz w:val="18"/>
                <w:szCs w:val="18"/>
              </w:rPr>
              <w:t>r</w:t>
            </w:r>
          </w:p>
        </w:tc>
        <w:tc>
          <w:tcPr>
            <w:tcW w:w="1080" w:type="dxa"/>
            <w:vMerge w:val="restart"/>
            <w:tcBorders>
              <w:top w:val="nil"/>
              <w:left w:val="single" w:sz="4" w:space="0" w:color="auto"/>
              <w:bottom w:val="single" w:sz="4" w:space="0" w:color="auto"/>
              <w:right w:val="nil"/>
            </w:tcBorders>
            <w:shd w:val="clear" w:color="000000" w:fill="D9D9D9"/>
            <w:vAlign w:val="center"/>
            <w:hideMark/>
          </w:tcPr>
          <w:p w14:paraId="7204E069" w14:textId="77777777" w:rsidR="00D61473" w:rsidRDefault="00D61473" w:rsidP="00260237">
            <w:pPr>
              <w:jc w:val="center"/>
              <w:rPr>
                <w:b/>
                <w:bCs/>
                <w:sz w:val="18"/>
                <w:szCs w:val="18"/>
              </w:rPr>
            </w:pPr>
            <w:r>
              <w:rPr>
                <w:b/>
                <w:bCs/>
                <w:sz w:val="18"/>
                <w:szCs w:val="18"/>
              </w:rPr>
              <w:t>Labor Cost/Y</w:t>
            </w:r>
            <w:r w:rsidR="00260237">
              <w:rPr>
                <w:b/>
                <w:bCs/>
                <w:sz w:val="18"/>
                <w:szCs w:val="18"/>
              </w:rPr>
              <w:t>ea</w:t>
            </w:r>
            <w:r>
              <w:rPr>
                <w:b/>
                <w:bCs/>
                <w:sz w:val="18"/>
                <w:szCs w:val="18"/>
              </w:rPr>
              <w:t>r</w:t>
            </w:r>
          </w:p>
        </w:tc>
        <w:tc>
          <w:tcPr>
            <w:tcW w:w="815" w:type="dxa"/>
            <w:tcBorders>
              <w:top w:val="nil"/>
              <w:left w:val="single" w:sz="4" w:space="0" w:color="auto"/>
              <w:bottom w:val="nil"/>
              <w:right w:val="single" w:sz="4" w:space="0" w:color="auto"/>
            </w:tcBorders>
            <w:shd w:val="clear" w:color="000000" w:fill="D9D9D9"/>
            <w:vAlign w:val="center"/>
            <w:hideMark/>
          </w:tcPr>
          <w:p w14:paraId="40220006" w14:textId="77777777" w:rsidR="00D61473" w:rsidRDefault="00D61473">
            <w:pPr>
              <w:jc w:val="center"/>
              <w:rPr>
                <w:b/>
                <w:bCs/>
                <w:sz w:val="18"/>
                <w:szCs w:val="18"/>
              </w:rPr>
            </w:pPr>
            <w:r>
              <w:rPr>
                <w:b/>
                <w:bCs/>
                <w:sz w:val="18"/>
                <w:szCs w:val="18"/>
              </w:rPr>
              <w:t>Capital</w:t>
            </w:r>
          </w:p>
        </w:tc>
        <w:tc>
          <w:tcPr>
            <w:tcW w:w="810" w:type="dxa"/>
            <w:vMerge w:val="restart"/>
            <w:tcBorders>
              <w:top w:val="nil"/>
              <w:left w:val="nil"/>
              <w:bottom w:val="single" w:sz="4" w:space="0" w:color="auto"/>
              <w:right w:val="single" w:sz="4" w:space="0" w:color="auto"/>
            </w:tcBorders>
            <w:shd w:val="clear" w:color="000000" w:fill="D9D9D9"/>
            <w:vAlign w:val="center"/>
            <w:hideMark/>
          </w:tcPr>
          <w:p w14:paraId="7367C4F6" w14:textId="77777777" w:rsidR="00D61473" w:rsidRDefault="00D61473">
            <w:pPr>
              <w:jc w:val="center"/>
              <w:rPr>
                <w:b/>
                <w:bCs/>
                <w:sz w:val="18"/>
                <w:szCs w:val="18"/>
              </w:rPr>
            </w:pPr>
            <w:r>
              <w:rPr>
                <w:b/>
                <w:bCs/>
                <w:sz w:val="18"/>
                <w:szCs w:val="18"/>
              </w:rPr>
              <w:t>O &amp; M Cost*</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6EFC08F3" w14:textId="77777777" w:rsidR="00D61473" w:rsidRDefault="00D61473">
            <w:pPr>
              <w:jc w:val="center"/>
              <w:rPr>
                <w:b/>
                <w:bCs/>
                <w:sz w:val="18"/>
                <w:szCs w:val="18"/>
              </w:rPr>
            </w:pPr>
            <w:r>
              <w:rPr>
                <w:b/>
                <w:bCs/>
                <w:sz w:val="18"/>
                <w:szCs w:val="18"/>
              </w:rPr>
              <w:t>Number of Respon.**</w:t>
            </w:r>
          </w:p>
        </w:tc>
        <w:tc>
          <w:tcPr>
            <w:tcW w:w="11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5F04E95" w14:textId="77777777" w:rsidR="00D61473" w:rsidRDefault="00D61473">
            <w:pPr>
              <w:jc w:val="center"/>
              <w:rPr>
                <w:b/>
                <w:bCs/>
                <w:sz w:val="18"/>
                <w:szCs w:val="18"/>
              </w:rPr>
            </w:pPr>
            <w:r>
              <w:rPr>
                <w:b/>
                <w:bCs/>
                <w:sz w:val="18"/>
                <w:szCs w:val="18"/>
              </w:rPr>
              <w:t>Total Hours/Y</w:t>
            </w:r>
            <w:r w:rsidR="00260237">
              <w:rPr>
                <w:b/>
                <w:bCs/>
                <w:sz w:val="18"/>
                <w:szCs w:val="18"/>
              </w:rPr>
              <w:t>ea</w:t>
            </w:r>
            <w:r>
              <w:rPr>
                <w:b/>
                <w:bCs/>
                <w:sz w:val="18"/>
                <w:szCs w:val="18"/>
              </w:rPr>
              <w:t>r</w:t>
            </w:r>
          </w:p>
        </w:tc>
        <w:tc>
          <w:tcPr>
            <w:tcW w:w="1085" w:type="dxa"/>
            <w:vMerge w:val="restart"/>
            <w:tcBorders>
              <w:top w:val="nil"/>
              <w:left w:val="single" w:sz="4" w:space="0" w:color="auto"/>
              <w:bottom w:val="single" w:sz="4" w:space="0" w:color="auto"/>
              <w:right w:val="single" w:sz="4" w:space="0" w:color="auto"/>
            </w:tcBorders>
            <w:shd w:val="clear" w:color="000000" w:fill="D9D9D9"/>
            <w:vAlign w:val="center"/>
            <w:hideMark/>
          </w:tcPr>
          <w:p w14:paraId="7F039127" w14:textId="77777777" w:rsidR="00D61473" w:rsidRDefault="00D61473">
            <w:pPr>
              <w:jc w:val="center"/>
              <w:rPr>
                <w:b/>
                <w:bCs/>
                <w:sz w:val="18"/>
                <w:szCs w:val="18"/>
              </w:rPr>
            </w:pPr>
            <w:r>
              <w:rPr>
                <w:b/>
                <w:bCs/>
                <w:sz w:val="18"/>
                <w:szCs w:val="18"/>
              </w:rPr>
              <w:t>Total Cost/Y</w:t>
            </w:r>
            <w:r w:rsidR="00260237">
              <w:rPr>
                <w:b/>
                <w:bCs/>
                <w:sz w:val="18"/>
                <w:szCs w:val="18"/>
              </w:rPr>
              <w:t>ea</w:t>
            </w:r>
            <w:r>
              <w:rPr>
                <w:b/>
                <w:bCs/>
                <w:sz w:val="18"/>
                <w:szCs w:val="18"/>
              </w:rPr>
              <w:t>r</w:t>
            </w:r>
          </w:p>
        </w:tc>
      </w:tr>
      <w:tr w:rsidR="00D61473" w14:paraId="3600ECFB" w14:textId="77777777" w:rsidTr="00260237">
        <w:trPr>
          <w:trHeight w:val="288"/>
          <w:jc w:val="center"/>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46760F80" w14:textId="77777777" w:rsidR="00D61473" w:rsidRDefault="00D61473">
            <w:pPr>
              <w:rPr>
                <w:b/>
                <w:bCs/>
                <w:sz w:val="18"/>
                <w:szCs w:val="18"/>
              </w:rPr>
            </w:pPr>
          </w:p>
        </w:tc>
        <w:tc>
          <w:tcPr>
            <w:tcW w:w="1167" w:type="dxa"/>
            <w:tcBorders>
              <w:top w:val="nil"/>
              <w:left w:val="single" w:sz="4" w:space="0" w:color="auto"/>
              <w:bottom w:val="single" w:sz="4" w:space="0" w:color="auto"/>
              <w:right w:val="nil"/>
            </w:tcBorders>
            <w:shd w:val="clear" w:color="000000" w:fill="D9D9D9"/>
            <w:hideMark/>
          </w:tcPr>
          <w:p w14:paraId="3A3D72DF" w14:textId="77777777" w:rsidR="00D61473" w:rsidRDefault="00D61473" w:rsidP="005A0705">
            <w:pPr>
              <w:jc w:val="center"/>
              <w:rPr>
                <w:b/>
                <w:bCs/>
                <w:sz w:val="18"/>
                <w:szCs w:val="18"/>
              </w:rPr>
            </w:pPr>
            <w:r>
              <w:rPr>
                <w:b/>
                <w:bCs/>
                <w:sz w:val="18"/>
                <w:szCs w:val="18"/>
              </w:rPr>
              <w:t>$</w:t>
            </w:r>
            <w:r w:rsidR="005A0705">
              <w:rPr>
                <w:b/>
                <w:bCs/>
                <w:sz w:val="18"/>
                <w:szCs w:val="18"/>
              </w:rPr>
              <w:t>83</w:t>
            </w:r>
            <w:r>
              <w:rPr>
                <w:b/>
                <w:bCs/>
                <w:sz w:val="18"/>
                <w:szCs w:val="18"/>
              </w:rPr>
              <w:t>/H</w:t>
            </w:r>
            <w:r w:rsidR="00260237">
              <w:rPr>
                <w:b/>
                <w:bCs/>
                <w:sz w:val="18"/>
                <w:szCs w:val="18"/>
              </w:rPr>
              <w:t>ou</w:t>
            </w:r>
            <w:r>
              <w:rPr>
                <w:b/>
                <w:bCs/>
                <w:sz w:val="18"/>
                <w:szCs w:val="18"/>
              </w:rPr>
              <w:t>r</w:t>
            </w:r>
          </w:p>
        </w:tc>
        <w:tc>
          <w:tcPr>
            <w:tcW w:w="1169" w:type="dxa"/>
            <w:tcBorders>
              <w:top w:val="nil"/>
              <w:left w:val="single" w:sz="4" w:space="0" w:color="auto"/>
              <w:bottom w:val="single" w:sz="4" w:space="0" w:color="auto"/>
              <w:right w:val="single" w:sz="4" w:space="0" w:color="auto"/>
            </w:tcBorders>
            <w:shd w:val="clear" w:color="000000" w:fill="D9D9D9"/>
            <w:hideMark/>
          </w:tcPr>
          <w:p w14:paraId="626CB8E4" w14:textId="77777777" w:rsidR="00D61473" w:rsidRDefault="00D61473" w:rsidP="0070078C">
            <w:pPr>
              <w:jc w:val="center"/>
              <w:rPr>
                <w:b/>
                <w:bCs/>
                <w:sz w:val="18"/>
                <w:szCs w:val="18"/>
              </w:rPr>
            </w:pPr>
            <w:r>
              <w:rPr>
                <w:b/>
                <w:bCs/>
                <w:sz w:val="18"/>
                <w:szCs w:val="18"/>
              </w:rPr>
              <w:t>$</w:t>
            </w:r>
            <w:r w:rsidR="005A0705">
              <w:rPr>
                <w:b/>
                <w:bCs/>
                <w:sz w:val="18"/>
                <w:szCs w:val="18"/>
              </w:rPr>
              <w:t>73</w:t>
            </w:r>
            <w:r>
              <w:rPr>
                <w:b/>
                <w:bCs/>
                <w:sz w:val="18"/>
                <w:szCs w:val="18"/>
              </w:rPr>
              <w:t>/H</w:t>
            </w:r>
            <w:r w:rsidR="00260237">
              <w:rPr>
                <w:b/>
                <w:bCs/>
                <w:sz w:val="18"/>
                <w:szCs w:val="18"/>
              </w:rPr>
              <w:t>ou</w:t>
            </w:r>
            <w:r>
              <w:rPr>
                <w:b/>
                <w:bCs/>
                <w:sz w:val="18"/>
                <w:szCs w:val="18"/>
              </w:rPr>
              <w:t>r</w:t>
            </w:r>
          </w:p>
        </w:tc>
        <w:tc>
          <w:tcPr>
            <w:tcW w:w="989" w:type="dxa"/>
            <w:tcBorders>
              <w:top w:val="nil"/>
              <w:left w:val="nil"/>
              <w:bottom w:val="single" w:sz="4" w:space="0" w:color="auto"/>
              <w:right w:val="single" w:sz="4" w:space="0" w:color="auto"/>
            </w:tcBorders>
            <w:shd w:val="clear" w:color="000000" w:fill="D9D9D9"/>
            <w:hideMark/>
          </w:tcPr>
          <w:p w14:paraId="7FFDE189" w14:textId="77777777" w:rsidR="00D61473" w:rsidRDefault="00D61473" w:rsidP="0070078C">
            <w:pPr>
              <w:jc w:val="center"/>
              <w:rPr>
                <w:b/>
                <w:bCs/>
                <w:sz w:val="18"/>
                <w:szCs w:val="18"/>
              </w:rPr>
            </w:pPr>
            <w:r>
              <w:rPr>
                <w:b/>
                <w:bCs/>
                <w:sz w:val="18"/>
                <w:szCs w:val="18"/>
              </w:rPr>
              <w:t>$</w:t>
            </w:r>
            <w:r w:rsidR="005A0705">
              <w:rPr>
                <w:b/>
                <w:bCs/>
                <w:sz w:val="18"/>
                <w:szCs w:val="18"/>
              </w:rPr>
              <w:t>32</w:t>
            </w:r>
            <w:r>
              <w:rPr>
                <w:b/>
                <w:bCs/>
                <w:sz w:val="18"/>
                <w:szCs w:val="18"/>
              </w:rPr>
              <w:t>/H</w:t>
            </w:r>
            <w:r w:rsidR="00260237">
              <w:rPr>
                <w:b/>
                <w:bCs/>
                <w:sz w:val="18"/>
                <w:szCs w:val="18"/>
              </w:rPr>
              <w:t>ou</w:t>
            </w:r>
            <w:r>
              <w:rPr>
                <w:b/>
                <w:bCs/>
                <w:sz w:val="18"/>
                <w:szCs w:val="18"/>
              </w:rPr>
              <w:t>r</w:t>
            </w:r>
          </w:p>
        </w:tc>
        <w:tc>
          <w:tcPr>
            <w:tcW w:w="1170" w:type="dxa"/>
            <w:vMerge/>
            <w:tcBorders>
              <w:top w:val="nil"/>
              <w:left w:val="nil"/>
              <w:bottom w:val="single" w:sz="4" w:space="0" w:color="auto"/>
              <w:right w:val="single" w:sz="4" w:space="0" w:color="auto"/>
            </w:tcBorders>
            <w:vAlign w:val="center"/>
            <w:hideMark/>
          </w:tcPr>
          <w:p w14:paraId="49C23563" w14:textId="77777777" w:rsidR="00D61473" w:rsidRDefault="00D61473">
            <w:pPr>
              <w:rPr>
                <w:b/>
                <w:bCs/>
                <w:sz w:val="18"/>
                <w:szCs w:val="18"/>
              </w:rPr>
            </w:pPr>
          </w:p>
        </w:tc>
        <w:tc>
          <w:tcPr>
            <w:tcW w:w="1080" w:type="dxa"/>
            <w:vMerge/>
            <w:tcBorders>
              <w:top w:val="nil"/>
              <w:left w:val="single" w:sz="4" w:space="0" w:color="auto"/>
              <w:bottom w:val="single" w:sz="4" w:space="0" w:color="auto"/>
              <w:right w:val="nil"/>
            </w:tcBorders>
            <w:vAlign w:val="center"/>
            <w:hideMark/>
          </w:tcPr>
          <w:p w14:paraId="3A86F11B" w14:textId="77777777" w:rsidR="00D61473" w:rsidRDefault="00D61473">
            <w:pPr>
              <w:rPr>
                <w:b/>
                <w:bCs/>
                <w:sz w:val="18"/>
                <w:szCs w:val="18"/>
              </w:rPr>
            </w:pPr>
          </w:p>
        </w:tc>
        <w:tc>
          <w:tcPr>
            <w:tcW w:w="815" w:type="dxa"/>
            <w:tcBorders>
              <w:top w:val="nil"/>
              <w:left w:val="single" w:sz="4" w:space="0" w:color="auto"/>
              <w:bottom w:val="single" w:sz="4" w:space="0" w:color="auto"/>
              <w:right w:val="single" w:sz="4" w:space="0" w:color="auto"/>
            </w:tcBorders>
            <w:shd w:val="clear" w:color="000000" w:fill="D9D9D9"/>
            <w:hideMark/>
          </w:tcPr>
          <w:p w14:paraId="65DC5FFD" w14:textId="77777777" w:rsidR="00D61473" w:rsidRDefault="00D61473">
            <w:pPr>
              <w:jc w:val="center"/>
              <w:rPr>
                <w:b/>
                <w:bCs/>
                <w:sz w:val="18"/>
                <w:szCs w:val="18"/>
              </w:rPr>
            </w:pPr>
            <w:r>
              <w:rPr>
                <w:b/>
                <w:bCs/>
                <w:sz w:val="18"/>
                <w:szCs w:val="18"/>
              </w:rPr>
              <w:t>Cost</w:t>
            </w:r>
          </w:p>
        </w:tc>
        <w:tc>
          <w:tcPr>
            <w:tcW w:w="810" w:type="dxa"/>
            <w:vMerge/>
            <w:tcBorders>
              <w:top w:val="nil"/>
              <w:left w:val="nil"/>
              <w:bottom w:val="single" w:sz="4" w:space="0" w:color="auto"/>
              <w:right w:val="single" w:sz="4" w:space="0" w:color="auto"/>
            </w:tcBorders>
            <w:vAlign w:val="center"/>
            <w:hideMark/>
          </w:tcPr>
          <w:p w14:paraId="525B5C2E" w14:textId="77777777" w:rsidR="00D61473" w:rsidRDefault="00D61473">
            <w:pPr>
              <w:rPr>
                <w:b/>
                <w:bCs/>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15EC2070" w14:textId="77777777" w:rsidR="00D61473" w:rsidRDefault="00D61473">
            <w:pPr>
              <w:rPr>
                <w:b/>
                <w:bCs/>
                <w:sz w:val="18"/>
                <w:szCs w:val="18"/>
              </w:rPr>
            </w:pPr>
          </w:p>
        </w:tc>
        <w:tc>
          <w:tcPr>
            <w:tcW w:w="1170" w:type="dxa"/>
            <w:vMerge/>
            <w:tcBorders>
              <w:top w:val="nil"/>
              <w:left w:val="single" w:sz="4" w:space="0" w:color="auto"/>
              <w:bottom w:val="single" w:sz="4" w:space="0" w:color="auto"/>
              <w:right w:val="single" w:sz="4" w:space="0" w:color="auto"/>
            </w:tcBorders>
            <w:vAlign w:val="center"/>
            <w:hideMark/>
          </w:tcPr>
          <w:p w14:paraId="1EA5265B" w14:textId="77777777" w:rsidR="00D61473" w:rsidRDefault="00D61473">
            <w:pPr>
              <w:rPr>
                <w:b/>
                <w:bCs/>
                <w:sz w:val="18"/>
                <w:szCs w:val="18"/>
              </w:rPr>
            </w:pPr>
          </w:p>
        </w:tc>
        <w:tc>
          <w:tcPr>
            <w:tcW w:w="1085" w:type="dxa"/>
            <w:vMerge/>
            <w:tcBorders>
              <w:top w:val="nil"/>
              <w:left w:val="single" w:sz="4" w:space="0" w:color="auto"/>
              <w:bottom w:val="single" w:sz="4" w:space="0" w:color="auto"/>
              <w:right w:val="single" w:sz="4" w:space="0" w:color="auto"/>
            </w:tcBorders>
            <w:vAlign w:val="center"/>
            <w:hideMark/>
          </w:tcPr>
          <w:p w14:paraId="40BD3757" w14:textId="77777777" w:rsidR="00D61473" w:rsidRDefault="00D61473">
            <w:pPr>
              <w:rPr>
                <w:b/>
                <w:bCs/>
                <w:sz w:val="18"/>
                <w:szCs w:val="18"/>
              </w:rPr>
            </w:pPr>
          </w:p>
        </w:tc>
      </w:tr>
      <w:tr w:rsidR="00D61473" w14:paraId="23279D2C" w14:textId="77777777" w:rsidTr="00D61473">
        <w:trPr>
          <w:trHeight w:val="288"/>
          <w:jc w:val="center"/>
        </w:trPr>
        <w:tc>
          <w:tcPr>
            <w:tcW w:w="13230"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5C9033FF" w14:textId="77777777" w:rsidR="00D61473" w:rsidRDefault="00A06262">
            <w:pPr>
              <w:rPr>
                <w:b/>
                <w:bCs/>
                <w:sz w:val="18"/>
                <w:szCs w:val="18"/>
              </w:rPr>
            </w:pPr>
            <w:r>
              <w:rPr>
                <w:b/>
                <w:bCs/>
                <w:sz w:val="18"/>
                <w:szCs w:val="18"/>
              </w:rPr>
              <w:t>Partnership Agreements</w:t>
            </w:r>
          </w:p>
        </w:tc>
      </w:tr>
      <w:tr w:rsidR="00D61473" w14:paraId="08AF412C" w14:textId="77777777" w:rsidTr="00260237">
        <w:trPr>
          <w:trHeight w:val="492"/>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41C56B2A" w14:textId="77777777" w:rsidR="00D61473" w:rsidRDefault="00D61473">
            <w:pPr>
              <w:rPr>
                <w:sz w:val="18"/>
                <w:szCs w:val="18"/>
              </w:rPr>
            </w:pPr>
            <w:r>
              <w:rPr>
                <w:sz w:val="18"/>
                <w:szCs w:val="18"/>
              </w:rPr>
              <w:t>Review program inf</w:t>
            </w:r>
            <w:r w:rsidR="00360C70">
              <w:rPr>
                <w:sz w:val="18"/>
                <w:szCs w:val="18"/>
              </w:rPr>
              <w:t>ormation</w:t>
            </w:r>
          </w:p>
        </w:tc>
        <w:tc>
          <w:tcPr>
            <w:tcW w:w="1167" w:type="dxa"/>
            <w:tcBorders>
              <w:top w:val="nil"/>
              <w:left w:val="nil"/>
              <w:bottom w:val="single" w:sz="4" w:space="0" w:color="auto"/>
              <w:right w:val="single" w:sz="4" w:space="0" w:color="auto"/>
            </w:tcBorders>
            <w:shd w:val="clear" w:color="auto" w:fill="auto"/>
            <w:vAlign w:val="bottom"/>
            <w:hideMark/>
          </w:tcPr>
          <w:p w14:paraId="4DACFD5A" w14:textId="77777777" w:rsidR="00D61473" w:rsidRDefault="00D61473" w:rsidP="00360C70">
            <w:pPr>
              <w:jc w:val="right"/>
              <w:rPr>
                <w:sz w:val="18"/>
                <w:szCs w:val="18"/>
              </w:rPr>
            </w:pPr>
            <w:r>
              <w:rPr>
                <w:sz w:val="18"/>
                <w:szCs w:val="18"/>
              </w:rPr>
              <w:t xml:space="preserve">1.0 </w:t>
            </w:r>
          </w:p>
        </w:tc>
        <w:tc>
          <w:tcPr>
            <w:tcW w:w="1169" w:type="dxa"/>
            <w:tcBorders>
              <w:top w:val="nil"/>
              <w:left w:val="nil"/>
              <w:bottom w:val="single" w:sz="4" w:space="0" w:color="auto"/>
              <w:right w:val="single" w:sz="4" w:space="0" w:color="auto"/>
            </w:tcBorders>
            <w:shd w:val="clear" w:color="auto" w:fill="auto"/>
            <w:vAlign w:val="bottom"/>
            <w:hideMark/>
          </w:tcPr>
          <w:p w14:paraId="00805066" w14:textId="77777777" w:rsidR="00D61473" w:rsidRDefault="00D61473" w:rsidP="00D61473">
            <w:pPr>
              <w:jc w:val="right"/>
              <w:rPr>
                <w:sz w:val="18"/>
                <w:szCs w:val="18"/>
              </w:rPr>
            </w:pPr>
            <w:r>
              <w:rPr>
                <w:sz w:val="18"/>
                <w:szCs w:val="18"/>
              </w:rPr>
              <w:t xml:space="preserve">             1.0 </w:t>
            </w:r>
          </w:p>
        </w:tc>
        <w:tc>
          <w:tcPr>
            <w:tcW w:w="989" w:type="dxa"/>
            <w:tcBorders>
              <w:top w:val="nil"/>
              <w:left w:val="nil"/>
              <w:bottom w:val="single" w:sz="4" w:space="0" w:color="auto"/>
              <w:right w:val="single" w:sz="4" w:space="0" w:color="auto"/>
            </w:tcBorders>
            <w:shd w:val="clear" w:color="auto" w:fill="auto"/>
            <w:vAlign w:val="bottom"/>
            <w:hideMark/>
          </w:tcPr>
          <w:p w14:paraId="5598FF58" w14:textId="77777777" w:rsidR="00D61473" w:rsidRDefault="00D61473" w:rsidP="00D61473">
            <w:pPr>
              <w:jc w:val="right"/>
              <w:rPr>
                <w:sz w:val="18"/>
                <w:szCs w:val="18"/>
              </w:rPr>
            </w:pPr>
            <w:r>
              <w:rPr>
                <w:sz w:val="18"/>
                <w:szCs w:val="18"/>
              </w:rPr>
              <w:t xml:space="preserve">              -   </w:t>
            </w:r>
          </w:p>
        </w:tc>
        <w:tc>
          <w:tcPr>
            <w:tcW w:w="1170" w:type="dxa"/>
            <w:tcBorders>
              <w:top w:val="nil"/>
              <w:left w:val="nil"/>
              <w:bottom w:val="single" w:sz="4" w:space="0" w:color="auto"/>
              <w:right w:val="single" w:sz="4" w:space="0" w:color="auto"/>
            </w:tcBorders>
            <w:shd w:val="clear" w:color="auto" w:fill="auto"/>
            <w:vAlign w:val="bottom"/>
            <w:hideMark/>
          </w:tcPr>
          <w:p w14:paraId="6988A5D7" w14:textId="77777777" w:rsidR="00D61473" w:rsidRDefault="00D61473" w:rsidP="00D61473">
            <w:pPr>
              <w:jc w:val="right"/>
              <w:rPr>
                <w:sz w:val="18"/>
                <w:szCs w:val="18"/>
              </w:rPr>
            </w:pPr>
            <w:r>
              <w:rPr>
                <w:sz w:val="18"/>
                <w:szCs w:val="18"/>
              </w:rPr>
              <w:t xml:space="preserve">             2.0 </w:t>
            </w:r>
          </w:p>
        </w:tc>
        <w:tc>
          <w:tcPr>
            <w:tcW w:w="1080" w:type="dxa"/>
            <w:tcBorders>
              <w:top w:val="nil"/>
              <w:left w:val="nil"/>
              <w:bottom w:val="single" w:sz="4" w:space="0" w:color="auto"/>
              <w:right w:val="single" w:sz="4" w:space="0" w:color="auto"/>
            </w:tcBorders>
            <w:shd w:val="clear" w:color="auto" w:fill="auto"/>
            <w:vAlign w:val="bottom"/>
            <w:hideMark/>
          </w:tcPr>
          <w:p w14:paraId="3A4F0A5D" w14:textId="77777777" w:rsidR="00D61473" w:rsidRDefault="00D61473" w:rsidP="006A06AB">
            <w:pPr>
              <w:jc w:val="right"/>
              <w:rPr>
                <w:sz w:val="18"/>
                <w:szCs w:val="18"/>
              </w:rPr>
            </w:pPr>
            <w:r>
              <w:rPr>
                <w:sz w:val="18"/>
                <w:szCs w:val="18"/>
              </w:rPr>
              <w:t>$</w:t>
            </w:r>
            <w:r w:rsidR="006A06AB">
              <w:rPr>
                <w:sz w:val="18"/>
                <w:szCs w:val="18"/>
              </w:rPr>
              <w:t>156</w:t>
            </w:r>
          </w:p>
        </w:tc>
        <w:tc>
          <w:tcPr>
            <w:tcW w:w="815" w:type="dxa"/>
            <w:tcBorders>
              <w:top w:val="nil"/>
              <w:left w:val="nil"/>
              <w:bottom w:val="single" w:sz="4" w:space="0" w:color="auto"/>
              <w:right w:val="single" w:sz="4" w:space="0" w:color="auto"/>
            </w:tcBorders>
            <w:shd w:val="clear" w:color="auto" w:fill="auto"/>
            <w:vAlign w:val="bottom"/>
            <w:hideMark/>
          </w:tcPr>
          <w:p w14:paraId="054D62C9"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04D37A10" w14:textId="77777777" w:rsidR="00D61473" w:rsidRDefault="00D61473"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3FFE5E67" w14:textId="77777777" w:rsidR="00D61473" w:rsidRDefault="003A1D20" w:rsidP="00CB251F">
            <w:pPr>
              <w:jc w:val="right"/>
              <w:rPr>
                <w:sz w:val="18"/>
                <w:szCs w:val="18"/>
              </w:rPr>
            </w:pPr>
            <w:r>
              <w:rPr>
                <w:sz w:val="18"/>
                <w:szCs w:val="18"/>
              </w:rPr>
              <w:t>4</w:t>
            </w:r>
            <w:r w:rsidR="00A06262">
              <w:rPr>
                <w:sz w:val="18"/>
                <w:szCs w:val="18"/>
              </w:rPr>
              <w:t>4</w:t>
            </w:r>
          </w:p>
        </w:tc>
        <w:tc>
          <w:tcPr>
            <w:tcW w:w="1170" w:type="dxa"/>
            <w:tcBorders>
              <w:top w:val="nil"/>
              <w:left w:val="nil"/>
              <w:bottom w:val="single" w:sz="4" w:space="0" w:color="auto"/>
              <w:right w:val="single" w:sz="4" w:space="0" w:color="auto"/>
            </w:tcBorders>
            <w:shd w:val="clear" w:color="auto" w:fill="auto"/>
            <w:vAlign w:val="bottom"/>
            <w:hideMark/>
          </w:tcPr>
          <w:p w14:paraId="1C785DCD" w14:textId="77777777" w:rsidR="00D61473" w:rsidRDefault="0070078C" w:rsidP="00D61473">
            <w:pPr>
              <w:jc w:val="right"/>
              <w:rPr>
                <w:sz w:val="18"/>
                <w:szCs w:val="18"/>
              </w:rPr>
            </w:pPr>
            <w:r>
              <w:rPr>
                <w:sz w:val="18"/>
                <w:szCs w:val="18"/>
              </w:rPr>
              <w:t>8</w:t>
            </w:r>
            <w:r w:rsidR="00941A3F">
              <w:rPr>
                <w:sz w:val="18"/>
                <w:szCs w:val="18"/>
              </w:rPr>
              <w:t>8</w:t>
            </w:r>
            <w:r w:rsidR="00D61473">
              <w:rPr>
                <w:sz w:val="18"/>
                <w:szCs w:val="18"/>
              </w:rPr>
              <w:t xml:space="preserve"> </w:t>
            </w:r>
          </w:p>
        </w:tc>
        <w:tc>
          <w:tcPr>
            <w:tcW w:w="1085" w:type="dxa"/>
            <w:tcBorders>
              <w:top w:val="nil"/>
              <w:left w:val="nil"/>
              <w:bottom w:val="single" w:sz="4" w:space="0" w:color="auto"/>
              <w:right w:val="single" w:sz="4" w:space="0" w:color="auto"/>
            </w:tcBorders>
            <w:shd w:val="clear" w:color="auto" w:fill="auto"/>
            <w:vAlign w:val="bottom"/>
            <w:hideMark/>
          </w:tcPr>
          <w:p w14:paraId="50B346C8" w14:textId="77777777" w:rsidR="00D61473" w:rsidRDefault="00D61473" w:rsidP="00941A3F">
            <w:pPr>
              <w:jc w:val="right"/>
              <w:rPr>
                <w:sz w:val="18"/>
                <w:szCs w:val="18"/>
              </w:rPr>
            </w:pPr>
            <w:r>
              <w:rPr>
                <w:sz w:val="18"/>
                <w:szCs w:val="18"/>
              </w:rPr>
              <w:t>$</w:t>
            </w:r>
            <w:r w:rsidR="006A06AB">
              <w:rPr>
                <w:sz w:val="18"/>
                <w:szCs w:val="18"/>
              </w:rPr>
              <w:t>6,</w:t>
            </w:r>
            <w:r w:rsidR="00941A3F">
              <w:rPr>
                <w:sz w:val="18"/>
                <w:szCs w:val="18"/>
              </w:rPr>
              <w:t>864</w:t>
            </w:r>
          </w:p>
        </w:tc>
      </w:tr>
      <w:tr w:rsidR="00D61473" w14:paraId="5F44424E" w14:textId="77777777" w:rsidTr="00260237">
        <w:trPr>
          <w:trHeight w:val="48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4663F8A5" w14:textId="77777777" w:rsidR="00D61473" w:rsidRDefault="00D61473">
            <w:pPr>
              <w:rPr>
                <w:sz w:val="18"/>
                <w:szCs w:val="18"/>
              </w:rPr>
            </w:pPr>
            <w:r>
              <w:rPr>
                <w:sz w:val="18"/>
                <w:szCs w:val="18"/>
              </w:rPr>
              <w:t>Fill out and submit third-party information request form</w:t>
            </w:r>
          </w:p>
        </w:tc>
        <w:tc>
          <w:tcPr>
            <w:tcW w:w="1167" w:type="dxa"/>
            <w:tcBorders>
              <w:top w:val="nil"/>
              <w:left w:val="nil"/>
              <w:bottom w:val="single" w:sz="4" w:space="0" w:color="auto"/>
              <w:right w:val="single" w:sz="4" w:space="0" w:color="auto"/>
            </w:tcBorders>
            <w:shd w:val="clear" w:color="auto" w:fill="auto"/>
            <w:vAlign w:val="bottom"/>
            <w:hideMark/>
          </w:tcPr>
          <w:p w14:paraId="0446AC9C" w14:textId="77777777" w:rsidR="00D61473" w:rsidRDefault="00D61473" w:rsidP="00D61473">
            <w:pPr>
              <w:jc w:val="right"/>
              <w:rPr>
                <w:sz w:val="18"/>
                <w:szCs w:val="18"/>
              </w:rPr>
            </w:pPr>
            <w:r>
              <w:rPr>
                <w:sz w:val="18"/>
                <w:szCs w:val="18"/>
              </w:rPr>
              <w:t xml:space="preserve">              -   </w:t>
            </w:r>
          </w:p>
        </w:tc>
        <w:tc>
          <w:tcPr>
            <w:tcW w:w="1169" w:type="dxa"/>
            <w:tcBorders>
              <w:top w:val="nil"/>
              <w:left w:val="nil"/>
              <w:bottom w:val="single" w:sz="4" w:space="0" w:color="auto"/>
              <w:right w:val="single" w:sz="4" w:space="0" w:color="auto"/>
            </w:tcBorders>
            <w:shd w:val="clear" w:color="auto" w:fill="auto"/>
            <w:vAlign w:val="bottom"/>
            <w:hideMark/>
          </w:tcPr>
          <w:p w14:paraId="265887E8" w14:textId="77777777" w:rsidR="00D61473" w:rsidRDefault="00D61473" w:rsidP="003A1D20">
            <w:pPr>
              <w:jc w:val="right"/>
              <w:rPr>
                <w:sz w:val="18"/>
                <w:szCs w:val="18"/>
              </w:rPr>
            </w:pPr>
            <w:r>
              <w:rPr>
                <w:sz w:val="18"/>
                <w:szCs w:val="18"/>
              </w:rPr>
              <w:t xml:space="preserve">             </w:t>
            </w:r>
            <w:r w:rsidR="003A1D20">
              <w:rPr>
                <w:sz w:val="18"/>
                <w:szCs w:val="18"/>
              </w:rPr>
              <w:t>5</w:t>
            </w:r>
            <w:r>
              <w:rPr>
                <w:sz w:val="18"/>
                <w:szCs w:val="18"/>
              </w:rPr>
              <w:t xml:space="preserve">.0 </w:t>
            </w:r>
          </w:p>
        </w:tc>
        <w:tc>
          <w:tcPr>
            <w:tcW w:w="989" w:type="dxa"/>
            <w:tcBorders>
              <w:top w:val="nil"/>
              <w:left w:val="nil"/>
              <w:bottom w:val="single" w:sz="4" w:space="0" w:color="auto"/>
              <w:right w:val="single" w:sz="4" w:space="0" w:color="auto"/>
            </w:tcBorders>
            <w:shd w:val="clear" w:color="auto" w:fill="auto"/>
            <w:vAlign w:val="bottom"/>
            <w:hideMark/>
          </w:tcPr>
          <w:p w14:paraId="2D62A1B4" w14:textId="77777777" w:rsidR="00D61473" w:rsidRDefault="00D61473" w:rsidP="003A1D20">
            <w:pPr>
              <w:jc w:val="right"/>
              <w:rPr>
                <w:sz w:val="18"/>
                <w:szCs w:val="18"/>
              </w:rPr>
            </w:pPr>
            <w:r>
              <w:rPr>
                <w:sz w:val="18"/>
                <w:szCs w:val="18"/>
              </w:rPr>
              <w:t xml:space="preserve">             1.</w:t>
            </w:r>
            <w:r w:rsidR="003A1D20">
              <w:rPr>
                <w:sz w:val="18"/>
                <w:szCs w:val="18"/>
              </w:rPr>
              <w:t xml:space="preserve">0 </w:t>
            </w:r>
          </w:p>
        </w:tc>
        <w:tc>
          <w:tcPr>
            <w:tcW w:w="1170" w:type="dxa"/>
            <w:tcBorders>
              <w:top w:val="nil"/>
              <w:left w:val="nil"/>
              <w:bottom w:val="single" w:sz="4" w:space="0" w:color="auto"/>
              <w:right w:val="single" w:sz="4" w:space="0" w:color="auto"/>
            </w:tcBorders>
            <w:shd w:val="clear" w:color="auto" w:fill="auto"/>
            <w:vAlign w:val="bottom"/>
            <w:hideMark/>
          </w:tcPr>
          <w:p w14:paraId="3BE248BD" w14:textId="77777777" w:rsidR="00D61473" w:rsidRDefault="00D61473" w:rsidP="003A1D20">
            <w:pPr>
              <w:jc w:val="right"/>
              <w:rPr>
                <w:sz w:val="18"/>
                <w:szCs w:val="18"/>
              </w:rPr>
            </w:pPr>
            <w:r>
              <w:rPr>
                <w:sz w:val="18"/>
                <w:szCs w:val="18"/>
              </w:rPr>
              <w:t xml:space="preserve">             </w:t>
            </w:r>
            <w:r w:rsidR="003A1D20">
              <w:rPr>
                <w:sz w:val="18"/>
                <w:szCs w:val="18"/>
              </w:rPr>
              <w:t>6.0</w:t>
            </w:r>
            <w:r>
              <w:rPr>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14:paraId="730D4609" w14:textId="77777777" w:rsidR="00D61473" w:rsidRDefault="00D61473" w:rsidP="006A06AB">
            <w:pPr>
              <w:jc w:val="right"/>
              <w:rPr>
                <w:sz w:val="18"/>
                <w:szCs w:val="18"/>
              </w:rPr>
            </w:pPr>
            <w:r>
              <w:rPr>
                <w:sz w:val="18"/>
                <w:szCs w:val="18"/>
              </w:rPr>
              <w:t>$</w:t>
            </w:r>
            <w:r w:rsidR="006A06AB">
              <w:rPr>
                <w:sz w:val="18"/>
                <w:szCs w:val="18"/>
              </w:rPr>
              <w:t>397</w:t>
            </w:r>
          </w:p>
        </w:tc>
        <w:tc>
          <w:tcPr>
            <w:tcW w:w="815" w:type="dxa"/>
            <w:tcBorders>
              <w:top w:val="nil"/>
              <w:left w:val="nil"/>
              <w:bottom w:val="single" w:sz="4" w:space="0" w:color="auto"/>
              <w:right w:val="single" w:sz="4" w:space="0" w:color="auto"/>
            </w:tcBorders>
            <w:shd w:val="clear" w:color="auto" w:fill="auto"/>
            <w:vAlign w:val="bottom"/>
            <w:hideMark/>
          </w:tcPr>
          <w:p w14:paraId="5F44BD21"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6B18908C" w14:textId="77777777" w:rsidR="00D61473" w:rsidRDefault="00D61473"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286E4AD7" w14:textId="77777777" w:rsidR="00D61473" w:rsidRDefault="00D61473" w:rsidP="00D61473">
            <w:pPr>
              <w:jc w:val="right"/>
              <w:rPr>
                <w:sz w:val="18"/>
                <w:szCs w:val="18"/>
              </w:rPr>
            </w:pPr>
            <w:r>
              <w:rPr>
                <w:sz w:val="18"/>
                <w:szCs w:val="18"/>
              </w:rPr>
              <w:t xml:space="preserve">              </w:t>
            </w:r>
            <w:r w:rsidR="00A06262">
              <w:rPr>
                <w:sz w:val="18"/>
                <w:szCs w:val="18"/>
              </w:rPr>
              <w:t>44</w:t>
            </w:r>
            <w:r>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2A39D6E0" w14:textId="77777777" w:rsidR="00D61473" w:rsidRDefault="00D61473" w:rsidP="00D61473">
            <w:pPr>
              <w:jc w:val="right"/>
              <w:rPr>
                <w:sz w:val="18"/>
                <w:szCs w:val="18"/>
              </w:rPr>
            </w:pPr>
            <w:r>
              <w:rPr>
                <w:sz w:val="18"/>
                <w:szCs w:val="18"/>
              </w:rPr>
              <w:t xml:space="preserve">            2</w:t>
            </w:r>
            <w:r w:rsidR="00941A3F">
              <w:rPr>
                <w:sz w:val="18"/>
                <w:szCs w:val="18"/>
              </w:rPr>
              <w:t>64</w:t>
            </w:r>
            <w:r>
              <w:rPr>
                <w:sz w:val="18"/>
                <w:szCs w:val="18"/>
              </w:rPr>
              <w:t xml:space="preserve"> </w:t>
            </w:r>
          </w:p>
        </w:tc>
        <w:tc>
          <w:tcPr>
            <w:tcW w:w="1085" w:type="dxa"/>
            <w:tcBorders>
              <w:top w:val="nil"/>
              <w:left w:val="nil"/>
              <w:bottom w:val="single" w:sz="4" w:space="0" w:color="auto"/>
              <w:right w:val="single" w:sz="4" w:space="0" w:color="auto"/>
            </w:tcBorders>
            <w:shd w:val="clear" w:color="auto" w:fill="auto"/>
            <w:vAlign w:val="bottom"/>
            <w:hideMark/>
          </w:tcPr>
          <w:p w14:paraId="07F50EC5" w14:textId="77777777" w:rsidR="00D61473" w:rsidRDefault="00D61473" w:rsidP="00941A3F">
            <w:pPr>
              <w:jc w:val="right"/>
              <w:rPr>
                <w:sz w:val="18"/>
                <w:szCs w:val="18"/>
              </w:rPr>
            </w:pPr>
            <w:r>
              <w:rPr>
                <w:sz w:val="18"/>
                <w:szCs w:val="18"/>
              </w:rPr>
              <w:t>$</w:t>
            </w:r>
            <w:r w:rsidR="00941A3F">
              <w:rPr>
                <w:sz w:val="18"/>
                <w:szCs w:val="18"/>
              </w:rPr>
              <w:t>17,468</w:t>
            </w:r>
          </w:p>
        </w:tc>
      </w:tr>
      <w:tr w:rsidR="00D61473" w14:paraId="2B26C6F2" w14:textId="77777777" w:rsidTr="00260237">
        <w:trPr>
          <w:trHeight w:val="48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58B080A7" w14:textId="77777777" w:rsidR="00D61473" w:rsidRDefault="00D61473" w:rsidP="00360C70">
            <w:pPr>
              <w:rPr>
                <w:sz w:val="18"/>
                <w:szCs w:val="18"/>
              </w:rPr>
            </w:pPr>
            <w:r>
              <w:rPr>
                <w:sz w:val="18"/>
                <w:szCs w:val="18"/>
              </w:rPr>
              <w:t>Establish agreement w</w:t>
            </w:r>
            <w:r w:rsidR="00360C70">
              <w:rPr>
                <w:sz w:val="18"/>
                <w:szCs w:val="18"/>
              </w:rPr>
              <w:t>ith</w:t>
            </w:r>
            <w:r>
              <w:rPr>
                <w:sz w:val="18"/>
                <w:szCs w:val="18"/>
              </w:rPr>
              <w:t xml:space="preserve"> third-party profiler</w:t>
            </w:r>
          </w:p>
        </w:tc>
        <w:tc>
          <w:tcPr>
            <w:tcW w:w="1167" w:type="dxa"/>
            <w:tcBorders>
              <w:top w:val="nil"/>
              <w:left w:val="nil"/>
              <w:bottom w:val="single" w:sz="4" w:space="0" w:color="auto"/>
              <w:right w:val="single" w:sz="4" w:space="0" w:color="auto"/>
            </w:tcBorders>
            <w:shd w:val="clear" w:color="auto" w:fill="auto"/>
            <w:vAlign w:val="bottom"/>
            <w:hideMark/>
          </w:tcPr>
          <w:p w14:paraId="06446A1A" w14:textId="77777777" w:rsidR="00D61473" w:rsidRDefault="00D61473" w:rsidP="00D61473">
            <w:pPr>
              <w:jc w:val="right"/>
              <w:rPr>
                <w:sz w:val="18"/>
                <w:szCs w:val="18"/>
              </w:rPr>
            </w:pPr>
            <w:r>
              <w:rPr>
                <w:sz w:val="18"/>
                <w:szCs w:val="18"/>
              </w:rPr>
              <w:t xml:space="preserve">             1.0 </w:t>
            </w:r>
          </w:p>
        </w:tc>
        <w:tc>
          <w:tcPr>
            <w:tcW w:w="1169" w:type="dxa"/>
            <w:tcBorders>
              <w:top w:val="nil"/>
              <w:left w:val="nil"/>
              <w:bottom w:val="single" w:sz="4" w:space="0" w:color="auto"/>
              <w:right w:val="single" w:sz="4" w:space="0" w:color="auto"/>
            </w:tcBorders>
            <w:shd w:val="clear" w:color="auto" w:fill="auto"/>
            <w:vAlign w:val="bottom"/>
            <w:hideMark/>
          </w:tcPr>
          <w:p w14:paraId="09A71C59" w14:textId="77777777" w:rsidR="00D61473" w:rsidRDefault="00D61473" w:rsidP="00D61473">
            <w:pPr>
              <w:jc w:val="right"/>
              <w:rPr>
                <w:sz w:val="18"/>
                <w:szCs w:val="18"/>
              </w:rPr>
            </w:pPr>
            <w:r>
              <w:rPr>
                <w:sz w:val="18"/>
                <w:szCs w:val="18"/>
              </w:rPr>
              <w:t xml:space="preserve">             1.0 </w:t>
            </w:r>
          </w:p>
        </w:tc>
        <w:tc>
          <w:tcPr>
            <w:tcW w:w="989" w:type="dxa"/>
            <w:tcBorders>
              <w:top w:val="nil"/>
              <w:left w:val="nil"/>
              <w:bottom w:val="single" w:sz="4" w:space="0" w:color="auto"/>
              <w:right w:val="single" w:sz="4" w:space="0" w:color="auto"/>
            </w:tcBorders>
            <w:shd w:val="clear" w:color="auto" w:fill="auto"/>
            <w:vAlign w:val="bottom"/>
            <w:hideMark/>
          </w:tcPr>
          <w:p w14:paraId="6AF73EF2" w14:textId="77777777" w:rsidR="00D61473" w:rsidRDefault="00D61473" w:rsidP="00D61473">
            <w:pPr>
              <w:jc w:val="right"/>
              <w:rPr>
                <w:sz w:val="18"/>
                <w:szCs w:val="18"/>
              </w:rPr>
            </w:pPr>
            <w:r>
              <w:rPr>
                <w:sz w:val="18"/>
                <w:szCs w:val="18"/>
              </w:rPr>
              <w:t xml:space="preserve">             1.0 </w:t>
            </w:r>
          </w:p>
        </w:tc>
        <w:tc>
          <w:tcPr>
            <w:tcW w:w="1170" w:type="dxa"/>
            <w:tcBorders>
              <w:top w:val="nil"/>
              <w:left w:val="nil"/>
              <w:bottom w:val="single" w:sz="4" w:space="0" w:color="auto"/>
              <w:right w:val="single" w:sz="4" w:space="0" w:color="auto"/>
            </w:tcBorders>
            <w:shd w:val="clear" w:color="auto" w:fill="auto"/>
            <w:vAlign w:val="bottom"/>
            <w:hideMark/>
          </w:tcPr>
          <w:p w14:paraId="2A36C818" w14:textId="77777777" w:rsidR="00D61473" w:rsidRDefault="00D61473" w:rsidP="00D61473">
            <w:pPr>
              <w:jc w:val="right"/>
              <w:rPr>
                <w:sz w:val="18"/>
                <w:szCs w:val="18"/>
              </w:rPr>
            </w:pPr>
            <w:r>
              <w:rPr>
                <w:sz w:val="18"/>
                <w:szCs w:val="18"/>
              </w:rPr>
              <w:t xml:space="preserve">             3.0 </w:t>
            </w:r>
          </w:p>
        </w:tc>
        <w:tc>
          <w:tcPr>
            <w:tcW w:w="1080" w:type="dxa"/>
            <w:tcBorders>
              <w:top w:val="nil"/>
              <w:left w:val="nil"/>
              <w:bottom w:val="single" w:sz="4" w:space="0" w:color="auto"/>
              <w:right w:val="single" w:sz="4" w:space="0" w:color="auto"/>
            </w:tcBorders>
            <w:shd w:val="clear" w:color="auto" w:fill="auto"/>
            <w:vAlign w:val="bottom"/>
            <w:hideMark/>
          </w:tcPr>
          <w:p w14:paraId="12A71611" w14:textId="77777777" w:rsidR="00D61473" w:rsidRDefault="00D61473" w:rsidP="006A06AB">
            <w:pPr>
              <w:jc w:val="right"/>
              <w:rPr>
                <w:sz w:val="18"/>
                <w:szCs w:val="18"/>
              </w:rPr>
            </w:pPr>
            <w:r>
              <w:rPr>
                <w:sz w:val="18"/>
                <w:szCs w:val="18"/>
              </w:rPr>
              <w:t>$</w:t>
            </w:r>
            <w:r w:rsidR="006A06AB">
              <w:rPr>
                <w:sz w:val="18"/>
                <w:szCs w:val="18"/>
              </w:rPr>
              <w:t>18</w:t>
            </w:r>
            <w:r w:rsidR="0070078C">
              <w:rPr>
                <w:sz w:val="18"/>
                <w:szCs w:val="18"/>
              </w:rPr>
              <w:t>8</w:t>
            </w:r>
          </w:p>
        </w:tc>
        <w:tc>
          <w:tcPr>
            <w:tcW w:w="815" w:type="dxa"/>
            <w:tcBorders>
              <w:top w:val="nil"/>
              <w:left w:val="nil"/>
              <w:bottom w:val="single" w:sz="4" w:space="0" w:color="auto"/>
              <w:right w:val="single" w:sz="4" w:space="0" w:color="auto"/>
            </w:tcBorders>
            <w:shd w:val="clear" w:color="auto" w:fill="auto"/>
            <w:vAlign w:val="bottom"/>
            <w:hideMark/>
          </w:tcPr>
          <w:p w14:paraId="2F063962"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1CD428B7" w14:textId="77777777" w:rsidR="00D61473" w:rsidRDefault="00D61473" w:rsidP="00D61473">
            <w:pPr>
              <w:jc w:val="right"/>
              <w:rPr>
                <w:sz w:val="18"/>
                <w:szCs w:val="18"/>
              </w:rPr>
            </w:pPr>
            <w:r>
              <w:rPr>
                <w:sz w:val="18"/>
                <w:szCs w:val="18"/>
              </w:rPr>
              <w:t>$12,400</w:t>
            </w:r>
          </w:p>
        </w:tc>
        <w:tc>
          <w:tcPr>
            <w:tcW w:w="1080" w:type="dxa"/>
            <w:tcBorders>
              <w:top w:val="nil"/>
              <w:left w:val="nil"/>
              <w:bottom w:val="single" w:sz="4" w:space="0" w:color="auto"/>
              <w:right w:val="single" w:sz="4" w:space="0" w:color="auto"/>
            </w:tcBorders>
            <w:shd w:val="clear" w:color="auto" w:fill="auto"/>
            <w:vAlign w:val="bottom"/>
            <w:hideMark/>
          </w:tcPr>
          <w:p w14:paraId="122AAC3B" w14:textId="77777777" w:rsidR="00D61473" w:rsidRDefault="00D61473" w:rsidP="00D61473">
            <w:pPr>
              <w:jc w:val="right"/>
              <w:rPr>
                <w:sz w:val="18"/>
                <w:szCs w:val="18"/>
              </w:rPr>
            </w:pPr>
            <w:r>
              <w:rPr>
                <w:sz w:val="18"/>
                <w:szCs w:val="18"/>
              </w:rPr>
              <w:t xml:space="preserve">              </w:t>
            </w:r>
            <w:r w:rsidR="00A06262">
              <w:rPr>
                <w:sz w:val="18"/>
                <w:szCs w:val="18"/>
              </w:rPr>
              <w:t>44</w:t>
            </w:r>
            <w:r>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0A1E0C4F" w14:textId="77777777" w:rsidR="00D61473" w:rsidRDefault="00D61473" w:rsidP="00D61473">
            <w:pPr>
              <w:jc w:val="right"/>
              <w:rPr>
                <w:sz w:val="18"/>
                <w:szCs w:val="18"/>
              </w:rPr>
            </w:pPr>
            <w:r>
              <w:rPr>
                <w:sz w:val="18"/>
                <w:szCs w:val="18"/>
              </w:rPr>
              <w:t xml:space="preserve">            1</w:t>
            </w:r>
            <w:r w:rsidR="00941A3F">
              <w:rPr>
                <w:sz w:val="18"/>
                <w:szCs w:val="18"/>
              </w:rPr>
              <w:t>32</w:t>
            </w:r>
            <w:r>
              <w:rPr>
                <w:sz w:val="18"/>
                <w:szCs w:val="18"/>
              </w:rPr>
              <w:t xml:space="preserve"> </w:t>
            </w:r>
          </w:p>
        </w:tc>
        <w:tc>
          <w:tcPr>
            <w:tcW w:w="1085" w:type="dxa"/>
            <w:tcBorders>
              <w:top w:val="nil"/>
              <w:left w:val="nil"/>
              <w:bottom w:val="single" w:sz="4" w:space="0" w:color="auto"/>
              <w:right w:val="single" w:sz="4" w:space="0" w:color="auto"/>
            </w:tcBorders>
            <w:shd w:val="clear" w:color="auto" w:fill="auto"/>
            <w:vAlign w:val="bottom"/>
            <w:hideMark/>
          </w:tcPr>
          <w:p w14:paraId="3DCAE101" w14:textId="77777777" w:rsidR="00D61473" w:rsidRDefault="00D61473" w:rsidP="00941A3F">
            <w:pPr>
              <w:jc w:val="right"/>
              <w:rPr>
                <w:sz w:val="18"/>
                <w:szCs w:val="18"/>
              </w:rPr>
            </w:pPr>
            <w:r>
              <w:rPr>
                <w:sz w:val="18"/>
                <w:szCs w:val="18"/>
              </w:rPr>
              <w:t>$</w:t>
            </w:r>
            <w:r w:rsidR="00941A3F">
              <w:rPr>
                <w:sz w:val="18"/>
                <w:szCs w:val="18"/>
              </w:rPr>
              <w:t>553,872</w:t>
            </w:r>
          </w:p>
        </w:tc>
      </w:tr>
      <w:tr w:rsidR="00D61473" w14:paraId="0CB02831" w14:textId="77777777" w:rsidTr="00260237">
        <w:trPr>
          <w:trHeight w:val="492"/>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09AAF4C1" w14:textId="77777777" w:rsidR="00D61473" w:rsidRDefault="00D61473" w:rsidP="006A06AB">
            <w:pPr>
              <w:rPr>
                <w:sz w:val="18"/>
                <w:szCs w:val="18"/>
              </w:rPr>
            </w:pPr>
            <w:r>
              <w:rPr>
                <w:sz w:val="18"/>
                <w:szCs w:val="18"/>
              </w:rPr>
              <w:t xml:space="preserve">Submit summary report to </w:t>
            </w:r>
            <w:r w:rsidR="006A06AB">
              <w:rPr>
                <w:sz w:val="18"/>
                <w:szCs w:val="18"/>
              </w:rPr>
              <w:t>Safer Choice</w:t>
            </w:r>
          </w:p>
        </w:tc>
        <w:tc>
          <w:tcPr>
            <w:tcW w:w="1167" w:type="dxa"/>
            <w:tcBorders>
              <w:top w:val="nil"/>
              <w:left w:val="nil"/>
              <w:bottom w:val="single" w:sz="4" w:space="0" w:color="auto"/>
              <w:right w:val="single" w:sz="4" w:space="0" w:color="auto"/>
            </w:tcBorders>
            <w:shd w:val="clear" w:color="auto" w:fill="auto"/>
            <w:vAlign w:val="bottom"/>
            <w:hideMark/>
          </w:tcPr>
          <w:p w14:paraId="7E7C447C" w14:textId="77777777" w:rsidR="00D61473" w:rsidRDefault="00D61473" w:rsidP="00D61473">
            <w:pPr>
              <w:jc w:val="right"/>
              <w:rPr>
                <w:sz w:val="18"/>
                <w:szCs w:val="18"/>
              </w:rPr>
            </w:pPr>
            <w:r>
              <w:rPr>
                <w:sz w:val="18"/>
                <w:szCs w:val="18"/>
              </w:rPr>
              <w:t xml:space="preserve">             1.0 </w:t>
            </w:r>
          </w:p>
        </w:tc>
        <w:tc>
          <w:tcPr>
            <w:tcW w:w="1169" w:type="dxa"/>
            <w:tcBorders>
              <w:top w:val="nil"/>
              <w:left w:val="nil"/>
              <w:bottom w:val="single" w:sz="4" w:space="0" w:color="auto"/>
              <w:right w:val="single" w:sz="4" w:space="0" w:color="auto"/>
            </w:tcBorders>
            <w:shd w:val="clear" w:color="auto" w:fill="auto"/>
            <w:vAlign w:val="bottom"/>
            <w:hideMark/>
          </w:tcPr>
          <w:p w14:paraId="005C47FB" w14:textId="77777777" w:rsidR="00D61473" w:rsidRDefault="00D61473" w:rsidP="00D61473">
            <w:pPr>
              <w:jc w:val="right"/>
              <w:rPr>
                <w:sz w:val="18"/>
                <w:szCs w:val="18"/>
              </w:rPr>
            </w:pPr>
            <w:r>
              <w:rPr>
                <w:sz w:val="18"/>
                <w:szCs w:val="18"/>
              </w:rPr>
              <w:t xml:space="preserve">             1.0 </w:t>
            </w:r>
          </w:p>
        </w:tc>
        <w:tc>
          <w:tcPr>
            <w:tcW w:w="989" w:type="dxa"/>
            <w:tcBorders>
              <w:top w:val="nil"/>
              <w:left w:val="nil"/>
              <w:bottom w:val="single" w:sz="4" w:space="0" w:color="auto"/>
              <w:right w:val="single" w:sz="4" w:space="0" w:color="auto"/>
            </w:tcBorders>
            <w:shd w:val="clear" w:color="auto" w:fill="auto"/>
            <w:vAlign w:val="bottom"/>
            <w:hideMark/>
          </w:tcPr>
          <w:p w14:paraId="6F421045" w14:textId="77777777" w:rsidR="00D61473" w:rsidRDefault="00D61473" w:rsidP="00D61473">
            <w:pPr>
              <w:jc w:val="right"/>
              <w:rPr>
                <w:sz w:val="18"/>
                <w:szCs w:val="18"/>
              </w:rPr>
            </w:pPr>
            <w:r>
              <w:rPr>
                <w:sz w:val="18"/>
                <w:szCs w:val="18"/>
              </w:rPr>
              <w:t xml:space="preserve">              -   </w:t>
            </w:r>
          </w:p>
        </w:tc>
        <w:tc>
          <w:tcPr>
            <w:tcW w:w="1170" w:type="dxa"/>
            <w:tcBorders>
              <w:top w:val="nil"/>
              <w:left w:val="nil"/>
              <w:bottom w:val="single" w:sz="4" w:space="0" w:color="auto"/>
              <w:right w:val="single" w:sz="4" w:space="0" w:color="auto"/>
            </w:tcBorders>
            <w:shd w:val="clear" w:color="auto" w:fill="auto"/>
            <w:vAlign w:val="bottom"/>
            <w:hideMark/>
          </w:tcPr>
          <w:p w14:paraId="547707B9" w14:textId="77777777" w:rsidR="00D61473" w:rsidRDefault="00D61473" w:rsidP="00D61473">
            <w:pPr>
              <w:jc w:val="right"/>
              <w:rPr>
                <w:sz w:val="18"/>
                <w:szCs w:val="18"/>
              </w:rPr>
            </w:pPr>
            <w:r>
              <w:rPr>
                <w:sz w:val="18"/>
                <w:szCs w:val="18"/>
              </w:rPr>
              <w:t xml:space="preserve">             2.0 </w:t>
            </w:r>
          </w:p>
        </w:tc>
        <w:tc>
          <w:tcPr>
            <w:tcW w:w="1080" w:type="dxa"/>
            <w:tcBorders>
              <w:top w:val="nil"/>
              <w:left w:val="nil"/>
              <w:bottom w:val="single" w:sz="4" w:space="0" w:color="auto"/>
              <w:right w:val="single" w:sz="4" w:space="0" w:color="auto"/>
            </w:tcBorders>
            <w:shd w:val="clear" w:color="auto" w:fill="auto"/>
            <w:vAlign w:val="bottom"/>
            <w:hideMark/>
          </w:tcPr>
          <w:p w14:paraId="75703891" w14:textId="77777777" w:rsidR="00D61473" w:rsidRDefault="00D61473" w:rsidP="006A06AB">
            <w:pPr>
              <w:jc w:val="right"/>
              <w:rPr>
                <w:sz w:val="18"/>
                <w:szCs w:val="18"/>
              </w:rPr>
            </w:pPr>
            <w:r>
              <w:rPr>
                <w:sz w:val="18"/>
                <w:szCs w:val="18"/>
              </w:rPr>
              <w:t>$</w:t>
            </w:r>
            <w:r w:rsidR="006A06AB">
              <w:rPr>
                <w:sz w:val="18"/>
                <w:szCs w:val="18"/>
              </w:rPr>
              <w:t>156</w:t>
            </w:r>
          </w:p>
        </w:tc>
        <w:tc>
          <w:tcPr>
            <w:tcW w:w="815" w:type="dxa"/>
            <w:tcBorders>
              <w:top w:val="nil"/>
              <w:left w:val="nil"/>
              <w:bottom w:val="single" w:sz="4" w:space="0" w:color="auto"/>
              <w:right w:val="single" w:sz="4" w:space="0" w:color="auto"/>
            </w:tcBorders>
            <w:shd w:val="clear" w:color="auto" w:fill="auto"/>
            <w:vAlign w:val="bottom"/>
            <w:hideMark/>
          </w:tcPr>
          <w:p w14:paraId="6D37163F"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755D6D96" w14:textId="77777777" w:rsidR="00D61473" w:rsidRDefault="00D61473"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1C4219B1" w14:textId="77777777" w:rsidR="00D61473" w:rsidRDefault="00D61473" w:rsidP="00D61473">
            <w:pPr>
              <w:jc w:val="right"/>
              <w:rPr>
                <w:sz w:val="18"/>
                <w:szCs w:val="18"/>
              </w:rPr>
            </w:pPr>
            <w:r>
              <w:rPr>
                <w:sz w:val="18"/>
                <w:szCs w:val="18"/>
              </w:rPr>
              <w:t xml:space="preserve">              </w:t>
            </w:r>
            <w:r w:rsidR="00A06262">
              <w:rPr>
                <w:sz w:val="18"/>
                <w:szCs w:val="18"/>
              </w:rPr>
              <w:t>44</w:t>
            </w:r>
            <w:r>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2EE05B11" w14:textId="77777777" w:rsidR="00D61473" w:rsidRDefault="00D61473" w:rsidP="00D61473">
            <w:pPr>
              <w:jc w:val="right"/>
              <w:rPr>
                <w:sz w:val="18"/>
                <w:szCs w:val="18"/>
              </w:rPr>
            </w:pPr>
            <w:r>
              <w:rPr>
                <w:sz w:val="18"/>
                <w:szCs w:val="18"/>
              </w:rPr>
              <w:t xml:space="preserve">              </w:t>
            </w:r>
            <w:r w:rsidR="00941A3F">
              <w:rPr>
                <w:sz w:val="18"/>
                <w:szCs w:val="18"/>
              </w:rPr>
              <w:t>88</w:t>
            </w:r>
            <w:r>
              <w:rPr>
                <w:sz w:val="18"/>
                <w:szCs w:val="18"/>
              </w:rPr>
              <w:t xml:space="preserve"> </w:t>
            </w:r>
          </w:p>
        </w:tc>
        <w:tc>
          <w:tcPr>
            <w:tcW w:w="1085" w:type="dxa"/>
            <w:tcBorders>
              <w:top w:val="nil"/>
              <w:left w:val="nil"/>
              <w:bottom w:val="single" w:sz="4" w:space="0" w:color="auto"/>
              <w:right w:val="single" w:sz="4" w:space="0" w:color="auto"/>
            </w:tcBorders>
            <w:shd w:val="clear" w:color="auto" w:fill="auto"/>
            <w:vAlign w:val="bottom"/>
            <w:hideMark/>
          </w:tcPr>
          <w:p w14:paraId="701264C1" w14:textId="77777777" w:rsidR="00D61473" w:rsidRDefault="00D61473" w:rsidP="00941A3F">
            <w:pPr>
              <w:jc w:val="right"/>
              <w:rPr>
                <w:sz w:val="18"/>
                <w:szCs w:val="18"/>
              </w:rPr>
            </w:pPr>
            <w:r>
              <w:rPr>
                <w:sz w:val="18"/>
                <w:szCs w:val="18"/>
              </w:rPr>
              <w:t>$</w:t>
            </w:r>
            <w:r w:rsidR="00941A3F">
              <w:rPr>
                <w:sz w:val="18"/>
                <w:szCs w:val="18"/>
              </w:rPr>
              <w:t>6,684</w:t>
            </w:r>
          </w:p>
        </w:tc>
      </w:tr>
      <w:tr w:rsidR="00D61473" w14:paraId="7C1A66C4" w14:textId="77777777" w:rsidTr="00260237">
        <w:trPr>
          <w:trHeight w:val="48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5D029ED0" w14:textId="77777777" w:rsidR="00D61473" w:rsidRDefault="00D61473" w:rsidP="00360C70">
            <w:pPr>
              <w:rPr>
                <w:sz w:val="18"/>
                <w:szCs w:val="18"/>
              </w:rPr>
            </w:pPr>
            <w:r>
              <w:rPr>
                <w:sz w:val="18"/>
                <w:szCs w:val="18"/>
              </w:rPr>
              <w:t>Negotiate / establish Partnership Agreement w</w:t>
            </w:r>
            <w:r w:rsidR="00360C70">
              <w:rPr>
                <w:sz w:val="18"/>
                <w:szCs w:val="18"/>
              </w:rPr>
              <w:t>ith</w:t>
            </w:r>
            <w:r>
              <w:rPr>
                <w:sz w:val="18"/>
                <w:szCs w:val="18"/>
              </w:rPr>
              <w:t xml:space="preserve"> </w:t>
            </w:r>
            <w:r w:rsidR="006A06AB">
              <w:rPr>
                <w:sz w:val="18"/>
                <w:szCs w:val="18"/>
              </w:rPr>
              <w:t>Safer Choice</w:t>
            </w:r>
          </w:p>
        </w:tc>
        <w:tc>
          <w:tcPr>
            <w:tcW w:w="1167" w:type="dxa"/>
            <w:tcBorders>
              <w:top w:val="nil"/>
              <w:left w:val="nil"/>
              <w:bottom w:val="single" w:sz="4" w:space="0" w:color="auto"/>
              <w:right w:val="single" w:sz="4" w:space="0" w:color="auto"/>
            </w:tcBorders>
            <w:shd w:val="clear" w:color="auto" w:fill="auto"/>
            <w:vAlign w:val="bottom"/>
            <w:hideMark/>
          </w:tcPr>
          <w:p w14:paraId="4893888C" w14:textId="77777777" w:rsidR="00D61473" w:rsidRDefault="00D61473" w:rsidP="00D61473">
            <w:pPr>
              <w:jc w:val="right"/>
              <w:rPr>
                <w:sz w:val="18"/>
                <w:szCs w:val="18"/>
              </w:rPr>
            </w:pPr>
            <w:r>
              <w:rPr>
                <w:sz w:val="18"/>
                <w:szCs w:val="18"/>
              </w:rPr>
              <w:t xml:space="preserve">             1.0 </w:t>
            </w:r>
          </w:p>
        </w:tc>
        <w:tc>
          <w:tcPr>
            <w:tcW w:w="1169" w:type="dxa"/>
            <w:tcBorders>
              <w:top w:val="nil"/>
              <w:left w:val="nil"/>
              <w:bottom w:val="single" w:sz="4" w:space="0" w:color="auto"/>
              <w:right w:val="single" w:sz="4" w:space="0" w:color="auto"/>
            </w:tcBorders>
            <w:shd w:val="clear" w:color="auto" w:fill="auto"/>
            <w:vAlign w:val="bottom"/>
            <w:hideMark/>
          </w:tcPr>
          <w:p w14:paraId="5EEA4DC8" w14:textId="77777777" w:rsidR="00D61473" w:rsidRDefault="00D61473" w:rsidP="00D61473">
            <w:pPr>
              <w:jc w:val="right"/>
              <w:rPr>
                <w:sz w:val="18"/>
                <w:szCs w:val="18"/>
              </w:rPr>
            </w:pPr>
            <w:r>
              <w:rPr>
                <w:sz w:val="18"/>
                <w:szCs w:val="18"/>
              </w:rPr>
              <w:t xml:space="preserve">             2.0 </w:t>
            </w:r>
          </w:p>
        </w:tc>
        <w:tc>
          <w:tcPr>
            <w:tcW w:w="989" w:type="dxa"/>
            <w:tcBorders>
              <w:top w:val="nil"/>
              <w:left w:val="nil"/>
              <w:bottom w:val="single" w:sz="4" w:space="0" w:color="auto"/>
              <w:right w:val="single" w:sz="4" w:space="0" w:color="auto"/>
            </w:tcBorders>
            <w:shd w:val="clear" w:color="auto" w:fill="auto"/>
            <w:vAlign w:val="bottom"/>
            <w:hideMark/>
          </w:tcPr>
          <w:p w14:paraId="5DB6D336" w14:textId="77777777" w:rsidR="00D61473" w:rsidRDefault="00D61473" w:rsidP="00D61473">
            <w:pPr>
              <w:jc w:val="right"/>
              <w:rPr>
                <w:sz w:val="18"/>
                <w:szCs w:val="18"/>
              </w:rPr>
            </w:pPr>
            <w:r>
              <w:rPr>
                <w:sz w:val="18"/>
                <w:szCs w:val="18"/>
              </w:rPr>
              <w:t xml:space="preserve">              -   </w:t>
            </w:r>
          </w:p>
        </w:tc>
        <w:tc>
          <w:tcPr>
            <w:tcW w:w="1170" w:type="dxa"/>
            <w:tcBorders>
              <w:top w:val="nil"/>
              <w:left w:val="nil"/>
              <w:bottom w:val="single" w:sz="4" w:space="0" w:color="auto"/>
              <w:right w:val="single" w:sz="4" w:space="0" w:color="auto"/>
            </w:tcBorders>
            <w:shd w:val="clear" w:color="auto" w:fill="auto"/>
            <w:vAlign w:val="bottom"/>
            <w:hideMark/>
          </w:tcPr>
          <w:p w14:paraId="49D1AB7D" w14:textId="77777777" w:rsidR="00D61473" w:rsidRDefault="00D61473" w:rsidP="00D61473">
            <w:pPr>
              <w:jc w:val="right"/>
              <w:rPr>
                <w:sz w:val="18"/>
                <w:szCs w:val="18"/>
              </w:rPr>
            </w:pPr>
            <w:r>
              <w:rPr>
                <w:sz w:val="18"/>
                <w:szCs w:val="18"/>
              </w:rPr>
              <w:t xml:space="preserve">             3.0 </w:t>
            </w:r>
          </w:p>
        </w:tc>
        <w:tc>
          <w:tcPr>
            <w:tcW w:w="1080" w:type="dxa"/>
            <w:tcBorders>
              <w:top w:val="nil"/>
              <w:left w:val="nil"/>
              <w:bottom w:val="single" w:sz="4" w:space="0" w:color="auto"/>
              <w:right w:val="single" w:sz="4" w:space="0" w:color="auto"/>
            </w:tcBorders>
            <w:shd w:val="clear" w:color="auto" w:fill="auto"/>
            <w:vAlign w:val="bottom"/>
            <w:hideMark/>
          </w:tcPr>
          <w:p w14:paraId="0BACB155" w14:textId="77777777" w:rsidR="00D61473" w:rsidRDefault="00D61473" w:rsidP="006A06AB">
            <w:pPr>
              <w:jc w:val="right"/>
              <w:rPr>
                <w:sz w:val="18"/>
                <w:szCs w:val="18"/>
              </w:rPr>
            </w:pPr>
            <w:r>
              <w:rPr>
                <w:sz w:val="18"/>
                <w:szCs w:val="18"/>
              </w:rPr>
              <w:t>$</w:t>
            </w:r>
            <w:r w:rsidR="006A06AB">
              <w:rPr>
                <w:sz w:val="18"/>
                <w:szCs w:val="18"/>
              </w:rPr>
              <w:t>229</w:t>
            </w:r>
          </w:p>
        </w:tc>
        <w:tc>
          <w:tcPr>
            <w:tcW w:w="815" w:type="dxa"/>
            <w:tcBorders>
              <w:top w:val="nil"/>
              <w:left w:val="nil"/>
              <w:bottom w:val="single" w:sz="4" w:space="0" w:color="auto"/>
              <w:right w:val="single" w:sz="4" w:space="0" w:color="auto"/>
            </w:tcBorders>
            <w:shd w:val="clear" w:color="auto" w:fill="auto"/>
            <w:vAlign w:val="bottom"/>
            <w:hideMark/>
          </w:tcPr>
          <w:p w14:paraId="7B1BB1F6"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70873163" w14:textId="77777777" w:rsidR="00D61473" w:rsidRDefault="00D61473"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0D7E8918" w14:textId="77777777" w:rsidR="00D61473" w:rsidRDefault="00D61473" w:rsidP="00D61473">
            <w:pPr>
              <w:jc w:val="right"/>
              <w:rPr>
                <w:sz w:val="18"/>
                <w:szCs w:val="18"/>
              </w:rPr>
            </w:pPr>
            <w:r>
              <w:rPr>
                <w:sz w:val="18"/>
                <w:szCs w:val="18"/>
              </w:rPr>
              <w:t xml:space="preserve">              </w:t>
            </w:r>
            <w:r w:rsidR="00A06262">
              <w:rPr>
                <w:sz w:val="18"/>
                <w:szCs w:val="18"/>
              </w:rPr>
              <w:t>44</w:t>
            </w:r>
            <w:r>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4A5E275F" w14:textId="77777777" w:rsidR="00D61473" w:rsidRDefault="00D61473" w:rsidP="00D61473">
            <w:pPr>
              <w:jc w:val="right"/>
              <w:rPr>
                <w:sz w:val="18"/>
                <w:szCs w:val="18"/>
              </w:rPr>
            </w:pPr>
            <w:r>
              <w:rPr>
                <w:sz w:val="18"/>
                <w:szCs w:val="18"/>
              </w:rPr>
              <w:t xml:space="preserve">            1</w:t>
            </w:r>
            <w:r w:rsidR="00941A3F">
              <w:rPr>
                <w:sz w:val="18"/>
                <w:szCs w:val="18"/>
              </w:rPr>
              <w:t>32</w:t>
            </w:r>
            <w:r>
              <w:rPr>
                <w:sz w:val="18"/>
                <w:szCs w:val="18"/>
              </w:rPr>
              <w:t xml:space="preserve"> </w:t>
            </w:r>
          </w:p>
        </w:tc>
        <w:tc>
          <w:tcPr>
            <w:tcW w:w="1085" w:type="dxa"/>
            <w:tcBorders>
              <w:top w:val="nil"/>
              <w:left w:val="nil"/>
              <w:bottom w:val="single" w:sz="4" w:space="0" w:color="auto"/>
              <w:right w:val="single" w:sz="4" w:space="0" w:color="auto"/>
            </w:tcBorders>
            <w:shd w:val="clear" w:color="auto" w:fill="auto"/>
            <w:vAlign w:val="bottom"/>
            <w:hideMark/>
          </w:tcPr>
          <w:p w14:paraId="1919568F" w14:textId="77777777" w:rsidR="00D61473" w:rsidRDefault="00D61473" w:rsidP="00941A3F">
            <w:pPr>
              <w:jc w:val="right"/>
              <w:rPr>
                <w:sz w:val="18"/>
                <w:szCs w:val="18"/>
              </w:rPr>
            </w:pPr>
            <w:r>
              <w:rPr>
                <w:sz w:val="18"/>
                <w:szCs w:val="18"/>
              </w:rPr>
              <w:t>$</w:t>
            </w:r>
            <w:r w:rsidR="00941A3F">
              <w:rPr>
                <w:sz w:val="18"/>
                <w:szCs w:val="18"/>
              </w:rPr>
              <w:t>10,076</w:t>
            </w:r>
          </w:p>
        </w:tc>
      </w:tr>
      <w:tr w:rsidR="0070078C" w14:paraId="2F9D1571" w14:textId="77777777" w:rsidTr="00260237">
        <w:trPr>
          <w:trHeight w:val="323"/>
          <w:jc w:val="center"/>
        </w:trPr>
        <w:tc>
          <w:tcPr>
            <w:tcW w:w="2695" w:type="dxa"/>
            <w:tcBorders>
              <w:top w:val="nil"/>
              <w:left w:val="single" w:sz="4" w:space="0" w:color="auto"/>
              <w:bottom w:val="single" w:sz="4" w:space="0" w:color="auto"/>
              <w:right w:val="single" w:sz="4" w:space="0" w:color="auto"/>
            </w:tcBorders>
            <w:shd w:val="clear" w:color="auto" w:fill="auto"/>
            <w:vAlign w:val="center"/>
          </w:tcPr>
          <w:p w14:paraId="1BE55D99" w14:textId="77777777" w:rsidR="0070078C" w:rsidRDefault="0070078C">
            <w:pPr>
              <w:rPr>
                <w:sz w:val="18"/>
                <w:szCs w:val="18"/>
              </w:rPr>
            </w:pPr>
            <w:r>
              <w:rPr>
                <w:i/>
                <w:iCs/>
                <w:sz w:val="18"/>
                <w:szCs w:val="18"/>
              </w:rPr>
              <w:t>Subtotal</w:t>
            </w:r>
          </w:p>
        </w:tc>
        <w:tc>
          <w:tcPr>
            <w:tcW w:w="1167" w:type="dxa"/>
            <w:tcBorders>
              <w:top w:val="nil"/>
              <w:left w:val="nil"/>
              <w:bottom w:val="single" w:sz="4" w:space="0" w:color="auto"/>
              <w:right w:val="single" w:sz="4" w:space="0" w:color="auto"/>
            </w:tcBorders>
            <w:shd w:val="clear" w:color="auto" w:fill="auto"/>
            <w:vAlign w:val="bottom"/>
          </w:tcPr>
          <w:p w14:paraId="49447BBE" w14:textId="77777777" w:rsidR="0070078C" w:rsidRDefault="0070078C" w:rsidP="00D61473">
            <w:pPr>
              <w:jc w:val="right"/>
              <w:rPr>
                <w:sz w:val="18"/>
                <w:szCs w:val="18"/>
              </w:rPr>
            </w:pPr>
            <w:r>
              <w:rPr>
                <w:i/>
                <w:iCs/>
                <w:sz w:val="18"/>
                <w:szCs w:val="18"/>
              </w:rPr>
              <w:t xml:space="preserve">            4.0 </w:t>
            </w:r>
          </w:p>
        </w:tc>
        <w:tc>
          <w:tcPr>
            <w:tcW w:w="1169" w:type="dxa"/>
            <w:tcBorders>
              <w:top w:val="nil"/>
              <w:left w:val="nil"/>
              <w:bottom w:val="single" w:sz="4" w:space="0" w:color="auto"/>
              <w:right w:val="single" w:sz="4" w:space="0" w:color="auto"/>
            </w:tcBorders>
            <w:shd w:val="clear" w:color="auto" w:fill="auto"/>
            <w:vAlign w:val="bottom"/>
          </w:tcPr>
          <w:p w14:paraId="634BF499" w14:textId="77777777" w:rsidR="0070078C" w:rsidRDefault="0070078C" w:rsidP="0070078C">
            <w:pPr>
              <w:jc w:val="right"/>
              <w:rPr>
                <w:sz w:val="18"/>
                <w:szCs w:val="18"/>
              </w:rPr>
            </w:pPr>
            <w:r>
              <w:rPr>
                <w:i/>
                <w:iCs/>
                <w:sz w:val="18"/>
                <w:szCs w:val="18"/>
              </w:rPr>
              <w:t xml:space="preserve">          10.0 </w:t>
            </w:r>
          </w:p>
        </w:tc>
        <w:tc>
          <w:tcPr>
            <w:tcW w:w="989" w:type="dxa"/>
            <w:tcBorders>
              <w:top w:val="nil"/>
              <w:left w:val="nil"/>
              <w:bottom w:val="single" w:sz="4" w:space="0" w:color="auto"/>
              <w:right w:val="single" w:sz="4" w:space="0" w:color="auto"/>
            </w:tcBorders>
            <w:shd w:val="clear" w:color="auto" w:fill="auto"/>
            <w:vAlign w:val="bottom"/>
          </w:tcPr>
          <w:p w14:paraId="73F383D8" w14:textId="77777777" w:rsidR="0070078C" w:rsidRDefault="0070078C" w:rsidP="0070078C">
            <w:pPr>
              <w:jc w:val="right"/>
              <w:rPr>
                <w:sz w:val="18"/>
                <w:szCs w:val="18"/>
              </w:rPr>
            </w:pPr>
            <w:r>
              <w:rPr>
                <w:i/>
                <w:iCs/>
                <w:sz w:val="18"/>
                <w:szCs w:val="18"/>
              </w:rPr>
              <w:t xml:space="preserve">            2.0 </w:t>
            </w:r>
          </w:p>
        </w:tc>
        <w:tc>
          <w:tcPr>
            <w:tcW w:w="1170" w:type="dxa"/>
            <w:tcBorders>
              <w:top w:val="nil"/>
              <w:left w:val="nil"/>
              <w:bottom w:val="single" w:sz="4" w:space="0" w:color="auto"/>
              <w:right w:val="single" w:sz="4" w:space="0" w:color="auto"/>
            </w:tcBorders>
            <w:shd w:val="clear" w:color="auto" w:fill="auto"/>
            <w:vAlign w:val="bottom"/>
          </w:tcPr>
          <w:p w14:paraId="6015F5BF" w14:textId="77777777" w:rsidR="0070078C" w:rsidRDefault="0070078C" w:rsidP="0070078C">
            <w:pPr>
              <w:jc w:val="right"/>
              <w:rPr>
                <w:sz w:val="18"/>
                <w:szCs w:val="18"/>
              </w:rPr>
            </w:pPr>
            <w:r>
              <w:rPr>
                <w:i/>
                <w:iCs/>
                <w:sz w:val="18"/>
                <w:szCs w:val="18"/>
              </w:rPr>
              <w:t xml:space="preserve">          16.0 </w:t>
            </w:r>
          </w:p>
        </w:tc>
        <w:tc>
          <w:tcPr>
            <w:tcW w:w="1080" w:type="dxa"/>
            <w:tcBorders>
              <w:top w:val="nil"/>
              <w:left w:val="nil"/>
              <w:bottom w:val="single" w:sz="4" w:space="0" w:color="auto"/>
              <w:right w:val="single" w:sz="4" w:space="0" w:color="auto"/>
            </w:tcBorders>
            <w:shd w:val="clear" w:color="auto" w:fill="auto"/>
            <w:vAlign w:val="bottom"/>
          </w:tcPr>
          <w:p w14:paraId="45817907" w14:textId="77777777" w:rsidR="0070078C" w:rsidRDefault="0070078C" w:rsidP="006A06AB">
            <w:pPr>
              <w:jc w:val="right"/>
              <w:rPr>
                <w:sz w:val="18"/>
                <w:szCs w:val="18"/>
              </w:rPr>
            </w:pPr>
            <w:r>
              <w:rPr>
                <w:i/>
                <w:iCs/>
                <w:sz w:val="18"/>
                <w:szCs w:val="18"/>
              </w:rPr>
              <w:t>$</w:t>
            </w:r>
            <w:r w:rsidR="006A06AB">
              <w:rPr>
                <w:i/>
                <w:iCs/>
                <w:sz w:val="18"/>
                <w:szCs w:val="18"/>
              </w:rPr>
              <w:t>1,126</w:t>
            </w:r>
          </w:p>
        </w:tc>
        <w:tc>
          <w:tcPr>
            <w:tcW w:w="815" w:type="dxa"/>
            <w:tcBorders>
              <w:top w:val="nil"/>
              <w:left w:val="nil"/>
              <w:bottom w:val="single" w:sz="4" w:space="0" w:color="auto"/>
              <w:right w:val="single" w:sz="4" w:space="0" w:color="auto"/>
            </w:tcBorders>
            <w:shd w:val="clear" w:color="auto" w:fill="auto"/>
            <w:vAlign w:val="bottom"/>
          </w:tcPr>
          <w:p w14:paraId="130CD6D0" w14:textId="77777777" w:rsidR="0070078C" w:rsidRDefault="0070078C" w:rsidP="00D61473">
            <w:pPr>
              <w:jc w:val="right"/>
              <w:rPr>
                <w:sz w:val="18"/>
                <w:szCs w:val="18"/>
              </w:rPr>
            </w:pPr>
            <w:r>
              <w:rPr>
                <w:i/>
                <w:iCs/>
                <w:sz w:val="18"/>
                <w:szCs w:val="18"/>
              </w:rPr>
              <w:t>$0</w:t>
            </w:r>
          </w:p>
        </w:tc>
        <w:tc>
          <w:tcPr>
            <w:tcW w:w="810" w:type="dxa"/>
            <w:tcBorders>
              <w:top w:val="nil"/>
              <w:left w:val="nil"/>
              <w:bottom w:val="single" w:sz="4" w:space="0" w:color="auto"/>
              <w:right w:val="single" w:sz="4" w:space="0" w:color="auto"/>
            </w:tcBorders>
            <w:shd w:val="clear" w:color="auto" w:fill="auto"/>
            <w:vAlign w:val="bottom"/>
          </w:tcPr>
          <w:p w14:paraId="6E99B829" w14:textId="77777777" w:rsidR="0070078C" w:rsidRDefault="0070078C" w:rsidP="00D61473">
            <w:pPr>
              <w:jc w:val="right"/>
              <w:rPr>
                <w:sz w:val="18"/>
                <w:szCs w:val="18"/>
              </w:rPr>
            </w:pPr>
            <w:r>
              <w:rPr>
                <w:i/>
                <w:iCs/>
                <w:sz w:val="18"/>
                <w:szCs w:val="18"/>
              </w:rPr>
              <w:t>$12,400</w:t>
            </w:r>
          </w:p>
        </w:tc>
        <w:tc>
          <w:tcPr>
            <w:tcW w:w="1080" w:type="dxa"/>
            <w:tcBorders>
              <w:top w:val="nil"/>
              <w:left w:val="nil"/>
              <w:bottom w:val="single" w:sz="4" w:space="0" w:color="auto"/>
              <w:right w:val="single" w:sz="4" w:space="0" w:color="auto"/>
            </w:tcBorders>
            <w:shd w:val="clear" w:color="auto" w:fill="auto"/>
            <w:vAlign w:val="bottom"/>
          </w:tcPr>
          <w:p w14:paraId="1A3AEB7E" w14:textId="77777777" w:rsidR="0070078C" w:rsidRDefault="0070078C" w:rsidP="0070078C">
            <w:pPr>
              <w:jc w:val="right"/>
              <w:rPr>
                <w:sz w:val="18"/>
                <w:szCs w:val="18"/>
              </w:rPr>
            </w:pPr>
            <w:r>
              <w:rPr>
                <w:i/>
                <w:iCs/>
                <w:sz w:val="18"/>
                <w:szCs w:val="18"/>
              </w:rPr>
              <w:t xml:space="preserve">             </w:t>
            </w:r>
            <w:r w:rsidR="00A06262">
              <w:rPr>
                <w:i/>
                <w:iCs/>
                <w:sz w:val="18"/>
                <w:szCs w:val="18"/>
              </w:rPr>
              <w:t>44</w:t>
            </w:r>
            <w:r>
              <w:rPr>
                <w:i/>
                <w:iCs/>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tcPr>
          <w:p w14:paraId="6168F825" w14:textId="77777777" w:rsidR="0070078C" w:rsidRDefault="0070078C" w:rsidP="0070078C">
            <w:pPr>
              <w:jc w:val="right"/>
              <w:rPr>
                <w:sz w:val="18"/>
                <w:szCs w:val="18"/>
              </w:rPr>
            </w:pPr>
            <w:r>
              <w:rPr>
                <w:i/>
                <w:iCs/>
                <w:sz w:val="18"/>
                <w:szCs w:val="18"/>
              </w:rPr>
              <w:t xml:space="preserve">           </w:t>
            </w:r>
            <w:r w:rsidR="00941A3F">
              <w:rPr>
                <w:i/>
                <w:iCs/>
                <w:sz w:val="18"/>
                <w:szCs w:val="18"/>
              </w:rPr>
              <w:t>704</w:t>
            </w:r>
          </w:p>
        </w:tc>
        <w:tc>
          <w:tcPr>
            <w:tcW w:w="1085" w:type="dxa"/>
            <w:tcBorders>
              <w:top w:val="nil"/>
              <w:left w:val="nil"/>
              <w:bottom w:val="single" w:sz="4" w:space="0" w:color="auto"/>
              <w:right w:val="single" w:sz="4" w:space="0" w:color="auto"/>
            </w:tcBorders>
            <w:shd w:val="clear" w:color="auto" w:fill="auto"/>
            <w:vAlign w:val="bottom"/>
          </w:tcPr>
          <w:p w14:paraId="13048633" w14:textId="77777777" w:rsidR="0070078C" w:rsidRDefault="0070078C" w:rsidP="00941A3F">
            <w:pPr>
              <w:jc w:val="right"/>
              <w:rPr>
                <w:sz w:val="18"/>
                <w:szCs w:val="18"/>
              </w:rPr>
            </w:pPr>
            <w:r>
              <w:rPr>
                <w:i/>
                <w:iCs/>
                <w:sz w:val="18"/>
                <w:szCs w:val="18"/>
              </w:rPr>
              <w:t>$</w:t>
            </w:r>
            <w:r w:rsidR="00941A3F">
              <w:rPr>
                <w:i/>
                <w:iCs/>
                <w:sz w:val="18"/>
                <w:szCs w:val="18"/>
              </w:rPr>
              <w:t>595,144</w:t>
            </w:r>
          </w:p>
        </w:tc>
      </w:tr>
      <w:tr w:rsidR="0070078C" w14:paraId="61F53622" w14:textId="77777777" w:rsidTr="00980EF5">
        <w:trPr>
          <w:trHeight w:val="323"/>
          <w:jc w:val="center"/>
        </w:trPr>
        <w:tc>
          <w:tcPr>
            <w:tcW w:w="13230" w:type="dxa"/>
            <w:gridSpan w:val="11"/>
            <w:tcBorders>
              <w:top w:val="nil"/>
              <w:left w:val="single" w:sz="4" w:space="0" w:color="auto"/>
              <w:bottom w:val="single" w:sz="4" w:space="0" w:color="auto"/>
              <w:right w:val="single" w:sz="4" w:space="0" w:color="auto"/>
            </w:tcBorders>
            <w:shd w:val="clear" w:color="auto" w:fill="auto"/>
            <w:vAlign w:val="center"/>
          </w:tcPr>
          <w:p w14:paraId="384C4B65" w14:textId="77777777" w:rsidR="0070078C" w:rsidRDefault="0070078C" w:rsidP="00980EF5">
            <w:pPr>
              <w:rPr>
                <w:sz w:val="18"/>
                <w:szCs w:val="18"/>
              </w:rPr>
            </w:pPr>
            <w:r>
              <w:rPr>
                <w:b/>
                <w:bCs/>
                <w:sz w:val="18"/>
                <w:szCs w:val="18"/>
              </w:rPr>
              <w:t>Renewals and Audits</w:t>
            </w:r>
          </w:p>
        </w:tc>
      </w:tr>
      <w:tr w:rsidR="00D61473" w14:paraId="7F73D15F" w14:textId="77777777" w:rsidTr="00260237">
        <w:trPr>
          <w:trHeight w:val="48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172AAB64" w14:textId="77777777" w:rsidR="00D61473" w:rsidRDefault="00D61473" w:rsidP="00360C70">
            <w:pPr>
              <w:rPr>
                <w:sz w:val="18"/>
                <w:szCs w:val="18"/>
              </w:rPr>
            </w:pPr>
            <w:r>
              <w:rPr>
                <w:sz w:val="18"/>
                <w:szCs w:val="18"/>
              </w:rPr>
              <w:t>Renew partnership, w</w:t>
            </w:r>
            <w:r w:rsidR="00360C70">
              <w:rPr>
                <w:sz w:val="18"/>
                <w:szCs w:val="18"/>
              </w:rPr>
              <w:t>ith</w:t>
            </w:r>
            <w:r>
              <w:rPr>
                <w:sz w:val="18"/>
                <w:szCs w:val="18"/>
              </w:rPr>
              <w:t xml:space="preserve"> no changes needed</w:t>
            </w:r>
          </w:p>
        </w:tc>
        <w:tc>
          <w:tcPr>
            <w:tcW w:w="1167" w:type="dxa"/>
            <w:tcBorders>
              <w:top w:val="nil"/>
              <w:left w:val="nil"/>
              <w:bottom w:val="single" w:sz="4" w:space="0" w:color="auto"/>
              <w:right w:val="single" w:sz="4" w:space="0" w:color="auto"/>
            </w:tcBorders>
            <w:shd w:val="clear" w:color="auto" w:fill="auto"/>
            <w:vAlign w:val="bottom"/>
            <w:hideMark/>
          </w:tcPr>
          <w:p w14:paraId="5AFDEA87" w14:textId="77777777" w:rsidR="00D61473" w:rsidRDefault="00D61473" w:rsidP="00D61473">
            <w:pPr>
              <w:jc w:val="right"/>
              <w:rPr>
                <w:sz w:val="18"/>
                <w:szCs w:val="18"/>
              </w:rPr>
            </w:pPr>
            <w:r>
              <w:rPr>
                <w:sz w:val="18"/>
                <w:szCs w:val="18"/>
              </w:rPr>
              <w:t xml:space="preserve">              -   </w:t>
            </w:r>
          </w:p>
        </w:tc>
        <w:tc>
          <w:tcPr>
            <w:tcW w:w="1169" w:type="dxa"/>
            <w:tcBorders>
              <w:top w:val="nil"/>
              <w:left w:val="nil"/>
              <w:bottom w:val="single" w:sz="4" w:space="0" w:color="auto"/>
              <w:right w:val="single" w:sz="4" w:space="0" w:color="auto"/>
            </w:tcBorders>
            <w:shd w:val="clear" w:color="auto" w:fill="auto"/>
            <w:vAlign w:val="bottom"/>
            <w:hideMark/>
          </w:tcPr>
          <w:p w14:paraId="5A1B16A8" w14:textId="77777777" w:rsidR="00D61473" w:rsidRDefault="00D61473" w:rsidP="003A1D20">
            <w:pPr>
              <w:jc w:val="right"/>
              <w:rPr>
                <w:sz w:val="18"/>
                <w:szCs w:val="18"/>
              </w:rPr>
            </w:pPr>
            <w:r>
              <w:rPr>
                <w:sz w:val="18"/>
                <w:szCs w:val="18"/>
              </w:rPr>
              <w:t xml:space="preserve">             </w:t>
            </w:r>
            <w:r w:rsidR="003A1D20">
              <w:rPr>
                <w:sz w:val="18"/>
                <w:szCs w:val="18"/>
              </w:rPr>
              <w:t>3</w:t>
            </w:r>
            <w:r>
              <w:rPr>
                <w:sz w:val="18"/>
                <w:szCs w:val="18"/>
              </w:rPr>
              <w:t xml:space="preserve">.0 </w:t>
            </w:r>
          </w:p>
        </w:tc>
        <w:tc>
          <w:tcPr>
            <w:tcW w:w="989" w:type="dxa"/>
            <w:tcBorders>
              <w:top w:val="nil"/>
              <w:left w:val="nil"/>
              <w:bottom w:val="single" w:sz="4" w:space="0" w:color="auto"/>
              <w:right w:val="single" w:sz="4" w:space="0" w:color="auto"/>
            </w:tcBorders>
            <w:shd w:val="clear" w:color="auto" w:fill="auto"/>
            <w:vAlign w:val="bottom"/>
            <w:hideMark/>
          </w:tcPr>
          <w:p w14:paraId="5C410E29" w14:textId="77777777" w:rsidR="00D61473" w:rsidRDefault="00D61473" w:rsidP="00D61473">
            <w:pPr>
              <w:jc w:val="right"/>
              <w:rPr>
                <w:sz w:val="18"/>
                <w:szCs w:val="18"/>
              </w:rPr>
            </w:pPr>
            <w:r>
              <w:rPr>
                <w:sz w:val="18"/>
                <w:szCs w:val="18"/>
              </w:rPr>
              <w:t xml:space="preserve">             1.0 </w:t>
            </w:r>
          </w:p>
        </w:tc>
        <w:tc>
          <w:tcPr>
            <w:tcW w:w="1170" w:type="dxa"/>
            <w:tcBorders>
              <w:top w:val="nil"/>
              <w:left w:val="nil"/>
              <w:bottom w:val="single" w:sz="4" w:space="0" w:color="auto"/>
              <w:right w:val="single" w:sz="4" w:space="0" w:color="auto"/>
            </w:tcBorders>
            <w:shd w:val="clear" w:color="auto" w:fill="auto"/>
            <w:vAlign w:val="bottom"/>
            <w:hideMark/>
          </w:tcPr>
          <w:p w14:paraId="46C920A6" w14:textId="77777777" w:rsidR="00D61473" w:rsidRDefault="00D61473" w:rsidP="003A1D20">
            <w:pPr>
              <w:jc w:val="right"/>
              <w:rPr>
                <w:sz w:val="18"/>
                <w:szCs w:val="18"/>
              </w:rPr>
            </w:pPr>
            <w:r>
              <w:rPr>
                <w:sz w:val="18"/>
                <w:szCs w:val="18"/>
              </w:rPr>
              <w:t xml:space="preserve">             </w:t>
            </w:r>
            <w:r w:rsidR="003A1D20">
              <w:rPr>
                <w:sz w:val="18"/>
                <w:szCs w:val="18"/>
              </w:rPr>
              <w:t>4</w:t>
            </w:r>
            <w:r>
              <w:rPr>
                <w:sz w:val="18"/>
                <w:szCs w:val="18"/>
              </w:rPr>
              <w:t xml:space="preserve">.0 </w:t>
            </w:r>
          </w:p>
        </w:tc>
        <w:tc>
          <w:tcPr>
            <w:tcW w:w="1080" w:type="dxa"/>
            <w:tcBorders>
              <w:top w:val="nil"/>
              <w:left w:val="nil"/>
              <w:bottom w:val="single" w:sz="4" w:space="0" w:color="auto"/>
              <w:right w:val="single" w:sz="4" w:space="0" w:color="auto"/>
            </w:tcBorders>
            <w:shd w:val="clear" w:color="auto" w:fill="auto"/>
            <w:vAlign w:val="bottom"/>
            <w:hideMark/>
          </w:tcPr>
          <w:p w14:paraId="2CF64D68" w14:textId="77777777" w:rsidR="00D61473" w:rsidRDefault="00D61473" w:rsidP="00941A3F">
            <w:pPr>
              <w:jc w:val="right"/>
              <w:rPr>
                <w:sz w:val="18"/>
                <w:szCs w:val="18"/>
              </w:rPr>
            </w:pPr>
            <w:r>
              <w:rPr>
                <w:sz w:val="18"/>
                <w:szCs w:val="18"/>
              </w:rPr>
              <w:t>$</w:t>
            </w:r>
            <w:r w:rsidR="00941A3F">
              <w:rPr>
                <w:sz w:val="18"/>
                <w:szCs w:val="18"/>
              </w:rPr>
              <w:t>251</w:t>
            </w:r>
          </w:p>
        </w:tc>
        <w:tc>
          <w:tcPr>
            <w:tcW w:w="815" w:type="dxa"/>
            <w:tcBorders>
              <w:top w:val="nil"/>
              <w:left w:val="nil"/>
              <w:bottom w:val="single" w:sz="4" w:space="0" w:color="auto"/>
              <w:right w:val="single" w:sz="4" w:space="0" w:color="auto"/>
            </w:tcBorders>
            <w:shd w:val="clear" w:color="auto" w:fill="auto"/>
            <w:vAlign w:val="bottom"/>
            <w:hideMark/>
          </w:tcPr>
          <w:p w14:paraId="0004651A"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43A75383" w14:textId="77777777" w:rsidR="00D61473" w:rsidRDefault="00D61473"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053BA3DC" w14:textId="77777777" w:rsidR="00D61473" w:rsidRDefault="00D61473" w:rsidP="003A1D20">
            <w:pPr>
              <w:jc w:val="right"/>
              <w:rPr>
                <w:sz w:val="18"/>
                <w:szCs w:val="18"/>
              </w:rPr>
            </w:pPr>
            <w:r>
              <w:rPr>
                <w:sz w:val="18"/>
                <w:szCs w:val="18"/>
              </w:rPr>
              <w:t xml:space="preserve">              </w:t>
            </w:r>
            <w:r w:rsidR="003A1D20">
              <w:rPr>
                <w:sz w:val="18"/>
                <w:szCs w:val="18"/>
              </w:rPr>
              <w:t>36</w:t>
            </w:r>
          </w:p>
        </w:tc>
        <w:tc>
          <w:tcPr>
            <w:tcW w:w="1170" w:type="dxa"/>
            <w:tcBorders>
              <w:top w:val="nil"/>
              <w:left w:val="nil"/>
              <w:bottom w:val="single" w:sz="4" w:space="0" w:color="auto"/>
              <w:right w:val="single" w:sz="4" w:space="0" w:color="auto"/>
            </w:tcBorders>
            <w:shd w:val="clear" w:color="auto" w:fill="auto"/>
            <w:vAlign w:val="bottom"/>
            <w:hideMark/>
          </w:tcPr>
          <w:p w14:paraId="5C09D309" w14:textId="77777777" w:rsidR="00D61473" w:rsidRDefault="00D61473" w:rsidP="0070078C">
            <w:pPr>
              <w:jc w:val="right"/>
              <w:rPr>
                <w:sz w:val="18"/>
                <w:szCs w:val="18"/>
              </w:rPr>
            </w:pPr>
            <w:r>
              <w:rPr>
                <w:sz w:val="18"/>
                <w:szCs w:val="18"/>
              </w:rPr>
              <w:t xml:space="preserve">            </w:t>
            </w:r>
            <w:r w:rsidR="0070078C">
              <w:rPr>
                <w:sz w:val="18"/>
                <w:szCs w:val="18"/>
              </w:rPr>
              <w:t xml:space="preserve">144 </w:t>
            </w:r>
          </w:p>
        </w:tc>
        <w:tc>
          <w:tcPr>
            <w:tcW w:w="1085" w:type="dxa"/>
            <w:tcBorders>
              <w:top w:val="nil"/>
              <w:left w:val="nil"/>
              <w:bottom w:val="single" w:sz="4" w:space="0" w:color="auto"/>
              <w:right w:val="single" w:sz="4" w:space="0" w:color="auto"/>
            </w:tcBorders>
            <w:shd w:val="clear" w:color="auto" w:fill="auto"/>
            <w:vAlign w:val="bottom"/>
            <w:hideMark/>
          </w:tcPr>
          <w:p w14:paraId="7FF1EF3C" w14:textId="77777777" w:rsidR="00D61473" w:rsidRDefault="00D61473" w:rsidP="00941A3F">
            <w:pPr>
              <w:jc w:val="right"/>
              <w:rPr>
                <w:sz w:val="18"/>
                <w:szCs w:val="18"/>
              </w:rPr>
            </w:pPr>
            <w:r>
              <w:rPr>
                <w:sz w:val="18"/>
                <w:szCs w:val="18"/>
              </w:rPr>
              <w:t>$</w:t>
            </w:r>
            <w:r w:rsidR="00941A3F">
              <w:rPr>
                <w:sz w:val="18"/>
                <w:szCs w:val="18"/>
              </w:rPr>
              <w:t>9,036</w:t>
            </w:r>
          </w:p>
        </w:tc>
      </w:tr>
      <w:tr w:rsidR="00B622AC" w14:paraId="62D4F716" w14:textId="77777777" w:rsidTr="00260237">
        <w:trPr>
          <w:trHeight w:val="492"/>
          <w:jc w:val="center"/>
        </w:trPr>
        <w:tc>
          <w:tcPr>
            <w:tcW w:w="2695" w:type="dxa"/>
            <w:tcBorders>
              <w:top w:val="nil"/>
              <w:left w:val="single" w:sz="4" w:space="0" w:color="auto"/>
              <w:bottom w:val="single" w:sz="4" w:space="0" w:color="auto"/>
              <w:right w:val="single" w:sz="4" w:space="0" w:color="auto"/>
            </w:tcBorders>
            <w:shd w:val="clear" w:color="auto" w:fill="auto"/>
            <w:vAlign w:val="center"/>
          </w:tcPr>
          <w:p w14:paraId="19341E07" w14:textId="77777777" w:rsidR="00B622AC" w:rsidRDefault="00A946B8">
            <w:pPr>
              <w:rPr>
                <w:sz w:val="18"/>
                <w:szCs w:val="18"/>
              </w:rPr>
            </w:pPr>
            <w:r>
              <w:rPr>
                <w:sz w:val="18"/>
                <w:szCs w:val="18"/>
              </w:rPr>
              <w:t>Desk audit</w:t>
            </w:r>
          </w:p>
        </w:tc>
        <w:tc>
          <w:tcPr>
            <w:tcW w:w="1167" w:type="dxa"/>
            <w:tcBorders>
              <w:top w:val="nil"/>
              <w:left w:val="nil"/>
              <w:bottom w:val="single" w:sz="4" w:space="0" w:color="auto"/>
              <w:right w:val="single" w:sz="4" w:space="0" w:color="auto"/>
            </w:tcBorders>
            <w:shd w:val="clear" w:color="auto" w:fill="auto"/>
            <w:vAlign w:val="bottom"/>
          </w:tcPr>
          <w:p w14:paraId="7F70B766" w14:textId="77777777" w:rsidR="00B622AC" w:rsidRDefault="00A946B8" w:rsidP="00D61473">
            <w:pPr>
              <w:jc w:val="right"/>
              <w:rPr>
                <w:sz w:val="18"/>
                <w:szCs w:val="18"/>
              </w:rPr>
            </w:pPr>
            <w:r>
              <w:rPr>
                <w:sz w:val="18"/>
                <w:szCs w:val="18"/>
              </w:rPr>
              <w:t>-</w:t>
            </w:r>
          </w:p>
        </w:tc>
        <w:tc>
          <w:tcPr>
            <w:tcW w:w="1169" w:type="dxa"/>
            <w:tcBorders>
              <w:top w:val="nil"/>
              <w:left w:val="nil"/>
              <w:bottom w:val="single" w:sz="4" w:space="0" w:color="auto"/>
              <w:right w:val="single" w:sz="4" w:space="0" w:color="auto"/>
            </w:tcBorders>
            <w:shd w:val="clear" w:color="auto" w:fill="auto"/>
            <w:vAlign w:val="bottom"/>
          </w:tcPr>
          <w:p w14:paraId="2238C17D" w14:textId="77777777" w:rsidR="00B622AC" w:rsidRDefault="00A946B8" w:rsidP="00D61473">
            <w:pPr>
              <w:jc w:val="right"/>
              <w:rPr>
                <w:sz w:val="18"/>
                <w:szCs w:val="18"/>
              </w:rPr>
            </w:pPr>
            <w:r>
              <w:rPr>
                <w:sz w:val="18"/>
                <w:szCs w:val="18"/>
              </w:rPr>
              <w:t>2.0</w:t>
            </w:r>
          </w:p>
        </w:tc>
        <w:tc>
          <w:tcPr>
            <w:tcW w:w="989" w:type="dxa"/>
            <w:tcBorders>
              <w:top w:val="nil"/>
              <w:left w:val="nil"/>
              <w:bottom w:val="single" w:sz="4" w:space="0" w:color="auto"/>
              <w:right w:val="single" w:sz="4" w:space="0" w:color="auto"/>
            </w:tcBorders>
            <w:shd w:val="clear" w:color="auto" w:fill="auto"/>
            <w:vAlign w:val="bottom"/>
          </w:tcPr>
          <w:p w14:paraId="76638E95" w14:textId="77777777" w:rsidR="00B622AC" w:rsidRDefault="00A946B8" w:rsidP="00D61473">
            <w:pPr>
              <w:jc w:val="right"/>
              <w:rPr>
                <w:sz w:val="18"/>
                <w:szCs w:val="18"/>
              </w:rPr>
            </w:pPr>
            <w:r>
              <w:rPr>
                <w:sz w:val="18"/>
                <w:szCs w:val="18"/>
              </w:rPr>
              <w:t>2.0</w:t>
            </w:r>
          </w:p>
        </w:tc>
        <w:tc>
          <w:tcPr>
            <w:tcW w:w="1170" w:type="dxa"/>
            <w:tcBorders>
              <w:top w:val="nil"/>
              <w:left w:val="nil"/>
              <w:bottom w:val="single" w:sz="4" w:space="0" w:color="auto"/>
              <w:right w:val="single" w:sz="4" w:space="0" w:color="auto"/>
            </w:tcBorders>
            <w:shd w:val="clear" w:color="auto" w:fill="auto"/>
            <w:vAlign w:val="bottom"/>
          </w:tcPr>
          <w:p w14:paraId="6461D07B" w14:textId="77777777" w:rsidR="00B622AC" w:rsidRDefault="00A946B8" w:rsidP="00D61473">
            <w:pPr>
              <w:jc w:val="right"/>
              <w:rPr>
                <w:sz w:val="18"/>
                <w:szCs w:val="18"/>
              </w:rPr>
            </w:pPr>
            <w:r>
              <w:rPr>
                <w:sz w:val="18"/>
                <w:szCs w:val="18"/>
              </w:rPr>
              <w:t>4.0</w:t>
            </w:r>
          </w:p>
        </w:tc>
        <w:tc>
          <w:tcPr>
            <w:tcW w:w="1080" w:type="dxa"/>
            <w:tcBorders>
              <w:top w:val="nil"/>
              <w:left w:val="nil"/>
              <w:bottom w:val="single" w:sz="4" w:space="0" w:color="auto"/>
              <w:right w:val="single" w:sz="4" w:space="0" w:color="auto"/>
            </w:tcBorders>
            <w:shd w:val="clear" w:color="auto" w:fill="auto"/>
            <w:vAlign w:val="bottom"/>
          </w:tcPr>
          <w:p w14:paraId="1787DD52" w14:textId="77777777" w:rsidR="00B622AC" w:rsidRDefault="00153C5E" w:rsidP="00941A3F">
            <w:pPr>
              <w:jc w:val="right"/>
              <w:rPr>
                <w:sz w:val="18"/>
                <w:szCs w:val="18"/>
              </w:rPr>
            </w:pPr>
            <w:r>
              <w:rPr>
                <w:sz w:val="18"/>
                <w:szCs w:val="18"/>
              </w:rPr>
              <w:t>$</w:t>
            </w:r>
            <w:r w:rsidR="00941A3F">
              <w:rPr>
                <w:sz w:val="18"/>
                <w:szCs w:val="18"/>
              </w:rPr>
              <w:t>210</w:t>
            </w:r>
          </w:p>
        </w:tc>
        <w:tc>
          <w:tcPr>
            <w:tcW w:w="815" w:type="dxa"/>
            <w:tcBorders>
              <w:top w:val="nil"/>
              <w:left w:val="nil"/>
              <w:bottom w:val="single" w:sz="4" w:space="0" w:color="auto"/>
              <w:right w:val="single" w:sz="4" w:space="0" w:color="auto"/>
            </w:tcBorders>
            <w:shd w:val="clear" w:color="auto" w:fill="auto"/>
            <w:vAlign w:val="bottom"/>
          </w:tcPr>
          <w:p w14:paraId="52425613" w14:textId="77777777" w:rsidR="00B622AC" w:rsidRDefault="00153C5E"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tcPr>
          <w:p w14:paraId="55ECF516" w14:textId="77777777" w:rsidR="00B622AC" w:rsidRDefault="00153C5E"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tcPr>
          <w:p w14:paraId="7E833331" w14:textId="77777777" w:rsidR="00B622AC" w:rsidRDefault="00803A3D" w:rsidP="00214F4F">
            <w:pPr>
              <w:jc w:val="right"/>
              <w:rPr>
                <w:sz w:val="18"/>
                <w:szCs w:val="18"/>
              </w:rPr>
            </w:pPr>
            <w:r>
              <w:rPr>
                <w:sz w:val="18"/>
                <w:szCs w:val="18"/>
              </w:rPr>
              <w:t>2</w:t>
            </w:r>
            <w:r w:rsidR="003A1D20">
              <w:rPr>
                <w:sz w:val="18"/>
                <w:szCs w:val="18"/>
              </w:rPr>
              <w:t>4</w:t>
            </w:r>
          </w:p>
        </w:tc>
        <w:tc>
          <w:tcPr>
            <w:tcW w:w="1170" w:type="dxa"/>
            <w:tcBorders>
              <w:top w:val="nil"/>
              <w:left w:val="nil"/>
              <w:bottom w:val="single" w:sz="4" w:space="0" w:color="auto"/>
              <w:right w:val="single" w:sz="4" w:space="0" w:color="auto"/>
            </w:tcBorders>
            <w:shd w:val="clear" w:color="auto" w:fill="auto"/>
            <w:vAlign w:val="bottom"/>
          </w:tcPr>
          <w:p w14:paraId="0A4FD5B7" w14:textId="77777777" w:rsidR="00B622AC" w:rsidRDefault="0070078C" w:rsidP="00D61473">
            <w:pPr>
              <w:jc w:val="right"/>
              <w:rPr>
                <w:sz w:val="18"/>
                <w:szCs w:val="18"/>
              </w:rPr>
            </w:pPr>
            <w:r>
              <w:rPr>
                <w:sz w:val="18"/>
                <w:szCs w:val="18"/>
              </w:rPr>
              <w:t>96</w:t>
            </w:r>
          </w:p>
        </w:tc>
        <w:tc>
          <w:tcPr>
            <w:tcW w:w="1085" w:type="dxa"/>
            <w:tcBorders>
              <w:top w:val="nil"/>
              <w:left w:val="nil"/>
              <w:bottom w:val="single" w:sz="4" w:space="0" w:color="auto"/>
              <w:right w:val="single" w:sz="4" w:space="0" w:color="auto"/>
            </w:tcBorders>
            <w:shd w:val="clear" w:color="auto" w:fill="auto"/>
            <w:vAlign w:val="bottom"/>
          </w:tcPr>
          <w:p w14:paraId="33C68B26" w14:textId="77777777" w:rsidR="00B622AC" w:rsidRDefault="00803A3D" w:rsidP="00941A3F">
            <w:pPr>
              <w:jc w:val="right"/>
              <w:rPr>
                <w:sz w:val="18"/>
                <w:szCs w:val="18"/>
              </w:rPr>
            </w:pPr>
            <w:r>
              <w:rPr>
                <w:sz w:val="18"/>
                <w:szCs w:val="18"/>
              </w:rPr>
              <w:t>$</w:t>
            </w:r>
            <w:r w:rsidR="00941A3F">
              <w:rPr>
                <w:sz w:val="18"/>
                <w:szCs w:val="18"/>
              </w:rPr>
              <w:t>5,040</w:t>
            </w:r>
          </w:p>
        </w:tc>
      </w:tr>
      <w:tr w:rsidR="00D61473" w14:paraId="733C26AF" w14:textId="77777777" w:rsidTr="00260237">
        <w:trPr>
          <w:trHeight w:val="492"/>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1F17EF5F" w14:textId="77777777" w:rsidR="00D61473" w:rsidRDefault="00D61473">
            <w:pPr>
              <w:rPr>
                <w:sz w:val="18"/>
                <w:szCs w:val="18"/>
              </w:rPr>
            </w:pPr>
            <w:r>
              <w:rPr>
                <w:sz w:val="18"/>
                <w:szCs w:val="18"/>
              </w:rPr>
              <w:t>Site audit</w:t>
            </w:r>
          </w:p>
        </w:tc>
        <w:tc>
          <w:tcPr>
            <w:tcW w:w="1167" w:type="dxa"/>
            <w:tcBorders>
              <w:top w:val="nil"/>
              <w:left w:val="nil"/>
              <w:bottom w:val="single" w:sz="4" w:space="0" w:color="auto"/>
              <w:right w:val="single" w:sz="4" w:space="0" w:color="auto"/>
            </w:tcBorders>
            <w:shd w:val="clear" w:color="auto" w:fill="auto"/>
            <w:vAlign w:val="bottom"/>
            <w:hideMark/>
          </w:tcPr>
          <w:p w14:paraId="7446C3F5" w14:textId="77777777" w:rsidR="00D61473" w:rsidRDefault="00D61473" w:rsidP="00D61473">
            <w:pPr>
              <w:jc w:val="right"/>
              <w:rPr>
                <w:sz w:val="18"/>
                <w:szCs w:val="18"/>
              </w:rPr>
            </w:pPr>
            <w:r>
              <w:rPr>
                <w:sz w:val="18"/>
                <w:szCs w:val="18"/>
              </w:rPr>
              <w:t xml:space="preserve">              -   </w:t>
            </w:r>
          </w:p>
        </w:tc>
        <w:tc>
          <w:tcPr>
            <w:tcW w:w="1169" w:type="dxa"/>
            <w:tcBorders>
              <w:top w:val="nil"/>
              <w:left w:val="nil"/>
              <w:bottom w:val="single" w:sz="4" w:space="0" w:color="auto"/>
              <w:right w:val="single" w:sz="4" w:space="0" w:color="auto"/>
            </w:tcBorders>
            <w:shd w:val="clear" w:color="auto" w:fill="auto"/>
            <w:vAlign w:val="bottom"/>
            <w:hideMark/>
          </w:tcPr>
          <w:p w14:paraId="59D893E6" w14:textId="77777777" w:rsidR="00D61473" w:rsidRDefault="00D61473" w:rsidP="00D61473">
            <w:pPr>
              <w:jc w:val="right"/>
              <w:rPr>
                <w:sz w:val="18"/>
                <w:szCs w:val="18"/>
              </w:rPr>
            </w:pPr>
            <w:r>
              <w:rPr>
                <w:sz w:val="18"/>
                <w:szCs w:val="18"/>
              </w:rPr>
              <w:t xml:space="preserve">             2.0 </w:t>
            </w:r>
          </w:p>
        </w:tc>
        <w:tc>
          <w:tcPr>
            <w:tcW w:w="989" w:type="dxa"/>
            <w:tcBorders>
              <w:top w:val="nil"/>
              <w:left w:val="nil"/>
              <w:bottom w:val="single" w:sz="4" w:space="0" w:color="auto"/>
              <w:right w:val="single" w:sz="4" w:space="0" w:color="auto"/>
            </w:tcBorders>
            <w:shd w:val="clear" w:color="auto" w:fill="auto"/>
            <w:vAlign w:val="bottom"/>
            <w:hideMark/>
          </w:tcPr>
          <w:p w14:paraId="64AECF2C" w14:textId="77777777" w:rsidR="00D61473" w:rsidRDefault="00D61473" w:rsidP="00D61473">
            <w:pPr>
              <w:jc w:val="right"/>
              <w:rPr>
                <w:sz w:val="18"/>
                <w:szCs w:val="18"/>
              </w:rPr>
            </w:pPr>
            <w:r>
              <w:rPr>
                <w:sz w:val="18"/>
                <w:szCs w:val="18"/>
              </w:rPr>
              <w:t xml:space="preserve">             1.0 </w:t>
            </w:r>
          </w:p>
        </w:tc>
        <w:tc>
          <w:tcPr>
            <w:tcW w:w="1170" w:type="dxa"/>
            <w:tcBorders>
              <w:top w:val="nil"/>
              <w:left w:val="nil"/>
              <w:bottom w:val="single" w:sz="4" w:space="0" w:color="auto"/>
              <w:right w:val="single" w:sz="4" w:space="0" w:color="auto"/>
            </w:tcBorders>
            <w:shd w:val="clear" w:color="auto" w:fill="auto"/>
            <w:vAlign w:val="bottom"/>
            <w:hideMark/>
          </w:tcPr>
          <w:p w14:paraId="214EA50D" w14:textId="77777777" w:rsidR="00D61473" w:rsidRDefault="00D61473" w:rsidP="00D61473">
            <w:pPr>
              <w:jc w:val="right"/>
              <w:rPr>
                <w:sz w:val="18"/>
                <w:szCs w:val="18"/>
              </w:rPr>
            </w:pPr>
            <w:r>
              <w:rPr>
                <w:sz w:val="18"/>
                <w:szCs w:val="18"/>
              </w:rPr>
              <w:t xml:space="preserve">             3.0 </w:t>
            </w:r>
          </w:p>
        </w:tc>
        <w:tc>
          <w:tcPr>
            <w:tcW w:w="1080" w:type="dxa"/>
            <w:tcBorders>
              <w:top w:val="nil"/>
              <w:left w:val="nil"/>
              <w:bottom w:val="single" w:sz="4" w:space="0" w:color="auto"/>
              <w:right w:val="single" w:sz="4" w:space="0" w:color="auto"/>
            </w:tcBorders>
            <w:shd w:val="clear" w:color="auto" w:fill="auto"/>
            <w:vAlign w:val="bottom"/>
            <w:hideMark/>
          </w:tcPr>
          <w:p w14:paraId="611EA3EF" w14:textId="77777777" w:rsidR="00D61473" w:rsidRDefault="00D61473" w:rsidP="00941A3F">
            <w:pPr>
              <w:jc w:val="right"/>
              <w:rPr>
                <w:sz w:val="18"/>
                <w:szCs w:val="18"/>
              </w:rPr>
            </w:pPr>
            <w:r>
              <w:rPr>
                <w:sz w:val="18"/>
                <w:szCs w:val="18"/>
              </w:rPr>
              <w:t>$</w:t>
            </w:r>
            <w:r w:rsidR="00941A3F">
              <w:rPr>
                <w:sz w:val="18"/>
                <w:szCs w:val="18"/>
              </w:rPr>
              <w:t>178</w:t>
            </w:r>
          </w:p>
        </w:tc>
        <w:tc>
          <w:tcPr>
            <w:tcW w:w="815" w:type="dxa"/>
            <w:tcBorders>
              <w:top w:val="nil"/>
              <w:left w:val="nil"/>
              <w:bottom w:val="single" w:sz="4" w:space="0" w:color="auto"/>
              <w:right w:val="single" w:sz="4" w:space="0" w:color="auto"/>
            </w:tcBorders>
            <w:shd w:val="clear" w:color="auto" w:fill="auto"/>
            <w:vAlign w:val="bottom"/>
            <w:hideMark/>
          </w:tcPr>
          <w:p w14:paraId="6F83FB36"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35493C55" w14:textId="77777777" w:rsidR="00D61473" w:rsidRDefault="00D61473"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559C4A24" w14:textId="77777777" w:rsidR="00D61473" w:rsidRDefault="00D61473" w:rsidP="00D61473">
            <w:pPr>
              <w:jc w:val="right"/>
              <w:rPr>
                <w:sz w:val="18"/>
                <w:szCs w:val="18"/>
              </w:rPr>
            </w:pPr>
            <w:r>
              <w:rPr>
                <w:sz w:val="18"/>
                <w:szCs w:val="18"/>
              </w:rPr>
              <w:t xml:space="preserve">              1</w:t>
            </w:r>
            <w:r w:rsidR="003A1D20">
              <w:rPr>
                <w:sz w:val="18"/>
                <w:szCs w:val="18"/>
              </w:rPr>
              <w:t>2</w:t>
            </w:r>
            <w:r>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67D528EF" w14:textId="77777777" w:rsidR="00D61473" w:rsidRDefault="00D61473" w:rsidP="0070078C">
            <w:pPr>
              <w:jc w:val="right"/>
              <w:rPr>
                <w:sz w:val="18"/>
                <w:szCs w:val="18"/>
              </w:rPr>
            </w:pPr>
            <w:r>
              <w:rPr>
                <w:sz w:val="18"/>
                <w:szCs w:val="18"/>
              </w:rPr>
              <w:t xml:space="preserve">              </w:t>
            </w:r>
            <w:r w:rsidR="0070078C">
              <w:rPr>
                <w:sz w:val="18"/>
                <w:szCs w:val="18"/>
              </w:rPr>
              <w:t xml:space="preserve">36 </w:t>
            </w:r>
          </w:p>
        </w:tc>
        <w:tc>
          <w:tcPr>
            <w:tcW w:w="1085" w:type="dxa"/>
            <w:tcBorders>
              <w:top w:val="nil"/>
              <w:left w:val="nil"/>
              <w:bottom w:val="single" w:sz="4" w:space="0" w:color="auto"/>
              <w:right w:val="single" w:sz="4" w:space="0" w:color="auto"/>
            </w:tcBorders>
            <w:shd w:val="clear" w:color="auto" w:fill="auto"/>
            <w:vAlign w:val="bottom"/>
            <w:hideMark/>
          </w:tcPr>
          <w:p w14:paraId="77903B34" w14:textId="77777777" w:rsidR="00D61473" w:rsidRDefault="00D61473" w:rsidP="00941A3F">
            <w:pPr>
              <w:jc w:val="right"/>
              <w:rPr>
                <w:sz w:val="18"/>
                <w:szCs w:val="18"/>
              </w:rPr>
            </w:pPr>
            <w:r>
              <w:rPr>
                <w:sz w:val="18"/>
                <w:szCs w:val="18"/>
              </w:rPr>
              <w:t>$</w:t>
            </w:r>
            <w:r w:rsidR="00941A3F">
              <w:rPr>
                <w:sz w:val="18"/>
                <w:szCs w:val="18"/>
              </w:rPr>
              <w:t>2,136</w:t>
            </w:r>
          </w:p>
        </w:tc>
      </w:tr>
      <w:tr w:rsidR="00D61473" w14:paraId="16BEB33E" w14:textId="77777777" w:rsidTr="00260237">
        <w:trPr>
          <w:trHeight w:val="288"/>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65A4FDE2" w14:textId="77777777" w:rsidR="00D61473" w:rsidRDefault="00D61473" w:rsidP="00D61473">
            <w:pPr>
              <w:rPr>
                <w:i/>
                <w:iCs/>
                <w:sz w:val="18"/>
                <w:szCs w:val="18"/>
              </w:rPr>
            </w:pPr>
            <w:r>
              <w:rPr>
                <w:i/>
                <w:iCs/>
                <w:sz w:val="18"/>
                <w:szCs w:val="18"/>
              </w:rPr>
              <w:t>Subtotal</w:t>
            </w:r>
          </w:p>
        </w:tc>
        <w:tc>
          <w:tcPr>
            <w:tcW w:w="1167" w:type="dxa"/>
            <w:tcBorders>
              <w:top w:val="nil"/>
              <w:left w:val="nil"/>
              <w:bottom w:val="single" w:sz="4" w:space="0" w:color="auto"/>
              <w:right w:val="single" w:sz="4" w:space="0" w:color="auto"/>
            </w:tcBorders>
            <w:shd w:val="clear" w:color="auto" w:fill="auto"/>
            <w:vAlign w:val="bottom"/>
            <w:hideMark/>
          </w:tcPr>
          <w:p w14:paraId="05ACC01D" w14:textId="77777777" w:rsidR="00D61473" w:rsidRDefault="00D61473" w:rsidP="00D61473">
            <w:pPr>
              <w:jc w:val="right"/>
              <w:rPr>
                <w:i/>
                <w:iCs/>
                <w:sz w:val="18"/>
                <w:szCs w:val="18"/>
              </w:rPr>
            </w:pPr>
            <w:r>
              <w:rPr>
                <w:i/>
                <w:iCs/>
                <w:sz w:val="18"/>
                <w:szCs w:val="18"/>
              </w:rPr>
              <w:t xml:space="preserve">            </w:t>
            </w:r>
            <w:r w:rsidR="0070078C">
              <w:rPr>
                <w:sz w:val="18"/>
                <w:szCs w:val="18"/>
              </w:rPr>
              <w:t xml:space="preserve">              -</w:t>
            </w:r>
            <w:r>
              <w:rPr>
                <w:i/>
                <w:iCs/>
                <w:sz w:val="18"/>
                <w:szCs w:val="18"/>
              </w:rPr>
              <w:t xml:space="preserve"> </w:t>
            </w:r>
          </w:p>
        </w:tc>
        <w:tc>
          <w:tcPr>
            <w:tcW w:w="1169" w:type="dxa"/>
            <w:tcBorders>
              <w:top w:val="nil"/>
              <w:left w:val="nil"/>
              <w:bottom w:val="single" w:sz="4" w:space="0" w:color="auto"/>
              <w:right w:val="single" w:sz="4" w:space="0" w:color="auto"/>
            </w:tcBorders>
            <w:shd w:val="clear" w:color="auto" w:fill="auto"/>
            <w:vAlign w:val="bottom"/>
            <w:hideMark/>
          </w:tcPr>
          <w:p w14:paraId="4F52D96C" w14:textId="77777777" w:rsidR="00D61473" w:rsidRDefault="00D61473" w:rsidP="0070078C">
            <w:pPr>
              <w:jc w:val="right"/>
              <w:rPr>
                <w:i/>
                <w:iCs/>
                <w:sz w:val="18"/>
                <w:szCs w:val="18"/>
              </w:rPr>
            </w:pPr>
            <w:r>
              <w:rPr>
                <w:i/>
                <w:iCs/>
                <w:sz w:val="18"/>
                <w:szCs w:val="18"/>
              </w:rPr>
              <w:t xml:space="preserve">          </w:t>
            </w:r>
            <w:r w:rsidR="003A1D20">
              <w:rPr>
                <w:i/>
                <w:iCs/>
                <w:sz w:val="18"/>
                <w:szCs w:val="18"/>
              </w:rPr>
              <w:t>7</w:t>
            </w:r>
            <w:r>
              <w:rPr>
                <w:i/>
                <w:iCs/>
                <w:sz w:val="18"/>
                <w:szCs w:val="18"/>
              </w:rPr>
              <w:t xml:space="preserve">.0 </w:t>
            </w:r>
          </w:p>
        </w:tc>
        <w:tc>
          <w:tcPr>
            <w:tcW w:w="989" w:type="dxa"/>
            <w:tcBorders>
              <w:top w:val="nil"/>
              <w:left w:val="nil"/>
              <w:bottom w:val="single" w:sz="4" w:space="0" w:color="auto"/>
              <w:right w:val="single" w:sz="4" w:space="0" w:color="auto"/>
            </w:tcBorders>
            <w:shd w:val="clear" w:color="auto" w:fill="auto"/>
            <w:vAlign w:val="bottom"/>
            <w:hideMark/>
          </w:tcPr>
          <w:p w14:paraId="386BE99D" w14:textId="77777777" w:rsidR="00D61473" w:rsidRDefault="00D61473" w:rsidP="0070078C">
            <w:pPr>
              <w:jc w:val="right"/>
              <w:rPr>
                <w:i/>
                <w:iCs/>
                <w:sz w:val="18"/>
                <w:szCs w:val="18"/>
              </w:rPr>
            </w:pPr>
            <w:r>
              <w:rPr>
                <w:i/>
                <w:iCs/>
                <w:sz w:val="18"/>
                <w:szCs w:val="18"/>
              </w:rPr>
              <w:t xml:space="preserve">            </w:t>
            </w:r>
            <w:r w:rsidR="0070078C">
              <w:rPr>
                <w:i/>
                <w:iCs/>
                <w:sz w:val="18"/>
                <w:szCs w:val="18"/>
              </w:rPr>
              <w:t>4</w:t>
            </w:r>
            <w:r>
              <w:rPr>
                <w:i/>
                <w:iCs/>
                <w:sz w:val="18"/>
                <w:szCs w:val="18"/>
              </w:rPr>
              <w:t>.</w:t>
            </w:r>
            <w:r w:rsidR="003A1D20">
              <w:rPr>
                <w:i/>
                <w:iCs/>
                <w:sz w:val="18"/>
                <w:szCs w:val="18"/>
              </w:rPr>
              <w:t xml:space="preserve">0 </w:t>
            </w:r>
          </w:p>
        </w:tc>
        <w:tc>
          <w:tcPr>
            <w:tcW w:w="1170" w:type="dxa"/>
            <w:tcBorders>
              <w:top w:val="nil"/>
              <w:left w:val="nil"/>
              <w:bottom w:val="single" w:sz="4" w:space="0" w:color="auto"/>
              <w:right w:val="single" w:sz="4" w:space="0" w:color="auto"/>
            </w:tcBorders>
            <w:shd w:val="clear" w:color="auto" w:fill="auto"/>
            <w:vAlign w:val="bottom"/>
            <w:hideMark/>
          </w:tcPr>
          <w:p w14:paraId="1EEDFCA9" w14:textId="77777777" w:rsidR="00D61473" w:rsidRDefault="00D61473" w:rsidP="0070078C">
            <w:pPr>
              <w:jc w:val="right"/>
              <w:rPr>
                <w:i/>
                <w:iCs/>
                <w:sz w:val="18"/>
                <w:szCs w:val="18"/>
              </w:rPr>
            </w:pPr>
            <w:r>
              <w:rPr>
                <w:i/>
                <w:iCs/>
                <w:sz w:val="18"/>
                <w:szCs w:val="18"/>
              </w:rPr>
              <w:t xml:space="preserve">          </w:t>
            </w:r>
            <w:r w:rsidR="0070078C">
              <w:rPr>
                <w:i/>
                <w:iCs/>
                <w:sz w:val="18"/>
                <w:szCs w:val="18"/>
              </w:rPr>
              <w:t>11</w:t>
            </w:r>
            <w:r w:rsidR="003A1D20">
              <w:rPr>
                <w:i/>
                <w:iCs/>
                <w:sz w:val="18"/>
                <w:szCs w:val="18"/>
              </w:rPr>
              <w:t>.0</w:t>
            </w:r>
            <w:r>
              <w:rPr>
                <w:i/>
                <w:iCs/>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14:paraId="2B02A3F5" w14:textId="77777777" w:rsidR="00D61473" w:rsidRDefault="00D61473" w:rsidP="00941A3F">
            <w:pPr>
              <w:jc w:val="right"/>
              <w:rPr>
                <w:i/>
                <w:iCs/>
                <w:sz w:val="18"/>
                <w:szCs w:val="18"/>
              </w:rPr>
            </w:pPr>
            <w:r>
              <w:rPr>
                <w:i/>
                <w:iCs/>
                <w:sz w:val="18"/>
                <w:szCs w:val="18"/>
              </w:rPr>
              <w:t>$</w:t>
            </w:r>
            <w:r w:rsidR="00941A3F">
              <w:rPr>
                <w:i/>
                <w:iCs/>
                <w:sz w:val="18"/>
                <w:szCs w:val="18"/>
              </w:rPr>
              <w:t>639</w:t>
            </w:r>
          </w:p>
        </w:tc>
        <w:tc>
          <w:tcPr>
            <w:tcW w:w="815" w:type="dxa"/>
            <w:tcBorders>
              <w:top w:val="nil"/>
              <w:left w:val="nil"/>
              <w:bottom w:val="single" w:sz="4" w:space="0" w:color="auto"/>
              <w:right w:val="single" w:sz="4" w:space="0" w:color="auto"/>
            </w:tcBorders>
            <w:shd w:val="clear" w:color="auto" w:fill="auto"/>
            <w:vAlign w:val="bottom"/>
            <w:hideMark/>
          </w:tcPr>
          <w:p w14:paraId="1F58A933" w14:textId="77777777" w:rsidR="00D61473" w:rsidRDefault="00D61473" w:rsidP="00D61473">
            <w:pPr>
              <w:jc w:val="right"/>
              <w:rPr>
                <w:i/>
                <w:iCs/>
                <w:sz w:val="18"/>
                <w:szCs w:val="18"/>
              </w:rPr>
            </w:pPr>
            <w:r>
              <w:rPr>
                <w:i/>
                <w:iCs/>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275FD009" w14:textId="77777777" w:rsidR="00D61473" w:rsidRDefault="00D61473" w:rsidP="0070078C">
            <w:pPr>
              <w:jc w:val="right"/>
              <w:rPr>
                <w:i/>
                <w:iCs/>
                <w:sz w:val="18"/>
                <w:szCs w:val="18"/>
              </w:rPr>
            </w:pPr>
            <w:r>
              <w:rPr>
                <w:i/>
                <w:iCs/>
                <w:sz w:val="18"/>
                <w:szCs w:val="18"/>
              </w:rPr>
              <w:t>$</w:t>
            </w:r>
            <w:r w:rsidR="0070078C">
              <w:rPr>
                <w:i/>
                <w:iCs/>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21BCC030" w14:textId="77777777" w:rsidR="00D61473" w:rsidRDefault="00D61473" w:rsidP="00D87028">
            <w:pPr>
              <w:jc w:val="right"/>
              <w:rPr>
                <w:i/>
                <w:iCs/>
                <w:sz w:val="18"/>
                <w:szCs w:val="18"/>
              </w:rPr>
            </w:pPr>
            <w:r>
              <w:rPr>
                <w:i/>
                <w:iCs/>
                <w:sz w:val="18"/>
                <w:szCs w:val="18"/>
              </w:rPr>
              <w:t xml:space="preserve">             </w:t>
            </w:r>
            <w:r w:rsidR="00D87028">
              <w:rPr>
                <w:i/>
                <w:iCs/>
                <w:sz w:val="18"/>
                <w:szCs w:val="18"/>
              </w:rPr>
              <w:t>36</w:t>
            </w:r>
          </w:p>
        </w:tc>
        <w:tc>
          <w:tcPr>
            <w:tcW w:w="1170" w:type="dxa"/>
            <w:tcBorders>
              <w:top w:val="nil"/>
              <w:left w:val="nil"/>
              <w:bottom w:val="single" w:sz="4" w:space="0" w:color="auto"/>
              <w:right w:val="single" w:sz="4" w:space="0" w:color="auto"/>
            </w:tcBorders>
            <w:shd w:val="clear" w:color="auto" w:fill="auto"/>
            <w:vAlign w:val="bottom"/>
            <w:hideMark/>
          </w:tcPr>
          <w:p w14:paraId="6125BFE3" w14:textId="77777777" w:rsidR="00D61473" w:rsidRDefault="00D61473" w:rsidP="0070078C">
            <w:pPr>
              <w:jc w:val="right"/>
              <w:rPr>
                <w:i/>
                <w:iCs/>
                <w:sz w:val="18"/>
                <w:szCs w:val="18"/>
              </w:rPr>
            </w:pPr>
            <w:r>
              <w:rPr>
                <w:i/>
                <w:iCs/>
                <w:sz w:val="18"/>
                <w:szCs w:val="18"/>
              </w:rPr>
              <w:t xml:space="preserve">           </w:t>
            </w:r>
            <w:r w:rsidR="0070078C">
              <w:rPr>
                <w:i/>
                <w:iCs/>
                <w:sz w:val="18"/>
                <w:szCs w:val="18"/>
              </w:rPr>
              <w:t>276</w:t>
            </w:r>
          </w:p>
        </w:tc>
        <w:tc>
          <w:tcPr>
            <w:tcW w:w="1085" w:type="dxa"/>
            <w:tcBorders>
              <w:top w:val="nil"/>
              <w:left w:val="nil"/>
              <w:bottom w:val="single" w:sz="4" w:space="0" w:color="auto"/>
              <w:right w:val="single" w:sz="4" w:space="0" w:color="auto"/>
            </w:tcBorders>
            <w:shd w:val="clear" w:color="auto" w:fill="auto"/>
            <w:vAlign w:val="bottom"/>
            <w:hideMark/>
          </w:tcPr>
          <w:p w14:paraId="003F4820" w14:textId="77777777" w:rsidR="00D61473" w:rsidRDefault="00D61473" w:rsidP="00941A3F">
            <w:pPr>
              <w:jc w:val="right"/>
              <w:rPr>
                <w:i/>
                <w:iCs/>
                <w:sz w:val="18"/>
                <w:szCs w:val="18"/>
              </w:rPr>
            </w:pPr>
            <w:r>
              <w:rPr>
                <w:i/>
                <w:iCs/>
                <w:sz w:val="18"/>
                <w:szCs w:val="18"/>
              </w:rPr>
              <w:t>$</w:t>
            </w:r>
            <w:r w:rsidR="00941A3F">
              <w:rPr>
                <w:i/>
                <w:iCs/>
                <w:sz w:val="18"/>
                <w:szCs w:val="18"/>
              </w:rPr>
              <w:t>16,212</w:t>
            </w:r>
          </w:p>
        </w:tc>
      </w:tr>
      <w:tr w:rsidR="00D61473" w14:paraId="69D902F1" w14:textId="77777777" w:rsidTr="00D61473">
        <w:trPr>
          <w:trHeight w:val="288"/>
          <w:jc w:val="center"/>
        </w:trPr>
        <w:tc>
          <w:tcPr>
            <w:tcW w:w="13230"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2CEF0D2B" w14:textId="77777777" w:rsidR="00D61473" w:rsidRDefault="00D61473" w:rsidP="00D61473">
            <w:pPr>
              <w:rPr>
                <w:b/>
                <w:bCs/>
                <w:sz w:val="18"/>
                <w:szCs w:val="18"/>
              </w:rPr>
            </w:pPr>
            <w:r>
              <w:rPr>
                <w:b/>
                <w:bCs/>
                <w:sz w:val="18"/>
                <w:szCs w:val="18"/>
              </w:rPr>
              <w:t>Adding Third-Party Partners and Products</w:t>
            </w:r>
          </w:p>
        </w:tc>
      </w:tr>
      <w:tr w:rsidR="00D61473" w14:paraId="63EC9C07" w14:textId="77777777" w:rsidTr="00260237">
        <w:trPr>
          <w:trHeight w:val="492"/>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4552BF2D" w14:textId="77777777" w:rsidR="00D61473" w:rsidRDefault="00D61473">
            <w:pPr>
              <w:rPr>
                <w:sz w:val="18"/>
                <w:szCs w:val="18"/>
              </w:rPr>
            </w:pPr>
            <w:r>
              <w:rPr>
                <w:sz w:val="18"/>
                <w:szCs w:val="18"/>
              </w:rPr>
              <w:t>Review program information</w:t>
            </w:r>
          </w:p>
        </w:tc>
        <w:tc>
          <w:tcPr>
            <w:tcW w:w="1167" w:type="dxa"/>
            <w:tcBorders>
              <w:top w:val="nil"/>
              <w:left w:val="nil"/>
              <w:bottom w:val="single" w:sz="4" w:space="0" w:color="auto"/>
              <w:right w:val="single" w:sz="4" w:space="0" w:color="auto"/>
            </w:tcBorders>
            <w:shd w:val="clear" w:color="auto" w:fill="auto"/>
            <w:vAlign w:val="bottom"/>
            <w:hideMark/>
          </w:tcPr>
          <w:p w14:paraId="127D0335" w14:textId="77777777" w:rsidR="00D61473" w:rsidRDefault="00D61473" w:rsidP="00D61473">
            <w:pPr>
              <w:jc w:val="right"/>
              <w:rPr>
                <w:sz w:val="18"/>
                <w:szCs w:val="18"/>
              </w:rPr>
            </w:pPr>
            <w:r>
              <w:rPr>
                <w:sz w:val="18"/>
                <w:szCs w:val="18"/>
              </w:rPr>
              <w:t xml:space="preserve">             1.0 </w:t>
            </w:r>
          </w:p>
        </w:tc>
        <w:tc>
          <w:tcPr>
            <w:tcW w:w="1169" w:type="dxa"/>
            <w:tcBorders>
              <w:top w:val="nil"/>
              <w:left w:val="nil"/>
              <w:bottom w:val="single" w:sz="4" w:space="0" w:color="auto"/>
              <w:right w:val="single" w:sz="4" w:space="0" w:color="auto"/>
            </w:tcBorders>
            <w:shd w:val="clear" w:color="auto" w:fill="auto"/>
            <w:vAlign w:val="bottom"/>
            <w:hideMark/>
          </w:tcPr>
          <w:p w14:paraId="60F0C445" w14:textId="77777777" w:rsidR="00D61473" w:rsidRDefault="00D61473" w:rsidP="00D61473">
            <w:pPr>
              <w:jc w:val="right"/>
              <w:rPr>
                <w:sz w:val="18"/>
                <w:szCs w:val="18"/>
              </w:rPr>
            </w:pPr>
            <w:r>
              <w:rPr>
                <w:sz w:val="18"/>
                <w:szCs w:val="18"/>
              </w:rPr>
              <w:t xml:space="preserve">             1.0 </w:t>
            </w:r>
          </w:p>
        </w:tc>
        <w:tc>
          <w:tcPr>
            <w:tcW w:w="989" w:type="dxa"/>
            <w:tcBorders>
              <w:top w:val="nil"/>
              <w:left w:val="nil"/>
              <w:bottom w:val="single" w:sz="4" w:space="0" w:color="auto"/>
              <w:right w:val="single" w:sz="4" w:space="0" w:color="auto"/>
            </w:tcBorders>
            <w:shd w:val="clear" w:color="auto" w:fill="auto"/>
            <w:vAlign w:val="bottom"/>
            <w:hideMark/>
          </w:tcPr>
          <w:p w14:paraId="0FA677DE" w14:textId="77777777" w:rsidR="00D61473" w:rsidRDefault="00D61473" w:rsidP="00D61473">
            <w:pPr>
              <w:jc w:val="right"/>
              <w:rPr>
                <w:sz w:val="18"/>
                <w:szCs w:val="18"/>
              </w:rPr>
            </w:pPr>
            <w:r>
              <w:rPr>
                <w:sz w:val="18"/>
                <w:szCs w:val="18"/>
              </w:rPr>
              <w:t xml:space="preserve">              -   </w:t>
            </w:r>
          </w:p>
        </w:tc>
        <w:tc>
          <w:tcPr>
            <w:tcW w:w="1170" w:type="dxa"/>
            <w:tcBorders>
              <w:top w:val="nil"/>
              <w:left w:val="nil"/>
              <w:bottom w:val="single" w:sz="4" w:space="0" w:color="auto"/>
              <w:right w:val="single" w:sz="4" w:space="0" w:color="auto"/>
            </w:tcBorders>
            <w:shd w:val="clear" w:color="auto" w:fill="auto"/>
            <w:vAlign w:val="bottom"/>
            <w:hideMark/>
          </w:tcPr>
          <w:p w14:paraId="0051293D" w14:textId="77777777" w:rsidR="00D61473" w:rsidRDefault="00D61473" w:rsidP="00D61473">
            <w:pPr>
              <w:jc w:val="right"/>
              <w:rPr>
                <w:sz w:val="18"/>
                <w:szCs w:val="18"/>
              </w:rPr>
            </w:pPr>
            <w:r>
              <w:rPr>
                <w:sz w:val="18"/>
                <w:szCs w:val="18"/>
              </w:rPr>
              <w:t xml:space="preserve">             2.0 </w:t>
            </w:r>
          </w:p>
        </w:tc>
        <w:tc>
          <w:tcPr>
            <w:tcW w:w="1080" w:type="dxa"/>
            <w:tcBorders>
              <w:top w:val="nil"/>
              <w:left w:val="nil"/>
              <w:bottom w:val="single" w:sz="4" w:space="0" w:color="auto"/>
              <w:right w:val="single" w:sz="4" w:space="0" w:color="auto"/>
            </w:tcBorders>
            <w:shd w:val="clear" w:color="auto" w:fill="auto"/>
            <w:vAlign w:val="bottom"/>
            <w:hideMark/>
          </w:tcPr>
          <w:p w14:paraId="44A7B55E" w14:textId="77777777" w:rsidR="00D61473" w:rsidRDefault="00D61473" w:rsidP="00941A3F">
            <w:pPr>
              <w:jc w:val="right"/>
              <w:rPr>
                <w:sz w:val="18"/>
                <w:szCs w:val="18"/>
              </w:rPr>
            </w:pPr>
            <w:r>
              <w:rPr>
                <w:sz w:val="18"/>
                <w:szCs w:val="18"/>
              </w:rPr>
              <w:t>$</w:t>
            </w:r>
            <w:r w:rsidR="00941A3F">
              <w:rPr>
                <w:sz w:val="18"/>
                <w:szCs w:val="18"/>
              </w:rPr>
              <w:t>156</w:t>
            </w:r>
          </w:p>
        </w:tc>
        <w:tc>
          <w:tcPr>
            <w:tcW w:w="815" w:type="dxa"/>
            <w:tcBorders>
              <w:top w:val="nil"/>
              <w:left w:val="nil"/>
              <w:bottom w:val="single" w:sz="4" w:space="0" w:color="auto"/>
              <w:right w:val="single" w:sz="4" w:space="0" w:color="auto"/>
            </w:tcBorders>
            <w:shd w:val="clear" w:color="auto" w:fill="auto"/>
            <w:vAlign w:val="bottom"/>
            <w:hideMark/>
          </w:tcPr>
          <w:p w14:paraId="70E5B76E"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37BAEED9" w14:textId="77777777" w:rsidR="00D61473" w:rsidRDefault="00D61473"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1969C64A" w14:textId="77777777" w:rsidR="00D61473" w:rsidRDefault="00D61473" w:rsidP="003A1D20">
            <w:pPr>
              <w:jc w:val="right"/>
              <w:rPr>
                <w:sz w:val="18"/>
                <w:szCs w:val="18"/>
              </w:rPr>
            </w:pPr>
            <w:r>
              <w:rPr>
                <w:sz w:val="18"/>
                <w:szCs w:val="18"/>
              </w:rPr>
              <w:t xml:space="preserve">              </w:t>
            </w:r>
            <w:r w:rsidR="003A1D20">
              <w:rPr>
                <w:sz w:val="18"/>
                <w:szCs w:val="18"/>
              </w:rPr>
              <w:t>77</w:t>
            </w:r>
          </w:p>
        </w:tc>
        <w:tc>
          <w:tcPr>
            <w:tcW w:w="1170" w:type="dxa"/>
            <w:tcBorders>
              <w:top w:val="nil"/>
              <w:left w:val="nil"/>
              <w:bottom w:val="single" w:sz="4" w:space="0" w:color="auto"/>
              <w:right w:val="single" w:sz="4" w:space="0" w:color="auto"/>
            </w:tcBorders>
            <w:shd w:val="clear" w:color="auto" w:fill="auto"/>
            <w:vAlign w:val="bottom"/>
            <w:hideMark/>
          </w:tcPr>
          <w:p w14:paraId="09E8B4FE" w14:textId="77777777" w:rsidR="00D61473" w:rsidRDefault="00D61473" w:rsidP="0070078C">
            <w:pPr>
              <w:jc w:val="right"/>
              <w:rPr>
                <w:sz w:val="18"/>
                <w:szCs w:val="18"/>
              </w:rPr>
            </w:pPr>
            <w:r>
              <w:rPr>
                <w:sz w:val="18"/>
                <w:szCs w:val="18"/>
              </w:rPr>
              <w:t xml:space="preserve">              </w:t>
            </w:r>
            <w:r w:rsidR="0070078C">
              <w:rPr>
                <w:sz w:val="18"/>
                <w:szCs w:val="18"/>
              </w:rPr>
              <w:t xml:space="preserve">154 </w:t>
            </w:r>
          </w:p>
        </w:tc>
        <w:tc>
          <w:tcPr>
            <w:tcW w:w="1085" w:type="dxa"/>
            <w:tcBorders>
              <w:top w:val="nil"/>
              <w:left w:val="nil"/>
              <w:bottom w:val="single" w:sz="4" w:space="0" w:color="auto"/>
              <w:right w:val="single" w:sz="4" w:space="0" w:color="auto"/>
            </w:tcBorders>
            <w:shd w:val="clear" w:color="auto" w:fill="auto"/>
            <w:vAlign w:val="bottom"/>
            <w:hideMark/>
          </w:tcPr>
          <w:p w14:paraId="3F7418EA" w14:textId="77777777" w:rsidR="00D61473" w:rsidRDefault="00D61473" w:rsidP="00941A3F">
            <w:pPr>
              <w:jc w:val="right"/>
              <w:rPr>
                <w:sz w:val="18"/>
                <w:szCs w:val="18"/>
              </w:rPr>
            </w:pPr>
            <w:r>
              <w:rPr>
                <w:sz w:val="18"/>
                <w:szCs w:val="18"/>
              </w:rPr>
              <w:t>$</w:t>
            </w:r>
            <w:r w:rsidR="00941A3F">
              <w:rPr>
                <w:sz w:val="18"/>
                <w:szCs w:val="18"/>
              </w:rPr>
              <w:t>12,012</w:t>
            </w:r>
          </w:p>
        </w:tc>
      </w:tr>
      <w:tr w:rsidR="00D61473" w14:paraId="455CE6C3" w14:textId="77777777" w:rsidTr="00260237">
        <w:trPr>
          <w:trHeight w:val="528"/>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072A9C47" w14:textId="77777777" w:rsidR="00D61473" w:rsidRDefault="00D61473" w:rsidP="009D726C">
            <w:pPr>
              <w:rPr>
                <w:sz w:val="18"/>
                <w:szCs w:val="18"/>
              </w:rPr>
            </w:pPr>
            <w:r>
              <w:rPr>
                <w:sz w:val="18"/>
                <w:szCs w:val="18"/>
              </w:rPr>
              <w:t xml:space="preserve">Fill out and submit </w:t>
            </w:r>
            <w:r w:rsidR="00360C70">
              <w:rPr>
                <w:sz w:val="18"/>
                <w:szCs w:val="18"/>
              </w:rPr>
              <w:t>form for adding third-party partners and products</w:t>
            </w:r>
          </w:p>
        </w:tc>
        <w:tc>
          <w:tcPr>
            <w:tcW w:w="1167" w:type="dxa"/>
            <w:tcBorders>
              <w:top w:val="nil"/>
              <w:left w:val="nil"/>
              <w:bottom w:val="single" w:sz="4" w:space="0" w:color="auto"/>
              <w:right w:val="single" w:sz="4" w:space="0" w:color="auto"/>
            </w:tcBorders>
            <w:shd w:val="clear" w:color="auto" w:fill="auto"/>
            <w:vAlign w:val="bottom"/>
            <w:hideMark/>
          </w:tcPr>
          <w:p w14:paraId="08B9FA35" w14:textId="77777777" w:rsidR="00D61473" w:rsidRDefault="00D61473" w:rsidP="00D61473">
            <w:pPr>
              <w:jc w:val="right"/>
              <w:rPr>
                <w:sz w:val="18"/>
                <w:szCs w:val="18"/>
              </w:rPr>
            </w:pPr>
            <w:r>
              <w:rPr>
                <w:sz w:val="18"/>
                <w:szCs w:val="18"/>
              </w:rPr>
              <w:t xml:space="preserve">              -   </w:t>
            </w:r>
          </w:p>
        </w:tc>
        <w:tc>
          <w:tcPr>
            <w:tcW w:w="1169" w:type="dxa"/>
            <w:tcBorders>
              <w:top w:val="nil"/>
              <w:left w:val="nil"/>
              <w:bottom w:val="single" w:sz="4" w:space="0" w:color="auto"/>
              <w:right w:val="single" w:sz="4" w:space="0" w:color="auto"/>
            </w:tcBorders>
            <w:shd w:val="clear" w:color="auto" w:fill="auto"/>
            <w:vAlign w:val="bottom"/>
            <w:hideMark/>
          </w:tcPr>
          <w:p w14:paraId="61C06F63" w14:textId="77777777" w:rsidR="00D61473" w:rsidRDefault="00D61473" w:rsidP="00D87028">
            <w:pPr>
              <w:jc w:val="right"/>
              <w:rPr>
                <w:sz w:val="18"/>
                <w:szCs w:val="18"/>
              </w:rPr>
            </w:pPr>
            <w:r>
              <w:rPr>
                <w:sz w:val="18"/>
                <w:szCs w:val="18"/>
              </w:rPr>
              <w:t xml:space="preserve">             </w:t>
            </w:r>
            <w:r w:rsidR="00D87028">
              <w:rPr>
                <w:sz w:val="18"/>
                <w:szCs w:val="18"/>
              </w:rPr>
              <w:t>4.5</w:t>
            </w:r>
            <w:r>
              <w:rPr>
                <w:sz w:val="18"/>
                <w:szCs w:val="18"/>
              </w:rPr>
              <w:t xml:space="preserve"> </w:t>
            </w:r>
          </w:p>
        </w:tc>
        <w:tc>
          <w:tcPr>
            <w:tcW w:w="989" w:type="dxa"/>
            <w:tcBorders>
              <w:top w:val="nil"/>
              <w:left w:val="nil"/>
              <w:bottom w:val="single" w:sz="4" w:space="0" w:color="auto"/>
              <w:right w:val="single" w:sz="4" w:space="0" w:color="auto"/>
            </w:tcBorders>
            <w:shd w:val="clear" w:color="auto" w:fill="auto"/>
            <w:vAlign w:val="bottom"/>
            <w:hideMark/>
          </w:tcPr>
          <w:p w14:paraId="2E7E0248" w14:textId="77777777" w:rsidR="00D61473" w:rsidRDefault="00D61473" w:rsidP="00D61473">
            <w:pPr>
              <w:jc w:val="right"/>
              <w:rPr>
                <w:sz w:val="18"/>
                <w:szCs w:val="18"/>
              </w:rPr>
            </w:pPr>
            <w:r>
              <w:rPr>
                <w:sz w:val="18"/>
                <w:szCs w:val="18"/>
              </w:rPr>
              <w:t xml:space="preserve">             1.5 </w:t>
            </w:r>
          </w:p>
        </w:tc>
        <w:tc>
          <w:tcPr>
            <w:tcW w:w="1170" w:type="dxa"/>
            <w:tcBorders>
              <w:top w:val="nil"/>
              <w:left w:val="nil"/>
              <w:bottom w:val="single" w:sz="4" w:space="0" w:color="auto"/>
              <w:right w:val="single" w:sz="4" w:space="0" w:color="auto"/>
            </w:tcBorders>
            <w:shd w:val="clear" w:color="auto" w:fill="auto"/>
            <w:vAlign w:val="bottom"/>
            <w:hideMark/>
          </w:tcPr>
          <w:p w14:paraId="332A4B6A" w14:textId="77777777" w:rsidR="00D61473" w:rsidRDefault="00D61473" w:rsidP="00D61473">
            <w:pPr>
              <w:jc w:val="right"/>
              <w:rPr>
                <w:sz w:val="18"/>
                <w:szCs w:val="18"/>
              </w:rPr>
            </w:pPr>
            <w:r>
              <w:rPr>
                <w:sz w:val="18"/>
                <w:szCs w:val="18"/>
              </w:rPr>
              <w:t xml:space="preserve">             </w:t>
            </w:r>
            <w:r w:rsidR="00D87028">
              <w:rPr>
                <w:sz w:val="18"/>
                <w:szCs w:val="18"/>
              </w:rPr>
              <w:t>6.0</w:t>
            </w:r>
            <w:r>
              <w:rPr>
                <w:sz w:val="18"/>
                <w:szCs w:val="18"/>
              </w:rPr>
              <w:t xml:space="preserve"> </w:t>
            </w:r>
          </w:p>
        </w:tc>
        <w:tc>
          <w:tcPr>
            <w:tcW w:w="1080" w:type="dxa"/>
            <w:tcBorders>
              <w:top w:val="nil"/>
              <w:left w:val="nil"/>
              <w:bottom w:val="single" w:sz="4" w:space="0" w:color="auto"/>
              <w:right w:val="single" w:sz="4" w:space="0" w:color="auto"/>
            </w:tcBorders>
            <w:shd w:val="clear" w:color="auto" w:fill="auto"/>
            <w:vAlign w:val="bottom"/>
            <w:hideMark/>
          </w:tcPr>
          <w:p w14:paraId="789BF161" w14:textId="77777777" w:rsidR="00D61473" w:rsidRDefault="00D61473" w:rsidP="00941A3F">
            <w:pPr>
              <w:jc w:val="right"/>
              <w:rPr>
                <w:sz w:val="18"/>
                <w:szCs w:val="18"/>
              </w:rPr>
            </w:pPr>
            <w:r>
              <w:rPr>
                <w:sz w:val="18"/>
                <w:szCs w:val="18"/>
              </w:rPr>
              <w:t>$</w:t>
            </w:r>
            <w:r w:rsidR="00941A3F">
              <w:rPr>
                <w:sz w:val="18"/>
                <w:szCs w:val="18"/>
              </w:rPr>
              <w:t>377</w:t>
            </w:r>
          </w:p>
        </w:tc>
        <w:tc>
          <w:tcPr>
            <w:tcW w:w="815" w:type="dxa"/>
            <w:tcBorders>
              <w:top w:val="nil"/>
              <w:left w:val="nil"/>
              <w:bottom w:val="single" w:sz="4" w:space="0" w:color="auto"/>
              <w:right w:val="single" w:sz="4" w:space="0" w:color="auto"/>
            </w:tcBorders>
            <w:shd w:val="clear" w:color="auto" w:fill="auto"/>
            <w:vAlign w:val="bottom"/>
            <w:hideMark/>
          </w:tcPr>
          <w:p w14:paraId="11880835" w14:textId="77777777" w:rsidR="00D61473" w:rsidRDefault="00D61473" w:rsidP="00D61473">
            <w:pPr>
              <w:jc w:val="right"/>
              <w:rPr>
                <w:sz w:val="18"/>
                <w:szCs w:val="18"/>
              </w:rPr>
            </w:pPr>
            <w:r>
              <w:rPr>
                <w:sz w:val="18"/>
                <w:szCs w:val="18"/>
              </w:rPr>
              <w:t>$0</w:t>
            </w:r>
          </w:p>
        </w:tc>
        <w:tc>
          <w:tcPr>
            <w:tcW w:w="810" w:type="dxa"/>
            <w:tcBorders>
              <w:top w:val="nil"/>
              <w:left w:val="nil"/>
              <w:bottom w:val="single" w:sz="4" w:space="0" w:color="auto"/>
              <w:right w:val="single" w:sz="4" w:space="0" w:color="auto"/>
            </w:tcBorders>
            <w:shd w:val="clear" w:color="auto" w:fill="auto"/>
            <w:vAlign w:val="bottom"/>
            <w:hideMark/>
          </w:tcPr>
          <w:p w14:paraId="2AAF975F" w14:textId="77777777" w:rsidR="00D61473" w:rsidRDefault="00D61473" w:rsidP="00D61473">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2D4EE13E" w14:textId="77777777" w:rsidR="00D61473" w:rsidRDefault="00D61473" w:rsidP="00D61473">
            <w:pPr>
              <w:jc w:val="right"/>
              <w:rPr>
                <w:sz w:val="18"/>
                <w:szCs w:val="18"/>
              </w:rPr>
            </w:pPr>
            <w:r>
              <w:rPr>
                <w:sz w:val="18"/>
                <w:szCs w:val="18"/>
              </w:rPr>
              <w:t xml:space="preserve">              </w:t>
            </w:r>
            <w:r w:rsidR="003A1D20">
              <w:rPr>
                <w:sz w:val="18"/>
                <w:szCs w:val="18"/>
              </w:rPr>
              <w:t>77</w:t>
            </w:r>
            <w:r>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4623D72C" w14:textId="77777777" w:rsidR="00D61473" w:rsidRDefault="00D87028" w:rsidP="00D61473">
            <w:pPr>
              <w:jc w:val="right"/>
              <w:rPr>
                <w:sz w:val="18"/>
                <w:szCs w:val="18"/>
              </w:rPr>
            </w:pPr>
            <w:r>
              <w:rPr>
                <w:sz w:val="18"/>
                <w:szCs w:val="18"/>
              </w:rPr>
              <w:t>462</w:t>
            </w:r>
            <w:r w:rsidR="00D61473">
              <w:rPr>
                <w:sz w:val="18"/>
                <w:szCs w:val="18"/>
              </w:rPr>
              <w:t xml:space="preserve"> </w:t>
            </w:r>
          </w:p>
        </w:tc>
        <w:tc>
          <w:tcPr>
            <w:tcW w:w="1085" w:type="dxa"/>
            <w:tcBorders>
              <w:top w:val="nil"/>
              <w:left w:val="nil"/>
              <w:bottom w:val="single" w:sz="4" w:space="0" w:color="auto"/>
              <w:right w:val="single" w:sz="4" w:space="0" w:color="auto"/>
            </w:tcBorders>
            <w:shd w:val="clear" w:color="auto" w:fill="auto"/>
            <w:vAlign w:val="bottom"/>
            <w:hideMark/>
          </w:tcPr>
          <w:p w14:paraId="6802900B" w14:textId="77777777" w:rsidR="00D61473" w:rsidRDefault="00D61473" w:rsidP="00941A3F">
            <w:pPr>
              <w:jc w:val="right"/>
              <w:rPr>
                <w:sz w:val="18"/>
                <w:szCs w:val="18"/>
              </w:rPr>
            </w:pPr>
            <w:r>
              <w:rPr>
                <w:sz w:val="18"/>
                <w:szCs w:val="18"/>
              </w:rPr>
              <w:t>$</w:t>
            </w:r>
            <w:r w:rsidR="00941A3F">
              <w:rPr>
                <w:sz w:val="18"/>
                <w:szCs w:val="18"/>
              </w:rPr>
              <w:t>28,991</w:t>
            </w:r>
          </w:p>
        </w:tc>
      </w:tr>
      <w:tr w:rsidR="00D61473" w14:paraId="0509E39F" w14:textId="77777777" w:rsidTr="00260237">
        <w:trPr>
          <w:trHeight w:val="300"/>
          <w:jc w:val="center"/>
        </w:trPr>
        <w:tc>
          <w:tcPr>
            <w:tcW w:w="2695" w:type="dxa"/>
            <w:tcBorders>
              <w:top w:val="nil"/>
              <w:left w:val="single" w:sz="4" w:space="0" w:color="auto"/>
              <w:bottom w:val="double" w:sz="6" w:space="0" w:color="auto"/>
              <w:right w:val="single" w:sz="4" w:space="0" w:color="auto"/>
            </w:tcBorders>
            <w:shd w:val="clear" w:color="auto" w:fill="auto"/>
            <w:vAlign w:val="center"/>
            <w:hideMark/>
          </w:tcPr>
          <w:p w14:paraId="180DAED8" w14:textId="77777777" w:rsidR="00D61473" w:rsidRDefault="00D61473" w:rsidP="00D61473">
            <w:pPr>
              <w:rPr>
                <w:i/>
                <w:iCs/>
                <w:sz w:val="18"/>
                <w:szCs w:val="18"/>
              </w:rPr>
            </w:pPr>
            <w:r>
              <w:rPr>
                <w:i/>
                <w:iCs/>
                <w:sz w:val="18"/>
                <w:szCs w:val="18"/>
              </w:rPr>
              <w:t>Subtotal</w:t>
            </w:r>
          </w:p>
        </w:tc>
        <w:tc>
          <w:tcPr>
            <w:tcW w:w="1167" w:type="dxa"/>
            <w:tcBorders>
              <w:top w:val="nil"/>
              <w:left w:val="nil"/>
              <w:bottom w:val="double" w:sz="6" w:space="0" w:color="auto"/>
              <w:right w:val="single" w:sz="4" w:space="0" w:color="auto"/>
            </w:tcBorders>
            <w:shd w:val="clear" w:color="auto" w:fill="auto"/>
            <w:vAlign w:val="bottom"/>
            <w:hideMark/>
          </w:tcPr>
          <w:p w14:paraId="5FF94C70" w14:textId="77777777" w:rsidR="00D61473" w:rsidRDefault="00D61473" w:rsidP="00D61473">
            <w:pPr>
              <w:jc w:val="right"/>
              <w:rPr>
                <w:i/>
                <w:iCs/>
                <w:sz w:val="18"/>
                <w:szCs w:val="18"/>
              </w:rPr>
            </w:pPr>
            <w:r>
              <w:rPr>
                <w:i/>
                <w:iCs/>
                <w:sz w:val="18"/>
                <w:szCs w:val="18"/>
              </w:rPr>
              <w:t xml:space="preserve">            1.0 </w:t>
            </w:r>
          </w:p>
        </w:tc>
        <w:tc>
          <w:tcPr>
            <w:tcW w:w="1169" w:type="dxa"/>
            <w:tcBorders>
              <w:top w:val="nil"/>
              <w:left w:val="nil"/>
              <w:bottom w:val="double" w:sz="6" w:space="0" w:color="auto"/>
              <w:right w:val="single" w:sz="4" w:space="0" w:color="auto"/>
            </w:tcBorders>
            <w:shd w:val="clear" w:color="auto" w:fill="auto"/>
            <w:vAlign w:val="bottom"/>
            <w:hideMark/>
          </w:tcPr>
          <w:p w14:paraId="79F658D3" w14:textId="77777777" w:rsidR="00D61473" w:rsidRDefault="00D61473" w:rsidP="00D87028">
            <w:pPr>
              <w:jc w:val="right"/>
              <w:rPr>
                <w:i/>
                <w:iCs/>
                <w:sz w:val="18"/>
                <w:szCs w:val="18"/>
              </w:rPr>
            </w:pPr>
            <w:r>
              <w:rPr>
                <w:i/>
                <w:iCs/>
                <w:sz w:val="18"/>
                <w:szCs w:val="18"/>
              </w:rPr>
              <w:t xml:space="preserve">            </w:t>
            </w:r>
            <w:r w:rsidR="00D87028">
              <w:rPr>
                <w:i/>
                <w:iCs/>
                <w:sz w:val="18"/>
                <w:szCs w:val="18"/>
              </w:rPr>
              <w:t>5.5</w:t>
            </w:r>
            <w:r>
              <w:rPr>
                <w:i/>
                <w:iCs/>
                <w:sz w:val="18"/>
                <w:szCs w:val="18"/>
              </w:rPr>
              <w:t xml:space="preserve"> </w:t>
            </w:r>
          </w:p>
        </w:tc>
        <w:tc>
          <w:tcPr>
            <w:tcW w:w="989" w:type="dxa"/>
            <w:tcBorders>
              <w:top w:val="nil"/>
              <w:left w:val="nil"/>
              <w:bottom w:val="double" w:sz="6" w:space="0" w:color="auto"/>
              <w:right w:val="single" w:sz="4" w:space="0" w:color="auto"/>
            </w:tcBorders>
            <w:shd w:val="clear" w:color="auto" w:fill="auto"/>
            <w:vAlign w:val="bottom"/>
            <w:hideMark/>
          </w:tcPr>
          <w:p w14:paraId="7ABA8551" w14:textId="77777777" w:rsidR="00D61473" w:rsidRDefault="00D61473" w:rsidP="00D61473">
            <w:pPr>
              <w:jc w:val="right"/>
              <w:rPr>
                <w:i/>
                <w:iCs/>
                <w:sz w:val="18"/>
                <w:szCs w:val="18"/>
              </w:rPr>
            </w:pPr>
            <w:r>
              <w:rPr>
                <w:i/>
                <w:iCs/>
                <w:sz w:val="18"/>
                <w:szCs w:val="18"/>
              </w:rPr>
              <w:t xml:space="preserve">            1.5 </w:t>
            </w:r>
          </w:p>
        </w:tc>
        <w:tc>
          <w:tcPr>
            <w:tcW w:w="1170" w:type="dxa"/>
            <w:tcBorders>
              <w:top w:val="nil"/>
              <w:left w:val="nil"/>
              <w:bottom w:val="double" w:sz="6" w:space="0" w:color="auto"/>
              <w:right w:val="single" w:sz="4" w:space="0" w:color="auto"/>
            </w:tcBorders>
            <w:shd w:val="clear" w:color="auto" w:fill="auto"/>
            <w:vAlign w:val="bottom"/>
            <w:hideMark/>
          </w:tcPr>
          <w:p w14:paraId="60997F91" w14:textId="77777777" w:rsidR="00D61473" w:rsidRDefault="00D61473" w:rsidP="00D87028">
            <w:pPr>
              <w:jc w:val="right"/>
              <w:rPr>
                <w:i/>
                <w:iCs/>
                <w:sz w:val="18"/>
                <w:szCs w:val="18"/>
              </w:rPr>
            </w:pPr>
            <w:r>
              <w:rPr>
                <w:i/>
                <w:iCs/>
                <w:sz w:val="18"/>
                <w:szCs w:val="18"/>
              </w:rPr>
              <w:t xml:space="preserve">            </w:t>
            </w:r>
            <w:r w:rsidR="00D87028">
              <w:rPr>
                <w:i/>
                <w:iCs/>
                <w:sz w:val="18"/>
                <w:szCs w:val="18"/>
              </w:rPr>
              <w:t>8.0</w:t>
            </w:r>
            <w:r>
              <w:rPr>
                <w:i/>
                <w:iCs/>
                <w:sz w:val="18"/>
                <w:szCs w:val="18"/>
              </w:rPr>
              <w:t xml:space="preserve"> </w:t>
            </w:r>
          </w:p>
        </w:tc>
        <w:tc>
          <w:tcPr>
            <w:tcW w:w="1080" w:type="dxa"/>
            <w:tcBorders>
              <w:top w:val="nil"/>
              <w:left w:val="nil"/>
              <w:bottom w:val="double" w:sz="6" w:space="0" w:color="auto"/>
              <w:right w:val="single" w:sz="4" w:space="0" w:color="auto"/>
            </w:tcBorders>
            <w:shd w:val="clear" w:color="auto" w:fill="auto"/>
            <w:vAlign w:val="bottom"/>
            <w:hideMark/>
          </w:tcPr>
          <w:p w14:paraId="7BBFC35A" w14:textId="77777777" w:rsidR="00D61473" w:rsidRDefault="00D61473" w:rsidP="00D87028">
            <w:pPr>
              <w:jc w:val="right"/>
              <w:rPr>
                <w:i/>
                <w:iCs/>
                <w:sz w:val="18"/>
                <w:szCs w:val="18"/>
              </w:rPr>
            </w:pPr>
            <w:r>
              <w:rPr>
                <w:i/>
                <w:iCs/>
                <w:sz w:val="18"/>
                <w:szCs w:val="18"/>
              </w:rPr>
              <w:t>$</w:t>
            </w:r>
            <w:r w:rsidR="00941A3F">
              <w:rPr>
                <w:i/>
                <w:iCs/>
                <w:sz w:val="18"/>
                <w:szCs w:val="18"/>
              </w:rPr>
              <w:t>533</w:t>
            </w:r>
          </w:p>
        </w:tc>
        <w:tc>
          <w:tcPr>
            <w:tcW w:w="815" w:type="dxa"/>
            <w:tcBorders>
              <w:top w:val="nil"/>
              <w:left w:val="nil"/>
              <w:bottom w:val="double" w:sz="6" w:space="0" w:color="auto"/>
              <w:right w:val="single" w:sz="4" w:space="0" w:color="auto"/>
            </w:tcBorders>
            <w:shd w:val="clear" w:color="auto" w:fill="auto"/>
            <w:vAlign w:val="bottom"/>
            <w:hideMark/>
          </w:tcPr>
          <w:p w14:paraId="06B64032" w14:textId="77777777" w:rsidR="00D61473" w:rsidRDefault="00D61473" w:rsidP="00D61473">
            <w:pPr>
              <w:jc w:val="right"/>
              <w:rPr>
                <w:i/>
                <w:iCs/>
                <w:sz w:val="18"/>
                <w:szCs w:val="18"/>
              </w:rPr>
            </w:pPr>
            <w:r>
              <w:rPr>
                <w:i/>
                <w:iCs/>
                <w:sz w:val="18"/>
                <w:szCs w:val="18"/>
              </w:rPr>
              <w:t>$0</w:t>
            </w:r>
          </w:p>
        </w:tc>
        <w:tc>
          <w:tcPr>
            <w:tcW w:w="810" w:type="dxa"/>
            <w:tcBorders>
              <w:top w:val="nil"/>
              <w:left w:val="nil"/>
              <w:bottom w:val="double" w:sz="6" w:space="0" w:color="auto"/>
              <w:right w:val="single" w:sz="4" w:space="0" w:color="auto"/>
            </w:tcBorders>
            <w:shd w:val="clear" w:color="auto" w:fill="auto"/>
            <w:vAlign w:val="bottom"/>
            <w:hideMark/>
          </w:tcPr>
          <w:p w14:paraId="18C9723E" w14:textId="77777777" w:rsidR="00D61473" w:rsidRDefault="00D61473" w:rsidP="00D61473">
            <w:pPr>
              <w:jc w:val="right"/>
              <w:rPr>
                <w:i/>
                <w:iCs/>
                <w:sz w:val="18"/>
                <w:szCs w:val="18"/>
              </w:rPr>
            </w:pPr>
            <w:r>
              <w:rPr>
                <w:i/>
                <w:iCs/>
                <w:sz w:val="18"/>
                <w:szCs w:val="18"/>
              </w:rPr>
              <w:t>$0</w:t>
            </w:r>
          </w:p>
        </w:tc>
        <w:tc>
          <w:tcPr>
            <w:tcW w:w="1080" w:type="dxa"/>
            <w:tcBorders>
              <w:top w:val="nil"/>
              <w:left w:val="nil"/>
              <w:bottom w:val="double" w:sz="6" w:space="0" w:color="auto"/>
              <w:right w:val="single" w:sz="4" w:space="0" w:color="auto"/>
            </w:tcBorders>
            <w:shd w:val="clear" w:color="auto" w:fill="auto"/>
            <w:vAlign w:val="bottom"/>
            <w:hideMark/>
          </w:tcPr>
          <w:p w14:paraId="03307138" w14:textId="77777777" w:rsidR="00D61473" w:rsidRDefault="00D61473" w:rsidP="00D61473">
            <w:pPr>
              <w:jc w:val="right"/>
              <w:rPr>
                <w:i/>
                <w:iCs/>
                <w:sz w:val="18"/>
                <w:szCs w:val="18"/>
              </w:rPr>
            </w:pPr>
            <w:r>
              <w:rPr>
                <w:i/>
                <w:iCs/>
                <w:sz w:val="18"/>
                <w:szCs w:val="18"/>
              </w:rPr>
              <w:t xml:space="preserve">             </w:t>
            </w:r>
            <w:r w:rsidR="003A1D20">
              <w:rPr>
                <w:i/>
                <w:iCs/>
                <w:sz w:val="18"/>
                <w:szCs w:val="18"/>
              </w:rPr>
              <w:t>77</w:t>
            </w:r>
            <w:r>
              <w:rPr>
                <w:i/>
                <w:iCs/>
                <w:sz w:val="18"/>
                <w:szCs w:val="18"/>
              </w:rPr>
              <w:t xml:space="preserve"> </w:t>
            </w:r>
          </w:p>
        </w:tc>
        <w:tc>
          <w:tcPr>
            <w:tcW w:w="1170" w:type="dxa"/>
            <w:tcBorders>
              <w:top w:val="nil"/>
              <w:left w:val="nil"/>
              <w:bottom w:val="double" w:sz="6" w:space="0" w:color="auto"/>
              <w:right w:val="single" w:sz="4" w:space="0" w:color="auto"/>
            </w:tcBorders>
            <w:shd w:val="clear" w:color="auto" w:fill="auto"/>
            <w:vAlign w:val="bottom"/>
            <w:hideMark/>
          </w:tcPr>
          <w:p w14:paraId="747429C3" w14:textId="77777777" w:rsidR="00D61473" w:rsidRDefault="00D61473" w:rsidP="0070078C">
            <w:pPr>
              <w:jc w:val="right"/>
              <w:rPr>
                <w:i/>
                <w:iCs/>
                <w:sz w:val="18"/>
                <w:szCs w:val="18"/>
              </w:rPr>
            </w:pPr>
            <w:r>
              <w:rPr>
                <w:i/>
                <w:iCs/>
                <w:sz w:val="18"/>
                <w:szCs w:val="18"/>
              </w:rPr>
              <w:t xml:space="preserve">           </w:t>
            </w:r>
            <w:r w:rsidR="0070078C">
              <w:rPr>
                <w:i/>
                <w:iCs/>
                <w:sz w:val="18"/>
                <w:szCs w:val="18"/>
              </w:rPr>
              <w:t>6</w:t>
            </w:r>
            <w:r w:rsidR="00D87028">
              <w:rPr>
                <w:i/>
                <w:iCs/>
                <w:sz w:val="18"/>
                <w:szCs w:val="18"/>
              </w:rPr>
              <w:t>16</w:t>
            </w:r>
          </w:p>
        </w:tc>
        <w:tc>
          <w:tcPr>
            <w:tcW w:w="1085" w:type="dxa"/>
            <w:tcBorders>
              <w:top w:val="nil"/>
              <w:left w:val="nil"/>
              <w:bottom w:val="double" w:sz="6" w:space="0" w:color="auto"/>
              <w:right w:val="single" w:sz="4" w:space="0" w:color="auto"/>
            </w:tcBorders>
            <w:shd w:val="clear" w:color="auto" w:fill="auto"/>
            <w:vAlign w:val="bottom"/>
            <w:hideMark/>
          </w:tcPr>
          <w:p w14:paraId="2773156E" w14:textId="77777777" w:rsidR="00D61473" w:rsidRDefault="00D61473" w:rsidP="00941A3F">
            <w:pPr>
              <w:jc w:val="right"/>
              <w:rPr>
                <w:i/>
                <w:iCs/>
                <w:sz w:val="18"/>
                <w:szCs w:val="18"/>
              </w:rPr>
            </w:pPr>
            <w:r>
              <w:rPr>
                <w:i/>
                <w:iCs/>
                <w:sz w:val="18"/>
                <w:szCs w:val="18"/>
              </w:rPr>
              <w:t>$</w:t>
            </w:r>
            <w:r w:rsidR="00941A3F">
              <w:rPr>
                <w:i/>
                <w:iCs/>
                <w:sz w:val="18"/>
                <w:szCs w:val="18"/>
              </w:rPr>
              <w:t>41,003</w:t>
            </w:r>
          </w:p>
        </w:tc>
      </w:tr>
      <w:tr w:rsidR="00D61473" w14:paraId="6F0F67BA" w14:textId="77777777" w:rsidTr="00260237">
        <w:trPr>
          <w:trHeight w:val="300"/>
          <w:jc w:val="center"/>
        </w:trPr>
        <w:tc>
          <w:tcPr>
            <w:tcW w:w="2695" w:type="dxa"/>
            <w:tcBorders>
              <w:top w:val="nil"/>
              <w:left w:val="single" w:sz="4" w:space="0" w:color="auto"/>
              <w:bottom w:val="single" w:sz="4" w:space="0" w:color="auto"/>
              <w:right w:val="nil"/>
            </w:tcBorders>
            <w:shd w:val="clear" w:color="auto" w:fill="auto"/>
            <w:vAlign w:val="center"/>
            <w:hideMark/>
          </w:tcPr>
          <w:p w14:paraId="676E0940" w14:textId="77777777" w:rsidR="00D61473" w:rsidRDefault="00D61473" w:rsidP="00D61473">
            <w:pPr>
              <w:rPr>
                <w:b/>
                <w:bCs/>
                <w:sz w:val="18"/>
                <w:szCs w:val="18"/>
              </w:rPr>
            </w:pPr>
            <w:r>
              <w:rPr>
                <w:b/>
                <w:bCs/>
                <w:sz w:val="18"/>
                <w:szCs w:val="18"/>
              </w:rPr>
              <w:t>TOTAL</w:t>
            </w:r>
          </w:p>
        </w:tc>
        <w:tc>
          <w:tcPr>
            <w:tcW w:w="1167" w:type="dxa"/>
            <w:tcBorders>
              <w:top w:val="nil"/>
              <w:left w:val="single" w:sz="4" w:space="0" w:color="auto"/>
              <w:bottom w:val="single" w:sz="4" w:space="0" w:color="auto"/>
              <w:right w:val="nil"/>
            </w:tcBorders>
            <w:shd w:val="clear" w:color="auto" w:fill="auto"/>
            <w:vAlign w:val="bottom"/>
            <w:hideMark/>
          </w:tcPr>
          <w:p w14:paraId="0365C8D3" w14:textId="77777777" w:rsidR="00D61473" w:rsidRDefault="00D61473">
            <w:pPr>
              <w:rPr>
                <w:b/>
                <w:bCs/>
                <w:i/>
                <w:iCs/>
                <w:sz w:val="18"/>
                <w:szCs w:val="18"/>
              </w:rPr>
            </w:pPr>
            <w:r>
              <w:rPr>
                <w:b/>
                <w:bCs/>
                <w:i/>
                <w:iCs/>
                <w:sz w:val="18"/>
                <w:szCs w:val="18"/>
              </w:rPr>
              <w:t> </w:t>
            </w:r>
          </w:p>
        </w:tc>
        <w:tc>
          <w:tcPr>
            <w:tcW w:w="1169" w:type="dxa"/>
            <w:tcBorders>
              <w:top w:val="nil"/>
              <w:left w:val="nil"/>
              <w:bottom w:val="single" w:sz="4" w:space="0" w:color="auto"/>
              <w:right w:val="nil"/>
            </w:tcBorders>
            <w:shd w:val="clear" w:color="auto" w:fill="auto"/>
            <w:vAlign w:val="bottom"/>
            <w:hideMark/>
          </w:tcPr>
          <w:p w14:paraId="72D601B1" w14:textId="77777777" w:rsidR="00D61473" w:rsidRDefault="00D61473">
            <w:pPr>
              <w:rPr>
                <w:b/>
                <w:bCs/>
                <w:i/>
                <w:iCs/>
                <w:sz w:val="18"/>
                <w:szCs w:val="18"/>
              </w:rPr>
            </w:pPr>
            <w:r>
              <w:rPr>
                <w:b/>
                <w:bCs/>
                <w:i/>
                <w:iCs/>
                <w:sz w:val="18"/>
                <w:szCs w:val="18"/>
              </w:rPr>
              <w:t> </w:t>
            </w:r>
          </w:p>
        </w:tc>
        <w:tc>
          <w:tcPr>
            <w:tcW w:w="989" w:type="dxa"/>
            <w:tcBorders>
              <w:top w:val="nil"/>
              <w:left w:val="nil"/>
              <w:bottom w:val="single" w:sz="4" w:space="0" w:color="auto"/>
              <w:right w:val="nil"/>
            </w:tcBorders>
            <w:shd w:val="clear" w:color="auto" w:fill="auto"/>
            <w:vAlign w:val="bottom"/>
            <w:hideMark/>
          </w:tcPr>
          <w:p w14:paraId="170BE89A" w14:textId="77777777" w:rsidR="00D61473" w:rsidRDefault="00D61473">
            <w:pPr>
              <w:rPr>
                <w:b/>
                <w:bCs/>
                <w:i/>
                <w:iCs/>
                <w:sz w:val="18"/>
                <w:szCs w:val="18"/>
              </w:rPr>
            </w:pPr>
            <w:r>
              <w:rPr>
                <w:b/>
                <w:bCs/>
                <w:i/>
                <w:iCs/>
                <w:sz w:val="18"/>
                <w:szCs w:val="18"/>
              </w:rPr>
              <w:t> </w:t>
            </w:r>
          </w:p>
        </w:tc>
        <w:tc>
          <w:tcPr>
            <w:tcW w:w="1170" w:type="dxa"/>
            <w:tcBorders>
              <w:top w:val="nil"/>
              <w:left w:val="nil"/>
              <w:bottom w:val="single" w:sz="4" w:space="0" w:color="auto"/>
              <w:right w:val="nil"/>
            </w:tcBorders>
            <w:shd w:val="clear" w:color="auto" w:fill="auto"/>
            <w:vAlign w:val="bottom"/>
            <w:hideMark/>
          </w:tcPr>
          <w:p w14:paraId="3EE714D1" w14:textId="77777777" w:rsidR="00D61473" w:rsidRDefault="00D61473">
            <w:pPr>
              <w:rPr>
                <w:b/>
                <w:bCs/>
                <w:i/>
                <w:iCs/>
                <w:sz w:val="18"/>
                <w:szCs w:val="18"/>
              </w:rPr>
            </w:pPr>
            <w:r>
              <w:rPr>
                <w:b/>
                <w:bCs/>
                <w:i/>
                <w:iCs/>
                <w:sz w:val="18"/>
                <w:szCs w:val="18"/>
              </w:rPr>
              <w:t> </w:t>
            </w:r>
          </w:p>
        </w:tc>
        <w:tc>
          <w:tcPr>
            <w:tcW w:w="1080" w:type="dxa"/>
            <w:tcBorders>
              <w:top w:val="nil"/>
              <w:left w:val="nil"/>
              <w:bottom w:val="single" w:sz="4" w:space="0" w:color="auto"/>
              <w:right w:val="nil"/>
            </w:tcBorders>
            <w:shd w:val="clear" w:color="auto" w:fill="auto"/>
            <w:vAlign w:val="bottom"/>
            <w:hideMark/>
          </w:tcPr>
          <w:p w14:paraId="42166A98" w14:textId="77777777" w:rsidR="00D61473" w:rsidRDefault="00D61473">
            <w:pPr>
              <w:rPr>
                <w:b/>
                <w:bCs/>
                <w:i/>
                <w:iCs/>
                <w:sz w:val="18"/>
                <w:szCs w:val="18"/>
              </w:rPr>
            </w:pPr>
            <w:r>
              <w:rPr>
                <w:b/>
                <w:bCs/>
                <w:i/>
                <w:iCs/>
                <w:sz w:val="18"/>
                <w:szCs w:val="18"/>
              </w:rPr>
              <w:t> </w:t>
            </w:r>
          </w:p>
        </w:tc>
        <w:tc>
          <w:tcPr>
            <w:tcW w:w="815" w:type="dxa"/>
            <w:tcBorders>
              <w:top w:val="nil"/>
              <w:left w:val="nil"/>
              <w:bottom w:val="single" w:sz="4" w:space="0" w:color="auto"/>
              <w:right w:val="nil"/>
            </w:tcBorders>
            <w:shd w:val="clear" w:color="auto" w:fill="auto"/>
            <w:vAlign w:val="bottom"/>
            <w:hideMark/>
          </w:tcPr>
          <w:p w14:paraId="71042CCC" w14:textId="77777777" w:rsidR="00D61473" w:rsidRDefault="00D61473">
            <w:pPr>
              <w:rPr>
                <w:b/>
                <w:bCs/>
                <w:i/>
                <w:iCs/>
                <w:sz w:val="18"/>
                <w:szCs w:val="18"/>
              </w:rPr>
            </w:pPr>
            <w:r>
              <w:rPr>
                <w:b/>
                <w:bCs/>
                <w:i/>
                <w:iCs/>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14:paraId="4837774F" w14:textId="77777777" w:rsidR="00D61473" w:rsidRDefault="00D61473">
            <w:pPr>
              <w:rPr>
                <w:b/>
                <w:bCs/>
                <w:i/>
                <w:iCs/>
                <w:sz w:val="18"/>
                <w:szCs w:val="18"/>
              </w:rPr>
            </w:pPr>
            <w:r>
              <w:rPr>
                <w:b/>
                <w:bCs/>
                <w:i/>
                <w:iCs/>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14:paraId="12E8EC71" w14:textId="77777777" w:rsidR="00D61473" w:rsidRDefault="003A1D20" w:rsidP="005A0705">
            <w:pPr>
              <w:jc w:val="right"/>
              <w:rPr>
                <w:b/>
                <w:bCs/>
                <w:i/>
                <w:iCs/>
                <w:sz w:val="18"/>
                <w:szCs w:val="18"/>
              </w:rPr>
            </w:pPr>
            <w:r>
              <w:rPr>
                <w:b/>
                <w:bCs/>
                <w:i/>
                <w:iCs/>
                <w:sz w:val="18"/>
                <w:szCs w:val="18"/>
              </w:rPr>
              <w:t>1</w:t>
            </w:r>
            <w:r w:rsidR="0070078C">
              <w:rPr>
                <w:b/>
                <w:bCs/>
                <w:i/>
                <w:iCs/>
                <w:sz w:val="18"/>
                <w:szCs w:val="18"/>
              </w:rPr>
              <w:t>5</w:t>
            </w:r>
            <w:r w:rsidR="005A0705">
              <w:rPr>
                <w:b/>
                <w:bCs/>
                <w:i/>
                <w:iCs/>
                <w:sz w:val="18"/>
                <w:szCs w:val="18"/>
              </w:rPr>
              <w:t>7</w:t>
            </w:r>
          </w:p>
        </w:tc>
        <w:tc>
          <w:tcPr>
            <w:tcW w:w="1170" w:type="dxa"/>
            <w:tcBorders>
              <w:top w:val="nil"/>
              <w:left w:val="nil"/>
              <w:bottom w:val="single" w:sz="4" w:space="0" w:color="auto"/>
              <w:right w:val="single" w:sz="4" w:space="0" w:color="auto"/>
            </w:tcBorders>
            <w:shd w:val="clear" w:color="auto" w:fill="auto"/>
            <w:vAlign w:val="bottom"/>
            <w:hideMark/>
          </w:tcPr>
          <w:p w14:paraId="0CC35D42" w14:textId="77777777" w:rsidR="00D61473" w:rsidRDefault="0070078C" w:rsidP="00E069B1">
            <w:pPr>
              <w:jc w:val="right"/>
              <w:rPr>
                <w:b/>
                <w:bCs/>
                <w:i/>
                <w:iCs/>
                <w:sz w:val="18"/>
                <w:szCs w:val="18"/>
              </w:rPr>
            </w:pPr>
            <w:r>
              <w:rPr>
                <w:b/>
                <w:bCs/>
                <w:i/>
                <w:iCs/>
                <w:sz w:val="18"/>
                <w:szCs w:val="18"/>
              </w:rPr>
              <w:t>1,5</w:t>
            </w:r>
            <w:r w:rsidR="005A0705">
              <w:rPr>
                <w:b/>
                <w:bCs/>
                <w:i/>
                <w:iCs/>
                <w:sz w:val="18"/>
                <w:szCs w:val="18"/>
              </w:rPr>
              <w:t>96</w:t>
            </w:r>
            <w:r w:rsidR="00D61473">
              <w:rPr>
                <w:b/>
                <w:bCs/>
                <w:i/>
                <w:iCs/>
                <w:sz w:val="18"/>
                <w:szCs w:val="18"/>
              </w:rPr>
              <w:t xml:space="preserve"> </w:t>
            </w:r>
          </w:p>
        </w:tc>
        <w:tc>
          <w:tcPr>
            <w:tcW w:w="1085" w:type="dxa"/>
            <w:tcBorders>
              <w:top w:val="nil"/>
              <w:left w:val="nil"/>
              <w:bottom w:val="single" w:sz="4" w:space="0" w:color="auto"/>
              <w:right w:val="single" w:sz="4" w:space="0" w:color="auto"/>
            </w:tcBorders>
            <w:shd w:val="clear" w:color="auto" w:fill="auto"/>
            <w:vAlign w:val="bottom"/>
            <w:hideMark/>
          </w:tcPr>
          <w:p w14:paraId="3DDD54EA" w14:textId="77777777" w:rsidR="00D61473" w:rsidRDefault="00D61473" w:rsidP="00941A3F">
            <w:pPr>
              <w:jc w:val="right"/>
              <w:rPr>
                <w:b/>
                <w:bCs/>
                <w:i/>
                <w:iCs/>
                <w:sz w:val="18"/>
                <w:szCs w:val="18"/>
              </w:rPr>
            </w:pPr>
            <w:r>
              <w:rPr>
                <w:b/>
                <w:bCs/>
                <w:i/>
                <w:iCs/>
                <w:sz w:val="18"/>
                <w:szCs w:val="18"/>
              </w:rPr>
              <w:t>$</w:t>
            </w:r>
            <w:r w:rsidR="00941A3F">
              <w:rPr>
                <w:b/>
                <w:bCs/>
                <w:i/>
                <w:iCs/>
                <w:sz w:val="18"/>
                <w:szCs w:val="18"/>
              </w:rPr>
              <w:t>652,359</w:t>
            </w:r>
          </w:p>
        </w:tc>
      </w:tr>
    </w:tbl>
    <w:p w14:paraId="3D0B38CA" w14:textId="77777777" w:rsidR="001B7421" w:rsidRPr="00E3118C" w:rsidRDefault="001B7421" w:rsidP="004E7B0B">
      <w:pPr>
        <w:ind w:left="-90" w:right="-90"/>
        <w:rPr>
          <w:rFonts w:cs="Courier"/>
          <w:color w:val="000000"/>
          <w:sz w:val="18"/>
          <w:szCs w:val="18"/>
        </w:rPr>
      </w:pPr>
      <w:r w:rsidRPr="005320B2">
        <w:rPr>
          <w:sz w:val="18"/>
          <w:szCs w:val="18"/>
        </w:rPr>
        <w:t>*</w:t>
      </w:r>
      <w:r w:rsidRPr="005320B2">
        <w:rPr>
          <w:rFonts w:cs="Courier"/>
          <w:color w:val="000000"/>
          <w:sz w:val="18"/>
          <w:szCs w:val="18"/>
        </w:rPr>
        <w:t xml:space="preserve"> The cost for third-party </w:t>
      </w:r>
      <w:r w:rsidR="00F6109C">
        <w:rPr>
          <w:rFonts w:cs="Courier"/>
          <w:color w:val="000000"/>
          <w:sz w:val="18"/>
          <w:szCs w:val="18"/>
        </w:rPr>
        <w:t xml:space="preserve">profiler </w:t>
      </w:r>
      <w:r w:rsidRPr="005320B2">
        <w:rPr>
          <w:rFonts w:cs="Courier"/>
          <w:color w:val="000000"/>
          <w:sz w:val="18"/>
          <w:szCs w:val="18"/>
        </w:rPr>
        <w:t>review and verification assumes that the typical application submitted by a cleaning product manufacturer will contain four products</w:t>
      </w:r>
      <w:r w:rsidR="009D726C">
        <w:rPr>
          <w:rFonts w:cs="Courier"/>
          <w:color w:val="000000"/>
          <w:sz w:val="18"/>
          <w:szCs w:val="18"/>
        </w:rPr>
        <w:t>, each with</w:t>
      </w:r>
      <w:r w:rsidRPr="005320B2">
        <w:rPr>
          <w:rFonts w:cs="Courier"/>
          <w:color w:val="000000"/>
          <w:sz w:val="18"/>
          <w:szCs w:val="18"/>
        </w:rPr>
        <w:t xml:space="preserve"> 2 ingredients </w:t>
      </w:r>
      <w:r w:rsidR="009D726C">
        <w:rPr>
          <w:rFonts w:cs="Courier"/>
          <w:color w:val="000000"/>
          <w:sz w:val="18"/>
          <w:szCs w:val="18"/>
        </w:rPr>
        <w:t>(</w:t>
      </w:r>
      <w:r w:rsidRPr="005320B2">
        <w:rPr>
          <w:rFonts w:cs="Courier"/>
          <w:color w:val="000000"/>
          <w:sz w:val="18"/>
          <w:szCs w:val="18"/>
        </w:rPr>
        <w:t>$</w:t>
      </w:r>
      <w:r w:rsidR="00755DC4">
        <w:rPr>
          <w:rFonts w:cs="Courier"/>
          <w:color w:val="000000"/>
          <w:sz w:val="18"/>
          <w:szCs w:val="18"/>
        </w:rPr>
        <w:t>650</w:t>
      </w:r>
      <w:r w:rsidR="00755DC4" w:rsidRPr="005320B2">
        <w:rPr>
          <w:rFonts w:cs="Courier"/>
          <w:color w:val="000000"/>
          <w:sz w:val="18"/>
          <w:szCs w:val="18"/>
        </w:rPr>
        <w:t xml:space="preserve"> </w:t>
      </w:r>
      <w:r w:rsidRPr="005320B2">
        <w:rPr>
          <w:rFonts w:cs="Courier"/>
          <w:color w:val="000000"/>
          <w:sz w:val="18"/>
          <w:szCs w:val="18"/>
        </w:rPr>
        <w:t>each</w:t>
      </w:r>
      <w:r w:rsidR="009D726C">
        <w:rPr>
          <w:rFonts w:cs="Courier"/>
          <w:color w:val="000000"/>
          <w:sz w:val="18"/>
          <w:szCs w:val="18"/>
        </w:rPr>
        <w:t xml:space="preserve">), </w:t>
      </w:r>
      <w:r w:rsidR="00755DC4">
        <w:rPr>
          <w:rFonts w:cs="Courier"/>
          <w:color w:val="000000"/>
          <w:sz w:val="18"/>
          <w:szCs w:val="18"/>
        </w:rPr>
        <w:t>1</w:t>
      </w:r>
      <w:r w:rsidR="00755DC4" w:rsidRPr="005320B2">
        <w:rPr>
          <w:rFonts w:cs="Courier"/>
          <w:color w:val="000000"/>
          <w:sz w:val="18"/>
          <w:szCs w:val="18"/>
        </w:rPr>
        <w:t xml:space="preserve"> </w:t>
      </w:r>
      <w:r w:rsidRPr="005320B2">
        <w:rPr>
          <w:rFonts w:cs="Courier"/>
          <w:color w:val="000000"/>
          <w:sz w:val="18"/>
          <w:szCs w:val="18"/>
        </w:rPr>
        <w:t xml:space="preserve">proprietary ingredient </w:t>
      </w:r>
      <w:r w:rsidR="009D726C">
        <w:rPr>
          <w:rFonts w:cs="Courier"/>
          <w:color w:val="000000"/>
          <w:sz w:val="18"/>
          <w:szCs w:val="18"/>
        </w:rPr>
        <w:t>(</w:t>
      </w:r>
      <w:r w:rsidRPr="005320B2">
        <w:rPr>
          <w:rFonts w:cs="Courier"/>
          <w:color w:val="000000"/>
          <w:sz w:val="18"/>
          <w:szCs w:val="18"/>
        </w:rPr>
        <w:t>$</w:t>
      </w:r>
      <w:r w:rsidR="00755DC4">
        <w:rPr>
          <w:rFonts w:cs="Courier"/>
          <w:color w:val="000000"/>
          <w:sz w:val="18"/>
          <w:szCs w:val="18"/>
        </w:rPr>
        <w:t>1,300</w:t>
      </w:r>
      <w:r w:rsidR="009D726C">
        <w:rPr>
          <w:rFonts w:cs="Courier"/>
          <w:color w:val="000000"/>
          <w:sz w:val="18"/>
          <w:szCs w:val="18"/>
        </w:rPr>
        <w:t>)</w:t>
      </w:r>
      <w:r w:rsidRPr="005320B2">
        <w:rPr>
          <w:rFonts w:cs="Courier"/>
          <w:color w:val="000000"/>
          <w:sz w:val="18"/>
          <w:szCs w:val="18"/>
        </w:rPr>
        <w:t xml:space="preserve">, </w:t>
      </w:r>
      <w:r w:rsidR="009D726C">
        <w:rPr>
          <w:rFonts w:cs="Courier"/>
          <w:color w:val="000000"/>
          <w:sz w:val="18"/>
          <w:szCs w:val="18"/>
        </w:rPr>
        <w:t>and</w:t>
      </w:r>
      <w:r w:rsidRPr="005320B2">
        <w:rPr>
          <w:rFonts w:cs="Courier"/>
          <w:color w:val="000000"/>
          <w:sz w:val="18"/>
          <w:szCs w:val="18"/>
        </w:rPr>
        <w:t xml:space="preserve"> a $</w:t>
      </w:r>
      <w:r w:rsidR="00755DC4">
        <w:rPr>
          <w:rFonts w:cs="Courier"/>
          <w:color w:val="000000"/>
          <w:sz w:val="18"/>
          <w:szCs w:val="18"/>
        </w:rPr>
        <w:t>500</w:t>
      </w:r>
      <w:r w:rsidRPr="00E3118C">
        <w:rPr>
          <w:rFonts w:cs="Courier"/>
          <w:color w:val="000000"/>
          <w:sz w:val="18"/>
          <w:szCs w:val="18"/>
        </w:rPr>
        <w:t xml:space="preserve"> administrative fee. </w:t>
      </w:r>
      <w:r w:rsidR="008F60D3">
        <w:rPr>
          <w:rFonts w:cs="Courier"/>
          <w:color w:val="000000"/>
          <w:sz w:val="18"/>
          <w:szCs w:val="18"/>
        </w:rPr>
        <w:t xml:space="preserve">The total cost per product is $3,100. </w:t>
      </w:r>
      <w:r w:rsidRPr="00E3118C">
        <w:rPr>
          <w:rFonts w:cs="Courier"/>
          <w:color w:val="000000"/>
          <w:sz w:val="18"/>
          <w:szCs w:val="18"/>
        </w:rPr>
        <w:t>The total will be $</w:t>
      </w:r>
      <w:r w:rsidR="00755DC4">
        <w:rPr>
          <w:rFonts w:cs="Courier"/>
          <w:color w:val="000000"/>
          <w:sz w:val="18"/>
          <w:szCs w:val="18"/>
        </w:rPr>
        <w:t>12,400</w:t>
      </w:r>
      <w:r w:rsidRPr="00E3118C">
        <w:rPr>
          <w:rFonts w:cs="Courier"/>
          <w:color w:val="000000"/>
          <w:sz w:val="18"/>
          <w:szCs w:val="18"/>
        </w:rPr>
        <w:t xml:space="preserve"> per company per application.</w:t>
      </w:r>
    </w:p>
    <w:p w14:paraId="728E7EB6" w14:textId="77777777" w:rsidR="001B7421" w:rsidRPr="00E42F38" w:rsidRDefault="001B7421" w:rsidP="004E7B0B">
      <w:pPr>
        <w:ind w:left="-90" w:right="-90"/>
        <w:rPr>
          <w:sz w:val="18"/>
          <w:szCs w:val="18"/>
        </w:rPr>
      </w:pPr>
      <w:r w:rsidRPr="00E42F38">
        <w:rPr>
          <w:sz w:val="18"/>
          <w:szCs w:val="18"/>
        </w:rPr>
        <w:t xml:space="preserve">**This column reports the number of annual respondents after accounting for the partnership renewal process.  Assumes that one in ten formulators over the three-year period will need to make changes to their formulations and go through a new partnership process which includes same collection steps.  On an annual basis, this translates to </w:t>
      </w:r>
      <w:r w:rsidR="00A715C5">
        <w:rPr>
          <w:sz w:val="18"/>
          <w:szCs w:val="18"/>
        </w:rPr>
        <w:t xml:space="preserve">4 </w:t>
      </w:r>
      <w:r w:rsidRPr="00E42F38">
        <w:rPr>
          <w:sz w:val="18"/>
          <w:szCs w:val="18"/>
        </w:rPr>
        <w:t xml:space="preserve">product formulators (for a total of </w:t>
      </w:r>
      <w:r w:rsidR="00A715C5">
        <w:rPr>
          <w:sz w:val="18"/>
          <w:szCs w:val="18"/>
        </w:rPr>
        <w:t>44</w:t>
      </w:r>
      <w:r w:rsidR="00A06262">
        <w:rPr>
          <w:sz w:val="18"/>
          <w:szCs w:val="18"/>
        </w:rPr>
        <w:t xml:space="preserve"> partnership agreements</w:t>
      </w:r>
      <w:r w:rsidRPr="00E42F38">
        <w:rPr>
          <w:sz w:val="18"/>
          <w:szCs w:val="18"/>
        </w:rPr>
        <w:t xml:space="preserve">).  </w:t>
      </w:r>
      <w:r>
        <w:rPr>
          <w:sz w:val="18"/>
          <w:szCs w:val="18"/>
        </w:rPr>
        <w:t xml:space="preserve">Also assumes that about 33% of </w:t>
      </w:r>
      <w:r w:rsidR="009D726C">
        <w:rPr>
          <w:sz w:val="18"/>
          <w:szCs w:val="18"/>
        </w:rPr>
        <w:t xml:space="preserve">the remaining </w:t>
      </w:r>
      <w:r>
        <w:rPr>
          <w:sz w:val="18"/>
          <w:szCs w:val="18"/>
        </w:rPr>
        <w:t>product formulators will be subject to site audits each year</w:t>
      </w:r>
      <w:r w:rsidR="009D726C">
        <w:rPr>
          <w:sz w:val="18"/>
          <w:szCs w:val="18"/>
        </w:rPr>
        <w:t xml:space="preserve"> (i.e., 12)</w:t>
      </w:r>
      <w:r w:rsidR="0028108F">
        <w:rPr>
          <w:sz w:val="18"/>
          <w:szCs w:val="18"/>
        </w:rPr>
        <w:t xml:space="preserve"> and that about 66% </w:t>
      </w:r>
      <w:r w:rsidR="009D726C">
        <w:rPr>
          <w:sz w:val="18"/>
          <w:szCs w:val="18"/>
        </w:rPr>
        <w:t xml:space="preserve">(i.e., 24) </w:t>
      </w:r>
      <w:r w:rsidR="0028108F">
        <w:rPr>
          <w:sz w:val="18"/>
          <w:szCs w:val="18"/>
        </w:rPr>
        <w:t>will be subject to desk audits each year</w:t>
      </w:r>
      <w:r>
        <w:rPr>
          <w:sz w:val="18"/>
          <w:szCs w:val="18"/>
        </w:rPr>
        <w:t xml:space="preserve">. </w:t>
      </w:r>
      <w:r w:rsidR="003441CE" w:rsidRPr="00E42F38">
        <w:rPr>
          <w:sz w:val="18"/>
          <w:szCs w:val="18"/>
        </w:rPr>
        <w:t>See Section 6(a) for additional explanation.</w:t>
      </w:r>
      <w:r w:rsidR="003441CE">
        <w:rPr>
          <w:sz w:val="18"/>
          <w:szCs w:val="18"/>
        </w:rPr>
        <w:t xml:space="preserve"> </w:t>
      </w:r>
      <w:r w:rsidR="009E036C">
        <w:rPr>
          <w:sz w:val="18"/>
          <w:szCs w:val="18"/>
        </w:rPr>
        <w:t xml:space="preserve">Assumes that </w:t>
      </w:r>
      <w:r w:rsidR="009D726C">
        <w:rPr>
          <w:sz w:val="18"/>
          <w:szCs w:val="18"/>
        </w:rPr>
        <w:t xml:space="preserve">77 </w:t>
      </w:r>
      <w:r w:rsidR="009E036C">
        <w:rPr>
          <w:sz w:val="18"/>
          <w:szCs w:val="18"/>
        </w:rPr>
        <w:t>partners will fill out third-party partners and products forms</w:t>
      </w:r>
      <w:r w:rsidR="007E011B">
        <w:rPr>
          <w:sz w:val="18"/>
          <w:szCs w:val="18"/>
        </w:rPr>
        <w:t xml:space="preserve"> based on historical data</w:t>
      </w:r>
      <w:r w:rsidR="009E036C">
        <w:rPr>
          <w:sz w:val="18"/>
          <w:szCs w:val="18"/>
        </w:rPr>
        <w:t>.</w:t>
      </w:r>
      <w:r w:rsidR="003441CE">
        <w:rPr>
          <w:sz w:val="18"/>
          <w:szCs w:val="18"/>
        </w:rPr>
        <w:t xml:space="preserve"> See Section 6(e) for additional explanation.</w:t>
      </w:r>
      <w:r w:rsidR="009E036C" w:rsidRPr="00E3118C">
        <w:rPr>
          <w:sz w:val="18"/>
          <w:szCs w:val="18"/>
        </w:rPr>
        <w:t xml:space="preserve"> </w:t>
      </w:r>
    </w:p>
    <w:p w14:paraId="5FA00A72" w14:textId="77777777" w:rsidR="001B7421" w:rsidRDefault="001B7421" w:rsidP="001B7421">
      <w:pPr>
        <w:pStyle w:val="Heading2"/>
        <w:jc w:val="left"/>
        <w:rPr>
          <w:rFonts w:cs="Courier"/>
          <w:color w:val="000000"/>
          <w:sz w:val="18"/>
          <w:szCs w:val="18"/>
        </w:rPr>
        <w:sectPr w:rsidR="001B7421" w:rsidSect="001B7421">
          <w:pgSz w:w="15840" w:h="12240" w:orient="landscape"/>
          <w:pgMar w:top="360" w:right="1440" w:bottom="900" w:left="1440" w:header="720" w:footer="720" w:gutter="0"/>
          <w:cols w:space="720"/>
          <w:docGrid w:linePitch="360"/>
        </w:sectPr>
      </w:pPr>
    </w:p>
    <w:p w14:paraId="19BD9AD9" w14:textId="77777777" w:rsidR="001B7421" w:rsidRPr="00A8297E" w:rsidRDefault="001B7421" w:rsidP="001B7421">
      <w:pPr>
        <w:pStyle w:val="Heading2"/>
        <w:ind w:firstLine="720"/>
        <w:jc w:val="left"/>
        <w:rPr>
          <w:sz w:val="24"/>
          <w:szCs w:val="24"/>
        </w:rPr>
      </w:pPr>
      <w:bookmarkStart w:id="54" w:name="_Toc442977122"/>
      <w:bookmarkStart w:id="55" w:name="_Toc160347331"/>
      <w:bookmarkStart w:id="56" w:name="_Toc227390393"/>
      <w:r w:rsidRPr="00A8297E">
        <w:rPr>
          <w:sz w:val="24"/>
          <w:szCs w:val="24"/>
        </w:rPr>
        <w:t>6(c)</w:t>
      </w:r>
      <w:r w:rsidRPr="00A8297E">
        <w:rPr>
          <w:sz w:val="24"/>
          <w:szCs w:val="24"/>
        </w:rPr>
        <w:tab/>
        <w:t>Estimating Agency Burden</w:t>
      </w:r>
      <w:bookmarkEnd w:id="54"/>
      <w:bookmarkEnd w:id="55"/>
      <w:bookmarkEnd w:id="56"/>
    </w:p>
    <w:p w14:paraId="19EA2BBC" w14:textId="77777777" w:rsidR="001B7421" w:rsidRPr="00A8297E" w:rsidRDefault="001B7421" w:rsidP="001B7421"/>
    <w:p w14:paraId="479C87EA" w14:textId="77777777" w:rsidR="0064134E" w:rsidRPr="00A8297E" w:rsidRDefault="0064134E" w:rsidP="002A6AE6">
      <w:pPr>
        <w:ind w:firstLine="720"/>
      </w:pPr>
      <w:r w:rsidRPr="00A8297E">
        <w:rPr>
          <w:lang w:val="en-CA"/>
        </w:rPr>
        <w:fldChar w:fldCharType="begin"/>
      </w:r>
      <w:r w:rsidRPr="00A8297E">
        <w:rPr>
          <w:lang w:val="en-CA"/>
        </w:rPr>
        <w:instrText xml:space="preserve"> SEQ CHAPTER \h \r 1</w:instrText>
      </w:r>
      <w:r w:rsidRPr="00A8297E">
        <w:rPr>
          <w:lang w:val="en-CA"/>
        </w:rPr>
        <w:fldChar w:fldCharType="end"/>
      </w:r>
      <w:r w:rsidRPr="00A8297E">
        <w:t>Exhibit 6.3 presents the estimated Agency burden hours and costs associated with the information collection activities under this ICR</w:t>
      </w:r>
      <w:r w:rsidR="000B4D7C">
        <w:t xml:space="preserve">. </w:t>
      </w:r>
      <w:r w:rsidRPr="00A8297E">
        <w:t>EPA based its burden estimates on its experience managing other voluntary programs.</w:t>
      </w:r>
    </w:p>
    <w:p w14:paraId="5B16F3D3" w14:textId="77777777" w:rsidR="0064134E" w:rsidRPr="00A8297E" w:rsidRDefault="0064134E" w:rsidP="0064134E">
      <w:pPr>
        <w:pStyle w:val="BodyText"/>
        <w:rPr>
          <w:rFonts w:ascii="Times New Roman" w:hAnsi="Times New Roman" w:cs="Times New Roman"/>
          <w:sz w:val="24"/>
        </w:rPr>
      </w:pPr>
    </w:p>
    <w:p w14:paraId="1A94BB00" w14:textId="77777777" w:rsidR="00D1520F" w:rsidRPr="00A8297E" w:rsidRDefault="0064134E" w:rsidP="002A6AE6">
      <w:pPr>
        <w:pStyle w:val="BodyText"/>
        <w:ind w:firstLine="720"/>
        <w:rPr>
          <w:rFonts w:ascii="Times New Roman" w:hAnsi="Times New Roman" w:cs="Times New Roman"/>
          <w:sz w:val="24"/>
        </w:rPr>
      </w:pPr>
      <w:r w:rsidRPr="00A8297E">
        <w:rPr>
          <w:rFonts w:ascii="Times New Roman" w:hAnsi="Times New Roman" w:cs="Times New Roman"/>
          <w:sz w:val="24"/>
        </w:rPr>
        <w:t>EPA expects that</w:t>
      </w:r>
      <w:r w:rsidR="004B4B70" w:rsidRPr="00A8297E">
        <w:rPr>
          <w:rFonts w:ascii="Times New Roman" w:hAnsi="Times New Roman" w:cs="Times New Roman"/>
          <w:sz w:val="24"/>
        </w:rPr>
        <w:t xml:space="preserve"> review of the program</w:t>
      </w:r>
      <w:r w:rsidR="00C2784A" w:rsidRPr="00A8297E">
        <w:rPr>
          <w:rFonts w:ascii="Times New Roman" w:hAnsi="Times New Roman" w:cs="Times New Roman"/>
          <w:sz w:val="24"/>
        </w:rPr>
        <w:t xml:space="preserve"> application</w:t>
      </w:r>
      <w:r w:rsidR="000B1DB6" w:rsidRPr="00A8297E">
        <w:rPr>
          <w:rFonts w:ascii="Times New Roman" w:hAnsi="Times New Roman" w:cs="Times New Roman"/>
          <w:sz w:val="24"/>
        </w:rPr>
        <w:t xml:space="preserve"> forms</w:t>
      </w:r>
      <w:r w:rsidR="00C2784A" w:rsidRPr="00A8297E">
        <w:rPr>
          <w:rFonts w:ascii="Times New Roman" w:hAnsi="Times New Roman" w:cs="Times New Roman"/>
          <w:sz w:val="24"/>
        </w:rPr>
        <w:t xml:space="preserve"> for a typical product formulator</w:t>
      </w:r>
      <w:r w:rsidRPr="00A8297E">
        <w:rPr>
          <w:rFonts w:ascii="Times New Roman" w:hAnsi="Times New Roman" w:cs="Times New Roman"/>
          <w:sz w:val="24"/>
        </w:rPr>
        <w:t xml:space="preserve"> will take about 1 hour (1 technical)</w:t>
      </w:r>
      <w:r w:rsidR="000B4D7C">
        <w:rPr>
          <w:rFonts w:ascii="Times New Roman" w:hAnsi="Times New Roman" w:cs="Times New Roman"/>
          <w:sz w:val="24"/>
        </w:rPr>
        <w:t xml:space="preserve">. </w:t>
      </w:r>
      <w:r w:rsidRPr="00A8297E">
        <w:rPr>
          <w:rFonts w:ascii="Times New Roman" w:hAnsi="Times New Roman" w:cs="Times New Roman"/>
          <w:sz w:val="24"/>
        </w:rPr>
        <w:t xml:space="preserve">Reviewing </w:t>
      </w:r>
      <w:r w:rsidR="00A82A79" w:rsidRPr="00A8297E">
        <w:rPr>
          <w:rFonts w:ascii="Times New Roman" w:hAnsi="Times New Roman" w:cs="Times New Roman"/>
          <w:sz w:val="24"/>
        </w:rPr>
        <w:t xml:space="preserve">the </w:t>
      </w:r>
      <w:r w:rsidRPr="00A8297E">
        <w:rPr>
          <w:rFonts w:ascii="Times New Roman" w:hAnsi="Times New Roman" w:cs="Times New Roman"/>
          <w:sz w:val="24"/>
        </w:rPr>
        <w:t>third-party</w:t>
      </w:r>
      <w:r w:rsidR="00F6109C" w:rsidRPr="00A8297E">
        <w:rPr>
          <w:rFonts w:ascii="Times New Roman" w:hAnsi="Times New Roman" w:cs="Times New Roman"/>
          <w:sz w:val="24"/>
        </w:rPr>
        <w:t xml:space="preserve"> profiler</w:t>
      </w:r>
      <w:r w:rsidRPr="00A8297E">
        <w:rPr>
          <w:rFonts w:ascii="Times New Roman" w:hAnsi="Times New Roman" w:cs="Times New Roman"/>
          <w:sz w:val="24"/>
        </w:rPr>
        <w:t xml:space="preserve"> information </w:t>
      </w:r>
      <w:r w:rsidR="00A82A79" w:rsidRPr="00A8297E">
        <w:rPr>
          <w:rFonts w:ascii="Times New Roman" w:hAnsi="Times New Roman" w:cs="Times New Roman"/>
          <w:sz w:val="24"/>
        </w:rPr>
        <w:t>summary report</w:t>
      </w:r>
      <w:r w:rsidRPr="00A8297E">
        <w:rPr>
          <w:rFonts w:ascii="Times New Roman" w:hAnsi="Times New Roman" w:cs="Times New Roman"/>
          <w:sz w:val="24"/>
        </w:rPr>
        <w:t xml:space="preserve"> will take abo</w:t>
      </w:r>
      <w:r w:rsidR="00D1520F" w:rsidRPr="00A8297E">
        <w:rPr>
          <w:rFonts w:ascii="Times New Roman" w:hAnsi="Times New Roman" w:cs="Times New Roman"/>
          <w:sz w:val="24"/>
        </w:rPr>
        <w:t xml:space="preserve">ut 5 hours (5 technical). </w:t>
      </w:r>
      <w:r w:rsidRPr="00A8297E">
        <w:rPr>
          <w:rFonts w:ascii="Times New Roman" w:hAnsi="Times New Roman" w:cs="Times New Roman"/>
          <w:sz w:val="24"/>
        </w:rPr>
        <w:t xml:space="preserve">Establishing a Partnership Agreement </w:t>
      </w:r>
      <w:r w:rsidR="00A82A79" w:rsidRPr="00A8297E">
        <w:rPr>
          <w:rFonts w:ascii="Times New Roman" w:hAnsi="Times New Roman" w:cs="Times New Roman"/>
          <w:sz w:val="24"/>
        </w:rPr>
        <w:t>with the formulator</w:t>
      </w:r>
      <w:r w:rsidRPr="00A8297E">
        <w:rPr>
          <w:rFonts w:ascii="Times New Roman" w:hAnsi="Times New Roman" w:cs="Times New Roman"/>
          <w:sz w:val="24"/>
        </w:rPr>
        <w:t xml:space="preserve"> will take about </w:t>
      </w:r>
      <w:r w:rsidR="00941A3F" w:rsidRPr="00A8297E">
        <w:rPr>
          <w:rFonts w:ascii="Times New Roman" w:hAnsi="Times New Roman" w:cs="Times New Roman"/>
          <w:sz w:val="24"/>
        </w:rPr>
        <w:t>3</w:t>
      </w:r>
      <w:r w:rsidRPr="00A8297E">
        <w:rPr>
          <w:rFonts w:ascii="Times New Roman" w:hAnsi="Times New Roman" w:cs="Times New Roman"/>
          <w:sz w:val="24"/>
        </w:rPr>
        <w:t xml:space="preserve"> hour</w:t>
      </w:r>
      <w:r w:rsidR="00253537" w:rsidRPr="00A8297E">
        <w:rPr>
          <w:rFonts w:ascii="Times New Roman" w:hAnsi="Times New Roman" w:cs="Times New Roman"/>
          <w:sz w:val="24"/>
        </w:rPr>
        <w:t>s (</w:t>
      </w:r>
      <w:r w:rsidR="00941A3F" w:rsidRPr="00A8297E">
        <w:rPr>
          <w:rFonts w:ascii="Times New Roman" w:hAnsi="Times New Roman" w:cs="Times New Roman"/>
          <w:sz w:val="24"/>
        </w:rPr>
        <w:t>1</w:t>
      </w:r>
      <w:r w:rsidR="00253537" w:rsidRPr="00A8297E">
        <w:rPr>
          <w:rFonts w:ascii="Times New Roman" w:hAnsi="Times New Roman" w:cs="Times New Roman"/>
          <w:sz w:val="24"/>
        </w:rPr>
        <w:t xml:space="preserve"> managerial, </w:t>
      </w:r>
      <w:r w:rsidR="00941A3F" w:rsidRPr="00A8297E">
        <w:rPr>
          <w:rFonts w:ascii="Times New Roman" w:hAnsi="Times New Roman" w:cs="Times New Roman"/>
          <w:sz w:val="24"/>
        </w:rPr>
        <w:t>2</w:t>
      </w:r>
      <w:r w:rsidR="00253537" w:rsidRPr="00A8297E">
        <w:rPr>
          <w:rFonts w:ascii="Times New Roman" w:hAnsi="Times New Roman" w:cs="Times New Roman"/>
          <w:sz w:val="24"/>
        </w:rPr>
        <w:t xml:space="preserve"> technical). </w:t>
      </w:r>
      <w:r w:rsidR="00D1520F" w:rsidRPr="00A8297E">
        <w:rPr>
          <w:rFonts w:ascii="Times New Roman" w:hAnsi="Times New Roman" w:cs="Times New Roman"/>
          <w:sz w:val="24"/>
        </w:rPr>
        <w:t>Reviewing the partnership renewal and assuming that no changes are needed is estimated at 2 hours (1 managerial, 1 technical)</w:t>
      </w:r>
      <w:r w:rsidR="00941A3F" w:rsidRPr="00A8297E">
        <w:rPr>
          <w:rFonts w:ascii="Times New Roman" w:hAnsi="Times New Roman" w:cs="Times New Roman"/>
          <w:sz w:val="24"/>
        </w:rPr>
        <w:t>, and reviewing audit summaries is estimated at 1 hour (1 technical).</w:t>
      </w:r>
    </w:p>
    <w:p w14:paraId="56D69E34" w14:textId="77777777" w:rsidR="0064134E" w:rsidRPr="00A8297E" w:rsidRDefault="0064134E" w:rsidP="0064134E">
      <w:pPr>
        <w:pStyle w:val="BodyText"/>
        <w:rPr>
          <w:rFonts w:ascii="Times New Roman" w:hAnsi="Times New Roman" w:cs="Times New Roman"/>
          <w:sz w:val="24"/>
        </w:rPr>
      </w:pPr>
    </w:p>
    <w:p w14:paraId="02801B5E" w14:textId="77777777" w:rsidR="0064134E" w:rsidRPr="00A8297E" w:rsidRDefault="00D1520F" w:rsidP="002A6AE6">
      <w:pPr>
        <w:pStyle w:val="BodyText"/>
        <w:ind w:firstLine="720"/>
        <w:rPr>
          <w:rFonts w:ascii="Times New Roman" w:hAnsi="Times New Roman" w:cs="Times New Roman"/>
          <w:sz w:val="24"/>
        </w:rPr>
      </w:pPr>
      <w:r w:rsidRPr="00A8297E">
        <w:rPr>
          <w:rFonts w:ascii="Times New Roman" w:hAnsi="Times New Roman" w:cs="Times New Roman"/>
          <w:sz w:val="24"/>
        </w:rPr>
        <w:t>The burden f</w:t>
      </w:r>
      <w:r w:rsidR="0064134E" w:rsidRPr="00A8297E">
        <w:rPr>
          <w:rFonts w:ascii="Times New Roman" w:hAnsi="Times New Roman" w:cs="Times New Roman"/>
          <w:sz w:val="24"/>
        </w:rPr>
        <w:t xml:space="preserve">or </w:t>
      </w:r>
      <w:r w:rsidR="002376DB" w:rsidRPr="00A8297E">
        <w:rPr>
          <w:rFonts w:ascii="Times New Roman" w:hAnsi="Times New Roman" w:cs="Times New Roman"/>
          <w:sz w:val="24"/>
        </w:rPr>
        <w:t>r</w:t>
      </w:r>
      <w:r w:rsidR="0064134E" w:rsidRPr="00A8297E">
        <w:rPr>
          <w:rFonts w:ascii="Times New Roman" w:hAnsi="Times New Roman" w:cs="Times New Roman"/>
          <w:sz w:val="24"/>
        </w:rPr>
        <w:t>eviewing the</w:t>
      </w:r>
      <w:r w:rsidRPr="00A8297E">
        <w:rPr>
          <w:rFonts w:ascii="Times New Roman" w:hAnsi="Times New Roman" w:cs="Times New Roman"/>
          <w:sz w:val="24"/>
        </w:rPr>
        <w:t xml:space="preserve"> </w:t>
      </w:r>
      <w:r w:rsidR="000F0371" w:rsidRPr="00A8297E">
        <w:rPr>
          <w:rFonts w:ascii="Times New Roman" w:hAnsi="Times New Roman" w:cs="Times New Roman"/>
          <w:sz w:val="24"/>
        </w:rPr>
        <w:t xml:space="preserve">Safer Choice </w:t>
      </w:r>
      <w:r w:rsidRPr="00A8297E">
        <w:rPr>
          <w:rFonts w:ascii="Times New Roman" w:hAnsi="Times New Roman" w:cs="Times New Roman"/>
          <w:sz w:val="24"/>
        </w:rPr>
        <w:t>Form for a</w:t>
      </w:r>
      <w:r w:rsidR="0064134E" w:rsidRPr="00A8297E">
        <w:rPr>
          <w:rFonts w:ascii="Times New Roman" w:hAnsi="Times New Roman" w:cs="Times New Roman"/>
          <w:sz w:val="24"/>
        </w:rPr>
        <w:t xml:space="preserve">dding </w:t>
      </w:r>
      <w:r w:rsidRPr="00A8297E">
        <w:rPr>
          <w:rFonts w:ascii="Times New Roman" w:hAnsi="Times New Roman" w:cs="Times New Roman"/>
          <w:sz w:val="24"/>
        </w:rPr>
        <w:t>third-party partners and p</w:t>
      </w:r>
      <w:r w:rsidR="0064134E" w:rsidRPr="00A8297E">
        <w:rPr>
          <w:rFonts w:ascii="Times New Roman" w:hAnsi="Times New Roman" w:cs="Times New Roman"/>
          <w:sz w:val="24"/>
        </w:rPr>
        <w:t xml:space="preserve">roducts is estimated to take about </w:t>
      </w:r>
      <w:r w:rsidR="00941A3F" w:rsidRPr="00A8297E">
        <w:rPr>
          <w:rFonts w:ascii="Times New Roman" w:hAnsi="Times New Roman" w:cs="Times New Roman"/>
          <w:sz w:val="24"/>
        </w:rPr>
        <w:t>2</w:t>
      </w:r>
      <w:r w:rsidR="0064134E" w:rsidRPr="00A8297E">
        <w:rPr>
          <w:rFonts w:ascii="Times New Roman" w:hAnsi="Times New Roman" w:cs="Times New Roman"/>
          <w:sz w:val="24"/>
        </w:rPr>
        <w:t xml:space="preserve"> hours (</w:t>
      </w:r>
      <w:r w:rsidR="00941A3F" w:rsidRPr="00A8297E">
        <w:rPr>
          <w:rFonts w:ascii="Times New Roman" w:hAnsi="Times New Roman" w:cs="Times New Roman"/>
          <w:sz w:val="24"/>
        </w:rPr>
        <w:t>2</w:t>
      </w:r>
      <w:r w:rsidR="008F4212">
        <w:rPr>
          <w:rFonts w:ascii="Times New Roman" w:hAnsi="Times New Roman" w:cs="Times New Roman"/>
          <w:sz w:val="24"/>
        </w:rPr>
        <w:t xml:space="preserve"> technical).</w:t>
      </w:r>
    </w:p>
    <w:p w14:paraId="07A69CE6" w14:textId="77777777" w:rsidR="0064134E" w:rsidRPr="00A8297E" w:rsidRDefault="0064134E" w:rsidP="001B7421">
      <w:pPr>
        <w:rPr>
          <w:lang w:val="en-CA"/>
        </w:rPr>
      </w:pPr>
    </w:p>
    <w:p w14:paraId="1DDDDC6E" w14:textId="77777777" w:rsidR="0064134E" w:rsidRPr="00A8297E" w:rsidRDefault="0064134E" w:rsidP="0064134E">
      <w:pPr>
        <w:pStyle w:val="Heading2"/>
        <w:ind w:firstLine="720"/>
        <w:jc w:val="left"/>
        <w:rPr>
          <w:sz w:val="24"/>
          <w:szCs w:val="24"/>
        </w:rPr>
      </w:pPr>
      <w:bookmarkStart w:id="57" w:name="_Toc442977123"/>
      <w:r w:rsidRPr="00A8297E">
        <w:rPr>
          <w:sz w:val="24"/>
          <w:szCs w:val="24"/>
        </w:rPr>
        <w:t>6(d)</w:t>
      </w:r>
      <w:r w:rsidRPr="00A8297E">
        <w:rPr>
          <w:sz w:val="24"/>
          <w:szCs w:val="24"/>
        </w:rPr>
        <w:tab/>
        <w:t>Estimating Agency Costs</w:t>
      </w:r>
      <w:bookmarkEnd w:id="57"/>
    </w:p>
    <w:p w14:paraId="635E2D42" w14:textId="77777777" w:rsidR="001B7421" w:rsidRPr="00A8297E" w:rsidRDefault="001B7421" w:rsidP="001B7421"/>
    <w:p w14:paraId="2EFB2E9B" w14:textId="77777777" w:rsidR="001B7421" w:rsidRPr="00A8297E" w:rsidRDefault="001B7421" w:rsidP="002A6AE6">
      <w:pPr>
        <w:ind w:firstLine="720"/>
      </w:pPr>
      <w:r w:rsidRPr="00A8297E">
        <w:t xml:space="preserve">Agency labor costs are calculated based on hourly basic rates for federal employees in the Washington-Baltimore area published by the Office of Personnel Management effective January </w:t>
      </w:r>
      <w:r w:rsidR="000F0371" w:rsidRPr="00A8297E">
        <w:t>2016</w:t>
      </w:r>
      <w:r w:rsidRPr="00A8297E">
        <w:rPr>
          <w:rStyle w:val="FootnoteReference"/>
        </w:rPr>
        <w:footnoteReference w:id="5"/>
      </w:r>
      <w:r w:rsidR="000B4D7C">
        <w:t xml:space="preserve">. </w:t>
      </w:r>
      <w:r w:rsidRPr="00A8297E">
        <w:t>The average hourly labor rate for managerial staff is estimated as the rate for a GS-13 Step 5 employee, for technical staff as a GS-10 Step 10 employee, and for clerical staff as GS-5 Step 1</w:t>
      </w:r>
      <w:r w:rsidR="000B4D7C">
        <w:t xml:space="preserve">. </w:t>
      </w:r>
      <w:r w:rsidRPr="00A8297E">
        <w:t>These GS-level assumptions are consistent with those used in past EPA OPPT ICRs</w:t>
      </w:r>
      <w:r w:rsidR="000B4D7C">
        <w:t xml:space="preserve">. </w:t>
      </w:r>
      <w:r w:rsidRPr="00A8297E">
        <w:t>The hourly rates were multiplied by an assumed loading factor of 1.6 to reflect Federal fringe benefits and overhead</w:t>
      </w:r>
      <w:r w:rsidR="000B4D7C">
        <w:t xml:space="preserve">. </w:t>
      </w:r>
      <w:r w:rsidRPr="00A8297E">
        <w:t xml:space="preserve">This loading factor is from an EPA guide, </w:t>
      </w:r>
      <w:r w:rsidRPr="00A8297E">
        <w:rPr>
          <w:i/>
          <w:iCs/>
        </w:rPr>
        <w:t xml:space="preserve">Instructions for Preparing Information Collection Requests (ICRs) </w:t>
      </w:r>
      <w:r w:rsidRPr="00A8297E">
        <w:t>(OPPE, 1992, page 30, footnote 9)</w:t>
      </w:r>
      <w:r w:rsidR="008F4212">
        <w:t>.</w:t>
      </w:r>
    </w:p>
    <w:p w14:paraId="7537C892" w14:textId="77777777" w:rsidR="001B7421" w:rsidRPr="00A8297E" w:rsidRDefault="001B7421" w:rsidP="001B7421"/>
    <w:p w14:paraId="78168830" w14:textId="77777777" w:rsidR="001B7421" w:rsidRDefault="001B7421" w:rsidP="002A6AE6">
      <w:pPr>
        <w:ind w:firstLine="720"/>
        <w:rPr>
          <w:sz w:val="22"/>
          <w:szCs w:val="22"/>
        </w:rPr>
      </w:pPr>
      <w:r w:rsidRPr="00A8297E">
        <w:t>The resulting average hourly labor rates, rounded to the nearest dollar amount, are $</w:t>
      </w:r>
      <w:r w:rsidR="005773CD" w:rsidRPr="00A8297E">
        <w:t xml:space="preserve">80 </w:t>
      </w:r>
      <w:r w:rsidRPr="00A8297E">
        <w:t>for managerial staff, $</w:t>
      </w:r>
      <w:r w:rsidR="005773CD" w:rsidRPr="00A8297E">
        <w:t xml:space="preserve">59 </w:t>
      </w:r>
      <w:r w:rsidRPr="00A8297E">
        <w:t>for technical staff, and $</w:t>
      </w:r>
      <w:r w:rsidR="005773CD" w:rsidRPr="00A8297E">
        <w:t xml:space="preserve">27 </w:t>
      </w:r>
      <w:r w:rsidRPr="00A8297E">
        <w:t>for clerical staff</w:t>
      </w:r>
      <w:r w:rsidR="000B4D7C">
        <w:t xml:space="preserve">. </w:t>
      </w:r>
      <w:r w:rsidRPr="00A8297E">
        <w:t>The Agency expects most activities related to this ICR to be performed by managerial staff (</w:t>
      </w:r>
      <w:r w:rsidR="00941A3F" w:rsidRPr="00A8297E">
        <w:t>14</w:t>
      </w:r>
      <w:r w:rsidRPr="00A8297E">
        <w:t xml:space="preserve"> percent) and technical staff (</w:t>
      </w:r>
      <w:r w:rsidR="00941A3F" w:rsidRPr="00A8297E">
        <w:t>86</w:t>
      </w:r>
      <w:r w:rsidRPr="00A8297E">
        <w:t xml:space="preserve"> percent).</w:t>
      </w:r>
    </w:p>
    <w:p w14:paraId="1373A315" w14:textId="77777777" w:rsidR="001B7421" w:rsidRDefault="001B7421" w:rsidP="001B7421">
      <w:pPr>
        <w:rPr>
          <w:b/>
          <w:bCs/>
          <w:sz w:val="22"/>
        </w:rPr>
      </w:pPr>
    </w:p>
    <w:p w14:paraId="56442A07" w14:textId="77777777" w:rsidR="008F60D3" w:rsidRDefault="008F60D3" w:rsidP="001B7421">
      <w:pPr>
        <w:rPr>
          <w:b/>
          <w:bCs/>
          <w:sz w:val="22"/>
        </w:rPr>
      </w:pPr>
    </w:p>
    <w:p w14:paraId="100D40BD" w14:textId="77777777" w:rsidR="00824DB9" w:rsidRDefault="00824DB9" w:rsidP="001B7421">
      <w:pPr>
        <w:rPr>
          <w:b/>
          <w:bCs/>
          <w:sz w:val="22"/>
        </w:rPr>
      </w:pPr>
    </w:p>
    <w:p w14:paraId="67793F3E" w14:textId="77777777" w:rsidR="00824DB9" w:rsidRDefault="00824DB9" w:rsidP="001B7421">
      <w:pPr>
        <w:rPr>
          <w:b/>
          <w:bCs/>
          <w:sz w:val="22"/>
        </w:rPr>
        <w:sectPr w:rsidR="00824DB9" w:rsidSect="001B7421">
          <w:headerReference w:type="default" r:id="rId11"/>
          <w:pgSz w:w="12240" w:h="15840"/>
          <w:pgMar w:top="1440" w:right="1620" w:bottom="1440" w:left="1440" w:header="720" w:footer="720" w:gutter="0"/>
          <w:cols w:space="720"/>
          <w:docGrid w:linePitch="360"/>
        </w:sectPr>
      </w:pPr>
    </w:p>
    <w:p w14:paraId="317C0A49" w14:textId="77777777" w:rsidR="001B7421" w:rsidRDefault="001B7421" w:rsidP="00AB6F64">
      <w:pPr>
        <w:rPr>
          <w:b/>
          <w:bCs/>
          <w:sz w:val="22"/>
        </w:rPr>
      </w:pPr>
      <w:r>
        <w:rPr>
          <w:b/>
          <w:bCs/>
          <w:sz w:val="22"/>
        </w:rPr>
        <w:t xml:space="preserve">Exhibit 6.3.  Annual Agency Burden/Cost </w:t>
      </w:r>
    </w:p>
    <w:tbl>
      <w:tblPr>
        <w:tblW w:w="12885" w:type="dxa"/>
        <w:tblInd w:w="93" w:type="dxa"/>
        <w:tblLayout w:type="fixed"/>
        <w:tblLook w:val="04A0" w:firstRow="1" w:lastRow="0" w:firstColumn="1" w:lastColumn="0" w:noHBand="0" w:noVBand="1"/>
      </w:tblPr>
      <w:tblGrid>
        <w:gridCol w:w="2602"/>
        <w:gridCol w:w="1170"/>
        <w:gridCol w:w="990"/>
        <w:gridCol w:w="1170"/>
        <w:gridCol w:w="1283"/>
        <w:gridCol w:w="1260"/>
        <w:gridCol w:w="877"/>
        <w:gridCol w:w="1080"/>
        <w:gridCol w:w="1193"/>
        <w:gridCol w:w="1260"/>
      </w:tblGrid>
      <w:tr w:rsidR="000261CF" w14:paraId="422D8C04" w14:textId="77777777" w:rsidTr="00C770A7">
        <w:trPr>
          <w:trHeight w:val="288"/>
        </w:trPr>
        <w:tc>
          <w:tcPr>
            <w:tcW w:w="2602"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7EA36769" w14:textId="77777777" w:rsidR="000261CF" w:rsidRDefault="000261CF">
            <w:pPr>
              <w:rPr>
                <w:b/>
                <w:bCs/>
                <w:sz w:val="18"/>
                <w:szCs w:val="18"/>
              </w:rPr>
            </w:pPr>
            <w:r>
              <w:rPr>
                <w:b/>
                <w:bCs/>
                <w:sz w:val="18"/>
                <w:szCs w:val="18"/>
              </w:rPr>
              <w:t>Collection activity</w:t>
            </w:r>
          </w:p>
        </w:tc>
        <w:tc>
          <w:tcPr>
            <w:tcW w:w="6750" w:type="dxa"/>
            <w:gridSpan w:val="6"/>
            <w:tcBorders>
              <w:top w:val="single" w:sz="4" w:space="0" w:color="auto"/>
              <w:left w:val="nil"/>
              <w:bottom w:val="single" w:sz="4" w:space="0" w:color="auto"/>
              <w:right w:val="single" w:sz="4" w:space="0" w:color="auto"/>
            </w:tcBorders>
            <w:shd w:val="clear" w:color="000000" w:fill="D9D9D9"/>
            <w:hideMark/>
          </w:tcPr>
          <w:p w14:paraId="5DC31FA1" w14:textId="77777777" w:rsidR="000261CF" w:rsidRDefault="000261CF">
            <w:pPr>
              <w:jc w:val="center"/>
              <w:rPr>
                <w:b/>
                <w:bCs/>
                <w:sz w:val="18"/>
                <w:szCs w:val="18"/>
              </w:rPr>
            </w:pPr>
            <w:r>
              <w:rPr>
                <w:b/>
                <w:bCs/>
                <w:sz w:val="18"/>
                <w:szCs w:val="18"/>
              </w:rPr>
              <w:t>Hours and Costs Per Respondent</w:t>
            </w:r>
          </w:p>
        </w:tc>
        <w:tc>
          <w:tcPr>
            <w:tcW w:w="3533" w:type="dxa"/>
            <w:gridSpan w:val="3"/>
            <w:tcBorders>
              <w:top w:val="single" w:sz="4" w:space="0" w:color="auto"/>
              <w:left w:val="nil"/>
              <w:bottom w:val="single" w:sz="4" w:space="0" w:color="auto"/>
              <w:right w:val="single" w:sz="4" w:space="0" w:color="auto"/>
            </w:tcBorders>
            <w:shd w:val="clear" w:color="000000" w:fill="D9D9D9"/>
            <w:hideMark/>
          </w:tcPr>
          <w:p w14:paraId="21A14054" w14:textId="77777777" w:rsidR="000261CF" w:rsidRDefault="000261CF">
            <w:pPr>
              <w:jc w:val="center"/>
              <w:rPr>
                <w:b/>
                <w:bCs/>
                <w:sz w:val="18"/>
                <w:szCs w:val="18"/>
              </w:rPr>
            </w:pPr>
            <w:r>
              <w:rPr>
                <w:b/>
                <w:bCs/>
                <w:sz w:val="18"/>
                <w:szCs w:val="18"/>
              </w:rPr>
              <w:t>Total Hours and Costs</w:t>
            </w:r>
          </w:p>
        </w:tc>
      </w:tr>
      <w:tr w:rsidR="000261CF" w14:paraId="5C5896EB" w14:textId="77777777" w:rsidTr="00C770A7">
        <w:trPr>
          <w:trHeight w:val="456"/>
        </w:trPr>
        <w:tc>
          <w:tcPr>
            <w:tcW w:w="2602" w:type="dxa"/>
            <w:vMerge/>
            <w:tcBorders>
              <w:top w:val="single" w:sz="4" w:space="0" w:color="auto"/>
              <w:left w:val="single" w:sz="4" w:space="0" w:color="auto"/>
              <w:bottom w:val="single" w:sz="4" w:space="0" w:color="000000"/>
              <w:right w:val="single" w:sz="4" w:space="0" w:color="auto"/>
            </w:tcBorders>
            <w:vAlign w:val="center"/>
            <w:hideMark/>
          </w:tcPr>
          <w:p w14:paraId="68614374" w14:textId="77777777" w:rsidR="000261CF" w:rsidRDefault="000261CF">
            <w:pPr>
              <w:rPr>
                <w:b/>
                <w:bCs/>
                <w:sz w:val="18"/>
                <w:szCs w:val="18"/>
              </w:rPr>
            </w:pPr>
          </w:p>
        </w:tc>
        <w:tc>
          <w:tcPr>
            <w:tcW w:w="117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6659659" w14:textId="77777777" w:rsidR="000261CF" w:rsidRDefault="00260237" w:rsidP="00260237">
            <w:pPr>
              <w:jc w:val="center"/>
              <w:rPr>
                <w:b/>
                <w:bCs/>
                <w:sz w:val="18"/>
                <w:szCs w:val="18"/>
              </w:rPr>
            </w:pPr>
            <w:r>
              <w:rPr>
                <w:b/>
                <w:bCs/>
                <w:sz w:val="18"/>
                <w:szCs w:val="18"/>
              </w:rPr>
              <w:t>Managerial</w:t>
            </w:r>
            <w:r w:rsidR="000261CF">
              <w:rPr>
                <w:b/>
                <w:bCs/>
                <w:sz w:val="18"/>
                <w:szCs w:val="18"/>
              </w:rPr>
              <w:t xml:space="preserve"> $</w:t>
            </w:r>
            <w:r w:rsidR="000F0371">
              <w:rPr>
                <w:b/>
                <w:bCs/>
                <w:sz w:val="18"/>
                <w:szCs w:val="18"/>
              </w:rPr>
              <w:t>80</w:t>
            </w:r>
            <w:r w:rsidR="000261CF">
              <w:rPr>
                <w:b/>
                <w:bCs/>
                <w:sz w:val="18"/>
                <w:szCs w:val="18"/>
              </w:rPr>
              <w:t>/H</w:t>
            </w:r>
            <w:r>
              <w:rPr>
                <w:b/>
                <w:bCs/>
                <w:sz w:val="18"/>
                <w:szCs w:val="18"/>
              </w:rPr>
              <w:t>our</w:t>
            </w:r>
          </w:p>
        </w:tc>
        <w:tc>
          <w:tcPr>
            <w:tcW w:w="99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245D309" w14:textId="77777777" w:rsidR="000261CF" w:rsidRDefault="000261CF" w:rsidP="000261CF">
            <w:pPr>
              <w:jc w:val="center"/>
              <w:rPr>
                <w:b/>
                <w:bCs/>
                <w:sz w:val="18"/>
                <w:szCs w:val="18"/>
              </w:rPr>
            </w:pPr>
            <w:r>
              <w:rPr>
                <w:b/>
                <w:bCs/>
                <w:sz w:val="18"/>
                <w:szCs w:val="18"/>
              </w:rPr>
              <w:t>Technical $5</w:t>
            </w:r>
            <w:r w:rsidR="000F0371">
              <w:rPr>
                <w:b/>
                <w:bCs/>
                <w:sz w:val="18"/>
                <w:szCs w:val="18"/>
              </w:rPr>
              <w:t>9</w:t>
            </w:r>
            <w:r>
              <w:rPr>
                <w:b/>
                <w:bCs/>
                <w:sz w:val="18"/>
                <w:szCs w:val="18"/>
              </w:rPr>
              <w:t>/H</w:t>
            </w:r>
            <w:r w:rsidR="00260237">
              <w:rPr>
                <w:b/>
                <w:bCs/>
                <w:sz w:val="18"/>
                <w:szCs w:val="18"/>
              </w:rPr>
              <w:t>ou</w:t>
            </w:r>
            <w:r>
              <w:rPr>
                <w:b/>
                <w:bCs/>
                <w:sz w:val="18"/>
                <w:szCs w:val="18"/>
              </w:rPr>
              <w:t>r</w:t>
            </w:r>
          </w:p>
        </w:tc>
        <w:tc>
          <w:tcPr>
            <w:tcW w:w="117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BBDE01A" w14:textId="77777777" w:rsidR="000261CF" w:rsidRDefault="000261CF" w:rsidP="000261CF">
            <w:pPr>
              <w:jc w:val="center"/>
              <w:rPr>
                <w:b/>
                <w:bCs/>
                <w:sz w:val="18"/>
                <w:szCs w:val="18"/>
              </w:rPr>
            </w:pPr>
            <w:r>
              <w:rPr>
                <w:b/>
                <w:bCs/>
                <w:sz w:val="18"/>
                <w:szCs w:val="18"/>
              </w:rPr>
              <w:t>Agency Hours/Y</w:t>
            </w:r>
            <w:r w:rsidR="00C770A7">
              <w:rPr>
                <w:b/>
                <w:bCs/>
                <w:sz w:val="18"/>
                <w:szCs w:val="18"/>
              </w:rPr>
              <w:t>ea</w:t>
            </w:r>
            <w:r>
              <w:rPr>
                <w:b/>
                <w:bCs/>
                <w:sz w:val="18"/>
                <w:szCs w:val="18"/>
              </w:rPr>
              <w:t>r</w:t>
            </w:r>
          </w:p>
        </w:tc>
        <w:tc>
          <w:tcPr>
            <w:tcW w:w="1283"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E4B2B7F" w14:textId="77777777" w:rsidR="000261CF" w:rsidRDefault="000261CF" w:rsidP="00260237">
            <w:pPr>
              <w:jc w:val="center"/>
              <w:rPr>
                <w:b/>
                <w:bCs/>
                <w:sz w:val="18"/>
                <w:szCs w:val="18"/>
              </w:rPr>
            </w:pPr>
            <w:r>
              <w:rPr>
                <w:b/>
                <w:bCs/>
                <w:sz w:val="18"/>
                <w:szCs w:val="18"/>
              </w:rPr>
              <w:t>Labor Cost/Y</w:t>
            </w:r>
            <w:r w:rsidR="00C770A7">
              <w:rPr>
                <w:b/>
                <w:bCs/>
                <w:sz w:val="18"/>
                <w:szCs w:val="18"/>
              </w:rPr>
              <w:t>ea</w:t>
            </w:r>
            <w:r>
              <w:rPr>
                <w:b/>
                <w:bCs/>
                <w:sz w:val="18"/>
                <w:szCs w:val="18"/>
              </w:rPr>
              <w:t>r</w:t>
            </w:r>
          </w:p>
        </w:tc>
        <w:tc>
          <w:tcPr>
            <w:tcW w:w="126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24D0901D" w14:textId="77777777" w:rsidR="000261CF" w:rsidRDefault="000261CF" w:rsidP="000261CF">
            <w:pPr>
              <w:jc w:val="center"/>
              <w:rPr>
                <w:b/>
                <w:bCs/>
                <w:sz w:val="18"/>
                <w:szCs w:val="18"/>
              </w:rPr>
            </w:pPr>
            <w:r>
              <w:rPr>
                <w:b/>
                <w:bCs/>
                <w:sz w:val="18"/>
                <w:szCs w:val="18"/>
              </w:rPr>
              <w:t>Capital/ Startup Cost</w:t>
            </w:r>
          </w:p>
        </w:tc>
        <w:tc>
          <w:tcPr>
            <w:tcW w:w="87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0356E71" w14:textId="77777777" w:rsidR="000261CF" w:rsidRDefault="000261CF" w:rsidP="000261CF">
            <w:pPr>
              <w:jc w:val="center"/>
              <w:rPr>
                <w:b/>
                <w:bCs/>
                <w:sz w:val="18"/>
                <w:szCs w:val="18"/>
              </w:rPr>
            </w:pPr>
            <w:r>
              <w:rPr>
                <w:b/>
                <w:bCs/>
                <w:sz w:val="18"/>
                <w:szCs w:val="18"/>
              </w:rPr>
              <w:t>O &amp; M Cost</w:t>
            </w:r>
          </w:p>
        </w:tc>
        <w:tc>
          <w:tcPr>
            <w:tcW w:w="108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CDAD0F2" w14:textId="77777777" w:rsidR="000261CF" w:rsidRDefault="000261CF" w:rsidP="000261CF">
            <w:pPr>
              <w:jc w:val="center"/>
              <w:rPr>
                <w:b/>
                <w:bCs/>
                <w:sz w:val="18"/>
                <w:szCs w:val="18"/>
              </w:rPr>
            </w:pPr>
            <w:r>
              <w:rPr>
                <w:b/>
                <w:bCs/>
                <w:sz w:val="18"/>
                <w:szCs w:val="18"/>
              </w:rPr>
              <w:t>Number of Respon.*</w:t>
            </w:r>
          </w:p>
        </w:tc>
        <w:tc>
          <w:tcPr>
            <w:tcW w:w="1193"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18EC356" w14:textId="77777777" w:rsidR="000261CF" w:rsidRDefault="000261CF" w:rsidP="000261CF">
            <w:pPr>
              <w:jc w:val="center"/>
              <w:rPr>
                <w:b/>
                <w:bCs/>
                <w:sz w:val="18"/>
                <w:szCs w:val="18"/>
              </w:rPr>
            </w:pPr>
            <w:r>
              <w:rPr>
                <w:b/>
                <w:bCs/>
                <w:sz w:val="18"/>
                <w:szCs w:val="18"/>
              </w:rPr>
              <w:t>Total Hours/Y</w:t>
            </w:r>
            <w:r w:rsidR="00C770A7">
              <w:rPr>
                <w:b/>
                <w:bCs/>
                <w:sz w:val="18"/>
                <w:szCs w:val="18"/>
              </w:rPr>
              <w:t>ea</w:t>
            </w:r>
            <w:r>
              <w:rPr>
                <w:b/>
                <w:bCs/>
                <w:sz w:val="18"/>
                <w:szCs w:val="18"/>
              </w:rPr>
              <w:t>r</w:t>
            </w:r>
          </w:p>
        </w:tc>
        <w:tc>
          <w:tcPr>
            <w:tcW w:w="126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CE8718A" w14:textId="77777777" w:rsidR="000261CF" w:rsidRDefault="000261CF" w:rsidP="000261CF">
            <w:pPr>
              <w:jc w:val="center"/>
              <w:rPr>
                <w:b/>
                <w:bCs/>
                <w:sz w:val="18"/>
                <w:szCs w:val="18"/>
              </w:rPr>
            </w:pPr>
            <w:r>
              <w:rPr>
                <w:b/>
                <w:bCs/>
                <w:sz w:val="18"/>
                <w:szCs w:val="18"/>
              </w:rPr>
              <w:t>Total Cost/Y</w:t>
            </w:r>
            <w:r w:rsidR="00C770A7">
              <w:rPr>
                <w:b/>
                <w:bCs/>
                <w:sz w:val="18"/>
                <w:szCs w:val="18"/>
              </w:rPr>
              <w:t>ea</w:t>
            </w:r>
            <w:r>
              <w:rPr>
                <w:b/>
                <w:bCs/>
                <w:sz w:val="18"/>
                <w:szCs w:val="18"/>
              </w:rPr>
              <w:t>r</w:t>
            </w:r>
          </w:p>
        </w:tc>
      </w:tr>
      <w:tr w:rsidR="000261CF" w14:paraId="5469E786" w14:textId="77777777" w:rsidTr="00C770A7">
        <w:trPr>
          <w:trHeight w:val="276"/>
        </w:trPr>
        <w:tc>
          <w:tcPr>
            <w:tcW w:w="2602" w:type="dxa"/>
            <w:vMerge/>
            <w:tcBorders>
              <w:top w:val="single" w:sz="4" w:space="0" w:color="auto"/>
              <w:left w:val="single" w:sz="4" w:space="0" w:color="auto"/>
              <w:bottom w:val="single" w:sz="4" w:space="0" w:color="000000"/>
              <w:right w:val="single" w:sz="4" w:space="0" w:color="auto"/>
            </w:tcBorders>
            <w:vAlign w:val="center"/>
            <w:hideMark/>
          </w:tcPr>
          <w:p w14:paraId="4DA2AE3B" w14:textId="77777777" w:rsidR="000261CF" w:rsidRDefault="000261CF">
            <w:pPr>
              <w:rPr>
                <w:b/>
                <w:bCs/>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7502E6BF" w14:textId="77777777" w:rsidR="000261CF" w:rsidRDefault="000261CF">
            <w:pPr>
              <w:rPr>
                <w:b/>
                <w:bCs/>
                <w:sz w:val="18"/>
                <w:szCs w:val="18"/>
              </w:rPr>
            </w:pPr>
          </w:p>
        </w:tc>
        <w:tc>
          <w:tcPr>
            <w:tcW w:w="990" w:type="dxa"/>
            <w:vMerge/>
            <w:tcBorders>
              <w:top w:val="nil"/>
              <w:left w:val="single" w:sz="4" w:space="0" w:color="auto"/>
              <w:bottom w:val="single" w:sz="4" w:space="0" w:color="000000"/>
              <w:right w:val="single" w:sz="4" w:space="0" w:color="auto"/>
            </w:tcBorders>
            <w:vAlign w:val="center"/>
            <w:hideMark/>
          </w:tcPr>
          <w:p w14:paraId="0B5B1B03" w14:textId="77777777" w:rsidR="000261CF" w:rsidRDefault="000261CF">
            <w:pPr>
              <w:rPr>
                <w:b/>
                <w:bCs/>
                <w:sz w:val="18"/>
                <w:szCs w:val="18"/>
              </w:rPr>
            </w:pPr>
          </w:p>
        </w:tc>
        <w:tc>
          <w:tcPr>
            <w:tcW w:w="1170" w:type="dxa"/>
            <w:vMerge/>
            <w:tcBorders>
              <w:top w:val="nil"/>
              <w:left w:val="single" w:sz="4" w:space="0" w:color="auto"/>
              <w:bottom w:val="single" w:sz="4" w:space="0" w:color="000000"/>
              <w:right w:val="single" w:sz="4" w:space="0" w:color="auto"/>
            </w:tcBorders>
            <w:vAlign w:val="center"/>
            <w:hideMark/>
          </w:tcPr>
          <w:p w14:paraId="4127EBAD" w14:textId="77777777" w:rsidR="000261CF" w:rsidRDefault="000261CF">
            <w:pPr>
              <w:rPr>
                <w:b/>
                <w:bCs/>
                <w:sz w:val="18"/>
                <w:szCs w:val="18"/>
              </w:rPr>
            </w:pPr>
          </w:p>
        </w:tc>
        <w:tc>
          <w:tcPr>
            <w:tcW w:w="1283" w:type="dxa"/>
            <w:vMerge/>
            <w:tcBorders>
              <w:top w:val="nil"/>
              <w:left w:val="single" w:sz="4" w:space="0" w:color="auto"/>
              <w:bottom w:val="single" w:sz="4" w:space="0" w:color="000000"/>
              <w:right w:val="single" w:sz="4" w:space="0" w:color="auto"/>
            </w:tcBorders>
            <w:vAlign w:val="center"/>
            <w:hideMark/>
          </w:tcPr>
          <w:p w14:paraId="33891E6B" w14:textId="77777777" w:rsidR="000261CF" w:rsidRDefault="000261CF">
            <w:pPr>
              <w:rPr>
                <w:b/>
                <w:bCs/>
                <w:sz w:val="18"/>
                <w:szCs w:val="18"/>
              </w:rPr>
            </w:pPr>
          </w:p>
        </w:tc>
        <w:tc>
          <w:tcPr>
            <w:tcW w:w="1260" w:type="dxa"/>
            <w:vMerge/>
            <w:tcBorders>
              <w:top w:val="nil"/>
              <w:left w:val="single" w:sz="4" w:space="0" w:color="auto"/>
              <w:bottom w:val="single" w:sz="4" w:space="0" w:color="000000"/>
              <w:right w:val="single" w:sz="4" w:space="0" w:color="auto"/>
            </w:tcBorders>
            <w:vAlign w:val="center"/>
            <w:hideMark/>
          </w:tcPr>
          <w:p w14:paraId="2E60CF28" w14:textId="77777777" w:rsidR="000261CF" w:rsidRDefault="000261CF">
            <w:pPr>
              <w:rPr>
                <w:b/>
                <w:bCs/>
                <w:sz w:val="18"/>
                <w:szCs w:val="18"/>
              </w:rPr>
            </w:pPr>
          </w:p>
        </w:tc>
        <w:tc>
          <w:tcPr>
            <w:tcW w:w="877" w:type="dxa"/>
            <w:vMerge/>
            <w:tcBorders>
              <w:top w:val="nil"/>
              <w:left w:val="single" w:sz="4" w:space="0" w:color="auto"/>
              <w:bottom w:val="single" w:sz="4" w:space="0" w:color="000000"/>
              <w:right w:val="single" w:sz="4" w:space="0" w:color="auto"/>
            </w:tcBorders>
            <w:vAlign w:val="center"/>
            <w:hideMark/>
          </w:tcPr>
          <w:p w14:paraId="52F7F4AB" w14:textId="77777777" w:rsidR="000261CF" w:rsidRDefault="000261CF">
            <w:pPr>
              <w:rPr>
                <w:b/>
                <w:bCs/>
                <w:sz w:val="18"/>
                <w:szCs w:val="18"/>
              </w:rPr>
            </w:pPr>
          </w:p>
        </w:tc>
        <w:tc>
          <w:tcPr>
            <w:tcW w:w="1080" w:type="dxa"/>
            <w:vMerge/>
            <w:tcBorders>
              <w:top w:val="nil"/>
              <w:left w:val="single" w:sz="4" w:space="0" w:color="auto"/>
              <w:bottom w:val="single" w:sz="4" w:space="0" w:color="000000"/>
              <w:right w:val="single" w:sz="4" w:space="0" w:color="auto"/>
            </w:tcBorders>
            <w:vAlign w:val="center"/>
            <w:hideMark/>
          </w:tcPr>
          <w:p w14:paraId="0D72145F" w14:textId="77777777" w:rsidR="000261CF" w:rsidRDefault="000261CF">
            <w:pPr>
              <w:rPr>
                <w:b/>
                <w:bCs/>
                <w:sz w:val="18"/>
                <w:szCs w:val="18"/>
              </w:rPr>
            </w:pPr>
          </w:p>
        </w:tc>
        <w:tc>
          <w:tcPr>
            <w:tcW w:w="1193" w:type="dxa"/>
            <w:vMerge/>
            <w:tcBorders>
              <w:top w:val="nil"/>
              <w:left w:val="single" w:sz="4" w:space="0" w:color="auto"/>
              <w:bottom w:val="single" w:sz="4" w:space="0" w:color="000000"/>
              <w:right w:val="single" w:sz="4" w:space="0" w:color="auto"/>
            </w:tcBorders>
            <w:vAlign w:val="center"/>
            <w:hideMark/>
          </w:tcPr>
          <w:p w14:paraId="6C844897" w14:textId="77777777" w:rsidR="000261CF" w:rsidRDefault="000261CF">
            <w:pPr>
              <w:rPr>
                <w:b/>
                <w:bCs/>
                <w:sz w:val="18"/>
                <w:szCs w:val="18"/>
              </w:rPr>
            </w:pPr>
          </w:p>
        </w:tc>
        <w:tc>
          <w:tcPr>
            <w:tcW w:w="1260" w:type="dxa"/>
            <w:vMerge/>
            <w:tcBorders>
              <w:top w:val="nil"/>
              <w:left w:val="single" w:sz="4" w:space="0" w:color="auto"/>
              <w:bottom w:val="single" w:sz="4" w:space="0" w:color="000000"/>
              <w:right w:val="single" w:sz="4" w:space="0" w:color="auto"/>
            </w:tcBorders>
            <w:vAlign w:val="center"/>
            <w:hideMark/>
          </w:tcPr>
          <w:p w14:paraId="29E1BF05" w14:textId="77777777" w:rsidR="000261CF" w:rsidRDefault="000261CF">
            <w:pPr>
              <w:rPr>
                <w:b/>
                <w:bCs/>
                <w:sz w:val="18"/>
                <w:szCs w:val="18"/>
              </w:rPr>
            </w:pPr>
          </w:p>
        </w:tc>
      </w:tr>
      <w:tr w:rsidR="000261CF" w14:paraId="2C5B4F9D" w14:textId="77777777" w:rsidTr="00732E1A">
        <w:trPr>
          <w:trHeight w:val="288"/>
        </w:trPr>
        <w:tc>
          <w:tcPr>
            <w:tcW w:w="1288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DE3EF2B" w14:textId="77777777" w:rsidR="000261CF" w:rsidRDefault="000261CF" w:rsidP="000261CF">
            <w:pPr>
              <w:rPr>
                <w:b/>
                <w:bCs/>
                <w:sz w:val="18"/>
                <w:szCs w:val="18"/>
              </w:rPr>
            </w:pPr>
            <w:r>
              <w:rPr>
                <w:b/>
                <w:bCs/>
                <w:sz w:val="18"/>
                <w:szCs w:val="18"/>
              </w:rPr>
              <w:t>Cleaning and Non-Cleaning Products</w:t>
            </w:r>
          </w:p>
        </w:tc>
      </w:tr>
      <w:tr w:rsidR="000261CF" w14:paraId="4B05558A" w14:textId="77777777" w:rsidTr="00C770A7">
        <w:trPr>
          <w:trHeight w:val="492"/>
        </w:trPr>
        <w:tc>
          <w:tcPr>
            <w:tcW w:w="2602" w:type="dxa"/>
            <w:tcBorders>
              <w:top w:val="nil"/>
              <w:left w:val="single" w:sz="4" w:space="0" w:color="auto"/>
              <w:bottom w:val="single" w:sz="4" w:space="0" w:color="auto"/>
              <w:right w:val="single" w:sz="4" w:space="0" w:color="auto"/>
            </w:tcBorders>
            <w:shd w:val="clear" w:color="auto" w:fill="auto"/>
            <w:vAlign w:val="center"/>
            <w:hideMark/>
          </w:tcPr>
          <w:p w14:paraId="460A11C7" w14:textId="77777777" w:rsidR="000261CF" w:rsidRDefault="000261CF" w:rsidP="000261CF">
            <w:pPr>
              <w:rPr>
                <w:sz w:val="18"/>
                <w:szCs w:val="18"/>
              </w:rPr>
            </w:pPr>
            <w:r>
              <w:rPr>
                <w:sz w:val="18"/>
                <w:szCs w:val="18"/>
              </w:rPr>
              <w:t>Review program application forms</w:t>
            </w:r>
          </w:p>
        </w:tc>
        <w:tc>
          <w:tcPr>
            <w:tcW w:w="1170" w:type="dxa"/>
            <w:tcBorders>
              <w:top w:val="nil"/>
              <w:left w:val="nil"/>
              <w:bottom w:val="single" w:sz="4" w:space="0" w:color="auto"/>
              <w:right w:val="single" w:sz="4" w:space="0" w:color="auto"/>
            </w:tcBorders>
            <w:shd w:val="clear" w:color="auto" w:fill="auto"/>
            <w:vAlign w:val="bottom"/>
            <w:hideMark/>
          </w:tcPr>
          <w:p w14:paraId="0B58CDAC" w14:textId="77777777" w:rsidR="000261CF" w:rsidRDefault="000261CF">
            <w:pPr>
              <w:jc w:val="right"/>
              <w:rPr>
                <w:sz w:val="18"/>
                <w:szCs w:val="18"/>
              </w:rPr>
            </w:pPr>
            <w:r>
              <w:rPr>
                <w:sz w:val="18"/>
                <w:szCs w:val="18"/>
              </w:rPr>
              <w:t xml:space="preserve">              -   </w:t>
            </w:r>
          </w:p>
        </w:tc>
        <w:tc>
          <w:tcPr>
            <w:tcW w:w="990" w:type="dxa"/>
            <w:tcBorders>
              <w:top w:val="nil"/>
              <w:left w:val="nil"/>
              <w:bottom w:val="single" w:sz="4" w:space="0" w:color="auto"/>
              <w:right w:val="single" w:sz="4" w:space="0" w:color="auto"/>
            </w:tcBorders>
            <w:shd w:val="clear" w:color="auto" w:fill="auto"/>
            <w:vAlign w:val="bottom"/>
            <w:hideMark/>
          </w:tcPr>
          <w:p w14:paraId="68D6F2CF" w14:textId="77777777" w:rsidR="000261CF" w:rsidRDefault="000261CF">
            <w:pPr>
              <w:jc w:val="right"/>
              <w:rPr>
                <w:sz w:val="18"/>
                <w:szCs w:val="18"/>
              </w:rPr>
            </w:pPr>
            <w:r>
              <w:rPr>
                <w:sz w:val="18"/>
                <w:szCs w:val="18"/>
              </w:rPr>
              <w:t xml:space="preserve">             1.0 </w:t>
            </w:r>
          </w:p>
        </w:tc>
        <w:tc>
          <w:tcPr>
            <w:tcW w:w="1170" w:type="dxa"/>
            <w:tcBorders>
              <w:top w:val="nil"/>
              <w:left w:val="nil"/>
              <w:bottom w:val="single" w:sz="4" w:space="0" w:color="auto"/>
              <w:right w:val="single" w:sz="4" w:space="0" w:color="auto"/>
            </w:tcBorders>
            <w:shd w:val="clear" w:color="auto" w:fill="auto"/>
            <w:vAlign w:val="bottom"/>
            <w:hideMark/>
          </w:tcPr>
          <w:p w14:paraId="192DD94D" w14:textId="77777777" w:rsidR="000261CF" w:rsidRDefault="000261CF">
            <w:pPr>
              <w:jc w:val="right"/>
              <w:rPr>
                <w:sz w:val="18"/>
                <w:szCs w:val="18"/>
              </w:rPr>
            </w:pPr>
            <w:r>
              <w:rPr>
                <w:sz w:val="18"/>
                <w:szCs w:val="18"/>
              </w:rPr>
              <w:t xml:space="preserve">             1.0 </w:t>
            </w:r>
          </w:p>
        </w:tc>
        <w:tc>
          <w:tcPr>
            <w:tcW w:w="1283" w:type="dxa"/>
            <w:tcBorders>
              <w:top w:val="nil"/>
              <w:left w:val="nil"/>
              <w:bottom w:val="single" w:sz="4" w:space="0" w:color="auto"/>
              <w:right w:val="single" w:sz="4" w:space="0" w:color="auto"/>
            </w:tcBorders>
            <w:shd w:val="clear" w:color="auto" w:fill="auto"/>
            <w:vAlign w:val="bottom"/>
            <w:hideMark/>
          </w:tcPr>
          <w:p w14:paraId="0EF61A3F" w14:textId="77777777" w:rsidR="000261CF" w:rsidRDefault="000261CF" w:rsidP="000F0371">
            <w:pPr>
              <w:jc w:val="right"/>
              <w:rPr>
                <w:sz w:val="18"/>
                <w:szCs w:val="18"/>
              </w:rPr>
            </w:pPr>
            <w:r>
              <w:rPr>
                <w:sz w:val="18"/>
                <w:szCs w:val="18"/>
              </w:rPr>
              <w:t>$</w:t>
            </w:r>
            <w:r w:rsidR="000F0371">
              <w:rPr>
                <w:sz w:val="18"/>
                <w:szCs w:val="18"/>
              </w:rPr>
              <w:t>59</w:t>
            </w:r>
          </w:p>
        </w:tc>
        <w:tc>
          <w:tcPr>
            <w:tcW w:w="1260" w:type="dxa"/>
            <w:tcBorders>
              <w:top w:val="nil"/>
              <w:left w:val="nil"/>
              <w:bottom w:val="single" w:sz="4" w:space="0" w:color="auto"/>
              <w:right w:val="single" w:sz="4" w:space="0" w:color="auto"/>
            </w:tcBorders>
            <w:shd w:val="clear" w:color="auto" w:fill="auto"/>
            <w:vAlign w:val="bottom"/>
            <w:hideMark/>
          </w:tcPr>
          <w:p w14:paraId="12598A01" w14:textId="77777777" w:rsidR="000261CF" w:rsidRDefault="000261CF">
            <w:pPr>
              <w:jc w:val="right"/>
              <w:rPr>
                <w:sz w:val="18"/>
                <w:szCs w:val="18"/>
              </w:rPr>
            </w:pPr>
            <w:r>
              <w:rPr>
                <w:sz w:val="18"/>
                <w:szCs w:val="18"/>
              </w:rPr>
              <w:t>$0</w:t>
            </w:r>
          </w:p>
        </w:tc>
        <w:tc>
          <w:tcPr>
            <w:tcW w:w="877" w:type="dxa"/>
            <w:tcBorders>
              <w:top w:val="nil"/>
              <w:left w:val="nil"/>
              <w:bottom w:val="single" w:sz="4" w:space="0" w:color="auto"/>
              <w:right w:val="single" w:sz="4" w:space="0" w:color="auto"/>
            </w:tcBorders>
            <w:shd w:val="clear" w:color="auto" w:fill="auto"/>
            <w:vAlign w:val="bottom"/>
            <w:hideMark/>
          </w:tcPr>
          <w:p w14:paraId="100FF4CD" w14:textId="77777777" w:rsidR="000261CF" w:rsidRDefault="000261CF">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4F2F04EF" w14:textId="77777777" w:rsidR="000261CF" w:rsidRDefault="000261CF" w:rsidP="000F0371">
            <w:pPr>
              <w:jc w:val="right"/>
              <w:rPr>
                <w:sz w:val="18"/>
                <w:szCs w:val="18"/>
              </w:rPr>
            </w:pPr>
            <w:r>
              <w:rPr>
                <w:sz w:val="18"/>
                <w:szCs w:val="18"/>
              </w:rPr>
              <w:t xml:space="preserve">              </w:t>
            </w:r>
            <w:r w:rsidR="000F0371">
              <w:rPr>
                <w:sz w:val="18"/>
                <w:szCs w:val="18"/>
              </w:rPr>
              <w:t>4</w:t>
            </w:r>
            <w:r w:rsidR="00A841C7">
              <w:rPr>
                <w:sz w:val="18"/>
                <w:szCs w:val="18"/>
              </w:rPr>
              <w:t>4</w:t>
            </w:r>
          </w:p>
        </w:tc>
        <w:tc>
          <w:tcPr>
            <w:tcW w:w="1193" w:type="dxa"/>
            <w:tcBorders>
              <w:top w:val="nil"/>
              <w:left w:val="nil"/>
              <w:bottom w:val="single" w:sz="4" w:space="0" w:color="auto"/>
              <w:right w:val="single" w:sz="4" w:space="0" w:color="auto"/>
            </w:tcBorders>
            <w:shd w:val="clear" w:color="auto" w:fill="auto"/>
            <w:vAlign w:val="bottom"/>
            <w:hideMark/>
          </w:tcPr>
          <w:p w14:paraId="59DD21F5" w14:textId="77777777" w:rsidR="000261CF" w:rsidRDefault="000F0371" w:rsidP="00A841C7">
            <w:pPr>
              <w:jc w:val="right"/>
              <w:rPr>
                <w:sz w:val="18"/>
                <w:szCs w:val="18"/>
              </w:rPr>
            </w:pPr>
            <w:r>
              <w:rPr>
                <w:sz w:val="18"/>
                <w:szCs w:val="18"/>
              </w:rPr>
              <w:t>4</w:t>
            </w:r>
            <w:r w:rsidR="00A841C7">
              <w:rPr>
                <w:sz w:val="18"/>
                <w:szCs w:val="18"/>
              </w:rPr>
              <w:t>4</w:t>
            </w:r>
            <w:r w:rsidR="000261CF">
              <w:rPr>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14:paraId="136CABBE" w14:textId="77777777" w:rsidR="000261CF" w:rsidRDefault="000261CF" w:rsidP="00A841C7">
            <w:pPr>
              <w:jc w:val="right"/>
              <w:rPr>
                <w:sz w:val="18"/>
                <w:szCs w:val="18"/>
              </w:rPr>
            </w:pPr>
            <w:r>
              <w:rPr>
                <w:sz w:val="18"/>
                <w:szCs w:val="18"/>
              </w:rPr>
              <w:t>$</w:t>
            </w:r>
            <w:r w:rsidR="000F0371">
              <w:rPr>
                <w:sz w:val="18"/>
                <w:szCs w:val="18"/>
              </w:rPr>
              <w:t>2,</w:t>
            </w:r>
            <w:r w:rsidR="00A841C7">
              <w:rPr>
                <w:sz w:val="18"/>
                <w:szCs w:val="18"/>
              </w:rPr>
              <w:t>596</w:t>
            </w:r>
          </w:p>
        </w:tc>
      </w:tr>
      <w:tr w:rsidR="000261CF" w14:paraId="0C0874F1" w14:textId="77777777" w:rsidTr="00C770A7">
        <w:trPr>
          <w:trHeight w:val="492"/>
        </w:trPr>
        <w:tc>
          <w:tcPr>
            <w:tcW w:w="2602" w:type="dxa"/>
            <w:tcBorders>
              <w:top w:val="nil"/>
              <w:left w:val="single" w:sz="4" w:space="0" w:color="auto"/>
              <w:bottom w:val="single" w:sz="4" w:space="0" w:color="auto"/>
              <w:right w:val="single" w:sz="4" w:space="0" w:color="auto"/>
            </w:tcBorders>
            <w:shd w:val="clear" w:color="auto" w:fill="auto"/>
            <w:vAlign w:val="center"/>
            <w:hideMark/>
          </w:tcPr>
          <w:p w14:paraId="26AF6DD8" w14:textId="77777777" w:rsidR="000261CF" w:rsidRDefault="000261CF" w:rsidP="000261CF">
            <w:pPr>
              <w:rPr>
                <w:sz w:val="18"/>
                <w:szCs w:val="18"/>
              </w:rPr>
            </w:pPr>
            <w:r>
              <w:rPr>
                <w:sz w:val="18"/>
                <w:szCs w:val="18"/>
              </w:rPr>
              <w:t>Review third-party profiler summary</w:t>
            </w:r>
          </w:p>
        </w:tc>
        <w:tc>
          <w:tcPr>
            <w:tcW w:w="1170" w:type="dxa"/>
            <w:tcBorders>
              <w:top w:val="nil"/>
              <w:left w:val="nil"/>
              <w:bottom w:val="single" w:sz="4" w:space="0" w:color="auto"/>
              <w:right w:val="single" w:sz="4" w:space="0" w:color="auto"/>
            </w:tcBorders>
            <w:shd w:val="clear" w:color="auto" w:fill="auto"/>
            <w:vAlign w:val="bottom"/>
            <w:hideMark/>
          </w:tcPr>
          <w:p w14:paraId="3315C1B9" w14:textId="77777777" w:rsidR="000261CF" w:rsidRDefault="000261CF">
            <w:pPr>
              <w:jc w:val="right"/>
              <w:rPr>
                <w:sz w:val="18"/>
                <w:szCs w:val="18"/>
              </w:rPr>
            </w:pPr>
            <w:r>
              <w:rPr>
                <w:sz w:val="18"/>
                <w:szCs w:val="18"/>
              </w:rPr>
              <w:t xml:space="preserve">              -   </w:t>
            </w:r>
          </w:p>
        </w:tc>
        <w:tc>
          <w:tcPr>
            <w:tcW w:w="990" w:type="dxa"/>
            <w:tcBorders>
              <w:top w:val="nil"/>
              <w:left w:val="nil"/>
              <w:bottom w:val="single" w:sz="4" w:space="0" w:color="auto"/>
              <w:right w:val="single" w:sz="4" w:space="0" w:color="auto"/>
            </w:tcBorders>
            <w:shd w:val="clear" w:color="auto" w:fill="auto"/>
            <w:vAlign w:val="bottom"/>
            <w:hideMark/>
          </w:tcPr>
          <w:p w14:paraId="64B5B045" w14:textId="77777777" w:rsidR="000261CF" w:rsidRDefault="000261CF" w:rsidP="000F0371">
            <w:pPr>
              <w:jc w:val="right"/>
              <w:rPr>
                <w:sz w:val="18"/>
                <w:szCs w:val="18"/>
              </w:rPr>
            </w:pPr>
            <w:r>
              <w:rPr>
                <w:sz w:val="18"/>
                <w:szCs w:val="18"/>
              </w:rPr>
              <w:t xml:space="preserve">           </w:t>
            </w:r>
            <w:r w:rsidR="000F0371">
              <w:rPr>
                <w:sz w:val="18"/>
                <w:szCs w:val="18"/>
              </w:rPr>
              <w:t>5</w:t>
            </w:r>
            <w:r w:rsidR="00A841C7">
              <w:rPr>
                <w:sz w:val="18"/>
                <w:szCs w:val="18"/>
              </w:rPr>
              <w:t>.0</w:t>
            </w:r>
            <w:r>
              <w:rPr>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29382DA5" w14:textId="77777777" w:rsidR="000261CF" w:rsidRDefault="000F0371">
            <w:pPr>
              <w:jc w:val="right"/>
              <w:rPr>
                <w:sz w:val="18"/>
                <w:szCs w:val="18"/>
              </w:rPr>
            </w:pPr>
            <w:r>
              <w:rPr>
                <w:sz w:val="18"/>
                <w:szCs w:val="18"/>
              </w:rPr>
              <w:t>5</w:t>
            </w:r>
            <w:r w:rsidR="00A841C7">
              <w:rPr>
                <w:sz w:val="18"/>
                <w:szCs w:val="18"/>
              </w:rPr>
              <w:t>.0</w:t>
            </w:r>
            <w:r w:rsidR="000261CF">
              <w:rPr>
                <w:sz w:val="18"/>
                <w:szCs w:val="18"/>
              </w:rPr>
              <w:t xml:space="preserve"> </w:t>
            </w:r>
          </w:p>
        </w:tc>
        <w:tc>
          <w:tcPr>
            <w:tcW w:w="1283" w:type="dxa"/>
            <w:tcBorders>
              <w:top w:val="nil"/>
              <w:left w:val="nil"/>
              <w:bottom w:val="single" w:sz="4" w:space="0" w:color="auto"/>
              <w:right w:val="single" w:sz="4" w:space="0" w:color="auto"/>
            </w:tcBorders>
            <w:shd w:val="clear" w:color="auto" w:fill="auto"/>
            <w:vAlign w:val="bottom"/>
            <w:hideMark/>
          </w:tcPr>
          <w:p w14:paraId="6B3BDFF7" w14:textId="77777777" w:rsidR="000261CF" w:rsidRDefault="000261CF" w:rsidP="000F0371">
            <w:pPr>
              <w:jc w:val="right"/>
              <w:rPr>
                <w:sz w:val="18"/>
                <w:szCs w:val="18"/>
              </w:rPr>
            </w:pPr>
            <w:r>
              <w:rPr>
                <w:sz w:val="18"/>
                <w:szCs w:val="18"/>
              </w:rPr>
              <w:t>$</w:t>
            </w:r>
            <w:r w:rsidR="000F0371">
              <w:rPr>
                <w:sz w:val="18"/>
                <w:szCs w:val="18"/>
              </w:rPr>
              <w:t>295</w:t>
            </w:r>
          </w:p>
        </w:tc>
        <w:tc>
          <w:tcPr>
            <w:tcW w:w="1260" w:type="dxa"/>
            <w:tcBorders>
              <w:top w:val="nil"/>
              <w:left w:val="nil"/>
              <w:bottom w:val="single" w:sz="4" w:space="0" w:color="auto"/>
              <w:right w:val="single" w:sz="4" w:space="0" w:color="auto"/>
            </w:tcBorders>
            <w:shd w:val="clear" w:color="auto" w:fill="auto"/>
            <w:vAlign w:val="bottom"/>
            <w:hideMark/>
          </w:tcPr>
          <w:p w14:paraId="730BFC71" w14:textId="77777777" w:rsidR="000261CF" w:rsidRDefault="000261CF">
            <w:pPr>
              <w:jc w:val="right"/>
              <w:rPr>
                <w:sz w:val="18"/>
                <w:szCs w:val="18"/>
              </w:rPr>
            </w:pPr>
            <w:r>
              <w:rPr>
                <w:sz w:val="18"/>
                <w:szCs w:val="18"/>
              </w:rPr>
              <w:t>$0</w:t>
            </w:r>
          </w:p>
        </w:tc>
        <w:tc>
          <w:tcPr>
            <w:tcW w:w="877" w:type="dxa"/>
            <w:tcBorders>
              <w:top w:val="nil"/>
              <w:left w:val="nil"/>
              <w:bottom w:val="single" w:sz="4" w:space="0" w:color="auto"/>
              <w:right w:val="single" w:sz="4" w:space="0" w:color="auto"/>
            </w:tcBorders>
            <w:shd w:val="clear" w:color="auto" w:fill="auto"/>
            <w:vAlign w:val="bottom"/>
            <w:hideMark/>
          </w:tcPr>
          <w:p w14:paraId="2DE062AE" w14:textId="77777777" w:rsidR="000261CF" w:rsidRDefault="000261CF">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143668C8" w14:textId="77777777" w:rsidR="000261CF" w:rsidRDefault="000261CF" w:rsidP="000F0371">
            <w:pPr>
              <w:jc w:val="right"/>
              <w:rPr>
                <w:sz w:val="18"/>
                <w:szCs w:val="18"/>
              </w:rPr>
            </w:pPr>
            <w:r>
              <w:rPr>
                <w:sz w:val="18"/>
                <w:szCs w:val="18"/>
              </w:rPr>
              <w:t xml:space="preserve">              </w:t>
            </w:r>
            <w:r w:rsidR="00A841C7">
              <w:rPr>
                <w:sz w:val="18"/>
                <w:szCs w:val="18"/>
              </w:rPr>
              <w:t>44</w:t>
            </w:r>
            <w:r w:rsidR="000F0371">
              <w:rPr>
                <w:sz w:val="18"/>
                <w:szCs w:val="18"/>
              </w:rPr>
              <w:t xml:space="preserve"> </w:t>
            </w:r>
          </w:p>
        </w:tc>
        <w:tc>
          <w:tcPr>
            <w:tcW w:w="1193" w:type="dxa"/>
            <w:tcBorders>
              <w:top w:val="nil"/>
              <w:left w:val="nil"/>
              <w:bottom w:val="single" w:sz="4" w:space="0" w:color="auto"/>
              <w:right w:val="single" w:sz="4" w:space="0" w:color="auto"/>
            </w:tcBorders>
            <w:shd w:val="clear" w:color="auto" w:fill="auto"/>
            <w:vAlign w:val="bottom"/>
            <w:hideMark/>
          </w:tcPr>
          <w:p w14:paraId="065E83A5" w14:textId="77777777" w:rsidR="000261CF" w:rsidRDefault="000261CF">
            <w:pPr>
              <w:jc w:val="right"/>
              <w:rPr>
                <w:sz w:val="18"/>
                <w:szCs w:val="18"/>
              </w:rPr>
            </w:pPr>
            <w:r>
              <w:rPr>
                <w:sz w:val="18"/>
                <w:szCs w:val="18"/>
              </w:rPr>
              <w:t xml:space="preserve">            </w:t>
            </w:r>
            <w:r w:rsidR="00A841C7">
              <w:rPr>
                <w:sz w:val="18"/>
                <w:szCs w:val="18"/>
              </w:rPr>
              <w:t>22</w:t>
            </w:r>
            <w:r w:rsidR="000F0371">
              <w:rPr>
                <w:sz w:val="18"/>
                <w:szCs w:val="18"/>
              </w:rPr>
              <w:t>0</w:t>
            </w:r>
            <w:r>
              <w:rPr>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14:paraId="72ED1340" w14:textId="77777777" w:rsidR="000261CF" w:rsidRDefault="000261CF" w:rsidP="000F0371">
            <w:pPr>
              <w:jc w:val="right"/>
              <w:rPr>
                <w:sz w:val="18"/>
                <w:szCs w:val="18"/>
              </w:rPr>
            </w:pPr>
            <w:r>
              <w:rPr>
                <w:sz w:val="18"/>
                <w:szCs w:val="18"/>
              </w:rPr>
              <w:t>$</w:t>
            </w:r>
            <w:r w:rsidR="000F0371">
              <w:rPr>
                <w:sz w:val="18"/>
                <w:szCs w:val="18"/>
              </w:rPr>
              <w:t>1</w:t>
            </w:r>
            <w:r w:rsidR="00A841C7">
              <w:rPr>
                <w:sz w:val="18"/>
                <w:szCs w:val="18"/>
              </w:rPr>
              <w:t>2,980</w:t>
            </w:r>
          </w:p>
        </w:tc>
      </w:tr>
      <w:tr w:rsidR="000261CF" w14:paraId="33FD0BBF" w14:textId="77777777" w:rsidTr="00C770A7">
        <w:trPr>
          <w:trHeight w:val="492"/>
        </w:trPr>
        <w:tc>
          <w:tcPr>
            <w:tcW w:w="2602" w:type="dxa"/>
            <w:tcBorders>
              <w:top w:val="nil"/>
              <w:left w:val="single" w:sz="4" w:space="0" w:color="auto"/>
              <w:bottom w:val="single" w:sz="4" w:space="0" w:color="auto"/>
              <w:right w:val="single" w:sz="4" w:space="0" w:color="auto"/>
            </w:tcBorders>
            <w:shd w:val="clear" w:color="auto" w:fill="auto"/>
            <w:vAlign w:val="center"/>
            <w:hideMark/>
          </w:tcPr>
          <w:p w14:paraId="3B7AEA3D" w14:textId="77777777" w:rsidR="000261CF" w:rsidRDefault="000261CF" w:rsidP="0000663B">
            <w:pPr>
              <w:rPr>
                <w:sz w:val="18"/>
                <w:szCs w:val="18"/>
              </w:rPr>
            </w:pPr>
            <w:r>
              <w:rPr>
                <w:sz w:val="18"/>
                <w:szCs w:val="18"/>
              </w:rPr>
              <w:t>Negotiate / establish Partnership Agreement w</w:t>
            </w:r>
            <w:r w:rsidR="0000663B">
              <w:rPr>
                <w:sz w:val="18"/>
                <w:szCs w:val="18"/>
              </w:rPr>
              <w:t>ith</w:t>
            </w:r>
            <w:r>
              <w:rPr>
                <w:sz w:val="18"/>
                <w:szCs w:val="18"/>
              </w:rPr>
              <w:t xml:space="preserve"> formulator</w:t>
            </w:r>
          </w:p>
        </w:tc>
        <w:tc>
          <w:tcPr>
            <w:tcW w:w="1170" w:type="dxa"/>
            <w:tcBorders>
              <w:top w:val="nil"/>
              <w:left w:val="nil"/>
              <w:bottom w:val="single" w:sz="4" w:space="0" w:color="auto"/>
              <w:right w:val="single" w:sz="4" w:space="0" w:color="auto"/>
            </w:tcBorders>
            <w:shd w:val="clear" w:color="auto" w:fill="auto"/>
            <w:vAlign w:val="bottom"/>
            <w:hideMark/>
          </w:tcPr>
          <w:p w14:paraId="7578F1D6" w14:textId="77777777" w:rsidR="000261CF" w:rsidRDefault="000F0371">
            <w:pPr>
              <w:jc w:val="right"/>
              <w:rPr>
                <w:sz w:val="18"/>
                <w:szCs w:val="18"/>
              </w:rPr>
            </w:pPr>
            <w:r>
              <w:rPr>
                <w:sz w:val="18"/>
                <w:szCs w:val="18"/>
              </w:rPr>
              <w:t>1</w:t>
            </w:r>
            <w:r w:rsidR="000261CF">
              <w:rPr>
                <w:sz w:val="18"/>
                <w:szCs w:val="18"/>
              </w:rPr>
              <w:t xml:space="preserve">.0 </w:t>
            </w:r>
          </w:p>
        </w:tc>
        <w:tc>
          <w:tcPr>
            <w:tcW w:w="990" w:type="dxa"/>
            <w:tcBorders>
              <w:top w:val="nil"/>
              <w:left w:val="nil"/>
              <w:bottom w:val="single" w:sz="4" w:space="0" w:color="auto"/>
              <w:right w:val="single" w:sz="4" w:space="0" w:color="auto"/>
            </w:tcBorders>
            <w:shd w:val="clear" w:color="auto" w:fill="auto"/>
            <w:vAlign w:val="bottom"/>
            <w:hideMark/>
          </w:tcPr>
          <w:p w14:paraId="3BE28A1D" w14:textId="77777777" w:rsidR="000261CF" w:rsidRDefault="000261CF" w:rsidP="000F0371">
            <w:pPr>
              <w:jc w:val="right"/>
              <w:rPr>
                <w:sz w:val="18"/>
                <w:szCs w:val="18"/>
              </w:rPr>
            </w:pPr>
            <w:r>
              <w:rPr>
                <w:sz w:val="18"/>
                <w:szCs w:val="18"/>
              </w:rPr>
              <w:t xml:space="preserve">             </w:t>
            </w:r>
            <w:r w:rsidR="000F0371">
              <w:rPr>
                <w:sz w:val="18"/>
                <w:szCs w:val="18"/>
              </w:rPr>
              <w:t>2</w:t>
            </w:r>
            <w:r>
              <w:rPr>
                <w:sz w:val="18"/>
                <w:szCs w:val="18"/>
              </w:rPr>
              <w:t xml:space="preserve">.0 </w:t>
            </w:r>
          </w:p>
        </w:tc>
        <w:tc>
          <w:tcPr>
            <w:tcW w:w="1170" w:type="dxa"/>
            <w:tcBorders>
              <w:top w:val="nil"/>
              <w:left w:val="nil"/>
              <w:bottom w:val="single" w:sz="4" w:space="0" w:color="auto"/>
              <w:right w:val="single" w:sz="4" w:space="0" w:color="auto"/>
            </w:tcBorders>
            <w:shd w:val="clear" w:color="auto" w:fill="auto"/>
            <w:vAlign w:val="bottom"/>
            <w:hideMark/>
          </w:tcPr>
          <w:p w14:paraId="7CD95F9C" w14:textId="77777777" w:rsidR="000261CF" w:rsidRDefault="000261CF" w:rsidP="000F0371">
            <w:pPr>
              <w:jc w:val="right"/>
              <w:rPr>
                <w:sz w:val="18"/>
                <w:szCs w:val="18"/>
              </w:rPr>
            </w:pPr>
            <w:r>
              <w:rPr>
                <w:sz w:val="18"/>
                <w:szCs w:val="18"/>
              </w:rPr>
              <w:t xml:space="preserve">             </w:t>
            </w:r>
            <w:r w:rsidR="000F0371">
              <w:rPr>
                <w:sz w:val="18"/>
                <w:szCs w:val="18"/>
              </w:rPr>
              <w:t>3</w:t>
            </w:r>
            <w:r>
              <w:rPr>
                <w:sz w:val="18"/>
                <w:szCs w:val="18"/>
              </w:rPr>
              <w:t xml:space="preserve">.0 </w:t>
            </w:r>
          </w:p>
        </w:tc>
        <w:tc>
          <w:tcPr>
            <w:tcW w:w="1283" w:type="dxa"/>
            <w:tcBorders>
              <w:top w:val="nil"/>
              <w:left w:val="nil"/>
              <w:bottom w:val="single" w:sz="4" w:space="0" w:color="auto"/>
              <w:right w:val="single" w:sz="4" w:space="0" w:color="auto"/>
            </w:tcBorders>
            <w:shd w:val="clear" w:color="auto" w:fill="auto"/>
            <w:vAlign w:val="bottom"/>
            <w:hideMark/>
          </w:tcPr>
          <w:p w14:paraId="3A35E526" w14:textId="77777777" w:rsidR="000261CF" w:rsidRDefault="000261CF" w:rsidP="000F0371">
            <w:pPr>
              <w:jc w:val="right"/>
              <w:rPr>
                <w:sz w:val="18"/>
                <w:szCs w:val="18"/>
              </w:rPr>
            </w:pPr>
            <w:r>
              <w:rPr>
                <w:sz w:val="18"/>
                <w:szCs w:val="18"/>
              </w:rPr>
              <w:t>$</w:t>
            </w:r>
            <w:r w:rsidR="000F0371">
              <w:rPr>
                <w:sz w:val="18"/>
                <w:szCs w:val="18"/>
              </w:rPr>
              <w:t>198</w:t>
            </w:r>
          </w:p>
        </w:tc>
        <w:tc>
          <w:tcPr>
            <w:tcW w:w="1260" w:type="dxa"/>
            <w:tcBorders>
              <w:top w:val="nil"/>
              <w:left w:val="nil"/>
              <w:bottom w:val="single" w:sz="4" w:space="0" w:color="auto"/>
              <w:right w:val="single" w:sz="4" w:space="0" w:color="auto"/>
            </w:tcBorders>
            <w:shd w:val="clear" w:color="auto" w:fill="auto"/>
            <w:vAlign w:val="bottom"/>
            <w:hideMark/>
          </w:tcPr>
          <w:p w14:paraId="40A4B7D9" w14:textId="77777777" w:rsidR="000261CF" w:rsidRDefault="000261CF">
            <w:pPr>
              <w:jc w:val="right"/>
              <w:rPr>
                <w:sz w:val="18"/>
                <w:szCs w:val="18"/>
              </w:rPr>
            </w:pPr>
            <w:r>
              <w:rPr>
                <w:sz w:val="18"/>
                <w:szCs w:val="18"/>
              </w:rPr>
              <w:t>$0</w:t>
            </w:r>
          </w:p>
        </w:tc>
        <w:tc>
          <w:tcPr>
            <w:tcW w:w="877" w:type="dxa"/>
            <w:tcBorders>
              <w:top w:val="nil"/>
              <w:left w:val="nil"/>
              <w:bottom w:val="single" w:sz="4" w:space="0" w:color="auto"/>
              <w:right w:val="single" w:sz="4" w:space="0" w:color="auto"/>
            </w:tcBorders>
            <w:shd w:val="clear" w:color="auto" w:fill="auto"/>
            <w:vAlign w:val="bottom"/>
            <w:hideMark/>
          </w:tcPr>
          <w:p w14:paraId="0A2DDFE5" w14:textId="77777777" w:rsidR="000261CF" w:rsidRDefault="000261CF">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1CF3026D" w14:textId="77777777" w:rsidR="000261CF" w:rsidRDefault="000261CF">
            <w:pPr>
              <w:jc w:val="right"/>
              <w:rPr>
                <w:sz w:val="18"/>
                <w:szCs w:val="18"/>
              </w:rPr>
            </w:pPr>
            <w:r>
              <w:rPr>
                <w:sz w:val="18"/>
                <w:szCs w:val="18"/>
              </w:rPr>
              <w:t xml:space="preserve">              </w:t>
            </w:r>
            <w:r w:rsidR="00A841C7">
              <w:rPr>
                <w:sz w:val="18"/>
                <w:szCs w:val="18"/>
              </w:rPr>
              <w:t>44</w:t>
            </w:r>
            <w:r>
              <w:rPr>
                <w:sz w:val="18"/>
                <w:szCs w:val="18"/>
              </w:rPr>
              <w:t xml:space="preserve"> </w:t>
            </w:r>
          </w:p>
        </w:tc>
        <w:tc>
          <w:tcPr>
            <w:tcW w:w="1193" w:type="dxa"/>
            <w:tcBorders>
              <w:top w:val="nil"/>
              <w:left w:val="nil"/>
              <w:bottom w:val="single" w:sz="4" w:space="0" w:color="auto"/>
              <w:right w:val="single" w:sz="4" w:space="0" w:color="auto"/>
            </w:tcBorders>
            <w:shd w:val="clear" w:color="auto" w:fill="auto"/>
            <w:vAlign w:val="bottom"/>
            <w:hideMark/>
          </w:tcPr>
          <w:p w14:paraId="31B0C5D9" w14:textId="77777777" w:rsidR="000261CF" w:rsidRDefault="000261CF" w:rsidP="000F0371">
            <w:pPr>
              <w:jc w:val="right"/>
              <w:rPr>
                <w:sz w:val="18"/>
                <w:szCs w:val="18"/>
              </w:rPr>
            </w:pPr>
            <w:r>
              <w:rPr>
                <w:sz w:val="18"/>
                <w:szCs w:val="18"/>
              </w:rPr>
              <w:t xml:space="preserve">            </w:t>
            </w:r>
            <w:r w:rsidR="000F0371">
              <w:rPr>
                <w:sz w:val="18"/>
                <w:szCs w:val="18"/>
              </w:rPr>
              <w:t>1</w:t>
            </w:r>
            <w:r w:rsidR="00A841C7">
              <w:rPr>
                <w:sz w:val="18"/>
                <w:szCs w:val="18"/>
              </w:rPr>
              <w:t>32</w:t>
            </w:r>
            <w:r>
              <w:rPr>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14:paraId="65A2DCCA" w14:textId="77777777" w:rsidR="000261CF" w:rsidRDefault="000261CF" w:rsidP="000F0371">
            <w:pPr>
              <w:jc w:val="right"/>
              <w:rPr>
                <w:sz w:val="18"/>
                <w:szCs w:val="18"/>
              </w:rPr>
            </w:pPr>
            <w:r>
              <w:rPr>
                <w:sz w:val="18"/>
                <w:szCs w:val="18"/>
              </w:rPr>
              <w:t>$</w:t>
            </w:r>
            <w:r w:rsidR="00A841C7">
              <w:rPr>
                <w:sz w:val="18"/>
                <w:szCs w:val="18"/>
              </w:rPr>
              <w:t>8,712</w:t>
            </w:r>
          </w:p>
        </w:tc>
      </w:tr>
      <w:tr w:rsidR="000261CF" w14:paraId="6731A1B6" w14:textId="77777777" w:rsidTr="00C770A7">
        <w:trPr>
          <w:trHeight w:val="492"/>
        </w:trPr>
        <w:tc>
          <w:tcPr>
            <w:tcW w:w="2602" w:type="dxa"/>
            <w:tcBorders>
              <w:top w:val="nil"/>
              <w:left w:val="single" w:sz="4" w:space="0" w:color="auto"/>
              <w:bottom w:val="single" w:sz="4" w:space="0" w:color="auto"/>
              <w:right w:val="single" w:sz="4" w:space="0" w:color="auto"/>
            </w:tcBorders>
            <w:shd w:val="clear" w:color="auto" w:fill="auto"/>
            <w:vAlign w:val="center"/>
            <w:hideMark/>
          </w:tcPr>
          <w:p w14:paraId="0DB87A7A" w14:textId="77777777" w:rsidR="000261CF" w:rsidRDefault="0000663B" w:rsidP="000261CF">
            <w:pPr>
              <w:rPr>
                <w:sz w:val="18"/>
                <w:szCs w:val="18"/>
              </w:rPr>
            </w:pPr>
            <w:r>
              <w:rPr>
                <w:sz w:val="18"/>
                <w:szCs w:val="18"/>
              </w:rPr>
              <w:t>Review partnership renewal, with</w:t>
            </w:r>
            <w:r w:rsidR="000261CF">
              <w:rPr>
                <w:sz w:val="18"/>
                <w:szCs w:val="18"/>
              </w:rPr>
              <w:t xml:space="preserve"> no changes needed</w:t>
            </w:r>
          </w:p>
        </w:tc>
        <w:tc>
          <w:tcPr>
            <w:tcW w:w="1170" w:type="dxa"/>
            <w:tcBorders>
              <w:top w:val="nil"/>
              <w:left w:val="nil"/>
              <w:bottom w:val="single" w:sz="4" w:space="0" w:color="auto"/>
              <w:right w:val="single" w:sz="4" w:space="0" w:color="auto"/>
            </w:tcBorders>
            <w:shd w:val="clear" w:color="auto" w:fill="auto"/>
            <w:vAlign w:val="bottom"/>
            <w:hideMark/>
          </w:tcPr>
          <w:p w14:paraId="793F56DC" w14:textId="77777777" w:rsidR="000261CF" w:rsidRDefault="000261CF">
            <w:pPr>
              <w:jc w:val="right"/>
              <w:rPr>
                <w:sz w:val="18"/>
                <w:szCs w:val="18"/>
              </w:rPr>
            </w:pPr>
            <w:r>
              <w:rPr>
                <w:sz w:val="18"/>
                <w:szCs w:val="18"/>
              </w:rPr>
              <w:t xml:space="preserve">             1.0 </w:t>
            </w:r>
          </w:p>
        </w:tc>
        <w:tc>
          <w:tcPr>
            <w:tcW w:w="990" w:type="dxa"/>
            <w:tcBorders>
              <w:top w:val="nil"/>
              <w:left w:val="nil"/>
              <w:bottom w:val="single" w:sz="4" w:space="0" w:color="auto"/>
              <w:right w:val="single" w:sz="4" w:space="0" w:color="auto"/>
            </w:tcBorders>
            <w:shd w:val="clear" w:color="auto" w:fill="auto"/>
            <w:vAlign w:val="bottom"/>
            <w:hideMark/>
          </w:tcPr>
          <w:p w14:paraId="0DF42D23" w14:textId="77777777" w:rsidR="000261CF" w:rsidRDefault="000261CF">
            <w:pPr>
              <w:jc w:val="right"/>
              <w:rPr>
                <w:sz w:val="18"/>
                <w:szCs w:val="18"/>
              </w:rPr>
            </w:pPr>
            <w:r>
              <w:rPr>
                <w:sz w:val="18"/>
                <w:szCs w:val="18"/>
              </w:rPr>
              <w:t xml:space="preserve">             1.0 </w:t>
            </w:r>
          </w:p>
        </w:tc>
        <w:tc>
          <w:tcPr>
            <w:tcW w:w="1170" w:type="dxa"/>
            <w:tcBorders>
              <w:top w:val="nil"/>
              <w:left w:val="nil"/>
              <w:bottom w:val="single" w:sz="4" w:space="0" w:color="auto"/>
              <w:right w:val="single" w:sz="4" w:space="0" w:color="auto"/>
            </w:tcBorders>
            <w:shd w:val="clear" w:color="auto" w:fill="auto"/>
            <w:vAlign w:val="bottom"/>
            <w:hideMark/>
          </w:tcPr>
          <w:p w14:paraId="6B744AE3" w14:textId="77777777" w:rsidR="000261CF" w:rsidRDefault="000261CF">
            <w:pPr>
              <w:jc w:val="right"/>
              <w:rPr>
                <w:sz w:val="18"/>
                <w:szCs w:val="18"/>
              </w:rPr>
            </w:pPr>
            <w:r>
              <w:rPr>
                <w:sz w:val="18"/>
                <w:szCs w:val="18"/>
              </w:rPr>
              <w:t xml:space="preserve">             2.0 </w:t>
            </w:r>
          </w:p>
        </w:tc>
        <w:tc>
          <w:tcPr>
            <w:tcW w:w="1283" w:type="dxa"/>
            <w:tcBorders>
              <w:top w:val="nil"/>
              <w:left w:val="nil"/>
              <w:bottom w:val="single" w:sz="4" w:space="0" w:color="auto"/>
              <w:right w:val="single" w:sz="4" w:space="0" w:color="auto"/>
            </w:tcBorders>
            <w:shd w:val="clear" w:color="auto" w:fill="auto"/>
            <w:vAlign w:val="bottom"/>
            <w:hideMark/>
          </w:tcPr>
          <w:p w14:paraId="6769E8FD" w14:textId="77777777" w:rsidR="000261CF" w:rsidRDefault="000261CF" w:rsidP="000F0371">
            <w:pPr>
              <w:jc w:val="right"/>
              <w:rPr>
                <w:sz w:val="18"/>
                <w:szCs w:val="18"/>
              </w:rPr>
            </w:pPr>
            <w:r>
              <w:rPr>
                <w:sz w:val="18"/>
                <w:szCs w:val="18"/>
              </w:rPr>
              <w:t>$</w:t>
            </w:r>
            <w:r w:rsidR="000F0371">
              <w:rPr>
                <w:sz w:val="18"/>
                <w:szCs w:val="18"/>
              </w:rPr>
              <w:t>139</w:t>
            </w:r>
          </w:p>
        </w:tc>
        <w:tc>
          <w:tcPr>
            <w:tcW w:w="1260" w:type="dxa"/>
            <w:tcBorders>
              <w:top w:val="nil"/>
              <w:left w:val="nil"/>
              <w:bottom w:val="single" w:sz="4" w:space="0" w:color="auto"/>
              <w:right w:val="single" w:sz="4" w:space="0" w:color="auto"/>
            </w:tcBorders>
            <w:shd w:val="clear" w:color="auto" w:fill="auto"/>
            <w:vAlign w:val="bottom"/>
            <w:hideMark/>
          </w:tcPr>
          <w:p w14:paraId="651C1BEF" w14:textId="77777777" w:rsidR="000261CF" w:rsidRDefault="000261CF">
            <w:pPr>
              <w:jc w:val="right"/>
              <w:rPr>
                <w:sz w:val="18"/>
                <w:szCs w:val="18"/>
              </w:rPr>
            </w:pPr>
            <w:r>
              <w:rPr>
                <w:sz w:val="18"/>
                <w:szCs w:val="18"/>
              </w:rPr>
              <w:t>$0</w:t>
            </w:r>
          </w:p>
        </w:tc>
        <w:tc>
          <w:tcPr>
            <w:tcW w:w="877" w:type="dxa"/>
            <w:tcBorders>
              <w:top w:val="nil"/>
              <w:left w:val="nil"/>
              <w:bottom w:val="single" w:sz="4" w:space="0" w:color="auto"/>
              <w:right w:val="single" w:sz="4" w:space="0" w:color="auto"/>
            </w:tcBorders>
            <w:shd w:val="clear" w:color="auto" w:fill="auto"/>
            <w:vAlign w:val="bottom"/>
            <w:hideMark/>
          </w:tcPr>
          <w:p w14:paraId="02687A7E" w14:textId="77777777" w:rsidR="000261CF" w:rsidRDefault="000261CF">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7D2FDF01" w14:textId="77777777" w:rsidR="000261CF" w:rsidRDefault="000261CF" w:rsidP="000F0371">
            <w:pPr>
              <w:jc w:val="right"/>
              <w:rPr>
                <w:sz w:val="18"/>
                <w:szCs w:val="18"/>
              </w:rPr>
            </w:pPr>
            <w:r>
              <w:rPr>
                <w:sz w:val="18"/>
                <w:szCs w:val="18"/>
              </w:rPr>
              <w:t xml:space="preserve">              </w:t>
            </w:r>
            <w:r w:rsidR="000F0371">
              <w:rPr>
                <w:sz w:val="18"/>
                <w:szCs w:val="18"/>
              </w:rPr>
              <w:t>36</w:t>
            </w:r>
            <w:r>
              <w:rPr>
                <w:sz w:val="18"/>
                <w:szCs w:val="18"/>
              </w:rPr>
              <w:t xml:space="preserve"> </w:t>
            </w:r>
          </w:p>
        </w:tc>
        <w:tc>
          <w:tcPr>
            <w:tcW w:w="1193" w:type="dxa"/>
            <w:tcBorders>
              <w:top w:val="nil"/>
              <w:left w:val="nil"/>
              <w:bottom w:val="single" w:sz="4" w:space="0" w:color="auto"/>
              <w:right w:val="single" w:sz="4" w:space="0" w:color="auto"/>
            </w:tcBorders>
            <w:shd w:val="clear" w:color="auto" w:fill="auto"/>
            <w:vAlign w:val="bottom"/>
            <w:hideMark/>
          </w:tcPr>
          <w:p w14:paraId="308B2227" w14:textId="77777777" w:rsidR="000261CF" w:rsidRDefault="000261CF">
            <w:pPr>
              <w:jc w:val="right"/>
              <w:rPr>
                <w:sz w:val="18"/>
                <w:szCs w:val="18"/>
              </w:rPr>
            </w:pPr>
            <w:r>
              <w:rPr>
                <w:sz w:val="18"/>
                <w:szCs w:val="18"/>
              </w:rPr>
              <w:t xml:space="preserve">              </w:t>
            </w:r>
            <w:r w:rsidR="000F0371">
              <w:rPr>
                <w:sz w:val="18"/>
                <w:szCs w:val="18"/>
              </w:rPr>
              <w:t>72</w:t>
            </w:r>
            <w:r>
              <w:rPr>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14:paraId="64A9F53A" w14:textId="77777777" w:rsidR="000261CF" w:rsidRDefault="000261CF" w:rsidP="000F0371">
            <w:pPr>
              <w:jc w:val="right"/>
              <w:rPr>
                <w:sz w:val="18"/>
                <w:szCs w:val="18"/>
              </w:rPr>
            </w:pPr>
            <w:r>
              <w:rPr>
                <w:sz w:val="18"/>
                <w:szCs w:val="18"/>
              </w:rPr>
              <w:t>$</w:t>
            </w:r>
            <w:r w:rsidR="000F0371">
              <w:rPr>
                <w:sz w:val="18"/>
                <w:szCs w:val="18"/>
              </w:rPr>
              <w:t>5,004</w:t>
            </w:r>
          </w:p>
        </w:tc>
      </w:tr>
      <w:tr w:rsidR="00B622AC" w14:paraId="2C25F65A" w14:textId="77777777" w:rsidTr="00C770A7">
        <w:trPr>
          <w:trHeight w:val="503"/>
        </w:trPr>
        <w:tc>
          <w:tcPr>
            <w:tcW w:w="2602" w:type="dxa"/>
            <w:tcBorders>
              <w:top w:val="nil"/>
              <w:left w:val="single" w:sz="4" w:space="0" w:color="auto"/>
              <w:bottom w:val="single" w:sz="4" w:space="0" w:color="auto"/>
              <w:right w:val="single" w:sz="4" w:space="0" w:color="auto"/>
            </w:tcBorders>
            <w:shd w:val="clear" w:color="auto" w:fill="auto"/>
            <w:vAlign w:val="center"/>
          </w:tcPr>
          <w:p w14:paraId="7615B5AE" w14:textId="77777777" w:rsidR="00B622AC" w:rsidRPr="00A946B8" w:rsidRDefault="00A946B8" w:rsidP="000261CF">
            <w:pPr>
              <w:rPr>
                <w:iCs/>
                <w:sz w:val="18"/>
                <w:szCs w:val="18"/>
              </w:rPr>
            </w:pPr>
            <w:r w:rsidRPr="00A946B8">
              <w:rPr>
                <w:iCs/>
                <w:sz w:val="18"/>
                <w:szCs w:val="18"/>
              </w:rPr>
              <w:t>Review audit summaries</w:t>
            </w:r>
          </w:p>
        </w:tc>
        <w:tc>
          <w:tcPr>
            <w:tcW w:w="1170" w:type="dxa"/>
            <w:tcBorders>
              <w:top w:val="nil"/>
              <w:left w:val="nil"/>
              <w:bottom w:val="single" w:sz="4" w:space="0" w:color="auto"/>
              <w:right w:val="single" w:sz="4" w:space="0" w:color="auto"/>
            </w:tcBorders>
            <w:shd w:val="clear" w:color="auto" w:fill="auto"/>
            <w:vAlign w:val="bottom"/>
          </w:tcPr>
          <w:p w14:paraId="39E7CA00" w14:textId="77777777" w:rsidR="00B622AC" w:rsidRPr="00A946B8" w:rsidRDefault="00A946B8">
            <w:pPr>
              <w:jc w:val="right"/>
              <w:rPr>
                <w:iCs/>
                <w:sz w:val="18"/>
                <w:szCs w:val="18"/>
              </w:rPr>
            </w:pPr>
            <w:r w:rsidRPr="00A946B8">
              <w:rPr>
                <w:iCs/>
                <w:sz w:val="18"/>
                <w:szCs w:val="18"/>
              </w:rPr>
              <w:t>-</w:t>
            </w:r>
          </w:p>
        </w:tc>
        <w:tc>
          <w:tcPr>
            <w:tcW w:w="990" w:type="dxa"/>
            <w:tcBorders>
              <w:top w:val="nil"/>
              <w:left w:val="nil"/>
              <w:bottom w:val="single" w:sz="4" w:space="0" w:color="auto"/>
              <w:right w:val="single" w:sz="4" w:space="0" w:color="auto"/>
            </w:tcBorders>
            <w:shd w:val="clear" w:color="auto" w:fill="auto"/>
            <w:vAlign w:val="bottom"/>
          </w:tcPr>
          <w:p w14:paraId="0C3D2A29" w14:textId="77777777" w:rsidR="00B622AC" w:rsidRPr="00A946B8" w:rsidRDefault="00A946B8">
            <w:pPr>
              <w:jc w:val="right"/>
              <w:rPr>
                <w:iCs/>
                <w:sz w:val="18"/>
                <w:szCs w:val="18"/>
              </w:rPr>
            </w:pPr>
            <w:r>
              <w:rPr>
                <w:iCs/>
                <w:sz w:val="18"/>
                <w:szCs w:val="18"/>
              </w:rPr>
              <w:t>1.0</w:t>
            </w:r>
          </w:p>
        </w:tc>
        <w:tc>
          <w:tcPr>
            <w:tcW w:w="1170" w:type="dxa"/>
            <w:tcBorders>
              <w:top w:val="nil"/>
              <w:left w:val="nil"/>
              <w:bottom w:val="single" w:sz="4" w:space="0" w:color="auto"/>
              <w:right w:val="single" w:sz="4" w:space="0" w:color="auto"/>
            </w:tcBorders>
            <w:shd w:val="clear" w:color="auto" w:fill="auto"/>
            <w:vAlign w:val="bottom"/>
          </w:tcPr>
          <w:p w14:paraId="2187174D" w14:textId="77777777" w:rsidR="00B622AC" w:rsidRPr="00A946B8" w:rsidRDefault="00A946B8">
            <w:pPr>
              <w:jc w:val="right"/>
              <w:rPr>
                <w:iCs/>
                <w:sz w:val="18"/>
                <w:szCs w:val="18"/>
              </w:rPr>
            </w:pPr>
            <w:r>
              <w:rPr>
                <w:iCs/>
                <w:sz w:val="18"/>
                <w:szCs w:val="18"/>
              </w:rPr>
              <w:t>1.0</w:t>
            </w:r>
          </w:p>
        </w:tc>
        <w:tc>
          <w:tcPr>
            <w:tcW w:w="1283" w:type="dxa"/>
            <w:tcBorders>
              <w:top w:val="nil"/>
              <w:left w:val="nil"/>
              <w:bottom w:val="single" w:sz="4" w:space="0" w:color="auto"/>
              <w:right w:val="single" w:sz="4" w:space="0" w:color="auto"/>
            </w:tcBorders>
            <w:shd w:val="clear" w:color="auto" w:fill="auto"/>
            <w:vAlign w:val="bottom"/>
          </w:tcPr>
          <w:p w14:paraId="5695A57C" w14:textId="77777777" w:rsidR="00B622AC" w:rsidRPr="00A946B8" w:rsidRDefault="00A946B8" w:rsidP="000F0371">
            <w:pPr>
              <w:jc w:val="right"/>
              <w:rPr>
                <w:iCs/>
                <w:sz w:val="18"/>
                <w:szCs w:val="18"/>
              </w:rPr>
            </w:pPr>
            <w:r>
              <w:rPr>
                <w:iCs/>
                <w:sz w:val="18"/>
                <w:szCs w:val="18"/>
              </w:rPr>
              <w:t>$</w:t>
            </w:r>
            <w:r w:rsidR="000F0371">
              <w:rPr>
                <w:iCs/>
                <w:sz w:val="18"/>
                <w:szCs w:val="18"/>
              </w:rPr>
              <w:t>59</w:t>
            </w:r>
          </w:p>
        </w:tc>
        <w:tc>
          <w:tcPr>
            <w:tcW w:w="1260" w:type="dxa"/>
            <w:tcBorders>
              <w:top w:val="nil"/>
              <w:left w:val="nil"/>
              <w:bottom w:val="single" w:sz="4" w:space="0" w:color="auto"/>
              <w:right w:val="single" w:sz="4" w:space="0" w:color="auto"/>
            </w:tcBorders>
            <w:shd w:val="clear" w:color="auto" w:fill="auto"/>
            <w:vAlign w:val="bottom"/>
          </w:tcPr>
          <w:p w14:paraId="45FA6EF2" w14:textId="77777777" w:rsidR="00B622AC" w:rsidRPr="00A946B8" w:rsidRDefault="00A946B8">
            <w:pPr>
              <w:jc w:val="right"/>
              <w:rPr>
                <w:iCs/>
                <w:sz w:val="18"/>
                <w:szCs w:val="18"/>
              </w:rPr>
            </w:pPr>
            <w:r>
              <w:rPr>
                <w:iCs/>
                <w:sz w:val="18"/>
                <w:szCs w:val="18"/>
              </w:rPr>
              <w:t>$0</w:t>
            </w:r>
          </w:p>
        </w:tc>
        <w:tc>
          <w:tcPr>
            <w:tcW w:w="877" w:type="dxa"/>
            <w:tcBorders>
              <w:top w:val="nil"/>
              <w:left w:val="nil"/>
              <w:bottom w:val="single" w:sz="4" w:space="0" w:color="auto"/>
              <w:right w:val="single" w:sz="4" w:space="0" w:color="auto"/>
            </w:tcBorders>
            <w:shd w:val="clear" w:color="auto" w:fill="auto"/>
            <w:vAlign w:val="bottom"/>
          </w:tcPr>
          <w:p w14:paraId="337F1F25" w14:textId="77777777" w:rsidR="00B622AC" w:rsidRPr="00A946B8" w:rsidRDefault="00A946B8">
            <w:pPr>
              <w:jc w:val="right"/>
              <w:rPr>
                <w:iCs/>
                <w:sz w:val="18"/>
                <w:szCs w:val="18"/>
              </w:rPr>
            </w:pPr>
            <w:r>
              <w:rPr>
                <w:iCs/>
                <w:sz w:val="18"/>
                <w:szCs w:val="18"/>
              </w:rPr>
              <w:t>$0</w:t>
            </w:r>
          </w:p>
        </w:tc>
        <w:tc>
          <w:tcPr>
            <w:tcW w:w="1080" w:type="dxa"/>
            <w:tcBorders>
              <w:top w:val="nil"/>
              <w:left w:val="nil"/>
              <w:bottom w:val="single" w:sz="4" w:space="0" w:color="auto"/>
              <w:right w:val="single" w:sz="4" w:space="0" w:color="auto"/>
            </w:tcBorders>
            <w:shd w:val="clear" w:color="auto" w:fill="auto"/>
            <w:vAlign w:val="bottom"/>
          </w:tcPr>
          <w:p w14:paraId="2EDA9121" w14:textId="77777777" w:rsidR="00B622AC" w:rsidRPr="00A946B8" w:rsidRDefault="000F0371">
            <w:pPr>
              <w:jc w:val="right"/>
              <w:rPr>
                <w:iCs/>
                <w:sz w:val="18"/>
                <w:szCs w:val="18"/>
              </w:rPr>
            </w:pPr>
            <w:r>
              <w:rPr>
                <w:iCs/>
                <w:sz w:val="18"/>
                <w:szCs w:val="18"/>
              </w:rPr>
              <w:t>36</w:t>
            </w:r>
          </w:p>
        </w:tc>
        <w:tc>
          <w:tcPr>
            <w:tcW w:w="1193" w:type="dxa"/>
            <w:tcBorders>
              <w:top w:val="nil"/>
              <w:left w:val="nil"/>
              <w:bottom w:val="single" w:sz="4" w:space="0" w:color="auto"/>
              <w:right w:val="single" w:sz="4" w:space="0" w:color="auto"/>
            </w:tcBorders>
            <w:shd w:val="clear" w:color="auto" w:fill="auto"/>
            <w:vAlign w:val="bottom"/>
          </w:tcPr>
          <w:p w14:paraId="11FE6BCB" w14:textId="77777777" w:rsidR="00B622AC" w:rsidRPr="00A946B8" w:rsidRDefault="000F0371" w:rsidP="000F0371">
            <w:pPr>
              <w:jc w:val="right"/>
              <w:rPr>
                <w:iCs/>
                <w:sz w:val="18"/>
                <w:szCs w:val="18"/>
              </w:rPr>
            </w:pPr>
            <w:r>
              <w:rPr>
                <w:iCs/>
                <w:sz w:val="18"/>
                <w:szCs w:val="18"/>
              </w:rPr>
              <w:t>36</w:t>
            </w:r>
          </w:p>
        </w:tc>
        <w:tc>
          <w:tcPr>
            <w:tcW w:w="1260" w:type="dxa"/>
            <w:tcBorders>
              <w:top w:val="nil"/>
              <w:left w:val="nil"/>
              <w:bottom w:val="single" w:sz="4" w:space="0" w:color="auto"/>
              <w:right w:val="single" w:sz="4" w:space="0" w:color="auto"/>
            </w:tcBorders>
            <w:shd w:val="clear" w:color="auto" w:fill="auto"/>
            <w:vAlign w:val="bottom"/>
          </w:tcPr>
          <w:p w14:paraId="687A0530" w14:textId="77777777" w:rsidR="00B622AC" w:rsidRPr="00A946B8" w:rsidRDefault="00803A3D" w:rsidP="000F0371">
            <w:pPr>
              <w:jc w:val="right"/>
              <w:rPr>
                <w:iCs/>
                <w:sz w:val="18"/>
                <w:szCs w:val="18"/>
              </w:rPr>
            </w:pPr>
            <w:r>
              <w:rPr>
                <w:iCs/>
                <w:sz w:val="18"/>
                <w:szCs w:val="18"/>
              </w:rPr>
              <w:t>$</w:t>
            </w:r>
            <w:r w:rsidR="000F0371">
              <w:rPr>
                <w:iCs/>
                <w:sz w:val="18"/>
                <w:szCs w:val="18"/>
              </w:rPr>
              <w:t>2,124</w:t>
            </w:r>
          </w:p>
        </w:tc>
      </w:tr>
      <w:tr w:rsidR="000261CF" w14:paraId="031DC8D8" w14:textId="77777777" w:rsidTr="00C770A7">
        <w:trPr>
          <w:trHeight w:val="503"/>
        </w:trPr>
        <w:tc>
          <w:tcPr>
            <w:tcW w:w="2602" w:type="dxa"/>
            <w:tcBorders>
              <w:top w:val="nil"/>
              <w:left w:val="single" w:sz="4" w:space="0" w:color="auto"/>
              <w:bottom w:val="single" w:sz="4" w:space="0" w:color="auto"/>
              <w:right w:val="single" w:sz="4" w:space="0" w:color="auto"/>
            </w:tcBorders>
            <w:shd w:val="clear" w:color="auto" w:fill="auto"/>
            <w:vAlign w:val="center"/>
            <w:hideMark/>
          </w:tcPr>
          <w:p w14:paraId="4768B476" w14:textId="77777777" w:rsidR="000261CF" w:rsidRDefault="000261CF" w:rsidP="000261CF">
            <w:pPr>
              <w:rPr>
                <w:i/>
                <w:iCs/>
                <w:sz w:val="18"/>
                <w:szCs w:val="18"/>
              </w:rPr>
            </w:pPr>
            <w:r>
              <w:rPr>
                <w:i/>
                <w:iCs/>
                <w:sz w:val="18"/>
                <w:szCs w:val="18"/>
              </w:rPr>
              <w:t>Subtotal</w:t>
            </w:r>
          </w:p>
        </w:tc>
        <w:tc>
          <w:tcPr>
            <w:tcW w:w="1170" w:type="dxa"/>
            <w:tcBorders>
              <w:top w:val="nil"/>
              <w:left w:val="nil"/>
              <w:bottom w:val="single" w:sz="4" w:space="0" w:color="auto"/>
              <w:right w:val="single" w:sz="4" w:space="0" w:color="auto"/>
            </w:tcBorders>
            <w:shd w:val="clear" w:color="auto" w:fill="auto"/>
            <w:vAlign w:val="bottom"/>
            <w:hideMark/>
          </w:tcPr>
          <w:p w14:paraId="16DFDD93" w14:textId="77777777" w:rsidR="000261CF" w:rsidRDefault="000261CF" w:rsidP="000F0371">
            <w:pPr>
              <w:jc w:val="right"/>
              <w:rPr>
                <w:i/>
                <w:iCs/>
                <w:sz w:val="18"/>
                <w:szCs w:val="18"/>
              </w:rPr>
            </w:pPr>
            <w:r>
              <w:rPr>
                <w:i/>
                <w:iCs/>
                <w:sz w:val="18"/>
                <w:szCs w:val="18"/>
              </w:rPr>
              <w:t xml:space="preserve">            </w:t>
            </w:r>
            <w:r w:rsidR="000F0371">
              <w:rPr>
                <w:i/>
                <w:iCs/>
                <w:sz w:val="18"/>
                <w:szCs w:val="18"/>
              </w:rPr>
              <w:t>2</w:t>
            </w:r>
            <w:r>
              <w:rPr>
                <w:i/>
                <w:iCs/>
                <w:sz w:val="18"/>
                <w:szCs w:val="18"/>
              </w:rPr>
              <w:t xml:space="preserve">.0 </w:t>
            </w:r>
          </w:p>
        </w:tc>
        <w:tc>
          <w:tcPr>
            <w:tcW w:w="990" w:type="dxa"/>
            <w:tcBorders>
              <w:top w:val="nil"/>
              <w:left w:val="nil"/>
              <w:bottom w:val="single" w:sz="4" w:space="0" w:color="auto"/>
              <w:right w:val="single" w:sz="4" w:space="0" w:color="auto"/>
            </w:tcBorders>
            <w:shd w:val="clear" w:color="auto" w:fill="auto"/>
            <w:vAlign w:val="bottom"/>
            <w:hideMark/>
          </w:tcPr>
          <w:p w14:paraId="2544078D" w14:textId="77777777" w:rsidR="000261CF" w:rsidRDefault="000261CF" w:rsidP="000F0371">
            <w:pPr>
              <w:jc w:val="right"/>
              <w:rPr>
                <w:i/>
                <w:iCs/>
                <w:sz w:val="18"/>
                <w:szCs w:val="18"/>
              </w:rPr>
            </w:pPr>
            <w:r>
              <w:rPr>
                <w:i/>
                <w:iCs/>
                <w:sz w:val="18"/>
                <w:szCs w:val="18"/>
              </w:rPr>
              <w:t xml:space="preserve">          </w:t>
            </w:r>
            <w:r w:rsidR="000F0371">
              <w:rPr>
                <w:i/>
                <w:iCs/>
                <w:sz w:val="18"/>
                <w:szCs w:val="18"/>
              </w:rPr>
              <w:t>10.0</w:t>
            </w:r>
            <w:r>
              <w:rPr>
                <w:i/>
                <w:iCs/>
                <w:sz w:val="18"/>
                <w:szCs w:val="18"/>
              </w:rPr>
              <w:t xml:space="preserve"> </w:t>
            </w:r>
          </w:p>
        </w:tc>
        <w:tc>
          <w:tcPr>
            <w:tcW w:w="1170" w:type="dxa"/>
            <w:tcBorders>
              <w:top w:val="nil"/>
              <w:left w:val="nil"/>
              <w:bottom w:val="single" w:sz="4" w:space="0" w:color="auto"/>
              <w:right w:val="single" w:sz="4" w:space="0" w:color="auto"/>
            </w:tcBorders>
            <w:shd w:val="clear" w:color="auto" w:fill="auto"/>
            <w:vAlign w:val="bottom"/>
            <w:hideMark/>
          </w:tcPr>
          <w:p w14:paraId="3DE27A13" w14:textId="77777777" w:rsidR="000261CF" w:rsidRDefault="000261CF" w:rsidP="000F0371">
            <w:pPr>
              <w:jc w:val="right"/>
              <w:rPr>
                <w:i/>
                <w:iCs/>
                <w:sz w:val="18"/>
                <w:szCs w:val="18"/>
              </w:rPr>
            </w:pPr>
            <w:r>
              <w:rPr>
                <w:i/>
                <w:iCs/>
                <w:sz w:val="18"/>
                <w:szCs w:val="18"/>
              </w:rPr>
              <w:t xml:space="preserve">          </w:t>
            </w:r>
            <w:r w:rsidR="000F0371">
              <w:rPr>
                <w:i/>
                <w:iCs/>
                <w:sz w:val="18"/>
                <w:szCs w:val="18"/>
              </w:rPr>
              <w:t>12.0</w:t>
            </w:r>
            <w:r>
              <w:rPr>
                <w:i/>
                <w:iCs/>
                <w:sz w:val="18"/>
                <w:szCs w:val="18"/>
              </w:rPr>
              <w:t xml:space="preserve"> </w:t>
            </w:r>
          </w:p>
        </w:tc>
        <w:tc>
          <w:tcPr>
            <w:tcW w:w="1283" w:type="dxa"/>
            <w:tcBorders>
              <w:top w:val="nil"/>
              <w:left w:val="nil"/>
              <w:bottom w:val="single" w:sz="4" w:space="0" w:color="auto"/>
              <w:right w:val="single" w:sz="4" w:space="0" w:color="auto"/>
            </w:tcBorders>
            <w:shd w:val="clear" w:color="auto" w:fill="auto"/>
            <w:vAlign w:val="bottom"/>
            <w:hideMark/>
          </w:tcPr>
          <w:p w14:paraId="3471FA2D" w14:textId="77777777" w:rsidR="000261CF" w:rsidRDefault="000261CF" w:rsidP="000F0371">
            <w:pPr>
              <w:jc w:val="right"/>
              <w:rPr>
                <w:i/>
                <w:iCs/>
                <w:sz w:val="18"/>
                <w:szCs w:val="18"/>
              </w:rPr>
            </w:pPr>
            <w:r>
              <w:rPr>
                <w:i/>
                <w:iCs/>
                <w:sz w:val="18"/>
                <w:szCs w:val="18"/>
              </w:rPr>
              <w:t>$</w:t>
            </w:r>
            <w:r w:rsidR="000F0371">
              <w:rPr>
                <w:i/>
                <w:iCs/>
                <w:sz w:val="18"/>
                <w:szCs w:val="18"/>
              </w:rPr>
              <w:t>750</w:t>
            </w:r>
          </w:p>
        </w:tc>
        <w:tc>
          <w:tcPr>
            <w:tcW w:w="1260" w:type="dxa"/>
            <w:tcBorders>
              <w:top w:val="nil"/>
              <w:left w:val="nil"/>
              <w:bottom w:val="single" w:sz="4" w:space="0" w:color="auto"/>
              <w:right w:val="single" w:sz="4" w:space="0" w:color="auto"/>
            </w:tcBorders>
            <w:shd w:val="clear" w:color="auto" w:fill="auto"/>
            <w:vAlign w:val="bottom"/>
            <w:hideMark/>
          </w:tcPr>
          <w:p w14:paraId="139770EF" w14:textId="77777777" w:rsidR="000261CF" w:rsidRDefault="000261CF">
            <w:pPr>
              <w:jc w:val="right"/>
              <w:rPr>
                <w:i/>
                <w:iCs/>
                <w:sz w:val="18"/>
                <w:szCs w:val="18"/>
              </w:rPr>
            </w:pPr>
            <w:r>
              <w:rPr>
                <w:i/>
                <w:iCs/>
                <w:sz w:val="18"/>
                <w:szCs w:val="18"/>
              </w:rPr>
              <w:t>$0</w:t>
            </w:r>
          </w:p>
        </w:tc>
        <w:tc>
          <w:tcPr>
            <w:tcW w:w="877" w:type="dxa"/>
            <w:tcBorders>
              <w:top w:val="nil"/>
              <w:left w:val="nil"/>
              <w:bottom w:val="single" w:sz="4" w:space="0" w:color="auto"/>
              <w:right w:val="single" w:sz="4" w:space="0" w:color="auto"/>
            </w:tcBorders>
            <w:shd w:val="clear" w:color="auto" w:fill="auto"/>
            <w:vAlign w:val="bottom"/>
            <w:hideMark/>
          </w:tcPr>
          <w:p w14:paraId="33D43979" w14:textId="77777777" w:rsidR="000261CF" w:rsidRDefault="000261CF">
            <w:pPr>
              <w:jc w:val="right"/>
              <w:rPr>
                <w:i/>
                <w:iCs/>
                <w:sz w:val="18"/>
                <w:szCs w:val="18"/>
              </w:rPr>
            </w:pPr>
            <w:r>
              <w:rPr>
                <w:i/>
                <w:iCs/>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6FAD96B8" w14:textId="77777777" w:rsidR="000261CF" w:rsidRDefault="000261CF" w:rsidP="000F0371">
            <w:pPr>
              <w:jc w:val="right"/>
              <w:rPr>
                <w:i/>
                <w:iCs/>
                <w:sz w:val="18"/>
                <w:szCs w:val="18"/>
              </w:rPr>
            </w:pPr>
            <w:r>
              <w:rPr>
                <w:i/>
                <w:iCs/>
                <w:sz w:val="18"/>
                <w:szCs w:val="18"/>
              </w:rPr>
              <w:t xml:space="preserve">             </w:t>
            </w:r>
            <w:r w:rsidR="00A841C7">
              <w:rPr>
                <w:i/>
                <w:iCs/>
                <w:sz w:val="18"/>
                <w:szCs w:val="18"/>
              </w:rPr>
              <w:t>8</w:t>
            </w:r>
            <w:r w:rsidR="000F0371">
              <w:rPr>
                <w:i/>
                <w:iCs/>
                <w:sz w:val="18"/>
                <w:szCs w:val="18"/>
              </w:rPr>
              <w:t>0</w:t>
            </w:r>
            <w:r>
              <w:rPr>
                <w:i/>
                <w:iCs/>
                <w:sz w:val="18"/>
                <w:szCs w:val="18"/>
              </w:rPr>
              <w:t xml:space="preserve"> </w:t>
            </w:r>
          </w:p>
        </w:tc>
        <w:tc>
          <w:tcPr>
            <w:tcW w:w="1193" w:type="dxa"/>
            <w:tcBorders>
              <w:top w:val="nil"/>
              <w:left w:val="nil"/>
              <w:bottom w:val="single" w:sz="4" w:space="0" w:color="auto"/>
              <w:right w:val="single" w:sz="4" w:space="0" w:color="auto"/>
            </w:tcBorders>
            <w:shd w:val="clear" w:color="auto" w:fill="auto"/>
            <w:vAlign w:val="bottom"/>
            <w:hideMark/>
          </w:tcPr>
          <w:p w14:paraId="717C00C9" w14:textId="77777777" w:rsidR="000261CF" w:rsidRDefault="00A841C7" w:rsidP="00E069B1">
            <w:pPr>
              <w:jc w:val="right"/>
              <w:rPr>
                <w:i/>
                <w:iCs/>
                <w:sz w:val="18"/>
                <w:szCs w:val="18"/>
              </w:rPr>
            </w:pPr>
            <w:r>
              <w:rPr>
                <w:i/>
                <w:iCs/>
                <w:sz w:val="18"/>
                <w:szCs w:val="18"/>
              </w:rPr>
              <w:t>504</w:t>
            </w:r>
          </w:p>
        </w:tc>
        <w:tc>
          <w:tcPr>
            <w:tcW w:w="1260" w:type="dxa"/>
            <w:tcBorders>
              <w:top w:val="nil"/>
              <w:left w:val="nil"/>
              <w:bottom w:val="single" w:sz="4" w:space="0" w:color="auto"/>
              <w:right w:val="single" w:sz="4" w:space="0" w:color="auto"/>
            </w:tcBorders>
            <w:shd w:val="clear" w:color="auto" w:fill="auto"/>
            <w:vAlign w:val="bottom"/>
            <w:hideMark/>
          </w:tcPr>
          <w:p w14:paraId="3D37073F" w14:textId="77777777" w:rsidR="000261CF" w:rsidRDefault="000261CF" w:rsidP="000F0371">
            <w:pPr>
              <w:jc w:val="right"/>
              <w:rPr>
                <w:i/>
                <w:iCs/>
                <w:sz w:val="18"/>
                <w:szCs w:val="18"/>
              </w:rPr>
            </w:pPr>
            <w:r>
              <w:rPr>
                <w:i/>
                <w:iCs/>
                <w:sz w:val="18"/>
                <w:szCs w:val="18"/>
              </w:rPr>
              <w:t>$</w:t>
            </w:r>
            <w:r w:rsidR="00A841C7">
              <w:rPr>
                <w:i/>
                <w:iCs/>
                <w:sz w:val="18"/>
                <w:szCs w:val="18"/>
              </w:rPr>
              <w:t>31,416</w:t>
            </w:r>
          </w:p>
        </w:tc>
      </w:tr>
      <w:tr w:rsidR="000261CF" w14:paraId="4F8288B8" w14:textId="77777777" w:rsidTr="00732E1A">
        <w:trPr>
          <w:trHeight w:val="288"/>
        </w:trPr>
        <w:tc>
          <w:tcPr>
            <w:tcW w:w="1288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8AEA87D" w14:textId="77777777" w:rsidR="000261CF" w:rsidRDefault="000261CF" w:rsidP="000261CF">
            <w:pPr>
              <w:rPr>
                <w:b/>
                <w:bCs/>
                <w:sz w:val="18"/>
                <w:szCs w:val="18"/>
              </w:rPr>
            </w:pPr>
            <w:r>
              <w:rPr>
                <w:b/>
                <w:bCs/>
                <w:sz w:val="18"/>
                <w:szCs w:val="18"/>
              </w:rPr>
              <w:t>Adding Third-Party Partners and Products</w:t>
            </w:r>
          </w:p>
        </w:tc>
      </w:tr>
      <w:tr w:rsidR="000261CF" w14:paraId="0666102B" w14:textId="77777777" w:rsidTr="00C770A7">
        <w:trPr>
          <w:trHeight w:val="492"/>
        </w:trPr>
        <w:tc>
          <w:tcPr>
            <w:tcW w:w="2602" w:type="dxa"/>
            <w:tcBorders>
              <w:top w:val="nil"/>
              <w:left w:val="single" w:sz="4" w:space="0" w:color="auto"/>
              <w:bottom w:val="single" w:sz="4" w:space="0" w:color="auto"/>
              <w:right w:val="single" w:sz="4" w:space="0" w:color="auto"/>
            </w:tcBorders>
            <w:shd w:val="clear" w:color="auto" w:fill="auto"/>
            <w:vAlign w:val="center"/>
            <w:hideMark/>
          </w:tcPr>
          <w:p w14:paraId="5DC3EC5C" w14:textId="77777777" w:rsidR="000261CF" w:rsidRDefault="000261CF" w:rsidP="000F0371">
            <w:pPr>
              <w:rPr>
                <w:sz w:val="18"/>
                <w:szCs w:val="18"/>
              </w:rPr>
            </w:pPr>
            <w:r>
              <w:rPr>
                <w:sz w:val="18"/>
                <w:szCs w:val="18"/>
              </w:rPr>
              <w:t xml:space="preserve">Review </w:t>
            </w:r>
            <w:r w:rsidR="000F0371">
              <w:rPr>
                <w:sz w:val="18"/>
                <w:szCs w:val="18"/>
              </w:rPr>
              <w:t xml:space="preserve">Safer Choice </w:t>
            </w:r>
            <w:r w:rsidR="0000663B">
              <w:rPr>
                <w:sz w:val="18"/>
                <w:szCs w:val="18"/>
              </w:rPr>
              <w:t>form for adding third-party partners and products</w:t>
            </w:r>
          </w:p>
        </w:tc>
        <w:tc>
          <w:tcPr>
            <w:tcW w:w="1170" w:type="dxa"/>
            <w:tcBorders>
              <w:top w:val="nil"/>
              <w:left w:val="nil"/>
              <w:bottom w:val="single" w:sz="4" w:space="0" w:color="auto"/>
              <w:right w:val="single" w:sz="4" w:space="0" w:color="auto"/>
            </w:tcBorders>
            <w:shd w:val="clear" w:color="auto" w:fill="auto"/>
            <w:vAlign w:val="bottom"/>
            <w:hideMark/>
          </w:tcPr>
          <w:p w14:paraId="404F6661" w14:textId="77777777" w:rsidR="000261CF" w:rsidRDefault="000261CF">
            <w:pPr>
              <w:jc w:val="right"/>
              <w:rPr>
                <w:sz w:val="18"/>
                <w:szCs w:val="18"/>
              </w:rPr>
            </w:pPr>
            <w:r>
              <w:rPr>
                <w:sz w:val="18"/>
                <w:szCs w:val="18"/>
              </w:rPr>
              <w:t xml:space="preserve">              -   </w:t>
            </w:r>
          </w:p>
        </w:tc>
        <w:tc>
          <w:tcPr>
            <w:tcW w:w="990" w:type="dxa"/>
            <w:tcBorders>
              <w:top w:val="nil"/>
              <w:left w:val="nil"/>
              <w:bottom w:val="single" w:sz="4" w:space="0" w:color="auto"/>
              <w:right w:val="single" w:sz="4" w:space="0" w:color="auto"/>
            </w:tcBorders>
            <w:shd w:val="clear" w:color="auto" w:fill="auto"/>
            <w:vAlign w:val="bottom"/>
            <w:hideMark/>
          </w:tcPr>
          <w:p w14:paraId="411772BA" w14:textId="77777777" w:rsidR="000261CF" w:rsidRDefault="000F0371">
            <w:pPr>
              <w:jc w:val="right"/>
              <w:rPr>
                <w:sz w:val="18"/>
                <w:szCs w:val="18"/>
              </w:rPr>
            </w:pPr>
            <w:r>
              <w:rPr>
                <w:sz w:val="18"/>
                <w:szCs w:val="18"/>
              </w:rPr>
              <w:t>2</w:t>
            </w:r>
            <w:r w:rsidR="000261CF">
              <w:rPr>
                <w:sz w:val="18"/>
                <w:szCs w:val="18"/>
              </w:rPr>
              <w:t xml:space="preserve">.0 </w:t>
            </w:r>
          </w:p>
        </w:tc>
        <w:tc>
          <w:tcPr>
            <w:tcW w:w="1170" w:type="dxa"/>
            <w:tcBorders>
              <w:top w:val="nil"/>
              <w:left w:val="nil"/>
              <w:bottom w:val="single" w:sz="4" w:space="0" w:color="auto"/>
              <w:right w:val="single" w:sz="4" w:space="0" w:color="auto"/>
            </w:tcBorders>
            <w:shd w:val="clear" w:color="auto" w:fill="auto"/>
            <w:vAlign w:val="bottom"/>
            <w:hideMark/>
          </w:tcPr>
          <w:p w14:paraId="3B991B18" w14:textId="77777777" w:rsidR="000261CF" w:rsidRDefault="000F0371">
            <w:pPr>
              <w:jc w:val="right"/>
              <w:rPr>
                <w:sz w:val="18"/>
                <w:szCs w:val="18"/>
              </w:rPr>
            </w:pPr>
            <w:r>
              <w:rPr>
                <w:sz w:val="18"/>
                <w:szCs w:val="18"/>
              </w:rPr>
              <w:t>2.0</w:t>
            </w:r>
          </w:p>
        </w:tc>
        <w:tc>
          <w:tcPr>
            <w:tcW w:w="1283" w:type="dxa"/>
            <w:tcBorders>
              <w:top w:val="nil"/>
              <w:left w:val="nil"/>
              <w:bottom w:val="single" w:sz="4" w:space="0" w:color="auto"/>
              <w:right w:val="single" w:sz="4" w:space="0" w:color="auto"/>
            </w:tcBorders>
            <w:shd w:val="clear" w:color="auto" w:fill="auto"/>
            <w:vAlign w:val="bottom"/>
            <w:hideMark/>
          </w:tcPr>
          <w:p w14:paraId="7BB1332B" w14:textId="77777777" w:rsidR="000261CF" w:rsidRDefault="000261CF" w:rsidP="000F0371">
            <w:pPr>
              <w:jc w:val="right"/>
              <w:rPr>
                <w:sz w:val="18"/>
                <w:szCs w:val="18"/>
              </w:rPr>
            </w:pPr>
            <w:r>
              <w:rPr>
                <w:sz w:val="18"/>
                <w:szCs w:val="18"/>
              </w:rPr>
              <w:t>$</w:t>
            </w:r>
            <w:r w:rsidR="000F0371">
              <w:rPr>
                <w:sz w:val="18"/>
                <w:szCs w:val="18"/>
              </w:rPr>
              <w:t>118</w:t>
            </w:r>
          </w:p>
        </w:tc>
        <w:tc>
          <w:tcPr>
            <w:tcW w:w="1260" w:type="dxa"/>
            <w:tcBorders>
              <w:top w:val="nil"/>
              <w:left w:val="nil"/>
              <w:bottom w:val="single" w:sz="4" w:space="0" w:color="auto"/>
              <w:right w:val="single" w:sz="4" w:space="0" w:color="auto"/>
            </w:tcBorders>
            <w:shd w:val="clear" w:color="auto" w:fill="auto"/>
            <w:vAlign w:val="bottom"/>
            <w:hideMark/>
          </w:tcPr>
          <w:p w14:paraId="5804F573" w14:textId="77777777" w:rsidR="000261CF" w:rsidRDefault="000261CF">
            <w:pPr>
              <w:jc w:val="right"/>
              <w:rPr>
                <w:sz w:val="18"/>
                <w:szCs w:val="18"/>
              </w:rPr>
            </w:pPr>
            <w:r>
              <w:rPr>
                <w:sz w:val="18"/>
                <w:szCs w:val="18"/>
              </w:rPr>
              <w:t>$0</w:t>
            </w:r>
          </w:p>
        </w:tc>
        <w:tc>
          <w:tcPr>
            <w:tcW w:w="877" w:type="dxa"/>
            <w:tcBorders>
              <w:top w:val="nil"/>
              <w:left w:val="nil"/>
              <w:bottom w:val="single" w:sz="4" w:space="0" w:color="auto"/>
              <w:right w:val="single" w:sz="4" w:space="0" w:color="auto"/>
            </w:tcBorders>
            <w:shd w:val="clear" w:color="auto" w:fill="auto"/>
            <w:vAlign w:val="bottom"/>
            <w:hideMark/>
          </w:tcPr>
          <w:p w14:paraId="51492E4B" w14:textId="77777777" w:rsidR="000261CF" w:rsidRDefault="000261CF">
            <w:pPr>
              <w:jc w:val="right"/>
              <w:rPr>
                <w:sz w:val="18"/>
                <w:szCs w:val="18"/>
              </w:rPr>
            </w:pPr>
            <w:r>
              <w:rPr>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14:paraId="7F81D433" w14:textId="77777777" w:rsidR="000261CF" w:rsidRDefault="000261CF" w:rsidP="000F0371">
            <w:pPr>
              <w:jc w:val="right"/>
              <w:rPr>
                <w:sz w:val="18"/>
                <w:szCs w:val="18"/>
              </w:rPr>
            </w:pPr>
            <w:r>
              <w:rPr>
                <w:sz w:val="18"/>
                <w:szCs w:val="18"/>
              </w:rPr>
              <w:t xml:space="preserve">              </w:t>
            </w:r>
            <w:r w:rsidR="000F0371">
              <w:rPr>
                <w:sz w:val="18"/>
                <w:szCs w:val="18"/>
              </w:rPr>
              <w:t xml:space="preserve">77 </w:t>
            </w:r>
          </w:p>
        </w:tc>
        <w:tc>
          <w:tcPr>
            <w:tcW w:w="1193" w:type="dxa"/>
            <w:tcBorders>
              <w:top w:val="nil"/>
              <w:left w:val="nil"/>
              <w:bottom w:val="single" w:sz="4" w:space="0" w:color="auto"/>
              <w:right w:val="single" w:sz="4" w:space="0" w:color="auto"/>
            </w:tcBorders>
            <w:shd w:val="clear" w:color="auto" w:fill="auto"/>
            <w:vAlign w:val="bottom"/>
            <w:hideMark/>
          </w:tcPr>
          <w:p w14:paraId="32B6AA61" w14:textId="77777777" w:rsidR="000261CF" w:rsidRDefault="000261CF">
            <w:pPr>
              <w:jc w:val="right"/>
              <w:rPr>
                <w:sz w:val="18"/>
                <w:szCs w:val="18"/>
              </w:rPr>
            </w:pPr>
            <w:r>
              <w:rPr>
                <w:sz w:val="18"/>
                <w:szCs w:val="18"/>
              </w:rPr>
              <w:t xml:space="preserve">            1</w:t>
            </w:r>
            <w:r w:rsidR="00A841C7">
              <w:rPr>
                <w:sz w:val="18"/>
                <w:szCs w:val="18"/>
              </w:rPr>
              <w:t>54</w:t>
            </w:r>
            <w:r>
              <w:rPr>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14:paraId="24B31CD6" w14:textId="77777777" w:rsidR="000261CF" w:rsidRDefault="000261CF" w:rsidP="000F0371">
            <w:pPr>
              <w:jc w:val="right"/>
              <w:rPr>
                <w:sz w:val="18"/>
                <w:szCs w:val="18"/>
              </w:rPr>
            </w:pPr>
            <w:r>
              <w:rPr>
                <w:sz w:val="18"/>
                <w:szCs w:val="18"/>
              </w:rPr>
              <w:t>$</w:t>
            </w:r>
            <w:r w:rsidR="000F0371">
              <w:rPr>
                <w:sz w:val="18"/>
                <w:szCs w:val="18"/>
              </w:rPr>
              <w:t>9,086</w:t>
            </w:r>
          </w:p>
        </w:tc>
      </w:tr>
      <w:tr w:rsidR="000261CF" w14:paraId="7BE040D8" w14:textId="77777777" w:rsidTr="00C770A7">
        <w:trPr>
          <w:trHeight w:val="449"/>
        </w:trPr>
        <w:tc>
          <w:tcPr>
            <w:tcW w:w="2602" w:type="dxa"/>
            <w:tcBorders>
              <w:top w:val="nil"/>
              <w:left w:val="single" w:sz="4" w:space="0" w:color="auto"/>
              <w:bottom w:val="double" w:sz="6" w:space="0" w:color="auto"/>
              <w:right w:val="single" w:sz="4" w:space="0" w:color="auto"/>
            </w:tcBorders>
            <w:shd w:val="clear" w:color="auto" w:fill="auto"/>
            <w:vAlign w:val="center"/>
            <w:hideMark/>
          </w:tcPr>
          <w:p w14:paraId="1486ED9B" w14:textId="77777777" w:rsidR="000261CF" w:rsidRDefault="000261CF" w:rsidP="000261CF">
            <w:pPr>
              <w:rPr>
                <w:i/>
                <w:iCs/>
                <w:sz w:val="18"/>
                <w:szCs w:val="18"/>
              </w:rPr>
            </w:pPr>
            <w:r>
              <w:rPr>
                <w:i/>
                <w:iCs/>
                <w:sz w:val="18"/>
                <w:szCs w:val="18"/>
              </w:rPr>
              <w:t>Subtotal</w:t>
            </w:r>
          </w:p>
        </w:tc>
        <w:tc>
          <w:tcPr>
            <w:tcW w:w="1170" w:type="dxa"/>
            <w:tcBorders>
              <w:top w:val="nil"/>
              <w:left w:val="nil"/>
              <w:bottom w:val="double" w:sz="6" w:space="0" w:color="auto"/>
              <w:right w:val="single" w:sz="4" w:space="0" w:color="auto"/>
            </w:tcBorders>
            <w:shd w:val="clear" w:color="auto" w:fill="auto"/>
            <w:vAlign w:val="bottom"/>
            <w:hideMark/>
          </w:tcPr>
          <w:p w14:paraId="17561EB0" w14:textId="77777777" w:rsidR="000261CF" w:rsidRDefault="000261CF">
            <w:pPr>
              <w:jc w:val="right"/>
              <w:rPr>
                <w:sz w:val="18"/>
                <w:szCs w:val="18"/>
              </w:rPr>
            </w:pPr>
            <w:r>
              <w:rPr>
                <w:sz w:val="18"/>
                <w:szCs w:val="18"/>
              </w:rPr>
              <w:t xml:space="preserve">              -   </w:t>
            </w:r>
          </w:p>
        </w:tc>
        <w:tc>
          <w:tcPr>
            <w:tcW w:w="990" w:type="dxa"/>
            <w:tcBorders>
              <w:top w:val="nil"/>
              <w:left w:val="nil"/>
              <w:bottom w:val="double" w:sz="6" w:space="0" w:color="auto"/>
              <w:right w:val="single" w:sz="4" w:space="0" w:color="auto"/>
            </w:tcBorders>
            <w:shd w:val="clear" w:color="auto" w:fill="auto"/>
            <w:vAlign w:val="bottom"/>
            <w:hideMark/>
          </w:tcPr>
          <w:p w14:paraId="5DE4156F" w14:textId="77777777" w:rsidR="000261CF" w:rsidRDefault="000261CF" w:rsidP="000F0371">
            <w:pPr>
              <w:jc w:val="right"/>
              <w:rPr>
                <w:i/>
                <w:iCs/>
                <w:sz w:val="18"/>
                <w:szCs w:val="18"/>
              </w:rPr>
            </w:pPr>
            <w:r>
              <w:rPr>
                <w:i/>
                <w:iCs/>
                <w:sz w:val="18"/>
                <w:szCs w:val="18"/>
              </w:rPr>
              <w:t xml:space="preserve">            </w:t>
            </w:r>
            <w:r w:rsidR="000F0371">
              <w:rPr>
                <w:i/>
                <w:iCs/>
                <w:sz w:val="18"/>
                <w:szCs w:val="18"/>
              </w:rPr>
              <w:t>2.0</w:t>
            </w:r>
            <w:r>
              <w:rPr>
                <w:i/>
                <w:iCs/>
                <w:sz w:val="18"/>
                <w:szCs w:val="18"/>
              </w:rPr>
              <w:t xml:space="preserve"> </w:t>
            </w:r>
          </w:p>
        </w:tc>
        <w:tc>
          <w:tcPr>
            <w:tcW w:w="1170" w:type="dxa"/>
            <w:tcBorders>
              <w:top w:val="nil"/>
              <w:left w:val="nil"/>
              <w:bottom w:val="double" w:sz="6" w:space="0" w:color="auto"/>
              <w:right w:val="single" w:sz="4" w:space="0" w:color="auto"/>
            </w:tcBorders>
            <w:shd w:val="clear" w:color="auto" w:fill="auto"/>
            <w:vAlign w:val="bottom"/>
            <w:hideMark/>
          </w:tcPr>
          <w:p w14:paraId="121738D1" w14:textId="77777777" w:rsidR="000261CF" w:rsidRDefault="000F0371">
            <w:pPr>
              <w:jc w:val="right"/>
              <w:rPr>
                <w:i/>
                <w:iCs/>
                <w:sz w:val="18"/>
                <w:szCs w:val="18"/>
              </w:rPr>
            </w:pPr>
            <w:r>
              <w:rPr>
                <w:i/>
                <w:iCs/>
                <w:sz w:val="18"/>
                <w:szCs w:val="18"/>
              </w:rPr>
              <w:t>2.0</w:t>
            </w:r>
          </w:p>
        </w:tc>
        <w:tc>
          <w:tcPr>
            <w:tcW w:w="1283" w:type="dxa"/>
            <w:tcBorders>
              <w:top w:val="nil"/>
              <w:left w:val="nil"/>
              <w:bottom w:val="double" w:sz="6" w:space="0" w:color="auto"/>
              <w:right w:val="single" w:sz="4" w:space="0" w:color="auto"/>
            </w:tcBorders>
            <w:shd w:val="clear" w:color="auto" w:fill="auto"/>
            <w:vAlign w:val="bottom"/>
            <w:hideMark/>
          </w:tcPr>
          <w:p w14:paraId="1FEB5636" w14:textId="77777777" w:rsidR="000261CF" w:rsidRDefault="000261CF">
            <w:pPr>
              <w:jc w:val="right"/>
              <w:rPr>
                <w:i/>
                <w:iCs/>
                <w:sz w:val="18"/>
                <w:szCs w:val="18"/>
              </w:rPr>
            </w:pPr>
            <w:r>
              <w:rPr>
                <w:i/>
                <w:iCs/>
                <w:sz w:val="18"/>
                <w:szCs w:val="18"/>
              </w:rPr>
              <w:t>$</w:t>
            </w:r>
            <w:r w:rsidR="000F0371">
              <w:rPr>
                <w:i/>
                <w:iCs/>
                <w:sz w:val="18"/>
                <w:szCs w:val="18"/>
              </w:rPr>
              <w:t>118</w:t>
            </w:r>
          </w:p>
        </w:tc>
        <w:tc>
          <w:tcPr>
            <w:tcW w:w="1260" w:type="dxa"/>
            <w:tcBorders>
              <w:top w:val="nil"/>
              <w:left w:val="nil"/>
              <w:bottom w:val="double" w:sz="6" w:space="0" w:color="auto"/>
              <w:right w:val="single" w:sz="4" w:space="0" w:color="auto"/>
            </w:tcBorders>
            <w:shd w:val="clear" w:color="auto" w:fill="auto"/>
            <w:vAlign w:val="bottom"/>
            <w:hideMark/>
          </w:tcPr>
          <w:p w14:paraId="22571682" w14:textId="77777777" w:rsidR="000261CF" w:rsidRDefault="000261CF">
            <w:pPr>
              <w:jc w:val="right"/>
              <w:rPr>
                <w:i/>
                <w:iCs/>
                <w:sz w:val="18"/>
                <w:szCs w:val="18"/>
              </w:rPr>
            </w:pPr>
            <w:r>
              <w:rPr>
                <w:i/>
                <w:iCs/>
                <w:sz w:val="18"/>
                <w:szCs w:val="18"/>
              </w:rPr>
              <w:t>$0</w:t>
            </w:r>
          </w:p>
        </w:tc>
        <w:tc>
          <w:tcPr>
            <w:tcW w:w="877" w:type="dxa"/>
            <w:tcBorders>
              <w:top w:val="nil"/>
              <w:left w:val="nil"/>
              <w:bottom w:val="double" w:sz="6" w:space="0" w:color="auto"/>
              <w:right w:val="single" w:sz="4" w:space="0" w:color="auto"/>
            </w:tcBorders>
            <w:shd w:val="clear" w:color="auto" w:fill="auto"/>
            <w:vAlign w:val="bottom"/>
            <w:hideMark/>
          </w:tcPr>
          <w:p w14:paraId="0207383F" w14:textId="77777777" w:rsidR="000261CF" w:rsidRDefault="000261CF">
            <w:pPr>
              <w:jc w:val="right"/>
              <w:rPr>
                <w:i/>
                <w:iCs/>
                <w:sz w:val="18"/>
                <w:szCs w:val="18"/>
              </w:rPr>
            </w:pPr>
            <w:r>
              <w:rPr>
                <w:i/>
                <w:iCs/>
                <w:sz w:val="18"/>
                <w:szCs w:val="18"/>
              </w:rPr>
              <w:t>$0</w:t>
            </w:r>
          </w:p>
        </w:tc>
        <w:tc>
          <w:tcPr>
            <w:tcW w:w="1080" w:type="dxa"/>
            <w:tcBorders>
              <w:top w:val="nil"/>
              <w:left w:val="nil"/>
              <w:bottom w:val="double" w:sz="6" w:space="0" w:color="auto"/>
              <w:right w:val="single" w:sz="4" w:space="0" w:color="auto"/>
            </w:tcBorders>
            <w:shd w:val="clear" w:color="auto" w:fill="auto"/>
            <w:vAlign w:val="bottom"/>
            <w:hideMark/>
          </w:tcPr>
          <w:p w14:paraId="6A057325" w14:textId="77777777" w:rsidR="000261CF" w:rsidRDefault="000261CF">
            <w:pPr>
              <w:jc w:val="right"/>
              <w:rPr>
                <w:i/>
                <w:iCs/>
                <w:sz w:val="18"/>
                <w:szCs w:val="18"/>
              </w:rPr>
            </w:pPr>
            <w:r>
              <w:rPr>
                <w:i/>
                <w:iCs/>
                <w:sz w:val="18"/>
                <w:szCs w:val="18"/>
              </w:rPr>
              <w:t xml:space="preserve">             </w:t>
            </w:r>
            <w:r w:rsidR="000F0371">
              <w:rPr>
                <w:i/>
                <w:iCs/>
                <w:sz w:val="18"/>
                <w:szCs w:val="18"/>
              </w:rPr>
              <w:t>77</w:t>
            </w:r>
            <w:r>
              <w:rPr>
                <w:i/>
                <w:iCs/>
                <w:sz w:val="18"/>
                <w:szCs w:val="18"/>
              </w:rPr>
              <w:t xml:space="preserve"> </w:t>
            </w:r>
          </w:p>
        </w:tc>
        <w:tc>
          <w:tcPr>
            <w:tcW w:w="1193" w:type="dxa"/>
            <w:tcBorders>
              <w:top w:val="nil"/>
              <w:left w:val="nil"/>
              <w:bottom w:val="double" w:sz="6" w:space="0" w:color="auto"/>
              <w:right w:val="single" w:sz="4" w:space="0" w:color="auto"/>
            </w:tcBorders>
            <w:shd w:val="clear" w:color="auto" w:fill="auto"/>
            <w:vAlign w:val="bottom"/>
            <w:hideMark/>
          </w:tcPr>
          <w:p w14:paraId="6E1F3D5D" w14:textId="77777777" w:rsidR="000261CF" w:rsidRDefault="000261CF">
            <w:pPr>
              <w:jc w:val="right"/>
              <w:rPr>
                <w:i/>
                <w:iCs/>
                <w:sz w:val="18"/>
                <w:szCs w:val="18"/>
              </w:rPr>
            </w:pPr>
            <w:r>
              <w:rPr>
                <w:i/>
                <w:iCs/>
                <w:sz w:val="18"/>
                <w:szCs w:val="18"/>
              </w:rPr>
              <w:t xml:space="preserve">           1</w:t>
            </w:r>
            <w:r w:rsidR="00A841C7">
              <w:rPr>
                <w:i/>
                <w:iCs/>
                <w:sz w:val="18"/>
                <w:szCs w:val="18"/>
              </w:rPr>
              <w:t>54</w:t>
            </w:r>
            <w:r>
              <w:rPr>
                <w:i/>
                <w:iCs/>
                <w:sz w:val="18"/>
                <w:szCs w:val="18"/>
              </w:rPr>
              <w:t xml:space="preserve"> </w:t>
            </w:r>
          </w:p>
        </w:tc>
        <w:tc>
          <w:tcPr>
            <w:tcW w:w="1260" w:type="dxa"/>
            <w:tcBorders>
              <w:top w:val="nil"/>
              <w:left w:val="nil"/>
              <w:bottom w:val="double" w:sz="6" w:space="0" w:color="auto"/>
              <w:right w:val="single" w:sz="4" w:space="0" w:color="auto"/>
            </w:tcBorders>
            <w:shd w:val="clear" w:color="auto" w:fill="auto"/>
            <w:vAlign w:val="bottom"/>
            <w:hideMark/>
          </w:tcPr>
          <w:p w14:paraId="3F821158" w14:textId="77777777" w:rsidR="000261CF" w:rsidRDefault="000261CF" w:rsidP="000F0371">
            <w:pPr>
              <w:jc w:val="right"/>
              <w:rPr>
                <w:i/>
                <w:iCs/>
                <w:sz w:val="18"/>
                <w:szCs w:val="18"/>
              </w:rPr>
            </w:pPr>
            <w:r>
              <w:rPr>
                <w:i/>
                <w:iCs/>
                <w:sz w:val="18"/>
                <w:szCs w:val="18"/>
              </w:rPr>
              <w:t>$</w:t>
            </w:r>
            <w:r w:rsidR="000F0371">
              <w:rPr>
                <w:i/>
                <w:iCs/>
                <w:sz w:val="18"/>
                <w:szCs w:val="18"/>
              </w:rPr>
              <w:t>9,086</w:t>
            </w:r>
          </w:p>
        </w:tc>
      </w:tr>
      <w:tr w:rsidR="000261CF" w14:paraId="4BA82728" w14:textId="77777777" w:rsidTr="00C770A7">
        <w:trPr>
          <w:trHeight w:val="300"/>
        </w:trPr>
        <w:tc>
          <w:tcPr>
            <w:tcW w:w="2602" w:type="dxa"/>
            <w:tcBorders>
              <w:top w:val="nil"/>
              <w:left w:val="single" w:sz="4" w:space="0" w:color="auto"/>
              <w:bottom w:val="single" w:sz="4" w:space="0" w:color="auto"/>
              <w:right w:val="single" w:sz="4" w:space="0" w:color="auto"/>
            </w:tcBorders>
            <w:shd w:val="clear" w:color="auto" w:fill="auto"/>
            <w:vAlign w:val="center"/>
            <w:hideMark/>
          </w:tcPr>
          <w:p w14:paraId="6524A38A" w14:textId="77777777" w:rsidR="000261CF" w:rsidRDefault="000261CF" w:rsidP="000261CF">
            <w:pPr>
              <w:rPr>
                <w:b/>
                <w:bCs/>
                <w:sz w:val="18"/>
                <w:szCs w:val="18"/>
              </w:rPr>
            </w:pPr>
            <w:r>
              <w:rPr>
                <w:b/>
                <w:bCs/>
                <w:sz w:val="18"/>
                <w:szCs w:val="18"/>
              </w:rPr>
              <w:t>TOTAL</w:t>
            </w:r>
          </w:p>
        </w:tc>
        <w:tc>
          <w:tcPr>
            <w:tcW w:w="6750" w:type="dxa"/>
            <w:gridSpan w:val="6"/>
            <w:tcBorders>
              <w:top w:val="nil"/>
              <w:left w:val="nil"/>
              <w:bottom w:val="single" w:sz="4" w:space="0" w:color="auto"/>
              <w:right w:val="single" w:sz="4" w:space="0" w:color="auto"/>
            </w:tcBorders>
            <w:shd w:val="clear" w:color="auto" w:fill="auto"/>
            <w:vAlign w:val="bottom"/>
            <w:hideMark/>
          </w:tcPr>
          <w:p w14:paraId="49A2D5C0" w14:textId="77777777" w:rsidR="000261CF" w:rsidRDefault="000261CF">
            <w:pPr>
              <w:jc w:val="center"/>
              <w:rPr>
                <w:b/>
                <w:bCs/>
                <w:sz w:val="18"/>
                <w:szCs w:val="18"/>
              </w:rPr>
            </w:pPr>
            <w:r>
              <w:rPr>
                <w:b/>
                <w:bCs/>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14:paraId="06EF00D1" w14:textId="77777777" w:rsidR="000261CF" w:rsidRPr="00CF7734" w:rsidRDefault="00CF7734" w:rsidP="00CF7734">
            <w:pPr>
              <w:jc w:val="right"/>
              <w:rPr>
                <w:b/>
                <w:bCs/>
                <w:i/>
                <w:iCs/>
                <w:sz w:val="18"/>
                <w:szCs w:val="18"/>
              </w:rPr>
            </w:pPr>
            <w:r>
              <w:rPr>
                <w:b/>
                <w:bCs/>
                <w:i/>
                <w:iCs/>
                <w:sz w:val="18"/>
                <w:szCs w:val="18"/>
              </w:rPr>
              <w:t>157</w:t>
            </w:r>
            <w:r w:rsidR="000261CF" w:rsidRPr="00CF7734">
              <w:rPr>
                <w:b/>
                <w:bCs/>
                <w:i/>
                <w:iCs/>
                <w:sz w:val="18"/>
                <w:szCs w:val="18"/>
              </w:rPr>
              <w:t xml:space="preserve"> </w:t>
            </w:r>
          </w:p>
        </w:tc>
        <w:tc>
          <w:tcPr>
            <w:tcW w:w="1193" w:type="dxa"/>
            <w:tcBorders>
              <w:top w:val="nil"/>
              <w:left w:val="nil"/>
              <w:bottom w:val="single" w:sz="4" w:space="0" w:color="auto"/>
              <w:right w:val="single" w:sz="4" w:space="0" w:color="auto"/>
            </w:tcBorders>
            <w:shd w:val="clear" w:color="auto" w:fill="auto"/>
            <w:vAlign w:val="bottom"/>
            <w:hideMark/>
          </w:tcPr>
          <w:p w14:paraId="19FF1224" w14:textId="77777777" w:rsidR="000261CF" w:rsidRDefault="000F0371" w:rsidP="00E069B1">
            <w:pPr>
              <w:jc w:val="right"/>
              <w:rPr>
                <w:b/>
                <w:bCs/>
                <w:i/>
                <w:iCs/>
                <w:sz w:val="18"/>
                <w:szCs w:val="18"/>
              </w:rPr>
            </w:pPr>
            <w:r>
              <w:rPr>
                <w:b/>
                <w:bCs/>
                <w:i/>
                <w:iCs/>
                <w:sz w:val="18"/>
                <w:szCs w:val="18"/>
              </w:rPr>
              <w:t>6</w:t>
            </w:r>
            <w:r w:rsidR="00A841C7">
              <w:rPr>
                <w:b/>
                <w:bCs/>
                <w:i/>
                <w:iCs/>
                <w:sz w:val="18"/>
                <w:szCs w:val="18"/>
              </w:rPr>
              <w:t>58</w:t>
            </w:r>
            <w:r w:rsidR="000261CF">
              <w:rPr>
                <w:b/>
                <w:bCs/>
                <w:i/>
                <w:iCs/>
                <w:sz w:val="18"/>
                <w:szCs w:val="18"/>
              </w:rPr>
              <w:t xml:space="preserve"> </w:t>
            </w:r>
          </w:p>
        </w:tc>
        <w:tc>
          <w:tcPr>
            <w:tcW w:w="1260" w:type="dxa"/>
            <w:tcBorders>
              <w:top w:val="nil"/>
              <w:left w:val="nil"/>
              <w:bottom w:val="single" w:sz="4" w:space="0" w:color="auto"/>
              <w:right w:val="single" w:sz="4" w:space="0" w:color="auto"/>
            </w:tcBorders>
            <w:shd w:val="clear" w:color="auto" w:fill="auto"/>
            <w:vAlign w:val="bottom"/>
            <w:hideMark/>
          </w:tcPr>
          <w:p w14:paraId="6967BC1A" w14:textId="77777777" w:rsidR="000261CF" w:rsidRDefault="000261CF" w:rsidP="000F0371">
            <w:pPr>
              <w:jc w:val="right"/>
              <w:rPr>
                <w:b/>
                <w:bCs/>
                <w:i/>
                <w:iCs/>
                <w:sz w:val="18"/>
                <w:szCs w:val="18"/>
              </w:rPr>
            </w:pPr>
            <w:r>
              <w:rPr>
                <w:b/>
                <w:bCs/>
                <w:i/>
                <w:iCs/>
                <w:sz w:val="18"/>
                <w:szCs w:val="18"/>
              </w:rPr>
              <w:t>$</w:t>
            </w:r>
            <w:r w:rsidR="00A841C7">
              <w:rPr>
                <w:b/>
                <w:bCs/>
                <w:i/>
                <w:iCs/>
                <w:sz w:val="18"/>
                <w:szCs w:val="18"/>
              </w:rPr>
              <w:t>40,502</w:t>
            </w:r>
          </w:p>
        </w:tc>
      </w:tr>
    </w:tbl>
    <w:p w14:paraId="0CF31116" w14:textId="77777777" w:rsidR="001B7421" w:rsidRDefault="00AB6F64" w:rsidP="00AB6F64">
      <w:pPr>
        <w:rPr>
          <w:lang w:val="en-CA"/>
        </w:rPr>
      </w:pPr>
      <w:r>
        <w:rPr>
          <w:rFonts w:cs="Courier"/>
          <w:color w:val="000000"/>
          <w:sz w:val="20"/>
          <w:szCs w:val="20"/>
        </w:rPr>
        <w:t xml:space="preserve"> </w:t>
      </w:r>
      <w:r w:rsidR="001B7421" w:rsidRPr="00FE4AC8">
        <w:rPr>
          <w:rFonts w:cs="Courier"/>
          <w:color w:val="000000"/>
          <w:sz w:val="20"/>
          <w:szCs w:val="20"/>
        </w:rPr>
        <w:t>*</w:t>
      </w:r>
      <w:r w:rsidR="001B7421" w:rsidRPr="00FE4AC8">
        <w:rPr>
          <w:rFonts w:cs="Courier"/>
          <w:color w:val="000000"/>
          <w:sz w:val="18"/>
          <w:szCs w:val="18"/>
        </w:rPr>
        <w:t xml:space="preserve">This column reports the number of respondents after accounting for the partnership renewal process.  Assumes that one in ten formulators will need to </w:t>
      </w:r>
      <w:r w:rsidR="001B7421" w:rsidRPr="00FE4AC8">
        <w:rPr>
          <w:sz w:val="18"/>
          <w:szCs w:val="18"/>
        </w:rPr>
        <w:t>make changes to their formulations and go through a new partnership process which includes same collection steps</w:t>
      </w:r>
      <w:r w:rsidR="00A841C7" w:rsidRPr="00FE4AC8">
        <w:rPr>
          <w:sz w:val="18"/>
          <w:szCs w:val="18"/>
        </w:rPr>
        <w:t>, i.e</w:t>
      </w:r>
      <w:r w:rsidR="00FE4AC8">
        <w:rPr>
          <w:sz w:val="18"/>
          <w:szCs w:val="18"/>
        </w:rPr>
        <w:t xml:space="preserve">. 4, for a total of 44 annually. </w:t>
      </w:r>
      <w:r w:rsidR="00A839D5" w:rsidRPr="00FE4AC8">
        <w:rPr>
          <w:sz w:val="18"/>
          <w:szCs w:val="18"/>
        </w:rPr>
        <w:t xml:space="preserve">Assumes that </w:t>
      </w:r>
      <w:r w:rsidR="005773CD" w:rsidRPr="00FE4AC8">
        <w:rPr>
          <w:sz w:val="18"/>
          <w:szCs w:val="18"/>
        </w:rPr>
        <w:t>77</w:t>
      </w:r>
      <w:r w:rsidR="007941FE" w:rsidRPr="00FE4AC8">
        <w:rPr>
          <w:sz w:val="18"/>
          <w:szCs w:val="18"/>
        </w:rPr>
        <w:t xml:space="preserve"> </w:t>
      </w:r>
      <w:r w:rsidR="00A839D5" w:rsidRPr="00FE4AC8">
        <w:rPr>
          <w:sz w:val="18"/>
          <w:szCs w:val="18"/>
        </w:rPr>
        <w:t xml:space="preserve">partners will fill out </w:t>
      </w:r>
      <w:r w:rsidR="00F03EAD" w:rsidRPr="00FE4AC8">
        <w:rPr>
          <w:sz w:val="18"/>
          <w:szCs w:val="18"/>
        </w:rPr>
        <w:t>third-party partners and products</w:t>
      </w:r>
      <w:r w:rsidR="001A24C3" w:rsidRPr="00FE4AC8">
        <w:rPr>
          <w:sz w:val="18"/>
          <w:szCs w:val="18"/>
        </w:rPr>
        <w:t xml:space="preserve"> forms</w:t>
      </w:r>
      <w:r w:rsidR="007E011B" w:rsidRPr="00FE4AC8">
        <w:rPr>
          <w:sz w:val="18"/>
          <w:szCs w:val="18"/>
        </w:rPr>
        <w:t xml:space="preserve"> based on historical data</w:t>
      </w:r>
      <w:r w:rsidR="00943705" w:rsidRPr="00FE4AC8">
        <w:rPr>
          <w:sz w:val="18"/>
          <w:szCs w:val="18"/>
        </w:rPr>
        <w:t>.</w:t>
      </w:r>
      <w:r w:rsidR="00F03EAD">
        <w:rPr>
          <w:sz w:val="18"/>
          <w:szCs w:val="18"/>
        </w:rPr>
        <w:t xml:space="preserve"> </w:t>
      </w:r>
      <w:r w:rsidR="001B7421" w:rsidRPr="00E3118C">
        <w:rPr>
          <w:sz w:val="18"/>
          <w:szCs w:val="18"/>
        </w:rPr>
        <w:t xml:space="preserve">  </w:t>
      </w:r>
    </w:p>
    <w:p w14:paraId="63E32D84" w14:textId="77777777" w:rsidR="001B7421" w:rsidRPr="00403A49" w:rsidRDefault="001B7421" w:rsidP="001B7421">
      <w:pPr>
        <w:rPr>
          <w:lang w:val="en-CA"/>
        </w:rPr>
        <w:sectPr w:rsidR="001B7421" w:rsidRPr="00403A49" w:rsidSect="00AB6F64">
          <w:pgSz w:w="15840" w:h="12240" w:orient="landscape"/>
          <w:pgMar w:top="1440" w:right="1440" w:bottom="900" w:left="900" w:header="720" w:footer="720" w:gutter="0"/>
          <w:cols w:space="720"/>
          <w:docGrid w:linePitch="360"/>
        </w:sectPr>
      </w:pPr>
    </w:p>
    <w:p w14:paraId="1D560775" w14:textId="77777777" w:rsidR="001B7421" w:rsidRPr="00A8297E" w:rsidRDefault="001B7421" w:rsidP="001B7421">
      <w:pPr>
        <w:pStyle w:val="Heading2"/>
        <w:ind w:firstLine="720"/>
        <w:jc w:val="left"/>
        <w:rPr>
          <w:sz w:val="24"/>
          <w:szCs w:val="24"/>
        </w:rPr>
      </w:pPr>
      <w:r w:rsidRPr="00A8297E">
        <w:rPr>
          <w:sz w:val="24"/>
          <w:szCs w:val="24"/>
          <w:lang w:val="en-CA"/>
        </w:rPr>
        <w:fldChar w:fldCharType="begin"/>
      </w:r>
      <w:r w:rsidRPr="00A8297E">
        <w:rPr>
          <w:sz w:val="24"/>
          <w:szCs w:val="24"/>
          <w:lang w:val="en-CA"/>
        </w:rPr>
        <w:instrText xml:space="preserve"> SEQ CHAPTER \h \r 1</w:instrText>
      </w:r>
      <w:r w:rsidRPr="00A8297E">
        <w:rPr>
          <w:sz w:val="24"/>
          <w:szCs w:val="24"/>
          <w:lang w:val="en-CA"/>
        </w:rPr>
        <w:fldChar w:fldCharType="end"/>
      </w:r>
      <w:bookmarkStart w:id="58" w:name="_Toc227390394"/>
      <w:bookmarkStart w:id="59" w:name="_Toc442977124"/>
      <w:bookmarkStart w:id="60" w:name="_Toc160347332"/>
      <w:r w:rsidRPr="00A8297E">
        <w:rPr>
          <w:sz w:val="24"/>
          <w:szCs w:val="24"/>
        </w:rPr>
        <w:t>6(</w:t>
      </w:r>
      <w:r w:rsidR="003B554C" w:rsidRPr="00A8297E">
        <w:rPr>
          <w:sz w:val="24"/>
          <w:szCs w:val="24"/>
        </w:rPr>
        <w:t>e</w:t>
      </w:r>
      <w:r w:rsidRPr="00A8297E">
        <w:rPr>
          <w:sz w:val="24"/>
          <w:szCs w:val="24"/>
        </w:rPr>
        <w:t>)</w:t>
      </w:r>
      <w:r w:rsidRPr="00A8297E">
        <w:rPr>
          <w:sz w:val="24"/>
          <w:szCs w:val="24"/>
        </w:rPr>
        <w:tab/>
        <w:t>Estimating the Respondent Universe and Total Burden and Costs</w:t>
      </w:r>
      <w:bookmarkEnd w:id="58"/>
      <w:bookmarkEnd w:id="59"/>
    </w:p>
    <w:bookmarkEnd w:id="60"/>
    <w:p w14:paraId="0868D991" w14:textId="77777777" w:rsidR="008559BE" w:rsidRPr="00A8297E" w:rsidRDefault="008559BE" w:rsidP="001B7421"/>
    <w:p w14:paraId="396F3CC9" w14:textId="77777777" w:rsidR="001B7421" w:rsidRDefault="00887177" w:rsidP="00887177">
      <w:pPr>
        <w:ind w:firstLine="720"/>
      </w:pPr>
      <w:r w:rsidRPr="00887177">
        <w:t>EPA estimates that 120 formulators will submit applications over the thr</w:t>
      </w:r>
      <w:r w:rsidR="00545193">
        <w:t xml:space="preserve">ee-year life of the clearance. </w:t>
      </w:r>
      <w:r w:rsidRPr="00887177">
        <w:t>EPA expects the participation will ramp up over the three year period but</w:t>
      </w:r>
      <w:r>
        <w:t>,</w:t>
      </w:r>
      <w:r w:rsidRPr="00887177">
        <w:t xml:space="preserve"> for the purposes of estimating annual cost and burden in Exhibit 6.2, it is assumed that 40 product formulator application</w:t>
      </w:r>
      <w:r w:rsidR="004B41B5">
        <w:t xml:space="preserve">s will be submitted each year. </w:t>
      </w:r>
      <w:r w:rsidRPr="00887177">
        <w:t>This estimate is based on historical data and the assumption that participation will increase over the next three years in response to greater consumer demand for safer products and increased awareness of the Safer Choice label. EPA also expects 40 renewals per year, 10% of which will need to make changes to formulations and go through a new partnership process. Additionally, EPA estimates that 77 applications will be received annually to add third-party partners and products. This estimate is based on the average number of partners that submitted third-party partners and products applications over the past five years (62) and is expected to increase over the course of this ICR period due to the new label (25%). Therefore, it is estimated that a total of 157 respondents will submit applications under the Formulator program each year. The annual burden hours and cost associated with this information collection are 1,596 hours and $652,359 respectively.</w:t>
      </w:r>
    </w:p>
    <w:p w14:paraId="7B7BABD4" w14:textId="77777777" w:rsidR="00887177" w:rsidRPr="00A8297E" w:rsidRDefault="00887177" w:rsidP="001B7421"/>
    <w:p w14:paraId="527BE8CA" w14:textId="77777777" w:rsidR="001B7421" w:rsidRPr="00A8297E" w:rsidRDefault="001B7421" w:rsidP="001B7421">
      <w:pPr>
        <w:pStyle w:val="Heading2"/>
        <w:jc w:val="left"/>
        <w:rPr>
          <w:sz w:val="24"/>
          <w:szCs w:val="24"/>
        </w:rPr>
      </w:pPr>
      <w:r w:rsidRPr="00A8297E">
        <w:rPr>
          <w:i/>
          <w:iCs/>
          <w:sz w:val="24"/>
          <w:szCs w:val="24"/>
          <w:lang w:val="en-CA"/>
        </w:rPr>
        <w:fldChar w:fldCharType="begin"/>
      </w:r>
      <w:r w:rsidRPr="00A8297E">
        <w:rPr>
          <w:i/>
          <w:iCs/>
          <w:sz w:val="24"/>
          <w:szCs w:val="24"/>
          <w:lang w:val="en-CA"/>
        </w:rPr>
        <w:instrText xml:space="preserve"> SEQ CHAPTER \h \r 1</w:instrText>
      </w:r>
      <w:r w:rsidRPr="00A8297E">
        <w:rPr>
          <w:i/>
          <w:iCs/>
          <w:sz w:val="24"/>
          <w:szCs w:val="24"/>
          <w:lang w:val="en-CA"/>
        </w:rPr>
        <w:fldChar w:fldCharType="end"/>
      </w:r>
      <w:r w:rsidRPr="00A8297E">
        <w:rPr>
          <w:sz w:val="24"/>
          <w:szCs w:val="24"/>
        </w:rPr>
        <w:tab/>
      </w:r>
      <w:bookmarkStart w:id="61" w:name="_Toc160347333"/>
      <w:bookmarkStart w:id="62" w:name="_Toc227390395"/>
      <w:bookmarkStart w:id="63" w:name="_Toc442977125"/>
      <w:r w:rsidRPr="00A8297E">
        <w:rPr>
          <w:sz w:val="24"/>
          <w:szCs w:val="24"/>
        </w:rPr>
        <w:t>6(</w:t>
      </w:r>
      <w:r w:rsidR="003B554C" w:rsidRPr="00A8297E">
        <w:rPr>
          <w:sz w:val="24"/>
          <w:szCs w:val="24"/>
        </w:rPr>
        <w:t>f</w:t>
      </w:r>
      <w:r w:rsidRPr="00A8297E">
        <w:rPr>
          <w:sz w:val="24"/>
          <w:szCs w:val="24"/>
        </w:rPr>
        <w:t>)</w:t>
      </w:r>
      <w:r w:rsidRPr="00A8297E">
        <w:rPr>
          <w:sz w:val="24"/>
          <w:szCs w:val="24"/>
        </w:rPr>
        <w:tab/>
        <w:t>Bottom Line Burden Hours and Cost Tables</w:t>
      </w:r>
      <w:bookmarkEnd w:id="61"/>
      <w:bookmarkEnd w:id="62"/>
      <w:bookmarkEnd w:id="63"/>
    </w:p>
    <w:p w14:paraId="769E6220" w14:textId="77777777" w:rsidR="001B7421" w:rsidRPr="00A8297E" w:rsidRDefault="001B7421" w:rsidP="001B7421"/>
    <w:p w14:paraId="3527502D" w14:textId="77777777" w:rsidR="001B7421" w:rsidRPr="00A8297E" w:rsidRDefault="001B7421" w:rsidP="001B7421">
      <w:pPr>
        <w:ind w:firstLine="720"/>
      </w:pPr>
      <w:r w:rsidRPr="00A8297E">
        <w:t>a.</w:t>
      </w:r>
      <w:r w:rsidRPr="00A8297E">
        <w:tab/>
        <w:t>Respondent Tally</w:t>
      </w:r>
    </w:p>
    <w:p w14:paraId="403B8D36" w14:textId="77777777" w:rsidR="001B7421" w:rsidRPr="00A8297E" w:rsidRDefault="001B7421" w:rsidP="001B7421"/>
    <w:p w14:paraId="47A539AB" w14:textId="77777777" w:rsidR="001B7421" w:rsidRPr="00A8297E" w:rsidRDefault="001B7421" w:rsidP="002A6AE6">
      <w:pPr>
        <w:ind w:firstLine="720"/>
      </w:pPr>
      <w:r w:rsidRPr="00A8297E">
        <w:t>Exhibit 6.4 below summarizes the total annual estimat</w:t>
      </w:r>
      <w:r w:rsidR="006D4106">
        <w:t xml:space="preserve">ed respondent burden and cost. </w:t>
      </w:r>
      <w:r w:rsidRPr="00A8297E">
        <w:t>These estimates represent the average burden in any given year over the three years covered by this ICR.</w:t>
      </w:r>
    </w:p>
    <w:p w14:paraId="28A221ED" w14:textId="77777777" w:rsidR="001B7421" w:rsidRDefault="001B7421" w:rsidP="001B7421">
      <w:pPr>
        <w:rPr>
          <w:sz w:val="22"/>
        </w:rPr>
      </w:pPr>
    </w:p>
    <w:p w14:paraId="6EFC3B8A" w14:textId="77777777" w:rsidR="001B7421" w:rsidRDefault="001B7421" w:rsidP="001B7421">
      <w:pPr>
        <w:rPr>
          <w:sz w:val="22"/>
        </w:rPr>
      </w:pPr>
      <w:r>
        <w:rPr>
          <w:b/>
          <w:bCs/>
          <w:sz w:val="22"/>
        </w:rPr>
        <w:t>Exhibit 6.4.  Total Annual Estimated Respondent Burden and Cost Summary</w:t>
      </w:r>
    </w:p>
    <w:tbl>
      <w:tblPr>
        <w:tblW w:w="0" w:type="auto"/>
        <w:tblInd w:w="100" w:type="dxa"/>
        <w:tblLayout w:type="fixed"/>
        <w:tblCellMar>
          <w:left w:w="100" w:type="dxa"/>
          <w:right w:w="100" w:type="dxa"/>
        </w:tblCellMar>
        <w:tblLook w:val="0000" w:firstRow="0" w:lastRow="0" w:firstColumn="0" w:lastColumn="0" w:noHBand="0" w:noVBand="0"/>
      </w:tblPr>
      <w:tblGrid>
        <w:gridCol w:w="3120"/>
        <w:gridCol w:w="3120"/>
        <w:gridCol w:w="3120"/>
      </w:tblGrid>
      <w:tr w:rsidR="001B7421" w14:paraId="2FF706EB" w14:textId="77777777">
        <w:trPr>
          <w:cantSplit/>
        </w:trPr>
        <w:tc>
          <w:tcPr>
            <w:tcW w:w="3120" w:type="dxa"/>
            <w:tcBorders>
              <w:top w:val="single" w:sz="6" w:space="0" w:color="000000"/>
              <w:left w:val="single" w:sz="6" w:space="0" w:color="000000"/>
            </w:tcBorders>
          </w:tcPr>
          <w:p w14:paraId="5D85110C" w14:textId="77777777" w:rsidR="001B7421" w:rsidRPr="00A8297E" w:rsidRDefault="001B7421" w:rsidP="001B7421">
            <w:pPr>
              <w:spacing w:before="100" w:after="48"/>
              <w:jc w:val="center"/>
              <w:rPr>
                <w:sz w:val="20"/>
                <w:szCs w:val="20"/>
              </w:rPr>
            </w:pPr>
            <w:r w:rsidRPr="00A8297E">
              <w:rPr>
                <w:b/>
                <w:bCs/>
                <w:sz w:val="20"/>
                <w:szCs w:val="20"/>
              </w:rPr>
              <w:t>Total # of Respondents</w:t>
            </w:r>
          </w:p>
        </w:tc>
        <w:tc>
          <w:tcPr>
            <w:tcW w:w="3120" w:type="dxa"/>
            <w:tcBorders>
              <w:top w:val="single" w:sz="6" w:space="0" w:color="000000"/>
              <w:left w:val="single" w:sz="6" w:space="0" w:color="000000"/>
            </w:tcBorders>
          </w:tcPr>
          <w:p w14:paraId="54EBD333" w14:textId="77777777" w:rsidR="001B7421" w:rsidRPr="00A8297E" w:rsidRDefault="00A841C7" w:rsidP="001B7421">
            <w:pPr>
              <w:spacing w:before="100" w:after="48"/>
              <w:jc w:val="center"/>
              <w:rPr>
                <w:sz w:val="20"/>
                <w:szCs w:val="20"/>
              </w:rPr>
            </w:pPr>
            <w:r w:rsidRPr="00A8297E">
              <w:rPr>
                <w:b/>
                <w:bCs/>
                <w:sz w:val="20"/>
                <w:szCs w:val="20"/>
              </w:rPr>
              <w:t xml:space="preserve">Total </w:t>
            </w:r>
            <w:r w:rsidR="001B7421" w:rsidRPr="00A8297E">
              <w:rPr>
                <w:b/>
                <w:bCs/>
                <w:sz w:val="20"/>
                <w:szCs w:val="20"/>
              </w:rPr>
              <w:t>Burden Hours</w:t>
            </w:r>
          </w:p>
        </w:tc>
        <w:tc>
          <w:tcPr>
            <w:tcW w:w="3120" w:type="dxa"/>
            <w:tcBorders>
              <w:top w:val="single" w:sz="6" w:space="0" w:color="000000"/>
              <w:left w:val="single" w:sz="6" w:space="0" w:color="000000"/>
              <w:right w:val="single" w:sz="6" w:space="0" w:color="000000"/>
            </w:tcBorders>
          </w:tcPr>
          <w:p w14:paraId="76121D32" w14:textId="77777777" w:rsidR="001B7421" w:rsidRPr="00A8297E" w:rsidRDefault="001B7421" w:rsidP="001B7421">
            <w:pPr>
              <w:spacing w:before="100" w:after="48"/>
              <w:jc w:val="center"/>
              <w:rPr>
                <w:sz w:val="20"/>
                <w:szCs w:val="20"/>
              </w:rPr>
            </w:pPr>
            <w:r w:rsidRPr="00A8297E">
              <w:rPr>
                <w:b/>
                <w:bCs/>
                <w:sz w:val="20"/>
                <w:szCs w:val="20"/>
              </w:rPr>
              <w:t>Annual Cost</w:t>
            </w:r>
          </w:p>
        </w:tc>
      </w:tr>
      <w:tr w:rsidR="001B7421" w14:paraId="733F686D" w14:textId="77777777">
        <w:trPr>
          <w:cantSplit/>
        </w:trPr>
        <w:tc>
          <w:tcPr>
            <w:tcW w:w="3120" w:type="dxa"/>
            <w:tcBorders>
              <w:top w:val="single" w:sz="6" w:space="0" w:color="000000"/>
              <w:left w:val="single" w:sz="6" w:space="0" w:color="000000"/>
              <w:bottom w:val="single" w:sz="6" w:space="0" w:color="000000"/>
            </w:tcBorders>
          </w:tcPr>
          <w:p w14:paraId="32D133AC" w14:textId="77777777" w:rsidR="001B7421" w:rsidRPr="00A8297E" w:rsidRDefault="00A841C7" w:rsidP="001B7421">
            <w:pPr>
              <w:spacing w:before="100" w:after="48"/>
              <w:jc w:val="center"/>
              <w:rPr>
                <w:sz w:val="20"/>
                <w:szCs w:val="20"/>
              </w:rPr>
            </w:pPr>
            <w:r w:rsidRPr="00A8297E">
              <w:rPr>
                <w:sz w:val="20"/>
                <w:szCs w:val="20"/>
              </w:rPr>
              <w:t>157</w:t>
            </w:r>
          </w:p>
        </w:tc>
        <w:tc>
          <w:tcPr>
            <w:tcW w:w="3120" w:type="dxa"/>
            <w:tcBorders>
              <w:top w:val="single" w:sz="6" w:space="0" w:color="000000"/>
              <w:left w:val="single" w:sz="6" w:space="0" w:color="000000"/>
              <w:bottom w:val="single" w:sz="6" w:space="0" w:color="000000"/>
            </w:tcBorders>
          </w:tcPr>
          <w:p w14:paraId="1EB82035" w14:textId="77777777" w:rsidR="001B7421" w:rsidRPr="00A8297E" w:rsidRDefault="00E069B1" w:rsidP="00A841C7">
            <w:pPr>
              <w:spacing w:before="100" w:after="48"/>
              <w:jc w:val="center"/>
              <w:rPr>
                <w:sz w:val="20"/>
                <w:szCs w:val="20"/>
              </w:rPr>
            </w:pPr>
            <w:r w:rsidRPr="00A8297E">
              <w:rPr>
                <w:sz w:val="20"/>
                <w:szCs w:val="20"/>
              </w:rPr>
              <w:t>1,</w:t>
            </w:r>
            <w:r w:rsidR="00A841C7" w:rsidRPr="00A8297E">
              <w:rPr>
                <w:sz w:val="20"/>
                <w:szCs w:val="20"/>
              </w:rPr>
              <w:t>596</w:t>
            </w:r>
          </w:p>
        </w:tc>
        <w:tc>
          <w:tcPr>
            <w:tcW w:w="3120" w:type="dxa"/>
            <w:tcBorders>
              <w:top w:val="single" w:sz="6" w:space="0" w:color="000000"/>
              <w:left w:val="single" w:sz="6" w:space="0" w:color="000000"/>
              <w:bottom w:val="single" w:sz="6" w:space="0" w:color="000000"/>
              <w:right w:val="single" w:sz="6" w:space="0" w:color="000000"/>
            </w:tcBorders>
          </w:tcPr>
          <w:p w14:paraId="18B8591D" w14:textId="77777777" w:rsidR="001B7421" w:rsidRPr="00A8297E" w:rsidRDefault="001B7421" w:rsidP="00A841C7">
            <w:pPr>
              <w:spacing w:before="100" w:after="48"/>
              <w:jc w:val="center"/>
              <w:rPr>
                <w:sz w:val="20"/>
                <w:szCs w:val="20"/>
              </w:rPr>
            </w:pPr>
            <w:r w:rsidRPr="00A8297E">
              <w:rPr>
                <w:bCs/>
                <w:sz w:val="20"/>
                <w:szCs w:val="20"/>
              </w:rPr>
              <w:t>$</w:t>
            </w:r>
            <w:r w:rsidR="00A841C7" w:rsidRPr="00A8297E">
              <w:rPr>
                <w:bCs/>
                <w:sz w:val="20"/>
                <w:szCs w:val="20"/>
              </w:rPr>
              <w:t>652,359</w:t>
            </w:r>
          </w:p>
        </w:tc>
      </w:tr>
    </w:tbl>
    <w:p w14:paraId="629614F5" w14:textId="77777777" w:rsidR="001B7421" w:rsidRDefault="001B7421" w:rsidP="001B7421">
      <w:pPr>
        <w:rPr>
          <w:sz w:val="22"/>
        </w:rPr>
      </w:pPr>
    </w:p>
    <w:p w14:paraId="32AEE27B" w14:textId="77777777" w:rsidR="001B7421" w:rsidRPr="00A8297E" w:rsidRDefault="001B7421" w:rsidP="001B7421">
      <w:pPr>
        <w:ind w:firstLine="720"/>
      </w:pPr>
      <w:r w:rsidRPr="00A8297E">
        <w:t>b.</w:t>
      </w:r>
      <w:r w:rsidRPr="00A8297E">
        <w:tab/>
        <w:t>Agency Tally</w:t>
      </w:r>
    </w:p>
    <w:p w14:paraId="7A335C9A" w14:textId="77777777" w:rsidR="001B7421" w:rsidRPr="00A8297E" w:rsidRDefault="001B7421" w:rsidP="001B7421"/>
    <w:p w14:paraId="1F746A92" w14:textId="77777777" w:rsidR="001B7421" w:rsidRPr="00A8297E" w:rsidRDefault="001B7421" w:rsidP="002A6AE6">
      <w:pPr>
        <w:ind w:firstLine="720"/>
      </w:pPr>
      <w:r w:rsidRPr="00A8297E">
        <w:t>Exhibit 6.5 below summarizes the total annual est</w:t>
      </w:r>
      <w:r w:rsidR="006D4106">
        <w:t xml:space="preserve">imated agency burden and cost. </w:t>
      </w:r>
      <w:r w:rsidRPr="00A8297E">
        <w:t>These estimates represent the average burden in any given year over the three years covered by this ICR.</w:t>
      </w:r>
    </w:p>
    <w:p w14:paraId="502928CC" w14:textId="77777777" w:rsidR="001B7421" w:rsidRDefault="001B7421" w:rsidP="001B7421">
      <w:pPr>
        <w:rPr>
          <w:sz w:val="22"/>
        </w:rPr>
      </w:pPr>
      <w:r>
        <w:rPr>
          <w:sz w:val="22"/>
        </w:rPr>
        <w:tab/>
      </w:r>
      <w:r>
        <w:rPr>
          <w:sz w:val="22"/>
        </w:rPr>
        <w:tab/>
      </w:r>
      <w:r>
        <w:rPr>
          <w:sz w:val="22"/>
        </w:rPr>
        <w:tab/>
      </w:r>
      <w:r>
        <w:rPr>
          <w:sz w:val="22"/>
        </w:rPr>
        <w:tab/>
      </w:r>
      <w:r>
        <w:rPr>
          <w:sz w:val="22"/>
        </w:rPr>
        <w:tab/>
      </w:r>
    </w:p>
    <w:p w14:paraId="560EF812" w14:textId="77777777" w:rsidR="001B7421" w:rsidRDefault="001B7421" w:rsidP="001B7421">
      <w:pPr>
        <w:rPr>
          <w:sz w:val="22"/>
        </w:rPr>
      </w:pPr>
      <w:r>
        <w:rPr>
          <w:b/>
          <w:bCs/>
          <w:sz w:val="22"/>
        </w:rPr>
        <w:t>Exhibit 6.5.  Total Annual Estimated Agency Burden and Cost Summary</w:t>
      </w:r>
    </w:p>
    <w:tbl>
      <w:tblPr>
        <w:tblW w:w="0" w:type="auto"/>
        <w:tblInd w:w="100" w:type="dxa"/>
        <w:tblLayout w:type="fixed"/>
        <w:tblCellMar>
          <w:left w:w="100" w:type="dxa"/>
          <w:right w:w="100" w:type="dxa"/>
        </w:tblCellMar>
        <w:tblLook w:val="0000" w:firstRow="0" w:lastRow="0" w:firstColumn="0" w:lastColumn="0" w:noHBand="0" w:noVBand="0"/>
      </w:tblPr>
      <w:tblGrid>
        <w:gridCol w:w="4680"/>
        <w:gridCol w:w="4680"/>
      </w:tblGrid>
      <w:tr w:rsidR="001B7421" w14:paraId="5DBC127F" w14:textId="77777777">
        <w:trPr>
          <w:cantSplit/>
        </w:trPr>
        <w:tc>
          <w:tcPr>
            <w:tcW w:w="4680" w:type="dxa"/>
            <w:tcBorders>
              <w:top w:val="single" w:sz="6" w:space="0" w:color="000000"/>
              <w:left w:val="single" w:sz="6" w:space="0" w:color="000000"/>
            </w:tcBorders>
          </w:tcPr>
          <w:p w14:paraId="174F9BD7" w14:textId="77777777" w:rsidR="001B7421" w:rsidRPr="00A8297E" w:rsidRDefault="001B7421" w:rsidP="001B7421">
            <w:pPr>
              <w:spacing w:before="100" w:after="48"/>
              <w:jc w:val="center"/>
              <w:rPr>
                <w:sz w:val="20"/>
                <w:szCs w:val="20"/>
              </w:rPr>
            </w:pPr>
            <w:r w:rsidRPr="00A8297E">
              <w:rPr>
                <w:b/>
                <w:bCs/>
                <w:sz w:val="20"/>
                <w:szCs w:val="20"/>
              </w:rPr>
              <w:t>Burden Hours</w:t>
            </w:r>
          </w:p>
        </w:tc>
        <w:tc>
          <w:tcPr>
            <w:tcW w:w="4680" w:type="dxa"/>
            <w:tcBorders>
              <w:top w:val="single" w:sz="6" w:space="0" w:color="000000"/>
              <w:left w:val="single" w:sz="6" w:space="0" w:color="000000"/>
              <w:right w:val="single" w:sz="6" w:space="0" w:color="000000"/>
            </w:tcBorders>
          </w:tcPr>
          <w:p w14:paraId="641A3DA7" w14:textId="77777777" w:rsidR="001B7421" w:rsidRPr="00A8297E" w:rsidRDefault="001B7421" w:rsidP="001B7421">
            <w:pPr>
              <w:spacing w:before="100" w:after="48"/>
              <w:jc w:val="center"/>
              <w:rPr>
                <w:sz w:val="20"/>
                <w:szCs w:val="20"/>
              </w:rPr>
            </w:pPr>
            <w:r w:rsidRPr="00A8297E">
              <w:rPr>
                <w:b/>
                <w:bCs/>
                <w:sz w:val="20"/>
                <w:szCs w:val="20"/>
              </w:rPr>
              <w:t>Annual Cost</w:t>
            </w:r>
          </w:p>
        </w:tc>
      </w:tr>
      <w:tr w:rsidR="001B7421" w14:paraId="0C32937A" w14:textId="77777777">
        <w:trPr>
          <w:cantSplit/>
        </w:trPr>
        <w:tc>
          <w:tcPr>
            <w:tcW w:w="4680" w:type="dxa"/>
            <w:tcBorders>
              <w:top w:val="single" w:sz="6" w:space="0" w:color="000000"/>
              <w:left w:val="single" w:sz="6" w:space="0" w:color="000000"/>
              <w:bottom w:val="single" w:sz="6" w:space="0" w:color="000000"/>
            </w:tcBorders>
          </w:tcPr>
          <w:p w14:paraId="131E8262" w14:textId="77777777" w:rsidR="001B7421" w:rsidRPr="00A8297E" w:rsidRDefault="007941FE" w:rsidP="001B7421">
            <w:pPr>
              <w:spacing w:before="100" w:after="48"/>
              <w:jc w:val="center"/>
              <w:rPr>
                <w:sz w:val="20"/>
                <w:szCs w:val="20"/>
              </w:rPr>
            </w:pPr>
            <w:r w:rsidRPr="00A8297E">
              <w:rPr>
                <w:sz w:val="20"/>
                <w:szCs w:val="20"/>
              </w:rPr>
              <w:t>6</w:t>
            </w:r>
            <w:r w:rsidR="00A841C7" w:rsidRPr="00A8297E">
              <w:rPr>
                <w:sz w:val="20"/>
                <w:szCs w:val="20"/>
              </w:rPr>
              <w:t>58</w:t>
            </w:r>
          </w:p>
        </w:tc>
        <w:tc>
          <w:tcPr>
            <w:tcW w:w="4680" w:type="dxa"/>
            <w:tcBorders>
              <w:top w:val="single" w:sz="6" w:space="0" w:color="000000"/>
              <w:left w:val="single" w:sz="6" w:space="0" w:color="000000"/>
              <w:bottom w:val="single" w:sz="6" w:space="0" w:color="000000"/>
              <w:right w:val="single" w:sz="6" w:space="0" w:color="000000"/>
            </w:tcBorders>
          </w:tcPr>
          <w:p w14:paraId="147CA0D4" w14:textId="77777777" w:rsidR="001B7421" w:rsidRPr="00A8297E" w:rsidRDefault="001B7421" w:rsidP="00A841C7">
            <w:pPr>
              <w:spacing w:before="100" w:after="48"/>
              <w:jc w:val="center"/>
              <w:rPr>
                <w:sz w:val="20"/>
                <w:szCs w:val="20"/>
              </w:rPr>
            </w:pPr>
            <w:r w:rsidRPr="00A8297E">
              <w:rPr>
                <w:sz w:val="20"/>
                <w:szCs w:val="20"/>
              </w:rPr>
              <w:t>$</w:t>
            </w:r>
            <w:r w:rsidR="00A841C7" w:rsidRPr="00A8297E">
              <w:rPr>
                <w:sz w:val="20"/>
                <w:szCs w:val="20"/>
              </w:rPr>
              <w:t>40,502</w:t>
            </w:r>
          </w:p>
        </w:tc>
      </w:tr>
    </w:tbl>
    <w:p w14:paraId="0B50541D" w14:textId="77777777" w:rsidR="001B7421" w:rsidRDefault="001B7421" w:rsidP="001B7421">
      <w:pPr>
        <w:rPr>
          <w:sz w:val="22"/>
        </w:rPr>
      </w:pPr>
    </w:p>
    <w:p w14:paraId="23B79722" w14:textId="77777777" w:rsidR="001B7421" w:rsidRPr="00E67DC6" w:rsidRDefault="001B7421" w:rsidP="001B7421">
      <w:pPr>
        <w:pStyle w:val="Heading2"/>
        <w:jc w:val="left"/>
        <w:rPr>
          <w:sz w:val="24"/>
          <w:szCs w:val="24"/>
        </w:rPr>
      </w:pPr>
      <w:r>
        <w:tab/>
      </w:r>
      <w:bookmarkStart w:id="64" w:name="_Toc160347334"/>
      <w:bookmarkStart w:id="65" w:name="_Toc227390396"/>
      <w:bookmarkStart w:id="66" w:name="_Toc442977126"/>
      <w:r w:rsidRPr="00A8297E">
        <w:rPr>
          <w:sz w:val="24"/>
          <w:szCs w:val="24"/>
        </w:rPr>
        <w:t>6(</w:t>
      </w:r>
      <w:r w:rsidR="003B554C" w:rsidRPr="00A8297E">
        <w:rPr>
          <w:sz w:val="24"/>
          <w:szCs w:val="24"/>
        </w:rPr>
        <w:t>g</w:t>
      </w:r>
      <w:r w:rsidRPr="00A8297E">
        <w:rPr>
          <w:sz w:val="24"/>
          <w:szCs w:val="24"/>
        </w:rPr>
        <w:t>)</w:t>
      </w:r>
      <w:r w:rsidRPr="00A8297E">
        <w:rPr>
          <w:sz w:val="24"/>
          <w:szCs w:val="24"/>
        </w:rPr>
        <w:tab/>
      </w:r>
      <w:r w:rsidRPr="00E67DC6">
        <w:rPr>
          <w:sz w:val="24"/>
          <w:szCs w:val="24"/>
        </w:rPr>
        <w:t>Reasons for Change in Burden</w:t>
      </w:r>
      <w:bookmarkEnd w:id="64"/>
      <w:bookmarkEnd w:id="65"/>
      <w:bookmarkEnd w:id="66"/>
    </w:p>
    <w:p w14:paraId="552DA87A" w14:textId="77777777" w:rsidR="001B7421" w:rsidRPr="00E67DC6" w:rsidRDefault="001B7421" w:rsidP="001B7421"/>
    <w:p w14:paraId="53A521D7" w14:textId="77777777" w:rsidR="001B7421" w:rsidRPr="00A8297E" w:rsidRDefault="007C3E07" w:rsidP="002A6AE6">
      <w:pPr>
        <w:ind w:firstLine="720"/>
      </w:pPr>
      <w:r w:rsidRPr="00E67DC6">
        <w:t>This request reflects a</w:t>
      </w:r>
      <w:r w:rsidR="00E67DC6" w:rsidRPr="00E67DC6">
        <w:t>n</w:t>
      </w:r>
      <w:r w:rsidRPr="00E67DC6">
        <w:t xml:space="preserve"> </w:t>
      </w:r>
      <w:r w:rsidR="00E67DC6" w:rsidRPr="00E67DC6">
        <w:t>in</w:t>
      </w:r>
      <w:r w:rsidRPr="00E67DC6">
        <w:t xml:space="preserve">crease in the estimated annual burden of </w:t>
      </w:r>
      <w:r w:rsidR="00E67DC6" w:rsidRPr="00E67DC6">
        <w:t>362</w:t>
      </w:r>
      <w:r w:rsidRPr="00E67DC6">
        <w:t xml:space="preserve"> hours (from </w:t>
      </w:r>
      <w:r w:rsidR="00E67DC6" w:rsidRPr="00E67DC6">
        <w:t>1,234</w:t>
      </w:r>
      <w:r w:rsidRPr="00E67DC6">
        <w:t xml:space="preserve"> hours to </w:t>
      </w:r>
      <w:r w:rsidR="00E67DC6" w:rsidRPr="00E67DC6">
        <w:t>1,596</w:t>
      </w:r>
      <w:r w:rsidRPr="00E67DC6">
        <w:t xml:space="preserve"> hours) from that currently in the OMB inventory</w:t>
      </w:r>
      <w:r w:rsidRPr="007C3E07">
        <w:t xml:space="preserve">. </w:t>
      </w:r>
      <w:r>
        <w:t>EPA reduced p</w:t>
      </w:r>
      <w:r w:rsidR="00A841C7" w:rsidRPr="00A8297E">
        <w:t>er-response b</w:t>
      </w:r>
      <w:r w:rsidR="005773CD" w:rsidRPr="00A8297E">
        <w:t xml:space="preserve">urden estimates compared to those in the previous ICR based on expected efficiencies created by using the Salesforce-based Safer Choice Community on the part of respondents. </w:t>
      </w:r>
      <w:r w:rsidR="00A841C7" w:rsidRPr="00A8297E">
        <w:t>However, the number of respondents increased</w:t>
      </w:r>
      <w:r w:rsidR="00E67DC6">
        <w:t>,</w:t>
      </w:r>
      <w:r w:rsidR="00A841C7" w:rsidRPr="00A8297E">
        <w:t xml:space="preserve"> compared to the prior ICR</w:t>
      </w:r>
      <w:r w:rsidR="00E67DC6">
        <w:t>,</w:t>
      </w:r>
      <w:r w:rsidR="00A841C7" w:rsidRPr="00A8297E">
        <w:t xml:space="preserve"> due to historical </w:t>
      </w:r>
      <w:r w:rsidR="00CF7734">
        <w:t xml:space="preserve">experience </w:t>
      </w:r>
      <w:r w:rsidR="00A841C7" w:rsidRPr="00A8297E">
        <w:t xml:space="preserve">and increases in </w:t>
      </w:r>
      <w:r w:rsidR="00DF093A" w:rsidRPr="00A8297E">
        <w:t xml:space="preserve">the </w:t>
      </w:r>
      <w:r w:rsidR="00A841C7" w:rsidRPr="00A8297E">
        <w:t xml:space="preserve">expected future number of responses </w:t>
      </w:r>
      <w:r w:rsidR="00DF093A" w:rsidRPr="00A8297E">
        <w:t>due to greater consumer awareness and demand for products with the Safer Choice label</w:t>
      </w:r>
      <w:r w:rsidR="00A841C7" w:rsidRPr="00A8297E">
        <w:t>.</w:t>
      </w:r>
      <w:r>
        <w:t xml:space="preserve"> </w:t>
      </w:r>
      <w:r w:rsidRPr="007C3E07">
        <w:t>Th</w:t>
      </w:r>
      <w:r>
        <w:t>i</w:t>
      </w:r>
      <w:r w:rsidRPr="007C3E07">
        <w:t>s change</w:t>
      </w:r>
      <w:r>
        <w:t xml:space="preserve"> i</w:t>
      </w:r>
      <w:r w:rsidRPr="007C3E07">
        <w:t xml:space="preserve">s </w:t>
      </w:r>
      <w:r>
        <w:t>an adjustment</w:t>
      </w:r>
      <w:r w:rsidRPr="007C3E07">
        <w:t>.</w:t>
      </w:r>
    </w:p>
    <w:p w14:paraId="011026ED" w14:textId="77777777" w:rsidR="001B7421" w:rsidRDefault="001B7421" w:rsidP="001B7421">
      <w:pPr>
        <w:rPr>
          <w:sz w:val="22"/>
        </w:rPr>
      </w:pPr>
    </w:p>
    <w:p w14:paraId="63B20233" w14:textId="77777777" w:rsidR="001B7421" w:rsidRPr="00A8297E" w:rsidRDefault="001B7421" w:rsidP="003A2C70">
      <w:pPr>
        <w:pStyle w:val="Heading2"/>
        <w:jc w:val="left"/>
        <w:rPr>
          <w:sz w:val="24"/>
          <w:szCs w:val="24"/>
        </w:rPr>
      </w:pPr>
      <w:r>
        <w:tab/>
      </w:r>
      <w:bookmarkStart w:id="67" w:name="_Toc160347335"/>
      <w:bookmarkStart w:id="68" w:name="_Toc227390397"/>
      <w:bookmarkStart w:id="69" w:name="_Toc442977127"/>
      <w:r w:rsidRPr="00A8297E">
        <w:rPr>
          <w:sz w:val="24"/>
          <w:szCs w:val="24"/>
        </w:rPr>
        <w:t>6(</w:t>
      </w:r>
      <w:r w:rsidR="003B554C" w:rsidRPr="00A8297E">
        <w:rPr>
          <w:sz w:val="24"/>
          <w:szCs w:val="24"/>
        </w:rPr>
        <w:t>h</w:t>
      </w:r>
      <w:r w:rsidRPr="00A8297E">
        <w:rPr>
          <w:sz w:val="24"/>
          <w:szCs w:val="24"/>
        </w:rPr>
        <w:t>)</w:t>
      </w:r>
      <w:r w:rsidRPr="00A8297E">
        <w:rPr>
          <w:sz w:val="24"/>
          <w:szCs w:val="24"/>
        </w:rPr>
        <w:tab/>
        <w:t>Burden Statement</w:t>
      </w:r>
      <w:bookmarkEnd w:id="67"/>
      <w:bookmarkEnd w:id="68"/>
      <w:bookmarkEnd w:id="69"/>
    </w:p>
    <w:p w14:paraId="3F0B4FE5" w14:textId="77777777" w:rsidR="001B7421" w:rsidRPr="00A8297E" w:rsidRDefault="001B7421" w:rsidP="00980EF5">
      <w:pPr>
        <w:keepNext/>
      </w:pPr>
    </w:p>
    <w:p w14:paraId="3004E2AD" w14:textId="77777777" w:rsidR="001B7421" w:rsidRPr="00A8297E" w:rsidRDefault="001B7421" w:rsidP="002A6AE6">
      <w:pPr>
        <w:ind w:firstLine="720"/>
      </w:pPr>
      <w:r w:rsidRPr="00A8297E">
        <w:t xml:space="preserve">The annual public burden for this collection of information is estimated at </w:t>
      </w:r>
      <w:r w:rsidR="00A841C7" w:rsidRPr="00A8297E">
        <w:t>16</w:t>
      </w:r>
      <w:r w:rsidR="00E261BE" w:rsidRPr="00A8297E">
        <w:t xml:space="preserve"> </w:t>
      </w:r>
      <w:r w:rsidRPr="00A8297E">
        <w:t>hours per response for formulators</w:t>
      </w:r>
      <w:r w:rsidR="006C2E5A" w:rsidRPr="00A8297E">
        <w:t>, 11 hours for formulators renewing a partnership that requires changes,</w:t>
      </w:r>
      <w:r w:rsidRPr="00A8297E">
        <w:t xml:space="preserve"> </w:t>
      </w:r>
      <w:r w:rsidR="003B554C" w:rsidRPr="00A8297E">
        <w:t xml:space="preserve">and </w:t>
      </w:r>
      <w:r w:rsidR="00A841C7" w:rsidRPr="00A8297E">
        <w:t>8</w:t>
      </w:r>
      <w:r w:rsidR="003B554C" w:rsidRPr="00A8297E">
        <w:t xml:space="preserve"> hours for cleaning product formulators wishing to add third-party partners and products</w:t>
      </w:r>
      <w:r w:rsidRPr="00A8297E">
        <w:t xml:space="preserve">, including time for reviewing </w:t>
      </w:r>
      <w:r w:rsidRPr="00ED48C4">
        <w:t>instructions, gathering information, and completing and reviewing the application</w:t>
      </w:r>
      <w:r w:rsidR="006D4106">
        <w:t xml:space="preserve">. </w:t>
      </w:r>
      <w:r w:rsidR="00ED48C4" w:rsidRPr="00ED48C4">
        <w:t>Burden is defined in 5 CFR 1320.3(b).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14:paraId="4678E28F" w14:textId="77777777" w:rsidR="001B7421" w:rsidRPr="00A8297E" w:rsidRDefault="001B7421" w:rsidP="001B7421"/>
    <w:p w14:paraId="26986E61" w14:textId="77777777" w:rsidR="001B7421" w:rsidRPr="00A8297E" w:rsidRDefault="001B7421" w:rsidP="002A6AE6">
      <w:pPr>
        <w:ind w:firstLine="720"/>
      </w:pPr>
      <w:r w:rsidRPr="00A8297E">
        <w:t xml:space="preserve">The Agency has established a public docket for this ICR under Docket ID No. </w:t>
      </w:r>
      <w:r w:rsidR="003833F5">
        <w:t>EPA-</w:t>
      </w:r>
      <w:r w:rsidRPr="00A8297E">
        <w:t>HQ</w:t>
      </w:r>
      <w:r w:rsidR="003833F5">
        <w:t>-OPPT-</w:t>
      </w:r>
      <w:r w:rsidRPr="00A8297E">
        <w:t>20</w:t>
      </w:r>
      <w:r w:rsidR="001B78A3" w:rsidRPr="00A8297E">
        <w:t>15</w:t>
      </w:r>
      <w:r w:rsidR="003833F5">
        <w:t>-</w:t>
      </w:r>
      <w:r w:rsidR="001B78A3" w:rsidRPr="00A8297E">
        <w:t>0437</w:t>
      </w:r>
      <w:r w:rsidRPr="00A8297E">
        <w:t>, which is available for online viewing at www.regulations.gov, or in person viewing at the EPA Docket Center (EPA/DC), EPA West, Room 3334, 1301 Constitu</w:t>
      </w:r>
      <w:r w:rsidR="003833F5">
        <w:t xml:space="preserve">tion Ave., NW, Washington, DC. </w:t>
      </w:r>
      <w:r w:rsidRPr="00A8297E">
        <w:t>The EPA Docket Center Public Reading Room is open from 8:30 a.m. to 4:30 p.m., Monday through Fri</w:t>
      </w:r>
      <w:r w:rsidR="00ED48C4">
        <w:t xml:space="preserve">day, excluding legal holidays. </w:t>
      </w:r>
      <w:r w:rsidRPr="00A8297E">
        <w:t>The telephone number for the 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w:t>
      </w:r>
    </w:p>
    <w:p w14:paraId="40CF3E54" w14:textId="77777777" w:rsidR="001B7421" w:rsidRPr="00A8297E" w:rsidRDefault="001B7421" w:rsidP="006D4106"/>
    <w:p w14:paraId="6996F41B" w14:textId="77777777" w:rsidR="001B7421" w:rsidRPr="00A8297E" w:rsidRDefault="001B7421" w:rsidP="002A6AE6">
      <w:pPr>
        <w:ind w:firstLine="720"/>
      </w:pPr>
      <w:r w:rsidRPr="00A8297E">
        <w:t xml:space="preserve">Submit your comments, referencing Docket ID No. </w:t>
      </w:r>
      <w:r w:rsidR="003833F5">
        <w:t>EPA-HQ-OPPT-2015-</w:t>
      </w:r>
      <w:r w:rsidR="001B78A3" w:rsidRPr="00A8297E">
        <w:t>0437</w:t>
      </w:r>
      <w:r w:rsidRPr="00A8297E">
        <w:t xml:space="preserve"> and OMB Control No. 2070-</w:t>
      </w:r>
      <w:r w:rsidR="001B78A3" w:rsidRPr="00A8297E">
        <w:t>0178</w:t>
      </w:r>
      <w:r w:rsidRPr="00A8297E">
        <w:t>, to (1) EPA online using www.regulations.gov (our preferred method), or by mail to: Document Control Office (DCO), Office of Pollution Prevention and Toxics (OPPT), Environmental Protection Agency, Mail Code: 7407T, 1200 Pennsylvania Ave., NW, Washington, D.C. 20460, and (2) OMB by mail to: Office of Information and Regulatory Affairs, Office of Management and Budget (OMB), Attention: Desk Officer for EPA, 725 17th Street, NW, Washington, DC 20503.</w:t>
      </w:r>
    </w:p>
    <w:p w14:paraId="5F1F969C" w14:textId="77777777" w:rsidR="001B7421" w:rsidRPr="008E3495" w:rsidRDefault="00ED2B4B">
      <w:pPr>
        <w:rPr>
          <w:sz w:val="22"/>
          <w:szCs w:val="22"/>
        </w:rPr>
      </w:pPr>
      <w:r>
        <w:rPr>
          <w:sz w:val="22"/>
          <w:szCs w:val="22"/>
        </w:rPr>
        <w:br w:type="page"/>
      </w:r>
    </w:p>
    <w:p w14:paraId="59E1C09A" w14:textId="77777777" w:rsidR="001B7421" w:rsidRPr="00A8297E" w:rsidRDefault="001B7421" w:rsidP="001B7421">
      <w:pPr>
        <w:jc w:val="center"/>
        <w:rPr>
          <w:b/>
        </w:rPr>
      </w:pPr>
      <w:r w:rsidRPr="00A8297E">
        <w:rPr>
          <w:b/>
        </w:rPr>
        <w:t>ATTACHMENTS TO THE SUPPORTING STATEMENT</w:t>
      </w:r>
    </w:p>
    <w:p w14:paraId="44A6BD4B" w14:textId="77777777" w:rsidR="001B7421" w:rsidRPr="00A8297E" w:rsidRDefault="001B7421" w:rsidP="001B7421"/>
    <w:p w14:paraId="4BB8CEEC" w14:textId="77777777" w:rsidR="002E7EF7" w:rsidRPr="00A8297E" w:rsidRDefault="001B7421" w:rsidP="00A8297E">
      <w:pPr>
        <w:ind w:firstLine="720"/>
      </w:pPr>
      <w:r w:rsidRPr="00A8297E">
        <w:t xml:space="preserve">Attachments to the </w:t>
      </w:r>
      <w:r w:rsidR="006F3719" w:rsidRPr="006F3719">
        <w:t xml:space="preserve">Supporting Statement </w:t>
      </w:r>
      <w:r w:rsidRPr="00A8297E">
        <w:t>are available in the public docket established for this ICR under docket id</w:t>
      </w:r>
      <w:r w:rsidR="006F3719">
        <w:t>entification number EPA-HQ-OPPT-</w:t>
      </w:r>
      <w:r w:rsidRPr="00A8297E">
        <w:t>20</w:t>
      </w:r>
      <w:r w:rsidR="006F3719">
        <w:t>15-</w:t>
      </w:r>
      <w:r w:rsidRPr="00A8297E">
        <w:t>0</w:t>
      </w:r>
      <w:r w:rsidR="006F3719">
        <w:t>437</w:t>
      </w:r>
      <w:r w:rsidRPr="00A8297E">
        <w:t xml:space="preserve">.  These attachments are available for online viewing at www.regulations.gov or otherwise accessed as described </w:t>
      </w:r>
      <w:r w:rsidR="006F3719">
        <w:t>above in Section 6(h</w:t>
      </w:r>
      <w:r w:rsidRPr="00A8297E">
        <w:t xml:space="preserve">) of the </w:t>
      </w:r>
      <w:r w:rsidR="006F3719" w:rsidRPr="00A8297E">
        <w:t>Supporting Statement</w:t>
      </w:r>
      <w:r w:rsidRPr="00A8297E">
        <w:t>.</w:t>
      </w:r>
    </w:p>
    <w:p w14:paraId="0BE70410" w14:textId="77777777" w:rsidR="001B78A3" w:rsidRPr="00A8297E" w:rsidRDefault="002E7EF7" w:rsidP="003A2C70">
      <w:pPr>
        <w:rPr>
          <w:lang w:val="en-CA"/>
        </w:rPr>
      </w:pPr>
      <w:r w:rsidRPr="00A8297E">
        <w:rPr>
          <w:lang w:val="en-CA"/>
        </w:rPr>
        <w:t xml:space="preserve"> </w:t>
      </w:r>
    </w:p>
    <w:p w14:paraId="38938280" w14:textId="77777777" w:rsidR="008F4212" w:rsidRDefault="001B78A3" w:rsidP="00EF233C">
      <w:pPr>
        <w:rPr>
          <w:lang w:val="en-CA"/>
        </w:rPr>
      </w:pPr>
      <w:r w:rsidRPr="00A8297E">
        <w:rPr>
          <w:b/>
          <w:lang w:val="en-CA"/>
        </w:rPr>
        <w:t>Attachment A:</w:t>
      </w:r>
      <w:r w:rsidRPr="00A8297E">
        <w:rPr>
          <w:b/>
          <w:lang w:val="en-CA"/>
        </w:rPr>
        <w:tab/>
        <w:t>42 USC 13103 - Pollution Prevention Act Section 6604</w:t>
      </w:r>
    </w:p>
    <w:p w14:paraId="0E02342E" w14:textId="77777777" w:rsidR="001B78A3" w:rsidRPr="00A8297E" w:rsidRDefault="001B78A3" w:rsidP="001B78A3">
      <w:pPr>
        <w:rPr>
          <w:lang w:val="en-CA"/>
        </w:rPr>
      </w:pPr>
      <w:r w:rsidRPr="00A8297E">
        <w:rPr>
          <w:lang w:val="en-CA"/>
        </w:rPr>
        <w:tab/>
      </w:r>
    </w:p>
    <w:p w14:paraId="05988DB9" w14:textId="77777777" w:rsidR="00A8297E" w:rsidRDefault="002E7EF7" w:rsidP="002E7EF7">
      <w:pPr>
        <w:rPr>
          <w:b/>
          <w:lang w:val="en-CA"/>
        </w:rPr>
      </w:pPr>
      <w:r w:rsidRPr="00A8297E">
        <w:rPr>
          <w:b/>
          <w:lang w:val="en-CA"/>
        </w:rPr>
        <w:t>Attachment B:</w:t>
      </w:r>
      <w:r w:rsidRPr="00A8297E">
        <w:rPr>
          <w:b/>
          <w:lang w:val="en-CA"/>
        </w:rPr>
        <w:tab/>
        <w:t xml:space="preserve">Safer Choice Program: Product and Ingredient Submissions in </w:t>
      </w:r>
    </w:p>
    <w:p w14:paraId="4881B0D9" w14:textId="77777777" w:rsidR="002E7EF7" w:rsidRPr="00A8297E" w:rsidRDefault="00A8297E" w:rsidP="002E7EF7">
      <w:pPr>
        <w:rPr>
          <w:b/>
          <w:lang w:val="en-CA"/>
        </w:rPr>
      </w:pPr>
      <w:r>
        <w:rPr>
          <w:b/>
          <w:lang w:val="en-CA"/>
        </w:rPr>
        <w:tab/>
      </w:r>
      <w:r>
        <w:rPr>
          <w:b/>
          <w:lang w:val="en-CA"/>
        </w:rPr>
        <w:tab/>
      </w:r>
      <w:r>
        <w:rPr>
          <w:b/>
          <w:lang w:val="en-CA"/>
        </w:rPr>
        <w:tab/>
      </w:r>
      <w:r w:rsidR="002E7EF7" w:rsidRPr="00A8297E">
        <w:rPr>
          <w:b/>
          <w:lang w:val="en-CA"/>
        </w:rPr>
        <w:t>Salesforce</w:t>
      </w:r>
    </w:p>
    <w:p w14:paraId="326A48FA" w14:textId="77777777" w:rsidR="002E7EF7" w:rsidRPr="00A8297E" w:rsidRDefault="002E7EF7" w:rsidP="001B78A3">
      <w:pPr>
        <w:rPr>
          <w:lang w:val="en-CA"/>
        </w:rPr>
      </w:pPr>
    </w:p>
    <w:p w14:paraId="327E77FC" w14:textId="77777777" w:rsidR="002E7EF7" w:rsidRPr="00A8297E" w:rsidRDefault="001B78A3" w:rsidP="001B78A3">
      <w:pPr>
        <w:rPr>
          <w:b/>
          <w:lang w:val="en-CA"/>
        </w:rPr>
      </w:pPr>
      <w:r w:rsidRPr="00A8297E">
        <w:rPr>
          <w:b/>
          <w:lang w:val="en-CA"/>
        </w:rPr>
        <w:t xml:space="preserve">Attachment </w:t>
      </w:r>
      <w:r w:rsidR="002E7EF7" w:rsidRPr="00A8297E">
        <w:rPr>
          <w:b/>
          <w:lang w:val="en-CA"/>
        </w:rPr>
        <w:t>C</w:t>
      </w:r>
      <w:r w:rsidRPr="00A8297E">
        <w:rPr>
          <w:b/>
          <w:lang w:val="en-CA"/>
        </w:rPr>
        <w:t>:</w:t>
      </w:r>
      <w:r w:rsidR="002E7EF7" w:rsidRPr="00A8297E">
        <w:rPr>
          <w:b/>
          <w:lang w:val="en-CA"/>
        </w:rPr>
        <w:tab/>
        <w:t xml:space="preserve">Safer Choice Program:  Form for Adding Third-Party Partners and </w:t>
      </w:r>
    </w:p>
    <w:p w14:paraId="38CDDE3B" w14:textId="77777777" w:rsidR="00A8297E" w:rsidRDefault="002E7EF7" w:rsidP="001B78A3">
      <w:pPr>
        <w:rPr>
          <w:b/>
          <w:lang w:val="en-CA"/>
        </w:rPr>
      </w:pPr>
      <w:r w:rsidRPr="00A8297E">
        <w:rPr>
          <w:b/>
          <w:lang w:val="en-CA"/>
        </w:rPr>
        <w:tab/>
      </w:r>
      <w:r w:rsidRPr="00A8297E">
        <w:rPr>
          <w:b/>
          <w:lang w:val="en-CA"/>
        </w:rPr>
        <w:tab/>
      </w:r>
      <w:r w:rsidRPr="00A8297E">
        <w:rPr>
          <w:b/>
          <w:lang w:val="en-CA"/>
        </w:rPr>
        <w:tab/>
        <w:t xml:space="preserve">Products (Private Label Companies, Licensees, or Toll </w:t>
      </w:r>
    </w:p>
    <w:p w14:paraId="4CD3558C" w14:textId="77777777" w:rsidR="001B78A3" w:rsidRPr="00A8297E" w:rsidRDefault="00A8297E" w:rsidP="001B78A3">
      <w:pPr>
        <w:rPr>
          <w:b/>
          <w:lang w:val="en-CA"/>
        </w:rPr>
      </w:pPr>
      <w:r>
        <w:rPr>
          <w:b/>
          <w:lang w:val="en-CA"/>
        </w:rPr>
        <w:tab/>
      </w:r>
      <w:r>
        <w:rPr>
          <w:b/>
          <w:lang w:val="en-CA"/>
        </w:rPr>
        <w:tab/>
      </w:r>
      <w:r>
        <w:rPr>
          <w:b/>
          <w:lang w:val="en-CA"/>
        </w:rPr>
        <w:tab/>
        <w:t>M</w:t>
      </w:r>
      <w:r w:rsidR="002E7EF7" w:rsidRPr="00A8297E">
        <w:rPr>
          <w:b/>
          <w:lang w:val="en-CA"/>
        </w:rPr>
        <w:t>anufacturers)</w:t>
      </w:r>
    </w:p>
    <w:p w14:paraId="6285CD13" w14:textId="77777777" w:rsidR="001B78A3" w:rsidRPr="00A8297E" w:rsidRDefault="001B78A3" w:rsidP="001B78A3">
      <w:pPr>
        <w:rPr>
          <w:lang w:val="en-CA"/>
        </w:rPr>
      </w:pPr>
    </w:p>
    <w:p w14:paraId="42193D5A" w14:textId="77777777" w:rsidR="001B78A3" w:rsidRDefault="001B78A3" w:rsidP="001B78A3">
      <w:pPr>
        <w:rPr>
          <w:b/>
          <w:lang w:val="en-CA"/>
        </w:rPr>
      </w:pPr>
      <w:r w:rsidRPr="00A8297E">
        <w:rPr>
          <w:b/>
          <w:lang w:val="en-CA"/>
        </w:rPr>
        <w:t xml:space="preserve">Attachment </w:t>
      </w:r>
      <w:r w:rsidR="002E7EF7" w:rsidRPr="00A8297E">
        <w:rPr>
          <w:b/>
          <w:lang w:val="en-CA"/>
        </w:rPr>
        <w:t>D</w:t>
      </w:r>
      <w:r w:rsidRPr="00A8297E">
        <w:rPr>
          <w:b/>
          <w:lang w:val="en-CA"/>
        </w:rPr>
        <w:t>:</w:t>
      </w:r>
      <w:r w:rsidR="002E7EF7" w:rsidRPr="00A8297E">
        <w:rPr>
          <w:b/>
          <w:lang w:val="en-CA"/>
        </w:rPr>
        <w:tab/>
        <w:t>Safer Choice Program: Audit Process Guidance</w:t>
      </w:r>
    </w:p>
    <w:p w14:paraId="5D536B4D" w14:textId="77777777" w:rsidR="006F3719" w:rsidRDefault="006F3719" w:rsidP="001B78A3">
      <w:pPr>
        <w:rPr>
          <w:b/>
          <w:lang w:val="en-CA"/>
        </w:rPr>
      </w:pPr>
    </w:p>
    <w:p w14:paraId="64485F5C" w14:textId="77777777" w:rsidR="006F3719" w:rsidRDefault="006F3719" w:rsidP="001B78A3">
      <w:pPr>
        <w:rPr>
          <w:b/>
          <w:lang w:val="en-CA"/>
        </w:rPr>
      </w:pPr>
      <w:r>
        <w:rPr>
          <w:b/>
          <w:lang w:val="en-CA"/>
        </w:rPr>
        <w:t>Attachment E:</w:t>
      </w:r>
      <w:r>
        <w:rPr>
          <w:b/>
          <w:lang w:val="en-CA"/>
        </w:rPr>
        <w:tab/>
      </w:r>
      <w:r w:rsidRPr="006F3719">
        <w:rPr>
          <w:b/>
          <w:lang w:val="en-CA"/>
        </w:rPr>
        <w:t>Copy of Consultations Message Sent by EPA to Potential Respondents</w:t>
      </w:r>
    </w:p>
    <w:p w14:paraId="477F25F6" w14:textId="77777777" w:rsidR="006F3719" w:rsidRPr="00A8297E" w:rsidRDefault="006F3719" w:rsidP="001B78A3">
      <w:pPr>
        <w:rPr>
          <w:b/>
          <w:lang w:val="en-CA"/>
        </w:rPr>
      </w:pPr>
    </w:p>
    <w:p w14:paraId="73E02A87" w14:textId="77777777" w:rsidR="001B78A3" w:rsidRPr="001B78A3" w:rsidRDefault="001B78A3" w:rsidP="001B78A3">
      <w:pPr>
        <w:rPr>
          <w:sz w:val="22"/>
          <w:lang w:val="en-CA"/>
        </w:rPr>
      </w:pPr>
    </w:p>
    <w:p w14:paraId="79CC66EA" w14:textId="77777777" w:rsidR="001B78A3" w:rsidRPr="001B78A3" w:rsidRDefault="001B78A3" w:rsidP="001B78A3">
      <w:pPr>
        <w:rPr>
          <w:sz w:val="22"/>
          <w:lang w:val="en-CA"/>
        </w:rPr>
      </w:pPr>
    </w:p>
    <w:p w14:paraId="3195122C" w14:textId="77777777" w:rsidR="001B7421" w:rsidRDefault="001B7421" w:rsidP="00902188">
      <w:pPr>
        <w:jc w:val="center"/>
        <w:rPr>
          <w:rFonts w:ascii="NewCenturySchlbk-Bold" w:hAnsi="NewCenturySchlbk-Bold"/>
          <w:sz w:val="20"/>
          <w:szCs w:val="20"/>
        </w:rPr>
      </w:pPr>
      <w:r w:rsidRPr="002E7EF7">
        <w:rPr>
          <w:b/>
          <w:lang w:val="en-CA"/>
        </w:rPr>
        <w:fldChar w:fldCharType="begin"/>
      </w:r>
      <w:r w:rsidRPr="002E7EF7">
        <w:rPr>
          <w:b/>
          <w:lang w:val="en-CA"/>
        </w:rPr>
        <w:instrText xml:space="preserve"> SEQ CHAPTER \h \r 1</w:instrText>
      </w:r>
      <w:r w:rsidRPr="002E7EF7">
        <w:rPr>
          <w:b/>
          <w:lang w:val="en-CA"/>
        </w:rPr>
        <w:fldChar w:fldCharType="end"/>
      </w:r>
    </w:p>
    <w:p w14:paraId="3EE702DE" w14:textId="77777777" w:rsidR="003615D5" w:rsidRPr="00902188" w:rsidRDefault="003615D5" w:rsidP="00902188"/>
    <w:sectPr w:rsidR="003615D5" w:rsidRPr="00902188" w:rsidSect="00902188">
      <w:headerReference w:type="default" r:id="rId12"/>
      <w:pgSz w:w="12240" w:h="15840" w:code="1"/>
      <w:pgMar w:top="1440" w:right="1440" w:bottom="1440" w:left="1440" w:header="18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39026" w14:textId="77777777" w:rsidR="002C068B" w:rsidRDefault="002C068B">
      <w:r>
        <w:separator/>
      </w:r>
    </w:p>
  </w:endnote>
  <w:endnote w:type="continuationSeparator" w:id="0">
    <w:p w14:paraId="1AD8651C" w14:textId="77777777" w:rsidR="002C068B" w:rsidRDefault="002C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NewCenturySchlbk-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B34F1" w14:textId="3543E93C" w:rsidR="00007306" w:rsidRDefault="00007306">
    <w:pPr>
      <w:pStyle w:val="Footer"/>
      <w:rPr>
        <w:sz w:val="20"/>
      </w:rPr>
    </w:pPr>
    <w:r>
      <w:rP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A931F7">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3E182" w14:textId="77777777" w:rsidR="002C068B" w:rsidRDefault="002C068B">
      <w:r>
        <w:separator/>
      </w:r>
    </w:p>
  </w:footnote>
  <w:footnote w:type="continuationSeparator" w:id="0">
    <w:p w14:paraId="275170A5" w14:textId="77777777" w:rsidR="002C068B" w:rsidRDefault="002C068B">
      <w:r>
        <w:continuationSeparator/>
      </w:r>
    </w:p>
  </w:footnote>
  <w:footnote w:id="1">
    <w:p w14:paraId="5EC1E4E6" w14:textId="77777777" w:rsidR="00007306" w:rsidRPr="004A402C" w:rsidRDefault="00007306" w:rsidP="001B7421">
      <w:pPr>
        <w:autoSpaceDE w:val="0"/>
        <w:autoSpaceDN w:val="0"/>
        <w:adjustRightInd w:val="0"/>
        <w:rPr>
          <w:color w:val="000000"/>
          <w:sz w:val="20"/>
          <w:szCs w:val="20"/>
        </w:rPr>
      </w:pPr>
      <w:r w:rsidRPr="004A402C">
        <w:rPr>
          <w:rStyle w:val="FootnoteReference"/>
        </w:rPr>
        <w:footnoteRef/>
      </w:r>
      <w:r w:rsidRPr="004A402C">
        <w:t xml:space="preserve"> </w:t>
      </w:r>
      <w:r>
        <w:t>“</w:t>
      </w:r>
      <w:r w:rsidRPr="004A402C">
        <w:rPr>
          <w:color w:val="000000"/>
          <w:sz w:val="20"/>
          <w:szCs w:val="20"/>
        </w:rPr>
        <w:t>Green to Gold: How Smart Companies use environmental strategy to innovate, create value, and build competitive advantage" by Daniel Esty and Andrew Winston, Yale University Press, New Haven, 2006</w:t>
      </w:r>
    </w:p>
    <w:p w14:paraId="4F772984" w14:textId="77777777" w:rsidR="00007306" w:rsidRDefault="00007306">
      <w:pPr>
        <w:pStyle w:val="FootnoteText"/>
      </w:pPr>
    </w:p>
  </w:footnote>
  <w:footnote w:id="2">
    <w:p w14:paraId="29807E41" w14:textId="77777777" w:rsidR="00007306" w:rsidRDefault="00007306" w:rsidP="001E64AF">
      <w:pPr>
        <w:keepLines/>
        <w:ind w:left="648" w:right="288" w:hanging="648"/>
        <w:jc w:val="both"/>
        <w:rPr>
          <w:i/>
          <w:spacing w:val="-2"/>
          <w:sz w:val="20"/>
          <w:szCs w:val="20"/>
        </w:rPr>
      </w:pPr>
      <w:r w:rsidRPr="001E64AF">
        <w:rPr>
          <w:rStyle w:val="FootnoteReference"/>
          <w:sz w:val="20"/>
          <w:szCs w:val="20"/>
        </w:rPr>
        <w:footnoteRef/>
      </w:r>
      <w:r w:rsidRPr="001E64AF">
        <w:rPr>
          <w:sz w:val="20"/>
          <w:szCs w:val="20"/>
        </w:rPr>
        <w:t xml:space="preserve"> </w:t>
      </w:r>
      <w:r w:rsidRPr="001E64AF">
        <w:rPr>
          <w:spacing w:val="-2"/>
          <w:sz w:val="20"/>
          <w:szCs w:val="20"/>
        </w:rPr>
        <w:t xml:space="preserve">EPA, 2002b. </w:t>
      </w:r>
      <w:r w:rsidRPr="001E64AF">
        <w:rPr>
          <w:sz w:val="20"/>
          <w:szCs w:val="20"/>
        </w:rPr>
        <w:t xml:space="preserve">U.S. EPA, Office of Pollution Prevention and Toxics, Economic and Policy Analysis Branch, </w:t>
      </w:r>
      <w:r w:rsidRPr="001E64AF">
        <w:rPr>
          <w:i/>
          <w:spacing w:val="-2"/>
          <w:sz w:val="20"/>
          <w:szCs w:val="20"/>
        </w:rPr>
        <w:t xml:space="preserve">Wage Rates </w:t>
      </w:r>
    </w:p>
    <w:p w14:paraId="41783A29" w14:textId="77777777" w:rsidR="00007306" w:rsidRPr="00CC63E9" w:rsidRDefault="00007306" w:rsidP="001E64AF">
      <w:pPr>
        <w:keepLines/>
        <w:ind w:left="648" w:right="288" w:hanging="648"/>
        <w:jc w:val="both"/>
        <w:rPr>
          <w:sz w:val="20"/>
          <w:szCs w:val="20"/>
        </w:rPr>
      </w:pPr>
      <w:r w:rsidRPr="001E64AF">
        <w:rPr>
          <w:i/>
          <w:spacing w:val="-2"/>
          <w:sz w:val="20"/>
          <w:szCs w:val="20"/>
        </w:rPr>
        <w:t xml:space="preserve">for Economic Analysis of the Toxics Release Inventory Program. </w:t>
      </w:r>
      <w:r w:rsidRPr="001E64AF">
        <w:rPr>
          <w:sz w:val="20"/>
          <w:szCs w:val="20"/>
        </w:rPr>
        <w:t>Washington, DC: June 10, 2002.</w:t>
      </w:r>
    </w:p>
  </w:footnote>
  <w:footnote w:id="3">
    <w:p w14:paraId="3C5C19BA" w14:textId="77777777" w:rsidR="00007306" w:rsidRDefault="00007306" w:rsidP="00CF7734">
      <w:pPr>
        <w:keepLines/>
        <w:ind w:left="648" w:right="288" w:hanging="648"/>
        <w:rPr>
          <w:i/>
          <w:sz w:val="20"/>
          <w:szCs w:val="20"/>
        </w:rPr>
      </w:pPr>
      <w:r>
        <w:rPr>
          <w:rStyle w:val="FootnoteReference"/>
        </w:rPr>
        <w:footnoteRef/>
      </w:r>
      <w:r>
        <w:t xml:space="preserve"> </w:t>
      </w:r>
      <w:r w:rsidRPr="00CC63E9">
        <w:rPr>
          <w:spacing w:val="-2"/>
          <w:sz w:val="20"/>
          <w:szCs w:val="20"/>
        </w:rPr>
        <w:t>EPA, 2002</w:t>
      </w:r>
      <w:r w:rsidRPr="00796209">
        <w:rPr>
          <w:spacing w:val="-2"/>
          <w:sz w:val="20"/>
          <w:szCs w:val="20"/>
        </w:rPr>
        <w:t>. U.S. EPA, Office of Pollution Prevention and Toxics, Economic and Policy Analysis</w:t>
      </w:r>
      <w:r w:rsidRPr="00796209">
        <w:rPr>
          <w:sz w:val="20"/>
          <w:szCs w:val="20"/>
        </w:rPr>
        <w:t xml:space="preserve"> Branch. </w:t>
      </w:r>
      <w:r w:rsidRPr="00796209">
        <w:rPr>
          <w:i/>
          <w:sz w:val="20"/>
          <w:szCs w:val="20"/>
        </w:rPr>
        <w:t xml:space="preserve">Revised </w:t>
      </w:r>
    </w:p>
    <w:p w14:paraId="3453BE73" w14:textId="77777777" w:rsidR="00007306" w:rsidRPr="001E64AF" w:rsidRDefault="00007306" w:rsidP="00CF7734">
      <w:pPr>
        <w:keepLines/>
        <w:ind w:left="648" w:right="288" w:hanging="648"/>
        <w:rPr>
          <w:sz w:val="20"/>
          <w:szCs w:val="20"/>
        </w:rPr>
      </w:pPr>
      <w:r w:rsidRPr="00796209">
        <w:rPr>
          <w:i/>
          <w:sz w:val="20"/>
          <w:szCs w:val="20"/>
        </w:rPr>
        <w:t xml:space="preserve">Economic Analysis for the Amended Inventory Update Rule: Final Report. </w:t>
      </w:r>
      <w:r w:rsidRPr="00796209">
        <w:rPr>
          <w:sz w:val="20"/>
          <w:szCs w:val="20"/>
        </w:rPr>
        <w:t>Washington, DC. August 2002.</w:t>
      </w:r>
    </w:p>
  </w:footnote>
  <w:footnote w:id="4">
    <w:p w14:paraId="0BBE1F5E" w14:textId="77777777" w:rsidR="00007306" w:rsidRPr="00E832FA" w:rsidRDefault="00007306" w:rsidP="001B7421">
      <w:pPr>
        <w:autoSpaceDE w:val="0"/>
        <w:autoSpaceDN w:val="0"/>
        <w:adjustRightInd w:val="0"/>
        <w:rPr>
          <w:rFonts w:ascii="Courier" w:hAnsi="Courier" w:cs="Courier"/>
          <w:color w:val="000000"/>
          <w:sz w:val="20"/>
          <w:szCs w:val="20"/>
        </w:rPr>
      </w:pPr>
      <w:r w:rsidRPr="001E64AF">
        <w:rPr>
          <w:rStyle w:val="FootnoteReference"/>
          <w:sz w:val="20"/>
          <w:szCs w:val="20"/>
        </w:rPr>
        <w:footnoteRef/>
      </w:r>
      <w:r w:rsidRPr="001E64AF">
        <w:rPr>
          <w:sz w:val="20"/>
          <w:szCs w:val="20"/>
        </w:rPr>
        <w:t xml:space="preserve"> </w:t>
      </w:r>
      <w:r w:rsidRPr="00CC63E9">
        <w:rPr>
          <w:sz w:val="20"/>
          <w:szCs w:val="20"/>
        </w:rPr>
        <w:t xml:space="preserve">Bureau of Labor Statistics (BLS) </w:t>
      </w:r>
      <w:r w:rsidRPr="00CC63E9">
        <w:rPr>
          <w:i/>
          <w:iCs/>
          <w:sz w:val="20"/>
          <w:szCs w:val="20"/>
        </w:rPr>
        <w:t>Employer Costs for Employee</w:t>
      </w:r>
      <w:r w:rsidRPr="00E832FA">
        <w:rPr>
          <w:i/>
          <w:iCs/>
          <w:sz w:val="20"/>
          <w:szCs w:val="20"/>
        </w:rPr>
        <w:t xml:space="preserve"> Compensation, Supplementary Tables.  </w:t>
      </w:r>
      <w:r w:rsidRPr="00E832FA">
        <w:rPr>
          <w:iCs/>
          <w:sz w:val="20"/>
          <w:szCs w:val="20"/>
        </w:rPr>
        <w:t xml:space="preserve">From Supplementary Table 2, </w:t>
      </w:r>
      <w:r w:rsidRPr="00E832FA">
        <w:rPr>
          <w:color w:val="000000"/>
          <w:sz w:val="20"/>
          <w:szCs w:val="20"/>
        </w:rPr>
        <w:t xml:space="preserve">Employer costs per hour worked for employee compensation and costs as a percent of total compensation: Private industry workers in manufacturing industries, by occupational group, establishment size and bargaining status, </w:t>
      </w:r>
      <w:r>
        <w:rPr>
          <w:color w:val="000000"/>
          <w:sz w:val="20"/>
          <w:szCs w:val="20"/>
        </w:rPr>
        <w:t>September 2015</w:t>
      </w:r>
      <w:r w:rsidRPr="00E832FA">
        <w:rPr>
          <w:color w:val="000000"/>
          <w:sz w:val="20"/>
          <w:szCs w:val="20"/>
        </w:rPr>
        <w:t xml:space="preserve">.  </w:t>
      </w:r>
      <w:r>
        <w:rPr>
          <w:iCs/>
          <w:sz w:val="20"/>
          <w:szCs w:val="20"/>
        </w:rPr>
        <w:t>A</w:t>
      </w:r>
      <w:r w:rsidRPr="00E832FA">
        <w:rPr>
          <w:iCs/>
          <w:sz w:val="20"/>
          <w:szCs w:val="20"/>
        </w:rPr>
        <w:t xml:space="preserve">vailable at: </w:t>
      </w:r>
      <w:r w:rsidRPr="00022A12">
        <w:rPr>
          <w:iCs/>
          <w:sz w:val="20"/>
          <w:szCs w:val="20"/>
        </w:rPr>
        <w:t>http://www.bls.gov/ncs/ect/sp/ecsuptc</w:t>
      </w:r>
      <w:r>
        <w:rPr>
          <w:iCs/>
          <w:sz w:val="20"/>
          <w:szCs w:val="20"/>
        </w:rPr>
        <w:t>36</w:t>
      </w:r>
      <w:r w:rsidRPr="00022A12">
        <w:rPr>
          <w:iCs/>
          <w:sz w:val="20"/>
          <w:szCs w:val="20"/>
        </w:rPr>
        <w:t>.pdf</w:t>
      </w:r>
    </w:p>
  </w:footnote>
  <w:footnote w:id="5">
    <w:p w14:paraId="17C6079B" w14:textId="77777777" w:rsidR="00007306" w:rsidRPr="00DC223F" w:rsidRDefault="00007306">
      <w:pPr>
        <w:pStyle w:val="FootnoteText"/>
      </w:pPr>
      <w:r>
        <w:rPr>
          <w:rStyle w:val="FootnoteReference"/>
        </w:rPr>
        <w:footnoteRef/>
      </w:r>
      <w:r>
        <w:t xml:space="preserve"> OPM, 2016.  Salary Table 2016-DCB</w:t>
      </w:r>
      <w:r w:rsidRPr="001A2B70">
        <w:rPr>
          <w:i/>
        </w:rPr>
        <w:t>, Washington Baltimore</w:t>
      </w:r>
      <w:r>
        <w:rPr>
          <w:i/>
        </w:rPr>
        <w:t xml:space="preserve"> </w:t>
      </w:r>
      <w:r w:rsidRPr="001A2B70">
        <w:rPr>
          <w:i/>
        </w:rPr>
        <w:t>Northern Virginia, DC-MD-PA-VA-WV</w:t>
      </w:r>
      <w:r>
        <w:t xml:space="preserve">.  Available at </w:t>
      </w:r>
      <w:r w:rsidRPr="00680F0E">
        <w:t>http://www.opm.gov/oca/1</w:t>
      </w:r>
      <w:r>
        <w:t>6</w:t>
      </w:r>
      <w:r w:rsidRPr="00680F0E">
        <w:t>tables/pdf/dcb_h.pdf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346E3" w14:textId="77777777" w:rsidR="00007306" w:rsidRDefault="00007306">
    <w:pPr>
      <w:pStyle w:val="Header"/>
      <w:jc w:val="cent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1ABAF" w14:textId="77777777" w:rsidR="00007306" w:rsidRDefault="00007306">
    <w:pPr>
      <w:pStyle w:val="Header"/>
      <w:jc w:val="cent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6B4C" w14:textId="77777777" w:rsidR="00007306" w:rsidRPr="00003FA4" w:rsidRDefault="00007306" w:rsidP="001B74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0B"/>
    <w:multiLevelType w:val="hybridMultilevel"/>
    <w:tmpl w:val="D02A59F6"/>
    <w:lvl w:ilvl="0" w:tplc="C3FC0E3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A20B1"/>
    <w:multiLevelType w:val="hybridMultilevel"/>
    <w:tmpl w:val="BD5C0E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4E7AF9"/>
    <w:multiLevelType w:val="hybridMultilevel"/>
    <w:tmpl w:val="23A010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E63F7"/>
    <w:multiLevelType w:val="hybridMultilevel"/>
    <w:tmpl w:val="EF6457D4"/>
    <w:lvl w:ilvl="0" w:tplc="0409000F">
      <w:start w:val="1"/>
      <w:numFmt w:val="decimal"/>
      <w:lvlText w:val="%1."/>
      <w:lvlJc w:val="left"/>
      <w:pPr>
        <w:ind w:left="360" w:hanging="360"/>
      </w:pPr>
      <w:rPr>
        <w:rFonts w:hint="default"/>
      </w:rPr>
    </w:lvl>
    <w:lvl w:ilvl="1" w:tplc="BBCE85CA">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335240"/>
    <w:multiLevelType w:val="hybridMultilevel"/>
    <w:tmpl w:val="852201EA"/>
    <w:lvl w:ilvl="0" w:tplc="DD76BC2C">
      <w:start w:val="4"/>
      <w:numFmt w:val="decimal"/>
      <w:lvlText w:val="%1."/>
      <w:lvlJc w:val="left"/>
      <w:pPr>
        <w:tabs>
          <w:tab w:val="num" w:pos="360"/>
        </w:tabs>
        <w:ind w:left="360" w:hanging="360"/>
      </w:pPr>
      <w:rPr>
        <w:rFonts w:hint="default"/>
      </w:rPr>
    </w:lvl>
    <w:lvl w:ilvl="1" w:tplc="542EDB00">
      <w:numFmt w:val="none"/>
      <w:lvlText w:val=""/>
      <w:lvlJc w:val="left"/>
      <w:pPr>
        <w:tabs>
          <w:tab w:val="num" w:pos="360"/>
        </w:tabs>
      </w:pPr>
    </w:lvl>
    <w:lvl w:ilvl="2" w:tplc="12688A1E">
      <w:numFmt w:val="none"/>
      <w:lvlText w:val=""/>
      <w:lvlJc w:val="left"/>
      <w:pPr>
        <w:tabs>
          <w:tab w:val="num" w:pos="360"/>
        </w:tabs>
      </w:pPr>
    </w:lvl>
    <w:lvl w:ilvl="3" w:tplc="0DCE1116">
      <w:numFmt w:val="none"/>
      <w:lvlText w:val=""/>
      <w:lvlJc w:val="left"/>
      <w:pPr>
        <w:tabs>
          <w:tab w:val="num" w:pos="360"/>
        </w:tabs>
      </w:pPr>
    </w:lvl>
    <w:lvl w:ilvl="4" w:tplc="CB7CED72">
      <w:numFmt w:val="none"/>
      <w:lvlText w:val=""/>
      <w:lvlJc w:val="left"/>
      <w:pPr>
        <w:tabs>
          <w:tab w:val="num" w:pos="360"/>
        </w:tabs>
      </w:pPr>
    </w:lvl>
    <w:lvl w:ilvl="5" w:tplc="B03C97A8">
      <w:numFmt w:val="none"/>
      <w:lvlText w:val=""/>
      <w:lvlJc w:val="left"/>
      <w:pPr>
        <w:tabs>
          <w:tab w:val="num" w:pos="360"/>
        </w:tabs>
      </w:pPr>
    </w:lvl>
    <w:lvl w:ilvl="6" w:tplc="A0ECF294">
      <w:numFmt w:val="none"/>
      <w:lvlText w:val=""/>
      <w:lvlJc w:val="left"/>
      <w:pPr>
        <w:tabs>
          <w:tab w:val="num" w:pos="360"/>
        </w:tabs>
      </w:pPr>
    </w:lvl>
    <w:lvl w:ilvl="7" w:tplc="A372F33A">
      <w:numFmt w:val="none"/>
      <w:lvlText w:val=""/>
      <w:lvlJc w:val="left"/>
      <w:pPr>
        <w:tabs>
          <w:tab w:val="num" w:pos="360"/>
        </w:tabs>
      </w:pPr>
    </w:lvl>
    <w:lvl w:ilvl="8" w:tplc="998ADA20">
      <w:numFmt w:val="none"/>
      <w:lvlText w:val=""/>
      <w:lvlJc w:val="left"/>
      <w:pPr>
        <w:tabs>
          <w:tab w:val="num" w:pos="360"/>
        </w:tabs>
      </w:pPr>
    </w:lvl>
  </w:abstractNum>
  <w:abstractNum w:abstractNumId="5">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047F9"/>
    <w:multiLevelType w:val="hybridMultilevel"/>
    <w:tmpl w:val="E2D21BAE"/>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2373EA"/>
    <w:multiLevelType w:val="hybridMultilevel"/>
    <w:tmpl w:val="FE92C02E"/>
    <w:lvl w:ilvl="0" w:tplc="41B4215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6F3EAE"/>
    <w:multiLevelType w:val="hybridMultilevel"/>
    <w:tmpl w:val="C7E4EF40"/>
    <w:lvl w:ilvl="0" w:tplc="4D2AAED4">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6D3C93"/>
    <w:multiLevelType w:val="hybridMultilevel"/>
    <w:tmpl w:val="8BD03B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C507AE"/>
    <w:multiLevelType w:val="hybridMultilevel"/>
    <w:tmpl w:val="9050F032"/>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B06E32"/>
    <w:multiLevelType w:val="hybridMultilevel"/>
    <w:tmpl w:val="5E88F940"/>
    <w:lvl w:ilvl="0" w:tplc="C9DCAC8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6134836"/>
    <w:multiLevelType w:val="hybridMultilevel"/>
    <w:tmpl w:val="36EC68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5C2225"/>
    <w:multiLevelType w:val="hybridMultilevel"/>
    <w:tmpl w:val="44FA7A0E"/>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
    <w:nsid w:val="37BC64C5"/>
    <w:multiLevelType w:val="hybridMultilevel"/>
    <w:tmpl w:val="54387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B603EC"/>
    <w:multiLevelType w:val="hybridMultilevel"/>
    <w:tmpl w:val="420C3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F9F024E"/>
    <w:multiLevelType w:val="hybridMultilevel"/>
    <w:tmpl w:val="268ACD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A40354"/>
    <w:multiLevelType w:val="hybridMultilevel"/>
    <w:tmpl w:val="CD221A68"/>
    <w:lvl w:ilvl="0" w:tplc="F35EFB1E">
      <w:start w:val="1"/>
      <w:numFmt w:val="bullet"/>
      <w:pStyle w:val="Level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740FF7"/>
    <w:multiLevelType w:val="hybridMultilevel"/>
    <w:tmpl w:val="4184C4C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46E57269"/>
    <w:multiLevelType w:val="hybridMultilevel"/>
    <w:tmpl w:val="D9BE03D6"/>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A6C5EF3"/>
    <w:multiLevelType w:val="hybridMultilevel"/>
    <w:tmpl w:val="C3EE13B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5">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304BCB"/>
    <w:multiLevelType w:val="hybridMultilevel"/>
    <w:tmpl w:val="FD52BF92"/>
    <w:lvl w:ilvl="0" w:tplc="AA8E98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2C6799"/>
    <w:multiLevelType w:val="hybridMultilevel"/>
    <w:tmpl w:val="B232B2E6"/>
    <w:lvl w:ilvl="0" w:tplc="4D2AAE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Arial"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Aria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Aria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9">
    <w:nsid w:val="63B27853"/>
    <w:multiLevelType w:val="hybridMultilevel"/>
    <w:tmpl w:val="0DB437AA"/>
    <w:lvl w:ilvl="0" w:tplc="FDF67E2C">
      <w:start w:val="1"/>
      <w:numFmt w:val="bullet"/>
      <w:lvlText w:val=""/>
      <w:lvlJc w:val="left"/>
      <w:pPr>
        <w:tabs>
          <w:tab w:val="num" w:pos="1440"/>
        </w:tabs>
        <w:ind w:left="1440" w:hanging="360"/>
      </w:pPr>
      <w:rPr>
        <w:rFonts w:ascii="Symbol" w:hAnsi="Symbol" w:cs="NewCenturySchlbk-Roman"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61049E7"/>
    <w:multiLevelType w:val="multilevel"/>
    <w:tmpl w:val="DE7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0538B4"/>
    <w:multiLevelType w:val="hybridMultilevel"/>
    <w:tmpl w:val="A5ECD7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A1C0174"/>
    <w:multiLevelType w:val="hybridMultilevel"/>
    <w:tmpl w:val="1248A3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662D52"/>
    <w:multiLevelType w:val="hybridMultilevel"/>
    <w:tmpl w:val="C8D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415C46"/>
    <w:multiLevelType w:val="hybridMultilevel"/>
    <w:tmpl w:val="6C8A6C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7787B0A"/>
    <w:multiLevelType w:val="hybridMultilevel"/>
    <w:tmpl w:val="03427BC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Arial"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Arial"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Arial"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7">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DF60B2"/>
    <w:multiLevelType w:val="hybridMultilevel"/>
    <w:tmpl w:val="44A24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6"/>
  </w:num>
  <w:num w:numId="4">
    <w:abstractNumId w:val="9"/>
  </w:num>
  <w:num w:numId="5">
    <w:abstractNumId w:val="20"/>
  </w:num>
  <w:num w:numId="6">
    <w:abstractNumId w:val="16"/>
  </w:num>
  <w:num w:numId="7">
    <w:abstractNumId w:val="30"/>
  </w:num>
  <w:num w:numId="8">
    <w:abstractNumId w:val="21"/>
  </w:num>
  <w:num w:numId="9">
    <w:abstractNumId w:val="15"/>
  </w:num>
  <w:num w:numId="10">
    <w:abstractNumId w:val="28"/>
  </w:num>
  <w:num w:numId="11">
    <w:abstractNumId w:val="31"/>
  </w:num>
  <w:num w:numId="12">
    <w:abstractNumId w:val="4"/>
  </w:num>
  <w:num w:numId="13">
    <w:abstractNumId w:val="18"/>
  </w:num>
  <w:num w:numId="14">
    <w:abstractNumId w:val="2"/>
  </w:num>
  <w:num w:numId="15">
    <w:abstractNumId w:val="19"/>
  </w:num>
  <w:num w:numId="16">
    <w:abstractNumId w:val="1"/>
  </w:num>
  <w:num w:numId="17">
    <w:abstractNumId w:val="14"/>
  </w:num>
  <w:num w:numId="18">
    <w:abstractNumId w:val="32"/>
  </w:num>
  <w:num w:numId="19">
    <w:abstractNumId w:val="10"/>
  </w:num>
  <w:num w:numId="20">
    <w:abstractNumId w:val="35"/>
  </w:num>
  <w:num w:numId="21">
    <w:abstractNumId w:val="38"/>
  </w:num>
  <w:num w:numId="22">
    <w:abstractNumId w:val="36"/>
  </w:num>
  <w:num w:numId="23">
    <w:abstractNumId w:val="33"/>
  </w:num>
  <w:num w:numId="24">
    <w:abstractNumId w:val="8"/>
  </w:num>
  <w:num w:numId="25">
    <w:abstractNumId w:val="26"/>
  </w:num>
  <w:num w:numId="26">
    <w:abstractNumId w:val="29"/>
  </w:num>
  <w:num w:numId="27">
    <w:abstractNumId w:val="11"/>
  </w:num>
  <w:num w:numId="28">
    <w:abstractNumId w:val="22"/>
  </w:num>
  <w:num w:numId="29">
    <w:abstractNumId w:val="13"/>
  </w:num>
  <w:num w:numId="30">
    <w:abstractNumId w:val="37"/>
  </w:num>
  <w:num w:numId="31">
    <w:abstractNumId w:val="27"/>
  </w:num>
  <w:num w:numId="32">
    <w:abstractNumId w:val="23"/>
  </w:num>
  <w:num w:numId="33">
    <w:abstractNumId w:val="7"/>
  </w:num>
  <w:num w:numId="34">
    <w:abstractNumId w:val="17"/>
  </w:num>
  <w:num w:numId="35">
    <w:abstractNumId w:val="3"/>
  </w:num>
  <w:num w:numId="36">
    <w:abstractNumId w:val="34"/>
  </w:num>
  <w:num w:numId="37">
    <w:abstractNumId w:val="25"/>
  </w:num>
  <w:num w:numId="38">
    <w:abstractNumId w:val="5"/>
  </w:num>
  <w:num w:numId="39">
    <w:abstractNumId w:val="39"/>
  </w:num>
  <w:num w:numId="4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09"/>
    <w:rsid w:val="000012C0"/>
    <w:rsid w:val="0000663B"/>
    <w:rsid w:val="00007306"/>
    <w:rsid w:val="000261CF"/>
    <w:rsid w:val="00044307"/>
    <w:rsid w:val="000510EB"/>
    <w:rsid w:val="00063787"/>
    <w:rsid w:val="00066CAD"/>
    <w:rsid w:val="00082F84"/>
    <w:rsid w:val="00082FC7"/>
    <w:rsid w:val="00091DA6"/>
    <w:rsid w:val="000B0B0C"/>
    <w:rsid w:val="000B1DB6"/>
    <w:rsid w:val="000B4D7C"/>
    <w:rsid w:val="000B7CA1"/>
    <w:rsid w:val="000F0371"/>
    <w:rsid w:val="001138EC"/>
    <w:rsid w:val="001150C6"/>
    <w:rsid w:val="0012009A"/>
    <w:rsid w:val="001224BF"/>
    <w:rsid w:val="0012491C"/>
    <w:rsid w:val="001411E3"/>
    <w:rsid w:val="00152356"/>
    <w:rsid w:val="00153C5E"/>
    <w:rsid w:val="001645B6"/>
    <w:rsid w:val="001A24C3"/>
    <w:rsid w:val="001B4DDD"/>
    <w:rsid w:val="001B7421"/>
    <w:rsid w:val="001B78A3"/>
    <w:rsid w:val="001C0061"/>
    <w:rsid w:val="001C04B2"/>
    <w:rsid w:val="001C33FB"/>
    <w:rsid w:val="001E562E"/>
    <w:rsid w:val="001E64AF"/>
    <w:rsid w:val="001F46F2"/>
    <w:rsid w:val="001F5715"/>
    <w:rsid w:val="002046C8"/>
    <w:rsid w:val="00214F4F"/>
    <w:rsid w:val="0022588F"/>
    <w:rsid w:val="002267DF"/>
    <w:rsid w:val="00235217"/>
    <w:rsid w:val="002376DB"/>
    <w:rsid w:val="00240634"/>
    <w:rsid w:val="0024161C"/>
    <w:rsid w:val="00242E77"/>
    <w:rsid w:val="00253537"/>
    <w:rsid w:val="00255B05"/>
    <w:rsid w:val="00260237"/>
    <w:rsid w:val="00266B67"/>
    <w:rsid w:val="0028108F"/>
    <w:rsid w:val="002A6AE6"/>
    <w:rsid w:val="002B133E"/>
    <w:rsid w:val="002C068B"/>
    <w:rsid w:val="002C2B58"/>
    <w:rsid w:val="002D132A"/>
    <w:rsid w:val="002D2F02"/>
    <w:rsid w:val="002E7EF7"/>
    <w:rsid w:val="00303FE1"/>
    <w:rsid w:val="003178C8"/>
    <w:rsid w:val="003441CE"/>
    <w:rsid w:val="003444CF"/>
    <w:rsid w:val="00360C70"/>
    <w:rsid w:val="00361104"/>
    <w:rsid w:val="003615D5"/>
    <w:rsid w:val="0036525D"/>
    <w:rsid w:val="003833F5"/>
    <w:rsid w:val="00390059"/>
    <w:rsid w:val="00391164"/>
    <w:rsid w:val="003A1D20"/>
    <w:rsid w:val="003A2C70"/>
    <w:rsid w:val="003B11AB"/>
    <w:rsid w:val="003B554C"/>
    <w:rsid w:val="003B5AE0"/>
    <w:rsid w:val="003C7F24"/>
    <w:rsid w:val="003D1156"/>
    <w:rsid w:val="003D65A1"/>
    <w:rsid w:val="003E6213"/>
    <w:rsid w:val="003F7A49"/>
    <w:rsid w:val="0040049E"/>
    <w:rsid w:val="0040595D"/>
    <w:rsid w:val="00412D0A"/>
    <w:rsid w:val="00415C24"/>
    <w:rsid w:val="00435F22"/>
    <w:rsid w:val="00445D35"/>
    <w:rsid w:val="004514F6"/>
    <w:rsid w:val="00455E32"/>
    <w:rsid w:val="00457BFA"/>
    <w:rsid w:val="0046330F"/>
    <w:rsid w:val="00470700"/>
    <w:rsid w:val="00473431"/>
    <w:rsid w:val="00481D82"/>
    <w:rsid w:val="00486124"/>
    <w:rsid w:val="004A2A50"/>
    <w:rsid w:val="004B41B5"/>
    <w:rsid w:val="004B4B70"/>
    <w:rsid w:val="004C068F"/>
    <w:rsid w:val="004C5575"/>
    <w:rsid w:val="004E44BB"/>
    <w:rsid w:val="004E7B0B"/>
    <w:rsid w:val="00502E5D"/>
    <w:rsid w:val="00505A83"/>
    <w:rsid w:val="005074E7"/>
    <w:rsid w:val="00513DD2"/>
    <w:rsid w:val="00527210"/>
    <w:rsid w:val="005274E1"/>
    <w:rsid w:val="00535A37"/>
    <w:rsid w:val="00545193"/>
    <w:rsid w:val="005464D9"/>
    <w:rsid w:val="00560290"/>
    <w:rsid w:val="00572F02"/>
    <w:rsid w:val="005773CD"/>
    <w:rsid w:val="00580619"/>
    <w:rsid w:val="00595484"/>
    <w:rsid w:val="005977D9"/>
    <w:rsid w:val="005A0705"/>
    <w:rsid w:val="005C0018"/>
    <w:rsid w:val="005C0366"/>
    <w:rsid w:val="005C1EF0"/>
    <w:rsid w:val="005C6AB2"/>
    <w:rsid w:val="005C6E81"/>
    <w:rsid w:val="005D3282"/>
    <w:rsid w:val="005D60E1"/>
    <w:rsid w:val="005D6E41"/>
    <w:rsid w:val="00603CD6"/>
    <w:rsid w:val="0062417D"/>
    <w:rsid w:val="006267EA"/>
    <w:rsid w:val="0064002D"/>
    <w:rsid w:val="0064134E"/>
    <w:rsid w:val="00647E54"/>
    <w:rsid w:val="00680F0E"/>
    <w:rsid w:val="006824DB"/>
    <w:rsid w:val="006874FB"/>
    <w:rsid w:val="006940FF"/>
    <w:rsid w:val="006A06AB"/>
    <w:rsid w:val="006A442E"/>
    <w:rsid w:val="006C2E5A"/>
    <w:rsid w:val="006D1951"/>
    <w:rsid w:val="006D3125"/>
    <w:rsid w:val="006D4106"/>
    <w:rsid w:val="006D7640"/>
    <w:rsid w:val="006F3719"/>
    <w:rsid w:val="0070078C"/>
    <w:rsid w:val="0072337B"/>
    <w:rsid w:val="00732E1A"/>
    <w:rsid w:val="00751B4D"/>
    <w:rsid w:val="00755DC4"/>
    <w:rsid w:val="00772FB4"/>
    <w:rsid w:val="00775E29"/>
    <w:rsid w:val="007941FE"/>
    <w:rsid w:val="00795FF4"/>
    <w:rsid w:val="007A4965"/>
    <w:rsid w:val="007B14E8"/>
    <w:rsid w:val="007C1D42"/>
    <w:rsid w:val="007C3E07"/>
    <w:rsid w:val="007E011B"/>
    <w:rsid w:val="007F28BC"/>
    <w:rsid w:val="00803A3D"/>
    <w:rsid w:val="00805CE6"/>
    <w:rsid w:val="00824DB9"/>
    <w:rsid w:val="008332DA"/>
    <w:rsid w:val="00835CE6"/>
    <w:rsid w:val="00845705"/>
    <w:rsid w:val="0085108B"/>
    <w:rsid w:val="008559BE"/>
    <w:rsid w:val="00861845"/>
    <w:rsid w:val="00874ED2"/>
    <w:rsid w:val="00885FEF"/>
    <w:rsid w:val="00887177"/>
    <w:rsid w:val="008A0602"/>
    <w:rsid w:val="008B6BE0"/>
    <w:rsid w:val="008D1B62"/>
    <w:rsid w:val="008D4C79"/>
    <w:rsid w:val="008E10E8"/>
    <w:rsid w:val="008E1F30"/>
    <w:rsid w:val="008E2148"/>
    <w:rsid w:val="008E21AA"/>
    <w:rsid w:val="008E3DC3"/>
    <w:rsid w:val="008F4212"/>
    <w:rsid w:val="008F58BE"/>
    <w:rsid w:val="008F60D3"/>
    <w:rsid w:val="00901DEF"/>
    <w:rsid w:val="00902188"/>
    <w:rsid w:val="00914B2D"/>
    <w:rsid w:val="00923C91"/>
    <w:rsid w:val="009379B6"/>
    <w:rsid w:val="00941A3F"/>
    <w:rsid w:val="0094313E"/>
    <w:rsid w:val="00943705"/>
    <w:rsid w:val="00952F19"/>
    <w:rsid w:val="00956A3C"/>
    <w:rsid w:val="00963D30"/>
    <w:rsid w:val="00965949"/>
    <w:rsid w:val="009662E7"/>
    <w:rsid w:val="00980EF5"/>
    <w:rsid w:val="009A1017"/>
    <w:rsid w:val="009A26AD"/>
    <w:rsid w:val="009C0CCB"/>
    <w:rsid w:val="009C0D41"/>
    <w:rsid w:val="009C74D2"/>
    <w:rsid w:val="009D726C"/>
    <w:rsid w:val="009E036C"/>
    <w:rsid w:val="009E411C"/>
    <w:rsid w:val="009E7694"/>
    <w:rsid w:val="009F5C4C"/>
    <w:rsid w:val="00A06262"/>
    <w:rsid w:val="00A2177E"/>
    <w:rsid w:val="00A467D5"/>
    <w:rsid w:val="00A46ACB"/>
    <w:rsid w:val="00A500F0"/>
    <w:rsid w:val="00A566B5"/>
    <w:rsid w:val="00A715C5"/>
    <w:rsid w:val="00A721EB"/>
    <w:rsid w:val="00A81CEB"/>
    <w:rsid w:val="00A81F29"/>
    <w:rsid w:val="00A8297E"/>
    <w:rsid w:val="00A82A79"/>
    <w:rsid w:val="00A839D5"/>
    <w:rsid w:val="00A841C7"/>
    <w:rsid w:val="00A867B8"/>
    <w:rsid w:val="00A931F7"/>
    <w:rsid w:val="00A946B8"/>
    <w:rsid w:val="00AA0302"/>
    <w:rsid w:val="00AA37CC"/>
    <w:rsid w:val="00AA42D8"/>
    <w:rsid w:val="00AB02D4"/>
    <w:rsid w:val="00AB6641"/>
    <w:rsid w:val="00AB6F64"/>
    <w:rsid w:val="00AE37D3"/>
    <w:rsid w:val="00AF6F6C"/>
    <w:rsid w:val="00B05509"/>
    <w:rsid w:val="00B10C9A"/>
    <w:rsid w:val="00B21230"/>
    <w:rsid w:val="00B23CFE"/>
    <w:rsid w:val="00B27828"/>
    <w:rsid w:val="00B47012"/>
    <w:rsid w:val="00B622AC"/>
    <w:rsid w:val="00B968E9"/>
    <w:rsid w:val="00BD2CD6"/>
    <w:rsid w:val="00BD3C01"/>
    <w:rsid w:val="00BD4E3E"/>
    <w:rsid w:val="00C030F2"/>
    <w:rsid w:val="00C05807"/>
    <w:rsid w:val="00C2784A"/>
    <w:rsid w:val="00C306CE"/>
    <w:rsid w:val="00C41A53"/>
    <w:rsid w:val="00C6296E"/>
    <w:rsid w:val="00C706AB"/>
    <w:rsid w:val="00C770A7"/>
    <w:rsid w:val="00CB251F"/>
    <w:rsid w:val="00CC63E9"/>
    <w:rsid w:val="00CD112D"/>
    <w:rsid w:val="00CE33ED"/>
    <w:rsid w:val="00CF589D"/>
    <w:rsid w:val="00CF7734"/>
    <w:rsid w:val="00D0565E"/>
    <w:rsid w:val="00D06646"/>
    <w:rsid w:val="00D146C4"/>
    <w:rsid w:val="00D1520F"/>
    <w:rsid w:val="00D27F25"/>
    <w:rsid w:val="00D51A22"/>
    <w:rsid w:val="00D54345"/>
    <w:rsid w:val="00D5715B"/>
    <w:rsid w:val="00D61473"/>
    <w:rsid w:val="00D621B3"/>
    <w:rsid w:val="00D740F1"/>
    <w:rsid w:val="00D824B6"/>
    <w:rsid w:val="00D87028"/>
    <w:rsid w:val="00D972B8"/>
    <w:rsid w:val="00D97E40"/>
    <w:rsid w:val="00DA31E1"/>
    <w:rsid w:val="00DB64F4"/>
    <w:rsid w:val="00DC047D"/>
    <w:rsid w:val="00DC4D17"/>
    <w:rsid w:val="00DE3C2B"/>
    <w:rsid w:val="00DE6FA3"/>
    <w:rsid w:val="00DF093A"/>
    <w:rsid w:val="00E024B5"/>
    <w:rsid w:val="00E02BC4"/>
    <w:rsid w:val="00E069B1"/>
    <w:rsid w:val="00E20653"/>
    <w:rsid w:val="00E216A6"/>
    <w:rsid w:val="00E261BE"/>
    <w:rsid w:val="00E3048D"/>
    <w:rsid w:val="00E33E3A"/>
    <w:rsid w:val="00E4115E"/>
    <w:rsid w:val="00E50B5A"/>
    <w:rsid w:val="00E67DC6"/>
    <w:rsid w:val="00E77F70"/>
    <w:rsid w:val="00E914E3"/>
    <w:rsid w:val="00ED2B4B"/>
    <w:rsid w:val="00ED48C4"/>
    <w:rsid w:val="00EE089E"/>
    <w:rsid w:val="00EE4346"/>
    <w:rsid w:val="00EE4483"/>
    <w:rsid w:val="00EF233C"/>
    <w:rsid w:val="00F03EAD"/>
    <w:rsid w:val="00F5354D"/>
    <w:rsid w:val="00F6109C"/>
    <w:rsid w:val="00F61CD2"/>
    <w:rsid w:val="00F637D8"/>
    <w:rsid w:val="00FA06C2"/>
    <w:rsid w:val="00FB0684"/>
    <w:rsid w:val="00FC1F84"/>
    <w:rsid w:val="00FE4AC8"/>
    <w:rsid w:val="00FF416C"/>
    <w:rsid w:val="00FF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CF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2"/>
      <w:szCs w:val="22"/>
    </w:rPr>
  </w:style>
  <w:style w:type="paragraph" w:styleId="Heading3">
    <w:name w:val="heading 3"/>
    <w:basedOn w:val="Normal"/>
    <w:next w:val="Normal"/>
    <w:qFormat/>
    <w:pPr>
      <w:keepNext/>
      <w:outlineLvl w:val="2"/>
    </w:pPr>
    <w:rPr>
      <w:b/>
      <w:bCs/>
      <w:sz w:val="22"/>
      <w:szCs w:val="22"/>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center"/>
      <w:outlineLvl w:val="4"/>
    </w:pPr>
    <w:rPr>
      <w:b/>
      <w:u w:val="single"/>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spacing w:line="288" w:lineRule="auto"/>
      <w:jc w:val="center"/>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w:hAnsi="Arial" w:cs="Arial"/>
      <w:color w:val="000000"/>
      <w:sz w:val="20"/>
      <w:szCs w:val="20"/>
    </w:rPr>
  </w:style>
  <w:style w:type="character" w:styleId="Hyperlink">
    <w:name w:val="Hyperlink"/>
    <w:uiPriority w:val="99"/>
    <w:rPr>
      <w:color w:val="0000FF"/>
      <w:u w:val="single"/>
    </w:rPr>
  </w:style>
  <w:style w:type="paragraph" w:styleId="BodyText">
    <w:name w:val="Body Text"/>
    <w:basedOn w:val="Normal"/>
    <w:rPr>
      <w:rFonts w:ascii="Arial" w:hAnsi="Arial" w:cs="Arial"/>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paragraph" w:customStyle="1" w:styleId="TableCaption">
    <w:name w:val="TableCaption"/>
    <w:basedOn w:val="Normal"/>
    <w:autoRedefine/>
    <w:rsid w:val="00AB5503"/>
    <w:rPr>
      <w:rFonts w:ascii="Bookman Old Style" w:hAnsi="Bookman Old Style"/>
      <w:bCs/>
      <w:color w:val="000000"/>
    </w:rPr>
  </w:style>
  <w:style w:type="character" w:customStyle="1" w:styleId="TableCaptionChar">
    <w:name w:val="TableCaption Char"/>
    <w:rPr>
      <w:rFonts w:ascii="Bookman Old Style" w:hAnsi="Bookman Old Style"/>
      <w:color w:val="333399"/>
      <w:sz w:val="24"/>
      <w:szCs w:val="24"/>
      <w:lang w:val="en-US" w:eastAsia="en-US" w:bidi="ar-SA"/>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customStyle="1" w:styleId="Level1">
    <w:name w:val="Level 1"/>
    <w:basedOn w:val="Normal"/>
    <w:pPr>
      <w:numPr>
        <w:numId w:val="5"/>
      </w:numPr>
    </w:pPr>
  </w:style>
  <w:style w:type="paragraph" w:styleId="BlockText">
    <w:name w:val="Block Text"/>
    <w:basedOn w:val="Normal"/>
    <w:pPr>
      <w:ind w:left="113" w:right="113"/>
      <w:jc w:val="center"/>
    </w:pPr>
    <w:rPr>
      <w:sz w:val="18"/>
    </w:rPr>
  </w:style>
  <w:style w:type="paragraph" w:styleId="BodyTextIndent">
    <w:name w:val="Body Text Indent"/>
    <w:basedOn w:val="Normal"/>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paragraph" w:styleId="BalloonText">
    <w:name w:val="Balloon Text"/>
    <w:basedOn w:val="Normal"/>
    <w:semiHidden/>
    <w:rsid w:val="002F0F70"/>
    <w:rPr>
      <w:rFonts w:ascii="Tahoma" w:hAnsi="Tahoma" w:cs="Tahoma"/>
      <w:sz w:val="16"/>
      <w:szCs w:val="16"/>
    </w:rPr>
  </w:style>
  <w:style w:type="paragraph" w:styleId="CommentSubject">
    <w:name w:val="annotation subject"/>
    <w:basedOn w:val="CommentText"/>
    <w:next w:val="CommentText"/>
    <w:semiHidden/>
    <w:rsid w:val="003A62DE"/>
    <w:rPr>
      <w:b/>
      <w:bCs/>
    </w:rPr>
  </w:style>
  <w:style w:type="paragraph" w:styleId="BodyText2">
    <w:name w:val="Body Text 2"/>
    <w:basedOn w:val="Normal"/>
    <w:rsid w:val="005622BB"/>
    <w:pPr>
      <w:spacing w:after="120" w:line="480" w:lineRule="auto"/>
    </w:pPr>
  </w:style>
  <w:style w:type="paragraph" w:customStyle="1" w:styleId="Default">
    <w:name w:val="Default"/>
    <w:rsid w:val="005622BB"/>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5622BB"/>
    <w:pPr>
      <w:spacing w:after="250"/>
    </w:pPr>
    <w:rPr>
      <w:rFonts w:cs="Times New Roman"/>
      <w:color w:val="auto"/>
      <w:sz w:val="20"/>
    </w:rPr>
  </w:style>
  <w:style w:type="paragraph" w:customStyle="1" w:styleId="CM4">
    <w:name w:val="CM4"/>
    <w:basedOn w:val="Default"/>
    <w:next w:val="Default"/>
    <w:rsid w:val="005622BB"/>
    <w:pPr>
      <w:spacing w:line="253" w:lineRule="atLeast"/>
    </w:pPr>
    <w:rPr>
      <w:rFonts w:cs="Times New Roman"/>
      <w:color w:val="auto"/>
      <w:sz w:val="20"/>
    </w:rPr>
  </w:style>
  <w:style w:type="paragraph" w:customStyle="1" w:styleId="CM3">
    <w:name w:val="CM3"/>
    <w:basedOn w:val="Default"/>
    <w:next w:val="Default"/>
    <w:rsid w:val="00F415DD"/>
    <w:pPr>
      <w:widowControl/>
      <w:spacing w:after="273"/>
    </w:pPr>
    <w:rPr>
      <w:rFonts w:ascii="Times New Roman" w:hAnsi="Times New Roman" w:cs="Times New Roman"/>
      <w:color w:val="auto"/>
    </w:rPr>
  </w:style>
  <w:style w:type="table" w:styleId="TableGrid">
    <w:name w:val="Table Grid"/>
    <w:basedOn w:val="TableNormal"/>
    <w:rsid w:val="00F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9480F"/>
    <w:pPr>
      <w:spacing w:after="120" w:line="480" w:lineRule="auto"/>
      <w:ind w:left="360"/>
    </w:pPr>
  </w:style>
  <w:style w:type="paragraph" w:styleId="Title">
    <w:name w:val="Title"/>
    <w:basedOn w:val="Normal"/>
    <w:qFormat/>
    <w:rsid w:val="0059480F"/>
    <w:pPr>
      <w:jc w:val="center"/>
    </w:pPr>
    <w:rPr>
      <w:b/>
      <w:sz w:val="28"/>
    </w:rPr>
  </w:style>
  <w:style w:type="character" w:customStyle="1" w:styleId="SYSHYPERTEXT">
    <w:name w:val="SYS_HYPERTEXT"/>
    <w:rsid w:val="00F527CC"/>
    <w:rPr>
      <w:color w:val="0000FF"/>
      <w:u w:val="single"/>
    </w:rPr>
  </w:style>
  <w:style w:type="character" w:styleId="Strong">
    <w:name w:val="Strong"/>
    <w:qFormat/>
    <w:rsid w:val="005F77B3"/>
    <w:rPr>
      <w:b/>
      <w:bCs/>
    </w:rPr>
  </w:style>
  <w:style w:type="paragraph" w:styleId="Revision">
    <w:name w:val="Revision"/>
    <w:hidden/>
    <w:uiPriority w:val="99"/>
    <w:semiHidden/>
    <w:rsid w:val="00C706AB"/>
    <w:rPr>
      <w:sz w:val="24"/>
      <w:szCs w:val="24"/>
    </w:rPr>
  </w:style>
  <w:style w:type="paragraph" w:styleId="NoSpacing">
    <w:name w:val="No Spacing"/>
    <w:uiPriority w:val="1"/>
    <w:qFormat/>
    <w:rsid w:val="005274E1"/>
    <w:rPr>
      <w:rFonts w:ascii="Calibri" w:eastAsia="Calibri" w:hAnsi="Calibri"/>
      <w:sz w:val="22"/>
      <w:szCs w:val="22"/>
    </w:rPr>
  </w:style>
  <w:style w:type="paragraph" w:styleId="ListParagraph">
    <w:name w:val="List Paragraph"/>
    <w:basedOn w:val="Normal"/>
    <w:uiPriority w:val="34"/>
    <w:qFormat/>
    <w:rsid w:val="005274E1"/>
    <w:pPr>
      <w:spacing w:after="200" w:line="276" w:lineRule="auto"/>
      <w:ind w:left="720"/>
      <w:contextualSpacing/>
    </w:pPr>
    <w:rPr>
      <w:rFonts w:ascii="Arial" w:eastAsia="Calibri" w:hAnsi="Arial" w:cs="Arial"/>
      <w:sz w:val="20"/>
      <w:szCs w:val="20"/>
    </w:rPr>
  </w:style>
  <w:style w:type="character" w:customStyle="1" w:styleId="FooterChar">
    <w:name w:val="Footer Char"/>
    <w:link w:val="Footer"/>
    <w:uiPriority w:val="99"/>
    <w:rsid w:val="005274E1"/>
    <w:rPr>
      <w:sz w:val="24"/>
      <w:szCs w:val="24"/>
      <w:lang w:val="en-US" w:eastAsia="en-US"/>
    </w:rPr>
  </w:style>
  <w:style w:type="character" w:customStyle="1" w:styleId="HeaderChar">
    <w:name w:val="Header Char"/>
    <w:link w:val="Header"/>
    <w:rsid w:val="00B23C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2"/>
      <w:szCs w:val="22"/>
    </w:rPr>
  </w:style>
  <w:style w:type="paragraph" w:styleId="Heading3">
    <w:name w:val="heading 3"/>
    <w:basedOn w:val="Normal"/>
    <w:next w:val="Normal"/>
    <w:qFormat/>
    <w:pPr>
      <w:keepNext/>
      <w:outlineLvl w:val="2"/>
    </w:pPr>
    <w:rPr>
      <w:b/>
      <w:bCs/>
      <w:sz w:val="22"/>
      <w:szCs w:val="22"/>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center"/>
      <w:outlineLvl w:val="4"/>
    </w:pPr>
    <w:rPr>
      <w:b/>
      <w:u w:val="single"/>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spacing w:line="288" w:lineRule="auto"/>
      <w:jc w:val="center"/>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w:hAnsi="Arial" w:cs="Arial"/>
      <w:color w:val="000000"/>
      <w:sz w:val="20"/>
      <w:szCs w:val="20"/>
    </w:rPr>
  </w:style>
  <w:style w:type="character" w:styleId="Hyperlink">
    <w:name w:val="Hyperlink"/>
    <w:uiPriority w:val="99"/>
    <w:rPr>
      <w:color w:val="0000FF"/>
      <w:u w:val="single"/>
    </w:rPr>
  </w:style>
  <w:style w:type="paragraph" w:styleId="BodyText">
    <w:name w:val="Body Text"/>
    <w:basedOn w:val="Normal"/>
    <w:rPr>
      <w:rFonts w:ascii="Arial" w:hAnsi="Arial" w:cs="Arial"/>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style>
  <w:style w:type="paragraph" w:customStyle="1" w:styleId="TableCaption">
    <w:name w:val="TableCaption"/>
    <w:basedOn w:val="Normal"/>
    <w:autoRedefine/>
    <w:rsid w:val="00AB5503"/>
    <w:rPr>
      <w:rFonts w:ascii="Bookman Old Style" w:hAnsi="Bookman Old Style"/>
      <w:bCs/>
      <w:color w:val="000000"/>
    </w:rPr>
  </w:style>
  <w:style w:type="character" w:customStyle="1" w:styleId="TableCaptionChar">
    <w:name w:val="TableCaption Char"/>
    <w:rPr>
      <w:rFonts w:ascii="Bookman Old Style" w:hAnsi="Bookman Old Style"/>
      <w:color w:val="333399"/>
      <w:sz w:val="24"/>
      <w:szCs w:val="24"/>
      <w:lang w:val="en-US" w:eastAsia="en-US" w:bidi="ar-SA"/>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Pr>
      <w:sz w:val="16"/>
      <w:szCs w:val="16"/>
    </w:rPr>
  </w:style>
  <w:style w:type="paragraph" w:customStyle="1" w:styleId="Level1">
    <w:name w:val="Level 1"/>
    <w:basedOn w:val="Normal"/>
    <w:pPr>
      <w:numPr>
        <w:numId w:val="5"/>
      </w:numPr>
    </w:pPr>
  </w:style>
  <w:style w:type="paragraph" w:styleId="BlockText">
    <w:name w:val="Block Text"/>
    <w:basedOn w:val="Normal"/>
    <w:pPr>
      <w:ind w:left="113" w:right="113"/>
      <w:jc w:val="center"/>
    </w:pPr>
    <w:rPr>
      <w:sz w:val="18"/>
    </w:rPr>
  </w:style>
  <w:style w:type="paragraph" w:styleId="BodyTextIndent">
    <w:name w:val="Body Text Indent"/>
    <w:basedOn w:val="Normal"/>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paragraph" w:styleId="BalloonText">
    <w:name w:val="Balloon Text"/>
    <w:basedOn w:val="Normal"/>
    <w:semiHidden/>
    <w:rsid w:val="002F0F70"/>
    <w:rPr>
      <w:rFonts w:ascii="Tahoma" w:hAnsi="Tahoma" w:cs="Tahoma"/>
      <w:sz w:val="16"/>
      <w:szCs w:val="16"/>
    </w:rPr>
  </w:style>
  <w:style w:type="paragraph" w:styleId="CommentSubject">
    <w:name w:val="annotation subject"/>
    <w:basedOn w:val="CommentText"/>
    <w:next w:val="CommentText"/>
    <w:semiHidden/>
    <w:rsid w:val="003A62DE"/>
    <w:rPr>
      <w:b/>
      <w:bCs/>
    </w:rPr>
  </w:style>
  <w:style w:type="paragraph" w:styleId="BodyText2">
    <w:name w:val="Body Text 2"/>
    <w:basedOn w:val="Normal"/>
    <w:rsid w:val="005622BB"/>
    <w:pPr>
      <w:spacing w:after="120" w:line="480" w:lineRule="auto"/>
    </w:pPr>
  </w:style>
  <w:style w:type="paragraph" w:customStyle="1" w:styleId="Default">
    <w:name w:val="Default"/>
    <w:rsid w:val="005622BB"/>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5622BB"/>
    <w:pPr>
      <w:spacing w:after="250"/>
    </w:pPr>
    <w:rPr>
      <w:rFonts w:cs="Times New Roman"/>
      <w:color w:val="auto"/>
      <w:sz w:val="20"/>
    </w:rPr>
  </w:style>
  <w:style w:type="paragraph" w:customStyle="1" w:styleId="CM4">
    <w:name w:val="CM4"/>
    <w:basedOn w:val="Default"/>
    <w:next w:val="Default"/>
    <w:rsid w:val="005622BB"/>
    <w:pPr>
      <w:spacing w:line="253" w:lineRule="atLeast"/>
    </w:pPr>
    <w:rPr>
      <w:rFonts w:cs="Times New Roman"/>
      <w:color w:val="auto"/>
      <w:sz w:val="20"/>
    </w:rPr>
  </w:style>
  <w:style w:type="paragraph" w:customStyle="1" w:styleId="CM3">
    <w:name w:val="CM3"/>
    <w:basedOn w:val="Default"/>
    <w:next w:val="Default"/>
    <w:rsid w:val="00F415DD"/>
    <w:pPr>
      <w:widowControl/>
      <w:spacing w:after="273"/>
    </w:pPr>
    <w:rPr>
      <w:rFonts w:ascii="Times New Roman" w:hAnsi="Times New Roman" w:cs="Times New Roman"/>
      <w:color w:val="auto"/>
    </w:rPr>
  </w:style>
  <w:style w:type="table" w:styleId="TableGrid">
    <w:name w:val="Table Grid"/>
    <w:basedOn w:val="TableNormal"/>
    <w:rsid w:val="00F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9480F"/>
    <w:pPr>
      <w:spacing w:after="120" w:line="480" w:lineRule="auto"/>
      <w:ind w:left="360"/>
    </w:pPr>
  </w:style>
  <w:style w:type="paragraph" w:styleId="Title">
    <w:name w:val="Title"/>
    <w:basedOn w:val="Normal"/>
    <w:qFormat/>
    <w:rsid w:val="0059480F"/>
    <w:pPr>
      <w:jc w:val="center"/>
    </w:pPr>
    <w:rPr>
      <w:b/>
      <w:sz w:val="28"/>
    </w:rPr>
  </w:style>
  <w:style w:type="character" w:customStyle="1" w:styleId="SYSHYPERTEXT">
    <w:name w:val="SYS_HYPERTEXT"/>
    <w:rsid w:val="00F527CC"/>
    <w:rPr>
      <w:color w:val="0000FF"/>
      <w:u w:val="single"/>
    </w:rPr>
  </w:style>
  <w:style w:type="character" w:styleId="Strong">
    <w:name w:val="Strong"/>
    <w:qFormat/>
    <w:rsid w:val="005F77B3"/>
    <w:rPr>
      <w:b/>
      <w:bCs/>
    </w:rPr>
  </w:style>
  <w:style w:type="paragraph" w:styleId="Revision">
    <w:name w:val="Revision"/>
    <w:hidden/>
    <w:uiPriority w:val="99"/>
    <w:semiHidden/>
    <w:rsid w:val="00C706AB"/>
    <w:rPr>
      <w:sz w:val="24"/>
      <w:szCs w:val="24"/>
    </w:rPr>
  </w:style>
  <w:style w:type="paragraph" w:styleId="NoSpacing">
    <w:name w:val="No Spacing"/>
    <w:uiPriority w:val="1"/>
    <w:qFormat/>
    <w:rsid w:val="005274E1"/>
    <w:rPr>
      <w:rFonts w:ascii="Calibri" w:eastAsia="Calibri" w:hAnsi="Calibri"/>
      <w:sz w:val="22"/>
      <w:szCs w:val="22"/>
    </w:rPr>
  </w:style>
  <w:style w:type="paragraph" w:styleId="ListParagraph">
    <w:name w:val="List Paragraph"/>
    <w:basedOn w:val="Normal"/>
    <w:uiPriority w:val="34"/>
    <w:qFormat/>
    <w:rsid w:val="005274E1"/>
    <w:pPr>
      <w:spacing w:after="200" w:line="276" w:lineRule="auto"/>
      <w:ind w:left="720"/>
      <w:contextualSpacing/>
    </w:pPr>
    <w:rPr>
      <w:rFonts w:ascii="Arial" w:eastAsia="Calibri" w:hAnsi="Arial" w:cs="Arial"/>
      <w:sz w:val="20"/>
      <w:szCs w:val="20"/>
    </w:rPr>
  </w:style>
  <w:style w:type="character" w:customStyle="1" w:styleId="FooterChar">
    <w:name w:val="Footer Char"/>
    <w:link w:val="Footer"/>
    <w:uiPriority w:val="99"/>
    <w:rsid w:val="005274E1"/>
    <w:rPr>
      <w:sz w:val="24"/>
      <w:szCs w:val="24"/>
      <w:lang w:val="en-US" w:eastAsia="en-US"/>
    </w:rPr>
  </w:style>
  <w:style w:type="character" w:customStyle="1" w:styleId="HeaderChar">
    <w:name w:val="Header Char"/>
    <w:link w:val="Header"/>
    <w:rsid w:val="00B23C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1262">
      <w:bodyDiv w:val="1"/>
      <w:marLeft w:val="0"/>
      <w:marRight w:val="0"/>
      <w:marTop w:val="0"/>
      <w:marBottom w:val="0"/>
      <w:divBdr>
        <w:top w:val="none" w:sz="0" w:space="0" w:color="auto"/>
        <w:left w:val="none" w:sz="0" w:space="0" w:color="auto"/>
        <w:bottom w:val="none" w:sz="0" w:space="0" w:color="auto"/>
        <w:right w:val="none" w:sz="0" w:space="0" w:color="auto"/>
      </w:divBdr>
    </w:div>
    <w:div w:id="243295575">
      <w:bodyDiv w:val="1"/>
      <w:marLeft w:val="0"/>
      <w:marRight w:val="0"/>
      <w:marTop w:val="0"/>
      <w:marBottom w:val="0"/>
      <w:divBdr>
        <w:top w:val="none" w:sz="0" w:space="0" w:color="auto"/>
        <w:left w:val="none" w:sz="0" w:space="0" w:color="auto"/>
        <w:bottom w:val="none" w:sz="0" w:space="0" w:color="auto"/>
        <w:right w:val="none" w:sz="0" w:space="0" w:color="auto"/>
      </w:divBdr>
    </w:div>
    <w:div w:id="866916416">
      <w:bodyDiv w:val="1"/>
      <w:marLeft w:val="0"/>
      <w:marRight w:val="0"/>
      <w:marTop w:val="0"/>
      <w:marBottom w:val="0"/>
      <w:divBdr>
        <w:top w:val="none" w:sz="0" w:space="0" w:color="auto"/>
        <w:left w:val="none" w:sz="0" w:space="0" w:color="auto"/>
        <w:bottom w:val="none" w:sz="0" w:space="0" w:color="auto"/>
        <w:right w:val="none" w:sz="0" w:space="0" w:color="auto"/>
      </w:divBdr>
    </w:div>
    <w:div w:id="915632880">
      <w:bodyDiv w:val="1"/>
      <w:marLeft w:val="0"/>
      <w:marRight w:val="0"/>
      <w:marTop w:val="0"/>
      <w:marBottom w:val="0"/>
      <w:divBdr>
        <w:top w:val="none" w:sz="0" w:space="0" w:color="auto"/>
        <w:left w:val="none" w:sz="0" w:space="0" w:color="auto"/>
        <w:bottom w:val="none" w:sz="0" w:space="0" w:color="auto"/>
        <w:right w:val="none" w:sz="0" w:space="0" w:color="auto"/>
      </w:divBdr>
    </w:div>
    <w:div w:id="1000766920">
      <w:bodyDiv w:val="1"/>
      <w:marLeft w:val="0"/>
      <w:marRight w:val="0"/>
      <w:marTop w:val="0"/>
      <w:marBottom w:val="0"/>
      <w:divBdr>
        <w:top w:val="none" w:sz="0" w:space="0" w:color="auto"/>
        <w:left w:val="none" w:sz="0" w:space="0" w:color="auto"/>
        <w:bottom w:val="none" w:sz="0" w:space="0" w:color="auto"/>
        <w:right w:val="none" w:sz="0" w:space="0" w:color="auto"/>
      </w:divBdr>
    </w:div>
    <w:div w:id="1071191926">
      <w:bodyDiv w:val="1"/>
      <w:marLeft w:val="0"/>
      <w:marRight w:val="0"/>
      <w:marTop w:val="0"/>
      <w:marBottom w:val="0"/>
      <w:divBdr>
        <w:top w:val="none" w:sz="0" w:space="0" w:color="auto"/>
        <w:left w:val="none" w:sz="0" w:space="0" w:color="auto"/>
        <w:bottom w:val="none" w:sz="0" w:space="0" w:color="auto"/>
        <w:right w:val="none" w:sz="0" w:space="0" w:color="auto"/>
      </w:divBdr>
      <w:divsChild>
        <w:div w:id="1306815307">
          <w:marLeft w:val="0"/>
          <w:marRight w:val="0"/>
          <w:marTop w:val="0"/>
          <w:marBottom w:val="0"/>
          <w:divBdr>
            <w:top w:val="none" w:sz="0" w:space="0" w:color="auto"/>
            <w:left w:val="none" w:sz="0" w:space="0" w:color="auto"/>
            <w:bottom w:val="none" w:sz="0" w:space="0" w:color="auto"/>
            <w:right w:val="none" w:sz="0" w:space="0" w:color="auto"/>
          </w:divBdr>
        </w:div>
      </w:divsChild>
    </w:div>
    <w:div w:id="1303579055">
      <w:bodyDiv w:val="1"/>
      <w:marLeft w:val="0"/>
      <w:marRight w:val="0"/>
      <w:marTop w:val="0"/>
      <w:marBottom w:val="0"/>
      <w:divBdr>
        <w:top w:val="none" w:sz="0" w:space="0" w:color="auto"/>
        <w:left w:val="none" w:sz="0" w:space="0" w:color="auto"/>
        <w:bottom w:val="none" w:sz="0" w:space="0" w:color="auto"/>
        <w:right w:val="none" w:sz="0" w:space="0" w:color="auto"/>
      </w:divBdr>
    </w:div>
    <w:div w:id="1386441971">
      <w:bodyDiv w:val="1"/>
      <w:marLeft w:val="0"/>
      <w:marRight w:val="0"/>
      <w:marTop w:val="0"/>
      <w:marBottom w:val="0"/>
      <w:divBdr>
        <w:top w:val="none" w:sz="0" w:space="0" w:color="auto"/>
        <w:left w:val="none" w:sz="0" w:space="0" w:color="auto"/>
        <w:bottom w:val="none" w:sz="0" w:space="0" w:color="auto"/>
        <w:right w:val="none" w:sz="0" w:space="0" w:color="auto"/>
      </w:divBdr>
    </w:div>
    <w:div w:id="1397897650">
      <w:bodyDiv w:val="1"/>
      <w:marLeft w:val="0"/>
      <w:marRight w:val="0"/>
      <w:marTop w:val="0"/>
      <w:marBottom w:val="0"/>
      <w:divBdr>
        <w:top w:val="none" w:sz="0" w:space="0" w:color="auto"/>
        <w:left w:val="none" w:sz="0" w:space="0" w:color="auto"/>
        <w:bottom w:val="none" w:sz="0" w:space="0" w:color="auto"/>
        <w:right w:val="none" w:sz="0" w:space="0" w:color="auto"/>
      </w:divBdr>
    </w:div>
    <w:div w:id="1518496550">
      <w:bodyDiv w:val="1"/>
      <w:marLeft w:val="0"/>
      <w:marRight w:val="0"/>
      <w:marTop w:val="0"/>
      <w:marBottom w:val="0"/>
      <w:divBdr>
        <w:top w:val="none" w:sz="0" w:space="0" w:color="auto"/>
        <w:left w:val="none" w:sz="0" w:space="0" w:color="auto"/>
        <w:bottom w:val="none" w:sz="0" w:space="0" w:color="auto"/>
        <w:right w:val="none" w:sz="0" w:space="0" w:color="auto"/>
      </w:divBdr>
    </w:div>
    <w:div w:id="1525051737">
      <w:bodyDiv w:val="1"/>
      <w:marLeft w:val="0"/>
      <w:marRight w:val="0"/>
      <w:marTop w:val="0"/>
      <w:marBottom w:val="0"/>
      <w:divBdr>
        <w:top w:val="none" w:sz="0" w:space="0" w:color="auto"/>
        <w:left w:val="none" w:sz="0" w:space="0" w:color="auto"/>
        <w:bottom w:val="none" w:sz="0" w:space="0" w:color="auto"/>
        <w:right w:val="none" w:sz="0" w:space="0" w:color="auto"/>
      </w:divBdr>
    </w:div>
    <w:div w:id="1550072358">
      <w:bodyDiv w:val="1"/>
      <w:marLeft w:val="0"/>
      <w:marRight w:val="0"/>
      <w:marTop w:val="0"/>
      <w:marBottom w:val="0"/>
      <w:divBdr>
        <w:top w:val="none" w:sz="0" w:space="0" w:color="auto"/>
        <w:left w:val="none" w:sz="0" w:space="0" w:color="auto"/>
        <w:bottom w:val="none" w:sz="0" w:space="0" w:color="auto"/>
        <w:right w:val="none" w:sz="0" w:space="0" w:color="auto"/>
      </w:divBdr>
    </w:div>
    <w:div w:id="1784300503">
      <w:bodyDiv w:val="1"/>
      <w:marLeft w:val="0"/>
      <w:marRight w:val="0"/>
      <w:marTop w:val="0"/>
      <w:marBottom w:val="0"/>
      <w:divBdr>
        <w:top w:val="none" w:sz="0" w:space="0" w:color="auto"/>
        <w:left w:val="none" w:sz="0" w:space="0" w:color="auto"/>
        <w:bottom w:val="none" w:sz="0" w:space="0" w:color="auto"/>
        <w:right w:val="none" w:sz="0" w:space="0" w:color="auto"/>
      </w:divBdr>
    </w:div>
    <w:div w:id="1921794829">
      <w:bodyDiv w:val="1"/>
      <w:marLeft w:val="0"/>
      <w:marRight w:val="0"/>
      <w:marTop w:val="0"/>
      <w:marBottom w:val="0"/>
      <w:divBdr>
        <w:top w:val="none" w:sz="0" w:space="0" w:color="auto"/>
        <w:left w:val="none" w:sz="0" w:space="0" w:color="auto"/>
        <w:bottom w:val="none" w:sz="0" w:space="0" w:color="auto"/>
        <w:right w:val="none" w:sz="0" w:space="0" w:color="auto"/>
      </w:divBdr>
    </w:div>
    <w:div w:id="19708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1785-98C9-4E99-AA10-35F887D8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37998</CharactersWithSpaces>
  <SharedDoc>false</SharedDoc>
  <HLinks>
    <vt:vector size="222" baseType="variant">
      <vt:variant>
        <vt:i4>3407995</vt:i4>
      </vt:variant>
      <vt:variant>
        <vt:i4>266</vt:i4>
      </vt:variant>
      <vt:variant>
        <vt:i4>0</vt:i4>
      </vt:variant>
      <vt:variant>
        <vt:i4>5</vt:i4>
      </vt:variant>
      <vt:variant>
        <vt:lpwstr>http://uscode.house.gov/uscode-cgi/fastweb.exe?getdoc+uscview+t41t42+7517+0++%28%29%20%20AND%20%28%2842%29%20ADJ%20USC%29%3ACITE%20AND%20%28USC%20w%2F10%20%2813103%29%29%3ACITE%20%20%20%20%20%20%20%20%20</vt:lpwstr>
      </vt:variant>
      <vt:variant>
        <vt:lpwstr/>
      </vt:variant>
      <vt:variant>
        <vt:i4>1966128</vt:i4>
      </vt:variant>
      <vt:variant>
        <vt:i4>215</vt:i4>
      </vt:variant>
      <vt:variant>
        <vt:i4>0</vt:i4>
      </vt:variant>
      <vt:variant>
        <vt:i4>5</vt:i4>
      </vt:variant>
      <vt:variant>
        <vt:lpwstr/>
      </vt:variant>
      <vt:variant>
        <vt:lpwstr>_Toc442977131</vt:lpwstr>
      </vt:variant>
      <vt:variant>
        <vt:i4>1966128</vt:i4>
      </vt:variant>
      <vt:variant>
        <vt:i4>209</vt:i4>
      </vt:variant>
      <vt:variant>
        <vt:i4>0</vt:i4>
      </vt:variant>
      <vt:variant>
        <vt:i4>5</vt:i4>
      </vt:variant>
      <vt:variant>
        <vt:lpwstr/>
      </vt:variant>
      <vt:variant>
        <vt:lpwstr>_Toc442977130</vt:lpwstr>
      </vt:variant>
      <vt:variant>
        <vt:i4>2031664</vt:i4>
      </vt:variant>
      <vt:variant>
        <vt:i4>203</vt:i4>
      </vt:variant>
      <vt:variant>
        <vt:i4>0</vt:i4>
      </vt:variant>
      <vt:variant>
        <vt:i4>5</vt:i4>
      </vt:variant>
      <vt:variant>
        <vt:lpwstr/>
      </vt:variant>
      <vt:variant>
        <vt:lpwstr>_Toc442977129</vt:lpwstr>
      </vt:variant>
      <vt:variant>
        <vt:i4>2031664</vt:i4>
      </vt:variant>
      <vt:variant>
        <vt:i4>197</vt:i4>
      </vt:variant>
      <vt:variant>
        <vt:i4>0</vt:i4>
      </vt:variant>
      <vt:variant>
        <vt:i4>5</vt:i4>
      </vt:variant>
      <vt:variant>
        <vt:lpwstr/>
      </vt:variant>
      <vt:variant>
        <vt:lpwstr>_Toc442977128</vt:lpwstr>
      </vt:variant>
      <vt:variant>
        <vt:i4>2031664</vt:i4>
      </vt:variant>
      <vt:variant>
        <vt:i4>191</vt:i4>
      </vt:variant>
      <vt:variant>
        <vt:i4>0</vt:i4>
      </vt:variant>
      <vt:variant>
        <vt:i4>5</vt:i4>
      </vt:variant>
      <vt:variant>
        <vt:lpwstr/>
      </vt:variant>
      <vt:variant>
        <vt:lpwstr>_Toc442977127</vt:lpwstr>
      </vt:variant>
      <vt:variant>
        <vt:i4>2031664</vt:i4>
      </vt:variant>
      <vt:variant>
        <vt:i4>185</vt:i4>
      </vt:variant>
      <vt:variant>
        <vt:i4>0</vt:i4>
      </vt:variant>
      <vt:variant>
        <vt:i4>5</vt:i4>
      </vt:variant>
      <vt:variant>
        <vt:lpwstr/>
      </vt:variant>
      <vt:variant>
        <vt:lpwstr>_Toc442977126</vt:lpwstr>
      </vt:variant>
      <vt:variant>
        <vt:i4>2031664</vt:i4>
      </vt:variant>
      <vt:variant>
        <vt:i4>179</vt:i4>
      </vt:variant>
      <vt:variant>
        <vt:i4>0</vt:i4>
      </vt:variant>
      <vt:variant>
        <vt:i4>5</vt:i4>
      </vt:variant>
      <vt:variant>
        <vt:lpwstr/>
      </vt:variant>
      <vt:variant>
        <vt:lpwstr>_Toc442977125</vt:lpwstr>
      </vt:variant>
      <vt:variant>
        <vt:i4>2031664</vt:i4>
      </vt:variant>
      <vt:variant>
        <vt:i4>173</vt:i4>
      </vt:variant>
      <vt:variant>
        <vt:i4>0</vt:i4>
      </vt:variant>
      <vt:variant>
        <vt:i4>5</vt:i4>
      </vt:variant>
      <vt:variant>
        <vt:lpwstr/>
      </vt:variant>
      <vt:variant>
        <vt:lpwstr>_Toc442977124</vt:lpwstr>
      </vt:variant>
      <vt:variant>
        <vt:i4>2031664</vt:i4>
      </vt:variant>
      <vt:variant>
        <vt:i4>167</vt:i4>
      </vt:variant>
      <vt:variant>
        <vt:i4>0</vt:i4>
      </vt:variant>
      <vt:variant>
        <vt:i4>5</vt:i4>
      </vt:variant>
      <vt:variant>
        <vt:lpwstr/>
      </vt:variant>
      <vt:variant>
        <vt:lpwstr>_Toc442977123</vt:lpwstr>
      </vt:variant>
      <vt:variant>
        <vt:i4>2031664</vt:i4>
      </vt:variant>
      <vt:variant>
        <vt:i4>161</vt:i4>
      </vt:variant>
      <vt:variant>
        <vt:i4>0</vt:i4>
      </vt:variant>
      <vt:variant>
        <vt:i4>5</vt:i4>
      </vt:variant>
      <vt:variant>
        <vt:lpwstr/>
      </vt:variant>
      <vt:variant>
        <vt:lpwstr>_Toc442977122</vt:lpwstr>
      </vt:variant>
      <vt:variant>
        <vt:i4>2031664</vt:i4>
      </vt:variant>
      <vt:variant>
        <vt:i4>155</vt:i4>
      </vt:variant>
      <vt:variant>
        <vt:i4>0</vt:i4>
      </vt:variant>
      <vt:variant>
        <vt:i4>5</vt:i4>
      </vt:variant>
      <vt:variant>
        <vt:lpwstr/>
      </vt:variant>
      <vt:variant>
        <vt:lpwstr>_Toc442977121</vt:lpwstr>
      </vt:variant>
      <vt:variant>
        <vt:i4>2031664</vt:i4>
      </vt:variant>
      <vt:variant>
        <vt:i4>149</vt:i4>
      </vt:variant>
      <vt:variant>
        <vt:i4>0</vt:i4>
      </vt:variant>
      <vt:variant>
        <vt:i4>5</vt:i4>
      </vt:variant>
      <vt:variant>
        <vt:lpwstr/>
      </vt:variant>
      <vt:variant>
        <vt:lpwstr>_Toc442977120</vt:lpwstr>
      </vt:variant>
      <vt:variant>
        <vt:i4>1835056</vt:i4>
      </vt:variant>
      <vt:variant>
        <vt:i4>143</vt:i4>
      </vt:variant>
      <vt:variant>
        <vt:i4>0</vt:i4>
      </vt:variant>
      <vt:variant>
        <vt:i4>5</vt:i4>
      </vt:variant>
      <vt:variant>
        <vt:lpwstr/>
      </vt:variant>
      <vt:variant>
        <vt:lpwstr>_Toc442977119</vt:lpwstr>
      </vt:variant>
      <vt:variant>
        <vt:i4>1835056</vt:i4>
      </vt:variant>
      <vt:variant>
        <vt:i4>137</vt:i4>
      </vt:variant>
      <vt:variant>
        <vt:i4>0</vt:i4>
      </vt:variant>
      <vt:variant>
        <vt:i4>5</vt:i4>
      </vt:variant>
      <vt:variant>
        <vt:lpwstr/>
      </vt:variant>
      <vt:variant>
        <vt:lpwstr>_Toc442977118</vt:lpwstr>
      </vt:variant>
      <vt:variant>
        <vt:i4>1835056</vt:i4>
      </vt:variant>
      <vt:variant>
        <vt:i4>131</vt:i4>
      </vt:variant>
      <vt:variant>
        <vt:i4>0</vt:i4>
      </vt:variant>
      <vt:variant>
        <vt:i4>5</vt:i4>
      </vt:variant>
      <vt:variant>
        <vt:lpwstr/>
      </vt:variant>
      <vt:variant>
        <vt:lpwstr>_Toc442977117</vt:lpwstr>
      </vt:variant>
      <vt:variant>
        <vt:i4>1835056</vt:i4>
      </vt:variant>
      <vt:variant>
        <vt:i4>125</vt:i4>
      </vt:variant>
      <vt:variant>
        <vt:i4>0</vt:i4>
      </vt:variant>
      <vt:variant>
        <vt:i4>5</vt:i4>
      </vt:variant>
      <vt:variant>
        <vt:lpwstr/>
      </vt:variant>
      <vt:variant>
        <vt:lpwstr>_Toc442977116</vt:lpwstr>
      </vt:variant>
      <vt:variant>
        <vt:i4>1835056</vt:i4>
      </vt:variant>
      <vt:variant>
        <vt:i4>119</vt:i4>
      </vt:variant>
      <vt:variant>
        <vt:i4>0</vt:i4>
      </vt:variant>
      <vt:variant>
        <vt:i4>5</vt:i4>
      </vt:variant>
      <vt:variant>
        <vt:lpwstr/>
      </vt:variant>
      <vt:variant>
        <vt:lpwstr>_Toc442977115</vt:lpwstr>
      </vt:variant>
      <vt:variant>
        <vt:i4>1835056</vt:i4>
      </vt:variant>
      <vt:variant>
        <vt:i4>113</vt:i4>
      </vt:variant>
      <vt:variant>
        <vt:i4>0</vt:i4>
      </vt:variant>
      <vt:variant>
        <vt:i4>5</vt:i4>
      </vt:variant>
      <vt:variant>
        <vt:lpwstr/>
      </vt:variant>
      <vt:variant>
        <vt:lpwstr>_Toc442977114</vt:lpwstr>
      </vt:variant>
      <vt:variant>
        <vt:i4>1835056</vt:i4>
      </vt:variant>
      <vt:variant>
        <vt:i4>107</vt:i4>
      </vt:variant>
      <vt:variant>
        <vt:i4>0</vt:i4>
      </vt:variant>
      <vt:variant>
        <vt:i4>5</vt:i4>
      </vt:variant>
      <vt:variant>
        <vt:lpwstr/>
      </vt:variant>
      <vt:variant>
        <vt:lpwstr>_Toc442977113</vt:lpwstr>
      </vt:variant>
      <vt:variant>
        <vt:i4>1835056</vt:i4>
      </vt:variant>
      <vt:variant>
        <vt:i4>101</vt:i4>
      </vt:variant>
      <vt:variant>
        <vt:i4>0</vt:i4>
      </vt:variant>
      <vt:variant>
        <vt:i4>5</vt:i4>
      </vt:variant>
      <vt:variant>
        <vt:lpwstr/>
      </vt:variant>
      <vt:variant>
        <vt:lpwstr>_Toc442977112</vt:lpwstr>
      </vt:variant>
      <vt:variant>
        <vt:i4>1835056</vt:i4>
      </vt:variant>
      <vt:variant>
        <vt:i4>95</vt:i4>
      </vt:variant>
      <vt:variant>
        <vt:i4>0</vt:i4>
      </vt:variant>
      <vt:variant>
        <vt:i4>5</vt:i4>
      </vt:variant>
      <vt:variant>
        <vt:lpwstr/>
      </vt:variant>
      <vt:variant>
        <vt:lpwstr>_Toc442977111</vt:lpwstr>
      </vt:variant>
      <vt:variant>
        <vt:i4>1835056</vt:i4>
      </vt:variant>
      <vt:variant>
        <vt:i4>89</vt:i4>
      </vt:variant>
      <vt:variant>
        <vt:i4>0</vt:i4>
      </vt:variant>
      <vt:variant>
        <vt:i4>5</vt:i4>
      </vt:variant>
      <vt:variant>
        <vt:lpwstr/>
      </vt:variant>
      <vt:variant>
        <vt:lpwstr>_Toc442977110</vt:lpwstr>
      </vt:variant>
      <vt:variant>
        <vt:i4>1900592</vt:i4>
      </vt:variant>
      <vt:variant>
        <vt:i4>83</vt:i4>
      </vt:variant>
      <vt:variant>
        <vt:i4>0</vt:i4>
      </vt:variant>
      <vt:variant>
        <vt:i4>5</vt:i4>
      </vt:variant>
      <vt:variant>
        <vt:lpwstr/>
      </vt:variant>
      <vt:variant>
        <vt:lpwstr>_Toc442977109</vt:lpwstr>
      </vt:variant>
      <vt:variant>
        <vt:i4>1900592</vt:i4>
      </vt:variant>
      <vt:variant>
        <vt:i4>77</vt:i4>
      </vt:variant>
      <vt:variant>
        <vt:i4>0</vt:i4>
      </vt:variant>
      <vt:variant>
        <vt:i4>5</vt:i4>
      </vt:variant>
      <vt:variant>
        <vt:lpwstr/>
      </vt:variant>
      <vt:variant>
        <vt:lpwstr>_Toc442977108</vt:lpwstr>
      </vt:variant>
      <vt:variant>
        <vt:i4>1900592</vt:i4>
      </vt:variant>
      <vt:variant>
        <vt:i4>71</vt:i4>
      </vt:variant>
      <vt:variant>
        <vt:i4>0</vt:i4>
      </vt:variant>
      <vt:variant>
        <vt:i4>5</vt:i4>
      </vt:variant>
      <vt:variant>
        <vt:lpwstr/>
      </vt:variant>
      <vt:variant>
        <vt:lpwstr>_Toc442977107</vt:lpwstr>
      </vt:variant>
      <vt:variant>
        <vt:i4>1900592</vt:i4>
      </vt:variant>
      <vt:variant>
        <vt:i4>65</vt:i4>
      </vt:variant>
      <vt:variant>
        <vt:i4>0</vt:i4>
      </vt:variant>
      <vt:variant>
        <vt:i4>5</vt:i4>
      </vt:variant>
      <vt:variant>
        <vt:lpwstr/>
      </vt:variant>
      <vt:variant>
        <vt:lpwstr>_Toc442977106</vt:lpwstr>
      </vt:variant>
      <vt:variant>
        <vt:i4>1900592</vt:i4>
      </vt:variant>
      <vt:variant>
        <vt:i4>59</vt:i4>
      </vt:variant>
      <vt:variant>
        <vt:i4>0</vt:i4>
      </vt:variant>
      <vt:variant>
        <vt:i4>5</vt:i4>
      </vt:variant>
      <vt:variant>
        <vt:lpwstr/>
      </vt:variant>
      <vt:variant>
        <vt:lpwstr>_Toc442977105</vt:lpwstr>
      </vt:variant>
      <vt:variant>
        <vt:i4>1900592</vt:i4>
      </vt:variant>
      <vt:variant>
        <vt:i4>53</vt:i4>
      </vt:variant>
      <vt:variant>
        <vt:i4>0</vt:i4>
      </vt:variant>
      <vt:variant>
        <vt:i4>5</vt:i4>
      </vt:variant>
      <vt:variant>
        <vt:lpwstr/>
      </vt:variant>
      <vt:variant>
        <vt:lpwstr>_Toc442977104</vt:lpwstr>
      </vt:variant>
      <vt:variant>
        <vt:i4>1900592</vt:i4>
      </vt:variant>
      <vt:variant>
        <vt:i4>47</vt:i4>
      </vt:variant>
      <vt:variant>
        <vt:i4>0</vt:i4>
      </vt:variant>
      <vt:variant>
        <vt:i4>5</vt:i4>
      </vt:variant>
      <vt:variant>
        <vt:lpwstr/>
      </vt:variant>
      <vt:variant>
        <vt:lpwstr>_Toc442977103</vt:lpwstr>
      </vt:variant>
      <vt:variant>
        <vt:i4>1900592</vt:i4>
      </vt:variant>
      <vt:variant>
        <vt:i4>41</vt:i4>
      </vt:variant>
      <vt:variant>
        <vt:i4>0</vt:i4>
      </vt:variant>
      <vt:variant>
        <vt:i4>5</vt:i4>
      </vt:variant>
      <vt:variant>
        <vt:lpwstr/>
      </vt:variant>
      <vt:variant>
        <vt:lpwstr>_Toc442977102</vt:lpwstr>
      </vt:variant>
      <vt:variant>
        <vt:i4>1900592</vt:i4>
      </vt:variant>
      <vt:variant>
        <vt:i4>35</vt:i4>
      </vt:variant>
      <vt:variant>
        <vt:i4>0</vt:i4>
      </vt:variant>
      <vt:variant>
        <vt:i4>5</vt:i4>
      </vt:variant>
      <vt:variant>
        <vt:lpwstr/>
      </vt:variant>
      <vt:variant>
        <vt:lpwstr>_Toc442977101</vt:lpwstr>
      </vt:variant>
      <vt:variant>
        <vt:i4>1900592</vt:i4>
      </vt:variant>
      <vt:variant>
        <vt:i4>29</vt:i4>
      </vt:variant>
      <vt:variant>
        <vt:i4>0</vt:i4>
      </vt:variant>
      <vt:variant>
        <vt:i4>5</vt:i4>
      </vt:variant>
      <vt:variant>
        <vt:lpwstr/>
      </vt:variant>
      <vt:variant>
        <vt:lpwstr>_Toc442977100</vt:lpwstr>
      </vt:variant>
      <vt:variant>
        <vt:i4>1310769</vt:i4>
      </vt:variant>
      <vt:variant>
        <vt:i4>23</vt:i4>
      </vt:variant>
      <vt:variant>
        <vt:i4>0</vt:i4>
      </vt:variant>
      <vt:variant>
        <vt:i4>5</vt:i4>
      </vt:variant>
      <vt:variant>
        <vt:lpwstr/>
      </vt:variant>
      <vt:variant>
        <vt:lpwstr>_Toc442977099</vt:lpwstr>
      </vt:variant>
      <vt:variant>
        <vt:i4>1310769</vt:i4>
      </vt:variant>
      <vt:variant>
        <vt:i4>17</vt:i4>
      </vt:variant>
      <vt:variant>
        <vt:i4>0</vt:i4>
      </vt:variant>
      <vt:variant>
        <vt:i4>5</vt:i4>
      </vt:variant>
      <vt:variant>
        <vt:lpwstr/>
      </vt:variant>
      <vt:variant>
        <vt:lpwstr>_Toc442977098</vt:lpwstr>
      </vt:variant>
      <vt:variant>
        <vt:i4>1310769</vt:i4>
      </vt:variant>
      <vt:variant>
        <vt:i4>11</vt:i4>
      </vt:variant>
      <vt:variant>
        <vt:i4>0</vt:i4>
      </vt:variant>
      <vt:variant>
        <vt:i4>5</vt:i4>
      </vt:variant>
      <vt:variant>
        <vt:lpwstr/>
      </vt:variant>
      <vt:variant>
        <vt:lpwstr>_Toc442977097</vt:lpwstr>
      </vt:variant>
      <vt:variant>
        <vt:i4>1310769</vt:i4>
      </vt:variant>
      <vt:variant>
        <vt:i4>5</vt:i4>
      </vt:variant>
      <vt:variant>
        <vt:i4>0</vt:i4>
      </vt:variant>
      <vt:variant>
        <vt:i4>5</vt:i4>
      </vt:variant>
      <vt:variant>
        <vt:lpwstr/>
      </vt:variant>
      <vt:variant>
        <vt:lpwstr>_Toc442977096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Williams, Bridget</dc:creator>
  <cp:keywords/>
  <dc:description/>
  <cp:lastModifiedBy>SYSTEM</cp:lastModifiedBy>
  <cp:revision>2</cp:revision>
  <cp:lastPrinted>2012-08-30T20:52:00Z</cp:lastPrinted>
  <dcterms:created xsi:type="dcterms:W3CDTF">2019-05-01T20:30:00Z</dcterms:created>
  <dcterms:modified xsi:type="dcterms:W3CDTF">2019-05-01T20:30:00Z</dcterms:modified>
</cp:coreProperties>
</file>