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4EF8"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6F63BF" w14:textId="77777777" w:rsidR="00A2604E" w:rsidRDefault="00A2604E" w:rsidP="00A2604E">
      <w:pPr>
        <w:jc w:val="center"/>
      </w:pPr>
      <w:r>
        <w:t>FEDERAL ENERGY REGULATORY COMMISSION</w:t>
      </w:r>
    </w:p>
    <w:p w14:paraId="4152868E" w14:textId="77777777" w:rsidR="00A2604E" w:rsidRDefault="00A2604E" w:rsidP="00A2604E"/>
    <w:p w14:paraId="1600CC48" w14:textId="36121E0D" w:rsidR="00A2604E" w:rsidRDefault="00A2604E" w:rsidP="00A2604E">
      <w:pPr>
        <w:jc w:val="center"/>
      </w:pPr>
      <w:r w:rsidRPr="00AC750B">
        <w:t xml:space="preserve">[Docket No. </w:t>
      </w:r>
      <w:r w:rsidR="00954CCB">
        <w:t>IC18-3-000</w:t>
      </w:r>
      <w:r w:rsidRPr="00AC750B">
        <w:t>]</w:t>
      </w:r>
    </w:p>
    <w:p w14:paraId="37A99FB4" w14:textId="77777777" w:rsidR="00A2604E" w:rsidRDefault="00A2604E" w:rsidP="00A2604E"/>
    <w:p w14:paraId="0160830D" w14:textId="7017AB5E" w:rsidR="00A2604E" w:rsidRDefault="00A2604E" w:rsidP="00A2604E">
      <w:pPr>
        <w:jc w:val="center"/>
      </w:pPr>
      <w:r>
        <w:t>COMMISSION INFORMATION COLLECTION ACTIVITIES (FERC-</w:t>
      </w:r>
      <w:r w:rsidR="00954CCB">
        <w:t>725F</w:t>
      </w:r>
      <w:r>
        <w:t>);</w:t>
      </w:r>
    </w:p>
    <w:p w14:paraId="6E904836" w14:textId="77777777" w:rsidR="00A2604E" w:rsidRDefault="00A2604E" w:rsidP="00A2604E">
      <w:pPr>
        <w:jc w:val="center"/>
      </w:pPr>
      <w:r>
        <w:t>COMMENT REQUEST; EXTENSION</w:t>
      </w:r>
    </w:p>
    <w:p w14:paraId="6FC67CE5" w14:textId="1157AFF8" w:rsidR="00810D18" w:rsidRDefault="00810D18" w:rsidP="00810D18"/>
    <w:p w14:paraId="4B30359C" w14:textId="4090AA18" w:rsidR="00A43A4A" w:rsidRPr="00F11631" w:rsidRDefault="00F11631" w:rsidP="00F11631">
      <w:pPr>
        <w:jc w:val="center"/>
      </w:pPr>
      <w:r w:rsidRPr="00F11631">
        <w:t>(March 20, 2018)</w:t>
      </w:r>
    </w:p>
    <w:p w14:paraId="08DA33D0" w14:textId="77777777" w:rsidR="00F11631" w:rsidRPr="00F11631" w:rsidRDefault="00F11631" w:rsidP="00F11631"/>
    <w:p w14:paraId="2B06BEDA" w14:textId="77777777" w:rsidR="00A2604E" w:rsidRDefault="00A2604E" w:rsidP="00A2604E">
      <w:r w:rsidRPr="00AB4DBF">
        <w:rPr>
          <w:b/>
        </w:rPr>
        <w:t>AGENCY:</w:t>
      </w:r>
      <w:r w:rsidRPr="00AB4DBF">
        <w:t xml:space="preserve">  Federal Energy Regulatory Commission.</w:t>
      </w:r>
    </w:p>
    <w:p w14:paraId="3CD46B7D" w14:textId="77777777" w:rsidR="00A2604E" w:rsidRPr="00AB4DBF" w:rsidRDefault="00A2604E" w:rsidP="00A2604E"/>
    <w:p w14:paraId="3C2C8063" w14:textId="77777777" w:rsidR="00A2604E" w:rsidRDefault="00A2604E" w:rsidP="00A2604E">
      <w:pPr>
        <w:spacing w:line="480" w:lineRule="auto"/>
      </w:pPr>
      <w:r w:rsidRPr="00CE64F2">
        <w:rPr>
          <w:b/>
        </w:rPr>
        <w:t>ACTION:</w:t>
      </w:r>
      <w:r>
        <w:t xml:space="preserve">  Notice of information collection and request for comments.</w:t>
      </w:r>
    </w:p>
    <w:p w14:paraId="124637F9" w14:textId="5DC7D0B8" w:rsidR="00A2604E" w:rsidRDefault="00A2604E" w:rsidP="00A2604E">
      <w:pPr>
        <w:spacing w:line="480" w:lineRule="auto"/>
      </w:pPr>
      <w:r w:rsidRPr="00CE64F2">
        <w:rPr>
          <w:b/>
        </w:rPr>
        <w:t>SUMMARY:</w:t>
      </w:r>
      <w:r>
        <w:t xml:space="preserve">  In compliance with the requirements of the Paperwork Reduction Act of 1995, 44 USC 3506(c)(2)(A), the Federal Energy Regulatory Commission (Commission or FERC) is soliciting public comment on the currently approved information collection </w:t>
      </w:r>
      <w:r w:rsidR="00A713D0" w:rsidRPr="00A713D0">
        <w:t>FERC-</w:t>
      </w:r>
      <w:r w:rsidR="00954CCB">
        <w:t>725F</w:t>
      </w:r>
      <w:r w:rsidR="00A713D0" w:rsidRPr="00A713D0">
        <w:t xml:space="preserve"> </w:t>
      </w:r>
      <w:r w:rsidR="00A713D0">
        <w:t>(</w:t>
      </w:r>
      <w:r w:rsidR="00F24AB0" w:rsidRPr="00F24AB0">
        <w:t>Mandatory Reliability Standard for Nuclear Plant Interface Coordination</w:t>
      </w:r>
      <w:r w:rsidR="00A713D0">
        <w:t>)</w:t>
      </w:r>
      <w:r w:rsidR="00642602" w:rsidRPr="00642602">
        <w:t xml:space="preserve"> and submitting the information collection to the Office of Management and Budget (OMB) for review.  Any interested person may file comments directly with OMB and should address a copy of those comments to the Commission as </w:t>
      </w:r>
      <w:r w:rsidR="00642602" w:rsidRPr="00AC77B8">
        <w:t xml:space="preserve">explained below. The Commission published a Notice in the Federal Register in Docket No. </w:t>
      </w:r>
      <w:r w:rsidR="00954CCB" w:rsidRPr="00AC77B8">
        <w:t>IC18-3-000</w:t>
      </w:r>
      <w:r w:rsidR="00642602" w:rsidRPr="00AC77B8">
        <w:t xml:space="preserve"> (</w:t>
      </w:r>
      <w:r w:rsidR="00F24AB0" w:rsidRPr="00AC77B8">
        <w:t>82 FR 60980, December 26, 2017</w:t>
      </w:r>
      <w:r w:rsidR="00642602" w:rsidRPr="00AC77B8">
        <w:t>) requesting public comments.  FERC received no comments in response to the Notice and is indicating that in its submittal to the OMB.</w:t>
      </w:r>
      <w:r>
        <w:t xml:space="preserve"> </w:t>
      </w:r>
    </w:p>
    <w:p w14:paraId="442CCE36" w14:textId="77777777" w:rsidR="007C1916" w:rsidRPr="007C1916" w:rsidRDefault="00A2604E" w:rsidP="007C1916">
      <w:pPr>
        <w:spacing w:line="480" w:lineRule="auto"/>
      </w:pPr>
      <w:r w:rsidRPr="00CE64F2">
        <w:rPr>
          <w:b/>
        </w:rPr>
        <w:t>DATES:</w:t>
      </w:r>
      <w:r>
        <w:t xml:space="preserve">  Comments on the collection of information are due </w:t>
      </w:r>
      <w:bookmarkStart w:id="1" w:name="OLE_LINK1"/>
      <w:r w:rsidR="007C1916" w:rsidRPr="007C1916">
        <w:rPr>
          <w:b/>
        </w:rPr>
        <w:t>[</w:t>
      </w:r>
      <w:r w:rsidR="007C1916" w:rsidRPr="00F11631">
        <w:rPr>
          <w:b/>
          <w:caps/>
        </w:rPr>
        <w:t>Insert Date that is 30 days after publication in the Federal Register].</w:t>
      </w:r>
      <w:r w:rsidR="007C1916" w:rsidRPr="00F11631">
        <w:rPr>
          <w:caps/>
        </w:rPr>
        <w:t xml:space="preserve"> </w:t>
      </w:r>
    </w:p>
    <w:p w14:paraId="05EFC9C8" w14:textId="092CCA05" w:rsidR="007C1916" w:rsidRPr="007C1916" w:rsidRDefault="007C1916" w:rsidP="007C1916">
      <w:pPr>
        <w:spacing w:line="480" w:lineRule="auto"/>
      </w:pPr>
      <w:r w:rsidRPr="007C1916">
        <w:rPr>
          <w:b/>
        </w:rPr>
        <w:t>ADDRESSES:</w:t>
      </w:r>
      <w:r w:rsidRPr="007C1916">
        <w:t xml:space="preserve">  Comments filed with OMB, identified by OMB Control No. </w:t>
      </w:r>
      <w:r w:rsidR="005D16A1" w:rsidRPr="005D16A1">
        <w:t>1902-0249</w:t>
      </w:r>
      <w:r w:rsidRPr="007C1916">
        <w:t xml:space="preserve">, </w:t>
      </w:r>
      <w:r w:rsidR="001E6510">
        <w:t xml:space="preserve">should be sent via email to the </w:t>
      </w:r>
      <w:r w:rsidRPr="007C1916">
        <w:t xml:space="preserve">Office of Information and Regulatory Affairs: </w:t>
      </w:r>
      <w:hyperlink r:id="rId14" w:history="1">
        <w:r w:rsidRPr="007C1916">
          <w:rPr>
            <w:rStyle w:val="Hyperlink"/>
          </w:rPr>
          <w:t>oira_submission@omb.gov</w:t>
        </w:r>
      </w:hyperlink>
      <w:r w:rsidRPr="007C1916">
        <w:t xml:space="preserve">.  Attention: Federal Energy Regulatory Commission Desk Officer.  </w:t>
      </w:r>
    </w:p>
    <w:p w14:paraId="5B1CC12A" w14:textId="4798B132" w:rsidR="007C1916" w:rsidRPr="007C1916" w:rsidRDefault="007C1916" w:rsidP="007C1916">
      <w:pPr>
        <w:spacing w:line="480" w:lineRule="auto"/>
      </w:pPr>
      <w:r w:rsidRPr="007C1916">
        <w:t xml:space="preserve">A copy of the comments should also be sent to the Commission, in Docket No. </w:t>
      </w:r>
      <w:r>
        <w:t>IC18-</w:t>
      </w:r>
      <w:r w:rsidR="005D16A1">
        <w:t>3-000</w:t>
      </w:r>
      <w:r w:rsidRPr="007C1916">
        <w:t>, by either of the following methods:</w:t>
      </w:r>
    </w:p>
    <w:p w14:paraId="792B5B58" w14:textId="77777777" w:rsidR="007C1916" w:rsidRPr="007C1916" w:rsidRDefault="007C1916" w:rsidP="007C1916">
      <w:pPr>
        <w:numPr>
          <w:ilvl w:val="0"/>
          <w:numId w:val="2"/>
        </w:numPr>
        <w:tabs>
          <w:tab w:val="num" w:pos="1080"/>
        </w:tabs>
        <w:spacing w:line="480" w:lineRule="auto"/>
      </w:pPr>
      <w:r w:rsidRPr="007C1916">
        <w:t xml:space="preserve">eFiling at Commission’s Web Site: </w:t>
      </w:r>
      <w:hyperlink r:id="rId15" w:history="1">
        <w:r w:rsidRPr="007C1916">
          <w:rPr>
            <w:rStyle w:val="Hyperlink"/>
          </w:rPr>
          <w:t>http://www.ferc.gov/docs-filing/efiling.asp</w:t>
        </w:r>
      </w:hyperlink>
    </w:p>
    <w:p w14:paraId="0F5C3F2D" w14:textId="77777777" w:rsidR="007C1916" w:rsidRPr="007C1916" w:rsidRDefault="007C1916" w:rsidP="007C1916">
      <w:pPr>
        <w:numPr>
          <w:ilvl w:val="0"/>
          <w:numId w:val="2"/>
        </w:numPr>
        <w:tabs>
          <w:tab w:val="num" w:pos="1080"/>
        </w:tabs>
        <w:spacing w:line="480" w:lineRule="auto"/>
      </w:pPr>
      <w:r w:rsidRPr="007C1916">
        <w:t>Mail/Hand Delivery/Courier: Federal Energy Regulatory Commission, Secretary of the Commission, 888 First Street, NE, Washington, DC 20426.</w:t>
      </w:r>
    </w:p>
    <w:p w14:paraId="72FFFB84" w14:textId="40F9A49C" w:rsidR="00A2604E" w:rsidRDefault="00A2604E" w:rsidP="007C1916">
      <w:pPr>
        <w:spacing w:line="480" w:lineRule="auto"/>
      </w:pPr>
      <w:r>
        <w:rPr>
          <w:i/>
        </w:rPr>
        <w:t xml:space="preserve">Instructions: </w:t>
      </w:r>
      <w:r>
        <w:t xml:space="preserve">All submissions must be formatted and filed in accordance with submission guidelines at: </w:t>
      </w:r>
      <w:hyperlink r:id="rId16"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6160E432"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7" w:history="1">
        <w:r w:rsidRPr="0057675D">
          <w:rPr>
            <w:rStyle w:val="Hyperlink"/>
          </w:rPr>
          <w:t>http://www.ferc.gov/docs-filing/docs-filing.asp</w:t>
        </w:r>
      </w:hyperlink>
      <w:r>
        <w:t xml:space="preserve">. </w:t>
      </w:r>
    </w:p>
    <w:bookmarkEnd w:id="1"/>
    <w:p w14:paraId="5D1F4BEC" w14:textId="77777777" w:rsidR="00A2604E" w:rsidRDefault="00A2604E" w:rsidP="00A2604E">
      <w:pPr>
        <w:spacing w:line="480" w:lineRule="auto"/>
      </w:pPr>
      <w:r w:rsidRPr="00656DF0">
        <w:rPr>
          <w:b/>
        </w:rPr>
        <w:t>FOR FURTHER INFORMATION:</w:t>
      </w:r>
      <w:r>
        <w:t xml:space="preserve">  </w:t>
      </w:r>
      <w:smartTag w:uri="urn:schemas-microsoft-com:office:smarttags" w:element="PersonName">
        <w:r w:rsidRPr="007731D6">
          <w:t>Ellen Brown</w:t>
        </w:r>
      </w:smartTag>
      <w:r>
        <w:t xml:space="preserve"> may be reached by e-mail at </w:t>
      </w:r>
      <w:hyperlink r:id="rId18" w:history="1">
        <w:r w:rsidRPr="00006D4B">
          <w:rPr>
            <w:rStyle w:val="Hyperlink"/>
          </w:rPr>
          <w:t>DataClearance@FERC.gov</w:t>
        </w:r>
      </w:hyperlink>
      <w:r>
        <w:t>, telephone at (202) 502-8663, and fax at (202) 273-0873.</w:t>
      </w:r>
    </w:p>
    <w:p w14:paraId="6614759F" w14:textId="34FA9396" w:rsidR="00A2604E" w:rsidRPr="00853ABC" w:rsidRDefault="00A2604E" w:rsidP="00C1124F">
      <w:pPr>
        <w:tabs>
          <w:tab w:val="left" w:pos="7880"/>
        </w:tabs>
        <w:spacing w:line="480" w:lineRule="auto"/>
      </w:pPr>
      <w:r>
        <w:t xml:space="preserve"> </w:t>
      </w:r>
      <w:r w:rsidRPr="001C3703">
        <w:rPr>
          <w:b/>
        </w:rPr>
        <w:t>SUPPLEMENTARY INFORMATION:</w:t>
      </w:r>
      <w:r>
        <w:t xml:space="preserve">  </w:t>
      </w:r>
    </w:p>
    <w:p w14:paraId="1828F029" w14:textId="77777777" w:rsidR="00AA4050" w:rsidRDefault="00AA4050" w:rsidP="00AA4050">
      <w:pPr>
        <w:spacing w:line="480" w:lineRule="auto"/>
        <w:rPr>
          <w:i/>
        </w:rPr>
      </w:pPr>
      <w:r>
        <w:rPr>
          <w:i/>
        </w:rPr>
        <w:t xml:space="preserve">Title: </w:t>
      </w:r>
      <w:r w:rsidRPr="00C45F17">
        <w:t>FERC 725F, Mandatory Reliability Standard for Nuclear Plant Interface Coordination</w:t>
      </w:r>
    </w:p>
    <w:p w14:paraId="75921495" w14:textId="77777777" w:rsidR="00AA4050" w:rsidRDefault="00AA4050" w:rsidP="00AA4050">
      <w:pPr>
        <w:spacing w:line="480" w:lineRule="auto"/>
      </w:pPr>
      <w:r>
        <w:rPr>
          <w:i/>
        </w:rPr>
        <w:t>OMB Control No.:</w:t>
      </w:r>
      <w:r w:rsidRPr="00F50EDA">
        <w:t xml:space="preserve"> </w:t>
      </w:r>
      <w:r>
        <w:t>1902-0249</w:t>
      </w:r>
    </w:p>
    <w:p w14:paraId="002C811C" w14:textId="77777777" w:rsidR="00AA4050" w:rsidRPr="00B5364C" w:rsidRDefault="00AA4050" w:rsidP="00AA4050">
      <w:pPr>
        <w:spacing w:line="480" w:lineRule="auto"/>
      </w:pPr>
      <w:r>
        <w:rPr>
          <w:i/>
        </w:rPr>
        <w:lastRenderedPageBreak/>
        <w:t>Type of Request:</w:t>
      </w:r>
      <w:r>
        <w:t xml:space="preserve"> Three-year extension of the FERC-725F information collection requirements with no changes to the current reporting requirements. </w:t>
      </w:r>
    </w:p>
    <w:p w14:paraId="6FD232A8" w14:textId="6BE3C029" w:rsidR="00AA4050" w:rsidRDefault="00B01B16" w:rsidP="00AA4050">
      <w:pPr>
        <w:spacing w:line="480" w:lineRule="auto"/>
      </w:pPr>
      <w:r>
        <w:rPr>
          <w:i/>
        </w:rPr>
        <w:t xml:space="preserve">Abstract: </w:t>
      </w:r>
      <w:r w:rsidR="001E6510">
        <w:rPr>
          <w:i/>
        </w:rPr>
        <w:t xml:space="preserve"> </w:t>
      </w:r>
      <w:r w:rsidR="00AA4050">
        <w:t>The Commission requires the information collected by the FERC-725F to implement the statutory provisions of section 215 of the Federal Power Act (FPA) (16 USC 824o).  On August 8, 2005, the Electricity Modernization Act of 2005, which is Title XII, Subtitle A, of the Energy Policy Act of 2005 (EPAct 2005), was enacted into law.</w:t>
      </w:r>
      <w:r w:rsidR="00AA4050">
        <w:rPr>
          <w:b/>
          <w:vertAlign w:val="superscript"/>
        </w:rPr>
        <w:footnoteReference w:id="1"/>
      </w:r>
      <w:r w:rsidR="00AA4050">
        <w:t xml:space="preserve">  EPAct 2005 added a new section 215 to the FPA, which required a Commission-certified Electric Reliability Organization (ERO) to develop mandatory and enforceable Reliability Standards, which are subject to Commission review and approval.  Once approved, the Reliability Standards may be enforced by the ERO subject to Commission oversight, or the Commission can independently enforce Reliability Standards.</w:t>
      </w:r>
      <w:r w:rsidR="00AA4050">
        <w:rPr>
          <w:b/>
          <w:vertAlign w:val="superscript"/>
        </w:rPr>
        <w:footnoteReference w:id="2"/>
      </w:r>
      <w:r w:rsidR="00AA4050">
        <w:t xml:space="preserve"> </w:t>
      </w:r>
    </w:p>
    <w:p w14:paraId="6DEE49AB" w14:textId="77777777" w:rsidR="00AA4050" w:rsidRDefault="00AA4050" w:rsidP="00AA4050">
      <w:pPr>
        <w:spacing w:line="480" w:lineRule="auto"/>
      </w:pPr>
      <w:r>
        <w:tab/>
        <w:t>On February 3, 2006, the Commission issued Order No. 672, implementing section 215 of the FPA.</w:t>
      </w:r>
      <w:r>
        <w:rPr>
          <w:b/>
          <w:vertAlign w:val="superscript"/>
        </w:rPr>
        <w:footnoteReference w:id="3"/>
      </w:r>
      <w:r>
        <w:t xml:space="preserve">  Pursuant to Order No. 672, the Commission certified one organization, North American Electric Reliability Corporation (NERC), as the ERO.  The Reliability Standards developed by the ERO and approved by the Commission apply to users, owners and operators of the Bulk-Power System as set forth in each Reliability Standard. </w:t>
      </w:r>
    </w:p>
    <w:p w14:paraId="698D2206" w14:textId="77777777" w:rsidR="00AA4050" w:rsidRDefault="00AA4050" w:rsidP="00AA4050">
      <w:pPr>
        <w:spacing w:line="480" w:lineRule="auto"/>
        <w:ind w:firstLine="720"/>
      </w:pPr>
      <w:r>
        <w:t>On November 19, 2007, NERC filed its petition for Commission approval of the Nuclear Plant Interface Coordination Reliability Standard, designated NUC-001-1.  In Order No. 716, issued October 16, 2008, the Commission approved the standard while also directing certain revisions.</w:t>
      </w:r>
      <w:r>
        <w:rPr>
          <w:b/>
          <w:vertAlign w:val="superscript"/>
        </w:rPr>
        <w:footnoteReference w:id="4"/>
      </w:r>
      <w:r>
        <w:t xml:space="preserve">  Revised Reliability Standard, NUC-001-2, was filed with the Commission by NERC in August 2009 and subsequently approved by the Commission January 21, 2010.</w:t>
      </w:r>
      <w:r>
        <w:rPr>
          <w:b/>
          <w:vertAlign w:val="superscript"/>
        </w:rPr>
        <w:footnoteReference w:id="5"/>
      </w:r>
      <w:r>
        <w:t xml:space="preserve">  On November 4, 2014, in Docket No. RD14-13, the Commission approved revised Reliability Standard NUC-001-3.</w:t>
      </w:r>
      <w:r>
        <w:rPr>
          <w:rStyle w:val="FootnoteReference"/>
        </w:rPr>
        <w:footnoteReference w:id="6"/>
      </w:r>
      <w:r>
        <w:t xml:space="preserve">  </w:t>
      </w:r>
    </w:p>
    <w:p w14:paraId="665F3896" w14:textId="650229FE" w:rsidR="00AA4050" w:rsidRDefault="00AA4050" w:rsidP="00AA4050">
      <w:pPr>
        <w:spacing w:line="480" w:lineRule="auto"/>
      </w:pPr>
      <w:r>
        <w:tab/>
        <w:t xml:space="preserve">The purpose of Reliability Standard NUC -001-3 is to require “coordination between </w:t>
      </w:r>
      <w:r w:rsidR="00AD4128">
        <w:t>N</w:t>
      </w:r>
      <w:r>
        <w:t xml:space="preserve">uclear </w:t>
      </w:r>
      <w:r w:rsidR="00AD4128">
        <w:t>P</w:t>
      </w:r>
      <w:r>
        <w:t xml:space="preserve">lant </w:t>
      </w:r>
      <w:r w:rsidR="00AD4128">
        <w:t>G</w:t>
      </w:r>
      <w:r>
        <w:t xml:space="preserve">enerator </w:t>
      </w:r>
      <w:r w:rsidR="00AD4128">
        <w:t>O</w:t>
      </w:r>
      <w:r>
        <w:t xml:space="preserve">perators and </w:t>
      </w:r>
      <w:r w:rsidR="00AD4128">
        <w:t>T</w:t>
      </w:r>
      <w:r>
        <w:t xml:space="preserve">ransmission </w:t>
      </w:r>
      <w:r w:rsidR="00AD4128">
        <w:t>E</w:t>
      </w:r>
      <w:r>
        <w:t>ntities for the purpose of ensuring nuclear plant safe operation and shutdown.”</w:t>
      </w:r>
      <w:r>
        <w:rPr>
          <w:b/>
          <w:vertAlign w:val="superscript"/>
        </w:rPr>
        <w:footnoteReference w:id="7"/>
      </w:r>
      <w:r>
        <w:t xml:space="preserve">  The Nuclear Reliability Standard applies to nuclear plant generator operators (generally nuclear power plant owners and operators, including licensees) and “transmission entities,” defined in the Reliability Standard as including a nuclear plant’s suppliers of off-site power and related transmission and distribution services.  To account for the variations in nuclear plant design and grid interconnection characteristics, the Reliability Standard defines transmission entities as “all entities that are responsible for providing services related to Nuclear Plant Interface Requirements (NPIRs),” and lists eleven types of functional entities (heretofore described as “transmission entities”) that could provide services related to NPIRs.</w:t>
      </w:r>
      <w:r>
        <w:rPr>
          <w:b/>
          <w:vertAlign w:val="superscript"/>
        </w:rPr>
        <w:footnoteReference w:id="8"/>
      </w:r>
    </w:p>
    <w:p w14:paraId="6E0ACEB9" w14:textId="77777777" w:rsidR="00AA4050" w:rsidRDefault="00AA4050" w:rsidP="00AA4050">
      <w:pPr>
        <w:spacing w:line="480" w:lineRule="auto"/>
        <w:rPr>
          <w:i/>
        </w:rPr>
      </w:pPr>
      <w:r>
        <w:tab/>
        <w:t>FERC-725F information collection requirements include establishing and maintaining interface agreements, including record retention requirements.  These agreements are not filed with FERC, but with the appropriate entities as established by the Reliability Standard.</w:t>
      </w:r>
    </w:p>
    <w:p w14:paraId="6A3E1192" w14:textId="4E50FAA2" w:rsidR="00B01B16" w:rsidRPr="009679E3" w:rsidRDefault="00AA4050" w:rsidP="00AA4050">
      <w:pPr>
        <w:spacing w:line="480" w:lineRule="auto"/>
      </w:pPr>
      <w:r>
        <w:rPr>
          <w:i/>
        </w:rPr>
        <w:t>Type of Respondents:</w:t>
      </w:r>
      <w:r>
        <w:t xml:space="preserve"> Nuclear operators, nuclear plants, transmission entities.</w:t>
      </w:r>
    </w:p>
    <w:p w14:paraId="5253FA6F" w14:textId="77777777" w:rsidR="00AA4050" w:rsidRDefault="00AA4050" w:rsidP="00AA4050">
      <w:pPr>
        <w:spacing w:line="480" w:lineRule="auto"/>
      </w:pPr>
      <w:r>
        <w:rPr>
          <w:i/>
        </w:rPr>
        <w:t>Estimate of Annual Burden:</w:t>
      </w:r>
      <w:r>
        <w:rPr>
          <w:rStyle w:val="FootnoteReference"/>
          <w:i/>
        </w:rPr>
        <w:footnoteReference w:id="9"/>
      </w:r>
      <w:r>
        <w:rPr>
          <w:i/>
        </w:rPr>
        <w:t xml:space="preserve"> </w:t>
      </w:r>
      <w:r>
        <w:t xml:space="preserve">The Commission estimates the average annual burden and cost </w:t>
      </w:r>
      <w:r>
        <w:rPr>
          <w:rStyle w:val="FootnoteReference"/>
        </w:rPr>
        <w:footnoteReference w:id="10"/>
      </w:r>
      <w:r>
        <w:t xml:space="preserve"> for this information collection as follows.</w:t>
      </w:r>
    </w:p>
    <w:tbl>
      <w:tblPr>
        <w:tblW w:w="5775"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1256"/>
        <w:gridCol w:w="1509"/>
        <w:gridCol w:w="1659"/>
        <w:gridCol w:w="1659"/>
        <w:gridCol w:w="1843"/>
        <w:gridCol w:w="1659"/>
      </w:tblGrid>
      <w:tr w:rsidR="00AA4050" w14:paraId="0BD8556E" w14:textId="77777777" w:rsidTr="004D4774">
        <w:tc>
          <w:tcPr>
            <w:tcW w:w="667" w:type="pct"/>
            <w:tcBorders>
              <w:top w:val="single" w:sz="4" w:space="0" w:color="auto"/>
              <w:left w:val="single" w:sz="4" w:space="0" w:color="auto"/>
              <w:bottom w:val="single" w:sz="4" w:space="0" w:color="auto"/>
              <w:right w:val="single" w:sz="4" w:space="0" w:color="auto"/>
            </w:tcBorders>
            <w:shd w:val="clear" w:color="auto" w:fill="C0C0C0"/>
            <w:vAlign w:val="bottom"/>
            <w:hideMark/>
          </w:tcPr>
          <w:p w14:paraId="7ABB434C" w14:textId="77777777" w:rsidR="00AA4050" w:rsidRDefault="00AA4050" w:rsidP="004D4774">
            <w:pPr>
              <w:rPr>
                <w:b/>
              </w:rPr>
            </w:pPr>
            <w:r>
              <w:rPr>
                <w:b/>
              </w:rPr>
              <w:t>FERC-725F</w:t>
            </w:r>
          </w:p>
        </w:tc>
        <w:tc>
          <w:tcPr>
            <w:tcW w:w="568" w:type="pct"/>
            <w:tcBorders>
              <w:top w:val="single" w:sz="4" w:space="0" w:color="auto"/>
              <w:left w:val="single" w:sz="4" w:space="0" w:color="auto"/>
              <w:bottom w:val="single" w:sz="4" w:space="0" w:color="auto"/>
              <w:right w:val="single" w:sz="4" w:space="0" w:color="auto"/>
            </w:tcBorders>
            <w:shd w:val="clear" w:color="auto" w:fill="C0C0C0"/>
            <w:vAlign w:val="bottom"/>
            <w:hideMark/>
          </w:tcPr>
          <w:p w14:paraId="7D11A5AE" w14:textId="77777777" w:rsidR="00AA4050" w:rsidRDefault="00AA4050" w:rsidP="004D4774">
            <w:pPr>
              <w:jc w:val="center"/>
              <w:rPr>
                <w:b/>
              </w:rPr>
            </w:pPr>
            <w:r>
              <w:rPr>
                <w:b/>
              </w:rPr>
              <w:t>No. of Respondents</w:t>
            </w:r>
          </w:p>
          <w:p w14:paraId="290DF3C8" w14:textId="77777777" w:rsidR="00AA4050" w:rsidRDefault="00AA4050" w:rsidP="004D4774">
            <w:pPr>
              <w:jc w:val="center"/>
              <w:rPr>
                <w:b/>
              </w:rPr>
            </w:pPr>
            <w:r>
              <w:rPr>
                <w:b/>
              </w:rPr>
              <w:t>(1)</w:t>
            </w:r>
          </w:p>
        </w:tc>
        <w:tc>
          <w:tcPr>
            <w:tcW w:w="682" w:type="pct"/>
            <w:tcBorders>
              <w:top w:val="single" w:sz="4" w:space="0" w:color="auto"/>
              <w:left w:val="single" w:sz="4" w:space="0" w:color="auto"/>
              <w:bottom w:val="single" w:sz="4" w:space="0" w:color="auto"/>
              <w:right w:val="single" w:sz="4" w:space="0" w:color="auto"/>
            </w:tcBorders>
            <w:shd w:val="clear" w:color="auto" w:fill="C0C0C0"/>
            <w:vAlign w:val="bottom"/>
            <w:hideMark/>
          </w:tcPr>
          <w:p w14:paraId="174E04F8" w14:textId="77777777" w:rsidR="00AA4050" w:rsidRDefault="00AA4050" w:rsidP="004D4774">
            <w:pPr>
              <w:jc w:val="center"/>
              <w:rPr>
                <w:b/>
              </w:rPr>
            </w:pPr>
            <w:r>
              <w:rPr>
                <w:b/>
              </w:rPr>
              <w:t>Annual No. of Responses Per Respondent</w:t>
            </w:r>
          </w:p>
          <w:p w14:paraId="2721523F" w14:textId="77777777" w:rsidR="00AA4050" w:rsidRDefault="00AA4050" w:rsidP="004D4774">
            <w:pPr>
              <w:jc w:val="center"/>
              <w:rPr>
                <w:b/>
              </w:rPr>
            </w:pPr>
            <w:r>
              <w:rPr>
                <w:b/>
              </w:rPr>
              <w:t>(2)</w:t>
            </w:r>
          </w:p>
        </w:tc>
        <w:tc>
          <w:tcPr>
            <w:tcW w:w="750" w:type="pct"/>
            <w:tcBorders>
              <w:top w:val="single" w:sz="4" w:space="0" w:color="auto"/>
              <w:left w:val="single" w:sz="4" w:space="0" w:color="auto"/>
              <w:bottom w:val="single" w:sz="4" w:space="0" w:color="auto"/>
              <w:right w:val="single" w:sz="4" w:space="0" w:color="auto"/>
            </w:tcBorders>
            <w:shd w:val="clear" w:color="auto" w:fill="C0C0C0"/>
            <w:vAlign w:val="bottom"/>
            <w:hideMark/>
          </w:tcPr>
          <w:p w14:paraId="445CFE8C" w14:textId="77777777" w:rsidR="00AA4050" w:rsidRDefault="00AA4050" w:rsidP="004D4774">
            <w:pPr>
              <w:jc w:val="center"/>
              <w:rPr>
                <w:b/>
              </w:rPr>
            </w:pPr>
            <w:r>
              <w:rPr>
                <w:b/>
              </w:rPr>
              <w:t>Total No. of Responses</w:t>
            </w:r>
          </w:p>
          <w:p w14:paraId="3E9E1B86" w14:textId="77777777" w:rsidR="00AA4050" w:rsidRDefault="00AA4050" w:rsidP="004D4774">
            <w:pPr>
              <w:jc w:val="center"/>
              <w:rPr>
                <w:b/>
              </w:rPr>
            </w:pPr>
            <w:r>
              <w:rPr>
                <w:b/>
              </w:rPr>
              <w:t>(1)*(2)=(3)</w:t>
            </w:r>
          </w:p>
        </w:tc>
        <w:tc>
          <w:tcPr>
            <w:tcW w:w="750" w:type="pct"/>
            <w:tcBorders>
              <w:top w:val="single" w:sz="4" w:space="0" w:color="auto"/>
              <w:left w:val="single" w:sz="4" w:space="0" w:color="auto"/>
              <w:bottom w:val="single" w:sz="4" w:space="0" w:color="auto"/>
              <w:right w:val="single" w:sz="4" w:space="0" w:color="auto"/>
            </w:tcBorders>
            <w:shd w:val="clear" w:color="auto" w:fill="C0C0C0"/>
            <w:vAlign w:val="bottom"/>
            <w:hideMark/>
          </w:tcPr>
          <w:p w14:paraId="5292B547" w14:textId="77777777" w:rsidR="00AA4050" w:rsidRDefault="00AA4050" w:rsidP="004D4774">
            <w:pPr>
              <w:jc w:val="center"/>
              <w:rPr>
                <w:b/>
              </w:rPr>
            </w:pPr>
            <w:r>
              <w:rPr>
                <w:b/>
              </w:rPr>
              <w:t xml:space="preserve">Average Burden Hrs. &amp; Cost Per Response ($) (rounded) </w:t>
            </w:r>
            <w:r w:rsidDel="007F4CD3">
              <w:rPr>
                <w:vertAlign w:val="superscript"/>
              </w:rPr>
              <w:t xml:space="preserve"> </w:t>
            </w:r>
            <w:r>
              <w:rPr>
                <w:b/>
              </w:rPr>
              <w:t>(4)</w:t>
            </w:r>
          </w:p>
        </w:tc>
        <w:tc>
          <w:tcPr>
            <w:tcW w:w="833" w:type="pct"/>
            <w:tcBorders>
              <w:top w:val="single" w:sz="4" w:space="0" w:color="auto"/>
              <w:left w:val="single" w:sz="4" w:space="0" w:color="auto"/>
              <w:bottom w:val="single" w:sz="4" w:space="0" w:color="auto"/>
              <w:right w:val="single" w:sz="4" w:space="0" w:color="auto"/>
            </w:tcBorders>
            <w:shd w:val="clear" w:color="auto" w:fill="C0C0C0"/>
            <w:vAlign w:val="bottom"/>
            <w:hideMark/>
          </w:tcPr>
          <w:p w14:paraId="61413736" w14:textId="77777777" w:rsidR="00AA4050" w:rsidRDefault="00AA4050" w:rsidP="004D4774">
            <w:pPr>
              <w:jc w:val="center"/>
              <w:rPr>
                <w:b/>
              </w:rPr>
            </w:pPr>
            <w:r>
              <w:rPr>
                <w:b/>
              </w:rPr>
              <w:t>Total Annual Burden Hrs. &amp; Total Annual Cost ($) (rounded)</w:t>
            </w:r>
          </w:p>
          <w:p w14:paraId="1DF00B54" w14:textId="77777777" w:rsidR="00AA4050" w:rsidRDefault="00AA4050" w:rsidP="004D4774">
            <w:pPr>
              <w:jc w:val="center"/>
              <w:rPr>
                <w:b/>
              </w:rPr>
            </w:pPr>
            <w:r>
              <w:rPr>
                <w:b/>
              </w:rPr>
              <w:t>(3)*(4)=(5)</w:t>
            </w:r>
          </w:p>
        </w:tc>
        <w:tc>
          <w:tcPr>
            <w:tcW w:w="750" w:type="pct"/>
            <w:tcBorders>
              <w:top w:val="single" w:sz="4" w:space="0" w:color="auto"/>
              <w:left w:val="single" w:sz="4" w:space="0" w:color="auto"/>
              <w:bottom w:val="single" w:sz="4" w:space="0" w:color="auto"/>
              <w:right w:val="single" w:sz="4" w:space="0" w:color="auto"/>
            </w:tcBorders>
            <w:shd w:val="clear" w:color="auto" w:fill="C0C0C0"/>
            <w:vAlign w:val="bottom"/>
            <w:hideMark/>
          </w:tcPr>
          <w:p w14:paraId="1CEF60E5" w14:textId="77777777" w:rsidR="00AA4050" w:rsidRDefault="00AA4050" w:rsidP="004D4774">
            <w:pPr>
              <w:jc w:val="center"/>
              <w:rPr>
                <w:b/>
              </w:rPr>
            </w:pPr>
            <w:r>
              <w:rPr>
                <w:b/>
              </w:rPr>
              <w:t>Cost per Respondent ($) (rounded)</w:t>
            </w:r>
          </w:p>
          <w:p w14:paraId="266500B1" w14:textId="77777777" w:rsidR="00AA4050" w:rsidRDefault="00AA4050" w:rsidP="004D4774">
            <w:pPr>
              <w:jc w:val="center"/>
              <w:rPr>
                <w:b/>
              </w:rPr>
            </w:pPr>
            <w:r>
              <w:rPr>
                <w:b/>
              </w:rPr>
              <w:t>(5)÷(1)</w:t>
            </w:r>
          </w:p>
        </w:tc>
      </w:tr>
      <w:tr w:rsidR="00AA4050" w14:paraId="0756393B" w14:textId="77777777" w:rsidTr="004D4774">
        <w:trPr>
          <w:trHeight w:val="1210"/>
        </w:trPr>
        <w:tc>
          <w:tcPr>
            <w:tcW w:w="667" w:type="pct"/>
            <w:tcBorders>
              <w:top w:val="single" w:sz="4" w:space="0" w:color="auto"/>
              <w:left w:val="single" w:sz="4" w:space="0" w:color="auto"/>
              <w:bottom w:val="single" w:sz="4" w:space="0" w:color="auto"/>
              <w:right w:val="single" w:sz="4" w:space="0" w:color="auto"/>
            </w:tcBorders>
            <w:vAlign w:val="bottom"/>
            <w:hideMark/>
          </w:tcPr>
          <w:p w14:paraId="0552093F" w14:textId="77777777" w:rsidR="00AA4050" w:rsidRDefault="00AA4050" w:rsidP="004D4774">
            <w:r>
              <w:t>New or Modifications to Existing Agreements (Reporting)</w:t>
            </w:r>
          </w:p>
        </w:tc>
        <w:tc>
          <w:tcPr>
            <w:tcW w:w="568" w:type="pct"/>
            <w:tcBorders>
              <w:top w:val="single" w:sz="4" w:space="0" w:color="auto"/>
              <w:left w:val="single" w:sz="4" w:space="0" w:color="auto"/>
              <w:bottom w:val="single" w:sz="4" w:space="0" w:color="auto"/>
              <w:right w:val="single" w:sz="4" w:space="0" w:color="auto"/>
            </w:tcBorders>
            <w:vAlign w:val="bottom"/>
            <w:hideMark/>
          </w:tcPr>
          <w:p w14:paraId="373976C7" w14:textId="77777777" w:rsidR="00AA4050" w:rsidRDefault="00AA4050" w:rsidP="004D4774">
            <w:pPr>
              <w:jc w:val="right"/>
            </w:pPr>
            <w:r>
              <w:t>60 nuclear plants + 120 transmission entities</w:t>
            </w:r>
            <w:r>
              <w:rPr>
                <w:b/>
                <w:vertAlign w:val="superscript"/>
              </w:rPr>
              <w:footnoteReference w:id="11"/>
            </w:r>
          </w:p>
        </w:tc>
        <w:tc>
          <w:tcPr>
            <w:tcW w:w="682" w:type="pct"/>
            <w:tcBorders>
              <w:top w:val="single" w:sz="4" w:space="0" w:color="auto"/>
              <w:left w:val="single" w:sz="4" w:space="0" w:color="auto"/>
              <w:bottom w:val="single" w:sz="4" w:space="0" w:color="auto"/>
              <w:right w:val="single" w:sz="4" w:space="0" w:color="auto"/>
            </w:tcBorders>
            <w:vAlign w:val="bottom"/>
            <w:hideMark/>
          </w:tcPr>
          <w:p w14:paraId="328E6F4F" w14:textId="77777777" w:rsidR="00AA4050" w:rsidRDefault="00AA4050" w:rsidP="004D4774">
            <w:pPr>
              <w:jc w:val="right"/>
            </w:pPr>
            <w:r>
              <w:t>2</w:t>
            </w:r>
          </w:p>
        </w:tc>
        <w:tc>
          <w:tcPr>
            <w:tcW w:w="750" w:type="pct"/>
            <w:tcBorders>
              <w:top w:val="single" w:sz="4" w:space="0" w:color="auto"/>
              <w:left w:val="single" w:sz="4" w:space="0" w:color="auto"/>
              <w:bottom w:val="single" w:sz="4" w:space="0" w:color="auto"/>
              <w:right w:val="single" w:sz="4" w:space="0" w:color="auto"/>
            </w:tcBorders>
            <w:vAlign w:val="bottom"/>
            <w:hideMark/>
          </w:tcPr>
          <w:p w14:paraId="1D50FA53" w14:textId="77777777" w:rsidR="00AA4050" w:rsidRDefault="00AA4050" w:rsidP="004D4774">
            <w:pPr>
              <w:jc w:val="right"/>
            </w:pPr>
            <w:r>
              <w:t>360</w:t>
            </w:r>
          </w:p>
        </w:tc>
        <w:tc>
          <w:tcPr>
            <w:tcW w:w="750" w:type="pct"/>
            <w:tcBorders>
              <w:top w:val="single" w:sz="4" w:space="0" w:color="auto"/>
              <w:left w:val="single" w:sz="4" w:space="0" w:color="auto"/>
              <w:bottom w:val="single" w:sz="4" w:space="0" w:color="auto"/>
              <w:right w:val="single" w:sz="4" w:space="0" w:color="auto"/>
            </w:tcBorders>
            <w:vAlign w:val="bottom"/>
            <w:hideMark/>
          </w:tcPr>
          <w:p w14:paraId="46A006B6" w14:textId="77777777" w:rsidR="00AA4050" w:rsidRDefault="00AA4050" w:rsidP="004D4774">
            <w:pPr>
              <w:jc w:val="right"/>
            </w:pPr>
            <w:r>
              <w:t xml:space="preserve">66.67 hrs.; </w:t>
            </w:r>
          </w:p>
          <w:p w14:paraId="042E55AE" w14:textId="77777777" w:rsidR="00AA4050" w:rsidRDefault="00AA4050" w:rsidP="004D4774">
            <w:pPr>
              <w:jc w:val="right"/>
            </w:pPr>
            <w:r>
              <w:t>$5,616</w:t>
            </w:r>
          </w:p>
        </w:tc>
        <w:tc>
          <w:tcPr>
            <w:tcW w:w="833" w:type="pct"/>
            <w:tcBorders>
              <w:top w:val="single" w:sz="4" w:space="0" w:color="auto"/>
              <w:left w:val="single" w:sz="4" w:space="0" w:color="auto"/>
              <w:bottom w:val="single" w:sz="4" w:space="0" w:color="auto"/>
              <w:right w:val="single" w:sz="4" w:space="0" w:color="auto"/>
            </w:tcBorders>
            <w:vAlign w:val="bottom"/>
            <w:hideMark/>
          </w:tcPr>
          <w:p w14:paraId="0099945C" w14:textId="77777777" w:rsidR="00AA4050" w:rsidRDefault="00AA4050" w:rsidP="004D4774">
            <w:pPr>
              <w:jc w:val="right"/>
            </w:pPr>
            <w:r>
              <w:t>24,001 hrs.;</w:t>
            </w:r>
          </w:p>
          <w:p w14:paraId="1EDD3DFA" w14:textId="77777777" w:rsidR="00AA4050" w:rsidRDefault="00AA4050" w:rsidP="004D4774">
            <w:pPr>
              <w:jc w:val="right"/>
            </w:pPr>
            <w:r>
              <w:t>$2,021,621</w:t>
            </w:r>
          </w:p>
        </w:tc>
        <w:tc>
          <w:tcPr>
            <w:tcW w:w="750" w:type="pct"/>
            <w:tcBorders>
              <w:top w:val="single" w:sz="4" w:space="0" w:color="auto"/>
              <w:left w:val="single" w:sz="4" w:space="0" w:color="auto"/>
              <w:bottom w:val="single" w:sz="4" w:space="0" w:color="auto"/>
              <w:right w:val="single" w:sz="4" w:space="0" w:color="auto"/>
            </w:tcBorders>
            <w:vAlign w:val="bottom"/>
            <w:hideMark/>
          </w:tcPr>
          <w:p w14:paraId="289F6E46" w14:textId="77777777" w:rsidR="00AA4050" w:rsidRDefault="00AA4050" w:rsidP="004D4774">
            <w:pPr>
              <w:jc w:val="right"/>
            </w:pPr>
            <w:r>
              <w:t>$11,231</w:t>
            </w:r>
          </w:p>
        </w:tc>
      </w:tr>
      <w:tr w:rsidR="00AA4050" w14:paraId="49D82218" w14:textId="77777777" w:rsidTr="004D4774">
        <w:trPr>
          <w:trHeight w:val="1210"/>
        </w:trPr>
        <w:tc>
          <w:tcPr>
            <w:tcW w:w="667" w:type="pct"/>
            <w:tcBorders>
              <w:top w:val="single" w:sz="4" w:space="0" w:color="auto"/>
              <w:left w:val="single" w:sz="4" w:space="0" w:color="auto"/>
              <w:bottom w:val="single" w:sz="4" w:space="0" w:color="auto"/>
              <w:right w:val="single" w:sz="4" w:space="0" w:color="auto"/>
            </w:tcBorders>
            <w:vAlign w:val="bottom"/>
            <w:hideMark/>
          </w:tcPr>
          <w:p w14:paraId="11DE3456" w14:textId="77777777" w:rsidR="00AA4050" w:rsidRDefault="00AA4050" w:rsidP="004D4774">
            <w:r>
              <w:t>New or Modifications to Existing Agreements (Record Keeping)</w:t>
            </w:r>
          </w:p>
        </w:tc>
        <w:tc>
          <w:tcPr>
            <w:tcW w:w="568" w:type="pct"/>
            <w:tcBorders>
              <w:top w:val="single" w:sz="4" w:space="0" w:color="auto"/>
              <w:left w:val="single" w:sz="4" w:space="0" w:color="auto"/>
              <w:bottom w:val="single" w:sz="4" w:space="0" w:color="auto"/>
              <w:right w:val="single" w:sz="4" w:space="0" w:color="auto"/>
            </w:tcBorders>
            <w:hideMark/>
          </w:tcPr>
          <w:p w14:paraId="148A834D" w14:textId="77777777" w:rsidR="00AA4050" w:rsidRDefault="00AA4050" w:rsidP="004D4774">
            <w:pPr>
              <w:jc w:val="right"/>
            </w:pPr>
            <w:r>
              <w:t>60 nuclear plants + 120 transmission entities</w:t>
            </w:r>
          </w:p>
        </w:tc>
        <w:tc>
          <w:tcPr>
            <w:tcW w:w="682" w:type="pct"/>
            <w:tcBorders>
              <w:top w:val="single" w:sz="4" w:space="0" w:color="auto"/>
              <w:left w:val="single" w:sz="4" w:space="0" w:color="auto"/>
              <w:bottom w:val="single" w:sz="4" w:space="0" w:color="auto"/>
              <w:right w:val="single" w:sz="4" w:space="0" w:color="auto"/>
            </w:tcBorders>
            <w:vAlign w:val="bottom"/>
            <w:hideMark/>
          </w:tcPr>
          <w:p w14:paraId="20DBD7B6" w14:textId="77777777" w:rsidR="00AA4050" w:rsidRDefault="00AA4050" w:rsidP="004D4774">
            <w:pPr>
              <w:jc w:val="right"/>
            </w:pPr>
            <w:r>
              <w:t>2</w:t>
            </w:r>
          </w:p>
        </w:tc>
        <w:tc>
          <w:tcPr>
            <w:tcW w:w="750" w:type="pct"/>
            <w:tcBorders>
              <w:top w:val="single" w:sz="4" w:space="0" w:color="auto"/>
              <w:left w:val="single" w:sz="4" w:space="0" w:color="auto"/>
              <w:bottom w:val="single" w:sz="4" w:space="0" w:color="auto"/>
              <w:right w:val="single" w:sz="4" w:space="0" w:color="auto"/>
            </w:tcBorders>
            <w:vAlign w:val="bottom"/>
            <w:hideMark/>
          </w:tcPr>
          <w:p w14:paraId="2CEF1BD3" w14:textId="77777777" w:rsidR="00AA4050" w:rsidRDefault="00AA4050" w:rsidP="004D4774">
            <w:pPr>
              <w:jc w:val="right"/>
            </w:pPr>
            <w:r>
              <w:t>360</w:t>
            </w:r>
          </w:p>
        </w:tc>
        <w:tc>
          <w:tcPr>
            <w:tcW w:w="750" w:type="pct"/>
            <w:tcBorders>
              <w:top w:val="single" w:sz="4" w:space="0" w:color="auto"/>
              <w:left w:val="single" w:sz="4" w:space="0" w:color="auto"/>
              <w:bottom w:val="single" w:sz="4" w:space="0" w:color="auto"/>
              <w:right w:val="single" w:sz="4" w:space="0" w:color="auto"/>
            </w:tcBorders>
            <w:vAlign w:val="bottom"/>
            <w:hideMark/>
          </w:tcPr>
          <w:p w14:paraId="6C0B4069" w14:textId="77777777" w:rsidR="00AA4050" w:rsidRDefault="00AA4050" w:rsidP="004D4774">
            <w:pPr>
              <w:jc w:val="right"/>
            </w:pPr>
            <w:r>
              <w:t xml:space="preserve">6.67 hrs.; </w:t>
            </w:r>
          </w:p>
          <w:p w14:paraId="06B2DAAC" w14:textId="77777777" w:rsidR="00AA4050" w:rsidRDefault="00AA4050" w:rsidP="004D4774">
            <w:pPr>
              <w:jc w:val="right"/>
            </w:pPr>
            <w:r>
              <w:t>$218</w:t>
            </w:r>
          </w:p>
        </w:tc>
        <w:tc>
          <w:tcPr>
            <w:tcW w:w="833" w:type="pct"/>
            <w:tcBorders>
              <w:top w:val="single" w:sz="4" w:space="0" w:color="auto"/>
              <w:left w:val="single" w:sz="4" w:space="0" w:color="auto"/>
              <w:bottom w:val="single" w:sz="4" w:space="0" w:color="auto"/>
              <w:right w:val="single" w:sz="4" w:space="0" w:color="auto"/>
            </w:tcBorders>
            <w:vAlign w:val="bottom"/>
            <w:hideMark/>
          </w:tcPr>
          <w:p w14:paraId="167B9E2D" w14:textId="77777777" w:rsidR="00AA4050" w:rsidRDefault="00AA4050" w:rsidP="004D4774">
            <w:pPr>
              <w:jc w:val="right"/>
            </w:pPr>
            <w:r>
              <w:t xml:space="preserve">2,401 hrs.; </w:t>
            </w:r>
          </w:p>
          <w:p w14:paraId="1F6FE5D6" w14:textId="77777777" w:rsidR="00AA4050" w:rsidRDefault="00AA4050" w:rsidP="004D4774">
            <w:pPr>
              <w:jc w:val="right"/>
            </w:pPr>
            <w:r>
              <w:t>$78,615</w:t>
            </w:r>
          </w:p>
        </w:tc>
        <w:tc>
          <w:tcPr>
            <w:tcW w:w="750" w:type="pct"/>
            <w:tcBorders>
              <w:top w:val="single" w:sz="4" w:space="0" w:color="auto"/>
              <w:left w:val="single" w:sz="4" w:space="0" w:color="auto"/>
              <w:bottom w:val="single" w:sz="4" w:space="0" w:color="auto"/>
              <w:right w:val="single" w:sz="4" w:space="0" w:color="auto"/>
            </w:tcBorders>
            <w:vAlign w:val="bottom"/>
            <w:hideMark/>
          </w:tcPr>
          <w:p w14:paraId="22D11324" w14:textId="77777777" w:rsidR="00AA4050" w:rsidRDefault="00AA4050" w:rsidP="004D4774">
            <w:pPr>
              <w:jc w:val="right"/>
            </w:pPr>
            <w:r>
              <w:t>$437</w:t>
            </w:r>
          </w:p>
        </w:tc>
      </w:tr>
      <w:tr w:rsidR="00AA4050" w14:paraId="2F4B57D4" w14:textId="77777777" w:rsidTr="004D4774">
        <w:trPr>
          <w:trHeight w:val="458"/>
        </w:trPr>
        <w:tc>
          <w:tcPr>
            <w:tcW w:w="667" w:type="pct"/>
            <w:tcBorders>
              <w:top w:val="single" w:sz="4" w:space="0" w:color="auto"/>
              <w:left w:val="single" w:sz="4" w:space="0" w:color="auto"/>
              <w:bottom w:val="single" w:sz="4" w:space="0" w:color="auto"/>
              <w:right w:val="single" w:sz="4" w:space="0" w:color="auto"/>
            </w:tcBorders>
            <w:vAlign w:val="bottom"/>
            <w:hideMark/>
          </w:tcPr>
          <w:p w14:paraId="03A0E0A4" w14:textId="77777777" w:rsidR="00AA4050" w:rsidRDefault="00AA4050" w:rsidP="004D4774">
            <w:pPr>
              <w:rPr>
                <w:b/>
              </w:rPr>
            </w:pPr>
            <w:r>
              <w:rPr>
                <w:b/>
              </w:rPr>
              <w:t>Total</w:t>
            </w:r>
          </w:p>
        </w:tc>
        <w:tc>
          <w:tcPr>
            <w:tcW w:w="568" w:type="pct"/>
            <w:tcBorders>
              <w:top w:val="single" w:sz="4" w:space="0" w:color="auto"/>
              <w:left w:val="single" w:sz="4" w:space="0" w:color="auto"/>
              <w:bottom w:val="single" w:sz="4" w:space="0" w:color="auto"/>
              <w:right w:val="single" w:sz="4" w:space="0" w:color="auto"/>
            </w:tcBorders>
            <w:shd w:val="clear" w:color="auto" w:fill="D9D9D9"/>
            <w:vAlign w:val="bottom"/>
          </w:tcPr>
          <w:p w14:paraId="4DD6B8F6" w14:textId="77777777" w:rsidR="00AA4050" w:rsidRDefault="00AA4050" w:rsidP="004D4774"/>
        </w:tc>
        <w:tc>
          <w:tcPr>
            <w:tcW w:w="682" w:type="pct"/>
            <w:tcBorders>
              <w:top w:val="single" w:sz="4" w:space="0" w:color="auto"/>
              <w:left w:val="single" w:sz="4" w:space="0" w:color="auto"/>
              <w:bottom w:val="single" w:sz="4" w:space="0" w:color="auto"/>
              <w:right w:val="single" w:sz="4" w:space="0" w:color="auto"/>
            </w:tcBorders>
            <w:shd w:val="clear" w:color="auto" w:fill="D9D9D9"/>
            <w:vAlign w:val="bottom"/>
          </w:tcPr>
          <w:p w14:paraId="418296D9" w14:textId="77777777" w:rsidR="00AA4050" w:rsidRDefault="00AA4050" w:rsidP="004D4774">
            <w:pPr>
              <w:jc w:val="right"/>
            </w:pPr>
          </w:p>
        </w:tc>
        <w:tc>
          <w:tcPr>
            <w:tcW w:w="750" w:type="pct"/>
            <w:tcBorders>
              <w:top w:val="single" w:sz="4" w:space="0" w:color="auto"/>
              <w:left w:val="single" w:sz="4" w:space="0" w:color="auto"/>
              <w:bottom w:val="single" w:sz="4" w:space="0" w:color="auto"/>
              <w:right w:val="single" w:sz="4" w:space="0" w:color="auto"/>
            </w:tcBorders>
            <w:vAlign w:val="bottom"/>
            <w:hideMark/>
          </w:tcPr>
          <w:p w14:paraId="49E1E8BC" w14:textId="77777777" w:rsidR="00AA4050" w:rsidRDefault="00AA4050" w:rsidP="004D4774">
            <w:pPr>
              <w:jc w:val="right"/>
            </w:pPr>
            <w:r>
              <w:t>360</w:t>
            </w:r>
            <w:r>
              <w:rPr>
                <w:b/>
                <w:vertAlign w:val="superscript"/>
              </w:rPr>
              <w:footnoteReference w:id="12"/>
            </w:r>
          </w:p>
        </w:tc>
        <w:tc>
          <w:tcPr>
            <w:tcW w:w="750" w:type="pct"/>
            <w:tcBorders>
              <w:top w:val="single" w:sz="4" w:space="0" w:color="auto"/>
              <w:left w:val="single" w:sz="4" w:space="0" w:color="auto"/>
              <w:bottom w:val="single" w:sz="4" w:space="0" w:color="auto"/>
              <w:right w:val="single" w:sz="4" w:space="0" w:color="auto"/>
            </w:tcBorders>
            <w:shd w:val="clear" w:color="auto" w:fill="D9D9D9"/>
            <w:vAlign w:val="bottom"/>
          </w:tcPr>
          <w:p w14:paraId="7AAA4F55" w14:textId="77777777" w:rsidR="00AA4050" w:rsidRDefault="00AA4050" w:rsidP="004D4774">
            <w:pPr>
              <w:jc w:val="right"/>
            </w:pPr>
          </w:p>
        </w:tc>
        <w:tc>
          <w:tcPr>
            <w:tcW w:w="833" w:type="pct"/>
            <w:tcBorders>
              <w:top w:val="single" w:sz="4" w:space="0" w:color="auto"/>
              <w:left w:val="single" w:sz="4" w:space="0" w:color="auto"/>
              <w:bottom w:val="single" w:sz="4" w:space="0" w:color="auto"/>
              <w:right w:val="single" w:sz="4" w:space="0" w:color="auto"/>
            </w:tcBorders>
            <w:vAlign w:val="bottom"/>
            <w:hideMark/>
          </w:tcPr>
          <w:p w14:paraId="72B26451" w14:textId="77777777" w:rsidR="00AA4050" w:rsidRDefault="00AA4050" w:rsidP="004D4774">
            <w:pPr>
              <w:jc w:val="right"/>
            </w:pPr>
            <w:r>
              <w:t>26,402 hrs.;</w:t>
            </w:r>
            <w:r>
              <w:rPr>
                <w:rStyle w:val="FootnoteReference"/>
              </w:rPr>
              <w:footnoteReference w:id="13"/>
            </w:r>
            <w:r>
              <w:t xml:space="preserve"> </w:t>
            </w:r>
          </w:p>
          <w:p w14:paraId="40BF5BC1" w14:textId="77777777" w:rsidR="00AA4050" w:rsidRDefault="00AA4050" w:rsidP="004D4774">
            <w:pPr>
              <w:jc w:val="right"/>
            </w:pPr>
            <w:r>
              <w:t>$2,100,236</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bottom"/>
          </w:tcPr>
          <w:p w14:paraId="082FDD59" w14:textId="77777777" w:rsidR="00AA4050" w:rsidRDefault="00AA4050" w:rsidP="004D4774">
            <w:pPr>
              <w:jc w:val="right"/>
            </w:pPr>
          </w:p>
        </w:tc>
      </w:tr>
    </w:tbl>
    <w:p w14:paraId="78753834" w14:textId="77777777" w:rsidR="00AA4050" w:rsidRDefault="00AA4050" w:rsidP="00AA4050">
      <w:pPr>
        <w:spacing w:line="480" w:lineRule="auto"/>
      </w:pPr>
    </w:p>
    <w:p w14:paraId="7E5D9866" w14:textId="0C1B1CDE" w:rsidR="00881405" w:rsidRDefault="00AE1F12" w:rsidP="00AE1F12">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14:paraId="6ED19215" w14:textId="67AC720B" w:rsidR="00AE1F12" w:rsidRDefault="00AE1F12" w:rsidP="00AE1F12">
      <w:pPr>
        <w:spacing w:line="480" w:lineRule="auto"/>
      </w:pPr>
      <w:r>
        <w:t xml:space="preserve">collection of information on those who are to respond, including the use of automated collection techniques or other forms of information technology.  </w:t>
      </w:r>
    </w:p>
    <w:p w14:paraId="0652AB31" w14:textId="22B910EF" w:rsidR="00853ABC" w:rsidRDefault="00853ABC" w:rsidP="00F11631"/>
    <w:p w14:paraId="30CB5833" w14:textId="0631D1DE" w:rsidR="00F11631" w:rsidRDefault="00F11631" w:rsidP="00F11631"/>
    <w:p w14:paraId="404CF2E0" w14:textId="2140C280" w:rsidR="00F11631" w:rsidRDefault="00F11631" w:rsidP="00F11631"/>
    <w:p w14:paraId="4C726916" w14:textId="1A9A703B" w:rsidR="00F11631" w:rsidRDefault="00F11631" w:rsidP="00F11631"/>
    <w:p w14:paraId="31D03E6F" w14:textId="3773D723" w:rsidR="00F11631" w:rsidRPr="00F11631" w:rsidRDefault="00F11631" w:rsidP="00F11631">
      <w:pPr>
        <w:ind w:firstLine="2174"/>
        <w:jc w:val="center"/>
      </w:pPr>
      <w:r w:rsidRPr="00F11631">
        <w:t>Kimberly D. Bose,</w:t>
      </w:r>
    </w:p>
    <w:p w14:paraId="279D1D3C" w14:textId="72111C19" w:rsidR="00F11631" w:rsidRPr="00F11631" w:rsidRDefault="00F11631" w:rsidP="00F11631">
      <w:pPr>
        <w:ind w:firstLine="2174"/>
        <w:jc w:val="center"/>
      </w:pPr>
      <w:r w:rsidRPr="00F11631">
        <w:t>Secretary.</w:t>
      </w:r>
    </w:p>
    <w:p w14:paraId="647D348B" w14:textId="77777777" w:rsidR="00F11631" w:rsidRDefault="00F11631" w:rsidP="00F11631"/>
    <w:sectPr w:rsidR="00F11631" w:rsidSect="00BF2D74">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C9553" w14:textId="77777777" w:rsidR="00C53580" w:rsidRDefault="00C53580" w:rsidP="00B01B16">
      <w:r>
        <w:separator/>
      </w:r>
    </w:p>
  </w:endnote>
  <w:endnote w:type="continuationSeparator" w:id="0">
    <w:p w14:paraId="3D5A193A" w14:textId="77777777" w:rsidR="00C53580" w:rsidRDefault="00C53580"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B2C21" w14:textId="77777777" w:rsidR="00C53580" w:rsidRDefault="00C53580" w:rsidP="00B01B16">
      <w:r>
        <w:separator/>
      </w:r>
    </w:p>
  </w:footnote>
  <w:footnote w:type="continuationSeparator" w:id="0">
    <w:p w14:paraId="19E2FEA9" w14:textId="77777777" w:rsidR="00C53580" w:rsidRDefault="00C53580" w:rsidP="00B01B16">
      <w:r>
        <w:continuationSeparator/>
      </w:r>
    </w:p>
  </w:footnote>
  <w:footnote w:id="1">
    <w:p w14:paraId="121B7881" w14:textId="77777777" w:rsidR="00AA4050" w:rsidRPr="00E34382" w:rsidRDefault="00AA4050" w:rsidP="00AA4050">
      <w:pPr>
        <w:pStyle w:val="FootnoteText"/>
        <w:rPr>
          <w:szCs w:val="22"/>
        </w:rPr>
      </w:pPr>
      <w:r w:rsidRPr="00E34382">
        <w:rPr>
          <w:rStyle w:val="FootnoteReference"/>
          <w:b w:val="0"/>
          <w:sz w:val="22"/>
          <w:szCs w:val="22"/>
        </w:rPr>
        <w:footnoteRef/>
      </w:r>
      <w:r w:rsidRPr="00E34382">
        <w:rPr>
          <w:szCs w:val="22"/>
        </w:rPr>
        <w:t xml:space="preserve"> Energy Policy Act of 2005, Pub. L. No. 109-58, Title XII, Subtitle A, 119 Stat. 594, 941 (2005), 16 U.S.C. 824o.</w:t>
      </w:r>
    </w:p>
  </w:footnote>
  <w:footnote w:id="2">
    <w:p w14:paraId="42EAAE33" w14:textId="77777777" w:rsidR="00AA4050" w:rsidRPr="00E34382" w:rsidRDefault="00AA4050" w:rsidP="00AA4050">
      <w:pPr>
        <w:pStyle w:val="FootnoteText"/>
        <w:rPr>
          <w:szCs w:val="22"/>
        </w:rPr>
      </w:pPr>
      <w:r w:rsidRPr="00E34382">
        <w:rPr>
          <w:rStyle w:val="FootnoteReference"/>
          <w:b w:val="0"/>
          <w:sz w:val="22"/>
          <w:szCs w:val="22"/>
        </w:rPr>
        <w:footnoteRef/>
      </w:r>
      <w:r w:rsidRPr="00E34382">
        <w:rPr>
          <w:szCs w:val="22"/>
        </w:rPr>
        <w:t xml:space="preserve"> 16 U.S.C. 824o(e)(3).</w:t>
      </w:r>
    </w:p>
  </w:footnote>
  <w:footnote w:id="3">
    <w:p w14:paraId="4029C35A" w14:textId="77777777" w:rsidR="00AA4050" w:rsidRPr="00E34382" w:rsidRDefault="00AA4050" w:rsidP="00AA4050">
      <w:pPr>
        <w:pStyle w:val="FootnoteText"/>
        <w:rPr>
          <w:szCs w:val="22"/>
        </w:rPr>
      </w:pPr>
      <w:r w:rsidRPr="00E34382">
        <w:rPr>
          <w:rStyle w:val="FootnoteReference"/>
          <w:b w:val="0"/>
          <w:sz w:val="22"/>
          <w:szCs w:val="22"/>
        </w:rPr>
        <w:footnoteRef/>
      </w:r>
      <w:r w:rsidRPr="00E34382">
        <w:rPr>
          <w:szCs w:val="22"/>
        </w:rPr>
        <w:t xml:space="preserve"> </w:t>
      </w:r>
      <w:r w:rsidRPr="00E34382">
        <w:rPr>
          <w:i/>
          <w:iCs/>
          <w:szCs w:val="22"/>
        </w:rPr>
        <w:t>Rules Concerning Certification of the Electric Reliability Organization; and Procedures for the Establishment, Approval, and Enforcement of Electric Reliability Standards</w:t>
      </w:r>
      <w:r w:rsidRPr="00E34382">
        <w:rPr>
          <w:szCs w:val="22"/>
        </w:rPr>
        <w:t xml:space="preserve">, Order No. 672, FERC Stats. &amp; Regs. ¶ 31,204, </w:t>
      </w:r>
      <w:r w:rsidRPr="00E34382">
        <w:rPr>
          <w:i/>
          <w:iCs/>
          <w:szCs w:val="22"/>
        </w:rPr>
        <w:t>order on reh’g</w:t>
      </w:r>
      <w:r w:rsidRPr="00E34382">
        <w:rPr>
          <w:szCs w:val="22"/>
        </w:rPr>
        <w:t>, Order No. 672-A, FERC Stats. &amp; Regs. ¶ 31,212 (2006).</w:t>
      </w:r>
    </w:p>
  </w:footnote>
  <w:footnote w:id="4">
    <w:p w14:paraId="1D3831F5" w14:textId="77777777" w:rsidR="00AA4050" w:rsidRPr="00E34382" w:rsidRDefault="00AA4050" w:rsidP="00AA4050">
      <w:pPr>
        <w:pStyle w:val="FootnoteText"/>
        <w:rPr>
          <w:szCs w:val="22"/>
        </w:rPr>
      </w:pPr>
      <w:r w:rsidRPr="00E34382">
        <w:rPr>
          <w:rStyle w:val="FootnoteReference"/>
          <w:b w:val="0"/>
          <w:sz w:val="22"/>
          <w:szCs w:val="22"/>
        </w:rPr>
        <w:footnoteRef/>
      </w:r>
      <w:r w:rsidRPr="00E34382">
        <w:rPr>
          <w:b/>
          <w:szCs w:val="22"/>
        </w:rPr>
        <w:t xml:space="preserve"> </w:t>
      </w:r>
      <w:r w:rsidRPr="00E34382">
        <w:rPr>
          <w:i/>
          <w:szCs w:val="22"/>
        </w:rPr>
        <w:t>Mandatory Reliability Standard for Nuclear Plant Interface Coordination,</w:t>
      </w:r>
      <w:r w:rsidRPr="00E34382">
        <w:rPr>
          <w:szCs w:val="22"/>
        </w:rPr>
        <w:t xml:space="preserve"> Order No. 716, 125 FERC ¶ 61,065, at P 189 &amp; n.90 (2008), </w:t>
      </w:r>
      <w:r w:rsidRPr="00E34382">
        <w:rPr>
          <w:i/>
          <w:szCs w:val="22"/>
        </w:rPr>
        <w:t>order on reh’g</w:t>
      </w:r>
      <w:r w:rsidRPr="00E34382">
        <w:rPr>
          <w:szCs w:val="22"/>
        </w:rPr>
        <w:t xml:space="preserve">, Order No. 716-A, </w:t>
      </w:r>
      <w:r w:rsidRPr="00E34382">
        <w:rPr>
          <w:bCs/>
          <w:szCs w:val="22"/>
        </w:rPr>
        <w:t>126 FERC ¶ 61,122 (2009)</w:t>
      </w:r>
      <w:r w:rsidRPr="00E34382">
        <w:rPr>
          <w:szCs w:val="22"/>
        </w:rPr>
        <w:t xml:space="preserve">.  </w:t>
      </w:r>
    </w:p>
  </w:footnote>
  <w:footnote w:id="5">
    <w:p w14:paraId="0FE14AD0" w14:textId="77777777" w:rsidR="00AA4050" w:rsidRPr="00E34382" w:rsidRDefault="00AA4050" w:rsidP="00AA4050">
      <w:pPr>
        <w:pStyle w:val="FootnoteText"/>
        <w:rPr>
          <w:szCs w:val="22"/>
        </w:rPr>
      </w:pPr>
      <w:r w:rsidRPr="00E34382">
        <w:rPr>
          <w:rStyle w:val="FootnoteReference"/>
          <w:b w:val="0"/>
          <w:sz w:val="22"/>
          <w:szCs w:val="22"/>
        </w:rPr>
        <w:footnoteRef/>
      </w:r>
      <w:r w:rsidRPr="00E34382">
        <w:rPr>
          <w:b/>
          <w:szCs w:val="22"/>
        </w:rPr>
        <w:t xml:space="preserve"> </w:t>
      </w:r>
      <w:r w:rsidRPr="00E34382">
        <w:rPr>
          <w:i/>
          <w:szCs w:val="22"/>
        </w:rPr>
        <w:t>North American Electric Reliability Corporation</w:t>
      </w:r>
      <w:r w:rsidRPr="00E34382">
        <w:rPr>
          <w:szCs w:val="22"/>
        </w:rPr>
        <w:t>, 130 FERC ¶ 61,051 (2010).  When the revised Reliability Standard was approved, the Commission did not go to OMB for approval.  It is assumed that the changes made did not substantively affect the information collection and therefore a formal submission to OMB was not needed.</w:t>
      </w:r>
    </w:p>
    <w:p w14:paraId="50FFD9FD" w14:textId="77777777" w:rsidR="00AA4050" w:rsidRPr="00E34382" w:rsidRDefault="00AA4050" w:rsidP="00AA4050">
      <w:pPr>
        <w:pStyle w:val="FootnoteText"/>
        <w:rPr>
          <w:szCs w:val="22"/>
        </w:rPr>
      </w:pPr>
      <w:r w:rsidRPr="00E34382">
        <w:rPr>
          <w:szCs w:val="22"/>
        </w:rPr>
        <w:t xml:space="preserve">The most recent OMB approval for FERC-725F was issued on 6/15/2015.  </w:t>
      </w:r>
    </w:p>
  </w:footnote>
  <w:footnote w:id="6">
    <w:p w14:paraId="025AA33E" w14:textId="77777777" w:rsidR="00AA4050" w:rsidRPr="00E34382" w:rsidRDefault="00AA4050" w:rsidP="00AA4050">
      <w:pPr>
        <w:pStyle w:val="FootnoteText"/>
        <w:rPr>
          <w:szCs w:val="22"/>
        </w:rPr>
      </w:pPr>
      <w:r w:rsidRPr="00E34382">
        <w:rPr>
          <w:rStyle w:val="FootnoteReference"/>
          <w:b w:val="0"/>
          <w:sz w:val="22"/>
          <w:szCs w:val="22"/>
        </w:rPr>
        <w:footnoteRef/>
      </w:r>
      <w:r w:rsidRPr="00E34382">
        <w:rPr>
          <w:szCs w:val="22"/>
        </w:rPr>
        <w:t xml:space="preserve"> The Letter Order is posted at https://elibrary.ferc.gov/idmws/common/OpenNat.asp?fileID=13675845.</w:t>
      </w:r>
    </w:p>
  </w:footnote>
  <w:footnote w:id="7">
    <w:p w14:paraId="6A353D50" w14:textId="027E8AC6" w:rsidR="00AA4050" w:rsidRPr="00E34382" w:rsidRDefault="00AA4050" w:rsidP="00AA4050">
      <w:pPr>
        <w:pStyle w:val="FootnoteText"/>
        <w:rPr>
          <w:szCs w:val="22"/>
        </w:rPr>
      </w:pPr>
      <w:r w:rsidRPr="00E34382">
        <w:rPr>
          <w:rStyle w:val="FootnoteReference"/>
          <w:b w:val="0"/>
          <w:sz w:val="22"/>
          <w:szCs w:val="22"/>
        </w:rPr>
        <w:footnoteRef/>
      </w:r>
      <w:r w:rsidRPr="00E34382">
        <w:rPr>
          <w:szCs w:val="22"/>
        </w:rPr>
        <w:t xml:space="preserve"> See Reliability Standard NUC-001-</w:t>
      </w:r>
      <w:r w:rsidR="00AD4128" w:rsidRPr="00E34382">
        <w:rPr>
          <w:szCs w:val="22"/>
        </w:rPr>
        <w:t>3</w:t>
      </w:r>
      <w:r w:rsidRPr="00E34382">
        <w:rPr>
          <w:szCs w:val="22"/>
        </w:rPr>
        <w:t xml:space="preserve"> at </w:t>
      </w:r>
      <w:hyperlink r:id="rId1" w:history="1">
        <w:r w:rsidR="00AD4128" w:rsidRPr="00E34382">
          <w:rPr>
            <w:rStyle w:val="Hyperlink"/>
            <w:szCs w:val="22"/>
          </w:rPr>
          <w:t>http://www.nerc.com/pa/Stand/Reliability%20Standards/NUC-001-3.pdf</w:t>
        </w:r>
      </w:hyperlink>
      <w:r w:rsidR="00AD4128" w:rsidRPr="00E34382">
        <w:rPr>
          <w:szCs w:val="22"/>
        </w:rPr>
        <w:t xml:space="preserve">. </w:t>
      </w:r>
    </w:p>
  </w:footnote>
  <w:footnote w:id="8">
    <w:p w14:paraId="177E2452" w14:textId="15723C50" w:rsidR="00AA4050" w:rsidRPr="00E34382" w:rsidRDefault="00AA4050" w:rsidP="00AA4050">
      <w:pPr>
        <w:pStyle w:val="FootnoteText"/>
        <w:rPr>
          <w:szCs w:val="22"/>
        </w:rPr>
      </w:pPr>
      <w:r w:rsidRPr="00E34382">
        <w:rPr>
          <w:rStyle w:val="FootnoteReference"/>
          <w:b w:val="0"/>
          <w:sz w:val="22"/>
          <w:szCs w:val="22"/>
        </w:rPr>
        <w:footnoteRef/>
      </w:r>
      <w:r w:rsidRPr="00E34382">
        <w:rPr>
          <w:b/>
          <w:szCs w:val="22"/>
        </w:rPr>
        <w:t xml:space="preserve"> </w:t>
      </w:r>
      <w:r w:rsidRPr="00E34382">
        <w:rPr>
          <w:szCs w:val="22"/>
        </w:rPr>
        <w:t xml:space="preserve">The list of functional entities consists of transmission operators, transmission owners, transmission planners, transmission service providers, balancing authorities, reliability coordinators, planning </w:t>
      </w:r>
      <w:r w:rsidR="00AD4128" w:rsidRPr="00E34382">
        <w:rPr>
          <w:szCs w:val="22"/>
        </w:rPr>
        <w:t>coordinators</w:t>
      </w:r>
      <w:r w:rsidRPr="00E34382">
        <w:rPr>
          <w:szCs w:val="22"/>
        </w:rPr>
        <w:t xml:space="preserve">, distribution providers, load-serving entities, generator owners and generator operators.  </w:t>
      </w:r>
    </w:p>
  </w:footnote>
  <w:footnote w:id="9">
    <w:p w14:paraId="43FA1B13" w14:textId="77777777" w:rsidR="00AA4050" w:rsidRPr="00E34382" w:rsidRDefault="00AA4050" w:rsidP="00AA4050">
      <w:pPr>
        <w:pStyle w:val="FootnoteText"/>
        <w:rPr>
          <w:szCs w:val="22"/>
        </w:rPr>
      </w:pPr>
      <w:r w:rsidRPr="00E34382">
        <w:rPr>
          <w:rStyle w:val="FootnoteReference"/>
          <w:b w:val="0"/>
          <w:sz w:val="22"/>
          <w:szCs w:val="22"/>
        </w:rPr>
        <w:footnoteRef/>
      </w:r>
      <w:r w:rsidRPr="00E34382">
        <w:rPr>
          <w:b/>
          <w:szCs w:val="22"/>
        </w:rPr>
        <w:t xml:space="preserve"> </w:t>
      </w:r>
      <w:r w:rsidRPr="00E34382">
        <w:rPr>
          <w:szCs w:val="22"/>
        </w:rPr>
        <w:t>Burden is defined as the total time, effort, or financial resources expended by persons to generate, maintain, retain, or disclose or provide information to or for a Federal agency.  Refer to 5 CFR 1320.3 for additional information.</w:t>
      </w:r>
    </w:p>
  </w:footnote>
  <w:footnote w:id="10">
    <w:p w14:paraId="6CED8F3A" w14:textId="77777777" w:rsidR="00AA4050" w:rsidRPr="00E34382" w:rsidRDefault="00AA4050" w:rsidP="00AA4050">
      <w:pPr>
        <w:pStyle w:val="FootnoteText"/>
        <w:rPr>
          <w:szCs w:val="22"/>
        </w:rPr>
      </w:pPr>
      <w:r w:rsidRPr="00E34382">
        <w:rPr>
          <w:rStyle w:val="FootnoteReference"/>
          <w:b w:val="0"/>
          <w:sz w:val="22"/>
          <w:szCs w:val="22"/>
        </w:rPr>
        <w:footnoteRef/>
      </w:r>
      <w:r w:rsidRPr="00E34382">
        <w:rPr>
          <w:szCs w:val="22"/>
        </w:rPr>
        <w:t xml:space="preserve"> The wage and benefit figures are based on the Bureau of Labor Statistics (BLS) data (at </w:t>
      </w:r>
      <w:hyperlink r:id="rId2" w:history="1">
        <w:r w:rsidRPr="00E34382">
          <w:rPr>
            <w:rStyle w:val="Hyperlink"/>
            <w:szCs w:val="22"/>
          </w:rPr>
          <w:t>https://www.bls.gov/oes/current/naics2_22.htm</w:t>
        </w:r>
      </w:hyperlink>
      <w:r w:rsidRPr="00E34382">
        <w:rPr>
          <w:szCs w:val="22"/>
        </w:rPr>
        <w:t>) for May 2016 for Sector 22, Utilities.  (The benefits figure is based on BLS data as of September 8, 2017, which indicates that wages are 69.6% and benefits are 30.4% of total salary (</w:t>
      </w:r>
      <w:hyperlink r:id="rId3" w:history="1">
        <w:r w:rsidRPr="00E34382">
          <w:rPr>
            <w:rStyle w:val="Hyperlink"/>
            <w:szCs w:val="22"/>
          </w:rPr>
          <w:t>http://www.bls.gov/news.release/ecec.nr0.htm)</w:t>
        </w:r>
      </w:hyperlink>
      <w:r w:rsidRPr="00E34382">
        <w:rPr>
          <w:szCs w:val="22"/>
        </w:rPr>
        <w:t xml:space="preserve">.)  </w:t>
      </w:r>
    </w:p>
    <w:p w14:paraId="709C906A" w14:textId="291BC157" w:rsidR="00AA4050" w:rsidRPr="00E34382" w:rsidRDefault="00AA4050" w:rsidP="00AA4050">
      <w:pPr>
        <w:pStyle w:val="FootnoteText"/>
        <w:rPr>
          <w:szCs w:val="22"/>
        </w:rPr>
      </w:pPr>
      <w:r w:rsidRPr="00E34382">
        <w:rPr>
          <w:szCs w:val="22"/>
        </w:rPr>
        <w:t>The estimated hourly cost (for wages plus benefits) for reporting requirements is $84.23/hour, based on the average for an electrical engineer (occupation code 17-2071, $68.12/hour), legal (occupation code 23-0000, $143.68/hour), and office and administrative s</w:t>
      </w:r>
      <w:r w:rsidR="00F9675E" w:rsidRPr="00E34382">
        <w:rPr>
          <w:szCs w:val="22"/>
        </w:rPr>
        <w:t>upport</w:t>
      </w:r>
      <w:r w:rsidRPr="00E34382">
        <w:rPr>
          <w:szCs w:val="22"/>
        </w:rPr>
        <w:t xml:space="preserve"> (occupation code 43-000</w:t>
      </w:r>
      <w:r w:rsidR="00F9675E" w:rsidRPr="00E34382">
        <w:rPr>
          <w:szCs w:val="22"/>
        </w:rPr>
        <w:t>0</w:t>
      </w:r>
      <w:r w:rsidRPr="00E34382">
        <w:rPr>
          <w:szCs w:val="22"/>
        </w:rPr>
        <w:t xml:space="preserve">, $40.89/hour).  </w:t>
      </w:r>
    </w:p>
    <w:p w14:paraId="415D2586" w14:textId="77777777" w:rsidR="00AA4050" w:rsidRPr="00E34382" w:rsidRDefault="00AA4050" w:rsidP="00AA4050">
      <w:pPr>
        <w:pStyle w:val="FootnoteText"/>
        <w:rPr>
          <w:szCs w:val="22"/>
        </w:rPr>
      </w:pPr>
      <w:r w:rsidRPr="00E34382">
        <w:rPr>
          <w:szCs w:val="22"/>
        </w:rPr>
        <w:t xml:space="preserve">The estimated hourly cost (wages plus benefits) for record keeping is $32.74/hour for a file clerk (occupation code 43-4071).  </w:t>
      </w:r>
    </w:p>
  </w:footnote>
  <w:footnote w:id="11">
    <w:p w14:paraId="2D7558A0" w14:textId="77777777" w:rsidR="00AA4050" w:rsidRPr="00E34382" w:rsidRDefault="00AA4050" w:rsidP="00AA4050">
      <w:pPr>
        <w:pStyle w:val="FootnoteText"/>
        <w:rPr>
          <w:szCs w:val="22"/>
        </w:rPr>
      </w:pPr>
      <w:r w:rsidRPr="00E34382">
        <w:rPr>
          <w:rStyle w:val="FootnoteReference"/>
          <w:b w:val="0"/>
          <w:sz w:val="22"/>
          <w:szCs w:val="22"/>
        </w:rPr>
        <w:footnoteRef/>
      </w:r>
      <w:r w:rsidRPr="00E34382">
        <w:rPr>
          <w:b/>
          <w:szCs w:val="22"/>
        </w:rPr>
        <w:t xml:space="preserve"> </w:t>
      </w:r>
      <w:r w:rsidRPr="00E34382">
        <w:rPr>
          <w:szCs w:val="22"/>
        </w:rPr>
        <w:t xml:space="preserve">This figure of 120 transmission entities is based on the assumption that each agreement will be between 1 nuclear plant and 2 transmission entities (60 X 2 = 120).  However, there is some double counting in this figure because some transmission entities may be party to multiple agreements with multiple nuclear plants.  The double counting does not affect the burden estimate, and the correct number of unique respondents will be reported to OMB.   </w:t>
      </w:r>
    </w:p>
  </w:footnote>
  <w:footnote w:id="12">
    <w:p w14:paraId="09D5CEE4" w14:textId="77777777" w:rsidR="00AA4050" w:rsidRPr="00E34382" w:rsidRDefault="00AA4050" w:rsidP="00AA4050">
      <w:pPr>
        <w:pStyle w:val="FootnoteText"/>
        <w:rPr>
          <w:szCs w:val="22"/>
        </w:rPr>
      </w:pPr>
      <w:r w:rsidRPr="00E34382">
        <w:rPr>
          <w:rStyle w:val="FootnoteReference"/>
          <w:b w:val="0"/>
          <w:sz w:val="22"/>
          <w:szCs w:val="22"/>
        </w:rPr>
        <w:footnoteRef/>
      </w:r>
      <w:r w:rsidRPr="00E34382">
        <w:rPr>
          <w:szCs w:val="22"/>
        </w:rPr>
        <w:t xml:space="preserve"> The 180 respondents affected by the reporting requirements are also affected by the recordkeeping requirements.</w:t>
      </w:r>
    </w:p>
  </w:footnote>
  <w:footnote w:id="13">
    <w:p w14:paraId="6A6EAF5B" w14:textId="77777777" w:rsidR="00AA4050" w:rsidRPr="00E34382" w:rsidRDefault="00AA4050" w:rsidP="00AA4050">
      <w:pPr>
        <w:pStyle w:val="FootnoteText"/>
        <w:rPr>
          <w:szCs w:val="22"/>
        </w:rPr>
      </w:pPr>
      <w:r w:rsidRPr="00E34382">
        <w:rPr>
          <w:rStyle w:val="FootnoteReference"/>
          <w:b w:val="0"/>
          <w:sz w:val="22"/>
          <w:szCs w:val="22"/>
        </w:rPr>
        <w:footnoteRef/>
      </w:r>
      <w:r w:rsidRPr="00E34382">
        <w:rPr>
          <w:b/>
          <w:szCs w:val="22"/>
        </w:rPr>
        <w:t xml:space="preserve"> </w:t>
      </w:r>
      <w:r w:rsidRPr="00E34382">
        <w:rPr>
          <w:szCs w:val="22"/>
        </w:rPr>
        <w:t xml:space="preserve">The reporting requirements have not changed.  The decrease in the number of respondents is due to:  a)normal fluctuations in industry (e.g., companies merging and splitting, and coming into and going out of business), and b) no new agreements being issued due to the lack of new nuclear plants being developed.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597F" w14:textId="3065479F" w:rsidR="00810D18" w:rsidRDefault="00810D18" w:rsidP="00810D18">
    <w:pPr>
      <w:pStyle w:val="Header"/>
    </w:pPr>
    <w:r>
      <w:t xml:space="preserve">Docket No. </w:t>
    </w:r>
    <w:r w:rsidR="00954CCB">
      <w:t>IC18-3-000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01FAA">
          <w:rPr>
            <w:noProof/>
          </w:rPr>
          <w:t>2</w:t>
        </w:r>
        <w:r>
          <w:rPr>
            <w:noProof/>
          </w:rPr>
          <w:fldChar w:fldCharType="end"/>
        </w:r>
      </w:sdtContent>
    </w:sdt>
  </w:p>
  <w:p w14:paraId="10170C13" w14:textId="76D2DB34" w:rsidR="00BF2D74" w:rsidRDefault="00BF2D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459B6"/>
    <w:rsid w:val="00062427"/>
    <w:rsid w:val="000A0250"/>
    <w:rsid w:val="000A7E68"/>
    <w:rsid w:val="000E2568"/>
    <w:rsid w:val="00101FAA"/>
    <w:rsid w:val="00156BBB"/>
    <w:rsid w:val="001600DF"/>
    <w:rsid w:val="00171725"/>
    <w:rsid w:val="00181BF7"/>
    <w:rsid w:val="001A6AD6"/>
    <w:rsid w:val="001B78B8"/>
    <w:rsid w:val="001E6510"/>
    <w:rsid w:val="00311D90"/>
    <w:rsid w:val="003149BC"/>
    <w:rsid w:val="003673EC"/>
    <w:rsid w:val="00376525"/>
    <w:rsid w:val="003A1A72"/>
    <w:rsid w:val="003C3E7A"/>
    <w:rsid w:val="003E44AD"/>
    <w:rsid w:val="00443282"/>
    <w:rsid w:val="0045734B"/>
    <w:rsid w:val="004C70C8"/>
    <w:rsid w:val="004F26DA"/>
    <w:rsid w:val="0054746C"/>
    <w:rsid w:val="005A2F24"/>
    <w:rsid w:val="005B4DA4"/>
    <w:rsid w:val="005C6D4E"/>
    <w:rsid w:val="005D16A1"/>
    <w:rsid w:val="006128A5"/>
    <w:rsid w:val="006144F3"/>
    <w:rsid w:val="00634374"/>
    <w:rsid w:val="00637F43"/>
    <w:rsid w:val="00642602"/>
    <w:rsid w:val="00644A1B"/>
    <w:rsid w:val="006536D8"/>
    <w:rsid w:val="00654BA4"/>
    <w:rsid w:val="006963BC"/>
    <w:rsid w:val="006E7CBB"/>
    <w:rsid w:val="00727C5E"/>
    <w:rsid w:val="00734DFE"/>
    <w:rsid w:val="0075009F"/>
    <w:rsid w:val="00782ACA"/>
    <w:rsid w:val="007C1916"/>
    <w:rsid w:val="00803CA2"/>
    <w:rsid w:val="00807CAC"/>
    <w:rsid w:val="00810D18"/>
    <w:rsid w:val="008115BF"/>
    <w:rsid w:val="00824D81"/>
    <w:rsid w:val="00853ABC"/>
    <w:rsid w:val="00881405"/>
    <w:rsid w:val="0089069F"/>
    <w:rsid w:val="00895DA2"/>
    <w:rsid w:val="00897359"/>
    <w:rsid w:val="008C572B"/>
    <w:rsid w:val="008D25B7"/>
    <w:rsid w:val="008D5479"/>
    <w:rsid w:val="008E0DF5"/>
    <w:rsid w:val="008E3273"/>
    <w:rsid w:val="00940C0F"/>
    <w:rsid w:val="00954CCB"/>
    <w:rsid w:val="009744C8"/>
    <w:rsid w:val="00981886"/>
    <w:rsid w:val="00990FEC"/>
    <w:rsid w:val="009A1B08"/>
    <w:rsid w:val="009B4450"/>
    <w:rsid w:val="009C4A13"/>
    <w:rsid w:val="009F7DE3"/>
    <w:rsid w:val="00A2604E"/>
    <w:rsid w:val="00A43A4A"/>
    <w:rsid w:val="00A664DF"/>
    <w:rsid w:val="00A713D0"/>
    <w:rsid w:val="00A82A29"/>
    <w:rsid w:val="00AA4050"/>
    <w:rsid w:val="00AA516A"/>
    <w:rsid w:val="00AA5B0E"/>
    <w:rsid w:val="00AC750B"/>
    <w:rsid w:val="00AC77B8"/>
    <w:rsid w:val="00AD4128"/>
    <w:rsid w:val="00AE1F12"/>
    <w:rsid w:val="00AE4155"/>
    <w:rsid w:val="00AE4B7C"/>
    <w:rsid w:val="00AF349B"/>
    <w:rsid w:val="00B01B16"/>
    <w:rsid w:val="00B447D7"/>
    <w:rsid w:val="00B76A1F"/>
    <w:rsid w:val="00B82F8C"/>
    <w:rsid w:val="00BD74AE"/>
    <w:rsid w:val="00BE3FE7"/>
    <w:rsid w:val="00BF2D74"/>
    <w:rsid w:val="00BF4CC8"/>
    <w:rsid w:val="00C1124F"/>
    <w:rsid w:val="00C37BFF"/>
    <w:rsid w:val="00C51458"/>
    <w:rsid w:val="00C53580"/>
    <w:rsid w:val="00C55838"/>
    <w:rsid w:val="00C77EF7"/>
    <w:rsid w:val="00C820F1"/>
    <w:rsid w:val="00C91512"/>
    <w:rsid w:val="00CA6636"/>
    <w:rsid w:val="00CA6D76"/>
    <w:rsid w:val="00CD57EB"/>
    <w:rsid w:val="00CF4753"/>
    <w:rsid w:val="00D0083B"/>
    <w:rsid w:val="00D44183"/>
    <w:rsid w:val="00DA529F"/>
    <w:rsid w:val="00DC2D82"/>
    <w:rsid w:val="00DC5017"/>
    <w:rsid w:val="00DD7F1B"/>
    <w:rsid w:val="00E024B6"/>
    <w:rsid w:val="00E13A02"/>
    <w:rsid w:val="00E34382"/>
    <w:rsid w:val="00E41DB9"/>
    <w:rsid w:val="00E762BB"/>
    <w:rsid w:val="00E8661B"/>
    <w:rsid w:val="00EA689F"/>
    <w:rsid w:val="00EF2866"/>
    <w:rsid w:val="00EF33BE"/>
    <w:rsid w:val="00F0383C"/>
    <w:rsid w:val="00F11631"/>
    <w:rsid w:val="00F24AB0"/>
    <w:rsid w:val="00F309CB"/>
    <w:rsid w:val="00F44A0E"/>
    <w:rsid w:val="00F9675E"/>
    <w:rsid w:val="00FC3F00"/>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taClearance@FERC.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erc.gov/docs-filing/docs-filing.asp" TargetMode="Externa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oira_submission@omb.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nr0.htm)" TargetMode="External"/><Relationship Id="rId2" Type="http://schemas.openxmlformats.org/officeDocument/2006/relationships/hyperlink" Target="https://www.bls.gov/oes/current/naics2_22.htm" TargetMode="External"/><Relationship Id="rId1" Type="http://schemas.openxmlformats.org/officeDocument/2006/relationships/hyperlink" Target="http://www.nerc.com/pa/Stand/Reliability%20Standards/NUC-0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725F</_x0031__x002e__x0020_Collection_x0020_Number>
    <Date xmlns="d6eefc7d-9817-4fa6-84d5-3bc009be21b8">2018-03-20T00:00:00-04:00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IC18-3</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2.xml><?xml version="1.0" encoding="utf-8"?>
<ds:datastoreItem xmlns:ds="http://schemas.openxmlformats.org/officeDocument/2006/customXml" ds:itemID="{5BBB1DD4-8130-4FE7-964C-24C804F058DC}">
  <ds:schemaRefs>
    <ds:schemaRef ds:uri="http://schemas.microsoft.com/office/2006/metadata/properties"/>
    <ds:schemaRef ds:uri="http://www.w3.org/XML/1998/namespace"/>
    <ds:schemaRef ds:uri="http://schemas.microsoft.com/office/2006/documentManagement/types"/>
    <ds:schemaRef ds:uri="http://purl.org/dc/terms/"/>
    <ds:schemaRef ds:uri="d6eefc7d-9817-4fa6-84d5-3bc009be21b8"/>
    <ds:schemaRef ds:uri="http://schemas.openxmlformats.org/package/2006/metadata/core-propertie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4F4AC7C7-25C6-40AB-91BF-76DBC33F9CB5}">
  <ds:schemaRefs>
    <ds:schemaRef ds:uri="http://schemas.microsoft.com/office/2006/metadata/customXsn"/>
  </ds:schemaRefs>
</ds:datastoreItem>
</file>

<file path=customXml/itemProps5.xml><?xml version="1.0" encoding="utf-8"?>
<ds:datastoreItem xmlns:ds="http://schemas.openxmlformats.org/officeDocument/2006/customXml" ds:itemID="{DF86E359-274B-44A2-B80B-ABB9C10F4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E76339-60FA-489E-A0B4-9E4A8A8D1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2016-12-20T13:40:00Z</cp:lastPrinted>
  <dcterms:created xsi:type="dcterms:W3CDTF">2018-03-20T19:54:00Z</dcterms:created>
  <dcterms:modified xsi:type="dcterms:W3CDTF">2018-03-20T19:54:00Z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