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7E506" w14:textId="1CA51E18" w:rsidR="00EB5E96" w:rsidRPr="00596A43" w:rsidRDefault="00EB5E96" w:rsidP="000C4293">
      <w:pPr>
        <w:pStyle w:val="Title"/>
        <w:jc w:val="both"/>
        <w:rPr>
          <w:sz w:val="24"/>
          <w:szCs w:val="24"/>
        </w:rPr>
      </w:pPr>
      <w:bookmarkStart w:id="0" w:name="_GoBack"/>
      <w:bookmarkEnd w:id="0"/>
    </w:p>
    <w:p w14:paraId="46F9BAFF" w14:textId="77777777" w:rsidR="00EB5E96" w:rsidRPr="00596A43" w:rsidRDefault="00EB5E96" w:rsidP="006A0B1C">
      <w:pPr>
        <w:pStyle w:val="Title"/>
        <w:rPr>
          <w:sz w:val="24"/>
          <w:szCs w:val="24"/>
        </w:rPr>
      </w:pPr>
      <w:r w:rsidRPr="00596A43">
        <w:rPr>
          <w:sz w:val="24"/>
          <w:szCs w:val="24"/>
        </w:rPr>
        <w:t>Supporting Statement for Paperwork Reduction Act Submissions</w:t>
      </w:r>
    </w:p>
    <w:p w14:paraId="75879BBB" w14:textId="77777777" w:rsidR="00EB5E96" w:rsidRPr="00596A43" w:rsidRDefault="00EB5E96" w:rsidP="000C4293">
      <w:pPr>
        <w:tabs>
          <w:tab w:val="left" w:pos="-720"/>
        </w:tabs>
        <w:suppressAutoHyphens/>
        <w:ind w:right="-720"/>
        <w:jc w:val="both"/>
        <w:rPr>
          <w:b/>
        </w:rPr>
      </w:pPr>
    </w:p>
    <w:p w14:paraId="6D99173B" w14:textId="10AFDB2E" w:rsidR="00C170EE" w:rsidRDefault="00EB5E96" w:rsidP="00270351">
      <w:pPr>
        <w:tabs>
          <w:tab w:val="left" w:pos="-720"/>
        </w:tabs>
        <w:suppressAutoHyphens/>
        <w:jc w:val="center"/>
        <w:rPr>
          <w:b/>
        </w:rPr>
      </w:pPr>
      <w:r w:rsidRPr="003F1520">
        <w:rPr>
          <w:b/>
        </w:rPr>
        <w:t>Title:</w:t>
      </w:r>
      <w:r w:rsidR="00270351">
        <w:rPr>
          <w:b/>
        </w:rPr>
        <w:t xml:space="preserve"> </w:t>
      </w:r>
      <w:r w:rsidR="003F1520" w:rsidRPr="003F1520">
        <w:rPr>
          <w:b/>
        </w:rPr>
        <w:t>Department of Homeland Security</w:t>
      </w:r>
      <w:r w:rsidR="00270351">
        <w:rPr>
          <w:b/>
        </w:rPr>
        <w:t xml:space="preserve"> (DHS)</w:t>
      </w:r>
      <w:r w:rsidR="00270351">
        <w:rPr>
          <w:b/>
        </w:rPr>
        <w:br/>
      </w:r>
      <w:r w:rsidR="003F1520" w:rsidRPr="003F1520">
        <w:rPr>
          <w:b/>
        </w:rPr>
        <w:t xml:space="preserve">Office of </w:t>
      </w:r>
      <w:r w:rsidR="00D07BD9">
        <w:rPr>
          <w:b/>
        </w:rPr>
        <w:t>Cyber Security &amp;</w:t>
      </w:r>
      <w:r w:rsidR="003F1520" w:rsidRPr="003F1520">
        <w:rPr>
          <w:b/>
        </w:rPr>
        <w:t xml:space="preserve"> Communications </w:t>
      </w:r>
      <w:r w:rsidR="00270351">
        <w:rPr>
          <w:b/>
        </w:rPr>
        <w:t>(CS&amp;C)</w:t>
      </w:r>
    </w:p>
    <w:p w14:paraId="5BEA6A8D" w14:textId="77777777" w:rsidR="00D07BD9" w:rsidRPr="00D07BD9" w:rsidRDefault="00D07BD9" w:rsidP="00D07BD9">
      <w:pPr>
        <w:tabs>
          <w:tab w:val="left" w:pos="-720"/>
        </w:tabs>
        <w:suppressAutoHyphens/>
        <w:jc w:val="center"/>
        <w:rPr>
          <w:b/>
        </w:rPr>
      </w:pPr>
      <w:r w:rsidRPr="00D07BD9">
        <w:rPr>
          <w:b/>
        </w:rPr>
        <w:t>Information Technology (IT) Sector</w:t>
      </w:r>
    </w:p>
    <w:p w14:paraId="56FDB22F" w14:textId="69CD0B8E" w:rsidR="00D07BD9" w:rsidRDefault="00D07BD9" w:rsidP="007C4F75">
      <w:pPr>
        <w:tabs>
          <w:tab w:val="left" w:pos="-720"/>
        </w:tabs>
        <w:suppressAutoHyphens/>
        <w:jc w:val="center"/>
        <w:rPr>
          <w:b/>
        </w:rPr>
      </w:pPr>
      <w:r w:rsidRPr="00D07BD9">
        <w:rPr>
          <w:b/>
        </w:rPr>
        <w:t>Small and Midsize Businesses</w:t>
      </w:r>
      <w:r>
        <w:rPr>
          <w:b/>
        </w:rPr>
        <w:t xml:space="preserve"> (SMB)</w:t>
      </w:r>
      <w:r w:rsidRPr="00D07BD9">
        <w:rPr>
          <w:b/>
        </w:rPr>
        <w:t xml:space="preserve"> </w:t>
      </w:r>
      <w:r w:rsidR="007C4F75">
        <w:rPr>
          <w:b/>
        </w:rPr>
        <w:t xml:space="preserve">Cybersecurity </w:t>
      </w:r>
      <w:r>
        <w:rPr>
          <w:b/>
        </w:rPr>
        <w:t>Survey</w:t>
      </w:r>
    </w:p>
    <w:p w14:paraId="4FEA5581" w14:textId="77777777" w:rsidR="00D07BD9" w:rsidRDefault="00D07BD9" w:rsidP="00D07BD9">
      <w:pPr>
        <w:tabs>
          <w:tab w:val="left" w:pos="-720"/>
        </w:tabs>
        <w:suppressAutoHyphens/>
        <w:jc w:val="center"/>
        <w:rPr>
          <w:b/>
        </w:rPr>
      </w:pPr>
    </w:p>
    <w:p w14:paraId="18B3DDAD" w14:textId="5DA9A34B" w:rsidR="00EB5E96" w:rsidRPr="00596A43" w:rsidRDefault="00EB5E96" w:rsidP="00D07BD9">
      <w:pPr>
        <w:tabs>
          <w:tab w:val="left" w:pos="-720"/>
        </w:tabs>
        <w:suppressAutoHyphens/>
        <w:jc w:val="center"/>
        <w:rPr>
          <w:b/>
        </w:rPr>
      </w:pPr>
      <w:r w:rsidRPr="00596A43">
        <w:rPr>
          <w:b/>
        </w:rPr>
        <w:t xml:space="preserve">OMB Control Number:  </w:t>
      </w:r>
      <w:r w:rsidR="000A6FC5" w:rsidRPr="00222D50">
        <w:rPr>
          <w:b/>
        </w:rPr>
        <w:t>1670-NEW</w:t>
      </w:r>
    </w:p>
    <w:p w14:paraId="474BF0D1" w14:textId="77777777" w:rsidR="00EB5E96" w:rsidRDefault="00EB5E96" w:rsidP="00D73BBC">
      <w:pPr>
        <w:tabs>
          <w:tab w:val="left" w:pos="-720"/>
        </w:tabs>
        <w:suppressAutoHyphens/>
        <w:jc w:val="center"/>
      </w:pPr>
    </w:p>
    <w:p w14:paraId="476259E4" w14:textId="77777777" w:rsidR="009F06EB" w:rsidRPr="00CB393B" w:rsidRDefault="009F06EB" w:rsidP="003F1520">
      <w:pPr>
        <w:spacing w:line="480" w:lineRule="auto"/>
        <w:jc w:val="center"/>
        <w:rPr>
          <w:b/>
        </w:rPr>
      </w:pPr>
      <w:r w:rsidRPr="00CB393B">
        <w:rPr>
          <w:b/>
        </w:rPr>
        <w:t>Supporting Statement A</w:t>
      </w:r>
    </w:p>
    <w:p w14:paraId="231F631C" w14:textId="77777777" w:rsidR="009F06EB" w:rsidRPr="00596A43" w:rsidRDefault="009F06EB" w:rsidP="000C4293">
      <w:pPr>
        <w:tabs>
          <w:tab w:val="left" w:pos="-720"/>
        </w:tabs>
        <w:suppressAutoHyphens/>
        <w:jc w:val="both"/>
      </w:pPr>
    </w:p>
    <w:p w14:paraId="0629F680" w14:textId="77777777" w:rsidR="00EB5E96" w:rsidRPr="00596A43" w:rsidRDefault="00EB5E96" w:rsidP="000C4293">
      <w:pPr>
        <w:pStyle w:val="Heading1"/>
        <w:jc w:val="both"/>
        <w:rPr>
          <w:sz w:val="24"/>
          <w:szCs w:val="24"/>
        </w:rPr>
      </w:pPr>
      <w:r w:rsidRPr="00596A43">
        <w:rPr>
          <w:sz w:val="24"/>
          <w:szCs w:val="24"/>
        </w:rPr>
        <w:t>A.  Justification</w:t>
      </w:r>
    </w:p>
    <w:p w14:paraId="12E2515D" w14:textId="77777777" w:rsidR="00EB5E96" w:rsidRPr="00596A43" w:rsidRDefault="00EB5E96" w:rsidP="000C4293">
      <w:pPr>
        <w:tabs>
          <w:tab w:val="left" w:pos="-720"/>
        </w:tabs>
        <w:suppressAutoHyphens/>
        <w:jc w:val="both"/>
      </w:pPr>
    </w:p>
    <w:p w14:paraId="0F580D7E" w14:textId="77777777" w:rsidR="006D6E63" w:rsidRDefault="00EB5E96" w:rsidP="006D6E63">
      <w:r w:rsidRPr="00596A43">
        <w:fldChar w:fldCharType="begin"/>
      </w:r>
      <w:r w:rsidRPr="00596A43">
        <w:instrText>ADVANCE \R 0.95</w:instrText>
      </w:r>
      <w:r w:rsidRPr="00596A43">
        <w:fldChar w:fldCharType="end"/>
      </w:r>
      <w:r w:rsidR="006D6E63" w:rsidRPr="006D6E63">
        <w:rPr>
          <w:rFonts w:ascii="Times" w:hAnsi="Times"/>
          <w:color w:val="000000"/>
          <w:sz w:val="27"/>
          <w:szCs w:val="27"/>
        </w:rPr>
        <w:t xml:space="preserve"> </w:t>
      </w:r>
    </w:p>
    <w:p w14:paraId="400A50CC" w14:textId="77777777" w:rsidR="00EB5E96" w:rsidRPr="00780749" w:rsidRDefault="006D6E63" w:rsidP="000C4293">
      <w:pPr>
        <w:shd w:val="pct25" w:color="auto" w:fill="auto"/>
        <w:tabs>
          <w:tab w:val="left" w:pos="-720"/>
        </w:tabs>
        <w:suppressAutoHyphens/>
        <w:jc w:val="both"/>
      </w:pPr>
      <w:r w:rsidRPr="00780749">
        <w:rPr>
          <w:color w:val="00000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5BE0A258" w14:textId="77777777" w:rsidR="00B7660F" w:rsidRPr="00D73BBC" w:rsidRDefault="00B7660F" w:rsidP="00B7660F">
      <w:pPr>
        <w:tabs>
          <w:tab w:val="left" w:pos="-720"/>
        </w:tabs>
        <w:suppressAutoHyphens/>
        <w:jc w:val="both"/>
        <w:rPr>
          <w:i/>
          <w:spacing w:val="-3"/>
          <w:sz w:val="20"/>
        </w:rPr>
      </w:pPr>
      <w:r w:rsidRPr="00D73BBC">
        <w:rPr>
          <w:i/>
          <w:spacing w:val="-3"/>
          <w:sz w:val="20"/>
        </w:rPr>
        <w:t>Respon</w:t>
      </w:r>
      <w:r>
        <w:rPr>
          <w:i/>
          <w:spacing w:val="-3"/>
          <w:sz w:val="20"/>
        </w:rPr>
        <w:t>se</w:t>
      </w:r>
      <w:r w:rsidRPr="00D73BBC">
        <w:rPr>
          <w:i/>
          <w:spacing w:val="-3"/>
          <w:sz w:val="20"/>
        </w:rPr>
        <w:t>…</w:t>
      </w:r>
    </w:p>
    <w:p w14:paraId="66CA7A86" w14:textId="77777777" w:rsidR="000E7B5C" w:rsidRPr="00780749" w:rsidRDefault="000E7B5C" w:rsidP="000C4293">
      <w:pPr>
        <w:tabs>
          <w:tab w:val="left" w:pos="-720"/>
        </w:tabs>
        <w:suppressAutoHyphens/>
        <w:jc w:val="both"/>
      </w:pPr>
    </w:p>
    <w:p w14:paraId="4C9803B4" w14:textId="62A1C4D6" w:rsidR="00C44F4C" w:rsidRDefault="00C44F4C" w:rsidP="00C44F4C">
      <w:pPr>
        <w:tabs>
          <w:tab w:val="left" w:pos="-720"/>
        </w:tabs>
        <w:suppressAutoHyphens/>
        <w:jc w:val="both"/>
      </w:pPr>
      <w:r w:rsidRPr="00D14E05">
        <w:t>Section 227 of the Homeland Security Act</w:t>
      </w:r>
      <w:r>
        <w:t xml:space="preserve"> authorizes the National Cybersecurity and Communications Integration Center (NCCIC) within NPPD as a “Federal civilian interface for the multi-directional and cross-sector sharing of information related to … cybersecurity risks.”  6 U.S.C. § 148(c)(1).  </w:t>
      </w:r>
      <w:r w:rsidR="00D005D0">
        <w:t>This authority applies</w:t>
      </w:r>
      <w:r>
        <w:t xml:space="preserve"> to federal and non-federal entities</w:t>
      </w:r>
      <w:r w:rsidR="00D005D0">
        <w:t xml:space="preserve">, including </w:t>
      </w:r>
      <w:r>
        <w:t>the private</w:t>
      </w:r>
      <w:r w:rsidR="00D005D0">
        <w:t xml:space="preserve"> </w:t>
      </w:r>
      <w:r>
        <w:t>sector, small and medium businesses, sectors of critical infrastructure, and info</w:t>
      </w:r>
      <w:r w:rsidR="00F02B87">
        <w:t xml:space="preserve">rmation sharing organizations.  </w:t>
      </w:r>
      <w:r>
        <w:t xml:space="preserve">This provision </w:t>
      </w:r>
      <w:r w:rsidRPr="00E072D0">
        <w:t xml:space="preserve">includes </w:t>
      </w:r>
      <w:r>
        <w:t xml:space="preserve">the </w:t>
      </w:r>
      <w:r w:rsidRPr="00E072D0">
        <w:t>authority to receive, analyze and disseminate information</w:t>
      </w:r>
      <w:r>
        <w:t xml:space="preserve"> about </w:t>
      </w:r>
      <w:r w:rsidRPr="00E072D0">
        <w:t xml:space="preserve">cybersecurity risks and incidents </w:t>
      </w:r>
      <w:r>
        <w:t xml:space="preserve">and </w:t>
      </w:r>
      <w:r w:rsidRPr="00E072D0">
        <w:t xml:space="preserve">to provide </w:t>
      </w:r>
      <w:r>
        <w:t xml:space="preserve">guidance, assessments, incident response support, and other </w:t>
      </w:r>
      <w:r w:rsidRPr="00E072D0">
        <w:t>technical assistance upon request</w:t>
      </w:r>
      <w:r>
        <w:t xml:space="preserve"> and codifies NPPD’s coordinating role among </w:t>
      </w:r>
      <w:r w:rsidR="005420C0">
        <w:t>federal and</w:t>
      </w:r>
      <w:r>
        <w:t xml:space="preserve"> non-federal entities</w:t>
      </w:r>
      <w:r w:rsidRPr="00E072D0">
        <w:t xml:space="preserve">.  </w:t>
      </w:r>
      <w:r>
        <w:t>6 U.S.C. § 148</w:t>
      </w:r>
      <w:r w:rsidRPr="00405388">
        <w:t>.</w:t>
      </w:r>
      <w:r w:rsidRPr="009F452D">
        <w:t xml:space="preserve">  </w:t>
      </w:r>
    </w:p>
    <w:p w14:paraId="7ED2EAD3" w14:textId="77777777" w:rsidR="00C44F4C" w:rsidRDefault="00C44F4C" w:rsidP="00A85F0B">
      <w:pPr>
        <w:tabs>
          <w:tab w:val="left" w:pos="-720"/>
        </w:tabs>
        <w:suppressAutoHyphens/>
        <w:jc w:val="both"/>
      </w:pPr>
    </w:p>
    <w:p w14:paraId="668379DB" w14:textId="2C13079A" w:rsidR="00AF6C72" w:rsidRDefault="00F02B87" w:rsidP="00A85F0B">
      <w:pPr>
        <w:tabs>
          <w:tab w:val="left" w:pos="-720"/>
        </w:tabs>
        <w:suppressAutoHyphens/>
        <w:jc w:val="both"/>
      </w:pPr>
      <w:r>
        <w:t>As part of its information sharing responsibilities with non-Federal entities</w:t>
      </w:r>
      <w:r w:rsidR="007C391A">
        <w:t>,</w:t>
      </w:r>
      <w:r>
        <w:t xml:space="preserve"> </w:t>
      </w:r>
      <w:r w:rsidR="007C391A" w:rsidRPr="00D14E05">
        <w:t>the National Defense Authorization Act For Fiscal Year 2017</w:t>
      </w:r>
      <w:r w:rsidR="00AF6C72">
        <w:t xml:space="preserve"> amended the Homeland Security Act to authorize the Department to</w:t>
      </w:r>
      <w:r>
        <w:t xml:space="preserve"> specifically focus on small businesses</w:t>
      </w:r>
      <w:r w:rsidR="00AF6C72">
        <w:t>.</w:t>
      </w:r>
      <w:r w:rsidR="00AF6C72">
        <w:rPr>
          <w:rStyle w:val="FootnoteReference"/>
        </w:rPr>
        <w:t xml:space="preserve"> </w:t>
      </w:r>
      <w:r w:rsidR="00AF6C72">
        <w:rPr>
          <w:i/>
        </w:rPr>
        <w:t>See</w:t>
      </w:r>
      <w:r w:rsidR="00AF6C72">
        <w:t xml:space="preserve"> </w:t>
      </w:r>
      <w:r w:rsidR="007C391A" w:rsidRPr="00D14E05">
        <w:t>Pub. L. No. 114-328</w:t>
      </w:r>
      <w:r w:rsidR="00AF6C72" w:rsidRPr="00D14E05">
        <w:rPr>
          <w:rStyle w:val="Hyperlink"/>
          <w:color w:val="auto"/>
          <w:u w:val="none"/>
        </w:rPr>
        <w:t xml:space="preserve"> (2017</w:t>
      </w:r>
      <w:r w:rsidRPr="00D14E05">
        <w:rPr>
          <w:rStyle w:val="Hyperlink"/>
          <w:color w:val="auto"/>
          <w:u w:val="none"/>
        </w:rPr>
        <w:t>)</w:t>
      </w:r>
      <w:r w:rsidR="00AF6C72" w:rsidRPr="007C391A">
        <w:t xml:space="preserve">.  </w:t>
      </w:r>
      <w:r w:rsidR="00AF6C72">
        <w:t xml:space="preserve">Specifically, the Act authorizes NPPD to “leverage small business development centers to provide assistance to small business concerns by disseminating information on cyber threat indicators, defense measures, cybersecurity risks, incidents, analyses, and warnings to help small business concerns in developing or enhancing cybersecurity infrastructure, awareness of cyber threat indicators, and cyber training programs for employees.”  </w:t>
      </w:r>
      <w:r w:rsidR="007C391A" w:rsidRPr="00D14E05">
        <w:t>6 U.S.C. § 148(l)</w:t>
      </w:r>
      <w:r w:rsidR="00AF6C72">
        <w:t xml:space="preserve">; </w:t>
      </w:r>
      <w:r w:rsidR="00AF6C72">
        <w:rPr>
          <w:i/>
        </w:rPr>
        <w:t>see also</w:t>
      </w:r>
      <w:r w:rsidR="00AF6C72">
        <w:t xml:space="preserve"> </w:t>
      </w:r>
      <w:r w:rsidR="007C391A" w:rsidRPr="00D14E05">
        <w:t>15 U.S.C. § 648(g)</w:t>
      </w:r>
      <w:r w:rsidR="00AF6C72">
        <w:t xml:space="preserve"> (similarly authorizing DHS, “and any other federal department or agency in coordination with the Department of Homeland Security” to “leverage small business concerns by disseminating information relating to cybersecurity risks and other homeland security matters to help small business concerns in developing or enhancing cybersecurity infrastructure, awareness of cyber threat indicators, and cyber training programs for employees”).</w:t>
      </w:r>
    </w:p>
    <w:p w14:paraId="344D7B65" w14:textId="77777777" w:rsidR="00C44F4C" w:rsidRDefault="00C44F4C" w:rsidP="00A85F0B">
      <w:pPr>
        <w:tabs>
          <w:tab w:val="left" w:pos="-720"/>
        </w:tabs>
        <w:suppressAutoHyphens/>
        <w:jc w:val="both"/>
      </w:pPr>
    </w:p>
    <w:p w14:paraId="23F1023F" w14:textId="7BF76C8D" w:rsidR="00C44F4C" w:rsidRDefault="00F02B87" w:rsidP="00C44F4C">
      <w:pPr>
        <w:tabs>
          <w:tab w:val="left" w:pos="-720"/>
        </w:tabs>
        <w:suppressAutoHyphens/>
        <w:jc w:val="both"/>
      </w:pPr>
      <w:r>
        <w:lastRenderedPageBreak/>
        <w:t>Consistent with these authorities</w:t>
      </w:r>
      <w:r w:rsidR="00C44F4C">
        <w:t xml:space="preserve">, </w:t>
      </w:r>
      <w:r w:rsidR="007C391A" w:rsidRPr="00D14E05">
        <w:t>Executive Order 13,636</w:t>
      </w:r>
      <w:r w:rsidR="00C44F4C">
        <w:t xml:space="preserve"> directs the Department to increase its cybersecurity information sharing efforts with the private sector and consult on and promote the </w:t>
      </w:r>
      <w:r w:rsidRPr="00852F35">
        <w:t>National Institute of Standards and Technology (NIST)</w:t>
      </w:r>
      <w:r w:rsidR="00E478CD">
        <w:t xml:space="preserve"> </w:t>
      </w:r>
      <w:r w:rsidR="00C44F4C">
        <w:t xml:space="preserve">Cybersecurity Framework.  To facilitate the Department’s promotion of the NIST Cybersecurity Framework, the Executive Order directs the Secretary to establish a voluntary program to support the adoption of the Framework in coordination with Sector Specific Agencies, which in turn “shall coordinate with Sector Coordinating Councils to review the Cybersecurity Framework and, if necessary, develop implementation guidance or supplemental materials to address sector-specific risks and operating environments.”  </w:t>
      </w:r>
      <w:r w:rsidR="007C391A" w:rsidRPr="00D14E05">
        <w:t>Exec. Order. No. 13,636, 78 Fed. Reg. 11739 (2013)</w:t>
      </w:r>
      <w:r w:rsidR="00C44F4C">
        <w:t>.</w:t>
      </w:r>
    </w:p>
    <w:p w14:paraId="373C28B1" w14:textId="77777777" w:rsidR="00A85F0B" w:rsidRPr="00852F35" w:rsidRDefault="00A85F0B" w:rsidP="00A85F0B">
      <w:pPr>
        <w:tabs>
          <w:tab w:val="left" w:pos="-720"/>
        </w:tabs>
        <w:suppressAutoHyphens/>
        <w:jc w:val="both"/>
      </w:pPr>
    </w:p>
    <w:p w14:paraId="2E4B78C6" w14:textId="1429A925" w:rsidR="00A85F0B" w:rsidRDefault="00A85F0B" w:rsidP="00A85F0B">
      <w:pPr>
        <w:tabs>
          <w:tab w:val="left" w:pos="-720"/>
        </w:tabs>
        <w:suppressAutoHyphens/>
        <w:jc w:val="both"/>
        <w:rPr>
          <w:spacing w:val="-3"/>
        </w:rPr>
      </w:pPr>
      <w:r w:rsidRPr="00852F35">
        <w:rPr>
          <w:spacing w:val="-3"/>
        </w:rPr>
        <w:t xml:space="preserve">Accordingly, </w:t>
      </w:r>
      <w:r w:rsidR="00F02B87">
        <w:t>t</w:t>
      </w:r>
      <w:r w:rsidR="00F02B87" w:rsidRPr="00852F35">
        <w:t>he I</w:t>
      </w:r>
      <w:r w:rsidR="007C391A">
        <w:t>nformation Technology (IT)</w:t>
      </w:r>
      <w:r w:rsidR="00F02B87" w:rsidRPr="00852F35">
        <w:t xml:space="preserve"> Sector, represented by industry via the IT Sector Coordinating Council (SCC) and by Government via the IT Government Coordinating Council (GCC), established the IT Sector Small and Midsized Business (SMB) Cybersecurity Best Practices Working Group (“Working Group”) to develop best practices for implementing the </w:t>
      </w:r>
      <w:r w:rsidR="00F02B87">
        <w:t xml:space="preserve">NIST </w:t>
      </w:r>
      <w:r w:rsidR="00F02B87" w:rsidRPr="00852F35">
        <w:t>Cybersecurity Framework in the SMB community. The Working Group, which consists of industry and government representatives, developed the SMB Cybersecurity Survey to determine Return on Investment (ROI) metrics for NIST Cybersecurity Framework adoption among SMB stakeholders.</w:t>
      </w:r>
      <w:r w:rsidR="00F02B87">
        <w:t xml:space="preserve"> </w:t>
      </w:r>
      <w:r w:rsidR="00F02B87" w:rsidRPr="00852F35">
        <w:t>This process will assess the effectiveness of the NIST Cybersecurity Framework.</w:t>
      </w:r>
      <w:r w:rsidR="00F02B87">
        <w:t xml:space="preserve"> This process will also establish a baseline for ROI metrics, which have not previously existed in the SMB community. </w:t>
      </w:r>
      <w:r w:rsidR="00F02B87" w:rsidRPr="00852F35">
        <w:t xml:space="preserve"> The IT Sector-Specific Agency (SSA), headquartered in DHS’s Office of Cybersecurity and Communications (CS&amp;C), is supporting the Working Group’s survey development</w:t>
      </w:r>
      <w:r w:rsidR="00E478CD">
        <w:t>.</w:t>
      </w:r>
    </w:p>
    <w:p w14:paraId="618483AC" w14:textId="77777777" w:rsidR="00B81C5C" w:rsidRPr="00596A43" w:rsidRDefault="00B81C5C" w:rsidP="000C4293">
      <w:pPr>
        <w:tabs>
          <w:tab w:val="left" w:pos="-720"/>
        </w:tabs>
        <w:suppressAutoHyphens/>
        <w:jc w:val="both"/>
        <w:rPr>
          <w:b/>
          <w:spacing w:val="-3"/>
          <w:u w:val="single"/>
        </w:rPr>
      </w:pPr>
    </w:p>
    <w:p w14:paraId="468E45A5" w14:textId="77777777" w:rsidR="006D6E63" w:rsidRPr="009E62A8" w:rsidRDefault="00EB5E96" w:rsidP="000C4293">
      <w:pPr>
        <w:shd w:val="pct25" w:color="auto" w:fill="auto"/>
        <w:tabs>
          <w:tab w:val="left" w:pos="-720"/>
        </w:tabs>
        <w:suppressAutoHyphens/>
        <w:jc w:val="both"/>
      </w:pPr>
      <w:r w:rsidRPr="009E62A8">
        <w:rPr>
          <w:highlight w:val="yellow"/>
        </w:rPr>
        <w:fldChar w:fldCharType="begin"/>
      </w:r>
      <w:r w:rsidRPr="009E62A8">
        <w:rPr>
          <w:highlight w:val="yellow"/>
        </w:rPr>
        <w:instrText>ADVANCE \R 0.95</w:instrText>
      </w:r>
      <w:r w:rsidRPr="009E62A8">
        <w:rPr>
          <w:highlight w:val="yellow"/>
        </w:rPr>
        <w:fldChar w:fldCharType="end"/>
      </w:r>
      <w:r w:rsidRPr="009E62A8">
        <w:t xml:space="preserve">2.  Indicate how, by whom, and for what purpose the information is to be used.  Except for a new collection, indicate the actual use the agency has made of the information received from the current collection. </w:t>
      </w:r>
    </w:p>
    <w:p w14:paraId="1EDB3DDA" w14:textId="77777777" w:rsidR="00B7660F" w:rsidRPr="00D73BBC" w:rsidRDefault="00B7660F" w:rsidP="00B7660F">
      <w:pPr>
        <w:tabs>
          <w:tab w:val="left" w:pos="-720"/>
        </w:tabs>
        <w:suppressAutoHyphens/>
        <w:jc w:val="both"/>
        <w:rPr>
          <w:i/>
          <w:spacing w:val="-3"/>
          <w:sz w:val="20"/>
        </w:rPr>
      </w:pPr>
      <w:r w:rsidRPr="00D73BBC">
        <w:rPr>
          <w:i/>
          <w:spacing w:val="-3"/>
          <w:sz w:val="20"/>
        </w:rPr>
        <w:t>Respon</w:t>
      </w:r>
      <w:r>
        <w:rPr>
          <w:i/>
          <w:spacing w:val="-3"/>
          <w:sz w:val="20"/>
        </w:rPr>
        <w:t>se</w:t>
      </w:r>
      <w:r w:rsidRPr="00D73BBC">
        <w:rPr>
          <w:i/>
          <w:spacing w:val="-3"/>
          <w:sz w:val="20"/>
        </w:rPr>
        <w:t>…</w:t>
      </w:r>
    </w:p>
    <w:p w14:paraId="5B129D10" w14:textId="77777777" w:rsidR="00D73BBC" w:rsidRDefault="00D73BBC" w:rsidP="00D73BBC">
      <w:pPr>
        <w:tabs>
          <w:tab w:val="left" w:pos="-720"/>
        </w:tabs>
        <w:suppressAutoHyphens/>
        <w:jc w:val="both"/>
        <w:rPr>
          <w:i/>
          <w:spacing w:val="-3"/>
          <w:sz w:val="20"/>
        </w:rPr>
      </w:pPr>
    </w:p>
    <w:p w14:paraId="77FC26F4" w14:textId="77777777" w:rsidR="00A85F0B" w:rsidRDefault="00A85F0B" w:rsidP="00D73BBC">
      <w:pPr>
        <w:tabs>
          <w:tab w:val="left" w:pos="-720"/>
        </w:tabs>
        <w:suppressAutoHyphens/>
        <w:jc w:val="both"/>
        <w:rPr>
          <w:i/>
          <w:spacing w:val="-3"/>
          <w:sz w:val="20"/>
        </w:rPr>
      </w:pPr>
    </w:p>
    <w:p w14:paraId="1602FB2B" w14:textId="24F263AA" w:rsidR="00AA3F82" w:rsidRPr="00E2004E" w:rsidRDefault="003757D0" w:rsidP="00A82FB5">
      <w:pPr>
        <w:pStyle w:val="CommentText"/>
        <w:rPr>
          <w:sz w:val="24"/>
          <w:szCs w:val="24"/>
        </w:rPr>
      </w:pPr>
      <w:r w:rsidRPr="00A82FB5">
        <w:rPr>
          <w:sz w:val="24"/>
          <w:szCs w:val="24"/>
        </w:rPr>
        <w:t xml:space="preserve">The </w:t>
      </w:r>
      <w:r w:rsidRPr="00D627AA">
        <w:rPr>
          <w:sz w:val="24"/>
          <w:szCs w:val="24"/>
        </w:rPr>
        <w:t>IT SCC will administer the survey and anonymize the data, which will then be sent to DHS for analysis.</w:t>
      </w:r>
      <w:r w:rsidR="00E2004E">
        <w:rPr>
          <w:sz w:val="24"/>
          <w:szCs w:val="24"/>
        </w:rPr>
        <w:t xml:space="preserve"> The </w:t>
      </w:r>
      <w:r w:rsidRPr="00E2004E">
        <w:rPr>
          <w:sz w:val="24"/>
          <w:szCs w:val="24"/>
        </w:rPr>
        <w:t xml:space="preserve">analysis will determine ROI information for NIST Cybersecurity Framework adoption in the SMB community. </w:t>
      </w:r>
      <w:r w:rsidR="005020C9" w:rsidRPr="00E2004E">
        <w:rPr>
          <w:sz w:val="24"/>
          <w:szCs w:val="24"/>
        </w:rPr>
        <w:t xml:space="preserve">The </w:t>
      </w:r>
      <w:r w:rsidRPr="00E2004E">
        <w:rPr>
          <w:sz w:val="24"/>
          <w:szCs w:val="24"/>
        </w:rPr>
        <w:t xml:space="preserve">results of this analysis will be used to </w:t>
      </w:r>
      <w:r w:rsidR="0026409B" w:rsidRPr="00E2004E">
        <w:rPr>
          <w:sz w:val="24"/>
          <w:szCs w:val="24"/>
        </w:rPr>
        <w:t xml:space="preserve">provide the SMB community with best practices </w:t>
      </w:r>
      <w:r w:rsidRPr="00E2004E">
        <w:rPr>
          <w:sz w:val="24"/>
          <w:szCs w:val="24"/>
        </w:rPr>
        <w:t>on</w:t>
      </w:r>
      <w:r w:rsidR="0026409B" w:rsidRPr="00E2004E">
        <w:rPr>
          <w:sz w:val="24"/>
          <w:szCs w:val="24"/>
        </w:rPr>
        <w:t xml:space="preserve"> how to </w:t>
      </w:r>
      <w:r w:rsidRPr="00E2004E">
        <w:rPr>
          <w:sz w:val="24"/>
          <w:szCs w:val="24"/>
        </w:rPr>
        <w:t xml:space="preserve">use </w:t>
      </w:r>
      <w:r w:rsidR="0026409B" w:rsidRPr="00E2004E">
        <w:rPr>
          <w:sz w:val="24"/>
          <w:szCs w:val="24"/>
        </w:rPr>
        <w:t xml:space="preserve">the Cybersecurity Framework </w:t>
      </w:r>
      <w:r w:rsidR="005020C9" w:rsidRPr="00E2004E">
        <w:rPr>
          <w:sz w:val="24"/>
          <w:szCs w:val="24"/>
        </w:rPr>
        <w:t>for business prote</w:t>
      </w:r>
      <w:r w:rsidR="005020C9" w:rsidRPr="00E2004E">
        <w:rPr>
          <w:sz w:val="24"/>
          <w:szCs w:val="24"/>
        </w:rPr>
        <w:t>c</w:t>
      </w:r>
      <w:r w:rsidR="005020C9" w:rsidRPr="00E2004E">
        <w:rPr>
          <w:sz w:val="24"/>
          <w:szCs w:val="24"/>
        </w:rPr>
        <w:t>tion and risk management</w:t>
      </w:r>
      <w:r w:rsidR="0026409B" w:rsidRPr="00E2004E">
        <w:rPr>
          <w:sz w:val="24"/>
          <w:szCs w:val="24"/>
        </w:rPr>
        <w:t>.</w:t>
      </w:r>
    </w:p>
    <w:p w14:paraId="0B29638B" w14:textId="1FA23123" w:rsidR="00B81C5C" w:rsidRDefault="003B1431" w:rsidP="00D627AA">
      <w:pPr>
        <w:tabs>
          <w:tab w:val="left" w:pos="-720"/>
          <w:tab w:val="left" w:pos="8056"/>
        </w:tabs>
        <w:suppressAutoHyphens/>
        <w:jc w:val="both"/>
      </w:pPr>
      <w:r>
        <w:tab/>
      </w:r>
    </w:p>
    <w:p w14:paraId="12F6C155" w14:textId="58B89959" w:rsidR="006E3607" w:rsidRDefault="00B81C5C" w:rsidP="00950F3E">
      <w:pPr>
        <w:tabs>
          <w:tab w:val="left" w:pos="-720"/>
        </w:tabs>
        <w:suppressAutoHyphens/>
        <w:jc w:val="both"/>
      </w:pPr>
      <w:r w:rsidRPr="00B81C5C">
        <w:t>Th</w:t>
      </w:r>
      <w:r>
        <w:t xml:space="preserve">e questionnaire will be distributed to </w:t>
      </w:r>
      <w:r w:rsidR="003757D0">
        <w:t xml:space="preserve">SMBs </w:t>
      </w:r>
      <w:r w:rsidR="006E3607">
        <w:t>and is</w:t>
      </w:r>
      <w:r>
        <w:t xml:space="preserve"> </w:t>
      </w:r>
      <w:r w:rsidR="003757D0">
        <w:t>a two-part survey</w:t>
      </w:r>
      <w:r w:rsidR="007A5CFB">
        <w:t xml:space="preserve">. </w:t>
      </w:r>
      <w:r w:rsidRPr="00B81C5C">
        <w:t>Questions 1-11</w:t>
      </w:r>
      <w:r w:rsidR="006E3607">
        <w:t xml:space="preserve"> of the survey</w:t>
      </w:r>
      <w:r w:rsidRPr="00B81C5C">
        <w:t xml:space="preserve"> are </w:t>
      </w:r>
      <w:r w:rsidR="003757D0">
        <w:t>for an organization’s leadership,</w:t>
      </w:r>
      <w:r w:rsidR="006E3607">
        <w:t xml:space="preserve"> as these questions per</w:t>
      </w:r>
      <w:r w:rsidR="0005233A">
        <w:t>tain to high level information about</w:t>
      </w:r>
      <w:r w:rsidR="006E3607">
        <w:t xml:space="preserve"> the company (core function, number of employees, etc.)</w:t>
      </w:r>
      <w:r w:rsidR="003757D0">
        <w:t>.</w:t>
      </w:r>
      <w:r w:rsidR="006E3607">
        <w:t xml:space="preserve"> The remaining </w:t>
      </w:r>
      <w:r w:rsidR="007A5CFB">
        <w:t xml:space="preserve">questions </w:t>
      </w:r>
      <w:r w:rsidR="007A5CFB" w:rsidRPr="00B81C5C">
        <w:t>are</w:t>
      </w:r>
      <w:r w:rsidR="006E3607">
        <w:t xml:space="preserve"> intended for the Chief </w:t>
      </w:r>
      <w:r w:rsidRPr="00B81C5C">
        <w:t>I</w:t>
      </w:r>
      <w:r w:rsidR="006E3607">
        <w:t xml:space="preserve">nformation </w:t>
      </w:r>
      <w:r w:rsidRPr="00B81C5C">
        <w:t>S</w:t>
      </w:r>
      <w:r w:rsidR="006E3607">
        <w:t xml:space="preserve">ervices </w:t>
      </w:r>
      <w:r w:rsidRPr="00B81C5C">
        <w:t>O</w:t>
      </w:r>
      <w:r w:rsidR="006E3607">
        <w:t>fficer (CISO)</w:t>
      </w:r>
      <w:r w:rsidRPr="00B81C5C">
        <w:t xml:space="preserve"> and</w:t>
      </w:r>
      <w:r w:rsidR="006E3607">
        <w:t>/or appropriate</w:t>
      </w:r>
      <w:r w:rsidRPr="00B81C5C">
        <w:t xml:space="preserve"> IT staff</w:t>
      </w:r>
      <w:r w:rsidR="006E3607">
        <w:t xml:space="preserve">, as these questions are technical </w:t>
      </w:r>
      <w:r w:rsidR="00950F3E">
        <w:t>and ask about</w:t>
      </w:r>
      <w:r w:rsidR="006E3607">
        <w:t xml:space="preserve"> the </w:t>
      </w:r>
      <w:r w:rsidR="003757D0">
        <w:t xml:space="preserve">IT security of </w:t>
      </w:r>
      <w:r w:rsidR="006E3607">
        <w:t xml:space="preserve">the company. </w:t>
      </w:r>
    </w:p>
    <w:p w14:paraId="4CF2C289" w14:textId="77777777" w:rsidR="006E3607" w:rsidRDefault="006E3607" w:rsidP="000C4293">
      <w:pPr>
        <w:tabs>
          <w:tab w:val="left" w:pos="-720"/>
        </w:tabs>
        <w:suppressAutoHyphens/>
        <w:jc w:val="both"/>
      </w:pPr>
    </w:p>
    <w:p w14:paraId="4DDC8DE2" w14:textId="3CDFC579" w:rsidR="00B81C5C" w:rsidRDefault="006E3607" w:rsidP="008F7AD8">
      <w:pPr>
        <w:tabs>
          <w:tab w:val="left" w:pos="-720"/>
        </w:tabs>
        <w:suppressAutoHyphens/>
        <w:jc w:val="both"/>
      </w:pPr>
      <w:r>
        <w:t>T</w:t>
      </w:r>
      <w:r w:rsidR="00576753">
        <w:t>he private sector will collect</w:t>
      </w:r>
      <w:r>
        <w:t xml:space="preserve"> Point of Contact (POC) </w:t>
      </w:r>
      <w:r w:rsidR="00576753">
        <w:t>information through the survey instrument</w:t>
      </w:r>
      <w:r w:rsidR="003757D0">
        <w:t>, but will not include that information on the anonymized dataset they submit to DHS. DHS will</w:t>
      </w:r>
      <w:r>
        <w:t xml:space="preserve"> </w:t>
      </w:r>
      <w:r w:rsidR="00950F3E">
        <w:t xml:space="preserve">use </w:t>
      </w:r>
      <w:r w:rsidRPr="006E3607">
        <w:t>anonymized</w:t>
      </w:r>
      <w:r>
        <w:t xml:space="preserve"> data to conduct their analysis. </w:t>
      </w:r>
      <w:r w:rsidR="003757D0">
        <w:t>The IT SCC will administer the survey</w:t>
      </w:r>
      <w:r w:rsidR="008F7AD8">
        <w:t>.</w:t>
      </w:r>
    </w:p>
    <w:p w14:paraId="0B6A6EC6" w14:textId="77777777" w:rsidR="007D0F4F" w:rsidRPr="00596A43" w:rsidRDefault="007D0F4F" w:rsidP="000C4293">
      <w:pPr>
        <w:tabs>
          <w:tab w:val="left" w:pos="-720"/>
        </w:tabs>
        <w:suppressAutoHyphens/>
        <w:jc w:val="both"/>
      </w:pPr>
    </w:p>
    <w:p w14:paraId="0D2866B8"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7D0F4F">
        <w:t xml:space="preserve">3.  Describe whether, and to what extent, the collection of information involves the use of automated, electronic, mechanical, or other technological collection techniques or other forms of </w:t>
      </w:r>
      <w:r w:rsidRPr="007D0F4F">
        <w:lastRenderedPageBreak/>
        <w:t>information technology, e.g., permitting electronic submission of responses, and the basis for the decision for adopting this means of collection.  Also describe any consideration of using information technology to reduce burden.</w:t>
      </w:r>
      <w:r w:rsidRPr="00596A43">
        <w:tab/>
      </w:r>
    </w:p>
    <w:p w14:paraId="61F94A94" w14:textId="77777777" w:rsidR="00EB5E96" w:rsidRPr="00596A43" w:rsidRDefault="00EB5E96" w:rsidP="000C4293">
      <w:pPr>
        <w:tabs>
          <w:tab w:val="left" w:pos="-720"/>
        </w:tabs>
        <w:suppressAutoHyphens/>
        <w:jc w:val="both"/>
      </w:pPr>
    </w:p>
    <w:p w14:paraId="33AEF046" w14:textId="77777777" w:rsidR="00D73BBC" w:rsidRPr="00D73BBC" w:rsidRDefault="00D73BBC" w:rsidP="00D73BBC">
      <w:pPr>
        <w:tabs>
          <w:tab w:val="left" w:pos="-720"/>
        </w:tabs>
        <w:suppressAutoHyphens/>
        <w:jc w:val="both"/>
        <w:rPr>
          <w:i/>
          <w:spacing w:val="-3"/>
          <w:sz w:val="20"/>
        </w:rPr>
      </w:pPr>
      <w:r w:rsidRPr="00D73BBC">
        <w:rPr>
          <w:i/>
          <w:spacing w:val="-3"/>
          <w:sz w:val="20"/>
        </w:rPr>
        <w:t>Respon</w:t>
      </w:r>
      <w:r>
        <w:rPr>
          <w:i/>
          <w:spacing w:val="-3"/>
          <w:sz w:val="20"/>
        </w:rPr>
        <w:t>se</w:t>
      </w:r>
      <w:r w:rsidRPr="00D73BBC">
        <w:rPr>
          <w:i/>
          <w:spacing w:val="-3"/>
          <w:sz w:val="20"/>
        </w:rPr>
        <w:t>…</w:t>
      </w:r>
    </w:p>
    <w:p w14:paraId="4E63C849" w14:textId="77777777" w:rsidR="001F4701" w:rsidRDefault="001F4701" w:rsidP="001F4701">
      <w:pPr>
        <w:tabs>
          <w:tab w:val="left" w:pos="-720"/>
        </w:tabs>
        <w:suppressAutoHyphens/>
        <w:jc w:val="both"/>
      </w:pPr>
      <w:r>
        <w:t xml:space="preserve">The intent was for DHS to only receive derivative products – anonymized micro-dataset to come up with the summary statistics, or aggregated summary results. The private sector side of the IT SCC partnership will deal with the actual data collection (administering the survey and processing raw inputs). DHS will aid with the statistical analysis where needed, but would not be working with the individual responses to the questionnaire. Even if the POC question does get included in the questionnaire, DHS would not be collecting or retaining that PII. </w:t>
      </w:r>
    </w:p>
    <w:p w14:paraId="7CEE755E" w14:textId="77777777" w:rsidR="003B1431" w:rsidRDefault="001F4701" w:rsidP="000C4293">
      <w:pPr>
        <w:tabs>
          <w:tab w:val="left" w:pos="-720"/>
        </w:tabs>
        <w:suppressAutoHyphens/>
        <w:jc w:val="both"/>
      </w:pPr>
      <w:r>
        <w:t>Once the survey is administered by the private sector partners of the IT SCC to the member organizations, the collected raw inputs will be compiled and the resulting dataset will be processed by the private sector partners to a) assign unique random identifiers to each of the responses, b) scrub any PII from the microdata, c) QA against the raw input. These processing steps (a-c) will be implemented PRIOR to handing the dataset over to DHS for statistical analysis.</w:t>
      </w:r>
    </w:p>
    <w:p w14:paraId="6468660B" w14:textId="77777777" w:rsidR="008873A7" w:rsidRPr="00596A43" w:rsidRDefault="008873A7" w:rsidP="000C4293">
      <w:pPr>
        <w:tabs>
          <w:tab w:val="left" w:pos="-720"/>
        </w:tabs>
        <w:suppressAutoHyphens/>
        <w:jc w:val="both"/>
      </w:pPr>
    </w:p>
    <w:p w14:paraId="7361C5AC"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4.  Describe efforts to identify duplication.   Show specifically why any similar information already available cannot be used or modified for use for the purposes described in Item 2 above. </w:t>
      </w:r>
    </w:p>
    <w:p w14:paraId="08E94316" w14:textId="77777777" w:rsidR="00EB5E96" w:rsidRPr="00596A43" w:rsidRDefault="00EB5E96" w:rsidP="000C4293">
      <w:pPr>
        <w:tabs>
          <w:tab w:val="left" w:pos="-720"/>
        </w:tabs>
        <w:suppressAutoHyphens/>
        <w:jc w:val="both"/>
      </w:pPr>
      <w:r w:rsidRPr="00596A43">
        <w:fldChar w:fldCharType="begin"/>
      </w:r>
      <w:r w:rsidRPr="00596A43">
        <w:instrText>ADVANCE \R 0.95</w:instrText>
      </w:r>
      <w:r w:rsidRPr="00596A43">
        <w:fldChar w:fldCharType="end"/>
      </w:r>
    </w:p>
    <w:p w14:paraId="77BF502C" w14:textId="77777777" w:rsidR="00D73BBC" w:rsidRPr="00D73BBC" w:rsidRDefault="00D73BBC" w:rsidP="00D73BBC">
      <w:pPr>
        <w:tabs>
          <w:tab w:val="left" w:pos="-720"/>
        </w:tabs>
        <w:suppressAutoHyphens/>
        <w:jc w:val="both"/>
        <w:rPr>
          <w:i/>
          <w:spacing w:val="-3"/>
          <w:sz w:val="20"/>
        </w:rPr>
      </w:pPr>
      <w:r w:rsidRPr="00D73BBC">
        <w:rPr>
          <w:i/>
          <w:spacing w:val="-3"/>
          <w:sz w:val="20"/>
        </w:rPr>
        <w:t>Respon</w:t>
      </w:r>
      <w:r>
        <w:rPr>
          <w:i/>
          <w:spacing w:val="-3"/>
          <w:sz w:val="20"/>
        </w:rPr>
        <w:t>se</w:t>
      </w:r>
      <w:r w:rsidRPr="00D73BBC">
        <w:rPr>
          <w:i/>
          <w:spacing w:val="-3"/>
          <w:sz w:val="20"/>
        </w:rPr>
        <w:t>…</w:t>
      </w:r>
    </w:p>
    <w:p w14:paraId="29FA7386" w14:textId="77777777" w:rsidR="00A85F0B" w:rsidRPr="00852F35" w:rsidRDefault="00A85F0B" w:rsidP="00A85F0B">
      <w:pPr>
        <w:tabs>
          <w:tab w:val="left" w:pos="-720"/>
        </w:tabs>
        <w:suppressAutoHyphens/>
        <w:jc w:val="both"/>
        <w:rPr>
          <w:u w:val="single"/>
        </w:rPr>
      </w:pPr>
      <w:r w:rsidRPr="00852F35">
        <w:rPr>
          <w:u w:val="single"/>
        </w:rPr>
        <w:t>CS&amp;C:</w:t>
      </w:r>
    </w:p>
    <w:p w14:paraId="082EA543" w14:textId="77777777" w:rsidR="00A85F0B" w:rsidRPr="00852F35" w:rsidRDefault="00A85F0B" w:rsidP="00A85F0B">
      <w:pPr>
        <w:tabs>
          <w:tab w:val="left" w:pos="-720"/>
        </w:tabs>
        <w:suppressAutoHyphens/>
        <w:jc w:val="both"/>
      </w:pPr>
    </w:p>
    <w:p w14:paraId="0086BD0E" w14:textId="77777777" w:rsidR="00A85F0B" w:rsidRPr="00852F35" w:rsidRDefault="00A85F0B" w:rsidP="00A85F0B">
      <w:pPr>
        <w:tabs>
          <w:tab w:val="left" w:pos="-720"/>
        </w:tabs>
        <w:suppressAutoHyphens/>
        <w:jc w:val="both"/>
      </w:pPr>
      <w:r w:rsidRPr="00852F35">
        <w:t>In 2014 the CS&amp;C conducted a survey, through the Federal Register Process, to determine if there are scalable and affordable cybersecurity solutions for SMBs. As part of the RFI input, the IT SCC recommended that DHS should focus on educating SMBs about cybersecurity risks and how the national Cybersecurity Framework can assist SMBs strengthen their overall cybersecurity posture.  This initiative led to an ongoing joint IT SCC effort to develop and coordinate strategies to engage the SMB community. In light of these developments, Brigadier General (ret) Gregory Touhill, Deputy Assistant Secretary for CS&amp;C, requested that DHS, as the SSA for IT and Communications, work in conjunction with the IT SCC to develop strategies, best practices and products to help the SMB community better leverage and implement the national Cybersecurity Framework. To the working group’s knowledge, no other body has determined ROI information on Cybersecurity Framework adoption in the SMB community.</w:t>
      </w:r>
    </w:p>
    <w:p w14:paraId="4C0F8106" w14:textId="77777777" w:rsidR="00A85F0B" w:rsidRPr="00852F35" w:rsidRDefault="00A85F0B" w:rsidP="00A85F0B">
      <w:pPr>
        <w:tabs>
          <w:tab w:val="left" w:pos="-720"/>
        </w:tabs>
        <w:suppressAutoHyphens/>
        <w:jc w:val="both"/>
      </w:pPr>
    </w:p>
    <w:p w14:paraId="09D5B334" w14:textId="77777777" w:rsidR="00A85F0B" w:rsidRPr="00852F35" w:rsidRDefault="00A85F0B" w:rsidP="00A85F0B">
      <w:pPr>
        <w:tabs>
          <w:tab w:val="left" w:pos="-720"/>
        </w:tabs>
        <w:suppressAutoHyphens/>
        <w:jc w:val="both"/>
      </w:pPr>
      <w:r w:rsidRPr="00852F35">
        <w:t>The RFI in 2014 was drafted specifically to garner opinions concerning whether or not SMB’s would be interested in establishing the NIST Cybersecurity Framework</w:t>
      </w:r>
      <w:r>
        <w:t xml:space="preserve"> (1.0)</w:t>
      </w:r>
      <w:r w:rsidRPr="00852F35">
        <w:t xml:space="preserve">. Now that it has been implemented in various aspects, DHS is looking into how companies are equipped to responding and mitigating cyberattacks. While some questions may appear similar, such as inquiring about what sources companies are using to reference cybersecurity best practices, the questionnaire is meant to collect information about companies’ specific assets and management practices, such as physical access management and cost of framework investment and implementation. Furthermore, it is vital for DHS to collect the most up to date information regarding the cybersecurity framework. </w:t>
      </w:r>
    </w:p>
    <w:p w14:paraId="66487FAB" w14:textId="77777777" w:rsidR="00A85F0B" w:rsidRPr="00852F35" w:rsidRDefault="00A85F0B" w:rsidP="00A85F0B">
      <w:pPr>
        <w:tabs>
          <w:tab w:val="left" w:pos="-720"/>
        </w:tabs>
        <w:suppressAutoHyphens/>
        <w:jc w:val="both"/>
      </w:pPr>
    </w:p>
    <w:p w14:paraId="0656C2A7" w14:textId="77777777" w:rsidR="00A85F0B" w:rsidRDefault="00A85F0B" w:rsidP="00A85F0B">
      <w:pPr>
        <w:tabs>
          <w:tab w:val="left" w:pos="-720"/>
        </w:tabs>
        <w:suppressAutoHyphens/>
        <w:jc w:val="both"/>
        <w:rPr>
          <w:u w:val="single"/>
        </w:rPr>
      </w:pPr>
      <w:r w:rsidRPr="00852F35">
        <w:rPr>
          <w:u w:val="single"/>
        </w:rPr>
        <w:t>Other Department or Agency Initiatives</w:t>
      </w:r>
    </w:p>
    <w:p w14:paraId="497639FD" w14:textId="77777777" w:rsidR="00A85F0B" w:rsidRDefault="00A85F0B" w:rsidP="00A85F0B">
      <w:pPr>
        <w:tabs>
          <w:tab w:val="left" w:pos="-720"/>
        </w:tabs>
        <w:suppressAutoHyphens/>
        <w:jc w:val="both"/>
        <w:rPr>
          <w:u w:val="single"/>
        </w:rPr>
      </w:pPr>
    </w:p>
    <w:p w14:paraId="579B7706" w14:textId="77777777" w:rsidR="00A85F0B" w:rsidRPr="00852F35" w:rsidRDefault="00A85F0B" w:rsidP="00A85F0B">
      <w:pPr>
        <w:tabs>
          <w:tab w:val="left" w:pos="-720"/>
        </w:tabs>
        <w:suppressAutoHyphens/>
        <w:jc w:val="both"/>
      </w:pPr>
      <w:r>
        <w:t>Other agencies, such as the Federal Trade Commission, have either discussed or in the beginning stages of efforts relating to Cybersecurity Framework adoption for SMB’s. However, none of these efforts appear to be collecting ROI information of companies, which this questionnaire looks to gather.</w:t>
      </w:r>
    </w:p>
    <w:p w14:paraId="4A534A6D" w14:textId="77777777" w:rsidR="00AA3F82" w:rsidRPr="00596A43" w:rsidRDefault="00AA3F82" w:rsidP="000C4293">
      <w:pPr>
        <w:tabs>
          <w:tab w:val="left" w:pos="-720"/>
        </w:tabs>
        <w:suppressAutoHyphens/>
        <w:jc w:val="both"/>
      </w:pPr>
    </w:p>
    <w:p w14:paraId="785B1AA7"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5.  If the collection of information impacts small businesses or other small entities (Item 5 of OMB Form 83-I), describe any methods used to minimize.</w:t>
      </w:r>
      <w:r w:rsidRPr="00596A43">
        <w:tab/>
      </w:r>
    </w:p>
    <w:p w14:paraId="5A1A62EA" w14:textId="77777777" w:rsidR="00EB5E96" w:rsidRPr="00596A43" w:rsidRDefault="00EB5E96" w:rsidP="000C4293">
      <w:pPr>
        <w:tabs>
          <w:tab w:val="left" w:pos="-720"/>
        </w:tabs>
        <w:suppressAutoHyphens/>
        <w:jc w:val="both"/>
        <w:rPr>
          <w:spacing w:val="-3"/>
        </w:rPr>
      </w:pPr>
    </w:p>
    <w:p w14:paraId="41519ABA" w14:textId="77777777" w:rsidR="00D73BBC" w:rsidRPr="00D73BBC" w:rsidRDefault="00D73BBC" w:rsidP="00D73BBC">
      <w:pPr>
        <w:tabs>
          <w:tab w:val="left" w:pos="-720"/>
        </w:tabs>
        <w:suppressAutoHyphens/>
        <w:jc w:val="both"/>
        <w:rPr>
          <w:i/>
          <w:spacing w:val="-3"/>
          <w:sz w:val="20"/>
        </w:rPr>
      </w:pPr>
      <w:r w:rsidRPr="00D73BBC">
        <w:rPr>
          <w:i/>
          <w:spacing w:val="-3"/>
          <w:sz w:val="20"/>
        </w:rPr>
        <w:t>Respon</w:t>
      </w:r>
      <w:r>
        <w:rPr>
          <w:i/>
          <w:spacing w:val="-3"/>
          <w:sz w:val="20"/>
        </w:rPr>
        <w:t>se</w:t>
      </w:r>
      <w:r w:rsidRPr="00D73BBC">
        <w:rPr>
          <w:i/>
          <w:spacing w:val="-3"/>
          <w:sz w:val="20"/>
        </w:rPr>
        <w:t>…</w:t>
      </w:r>
    </w:p>
    <w:p w14:paraId="72A9A4BD" w14:textId="2C44D864" w:rsidR="00EB5E96" w:rsidRDefault="00B204A5" w:rsidP="00A00E29">
      <w:pPr>
        <w:tabs>
          <w:tab w:val="left" w:pos="-720"/>
        </w:tabs>
        <w:suppressAutoHyphens/>
        <w:jc w:val="both"/>
        <w:rPr>
          <w:spacing w:val="-3"/>
        </w:rPr>
      </w:pPr>
      <w:r>
        <w:rPr>
          <w:spacing w:val="-3"/>
        </w:rPr>
        <w:t xml:space="preserve">This collection </w:t>
      </w:r>
      <w:r w:rsidR="00272047">
        <w:rPr>
          <w:spacing w:val="-3"/>
        </w:rPr>
        <w:t>will</w:t>
      </w:r>
      <w:r w:rsidR="00596374">
        <w:rPr>
          <w:spacing w:val="-3"/>
        </w:rPr>
        <w:t xml:space="preserve"> look to provide a positive</w:t>
      </w:r>
      <w:r w:rsidR="00272047">
        <w:rPr>
          <w:spacing w:val="-3"/>
        </w:rPr>
        <w:t xml:space="preserve"> impact</w:t>
      </w:r>
      <w:r w:rsidR="00596374">
        <w:rPr>
          <w:spacing w:val="-3"/>
        </w:rPr>
        <w:t xml:space="preserve"> to</w:t>
      </w:r>
      <w:r w:rsidR="00272047">
        <w:rPr>
          <w:spacing w:val="-3"/>
        </w:rPr>
        <w:t xml:space="preserve"> </w:t>
      </w:r>
      <w:r w:rsidR="00A00E29">
        <w:rPr>
          <w:spacing w:val="-3"/>
        </w:rPr>
        <w:t>SMBs</w:t>
      </w:r>
      <w:r>
        <w:rPr>
          <w:spacing w:val="-3"/>
        </w:rPr>
        <w:t>.</w:t>
      </w:r>
      <w:r w:rsidR="00596374">
        <w:rPr>
          <w:spacing w:val="-3"/>
        </w:rPr>
        <w:t xml:space="preserve"> With the collection of t</w:t>
      </w:r>
      <w:r w:rsidR="00A00E29">
        <w:rPr>
          <w:spacing w:val="-3"/>
        </w:rPr>
        <w:t>his data, DHS will provide SMB</w:t>
      </w:r>
      <w:r w:rsidR="00596374">
        <w:rPr>
          <w:spacing w:val="-3"/>
        </w:rPr>
        <w:t xml:space="preserve">s with more effective practices to mitigate the current cyber threats that could jeopardize company assets. </w:t>
      </w:r>
      <w:r>
        <w:rPr>
          <w:spacing w:val="-3"/>
        </w:rPr>
        <w:t>Use of electronic submission should assist in minimizing</w:t>
      </w:r>
      <w:r w:rsidR="00596374">
        <w:rPr>
          <w:spacing w:val="-3"/>
        </w:rPr>
        <w:t xml:space="preserve"> any unforeseen impact for</w:t>
      </w:r>
      <w:r>
        <w:rPr>
          <w:spacing w:val="-3"/>
        </w:rPr>
        <w:t xml:space="preserve"> </w:t>
      </w:r>
      <w:r w:rsidR="00272047">
        <w:rPr>
          <w:spacing w:val="-3"/>
        </w:rPr>
        <w:t>said entities</w:t>
      </w:r>
      <w:r>
        <w:rPr>
          <w:spacing w:val="-3"/>
        </w:rPr>
        <w:t xml:space="preserve">. </w:t>
      </w:r>
    </w:p>
    <w:p w14:paraId="7121D853" w14:textId="77777777" w:rsidR="00AA3F82" w:rsidRPr="00596A43" w:rsidRDefault="00AA3F82" w:rsidP="000C4293">
      <w:pPr>
        <w:tabs>
          <w:tab w:val="left" w:pos="-720"/>
        </w:tabs>
        <w:suppressAutoHyphens/>
        <w:jc w:val="both"/>
        <w:rPr>
          <w:spacing w:val="-3"/>
        </w:rPr>
      </w:pPr>
    </w:p>
    <w:p w14:paraId="3A74D71F"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6.  Describe the consequence to Federal/</w:t>
      </w:r>
      <w:r w:rsidR="00460234" w:rsidRPr="00596A43">
        <w:t>DHS</w:t>
      </w:r>
      <w:r w:rsidRPr="00596A43">
        <w:t xml:space="preserve"> program or policy activities if the collection of information is not conducted, or is conducted less frequently, as well as any technical or legal obstacles to reducing burden.</w:t>
      </w:r>
    </w:p>
    <w:p w14:paraId="2F6D9A8D" w14:textId="77777777" w:rsidR="00EB5E96" w:rsidRPr="00596A43" w:rsidRDefault="00EB5E96" w:rsidP="000C4293">
      <w:pPr>
        <w:tabs>
          <w:tab w:val="left" w:pos="-720"/>
        </w:tabs>
        <w:suppressAutoHyphens/>
        <w:jc w:val="both"/>
        <w:rPr>
          <w:spacing w:val="-3"/>
        </w:rPr>
      </w:pPr>
    </w:p>
    <w:p w14:paraId="1ACEE858" w14:textId="77777777" w:rsidR="00D73BBC" w:rsidRPr="00D73BBC" w:rsidRDefault="00D73BBC" w:rsidP="00D73BBC">
      <w:pPr>
        <w:tabs>
          <w:tab w:val="left" w:pos="-720"/>
        </w:tabs>
        <w:suppressAutoHyphens/>
        <w:jc w:val="both"/>
        <w:rPr>
          <w:i/>
          <w:spacing w:val="-3"/>
          <w:sz w:val="20"/>
        </w:rPr>
      </w:pPr>
      <w:r w:rsidRPr="00D73BBC">
        <w:rPr>
          <w:i/>
          <w:spacing w:val="-3"/>
          <w:sz w:val="20"/>
        </w:rPr>
        <w:t>Respon</w:t>
      </w:r>
      <w:r>
        <w:rPr>
          <w:i/>
          <w:spacing w:val="-3"/>
          <w:sz w:val="20"/>
        </w:rPr>
        <w:t>se</w:t>
      </w:r>
      <w:r w:rsidRPr="00D73BBC">
        <w:rPr>
          <w:i/>
          <w:spacing w:val="-3"/>
          <w:sz w:val="20"/>
        </w:rPr>
        <w:t>…</w:t>
      </w:r>
    </w:p>
    <w:p w14:paraId="0EB438A3" w14:textId="0D0FFDA8" w:rsidR="00AA3F82" w:rsidRDefault="00E44536" w:rsidP="00A00E29">
      <w:pPr>
        <w:tabs>
          <w:tab w:val="left" w:pos="-720"/>
        </w:tabs>
        <w:suppressAutoHyphens/>
        <w:jc w:val="both"/>
        <w:rPr>
          <w:spacing w:val="-3"/>
        </w:rPr>
      </w:pPr>
      <w:r>
        <w:rPr>
          <w:spacing w:val="-3"/>
        </w:rPr>
        <w:t>Failure to carry out this surve</w:t>
      </w:r>
      <w:r w:rsidR="0002669E">
        <w:rPr>
          <w:spacing w:val="-3"/>
        </w:rPr>
        <w:t>y would prohibit the progression</w:t>
      </w:r>
      <w:r w:rsidR="00EF2382">
        <w:rPr>
          <w:spacing w:val="-3"/>
        </w:rPr>
        <w:t xml:space="preserve"> of Executive Order 13636. Along with previously mentioned sections</w:t>
      </w:r>
      <w:r w:rsidR="00900E0C">
        <w:rPr>
          <w:spacing w:val="-3"/>
        </w:rPr>
        <w:t xml:space="preserve"> of the order</w:t>
      </w:r>
      <w:r w:rsidR="00EF2382">
        <w:rPr>
          <w:spacing w:val="-3"/>
        </w:rPr>
        <w:t>, referenced here</w:t>
      </w:r>
      <w:r>
        <w:rPr>
          <w:spacing w:val="-3"/>
        </w:rPr>
        <w:t xml:space="preserve"> specifically</w:t>
      </w:r>
      <w:r w:rsidR="00EF2382">
        <w:rPr>
          <w:spacing w:val="-3"/>
        </w:rPr>
        <w:t xml:space="preserve"> is </w:t>
      </w:r>
      <w:r>
        <w:rPr>
          <w:spacing w:val="-3"/>
        </w:rPr>
        <w:t xml:space="preserve">section 8(b), which states that </w:t>
      </w:r>
      <w:r w:rsidRPr="00356DB6">
        <w:rPr>
          <w:i/>
          <w:spacing w:val="-3"/>
        </w:rPr>
        <w:t>“Sector-Specific Agencies, in consultation with the Secretary and other interested agencies, shall coordinate with the Sector Coordinating Councils to review the Cybersecurity Framework and, if necessary, develop implementation guidance or supplemental materials to address sector-specific risks and operating environments</w:t>
      </w:r>
      <w:r w:rsidR="00356DB6" w:rsidRPr="00356DB6">
        <w:rPr>
          <w:i/>
          <w:spacing w:val="-3"/>
        </w:rPr>
        <w:t>”</w:t>
      </w:r>
      <w:r w:rsidRPr="00E44536">
        <w:rPr>
          <w:spacing w:val="-3"/>
        </w:rPr>
        <w:t>.</w:t>
      </w:r>
      <w:r w:rsidR="00A00E29">
        <w:rPr>
          <w:spacing w:val="-3"/>
        </w:rPr>
        <w:t xml:space="preserve"> As a result of this survey and the data collected therein, DHS will be able to cater their outreach and products more appropriately to the SMB community. </w:t>
      </w:r>
    </w:p>
    <w:p w14:paraId="4FA6488C" w14:textId="77777777" w:rsidR="00510DF6" w:rsidRPr="00596A43" w:rsidRDefault="00510DF6" w:rsidP="00E44536">
      <w:pPr>
        <w:tabs>
          <w:tab w:val="left" w:pos="-720"/>
        </w:tabs>
        <w:suppressAutoHyphens/>
        <w:jc w:val="both"/>
        <w:rPr>
          <w:spacing w:val="-3"/>
        </w:rPr>
      </w:pPr>
    </w:p>
    <w:p w14:paraId="59D4A023"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7.  Explain any special circumstances that would cause an information collection to be conducted in a manner:</w:t>
      </w:r>
    </w:p>
    <w:p w14:paraId="4D104883" w14:textId="77777777" w:rsidR="00EB5E96" w:rsidRPr="00596A43" w:rsidRDefault="00EB5E96" w:rsidP="000C4293">
      <w:pPr>
        <w:shd w:val="pct25" w:color="auto" w:fill="FFFFFF"/>
        <w:tabs>
          <w:tab w:val="left" w:pos="-720"/>
        </w:tabs>
        <w:suppressAutoHyphens/>
        <w:jc w:val="both"/>
      </w:pPr>
    </w:p>
    <w:p w14:paraId="04BAB5B7" w14:textId="77777777" w:rsidR="00EB5E96" w:rsidRPr="00596A43" w:rsidRDefault="00EB5E96" w:rsidP="00AE41B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(a) Requiring respondents to report information to the agency more often than quarterly.</w:t>
      </w:r>
    </w:p>
    <w:p w14:paraId="09D9E515" w14:textId="77777777" w:rsidR="00EB5E96" w:rsidRPr="00596A43" w:rsidRDefault="00EB5E96" w:rsidP="00AE41B7">
      <w:pPr>
        <w:shd w:val="clear" w:color="auto" w:fill="C0C0C0"/>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(b) Requiring respondents to prepare a written response to a collection of information in fewer than 30 days after receipt of it.</w:t>
      </w:r>
    </w:p>
    <w:p w14:paraId="07360191"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(c) Requiring respondents to submit more than an original and two copies of any document.</w:t>
      </w:r>
    </w:p>
    <w:p w14:paraId="3DE6CE39" w14:textId="77777777" w:rsidR="00EB5E96" w:rsidRPr="00596A43" w:rsidRDefault="00EB5E96" w:rsidP="00AE41B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(d) Requiring respondents to retain records, other than health, medical, government contract, grant-in-aid, or tax records for more than three years.</w:t>
      </w:r>
    </w:p>
    <w:p w14:paraId="5A824389" w14:textId="77777777" w:rsidR="00EB5E96" w:rsidRPr="00596A43" w:rsidRDefault="00EB5E96" w:rsidP="00AE41B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(e) In connection with a statistical survey, that is not designed to produce valid and reliable results that can be generalized to the universe of study.</w:t>
      </w:r>
    </w:p>
    <w:p w14:paraId="5265CF03" w14:textId="77777777" w:rsidR="00EB5E96" w:rsidRPr="00596A43" w:rsidRDefault="00EB5E96" w:rsidP="00AE41B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00AE41B7" w:rsidRPr="00596A43">
        <w:t>(</w:t>
      </w:r>
      <w:r w:rsidRPr="00596A43">
        <w:t>f) Requiring the use of a statistical data classification that has not been reviewed and approved by OMB.</w:t>
      </w:r>
    </w:p>
    <w:p w14:paraId="26C383AD" w14:textId="77777777" w:rsidR="00EB5E96" w:rsidRPr="00596A43" w:rsidRDefault="00EB5E96" w:rsidP="00AE41B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359F58AB" w14:textId="77777777" w:rsidR="00EB5E96" w:rsidRPr="00596A43" w:rsidRDefault="00EB5E96" w:rsidP="00AE41B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rPr>
          <w:shd w:val="clear" w:color="auto" w:fill="C0C0C0"/>
        </w:rPr>
        <w:t>(h) Requiring respondents to submit proprietary trade secret, or other confidential information unless the agency can demonstrate that it has instituted procedures to protect the information’s confidentiality to the extent permitted by law.</w:t>
      </w:r>
    </w:p>
    <w:p w14:paraId="3D196346" w14:textId="77777777" w:rsidR="002B0649" w:rsidRPr="00596A43" w:rsidRDefault="00EB5E96" w:rsidP="000C4293">
      <w:pPr>
        <w:tabs>
          <w:tab w:val="left" w:pos="-720"/>
        </w:tabs>
        <w:suppressAutoHyphens/>
        <w:ind w:left="144"/>
        <w:jc w:val="both"/>
      </w:pPr>
      <w:r w:rsidRPr="00596A43">
        <w:fldChar w:fldCharType="begin"/>
      </w:r>
      <w:r w:rsidRPr="00596A43">
        <w:instrText>ADVANCE \R 0.95</w:instrText>
      </w:r>
      <w:r w:rsidRPr="00596A43">
        <w:fldChar w:fldCharType="end"/>
      </w:r>
    </w:p>
    <w:p w14:paraId="12025564" w14:textId="77777777" w:rsidR="00D73BBC" w:rsidRDefault="00D73BBC" w:rsidP="00D73BBC">
      <w:pPr>
        <w:tabs>
          <w:tab w:val="left" w:pos="-720"/>
        </w:tabs>
        <w:suppressAutoHyphens/>
        <w:jc w:val="both"/>
        <w:rPr>
          <w:i/>
          <w:spacing w:val="-3"/>
          <w:sz w:val="20"/>
        </w:rPr>
      </w:pPr>
      <w:r w:rsidRPr="00D73BBC">
        <w:rPr>
          <w:i/>
          <w:spacing w:val="-3"/>
          <w:sz w:val="20"/>
        </w:rPr>
        <w:t>Respon</w:t>
      </w:r>
      <w:r>
        <w:rPr>
          <w:i/>
          <w:spacing w:val="-3"/>
          <w:sz w:val="20"/>
        </w:rPr>
        <w:t>se</w:t>
      </w:r>
      <w:r w:rsidRPr="00D73BBC">
        <w:rPr>
          <w:i/>
          <w:spacing w:val="-3"/>
          <w:sz w:val="20"/>
        </w:rPr>
        <w:t>…</w:t>
      </w:r>
    </w:p>
    <w:p w14:paraId="7E929273" w14:textId="77777777" w:rsidR="00B204A5" w:rsidRPr="008147A1" w:rsidRDefault="00B204A5" w:rsidP="00B204A5">
      <w:pPr>
        <w:numPr>
          <w:ilvl w:val="0"/>
          <w:numId w:val="27"/>
        </w:numPr>
        <w:tabs>
          <w:tab w:val="left" w:pos="-720"/>
        </w:tabs>
        <w:suppressAutoHyphens/>
        <w:jc w:val="both"/>
        <w:rPr>
          <w:spacing w:val="-3"/>
          <w:sz w:val="20"/>
        </w:rPr>
      </w:pPr>
      <w:r w:rsidRPr="008147A1">
        <w:rPr>
          <w:spacing w:val="-3"/>
          <w:sz w:val="20"/>
        </w:rPr>
        <w:t>N/A</w:t>
      </w:r>
    </w:p>
    <w:p w14:paraId="58093DA9" w14:textId="77777777" w:rsidR="00AE41B7" w:rsidRPr="008147A1" w:rsidRDefault="00B204A5" w:rsidP="000C4293">
      <w:pPr>
        <w:numPr>
          <w:ilvl w:val="0"/>
          <w:numId w:val="27"/>
        </w:numPr>
        <w:tabs>
          <w:tab w:val="left" w:pos="-720"/>
        </w:tabs>
        <w:suppressAutoHyphens/>
        <w:jc w:val="both"/>
        <w:rPr>
          <w:spacing w:val="-3"/>
          <w:sz w:val="20"/>
        </w:rPr>
      </w:pPr>
      <w:r w:rsidRPr="008147A1">
        <w:rPr>
          <w:spacing w:val="-3"/>
          <w:sz w:val="20"/>
        </w:rPr>
        <w:t xml:space="preserve">It is anticipated that respondents will have an excess of a month to complete it. </w:t>
      </w:r>
    </w:p>
    <w:p w14:paraId="758F6E35" w14:textId="77777777" w:rsidR="00B204A5" w:rsidRPr="008147A1" w:rsidRDefault="00B204A5" w:rsidP="000C4293">
      <w:pPr>
        <w:numPr>
          <w:ilvl w:val="0"/>
          <w:numId w:val="27"/>
        </w:numPr>
        <w:tabs>
          <w:tab w:val="left" w:pos="-720"/>
        </w:tabs>
        <w:suppressAutoHyphens/>
        <w:jc w:val="both"/>
        <w:rPr>
          <w:spacing w:val="-3"/>
          <w:sz w:val="20"/>
        </w:rPr>
      </w:pPr>
      <w:r w:rsidRPr="008147A1">
        <w:rPr>
          <w:spacing w:val="-3"/>
          <w:sz w:val="20"/>
        </w:rPr>
        <w:t>N/A</w:t>
      </w:r>
    </w:p>
    <w:p w14:paraId="1A83E416" w14:textId="77777777" w:rsidR="00B204A5" w:rsidRPr="008147A1" w:rsidRDefault="00B204A5" w:rsidP="000C4293">
      <w:pPr>
        <w:numPr>
          <w:ilvl w:val="0"/>
          <w:numId w:val="27"/>
        </w:numPr>
        <w:tabs>
          <w:tab w:val="left" w:pos="-720"/>
        </w:tabs>
        <w:suppressAutoHyphens/>
        <w:jc w:val="both"/>
        <w:rPr>
          <w:spacing w:val="-3"/>
          <w:sz w:val="20"/>
        </w:rPr>
      </w:pPr>
      <w:r w:rsidRPr="008147A1">
        <w:rPr>
          <w:spacing w:val="-3"/>
          <w:sz w:val="20"/>
        </w:rPr>
        <w:t>N/A</w:t>
      </w:r>
    </w:p>
    <w:p w14:paraId="50D1EB25" w14:textId="77777777" w:rsidR="00B204A5" w:rsidRPr="008147A1" w:rsidRDefault="00B204A5" w:rsidP="000C4293">
      <w:pPr>
        <w:numPr>
          <w:ilvl w:val="0"/>
          <w:numId w:val="27"/>
        </w:numPr>
        <w:tabs>
          <w:tab w:val="left" w:pos="-720"/>
        </w:tabs>
        <w:suppressAutoHyphens/>
        <w:jc w:val="both"/>
        <w:rPr>
          <w:spacing w:val="-3"/>
          <w:sz w:val="20"/>
        </w:rPr>
      </w:pPr>
      <w:r w:rsidRPr="008147A1">
        <w:rPr>
          <w:spacing w:val="-3"/>
          <w:sz w:val="20"/>
        </w:rPr>
        <w:t>N/A</w:t>
      </w:r>
    </w:p>
    <w:p w14:paraId="2036CB67" w14:textId="77777777" w:rsidR="00B204A5" w:rsidRPr="008147A1" w:rsidRDefault="00B204A5" w:rsidP="000C4293">
      <w:pPr>
        <w:numPr>
          <w:ilvl w:val="0"/>
          <w:numId w:val="27"/>
        </w:numPr>
        <w:tabs>
          <w:tab w:val="left" w:pos="-720"/>
        </w:tabs>
        <w:suppressAutoHyphens/>
        <w:jc w:val="both"/>
        <w:rPr>
          <w:spacing w:val="-3"/>
          <w:sz w:val="20"/>
        </w:rPr>
      </w:pPr>
      <w:r w:rsidRPr="008147A1">
        <w:rPr>
          <w:spacing w:val="-3"/>
          <w:sz w:val="20"/>
        </w:rPr>
        <w:t>N/A</w:t>
      </w:r>
    </w:p>
    <w:p w14:paraId="7125E38A" w14:textId="3E4C634C" w:rsidR="00B204A5" w:rsidRPr="008147A1" w:rsidRDefault="00B204A5" w:rsidP="000C4293">
      <w:pPr>
        <w:numPr>
          <w:ilvl w:val="0"/>
          <w:numId w:val="27"/>
        </w:numPr>
        <w:tabs>
          <w:tab w:val="left" w:pos="-720"/>
        </w:tabs>
        <w:suppressAutoHyphens/>
        <w:jc w:val="both"/>
        <w:rPr>
          <w:spacing w:val="-3"/>
          <w:sz w:val="20"/>
        </w:rPr>
      </w:pPr>
      <w:r w:rsidRPr="008147A1">
        <w:rPr>
          <w:spacing w:val="-3"/>
          <w:sz w:val="20"/>
        </w:rPr>
        <w:t xml:space="preserve">To avoid triggering privacy concerns the survey will be conducted </w:t>
      </w:r>
      <w:r w:rsidR="00E44536">
        <w:rPr>
          <w:spacing w:val="-3"/>
          <w:sz w:val="20"/>
        </w:rPr>
        <w:t>through the private sector</w:t>
      </w:r>
      <w:r w:rsidRPr="008147A1">
        <w:rPr>
          <w:spacing w:val="-3"/>
          <w:sz w:val="20"/>
        </w:rPr>
        <w:t>.</w:t>
      </w:r>
      <w:r w:rsidR="00E44536">
        <w:rPr>
          <w:spacing w:val="-3"/>
          <w:sz w:val="20"/>
        </w:rPr>
        <w:t xml:space="preserve"> DHS will only view and analyze the aggregate data once it has been anonym</w:t>
      </w:r>
      <w:r w:rsidR="00B83E43">
        <w:rPr>
          <w:spacing w:val="-3"/>
          <w:sz w:val="20"/>
        </w:rPr>
        <w:t>ized</w:t>
      </w:r>
      <w:r w:rsidRPr="008147A1">
        <w:rPr>
          <w:spacing w:val="-3"/>
          <w:sz w:val="20"/>
        </w:rPr>
        <w:t xml:space="preserve">. </w:t>
      </w:r>
    </w:p>
    <w:p w14:paraId="55971D04" w14:textId="77777777" w:rsidR="00B204A5" w:rsidRDefault="00B204A5" w:rsidP="000C4293">
      <w:pPr>
        <w:numPr>
          <w:ilvl w:val="0"/>
          <w:numId w:val="27"/>
        </w:numPr>
        <w:tabs>
          <w:tab w:val="left" w:pos="-720"/>
        </w:tabs>
        <w:suppressAutoHyphens/>
        <w:jc w:val="both"/>
        <w:rPr>
          <w:spacing w:val="-3"/>
          <w:sz w:val="20"/>
        </w:rPr>
      </w:pPr>
      <w:r w:rsidRPr="008147A1">
        <w:rPr>
          <w:spacing w:val="-3"/>
          <w:sz w:val="20"/>
        </w:rPr>
        <w:t xml:space="preserve">This collection will not require responders to submit proprietary trade secrets and other confidential information. </w:t>
      </w:r>
    </w:p>
    <w:p w14:paraId="21411445" w14:textId="77777777" w:rsidR="008147A1" w:rsidRPr="008147A1" w:rsidRDefault="008147A1" w:rsidP="008147A1">
      <w:pPr>
        <w:tabs>
          <w:tab w:val="left" w:pos="-720"/>
        </w:tabs>
        <w:suppressAutoHyphens/>
        <w:ind w:left="720"/>
        <w:jc w:val="both"/>
        <w:rPr>
          <w:spacing w:val="-3"/>
          <w:sz w:val="20"/>
        </w:rPr>
      </w:pPr>
    </w:p>
    <w:p w14:paraId="58B37188" w14:textId="77777777" w:rsidR="00EB5E96" w:rsidRPr="00FE192B" w:rsidRDefault="00EB5E96" w:rsidP="004C21F8">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FE192B">
        <w:t xml:space="preserve">8.  Federal Register Notice: </w:t>
      </w:r>
    </w:p>
    <w:p w14:paraId="77175FC5" w14:textId="77777777" w:rsidR="00EB5E96" w:rsidRPr="00FE192B" w:rsidRDefault="00EB5E96" w:rsidP="004C21F8">
      <w:pPr>
        <w:shd w:val="clear" w:color="auto" w:fill="C0C0C0"/>
        <w:tabs>
          <w:tab w:val="left" w:pos="-720"/>
        </w:tabs>
        <w:suppressAutoHyphens/>
        <w:jc w:val="both"/>
      </w:pPr>
      <w:r w:rsidRPr="00FE192B">
        <w:fldChar w:fldCharType="begin"/>
      </w:r>
      <w:r w:rsidRPr="00FE192B">
        <w:instrText>ADVANCE \R 0.95</w:instrText>
      </w:r>
      <w:r w:rsidRPr="00FE192B">
        <w:fldChar w:fldCharType="end"/>
      </w:r>
      <w:r w:rsidRPr="00FE192B">
        <w:fldChar w:fldCharType="begin"/>
      </w:r>
      <w:r w:rsidRPr="00FE192B">
        <w:instrText>ADVANCE \R 0.95</w:instrText>
      </w:r>
      <w:r w:rsidRPr="00FE192B">
        <w:fldChar w:fldCharType="end"/>
      </w:r>
      <w:r w:rsidRPr="00FE192B">
        <w:t>a.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6C201F3" w14:textId="77777777" w:rsidR="00EB5E96" w:rsidRPr="002B569C" w:rsidRDefault="00EB5E96" w:rsidP="004C21F8">
      <w:pPr>
        <w:shd w:val="pct25" w:color="auto" w:fill="auto"/>
        <w:tabs>
          <w:tab w:val="left" w:pos="-720"/>
        </w:tabs>
        <w:suppressAutoHyphens/>
        <w:jc w:val="both"/>
      </w:pPr>
      <w:r w:rsidRPr="008147A1">
        <w:rPr>
          <w:highlight w:val="yellow"/>
        </w:rPr>
        <w:fldChar w:fldCharType="begin"/>
      </w:r>
      <w:r w:rsidRPr="008147A1">
        <w:rPr>
          <w:highlight w:val="yellow"/>
        </w:rPr>
        <w:instrText>ADVANCE \R 0.95</w:instrText>
      </w:r>
      <w:r w:rsidRPr="008147A1">
        <w:rPr>
          <w:highlight w:val="yellow"/>
        </w:rPr>
        <w:fldChar w:fldCharType="end"/>
      </w:r>
      <w:r w:rsidRPr="008147A1">
        <w:rPr>
          <w:highlight w:val="yellow"/>
        </w:rPr>
        <w:fldChar w:fldCharType="begin"/>
      </w:r>
      <w:r w:rsidRPr="008147A1">
        <w:rPr>
          <w:highlight w:val="yellow"/>
        </w:rPr>
        <w:instrText>ADVANCE \R 0.95</w:instrText>
      </w:r>
      <w:r w:rsidRPr="008147A1">
        <w:rPr>
          <w:highlight w:val="yellow"/>
        </w:rPr>
        <w:fldChar w:fldCharType="end"/>
      </w:r>
      <w:r w:rsidRPr="002B569C">
        <w:t xml:space="preserve">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26BEE74E" w14:textId="77777777" w:rsidR="002B569C" w:rsidRPr="008147A1" w:rsidRDefault="002B569C" w:rsidP="004C21F8">
      <w:pPr>
        <w:shd w:val="pct25" w:color="auto" w:fill="auto"/>
        <w:tabs>
          <w:tab w:val="left" w:pos="-720"/>
        </w:tabs>
        <w:suppressAutoHyphens/>
        <w:jc w:val="both"/>
        <w:rPr>
          <w:highlight w:val="yellow"/>
        </w:rPr>
      </w:pPr>
    </w:p>
    <w:p w14:paraId="358975C7" w14:textId="75783020" w:rsidR="00B7660F" w:rsidRPr="00D73BBC" w:rsidRDefault="00EB5E96" w:rsidP="00B7660F">
      <w:pPr>
        <w:tabs>
          <w:tab w:val="left" w:pos="-720"/>
        </w:tabs>
        <w:suppressAutoHyphens/>
        <w:jc w:val="both"/>
        <w:rPr>
          <w:i/>
          <w:spacing w:val="-3"/>
          <w:sz w:val="20"/>
        </w:rPr>
      </w:pPr>
      <w:r w:rsidRPr="008147A1">
        <w:rPr>
          <w:highlight w:val="yellow"/>
        </w:rPr>
        <w:fldChar w:fldCharType="begin"/>
      </w:r>
      <w:r w:rsidRPr="008147A1">
        <w:rPr>
          <w:highlight w:val="yellow"/>
        </w:rPr>
        <w:instrText>ADVANCE \R 0.95</w:instrText>
      </w:r>
      <w:r w:rsidRPr="008147A1">
        <w:rPr>
          <w:highlight w:val="yellow"/>
        </w:rPr>
        <w:fldChar w:fldCharType="end"/>
      </w:r>
      <w:r w:rsidR="00B7660F" w:rsidRPr="00B7660F">
        <w:rPr>
          <w:i/>
          <w:spacing w:val="-3"/>
          <w:sz w:val="20"/>
        </w:rPr>
        <w:t xml:space="preserve"> </w:t>
      </w:r>
      <w:r w:rsidR="00B7660F" w:rsidRPr="00D73BBC">
        <w:rPr>
          <w:i/>
          <w:spacing w:val="-3"/>
          <w:sz w:val="20"/>
        </w:rPr>
        <w:t>Respon</w:t>
      </w:r>
      <w:r w:rsidR="00B7660F">
        <w:rPr>
          <w:i/>
          <w:spacing w:val="-3"/>
          <w:sz w:val="20"/>
        </w:rPr>
        <w:t>se</w:t>
      </w:r>
      <w:r w:rsidR="00B7660F" w:rsidRPr="00D73BBC">
        <w:rPr>
          <w:i/>
          <w:spacing w:val="-3"/>
          <w:sz w:val="20"/>
        </w:rPr>
        <w:t>…</w:t>
      </w:r>
    </w:p>
    <w:p w14:paraId="04BC5689" w14:textId="77777777" w:rsidR="00EB5E96" w:rsidRDefault="00EB5E96" w:rsidP="000C4293">
      <w:pPr>
        <w:tabs>
          <w:tab w:val="left" w:pos="-720"/>
        </w:tabs>
        <w:suppressAutoHyphens/>
        <w:jc w:val="both"/>
        <w:rPr>
          <w:highlight w:val="yellow"/>
        </w:rPr>
      </w:pPr>
    </w:p>
    <w:p w14:paraId="5AD45DC3" w14:textId="4C9C58AF" w:rsidR="004232CE" w:rsidRDefault="003311EB" w:rsidP="00A00E29">
      <w:pPr>
        <w:tabs>
          <w:tab w:val="left" w:pos="-720"/>
        </w:tabs>
        <w:suppressAutoHyphens/>
        <w:jc w:val="both"/>
        <w:rPr>
          <w:highlight w:val="yellow"/>
        </w:rPr>
      </w:pPr>
      <w:r>
        <w:t>The IT SCC SMB working group</w:t>
      </w:r>
      <w:r w:rsidRPr="003311EB">
        <w:t xml:space="preserve"> will </w:t>
      </w:r>
      <w:r>
        <w:t xml:space="preserve">continue to </w:t>
      </w:r>
      <w:r w:rsidRPr="003311EB">
        <w:t xml:space="preserve">work with </w:t>
      </w:r>
      <w:r w:rsidR="00A00E29">
        <w:t>SMBs</w:t>
      </w:r>
      <w:r>
        <w:t xml:space="preserve"> for their voluntary feedback and cooperation, alongside</w:t>
      </w:r>
      <w:r w:rsidRPr="003311EB">
        <w:t xml:space="preserve"> other relevant stakeholder associations.  </w:t>
      </w:r>
      <w:r>
        <w:t>The working group</w:t>
      </w:r>
      <w:r w:rsidRPr="003311EB">
        <w:t xml:space="preserve"> will utilize regular </w:t>
      </w:r>
      <w:r>
        <w:t>IT SCC</w:t>
      </w:r>
      <w:r w:rsidRPr="003311EB">
        <w:t xml:space="preserve"> meetings and other available opportunities for this purpose.</w:t>
      </w:r>
    </w:p>
    <w:p w14:paraId="028E10F0" w14:textId="77777777" w:rsidR="004232CE" w:rsidRPr="008147A1" w:rsidRDefault="004232CE" w:rsidP="000C4293">
      <w:pPr>
        <w:tabs>
          <w:tab w:val="left" w:pos="-720"/>
        </w:tabs>
        <w:suppressAutoHyphens/>
        <w:jc w:val="both"/>
        <w:rPr>
          <w:highlight w:val="yellow"/>
        </w:rPr>
      </w:pPr>
    </w:p>
    <w:p w14:paraId="485065EA" w14:textId="77777777" w:rsidR="008147A1" w:rsidRPr="00FE192B" w:rsidRDefault="008147A1" w:rsidP="008147A1">
      <w:pPr>
        <w:tabs>
          <w:tab w:val="left" w:pos="-720"/>
        </w:tabs>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530"/>
        <w:gridCol w:w="1226"/>
        <w:gridCol w:w="1924"/>
        <w:gridCol w:w="1216"/>
        <w:gridCol w:w="1396"/>
      </w:tblGrid>
      <w:tr w:rsidR="00B67664" w:rsidRPr="00FE192B" w14:paraId="2EA84A6A" w14:textId="77777777" w:rsidTr="00D3411B">
        <w:tc>
          <w:tcPr>
            <w:tcW w:w="2268" w:type="dxa"/>
            <w:shd w:val="clear" w:color="auto" w:fill="000000"/>
          </w:tcPr>
          <w:p w14:paraId="4F6298ED" w14:textId="77777777" w:rsidR="00B67664" w:rsidRPr="00FE192B" w:rsidRDefault="00B67664" w:rsidP="00D3411B">
            <w:pPr>
              <w:tabs>
                <w:tab w:val="left" w:pos="-720"/>
              </w:tabs>
              <w:suppressAutoHyphens/>
              <w:jc w:val="both"/>
            </w:pPr>
          </w:p>
        </w:tc>
        <w:tc>
          <w:tcPr>
            <w:tcW w:w="1530" w:type="dxa"/>
            <w:shd w:val="clear" w:color="auto" w:fill="BFBFBF"/>
          </w:tcPr>
          <w:p w14:paraId="14918A8D" w14:textId="77777777" w:rsidR="00B67664" w:rsidRPr="00FE192B" w:rsidRDefault="00B67664" w:rsidP="00D3411B">
            <w:pPr>
              <w:tabs>
                <w:tab w:val="left" w:pos="-720"/>
              </w:tabs>
              <w:suppressAutoHyphens/>
              <w:jc w:val="center"/>
              <w:rPr>
                <w:b/>
              </w:rPr>
            </w:pPr>
            <w:r w:rsidRPr="00FE192B">
              <w:rPr>
                <w:b/>
              </w:rPr>
              <w:t>Date of Publication</w:t>
            </w:r>
          </w:p>
        </w:tc>
        <w:tc>
          <w:tcPr>
            <w:tcW w:w="1226" w:type="dxa"/>
            <w:shd w:val="clear" w:color="auto" w:fill="BFBFBF"/>
            <w:vAlign w:val="center"/>
          </w:tcPr>
          <w:p w14:paraId="2E7CFD85" w14:textId="77777777" w:rsidR="00B67664" w:rsidRPr="00FE192B" w:rsidRDefault="00B67664" w:rsidP="00D3411B">
            <w:pPr>
              <w:tabs>
                <w:tab w:val="left" w:pos="-720"/>
              </w:tabs>
              <w:suppressAutoHyphens/>
              <w:jc w:val="center"/>
              <w:rPr>
                <w:b/>
              </w:rPr>
            </w:pPr>
            <w:r w:rsidRPr="00FE192B">
              <w:rPr>
                <w:b/>
              </w:rPr>
              <w:t>Volume #</w:t>
            </w:r>
          </w:p>
        </w:tc>
        <w:tc>
          <w:tcPr>
            <w:tcW w:w="1924" w:type="dxa"/>
            <w:shd w:val="clear" w:color="auto" w:fill="BFBFBF"/>
            <w:vAlign w:val="center"/>
          </w:tcPr>
          <w:p w14:paraId="0C1696EF" w14:textId="77777777" w:rsidR="00B67664" w:rsidRPr="00FE192B" w:rsidRDefault="00B67664" w:rsidP="00D3411B">
            <w:pPr>
              <w:tabs>
                <w:tab w:val="left" w:pos="-720"/>
              </w:tabs>
              <w:suppressAutoHyphens/>
              <w:jc w:val="center"/>
              <w:rPr>
                <w:b/>
              </w:rPr>
            </w:pPr>
            <w:r w:rsidRPr="00FE192B">
              <w:rPr>
                <w:b/>
              </w:rPr>
              <w:t>Number #</w:t>
            </w:r>
          </w:p>
        </w:tc>
        <w:tc>
          <w:tcPr>
            <w:tcW w:w="1216" w:type="dxa"/>
            <w:shd w:val="clear" w:color="auto" w:fill="BFBFBF"/>
            <w:vAlign w:val="center"/>
          </w:tcPr>
          <w:p w14:paraId="59A90A77" w14:textId="77777777" w:rsidR="00B67664" w:rsidRPr="00FE192B" w:rsidRDefault="00B67664" w:rsidP="00D3411B">
            <w:pPr>
              <w:tabs>
                <w:tab w:val="left" w:pos="-720"/>
              </w:tabs>
              <w:suppressAutoHyphens/>
              <w:jc w:val="center"/>
              <w:rPr>
                <w:b/>
              </w:rPr>
            </w:pPr>
            <w:r w:rsidRPr="00FE192B">
              <w:rPr>
                <w:b/>
              </w:rPr>
              <w:t>Page #</w:t>
            </w:r>
          </w:p>
        </w:tc>
        <w:tc>
          <w:tcPr>
            <w:tcW w:w="1396" w:type="dxa"/>
            <w:shd w:val="clear" w:color="auto" w:fill="BFBFBF"/>
          </w:tcPr>
          <w:p w14:paraId="4503678C" w14:textId="77777777" w:rsidR="00B67664" w:rsidRPr="00FE192B" w:rsidRDefault="00B67664" w:rsidP="00D3411B">
            <w:pPr>
              <w:tabs>
                <w:tab w:val="left" w:pos="-720"/>
              </w:tabs>
              <w:suppressAutoHyphens/>
              <w:jc w:val="center"/>
              <w:rPr>
                <w:b/>
              </w:rPr>
            </w:pPr>
            <w:r w:rsidRPr="00FE192B">
              <w:rPr>
                <w:b/>
              </w:rPr>
              <w:t>Comments Addressed</w:t>
            </w:r>
          </w:p>
        </w:tc>
      </w:tr>
      <w:tr w:rsidR="00B67664" w:rsidRPr="00FE192B" w14:paraId="68340FDF" w14:textId="77777777" w:rsidTr="00012EA3">
        <w:tc>
          <w:tcPr>
            <w:tcW w:w="2268" w:type="dxa"/>
          </w:tcPr>
          <w:p w14:paraId="093B9536" w14:textId="77777777" w:rsidR="00B67664" w:rsidRPr="00FE192B" w:rsidRDefault="00B67664" w:rsidP="00D3411B">
            <w:pPr>
              <w:tabs>
                <w:tab w:val="left" w:pos="-720"/>
              </w:tabs>
              <w:suppressAutoHyphens/>
              <w:rPr>
                <w:i/>
              </w:rPr>
            </w:pPr>
            <w:r w:rsidRPr="00FE192B">
              <w:rPr>
                <w:i/>
              </w:rPr>
              <w:t>60Day Federal Register Notice:</w:t>
            </w:r>
          </w:p>
        </w:tc>
        <w:tc>
          <w:tcPr>
            <w:tcW w:w="1530" w:type="dxa"/>
            <w:vAlign w:val="center"/>
          </w:tcPr>
          <w:p w14:paraId="4DD7DDC8" w14:textId="4872FADE" w:rsidR="00B67664" w:rsidRPr="00FE192B" w:rsidRDefault="0051063F" w:rsidP="00012EA3">
            <w:pPr>
              <w:tabs>
                <w:tab w:val="left" w:pos="-720"/>
              </w:tabs>
              <w:suppressAutoHyphens/>
              <w:jc w:val="center"/>
            </w:pPr>
            <w:r>
              <w:t>July 18, 2017</w:t>
            </w:r>
          </w:p>
        </w:tc>
        <w:tc>
          <w:tcPr>
            <w:tcW w:w="1226" w:type="dxa"/>
            <w:vAlign w:val="center"/>
          </w:tcPr>
          <w:p w14:paraId="6D641F17" w14:textId="7E0EEE3C" w:rsidR="00B67664" w:rsidRPr="00FE192B" w:rsidRDefault="0051063F" w:rsidP="00012EA3">
            <w:pPr>
              <w:tabs>
                <w:tab w:val="left" w:pos="-720"/>
              </w:tabs>
              <w:suppressAutoHyphens/>
              <w:jc w:val="center"/>
            </w:pPr>
            <w:r>
              <w:t>82</w:t>
            </w:r>
          </w:p>
        </w:tc>
        <w:tc>
          <w:tcPr>
            <w:tcW w:w="1924" w:type="dxa"/>
            <w:vAlign w:val="center"/>
          </w:tcPr>
          <w:p w14:paraId="3509A29A" w14:textId="286F2FF6" w:rsidR="00B67664" w:rsidRPr="00FE192B" w:rsidRDefault="0051063F" w:rsidP="00012EA3">
            <w:pPr>
              <w:tabs>
                <w:tab w:val="left" w:pos="-720"/>
              </w:tabs>
              <w:suppressAutoHyphens/>
              <w:jc w:val="center"/>
            </w:pPr>
            <w:r>
              <w:t>136</w:t>
            </w:r>
          </w:p>
        </w:tc>
        <w:tc>
          <w:tcPr>
            <w:tcW w:w="1216" w:type="dxa"/>
            <w:vAlign w:val="center"/>
          </w:tcPr>
          <w:p w14:paraId="4DAFC17D" w14:textId="3FC68D89" w:rsidR="00B67664" w:rsidRPr="00FE192B" w:rsidRDefault="0051063F" w:rsidP="00012EA3">
            <w:pPr>
              <w:tabs>
                <w:tab w:val="left" w:pos="-720"/>
              </w:tabs>
              <w:suppressAutoHyphens/>
              <w:jc w:val="center"/>
            </w:pPr>
            <w:r>
              <w:t>32859 - 32860</w:t>
            </w:r>
          </w:p>
        </w:tc>
        <w:tc>
          <w:tcPr>
            <w:tcW w:w="1396" w:type="dxa"/>
            <w:vAlign w:val="center"/>
          </w:tcPr>
          <w:p w14:paraId="6A9EC68D" w14:textId="7CEEF212" w:rsidR="00B67664" w:rsidRPr="00FE192B" w:rsidRDefault="002C2B58" w:rsidP="00012EA3">
            <w:pPr>
              <w:tabs>
                <w:tab w:val="left" w:pos="-720"/>
              </w:tabs>
              <w:suppressAutoHyphens/>
              <w:jc w:val="center"/>
            </w:pPr>
            <w:r>
              <w:t>8</w:t>
            </w:r>
          </w:p>
        </w:tc>
      </w:tr>
      <w:tr w:rsidR="00B67664" w14:paraId="531C8BC7" w14:textId="77777777" w:rsidTr="00012EA3">
        <w:tc>
          <w:tcPr>
            <w:tcW w:w="2268" w:type="dxa"/>
          </w:tcPr>
          <w:p w14:paraId="3051D97F" w14:textId="34AEA75F" w:rsidR="00B67664" w:rsidRPr="00FE192B" w:rsidRDefault="00B67664" w:rsidP="00D3411B">
            <w:pPr>
              <w:tabs>
                <w:tab w:val="left" w:pos="-720"/>
              </w:tabs>
              <w:suppressAutoHyphens/>
            </w:pPr>
            <w:r w:rsidRPr="00FE192B">
              <w:rPr>
                <w:i/>
              </w:rPr>
              <w:t>30-Day Federal Register Notice</w:t>
            </w:r>
            <w:r w:rsidR="00BB06BB">
              <w:rPr>
                <w:i/>
              </w:rPr>
              <w:t xml:space="preserve">: </w:t>
            </w:r>
          </w:p>
        </w:tc>
        <w:tc>
          <w:tcPr>
            <w:tcW w:w="1530" w:type="dxa"/>
            <w:vAlign w:val="center"/>
          </w:tcPr>
          <w:p w14:paraId="4F119DCD" w14:textId="347F2046" w:rsidR="00B67664" w:rsidRDefault="00B633C0" w:rsidP="00012EA3">
            <w:pPr>
              <w:tabs>
                <w:tab w:val="left" w:pos="-720"/>
              </w:tabs>
              <w:suppressAutoHyphens/>
              <w:jc w:val="center"/>
            </w:pPr>
            <w:r>
              <w:t>December 18, 2017</w:t>
            </w:r>
          </w:p>
        </w:tc>
        <w:tc>
          <w:tcPr>
            <w:tcW w:w="1226" w:type="dxa"/>
            <w:vAlign w:val="center"/>
          </w:tcPr>
          <w:p w14:paraId="71DF91F1" w14:textId="0C05E4D7" w:rsidR="00B67664" w:rsidRDefault="00B633C0" w:rsidP="00012EA3">
            <w:pPr>
              <w:tabs>
                <w:tab w:val="left" w:pos="-720"/>
              </w:tabs>
              <w:suppressAutoHyphens/>
              <w:jc w:val="center"/>
            </w:pPr>
            <w:r>
              <w:t>82</w:t>
            </w:r>
          </w:p>
        </w:tc>
        <w:tc>
          <w:tcPr>
            <w:tcW w:w="1924" w:type="dxa"/>
            <w:vAlign w:val="center"/>
          </w:tcPr>
          <w:p w14:paraId="28EECDE7" w14:textId="5928C38D" w:rsidR="00B67664" w:rsidRDefault="00B633C0" w:rsidP="00012EA3">
            <w:pPr>
              <w:tabs>
                <w:tab w:val="left" w:pos="-720"/>
              </w:tabs>
              <w:suppressAutoHyphens/>
              <w:jc w:val="center"/>
            </w:pPr>
            <w:r>
              <w:t>241</w:t>
            </w:r>
          </w:p>
        </w:tc>
        <w:tc>
          <w:tcPr>
            <w:tcW w:w="1216" w:type="dxa"/>
            <w:vAlign w:val="center"/>
          </w:tcPr>
          <w:p w14:paraId="6C5DDA6D" w14:textId="641A40E6" w:rsidR="00B67664" w:rsidRDefault="00B633C0" w:rsidP="00012EA3">
            <w:pPr>
              <w:tabs>
                <w:tab w:val="left" w:pos="-720"/>
              </w:tabs>
              <w:suppressAutoHyphens/>
              <w:jc w:val="center"/>
            </w:pPr>
            <w:r>
              <w:t>60026 – 60027</w:t>
            </w:r>
          </w:p>
        </w:tc>
        <w:tc>
          <w:tcPr>
            <w:tcW w:w="1396" w:type="dxa"/>
            <w:vAlign w:val="center"/>
          </w:tcPr>
          <w:p w14:paraId="67917AAF" w14:textId="5E3897FC" w:rsidR="00B67664" w:rsidRDefault="00B633C0" w:rsidP="00012EA3">
            <w:pPr>
              <w:tabs>
                <w:tab w:val="left" w:pos="-720"/>
              </w:tabs>
              <w:suppressAutoHyphens/>
              <w:jc w:val="center"/>
            </w:pPr>
            <w:r>
              <w:t>0</w:t>
            </w:r>
          </w:p>
        </w:tc>
      </w:tr>
    </w:tbl>
    <w:p w14:paraId="092B22F8" w14:textId="77777777" w:rsidR="00B67664" w:rsidRDefault="00B67664" w:rsidP="000C4293">
      <w:pPr>
        <w:tabs>
          <w:tab w:val="left" w:pos="-720"/>
        </w:tabs>
        <w:suppressAutoHyphens/>
        <w:jc w:val="both"/>
      </w:pPr>
    </w:p>
    <w:p w14:paraId="56E9371E" w14:textId="77777777" w:rsidR="00AA3F82" w:rsidRPr="00596A43" w:rsidRDefault="00AA3F82" w:rsidP="000C4293">
      <w:pPr>
        <w:tabs>
          <w:tab w:val="left" w:pos="-720"/>
        </w:tabs>
        <w:suppressAutoHyphens/>
        <w:jc w:val="both"/>
      </w:pPr>
    </w:p>
    <w:p w14:paraId="4BF46E7D"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9.  Explain any decision to provide any payment or gift to respondents, other than remuneration of contractors or grantees.</w:t>
      </w:r>
    </w:p>
    <w:p w14:paraId="7B3F7D29" w14:textId="77777777" w:rsidR="00EB5E96" w:rsidRPr="00596A43" w:rsidRDefault="00EB5E96" w:rsidP="000C4293">
      <w:pPr>
        <w:tabs>
          <w:tab w:val="left" w:pos="-720"/>
        </w:tabs>
        <w:suppressAutoHyphens/>
        <w:jc w:val="both"/>
      </w:pPr>
    </w:p>
    <w:p w14:paraId="4DB1803C" w14:textId="77777777" w:rsidR="00D73BBC" w:rsidRPr="00D73BBC" w:rsidRDefault="00D73BBC" w:rsidP="00D73BBC">
      <w:pPr>
        <w:tabs>
          <w:tab w:val="left" w:pos="-720"/>
        </w:tabs>
        <w:suppressAutoHyphens/>
        <w:jc w:val="both"/>
        <w:rPr>
          <w:i/>
          <w:spacing w:val="-3"/>
          <w:sz w:val="20"/>
        </w:rPr>
      </w:pPr>
      <w:r w:rsidRPr="00D73BBC">
        <w:rPr>
          <w:i/>
          <w:spacing w:val="-3"/>
          <w:sz w:val="20"/>
        </w:rPr>
        <w:t>Respon</w:t>
      </w:r>
      <w:r>
        <w:rPr>
          <w:i/>
          <w:spacing w:val="-3"/>
          <w:sz w:val="20"/>
        </w:rPr>
        <w:t>se</w:t>
      </w:r>
      <w:r w:rsidRPr="00D73BBC">
        <w:rPr>
          <w:i/>
          <w:spacing w:val="-3"/>
          <w:sz w:val="20"/>
        </w:rPr>
        <w:t>…</w:t>
      </w:r>
    </w:p>
    <w:p w14:paraId="56AA685B" w14:textId="77777777" w:rsidR="00EB5E96" w:rsidRDefault="001C4E52" w:rsidP="000C4293">
      <w:pPr>
        <w:tabs>
          <w:tab w:val="left" w:pos="-720"/>
        </w:tabs>
        <w:suppressAutoHyphens/>
        <w:jc w:val="both"/>
      </w:pPr>
      <w:r w:rsidRPr="001C4E52">
        <w:t xml:space="preserve">There is no offer of monetary or material value for this information collection. </w:t>
      </w:r>
    </w:p>
    <w:p w14:paraId="4D86F550" w14:textId="77777777" w:rsidR="00510DF6" w:rsidRPr="00596A43" w:rsidRDefault="00510DF6" w:rsidP="000C4293">
      <w:pPr>
        <w:tabs>
          <w:tab w:val="left" w:pos="-720"/>
        </w:tabs>
        <w:suppressAutoHyphens/>
        <w:jc w:val="both"/>
      </w:pPr>
    </w:p>
    <w:p w14:paraId="62725D3F"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10.  Describe any assurance of confidentiality provided to respondents and the basis for the assurance in statute, regulation, or agency policy.  </w:t>
      </w:r>
    </w:p>
    <w:p w14:paraId="58703332" w14:textId="77777777" w:rsidR="00EB5E96" w:rsidRPr="00596A43" w:rsidRDefault="00EB5E96" w:rsidP="000C4293">
      <w:pPr>
        <w:tabs>
          <w:tab w:val="left" w:pos="-720"/>
        </w:tabs>
        <w:suppressAutoHyphens/>
        <w:jc w:val="both"/>
      </w:pPr>
      <w:r w:rsidRPr="00596A43">
        <w:fldChar w:fldCharType="begin"/>
      </w:r>
      <w:r w:rsidRPr="00596A43">
        <w:instrText>ADVANCE \R 0.95</w:instrText>
      </w:r>
      <w:r w:rsidRPr="00596A43">
        <w:fldChar w:fldCharType="end"/>
      </w:r>
    </w:p>
    <w:p w14:paraId="6368E1EC" w14:textId="77777777" w:rsidR="00D73BBC" w:rsidRPr="00FE192B" w:rsidRDefault="00D73BBC" w:rsidP="00D73BBC">
      <w:pPr>
        <w:tabs>
          <w:tab w:val="left" w:pos="-720"/>
        </w:tabs>
        <w:suppressAutoHyphens/>
        <w:jc w:val="both"/>
        <w:rPr>
          <w:i/>
          <w:spacing w:val="-3"/>
          <w:sz w:val="20"/>
          <w:highlight w:val="yellow"/>
        </w:rPr>
      </w:pPr>
      <w:r w:rsidRPr="00776FAB">
        <w:rPr>
          <w:i/>
          <w:spacing w:val="-3"/>
          <w:sz w:val="20"/>
        </w:rPr>
        <w:t>Response…</w:t>
      </w:r>
    </w:p>
    <w:p w14:paraId="4F2F2C51" w14:textId="55AAB1B1" w:rsidR="00F628C3" w:rsidRDefault="0095275A" w:rsidP="00F628C3">
      <w:pPr>
        <w:rPr>
          <w:color w:val="000000"/>
        </w:rPr>
      </w:pPr>
      <w:r>
        <w:rPr>
          <w:color w:val="000000"/>
        </w:rPr>
        <w:t xml:space="preserve">There are no assurances of confidentiality.  </w:t>
      </w:r>
      <w:r w:rsidR="00F628C3">
        <w:rPr>
          <w:color w:val="000000"/>
        </w:rPr>
        <w:t>This collection is not affected by the Privacy Act and is not impacted by a PIA or SORN.</w:t>
      </w:r>
    </w:p>
    <w:p w14:paraId="49B015FE" w14:textId="3267273A" w:rsidR="001C4E52" w:rsidRPr="001C4E52" w:rsidRDefault="001C4E52" w:rsidP="001C4E52">
      <w:pPr>
        <w:rPr>
          <w:spacing w:val="-3"/>
        </w:rPr>
      </w:pPr>
    </w:p>
    <w:p w14:paraId="6284BFFB" w14:textId="5704C172" w:rsidR="00510DF6" w:rsidRDefault="00510DF6" w:rsidP="00510DF6">
      <w:pPr>
        <w:shd w:val="clear" w:color="auto" w:fill="BFBFBF"/>
        <w:jc w:val="both"/>
        <w:rPr>
          <w:sz w:val="22"/>
          <w:szCs w:val="22"/>
        </w:rPr>
      </w:pPr>
      <w: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661EFAC3" w14:textId="77777777" w:rsidR="00510DF6" w:rsidRDefault="00510DF6" w:rsidP="00D73BBC">
      <w:pPr>
        <w:tabs>
          <w:tab w:val="left" w:pos="-720"/>
        </w:tabs>
        <w:suppressAutoHyphens/>
        <w:jc w:val="both"/>
        <w:rPr>
          <w:spacing w:val="-3"/>
        </w:rPr>
      </w:pPr>
    </w:p>
    <w:p w14:paraId="01625DAB" w14:textId="77777777" w:rsidR="00D73BBC" w:rsidRPr="00D73BBC" w:rsidRDefault="00D73BBC" w:rsidP="00D73BBC">
      <w:pPr>
        <w:tabs>
          <w:tab w:val="left" w:pos="-720"/>
        </w:tabs>
        <w:suppressAutoHyphens/>
        <w:jc w:val="both"/>
        <w:rPr>
          <w:i/>
          <w:spacing w:val="-3"/>
          <w:sz w:val="20"/>
        </w:rPr>
      </w:pPr>
      <w:r w:rsidRPr="00D73BBC">
        <w:rPr>
          <w:i/>
          <w:spacing w:val="-3"/>
          <w:sz w:val="20"/>
        </w:rPr>
        <w:t>Respon</w:t>
      </w:r>
      <w:r>
        <w:rPr>
          <w:i/>
          <w:spacing w:val="-3"/>
          <w:sz w:val="20"/>
        </w:rPr>
        <w:t>se</w:t>
      </w:r>
      <w:r w:rsidRPr="00D73BBC">
        <w:rPr>
          <w:i/>
          <w:spacing w:val="-3"/>
          <w:sz w:val="20"/>
        </w:rPr>
        <w:t>…</w:t>
      </w:r>
    </w:p>
    <w:p w14:paraId="138A3F64" w14:textId="5924876A" w:rsidR="00B83E43" w:rsidRPr="00A00E29" w:rsidRDefault="00510DF6" w:rsidP="000C4293">
      <w:pPr>
        <w:shd w:val="clear" w:color="auto" w:fill="FFFFFF"/>
        <w:tabs>
          <w:tab w:val="left" w:pos="-720"/>
        </w:tabs>
        <w:suppressAutoHyphens/>
        <w:jc w:val="both"/>
        <w:rPr>
          <w:spacing w:val="-3"/>
        </w:rPr>
      </w:pPr>
      <w:r w:rsidRPr="00510DF6">
        <w:rPr>
          <w:spacing w:val="-3"/>
        </w:rPr>
        <w:t xml:space="preserve">The </w:t>
      </w:r>
      <w:r w:rsidRPr="00A00E29">
        <w:rPr>
          <w:spacing w:val="-3"/>
        </w:rPr>
        <w:t>instruments described in this collection do not request any information of a personally sensitive nature.</w:t>
      </w:r>
    </w:p>
    <w:p w14:paraId="696BC2D9" w14:textId="77777777" w:rsidR="00510DF6" w:rsidRPr="00A00E29" w:rsidRDefault="00510DF6" w:rsidP="000C4293">
      <w:pPr>
        <w:shd w:val="clear" w:color="auto" w:fill="FFFFFF"/>
        <w:tabs>
          <w:tab w:val="left" w:pos="-720"/>
        </w:tabs>
        <w:suppressAutoHyphens/>
        <w:jc w:val="both"/>
      </w:pPr>
    </w:p>
    <w:p w14:paraId="1B194CFB" w14:textId="77777777" w:rsidR="00EB5E96" w:rsidRPr="00A00E29" w:rsidRDefault="00EB5E96" w:rsidP="000C4293">
      <w:pPr>
        <w:shd w:val="pct25" w:color="auto" w:fill="FFFFFF"/>
        <w:tabs>
          <w:tab w:val="left" w:pos="-720"/>
        </w:tabs>
        <w:suppressAutoHyphens/>
        <w:jc w:val="both"/>
      </w:pPr>
      <w:r w:rsidRPr="00A00E29">
        <w:fldChar w:fldCharType="begin"/>
      </w:r>
      <w:r w:rsidRPr="00A00E29">
        <w:instrText>ADVANCE \R 0.95</w:instrText>
      </w:r>
      <w:r w:rsidRPr="00A00E29">
        <w:fldChar w:fldCharType="end"/>
      </w:r>
      <w:r w:rsidRPr="00A00E29">
        <w:fldChar w:fldCharType="begin"/>
      </w:r>
      <w:r w:rsidRPr="00A00E29">
        <w:instrText>ADVANCE \R 0.95</w:instrText>
      </w:r>
      <w:r w:rsidRPr="00A00E29">
        <w:fldChar w:fldCharType="end"/>
      </w:r>
      <w:r w:rsidRPr="00A00E29">
        <w:t>12. Provide estimates of the hour burden of the collection of information.  The statement should:</w:t>
      </w:r>
    </w:p>
    <w:p w14:paraId="34AAED8F" w14:textId="77777777" w:rsidR="00EB5E96" w:rsidRPr="00A00E29" w:rsidRDefault="00EB5E96" w:rsidP="000C4293">
      <w:pPr>
        <w:tabs>
          <w:tab w:val="left" w:pos="-720"/>
        </w:tabs>
        <w:suppressAutoHyphens/>
        <w:jc w:val="both"/>
      </w:pPr>
      <w:r w:rsidRPr="00A00E29">
        <w:fldChar w:fldCharType="begin"/>
      </w:r>
      <w:r w:rsidRPr="00A00E29">
        <w:instrText>ADVANCE \R 0.95</w:instrText>
      </w:r>
      <w:r w:rsidRPr="00A00E29">
        <w:fldChar w:fldCharType="end"/>
      </w:r>
    </w:p>
    <w:p w14:paraId="1C685F84" w14:textId="3FF2888E" w:rsidR="00EB5E96" w:rsidRPr="00A00E29" w:rsidRDefault="00EB5E96" w:rsidP="000C4293">
      <w:pPr>
        <w:shd w:val="pct25" w:color="auto" w:fill="auto"/>
        <w:tabs>
          <w:tab w:val="left" w:pos="-720"/>
        </w:tabs>
        <w:suppressAutoHyphens/>
        <w:jc w:val="both"/>
      </w:pPr>
      <w:r w:rsidRPr="00A00E29">
        <w:fldChar w:fldCharType="begin"/>
      </w:r>
      <w:r w:rsidRPr="00A00E29">
        <w:instrText>ADVANCE \R 0.95</w:instrText>
      </w:r>
      <w:r w:rsidRPr="00A00E29">
        <w:fldChar w:fldCharType="end"/>
      </w:r>
      <w:r w:rsidR="00C170EE" w:rsidRPr="00A00E29">
        <w:t xml:space="preserve">a. </w:t>
      </w:r>
      <w:r w:rsidRPr="00A00E29">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B251940" w14:textId="77777777" w:rsidR="00EB5E96" w:rsidRPr="00A00E29" w:rsidRDefault="00EB5E96" w:rsidP="000C4293">
      <w:pPr>
        <w:pStyle w:val="BodyText3"/>
        <w:jc w:val="both"/>
        <w:rPr>
          <w:sz w:val="24"/>
          <w:szCs w:val="24"/>
        </w:rPr>
      </w:pPr>
      <w:r w:rsidRPr="00A00E29">
        <w:rPr>
          <w:sz w:val="24"/>
          <w:szCs w:val="24"/>
        </w:rPr>
        <w:fldChar w:fldCharType="begin"/>
      </w:r>
      <w:r w:rsidRPr="00A00E29">
        <w:rPr>
          <w:sz w:val="24"/>
          <w:szCs w:val="24"/>
        </w:rPr>
        <w:instrText>ADVANCE \R 0.95</w:instrText>
      </w:r>
      <w:r w:rsidRPr="00A00E29">
        <w:rPr>
          <w:sz w:val="24"/>
          <w:szCs w:val="24"/>
        </w:rPr>
        <w:fldChar w:fldCharType="end"/>
      </w:r>
      <w:r w:rsidRPr="00A00E29">
        <w:rPr>
          <w:sz w:val="24"/>
          <w:szCs w:val="24"/>
        </w:rPr>
        <w:t>b.  If this request for approval covers more than one form, provide separate hour burden estimates for each form and aggregate the hour burdens in Item 13 of OMB Form 83-I.</w:t>
      </w:r>
    </w:p>
    <w:p w14:paraId="0946A556" w14:textId="77777777" w:rsidR="00EB5E96" w:rsidRPr="00A00E29" w:rsidRDefault="00EB5E96" w:rsidP="000C4293">
      <w:pPr>
        <w:shd w:val="pct25" w:color="auto" w:fill="auto"/>
        <w:tabs>
          <w:tab w:val="left" w:pos="-720"/>
        </w:tabs>
        <w:suppressAutoHyphens/>
        <w:jc w:val="both"/>
      </w:pPr>
      <w:r w:rsidRPr="00A00E29">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AE4C5E9" w14:textId="77777777" w:rsidR="00B7660F" w:rsidRPr="00D73BBC" w:rsidRDefault="00B7660F" w:rsidP="00B7660F">
      <w:pPr>
        <w:tabs>
          <w:tab w:val="left" w:pos="-720"/>
        </w:tabs>
        <w:suppressAutoHyphens/>
        <w:jc w:val="both"/>
        <w:rPr>
          <w:i/>
          <w:spacing w:val="-3"/>
          <w:sz w:val="20"/>
        </w:rPr>
      </w:pPr>
      <w:r w:rsidRPr="00D73BBC">
        <w:rPr>
          <w:i/>
          <w:spacing w:val="-3"/>
          <w:sz w:val="20"/>
        </w:rPr>
        <w:t>Respon</w:t>
      </w:r>
      <w:r>
        <w:rPr>
          <w:i/>
          <w:spacing w:val="-3"/>
          <w:sz w:val="20"/>
        </w:rPr>
        <w:t>se</w:t>
      </w:r>
      <w:r w:rsidRPr="00D73BBC">
        <w:rPr>
          <w:i/>
          <w:spacing w:val="-3"/>
          <w:sz w:val="20"/>
        </w:rPr>
        <w:t>…</w:t>
      </w:r>
    </w:p>
    <w:p w14:paraId="76419C18" w14:textId="77777777" w:rsidR="003B68FA" w:rsidRPr="00A00E29" w:rsidRDefault="003B68FA" w:rsidP="003B68FA">
      <w:pPr>
        <w:tabs>
          <w:tab w:val="left" w:pos="-720"/>
        </w:tabs>
        <w:suppressAutoHyphens/>
        <w:jc w:val="both"/>
      </w:pPr>
    </w:p>
    <w:p w14:paraId="0A6BFE66" w14:textId="41ACC3F6" w:rsidR="00757ADD" w:rsidRDefault="00757ADD" w:rsidP="00F46627">
      <w:pPr>
        <w:numPr>
          <w:ilvl w:val="0"/>
          <w:numId w:val="29"/>
        </w:numPr>
        <w:tabs>
          <w:tab w:val="left" w:pos="-720"/>
        </w:tabs>
        <w:suppressAutoHyphens/>
        <w:jc w:val="both"/>
      </w:pPr>
      <w:r w:rsidRPr="00356DB6">
        <w:t xml:space="preserve">This </w:t>
      </w:r>
      <w:r>
        <w:t>survey is part of an</w:t>
      </w:r>
      <w:r w:rsidRPr="00356DB6">
        <w:t xml:space="preserve"> ongoing joint IT SCC effort to develop and coordinate strategie</w:t>
      </w:r>
      <w:r>
        <w:t>s to engage the SMB community</w:t>
      </w:r>
      <w:r w:rsidR="00B27BEB" w:rsidRPr="00B27BEB">
        <w:t xml:space="preserve"> </w:t>
      </w:r>
      <w:r w:rsidR="00B27BEB" w:rsidRPr="00356DB6">
        <w:t>on educating SMBs about cybersecurity risks and how the national Cybersecurity Framework can assist SMBs strengthen their overall cybersecurity posture</w:t>
      </w:r>
      <w:r w:rsidR="00B27BEB">
        <w:t>. The questionnaire is meant to collect information</w:t>
      </w:r>
      <w:r>
        <w:t xml:space="preserve"> about what sources </w:t>
      </w:r>
      <w:r w:rsidR="00B27BEB">
        <w:t>IT SMBs</w:t>
      </w:r>
      <w:r>
        <w:t xml:space="preserve"> are using to reference cybersecurity best practices, about companies’ specific assets and management practices, such as physical access management</w:t>
      </w:r>
      <w:r w:rsidR="00B27BEB">
        <w:t>,</w:t>
      </w:r>
      <w:r w:rsidR="003B1431">
        <w:t xml:space="preserve"> </w:t>
      </w:r>
      <w:r>
        <w:t xml:space="preserve">and cost of </w:t>
      </w:r>
      <w:r w:rsidR="00B27BEB">
        <w:t>NIST CSF</w:t>
      </w:r>
      <w:r>
        <w:t xml:space="preserve"> </w:t>
      </w:r>
      <w:r w:rsidR="00B27BEB">
        <w:t>adoption</w:t>
      </w:r>
      <w:r>
        <w:t xml:space="preserve"> and implementation. </w:t>
      </w:r>
    </w:p>
    <w:p w14:paraId="0EA8181C" w14:textId="77777777" w:rsidR="00A83F42" w:rsidRDefault="00A83F42" w:rsidP="00757ADD">
      <w:pPr>
        <w:tabs>
          <w:tab w:val="left" w:pos="-720"/>
        </w:tabs>
        <w:suppressAutoHyphens/>
        <w:ind w:left="720"/>
        <w:jc w:val="both"/>
      </w:pPr>
    </w:p>
    <w:p w14:paraId="61E99B6C" w14:textId="031F37C3" w:rsidR="00F478D6" w:rsidRDefault="00B27BEB" w:rsidP="00757ADD">
      <w:pPr>
        <w:tabs>
          <w:tab w:val="left" w:pos="-720"/>
        </w:tabs>
        <w:suppressAutoHyphens/>
        <w:ind w:left="720"/>
        <w:jc w:val="both"/>
      </w:pPr>
      <w:r>
        <w:t>Therefore the</w:t>
      </w:r>
      <w:r w:rsidRPr="00635165">
        <w:t xml:space="preserve"> respondent’s universe will include</w:t>
      </w:r>
      <w:r w:rsidR="00947913">
        <w:t xml:space="preserve"> </w:t>
      </w:r>
      <w:r w:rsidR="00EB459A">
        <w:t>IT SMBs subset of the NAICS secto</w:t>
      </w:r>
      <w:r w:rsidR="00875666">
        <w:t>r code 51 Information Services</w:t>
      </w:r>
      <w:r w:rsidR="00F478D6">
        <w:t xml:space="preserve"> subsectors 518 and 519:</w:t>
      </w:r>
    </w:p>
    <w:p w14:paraId="06C14517" w14:textId="77777777" w:rsidR="00A83F42" w:rsidRDefault="00A83F42" w:rsidP="00757ADD">
      <w:pPr>
        <w:tabs>
          <w:tab w:val="left" w:pos="-720"/>
        </w:tabs>
        <w:suppressAutoHyphens/>
        <w:ind w:left="720"/>
        <w:jc w:val="both"/>
      </w:pPr>
    </w:p>
    <w:tbl>
      <w:tblPr>
        <w:tblStyle w:val="TableGrid"/>
        <w:tblW w:w="0" w:type="auto"/>
        <w:tblInd w:w="720" w:type="dxa"/>
        <w:tblLook w:val="04A0" w:firstRow="1" w:lastRow="0" w:firstColumn="1" w:lastColumn="0" w:noHBand="0" w:noVBand="1"/>
      </w:tblPr>
      <w:tblGrid>
        <w:gridCol w:w="1795"/>
        <w:gridCol w:w="6835"/>
      </w:tblGrid>
      <w:tr w:rsidR="00F478D6" w14:paraId="2D141D9C" w14:textId="77777777" w:rsidTr="00F478D6">
        <w:tc>
          <w:tcPr>
            <w:tcW w:w="1795" w:type="dxa"/>
          </w:tcPr>
          <w:p w14:paraId="229E7A5F" w14:textId="6CCAEEAA" w:rsidR="00F478D6" w:rsidRDefault="00F478D6" w:rsidP="00F478D6">
            <w:pPr>
              <w:tabs>
                <w:tab w:val="left" w:pos="-720"/>
              </w:tabs>
              <w:suppressAutoHyphens/>
              <w:jc w:val="both"/>
            </w:pPr>
            <w:r w:rsidRPr="00F478D6">
              <w:t xml:space="preserve">Subsector 518 </w:t>
            </w:r>
          </w:p>
        </w:tc>
        <w:tc>
          <w:tcPr>
            <w:tcW w:w="6835" w:type="dxa"/>
          </w:tcPr>
          <w:p w14:paraId="34C96428" w14:textId="7A2744F9" w:rsidR="00F478D6" w:rsidRDefault="00F478D6" w:rsidP="00757ADD">
            <w:pPr>
              <w:tabs>
                <w:tab w:val="left" w:pos="-720"/>
              </w:tabs>
              <w:suppressAutoHyphens/>
              <w:jc w:val="both"/>
            </w:pPr>
            <w:r w:rsidRPr="00F478D6">
              <w:t>Data Processing, Hosting, and Related Services</w:t>
            </w:r>
          </w:p>
        </w:tc>
      </w:tr>
      <w:tr w:rsidR="00F478D6" w14:paraId="76CF9982" w14:textId="77777777" w:rsidTr="00F478D6">
        <w:tc>
          <w:tcPr>
            <w:tcW w:w="1795" w:type="dxa"/>
          </w:tcPr>
          <w:p w14:paraId="77C0C3A8" w14:textId="1CE34416" w:rsidR="00F478D6" w:rsidRDefault="00F478D6" w:rsidP="00757ADD">
            <w:pPr>
              <w:tabs>
                <w:tab w:val="left" w:pos="-720"/>
              </w:tabs>
              <w:suppressAutoHyphens/>
              <w:jc w:val="both"/>
            </w:pPr>
            <w:r w:rsidRPr="00F478D6">
              <w:t>Subsector 519</w:t>
            </w:r>
          </w:p>
        </w:tc>
        <w:tc>
          <w:tcPr>
            <w:tcW w:w="6835" w:type="dxa"/>
          </w:tcPr>
          <w:p w14:paraId="391F0A01" w14:textId="26E08BB7" w:rsidR="00F478D6" w:rsidRDefault="00F478D6" w:rsidP="00757ADD">
            <w:pPr>
              <w:tabs>
                <w:tab w:val="left" w:pos="-720"/>
              </w:tabs>
              <w:suppressAutoHyphens/>
              <w:jc w:val="both"/>
            </w:pPr>
            <w:r w:rsidRPr="00F478D6">
              <w:t>Other Information Services</w:t>
            </w:r>
          </w:p>
        </w:tc>
      </w:tr>
    </w:tbl>
    <w:p w14:paraId="51A79B62" w14:textId="77777777" w:rsidR="00F478D6" w:rsidRDefault="00F478D6" w:rsidP="00757ADD">
      <w:pPr>
        <w:tabs>
          <w:tab w:val="left" w:pos="-720"/>
        </w:tabs>
        <w:suppressAutoHyphens/>
        <w:ind w:left="720"/>
        <w:jc w:val="both"/>
      </w:pPr>
    </w:p>
    <w:p w14:paraId="4CD8E583" w14:textId="085BD634" w:rsidR="00757ADD" w:rsidRDefault="00875666" w:rsidP="00757ADD">
      <w:pPr>
        <w:tabs>
          <w:tab w:val="left" w:pos="-720"/>
        </w:tabs>
        <w:suppressAutoHyphens/>
        <w:ind w:left="720"/>
        <w:jc w:val="both"/>
      </w:pPr>
      <w:r>
        <w:t xml:space="preserve">The overall number of SMBs firms with less than 500 employees in </w:t>
      </w:r>
      <w:r w:rsidR="000B2970">
        <w:t>the IT</w:t>
      </w:r>
      <w:r>
        <w:t xml:space="preserve"> sector NAICS 51 is estimated </w:t>
      </w:r>
      <w:r w:rsidR="000B2970">
        <w:t xml:space="preserve">at </w:t>
      </w:r>
      <w:r w:rsidR="00073307">
        <w:t>70K</w:t>
      </w:r>
      <w:r w:rsidR="00F478D6">
        <w:rPr>
          <w:rStyle w:val="FootnoteReference"/>
        </w:rPr>
        <w:footnoteReference w:id="2"/>
      </w:r>
      <w:r w:rsidR="00F478D6">
        <w:t>.</w:t>
      </w:r>
      <w:r w:rsidR="00506F56">
        <w:t xml:space="preserve"> Number of small enterprises in the relevant subsectors are:</w:t>
      </w:r>
    </w:p>
    <w:p w14:paraId="61D014F7" w14:textId="77777777" w:rsidR="00A83F42" w:rsidRDefault="00A83F42" w:rsidP="00757ADD">
      <w:pPr>
        <w:tabs>
          <w:tab w:val="left" w:pos="-720"/>
        </w:tabs>
        <w:suppressAutoHyphens/>
        <w:ind w:left="720"/>
        <w:jc w:val="both"/>
      </w:pPr>
    </w:p>
    <w:tbl>
      <w:tblPr>
        <w:tblStyle w:val="TableGrid"/>
        <w:tblW w:w="0" w:type="auto"/>
        <w:tblInd w:w="720" w:type="dxa"/>
        <w:tblLook w:val="04A0" w:firstRow="1" w:lastRow="0" w:firstColumn="1" w:lastColumn="0" w:noHBand="0" w:noVBand="1"/>
      </w:tblPr>
      <w:tblGrid>
        <w:gridCol w:w="937"/>
        <w:gridCol w:w="5301"/>
        <w:gridCol w:w="2392"/>
      </w:tblGrid>
      <w:tr w:rsidR="00506F56" w14:paraId="69D97328" w14:textId="77777777" w:rsidTr="00A83F42">
        <w:tc>
          <w:tcPr>
            <w:tcW w:w="937" w:type="dxa"/>
          </w:tcPr>
          <w:p w14:paraId="0F51DA54" w14:textId="463549EE" w:rsidR="00506F56" w:rsidRDefault="00506F56" w:rsidP="003A013B">
            <w:pPr>
              <w:tabs>
                <w:tab w:val="left" w:pos="-720"/>
              </w:tabs>
              <w:suppressAutoHyphens/>
              <w:jc w:val="both"/>
            </w:pPr>
            <w:r>
              <w:t>NAICS</w:t>
            </w:r>
          </w:p>
        </w:tc>
        <w:tc>
          <w:tcPr>
            <w:tcW w:w="5301" w:type="dxa"/>
          </w:tcPr>
          <w:p w14:paraId="52317120" w14:textId="253C2D9E" w:rsidR="00506F56" w:rsidRPr="00F478D6" w:rsidRDefault="00596BD2" w:rsidP="003A013B">
            <w:pPr>
              <w:tabs>
                <w:tab w:val="left" w:pos="-720"/>
              </w:tabs>
              <w:suppressAutoHyphens/>
              <w:jc w:val="both"/>
            </w:pPr>
            <w:r>
              <w:t>NAICS Description</w:t>
            </w:r>
          </w:p>
        </w:tc>
        <w:tc>
          <w:tcPr>
            <w:tcW w:w="2392" w:type="dxa"/>
          </w:tcPr>
          <w:p w14:paraId="4DCDC3B2" w14:textId="00CAF02A" w:rsidR="00506F56" w:rsidRPr="00F478D6" w:rsidRDefault="00506F56" w:rsidP="003A013B">
            <w:pPr>
              <w:tabs>
                <w:tab w:val="left" w:pos="-720"/>
              </w:tabs>
              <w:suppressAutoHyphens/>
              <w:jc w:val="both"/>
            </w:pPr>
            <w:r>
              <w:t>Number</w:t>
            </w:r>
            <w:r>
              <w:rPr>
                <w:rStyle w:val="FootnoteReference"/>
              </w:rPr>
              <w:footnoteReference w:id="3"/>
            </w:r>
          </w:p>
        </w:tc>
      </w:tr>
      <w:tr w:rsidR="00506F56" w14:paraId="3FFA5DA9" w14:textId="0E788227" w:rsidTr="00A83F42">
        <w:tc>
          <w:tcPr>
            <w:tcW w:w="937" w:type="dxa"/>
          </w:tcPr>
          <w:p w14:paraId="59EC9F58" w14:textId="0EFDBD99" w:rsidR="00506F56" w:rsidRDefault="00506F56" w:rsidP="003A013B">
            <w:pPr>
              <w:tabs>
                <w:tab w:val="left" w:pos="-720"/>
              </w:tabs>
              <w:suppressAutoHyphens/>
              <w:jc w:val="both"/>
            </w:pPr>
            <w:r>
              <w:t xml:space="preserve"> </w:t>
            </w:r>
            <w:r w:rsidRPr="00F478D6">
              <w:t xml:space="preserve">518 </w:t>
            </w:r>
          </w:p>
        </w:tc>
        <w:tc>
          <w:tcPr>
            <w:tcW w:w="5301" w:type="dxa"/>
          </w:tcPr>
          <w:p w14:paraId="65A9D918" w14:textId="77777777" w:rsidR="00506F56" w:rsidRDefault="00506F56" w:rsidP="003A013B">
            <w:pPr>
              <w:tabs>
                <w:tab w:val="left" w:pos="-720"/>
              </w:tabs>
              <w:suppressAutoHyphens/>
              <w:jc w:val="both"/>
            </w:pPr>
            <w:r w:rsidRPr="00F478D6">
              <w:t>Data Processing, Hosting, and Related Services</w:t>
            </w:r>
          </w:p>
        </w:tc>
        <w:tc>
          <w:tcPr>
            <w:tcW w:w="2392" w:type="dxa"/>
          </w:tcPr>
          <w:p w14:paraId="4025C9D7" w14:textId="0B2B2E19" w:rsidR="00506F56" w:rsidRPr="00F478D6" w:rsidRDefault="00506F56" w:rsidP="00506F56">
            <w:pPr>
              <w:tabs>
                <w:tab w:val="left" w:pos="-720"/>
              </w:tabs>
              <w:suppressAutoHyphens/>
              <w:jc w:val="both"/>
            </w:pPr>
            <w:r>
              <w:t>9,099</w:t>
            </w:r>
          </w:p>
        </w:tc>
      </w:tr>
      <w:tr w:rsidR="00506F56" w14:paraId="19C5C537" w14:textId="04BD1560" w:rsidTr="00A83F42">
        <w:tc>
          <w:tcPr>
            <w:tcW w:w="937" w:type="dxa"/>
          </w:tcPr>
          <w:p w14:paraId="02E80479" w14:textId="5E3B8C86" w:rsidR="00506F56" w:rsidRDefault="00506F56" w:rsidP="003A013B">
            <w:pPr>
              <w:tabs>
                <w:tab w:val="left" w:pos="-720"/>
              </w:tabs>
              <w:suppressAutoHyphens/>
              <w:jc w:val="both"/>
            </w:pPr>
            <w:r>
              <w:t xml:space="preserve"> </w:t>
            </w:r>
            <w:r w:rsidRPr="00F478D6">
              <w:t>519</w:t>
            </w:r>
          </w:p>
        </w:tc>
        <w:tc>
          <w:tcPr>
            <w:tcW w:w="5301" w:type="dxa"/>
          </w:tcPr>
          <w:p w14:paraId="1A0054E6" w14:textId="77777777" w:rsidR="00506F56" w:rsidRDefault="00506F56" w:rsidP="003A013B">
            <w:pPr>
              <w:tabs>
                <w:tab w:val="left" w:pos="-720"/>
              </w:tabs>
              <w:suppressAutoHyphens/>
              <w:jc w:val="both"/>
            </w:pPr>
            <w:r w:rsidRPr="00F478D6">
              <w:t>Other Information Services</w:t>
            </w:r>
          </w:p>
        </w:tc>
        <w:tc>
          <w:tcPr>
            <w:tcW w:w="2392" w:type="dxa"/>
          </w:tcPr>
          <w:p w14:paraId="64E9B64D" w14:textId="2D6E6FFC" w:rsidR="00506F56" w:rsidRPr="00F478D6" w:rsidRDefault="00506F56" w:rsidP="003A013B">
            <w:pPr>
              <w:tabs>
                <w:tab w:val="left" w:pos="-720"/>
              </w:tabs>
              <w:suppressAutoHyphens/>
              <w:jc w:val="both"/>
            </w:pPr>
            <w:r>
              <w:t>8,467</w:t>
            </w:r>
          </w:p>
        </w:tc>
      </w:tr>
      <w:tr w:rsidR="00506F56" w14:paraId="42D1DEC4" w14:textId="77777777" w:rsidTr="00A83F42">
        <w:tc>
          <w:tcPr>
            <w:tcW w:w="937" w:type="dxa"/>
          </w:tcPr>
          <w:p w14:paraId="039BADA8" w14:textId="77777777" w:rsidR="00506F56" w:rsidRDefault="00506F56" w:rsidP="003A013B">
            <w:pPr>
              <w:tabs>
                <w:tab w:val="left" w:pos="-720"/>
              </w:tabs>
              <w:suppressAutoHyphens/>
              <w:jc w:val="both"/>
            </w:pPr>
          </w:p>
        </w:tc>
        <w:tc>
          <w:tcPr>
            <w:tcW w:w="5301" w:type="dxa"/>
          </w:tcPr>
          <w:p w14:paraId="0661C965" w14:textId="71E43580" w:rsidR="00506F56" w:rsidRPr="00F478D6" w:rsidRDefault="00506F56" w:rsidP="003A013B">
            <w:pPr>
              <w:tabs>
                <w:tab w:val="left" w:pos="-720"/>
              </w:tabs>
              <w:suppressAutoHyphens/>
              <w:jc w:val="both"/>
            </w:pPr>
            <w:r>
              <w:t>Total</w:t>
            </w:r>
          </w:p>
        </w:tc>
        <w:tc>
          <w:tcPr>
            <w:tcW w:w="2392" w:type="dxa"/>
          </w:tcPr>
          <w:p w14:paraId="7077E67B" w14:textId="249DF74D" w:rsidR="00506F56" w:rsidRPr="00F478D6" w:rsidRDefault="00506F56" w:rsidP="003A013B">
            <w:pPr>
              <w:tabs>
                <w:tab w:val="left" w:pos="-720"/>
              </w:tabs>
              <w:suppressAutoHyphens/>
              <w:jc w:val="both"/>
            </w:pPr>
            <w:r>
              <w:t>17,566</w:t>
            </w:r>
          </w:p>
        </w:tc>
      </w:tr>
    </w:tbl>
    <w:p w14:paraId="2E85E5DD" w14:textId="77777777" w:rsidR="00A83F42" w:rsidRDefault="00A83F42" w:rsidP="00757ADD">
      <w:pPr>
        <w:tabs>
          <w:tab w:val="left" w:pos="-720"/>
        </w:tabs>
        <w:suppressAutoHyphens/>
        <w:ind w:left="720"/>
        <w:jc w:val="both"/>
      </w:pPr>
    </w:p>
    <w:p w14:paraId="75373EBB" w14:textId="54298FC8" w:rsidR="00506F56" w:rsidRDefault="00A83F42" w:rsidP="00757ADD">
      <w:pPr>
        <w:tabs>
          <w:tab w:val="left" w:pos="-720"/>
        </w:tabs>
        <w:suppressAutoHyphens/>
        <w:ind w:left="720"/>
        <w:jc w:val="both"/>
      </w:pPr>
      <w:r>
        <w:t>T</w:t>
      </w:r>
      <w:r w:rsidRPr="00635165">
        <w:t>he</w:t>
      </w:r>
      <w:r>
        <w:t>refore the</w:t>
      </w:r>
      <w:r w:rsidRPr="00635165">
        <w:t xml:space="preserve"> information collection’s population universe as a whole </w:t>
      </w:r>
      <w:r>
        <w:t xml:space="preserve">is </w:t>
      </w:r>
      <w:r w:rsidRPr="00635165">
        <w:t>calculated to be</w:t>
      </w:r>
      <w:r>
        <w:t xml:space="preserve"> 17,566.</w:t>
      </w:r>
      <w:r w:rsidRPr="00A83F42">
        <w:t xml:space="preserve"> </w:t>
      </w:r>
      <w:r>
        <w:t xml:space="preserve">With an estimated response rate of </w:t>
      </w:r>
      <w:r w:rsidRPr="00635165">
        <w:t xml:space="preserve">25% </w:t>
      </w:r>
      <w:r>
        <w:t xml:space="preserve">- 30% the number of respondents is approximated at </w:t>
      </w:r>
      <w:r w:rsidR="004D6FE1">
        <w:t>around 5,0</w:t>
      </w:r>
      <w:r>
        <w:t>00.</w:t>
      </w:r>
    </w:p>
    <w:p w14:paraId="2332099D" w14:textId="77777777" w:rsidR="00F478D6" w:rsidRDefault="00F478D6" w:rsidP="00757ADD">
      <w:pPr>
        <w:tabs>
          <w:tab w:val="left" w:pos="-720"/>
        </w:tabs>
        <w:suppressAutoHyphens/>
        <w:ind w:left="720"/>
        <w:jc w:val="both"/>
      </w:pPr>
    </w:p>
    <w:p w14:paraId="6845DB69" w14:textId="211A6D9C" w:rsidR="0055323F" w:rsidRPr="00A00E29" w:rsidRDefault="00A83F42" w:rsidP="003C72D9">
      <w:pPr>
        <w:pStyle w:val="ListParagraph"/>
        <w:numPr>
          <w:ilvl w:val="0"/>
          <w:numId w:val="31"/>
        </w:numPr>
        <w:tabs>
          <w:tab w:val="left" w:pos="-720"/>
        </w:tabs>
        <w:suppressAutoHyphens/>
        <w:ind w:left="1620"/>
        <w:jc w:val="both"/>
      </w:pPr>
      <w:r>
        <w:t>Number of respondents: 5,0</w:t>
      </w:r>
      <w:r w:rsidR="0055323F" w:rsidRPr="00A00E29">
        <w:t>00</w:t>
      </w:r>
    </w:p>
    <w:p w14:paraId="5AFF49B2" w14:textId="77777777" w:rsidR="0055323F" w:rsidRDefault="0055323F" w:rsidP="003C72D9">
      <w:pPr>
        <w:pStyle w:val="ListParagraph"/>
        <w:numPr>
          <w:ilvl w:val="0"/>
          <w:numId w:val="31"/>
        </w:numPr>
        <w:tabs>
          <w:tab w:val="left" w:pos="-720"/>
        </w:tabs>
        <w:suppressAutoHyphens/>
        <w:ind w:left="1620"/>
        <w:jc w:val="both"/>
      </w:pPr>
      <w:r w:rsidRPr="00A00E29">
        <w:t>Frequency of Response: Every five years</w:t>
      </w:r>
    </w:p>
    <w:p w14:paraId="43DA85AE" w14:textId="0FC99B31" w:rsidR="00AA1411" w:rsidRPr="00A00E29" w:rsidRDefault="00AA1411" w:rsidP="003C72D9">
      <w:pPr>
        <w:pStyle w:val="ListParagraph"/>
        <w:numPr>
          <w:ilvl w:val="0"/>
          <w:numId w:val="31"/>
        </w:numPr>
        <w:tabs>
          <w:tab w:val="left" w:pos="-720"/>
        </w:tabs>
        <w:suppressAutoHyphens/>
        <w:ind w:left="1620"/>
        <w:jc w:val="both"/>
      </w:pPr>
      <w:r>
        <w:t>Annual</w:t>
      </w:r>
      <w:r w:rsidR="005F44A6">
        <w:t>ized</w:t>
      </w:r>
      <w:r>
        <w:t xml:space="preserve"> Number of respondents: </w:t>
      </w:r>
      <w:r w:rsidR="004D6FE1">
        <w:t>5,0</w:t>
      </w:r>
      <w:r>
        <w:t>00 respondents/</w:t>
      </w:r>
      <w:r w:rsidR="002B3BBE">
        <w:t>5 years = 1,0</w:t>
      </w:r>
      <w:r>
        <w:t>00 respondents annually</w:t>
      </w:r>
    </w:p>
    <w:p w14:paraId="6A37CB59" w14:textId="44535B53" w:rsidR="005F44A6" w:rsidRDefault="0055323F" w:rsidP="003C72D9">
      <w:pPr>
        <w:pStyle w:val="ListParagraph"/>
        <w:numPr>
          <w:ilvl w:val="0"/>
          <w:numId w:val="31"/>
        </w:numPr>
        <w:tabs>
          <w:tab w:val="left" w:pos="-720"/>
        </w:tabs>
        <w:suppressAutoHyphens/>
        <w:ind w:left="1620"/>
        <w:jc w:val="both"/>
      </w:pPr>
      <w:r w:rsidRPr="00A00E29">
        <w:t>Annual</w:t>
      </w:r>
      <w:r w:rsidR="005F44A6">
        <w:t>ized</w:t>
      </w:r>
      <w:r w:rsidRPr="00A00E29">
        <w:t xml:space="preserve"> hour burden: </w:t>
      </w:r>
      <w:r w:rsidR="002B3BBE">
        <w:t>500</w:t>
      </w:r>
      <w:r w:rsidRPr="00A00E29">
        <w:t xml:space="preserve"> </w:t>
      </w:r>
      <w:r w:rsidR="005F44A6">
        <w:t>hours</w:t>
      </w:r>
    </w:p>
    <w:p w14:paraId="181CC519" w14:textId="3506D9D4" w:rsidR="0055323F" w:rsidRDefault="0055323F" w:rsidP="003C72D9">
      <w:pPr>
        <w:pStyle w:val="ListParagraph"/>
        <w:tabs>
          <w:tab w:val="left" w:pos="-720"/>
        </w:tabs>
        <w:suppressAutoHyphens/>
        <w:ind w:left="1620" w:hanging="360"/>
        <w:jc w:val="both"/>
      </w:pPr>
      <w:r w:rsidRPr="00A00E29">
        <w:t>(30 minutes</w:t>
      </w:r>
      <w:r w:rsidR="002B3BBE">
        <w:rPr>
          <w:rStyle w:val="FootnoteReference"/>
        </w:rPr>
        <w:footnoteReference w:id="4"/>
      </w:r>
      <w:r w:rsidRPr="00A00E29">
        <w:t xml:space="preserve"> per response, 0.5 X </w:t>
      </w:r>
      <w:r w:rsidR="002B3BBE">
        <w:t>1,0</w:t>
      </w:r>
      <w:r w:rsidR="00AA1411">
        <w:t>00</w:t>
      </w:r>
      <w:r w:rsidRPr="00A00E29">
        <w:t xml:space="preserve"> = </w:t>
      </w:r>
      <w:r w:rsidR="002B3BBE">
        <w:t>500</w:t>
      </w:r>
      <w:r w:rsidRPr="00A00E29">
        <w:t xml:space="preserve"> average burden hours per year)</w:t>
      </w:r>
    </w:p>
    <w:p w14:paraId="1ED2F4D3" w14:textId="77777777" w:rsidR="00267484" w:rsidRPr="00A00E29" w:rsidRDefault="00267484" w:rsidP="00E75177">
      <w:pPr>
        <w:tabs>
          <w:tab w:val="left" w:pos="-720"/>
        </w:tabs>
        <w:suppressAutoHyphens/>
        <w:ind w:left="720"/>
        <w:jc w:val="both"/>
      </w:pPr>
    </w:p>
    <w:p w14:paraId="6201714E" w14:textId="77777777" w:rsidR="008147A1" w:rsidRPr="00A00E29" w:rsidRDefault="008147A1" w:rsidP="008147A1">
      <w:pPr>
        <w:numPr>
          <w:ilvl w:val="0"/>
          <w:numId w:val="29"/>
        </w:numPr>
        <w:tabs>
          <w:tab w:val="left" w:pos="-720"/>
        </w:tabs>
        <w:suppressAutoHyphens/>
        <w:jc w:val="both"/>
      </w:pPr>
      <w:r w:rsidRPr="00A00E29">
        <w:t>N/A</w:t>
      </w:r>
    </w:p>
    <w:p w14:paraId="5B4A0A5F" w14:textId="77777777" w:rsidR="003A013B" w:rsidRDefault="003A013B" w:rsidP="003C72D9">
      <w:pPr>
        <w:numPr>
          <w:ilvl w:val="0"/>
          <w:numId w:val="29"/>
        </w:numPr>
        <w:tabs>
          <w:tab w:val="left" w:pos="-720"/>
        </w:tabs>
        <w:suppressAutoHyphens/>
        <w:ind w:left="360" w:firstLine="0"/>
        <w:jc w:val="both"/>
      </w:pPr>
    </w:p>
    <w:p w14:paraId="54DDCB4A" w14:textId="09C03772" w:rsidR="003A013B" w:rsidRPr="00635165" w:rsidRDefault="00FE13FE" w:rsidP="003A013B">
      <w:pPr>
        <w:pStyle w:val="ListParagraph"/>
        <w:tabs>
          <w:tab w:val="left" w:pos="-720"/>
        </w:tabs>
        <w:suppressAutoHyphens/>
      </w:pPr>
      <w:r>
        <w:t xml:space="preserve">To </w:t>
      </w:r>
      <w:r w:rsidR="005C17E7">
        <w:t xml:space="preserve">monetize the </w:t>
      </w:r>
      <w:r w:rsidRPr="00A00E29">
        <w:t>respondents</w:t>
      </w:r>
      <w:r w:rsidR="005C17E7">
        <w:t>’</w:t>
      </w:r>
      <w:r w:rsidRPr="00A00E29">
        <w:t xml:space="preserve"> </w:t>
      </w:r>
      <w:r w:rsidR="005C17E7">
        <w:t>hour burden</w:t>
      </w:r>
      <w:r w:rsidRPr="00A00E29">
        <w:t xml:space="preserve"> for collections of information</w:t>
      </w:r>
      <w:r>
        <w:t>,</w:t>
      </w:r>
      <w:r w:rsidRPr="00635165">
        <w:t xml:space="preserve"> </w:t>
      </w:r>
      <w:r w:rsidR="003A013B" w:rsidRPr="00635165">
        <w:t xml:space="preserve">DHS will be using the formula: </w:t>
      </w:r>
      <w:r w:rsidR="003A013B" w:rsidRPr="003A013B">
        <w:rPr>
          <w:b/>
        </w:rPr>
        <w:t xml:space="preserve">(Mean Hourly Wage Rate) x (Benefit Multiplier) </w:t>
      </w:r>
      <w:r w:rsidR="005C17E7">
        <w:rPr>
          <w:b/>
        </w:rPr>
        <w:t>x (</w:t>
      </w:r>
      <w:r w:rsidR="00483B3F">
        <w:rPr>
          <w:b/>
        </w:rPr>
        <w:t>H</w:t>
      </w:r>
      <w:r w:rsidR="005C17E7">
        <w:rPr>
          <w:b/>
        </w:rPr>
        <w:t>ours)</w:t>
      </w:r>
    </w:p>
    <w:p w14:paraId="35076E67" w14:textId="77777777" w:rsidR="00AA1909" w:rsidRDefault="00AA1909" w:rsidP="003A013B">
      <w:pPr>
        <w:tabs>
          <w:tab w:val="left" w:pos="-720"/>
        </w:tabs>
        <w:suppressAutoHyphens/>
        <w:ind w:left="360"/>
        <w:jc w:val="both"/>
      </w:pPr>
    </w:p>
    <w:p w14:paraId="0E6BB3CF" w14:textId="2295EA1E" w:rsidR="003A013B" w:rsidRDefault="003A013B" w:rsidP="003A013B">
      <w:pPr>
        <w:tabs>
          <w:tab w:val="left" w:pos="-720"/>
        </w:tabs>
        <w:suppressAutoHyphens/>
        <w:ind w:left="360"/>
        <w:jc w:val="both"/>
      </w:pPr>
      <w:r w:rsidRPr="00635165">
        <w:t>This formula determine</w:t>
      </w:r>
      <w:r>
        <w:t>s</w:t>
      </w:r>
      <w:r w:rsidRPr="00635165">
        <w:t xml:space="preserve"> the mean, fully-loaded hourly wage rate for </w:t>
      </w:r>
      <w:r>
        <w:t xml:space="preserve">SMBs in the relevant sector. The primary target respondents are CISOs or their equivalents for the SMBs within the IT sector, therefore no breakdown by discipline is necessary. </w:t>
      </w:r>
    </w:p>
    <w:p w14:paraId="6C43538B" w14:textId="77777777" w:rsidR="003A013B" w:rsidRDefault="003A013B" w:rsidP="003A013B">
      <w:pPr>
        <w:tabs>
          <w:tab w:val="left" w:pos="-720"/>
        </w:tabs>
        <w:suppressAutoHyphens/>
        <w:ind w:left="360"/>
        <w:jc w:val="both"/>
      </w:pPr>
    </w:p>
    <w:p w14:paraId="21B97208" w14:textId="77777777" w:rsidR="00C0736E" w:rsidRDefault="003A013B" w:rsidP="005C122F">
      <w:pPr>
        <w:tabs>
          <w:tab w:val="left" w:pos="-720"/>
        </w:tabs>
        <w:suppressAutoHyphens/>
        <w:ind w:left="360"/>
        <w:jc w:val="both"/>
      </w:pPr>
      <w:r w:rsidRPr="000C59CD">
        <w:t>For the purposes of t</w:t>
      </w:r>
      <w:r w:rsidR="00AA1909">
        <w:t xml:space="preserve">hese calculations, DHS is using </w:t>
      </w:r>
      <w:r w:rsidR="00AA1909" w:rsidRPr="003A013B">
        <w:t>2012</w:t>
      </w:r>
      <w:r w:rsidR="00AA1909">
        <w:t xml:space="preserve"> </w:t>
      </w:r>
      <w:r w:rsidRPr="003A013B">
        <w:t>Statistics of U.S. Businesses Employment and Payroll Summary</w:t>
      </w:r>
      <w:r w:rsidR="00AA1909">
        <w:rPr>
          <w:rStyle w:val="FootnoteReference"/>
        </w:rPr>
        <w:footnoteReference w:id="5"/>
      </w:r>
      <w:r w:rsidRPr="003A013B">
        <w:t xml:space="preserve">. </w:t>
      </w:r>
      <w:r w:rsidR="00AA1909">
        <w:t xml:space="preserve">Average pay per employee at enterprises with fewer than 500 employees in Information Services equaled $66,232 in 2012, which is the latest year for which the subsector summary is available. Average pay per employee in the NAICS 518 small enterprises was $80,855. </w:t>
      </w:r>
    </w:p>
    <w:p w14:paraId="754F2063" w14:textId="77777777" w:rsidR="00C0736E" w:rsidRDefault="00C0736E" w:rsidP="005C122F">
      <w:pPr>
        <w:tabs>
          <w:tab w:val="left" w:pos="-720"/>
        </w:tabs>
        <w:suppressAutoHyphens/>
        <w:ind w:left="360"/>
        <w:jc w:val="both"/>
      </w:pPr>
    </w:p>
    <w:p w14:paraId="597D0077" w14:textId="2AC1C4E9" w:rsidR="00C0736E" w:rsidRDefault="00C0736E" w:rsidP="00483B3F">
      <w:pPr>
        <w:ind w:left="360"/>
        <w:jc w:val="both"/>
      </w:pPr>
      <w:r>
        <w:t xml:space="preserve">Inability to drill down to the SMB segment of the occupational </w:t>
      </w:r>
      <w:r w:rsidR="00DD207A">
        <w:t xml:space="preserve">statistics within the subsector of interest suggests using the annual average pay for the targeted segment ($80,855) as a reasonable alternative. This annual average corresponds to the average hourly rate of $38.87 ($80,855/2080 hours = $38.87). </w:t>
      </w:r>
    </w:p>
    <w:p w14:paraId="303BDC41" w14:textId="77777777" w:rsidR="00DD207A" w:rsidRDefault="00DD207A" w:rsidP="00483B3F">
      <w:pPr>
        <w:ind w:left="360"/>
        <w:jc w:val="both"/>
      </w:pPr>
    </w:p>
    <w:p w14:paraId="5F53AD52" w14:textId="46A0479F" w:rsidR="00DD207A" w:rsidRDefault="00DD207A" w:rsidP="00483B3F">
      <w:pPr>
        <w:tabs>
          <w:tab w:val="left" w:pos="-720"/>
        </w:tabs>
        <w:suppressAutoHyphens/>
        <w:ind w:left="360"/>
        <w:jc w:val="both"/>
      </w:pPr>
      <w:r>
        <w:t xml:space="preserve"> </w:t>
      </w:r>
      <w:r w:rsidRPr="000C59CD">
        <w:t xml:space="preserve">The Benefit Multiplier was designated as 1.462 </w:t>
      </w:r>
      <w:r>
        <w:t xml:space="preserve">based on the </w:t>
      </w:r>
      <w:r w:rsidRPr="000C59CD">
        <w:t>BLS Economic News Release</w:t>
      </w:r>
      <w:r>
        <w:t xml:space="preserve">. This </w:t>
      </w:r>
      <w:r w:rsidRPr="000C59CD">
        <w:t xml:space="preserve">source-compensation factor </w:t>
      </w:r>
      <w:r>
        <w:t xml:space="preserve">is calculated </w:t>
      </w:r>
      <w:r w:rsidRPr="000C59CD">
        <w:t xml:space="preserve">using the BLS Economic News Release with December 2016 data on Employee Compensation. Accordingly, the </w:t>
      </w:r>
      <w:r>
        <w:t xml:space="preserve">source-compensation factor was </w:t>
      </w:r>
      <w:r w:rsidRPr="000C59CD">
        <w:t>derived by applying the following formula: Total compensation divided by Wages and salaries = compensation factor (i.e. $34.90 total compensation ÷ $23.87 in wages and salaries = 1.462 compensation factor).</w:t>
      </w:r>
      <w:r>
        <w:t xml:space="preserve"> </w:t>
      </w:r>
    </w:p>
    <w:p w14:paraId="0DE871EF" w14:textId="6E3EA957" w:rsidR="00DD207A" w:rsidRDefault="00DD207A" w:rsidP="00483B3F">
      <w:pPr>
        <w:tabs>
          <w:tab w:val="left" w:pos="-720"/>
        </w:tabs>
        <w:suppressAutoHyphens/>
        <w:ind w:left="360"/>
        <w:jc w:val="both"/>
      </w:pPr>
    </w:p>
    <w:p w14:paraId="74F3716D" w14:textId="12E38AE8" w:rsidR="00DD207A" w:rsidRDefault="00DD207A" w:rsidP="00483B3F">
      <w:pPr>
        <w:tabs>
          <w:tab w:val="left" w:pos="-720"/>
        </w:tabs>
        <w:suppressAutoHyphens/>
        <w:ind w:left="360"/>
        <w:jc w:val="both"/>
      </w:pPr>
      <w:r>
        <w:t xml:space="preserve">Total fully loaded hourly wage rate is $38.87 x 1.462 = $56.83. </w:t>
      </w:r>
    </w:p>
    <w:p w14:paraId="2875E21D" w14:textId="0059B668" w:rsidR="00EA3A36" w:rsidRDefault="00DD207A" w:rsidP="00483B3F">
      <w:pPr>
        <w:tabs>
          <w:tab w:val="left" w:pos="-720"/>
        </w:tabs>
        <w:suppressAutoHyphens/>
        <w:ind w:left="360"/>
        <w:jc w:val="both"/>
      </w:pPr>
      <w:r w:rsidRPr="00A00E29">
        <w:t xml:space="preserve">Average Burden per Response is 30 minutes (0.5 </w:t>
      </w:r>
      <w:r w:rsidR="00FE13FE">
        <w:t>hours</w:t>
      </w:r>
      <w:r w:rsidRPr="00A00E29">
        <w:t xml:space="preserve">), so </w:t>
      </w:r>
      <w:r>
        <w:t xml:space="preserve">$56.83 x 0.5 = </w:t>
      </w:r>
      <w:r w:rsidR="00EA3A36">
        <w:t>$28.42</w:t>
      </w:r>
    </w:p>
    <w:p w14:paraId="0535B8E2" w14:textId="73421EBB" w:rsidR="005F44A6" w:rsidRDefault="00826647" w:rsidP="00483B3F">
      <w:pPr>
        <w:tabs>
          <w:tab w:val="left" w:pos="-720"/>
        </w:tabs>
        <w:suppressAutoHyphens/>
        <w:ind w:left="360"/>
        <w:jc w:val="both"/>
      </w:pPr>
      <w:r w:rsidRPr="00A00E29">
        <w:t xml:space="preserve">The total </w:t>
      </w:r>
      <w:r w:rsidR="00483B3F">
        <w:t xml:space="preserve">annualized </w:t>
      </w:r>
      <w:r w:rsidRPr="00A00E29">
        <w:t xml:space="preserve">number of expected respondents is </w:t>
      </w:r>
      <w:r w:rsidR="00EA3A36">
        <w:t>1,0</w:t>
      </w:r>
      <w:r w:rsidR="00AA1411">
        <w:t>00</w:t>
      </w:r>
      <w:r w:rsidRPr="00A00E29">
        <w:t>, multiplied by an average fully-l</w:t>
      </w:r>
      <w:r w:rsidR="001257F3" w:rsidRPr="00A00E29">
        <w:t xml:space="preserve">oaded half hourly wage rage </w:t>
      </w:r>
      <w:r w:rsidR="005420C0" w:rsidRPr="00A00E29">
        <w:t xml:space="preserve">of </w:t>
      </w:r>
      <w:r w:rsidR="005420C0">
        <w:t>$</w:t>
      </w:r>
      <w:r w:rsidR="00EA3A36">
        <w:t>28.42</w:t>
      </w:r>
      <w:r w:rsidRPr="00A00E29">
        <w:t xml:space="preserve"> per respondent = </w:t>
      </w:r>
      <w:r w:rsidR="00EA3A36">
        <w:t>$28</w:t>
      </w:r>
      <w:r w:rsidR="00AA1411">
        <w:t>,</w:t>
      </w:r>
      <w:r w:rsidR="00EA3A36">
        <w:t>420.</w:t>
      </w:r>
      <w:r w:rsidR="00AD00AE" w:rsidRPr="00A00E29">
        <w:t xml:space="preserve"> </w:t>
      </w:r>
    </w:p>
    <w:p w14:paraId="1B08C174" w14:textId="77777777" w:rsidR="00483B3F" w:rsidRDefault="00483B3F" w:rsidP="00483B3F">
      <w:pPr>
        <w:tabs>
          <w:tab w:val="left" w:pos="-720"/>
        </w:tabs>
        <w:suppressAutoHyphens/>
        <w:ind w:left="360"/>
        <w:jc w:val="both"/>
      </w:pPr>
    </w:p>
    <w:p w14:paraId="39F231B8" w14:textId="5AC2C369" w:rsidR="00483B3F" w:rsidRDefault="00483B3F" w:rsidP="00483B3F">
      <w:pPr>
        <w:tabs>
          <w:tab w:val="left" w:pos="-720"/>
        </w:tabs>
        <w:suppressAutoHyphens/>
        <w:ind w:left="360"/>
        <w:jc w:val="both"/>
      </w:pPr>
      <w:r w:rsidRPr="00F46627">
        <w:t xml:space="preserve">While </w:t>
      </w:r>
      <w:r w:rsidR="00421B09" w:rsidRPr="00F46627">
        <w:t xml:space="preserve">the </w:t>
      </w:r>
      <w:r w:rsidRPr="00F46627">
        <w:t>annualized cost of $28,240 is calculated by averaging response burden across 5 years</w:t>
      </w:r>
      <w:r w:rsidR="00E70388" w:rsidRPr="00F46627">
        <w:t xml:space="preserve"> based on the envisioned survey frequency</w:t>
      </w:r>
      <w:r w:rsidRPr="00F46627">
        <w:t>, the overall survey cost for</w:t>
      </w:r>
      <w:r w:rsidR="00421B09" w:rsidRPr="00F46627">
        <w:t xml:space="preserve"> the</w:t>
      </w:r>
      <w:r w:rsidRPr="00F46627">
        <w:t xml:space="preserve"> total number of respondents (5000) </w:t>
      </w:r>
      <w:r w:rsidR="008D22CE" w:rsidRPr="00F46627">
        <w:t xml:space="preserve">is $141,200. </w:t>
      </w:r>
      <w:r w:rsidR="00421B09" w:rsidRPr="00F46627">
        <w:t>The total burden will</w:t>
      </w:r>
      <w:r w:rsidR="008D22CE" w:rsidRPr="00F46627">
        <w:t xml:space="preserve"> occur as a one-time cost within the first year of the 5-year survey cycle.</w:t>
      </w:r>
      <w:r w:rsidR="008D22CE">
        <w:t xml:space="preserve"> </w:t>
      </w:r>
    </w:p>
    <w:p w14:paraId="6CC4AD9C" w14:textId="5A0EB583" w:rsidR="00C170EE" w:rsidRPr="00A00E29" w:rsidRDefault="00AD00AE" w:rsidP="00EA3A36">
      <w:pPr>
        <w:tabs>
          <w:tab w:val="left" w:pos="-720"/>
        </w:tabs>
        <w:suppressAutoHyphens/>
        <w:ind w:left="360"/>
        <w:jc w:val="both"/>
      </w:pPr>
      <w:r w:rsidRPr="00A00E29">
        <w:t xml:space="preserve"> </w:t>
      </w:r>
      <w:r w:rsidR="002C4806" w:rsidRPr="00A00E29">
        <w:t xml:space="preserve">  </w:t>
      </w:r>
    </w:p>
    <w:p w14:paraId="2584BC47" w14:textId="7037A630" w:rsidR="001A2D68" w:rsidRPr="00A00E29" w:rsidRDefault="000A4447" w:rsidP="000A4447">
      <w:r w:rsidRPr="00A00E29">
        <w:t>Table A.12: Estimated Annualized Burden Hours and Costs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7"/>
        <w:gridCol w:w="1170"/>
        <w:gridCol w:w="1170"/>
        <w:gridCol w:w="1283"/>
        <w:gridCol w:w="1260"/>
        <w:gridCol w:w="1350"/>
        <w:gridCol w:w="1620"/>
      </w:tblGrid>
      <w:tr w:rsidR="00BF57F1" w:rsidRPr="00A00E29" w14:paraId="028BF281" w14:textId="77777777" w:rsidTr="00F46627">
        <w:tc>
          <w:tcPr>
            <w:tcW w:w="1507" w:type="dxa"/>
          </w:tcPr>
          <w:p w14:paraId="1B49347F" w14:textId="77777777" w:rsidR="00BF57F1" w:rsidRPr="00A00E29" w:rsidRDefault="00BF57F1" w:rsidP="00BA27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00E29">
              <w:rPr>
                <w:bCs/>
                <w:sz w:val="20"/>
                <w:szCs w:val="20"/>
              </w:rPr>
              <w:t xml:space="preserve">Type of </w:t>
            </w:r>
          </w:p>
          <w:p w14:paraId="626FAE39" w14:textId="77777777" w:rsidR="00BF57F1" w:rsidRPr="00A00E29" w:rsidRDefault="00BF57F1" w:rsidP="00BA27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00E29">
              <w:rPr>
                <w:bCs/>
                <w:sz w:val="20"/>
                <w:szCs w:val="20"/>
              </w:rPr>
              <w:t>Respondent</w:t>
            </w:r>
          </w:p>
        </w:tc>
        <w:tc>
          <w:tcPr>
            <w:tcW w:w="1170" w:type="dxa"/>
          </w:tcPr>
          <w:p w14:paraId="1030ABDC" w14:textId="77777777" w:rsidR="00BF57F1" w:rsidRPr="00A00E29" w:rsidRDefault="00BF57F1" w:rsidP="00BA27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00E29">
              <w:rPr>
                <w:bCs/>
                <w:sz w:val="20"/>
                <w:szCs w:val="20"/>
              </w:rPr>
              <w:t xml:space="preserve">No. of </w:t>
            </w:r>
          </w:p>
          <w:p w14:paraId="17C26E64" w14:textId="6E5B1754" w:rsidR="00BF57F1" w:rsidRPr="00A00E29" w:rsidRDefault="00BF57F1" w:rsidP="00BA27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00E29">
              <w:rPr>
                <w:bCs/>
                <w:sz w:val="20"/>
                <w:szCs w:val="20"/>
              </w:rPr>
              <w:t>Respondents</w:t>
            </w:r>
            <w:r w:rsidR="00AA1411">
              <w:rPr>
                <w:bCs/>
                <w:sz w:val="20"/>
                <w:szCs w:val="20"/>
              </w:rPr>
              <w:t xml:space="preserve"> Annually</w:t>
            </w:r>
          </w:p>
        </w:tc>
        <w:tc>
          <w:tcPr>
            <w:tcW w:w="1170" w:type="dxa"/>
          </w:tcPr>
          <w:p w14:paraId="53992DF1" w14:textId="77777777" w:rsidR="00874427" w:rsidRPr="00A00E29" w:rsidRDefault="00BF57F1" w:rsidP="00BA27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00E29">
              <w:rPr>
                <w:bCs/>
                <w:sz w:val="20"/>
                <w:szCs w:val="20"/>
              </w:rPr>
              <w:t xml:space="preserve">No. of </w:t>
            </w:r>
          </w:p>
          <w:p w14:paraId="102BFA0D" w14:textId="77777777" w:rsidR="00874427" w:rsidRPr="00A00E29" w:rsidRDefault="00BF57F1" w:rsidP="00BA27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00E29">
              <w:rPr>
                <w:bCs/>
                <w:sz w:val="20"/>
                <w:szCs w:val="20"/>
              </w:rPr>
              <w:t xml:space="preserve">Responses per </w:t>
            </w:r>
          </w:p>
          <w:p w14:paraId="09B89B1F" w14:textId="02247CFF" w:rsidR="00BF57F1" w:rsidRPr="00A00E29" w:rsidRDefault="00BF57F1" w:rsidP="00BA27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00E29">
              <w:rPr>
                <w:bCs/>
                <w:sz w:val="20"/>
                <w:szCs w:val="20"/>
              </w:rPr>
              <w:t>Respondent</w:t>
            </w:r>
          </w:p>
        </w:tc>
        <w:tc>
          <w:tcPr>
            <w:tcW w:w="1283" w:type="dxa"/>
          </w:tcPr>
          <w:p w14:paraId="6D51D5D3" w14:textId="77777777" w:rsidR="00BF57F1" w:rsidRPr="00A00E29" w:rsidRDefault="00BF57F1" w:rsidP="00BA27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00E29">
              <w:rPr>
                <w:bCs/>
                <w:sz w:val="20"/>
                <w:szCs w:val="20"/>
              </w:rPr>
              <w:t>Avg. Burden per Response (in hours)</w:t>
            </w:r>
          </w:p>
        </w:tc>
        <w:tc>
          <w:tcPr>
            <w:tcW w:w="1260" w:type="dxa"/>
          </w:tcPr>
          <w:p w14:paraId="7784FC1B" w14:textId="77777777" w:rsidR="00BF57F1" w:rsidRPr="00A00E29" w:rsidRDefault="00BF57F1" w:rsidP="00BA27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00E29">
              <w:rPr>
                <w:bCs/>
                <w:sz w:val="20"/>
                <w:szCs w:val="20"/>
              </w:rPr>
              <w:t>Total Annual Burden (in hours)</w:t>
            </w:r>
          </w:p>
        </w:tc>
        <w:tc>
          <w:tcPr>
            <w:tcW w:w="1350" w:type="dxa"/>
          </w:tcPr>
          <w:p w14:paraId="43C88CC6" w14:textId="77777777" w:rsidR="00BF57F1" w:rsidRPr="00A00E29" w:rsidRDefault="00BF57F1" w:rsidP="00BA27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00E29">
              <w:rPr>
                <w:bCs/>
                <w:sz w:val="20"/>
                <w:szCs w:val="20"/>
              </w:rPr>
              <w:t>Average Hourly Wage Rate</w:t>
            </w:r>
          </w:p>
        </w:tc>
        <w:tc>
          <w:tcPr>
            <w:tcW w:w="1620" w:type="dxa"/>
          </w:tcPr>
          <w:p w14:paraId="7FCD503B" w14:textId="77777777" w:rsidR="00BF57F1" w:rsidRPr="00A00E29" w:rsidRDefault="00BF57F1" w:rsidP="00BA27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00E29">
              <w:rPr>
                <w:bCs/>
                <w:sz w:val="20"/>
                <w:szCs w:val="20"/>
              </w:rPr>
              <w:t>Total Annual Respondent Cost</w:t>
            </w:r>
          </w:p>
        </w:tc>
      </w:tr>
      <w:tr w:rsidR="00BF57F1" w:rsidRPr="00A00E29" w14:paraId="6099779E" w14:textId="77777777" w:rsidTr="00F46627">
        <w:tc>
          <w:tcPr>
            <w:tcW w:w="1507" w:type="dxa"/>
            <w:shd w:val="clear" w:color="auto" w:fill="auto"/>
          </w:tcPr>
          <w:p w14:paraId="4DE2F722" w14:textId="4E33A3A6" w:rsidR="00BF57F1" w:rsidRPr="00A00E29" w:rsidRDefault="00EA3A36" w:rsidP="00FD284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bCs/>
                <w:sz w:val="20"/>
                <w:szCs w:val="20"/>
              </w:rPr>
              <w:t>SMB CISOs</w:t>
            </w:r>
          </w:p>
        </w:tc>
        <w:tc>
          <w:tcPr>
            <w:tcW w:w="1170" w:type="dxa"/>
            <w:vAlign w:val="center"/>
          </w:tcPr>
          <w:p w14:paraId="557FDC98" w14:textId="64C374D9" w:rsidR="00BF57F1" w:rsidRPr="00A00E29" w:rsidRDefault="00AA1411" w:rsidP="00EA3A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1</w:t>
            </w:r>
            <w:r w:rsidR="00EA3A36">
              <w:rPr>
                <w:bCs/>
                <w:sz w:val="20"/>
                <w:szCs w:val="20"/>
              </w:rPr>
              <w:t>0</w:t>
            </w:r>
            <w:r>
              <w:rPr>
                <w:bCs/>
                <w:sz w:val="20"/>
                <w:szCs w:val="20"/>
              </w:rPr>
              <w:t>00</w:t>
            </w:r>
          </w:p>
        </w:tc>
        <w:tc>
          <w:tcPr>
            <w:tcW w:w="1170" w:type="dxa"/>
            <w:vAlign w:val="center"/>
          </w:tcPr>
          <w:p w14:paraId="179010AF" w14:textId="3F407727" w:rsidR="00BF57F1" w:rsidRPr="00A00E29" w:rsidRDefault="00BF57F1" w:rsidP="00AE2D1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00E29">
              <w:rPr>
                <w:bCs/>
                <w:sz w:val="20"/>
                <w:szCs w:val="20"/>
              </w:rPr>
              <w:t>1</w:t>
            </w:r>
          </w:p>
        </w:tc>
        <w:tc>
          <w:tcPr>
            <w:tcW w:w="1283" w:type="dxa"/>
            <w:shd w:val="clear" w:color="auto" w:fill="auto"/>
            <w:vAlign w:val="center"/>
          </w:tcPr>
          <w:p w14:paraId="0B23FCC7" w14:textId="77777777" w:rsidR="00BF57F1" w:rsidRPr="00A00E29" w:rsidRDefault="00BF57F1" w:rsidP="00B61C2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00E29">
              <w:rPr>
                <w:bCs/>
                <w:sz w:val="20"/>
                <w:szCs w:val="20"/>
              </w:rPr>
              <w:t>0.5</w:t>
            </w:r>
          </w:p>
        </w:tc>
        <w:tc>
          <w:tcPr>
            <w:tcW w:w="1260" w:type="dxa"/>
            <w:shd w:val="clear" w:color="auto" w:fill="auto"/>
            <w:vAlign w:val="center"/>
          </w:tcPr>
          <w:p w14:paraId="7EA51BCE" w14:textId="0875D1C6" w:rsidR="00BF57F1" w:rsidRPr="00A00E29" w:rsidRDefault="00EA3A36" w:rsidP="00B61C2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500</w:t>
            </w:r>
          </w:p>
        </w:tc>
        <w:tc>
          <w:tcPr>
            <w:tcW w:w="1350" w:type="dxa"/>
            <w:shd w:val="clear" w:color="auto" w:fill="auto"/>
            <w:vAlign w:val="center"/>
          </w:tcPr>
          <w:p w14:paraId="1F28B2E9" w14:textId="708F751B" w:rsidR="00BF57F1" w:rsidRPr="00A00E29" w:rsidRDefault="00EA3A36" w:rsidP="00B61C2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56.83</w:t>
            </w:r>
          </w:p>
        </w:tc>
        <w:tc>
          <w:tcPr>
            <w:tcW w:w="1620" w:type="dxa"/>
            <w:shd w:val="clear" w:color="auto" w:fill="auto"/>
            <w:vAlign w:val="center"/>
          </w:tcPr>
          <w:p w14:paraId="77645EE5" w14:textId="5FD89873" w:rsidR="00BF57F1" w:rsidRPr="00A00E29" w:rsidRDefault="00EA3A36" w:rsidP="00B61C2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EA3A36">
              <w:rPr>
                <w:bCs/>
                <w:sz w:val="20"/>
                <w:szCs w:val="20"/>
              </w:rPr>
              <w:t>$28,420</w:t>
            </w:r>
          </w:p>
        </w:tc>
      </w:tr>
      <w:tr w:rsidR="00EA3A36" w:rsidRPr="00F46627" w14:paraId="18F3F773" w14:textId="77777777" w:rsidTr="00483B3F">
        <w:tc>
          <w:tcPr>
            <w:tcW w:w="1507" w:type="dxa"/>
            <w:shd w:val="clear" w:color="auto" w:fill="auto"/>
            <w:vAlign w:val="center"/>
          </w:tcPr>
          <w:p w14:paraId="53ACD996" w14:textId="631DA504" w:rsidR="00EA3A36" w:rsidRPr="00F46627" w:rsidRDefault="00EA3A36" w:rsidP="00EA3A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F46627">
              <w:rPr>
                <w:bCs/>
                <w:sz w:val="20"/>
                <w:szCs w:val="20"/>
              </w:rPr>
              <w:t>Total</w:t>
            </w:r>
            <w:r w:rsidR="00483B3F" w:rsidRPr="00F46627">
              <w:rPr>
                <w:bCs/>
                <w:sz w:val="20"/>
                <w:szCs w:val="20"/>
              </w:rPr>
              <w:t xml:space="preserve"> </w:t>
            </w:r>
            <w:r w:rsidR="00483B3F" w:rsidRPr="00D627AA">
              <w:rPr>
                <w:bCs/>
                <w:sz w:val="20"/>
                <w:szCs w:val="20"/>
              </w:rPr>
              <w:t>annualized cost</w:t>
            </w:r>
          </w:p>
        </w:tc>
        <w:tc>
          <w:tcPr>
            <w:tcW w:w="1170" w:type="dxa"/>
            <w:vAlign w:val="center"/>
          </w:tcPr>
          <w:p w14:paraId="6B2C5054" w14:textId="73A63704" w:rsidR="00EA3A36" w:rsidRPr="00F46627" w:rsidRDefault="00EA3A36" w:rsidP="00EA3A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F46627">
              <w:rPr>
                <w:bCs/>
                <w:sz w:val="20"/>
                <w:szCs w:val="20"/>
              </w:rPr>
              <w:t>1000</w:t>
            </w:r>
          </w:p>
        </w:tc>
        <w:tc>
          <w:tcPr>
            <w:tcW w:w="1170" w:type="dxa"/>
            <w:vAlign w:val="center"/>
          </w:tcPr>
          <w:p w14:paraId="0E586A5A" w14:textId="7F1157FC" w:rsidR="00EA3A36" w:rsidRPr="00F46627" w:rsidRDefault="00EA3A36" w:rsidP="00EA3A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F46627">
              <w:rPr>
                <w:bCs/>
                <w:sz w:val="20"/>
                <w:szCs w:val="20"/>
              </w:rPr>
              <w:t>1</w:t>
            </w:r>
          </w:p>
        </w:tc>
        <w:tc>
          <w:tcPr>
            <w:tcW w:w="1283" w:type="dxa"/>
            <w:shd w:val="clear" w:color="auto" w:fill="auto"/>
            <w:vAlign w:val="center"/>
          </w:tcPr>
          <w:p w14:paraId="57EE27DD" w14:textId="7F2B6BAA" w:rsidR="00EA3A36" w:rsidRPr="00F46627" w:rsidRDefault="00EA3A36" w:rsidP="00EA3A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F46627">
              <w:rPr>
                <w:bCs/>
                <w:sz w:val="20"/>
                <w:szCs w:val="20"/>
              </w:rPr>
              <w:t>0.5</w:t>
            </w:r>
          </w:p>
        </w:tc>
        <w:tc>
          <w:tcPr>
            <w:tcW w:w="1260" w:type="dxa"/>
            <w:shd w:val="clear" w:color="auto" w:fill="auto"/>
            <w:vAlign w:val="center"/>
          </w:tcPr>
          <w:p w14:paraId="667C3960" w14:textId="6A90C32D" w:rsidR="00EA3A36" w:rsidRPr="00F46627" w:rsidRDefault="00EA3A36" w:rsidP="00EA3A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F46627">
              <w:rPr>
                <w:bCs/>
                <w:sz w:val="20"/>
                <w:szCs w:val="20"/>
              </w:rPr>
              <w:t>500</w:t>
            </w:r>
          </w:p>
        </w:tc>
        <w:tc>
          <w:tcPr>
            <w:tcW w:w="1350" w:type="dxa"/>
            <w:shd w:val="clear" w:color="auto" w:fill="auto"/>
            <w:vAlign w:val="center"/>
          </w:tcPr>
          <w:p w14:paraId="46B20DE3" w14:textId="6841B278" w:rsidR="00EA3A36" w:rsidRPr="00F46627" w:rsidRDefault="00EA3A36" w:rsidP="00EA3A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F46627">
              <w:rPr>
                <w:bCs/>
                <w:sz w:val="20"/>
                <w:szCs w:val="20"/>
              </w:rPr>
              <w:t>56.83</w:t>
            </w:r>
          </w:p>
        </w:tc>
        <w:tc>
          <w:tcPr>
            <w:tcW w:w="1620" w:type="dxa"/>
            <w:shd w:val="clear" w:color="auto" w:fill="auto"/>
            <w:vAlign w:val="center"/>
          </w:tcPr>
          <w:p w14:paraId="37CB9A87" w14:textId="3790C196" w:rsidR="00EA3A36" w:rsidRPr="00F46627" w:rsidRDefault="00EA3A36" w:rsidP="00EA3A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F46627">
              <w:rPr>
                <w:bCs/>
                <w:sz w:val="20"/>
                <w:szCs w:val="20"/>
              </w:rPr>
              <w:t>$28,420</w:t>
            </w:r>
          </w:p>
        </w:tc>
      </w:tr>
    </w:tbl>
    <w:p w14:paraId="6268B86A" w14:textId="77777777" w:rsidR="000A4447" w:rsidRPr="005A1C82" w:rsidRDefault="000A4447" w:rsidP="000C4293">
      <w:pPr>
        <w:tabs>
          <w:tab w:val="left" w:pos="-720"/>
        </w:tabs>
        <w:suppressAutoHyphens/>
        <w:jc w:val="both"/>
        <w:rPr>
          <w:highlight w:val="yellow"/>
        </w:rPr>
      </w:pPr>
    </w:p>
    <w:p w14:paraId="667798D7" w14:textId="77777777" w:rsidR="003B68FA" w:rsidRPr="005A1C82" w:rsidRDefault="003B68FA" w:rsidP="000C4293">
      <w:pPr>
        <w:tabs>
          <w:tab w:val="left" w:pos="-720"/>
        </w:tabs>
        <w:suppressAutoHyphens/>
        <w:jc w:val="both"/>
        <w:rPr>
          <w:highlight w:val="yellow"/>
        </w:rPr>
      </w:pPr>
    </w:p>
    <w:p w14:paraId="152F643F" w14:textId="77777777" w:rsidR="00EB5E96" w:rsidRPr="00FE192B" w:rsidRDefault="00EB5E96" w:rsidP="000C4293">
      <w:pPr>
        <w:shd w:val="pct25" w:color="auto" w:fill="auto"/>
        <w:tabs>
          <w:tab w:val="left" w:pos="-720"/>
        </w:tabs>
        <w:suppressAutoHyphens/>
        <w:jc w:val="both"/>
      </w:pPr>
      <w:r w:rsidRPr="005A1C82">
        <w:rPr>
          <w:highlight w:val="yellow"/>
        </w:rPr>
        <w:fldChar w:fldCharType="begin"/>
      </w:r>
      <w:r w:rsidRPr="005A1C82">
        <w:rPr>
          <w:highlight w:val="yellow"/>
        </w:rPr>
        <w:instrText>ADVANCE \R 0.95</w:instrText>
      </w:r>
      <w:r w:rsidRPr="005A1C82">
        <w:rPr>
          <w:highlight w:val="yellow"/>
        </w:rPr>
        <w:fldChar w:fldCharType="end"/>
      </w:r>
      <w:r w:rsidRPr="00FE192B">
        <w:t>13.   Provide an estimate of the total annual cost burden to respondents or record</w:t>
      </w:r>
      <w:r w:rsidR="00D93841" w:rsidRPr="00FE192B">
        <w:t xml:space="preserve"> </w:t>
      </w:r>
      <w:r w:rsidRPr="00FE192B">
        <w:t>keepers resulting from the collection of information.  (Do not include the cost of any hour burden shown in Items 12 and 14.)</w:t>
      </w:r>
    </w:p>
    <w:p w14:paraId="56258D31" w14:textId="77777777" w:rsidR="00EB5E96" w:rsidRPr="00FE192B" w:rsidRDefault="00EB5E96" w:rsidP="000C4293">
      <w:pPr>
        <w:shd w:val="pct25" w:color="auto" w:fill="auto"/>
        <w:tabs>
          <w:tab w:val="left" w:pos="-720"/>
        </w:tabs>
        <w:suppressAutoHyphens/>
        <w:jc w:val="both"/>
      </w:pPr>
    </w:p>
    <w:p w14:paraId="79A67580" w14:textId="15671A45" w:rsidR="00EB5E96" w:rsidRPr="00FE192B" w:rsidRDefault="00EB5E96" w:rsidP="000C4293">
      <w:pPr>
        <w:pStyle w:val="BodyText3"/>
        <w:tabs>
          <w:tab w:val="clear" w:pos="720"/>
          <w:tab w:val="left" w:pos="810"/>
        </w:tabs>
        <w:jc w:val="both"/>
        <w:rPr>
          <w:sz w:val="24"/>
          <w:szCs w:val="24"/>
        </w:rPr>
      </w:pPr>
      <w:r w:rsidRPr="00FE192B">
        <w:rPr>
          <w:sz w:val="24"/>
          <w:szCs w:val="24"/>
        </w:rPr>
        <w:t>The cost estimate should be split into two components</w:t>
      </w:r>
      <w:r w:rsidR="005420C0" w:rsidRPr="00FE192B">
        <w:rPr>
          <w:sz w:val="24"/>
          <w:szCs w:val="24"/>
        </w:rPr>
        <w:t>: (</w:t>
      </w:r>
      <w:r w:rsidRPr="00FE192B">
        <w:rPr>
          <w:sz w:val="24"/>
          <w:szCs w:val="24"/>
        </w:rPr>
        <w:t>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1F6B480" w14:textId="77777777" w:rsidR="00EB5E96" w:rsidRPr="00FE192B" w:rsidRDefault="00EB5E96" w:rsidP="000C4293">
      <w:pPr>
        <w:shd w:val="pct25" w:color="auto" w:fill="FFFFFF"/>
        <w:tabs>
          <w:tab w:val="left" w:pos="-720"/>
        </w:tabs>
        <w:suppressAutoHyphens/>
        <w:jc w:val="both"/>
      </w:pPr>
      <w:r w:rsidRPr="00FE192B">
        <w:fldChar w:fldCharType="begin"/>
      </w:r>
      <w:r w:rsidRPr="00FE192B">
        <w:instrText>ADVANCE \R 0.95</w:instrText>
      </w:r>
      <w:r w:rsidRPr="00FE192B">
        <w:fldChar w:fldCharType="end"/>
      </w:r>
    </w:p>
    <w:p w14:paraId="707755DC" w14:textId="77777777" w:rsidR="00EB5E96" w:rsidRPr="00FE192B" w:rsidRDefault="00EB5E96" w:rsidP="000C4293">
      <w:pPr>
        <w:shd w:val="pct25" w:color="auto" w:fill="FFFFFF"/>
        <w:tabs>
          <w:tab w:val="left" w:pos="-720"/>
        </w:tabs>
        <w:suppressAutoHyphens/>
        <w:jc w:val="both"/>
      </w:pPr>
      <w:r w:rsidRPr="00FE192B">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D25BE14" w14:textId="77777777" w:rsidR="00EB5E96" w:rsidRPr="00FE192B" w:rsidRDefault="00EB5E96" w:rsidP="000C4293">
      <w:pPr>
        <w:shd w:val="pct25" w:color="auto" w:fill="FFFFFF"/>
        <w:tabs>
          <w:tab w:val="left" w:pos="-720"/>
        </w:tabs>
        <w:suppressAutoHyphens/>
        <w:jc w:val="both"/>
      </w:pPr>
    </w:p>
    <w:p w14:paraId="1BF9D810" w14:textId="324C8C71" w:rsidR="00EB5E96" w:rsidRPr="00596A43" w:rsidRDefault="00EB5E96" w:rsidP="000C4293">
      <w:pPr>
        <w:shd w:val="pct25" w:color="auto" w:fill="FFFFFF"/>
        <w:tabs>
          <w:tab w:val="left" w:pos="-720"/>
        </w:tabs>
        <w:suppressAutoHyphens/>
        <w:jc w:val="both"/>
      </w:pPr>
      <w:r w:rsidRPr="00FE192B">
        <w:tab/>
        <w:t>Generally, estimates should not include purchases of equipment or services, or portions thereof, made</w:t>
      </w:r>
      <w:r w:rsidR="005420C0" w:rsidRPr="00FE192B">
        <w:t>: (</w:t>
      </w:r>
      <w:r w:rsidRPr="00FE192B">
        <w:t>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14:paraId="5AE2ACA3" w14:textId="77777777" w:rsidR="00EB5E96" w:rsidRPr="00596A43" w:rsidRDefault="00EB5E96" w:rsidP="000C4293">
      <w:pPr>
        <w:shd w:val="clear" w:color="auto" w:fill="FFFFFF"/>
        <w:tabs>
          <w:tab w:val="left" w:pos="-720"/>
        </w:tabs>
        <w:suppressAutoHyphens/>
        <w:jc w:val="both"/>
      </w:pPr>
    </w:p>
    <w:p w14:paraId="4505C65A" w14:textId="77777777" w:rsidR="00D73BBC" w:rsidRDefault="00D73BBC" w:rsidP="00D73BBC">
      <w:pPr>
        <w:tabs>
          <w:tab w:val="left" w:pos="-720"/>
        </w:tabs>
        <w:suppressAutoHyphens/>
        <w:jc w:val="both"/>
        <w:rPr>
          <w:i/>
          <w:spacing w:val="-3"/>
          <w:sz w:val="20"/>
        </w:rPr>
      </w:pPr>
      <w:r w:rsidRPr="00D73BBC">
        <w:rPr>
          <w:i/>
          <w:spacing w:val="-3"/>
          <w:sz w:val="20"/>
        </w:rPr>
        <w:t>Respon</w:t>
      </w:r>
      <w:r>
        <w:rPr>
          <w:i/>
          <w:spacing w:val="-3"/>
          <w:sz w:val="20"/>
        </w:rPr>
        <w:t>se</w:t>
      </w:r>
      <w:r w:rsidRPr="00D73BBC">
        <w:rPr>
          <w:i/>
          <w:spacing w:val="-3"/>
          <w:sz w:val="20"/>
        </w:rPr>
        <w:t>…</w:t>
      </w:r>
    </w:p>
    <w:p w14:paraId="2D54C3CC" w14:textId="77777777" w:rsidR="00333D1E" w:rsidRDefault="001C4E52" w:rsidP="000C4293">
      <w:pPr>
        <w:shd w:val="clear" w:color="auto" w:fill="FFFFFF"/>
        <w:tabs>
          <w:tab w:val="left" w:pos="-720"/>
        </w:tabs>
        <w:suppressAutoHyphens/>
        <w:jc w:val="both"/>
        <w:rPr>
          <w:spacing w:val="-3"/>
        </w:rPr>
      </w:pPr>
      <w:r w:rsidRPr="001C4E52">
        <w:rPr>
          <w:spacing w:val="-3"/>
        </w:rPr>
        <w:t>There are no recordkeeping, capital, start-up, or maintenance costs assoc</w:t>
      </w:r>
      <w:r w:rsidR="002E6FB7">
        <w:rPr>
          <w:spacing w:val="-3"/>
        </w:rPr>
        <w:t>iated with this information col</w:t>
      </w:r>
      <w:r w:rsidRPr="001C4E52">
        <w:rPr>
          <w:spacing w:val="-3"/>
        </w:rPr>
        <w:t xml:space="preserve">lection. </w:t>
      </w:r>
    </w:p>
    <w:p w14:paraId="3939F009" w14:textId="77777777" w:rsidR="00510DF6" w:rsidRPr="00596A43" w:rsidRDefault="00510DF6" w:rsidP="000C4293">
      <w:pPr>
        <w:shd w:val="clear" w:color="auto" w:fill="FFFFFF"/>
        <w:tabs>
          <w:tab w:val="left" w:pos="-720"/>
        </w:tabs>
        <w:suppressAutoHyphens/>
        <w:jc w:val="both"/>
      </w:pPr>
    </w:p>
    <w:p w14:paraId="27E8335D" w14:textId="77777777" w:rsidR="00EB5E96" w:rsidRPr="00A00E29" w:rsidRDefault="00EB5E96" w:rsidP="000C4293">
      <w:pPr>
        <w:shd w:val="pct25" w:color="auto" w:fill="auto"/>
        <w:tabs>
          <w:tab w:val="left" w:pos="-720"/>
        </w:tabs>
        <w:suppressAutoHyphens/>
        <w:jc w:val="both"/>
      </w:pPr>
      <w:r w:rsidRPr="00A00E29">
        <w:fldChar w:fldCharType="begin"/>
      </w:r>
      <w:r w:rsidRPr="00A00E29">
        <w:instrText>ADVANCE \R 0.95</w:instrText>
      </w:r>
      <w:r w:rsidRPr="00A00E29">
        <w:fldChar w:fldCharType="end"/>
      </w:r>
      <w:r w:rsidRPr="00A00E29">
        <w:t xml:space="preserve">14.  Provide estimates of annualized cost to the Federal Government.  </w:t>
      </w:r>
      <w:r w:rsidR="008924F0" w:rsidRPr="00A00E29">
        <w:t xml:space="preserve">Also, provide a description of the method used to estimate cost, which should include quantification of hours, operational expenses (such as equipment, overhead, printing and support staff), and any other expense that would have been incurred without this collection of information.   </w:t>
      </w:r>
      <w:r w:rsidRPr="00A00E29">
        <w:t xml:space="preserve">You may also aggregate cost estimates for Items 12, 13, and 14 in a single table.  </w:t>
      </w:r>
    </w:p>
    <w:p w14:paraId="120750DA" w14:textId="77777777" w:rsidR="00EB5E96" w:rsidRPr="00A00E29" w:rsidRDefault="00EB5E96" w:rsidP="000C4293">
      <w:pPr>
        <w:suppressAutoHyphens/>
        <w:jc w:val="both"/>
      </w:pPr>
      <w:r w:rsidRPr="00A00E29">
        <w:fldChar w:fldCharType="begin"/>
      </w:r>
      <w:r w:rsidRPr="00A00E29">
        <w:instrText>ADVANCE \R 0.95</w:instrText>
      </w:r>
      <w:r w:rsidRPr="00A00E29">
        <w:fldChar w:fldCharType="end"/>
      </w:r>
    </w:p>
    <w:p w14:paraId="3DB57B69" w14:textId="77777777" w:rsidR="00D73BBC" w:rsidRPr="00A00E29" w:rsidRDefault="00D73BBC" w:rsidP="00D73BBC">
      <w:pPr>
        <w:tabs>
          <w:tab w:val="left" w:pos="-720"/>
        </w:tabs>
        <w:suppressAutoHyphens/>
        <w:jc w:val="both"/>
        <w:rPr>
          <w:i/>
          <w:spacing w:val="-3"/>
          <w:sz w:val="20"/>
        </w:rPr>
      </w:pPr>
      <w:r w:rsidRPr="00A00E29">
        <w:rPr>
          <w:i/>
          <w:spacing w:val="-3"/>
          <w:sz w:val="20"/>
        </w:rPr>
        <w:t>Response…</w:t>
      </w:r>
    </w:p>
    <w:p w14:paraId="1A81BE08" w14:textId="35120701" w:rsidR="002C4AA2" w:rsidRDefault="002C4AA2" w:rsidP="002C4AA2">
      <w:pPr>
        <w:autoSpaceDE w:val="0"/>
        <w:autoSpaceDN w:val="0"/>
        <w:rPr>
          <w:color w:val="000000"/>
        </w:rPr>
      </w:pPr>
      <w:r>
        <w:rPr>
          <w:color w:val="000000"/>
        </w:rPr>
        <w:t xml:space="preserve">Based on internal review, </w:t>
      </w:r>
      <w:r w:rsidR="00483B3F">
        <w:rPr>
          <w:color w:val="000000"/>
        </w:rPr>
        <w:t xml:space="preserve">NPPD </w:t>
      </w:r>
      <w:r>
        <w:rPr>
          <w:color w:val="000000"/>
        </w:rPr>
        <w:t>personnel estimate that one GS-15, Step-5 will spend approximately 3 minutes (0.05 hours) per survey for design and administration; one GS-14, Step-5 will spend approximately 3 minutes per survey for design and administration; and one GS-13, Step-5 will spend approximately 9 minutes (0.15 hours) per survey for design and administration.  In addition, one GS-13 will spend approximately 15 minutes (0.25 hours) for survey analysis.</w:t>
      </w:r>
    </w:p>
    <w:p w14:paraId="7E63EF73" w14:textId="77777777" w:rsidR="002C4AA2" w:rsidRDefault="002C4AA2" w:rsidP="002C4AA2">
      <w:pPr>
        <w:autoSpaceDE w:val="0"/>
        <w:autoSpaceDN w:val="0"/>
        <w:rPr>
          <w:color w:val="000000"/>
        </w:rPr>
      </w:pPr>
    </w:p>
    <w:p w14:paraId="5AE617F8" w14:textId="77777777" w:rsidR="002C4AA2" w:rsidRDefault="002C4AA2" w:rsidP="002C4AA2">
      <w:pPr>
        <w:autoSpaceDE w:val="0"/>
        <w:autoSpaceDN w:val="0"/>
        <w:rPr>
          <w:color w:val="000000"/>
        </w:rPr>
      </w:pPr>
      <w:r>
        <w:rPr>
          <w:color w:val="000000"/>
        </w:rPr>
        <w:t xml:space="preserve">The hourly </w:t>
      </w:r>
      <w:r w:rsidRPr="00A6683E">
        <w:rPr>
          <w:color w:val="000000"/>
        </w:rPr>
        <w:t>rate</w:t>
      </w:r>
      <w:r>
        <w:rPr>
          <w:color w:val="000000"/>
        </w:rPr>
        <w:t>s</w:t>
      </w:r>
      <w:r w:rsidRPr="00A6683E">
        <w:rPr>
          <w:color w:val="000000"/>
        </w:rPr>
        <w:t xml:space="preserve"> for the Washington, DC locality</w:t>
      </w:r>
      <w:r>
        <w:rPr>
          <w:color w:val="000000"/>
        </w:rPr>
        <w:t xml:space="preserve"> were obtained</w:t>
      </w:r>
      <w:r w:rsidRPr="00A6683E">
        <w:rPr>
          <w:color w:val="000000"/>
        </w:rPr>
        <w:t xml:space="preserve"> </w:t>
      </w:r>
      <w:r>
        <w:rPr>
          <w:color w:val="000000"/>
        </w:rPr>
        <w:t xml:space="preserve">from the FY 2017 federal </w:t>
      </w:r>
      <w:r w:rsidRPr="00A6683E">
        <w:rPr>
          <w:color w:val="000000"/>
        </w:rPr>
        <w:t>General Schedule (GS)</w:t>
      </w:r>
      <w:r>
        <w:rPr>
          <w:color w:val="000000"/>
        </w:rPr>
        <w:t>.  GS-13, Step-5 is $107,435 * 1.462 = $157,069.97/2080 = $75.51 fully-loaded wage rate.  GS-14, Step-5 is $126,958 * 1.462 = $185,612.60/2080 = $89.24 fully-loaded wage rate. GS-15, Step-5 is $149,337 * 1.462 = $218,330.70/2080 = $104.97 fully-loaded wage rate.</w:t>
      </w:r>
      <w:r>
        <w:rPr>
          <w:rStyle w:val="FootnoteReference"/>
          <w:color w:val="000000"/>
        </w:rPr>
        <w:footnoteReference w:id="6"/>
      </w:r>
    </w:p>
    <w:p w14:paraId="48327569" w14:textId="77777777" w:rsidR="002C4AA2" w:rsidRDefault="002C4AA2" w:rsidP="002C4AA2">
      <w:pPr>
        <w:autoSpaceDE w:val="0"/>
        <w:autoSpaceDN w:val="0"/>
        <w:rPr>
          <w:color w:val="000000"/>
        </w:rPr>
      </w:pPr>
    </w:p>
    <w:p w14:paraId="16695B36" w14:textId="47584186" w:rsidR="00CD2EB8" w:rsidRPr="00A00E29" w:rsidRDefault="002E6FB7" w:rsidP="00CD2EB8">
      <w:pPr>
        <w:autoSpaceDE w:val="0"/>
        <w:autoSpaceDN w:val="0"/>
        <w:rPr>
          <w:b/>
          <w:color w:val="000000"/>
          <w:sz w:val="20"/>
        </w:rPr>
      </w:pPr>
      <w:r w:rsidRPr="00A00E29">
        <w:rPr>
          <w:color w:val="000000"/>
        </w:rPr>
        <w:t>T</w:t>
      </w:r>
      <w:r w:rsidR="00A6683E" w:rsidRPr="00A00E29">
        <w:rPr>
          <w:color w:val="000000"/>
        </w:rPr>
        <w:t xml:space="preserve">he cost for Survey Monkey </w:t>
      </w:r>
      <w:r w:rsidRPr="00A00E29">
        <w:rPr>
          <w:color w:val="000000"/>
        </w:rPr>
        <w:t xml:space="preserve">is </w:t>
      </w:r>
      <w:r w:rsidR="00A6683E" w:rsidRPr="00A00E29">
        <w:rPr>
          <w:color w:val="000000"/>
        </w:rPr>
        <w:t>$</w:t>
      </w:r>
      <w:r w:rsidR="001C4E52" w:rsidRPr="00A00E29">
        <w:rPr>
          <w:color w:val="000000"/>
        </w:rPr>
        <w:t>1020</w:t>
      </w:r>
      <w:r w:rsidRPr="00A00E29">
        <w:rPr>
          <w:color w:val="000000"/>
        </w:rPr>
        <w:t xml:space="preserve"> for the duration of testing, administering, and analyzing the survey.</w:t>
      </w:r>
    </w:p>
    <w:p w14:paraId="1E58F5F2" w14:textId="77777777" w:rsidR="00F46627" w:rsidRDefault="00CD2EB8" w:rsidP="00F46627">
      <w:pPr>
        <w:rPr>
          <w:color w:val="000000"/>
        </w:rPr>
      </w:pPr>
      <w:r w:rsidRPr="00E5576E">
        <w:rPr>
          <w:color w:val="000000"/>
        </w:rPr>
        <w:t xml:space="preserve">Total </w:t>
      </w:r>
      <w:r w:rsidR="00E70388">
        <w:rPr>
          <w:color w:val="000000"/>
        </w:rPr>
        <w:t xml:space="preserve">Annualized </w:t>
      </w:r>
      <w:r w:rsidR="00350E84" w:rsidRPr="00E5576E">
        <w:rPr>
          <w:color w:val="000000"/>
        </w:rPr>
        <w:t xml:space="preserve">Estimated </w:t>
      </w:r>
      <w:r w:rsidRPr="00E5576E">
        <w:rPr>
          <w:color w:val="000000"/>
        </w:rPr>
        <w:t xml:space="preserve">Cost to the Government </w:t>
      </w:r>
      <w:r w:rsidRPr="00A00E29">
        <w:rPr>
          <w:color w:val="000000"/>
        </w:rPr>
        <w:t xml:space="preserve">= </w:t>
      </w:r>
      <w:r w:rsidR="00E5576E" w:rsidRPr="00E5576E">
        <w:rPr>
          <w:color w:val="000000"/>
        </w:rPr>
        <w:t>$40,934.50</w:t>
      </w:r>
    </w:p>
    <w:p w14:paraId="0E654DB1" w14:textId="77777777" w:rsidR="00F46627" w:rsidRDefault="00F46627" w:rsidP="00F46627">
      <w:pPr>
        <w:rPr>
          <w:color w:val="000000"/>
        </w:rPr>
      </w:pPr>
    </w:p>
    <w:p w14:paraId="69C3A4FB" w14:textId="55E0067A" w:rsidR="00E70388" w:rsidRDefault="00E70388" w:rsidP="00F46627">
      <w:r>
        <w:t>Table A.14: Annual Cost to the Government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1530"/>
        <w:gridCol w:w="1170"/>
        <w:gridCol w:w="1170"/>
        <w:gridCol w:w="1170"/>
        <w:gridCol w:w="1170"/>
        <w:gridCol w:w="1980"/>
      </w:tblGrid>
      <w:tr w:rsidR="00716614" w:rsidRPr="00A00E29" w14:paraId="65369118" w14:textId="77777777" w:rsidTr="00AB511F">
        <w:tc>
          <w:tcPr>
            <w:tcW w:w="990" w:type="dxa"/>
          </w:tcPr>
          <w:p w14:paraId="17D420E0" w14:textId="77777777" w:rsidR="00716614" w:rsidRPr="00A00E29" w:rsidRDefault="00716614" w:rsidP="001B7C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00E29">
              <w:rPr>
                <w:bCs/>
                <w:sz w:val="20"/>
                <w:szCs w:val="20"/>
              </w:rPr>
              <w:t xml:space="preserve">Cost </w:t>
            </w:r>
          </w:p>
          <w:p w14:paraId="163BBC84" w14:textId="3FFDF58F" w:rsidR="00716614" w:rsidRPr="00A00E29" w:rsidRDefault="00716614" w:rsidP="001B7C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00E29">
              <w:rPr>
                <w:bCs/>
                <w:sz w:val="20"/>
                <w:szCs w:val="20"/>
              </w:rPr>
              <w:t>Category</w:t>
            </w:r>
          </w:p>
        </w:tc>
        <w:tc>
          <w:tcPr>
            <w:tcW w:w="1530" w:type="dxa"/>
          </w:tcPr>
          <w:p w14:paraId="6A55FCCA" w14:textId="77777777" w:rsidR="00716614" w:rsidRPr="00A00E29" w:rsidRDefault="00716614" w:rsidP="001B7C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00E29">
              <w:rPr>
                <w:bCs/>
                <w:sz w:val="20"/>
                <w:szCs w:val="20"/>
              </w:rPr>
              <w:t xml:space="preserve">Hours for </w:t>
            </w:r>
          </w:p>
          <w:p w14:paraId="51432F1E" w14:textId="7FCFB6AF" w:rsidR="00716614" w:rsidRPr="00A00E29" w:rsidRDefault="00716614" w:rsidP="00AB51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00E29">
              <w:rPr>
                <w:bCs/>
                <w:sz w:val="20"/>
                <w:szCs w:val="20"/>
              </w:rPr>
              <w:t xml:space="preserve">Design / </w:t>
            </w:r>
          </w:p>
          <w:p w14:paraId="6230165B" w14:textId="01A9CE24" w:rsidR="00716614" w:rsidRPr="00A00E29" w:rsidRDefault="00716614" w:rsidP="001B7C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00E29">
              <w:rPr>
                <w:bCs/>
                <w:sz w:val="20"/>
                <w:szCs w:val="20"/>
              </w:rPr>
              <w:t>Administration per Survey</w:t>
            </w:r>
          </w:p>
        </w:tc>
        <w:tc>
          <w:tcPr>
            <w:tcW w:w="1170" w:type="dxa"/>
          </w:tcPr>
          <w:p w14:paraId="7C61216B" w14:textId="77777777" w:rsidR="00716614" w:rsidRPr="00A00E29" w:rsidRDefault="00716614" w:rsidP="001B7C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00E29">
              <w:rPr>
                <w:bCs/>
                <w:sz w:val="20"/>
                <w:szCs w:val="20"/>
              </w:rPr>
              <w:t>Hours per</w:t>
            </w:r>
          </w:p>
          <w:p w14:paraId="0CBBD7C4" w14:textId="354BEF25" w:rsidR="00716614" w:rsidRPr="00A00E29" w:rsidRDefault="00716614" w:rsidP="001B7C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00E29">
              <w:rPr>
                <w:bCs/>
                <w:sz w:val="20"/>
                <w:szCs w:val="20"/>
              </w:rPr>
              <w:t>Survey Analysis</w:t>
            </w:r>
          </w:p>
        </w:tc>
        <w:tc>
          <w:tcPr>
            <w:tcW w:w="1170" w:type="dxa"/>
          </w:tcPr>
          <w:p w14:paraId="4E6B31A0" w14:textId="77777777" w:rsidR="00716614" w:rsidRPr="00A00E29" w:rsidRDefault="00716614" w:rsidP="001B7C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00E29">
              <w:rPr>
                <w:bCs/>
                <w:sz w:val="20"/>
                <w:szCs w:val="20"/>
              </w:rPr>
              <w:t>Number of</w:t>
            </w:r>
          </w:p>
          <w:p w14:paraId="2C96C7F2" w14:textId="015BA085" w:rsidR="00716614" w:rsidRPr="00A00E29" w:rsidRDefault="00716614" w:rsidP="001B7C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00E29">
              <w:rPr>
                <w:bCs/>
                <w:sz w:val="20"/>
                <w:szCs w:val="20"/>
              </w:rPr>
              <w:t>Surveys</w:t>
            </w:r>
          </w:p>
        </w:tc>
        <w:tc>
          <w:tcPr>
            <w:tcW w:w="1170" w:type="dxa"/>
          </w:tcPr>
          <w:p w14:paraId="24FA6F19" w14:textId="77777777" w:rsidR="00716614" w:rsidRPr="00A00E29" w:rsidRDefault="00716614" w:rsidP="001B7C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00E29">
              <w:rPr>
                <w:bCs/>
                <w:sz w:val="20"/>
                <w:szCs w:val="20"/>
              </w:rPr>
              <w:t>Total</w:t>
            </w:r>
          </w:p>
          <w:p w14:paraId="3684D0CC" w14:textId="77777777" w:rsidR="00716614" w:rsidRPr="00A00E29" w:rsidRDefault="00716614" w:rsidP="001B7C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00E29">
              <w:rPr>
                <w:bCs/>
                <w:sz w:val="20"/>
                <w:szCs w:val="20"/>
              </w:rPr>
              <w:t>Annual</w:t>
            </w:r>
          </w:p>
          <w:p w14:paraId="204AFD39" w14:textId="77777777" w:rsidR="00716614" w:rsidRPr="00A00E29" w:rsidRDefault="00716614" w:rsidP="001B7C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00E29">
              <w:rPr>
                <w:bCs/>
                <w:sz w:val="20"/>
                <w:szCs w:val="20"/>
              </w:rPr>
              <w:t>Burden</w:t>
            </w:r>
          </w:p>
          <w:p w14:paraId="1AA91672" w14:textId="77E148BF" w:rsidR="00716614" w:rsidRPr="00A00E29" w:rsidRDefault="00716614" w:rsidP="001B7C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00E29">
              <w:rPr>
                <w:bCs/>
                <w:sz w:val="20"/>
                <w:szCs w:val="20"/>
              </w:rPr>
              <w:t>(in hours)</w:t>
            </w:r>
          </w:p>
        </w:tc>
        <w:tc>
          <w:tcPr>
            <w:tcW w:w="1170" w:type="dxa"/>
          </w:tcPr>
          <w:p w14:paraId="2DADC48F" w14:textId="232A0EC0" w:rsidR="00716614" w:rsidRPr="00A00E29" w:rsidRDefault="00716614" w:rsidP="001B7C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00E29">
              <w:rPr>
                <w:bCs/>
                <w:sz w:val="20"/>
                <w:szCs w:val="20"/>
              </w:rPr>
              <w:t>Average Hourly Wage Rate</w:t>
            </w:r>
            <w:r w:rsidR="006548F6">
              <w:rPr>
                <w:bCs/>
                <w:sz w:val="20"/>
                <w:szCs w:val="20"/>
              </w:rPr>
              <w:t xml:space="preserve"> (Step 5)</w:t>
            </w:r>
          </w:p>
        </w:tc>
        <w:tc>
          <w:tcPr>
            <w:tcW w:w="1980" w:type="dxa"/>
          </w:tcPr>
          <w:p w14:paraId="59D94CF1" w14:textId="77777777" w:rsidR="00716614" w:rsidRPr="00A00E29" w:rsidRDefault="00716614" w:rsidP="001B7C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00E29">
              <w:rPr>
                <w:bCs/>
                <w:sz w:val="20"/>
                <w:szCs w:val="20"/>
              </w:rPr>
              <w:t>Total</w:t>
            </w:r>
          </w:p>
          <w:p w14:paraId="1D1EAF6B" w14:textId="00699E8F" w:rsidR="00716614" w:rsidRPr="00A00E29" w:rsidRDefault="00716614" w:rsidP="001B7C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A00E29">
              <w:rPr>
                <w:bCs/>
                <w:sz w:val="20"/>
                <w:szCs w:val="20"/>
              </w:rPr>
              <w:t>Annual Cost</w:t>
            </w:r>
          </w:p>
        </w:tc>
      </w:tr>
      <w:tr w:rsidR="00E5576E" w:rsidRPr="00A00E29" w14:paraId="20E429F8" w14:textId="77777777" w:rsidTr="003A013B">
        <w:tc>
          <w:tcPr>
            <w:tcW w:w="990" w:type="dxa"/>
            <w:vAlign w:val="center"/>
          </w:tcPr>
          <w:p w14:paraId="79692493" w14:textId="0A0237BC" w:rsidR="00E5576E" w:rsidRPr="00A00E29" w:rsidRDefault="00E5576E" w:rsidP="00E55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A00E29">
              <w:rPr>
                <w:sz w:val="20"/>
                <w:szCs w:val="20"/>
              </w:rPr>
              <w:t>GS-15</w:t>
            </w:r>
          </w:p>
        </w:tc>
        <w:tc>
          <w:tcPr>
            <w:tcW w:w="1530" w:type="dxa"/>
            <w:vAlign w:val="center"/>
          </w:tcPr>
          <w:p w14:paraId="65944B72" w14:textId="5D870453" w:rsidR="00E5576E" w:rsidRPr="00A00E29" w:rsidRDefault="00E5576E" w:rsidP="00E55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.05</w:t>
            </w:r>
          </w:p>
        </w:tc>
        <w:tc>
          <w:tcPr>
            <w:tcW w:w="1170" w:type="dxa"/>
            <w:vAlign w:val="center"/>
          </w:tcPr>
          <w:p w14:paraId="51AD19F5" w14:textId="5A257C26" w:rsidR="00E5576E" w:rsidRPr="00A00E29" w:rsidRDefault="00E5576E" w:rsidP="00E55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n/a</w:t>
            </w:r>
          </w:p>
        </w:tc>
        <w:tc>
          <w:tcPr>
            <w:tcW w:w="1170" w:type="dxa"/>
          </w:tcPr>
          <w:p w14:paraId="69BB6ED9" w14:textId="5A7B53F3" w:rsidR="00E5576E" w:rsidRPr="00A00E29" w:rsidRDefault="00E5576E" w:rsidP="00E55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1,000</w:t>
            </w:r>
          </w:p>
        </w:tc>
        <w:tc>
          <w:tcPr>
            <w:tcW w:w="1170" w:type="dxa"/>
          </w:tcPr>
          <w:p w14:paraId="11CA46CF" w14:textId="7F4A5C1D" w:rsidR="00E5576E" w:rsidRPr="00A00E29" w:rsidRDefault="00E5576E" w:rsidP="00E55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50</w:t>
            </w:r>
          </w:p>
        </w:tc>
        <w:tc>
          <w:tcPr>
            <w:tcW w:w="1170" w:type="dxa"/>
            <w:vAlign w:val="center"/>
          </w:tcPr>
          <w:p w14:paraId="6F828F1B" w14:textId="19246629" w:rsidR="00E5576E" w:rsidRPr="00A00E29" w:rsidRDefault="00E5576E" w:rsidP="00E55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color w:val="000000"/>
                <w:sz w:val="20"/>
                <w:szCs w:val="20"/>
              </w:rPr>
              <w:t>$104.97</w:t>
            </w:r>
          </w:p>
        </w:tc>
        <w:tc>
          <w:tcPr>
            <w:tcW w:w="1980" w:type="dxa"/>
            <w:vAlign w:val="center"/>
          </w:tcPr>
          <w:p w14:paraId="07156EEF" w14:textId="168036AC" w:rsidR="00E5576E" w:rsidRPr="00A00E29" w:rsidRDefault="00E5576E" w:rsidP="00E55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color w:val="000000"/>
                <w:sz w:val="20"/>
                <w:szCs w:val="20"/>
              </w:rPr>
              <w:t>$5,248.50</w:t>
            </w:r>
          </w:p>
        </w:tc>
      </w:tr>
      <w:tr w:rsidR="00E5576E" w:rsidRPr="00A00E29" w14:paraId="61AD776E" w14:textId="77777777" w:rsidTr="003A013B">
        <w:tc>
          <w:tcPr>
            <w:tcW w:w="990" w:type="dxa"/>
            <w:vAlign w:val="center"/>
          </w:tcPr>
          <w:p w14:paraId="6C2AD646" w14:textId="1220E81D" w:rsidR="00E5576E" w:rsidRPr="00A00E29" w:rsidRDefault="00E5576E" w:rsidP="00E55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A00E29">
              <w:rPr>
                <w:sz w:val="20"/>
                <w:szCs w:val="20"/>
              </w:rPr>
              <w:t>GS-14</w:t>
            </w:r>
          </w:p>
        </w:tc>
        <w:tc>
          <w:tcPr>
            <w:tcW w:w="1530" w:type="dxa"/>
          </w:tcPr>
          <w:p w14:paraId="1D518AD5" w14:textId="070622E7" w:rsidR="00E5576E" w:rsidRPr="00A00E29" w:rsidRDefault="00E5576E" w:rsidP="00E55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.05</w:t>
            </w:r>
          </w:p>
        </w:tc>
        <w:tc>
          <w:tcPr>
            <w:tcW w:w="1170" w:type="dxa"/>
          </w:tcPr>
          <w:p w14:paraId="426B2AB3" w14:textId="693A86EC" w:rsidR="00E5576E" w:rsidRPr="00A00E29" w:rsidRDefault="00E5576E" w:rsidP="00E55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n/a</w:t>
            </w:r>
          </w:p>
        </w:tc>
        <w:tc>
          <w:tcPr>
            <w:tcW w:w="1170" w:type="dxa"/>
          </w:tcPr>
          <w:p w14:paraId="74C45DA6" w14:textId="359858E6" w:rsidR="00E5576E" w:rsidRPr="00A00E29" w:rsidRDefault="00E5576E" w:rsidP="00E55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1,000</w:t>
            </w:r>
          </w:p>
        </w:tc>
        <w:tc>
          <w:tcPr>
            <w:tcW w:w="1170" w:type="dxa"/>
          </w:tcPr>
          <w:p w14:paraId="00CBB605" w14:textId="3AFE00A1" w:rsidR="00E5576E" w:rsidRPr="00A00E29" w:rsidRDefault="00E5576E" w:rsidP="00E55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50</w:t>
            </w:r>
          </w:p>
        </w:tc>
        <w:tc>
          <w:tcPr>
            <w:tcW w:w="1170" w:type="dxa"/>
            <w:vAlign w:val="center"/>
          </w:tcPr>
          <w:p w14:paraId="1747886E" w14:textId="747DF554" w:rsidR="00E5576E" w:rsidRPr="00A00E29" w:rsidRDefault="00E5576E" w:rsidP="00E55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color w:val="000000"/>
                <w:sz w:val="20"/>
                <w:szCs w:val="20"/>
              </w:rPr>
              <w:t>$89.24</w:t>
            </w:r>
          </w:p>
        </w:tc>
        <w:tc>
          <w:tcPr>
            <w:tcW w:w="1980" w:type="dxa"/>
            <w:vAlign w:val="center"/>
          </w:tcPr>
          <w:p w14:paraId="60E5C85D" w14:textId="4FBE0FCB" w:rsidR="00E5576E" w:rsidRPr="00A00E29" w:rsidRDefault="00E5576E" w:rsidP="00E55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color w:val="000000"/>
                <w:sz w:val="20"/>
                <w:szCs w:val="20"/>
              </w:rPr>
              <w:t>$4,462.00</w:t>
            </w:r>
          </w:p>
        </w:tc>
      </w:tr>
      <w:tr w:rsidR="00E5576E" w:rsidRPr="00A00E29" w14:paraId="737DE0F0" w14:textId="77777777" w:rsidTr="00C06CFE">
        <w:tc>
          <w:tcPr>
            <w:tcW w:w="990" w:type="dxa"/>
            <w:vAlign w:val="center"/>
          </w:tcPr>
          <w:p w14:paraId="0BF9010D" w14:textId="3F2B4149" w:rsidR="00E5576E" w:rsidRDefault="00E5576E" w:rsidP="00E55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GS-13</w:t>
            </w:r>
          </w:p>
        </w:tc>
        <w:tc>
          <w:tcPr>
            <w:tcW w:w="1530" w:type="dxa"/>
          </w:tcPr>
          <w:p w14:paraId="6AAA0F2F" w14:textId="79746F26" w:rsidR="00E5576E" w:rsidRPr="006742EC" w:rsidRDefault="00E5576E" w:rsidP="00E55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.15</w:t>
            </w:r>
          </w:p>
        </w:tc>
        <w:tc>
          <w:tcPr>
            <w:tcW w:w="1170" w:type="dxa"/>
          </w:tcPr>
          <w:p w14:paraId="19157882" w14:textId="02D8F8A6" w:rsidR="00E5576E" w:rsidRPr="006742EC" w:rsidRDefault="00E5576E" w:rsidP="00E55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.25</w:t>
            </w:r>
          </w:p>
        </w:tc>
        <w:tc>
          <w:tcPr>
            <w:tcW w:w="1170" w:type="dxa"/>
          </w:tcPr>
          <w:p w14:paraId="67BCE56C" w14:textId="3883729E" w:rsidR="00E5576E" w:rsidRPr="006742EC" w:rsidRDefault="00E5576E" w:rsidP="00E55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1,000</w:t>
            </w:r>
          </w:p>
        </w:tc>
        <w:tc>
          <w:tcPr>
            <w:tcW w:w="1170" w:type="dxa"/>
          </w:tcPr>
          <w:p w14:paraId="54BA440A" w14:textId="63D7A47F" w:rsidR="00E5576E" w:rsidRPr="006742EC" w:rsidRDefault="00E5576E" w:rsidP="00E55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400</w:t>
            </w:r>
          </w:p>
        </w:tc>
        <w:tc>
          <w:tcPr>
            <w:tcW w:w="1170" w:type="dxa"/>
            <w:vAlign w:val="center"/>
          </w:tcPr>
          <w:p w14:paraId="08D10B61" w14:textId="7B708E59" w:rsidR="00E5576E" w:rsidRPr="006742EC" w:rsidRDefault="00E5576E" w:rsidP="00E55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color w:val="000000"/>
                <w:sz w:val="20"/>
                <w:szCs w:val="20"/>
              </w:rPr>
              <w:t>$75.51</w:t>
            </w:r>
          </w:p>
        </w:tc>
        <w:tc>
          <w:tcPr>
            <w:tcW w:w="1980" w:type="dxa"/>
            <w:vAlign w:val="center"/>
          </w:tcPr>
          <w:p w14:paraId="56AE3040" w14:textId="4970B823" w:rsidR="00E5576E" w:rsidRDefault="00E5576E" w:rsidP="00E55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color w:val="000000"/>
                <w:sz w:val="20"/>
                <w:szCs w:val="20"/>
              </w:rPr>
              <w:t>$30,204.00</w:t>
            </w:r>
          </w:p>
        </w:tc>
      </w:tr>
      <w:tr w:rsidR="00E5576E" w:rsidRPr="00A00E29" w14:paraId="09376CF8" w14:textId="77777777" w:rsidTr="003A013B">
        <w:tc>
          <w:tcPr>
            <w:tcW w:w="990" w:type="dxa"/>
            <w:vAlign w:val="center"/>
          </w:tcPr>
          <w:p w14:paraId="01409356" w14:textId="77777777" w:rsidR="00E5576E" w:rsidRPr="00A00E29" w:rsidRDefault="00E5576E" w:rsidP="00E55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A00E29">
              <w:rPr>
                <w:sz w:val="20"/>
                <w:szCs w:val="20"/>
              </w:rPr>
              <w:t>Survey Monkey</w:t>
            </w:r>
          </w:p>
        </w:tc>
        <w:tc>
          <w:tcPr>
            <w:tcW w:w="1530" w:type="dxa"/>
          </w:tcPr>
          <w:p w14:paraId="46EDA4E4" w14:textId="59A40E69" w:rsidR="00E5576E" w:rsidRPr="00A00E29" w:rsidRDefault="00E5576E" w:rsidP="00E55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n/a</w:t>
            </w:r>
          </w:p>
        </w:tc>
        <w:tc>
          <w:tcPr>
            <w:tcW w:w="1170" w:type="dxa"/>
          </w:tcPr>
          <w:p w14:paraId="2560F2C8" w14:textId="25CD2014" w:rsidR="00E5576E" w:rsidRPr="00A00E29" w:rsidRDefault="00E5576E" w:rsidP="00E55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n/a</w:t>
            </w:r>
          </w:p>
        </w:tc>
        <w:tc>
          <w:tcPr>
            <w:tcW w:w="1170" w:type="dxa"/>
          </w:tcPr>
          <w:p w14:paraId="4A6C41CF" w14:textId="6A63B2BE" w:rsidR="00E5576E" w:rsidRPr="00A00E29" w:rsidRDefault="00E5576E" w:rsidP="00E55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n/a</w:t>
            </w:r>
          </w:p>
        </w:tc>
        <w:tc>
          <w:tcPr>
            <w:tcW w:w="1170" w:type="dxa"/>
          </w:tcPr>
          <w:p w14:paraId="3DE68512" w14:textId="0C58926D" w:rsidR="00E5576E" w:rsidRPr="00A00E29" w:rsidRDefault="00E5576E" w:rsidP="00E55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n/a</w:t>
            </w:r>
          </w:p>
        </w:tc>
        <w:tc>
          <w:tcPr>
            <w:tcW w:w="1170" w:type="dxa"/>
          </w:tcPr>
          <w:p w14:paraId="663389EE" w14:textId="14495E02" w:rsidR="00E5576E" w:rsidRPr="00A00E29" w:rsidRDefault="00E5576E" w:rsidP="00E55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n/a</w:t>
            </w:r>
          </w:p>
        </w:tc>
        <w:tc>
          <w:tcPr>
            <w:tcW w:w="1980" w:type="dxa"/>
            <w:vAlign w:val="center"/>
          </w:tcPr>
          <w:p w14:paraId="4D7B5711" w14:textId="13DFE19C" w:rsidR="00E5576E" w:rsidRPr="00A00E29" w:rsidRDefault="00E5576E" w:rsidP="00E55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color w:val="000000"/>
                <w:sz w:val="20"/>
                <w:szCs w:val="20"/>
              </w:rPr>
              <w:t xml:space="preserve">$1,020.00 </w:t>
            </w:r>
          </w:p>
        </w:tc>
      </w:tr>
      <w:tr w:rsidR="00E5576E" w:rsidRPr="00FE192B" w14:paraId="506DD50B" w14:textId="77777777" w:rsidTr="00AB511F">
        <w:trPr>
          <w:trHeight w:val="431"/>
        </w:trPr>
        <w:tc>
          <w:tcPr>
            <w:tcW w:w="990" w:type="dxa"/>
            <w:vAlign w:val="center"/>
          </w:tcPr>
          <w:p w14:paraId="2E5C2A0E" w14:textId="77777777" w:rsidR="00E5576E" w:rsidRPr="00A00E29" w:rsidRDefault="00E5576E" w:rsidP="00E55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A00E29">
              <w:rPr>
                <w:bCs/>
                <w:sz w:val="20"/>
                <w:szCs w:val="20"/>
              </w:rPr>
              <w:t>Total</w:t>
            </w:r>
          </w:p>
        </w:tc>
        <w:tc>
          <w:tcPr>
            <w:tcW w:w="1530" w:type="dxa"/>
            <w:vAlign w:val="center"/>
          </w:tcPr>
          <w:p w14:paraId="75F258FA" w14:textId="6191B4D3" w:rsidR="00E5576E" w:rsidRPr="00A00E29" w:rsidRDefault="00E5576E" w:rsidP="00E55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0.25</w:t>
            </w:r>
          </w:p>
        </w:tc>
        <w:tc>
          <w:tcPr>
            <w:tcW w:w="1170" w:type="dxa"/>
            <w:vAlign w:val="center"/>
          </w:tcPr>
          <w:p w14:paraId="20C62B43" w14:textId="771BCE47" w:rsidR="00E5576E" w:rsidRPr="00A00E29" w:rsidRDefault="00E5576E" w:rsidP="00E55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0.25</w:t>
            </w:r>
          </w:p>
        </w:tc>
        <w:tc>
          <w:tcPr>
            <w:tcW w:w="1170" w:type="dxa"/>
            <w:vAlign w:val="center"/>
          </w:tcPr>
          <w:p w14:paraId="72DEB80F" w14:textId="4B076E35" w:rsidR="00E5576E" w:rsidRPr="00A00E29" w:rsidRDefault="00E5576E" w:rsidP="00E55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3,000</w:t>
            </w:r>
          </w:p>
        </w:tc>
        <w:tc>
          <w:tcPr>
            <w:tcW w:w="1170" w:type="dxa"/>
            <w:vAlign w:val="center"/>
          </w:tcPr>
          <w:p w14:paraId="4556914A" w14:textId="77777777" w:rsidR="00E5576E" w:rsidRPr="00A00E29" w:rsidRDefault="00E5576E" w:rsidP="00E55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p>
        </w:tc>
        <w:tc>
          <w:tcPr>
            <w:tcW w:w="1170" w:type="dxa"/>
            <w:vAlign w:val="center"/>
          </w:tcPr>
          <w:p w14:paraId="325BD018" w14:textId="77777777" w:rsidR="00E5576E" w:rsidRPr="00A00E29" w:rsidRDefault="00E5576E" w:rsidP="00E55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p>
        </w:tc>
        <w:tc>
          <w:tcPr>
            <w:tcW w:w="1980" w:type="dxa"/>
            <w:vAlign w:val="center"/>
          </w:tcPr>
          <w:p w14:paraId="6E4A295A" w14:textId="0454E4F2" w:rsidR="00E5576E" w:rsidRPr="0059098F" w:rsidRDefault="00E5576E" w:rsidP="00E55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color w:val="000000"/>
                <w:sz w:val="20"/>
                <w:szCs w:val="20"/>
              </w:rPr>
              <w:t>$40,934.50</w:t>
            </w:r>
          </w:p>
        </w:tc>
      </w:tr>
    </w:tbl>
    <w:p w14:paraId="451E39CB" w14:textId="77777777" w:rsidR="00E70388" w:rsidRDefault="00E70388" w:rsidP="000C4293">
      <w:pPr>
        <w:suppressAutoHyphens/>
        <w:jc w:val="both"/>
      </w:pPr>
    </w:p>
    <w:p w14:paraId="395E0F5A" w14:textId="059AAA07" w:rsidR="00E70388" w:rsidRPr="00A82FB5" w:rsidRDefault="00E70388" w:rsidP="00E70388">
      <w:pPr>
        <w:autoSpaceDE w:val="0"/>
        <w:autoSpaceDN w:val="0"/>
        <w:rPr>
          <w:color w:val="000000"/>
        </w:rPr>
      </w:pPr>
      <w:r w:rsidRPr="00D627AA">
        <w:t xml:space="preserve"> </w:t>
      </w:r>
      <w:r w:rsidRPr="00A82FB5">
        <w:rPr>
          <w:color w:val="000000"/>
        </w:rPr>
        <w:t xml:space="preserve">Annualized cost of processing to the government is $39,914.50. </w:t>
      </w:r>
    </w:p>
    <w:p w14:paraId="6CBAA0AB" w14:textId="77777777" w:rsidR="00E70388" w:rsidRPr="00A82FB5" w:rsidRDefault="00E70388" w:rsidP="00E70388">
      <w:pPr>
        <w:tabs>
          <w:tab w:val="left" w:pos="-720"/>
        </w:tabs>
        <w:suppressAutoHyphens/>
        <w:ind w:left="360"/>
        <w:jc w:val="both"/>
      </w:pPr>
    </w:p>
    <w:p w14:paraId="001D32DC" w14:textId="6F10FB44" w:rsidR="00E70388" w:rsidRDefault="00E70388" w:rsidP="00A82FB5">
      <w:pPr>
        <w:autoSpaceDE w:val="0"/>
        <w:autoSpaceDN w:val="0"/>
      </w:pPr>
      <w:r w:rsidRPr="00A82FB5">
        <w:t xml:space="preserve">While </w:t>
      </w:r>
      <w:r w:rsidR="00421B09" w:rsidRPr="00A82FB5">
        <w:t xml:space="preserve">the </w:t>
      </w:r>
      <w:r w:rsidRPr="00A82FB5">
        <w:t xml:space="preserve">annualized cost of survey to the government is calculated by averaging response burden across 5 years based on the envisioned survey frequency, the overall survey cost for </w:t>
      </w:r>
      <w:r w:rsidR="00421B09" w:rsidRPr="00A82FB5">
        <w:t xml:space="preserve">the </w:t>
      </w:r>
      <w:r w:rsidRPr="00A82FB5">
        <w:t xml:space="preserve">total number of respondents (5000) is $200,592 ($39,914.50 x 5 + $1,020.00). </w:t>
      </w:r>
      <w:r w:rsidR="00421B09" w:rsidRPr="00A82FB5">
        <w:t xml:space="preserve">The total burden will </w:t>
      </w:r>
      <w:r w:rsidRPr="00A82FB5">
        <w:t>occur as a one-time cost within the first year of the 5-year survey cycle.</w:t>
      </w:r>
      <w:r>
        <w:t xml:space="preserve"> </w:t>
      </w:r>
    </w:p>
    <w:p w14:paraId="7B34DC23" w14:textId="77777777" w:rsidR="00E70388" w:rsidRPr="00A00E29" w:rsidRDefault="00E70388" w:rsidP="00E70388">
      <w:pPr>
        <w:tabs>
          <w:tab w:val="left" w:pos="-720"/>
        </w:tabs>
        <w:suppressAutoHyphens/>
        <w:ind w:left="360"/>
        <w:jc w:val="both"/>
      </w:pPr>
      <w:r w:rsidRPr="00A00E29">
        <w:t xml:space="preserve">   </w:t>
      </w:r>
    </w:p>
    <w:p w14:paraId="08513114" w14:textId="77777777" w:rsidR="00EB5E96" w:rsidRPr="00596A43" w:rsidRDefault="00EB5E96" w:rsidP="000C4293">
      <w:pPr>
        <w:suppressAutoHyphens/>
        <w:jc w:val="both"/>
      </w:pPr>
    </w:p>
    <w:p w14:paraId="2DD48CDB"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15.  Explain the reasons for any program changes or adjustments reported in Items 13 or 14 of the OMB Form 83-I.  Changes in hour burden, i.e., program changes or adjustments made to annual reporting and recordkeeping </w:t>
      </w:r>
      <w:r w:rsidRPr="00596A43">
        <w:rPr>
          <w:b/>
        </w:rPr>
        <w:t>hour</w:t>
      </w:r>
      <w:r w:rsidRPr="00596A43">
        <w:t xml:space="preserve"> and </w:t>
      </w:r>
      <w:r w:rsidRPr="00596A43">
        <w:rPr>
          <w:b/>
        </w:rPr>
        <w:t>cost</w:t>
      </w:r>
      <w:r w:rsidRPr="00596A43">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14:paraId="4E2C7710" w14:textId="77777777" w:rsidR="00EB5E96" w:rsidRPr="00596A43" w:rsidRDefault="00EB5E96" w:rsidP="000C4293">
      <w:pPr>
        <w:tabs>
          <w:tab w:val="left" w:pos="-720"/>
        </w:tabs>
        <w:suppressAutoHyphens/>
        <w:jc w:val="both"/>
      </w:pPr>
      <w:r w:rsidRPr="00596A43">
        <w:fldChar w:fldCharType="begin"/>
      </w:r>
      <w:r w:rsidRPr="00596A43">
        <w:instrText>ADVANCE \R 0.95</w:instrText>
      </w:r>
      <w:r w:rsidRPr="00596A43">
        <w:fldChar w:fldCharType="end"/>
      </w:r>
    </w:p>
    <w:p w14:paraId="1AE081EC" w14:textId="77777777" w:rsidR="00D73BBC" w:rsidRPr="00D73BBC" w:rsidRDefault="00D73BBC" w:rsidP="00D73BBC">
      <w:pPr>
        <w:tabs>
          <w:tab w:val="left" w:pos="-720"/>
        </w:tabs>
        <w:suppressAutoHyphens/>
        <w:jc w:val="both"/>
        <w:rPr>
          <w:i/>
          <w:spacing w:val="-3"/>
          <w:sz w:val="20"/>
        </w:rPr>
      </w:pPr>
      <w:r w:rsidRPr="00D73BBC">
        <w:rPr>
          <w:i/>
          <w:spacing w:val="-3"/>
          <w:sz w:val="20"/>
        </w:rPr>
        <w:t>Respon</w:t>
      </w:r>
      <w:r>
        <w:rPr>
          <w:i/>
          <w:spacing w:val="-3"/>
          <w:sz w:val="20"/>
        </w:rPr>
        <w:t>se</w:t>
      </w:r>
      <w:r w:rsidRPr="00D73BBC">
        <w:rPr>
          <w:i/>
          <w:spacing w:val="-3"/>
          <w:sz w:val="20"/>
        </w:rPr>
        <w:t>…</w:t>
      </w:r>
    </w:p>
    <w:p w14:paraId="31E4FDCC" w14:textId="6ED5A16A" w:rsidR="00EB5E96" w:rsidRDefault="00420155" w:rsidP="006B3CB5">
      <w:pPr>
        <w:tabs>
          <w:tab w:val="left" w:pos="-720"/>
        </w:tabs>
        <w:suppressAutoHyphens/>
        <w:jc w:val="both"/>
      </w:pPr>
      <w:r>
        <w:t xml:space="preserve">This </w:t>
      </w:r>
      <w:r w:rsidR="006B3CB5">
        <w:t>survey represents a</w:t>
      </w:r>
      <w:r>
        <w:t xml:space="preserve"> new collection.</w:t>
      </w:r>
    </w:p>
    <w:p w14:paraId="38E94464" w14:textId="77777777" w:rsidR="003F1520" w:rsidRPr="00596A43" w:rsidRDefault="003F1520" w:rsidP="000C4293">
      <w:pPr>
        <w:tabs>
          <w:tab w:val="left" w:pos="-720"/>
        </w:tabs>
        <w:suppressAutoHyphens/>
        <w:jc w:val="both"/>
      </w:pPr>
    </w:p>
    <w:p w14:paraId="67F17C87" w14:textId="77777777" w:rsidR="00EB5E96" w:rsidRPr="00551BE0"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51BE0">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36433CD5" w14:textId="77777777" w:rsidR="00EB5E96" w:rsidRDefault="00EB5E96" w:rsidP="000C4293">
      <w:pPr>
        <w:suppressAutoHyphens/>
        <w:jc w:val="both"/>
      </w:pPr>
      <w:r w:rsidRPr="00551BE0">
        <w:fldChar w:fldCharType="begin"/>
      </w:r>
      <w:r w:rsidRPr="00551BE0">
        <w:instrText>ADVANCE \R 0.95</w:instrText>
      </w:r>
      <w:r w:rsidRPr="00551BE0">
        <w:fldChar w:fldCharType="end"/>
      </w:r>
    </w:p>
    <w:p w14:paraId="4FFD34E5" w14:textId="0509747A" w:rsidR="00510DF6" w:rsidRPr="00510DF6" w:rsidRDefault="00510DF6" w:rsidP="00510DF6">
      <w:pPr>
        <w:tabs>
          <w:tab w:val="left" w:pos="-720"/>
        </w:tabs>
        <w:suppressAutoHyphens/>
        <w:jc w:val="both"/>
        <w:rPr>
          <w:i/>
          <w:spacing w:val="-3"/>
          <w:sz w:val="20"/>
        </w:rPr>
      </w:pPr>
      <w:r w:rsidRPr="00D73BBC">
        <w:rPr>
          <w:i/>
          <w:spacing w:val="-3"/>
          <w:sz w:val="20"/>
        </w:rPr>
        <w:t>Respon</w:t>
      </w:r>
      <w:r>
        <w:rPr>
          <w:i/>
          <w:spacing w:val="-3"/>
          <w:sz w:val="20"/>
        </w:rPr>
        <w:t>se</w:t>
      </w:r>
      <w:r w:rsidRPr="00D73BBC">
        <w:rPr>
          <w:i/>
          <w:spacing w:val="-3"/>
          <w:sz w:val="20"/>
        </w:rPr>
        <w:t>…</w:t>
      </w:r>
    </w:p>
    <w:p w14:paraId="4C817F89" w14:textId="33474D50" w:rsidR="00D73BBC" w:rsidRPr="00420155" w:rsidRDefault="002B569C" w:rsidP="006B3CB5">
      <w:pPr>
        <w:tabs>
          <w:tab w:val="left" w:pos="-720"/>
        </w:tabs>
        <w:suppressAutoHyphens/>
        <w:jc w:val="both"/>
        <w:rPr>
          <w:spacing w:val="-3"/>
        </w:rPr>
      </w:pPr>
      <w:r w:rsidRPr="00551BE0">
        <w:rPr>
          <w:spacing w:val="-3"/>
        </w:rPr>
        <w:t>If appropriate for public distribution (e.g., no sensitive information when aggregated, etc.),</w:t>
      </w:r>
      <w:r w:rsidR="00576753">
        <w:rPr>
          <w:spacing w:val="-3"/>
        </w:rPr>
        <w:t xml:space="preserve"> DHS will publish</w:t>
      </w:r>
      <w:r w:rsidRPr="00551BE0">
        <w:rPr>
          <w:spacing w:val="-3"/>
        </w:rPr>
        <w:t xml:space="preserve"> </w:t>
      </w:r>
      <w:r w:rsidR="00576753">
        <w:rPr>
          <w:spacing w:val="-3"/>
        </w:rPr>
        <w:t xml:space="preserve">the </w:t>
      </w:r>
      <w:r w:rsidRPr="00551BE0">
        <w:rPr>
          <w:spacing w:val="-3"/>
        </w:rPr>
        <w:t>reports</w:t>
      </w:r>
      <w:r w:rsidR="00576753">
        <w:rPr>
          <w:spacing w:val="-3"/>
        </w:rPr>
        <w:t xml:space="preserve"> </w:t>
      </w:r>
      <w:r w:rsidRPr="00551BE0">
        <w:rPr>
          <w:spacing w:val="-3"/>
        </w:rPr>
        <w:t xml:space="preserve">resulting from collection through its website and, when required by statute, through direct distribution to Congress through the </w:t>
      </w:r>
      <w:r w:rsidR="00781ED9">
        <w:rPr>
          <w:spacing w:val="-3"/>
        </w:rPr>
        <w:t>appropriate channels</w:t>
      </w:r>
      <w:r w:rsidR="00551BE0" w:rsidRPr="00551BE0">
        <w:rPr>
          <w:spacing w:val="-3"/>
        </w:rPr>
        <w:t xml:space="preserve">.  </w:t>
      </w:r>
      <w:r w:rsidR="00E657B7">
        <w:rPr>
          <w:spacing w:val="-3"/>
        </w:rPr>
        <w:t>DHS</w:t>
      </w:r>
      <w:r w:rsidR="00551BE0" w:rsidRPr="00551BE0">
        <w:rPr>
          <w:spacing w:val="-3"/>
        </w:rPr>
        <w:t xml:space="preserve"> intends to utilize </w:t>
      </w:r>
      <w:r w:rsidRPr="00551BE0">
        <w:rPr>
          <w:spacing w:val="-3"/>
        </w:rPr>
        <w:t xml:space="preserve">statistical sampling and analysis </w:t>
      </w:r>
      <w:r w:rsidR="00576753">
        <w:rPr>
          <w:spacing w:val="-3"/>
        </w:rPr>
        <w:t xml:space="preserve">to determine best practices of </w:t>
      </w:r>
      <w:r w:rsidR="006B3CB5">
        <w:rPr>
          <w:spacing w:val="-3"/>
        </w:rPr>
        <w:t>using the Cybersecurity Framework</w:t>
      </w:r>
      <w:r w:rsidR="00576753">
        <w:rPr>
          <w:spacing w:val="-3"/>
        </w:rPr>
        <w:t xml:space="preserve"> </w:t>
      </w:r>
      <w:r w:rsidRPr="00551BE0">
        <w:rPr>
          <w:spacing w:val="-3"/>
        </w:rPr>
        <w:t xml:space="preserve">based upon region, </w:t>
      </w:r>
      <w:r w:rsidR="00576753">
        <w:rPr>
          <w:spacing w:val="-3"/>
        </w:rPr>
        <w:t>company</w:t>
      </w:r>
      <w:r w:rsidRPr="00551BE0">
        <w:rPr>
          <w:spacing w:val="-3"/>
        </w:rPr>
        <w:t xml:space="preserve"> size, </w:t>
      </w:r>
      <w:r w:rsidR="00576753">
        <w:rPr>
          <w:spacing w:val="-3"/>
        </w:rPr>
        <w:t>asset worth</w:t>
      </w:r>
      <w:r w:rsidRPr="00551BE0">
        <w:rPr>
          <w:spacing w:val="-3"/>
        </w:rPr>
        <w:t xml:space="preserve">, and other relevant factors.  </w:t>
      </w:r>
    </w:p>
    <w:p w14:paraId="1F06818A" w14:textId="77777777" w:rsidR="00EB5E96" w:rsidRPr="00596A43" w:rsidRDefault="00EB5E96" w:rsidP="000C4293">
      <w:pPr>
        <w:suppressAutoHyphens/>
        <w:jc w:val="both"/>
      </w:pPr>
    </w:p>
    <w:p w14:paraId="57A44BA5"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17.  If seeking approval to not display the expiration date for OMB approval of the information collection, explain reasons that display would be inappropriate.</w:t>
      </w:r>
    </w:p>
    <w:p w14:paraId="54F6E1D7" w14:textId="77777777" w:rsidR="00EB5E96" w:rsidRPr="00596A43" w:rsidRDefault="00EB5E96" w:rsidP="000C4293">
      <w:pPr>
        <w:tabs>
          <w:tab w:val="left" w:pos="-720"/>
        </w:tabs>
        <w:suppressAutoHyphens/>
        <w:jc w:val="both"/>
      </w:pPr>
      <w:r w:rsidRPr="00596A43">
        <w:fldChar w:fldCharType="begin"/>
      </w:r>
      <w:r w:rsidRPr="00596A43">
        <w:instrText>ADVANCE \R 0.95</w:instrText>
      </w:r>
      <w:r w:rsidRPr="00596A43">
        <w:fldChar w:fldCharType="end"/>
      </w:r>
    </w:p>
    <w:p w14:paraId="1E42DA56" w14:textId="77777777" w:rsidR="00D73BBC" w:rsidRPr="00D73BBC" w:rsidRDefault="00D73BBC" w:rsidP="00D73BBC">
      <w:pPr>
        <w:tabs>
          <w:tab w:val="left" w:pos="-720"/>
        </w:tabs>
        <w:suppressAutoHyphens/>
        <w:jc w:val="both"/>
        <w:rPr>
          <w:i/>
          <w:spacing w:val="-3"/>
          <w:sz w:val="20"/>
        </w:rPr>
      </w:pPr>
      <w:r w:rsidRPr="00D73BBC">
        <w:rPr>
          <w:i/>
          <w:spacing w:val="-3"/>
          <w:sz w:val="20"/>
        </w:rPr>
        <w:t>Respon</w:t>
      </w:r>
      <w:r>
        <w:rPr>
          <w:i/>
          <w:spacing w:val="-3"/>
          <w:sz w:val="20"/>
        </w:rPr>
        <w:t>se</w:t>
      </w:r>
      <w:r w:rsidRPr="00D73BBC">
        <w:rPr>
          <w:i/>
          <w:spacing w:val="-3"/>
          <w:sz w:val="20"/>
        </w:rPr>
        <w:t>…</w:t>
      </w:r>
    </w:p>
    <w:p w14:paraId="7DEDF525" w14:textId="62EAAF3B" w:rsidR="003F1520" w:rsidRDefault="00781ED9" w:rsidP="000C4293">
      <w:pPr>
        <w:tabs>
          <w:tab w:val="left" w:pos="-720"/>
        </w:tabs>
        <w:suppressAutoHyphens/>
        <w:jc w:val="both"/>
      </w:pPr>
      <w:r>
        <w:t>The IT SCC</w:t>
      </w:r>
      <w:r w:rsidR="001C4E52" w:rsidRPr="001C4E52">
        <w:t xml:space="preserve"> will display the expiration date for OMB approval of this information collection. </w:t>
      </w:r>
    </w:p>
    <w:p w14:paraId="516DC543" w14:textId="77777777" w:rsidR="006B3CB5" w:rsidRPr="00596A43" w:rsidRDefault="006B3CB5" w:rsidP="000C4293">
      <w:pPr>
        <w:tabs>
          <w:tab w:val="left" w:pos="-720"/>
        </w:tabs>
        <w:suppressAutoHyphens/>
        <w:jc w:val="both"/>
      </w:pPr>
    </w:p>
    <w:p w14:paraId="2CE2805B" w14:textId="77777777" w:rsidR="0077056F"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18.  Explain each exception to the certification statement identified in Item 19 “Certification for Paperwork Reduction Act Submissions,” of OMB Form 83-I.</w:t>
      </w:r>
    </w:p>
    <w:p w14:paraId="0862FCE7" w14:textId="77777777" w:rsidR="0077056F" w:rsidRPr="00596A43" w:rsidRDefault="0077056F" w:rsidP="0077056F">
      <w:pPr>
        <w:tabs>
          <w:tab w:val="left" w:pos="-720"/>
        </w:tabs>
        <w:suppressAutoHyphens/>
        <w:jc w:val="both"/>
      </w:pPr>
    </w:p>
    <w:p w14:paraId="588CD53A" w14:textId="77777777" w:rsidR="00D73BBC" w:rsidRPr="00D73BBC" w:rsidRDefault="00D73BBC" w:rsidP="00D73BBC">
      <w:pPr>
        <w:tabs>
          <w:tab w:val="left" w:pos="-720"/>
        </w:tabs>
        <w:suppressAutoHyphens/>
        <w:jc w:val="both"/>
        <w:rPr>
          <w:i/>
          <w:spacing w:val="-3"/>
          <w:sz w:val="20"/>
        </w:rPr>
      </w:pPr>
      <w:r w:rsidRPr="00D73BBC">
        <w:rPr>
          <w:i/>
          <w:spacing w:val="-3"/>
          <w:sz w:val="20"/>
        </w:rPr>
        <w:t>Respon</w:t>
      </w:r>
      <w:r>
        <w:rPr>
          <w:i/>
          <w:spacing w:val="-3"/>
          <w:sz w:val="20"/>
        </w:rPr>
        <w:t>se</w:t>
      </w:r>
      <w:r w:rsidRPr="00D73BBC">
        <w:rPr>
          <w:i/>
          <w:spacing w:val="-3"/>
          <w:sz w:val="20"/>
        </w:rPr>
        <w:t>…</w:t>
      </w:r>
    </w:p>
    <w:p w14:paraId="5F1FA603" w14:textId="2222447A" w:rsidR="00AA5BDD" w:rsidRPr="00596A43" w:rsidRDefault="00781ED9" w:rsidP="003C72D9">
      <w:pPr>
        <w:tabs>
          <w:tab w:val="left" w:pos="-720"/>
        </w:tabs>
        <w:suppressAutoHyphens/>
        <w:jc w:val="both"/>
      </w:pPr>
      <w:r>
        <w:t>The IT SCC</w:t>
      </w:r>
      <w:r w:rsidR="001C4E52" w:rsidRPr="001C4E52">
        <w:t xml:space="preserve"> does not request an exception to the certification of this information collection. </w:t>
      </w:r>
      <w:bookmarkStart w:id="1" w:name="c_1"/>
      <w:bookmarkStart w:id="2" w:name="c_2"/>
      <w:bookmarkStart w:id="3" w:name="c_3"/>
      <w:bookmarkStart w:id="4" w:name="c_4"/>
      <w:bookmarkStart w:id="5" w:name="c_5"/>
      <w:bookmarkStart w:id="6" w:name="c_6"/>
      <w:bookmarkStart w:id="7" w:name="c_7"/>
      <w:bookmarkStart w:id="8" w:name="c_8"/>
      <w:bookmarkStart w:id="9" w:name="c_9"/>
      <w:bookmarkStart w:id="10" w:name="c_10"/>
      <w:bookmarkStart w:id="11" w:name="c_11"/>
      <w:bookmarkStart w:id="12" w:name="c_12"/>
      <w:bookmarkStart w:id="13" w:name="c_13"/>
      <w:bookmarkStart w:id="14" w:name="c_14"/>
      <w:bookmarkStart w:id="15" w:name="c_15"/>
      <w:bookmarkStart w:id="16" w:name="a_1"/>
      <w:bookmarkStart w:id="17" w:name="a_2"/>
      <w:bookmarkStart w:id="18" w:name="a_3"/>
      <w:bookmarkStart w:id="19" w:name="a_4"/>
      <w:bookmarkStart w:id="20" w:name="a_5"/>
      <w:bookmarkStart w:id="21" w:name="a_5_A"/>
      <w:bookmarkStart w:id="22" w:name="a_5_A_i"/>
      <w:bookmarkStart w:id="23" w:name="a_5_A_ii"/>
      <w:bookmarkStart w:id="24" w:name="a_5_A_iii"/>
      <w:bookmarkStart w:id="25" w:name="a_5_B"/>
      <w:bookmarkStart w:id="26" w:name="b"/>
      <w:bookmarkStart w:id="27" w:name="c"/>
      <w:bookmarkStart w:id="28" w:name="d"/>
      <w:bookmarkStart w:id="29" w:name="d_1"/>
      <w:bookmarkStart w:id="30" w:name="d_2"/>
      <w:bookmarkStart w:id="31" w:name="d_3"/>
      <w:bookmarkStart w:id="32" w:name="d_3_A"/>
      <w:bookmarkStart w:id="33" w:name="d_3_B"/>
      <w:bookmarkStart w:id="34" w:name="d_4"/>
      <w:bookmarkStart w:id="35" w:name="d_4_A"/>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sectPr w:rsidR="00AA5BDD" w:rsidRPr="00596A43" w:rsidSect="00460234">
      <w:footerReference w:type="even" r:id="rId14"/>
      <w:footerReference w:type="default" r:id="rId15"/>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40ECB" w14:textId="77777777" w:rsidR="00F84832" w:rsidRDefault="00F84832">
      <w:r>
        <w:separator/>
      </w:r>
    </w:p>
  </w:endnote>
  <w:endnote w:type="continuationSeparator" w:id="0">
    <w:p w14:paraId="4EC0994C" w14:textId="77777777" w:rsidR="00F84832" w:rsidRDefault="00F84832">
      <w:r>
        <w:continuationSeparator/>
      </w:r>
    </w:p>
  </w:endnote>
  <w:endnote w:type="continuationNotice" w:id="1">
    <w:p w14:paraId="39413649" w14:textId="77777777" w:rsidR="00F84832" w:rsidRDefault="00F84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C0F75" w14:textId="77777777" w:rsidR="003A013B" w:rsidRDefault="003A013B"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49E408" w14:textId="77777777" w:rsidR="003A013B" w:rsidRDefault="003A013B" w:rsidP="00DC6E7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0198B" w14:textId="1749013A" w:rsidR="003A013B" w:rsidRDefault="003A013B"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4E35">
      <w:rPr>
        <w:rStyle w:val="PageNumber"/>
        <w:noProof/>
      </w:rPr>
      <w:t>2</w:t>
    </w:r>
    <w:r>
      <w:rPr>
        <w:rStyle w:val="PageNumber"/>
      </w:rPr>
      <w:fldChar w:fldCharType="end"/>
    </w:r>
  </w:p>
  <w:p w14:paraId="30408E23" w14:textId="77777777" w:rsidR="003A013B" w:rsidRDefault="003A013B" w:rsidP="00DC6E79">
    <w:pPr>
      <w:pStyle w:val="Footer"/>
      <w:tabs>
        <w:tab w:val="clear" w:pos="8640"/>
        <w:tab w:val="right" w:pos="9360"/>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05DB23" w14:textId="77777777" w:rsidR="00F84832" w:rsidRDefault="00F84832">
      <w:r>
        <w:separator/>
      </w:r>
    </w:p>
  </w:footnote>
  <w:footnote w:type="continuationSeparator" w:id="0">
    <w:p w14:paraId="1A5B0CFC" w14:textId="77777777" w:rsidR="00F84832" w:rsidRDefault="00F84832">
      <w:r>
        <w:continuationSeparator/>
      </w:r>
    </w:p>
  </w:footnote>
  <w:footnote w:type="continuationNotice" w:id="1">
    <w:p w14:paraId="5881F20C" w14:textId="77777777" w:rsidR="00F84832" w:rsidRDefault="00F84832"/>
  </w:footnote>
  <w:footnote w:id="2">
    <w:p w14:paraId="427F4FE9" w14:textId="2959F817" w:rsidR="003A013B" w:rsidRPr="00506F56" w:rsidRDefault="003A013B" w:rsidP="00FB0C7C">
      <w:pPr>
        <w:rPr>
          <w:sz w:val="20"/>
          <w:szCs w:val="20"/>
        </w:rPr>
      </w:pPr>
      <w:r w:rsidRPr="00506F56">
        <w:rPr>
          <w:rStyle w:val="FootnoteReference"/>
          <w:sz w:val="20"/>
          <w:szCs w:val="20"/>
        </w:rPr>
        <w:footnoteRef/>
      </w:r>
      <w:r w:rsidRPr="00506F56">
        <w:rPr>
          <w:rStyle w:val="FootnoteReference"/>
          <w:sz w:val="20"/>
          <w:szCs w:val="20"/>
        </w:rPr>
        <w:footnoteRef/>
      </w:r>
      <w:r w:rsidRPr="00506F56">
        <w:rPr>
          <w:sz w:val="20"/>
          <w:szCs w:val="20"/>
        </w:rPr>
        <w:t xml:space="preserve"> Source: US Census Bureau. Number of Firms, Number of Establishments, Employment, and Annual Payroll by Small Enterprise Employment Sizes for the United States and States, NAICS Sectors:  2012 </w:t>
      </w:r>
      <w:hyperlink r:id="rId1" w:history="1">
        <w:r w:rsidRPr="00506F56">
          <w:rPr>
            <w:rStyle w:val="Hyperlink"/>
            <w:sz w:val="20"/>
            <w:szCs w:val="20"/>
          </w:rPr>
          <w:t>https://www2.census.gov/programs-surveys/susb/tables/2012/us_state_naicssector_small_emplsize_2012.xls</w:t>
        </w:r>
      </w:hyperlink>
      <w:r w:rsidRPr="00506F56">
        <w:rPr>
          <w:sz w:val="20"/>
          <w:szCs w:val="20"/>
        </w:rPr>
        <w:t xml:space="preserve"> </w:t>
      </w:r>
    </w:p>
    <w:p w14:paraId="2FDE4BA3" w14:textId="0E9E9B92" w:rsidR="003A013B" w:rsidRPr="00506F56" w:rsidRDefault="003A013B">
      <w:pPr>
        <w:pStyle w:val="FootnoteText"/>
      </w:pPr>
    </w:p>
  </w:footnote>
  <w:footnote w:id="3">
    <w:p w14:paraId="75A1647E" w14:textId="77777777" w:rsidR="003A013B" w:rsidRPr="00506F56" w:rsidRDefault="003A013B" w:rsidP="00506F56">
      <w:pPr>
        <w:rPr>
          <w:sz w:val="20"/>
          <w:szCs w:val="20"/>
        </w:rPr>
      </w:pPr>
      <w:r w:rsidRPr="00506F56">
        <w:rPr>
          <w:rStyle w:val="FootnoteReference"/>
          <w:sz w:val="20"/>
          <w:szCs w:val="20"/>
        </w:rPr>
        <w:footnoteRef/>
      </w:r>
      <w:r w:rsidRPr="00506F56">
        <w:rPr>
          <w:sz w:val="20"/>
          <w:szCs w:val="20"/>
        </w:rPr>
        <w:t xml:space="preserve"> Source: US Census Bureau. Number of Firms, Number of Establishments, Employment, Annual Payroll, and Estimated Receipts by Enterprise Employment Size for the United States, All, 2012. </w:t>
      </w:r>
      <w:hyperlink r:id="rId2" w:history="1">
        <w:r w:rsidRPr="00506F56">
          <w:rPr>
            <w:rStyle w:val="Hyperlink"/>
            <w:sz w:val="20"/>
            <w:szCs w:val="20"/>
          </w:rPr>
          <w:t>https://www2.census.gov/programs-surveys/susb/tables/2012/us_6digitnaics_2012.xls</w:t>
        </w:r>
      </w:hyperlink>
      <w:r w:rsidRPr="00506F56">
        <w:rPr>
          <w:sz w:val="20"/>
          <w:szCs w:val="20"/>
        </w:rPr>
        <w:t xml:space="preserve"> </w:t>
      </w:r>
    </w:p>
    <w:p w14:paraId="046C3807" w14:textId="4DAD611B" w:rsidR="003A013B" w:rsidRDefault="003A013B" w:rsidP="00506F56">
      <w:r>
        <w:t xml:space="preserve"> </w:t>
      </w:r>
    </w:p>
  </w:footnote>
  <w:footnote w:id="4">
    <w:p w14:paraId="20425E53" w14:textId="74CE8C2A" w:rsidR="003A013B" w:rsidRDefault="003A013B" w:rsidP="00DD207A">
      <w:pPr>
        <w:tabs>
          <w:tab w:val="left" w:pos="-720"/>
        </w:tabs>
        <w:suppressAutoHyphens/>
      </w:pPr>
      <w:r w:rsidRPr="002B3BBE">
        <w:rPr>
          <w:rStyle w:val="FootnoteReference"/>
          <w:sz w:val="20"/>
          <w:szCs w:val="20"/>
        </w:rPr>
        <w:footnoteRef/>
      </w:r>
      <w:r w:rsidRPr="002B3BBE">
        <w:rPr>
          <w:sz w:val="20"/>
          <w:szCs w:val="20"/>
        </w:rPr>
        <w:t xml:space="preserve"> The agency took a sample of fewer than ten federal participants to do a “test-run” of the survey.</w:t>
      </w:r>
    </w:p>
  </w:footnote>
  <w:footnote w:id="5">
    <w:p w14:paraId="7F775A16" w14:textId="77777777" w:rsidR="00AA1909" w:rsidRDefault="00AA1909" w:rsidP="00AA1909">
      <w:pPr>
        <w:tabs>
          <w:tab w:val="left" w:pos="-720"/>
        </w:tabs>
        <w:suppressAutoHyphens/>
      </w:pPr>
      <w:r>
        <w:rPr>
          <w:rStyle w:val="FootnoteReference"/>
        </w:rPr>
        <w:footnoteRef/>
      </w:r>
      <w:r>
        <w:t xml:space="preserve"> </w:t>
      </w:r>
      <w:r w:rsidRPr="00506F56">
        <w:rPr>
          <w:sz w:val="20"/>
          <w:szCs w:val="20"/>
        </w:rPr>
        <w:t xml:space="preserve">Source: US Census Bureau. </w:t>
      </w:r>
      <w:r w:rsidRPr="00267484">
        <w:rPr>
          <w:sz w:val="20"/>
          <w:szCs w:val="20"/>
        </w:rPr>
        <w:t>Statistics of U.S. Businesses Employment and Payroll Summary: 2012</w:t>
      </w:r>
      <w:r>
        <w:rPr>
          <w:sz w:val="20"/>
          <w:szCs w:val="20"/>
        </w:rPr>
        <w:t>. Released February 2015.</w:t>
      </w:r>
      <w:hyperlink r:id="rId3" w:history="1">
        <w:r w:rsidRPr="00267484">
          <w:rPr>
            <w:rStyle w:val="Hyperlink"/>
            <w:sz w:val="20"/>
            <w:szCs w:val="20"/>
          </w:rPr>
          <w:t>https://www.census.gov/content/dam/Census/library/publications/2015/econ/g12-susb.pdf</w:t>
        </w:r>
      </w:hyperlink>
    </w:p>
    <w:p w14:paraId="0898F6DE" w14:textId="03747083" w:rsidR="00AA1909" w:rsidRDefault="00AA1909">
      <w:pPr>
        <w:pStyle w:val="FootnoteText"/>
      </w:pPr>
    </w:p>
  </w:footnote>
  <w:footnote w:id="6">
    <w:p w14:paraId="52CF21B3" w14:textId="77777777" w:rsidR="002C4AA2" w:rsidRDefault="002C4AA2" w:rsidP="002C4AA2">
      <w:pPr>
        <w:pStyle w:val="FootnoteText"/>
      </w:pPr>
      <w:r w:rsidRPr="007E1535">
        <w:rPr>
          <w:rStyle w:val="FootnoteReference"/>
        </w:rPr>
        <w:footnoteRef/>
      </w:r>
      <w:r w:rsidRPr="007E1535">
        <w:t xml:space="preserve"> </w:t>
      </w:r>
      <w:r w:rsidRPr="007E1535">
        <w:rPr>
          <w:color w:val="000000"/>
          <w:sz w:val="16"/>
          <w:szCs w:val="16"/>
        </w:rPr>
        <w:t xml:space="preserve">Source: U.S. Office of Personnel Management. 2017. </w:t>
      </w:r>
      <w:r w:rsidRPr="007E1535">
        <w:rPr>
          <w:i/>
          <w:color w:val="000000"/>
          <w:sz w:val="16"/>
          <w:szCs w:val="16"/>
        </w:rPr>
        <w:t>Pay and Leave: Salaries and Wages 2017 General Schedule Washington-Baltimore-Arlington, DC-MD-VA-WV-PA</w:t>
      </w:r>
      <w:r w:rsidRPr="007E1535">
        <w:rPr>
          <w:color w:val="000000"/>
          <w:sz w:val="16"/>
          <w:szCs w:val="16"/>
        </w:rPr>
        <w:t xml:space="preserve">. Website: </w:t>
      </w:r>
      <w:hyperlink r:id="rId4" w:history="1">
        <w:r w:rsidRPr="007E1535">
          <w:rPr>
            <w:rStyle w:val="Hyperlink"/>
            <w:sz w:val="16"/>
            <w:szCs w:val="16"/>
          </w:rPr>
          <w:t>https://www.opm.gov/policy-data-oversight/pay-leave/salaries-wages/salary-tables/pdf/2017/DCB.pdf</w:t>
        </w:r>
      </w:hyperlink>
      <w:r w:rsidRPr="007E1535">
        <w:rPr>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9FCC4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lvl>
  </w:abstractNum>
  <w:abstractNum w:abstractNumId="2">
    <w:nsid w:val="01EA149A"/>
    <w:multiLevelType w:val="hybridMultilevel"/>
    <w:tmpl w:val="397837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37358F"/>
    <w:multiLevelType w:val="hybridMultilevel"/>
    <w:tmpl w:val="A694F816"/>
    <w:lvl w:ilvl="0" w:tplc="0EA2D5B6">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val="0"/>
        <w:i w:val="0"/>
        <w:sz w:val="24"/>
        <w:szCs w:val="24"/>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2565F43"/>
    <w:multiLevelType w:val="hybridMultilevel"/>
    <w:tmpl w:val="4B16EEFC"/>
    <w:lvl w:ilvl="0" w:tplc="71F64B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264650"/>
    <w:multiLevelType w:val="hybridMultilevel"/>
    <w:tmpl w:val="6B946B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7E671F"/>
    <w:multiLevelType w:val="hybridMultilevel"/>
    <w:tmpl w:val="B96CD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9">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nsid w:val="311C4630"/>
    <w:multiLevelType w:val="hybridMultilevel"/>
    <w:tmpl w:val="B87E3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3">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4">
    <w:nsid w:val="40A82AB2"/>
    <w:multiLevelType w:val="hybridMultilevel"/>
    <w:tmpl w:val="EB6C4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6">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7">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8">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9">
    <w:nsid w:val="4B890193"/>
    <w:multiLevelType w:val="hybridMultilevel"/>
    <w:tmpl w:val="28FEEAC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1">
    <w:nsid w:val="546E58A3"/>
    <w:multiLevelType w:val="hybridMultilevel"/>
    <w:tmpl w:val="DE060F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3">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4">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5">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6">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7">
    <w:nsid w:val="61611B35"/>
    <w:multiLevelType w:val="hybridMultilevel"/>
    <w:tmpl w:val="E142632C"/>
    <w:lvl w:ilvl="0" w:tplc="E732E702">
      <w:start w:val="3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29">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30">
    <w:nsid w:val="7AF149F3"/>
    <w:multiLevelType w:val="hybridMultilevel"/>
    <w:tmpl w:val="1FE614E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8"/>
  </w:num>
  <w:num w:numId="2">
    <w:abstractNumId w:val="22"/>
  </w:num>
  <w:num w:numId="3">
    <w:abstractNumId w:val="25"/>
  </w:num>
  <w:num w:numId="4">
    <w:abstractNumId w:val="13"/>
  </w:num>
  <w:num w:numId="5">
    <w:abstractNumId w:val="16"/>
  </w:num>
  <w:num w:numId="6">
    <w:abstractNumId w:val="23"/>
  </w:num>
  <w:num w:numId="7">
    <w:abstractNumId w:val="24"/>
  </w:num>
  <w:num w:numId="8">
    <w:abstractNumId w:val="18"/>
  </w:num>
  <w:num w:numId="9">
    <w:abstractNumId w:val="10"/>
  </w:num>
  <w:num w:numId="10">
    <w:abstractNumId w:val="29"/>
  </w:num>
  <w:num w:numId="11">
    <w:abstractNumId w:val="15"/>
  </w:num>
  <w:num w:numId="12">
    <w:abstractNumId w:val="9"/>
  </w:num>
  <w:num w:numId="13">
    <w:abstractNumId w:val="31"/>
  </w:num>
  <w:num w:numId="14">
    <w:abstractNumId w:val="7"/>
  </w:num>
  <w:num w:numId="15">
    <w:abstractNumId w:val="17"/>
  </w:num>
  <w:num w:numId="16">
    <w:abstractNumId w:val="12"/>
  </w:num>
  <w:num w:numId="17">
    <w:abstractNumId w:val="28"/>
  </w:num>
  <w:num w:numId="18">
    <w:abstractNumId w:val="1"/>
    <w:lvlOverride w:ilvl="0">
      <w:lvl w:ilvl="0">
        <w:start w:val="1"/>
        <w:numFmt w:val="bullet"/>
        <w:lvlText w:val=""/>
        <w:legacy w:legacy="1" w:legacySpace="0" w:legacyIndent="360"/>
        <w:lvlJc w:val="left"/>
        <w:pPr>
          <w:ind w:left="2880" w:hanging="360"/>
        </w:pPr>
        <w:rPr>
          <w:rFonts w:ascii="Symbol" w:hAnsi="Symbol" w:hint="default"/>
        </w:rPr>
      </w:lvl>
    </w:lvlOverride>
  </w:num>
  <w:num w:numId="19">
    <w:abstractNumId w:val="20"/>
  </w:num>
  <w:num w:numId="20">
    <w:abstractNumId w:val="26"/>
  </w:num>
  <w:num w:numId="21">
    <w:abstractNumId w:val="19"/>
  </w:num>
  <w:num w:numId="22">
    <w:abstractNumId w:val="14"/>
  </w:num>
  <w:num w:numId="23">
    <w:abstractNumId w:val="6"/>
  </w:num>
  <w:num w:numId="24">
    <w:abstractNumId w:val="5"/>
  </w:num>
  <w:num w:numId="25">
    <w:abstractNumId w:val="3"/>
  </w:num>
  <w:num w:numId="26">
    <w:abstractNumId w:val="0"/>
  </w:num>
  <w:num w:numId="27">
    <w:abstractNumId w:val="21"/>
  </w:num>
  <w:num w:numId="28">
    <w:abstractNumId w:val="2"/>
  </w:num>
  <w:num w:numId="29">
    <w:abstractNumId w:val="30"/>
  </w:num>
  <w:num w:numId="30">
    <w:abstractNumId w:val="27"/>
  </w:num>
  <w:num w:numId="31">
    <w:abstractNumId w:val="1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D6"/>
    <w:rsid w:val="00006896"/>
    <w:rsid w:val="00006B26"/>
    <w:rsid w:val="00007D6C"/>
    <w:rsid w:val="00007FFB"/>
    <w:rsid w:val="00012EA3"/>
    <w:rsid w:val="00012FBC"/>
    <w:rsid w:val="00016FA6"/>
    <w:rsid w:val="0002669E"/>
    <w:rsid w:val="000319C5"/>
    <w:rsid w:val="000329AC"/>
    <w:rsid w:val="000335C8"/>
    <w:rsid w:val="0003662F"/>
    <w:rsid w:val="0003796A"/>
    <w:rsid w:val="00040BA8"/>
    <w:rsid w:val="00042924"/>
    <w:rsid w:val="00047173"/>
    <w:rsid w:val="00051756"/>
    <w:rsid w:val="00051FDA"/>
    <w:rsid w:val="0005233A"/>
    <w:rsid w:val="00053577"/>
    <w:rsid w:val="00053802"/>
    <w:rsid w:val="00073307"/>
    <w:rsid w:val="00075661"/>
    <w:rsid w:val="00076EAF"/>
    <w:rsid w:val="00076EF2"/>
    <w:rsid w:val="000816D8"/>
    <w:rsid w:val="0008212C"/>
    <w:rsid w:val="00083F5D"/>
    <w:rsid w:val="00090D9A"/>
    <w:rsid w:val="000A4447"/>
    <w:rsid w:val="000A6FC5"/>
    <w:rsid w:val="000B2970"/>
    <w:rsid w:val="000B3FBB"/>
    <w:rsid w:val="000C246D"/>
    <w:rsid w:val="000C4293"/>
    <w:rsid w:val="000D1B7C"/>
    <w:rsid w:val="000D26F2"/>
    <w:rsid w:val="000D439D"/>
    <w:rsid w:val="000E2A48"/>
    <w:rsid w:val="000E7B5C"/>
    <w:rsid w:val="000F7843"/>
    <w:rsid w:val="0010533E"/>
    <w:rsid w:val="001137C6"/>
    <w:rsid w:val="001160A9"/>
    <w:rsid w:val="001257F3"/>
    <w:rsid w:val="00130E56"/>
    <w:rsid w:val="00131EC9"/>
    <w:rsid w:val="001408DE"/>
    <w:rsid w:val="00141549"/>
    <w:rsid w:val="00141C5C"/>
    <w:rsid w:val="0014440A"/>
    <w:rsid w:val="00144996"/>
    <w:rsid w:val="001461D1"/>
    <w:rsid w:val="001564F7"/>
    <w:rsid w:val="001816CA"/>
    <w:rsid w:val="00191158"/>
    <w:rsid w:val="00194A62"/>
    <w:rsid w:val="0019602C"/>
    <w:rsid w:val="001A199D"/>
    <w:rsid w:val="001A2C95"/>
    <w:rsid w:val="001A2D68"/>
    <w:rsid w:val="001B01E3"/>
    <w:rsid w:val="001B604A"/>
    <w:rsid w:val="001B6DF0"/>
    <w:rsid w:val="001B7C2D"/>
    <w:rsid w:val="001C18B1"/>
    <w:rsid w:val="001C25FA"/>
    <w:rsid w:val="001C2967"/>
    <w:rsid w:val="001C350A"/>
    <w:rsid w:val="001C4B22"/>
    <w:rsid w:val="001C4CC1"/>
    <w:rsid w:val="001C4E52"/>
    <w:rsid w:val="001C504E"/>
    <w:rsid w:val="001D0E00"/>
    <w:rsid w:val="001E3CC2"/>
    <w:rsid w:val="001E4B66"/>
    <w:rsid w:val="001F4701"/>
    <w:rsid w:val="002030D4"/>
    <w:rsid w:val="00204F46"/>
    <w:rsid w:val="0021666F"/>
    <w:rsid w:val="0021701D"/>
    <w:rsid w:val="00222489"/>
    <w:rsid w:val="00222D50"/>
    <w:rsid w:val="0022399E"/>
    <w:rsid w:val="00224A02"/>
    <w:rsid w:val="00235123"/>
    <w:rsid w:val="002366B4"/>
    <w:rsid w:val="00237711"/>
    <w:rsid w:val="00241419"/>
    <w:rsid w:val="00247E7C"/>
    <w:rsid w:val="00251725"/>
    <w:rsid w:val="0025325A"/>
    <w:rsid w:val="002566BD"/>
    <w:rsid w:val="002611D4"/>
    <w:rsid w:val="0026409B"/>
    <w:rsid w:val="00264251"/>
    <w:rsid w:val="00264743"/>
    <w:rsid w:val="00267484"/>
    <w:rsid w:val="00270351"/>
    <w:rsid w:val="00272047"/>
    <w:rsid w:val="00272CF0"/>
    <w:rsid w:val="00276A24"/>
    <w:rsid w:val="00290AAB"/>
    <w:rsid w:val="0029703B"/>
    <w:rsid w:val="00297C37"/>
    <w:rsid w:val="002A67DB"/>
    <w:rsid w:val="002A6906"/>
    <w:rsid w:val="002A6C67"/>
    <w:rsid w:val="002A7031"/>
    <w:rsid w:val="002A7DC3"/>
    <w:rsid w:val="002B0649"/>
    <w:rsid w:val="002B3BBE"/>
    <w:rsid w:val="002B4BF6"/>
    <w:rsid w:val="002B569C"/>
    <w:rsid w:val="002C05B0"/>
    <w:rsid w:val="002C2B58"/>
    <w:rsid w:val="002C4806"/>
    <w:rsid w:val="002C4AA2"/>
    <w:rsid w:val="002C5263"/>
    <w:rsid w:val="002D0839"/>
    <w:rsid w:val="002D4708"/>
    <w:rsid w:val="002D6219"/>
    <w:rsid w:val="002E6FB7"/>
    <w:rsid w:val="002F18A2"/>
    <w:rsid w:val="002F2A01"/>
    <w:rsid w:val="00302B15"/>
    <w:rsid w:val="003311EB"/>
    <w:rsid w:val="00331954"/>
    <w:rsid w:val="00332096"/>
    <w:rsid w:val="00333D1E"/>
    <w:rsid w:val="00341049"/>
    <w:rsid w:val="0034148A"/>
    <w:rsid w:val="0034195A"/>
    <w:rsid w:val="00350E84"/>
    <w:rsid w:val="00356DB6"/>
    <w:rsid w:val="00364EE8"/>
    <w:rsid w:val="00366DAE"/>
    <w:rsid w:val="003670D5"/>
    <w:rsid w:val="003757D0"/>
    <w:rsid w:val="00377D10"/>
    <w:rsid w:val="00381F93"/>
    <w:rsid w:val="00382C40"/>
    <w:rsid w:val="003832EE"/>
    <w:rsid w:val="00383A50"/>
    <w:rsid w:val="00384021"/>
    <w:rsid w:val="0039325E"/>
    <w:rsid w:val="0039381C"/>
    <w:rsid w:val="003939EC"/>
    <w:rsid w:val="00394081"/>
    <w:rsid w:val="0039705C"/>
    <w:rsid w:val="003A013B"/>
    <w:rsid w:val="003A3B94"/>
    <w:rsid w:val="003A4655"/>
    <w:rsid w:val="003B1431"/>
    <w:rsid w:val="003B191B"/>
    <w:rsid w:val="003B2553"/>
    <w:rsid w:val="003B25F3"/>
    <w:rsid w:val="003B4F5C"/>
    <w:rsid w:val="003B5E20"/>
    <w:rsid w:val="003B68FA"/>
    <w:rsid w:val="003C2088"/>
    <w:rsid w:val="003C4DEC"/>
    <w:rsid w:val="003C6702"/>
    <w:rsid w:val="003C72D9"/>
    <w:rsid w:val="003D1781"/>
    <w:rsid w:val="003D64C9"/>
    <w:rsid w:val="003E0D23"/>
    <w:rsid w:val="003E2CC1"/>
    <w:rsid w:val="003E4418"/>
    <w:rsid w:val="003E6DD8"/>
    <w:rsid w:val="003F1520"/>
    <w:rsid w:val="004073FE"/>
    <w:rsid w:val="00407553"/>
    <w:rsid w:val="004076BD"/>
    <w:rsid w:val="00411B83"/>
    <w:rsid w:val="00413E8E"/>
    <w:rsid w:val="00420155"/>
    <w:rsid w:val="00421B09"/>
    <w:rsid w:val="004232CE"/>
    <w:rsid w:val="0043124F"/>
    <w:rsid w:val="00432D3C"/>
    <w:rsid w:val="00436C97"/>
    <w:rsid w:val="00437EC2"/>
    <w:rsid w:val="00447C3A"/>
    <w:rsid w:val="00453320"/>
    <w:rsid w:val="00457DAC"/>
    <w:rsid w:val="00460234"/>
    <w:rsid w:val="00462C47"/>
    <w:rsid w:val="00463085"/>
    <w:rsid w:val="00481363"/>
    <w:rsid w:val="00482F9B"/>
    <w:rsid w:val="00483B3F"/>
    <w:rsid w:val="00485C39"/>
    <w:rsid w:val="00485DDA"/>
    <w:rsid w:val="004942E0"/>
    <w:rsid w:val="004A0DE6"/>
    <w:rsid w:val="004A2A0D"/>
    <w:rsid w:val="004A42B4"/>
    <w:rsid w:val="004B198D"/>
    <w:rsid w:val="004B62D9"/>
    <w:rsid w:val="004C21F8"/>
    <w:rsid w:val="004C4AE0"/>
    <w:rsid w:val="004D0EE9"/>
    <w:rsid w:val="004D48A0"/>
    <w:rsid w:val="004D561F"/>
    <w:rsid w:val="004D6FE1"/>
    <w:rsid w:val="004E070F"/>
    <w:rsid w:val="004E55A1"/>
    <w:rsid w:val="004F17A0"/>
    <w:rsid w:val="004F19C6"/>
    <w:rsid w:val="004F20E8"/>
    <w:rsid w:val="004F3A0A"/>
    <w:rsid w:val="00501E27"/>
    <w:rsid w:val="005020C9"/>
    <w:rsid w:val="00506F56"/>
    <w:rsid w:val="0051005D"/>
    <w:rsid w:val="0051063F"/>
    <w:rsid w:val="00510DF6"/>
    <w:rsid w:val="0051236F"/>
    <w:rsid w:val="00512B89"/>
    <w:rsid w:val="005156DC"/>
    <w:rsid w:val="005168FD"/>
    <w:rsid w:val="005202D4"/>
    <w:rsid w:val="00526CFB"/>
    <w:rsid w:val="00532899"/>
    <w:rsid w:val="005359C5"/>
    <w:rsid w:val="005420C0"/>
    <w:rsid w:val="005420D3"/>
    <w:rsid w:val="00547208"/>
    <w:rsid w:val="00550B78"/>
    <w:rsid w:val="00551BE0"/>
    <w:rsid w:val="0055323F"/>
    <w:rsid w:val="0055403B"/>
    <w:rsid w:val="0055723B"/>
    <w:rsid w:val="00573B59"/>
    <w:rsid w:val="00576753"/>
    <w:rsid w:val="00580711"/>
    <w:rsid w:val="005817B5"/>
    <w:rsid w:val="0059098F"/>
    <w:rsid w:val="00591BA5"/>
    <w:rsid w:val="005924FE"/>
    <w:rsid w:val="00596374"/>
    <w:rsid w:val="00596A43"/>
    <w:rsid w:val="00596BD2"/>
    <w:rsid w:val="00596E71"/>
    <w:rsid w:val="005A037C"/>
    <w:rsid w:val="005A0C14"/>
    <w:rsid w:val="005A1C82"/>
    <w:rsid w:val="005B3B03"/>
    <w:rsid w:val="005C122F"/>
    <w:rsid w:val="005C17E7"/>
    <w:rsid w:val="005C3DCA"/>
    <w:rsid w:val="005C7058"/>
    <w:rsid w:val="005D0717"/>
    <w:rsid w:val="005D1A6C"/>
    <w:rsid w:val="005D6EC2"/>
    <w:rsid w:val="005D7769"/>
    <w:rsid w:val="005D781B"/>
    <w:rsid w:val="005F44A6"/>
    <w:rsid w:val="005F6C3A"/>
    <w:rsid w:val="00600B9D"/>
    <w:rsid w:val="00603B4A"/>
    <w:rsid w:val="00605A68"/>
    <w:rsid w:val="00613620"/>
    <w:rsid w:val="006145D1"/>
    <w:rsid w:val="00615DFD"/>
    <w:rsid w:val="006222D7"/>
    <w:rsid w:val="00625391"/>
    <w:rsid w:val="00625D2C"/>
    <w:rsid w:val="006274D4"/>
    <w:rsid w:val="00640DCD"/>
    <w:rsid w:val="006548F6"/>
    <w:rsid w:val="00657687"/>
    <w:rsid w:val="0066411F"/>
    <w:rsid w:val="006651B2"/>
    <w:rsid w:val="0067022A"/>
    <w:rsid w:val="006749D4"/>
    <w:rsid w:val="00681F07"/>
    <w:rsid w:val="0068258B"/>
    <w:rsid w:val="0069210F"/>
    <w:rsid w:val="006935D3"/>
    <w:rsid w:val="006A0B1C"/>
    <w:rsid w:val="006A0DE7"/>
    <w:rsid w:val="006A13D4"/>
    <w:rsid w:val="006A3873"/>
    <w:rsid w:val="006A38CF"/>
    <w:rsid w:val="006A7FF1"/>
    <w:rsid w:val="006B2592"/>
    <w:rsid w:val="006B3CB5"/>
    <w:rsid w:val="006B4994"/>
    <w:rsid w:val="006B7DCA"/>
    <w:rsid w:val="006C21D0"/>
    <w:rsid w:val="006D0E62"/>
    <w:rsid w:val="006D2C26"/>
    <w:rsid w:val="006D2F36"/>
    <w:rsid w:val="006D56CC"/>
    <w:rsid w:val="006D5CCE"/>
    <w:rsid w:val="006D6097"/>
    <w:rsid w:val="006D6E63"/>
    <w:rsid w:val="006D785E"/>
    <w:rsid w:val="006E0002"/>
    <w:rsid w:val="006E13BF"/>
    <w:rsid w:val="006E32D9"/>
    <w:rsid w:val="006E3607"/>
    <w:rsid w:val="006E7127"/>
    <w:rsid w:val="006F51D6"/>
    <w:rsid w:val="00705A0F"/>
    <w:rsid w:val="00716614"/>
    <w:rsid w:val="007168A4"/>
    <w:rsid w:val="00723916"/>
    <w:rsid w:val="00725D64"/>
    <w:rsid w:val="007277A8"/>
    <w:rsid w:val="00731E5C"/>
    <w:rsid w:val="0073638E"/>
    <w:rsid w:val="00741B83"/>
    <w:rsid w:val="00742F2D"/>
    <w:rsid w:val="007443F3"/>
    <w:rsid w:val="00752D76"/>
    <w:rsid w:val="007551FF"/>
    <w:rsid w:val="0075612C"/>
    <w:rsid w:val="00757ADD"/>
    <w:rsid w:val="00760FBE"/>
    <w:rsid w:val="0077056F"/>
    <w:rsid w:val="00776FAB"/>
    <w:rsid w:val="00780749"/>
    <w:rsid w:val="00780EA9"/>
    <w:rsid w:val="00781ED9"/>
    <w:rsid w:val="007A5CFB"/>
    <w:rsid w:val="007C1BDA"/>
    <w:rsid w:val="007C319C"/>
    <w:rsid w:val="007C391A"/>
    <w:rsid w:val="007C4F75"/>
    <w:rsid w:val="007C7623"/>
    <w:rsid w:val="007D0399"/>
    <w:rsid w:val="007D0F4F"/>
    <w:rsid w:val="007E4DEF"/>
    <w:rsid w:val="007E6ADF"/>
    <w:rsid w:val="007F5BC8"/>
    <w:rsid w:val="007F61EC"/>
    <w:rsid w:val="007F6AD9"/>
    <w:rsid w:val="007F6BB7"/>
    <w:rsid w:val="007F79EE"/>
    <w:rsid w:val="00811833"/>
    <w:rsid w:val="008147A1"/>
    <w:rsid w:val="00815B1D"/>
    <w:rsid w:val="00817694"/>
    <w:rsid w:val="00823EAD"/>
    <w:rsid w:val="00826647"/>
    <w:rsid w:val="0082762D"/>
    <w:rsid w:val="008354F6"/>
    <w:rsid w:val="00840338"/>
    <w:rsid w:val="008419A6"/>
    <w:rsid w:val="0084507B"/>
    <w:rsid w:val="008500FB"/>
    <w:rsid w:val="00851BF1"/>
    <w:rsid w:val="00854F6F"/>
    <w:rsid w:val="0086651D"/>
    <w:rsid w:val="008719E8"/>
    <w:rsid w:val="0087345B"/>
    <w:rsid w:val="00874427"/>
    <w:rsid w:val="00874DD8"/>
    <w:rsid w:val="00875586"/>
    <w:rsid w:val="00875666"/>
    <w:rsid w:val="00875FA2"/>
    <w:rsid w:val="008804CB"/>
    <w:rsid w:val="0088137D"/>
    <w:rsid w:val="00887178"/>
    <w:rsid w:val="008873A7"/>
    <w:rsid w:val="008924F0"/>
    <w:rsid w:val="008A0C9A"/>
    <w:rsid w:val="008A1614"/>
    <w:rsid w:val="008A165F"/>
    <w:rsid w:val="008A221D"/>
    <w:rsid w:val="008A381B"/>
    <w:rsid w:val="008A4CB8"/>
    <w:rsid w:val="008A520D"/>
    <w:rsid w:val="008A698A"/>
    <w:rsid w:val="008B2739"/>
    <w:rsid w:val="008B31AF"/>
    <w:rsid w:val="008B67D7"/>
    <w:rsid w:val="008B73E0"/>
    <w:rsid w:val="008B7403"/>
    <w:rsid w:val="008C03A6"/>
    <w:rsid w:val="008C27C3"/>
    <w:rsid w:val="008D22CE"/>
    <w:rsid w:val="008D61ED"/>
    <w:rsid w:val="008D744F"/>
    <w:rsid w:val="008E4152"/>
    <w:rsid w:val="008F2F44"/>
    <w:rsid w:val="008F4069"/>
    <w:rsid w:val="008F4CCA"/>
    <w:rsid w:val="008F50C7"/>
    <w:rsid w:val="008F7AD8"/>
    <w:rsid w:val="00900E0C"/>
    <w:rsid w:val="0090611F"/>
    <w:rsid w:val="00913A27"/>
    <w:rsid w:val="00924C84"/>
    <w:rsid w:val="00933E17"/>
    <w:rsid w:val="0093542A"/>
    <w:rsid w:val="00942617"/>
    <w:rsid w:val="0094389A"/>
    <w:rsid w:val="00944494"/>
    <w:rsid w:val="00947913"/>
    <w:rsid w:val="009479BB"/>
    <w:rsid w:val="009501B2"/>
    <w:rsid w:val="00950F3E"/>
    <w:rsid w:val="0095275A"/>
    <w:rsid w:val="009539A8"/>
    <w:rsid w:val="00957E7F"/>
    <w:rsid w:val="00961FD6"/>
    <w:rsid w:val="009632EC"/>
    <w:rsid w:val="0096453F"/>
    <w:rsid w:val="0096736F"/>
    <w:rsid w:val="009719A6"/>
    <w:rsid w:val="00992C6F"/>
    <w:rsid w:val="00993F06"/>
    <w:rsid w:val="00995211"/>
    <w:rsid w:val="009A01D7"/>
    <w:rsid w:val="009A7B24"/>
    <w:rsid w:val="009B08FB"/>
    <w:rsid w:val="009B4A68"/>
    <w:rsid w:val="009C4719"/>
    <w:rsid w:val="009D0EDC"/>
    <w:rsid w:val="009D128B"/>
    <w:rsid w:val="009E0F57"/>
    <w:rsid w:val="009E131A"/>
    <w:rsid w:val="009E2468"/>
    <w:rsid w:val="009E4B75"/>
    <w:rsid w:val="009E62A8"/>
    <w:rsid w:val="009F06EB"/>
    <w:rsid w:val="009F5E5D"/>
    <w:rsid w:val="009F6D76"/>
    <w:rsid w:val="009F746D"/>
    <w:rsid w:val="00A00007"/>
    <w:rsid w:val="00A00E29"/>
    <w:rsid w:val="00A05144"/>
    <w:rsid w:val="00A0781B"/>
    <w:rsid w:val="00A34334"/>
    <w:rsid w:val="00A354B3"/>
    <w:rsid w:val="00A42A18"/>
    <w:rsid w:val="00A45B54"/>
    <w:rsid w:val="00A476E8"/>
    <w:rsid w:val="00A50719"/>
    <w:rsid w:val="00A60CFF"/>
    <w:rsid w:val="00A6410E"/>
    <w:rsid w:val="00A6683E"/>
    <w:rsid w:val="00A74A11"/>
    <w:rsid w:val="00A82FB5"/>
    <w:rsid w:val="00A83F42"/>
    <w:rsid w:val="00A85F0B"/>
    <w:rsid w:val="00A935D6"/>
    <w:rsid w:val="00A9386D"/>
    <w:rsid w:val="00A93E59"/>
    <w:rsid w:val="00AA1411"/>
    <w:rsid w:val="00AA1909"/>
    <w:rsid w:val="00AA3F82"/>
    <w:rsid w:val="00AA5BDD"/>
    <w:rsid w:val="00AA5E44"/>
    <w:rsid w:val="00AA6813"/>
    <w:rsid w:val="00AB511F"/>
    <w:rsid w:val="00AB71B7"/>
    <w:rsid w:val="00AC4D76"/>
    <w:rsid w:val="00AC63F6"/>
    <w:rsid w:val="00AD00AE"/>
    <w:rsid w:val="00AD69D5"/>
    <w:rsid w:val="00AE0D1F"/>
    <w:rsid w:val="00AE2D1A"/>
    <w:rsid w:val="00AE41B7"/>
    <w:rsid w:val="00AF4838"/>
    <w:rsid w:val="00AF4918"/>
    <w:rsid w:val="00AF6C72"/>
    <w:rsid w:val="00B02152"/>
    <w:rsid w:val="00B139CF"/>
    <w:rsid w:val="00B17D05"/>
    <w:rsid w:val="00B204A5"/>
    <w:rsid w:val="00B24071"/>
    <w:rsid w:val="00B2431C"/>
    <w:rsid w:val="00B27BEB"/>
    <w:rsid w:val="00B35A9A"/>
    <w:rsid w:val="00B410FE"/>
    <w:rsid w:val="00B52BA3"/>
    <w:rsid w:val="00B57157"/>
    <w:rsid w:val="00B61C2C"/>
    <w:rsid w:val="00B633C0"/>
    <w:rsid w:val="00B64258"/>
    <w:rsid w:val="00B67664"/>
    <w:rsid w:val="00B7660F"/>
    <w:rsid w:val="00B81C5C"/>
    <w:rsid w:val="00B81C97"/>
    <w:rsid w:val="00B83E43"/>
    <w:rsid w:val="00B91395"/>
    <w:rsid w:val="00B95571"/>
    <w:rsid w:val="00B96587"/>
    <w:rsid w:val="00BA11D1"/>
    <w:rsid w:val="00BA2768"/>
    <w:rsid w:val="00BB06BB"/>
    <w:rsid w:val="00BB3DB7"/>
    <w:rsid w:val="00BB7487"/>
    <w:rsid w:val="00BC0228"/>
    <w:rsid w:val="00BC4542"/>
    <w:rsid w:val="00BD26B9"/>
    <w:rsid w:val="00BE220F"/>
    <w:rsid w:val="00BE3577"/>
    <w:rsid w:val="00BE4B9B"/>
    <w:rsid w:val="00BF02A9"/>
    <w:rsid w:val="00BF1853"/>
    <w:rsid w:val="00BF57F1"/>
    <w:rsid w:val="00C01C20"/>
    <w:rsid w:val="00C063E4"/>
    <w:rsid w:val="00C06CFE"/>
    <w:rsid w:val="00C0736E"/>
    <w:rsid w:val="00C10ACB"/>
    <w:rsid w:val="00C11435"/>
    <w:rsid w:val="00C170EE"/>
    <w:rsid w:val="00C234A4"/>
    <w:rsid w:val="00C24DE5"/>
    <w:rsid w:val="00C3419E"/>
    <w:rsid w:val="00C4020E"/>
    <w:rsid w:val="00C443A2"/>
    <w:rsid w:val="00C44F4C"/>
    <w:rsid w:val="00C520DC"/>
    <w:rsid w:val="00C624AD"/>
    <w:rsid w:val="00C73C53"/>
    <w:rsid w:val="00C75797"/>
    <w:rsid w:val="00C75FE7"/>
    <w:rsid w:val="00C77539"/>
    <w:rsid w:val="00C7768E"/>
    <w:rsid w:val="00CA51E1"/>
    <w:rsid w:val="00CA571B"/>
    <w:rsid w:val="00CA7AF8"/>
    <w:rsid w:val="00CB06A3"/>
    <w:rsid w:val="00CB0D26"/>
    <w:rsid w:val="00CB5FCB"/>
    <w:rsid w:val="00CB6507"/>
    <w:rsid w:val="00CC3CAE"/>
    <w:rsid w:val="00CD2DFE"/>
    <w:rsid w:val="00CD2EB8"/>
    <w:rsid w:val="00CD4244"/>
    <w:rsid w:val="00CE3D0D"/>
    <w:rsid w:val="00CF45CF"/>
    <w:rsid w:val="00D005D0"/>
    <w:rsid w:val="00D04C05"/>
    <w:rsid w:val="00D07BD9"/>
    <w:rsid w:val="00D12F08"/>
    <w:rsid w:val="00D13A88"/>
    <w:rsid w:val="00D13FB1"/>
    <w:rsid w:val="00D14E05"/>
    <w:rsid w:val="00D3411B"/>
    <w:rsid w:val="00D371F6"/>
    <w:rsid w:val="00D42E87"/>
    <w:rsid w:val="00D55AFC"/>
    <w:rsid w:val="00D627AA"/>
    <w:rsid w:val="00D71B00"/>
    <w:rsid w:val="00D72E95"/>
    <w:rsid w:val="00D73BBC"/>
    <w:rsid w:val="00D82962"/>
    <w:rsid w:val="00D866FF"/>
    <w:rsid w:val="00D93841"/>
    <w:rsid w:val="00D93BFC"/>
    <w:rsid w:val="00D95543"/>
    <w:rsid w:val="00D9646A"/>
    <w:rsid w:val="00DA0968"/>
    <w:rsid w:val="00DB0532"/>
    <w:rsid w:val="00DB5BC2"/>
    <w:rsid w:val="00DB6BCE"/>
    <w:rsid w:val="00DC6E79"/>
    <w:rsid w:val="00DC781C"/>
    <w:rsid w:val="00DD207A"/>
    <w:rsid w:val="00DD300E"/>
    <w:rsid w:val="00DD39A8"/>
    <w:rsid w:val="00DD6682"/>
    <w:rsid w:val="00DE4B43"/>
    <w:rsid w:val="00E06C52"/>
    <w:rsid w:val="00E12104"/>
    <w:rsid w:val="00E17D76"/>
    <w:rsid w:val="00E2004E"/>
    <w:rsid w:val="00E2481E"/>
    <w:rsid w:val="00E318F9"/>
    <w:rsid w:val="00E35694"/>
    <w:rsid w:val="00E4187F"/>
    <w:rsid w:val="00E44536"/>
    <w:rsid w:val="00E476EF"/>
    <w:rsid w:val="00E478CD"/>
    <w:rsid w:val="00E520FE"/>
    <w:rsid w:val="00E5576E"/>
    <w:rsid w:val="00E6014E"/>
    <w:rsid w:val="00E60F4D"/>
    <w:rsid w:val="00E63B98"/>
    <w:rsid w:val="00E657B7"/>
    <w:rsid w:val="00E67F64"/>
    <w:rsid w:val="00E70388"/>
    <w:rsid w:val="00E75177"/>
    <w:rsid w:val="00E81FFF"/>
    <w:rsid w:val="00E8658C"/>
    <w:rsid w:val="00E921A2"/>
    <w:rsid w:val="00E92650"/>
    <w:rsid w:val="00EA3A36"/>
    <w:rsid w:val="00EA68DA"/>
    <w:rsid w:val="00EA6DEF"/>
    <w:rsid w:val="00EB0446"/>
    <w:rsid w:val="00EB459A"/>
    <w:rsid w:val="00EB5E96"/>
    <w:rsid w:val="00EC3659"/>
    <w:rsid w:val="00ED1B8E"/>
    <w:rsid w:val="00ED1E82"/>
    <w:rsid w:val="00EE1178"/>
    <w:rsid w:val="00EF2382"/>
    <w:rsid w:val="00EF4E35"/>
    <w:rsid w:val="00EF73D7"/>
    <w:rsid w:val="00F02B87"/>
    <w:rsid w:val="00F049F5"/>
    <w:rsid w:val="00F15304"/>
    <w:rsid w:val="00F33B1A"/>
    <w:rsid w:val="00F37F32"/>
    <w:rsid w:val="00F415B7"/>
    <w:rsid w:val="00F4411A"/>
    <w:rsid w:val="00F459E0"/>
    <w:rsid w:val="00F46627"/>
    <w:rsid w:val="00F478D6"/>
    <w:rsid w:val="00F52D4E"/>
    <w:rsid w:val="00F54FA6"/>
    <w:rsid w:val="00F57AA9"/>
    <w:rsid w:val="00F628C3"/>
    <w:rsid w:val="00F737AD"/>
    <w:rsid w:val="00F74D4C"/>
    <w:rsid w:val="00F82D57"/>
    <w:rsid w:val="00F84832"/>
    <w:rsid w:val="00F85CE3"/>
    <w:rsid w:val="00F864CE"/>
    <w:rsid w:val="00F86DC0"/>
    <w:rsid w:val="00F930EE"/>
    <w:rsid w:val="00F97444"/>
    <w:rsid w:val="00FA41EF"/>
    <w:rsid w:val="00FB0C7C"/>
    <w:rsid w:val="00FB3EFF"/>
    <w:rsid w:val="00FB40CE"/>
    <w:rsid w:val="00FD2846"/>
    <w:rsid w:val="00FE13FE"/>
    <w:rsid w:val="00FE192B"/>
    <w:rsid w:val="00FE5940"/>
    <w:rsid w:val="00FF1073"/>
    <w:rsid w:val="00FF39AE"/>
    <w:rsid w:val="00FF77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A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uiPriority w:val="99"/>
    <w:semiHidden/>
    <w:rsid w:val="008F2F44"/>
    <w:rPr>
      <w:sz w:val="16"/>
      <w:szCs w:val="16"/>
    </w:rPr>
  </w:style>
  <w:style w:type="paragraph" w:styleId="CommentText">
    <w:name w:val="annotation text"/>
    <w:basedOn w:val="Normal"/>
    <w:link w:val="CommentTextChar"/>
    <w:semiHidden/>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F7843"/>
    <w:rPr>
      <w:sz w:val="20"/>
      <w:szCs w:val="20"/>
    </w:rPr>
  </w:style>
  <w:style w:type="character" w:customStyle="1" w:styleId="FootnoteTextChar">
    <w:name w:val="Footnote Text Char"/>
    <w:basedOn w:val="DefaultParagraphFont"/>
    <w:link w:val="FootnoteText"/>
    <w:rsid w:val="000F7843"/>
  </w:style>
  <w:style w:type="character" w:styleId="FootnoteReference">
    <w:name w:val="footnote reference"/>
    <w:uiPriority w:val="99"/>
    <w:rsid w:val="000F7843"/>
    <w:rPr>
      <w:vertAlign w:val="superscript"/>
    </w:rPr>
  </w:style>
  <w:style w:type="character" w:styleId="FollowedHyperlink">
    <w:name w:val="FollowedHyperlink"/>
    <w:rsid w:val="00EE1178"/>
    <w:rPr>
      <w:color w:val="954F72"/>
      <w:u w:val="single"/>
    </w:rPr>
  </w:style>
  <w:style w:type="paragraph" w:styleId="ListParagraph">
    <w:name w:val="List Paragraph"/>
    <w:basedOn w:val="Normal"/>
    <w:uiPriority w:val="34"/>
    <w:qFormat/>
    <w:rsid w:val="00AD00AE"/>
    <w:pPr>
      <w:ind w:left="720"/>
      <w:contextualSpacing/>
    </w:pPr>
  </w:style>
  <w:style w:type="character" w:customStyle="1" w:styleId="CommentTextChar">
    <w:name w:val="Comment Text Char"/>
    <w:basedOn w:val="DefaultParagraphFont"/>
    <w:link w:val="CommentText"/>
    <w:semiHidden/>
    <w:rsid w:val="00A85F0B"/>
  </w:style>
  <w:style w:type="paragraph" w:styleId="Revision">
    <w:name w:val="Revision"/>
    <w:hidden/>
    <w:uiPriority w:val="99"/>
    <w:semiHidden/>
    <w:rsid w:val="00B633C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uiPriority w:val="99"/>
    <w:semiHidden/>
    <w:rsid w:val="008F2F44"/>
    <w:rPr>
      <w:sz w:val="16"/>
      <w:szCs w:val="16"/>
    </w:rPr>
  </w:style>
  <w:style w:type="paragraph" w:styleId="CommentText">
    <w:name w:val="annotation text"/>
    <w:basedOn w:val="Normal"/>
    <w:link w:val="CommentTextChar"/>
    <w:semiHidden/>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F7843"/>
    <w:rPr>
      <w:sz w:val="20"/>
      <w:szCs w:val="20"/>
    </w:rPr>
  </w:style>
  <w:style w:type="character" w:customStyle="1" w:styleId="FootnoteTextChar">
    <w:name w:val="Footnote Text Char"/>
    <w:basedOn w:val="DefaultParagraphFont"/>
    <w:link w:val="FootnoteText"/>
    <w:rsid w:val="000F7843"/>
  </w:style>
  <w:style w:type="character" w:styleId="FootnoteReference">
    <w:name w:val="footnote reference"/>
    <w:uiPriority w:val="99"/>
    <w:rsid w:val="000F7843"/>
    <w:rPr>
      <w:vertAlign w:val="superscript"/>
    </w:rPr>
  </w:style>
  <w:style w:type="character" w:styleId="FollowedHyperlink">
    <w:name w:val="FollowedHyperlink"/>
    <w:rsid w:val="00EE1178"/>
    <w:rPr>
      <w:color w:val="954F72"/>
      <w:u w:val="single"/>
    </w:rPr>
  </w:style>
  <w:style w:type="paragraph" w:styleId="ListParagraph">
    <w:name w:val="List Paragraph"/>
    <w:basedOn w:val="Normal"/>
    <w:uiPriority w:val="34"/>
    <w:qFormat/>
    <w:rsid w:val="00AD00AE"/>
    <w:pPr>
      <w:ind w:left="720"/>
      <w:contextualSpacing/>
    </w:pPr>
  </w:style>
  <w:style w:type="character" w:customStyle="1" w:styleId="CommentTextChar">
    <w:name w:val="Comment Text Char"/>
    <w:basedOn w:val="DefaultParagraphFont"/>
    <w:link w:val="CommentText"/>
    <w:semiHidden/>
    <w:rsid w:val="00A85F0B"/>
  </w:style>
  <w:style w:type="paragraph" w:styleId="Revision">
    <w:name w:val="Revision"/>
    <w:hidden/>
    <w:uiPriority w:val="99"/>
    <w:semiHidden/>
    <w:rsid w:val="00B633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27519">
      <w:bodyDiv w:val="1"/>
      <w:marLeft w:val="0"/>
      <w:marRight w:val="0"/>
      <w:marTop w:val="0"/>
      <w:marBottom w:val="0"/>
      <w:divBdr>
        <w:top w:val="none" w:sz="0" w:space="0" w:color="auto"/>
        <w:left w:val="none" w:sz="0" w:space="0" w:color="auto"/>
        <w:bottom w:val="none" w:sz="0" w:space="0" w:color="auto"/>
        <w:right w:val="none" w:sz="0" w:space="0" w:color="auto"/>
      </w:divBdr>
    </w:div>
    <w:div w:id="83957279">
      <w:bodyDiv w:val="1"/>
      <w:marLeft w:val="0"/>
      <w:marRight w:val="0"/>
      <w:marTop w:val="0"/>
      <w:marBottom w:val="0"/>
      <w:divBdr>
        <w:top w:val="none" w:sz="0" w:space="0" w:color="auto"/>
        <w:left w:val="none" w:sz="0" w:space="0" w:color="auto"/>
        <w:bottom w:val="none" w:sz="0" w:space="0" w:color="auto"/>
        <w:right w:val="none" w:sz="0" w:space="0" w:color="auto"/>
      </w:divBdr>
    </w:div>
    <w:div w:id="98574485">
      <w:bodyDiv w:val="1"/>
      <w:marLeft w:val="0"/>
      <w:marRight w:val="0"/>
      <w:marTop w:val="0"/>
      <w:marBottom w:val="0"/>
      <w:divBdr>
        <w:top w:val="none" w:sz="0" w:space="0" w:color="auto"/>
        <w:left w:val="none" w:sz="0" w:space="0" w:color="auto"/>
        <w:bottom w:val="none" w:sz="0" w:space="0" w:color="auto"/>
        <w:right w:val="none" w:sz="0" w:space="0" w:color="auto"/>
      </w:divBdr>
    </w:div>
    <w:div w:id="247689339">
      <w:bodyDiv w:val="1"/>
      <w:marLeft w:val="0"/>
      <w:marRight w:val="0"/>
      <w:marTop w:val="0"/>
      <w:marBottom w:val="0"/>
      <w:divBdr>
        <w:top w:val="none" w:sz="0" w:space="0" w:color="auto"/>
        <w:left w:val="none" w:sz="0" w:space="0" w:color="auto"/>
        <w:bottom w:val="none" w:sz="0" w:space="0" w:color="auto"/>
        <w:right w:val="none" w:sz="0" w:space="0" w:color="auto"/>
      </w:divBdr>
    </w:div>
    <w:div w:id="275992679">
      <w:bodyDiv w:val="1"/>
      <w:marLeft w:val="0"/>
      <w:marRight w:val="0"/>
      <w:marTop w:val="0"/>
      <w:marBottom w:val="0"/>
      <w:divBdr>
        <w:top w:val="none" w:sz="0" w:space="0" w:color="auto"/>
        <w:left w:val="none" w:sz="0" w:space="0" w:color="auto"/>
        <w:bottom w:val="none" w:sz="0" w:space="0" w:color="auto"/>
        <w:right w:val="none" w:sz="0" w:space="0" w:color="auto"/>
      </w:divBdr>
    </w:div>
    <w:div w:id="293095840">
      <w:bodyDiv w:val="1"/>
      <w:marLeft w:val="0"/>
      <w:marRight w:val="0"/>
      <w:marTop w:val="0"/>
      <w:marBottom w:val="0"/>
      <w:divBdr>
        <w:top w:val="none" w:sz="0" w:space="0" w:color="auto"/>
        <w:left w:val="none" w:sz="0" w:space="0" w:color="auto"/>
        <w:bottom w:val="none" w:sz="0" w:space="0" w:color="auto"/>
        <w:right w:val="none" w:sz="0" w:space="0" w:color="auto"/>
      </w:divBdr>
    </w:div>
    <w:div w:id="440565099">
      <w:bodyDiv w:val="1"/>
      <w:marLeft w:val="0"/>
      <w:marRight w:val="0"/>
      <w:marTop w:val="0"/>
      <w:marBottom w:val="0"/>
      <w:divBdr>
        <w:top w:val="none" w:sz="0" w:space="0" w:color="auto"/>
        <w:left w:val="none" w:sz="0" w:space="0" w:color="auto"/>
        <w:bottom w:val="none" w:sz="0" w:space="0" w:color="auto"/>
        <w:right w:val="none" w:sz="0" w:space="0" w:color="auto"/>
      </w:divBdr>
    </w:div>
    <w:div w:id="484587494">
      <w:bodyDiv w:val="1"/>
      <w:marLeft w:val="0"/>
      <w:marRight w:val="0"/>
      <w:marTop w:val="0"/>
      <w:marBottom w:val="0"/>
      <w:divBdr>
        <w:top w:val="none" w:sz="0" w:space="0" w:color="auto"/>
        <w:left w:val="none" w:sz="0" w:space="0" w:color="auto"/>
        <w:bottom w:val="none" w:sz="0" w:space="0" w:color="auto"/>
        <w:right w:val="none" w:sz="0" w:space="0" w:color="auto"/>
      </w:divBdr>
    </w:div>
    <w:div w:id="763889211">
      <w:bodyDiv w:val="1"/>
      <w:marLeft w:val="0"/>
      <w:marRight w:val="0"/>
      <w:marTop w:val="0"/>
      <w:marBottom w:val="0"/>
      <w:divBdr>
        <w:top w:val="none" w:sz="0" w:space="0" w:color="auto"/>
        <w:left w:val="none" w:sz="0" w:space="0" w:color="auto"/>
        <w:bottom w:val="none" w:sz="0" w:space="0" w:color="auto"/>
        <w:right w:val="none" w:sz="0" w:space="0" w:color="auto"/>
      </w:divBdr>
      <w:divsChild>
        <w:div w:id="33434737">
          <w:marLeft w:val="240"/>
          <w:marRight w:val="0"/>
          <w:marTop w:val="60"/>
          <w:marBottom w:val="60"/>
          <w:divBdr>
            <w:top w:val="none" w:sz="0" w:space="0" w:color="auto"/>
            <w:left w:val="none" w:sz="0" w:space="0" w:color="auto"/>
            <w:bottom w:val="none" w:sz="0" w:space="0" w:color="auto"/>
            <w:right w:val="none" w:sz="0" w:space="0" w:color="auto"/>
          </w:divBdr>
          <w:divsChild>
            <w:div w:id="336931556">
              <w:marLeft w:val="0"/>
              <w:marRight w:val="0"/>
              <w:marTop w:val="0"/>
              <w:marBottom w:val="0"/>
              <w:divBdr>
                <w:top w:val="none" w:sz="0" w:space="0" w:color="auto"/>
                <w:left w:val="none" w:sz="0" w:space="0" w:color="auto"/>
                <w:bottom w:val="none" w:sz="0" w:space="0" w:color="auto"/>
                <w:right w:val="none" w:sz="0" w:space="0" w:color="auto"/>
              </w:divBdr>
            </w:div>
          </w:divsChild>
        </w:div>
        <w:div w:id="67192198">
          <w:marLeft w:val="240"/>
          <w:marRight w:val="0"/>
          <w:marTop w:val="60"/>
          <w:marBottom w:val="60"/>
          <w:divBdr>
            <w:top w:val="none" w:sz="0" w:space="0" w:color="auto"/>
            <w:left w:val="none" w:sz="0" w:space="0" w:color="auto"/>
            <w:bottom w:val="none" w:sz="0" w:space="0" w:color="auto"/>
            <w:right w:val="none" w:sz="0" w:space="0" w:color="auto"/>
          </w:divBdr>
          <w:divsChild>
            <w:div w:id="729766705">
              <w:marLeft w:val="0"/>
              <w:marRight w:val="0"/>
              <w:marTop w:val="0"/>
              <w:marBottom w:val="0"/>
              <w:divBdr>
                <w:top w:val="none" w:sz="0" w:space="0" w:color="auto"/>
                <w:left w:val="none" w:sz="0" w:space="0" w:color="auto"/>
                <w:bottom w:val="none" w:sz="0" w:space="0" w:color="auto"/>
                <w:right w:val="none" w:sz="0" w:space="0" w:color="auto"/>
              </w:divBdr>
            </w:div>
          </w:divsChild>
        </w:div>
        <w:div w:id="229997428">
          <w:marLeft w:val="240"/>
          <w:marRight w:val="0"/>
          <w:marTop w:val="60"/>
          <w:marBottom w:val="60"/>
          <w:divBdr>
            <w:top w:val="none" w:sz="0" w:space="0" w:color="auto"/>
            <w:left w:val="none" w:sz="0" w:space="0" w:color="auto"/>
            <w:bottom w:val="none" w:sz="0" w:space="0" w:color="auto"/>
            <w:right w:val="none" w:sz="0" w:space="0" w:color="auto"/>
          </w:divBdr>
          <w:divsChild>
            <w:div w:id="2073502206">
              <w:marLeft w:val="0"/>
              <w:marRight w:val="0"/>
              <w:marTop w:val="0"/>
              <w:marBottom w:val="0"/>
              <w:divBdr>
                <w:top w:val="none" w:sz="0" w:space="0" w:color="auto"/>
                <w:left w:val="none" w:sz="0" w:space="0" w:color="auto"/>
                <w:bottom w:val="none" w:sz="0" w:space="0" w:color="auto"/>
                <w:right w:val="none" w:sz="0" w:space="0" w:color="auto"/>
              </w:divBdr>
            </w:div>
          </w:divsChild>
        </w:div>
        <w:div w:id="325016128">
          <w:marLeft w:val="240"/>
          <w:marRight w:val="0"/>
          <w:marTop w:val="60"/>
          <w:marBottom w:val="60"/>
          <w:divBdr>
            <w:top w:val="none" w:sz="0" w:space="0" w:color="auto"/>
            <w:left w:val="none" w:sz="0" w:space="0" w:color="auto"/>
            <w:bottom w:val="none" w:sz="0" w:space="0" w:color="auto"/>
            <w:right w:val="none" w:sz="0" w:space="0" w:color="auto"/>
          </w:divBdr>
          <w:divsChild>
            <w:div w:id="3477802">
              <w:marLeft w:val="0"/>
              <w:marRight w:val="0"/>
              <w:marTop w:val="0"/>
              <w:marBottom w:val="0"/>
              <w:divBdr>
                <w:top w:val="none" w:sz="0" w:space="0" w:color="auto"/>
                <w:left w:val="none" w:sz="0" w:space="0" w:color="auto"/>
                <w:bottom w:val="none" w:sz="0" w:space="0" w:color="auto"/>
                <w:right w:val="none" w:sz="0" w:space="0" w:color="auto"/>
              </w:divBdr>
            </w:div>
          </w:divsChild>
        </w:div>
        <w:div w:id="338390714">
          <w:marLeft w:val="240"/>
          <w:marRight w:val="0"/>
          <w:marTop w:val="60"/>
          <w:marBottom w:val="60"/>
          <w:divBdr>
            <w:top w:val="none" w:sz="0" w:space="0" w:color="auto"/>
            <w:left w:val="none" w:sz="0" w:space="0" w:color="auto"/>
            <w:bottom w:val="none" w:sz="0" w:space="0" w:color="auto"/>
            <w:right w:val="none" w:sz="0" w:space="0" w:color="auto"/>
          </w:divBdr>
          <w:divsChild>
            <w:div w:id="270477572">
              <w:marLeft w:val="0"/>
              <w:marRight w:val="0"/>
              <w:marTop w:val="0"/>
              <w:marBottom w:val="0"/>
              <w:divBdr>
                <w:top w:val="none" w:sz="0" w:space="0" w:color="auto"/>
                <w:left w:val="none" w:sz="0" w:space="0" w:color="auto"/>
                <w:bottom w:val="none" w:sz="0" w:space="0" w:color="auto"/>
                <w:right w:val="none" w:sz="0" w:space="0" w:color="auto"/>
              </w:divBdr>
            </w:div>
          </w:divsChild>
        </w:div>
        <w:div w:id="499080478">
          <w:marLeft w:val="240"/>
          <w:marRight w:val="0"/>
          <w:marTop w:val="60"/>
          <w:marBottom w:val="60"/>
          <w:divBdr>
            <w:top w:val="none" w:sz="0" w:space="0" w:color="auto"/>
            <w:left w:val="none" w:sz="0" w:space="0" w:color="auto"/>
            <w:bottom w:val="none" w:sz="0" w:space="0" w:color="auto"/>
            <w:right w:val="none" w:sz="0" w:space="0" w:color="auto"/>
          </w:divBdr>
          <w:divsChild>
            <w:div w:id="488595807">
              <w:marLeft w:val="0"/>
              <w:marRight w:val="0"/>
              <w:marTop w:val="0"/>
              <w:marBottom w:val="0"/>
              <w:divBdr>
                <w:top w:val="none" w:sz="0" w:space="0" w:color="auto"/>
                <w:left w:val="none" w:sz="0" w:space="0" w:color="auto"/>
                <w:bottom w:val="none" w:sz="0" w:space="0" w:color="auto"/>
                <w:right w:val="none" w:sz="0" w:space="0" w:color="auto"/>
              </w:divBdr>
            </w:div>
          </w:divsChild>
        </w:div>
        <w:div w:id="557017896">
          <w:marLeft w:val="240"/>
          <w:marRight w:val="0"/>
          <w:marTop w:val="60"/>
          <w:marBottom w:val="60"/>
          <w:divBdr>
            <w:top w:val="none" w:sz="0" w:space="0" w:color="auto"/>
            <w:left w:val="none" w:sz="0" w:space="0" w:color="auto"/>
            <w:bottom w:val="none" w:sz="0" w:space="0" w:color="auto"/>
            <w:right w:val="none" w:sz="0" w:space="0" w:color="auto"/>
          </w:divBdr>
          <w:divsChild>
            <w:div w:id="1480152161">
              <w:marLeft w:val="0"/>
              <w:marRight w:val="0"/>
              <w:marTop w:val="0"/>
              <w:marBottom w:val="0"/>
              <w:divBdr>
                <w:top w:val="none" w:sz="0" w:space="0" w:color="auto"/>
                <w:left w:val="none" w:sz="0" w:space="0" w:color="auto"/>
                <w:bottom w:val="none" w:sz="0" w:space="0" w:color="auto"/>
                <w:right w:val="none" w:sz="0" w:space="0" w:color="auto"/>
              </w:divBdr>
            </w:div>
          </w:divsChild>
        </w:div>
        <w:div w:id="825169972">
          <w:marLeft w:val="240"/>
          <w:marRight w:val="0"/>
          <w:marTop w:val="60"/>
          <w:marBottom w:val="60"/>
          <w:divBdr>
            <w:top w:val="none" w:sz="0" w:space="0" w:color="auto"/>
            <w:left w:val="none" w:sz="0" w:space="0" w:color="auto"/>
            <w:bottom w:val="none" w:sz="0" w:space="0" w:color="auto"/>
            <w:right w:val="none" w:sz="0" w:space="0" w:color="auto"/>
          </w:divBdr>
          <w:divsChild>
            <w:div w:id="2121802769">
              <w:marLeft w:val="0"/>
              <w:marRight w:val="0"/>
              <w:marTop w:val="0"/>
              <w:marBottom w:val="0"/>
              <w:divBdr>
                <w:top w:val="none" w:sz="0" w:space="0" w:color="auto"/>
                <w:left w:val="none" w:sz="0" w:space="0" w:color="auto"/>
                <w:bottom w:val="none" w:sz="0" w:space="0" w:color="auto"/>
                <w:right w:val="none" w:sz="0" w:space="0" w:color="auto"/>
              </w:divBdr>
            </w:div>
          </w:divsChild>
        </w:div>
        <w:div w:id="984776133">
          <w:marLeft w:val="240"/>
          <w:marRight w:val="0"/>
          <w:marTop w:val="60"/>
          <w:marBottom w:val="60"/>
          <w:divBdr>
            <w:top w:val="none" w:sz="0" w:space="0" w:color="auto"/>
            <w:left w:val="none" w:sz="0" w:space="0" w:color="auto"/>
            <w:bottom w:val="none" w:sz="0" w:space="0" w:color="auto"/>
            <w:right w:val="none" w:sz="0" w:space="0" w:color="auto"/>
          </w:divBdr>
          <w:divsChild>
            <w:div w:id="1192378391">
              <w:marLeft w:val="0"/>
              <w:marRight w:val="0"/>
              <w:marTop w:val="0"/>
              <w:marBottom w:val="0"/>
              <w:divBdr>
                <w:top w:val="none" w:sz="0" w:space="0" w:color="auto"/>
                <w:left w:val="none" w:sz="0" w:space="0" w:color="auto"/>
                <w:bottom w:val="none" w:sz="0" w:space="0" w:color="auto"/>
                <w:right w:val="none" w:sz="0" w:space="0" w:color="auto"/>
              </w:divBdr>
            </w:div>
          </w:divsChild>
        </w:div>
        <w:div w:id="1335262790">
          <w:marLeft w:val="240"/>
          <w:marRight w:val="0"/>
          <w:marTop w:val="60"/>
          <w:marBottom w:val="60"/>
          <w:divBdr>
            <w:top w:val="none" w:sz="0" w:space="0" w:color="auto"/>
            <w:left w:val="none" w:sz="0" w:space="0" w:color="auto"/>
            <w:bottom w:val="none" w:sz="0" w:space="0" w:color="auto"/>
            <w:right w:val="none" w:sz="0" w:space="0" w:color="auto"/>
          </w:divBdr>
          <w:divsChild>
            <w:div w:id="1406075766">
              <w:marLeft w:val="0"/>
              <w:marRight w:val="0"/>
              <w:marTop w:val="0"/>
              <w:marBottom w:val="0"/>
              <w:divBdr>
                <w:top w:val="none" w:sz="0" w:space="0" w:color="auto"/>
                <w:left w:val="none" w:sz="0" w:space="0" w:color="auto"/>
                <w:bottom w:val="none" w:sz="0" w:space="0" w:color="auto"/>
                <w:right w:val="none" w:sz="0" w:space="0" w:color="auto"/>
              </w:divBdr>
            </w:div>
          </w:divsChild>
        </w:div>
        <w:div w:id="1510364910">
          <w:marLeft w:val="240"/>
          <w:marRight w:val="0"/>
          <w:marTop w:val="60"/>
          <w:marBottom w:val="60"/>
          <w:divBdr>
            <w:top w:val="none" w:sz="0" w:space="0" w:color="auto"/>
            <w:left w:val="none" w:sz="0" w:space="0" w:color="auto"/>
            <w:bottom w:val="none" w:sz="0" w:space="0" w:color="auto"/>
            <w:right w:val="none" w:sz="0" w:space="0" w:color="auto"/>
          </w:divBdr>
          <w:divsChild>
            <w:div w:id="1401059155">
              <w:marLeft w:val="0"/>
              <w:marRight w:val="0"/>
              <w:marTop w:val="0"/>
              <w:marBottom w:val="0"/>
              <w:divBdr>
                <w:top w:val="none" w:sz="0" w:space="0" w:color="auto"/>
                <w:left w:val="none" w:sz="0" w:space="0" w:color="auto"/>
                <w:bottom w:val="none" w:sz="0" w:space="0" w:color="auto"/>
                <w:right w:val="none" w:sz="0" w:space="0" w:color="auto"/>
              </w:divBdr>
            </w:div>
          </w:divsChild>
        </w:div>
        <w:div w:id="1518348532">
          <w:marLeft w:val="240"/>
          <w:marRight w:val="0"/>
          <w:marTop w:val="60"/>
          <w:marBottom w:val="60"/>
          <w:divBdr>
            <w:top w:val="none" w:sz="0" w:space="0" w:color="auto"/>
            <w:left w:val="none" w:sz="0" w:space="0" w:color="auto"/>
            <w:bottom w:val="none" w:sz="0" w:space="0" w:color="auto"/>
            <w:right w:val="none" w:sz="0" w:space="0" w:color="auto"/>
          </w:divBdr>
          <w:divsChild>
            <w:div w:id="2031177239">
              <w:marLeft w:val="0"/>
              <w:marRight w:val="0"/>
              <w:marTop w:val="0"/>
              <w:marBottom w:val="0"/>
              <w:divBdr>
                <w:top w:val="none" w:sz="0" w:space="0" w:color="auto"/>
                <w:left w:val="none" w:sz="0" w:space="0" w:color="auto"/>
                <w:bottom w:val="none" w:sz="0" w:space="0" w:color="auto"/>
                <w:right w:val="none" w:sz="0" w:space="0" w:color="auto"/>
              </w:divBdr>
            </w:div>
          </w:divsChild>
        </w:div>
        <w:div w:id="1599942645">
          <w:marLeft w:val="240"/>
          <w:marRight w:val="0"/>
          <w:marTop w:val="60"/>
          <w:marBottom w:val="60"/>
          <w:divBdr>
            <w:top w:val="none" w:sz="0" w:space="0" w:color="auto"/>
            <w:left w:val="none" w:sz="0" w:space="0" w:color="auto"/>
            <w:bottom w:val="none" w:sz="0" w:space="0" w:color="auto"/>
            <w:right w:val="none" w:sz="0" w:space="0" w:color="auto"/>
          </w:divBdr>
          <w:divsChild>
            <w:div w:id="1500850772">
              <w:marLeft w:val="0"/>
              <w:marRight w:val="0"/>
              <w:marTop w:val="0"/>
              <w:marBottom w:val="0"/>
              <w:divBdr>
                <w:top w:val="none" w:sz="0" w:space="0" w:color="auto"/>
                <w:left w:val="none" w:sz="0" w:space="0" w:color="auto"/>
                <w:bottom w:val="none" w:sz="0" w:space="0" w:color="auto"/>
                <w:right w:val="none" w:sz="0" w:space="0" w:color="auto"/>
              </w:divBdr>
            </w:div>
          </w:divsChild>
        </w:div>
        <w:div w:id="1724521683">
          <w:marLeft w:val="240"/>
          <w:marRight w:val="0"/>
          <w:marTop w:val="60"/>
          <w:marBottom w:val="60"/>
          <w:divBdr>
            <w:top w:val="none" w:sz="0" w:space="0" w:color="auto"/>
            <w:left w:val="none" w:sz="0" w:space="0" w:color="auto"/>
            <w:bottom w:val="none" w:sz="0" w:space="0" w:color="auto"/>
            <w:right w:val="none" w:sz="0" w:space="0" w:color="auto"/>
          </w:divBdr>
          <w:divsChild>
            <w:div w:id="1946502398">
              <w:marLeft w:val="0"/>
              <w:marRight w:val="0"/>
              <w:marTop w:val="0"/>
              <w:marBottom w:val="0"/>
              <w:divBdr>
                <w:top w:val="none" w:sz="0" w:space="0" w:color="auto"/>
                <w:left w:val="none" w:sz="0" w:space="0" w:color="auto"/>
                <w:bottom w:val="none" w:sz="0" w:space="0" w:color="auto"/>
                <w:right w:val="none" w:sz="0" w:space="0" w:color="auto"/>
              </w:divBdr>
            </w:div>
          </w:divsChild>
        </w:div>
        <w:div w:id="2018772019">
          <w:marLeft w:val="240"/>
          <w:marRight w:val="0"/>
          <w:marTop w:val="60"/>
          <w:marBottom w:val="60"/>
          <w:divBdr>
            <w:top w:val="none" w:sz="0" w:space="0" w:color="auto"/>
            <w:left w:val="none" w:sz="0" w:space="0" w:color="auto"/>
            <w:bottom w:val="none" w:sz="0" w:space="0" w:color="auto"/>
            <w:right w:val="none" w:sz="0" w:space="0" w:color="auto"/>
          </w:divBdr>
          <w:divsChild>
            <w:div w:id="188803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435660">
      <w:bodyDiv w:val="1"/>
      <w:marLeft w:val="0"/>
      <w:marRight w:val="0"/>
      <w:marTop w:val="0"/>
      <w:marBottom w:val="0"/>
      <w:divBdr>
        <w:top w:val="none" w:sz="0" w:space="0" w:color="auto"/>
        <w:left w:val="none" w:sz="0" w:space="0" w:color="auto"/>
        <w:bottom w:val="none" w:sz="0" w:space="0" w:color="auto"/>
        <w:right w:val="none" w:sz="0" w:space="0" w:color="auto"/>
      </w:divBdr>
    </w:div>
    <w:div w:id="1063408167">
      <w:bodyDiv w:val="1"/>
      <w:marLeft w:val="0"/>
      <w:marRight w:val="0"/>
      <w:marTop w:val="0"/>
      <w:marBottom w:val="0"/>
      <w:divBdr>
        <w:top w:val="none" w:sz="0" w:space="0" w:color="auto"/>
        <w:left w:val="none" w:sz="0" w:space="0" w:color="auto"/>
        <w:bottom w:val="none" w:sz="0" w:space="0" w:color="auto"/>
        <w:right w:val="none" w:sz="0" w:space="0" w:color="auto"/>
      </w:divBdr>
      <w:divsChild>
        <w:div w:id="538399069">
          <w:marLeft w:val="240"/>
          <w:marRight w:val="0"/>
          <w:marTop w:val="60"/>
          <w:marBottom w:val="60"/>
          <w:divBdr>
            <w:top w:val="none" w:sz="0" w:space="0" w:color="auto"/>
            <w:left w:val="none" w:sz="0" w:space="0" w:color="auto"/>
            <w:bottom w:val="none" w:sz="0" w:space="0" w:color="auto"/>
            <w:right w:val="none" w:sz="0" w:space="0" w:color="auto"/>
          </w:divBdr>
          <w:divsChild>
            <w:div w:id="82147384">
              <w:marLeft w:val="0"/>
              <w:marRight w:val="0"/>
              <w:marTop w:val="0"/>
              <w:marBottom w:val="0"/>
              <w:divBdr>
                <w:top w:val="none" w:sz="0" w:space="0" w:color="auto"/>
                <w:left w:val="none" w:sz="0" w:space="0" w:color="auto"/>
                <w:bottom w:val="none" w:sz="0" w:space="0" w:color="auto"/>
                <w:right w:val="none" w:sz="0" w:space="0" w:color="auto"/>
              </w:divBdr>
            </w:div>
          </w:divsChild>
        </w:div>
        <w:div w:id="931009748">
          <w:marLeft w:val="240"/>
          <w:marRight w:val="0"/>
          <w:marTop w:val="60"/>
          <w:marBottom w:val="60"/>
          <w:divBdr>
            <w:top w:val="none" w:sz="0" w:space="0" w:color="auto"/>
            <w:left w:val="none" w:sz="0" w:space="0" w:color="auto"/>
            <w:bottom w:val="none" w:sz="0" w:space="0" w:color="auto"/>
            <w:right w:val="none" w:sz="0" w:space="0" w:color="auto"/>
          </w:divBdr>
          <w:divsChild>
            <w:div w:id="2069186937">
              <w:marLeft w:val="0"/>
              <w:marRight w:val="0"/>
              <w:marTop w:val="0"/>
              <w:marBottom w:val="0"/>
              <w:divBdr>
                <w:top w:val="none" w:sz="0" w:space="0" w:color="auto"/>
                <w:left w:val="none" w:sz="0" w:space="0" w:color="auto"/>
                <w:bottom w:val="none" w:sz="0" w:space="0" w:color="auto"/>
                <w:right w:val="none" w:sz="0" w:space="0" w:color="auto"/>
              </w:divBdr>
            </w:div>
          </w:divsChild>
        </w:div>
        <w:div w:id="1139767568">
          <w:marLeft w:val="240"/>
          <w:marRight w:val="0"/>
          <w:marTop w:val="60"/>
          <w:marBottom w:val="60"/>
          <w:divBdr>
            <w:top w:val="none" w:sz="0" w:space="0" w:color="auto"/>
            <w:left w:val="none" w:sz="0" w:space="0" w:color="auto"/>
            <w:bottom w:val="none" w:sz="0" w:space="0" w:color="auto"/>
            <w:right w:val="none" w:sz="0" w:space="0" w:color="auto"/>
          </w:divBdr>
          <w:divsChild>
            <w:div w:id="424814442">
              <w:marLeft w:val="240"/>
              <w:marRight w:val="0"/>
              <w:marTop w:val="60"/>
              <w:marBottom w:val="60"/>
              <w:divBdr>
                <w:top w:val="none" w:sz="0" w:space="0" w:color="auto"/>
                <w:left w:val="none" w:sz="0" w:space="0" w:color="auto"/>
                <w:bottom w:val="none" w:sz="0" w:space="0" w:color="auto"/>
                <w:right w:val="none" w:sz="0" w:space="0" w:color="auto"/>
              </w:divBdr>
              <w:divsChild>
                <w:div w:id="1738430607">
                  <w:marLeft w:val="0"/>
                  <w:marRight w:val="0"/>
                  <w:marTop w:val="0"/>
                  <w:marBottom w:val="0"/>
                  <w:divBdr>
                    <w:top w:val="none" w:sz="0" w:space="0" w:color="auto"/>
                    <w:left w:val="none" w:sz="0" w:space="0" w:color="auto"/>
                    <w:bottom w:val="none" w:sz="0" w:space="0" w:color="auto"/>
                    <w:right w:val="none" w:sz="0" w:space="0" w:color="auto"/>
                  </w:divBdr>
                </w:div>
              </w:divsChild>
            </w:div>
            <w:div w:id="890648888">
              <w:marLeft w:val="240"/>
              <w:marRight w:val="0"/>
              <w:marTop w:val="60"/>
              <w:marBottom w:val="60"/>
              <w:divBdr>
                <w:top w:val="none" w:sz="0" w:space="0" w:color="auto"/>
                <w:left w:val="none" w:sz="0" w:space="0" w:color="auto"/>
                <w:bottom w:val="none" w:sz="0" w:space="0" w:color="auto"/>
                <w:right w:val="none" w:sz="0" w:space="0" w:color="auto"/>
              </w:divBdr>
              <w:divsChild>
                <w:div w:id="810168591">
                  <w:marLeft w:val="0"/>
                  <w:marRight w:val="0"/>
                  <w:marTop w:val="0"/>
                  <w:marBottom w:val="0"/>
                  <w:divBdr>
                    <w:top w:val="none" w:sz="0" w:space="0" w:color="auto"/>
                    <w:left w:val="none" w:sz="0" w:space="0" w:color="auto"/>
                    <w:bottom w:val="none" w:sz="0" w:space="0" w:color="auto"/>
                    <w:right w:val="none" w:sz="0" w:space="0" w:color="auto"/>
                  </w:divBdr>
                </w:div>
              </w:divsChild>
            </w:div>
            <w:div w:id="1094132509">
              <w:marLeft w:val="240"/>
              <w:marRight w:val="0"/>
              <w:marTop w:val="60"/>
              <w:marBottom w:val="60"/>
              <w:divBdr>
                <w:top w:val="none" w:sz="0" w:space="0" w:color="auto"/>
                <w:left w:val="none" w:sz="0" w:space="0" w:color="auto"/>
                <w:bottom w:val="none" w:sz="0" w:space="0" w:color="auto"/>
                <w:right w:val="none" w:sz="0" w:space="0" w:color="auto"/>
              </w:divBdr>
              <w:divsChild>
                <w:div w:id="851341712">
                  <w:marLeft w:val="0"/>
                  <w:marRight w:val="0"/>
                  <w:marTop w:val="0"/>
                  <w:marBottom w:val="0"/>
                  <w:divBdr>
                    <w:top w:val="none" w:sz="0" w:space="0" w:color="auto"/>
                    <w:left w:val="none" w:sz="0" w:space="0" w:color="auto"/>
                    <w:bottom w:val="none" w:sz="0" w:space="0" w:color="auto"/>
                    <w:right w:val="none" w:sz="0" w:space="0" w:color="auto"/>
                  </w:divBdr>
                </w:div>
              </w:divsChild>
            </w:div>
            <w:div w:id="1465275152">
              <w:marLeft w:val="240"/>
              <w:marRight w:val="0"/>
              <w:marTop w:val="60"/>
              <w:marBottom w:val="60"/>
              <w:divBdr>
                <w:top w:val="none" w:sz="0" w:space="0" w:color="auto"/>
                <w:left w:val="none" w:sz="0" w:space="0" w:color="auto"/>
                <w:bottom w:val="none" w:sz="0" w:space="0" w:color="auto"/>
                <w:right w:val="none" w:sz="0" w:space="0" w:color="auto"/>
              </w:divBdr>
              <w:divsChild>
                <w:div w:id="849026002">
                  <w:marLeft w:val="0"/>
                  <w:marRight w:val="0"/>
                  <w:marTop w:val="0"/>
                  <w:marBottom w:val="0"/>
                  <w:divBdr>
                    <w:top w:val="none" w:sz="0" w:space="0" w:color="auto"/>
                    <w:left w:val="none" w:sz="0" w:space="0" w:color="auto"/>
                    <w:bottom w:val="none" w:sz="0" w:space="0" w:color="auto"/>
                    <w:right w:val="none" w:sz="0" w:space="0" w:color="auto"/>
                  </w:divBdr>
                </w:div>
              </w:divsChild>
            </w:div>
            <w:div w:id="1892691703">
              <w:marLeft w:val="240"/>
              <w:marRight w:val="0"/>
              <w:marTop w:val="60"/>
              <w:marBottom w:val="60"/>
              <w:divBdr>
                <w:top w:val="none" w:sz="0" w:space="0" w:color="auto"/>
                <w:left w:val="none" w:sz="0" w:space="0" w:color="auto"/>
                <w:bottom w:val="none" w:sz="0" w:space="0" w:color="auto"/>
                <w:right w:val="none" w:sz="0" w:space="0" w:color="auto"/>
              </w:divBdr>
              <w:divsChild>
                <w:div w:id="5643008">
                  <w:marLeft w:val="240"/>
                  <w:marRight w:val="0"/>
                  <w:marTop w:val="60"/>
                  <w:marBottom w:val="60"/>
                  <w:divBdr>
                    <w:top w:val="none" w:sz="0" w:space="0" w:color="auto"/>
                    <w:left w:val="none" w:sz="0" w:space="0" w:color="auto"/>
                    <w:bottom w:val="none" w:sz="0" w:space="0" w:color="auto"/>
                    <w:right w:val="none" w:sz="0" w:space="0" w:color="auto"/>
                  </w:divBdr>
                  <w:divsChild>
                    <w:div w:id="623803738">
                      <w:marLeft w:val="0"/>
                      <w:marRight w:val="0"/>
                      <w:marTop w:val="0"/>
                      <w:marBottom w:val="0"/>
                      <w:divBdr>
                        <w:top w:val="none" w:sz="0" w:space="0" w:color="auto"/>
                        <w:left w:val="none" w:sz="0" w:space="0" w:color="auto"/>
                        <w:bottom w:val="none" w:sz="0" w:space="0" w:color="auto"/>
                        <w:right w:val="none" w:sz="0" w:space="0" w:color="auto"/>
                      </w:divBdr>
                    </w:div>
                  </w:divsChild>
                </w:div>
                <w:div w:id="1577977607">
                  <w:marLeft w:val="240"/>
                  <w:marRight w:val="0"/>
                  <w:marTop w:val="60"/>
                  <w:marBottom w:val="60"/>
                  <w:divBdr>
                    <w:top w:val="none" w:sz="0" w:space="0" w:color="auto"/>
                    <w:left w:val="none" w:sz="0" w:space="0" w:color="auto"/>
                    <w:bottom w:val="none" w:sz="0" w:space="0" w:color="auto"/>
                    <w:right w:val="none" w:sz="0" w:space="0" w:color="auto"/>
                  </w:divBdr>
                  <w:divsChild>
                    <w:div w:id="459422406">
                      <w:marLeft w:val="240"/>
                      <w:marRight w:val="0"/>
                      <w:marTop w:val="60"/>
                      <w:marBottom w:val="60"/>
                      <w:divBdr>
                        <w:top w:val="none" w:sz="0" w:space="0" w:color="auto"/>
                        <w:left w:val="none" w:sz="0" w:space="0" w:color="auto"/>
                        <w:bottom w:val="none" w:sz="0" w:space="0" w:color="auto"/>
                        <w:right w:val="none" w:sz="0" w:space="0" w:color="auto"/>
                      </w:divBdr>
                      <w:divsChild>
                        <w:div w:id="627322784">
                          <w:marLeft w:val="0"/>
                          <w:marRight w:val="0"/>
                          <w:marTop w:val="0"/>
                          <w:marBottom w:val="0"/>
                          <w:divBdr>
                            <w:top w:val="none" w:sz="0" w:space="0" w:color="auto"/>
                            <w:left w:val="none" w:sz="0" w:space="0" w:color="auto"/>
                            <w:bottom w:val="none" w:sz="0" w:space="0" w:color="auto"/>
                            <w:right w:val="none" w:sz="0" w:space="0" w:color="auto"/>
                          </w:divBdr>
                        </w:div>
                      </w:divsChild>
                    </w:div>
                    <w:div w:id="1179587496">
                      <w:marLeft w:val="240"/>
                      <w:marRight w:val="0"/>
                      <w:marTop w:val="60"/>
                      <w:marBottom w:val="60"/>
                      <w:divBdr>
                        <w:top w:val="none" w:sz="0" w:space="0" w:color="auto"/>
                        <w:left w:val="none" w:sz="0" w:space="0" w:color="auto"/>
                        <w:bottom w:val="none" w:sz="0" w:space="0" w:color="auto"/>
                        <w:right w:val="none" w:sz="0" w:space="0" w:color="auto"/>
                      </w:divBdr>
                      <w:divsChild>
                        <w:div w:id="145781750">
                          <w:marLeft w:val="0"/>
                          <w:marRight w:val="0"/>
                          <w:marTop w:val="0"/>
                          <w:marBottom w:val="0"/>
                          <w:divBdr>
                            <w:top w:val="none" w:sz="0" w:space="0" w:color="auto"/>
                            <w:left w:val="none" w:sz="0" w:space="0" w:color="auto"/>
                            <w:bottom w:val="none" w:sz="0" w:space="0" w:color="auto"/>
                            <w:right w:val="none" w:sz="0" w:space="0" w:color="auto"/>
                          </w:divBdr>
                        </w:div>
                      </w:divsChild>
                    </w:div>
                    <w:div w:id="1456176324">
                      <w:marLeft w:val="240"/>
                      <w:marRight w:val="0"/>
                      <w:marTop w:val="60"/>
                      <w:marBottom w:val="60"/>
                      <w:divBdr>
                        <w:top w:val="none" w:sz="0" w:space="0" w:color="auto"/>
                        <w:left w:val="none" w:sz="0" w:space="0" w:color="auto"/>
                        <w:bottom w:val="none" w:sz="0" w:space="0" w:color="auto"/>
                        <w:right w:val="none" w:sz="0" w:space="0" w:color="auto"/>
                      </w:divBdr>
                      <w:divsChild>
                        <w:div w:id="51920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131155">
          <w:marLeft w:val="240"/>
          <w:marRight w:val="0"/>
          <w:marTop w:val="60"/>
          <w:marBottom w:val="60"/>
          <w:divBdr>
            <w:top w:val="none" w:sz="0" w:space="0" w:color="auto"/>
            <w:left w:val="none" w:sz="0" w:space="0" w:color="auto"/>
            <w:bottom w:val="none" w:sz="0" w:space="0" w:color="auto"/>
            <w:right w:val="none" w:sz="0" w:space="0" w:color="auto"/>
          </w:divBdr>
          <w:divsChild>
            <w:div w:id="225186839">
              <w:marLeft w:val="240"/>
              <w:marRight w:val="0"/>
              <w:marTop w:val="60"/>
              <w:marBottom w:val="60"/>
              <w:divBdr>
                <w:top w:val="none" w:sz="0" w:space="0" w:color="auto"/>
                <w:left w:val="none" w:sz="0" w:space="0" w:color="auto"/>
                <w:bottom w:val="none" w:sz="0" w:space="0" w:color="auto"/>
                <w:right w:val="none" w:sz="0" w:space="0" w:color="auto"/>
              </w:divBdr>
              <w:divsChild>
                <w:div w:id="1965308068">
                  <w:marLeft w:val="0"/>
                  <w:marRight w:val="0"/>
                  <w:marTop w:val="0"/>
                  <w:marBottom w:val="0"/>
                  <w:divBdr>
                    <w:top w:val="none" w:sz="0" w:space="0" w:color="auto"/>
                    <w:left w:val="none" w:sz="0" w:space="0" w:color="auto"/>
                    <w:bottom w:val="none" w:sz="0" w:space="0" w:color="auto"/>
                    <w:right w:val="none" w:sz="0" w:space="0" w:color="auto"/>
                  </w:divBdr>
                </w:div>
              </w:divsChild>
            </w:div>
            <w:div w:id="605817189">
              <w:marLeft w:val="240"/>
              <w:marRight w:val="0"/>
              <w:marTop w:val="60"/>
              <w:marBottom w:val="60"/>
              <w:divBdr>
                <w:top w:val="none" w:sz="0" w:space="0" w:color="auto"/>
                <w:left w:val="none" w:sz="0" w:space="0" w:color="auto"/>
                <w:bottom w:val="none" w:sz="0" w:space="0" w:color="auto"/>
                <w:right w:val="none" w:sz="0" w:space="0" w:color="auto"/>
              </w:divBdr>
              <w:divsChild>
                <w:div w:id="189102990">
                  <w:marLeft w:val="240"/>
                  <w:marRight w:val="0"/>
                  <w:marTop w:val="60"/>
                  <w:marBottom w:val="60"/>
                  <w:divBdr>
                    <w:top w:val="none" w:sz="0" w:space="0" w:color="auto"/>
                    <w:left w:val="none" w:sz="0" w:space="0" w:color="auto"/>
                    <w:bottom w:val="none" w:sz="0" w:space="0" w:color="auto"/>
                    <w:right w:val="none" w:sz="0" w:space="0" w:color="auto"/>
                  </w:divBdr>
                  <w:divsChild>
                    <w:div w:id="19811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63994">
              <w:marLeft w:val="240"/>
              <w:marRight w:val="0"/>
              <w:marTop w:val="60"/>
              <w:marBottom w:val="60"/>
              <w:divBdr>
                <w:top w:val="none" w:sz="0" w:space="0" w:color="auto"/>
                <w:left w:val="none" w:sz="0" w:space="0" w:color="auto"/>
                <w:bottom w:val="none" w:sz="0" w:space="0" w:color="auto"/>
                <w:right w:val="none" w:sz="0" w:space="0" w:color="auto"/>
              </w:divBdr>
              <w:divsChild>
                <w:div w:id="290597407">
                  <w:marLeft w:val="240"/>
                  <w:marRight w:val="0"/>
                  <w:marTop w:val="60"/>
                  <w:marBottom w:val="60"/>
                  <w:divBdr>
                    <w:top w:val="none" w:sz="0" w:space="0" w:color="auto"/>
                    <w:left w:val="none" w:sz="0" w:space="0" w:color="auto"/>
                    <w:bottom w:val="none" w:sz="0" w:space="0" w:color="auto"/>
                    <w:right w:val="none" w:sz="0" w:space="0" w:color="auto"/>
                  </w:divBdr>
                  <w:divsChild>
                    <w:div w:id="684358635">
                      <w:marLeft w:val="0"/>
                      <w:marRight w:val="0"/>
                      <w:marTop w:val="0"/>
                      <w:marBottom w:val="0"/>
                      <w:divBdr>
                        <w:top w:val="none" w:sz="0" w:space="0" w:color="auto"/>
                        <w:left w:val="none" w:sz="0" w:space="0" w:color="auto"/>
                        <w:bottom w:val="none" w:sz="0" w:space="0" w:color="auto"/>
                        <w:right w:val="none" w:sz="0" w:space="0" w:color="auto"/>
                      </w:divBdr>
                    </w:div>
                  </w:divsChild>
                </w:div>
                <w:div w:id="774137077">
                  <w:marLeft w:val="240"/>
                  <w:marRight w:val="0"/>
                  <w:marTop w:val="60"/>
                  <w:marBottom w:val="60"/>
                  <w:divBdr>
                    <w:top w:val="none" w:sz="0" w:space="0" w:color="auto"/>
                    <w:left w:val="none" w:sz="0" w:space="0" w:color="auto"/>
                    <w:bottom w:val="none" w:sz="0" w:space="0" w:color="auto"/>
                    <w:right w:val="none" w:sz="0" w:space="0" w:color="auto"/>
                  </w:divBdr>
                  <w:divsChild>
                    <w:div w:id="17726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82352">
              <w:marLeft w:val="240"/>
              <w:marRight w:val="0"/>
              <w:marTop w:val="60"/>
              <w:marBottom w:val="60"/>
              <w:divBdr>
                <w:top w:val="none" w:sz="0" w:space="0" w:color="auto"/>
                <w:left w:val="none" w:sz="0" w:space="0" w:color="auto"/>
                <w:bottom w:val="none" w:sz="0" w:space="0" w:color="auto"/>
                <w:right w:val="none" w:sz="0" w:space="0" w:color="auto"/>
              </w:divBdr>
              <w:divsChild>
                <w:div w:id="14306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897226">
      <w:bodyDiv w:val="1"/>
      <w:marLeft w:val="0"/>
      <w:marRight w:val="0"/>
      <w:marTop w:val="0"/>
      <w:marBottom w:val="0"/>
      <w:divBdr>
        <w:top w:val="none" w:sz="0" w:space="0" w:color="auto"/>
        <w:left w:val="none" w:sz="0" w:space="0" w:color="auto"/>
        <w:bottom w:val="none" w:sz="0" w:space="0" w:color="auto"/>
        <w:right w:val="none" w:sz="0" w:space="0" w:color="auto"/>
      </w:divBdr>
    </w:div>
    <w:div w:id="1345479467">
      <w:bodyDiv w:val="1"/>
      <w:marLeft w:val="0"/>
      <w:marRight w:val="0"/>
      <w:marTop w:val="0"/>
      <w:marBottom w:val="0"/>
      <w:divBdr>
        <w:top w:val="none" w:sz="0" w:space="0" w:color="auto"/>
        <w:left w:val="none" w:sz="0" w:space="0" w:color="auto"/>
        <w:bottom w:val="none" w:sz="0" w:space="0" w:color="auto"/>
        <w:right w:val="none" w:sz="0" w:space="0" w:color="auto"/>
      </w:divBdr>
      <w:divsChild>
        <w:div w:id="116681935">
          <w:marLeft w:val="240"/>
          <w:marRight w:val="0"/>
          <w:marTop w:val="60"/>
          <w:marBottom w:val="60"/>
          <w:divBdr>
            <w:top w:val="none" w:sz="0" w:space="0" w:color="auto"/>
            <w:left w:val="none" w:sz="0" w:space="0" w:color="auto"/>
            <w:bottom w:val="none" w:sz="0" w:space="0" w:color="auto"/>
            <w:right w:val="none" w:sz="0" w:space="0" w:color="auto"/>
          </w:divBdr>
          <w:divsChild>
            <w:div w:id="38091033">
              <w:marLeft w:val="0"/>
              <w:marRight w:val="0"/>
              <w:marTop w:val="0"/>
              <w:marBottom w:val="0"/>
              <w:divBdr>
                <w:top w:val="none" w:sz="0" w:space="0" w:color="auto"/>
                <w:left w:val="none" w:sz="0" w:space="0" w:color="auto"/>
                <w:bottom w:val="none" w:sz="0" w:space="0" w:color="auto"/>
                <w:right w:val="none" w:sz="0" w:space="0" w:color="auto"/>
              </w:divBdr>
            </w:div>
          </w:divsChild>
        </w:div>
        <w:div w:id="166864800">
          <w:marLeft w:val="240"/>
          <w:marRight w:val="0"/>
          <w:marTop w:val="60"/>
          <w:marBottom w:val="60"/>
          <w:divBdr>
            <w:top w:val="none" w:sz="0" w:space="0" w:color="auto"/>
            <w:left w:val="none" w:sz="0" w:space="0" w:color="auto"/>
            <w:bottom w:val="none" w:sz="0" w:space="0" w:color="auto"/>
            <w:right w:val="none" w:sz="0" w:space="0" w:color="auto"/>
          </w:divBdr>
          <w:divsChild>
            <w:div w:id="1284385839">
              <w:marLeft w:val="0"/>
              <w:marRight w:val="0"/>
              <w:marTop w:val="0"/>
              <w:marBottom w:val="0"/>
              <w:divBdr>
                <w:top w:val="none" w:sz="0" w:space="0" w:color="auto"/>
                <w:left w:val="none" w:sz="0" w:space="0" w:color="auto"/>
                <w:bottom w:val="none" w:sz="0" w:space="0" w:color="auto"/>
                <w:right w:val="none" w:sz="0" w:space="0" w:color="auto"/>
              </w:divBdr>
            </w:div>
          </w:divsChild>
        </w:div>
        <w:div w:id="205218627">
          <w:marLeft w:val="240"/>
          <w:marRight w:val="0"/>
          <w:marTop w:val="60"/>
          <w:marBottom w:val="60"/>
          <w:divBdr>
            <w:top w:val="none" w:sz="0" w:space="0" w:color="auto"/>
            <w:left w:val="none" w:sz="0" w:space="0" w:color="auto"/>
            <w:bottom w:val="none" w:sz="0" w:space="0" w:color="auto"/>
            <w:right w:val="none" w:sz="0" w:space="0" w:color="auto"/>
          </w:divBdr>
          <w:divsChild>
            <w:div w:id="776020377">
              <w:marLeft w:val="0"/>
              <w:marRight w:val="0"/>
              <w:marTop w:val="0"/>
              <w:marBottom w:val="0"/>
              <w:divBdr>
                <w:top w:val="none" w:sz="0" w:space="0" w:color="auto"/>
                <w:left w:val="none" w:sz="0" w:space="0" w:color="auto"/>
                <w:bottom w:val="none" w:sz="0" w:space="0" w:color="auto"/>
                <w:right w:val="none" w:sz="0" w:space="0" w:color="auto"/>
              </w:divBdr>
            </w:div>
          </w:divsChild>
        </w:div>
        <w:div w:id="284316936">
          <w:marLeft w:val="240"/>
          <w:marRight w:val="0"/>
          <w:marTop w:val="60"/>
          <w:marBottom w:val="60"/>
          <w:divBdr>
            <w:top w:val="none" w:sz="0" w:space="0" w:color="auto"/>
            <w:left w:val="none" w:sz="0" w:space="0" w:color="auto"/>
            <w:bottom w:val="none" w:sz="0" w:space="0" w:color="auto"/>
            <w:right w:val="none" w:sz="0" w:space="0" w:color="auto"/>
          </w:divBdr>
          <w:divsChild>
            <w:div w:id="744760930">
              <w:marLeft w:val="0"/>
              <w:marRight w:val="0"/>
              <w:marTop w:val="0"/>
              <w:marBottom w:val="0"/>
              <w:divBdr>
                <w:top w:val="none" w:sz="0" w:space="0" w:color="auto"/>
                <w:left w:val="none" w:sz="0" w:space="0" w:color="auto"/>
                <w:bottom w:val="none" w:sz="0" w:space="0" w:color="auto"/>
                <w:right w:val="none" w:sz="0" w:space="0" w:color="auto"/>
              </w:divBdr>
            </w:div>
          </w:divsChild>
        </w:div>
        <w:div w:id="323242831">
          <w:marLeft w:val="240"/>
          <w:marRight w:val="0"/>
          <w:marTop w:val="60"/>
          <w:marBottom w:val="60"/>
          <w:divBdr>
            <w:top w:val="none" w:sz="0" w:space="0" w:color="auto"/>
            <w:left w:val="none" w:sz="0" w:space="0" w:color="auto"/>
            <w:bottom w:val="none" w:sz="0" w:space="0" w:color="auto"/>
            <w:right w:val="none" w:sz="0" w:space="0" w:color="auto"/>
          </w:divBdr>
          <w:divsChild>
            <w:div w:id="288705665">
              <w:marLeft w:val="0"/>
              <w:marRight w:val="0"/>
              <w:marTop w:val="0"/>
              <w:marBottom w:val="0"/>
              <w:divBdr>
                <w:top w:val="none" w:sz="0" w:space="0" w:color="auto"/>
                <w:left w:val="none" w:sz="0" w:space="0" w:color="auto"/>
                <w:bottom w:val="none" w:sz="0" w:space="0" w:color="auto"/>
                <w:right w:val="none" w:sz="0" w:space="0" w:color="auto"/>
              </w:divBdr>
            </w:div>
          </w:divsChild>
        </w:div>
        <w:div w:id="477498090">
          <w:marLeft w:val="240"/>
          <w:marRight w:val="0"/>
          <w:marTop w:val="60"/>
          <w:marBottom w:val="60"/>
          <w:divBdr>
            <w:top w:val="none" w:sz="0" w:space="0" w:color="auto"/>
            <w:left w:val="none" w:sz="0" w:space="0" w:color="auto"/>
            <w:bottom w:val="none" w:sz="0" w:space="0" w:color="auto"/>
            <w:right w:val="none" w:sz="0" w:space="0" w:color="auto"/>
          </w:divBdr>
          <w:divsChild>
            <w:div w:id="335229282">
              <w:marLeft w:val="0"/>
              <w:marRight w:val="0"/>
              <w:marTop w:val="0"/>
              <w:marBottom w:val="0"/>
              <w:divBdr>
                <w:top w:val="none" w:sz="0" w:space="0" w:color="auto"/>
                <w:left w:val="none" w:sz="0" w:space="0" w:color="auto"/>
                <w:bottom w:val="none" w:sz="0" w:space="0" w:color="auto"/>
                <w:right w:val="none" w:sz="0" w:space="0" w:color="auto"/>
              </w:divBdr>
            </w:div>
          </w:divsChild>
        </w:div>
        <w:div w:id="523177315">
          <w:marLeft w:val="240"/>
          <w:marRight w:val="0"/>
          <w:marTop w:val="60"/>
          <w:marBottom w:val="60"/>
          <w:divBdr>
            <w:top w:val="none" w:sz="0" w:space="0" w:color="auto"/>
            <w:left w:val="none" w:sz="0" w:space="0" w:color="auto"/>
            <w:bottom w:val="none" w:sz="0" w:space="0" w:color="auto"/>
            <w:right w:val="none" w:sz="0" w:space="0" w:color="auto"/>
          </w:divBdr>
          <w:divsChild>
            <w:div w:id="1115321640">
              <w:marLeft w:val="0"/>
              <w:marRight w:val="0"/>
              <w:marTop w:val="0"/>
              <w:marBottom w:val="0"/>
              <w:divBdr>
                <w:top w:val="none" w:sz="0" w:space="0" w:color="auto"/>
                <w:left w:val="none" w:sz="0" w:space="0" w:color="auto"/>
                <w:bottom w:val="none" w:sz="0" w:space="0" w:color="auto"/>
                <w:right w:val="none" w:sz="0" w:space="0" w:color="auto"/>
              </w:divBdr>
            </w:div>
          </w:divsChild>
        </w:div>
        <w:div w:id="568156138">
          <w:marLeft w:val="240"/>
          <w:marRight w:val="0"/>
          <w:marTop w:val="60"/>
          <w:marBottom w:val="60"/>
          <w:divBdr>
            <w:top w:val="none" w:sz="0" w:space="0" w:color="auto"/>
            <w:left w:val="none" w:sz="0" w:space="0" w:color="auto"/>
            <w:bottom w:val="none" w:sz="0" w:space="0" w:color="auto"/>
            <w:right w:val="none" w:sz="0" w:space="0" w:color="auto"/>
          </w:divBdr>
          <w:divsChild>
            <w:div w:id="940913278">
              <w:marLeft w:val="0"/>
              <w:marRight w:val="0"/>
              <w:marTop w:val="0"/>
              <w:marBottom w:val="0"/>
              <w:divBdr>
                <w:top w:val="none" w:sz="0" w:space="0" w:color="auto"/>
                <w:left w:val="none" w:sz="0" w:space="0" w:color="auto"/>
                <w:bottom w:val="none" w:sz="0" w:space="0" w:color="auto"/>
                <w:right w:val="none" w:sz="0" w:space="0" w:color="auto"/>
              </w:divBdr>
            </w:div>
          </w:divsChild>
        </w:div>
        <w:div w:id="615142002">
          <w:marLeft w:val="240"/>
          <w:marRight w:val="0"/>
          <w:marTop w:val="60"/>
          <w:marBottom w:val="60"/>
          <w:divBdr>
            <w:top w:val="none" w:sz="0" w:space="0" w:color="auto"/>
            <w:left w:val="none" w:sz="0" w:space="0" w:color="auto"/>
            <w:bottom w:val="none" w:sz="0" w:space="0" w:color="auto"/>
            <w:right w:val="none" w:sz="0" w:space="0" w:color="auto"/>
          </w:divBdr>
          <w:divsChild>
            <w:div w:id="732430704">
              <w:marLeft w:val="0"/>
              <w:marRight w:val="0"/>
              <w:marTop w:val="0"/>
              <w:marBottom w:val="0"/>
              <w:divBdr>
                <w:top w:val="none" w:sz="0" w:space="0" w:color="auto"/>
                <w:left w:val="none" w:sz="0" w:space="0" w:color="auto"/>
                <w:bottom w:val="none" w:sz="0" w:space="0" w:color="auto"/>
                <w:right w:val="none" w:sz="0" w:space="0" w:color="auto"/>
              </w:divBdr>
            </w:div>
          </w:divsChild>
        </w:div>
        <w:div w:id="1098793446">
          <w:marLeft w:val="240"/>
          <w:marRight w:val="0"/>
          <w:marTop w:val="60"/>
          <w:marBottom w:val="60"/>
          <w:divBdr>
            <w:top w:val="none" w:sz="0" w:space="0" w:color="auto"/>
            <w:left w:val="none" w:sz="0" w:space="0" w:color="auto"/>
            <w:bottom w:val="none" w:sz="0" w:space="0" w:color="auto"/>
            <w:right w:val="none" w:sz="0" w:space="0" w:color="auto"/>
          </w:divBdr>
          <w:divsChild>
            <w:div w:id="1999266985">
              <w:marLeft w:val="0"/>
              <w:marRight w:val="0"/>
              <w:marTop w:val="0"/>
              <w:marBottom w:val="0"/>
              <w:divBdr>
                <w:top w:val="none" w:sz="0" w:space="0" w:color="auto"/>
                <w:left w:val="none" w:sz="0" w:space="0" w:color="auto"/>
                <w:bottom w:val="none" w:sz="0" w:space="0" w:color="auto"/>
                <w:right w:val="none" w:sz="0" w:space="0" w:color="auto"/>
              </w:divBdr>
            </w:div>
          </w:divsChild>
        </w:div>
        <w:div w:id="1151559350">
          <w:marLeft w:val="240"/>
          <w:marRight w:val="0"/>
          <w:marTop w:val="60"/>
          <w:marBottom w:val="60"/>
          <w:divBdr>
            <w:top w:val="none" w:sz="0" w:space="0" w:color="auto"/>
            <w:left w:val="none" w:sz="0" w:space="0" w:color="auto"/>
            <w:bottom w:val="none" w:sz="0" w:space="0" w:color="auto"/>
            <w:right w:val="none" w:sz="0" w:space="0" w:color="auto"/>
          </w:divBdr>
          <w:divsChild>
            <w:div w:id="710809336">
              <w:marLeft w:val="0"/>
              <w:marRight w:val="0"/>
              <w:marTop w:val="0"/>
              <w:marBottom w:val="0"/>
              <w:divBdr>
                <w:top w:val="none" w:sz="0" w:space="0" w:color="auto"/>
                <w:left w:val="none" w:sz="0" w:space="0" w:color="auto"/>
                <w:bottom w:val="none" w:sz="0" w:space="0" w:color="auto"/>
                <w:right w:val="none" w:sz="0" w:space="0" w:color="auto"/>
              </w:divBdr>
            </w:div>
          </w:divsChild>
        </w:div>
        <w:div w:id="1547445830">
          <w:marLeft w:val="240"/>
          <w:marRight w:val="0"/>
          <w:marTop w:val="60"/>
          <w:marBottom w:val="60"/>
          <w:divBdr>
            <w:top w:val="none" w:sz="0" w:space="0" w:color="auto"/>
            <w:left w:val="none" w:sz="0" w:space="0" w:color="auto"/>
            <w:bottom w:val="none" w:sz="0" w:space="0" w:color="auto"/>
            <w:right w:val="none" w:sz="0" w:space="0" w:color="auto"/>
          </w:divBdr>
          <w:divsChild>
            <w:div w:id="1478719826">
              <w:marLeft w:val="0"/>
              <w:marRight w:val="0"/>
              <w:marTop w:val="0"/>
              <w:marBottom w:val="0"/>
              <w:divBdr>
                <w:top w:val="none" w:sz="0" w:space="0" w:color="auto"/>
                <w:left w:val="none" w:sz="0" w:space="0" w:color="auto"/>
                <w:bottom w:val="none" w:sz="0" w:space="0" w:color="auto"/>
                <w:right w:val="none" w:sz="0" w:space="0" w:color="auto"/>
              </w:divBdr>
            </w:div>
          </w:divsChild>
        </w:div>
        <w:div w:id="1587810410">
          <w:marLeft w:val="240"/>
          <w:marRight w:val="0"/>
          <w:marTop w:val="60"/>
          <w:marBottom w:val="60"/>
          <w:divBdr>
            <w:top w:val="none" w:sz="0" w:space="0" w:color="auto"/>
            <w:left w:val="none" w:sz="0" w:space="0" w:color="auto"/>
            <w:bottom w:val="none" w:sz="0" w:space="0" w:color="auto"/>
            <w:right w:val="none" w:sz="0" w:space="0" w:color="auto"/>
          </w:divBdr>
          <w:divsChild>
            <w:div w:id="806357085">
              <w:marLeft w:val="0"/>
              <w:marRight w:val="0"/>
              <w:marTop w:val="0"/>
              <w:marBottom w:val="0"/>
              <w:divBdr>
                <w:top w:val="none" w:sz="0" w:space="0" w:color="auto"/>
                <w:left w:val="none" w:sz="0" w:space="0" w:color="auto"/>
                <w:bottom w:val="none" w:sz="0" w:space="0" w:color="auto"/>
                <w:right w:val="none" w:sz="0" w:space="0" w:color="auto"/>
              </w:divBdr>
            </w:div>
          </w:divsChild>
        </w:div>
        <w:div w:id="1727988054">
          <w:marLeft w:val="240"/>
          <w:marRight w:val="0"/>
          <w:marTop w:val="60"/>
          <w:marBottom w:val="60"/>
          <w:divBdr>
            <w:top w:val="none" w:sz="0" w:space="0" w:color="auto"/>
            <w:left w:val="none" w:sz="0" w:space="0" w:color="auto"/>
            <w:bottom w:val="none" w:sz="0" w:space="0" w:color="auto"/>
            <w:right w:val="none" w:sz="0" w:space="0" w:color="auto"/>
          </w:divBdr>
          <w:divsChild>
            <w:div w:id="1202937882">
              <w:marLeft w:val="0"/>
              <w:marRight w:val="0"/>
              <w:marTop w:val="0"/>
              <w:marBottom w:val="0"/>
              <w:divBdr>
                <w:top w:val="none" w:sz="0" w:space="0" w:color="auto"/>
                <w:left w:val="none" w:sz="0" w:space="0" w:color="auto"/>
                <w:bottom w:val="none" w:sz="0" w:space="0" w:color="auto"/>
                <w:right w:val="none" w:sz="0" w:space="0" w:color="auto"/>
              </w:divBdr>
            </w:div>
          </w:divsChild>
        </w:div>
        <w:div w:id="1805193308">
          <w:marLeft w:val="240"/>
          <w:marRight w:val="0"/>
          <w:marTop w:val="60"/>
          <w:marBottom w:val="60"/>
          <w:divBdr>
            <w:top w:val="none" w:sz="0" w:space="0" w:color="auto"/>
            <w:left w:val="none" w:sz="0" w:space="0" w:color="auto"/>
            <w:bottom w:val="none" w:sz="0" w:space="0" w:color="auto"/>
            <w:right w:val="none" w:sz="0" w:space="0" w:color="auto"/>
          </w:divBdr>
          <w:divsChild>
            <w:div w:id="10900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65801">
      <w:bodyDiv w:val="1"/>
      <w:marLeft w:val="0"/>
      <w:marRight w:val="0"/>
      <w:marTop w:val="0"/>
      <w:marBottom w:val="0"/>
      <w:divBdr>
        <w:top w:val="none" w:sz="0" w:space="0" w:color="auto"/>
        <w:left w:val="none" w:sz="0" w:space="0" w:color="auto"/>
        <w:bottom w:val="none" w:sz="0" w:space="0" w:color="auto"/>
        <w:right w:val="none" w:sz="0" w:space="0" w:color="auto"/>
      </w:divBdr>
    </w:div>
    <w:div w:id="1426919893">
      <w:bodyDiv w:val="1"/>
      <w:marLeft w:val="0"/>
      <w:marRight w:val="0"/>
      <w:marTop w:val="0"/>
      <w:marBottom w:val="0"/>
      <w:divBdr>
        <w:top w:val="none" w:sz="0" w:space="0" w:color="auto"/>
        <w:left w:val="none" w:sz="0" w:space="0" w:color="auto"/>
        <w:bottom w:val="none" w:sz="0" w:space="0" w:color="auto"/>
        <w:right w:val="none" w:sz="0" w:space="0" w:color="auto"/>
      </w:divBdr>
    </w:div>
    <w:div w:id="1507138243">
      <w:bodyDiv w:val="1"/>
      <w:marLeft w:val="0"/>
      <w:marRight w:val="0"/>
      <w:marTop w:val="0"/>
      <w:marBottom w:val="0"/>
      <w:divBdr>
        <w:top w:val="none" w:sz="0" w:space="0" w:color="auto"/>
        <w:left w:val="none" w:sz="0" w:space="0" w:color="auto"/>
        <w:bottom w:val="none" w:sz="0" w:space="0" w:color="auto"/>
        <w:right w:val="none" w:sz="0" w:space="0" w:color="auto"/>
      </w:divBdr>
    </w:div>
    <w:div w:id="1553152639">
      <w:bodyDiv w:val="1"/>
      <w:marLeft w:val="0"/>
      <w:marRight w:val="0"/>
      <w:marTop w:val="0"/>
      <w:marBottom w:val="0"/>
      <w:divBdr>
        <w:top w:val="none" w:sz="0" w:space="0" w:color="auto"/>
        <w:left w:val="none" w:sz="0" w:space="0" w:color="auto"/>
        <w:bottom w:val="none" w:sz="0" w:space="0" w:color="auto"/>
        <w:right w:val="none" w:sz="0" w:space="0" w:color="auto"/>
      </w:divBdr>
    </w:div>
    <w:div w:id="213486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ensus.gov/content/dam/Census/library/publications/2015/econ/g12-susb.pdf" TargetMode="External"/><Relationship Id="rId2" Type="http://schemas.openxmlformats.org/officeDocument/2006/relationships/hyperlink" Target="https://www2.census.gov/programs-surveys/susb/tables/2012/us_6digitnaics_2012.xls" TargetMode="External"/><Relationship Id="rId1" Type="http://schemas.openxmlformats.org/officeDocument/2006/relationships/hyperlink" Target="https://www2.census.gov/programs-surveys/susb/tables/2012/us_state_naicssector_small_emplsize_2012.xls" TargetMode="External"/><Relationship Id="rId4" Type="http://schemas.openxmlformats.org/officeDocument/2006/relationships/hyperlink" Target="https://www.opm.gov/policy-data-oversight/pay-leave/salaries-wages/salary-tables/pdf/2017/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DD533536F82C45ADFF6E8EEFF0EBED" ma:contentTypeVersion="2" ma:contentTypeDescription="Create a new document." ma:contentTypeScope="" ma:versionID="3bdc6f9e70f40d20a33eac84ad1540c9">
  <xsd:schema xmlns:xsd="http://www.w3.org/2001/XMLSchema" xmlns:xs="http://www.w3.org/2001/XMLSchema" xmlns:p="http://schemas.microsoft.com/office/2006/metadata/properties" xmlns:ns2="fe9628a8-4e73-4825-8be1-523eedfc6754" targetNamespace="http://schemas.microsoft.com/office/2006/metadata/properties" ma:root="true" ma:fieldsID="ca882db6251e1b1e1c73473381714eb9" ns2:_="">
    <xsd:import namespace="fe9628a8-4e73-4825-8be1-523eedfc675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628a8-4e73-4825-8be1-523eedfc67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fe9628a8-4e73-4825-8be1-523eedfc6754">5YJZXJV6V4SC-902-607</_dlc_DocId>
    <_dlc_DocIdUrl xmlns="fe9628a8-4e73-4825-8be1-523eedfc6754">
      <Url>http://sptapp.dhs.gov/ESTT/CIO_PRA/_layouts/DocIdRedir.aspx?ID=5YJZXJV6V4SC-902-607</Url>
      <Description>5YJZXJV6V4SC-902-607</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F8135C3-A3B1-4EA1-9D9E-95C1F9B3475D}">
  <ds:schemaRefs>
    <ds:schemaRef ds:uri="http://schemas.microsoft.com/sharepoint/v3/contenttype/forms"/>
  </ds:schemaRefs>
</ds:datastoreItem>
</file>

<file path=customXml/itemProps2.xml><?xml version="1.0" encoding="utf-8"?>
<ds:datastoreItem xmlns:ds="http://schemas.openxmlformats.org/officeDocument/2006/customXml" ds:itemID="{8E01ABAF-FECB-402E-A9FF-7728D75DC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628a8-4e73-4825-8be1-523eedfc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11C039-4D68-416D-8488-C1611E50507D}">
  <ds:schemaRefs>
    <ds:schemaRef ds:uri="http://schemas.microsoft.com/sharepoint/events"/>
  </ds:schemaRefs>
</ds:datastoreItem>
</file>

<file path=customXml/itemProps4.xml><?xml version="1.0" encoding="utf-8"?>
<ds:datastoreItem xmlns:ds="http://schemas.openxmlformats.org/officeDocument/2006/customXml" ds:itemID="{01264911-F0DB-4014-9C4D-921C99053BD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e9628a8-4e73-4825-8be1-523eedfc6754"/>
    <ds:schemaRef ds:uri="http://www.w3.org/XML/1998/namespace"/>
    <ds:schemaRef ds:uri="http://purl.org/dc/dcmitype/"/>
  </ds:schemaRefs>
</ds:datastoreItem>
</file>

<file path=customXml/itemProps5.xml><?xml version="1.0" encoding="utf-8"?>
<ds:datastoreItem xmlns:ds="http://schemas.openxmlformats.org/officeDocument/2006/customXml" ds:itemID="{E982C66A-E238-47B8-ACB5-F4459AF250E1}">
  <ds:schemaRefs>
    <ds:schemaRef ds:uri="http://schemas.microsoft.com/office/2006/metadata/longProperties"/>
  </ds:schemaRefs>
</ds:datastoreItem>
</file>

<file path=customXml/itemProps6.xml><?xml version="1.0" encoding="utf-8"?>
<ds:datastoreItem xmlns:ds="http://schemas.openxmlformats.org/officeDocument/2006/customXml" ds:itemID="{3579DC92-389D-4AD6-8D9E-154B83747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4153</Words>
  <Characters>23677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Supporting Statement A - Template</vt:lpstr>
    </vt:vector>
  </TitlesOfParts>
  <Company>FEMA</Company>
  <LinksUpToDate>false</LinksUpToDate>
  <CharactersWithSpaces>27775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subject/>
  <dc:creator>fema user</dc:creator>
  <cp:keywords/>
  <dc:description/>
  <cp:lastModifiedBy>SYSTEM</cp:lastModifiedBy>
  <cp:revision>2</cp:revision>
  <cp:lastPrinted>2008-09-19T14:45:00Z</cp:lastPrinted>
  <dcterms:created xsi:type="dcterms:W3CDTF">2017-12-28T17:49:00Z</dcterms:created>
  <dcterms:modified xsi:type="dcterms:W3CDTF">2017-12-28T17:49:00Z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ICR Element">
    <vt:lpwstr>Supporting Statement A</vt:lpwstr>
  </property>
  <property fmtid="{D5CDD505-2E9C-101B-9397-08002B2CF9AE}" pid="5" name="Document Type">
    <vt:lpwstr>ICR Forms &amp; Templates</vt:lpwstr>
  </property>
  <property fmtid="{D5CDD505-2E9C-101B-9397-08002B2CF9AE}" pid="6" name="ContentTypeId">
    <vt:lpwstr>0x01010094DD533536F82C45ADFF6E8EEFF0EBED</vt:lpwstr>
  </property>
  <property fmtid="{D5CDD505-2E9C-101B-9397-08002B2CF9AE}" pid="7" name="_dlc_DocIdItemGuid">
    <vt:lpwstr>0e0295dc-00ab-40b8-bd3e-3658bba11d21</vt:lpwstr>
  </property>
</Properties>
</file>