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F71FB" w14:textId="4509A424" w:rsidR="00253B99" w:rsidRPr="00CD7F74" w:rsidRDefault="002F6357" w:rsidP="008111D2">
      <w:pPr>
        <w:spacing w:after="0" w:line="240" w:lineRule="auto"/>
        <w:jc w:val="center"/>
        <w:rPr>
          <w:rFonts w:ascii="Arial" w:hAnsi="Arial" w:cs="Arial"/>
          <w:b/>
          <w:sz w:val="32"/>
          <w:szCs w:val="32"/>
        </w:rPr>
      </w:pPr>
      <w:bookmarkStart w:id="0" w:name="_GoBack"/>
      <w:bookmarkEnd w:id="0"/>
      <w:r>
        <w:rPr>
          <w:rFonts w:ascii="Arial" w:hAnsi="Arial" w:cs="Arial"/>
          <w:b/>
          <w:sz w:val="32"/>
          <w:szCs w:val="32"/>
        </w:rPr>
        <w:t xml:space="preserve">Generic </w:t>
      </w:r>
      <w:r w:rsidR="00253B99" w:rsidRPr="00CD7F74">
        <w:rPr>
          <w:rFonts w:ascii="Arial" w:hAnsi="Arial" w:cs="Arial"/>
          <w:b/>
          <w:sz w:val="32"/>
          <w:szCs w:val="32"/>
        </w:rPr>
        <w:t>Supporting</w:t>
      </w:r>
      <w:r w:rsidR="00BB6559" w:rsidRPr="00CD7F74">
        <w:rPr>
          <w:rFonts w:ascii="Arial" w:hAnsi="Arial" w:cs="Arial"/>
          <w:b/>
          <w:sz w:val="32"/>
          <w:szCs w:val="32"/>
        </w:rPr>
        <w:t xml:space="preserve"> </w:t>
      </w:r>
      <w:r w:rsidR="00253B99" w:rsidRPr="00CD7F74">
        <w:rPr>
          <w:rFonts w:ascii="Arial" w:hAnsi="Arial" w:cs="Arial"/>
          <w:b/>
          <w:sz w:val="32"/>
          <w:szCs w:val="32"/>
        </w:rPr>
        <w:t xml:space="preserve">Statement </w:t>
      </w:r>
      <w:r w:rsidR="002D72F2" w:rsidRPr="00CD7F74">
        <w:rPr>
          <w:rFonts w:ascii="Arial" w:hAnsi="Arial" w:cs="Arial"/>
          <w:b/>
          <w:sz w:val="32"/>
          <w:szCs w:val="32"/>
        </w:rPr>
        <w:t>(</w:t>
      </w:r>
      <w:r w:rsidR="00165F61">
        <w:rPr>
          <w:rFonts w:ascii="Arial" w:hAnsi="Arial" w:cs="Arial"/>
          <w:b/>
          <w:sz w:val="32"/>
          <w:szCs w:val="32"/>
        </w:rPr>
        <w:t>September</w:t>
      </w:r>
      <w:r w:rsidR="00C84FD4">
        <w:rPr>
          <w:rFonts w:ascii="Arial" w:hAnsi="Arial" w:cs="Arial"/>
          <w:b/>
          <w:sz w:val="32"/>
          <w:szCs w:val="32"/>
        </w:rPr>
        <w:t xml:space="preserve"> 201</w:t>
      </w:r>
      <w:r w:rsidR="00F2212E">
        <w:rPr>
          <w:rFonts w:ascii="Arial" w:hAnsi="Arial" w:cs="Arial"/>
          <w:b/>
          <w:sz w:val="32"/>
          <w:szCs w:val="32"/>
        </w:rPr>
        <w:t>9</w:t>
      </w:r>
      <w:r w:rsidR="002D72F2" w:rsidRPr="00CD7F74">
        <w:rPr>
          <w:rFonts w:ascii="Arial" w:hAnsi="Arial" w:cs="Arial"/>
          <w:b/>
          <w:sz w:val="32"/>
          <w:szCs w:val="32"/>
        </w:rPr>
        <w:t>)</w:t>
      </w:r>
    </w:p>
    <w:p w14:paraId="74C4819F" w14:textId="77777777" w:rsidR="00253B99" w:rsidRDefault="00253B99" w:rsidP="008111D2">
      <w:pPr>
        <w:spacing w:after="0" w:line="240" w:lineRule="auto"/>
        <w:jc w:val="center"/>
        <w:rPr>
          <w:szCs w:val="24"/>
        </w:rPr>
      </w:pPr>
    </w:p>
    <w:p w14:paraId="31ADAFFE" w14:textId="77777777" w:rsidR="007D6E75" w:rsidRPr="008111D2" w:rsidRDefault="00B54634" w:rsidP="008111D2">
      <w:pPr>
        <w:spacing w:after="0" w:line="240" w:lineRule="auto"/>
        <w:jc w:val="center"/>
        <w:rPr>
          <w:szCs w:val="24"/>
        </w:rPr>
      </w:pPr>
      <w:r w:rsidRPr="00B54634">
        <w:rPr>
          <w:szCs w:val="24"/>
        </w:rPr>
        <w:t>Generic Clearance for Medicaid and CHIP State Plan, Waiver, and Program Submissions</w:t>
      </w:r>
    </w:p>
    <w:p w14:paraId="6F45673B" w14:textId="77777777" w:rsidR="00DF098E" w:rsidRPr="008111D2" w:rsidRDefault="007D6E75" w:rsidP="008111D2">
      <w:pPr>
        <w:spacing w:after="0" w:line="240" w:lineRule="auto"/>
        <w:jc w:val="center"/>
        <w:rPr>
          <w:szCs w:val="24"/>
        </w:rPr>
      </w:pPr>
      <w:r w:rsidRPr="008111D2">
        <w:rPr>
          <w:szCs w:val="24"/>
        </w:rPr>
        <w:t>(CMS-10398, OMB 0938-1148)</w:t>
      </w:r>
    </w:p>
    <w:p w14:paraId="549638F8" w14:textId="77777777" w:rsidR="007D6E75" w:rsidRPr="008111D2" w:rsidRDefault="007D6E75" w:rsidP="008111D2">
      <w:pPr>
        <w:spacing w:after="0" w:line="240" w:lineRule="auto"/>
        <w:jc w:val="center"/>
        <w:rPr>
          <w:szCs w:val="24"/>
        </w:rPr>
      </w:pPr>
    </w:p>
    <w:p w14:paraId="221469B9" w14:textId="2C2E59F8" w:rsidR="007F3C76" w:rsidRDefault="002A68E9" w:rsidP="007F3C76">
      <w:pPr>
        <w:spacing w:after="0" w:line="240" w:lineRule="auto"/>
        <w:jc w:val="center"/>
        <w:rPr>
          <w:rFonts w:cs="Times New Roman"/>
          <w:b/>
          <w:szCs w:val="24"/>
        </w:rPr>
      </w:pPr>
      <w:r>
        <w:rPr>
          <w:rFonts w:cs="Times New Roman"/>
          <w:b/>
          <w:szCs w:val="24"/>
        </w:rPr>
        <w:t xml:space="preserve">Generic </w:t>
      </w:r>
      <w:r w:rsidR="00CB646D" w:rsidRPr="008111D2">
        <w:rPr>
          <w:rFonts w:cs="Times New Roman"/>
          <w:b/>
          <w:szCs w:val="24"/>
        </w:rPr>
        <w:t xml:space="preserve">Information Collection </w:t>
      </w:r>
      <w:r w:rsidR="00FE644A" w:rsidRPr="008111D2">
        <w:rPr>
          <w:rFonts w:cs="Times New Roman"/>
          <w:b/>
          <w:szCs w:val="24"/>
        </w:rPr>
        <w:t>#</w:t>
      </w:r>
      <w:r w:rsidR="00C65564">
        <w:rPr>
          <w:rFonts w:cs="Times New Roman"/>
          <w:b/>
          <w:szCs w:val="24"/>
        </w:rPr>
        <w:t xml:space="preserve"> </w:t>
      </w:r>
      <w:r w:rsidR="00D324D8">
        <w:rPr>
          <w:rFonts w:cs="Times New Roman"/>
          <w:b/>
          <w:szCs w:val="24"/>
        </w:rPr>
        <w:t>58</w:t>
      </w:r>
    </w:p>
    <w:p w14:paraId="042899B4" w14:textId="1600E63A" w:rsidR="001D09B1" w:rsidRDefault="00607AC6" w:rsidP="00607AC6">
      <w:pPr>
        <w:spacing w:after="0" w:line="240" w:lineRule="auto"/>
        <w:jc w:val="center"/>
        <w:rPr>
          <w:rFonts w:cs="Times New Roman"/>
          <w:b/>
          <w:szCs w:val="24"/>
        </w:rPr>
      </w:pPr>
      <w:r w:rsidRPr="00607AC6">
        <w:rPr>
          <w:rFonts w:cs="Times New Roman"/>
          <w:color w:val="000000"/>
          <w:szCs w:val="24"/>
        </w:rPr>
        <w:t xml:space="preserve"> </w:t>
      </w:r>
      <w:r w:rsidRPr="00607AC6">
        <w:rPr>
          <w:rFonts w:cs="Times New Roman"/>
          <w:b/>
          <w:color w:val="000000"/>
          <w:szCs w:val="24"/>
        </w:rPr>
        <w:t>Medicaid Section 1115 Eligibility and Coverage Demonstration</w:t>
      </w:r>
      <w:r w:rsidR="001D09B1">
        <w:rPr>
          <w:rFonts w:cs="Times New Roman"/>
          <w:b/>
          <w:szCs w:val="24"/>
        </w:rPr>
        <w:t xml:space="preserve"> </w:t>
      </w:r>
    </w:p>
    <w:p w14:paraId="249D4A69" w14:textId="734DD08D" w:rsidR="001D09B1" w:rsidRDefault="0092380B" w:rsidP="007F3C76">
      <w:pPr>
        <w:spacing w:after="0" w:line="240" w:lineRule="auto"/>
        <w:jc w:val="center"/>
        <w:rPr>
          <w:rFonts w:cs="Times New Roman"/>
          <w:b/>
          <w:szCs w:val="24"/>
        </w:rPr>
      </w:pPr>
      <w:r>
        <w:rPr>
          <w:rFonts w:cs="Times New Roman"/>
          <w:b/>
          <w:szCs w:val="24"/>
        </w:rPr>
        <w:t xml:space="preserve">Implementation Plan and </w:t>
      </w:r>
      <w:r w:rsidR="00F2212E">
        <w:rPr>
          <w:rFonts w:cs="Times New Roman"/>
          <w:b/>
          <w:szCs w:val="24"/>
        </w:rPr>
        <w:t xml:space="preserve">Monitoring </w:t>
      </w:r>
      <w:r w:rsidR="008D4082">
        <w:rPr>
          <w:rFonts w:cs="Times New Roman"/>
          <w:b/>
          <w:szCs w:val="24"/>
        </w:rPr>
        <w:t xml:space="preserve">Reports Documents and </w:t>
      </w:r>
      <w:r w:rsidR="00F2212E">
        <w:rPr>
          <w:rFonts w:cs="Times New Roman"/>
          <w:b/>
          <w:szCs w:val="24"/>
        </w:rPr>
        <w:t>Templates</w:t>
      </w:r>
    </w:p>
    <w:p w14:paraId="413C6494" w14:textId="77777777" w:rsidR="009E3FAC" w:rsidRPr="008111D2" w:rsidRDefault="009E3FAC" w:rsidP="008111D2">
      <w:pPr>
        <w:spacing w:after="0" w:line="240" w:lineRule="auto"/>
        <w:jc w:val="center"/>
        <w:rPr>
          <w:rFonts w:cs="Times New Roman"/>
          <w:szCs w:val="24"/>
        </w:rPr>
      </w:pPr>
    </w:p>
    <w:p w14:paraId="44EB51B7" w14:textId="77777777" w:rsidR="007D6E75" w:rsidRPr="008111D2" w:rsidRDefault="007D6E75" w:rsidP="008111D2">
      <w:pPr>
        <w:spacing w:after="0" w:line="240" w:lineRule="auto"/>
        <w:jc w:val="center"/>
        <w:rPr>
          <w:b/>
          <w:szCs w:val="24"/>
        </w:rPr>
      </w:pPr>
    </w:p>
    <w:p w14:paraId="12AAAC0E" w14:textId="77777777" w:rsidR="007D6E75" w:rsidRPr="008111D2" w:rsidRDefault="007D6E75" w:rsidP="008111D2">
      <w:pPr>
        <w:spacing w:after="0" w:line="240" w:lineRule="auto"/>
        <w:jc w:val="center"/>
        <w:rPr>
          <w:b/>
          <w:szCs w:val="24"/>
        </w:rPr>
      </w:pPr>
    </w:p>
    <w:p w14:paraId="38974F02" w14:textId="77777777" w:rsidR="007D6E75" w:rsidRPr="008111D2" w:rsidRDefault="007D6E75" w:rsidP="008111D2">
      <w:pPr>
        <w:spacing w:after="0" w:line="240" w:lineRule="auto"/>
        <w:jc w:val="center"/>
        <w:rPr>
          <w:szCs w:val="24"/>
        </w:rPr>
      </w:pPr>
    </w:p>
    <w:p w14:paraId="1FBEC2DD" w14:textId="77777777" w:rsidR="007D6E75" w:rsidRPr="008111D2" w:rsidRDefault="007D6E75" w:rsidP="008111D2">
      <w:pPr>
        <w:spacing w:after="0" w:line="240" w:lineRule="auto"/>
        <w:jc w:val="center"/>
        <w:rPr>
          <w:szCs w:val="24"/>
        </w:rPr>
      </w:pPr>
    </w:p>
    <w:p w14:paraId="74466888" w14:textId="77777777" w:rsidR="007D6E75" w:rsidRPr="008111D2" w:rsidRDefault="007D6E75" w:rsidP="008111D2">
      <w:pPr>
        <w:spacing w:after="0" w:line="240" w:lineRule="auto"/>
        <w:jc w:val="center"/>
        <w:rPr>
          <w:szCs w:val="24"/>
        </w:rPr>
      </w:pPr>
    </w:p>
    <w:p w14:paraId="4C2517DA"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610D625" w14:textId="77777777" w:rsidR="007D6E75" w:rsidRPr="008111D2" w:rsidRDefault="007D6E75" w:rsidP="005E6549">
      <w:pPr>
        <w:spacing w:after="0" w:line="240" w:lineRule="auto"/>
        <w:jc w:val="center"/>
        <w:rPr>
          <w:szCs w:val="24"/>
        </w:rPr>
        <w:sectPr w:rsidR="007D6E75" w:rsidRPr="008111D2" w:rsidSect="001D09B1">
          <w:footerReference w:type="default" r:id="rId15"/>
          <w:pgSz w:w="12240" w:h="15840" w:code="1"/>
          <w:pgMar w:top="1440" w:right="1080" w:bottom="1440" w:left="1080" w:header="720" w:footer="720" w:gutter="0"/>
          <w:cols w:space="720"/>
          <w:vAlign w:val="center"/>
          <w:docGrid w:linePitch="360"/>
        </w:sectPr>
      </w:pPr>
      <w:r w:rsidRPr="008111D2">
        <w:rPr>
          <w:szCs w:val="24"/>
        </w:rPr>
        <w:t>Centers for Me</w:t>
      </w:r>
      <w:r w:rsidR="005E6549">
        <w:rPr>
          <w:szCs w:val="24"/>
        </w:rPr>
        <w:t>dicare &amp; Medicaid Services (CMS</w:t>
      </w:r>
      <w:r w:rsidR="00344DDB">
        <w:rPr>
          <w:szCs w:val="24"/>
        </w:rPr>
        <w:t>)</w:t>
      </w:r>
    </w:p>
    <w:p w14:paraId="0EF41C04" w14:textId="77777777" w:rsidR="00A34954" w:rsidRPr="00443F76" w:rsidRDefault="00802400" w:rsidP="00131629">
      <w:pPr>
        <w:pStyle w:val="Heading1"/>
        <w:numPr>
          <w:ilvl w:val="0"/>
          <w:numId w:val="28"/>
        </w:numPr>
      </w:pPr>
      <w:r>
        <w:lastRenderedPageBreak/>
        <w:t>Background</w:t>
      </w:r>
      <w:r w:rsidR="00344DDB">
        <w:t xml:space="preserve"> </w:t>
      </w:r>
    </w:p>
    <w:p w14:paraId="45E37F5F" w14:textId="77777777" w:rsidR="00150C54" w:rsidRDefault="00150C54" w:rsidP="00150C54">
      <w:pPr>
        <w:spacing w:after="0" w:line="240" w:lineRule="auto"/>
        <w:rPr>
          <w:i/>
          <w:szCs w:val="24"/>
        </w:rPr>
      </w:pPr>
    </w:p>
    <w:p w14:paraId="439A4903" w14:textId="2B455D1B" w:rsidR="00892724" w:rsidRDefault="00892724" w:rsidP="00357D62">
      <w:pPr>
        <w:spacing w:line="240" w:lineRule="auto"/>
        <w:rPr>
          <w:szCs w:val="24"/>
        </w:rPr>
      </w:pPr>
      <w:r w:rsidRPr="008111D2">
        <w:rPr>
          <w:szCs w:val="24"/>
        </w:rPr>
        <w:t>The Centers for Medicare &amp; Medicaid Services (CMS) work</w:t>
      </w:r>
      <w:r w:rsidR="00E64716">
        <w:rPr>
          <w:szCs w:val="24"/>
        </w:rPr>
        <w:t>s</w:t>
      </w:r>
      <w:r w:rsidRPr="008111D2">
        <w:rPr>
          <w:szCs w:val="24"/>
        </w:rPr>
        <w:t xml:space="preserve"> in partnership with States to implement </w:t>
      </w:r>
      <w:r w:rsidR="00E64716">
        <w:rPr>
          <w:szCs w:val="24"/>
        </w:rPr>
        <w:t xml:space="preserve">the </w:t>
      </w:r>
      <w:r w:rsidRPr="008111D2">
        <w:rPr>
          <w:szCs w:val="24"/>
        </w:rPr>
        <w:t xml:space="preserve">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r w:rsidR="00BD1124" w:rsidRPr="008111D2">
        <w:rPr>
          <w:szCs w:val="24"/>
        </w:rPr>
        <w:t>because</w:t>
      </w:r>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14:paraId="10EFC857" w14:textId="77777777" w:rsidR="00357D62" w:rsidRDefault="00867343" w:rsidP="00357D62">
      <w:pPr>
        <w:spacing w:line="240" w:lineRule="auto"/>
        <w:rPr>
          <w:rFonts w:cs="Times New Roman"/>
          <w:szCs w:val="24"/>
        </w:rPr>
      </w:pPr>
      <w:r w:rsidRPr="00344DDB">
        <w:rPr>
          <w:szCs w:val="24"/>
        </w:rPr>
        <w:t xml:space="preserve">Under section 1115(a) of the </w:t>
      </w:r>
      <w:r w:rsidR="00A548CA" w:rsidRPr="00344DDB">
        <w:rPr>
          <w:szCs w:val="24"/>
        </w:rPr>
        <w:t xml:space="preserve">Social Security </w:t>
      </w:r>
      <w:r w:rsidRPr="00344DDB">
        <w:rPr>
          <w:szCs w:val="24"/>
        </w:rPr>
        <w:t xml:space="preserve">Act, the Secretary of Health and Human Services (“Secretary”) may authorize a state to conduct experimental, pilot, or demonstration projects that, in the judgment of the Secretary, promote the objectives of title XIX of the Act. The Secretary (1) may, under section 1115(a)(1), waive provisions in section 1902 of the Act; and/or (2) may, under section 1115(a)(2)(A), authorize federal matching funds for state expenditures that would not otherwise be matchable (i.e., expenditure authority) under section 1903 of the Act. Section 1902 of the Act lists what elements the Medicaid state plan must include, such as provisions relating to </w:t>
      </w:r>
      <w:r w:rsidRPr="00344DDB">
        <w:rPr>
          <w:rFonts w:cs="Times New Roman"/>
          <w:szCs w:val="24"/>
        </w:rPr>
        <w:t xml:space="preserve">eligibility, beneficiary protections, benefits and services and cost sharing. Section 1903, “Payments to States,” describes expenditures that may be “matched” with federal title XIX dollars, allowable sources of non-federal share, and managed care requirements. </w:t>
      </w:r>
      <w:bookmarkStart w:id="1" w:name="_Toc288057811"/>
      <w:bookmarkStart w:id="2" w:name="_Toc288057812"/>
      <w:bookmarkStart w:id="3" w:name="_Toc288057813"/>
      <w:bookmarkStart w:id="4" w:name="_Toc288057814"/>
      <w:bookmarkStart w:id="5" w:name="_Toc288057839"/>
      <w:bookmarkStart w:id="6" w:name="_Toc288057840"/>
      <w:bookmarkEnd w:id="1"/>
      <w:bookmarkEnd w:id="2"/>
      <w:bookmarkEnd w:id="3"/>
      <w:bookmarkEnd w:id="4"/>
      <w:bookmarkEnd w:id="5"/>
      <w:bookmarkEnd w:id="6"/>
    </w:p>
    <w:p w14:paraId="469901D5" w14:textId="5CA8BD0A" w:rsidR="00846F80" w:rsidRDefault="00344DDB" w:rsidP="006C64E3">
      <w:pPr>
        <w:pStyle w:val="Default"/>
        <w:rPr>
          <w:rFonts w:eastAsiaTheme="minorHAnsi"/>
          <w:sz w:val="23"/>
          <w:szCs w:val="23"/>
        </w:rPr>
      </w:pPr>
      <w:r w:rsidRPr="006C64E3">
        <w:t xml:space="preserve">On </w:t>
      </w:r>
      <w:r w:rsidR="006C64E3" w:rsidRPr="006C64E3">
        <w:t>January 11</w:t>
      </w:r>
      <w:r w:rsidRPr="006C64E3">
        <w:t>,</w:t>
      </w:r>
      <w:r w:rsidR="006C64E3" w:rsidRPr="006C64E3">
        <w:t xml:space="preserve"> 2018,</w:t>
      </w:r>
      <w:r w:rsidRPr="006C64E3">
        <w:t xml:space="preserve"> CMS released a letter</w:t>
      </w:r>
      <w:r w:rsidR="0082047B" w:rsidRPr="006C64E3">
        <w:t xml:space="preserve"> #1</w:t>
      </w:r>
      <w:r w:rsidR="006C64E3" w:rsidRPr="006C64E3">
        <w:t>8</w:t>
      </w:r>
      <w:r w:rsidR="0082047B" w:rsidRPr="006C64E3">
        <w:t>-00</w:t>
      </w:r>
      <w:r w:rsidR="006C64E3" w:rsidRPr="006C64E3">
        <w:t>2</w:t>
      </w:r>
      <w:r w:rsidR="0082047B" w:rsidRPr="006C64E3">
        <w:t xml:space="preserve"> </w:t>
      </w:r>
      <w:r w:rsidRPr="006C64E3">
        <w:t>to all State Medicaid Di</w:t>
      </w:r>
      <w:r w:rsidR="006C64E3">
        <w:t xml:space="preserve">rectors </w:t>
      </w:r>
      <w:r w:rsidR="006C64E3" w:rsidRPr="006C64E3">
        <w:rPr>
          <w:rFonts w:eastAsiaTheme="minorHAnsi"/>
          <w:sz w:val="23"/>
          <w:szCs w:val="23"/>
        </w:rPr>
        <w:t xml:space="preserve">announcing a new </w:t>
      </w:r>
      <w:r w:rsidR="00E64716">
        <w:rPr>
          <w:rFonts w:eastAsiaTheme="minorHAnsi"/>
          <w:sz w:val="23"/>
          <w:szCs w:val="23"/>
        </w:rPr>
        <w:t xml:space="preserve">Section 1115 demonstration </w:t>
      </w:r>
      <w:r w:rsidR="0056166F">
        <w:rPr>
          <w:rFonts w:eastAsiaTheme="minorHAnsi"/>
          <w:sz w:val="23"/>
          <w:szCs w:val="23"/>
        </w:rPr>
        <w:t xml:space="preserve">opportunity </w:t>
      </w:r>
      <w:r w:rsidR="0056166F" w:rsidRPr="006C64E3">
        <w:rPr>
          <w:rFonts w:eastAsiaTheme="minorHAnsi"/>
          <w:sz w:val="23"/>
          <w:szCs w:val="23"/>
        </w:rPr>
        <w:t>designed</w:t>
      </w:r>
      <w:r w:rsidR="006C64E3" w:rsidRPr="006C64E3">
        <w:rPr>
          <w:rFonts w:eastAsiaTheme="minorHAnsi"/>
          <w:sz w:val="23"/>
          <w:szCs w:val="23"/>
        </w:rPr>
        <w:t xml:space="preserve"> to assist states in their efforts to improve Medicaid enrollee health and well-being</w:t>
      </w:r>
      <w:r w:rsidR="00846F80">
        <w:rPr>
          <w:rFonts w:eastAsiaTheme="minorHAnsi"/>
          <w:sz w:val="23"/>
          <w:szCs w:val="23"/>
        </w:rPr>
        <w:t>, as well as Medic</w:t>
      </w:r>
      <w:r w:rsidR="00E64716">
        <w:rPr>
          <w:rFonts w:eastAsiaTheme="minorHAnsi"/>
          <w:sz w:val="23"/>
          <w:szCs w:val="23"/>
        </w:rPr>
        <w:t>a</w:t>
      </w:r>
      <w:r w:rsidR="00846F80">
        <w:rPr>
          <w:rFonts w:eastAsiaTheme="minorHAnsi"/>
          <w:sz w:val="23"/>
          <w:szCs w:val="23"/>
        </w:rPr>
        <w:t>i</w:t>
      </w:r>
      <w:r w:rsidR="00E64716">
        <w:rPr>
          <w:rFonts w:eastAsiaTheme="minorHAnsi"/>
          <w:sz w:val="23"/>
          <w:szCs w:val="23"/>
        </w:rPr>
        <w:t>d program sustainability,</w:t>
      </w:r>
      <w:r w:rsidR="006C64E3" w:rsidRPr="006C64E3">
        <w:rPr>
          <w:rFonts w:eastAsiaTheme="minorHAnsi"/>
          <w:sz w:val="23"/>
          <w:szCs w:val="23"/>
        </w:rPr>
        <w:t xml:space="preserve"> through incentivizing work and community engagement among non-elderly, non-pregnant adult Medicaid beneficiaries who are eligible for Medicaid on a basis other than disability</w:t>
      </w:r>
      <w:r w:rsidR="006C64E3">
        <w:rPr>
          <w:rFonts w:eastAsiaTheme="minorHAnsi"/>
          <w:sz w:val="23"/>
          <w:szCs w:val="23"/>
        </w:rPr>
        <w:t>.</w:t>
      </w:r>
      <w:r w:rsidR="00846F80">
        <w:rPr>
          <w:rFonts w:eastAsiaTheme="minorHAnsi"/>
          <w:sz w:val="23"/>
          <w:szCs w:val="23"/>
        </w:rPr>
        <w:t xml:space="preserve"> </w:t>
      </w:r>
    </w:p>
    <w:p w14:paraId="41D1B763" w14:textId="77777777" w:rsidR="00846F80" w:rsidRDefault="00846F80" w:rsidP="006C64E3">
      <w:pPr>
        <w:pStyle w:val="Default"/>
        <w:rPr>
          <w:rFonts w:eastAsiaTheme="minorHAnsi"/>
          <w:sz w:val="23"/>
          <w:szCs w:val="23"/>
        </w:rPr>
      </w:pPr>
    </w:p>
    <w:p w14:paraId="03FE0B83" w14:textId="7AEECBB9" w:rsidR="006C64E3" w:rsidRDefault="00E64716" w:rsidP="006C64E3">
      <w:pPr>
        <w:pStyle w:val="Default"/>
      </w:pPr>
      <w:r>
        <w:rPr>
          <w:rFonts w:eastAsiaTheme="minorHAnsi"/>
          <w:sz w:val="23"/>
          <w:szCs w:val="23"/>
        </w:rPr>
        <w:t>In addition, states are accompanying this opportunity with demonstration tests of other policy approaches under Section 1115 authority, such as including p</w:t>
      </w:r>
      <w:r w:rsidR="009378C1">
        <w:rPr>
          <w:rFonts w:eastAsiaTheme="minorHAnsi"/>
          <w:sz w:val="23"/>
          <w:szCs w:val="23"/>
        </w:rPr>
        <w:t xml:space="preserve">remium assistance, waiver of retroactive eligibility, monthly premiums, and imposition of non-eligibility periods for failure to meet certain requirements. </w:t>
      </w:r>
      <w:r>
        <w:rPr>
          <w:rFonts w:eastAsiaTheme="minorHAnsi"/>
          <w:sz w:val="23"/>
          <w:szCs w:val="23"/>
        </w:rPr>
        <w:t xml:space="preserve">Together, these complementary policy approaches are </w:t>
      </w:r>
      <w:r w:rsidR="002C3976">
        <w:rPr>
          <w:rFonts w:eastAsiaTheme="minorHAnsi"/>
          <w:sz w:val="23"/>
          <w:szCs w:val="23"/>
        </w:rPr>
        <w:t>herein called eligibil</w:t>
      </w:r>
      <w:r w:rsidR="000C2A0D">
        <w:rPr>
          <w:rFonts w:eastAsiaTheme="minorHAnsi"/>
          <w:sz w:val="23"/>
          <w:szCs w:val="23"/>
        </w:rPr>
        <w:t>i</w:t>
      </w:r>
      <w:r w:rsidR="002C3976">
        <w:rPr>
          <w:rFonts w:eastAsiaTheme="minorHAnsi"/>
          <w:sz w:val="23"/>
          <w:szCs w:val="23"/>
        </w:rPr>
        <w:t xml:space="preserve">ty and coverage demonstrations.  </w:t>
      </w:r>
    </w:p>
    <w:p w14:paraId="440C636D" w14:textId="77777777" w:rsidR="006C64E3" w:rsidRPr="006C64E3" w:rsidRDefault="006C64E3" w:rsidP="006C64E3">
      <w:pPr>
        <w:pStyle w:val="Default"/>
        <w:rPr>
          <w:rFonts w:eastAsiaTheme="minorHAnsi"/>
        </w:rPr>
      </w:pPr>
    </w:p>
    <w:p w14:paraId="7BBAF121" w14:textId="7D615090" w:rsidR="006C64E3" w:rsidRDefault="002C3976" w:rsidP="006C64E3">
      <w:pPr>
        <w:pStyle w:val="Default"/>
        <w:rPr>
          <w:sz w:val="23"/>
          <w:szCs w:val="23"/>
        </w:rPr>
      </w:pPr>
      <w:r>
        <w:t xml:space="preserve">CMS Section 1115 demonstration monitoring and evaluation Special Terms and Conditions, and </w:t>
      </w:r>
      <w:r w:rsidR="000C2A0D">
        <w:t>t</w:t>
      </w:r>
      <w:r w:rsidR="00344DDB" w:rsidRPr="00A772C0">
        <w:t>he l</w:t>
      </w:r>
      <w:r w:rsidR="00687A9B">
        <w:t xml:space="preserve">etter </w:t>
      </w:r>
      <w:r>
        <w:t>#18-002, make clear</w:t>
      </w:r>
      <w:r w:rsidR="00D2212F">
        <w:t xml:space="preserve"> that CMS </w:t>
      </w:r>
      <w:r w:rsidR="00D2212F">
        <w:rPr>
          <w:sz w:val="23"/>
          <w:szCs w:val="23"/>
        </w:rPr>
        <w:t xml:space="preserve">remains committed to ensuring state accountability for the health and well-being of Medicaid enrollees and that monitoring and evaluation are important for understanding the outcomes and impacts of </w:t>
      </w:r>
      <w:r>
        <w:rPr>
          <w:sz w:val="23"/>
          <w:szCs w:val="23"/>
        </w:rPr>
        <w:t>alternative approaches to Medicaid eligibility and coverage demonstrations</w:t>
      </w:r>
      <w:r w:rsidR="00D2212F">
        <w:rPr>
          <w:sz w:val="23"/>
          <w:szCs w:val="23"/>
        </w:rPr>
        <w:t>. For this purpose, CMS is undertaking efforts to help states monitor the elements of the</w:t>
      </w:r>
      <w:r>
        <w:rPr>
          <w:sz w:val="23"/>
          <w:szCs w:val="23"/>
        </w:rPr>
        <w:t>se demon</w:t>
      </w:r>
      <w:r w:rsidR="000C2A0D">
        <w:rPr>
          <w:sz w:val="23"/>
          <w:szCs w:val="23"/>
        </w:rPr>
        <w:t>s</w:t>
      </w:r>
      <w:r>
        <w:rPr>
          <w:sz w:val="23"/>
          <w:szCs w:val="23"/>
        </w:rPr>
        <w:t>trations</w:t>
      </w:r>
      <w:r w:rsidR="00D2212F">
        <w:rPr>
          <w:sz w:val="23"/>
          <w:szCs w:val="23"/>
        </w:rPr>
        <w:t>, while giving them the flexibility to adapt to changing conditions in their states. Sta</w:t>
      </w:r>
      <w:r w:rsidR="00607AC6">
        <w:rPr>
          <w:sz w:val="23"/>
          <w:szCs w:val="23"/>
        </w:rPr>
        <w:t xml:space="preserve">tes </w:t>
      </w:r>
      <w:r>
        <w:rPr>
          <w:sz w:val="23"/>
          <w:szCs w:val="23"/>
        </w:rPr>
        <w:t xml:space="preserve">with approved eligibility and coverage demonstrations are </w:t>
      </w:r>
      <w:r w:rsidR="00607AC6">
        <w:rPr>
          <w:sz w:val="23"/>
          <w:szCs w:val="23"/>
        </w:rPr>
        <w:t xml:space="preserve">required to develop implementation </w:t>
      </w:r>
      <w:r w:rsidR="00E64716">
        <w:rPr>
          <w:sz w:val="23"/>
          <w:szCs w:val="23"/>
        </w:rPr>
        <w:t>and</w:t>
      </w:r>
      <w:r w:rsidR="00607AC6">
        <w:rPr>
          <w:sz w:val="23"/>
          <w:szCs w:val="23"/>
        </w:rPr>
        <w:t xml:space="preserve"> </w:t>
      </w:r>
      <w:r w:rsidR="00D2212F">
        <w:rPr>
          <w:sz w:val="23"/>
          <w:szCs w:val="23"/>
        </w:rPr>
        <w:t>monitoring plans</w:t>
      </w:r>
      <w:r w:rsidR="00E6250E">
        <w:rPr>
          <w:sz w:val="23"/>
          <w:szCs w:val="23"/>
        </w:rPr>
        <w:t>, including monitoring metrics,</w:t>
      </w:r>
      <w:r w:rsidR="00D2212F">
        <w:rPr>
          <w:sz w:val="23"/>
          <w:szCs w:val="23"/>
        </w:rPr>
        <w:t xml:space="preserve"> and submit regular monitoring reports describing </w:t>
      </w:r>
      <w:r>
        <w:rPr>
          <w:sz w:val="23"/>
          <w:szCs w:val="23"/>
        </w:rPr>
        <w:t xml:space="preserve">their implementation </w:t>
      </w:r>
      <w:r w:rsidR="00D2212F">
        <w:rPr>
          <w:sz w:val="23"/>
          <w:szCs w:val="23"/>
        </w:rPr>
        <w:t>progress</w:t>
      </w:r>
      <w:r>
        <w:rPr>
          <w:sz w:val="23"/>
          <w:szCs w:val="23"/>
        </w:rPr>
        <w:t>.</w:t>
      </w:r>
      <w:r w:rsidR="00D2212F">
        <w:rPr>
          <w:sz w:val="23"/>
          <w:szCs w:val="23"/>
        </w:rPr>
        <w:t xml:space="preserve"> </w:t>
      </w:r>
    </w:p>
    <w:p w14:paraId="119D3A5A" w14:textId="77777777" w:rsidR="00D2212F" w:rsidRDefault="00D2212F" w:rsidP="006C64E3">
      <w:pPr>
        <w:pStyle w:val="Default"/>
        <w:rPr>
          <w:sz w:val="23"/>
          <w:szCs w:val="23"/>
        </w:rPr>
      </w:pPr>
    </w:p>
    <w:p w14:paraId="59E579AF" w14:textId="13FB58D3" w:rsidR="00344DDB" w:rsidRDefault="00D2212F" w:rsidP="006C64E3">
      <w:pPr>
        <w:pStyle w:val="Default"/>
      </w:pPr>
      <w:r>
        <w:rPr>
          <w:sz w:val="23"/>
          <w:szCs w:val="23"/>
        </w:rPr>
        <w:t xml:space="preserve">The </w:t>
      </w:r>
      <w:r w:rsidR="00E6250E">
        <w:rPr>
          <w:sz w:val="23"/>
          <w:szCs w:val="23"/>
        </w:rPr>
        <w:t>STCs</w:t>
      </w:r>
      <w:r w:rsidR="002C3976">
        <w:rPr>
          <w:sz w:val="23"/>
          <w:szCs w:val="23"/>
        </w:rPr>
        <w:t xml:space="preserve"> </w:t>
      </w:r>
      <w:r w:rsidR="00E6250E">
        <w:rPr>
          <w:sz w:val="23"/>
          <w:szCs w:val="23"/>
        </w:rPr>
        <w:t>require S</w:t>
      </w:r>
      <w:r w:rsidR="00EF34E9">
        <w:rPr>
          <w:sz w:val="23"/>
          <w:szCs w:val="23"/>
        </w:rPr>
        <w:t xml:space="preserve">tates </w:t>
      </w:r>
      <w:r w:rsidR="00560697">
        <w:rPr>
          <w:sz w:val="23"/>
          <w:szCs w:val="23"/>
        </w:rPr>
        <w:t xml:space="preserve">that are </w:t>
      </w:r>
      <w:r w:rsidR="00EF34E9">
        <w:rPr>
          <w:sz w:val="23"/>
          <w:szCs w:val="23"/>
        </w:rPr>
        <w:t>testing alternative approaches to eligibility and coverage demonstrations</w:t>
      </w:r>
      <w:r>
        <w:rPr>
          <w:sz w:val="23"/>
          <w:szCs w:val="23"/>
        </w:rPr>
        <w:t xml:space="preserve"> </w:t>
      </w:r>
      <w:r w:rsidR="00560697">
        <w:rPr>
          <w:sz w:val="23"/>
          <w:szCs w:val="23"/>
        </w:rPr>
        <w:t>to</w:t>
      </w:r>
      <w:r>
        <w:rPr>
          <w:sz w:val="23"/>
          <w:szCs w:val="23"/>
        </w:rPr>
        <w:t xml:space="preserve"> submit to CMS </w:t>
      </w:r>
      <w:r w:rsidR="00560697">
        <w:rPr>
          <w:sz w:val="23"/>
          <w:szCs w:val="23"/>
        </w:rPr>
        <w:t xml:space="preserve">for approval </w:t>
      </w:r>
      <w:r>
        <w:rPr>
          <w:sz w:val="23"/>
          <w:szCs w:val="23"/>
        </w:rPr>
        <w:t xml:space="preserve">a draft </w:t>
      </w:r>
      <w:r w:rsidR="00560697">
        <w:rPr>
          <w:sz w:val="23"/>
          <w:szCs w:val="23"/>
        </w:rPr>
        <w:t xml:space="preserve">implementation plan </w:t>
      </w:r>
      <w:r w:rsidR="0056166F">
        <w:rPr>
          <w:sz w:val="23"/>
          <w:szCs w:val="23"/>
        </w:rPr>
        <w:t>and proposed</w:t>
      </w:r>
      <w:r>
        <w:rPr>
          <w:sz w:val="23"/>
          <w:szCs w:val="23"/>
        </w:rPr>
        <w:t xml:space="preserve"> metrics </w:t>
      </w:r>
      <w:r w:rsidR="00560697">
        <w:rPr>
          <w:sz w:val="23"/>
          <w:szCs w:val="23"/>
        </w:rPr>
        <w:t>and a monitoring plan</w:t>
      </w:r>
      <w:r w:rsidR="0056166F">
        <w:rPr>
          <w:sz w:val="23"/>
          <w:szCs w:val="23"/>
        </w:rPr>
        <w:t>, the</w:t>
      </w:r>
      <w:r w:rsidR="00E6250E">
        <w:rPr>
          <w:sz w:val="23"/>
          <w:szCs w:val="23"/>
        </w:rPr>
        <w:t xml:space="preserve"> STCs further indicate </w:t>
      </w:r>
      <w:r>
        <w:rPr>
          <w:sz w:val="23"/>
          <w:szCs w:val="23"/>
        </w:rPr>
        <w:t>that CMS will work with the state to jointly identify metrics for the</w:t>
      </w:r>
      <w:r w:rsidR="00560697">
        <w:rPr>
          <w:sz w:val="23"/>
          <w:szCs w:val="23"/>
        </w:rPr>
        <w:t xml:space="preserve"> monitoring </w:t>
      </w:r>
      <w:r>
        <w:rPr>
          <w:sz w:val="23"/>
          <w:szCs w:val="23"/>
        </w:rPr>
        <w:t>reports</w:t>
      </w:r>
      <w:r w:rsidR="00560697">
        <w:rPr>
          <w:sz w:val="23"/>
          <w:szCs w:val="23"/>
        </w:rPr>
        <w:t xml:space="preserve">, and that such </w:t>
      </w:r>
      <w:r w:rsidR="0056166F">
        <w:rPr>
          <w:sz w:val="23"/>
          <w:szCs w:val="23"/>
        </w:rPr>
        <w:t>metrics will</w:t>
      </w:r>
      <w:r>
        <w:rPr>
          <w:sz w:val="23"/>
          <w:szCs w:val="23"/>
        </w:rPr>
        <w:t xml:space="preserve"> reflect the major elements of the demonstration</w:t>
      </w:r>
      <w:r w:rsidR="00846F80">
        <w:rPr>
          <w:sz w:val="23"/>
          <w:szCs w:val="23"/>
        </w:rPr>
        <w:t xml:space="preserve">. </w:t>
      </w:r>
      <w:r w:rsidR="00E6250E">
        <w:rPr>
          <w:sz w:val="23"/>
          <w:szCs w:val="23"/>
        </w:rPr>
        <w:t xml:space="preserve">The STCs also require that </w:t>
      </w:r>
      <w:r w:rsidR="00560697">
        <w:rPr>
          <w:sz w:val="23"/>
          <w:szCs w:val="23"/>
        </w:rPr>
        <w:t xml:space="preserve">performance on these monitoring metrics and monitoring reports </w:t>
      </w:r>
      <w:r w:rsidR="00E6250E">
        <w:rPr>
          <w:sz w:val="23"/>
          <w:szCs w:val="23"/>
        </w:rPr>
        <w:t xml:space="preserve">be reported </w:t>
      </w:r>
      <w:r w:rsidR="00560697">
        <w:rPr>
          <w:sz w:val="23"/>
          <w:szCs w:val="23"/>
        </w:rPr>
        <w:t xml:space="preserve">quarterly and annually. </w:t>
      </w:r>
    </w:p>
    <w:p w14:paraId="2EC8B6BA" w14:textId="77777777" w:rsidR="00E6250E" w:rsidRDefault="00E6250E" w:rsidP="00003C46">
      <w:pPr>
        <w:pStyle w:val="Default"/>
      </w:pPr>
    </w:p>
    <w:p w14:paraId="38F96151" w14:textId="1C9BD10A" w:rsidR="00E6250E" w:rsidRDefault="00E6250E" w:rsidP="00E6250E">
      <w:pPr>
        <w:widowControl w:val="0"/>
        <w:kinsoku w:val="0"/>
        <w:overflowPunct w:val="0"/>
        <w:autoSpaceDE w:val="0"/>
        <w:autoSpaceDN w:val="0"/>
        <w:adjustRightInd w:val="0"/>
        <w:spacing w:after="0" w:line="240" w:lineRule="auto"/>
        <w:ind w:right="634"/>
        <w:rPr>
          <w:sz w:val="23"/>
          <w:szCs w:val="23"/>
        </w:rPr>
      </w:pPr>
      <w:r w:rsidRPr="002516FF">
        <w:rPr>
          <w:rFonts w:cs="Times New Roman"/>
          <w:szCs w:val="24"/>
        </w:rPr>
        <w:t xml:space="preserve">In accordance with </w:t>
      </w:r>
      <w:r>
        <w:rPr>
          <w:rFonts w:cs="Times New Roman"/>
          <w:szCs w:val="24"/>
        </w:rPr>
        <w:t xml:space="preserve">the regulations in </w:t>
      </w:r>
      <w:r>
        <w:rPr>
          <w:sz w:val="23"/>
          <w:szCs w:val="23"/>
        </w:rPr>
        <w:t xml:space="preserve">42 C.F.R. 431.420, CMS requires in the STCs for approved eligibility and coverage demonstrations that State reports provide sufficient information to document key challenges, underlying causes of those challenges, and strategies for addressing those challenges, as well as key achievements and the conditions and efforts that lead to those successes.  </w:t>
      </w:r>
    </w:p>
    <w:p w14:paraId="521730F9" w14:textId="77777777" w:rsidR="00E6250E" w:rsidRDefault="00E6250E" w:rsidP="00E6250E">
      <w:pPr>
        <w:widowControl w:val="0"/>
        <w:kinsoku w:val="0"/>
        <w:overflowPunct w:val="0"/>
        <w:autoSpaceDE w:val="0"/>
        <w:autoSpaceDN w:val="0"/>
        <w:adjustRightInd w:val="0"/>
        <w:spacing w:after="0" w:line="240" w:lineRule="auto"/>
        <w:ind w:right="634"/>
        <w:rPr>
          <w:sz w:val="23"/>
          <w:szCs w:val="23"/>
        </w:rPr>
      </w:pPr>
    </w:p>
    <w:p w14:paraId="6516DBC1" w14:textId="583D996E" w:rsidR="00E6250E" w:rsidRPr="00A772C0" w:rsidRDefault="00E6250E" w:rsidP="00E6250E">
      <w:pPr>
        <w:pStyle w:val="Default"/>
      </w:pPr>
      <w:r>
        <w:rPr>
          <w:sz w:val="23"/>
          <w:szCs w:val="23"/>
        </w:rPr>
        <w:t>In accordance with</w:t>
      </w:r>
      <w:r>
        <w:t xml:space="preserve"> </w:t>
      </w:r>
      <w:r w:rsidRPr="002516FF">
        <w:t>§ 431.428</w:t>
      </w:r>
      <w:r>
        <w:t xml:space="preserve">, the STCs for these approved demonstrations include that the State will submit information approved by CMS as part of the </w:t>
      </w:r>
      <w:r w:rsidRPr="002516FF">
        <w:t xml:space="preserve">monitoring framework </w:t>
      </w:r>
      <w:r>
        <w:t xml:space="preserve">in accordance with </w:t>
      </w:r>
      <w:r w:rsidRPr="002516FF">
        <w:t>change</w:t>
      </w:r>
      <w:r>
        <w:t>s in the CMS</w:t>
      </w:r>
      <w:r w:rsidRPr="002516FF">
        <w:t xml:space="preserve"> monitoring systems a</w:t>
      </w:r>
      <w:r>
        <w:t xml:space="preserve">s they </w:t>
      </w:r>
      <w:r w:rsidRPr="002516FF">
        <w:t>develop and evolve, and that states are required to report in a structured manner that supports federal tracking and analysis.</w:t>
      </w:r>
      <w:r>
        <w:t xml:space="preserve">  Also in accordance with </w:t>
      </w:r>
      <w:r w:rsidRPr="002516FF">
        <w:t>§ 431.428</w:t>
      </w:r>
      <w:r>
        <w:t>, the STCs provide the timelines for the submission of all post approval deliverables.</w:t>
      </w:r>
    </w:p>
    <w:p w14:paraId="25E9C4C6" w14:textId="169072A1" w:rsidR="00003C46" w:rsidRPr="002C3A2C" w:rsidRDefault="00003C46" w:rsidP="00344DDB">
      <w:pPr>
        <w:pStyle w:val="Default"/>
      </w:pPr>
    </w:p>
    <w:p w14:paraId="08D4C55E" w14:textId="57620EC0" w:rsidR="00E53D51" w:rsidRPr="00144638" w:rsidRDefault="00E6250E" w:rsidP="00E53D51">
      <w:pPr>
        <w:pStyle w:val="Default"/>
        <w:rPr>
          <w:rFonts w:eastAsiaTheme="minorHAnsi"/>
        </w:rPr>
      </w:pPr>
      <w:r>
        <w:t>T</w:t>
      </w:r>
      <w:r w:rsidR="00E53D51" w:rsidRPr="00144638">
        <w:t>o improve</w:t>
      </w:r>
      <w:r w:rsidR="002C3A2C" w:rsidRPr="00144638">
        <w:t xml:space="preserve"> the </w:t>
      </w:r>
      <w:r w:rsidR="00E53D51" w:rsidRPr="00144638">
        <w:t xml:space="preserve">quality and efficiency of the reporting requirements for </w:t>
      </w:r>
      <w:r w:rsidR="003444B4" w:rsidRPr="00435652">
        <w:rPr>
          <w:i/>
        </w:rPr>
        <w:t>Medicaid Section 1115 Eligibility and Coverage</w:t>
      </w:r>
      <w:r w:rsidR="00E53D51" w:rsidRPr="00144638">
        <w:t xml:space="preserve"> demonstrations, CMS in conjunction with state advisory groups </w:t>
      </w:r>
      <w:r w:rsidR="00E53D51" w:rsidRPr="00144638">
        <w:rPr>
          <w:rFonts w:eastAsiaTheme="minorHAnsi"/>
        </w:rPr>
        <w:t xml:space="preserve">developed </w:t>
      </w:r>
      <w:r w:rsidR="0090766C">
        <w:rPr>
          <w:rFonts w:eastAsiaTheme="minorHAnsi"/>
        </w:rPr>
        <w:t xml:space="preserve">an implementation plan and </w:t>
      </w:r>
      <w:r w:rsidR="00E53D51" w:rsidRPr="00144638">
        <w:rPr>
          <w:rFonts w:eastAsiaTheme="minorHAnsi"/>
        </w:rPr>
        <w:t>a set of standardized monitoring tools for states to use for their regular reporting, including:</w:t>
      </w:r>
    </w:p>
    <w:p w14:paraId="5AEBB356" w14:textId="77777777" w:rsidR="0090766C" w:rsidRPr="0090766C" w:rsidRDefault="0090766C" w:rsidP="0090766C">
      <w:pPr>
        <w:autoSpaceDE w:val="0"/>
        <w:autoSpaceDN w:val="0"/>
        <w:adjustRightInd w:val="0"/>
        <w:spacing w:after="0" w:line="240" w:lineRule="auto"/>
        <w:rPr>
          <w:rFonts w:cs="Times New Roman"/>
          <w:color w:val="000000"/>
          <w:szCs w:val="24"/>
        </w:rPr>
      </w:pPr>
    </w:p>
    <w:p w14:paraId="777A80EC" w14:textId="74D54BA1" w:rsidR="003D14A3" w:rsidRPr="0090766C" w:rsidRDefault="0090766C" w:rsidP="0090766C">
      <w:pPr>
        <w:pStyle w:val="Default"/>
        <w:numPr>
          <w:ilvl w:val="0"/>
          <w:numId w:val="42"/>
        </w:numPr>
        <w:rPr>
          <w:rFonts w:eastAsiaTheme="minorHAnsi"/>
        </w:rPr>
      </w:pPr>
      <w:r w:rsidRPr="0090766C">
        <w:rPr>
          <w:rFonts w:eastAsiaTheme="minorHAnsi"/>
        </w:rPr>
        <w:t xml:space="preserve">The Medicaid Section 1115 Eligibility and Coverage Demonstration </w:t>
      </w:r>
      <w:r w:rsidR="003D14A3" w:rsidRPr="0090766C">
        <w:rPr>
          <w:rFonts w:eastAsiaTheme="minorHAnsi"/>
        </w:rPr>
        <w:t>Implementation Plan (this is one-time submission);</w:t>
      </w:r>
    </w:p>
    <w:p w14:paraId="5C09D971" w14:textId="62207FD1" w:rsidR="00733737" w:rsidRPr="0090766C" w:rsidRDefault="00733737" w:rsidP="00733737">
      <w:pPr>
        <w:pStyle w:val="Default"/>
        <w:numPr>
          <w:ilvl w:val="0"/>
          <w:numId w:val="42"/>
        </w:numPr>
        <w:rPr>
          <w:rFonts w:eastAsiaTheme="minorHAnsi"/>
        </w:rPr>
      </w:pPr>
      <w:r w:rsidRPr="0090766C">
        <w:rPr>
          <w:rFonts w:eastAsiaTheme="minorHAnsi"/>
        </w:rPr>
        <w:t xml:space="preserve">The </w:t>
      </w:r>
      <w:r w:rsidR="0090766C" w:rsidRPr="0090766C">
        <w:rPr>
          <w:rFonts w:eastAsiaTheme="minorHAnsi"/>
        </w:rPr>
        <w:t xml:space="preserve">Medicaid Section 1115 Eligibility and Coverage Demonstration </w:t>
      </w:r>
      <w:r w:rsidRPr="0090766C">
        <w:rPr>
          <w:rFonts w:eastAsiaTheme="minorHAnsi"/>
        </w:rPr>
        <w:t>monitoring protocol (this is one-time submission);</w:t>
      </w:r>
    </w:p>
    <w:p w14:paraId="778A6E01" w14:textId="5695FC11" w:rsidR="00E53D51" w:rsidRPr="0090766C" w:rsidRDefault="00C866C4" w:rsidP="00E53D51">
      <w:pPr>
        <w:pStyle w:val="Default"/>
        <w:numPr>
          <w:ilvl w:val="0"/>
          <w:numId w:val="42"/>
        </w:numPr>
        <w:rPr>
          <w:rFonts w:eastAsiaTheme="minorHAnsi"/>
        </w:rPr>
      </w:pPr>
      <w:r w:rsidRPr="0090766C">
        <w:t>Th</w:t>
      </w:r>
      <w:r w:rsidR="001411B6" w:rsidRPr="0090766C">
        <w:t xml:space="preserve">e </w:t>
      </w:r>
      <w:r w:rsidR="0090766C" w:rsidRPr="0090766C">
        <w:rPr>
          <w:rFonts w:eastAsiaTheme="minorHAnsi"/>
        </w:rPr>
        <w:t xml:space="preserve">Medicaid Section 1115 Eligibility and Coverage Demonstration </w:t>
      </w:r>
      <w:r w:rsidR="00E53D51" w:rsidRPr="0090766C">
        <w:rPr>
          <w:rFonts w:eastAsiaTheme="minorHAnsi"/>
        </w:rPr>
        <w:t xml:space="preserve">monitoring report template, and; </w:t>
      </w:r>
    </w:p>
    <w:p w14:paraId="14AB0CD5" w14:textId="7613988A" w:rsidR="00E53D51" w:rsidRPr="0090766C" w:rsidRDefault="00E53D51" w:rsidP="00E53D51">
      <w:pPr>
        <w:pStyle w:val="Default"/>
        <w:numPr>
          <w:ilvl w:val="0"/>
          <w:numId w:val="42"/>
        </w:numPr>
        <w:rPr>
          <w:rFonts w:eastAsiaTheme="minorHAnsi"/>
        </w:rPr>
      </w:pPr>
      <w:r w:rsidRPr="0090766C">
        <w:rPr>
          <w:rFonts w:eastAsiaTheme="minorHAnsi"/>
        </w:rPr>
        <w:t xml:space="preserve">The </w:t>
      </w:r>
      <w:r w:rsidR="0090766C" w:rsidRPr="0090766C">
        <w:rPr>
          <w:rFonts w:eastAsiaTheme="minorHAnsi"/>
        </w:rPr>
        <w:t xml:space="preserve">Medicaid Section 1115 Eligibility and Coverage Demonstration </w:t>
      </w:r>
      <w:r w:rsidRPr="0090766C">
        <w:rPr>
          <w:rFonts w:eastAsiaTheme="minorHAnsi"/>
        </w:rPr>
        <w:t>metrics template workbook</w:t>
      </w:r>
      <w:r w:rsidR="00A27F7B" w:rsidRPr="0090766C">
        <w:rPr>
          <w:rFonts w:eastAsiaTheme="minorHAnsi"/>
        </w:rPr>
        <w:t>/metrics</w:t>
      </w:r>
      <w:r w:rsidRPr="0090766C">
        <w:t>.</w:t>
      </w:r>
    </w:p>
    <w:p w14:paraId="507FECF4" w14:textId="058A42F7" w:rsidR="000036F5" w:rsidRDefault="000036F5" w:rsidP="000C2A0D">
      <w:pPr>
        <w:widowControl w:val="0"/>
        <w:kinsoku w:val="0"/>
        <w:overflowPunct w:val="0"/>
        <w:autoSpaceDE w:val="0"/>
        <w:autoSpaceDN w:val="0"/>
        <w:adjustRightInd w:val="0"/>
        <w:spacing w:after="0" w:line="240" w:lineRule="auto"/>
        <w:ind w:right="634"/>
      </w:pPr>
    </w:p>
    <w:p w14:paraId="295A26E9" w14:textId="6283A1A4" w:rsidR="00BC40CE" w:rsidRPr="002516FF" w:rsidRDefault="00B53C9E" w:rsidP="00BC40CE">
      <w:pPr>
        <w:widowControl w:val="0"/>
        <w:kinsoku w:val="0"/>
        <w:overflowPunct w:val="0"/>
        <w:autoSpaceDE w:val="0"/>
        <w:autoSpaceDN w:val="0"/>
        <w:adjustRightInd w:val="0"/>
        <w:spacing w:after="0" w:line="240" w:lineRule="auto"/>
        <w:ind w:right="348"/>
      </w:pPr>
      <w:r>
        <w:t xml:space="preserve">Including </w:t>
      </w:r>
      <w:r w:rsidR="0056166F">
        <w:t xml:space="preserve">that </w:t>
      </w:r>
      <w:r w:rsidR="0056166F" w:rsidRPr="002516FF">
        <w:t>approved</w:t>
      </w:r>
      <w:r w:rsidR="00E07860" w:rsidRPr="002516FF">
        <w:t xml:space="preserve"> </w:t>
      </w:r>
      <w:r w:rsidR="00BC40CE" w:rsidRPr="002516FF">
        <w:t xml:space="preserve">states </w:t>
      </w:r>
      <w:r>
        <w:t>will</w:t>
      </w:r>
      <w:r w:rsidR="00BC40CE" w:rsidRPr="002516FF">
        <w:t xml:space="preserve"> submit three </w:t>
      </w:r>
      <w:r w:rsidR="00E07860" w:rsidRPr="002516FF">
        <w:t>q</w:t>
      </w:r>
      <w:r w:rsidR="00BC40CE" w:rsidRPr="002516FF">
        <w:t xml:space="preserve">uarterly </w:t>
      </w:r>
      <w:r w:rsidR="00E07860" w:rsidRPr="002516FF">
        <w:t>and one annual m</w:t>
      </w:r>
      <w:r w:rsidR="00BC40CE" w:rsidRPr="002516FF">
        <w:t xml:space="preserve">onitoring </w:t>
      </w:r>
      <w:r w:rsidR="00E07860" w:rsidRPr="002516FF">
        <w:t>r</w:t>
      </w:r>
      <w:r w:rsidR="00BC40CE" w:rsidRPr="002516FF">
        <w:t>eports</w:t>
      </w:r>
      <w:r w:rsidR="006672EF">
        <w:t xml:space="preserve">.  </w:t>
      </w:r>
      <w:r w:rsidR="00E07860" w:rsidRPr="002516FF">
        <w:t xml:space="preserve"> </w:t>
      </w:r>
      <w:r w:rsidR="00BC40CE" w:rsidRPr="002516FF">
        <w:t xml:space="preserve"> </w:t>
      </w:r>
    </w:p>
    <w:p w14:paraId="02938DFE" w14:textId="77777777" w:rsidR="00DB54AB" w:rsidRPr="002516FF" w:rsidRDefault="00DB54AB" w:rsidP="00BC40CE">
      <w:pPr>
        <w:widowControl w:val="0"/>
        <w:kinsoku w:val="0"/>
        <w:overflowPunct w:val="0"/>
        <w:autoSpaceDE w:val="0"/>
        <w:autoSpaceDN w:val="0"/>
        <w:adjustRightInd w:val="0"/>
        <w:spacing w:after="0" w:line="240" w:lineRule="auto"/>
        <w:ind w:right="348"/>
      </w:pPr>
    </w:p>
    <w:p w14:paraId="7A78A9C3" w14:textId="235595ED" w:rsidR="002C3A2C" w:rsidRDefault="00E6250E" w:rsidP="00E016CC">
      <w:pPr>
        <w:widowControl w:val="0"/>
        <w:kinsoku w:val="0"/>
        <w:overflowPunct w:val="0"/>
        <w:autoSpaceDE w:val="0"/>
        <w:autoSpaceDN w:val="0"/>
        <w:adjustRightInd w:val="0"/>
        <w:spacing w:after="0" w:line="240" w:lineRule="auto"/>
        <w:ind w:right="634"/>
        <w:rPr>
          <w:rFonts w:cs="Times New Roman"/>
          <w:color w:val="000000"/>
          <w:sz w:val="23"/>
          <w:szCs w:val="23"/>
        </w:rPr>
      </w:pPr>
      <w:r>
        <w:t>In summary, w</w:t>
      </w:r>
      <w:r w:rsidR="002B3F1C">
        <w:t xml:space="preserve">hile </w:t>
      </w:r>
      <w:r w:rsidR="00E41E72">
        <w:t>similar</w:t>
      </w:r>
      <w:r w:rsidR="000036F5">
        <w:t xml:space="preserve"> </w:t>
      </w:r>
      <w:r w:rsidR="002C3A2C" w:rsidRPr="002C3A2C">
        <w:t>template</w:t>
      </w:r>
      <w:r w:rsidR="000036F5">
        <w:t xml:space="preserve">s for other </w:t>
      </w:r>
      <w:r w:rsidR="00733737">
        <w:t xml:space="preserve">types of </w:t>
      </w:r>
      <w:r w:rsidR="000036F5">
        <w:t xml:space="preserve">1115 demonstrations </w:t>
      </w:r>
      <w:r w:rsidR="00733737">
        <w:t>have been</w:t>
      </w:r>
      <w:r w:rsidR="002C3A2C" w:rsidRPr="002C3A2C">
        <w:t xml:space="preserve"> approved under </w:t>
      </w:r>
      <w:r w:rsidR="000036F5">
        <w:t>other</w:t>
      </w:r>
      <w:r w:rsidR="002C3A2C" w:rsidRPr="002C3A2C">
        <w:t xml:space="preserve"> generic package</w:t>
      </w:r>
      <w:r w:rsidR="000036F5">
        <w:t>s</w:t>
      </w:r>
      <w:r w:rsidR="002B3F1C">
        <w:t xml:space="preserve">, </w:t>
      </w:r>
      <w:r w:rsidR="0011549A">
        <w:t>such as</w:t>
      </w:r>
      <w:r w:rsidR="000036F5">
        <w:t xml:space="preserve"> the </w:t>
      </w:r>
      <w:r w:rsidR="002B3F1C">
        <w:t xml:space="preserve">SUD Gen IC </w:t>
      </w:r>
      <w:r w:rsidR="002C3A2C" w:rsidRPr="002C3A2C">
        <w:t xml:space="preserve">(specifically, </w:t>
      </w:r>
      <w:r w:rsidR="002C3A2C" w:rsidRPr="00E016CC">
        <w:t>CMS-10398 #53</w:t>
      </w:r>
      <w:r w:rsidR="002B3F1C">
        <w:t>)</w:t>
      </w:r>
      <w:r w:rsidR="000036F5">
        <w:t xml:space="preserve">, </w:t>
      </w:r>
      <w:r w:rsidR="002C3A2C" w:rsidRPr="00E016CC">
        <w:t xml:space="preserve">this </w:t>
      </w:r>
      <w:r w:rsidR="000036F5">
        <w:t xml:space="preserve">July </w:t>
      </w:r>
      <w:r w:rsidR="002C3A2C" w:rsidRPr="002C3A2C">
        <w:t xml:space="preserve">2019 </w:t>
      </w:r>
      <w:r>
        <w:t xml:space="preserve">package </w:t>
      </w:r>
      <w:r w:rsidR="00E41E72">
        <w:t>is for</w:t>
      </w:r>
      <w:r w:rsidR="002C3A2C" w:rsidRPr="00E016CC">
        <w:t xml:space="preserve"> </w:t>
      </w:r>
      <w:r w:rsidR="002C3A2C" w:rsidRPr="002C3A2C">
        <w:rPr>
          <w:rFonts w:cs="Times New Roman"/>
          <w:color w:val="000000"/>
          <w:sz w:val="23"/>
          <w:szCs w:val="23"/>
        </w:rPr>
        <w:t>the following</w:t>
      </w:r>
      <w:r>
        <w:rPr>
          <w:rFonts w:cs="Times New Roman"/>
          <w:color w:val="000000"/>
          <w:sz w:val="23"/>
          <w:szCs w:val="23"/>
        </w:rPr>
        <w:t xml:space="preserve"> templates and metrics</w:t>
      </w:r>
      <w:r w:rsidR="002C3A2C" w:rsidRPr="002C3A2C">
        <w:rPr>
          <w:rFonts w:cs="Times New Roman"/>
          <w:color w:val="000000"/>
          <w:sz w:val="23"/>
          <w:szCs w:val="23"/>
        </w:rPr>
        <w:t>:</w:t>
      </w:r>
    </w:p>
    <w:p w14:paraId="1A4CEFE3" w14:textId="77777777" w:rsidR="00BD1124" w:rsidRPr="002B3F1C" w:rsidRDefault="00BD1124" w:rsidP="00E016CC">
      <w:pPr>
        <w:widowControl w:val="0"/>
        <w:kinsoku w:val="0"/>
        <w:overflowPunct w:val="0"/>
        <w:autoSpaceDE w:val="0"/>
        <w:autoSpaceDN w:val="0"/>
        <w:adjustRightInd w:val="0"/>
        <w:spacing w:after="0" w:line="240" w:lineRule="auto"/>
        <w:ind w:right="634"/>
      </w:pPr>
    </w:p>
    <w:p w14:paraId="6901BCF1" w14:textId="77777777" w:rsidR="0090766C" w:rsidRPr="0090766C" w:rsidRDefault="0090766C" w:rsidP="0090766C">
      <w:pPr>
        <w:pStyle w:val="Default"/>
        <w:numPr>
          <w:ilvl w:val="0"/>
          <w:numId w:val="42"/>
        </w:numPr>
        <w:rPr>
          <w:rFonts w:eastAsiaTheme="minorHAnsi"/>
        </w:rPr>
      </w:pPr>
      <w:r w:rsidRPr="0090766C">
        <w:rPr>
          <w:rFonts w:eastAsiaTheme="minorHAnsi"/>
        </w:rPr>
        <w:t>The Medicaid Section 1115 Eligibility and Coverage Demonstration Implementation Plan (this is one-time submission);</w:t>
      </w:r>
    </w:p>
    <w:p w14:paraId="02BA657C" w14:textId="77777777" w:rsidR="0090766C" w:rsidRPr="0090766C" w:rsidRDefault="0090766C" w:rsidP="0090766C">
      <w:pPr>
        <w:pStyle w:val="Default"/>
        <w:numPr>
          <w:ilvl w:val="0"/>
          <w:numId w:val="42"/>
        </w:numPr>
        <w:rPr>
          <w:rFonts w:eastAsiaTheme="minorHAnsi"/>
        </w:rPr>
      </w:pPr>
      <w:r w:rsidRPr="0090766C">
        <w:rPr>
          <w:rFonts w:eastAsiaTheme="minorHAnsi"/>
        </w:rPr>
        <w:t>The Medicaid Section 1115 Eligibility and Coverage Demonstration monitoring protocol (this is one-time submission);</w:t>
      </w:r>
    </w:p>
    <w:p w14:paraId="43D40A28" w14:textId="77777777" w:rsidR="0090766C" w:rsidRPr="0090766C" w:rsidRDefault="0090766C" w:rsidP="0090766C">
      <w:pPr>
        <w:pStyle w:val="Default"/>
        <w:numPr>
          <w:ilvl w:val="0"/>
          <w:numId w:val="42"/>
        </w:numPr>
        <w:rPr>
          <w:rFonts w:eastAsiaTheme="minorHAnsi"/>
        </w:rPr>
      </w:pPr>
      <w:r w:rsidRPr="0090766C">
        <w:t xml:space="preserve">The </w:t>
      </w:r>
      <w:r w:rsidRPr="0090766C">
        <w:rPr>
          <w:rFonts w:eastAsiaTheme="minorHAnsi"/>
        </w:rPr>
        <w:t xml:space="preserve">Medicaid Section 1115 Eligibility and Coverage Demonstration monitoring report template, and; </w:t>
      </w:r>
    </w:p>
    <w:p w14:paraId="38967EA5" w14:textId="77777777" w:rsidR="0090766C" w:rsidRPr="0090766C" w:rsidRDefault="0090766C" w:rsidP="0090766C">
      <w:pPr>
        <w:pStyle w:val="Default"/>
        <w:numPr>
          <w:ilvl w:val="0"/>
          <w:numId w:val="42"/>
        </w:numPr>
        <w:rPr>
          <w:rFonts w:eastAsiaTheme="minorHAnsi"/>
        </w:rPr>
      </w:pPr>
      <w:r w:rsidRPr="0090766C">
        <w:rPr>
          <w:rFonts w:eastAsiaTheme="minorHAnsi"/>
        </w:rPr>
        <w:t>The Medicaid Section 1115 Eligibility and Coverage Demonstration metrics template workbook/metrics</w:t>
      </w:r>
      <w:r w:rsidRPr="0090766C">
        <w:t>.</w:t>
      </w:r>
    </w:p>
    <w:p w14:paraId="091B8B28" w14:textId="77777777" w:rsidR="002C3A2C" w:rsidRPr="002C3A2C" w:rsidRDefault="002C3A2C" w:rsidP="002C3A2C">
      <w:pPr>
        <w:pStyle w:val="Default"/>
        <w:ind w:left="720"/>
        <w:rPr>
          <w:rFonts w:eastAsiaTheme="minorHAnsi"/>
        </w:rPr>
      </w:pPr>
    </w:p>
    <w:p w14:paraId="79F1F130" w14:textId="6373064A" w:rsidR="002C3A2C" w:rsidRPr="00DC3020" w:rsidRDefault="002C3A2C" w:rsidP="002C3A2C">
      <w:pPr>
        <w:widowControl w:val="0"/>
        <w:kinsoku w:val="0"/>
        <w:overflowPunct w:val="0"/>
        <w:autoSpaceDE w:val="0"/>
        <w:autoSpaceDN w:val="0"/>
        <w:adjustRightInd w:val="0"/>
        <w:spacing w:after="0" w:line="240" w:lineRule="auto"/>
        <w:ind w:right="634"/>
      </w:pPr>
      <w:r w:rsidRPr="00DC3020">
        <w:t>The</w:t>
      </w:r>
      <w:r w:rsidR="00E6250E">
        <w:t xml:space="preserve">se templates and metrics </w:t>
      </w:r>
      <w:r w:rsidRPr="00DC3020">
        <w:t xml:space="preserve">are also consistent with the requirements of the STCs to which approved states have agreed. </w:t>
      </w:r>
      <w:r w:rsidRPr="00DC3020">
        <w:rPr>
          <w:rFonts w:cs="Times New Roman"/>
          <w:color w:val="000000"/>
          <w:sz w:val="23"/>
          <w:szCs w:val="23"/>
        </w:rPr>
        <w:t xml:space="preserve">In addition, CMS convened a State Advisory Group to review and provide comments on these templates, their content and the metrics, and CMS made adjustments in consideration of those comments.  </w:t>
      </w:r>
    </w:p>
    <w:p w14:paraId="51BEAEE7" w14:textId="77777777" w:rsidR="002C3A2C" w:rsidRPr="00DC3020" w:rsidRDefault="002C3A2C" w:rsidP="002C3A2C">
      <w:pPr>
        <w:widowControl w:val="0"/>
        <w:kinsoku w:val="0"/>
        <w:overflowPunct w:val="0"/>
        <w:autoSpaceDE w:val="0"/>
        <w:autoSpaceDN w:val="0"/>
        <w:adjustRightInd w:val="0"/>
        <w:spacing w:after="0" w:line="240" w:lineRule="auto"/>
        <w:ind w:right="634"/>
        <w:rPr>
          <w:rFonts w:cs="Times New Roman"/>
          <w:color w:val="000000"/>
          <w:sz w:val="23"/>
          <w:szCs w:val="23"/>
        </w:rPr>
      </w:pPr>
    </w:p>
    <w:p w14:paraId="3E8A5A70" w14:textId="3BD72D9E" w:rsidR="002C3A2C" w:rsidRDefault="002C3A2C" w:rsidP="002B3F1C">
      <w:pPr>
        <w:widowControl w:val="0"/>
        <w:kinsoku w:val="0"/>
        <w:overflowPunct w:val="0"/>
        <w:autoSpaceDE w:val="0"/>
        <w:autoSpaceDN w:val="0"/>
        <w:adjustRightInd w:val="0"/>
        <w:spacing w:after="0" w:line="240" w:lineRule="auto"/>
        <w:ind w:right="634"/>
      </w:pPr>
      <w:r w:rsidRPr="00223FCC">
        <w:rPr>
          <w:sz w:val="23"/>
        </w:rPr>
        <w:t>CMS believes that these documents are noncontroversial and</w:t>
      </w:r>
      <w:r w:rsidRPr="00E016CC">
        <w:rPr>
          <w:sz w:val="23"/>
        </w:rPr>
        <w:t xml:space="preserve"> </w:t>
      </w:r>
      <w:r w:rsidRPr="00DC3020">
        <w:t xml:space="preserve">does not anticipate any adverse reaction from interested parties.  </w:t>
      </w:r>
    </w:p>
    <w:p w14:paraId="355EE819" w14:textId="77777777" w:rsidR="00C3485F" w:rsidRDefault="00C3485F" w:rsidP="00631F0F">
      <w:pPr>
        <w:autoSpaceDE w:val="0"/>
        <w:autoSpaceDN w:val="0"/>
        <w:adjustRightInd w:val="0"/>
        <w:spacing w:after="0" w:line="240" w:lineRule="auto"/>
        <w:rPr>
          <w:rFonts w:cs="Times New Roman"/>
          <w:color w:val="000000"/>
          <w:sz w:val="23"/>
          <w:szCs w:val="23"/>
          <w:highlight w:val="yellow"/>
        </w:rPr>
      </w:pPr>
    </w:p>
    <w:p w14:paraId="5DD8A6AF" w14:textId="77777777" w:rsidR="005556AE" w:rsidRDefault="005556AE" w:rsidP="0082047B">
      <w:pPr>
        <w:pStyle w:val="Heading1"/>
        <w:numPr>
          <w:ilvl w:val="0"/>
          <w:numId w:val="28"/>
        </w:numPr>
      </w:pPr>
      <w:r w:rsidRPr="008111D2">
        <w:t>Description of Information Collection</w:t>
      </w:r>
    </w:p>
    <w:p w14:paraId="5B7F6263" w14:textId="77777777" w:rsidR="0082047B" w:rsidRDefault="0082047B" w:rsidP="0082047B">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p>
    <w:p w14:paraId="0C98BB10" w14:textId="0340E1DF" w:rsidR="00864B8A" w:rsidRPr="00864B8A" w:rsidRDefault="0082047B" w:rsidP="00864B8A">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r w:rsidRPr="0031732B">
        <w:rPr>
          <w:rFonts w:ascii="Times New Roman" w:hAnsi="Times New Roman"/>
          <w:sz w:val="24"/>
          <w:szCs w:val="24"/>
        </w:rPr>
        <w:t xml:space="preserve">Respondents </w:t>
      </w:r>
      <w:r>
        <w:rPr>
          <w:rFonts w:ascii="Times New Roman" w:hAnsi="Times New Roman"/>
          <w:sz w:val="24"/>
          <w:szCs w:val="24"/>
        </w:rPr>
        <w:t>(</w:t>
      </w:r>
      <w:r w:rsidRPr="00584BB1">
        <w:rPr>
          <w:rFonts w:ascii="Times New Roman" w:hAnsi="Times New Roman"/>
          <w:sz w:val="24"/>
          <w:szCs w:val="24"/>
        </w:rPr>
        <w:t>State Medicaid Agencies</w:t>
      </w:r>
      <w:r>
        <w:rPr>
          <w:rFonts w:ascii="Times New Roman" w:hAnsi="Times New Roman"/>
          <w:sz w:val="24"/>
          <w:szCs w:val="24"/>
        </w:rPr>
        <w:t xml:space="preserve">) </w:t>
      </w:r>
      <w:r w:rsidRPr="0031732B">
        <w:rPr>
          <w:rFonts w:ascii="Times New Roman" w:hAnsi="Times New Roman"/>
          <w:sz w:val="24"/>
          <w:szCs w:val="24"/>
        </w:rPr>
        <w:t>will manually populate the necessary data</w:t>
      </w:r>
      <w:r w:rsidRPr="0031732B">
        <w:rPr>
          <w:rFonts w:ascii="Times New Roman" w:hAnsi="Times New Roman"/>
          <w:spacing w:val="32"/>
          <w:sz w:val="24"/>
          <w:szCs w:val="24"/>
        </w:rPr>
        <w:t xml:space="preserve"> </w:t>
      </w:r>
      <w:r w:rsidRPr="0031732B">
        <w:rPr>
          <w:rFonts w:ascii="Times New Roman" w:hAnsi="Times New Roman"/>
          <w:sz w:val="24"/>
          <w:szCs w:val="24"/>
        </w:rPr>
        <w:t>fields</w:t>
      </w:r>
      <w:r>
        <w:rPr>
          <w:rFonts w:ascii="Times New Roman" w:hAnsi="Times New Roman"/>
          <w:sz w:val="24"/>
          <w:szCs w:val="24"/>
        </w:rPr>
        <w:t xml:space="preserve"> in the templates and </w:t>
      </w:r>
      <w:r w:rsidRPr="00584BB1">
        <w:rPr>
          <w:rFonts w:ascii="Times New Roman" w:hAnsi="Times New Roman"/>
          <w:sz w:val="24"/>
          <w:szCs w:val="24"/>
        </w:rPr>
        <w:t>submit to CMS project officer</w:t>
      </w:r>
      <w:r>
        <w:rPr>
          <w:rFonts w:ascii="Times New Roman" w:hAnsi="Times New Roman"/>
          <w:sz w:val="24"/>
          <w:szCs w:val="24"/>
        </w:rPr>
        <w:t xml:space="preserve"> and monitoring lead</w:t>
      </w:r>
      <w:r w:rsidRPr="00584BB1">
        <w:rPr>
          <w:rFonts w:ascii="Times New Roman" w:hAnsi="Times New Roman"/>
          <w:sz w:val="24"/>
          <w:szCs w:val="24"/>
        </w:rPr>
        <w:t xml:space="preserve"> electronically</w:t>
      </w:r>
      <w:r>
        <w:rPr>
          <w:rFonts w:ascii="Times New Roman" w:hAnsi="Times New Roman"/>
          <w:sz w:val="24"/>
          <w:szCs w:val="24"/>
        </w:rPr>
        <w:t xml:space="preserve"> via the Performance Metrics Database &amp; Analytics (PMDA).  </w:t>
      </w:r>
      <w:r w:rsidR="00864B8A" w:rsidRPr="00694307">
        <w:rPr>
          <w:rFonts w:ascii="Times New Roman" w:hAnsi="Times New Roman"/>
          <w:sz w:val="24"/>
          <w:szCs w:val="24"/>
        </w:rPr>
        <w:t xml:space="preserve">By incorporating these </w:t>
      </w:r>
      <w:r w:rsidR="003444B4" w:rsidRPr="003444B4">
        <w:rPr>
          <w:rFonts w:ascii="Times New Roman" w:hAnsi="Times New Roman"/>
          <w:color w:val="000000"/>
          <w:sz w:val="24"/>
          <w:szCs w:val="24"/>
        </w:rPr>
        <w:t>Medicaid Section 1115 Eligibility and Coverage</w:t>
      </w:r>
      <w:r w:rsidR="00864B8A" w:rsidRPr="00694307">
        <w:rPr>
          <w:rFonts w:ascii="Times New Roman" w:hAnsi="Times New Roman"/>
          <w:sz w:val="24"/>
          <w:szCs w:val="24"/>
        </w:rPr>
        <w:t xml:space="preserve"> demonstration-monitoring documents into the Medicaid 1115 PMDA workflow, submissions are parsed and validated, notifying the state of any upfront potential problems with their </w:t>
      </w:r>
      <w:r w:rsidR="00864B8A" w:rsidRPr="00864B8A">
        <w:rPr>
          <w:rFonts w:ascii="Times New Roman" w:hAnsi="Times New Roman"/>
          <w:sz w:val="24"/>
          <w:szCs w:val="24"/>
        </w:rPr>
        <w:t xml:space="preserve">submissions, reducing downstream communication, and subsequent needs for clarification or modifications to the templates and metrics. </w:t>
      </w:r>
    </w:p>
    <w:p w14:paraId="293EA941" w14:textId="68BEF700" w:rsidR="00443F76" w:rsidRDefault="00443F76" w:rsidP="00443F76">
      <w:pPr>
        <w:spacing w:after="0" w:line="240" w:lineRule="auto"/>
        <w:contextualSpacing/>
      </w:pPr>
    </w:p>
    <w:p w14:paraId="63EFE346" w14:textId="77777777" w:rsidR="003D374C" w:rsidRDefault="00443F76" w:rsidP="00443F76">
      <w:pPr>
        <w:spacing w:after="0" w:line="240" w:lineRule="auto"/>
        <w:contextualSpacing/>
      </w:pPr>
      <w:r w:rsidRPr="007D39FD">
        <w:t>Per each demonstration’s STC</w:t>
      </w:r>
      <w:r w:rsidR="006D7353" w:rsidRPr="007D39FD">
        <w:t>s</w:t>
      </w:r>
      <w:r w:rsidRPr="007D39FD">
        <w:t>, states are required to submit to CMS quarterly monitoring reports within 60-days of the end of each quarter, as well as an annual report within 90-days of a demonstration year’s completion</w:t>
      </w:r>
      <w:r>
        <w:t xml:space="preserve">. </w:t>
      </w:r>
      <w:r w:rsidRPr="00FE4F27">
        <w:t xml:space="preserve"> </w:t>
      </w:r>
    </w:p>
    <w:p w14:paraId="04EEEB45" w14:textId="77777777" w:rsidR="005A72FC" w:rsidRDefault="005A72FC" w:rsidP="00443F76">
      <w:pPr>
        <w:spacing w:after="0" w:line="240" w:lineRule="auto"/>
        <w:contextualSpacing/>
      </w:pPr>
    </w:p>
    <w:p w14:paraId="5CC46CB0" w14:textId="4EC51F52" w:rsidR="005A72FC" w:rsidRDefault="005A72FC" w:rsidP="005A72FC">
      <w:pPr>
        <w:spacing w:after="0" w:line="240" w:lineRule="auto"/>
        <w:rPr>
          <w:szCs w:val="24"/>
        </w:rPr>
      </w:pPr>
      <w:r>
        <w:rPr>
          <w:szCs w:val="24"/>
        </w:rPr>
        <w:t xml:space="preserve">Currently, there are inconsistencies in the manner in which states submit their required monitoring reports, in significant part due to minimal standardization of the collection instrument.  This causes time- consuming reviews and does not support </w:t>
      </w:r>
      <w:r w:rsidR="00EE5F43">
        <w:rPr>
          <w:szCs w:val="24"/>
        </w:rPr>
        <w:t xml:space="preserve">efficient or robust </w:t>
      </w:r>
      <w:r>
        <w:rPr>
          <w:szCs w:val="24"/>
        </w:rPr>
        <w:t xml:space="preserve">monitoring and assessment across the 1115 demonstration portfolio.   </w:t>
      </w:r>
    </w:p>
    <w:p w14:paraId="768A85BC" w14:textId="77777777" w:rsidR="005A72FC" w:rsidRDefault="005A72FC" w:rsidP="005A72FC">
      <w:pPr>
        <w:spacing w:after="0" w:line="240" w:lineRule="auto"/>
        <w:rPr>
          <w:szCs w:val="24"/>
        </w:rPr>
      </w:pPr>
    </w:p>
    <w:p w14:paraId="3B39696B" w14:textId="60D056AA" w:rsidR="005A72FC" w:rsidRDefault="005A72FC" w:rsidP="005A72FC">
      <w:pPr>
        <w:spacing w:after="0" w:line="240" w:lineRule="auto"/>
        <w:rPr>
          <w:rFonts w:cs="Times New Roman"/>
          <w:szCs w:val="24"/>
        </w:rPr>
      </w:pPr>
      <w:r>
        <w:rPr>
          <w:szCs w:val="24"/>
        </w:rPr>
        <w:t xml:space="preserve">To support more efficient, timely and accurate review of states’ </w:t>
      </w:r>
      <w:r w:rsidR="00EE7851" w:rsidRPr="00EE7851">
        <w:rPr>
          <w:rFonts w:cs="Times New Roman"/>
          <w:color w:val="000000"/>
          <w:szCs w:val="24"/>
        </w:rPr>
        <w:t>Medicaid Section 1115 Eligibility and Coverage</w:t>
      </w:r>
      <w:r w:rsidR="00EE7851">
        <w:t xml:space="preserve"> </w:t>
      </w:r>
      <w:r>
        <w:rPr>
          <w:szCs w:val="24"/>
        </w:rPr>
        <w:t xml:space="preserve">demonstrations monitoring reports submissions, CMS has </w:t>
      </w:r>
      <w:r>
        <w:rPr>
          <w:rFonts w:cs="Times New Roman"/>
          <w:szCs w:val="24"/>
        </w:rPr>
        <w:t>standardized the reporting methodology and together with automation of the reporting submission will support</w:t>
      </w:r>
      <w:r w:rsidRPr="007D67B8">
        <w:rPr>
          <w:rFonts w:cs="Times New Roman"/>
          <w:szCs w:val="24"/>
        </w:rPr>
        <w:t xml:space="preserve">: </w:t>
      </w:r>
    </w:p>
    <w:p w14:paraId="248E0BE8" w14:textId="77777777" w:rsidR="005A72FC" w:rsidRPr="007D67B8" w:rsidRDefault="005A72FC" w:rsidP="005A72FC">
      <w:pPr>
        <w:spacing w:after="0" w:line="240" w:lineRule="auto"/>
        <w:rPr>
          <w:rFonts w:cs="Times New Roman"/>
          <w:szCs w:val="24"/>
        </w:rPr>
      </w:pPr>
    </w:p>
    <w:p w14:paraId="51004F4C" w14:textId="739B13F7" w:rsidR="00EE5F43" w:rsidRDefault="00EE5F43" w:rsidP="005A72FC">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 xml:space="preserve">Insight into an approved State’s approach to implementation of the </w:t>
      </w:r>
      <w:r w:rsidR="005F5AC4">
        <w:rPr>
          <w:rFonts w:ascii="Times New Roman" w:hAnsi="Times New Roman"/>
          <w:sz w:val="24"/>
          <w:szCs w:val="24"/>
        </w:rPr>
        <w:t xml:space="preserve">Community Engagement (i.e. </w:t>
      </w:r>
      <w:r>
        <w:rPr>
          <w:rFonts w:ascii="Times New Roman" w:hAnsi="Times New Roman"/>
          <w:sz w:val="24"/>
          <w:szCs w:val="24"/>
        </w:rPr>
        <w:t>work</w:t>
      </w:r>
      <w:r w:rsidR="005F5AC4">
        <w:rPr>
          <w:rFonts w:ascii="Times New Roman" w:hAnsi="Times New Roman"/>
          <w:sz w:val="24"/>
          <w:szCs w:val="24"/>
        </w:rPr>
        <w:t>)</w:t>
      </w:r>
      <w:r>
        <w:rPr>
          <w:rFonts w:ascii="Times New Roman" w:hAnsi="Times New Roman"/>
          <w:sz w:val="24"/>
          <w:szCs w:val="24"/>
        </w:rPr>
        <w:t xml:space="preserve"> requirements included in the Letter #18-009, which crosswalks to the </w:t>
      </w:r>
      <w:r w:rsidR="005F5AC4">
        <w:rPr>
          <w:rFonts w:ascii="Times New Roman" w:hAnsi="Times New Roman"/>
          <w:sz w:val="24"/>
          <w:szCs w:val="24"/>
        </w:rPr>
        <w:t xml:space="preserve">Community Engagement (i.e., </w:t>
      </w:r>
      <w:r>
        <w:rPr>
          <w:rFonts w:ascii="Times New Roman" w:hAnsi="Times New Roman"/>
          <w:sz w:val="24"/>
          <w:szCs w:val="24"/>
        </w:rPr>
        <w:t>work</w:t>
      </w:r>
      <w:r w:rsidR="005F5AC4">
        <w:rPr>
          <w:rFonts w:ascii="Times New Roman" w:hAnsi="Times New Roman"/>
          <w:sz w:val="24"/>
          <w:szCs w:val="24"/>
        </w:rPr>
        <w:t>)</w:t>
      </w:r>
      <w:r>
        <w:rPr>
          <w:rFonts w:ascii="Times New Roman" w:hAnsi="Times New Roman"/>
          <w:sz w:val="24"/>
          <w:szCs w:val="24"/>
        </w:rPr>
        <w:t xml:space="preserve"> requirements in the monitoring metrics and reports, providing a clear basis for assessing the state’s implementation of such requirements.</w:t>
      </w:r>
    </w:p>
    <w:p w14:paraId="786B9B8B" w14:textId="38BF68D5" w:rsidR="005A72FC" w:rsidRPr="00604DA2" w:rsidRDefault="00472269" w:rsidP="005A72FC">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C</w:t>
      </w:r>
      <w:r w:rsidR="005A72FC" w:rsidRPr="00604DA2">
        <w:rPr>
          <w:rFonts w:ascii="Times New Roman" w:hAnsi="Times New Roman"/>
          <w:sz w:val="24"/>
          <w:szCs w:val="24"/>
        </w:rPr>
        <w:t xml:space="preserve">onsistency of </w:t>
      </w:r>
      <w:r w:rsidR="005A72FC">
        <w:rPr>
          <w:rFonts w:ascii="Times New Roman" w:hAnsi="Times New Roman"/>
          <w:sz w:val="24"/>
          <w:szCs w:val="24"/>
        </w:rPr>
        <w:t xml:space="preserve">monitoring and </w:t>
      </w:r>
      <w:r w:rsidR="005A72FC" w:rsidRPr="00604DA2">
        <w:rPr>
          <w:rFonts w:ascii="Times New Roman" w:hAnsi="Times New Roman"/>
          <w:sz w:val="24"/>
          <w:szCs w:val="24"/>
        </w:rPr>
        <w:t>evaluation</w:t>
      </w:r>
      <w:r w:rsidR="005A72FC">
        <w:rPr>
          <w:rFonts w:ascii="Times New Roman" w:hAnsi="Times New Roman"/>
          <w:sz w:val="24"/>
          <w:szCs w:val="24"/>
        </w:rPr>
        <w:t xml:space="preserve"> of </w:t>
      </w:r>
      <w:r w:rsidR="005F5AC4">
        <w:rPr>
          <w:rFonts w:ascii="Times New Roman" w:hAnsi="Times New Roman"/>
          <w:sz w:val="24"/>
          <w:szCs w:val="24"/>
        </w:rPr>
        <w:t xml:space="preserve">Community Engagement (i.e., </w:t>
      </w:r>
      <w:r w:rsidR="00EE5F43">
        <w:rPr>
          <w:rFonts w:ascii="Times New Roman" w:hAnsi="Times New Roman"/>
          <w:sz w:val="24"/>
          <w:szCs w:val="24"/>
        </w:rPr>
        <w:t>work</w:t>
      </w:r>
      <w:r w:rsidR="005F5AC4">
        <w:rPr>
          <w:rFonts w:ascii="Times New Roman" w:hAnsi="Times New Roman"/>
          <w:sz w:val="24"/>
          <w:szCs w:val="24"/>
        </w:rPr>
        <w:t>)</w:t>
      </w:r>
      <w:r w:rsidR="00EE5F43">
        <w:rPr>
          <w:rFonts w:ascii="Times New Roman" w:hAnsi="Times New Roman"/>
          <w:sz w:val="24"/>
          <w:szCs w:val="24"/>
        </w:rPr>
        <w:t xml:space="preserve"> requirements and other policy approaches that complement </w:t>
      </w:r>
      <w:r w:rsidR="005F5AC4">
        <w:rPr>
          <w:rFonts w:ascii="Times New Roman" w:hAnsi="Times New Roman"/>
          <w:sz w:val="24"/>
          <w:szCs w:val="24"/>
        </w:rPr>
        <w:t xml:space="preserve">Community Engagement (i.e., </w:t>
      </w:r>
      <w:r w:rsidR="00EE5F43">
        <w:rPr>
          <w:rFonts w:ascii="Times New Roman" w:hAnsi="Times New Roman"/>
          <w:sz w:val="24"/>
          <w:szCs w:val="24"/>
        </w:rPr>
        <w:t>work</w:t>
      </w:r>
      <w:r w:rsidR="005F5AC4">
        <w:rPr>
          <w:rFonts w:ascii="Times New Roman" w:hAnsi="Times New Roman"/>
          <w:sz w:val="24"/>
          <w:szCs w:val="24"/>
        </w:rPr>
        <w:t>)</w:t>
      </w:r>
      <w:r w:rsidR="00EE5F43">
        <w:rPr>
          <w:rFonts w:ascii="Times New Roman" w:hAnsi="Times New Roman"/>
          <w:sz w:val="24"/>
          <w:szCs w:val="24"/>
        </w:rPr>
        <w:t xml:space="preserve"> requirements, </w:t>
      </w:r>
      <w:r w:rsidR="00EE5F43" w:rsidRPr="000C2B1A">
        <w:rPr>
          <w:rFonts w:ascii="Times New Roman" w:hAnsi="Times New Roman"/>
          <w:sz w:val="24"/>
          <w:szCs w:val="24"/>
        </w:rPr>
        <w:t xml:space="preserve">such as </w:t>
      </w:r>
      <w:r w:rsidR="000C2B1A" w:rsidRPr="000C2B1A">
        <w:rPr>
          <w:rFonts w:ascii="Times New Roman" w:eastAsiaTheme="minorHAnsi" w:hAnsi="Times New Roman"/>
          <w:sz w:val="24"/>
          <w:szCs w:val="24"/>
        </w:rPr>
        <w:t>premium assistance, waiver of retroactive eligibility, monthly premiums, and imposition of non-eligibility periods for failure to meet certain requirements</w:t>
      </w:r>
      <w:r w:rsidR="00EE5F43" w:rsidRPr="000C2B1A">
        <w:rPr>
          <w:rFonts w:ascii="Times New Roman" w:hAnsi="Times New Roman"/>
          <w:sz w:val="24"/>
          <w:szCs w:val="24"/>
        </w:rPr>
        <w:t>.</w:t>
      </w:r>
      <w:r w:rsidR="00EE5F43">
        <w:rPr>
          <w:rFonts w:ascii="Times New Roman" w:hAnsi="Times New Roman"/>
          <w:sz w:val="24"/>
          <w:szCs w:val="24"/>
        </w:rPr>
        <w:t xml:space="preserve">  </w:t>
      </w:r>
    </w:p>
    <w:p w14:paraId="533B22A6" w14:textId="7EB03741" w:rsidR="005A72FC" w:rsidRPr="00604DA2" w:rsidRDefault="00EE5F43" w:rsidP="005A72FC">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S</w:t>
      </w:r>
      <w:r w:rsidR="005A72FC" w:rsidRPr="00604DA2">
        <w:rPr>
          <w:rFonts w:ascii="Times New Roman" w:hAnsi="Times New Roman"/>
          <w:sz w:val="24"/>
          <w:szCs w:val="24"/>
        </w:rPr>
        <w:t xml:space="preserve">treamlined communication </w:t>
      </w:r>
      <w:r w:rsidR="00B56D33">
        <w:rPr>
          <w:rFonts w:ascii="Times New Roman" w:hAnsi="Times New Roman"/>
          <w:sz w:val="24"/>
          <w:szCs w:val="24"/>
        </w:rPr>
        <w:t>and shorter timeframes for state development and CMS  approval o</w:t>
      </w:r>
      <w:r>
        <w:rPr>
          <w:rFonts w:ascii="Times New Roman" w:hAnsi="Times New Roman"/>
          <w:sz w:val="24"/>
          <w:szCs w:val="24"/>
        </w:rPr>
        <w:t xml:space="preserve">f </w:t>
      </w:r>
      <w:r w:rsidR="00B56D33">
        <w:rPr>
          <w:rFonts w:ascii="Times New Roman" w:hAnsi="Times New Roman"/>
          <w:sz w:val="24"/>
          <w:szCs w:val="24"/>
        </w:rPr>
        <w:t xml:space="preserve">implementation and </w:t>
      </w:r>
      <w:r>
        <w:rPr>
          <w:rFonts w:ascii="Times New Roman" w:hAnsi="Times New Roman"/>
          <w:sz w:val="24"/>
          <w:szCs w:val="24"/>
        </w:rPr>
        <w:t xml:space="preserve">monitoring </w:t>
      </w:r>
      <w:r w:rsidR="00B56D33">
        <w:rPr>
          <w:rFonts w:ascii="Times New Roman" w:hAnsi="Times New Roman"/>
          <w:sz w:val="24"/>
          <w:szCs w:val="24"/>
        </w:rPr>
        <w:t>plans for</w:t>
      </w:r>
      <w:r>
        <w:rPr>
          <w:rFonts w:ascii="Times New Roman" w:hAnsi="Times New Roman"/>
          <w:sz w:val="24"/>
          <w:szCs w:val="24"/>
        </w:rPr>
        <w:t xml:space="preserve"> eligibility and coverage demonstrations</w:t>
      </w:r>
      <w:r w:rsidR="005A72FC">
        <w:rPr>
          <w:rFonts w:ascii="Times New Roman" w:hAnsi="Times New Roman"/>
          <w:sz w:val="24"/>
          <w:szCs w:val="24"/>
        </w:rPr>
        <w:t>,</w:t>
      </w:r>
    </w:p>
    <w:p w14:paraId="1EAD1D96" w14:textId="5E89DF6F" w:rsidR="005A72FC" w:rsidRPr="00604DA2" w:rsidRDefault="00B56D33" w:rsidP="005A72FC">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 xml:space="preserve">Accuracy </w:t>
      </w:r>
      <w:r w:rsidR="005A72FC" w:rsidRPr="00604DA2">
        <w:rPr>
          <w:rFonts w:ascii="Times New Roman" w:hAnsi="Times New Roman"/>
          <w:sz w:val="24"/>
          <w:szCs w:val="24"/>
        </w:rPr>
        <w:t xml:space="preserve"> in </w:t>
      </w:r>
      <w:r>
        <w:rPr>
          <w:rFonts w:ascii="Times New Roman" w:hAnsi="Times New Roman"/>
          <w:sz w:val="24"/>
          <w:szCs w:val="24"/>
        </w:rPr>
        <w:t xml:space="preserve">state </w:t>
      </w:r>
      <w:r w:rsidR="005A72FC" w:rsidRPr="00604DA2">
        <w:rPr>
          <w:rFonts w:ascii="Times New Roman" w:hAnsi="Times New Roman"/>
          <w:sz w:val="24"/>
          <w:szCs w:val="24"/>
        </w:rPr>
        <w:t>reporting</w:t>
      </w:r>
      <w:r w:rsidR="005A72FC">
        <w:rPr>
          <w:rFonts w:ascii="Times New Roman" w:hAnsi="Times New Roman"/>
          <w:sz w:val="24"/>
          <w:szCs w:val="24"/>
        </w:rPr>
        <w:t>,</w:t>
      </w:r>
      <w:r>
        <w:rPr>
          <w:rFonts w:ascii="Times New Roman" w:hAnsi="Times New Roman"/>
          <w:sz w:val="24"/>
          <w:szCs w:val="24"/>
        </w:rPr>
        <w:t xml:space="preserve"> and </w:t>
      </w:r>
    </w:p>
    <w:p w14:paraId="4BDE307B" w14:textId="3B6A508A" w:rsidR="00B56D33" w:rsidRDefault="00472269" w:rsidP="005A72FC">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Reduc</w:t>
      </w:r>
      <w:r w:rsidR="00B56D33">
        <w:rPr>
          <w:rFonts w:ascii="Times New Roman" w:hAnsi="Times New Roman"/>
          <w:sz w:val="24"/>
          <w:szCs w:val="24"/>
        </w:rPr>
        <w:t xml:space="preserve">tion in </w:t>
      </w:r>
      <w:r w:rsidR="005A72FC" w:rsidRPr="00604DA2">
        <w:rPr>
          <w:rFonts w:ascii="Times New Roman" w:hAnsi="Times New Roman"/>
          <w:sz w:val="24"/>
          <w:szCs w:val="24"/>
        </w:rPr>
        <w:t xml:space="preserve"> timeframes  for </w:t>
      </w:r>
      <w:r w:rsidR="00B56D33">
        <w:rPr>
          <w:rFonts w:ascii="Times New Roman" w:hAnsi="Times New Roman"/>
          <w:sz w:val="24"/>
          <w:szCs w:val="24"/>
        </w:rPr>
        <w:t xml:space="preserve">state reporting and CMS review of </w:t>
      </w:r>
      <w:r w:rsidR="005A72FC" w:rsidRPr="00604DA2">
        <w:rPr>
          <w:rFonts w:ascii="Times New Roman" w:hAnsi="Times New Roman"/>
          <w:sz w:val="24"/>
          <w:szCs w:val="24"/>
        </w:rPr>
        <w:t>monitoring</w:t>
      </w:r>
      <w:r w:rsidR="00B56D33">
        <w:rPr>
          <w:rFonts w:ascii="Times New Roman" w:hAnsi="Times New Roman"/>
          <w:sz w:val="24"/>
          <w:szCs w:val="24"/>
        </w:rPr>
        <w:t xml:space="preserve"> metrics and reports</w:t>
      </w:r>
    </w:p>
    <w:p w14:paraId="7254D0D1" w14:textId="78A09FD6" w:rsidR="005A72FC" w:rsidRDefault="00B56D33" w:rsidP="005A72FC">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More robust evaluation in so much as it is informed by a clear implementation plan and monitoring data</w:t>
      </w:r>
      <w:r w:rsidR="005A72FC">
        <w:rPr>
          <w:rFonts w:ascii="Times New Roman" w:hAnsi="Times New Roman"/>
          <w:sz w:val="24"/>
          <w:szCs w:val="24"/>
        </w:rPr>
        <w:t>.</w:t>
      </w:r>
    </w:p>
    <w:p w14:paraId="49A1A8C0" w14:textId="23103A31" w:rsidR="00B56D33" w:rsidRPr="00604DA2" w:rsidRDefault="00B56D33" w:rsidP="005A72FC">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 xml:space="preserve">Improvements in needed mid-course corrections and the identification and diffusion of best practices under eligibility and coverage demonstrations. </w:t>
      </w:r>
    </w:p>
    <w:p w14:paraId="3ADBCD26" w14:textId="77777777" w:rsidR="005A72FC" w:rsidRDefault="005A72FC" w:rsidP="005A72FC">
      <w:pPr>
        <w:spacing w:after="0" w:line="240" w:lineRule="auto"/>
        <w:rPr>
          <w:szCs w:val="24"/>
        </w:rPr>
      </w:pPr>
    </w:p>
    <w:p w14:paraId="1D5A01F3" w14:textId="19FCB431" w:rsidR="005A72FC" w:rsidRDefault="005A72FC" w:rsidP="005A72FC">
      <w:pPr>
        <w:spacing w:after="0" w:line="240" w:lineRule="auto"/>
        <w:rPr>
          <w:rFonts w:cs="Times New Roman"/>
          <w:szCs w:val="24"/>
        </w:rPr>
      </w:pPr>
      <w:r>
        <w:rPr>
          <w:szCs w:val="24"/>
        </w:rPr>
        <w:t>To achieve</w:t>
      </w:r>
      <w:r w:rsidR="00A90245">
        <w:rPr>
          <w:szCs w:val="24"/>
        </w:rPr>
        <w:t xml:space="preserve"> these</w:t>
      </w:r>
      <w:r>
        <w:rPr>
          <w:szCs w:val="24"/>
        </w:rPr>
        <w:t xml:space="preserve"> goals, CMS has developed </w:t>
      </w:r>
      <w:r w:rsidR="002E2865">
        <w:rPr>
          <w:szCs w:val="24"/>
        </w:rPr>
        <w:t xml:space="preserve">for </w:t>
      </w:r>
      <w:r w:rsidR="0092380B">
        <w:rPr>
          <w:szCs w:val="24"/>
        </w:rPr>
        <w:t xml:space="preserve">the </w:t>
      </w:r>
      <w:r w:rsidR="0092380B" w:rsidRPr="0092380B">
        <w:rPr>
          <w:rFonts w:cs="Times New Roman"/>
          <w:color w:val="000000"/>
          <w:szCs w:val="24"/>
        </w:rPr>
        <w:t>Medicaid Section 1115 Eligibility and Coverage</w:t>
      </w:r>
      <w:r w:rsidR="0092380B" w:rsidRPr="00607AC6">
        <w:rPr>
          <w:rFonts w:cs="Times New Roman"/>
          <w:b/>
          <w:color w:val="000000"/>
          <w:szCs w:val="24"/>
        </w:rPr>
        <w:t xml:space="preserve"> </w:t>
      </w:r>
      <w:r w:rsidR="0092380B">
        <w:rPr>
          <w:szCs w:val="24"/>
        </w:rPr>
        <w:t>Demonstrations</w:t>
      </w:r>
      <w:r w:rsidR="002E2865">
        <w:rPr>
          <w:szCs w:val="24"/>
        </w:rPr>
        <w:t xml:space="preserve"> </w:t>
      </w:r>
      <w:r>
        <w:rPr>
          <w:rFonts w:cs="Times New Roman"/>
          <w:szCs w:val="24"/>
        </w:rPr>
        <w:t>standardized</w:t>
      </w:r>
      <w:r w:rsidR="00A27F7B">
        <w:rPr>
          <w:rFonts w:cs="Times New Roman"/>
          <w:szCs w:val="24"/>
        </w:rPr>
        <w:t xml:space="preserve"> </w:t>
      </w:r>
      <w:r w:rsidR="0092380B">
        <w:rPr>
          <w:rFonts w:cs="Times New Roman"/>
          <w:szCs w:val="24"/>
        </w:rPr>
        <w:t xml:space="preserve">implementation plan, </w:t>
      </w:r>
      <w:r w:rsidR="00A27F7B">
        <w:rPr>
          <w:rFonts w:cs="Times New Roman"/>
          <w:szCs w:val="24"/>
        </w:rPr>
        <w:t>monitoring reporting template</w:t>
      </w:r>
      <w:r w:rsidR="0092380B">
        <w:rPr>
          <w:rFonts w:cs="Times New Roman"/>
          <w:szCs w:val="24"/>
        </w:rPr>
        <w:t>s</w:t>
      </w:r>
      <w:r w:rsidR="00A27F7B">
        <w:rPr>
          <w:rFonts w:cs="Times New Roman"/>
          <w:szCs w:val="24"/>
        </w:rPr>
        <w:t xml:space="preserve"> </w:t>
      </w:r>
      <w:r>
        <w:rPr>
          <w:rFonts w:cs="Times New Roman"/>
          <w:szCs w:val="24"/>
        </w:rPr>
        <w:t>and performance metrics</w:t>
      </w:r>
      <w:r w:rsidR="002E2865">
        <w:rPr>
          <w:rFonts w:cs="Times New Roman"/>
          <w:szCs w:val="24"/>
        </w:rPr>
        <w:t>, as follows:</w:t>
      </w:r>
    </w:p>
    <w:p w14:paraId="21098445" w14:textId="77777777" w:rsidR="005A72FC" w:rsidRDefault="005A72FC" w:rsidP="005A72FC">
      <w:pPr>
        <w:spacing w:after="0" w:line="240" w:lineRule="auto"/>
        <w:rPr>
          <w:rFonts w:cs="Times New Roman"/>
          <w:szCs w:val="24"/>
        </w:rPr>
      </w:pPr>
    </w:p>
    <w:p w14:paraId="7EAA4941" w14:textId="77777777" w:rsidR="00846F80" w:rsidRDefault="00846F80" w:rsidP="00310E8E">
      <w:pPr>
        <w:spacing w:after="0"/>
        <w:rPr>
          <w:i/>
          <w:iCs/>
          <w:color w:val="000000"/>
        </w:rPr>
      </w:pPr>
      <w:r>
        <w:rPr>
          <w:i/>
          <w:iCs/>
          <w:color w:val="000000"/>
        </w:rPr>
        <w:t>Medicaid Section 1115 Eligibility and Coverage Implementation Plan</w:t>
      </w:r>
    </w:p>
    <w:p w14:paraId="3DD50086" w14:textId="77777777" w:rsidR="00310E8E" w:rsidRDefault="00310E8E" w:rsidP="00310E8E">
      <w:pPr>
        <w:spacing w:after="0"/>
      </w:pPr>
    </w:p>
    <w:p w14:paraId="75E13490" w14:textId="77777777" w:rsidR="00846F80" w:rsidRDefault="00846F80" w:rsidP="00310E8E">
      <w:pPr>
        <w:spacing w:after="0"/>
      </w:pPr>
      <w:r>
        <w:t xml:space="preserve">The state will submit the </w:t>
      </w:r>
      <w:r>
        <w:rPr>
          <w:color w:val="000000"/>
        </w:rPr>
        <w:t>Medicaid Section 1115 Eligibility and Coverage</w:t>
      </w:r>
      <w:r>
        <w:t xml:space="preserve"> Demonstration Implementation Plan to provide information about implementation of the state’s Community Engagement (i.e. work requirements) and to respond to each prompt listed in the tables.</w:t>
      </w:r>
    </w:p>
    <w:p w14:paraId="6B600DAC" w14:textId="70017B58" w:rsidR="00846F80" w:rsidRDefault="00846F80" w:rsidP="00310E8E">
      <w:pPr>
        <w:spacing w:after="0"/>
      </w:pPr>
      <w:r>
        <w:t xml:space="preserve">The information in the implementation plan flow down from the state’s Community Engagement Special Terms and Conditions (STC). It creates an implementation framework that crosswalks to the </w:t>
      </w:r>
      <w:r w:rsidR="005F5AC4">
        <w:t xml:space="preserve">Community Engagement (i.e., </w:t>
      </w:r>
      <w:r>
        <w:t>work</w:t>
      </w:r>
      <w:r w:rsidR="005F5AC4">
        <w:t>)</w:t>
      </w:r>
      <w:r>
        <w:t xml:space="preserve"> requirement segments of the Medicaid Section 1115 Eligibility and Coverage Monitoring Protocol Template.  </w:t>
      </w:r>
    </w:p>
    <w:p w14:paraId="48CB6456" w14:textId="77777777" w:rsidR="00310E8E" w:rsidRDefault="00310E8E" w:rsidP="00310E8E">
      <w:pPr>
        <w:spacing w:after="0"/>
        <w:rPr>
          <w:i/>
          <w:iCs/>
          <w:color w:val="000000"/>
        </w:rPr>
      </w:pPr>
    </w:p>
    <w:p w14:paraId="1F7FCFEB" w14:textId="4A18ECE8" w:rsidR="00846F80" w:rsidRDefault="00846F80" w:rsidP="00310E8E">
      <w:pPr>
        <w:spacing w:after="0"/>
      </w:pPr>
      <w:r>
        <w:rPr>
          <w:i/>
          <w:iCs/>
          <w:color w:val="000000"/>
        </w:rPr>
        <w:t>Medicaid Section 1115 Eligibility and Coverage</w:t>
      </w:r>
      <w:r>
        <w:rPr>
          <w:b/>
          <w:bCs/>
          <w:color w:val="000000"/>
        </w:rPr>
        <w:t xml:space="preserve"> </w:t>
      </w:r>
      <w:r>
        <w:rPr>
          <w:i/>
          <w:iCs/>
        </w:rPr>
        <w:t>Monitoring Protocol Template</w:t>
      </w:r>
    </w:p>
    <w:p w14:paraId="2F81E0E2" w14:textId="77777777" w:rsidR="00310E8E" w:rsidRDefault="00310E8E" w:rsidP="00310E8E">
      <w:pPr>
        <w:spacing w:after="0"/>
      </w:pPr>
    </w:p>
    <w:p w14:paraId="249D0D87" w14:textId="05266F20" w:rsidR="00310E8E" w:rsidRDefault="00846F80" w:rsidP="00310E8E">
      <w:pPr>
        <w:spacing w:after="0"/>
      </w:pPr>
      <w:r>
        <w:t xml:space="preserve">The state will use the </w:t>
      </w:r>
      <w:r>
        <w:rPr>
          <w:color w:val="000000"/>
        </w:rPr>
        <w:t>Medicaid Section 1115 Eligibility and Coverage</w:t>
      </w:r>
      <w:r>
        <w:t xml:space="preserve"> Demonstration Monitoring Protocol template to develop its Monitoring Protocol for Community Engagement and other eligibility and coverage policy approaches such as premium assistance, waiver of retroactive eligibility, monthly premiums, and imposition of non-eligibility periods for failure to meet certain requirements.  This protocol specifies that the details of the state’s monitoring plans for these policy approaches. It is comprised of two components – qualitative and quantitat</w:t>
      </w:r>
      <w:r w:rsidR="00310E8E">
        <w:t>ive (metrics) reporting plans. </w:t>
      </w:r>
      <w:r>
        <w:t>The metrics component of the Monitoring Protocol are described below under Monitoring Metrics Template.</w:t>
      </w:r>
    </w:p>
    <w:p w14:paraId="229D2710" w14:textId="381CBC33" w:rsidR="00846F80" w:rsidRDefault="00846F80" w:rsidP="00310E8E">
      <w:pPr>
        <w:spacing w:after="0"/>
      </w:pPr>
      <w:r>
        <w:t xml:space="preserve">  </w:t>
      </w:r>
    </w:p>
    <w:p w14:paraId="7D698F28" w14:textId="34B34807" w:rsidR="00846F80" w:rsidRDefault="00846F80" w:rsidP="00310E8E">
      <w:pPr>
        <w:spacing w:after="0"/>
      </w:pPr>
      <w:r>
        <w:t xml:space="preserve">The </w:t>
      </w:r>
      <w:r>
        <w:rPr>
          <w:color w:val="000000"/>
        </w:rPr>
        <w:t>Medicaid Section 1115 Eligibility and Coverage</w:t>
      </w:r>
      <w:r>
        <w:t xml:space="preserve"> Monitoring Protocol template helps the state specify the methods of data collection and timeframes for reporting on the state’s progress on required measures and milestones.  In addition, the </w:t>
      </w:r>
      <w:r>
        <w:rPr>
          <w:color w:val="000000"/>
        </w:rPr>
        <w:t>Medicaid Section 1115 Eligibility and Coverage</w:t>
      </w:r>
      <w:r>
        <w:t xml:space="preserve"> Monitoring Protocol template helps states identify the demonstration baseline and performance targets to be achieved by the end of the demonstration. </w:t>
      </w:r>
    </w:p>
    <w:p w14:paraId="2E81E12A" w14:textId="77777777" w:rsidR="00310E8E" w:rsidRDefault="00310E8E" w:rsidP="00310E8E">
      <w:pPr>
        <w:spacing w:after="0"/>
      </w:pPr>
    </w:p>
    <w:p w14:paraId="5BD86F4B" w14:textId="5CDF1772" w:rsidR="00846F80" w:rsidRPr="00310E8E" w:rsidRDefault="00846F80" w:rsidP="00310E8E">
      <w:pPr>
        <w:spacing w:after="0"/>
        <w:rPr>
          <w:i/>
        </w:rPr>
      </w:pPr>
      <w:r w:rsidRPr="00310E8E">
        <w:rPr>
          <w:i/>
          <w:color w:val="000000"/>
        </w:rPr>
        <w:t>Medicaid Section 1115 Eligibility and Coverage</w:t>
      </w:r>
      <w:r w:rsidRPr="00310E8E">
        <w:rPr>
          <w:i/>
        </w:rPr>
        <w:t xml:space="preserve"> </w:t>
      </w:r>
      <w:r w:rsidRPr="00310E8E">
        <w:rPr>
          <w:i/>
          <w:iCs/>
        </w:rPr>
        <w:t>Demonstration Monitoring Report Template</w:t>
      </w:r>
    </w:p>
    <w:p w14:paraId="5914B807" w14:textId="77777777" w:rsidR="00820E43" w:rsidRDefault="00820E43" w:rsidP="00310E8E">
      <w:pPr>
        <w:spacing w:after="0"/>
      </w:pPr>
    </w:p>
    <w:p w14:paraId="402AA7FF" w14:textId="48626518" w:rsidR="00846F80" w:rsidRDefault="00846F80" w:rsidP="00310E8E">
      <w:pPr>
        <w:spacing w:after="0"/>
      </w:pPr>
      <w:r>
        <w:t>The Monitoring Report Template mirrors the Monitoring Protocol</w:t>
      </w:r>
      <w:r w:rsidR="00310E8E">
        <w:t xml:space="preserve">, and like the Protocol, </w:t>
      </w:r>
      <w:r>
        <w:t xml:space="preserve">it is comprised of qualitative and quantitative (metrics) performance information that the state reports to CMS on a quarterly and annual basis for each of the eligibility and coverage policy approaches that a state may be testing, including community engagement, premium assistance, waiver of retroactive eligibility, monthly premiums, and imposition of non-eligibility periods for failure to meet certain requirements.   Performance values on the metrics in the approved Monitoring Protocol are reported in the Monitoring Metrics Template described below. </w:t>
      </w:r>
    </w:p>
    <w:p w14:paraId="01CD1746" w14:textId="77777777" w:rsidR="00310E8E" w:rsidRDefault="00310E8E" w:rsidP="00310E8E">
      <w:pPr>
        <w:spacing w:after="0"/>
        <w:rPr>
          <w:b/>
          <w:bCs/>
          <w:i/>
          <w:iCs/>
        </w:rPr>
      </w:pPr>
    </w:p>
    <w:p w14:paraId="0AB9D324" w14:textId="3DA242A7" w:rsidR="00846F80" w:rsidRPr="00310E8E" w:rsidRDefault="00846F80" w:rsidP="00310E8E">
      <w:pPr>
        <w:spacing w:after="0"/>
        <w:rPr>
          <w:i/>
        </w:rPr>
      </w:pPr>
      <w:r w:rsidRPr="00310E8E">
        <w:rPr>
          <w:i/>
          <w:color w:val="000000"/>
        </w:rPr>
        <w:t>Medicaid Section 1115 Eligibility and Coverage</w:t>
      </w:r>
      <w:r w:rsidRPr="00310E8E">
        <w:rPr>
          <w:i/>
        </w:rPr>
        <w:t xml:space="preserve"> </w:t>
      </w:r>
      <w:r w:rsidRPr="00310E8E">
        <w:rPr>
          <w:i/>
          <w:iCs/>
        </w:rPr>
        <w:t>Demonstration Monitoring Metrics Template</w:t>
      </w:r>
    </w:p>
    <w:p w14:paraId="34028BD5" w14:textId="77777777" w:rsidR="00310E8E" w:rsidRDefault="00310E8E" w:rsidP="00310E8E">
      <w:pPr>
        <w:spacing w:after="0" w:line="259" w:lineRule="auto"/>
      </w:pPr>
    </w:p>
    <w:p w14:paraId="379E264A" w14:textId="45F761BF" w:rsidR="00310E8E" w:rsidRDefault="00846F80" w:rsidP="00310E8E">
      <w:pPr>
        <w:spacing w:after="0" w:line="259" w:lineRule="auto"/>
      </w:pPr>
      <w:r>
        <w:t xml:space="preserve">The Monitoring Metrics Template is one of the two components of both the Monitoring Protocol and the Monitoring Report Templates described above.   It is an Excel file that contains a set of metrics for each of the eligibility and coverage policy approaches that a state may be testing, including </w:t>
      </w:r>
      <w:r w:rsidR="005F5AC4">
        <w:t xml:space="preserve">Community Engagement (i.e., </w:t>
      </w:r>
      <w:r>
        <w:t>work</w:t>
      </w:r>
      <w:r w:rsidR="005F5AC4">
        <w:t>)</w:t>
      </w:r>
      <w:r>
        <w:t xml:space="preserve"> requirements, </w:t>
      </w:r>
      <w:r w:rsidR="00AB5366">
        <w:rPr>
          <w:sz w:val="23"/>
          <w:szCs w:val="23"/>
        </w:rPr>
        <w:t>premium assistance, waiver of retroactive eligibility, monthly premiums, and imposition of non-eligibility periods for failure to meet certain requirements</w:t>
      </w:r>
      <w:r>
        <w:t>.</w:t>
      </w:r>
      <w:r w:rsidR="00310E8E">
        <w:t xml:space="preserve"> </w:t>
      </w:r>
    </w:p>
    <w:p w14:paraId="60BB3515" w14:textId="77777777" w:rsidR="00310E8E" w:rsidRDefault="00310E8E" w:rsidP="00310E8E">
      <w:pPr>
        <w:spacing w:after="0" w:line="259" w:lineRule="auto"/>
      </w:pPr>
    </w:p>
    <w:p w14:paraId="37D963D6" w14:textId="492FC5FD" w:rsidR="00B9719C" w:rsidRPr="00694307" w:rsidRDefault="00846F80" w:rsidP="00310E8E">
      <w:pPr>
        <w:spacing w:after="0" w:line="259" w:lineRule="auto"/>
        <w:rPr>
          <w:szCs w:val="24"/>
        </w:rPr>
      </w:pPr>
      <w:r>
        <w:t xml:space="preserve">For the Monitoring Protocol, the state will review the metrics listed in the ‘Protocol’ tab of the </w:t>
      </w:r>
      <w:r>
        <w:rPr>
          <w:color w:val="000000"/>
        </w:rPr>
        <w:t>Medicaid Section 1115 Eligibility and Coverage</w:t>
      </w:r>
      <w:r>
        <w:t xml:space="preserve"> Metrics Workbook and the accompanying metrics technical specifications, and use the template to identify the metrics it plans to report, including any additional state-identified metrics. The state also identifies annual goals and targets, as well as any deviations from CMS technical specifications.  The state’s performance on the CMS approved metrics are reported on a quarterly and annual basis under the subsequent ‘Report’ tabs.</w:t>
      </w:r>
    </w:p>
    <w:p w14:paraId="3B7D0ED2" w14:textId="77777777" w:rsidR="00777EFC" w:rsidRPr="005556AE" w:rsidRDefault="00777EFC" w:rsidP="00310E8E">
      <w:pPr>
        <w:spacing w:after="0" w:line="240" w:lineRule="auto"/>
        <w:contextualSpacing/>
      </w:pPr>
    </w:p>
    <w:p w14:paraId="66528621" w14:textId="77777777" w:rsidR="007D6E75" w:rsidRPr="008111D2" w:rsidRDefault="003F3CE7" w:rsidP="00310E8E">
      <w:pPr>
        <w:pStyle w:val="Heading1"/>
      </w:pPr>
      <w:r>
        <w:t>C</w:t>
      </w:r>
      <w:r w:rsidR="007D6E75" w:rsidRPr="008111D2">
        <w:t>. Deviations from Generic Request</w:t>
      </w:r>
    </w:p>
    <w:p w14:paraId="06F09F5F" w14:textId="77777777" w:rsidR="00150C54" w:rsidRDefault="00150C54" w:rsidP="00AB0285">
      <w:pPr>
        <w:spacing w:after="0" w:line="240" w:lineRule="auto"/>
        <w:rPr>
          <w:szCs w:val="24"/>
        </w:rPr>
      </w:pPr>
    </w:p>
    <w:p w14:paraId="341112F8" w14:textId="50319602" w:rsidR="00EE7851" w:rsidRPr="00815DFA" w:rsidRDefault="009B19E8" w:rsidP="0084192B">
      <w:pPr>
        <w:spacing w:line="240" w:lineRule="auto"/>
        <w:rPr>
          <w:szCs w:val="24"/>
        </w:rPr>
      </w:pPr>
      <w:r w:rsidRPr="00815DFA">
        <w:rPr>
          <w:szCs w:val="24"/>
        </w:rPr>
        <w:t xml:space="preserve">No deviations </w:t>
      </w:r>
      <w:r w:rsidR="00DE1DFF" w:rsidRPr="00815DFA">
        <w:rPr>
          <w:szCs w:val="24"/>
        </w:rPr>
        <w:t>from the generic PRA request</w:t>
      </w:r>
      <w:r w:rsidRPr="00815DFA">
        <w:rPr>
          <w:szCs w:val="24"/>
        </w:rPr>
        <w:t>.</w:t>
      </w:r>
    </w:p>
    <w:p w14:paraId="2B8EF38D" w14:textId="7DB5513D" w:rsidR="00462F95" w:rsidRPr="00CA68C2" w:rsidRDefault="003F3CE7" w:rsidP="004F1DDE">
      <w:pPr>
        <w:pStyle w:val="Heading1"/>
        <w:rPr>
          <w:rFonts w:cs="Times New Roman"/>
          <w:szCs w:val="24"/>
        </w:rPr>
      </w:pPr>
      <w:r w:rsidRPr="00815DFA">
        <w:rPr>
          <w:rFonts w:cs="Times New Roman"/>
          <w:szCs w:val="24"/>
        </w:rPr>
        <w:t>D</w:t>
      </w:r>
      <w:r w:rsidR="007D6E75" w:rsidRPr="00815DFA">
        <w:rPr>
          <w:rFonts w:cs="Times New Roman"/>
          <w:szCs w:val="24"/>
        </w:rPr>
        <w:t>. Burden Hour Deduction</w:t>
      </w:r>
    </w:p>
    <w:p w14:paraId="26223254" w14:textId="5B90415D" w:rsidR="005D0E99" w:rsidRDefault="005D0E99" w:rsidP="004F1DDE">
      <w:pPr>
        <w:pStyle w:val="NormalSS"/>
        <w:spacing w:after="0"/>
        <w:ind w:firstLine="0"/>
        <w:rPr>
          <w:szCs w:val="24"/>
        </w:rPr>
      </w:pPr>
    </w:p>
    <w:p w14:paraId="48286A98" w14:textId="2F775E97" w:rsidR="008B248F" w:rsidRDefault="008B248F" w:rsidP="004F1DDE">
      <w:pPr>
        <w:pStyle w:val="NormalSS"/>
        <w:spacing w:after="0"/>
        <w:ind w:firstLine="0"/>
        <w:rPr>
          <w:szCs w:val="24"/>
        </w:rPr>
      </w:pPr>
      <w:r w:rsidRPr="008B248F">
        <w:rPr>
          <w:szCs w:val="24"/>
        </w:rPr>
        <w:t>The total approved burden ceiling of the generic ICR is 154,104 hours, and CMS previously requested to use 59,141 hours, leaving our burden ceiling at 94,963 hours.</w:t>
      </w:r>
    </w:p>
    <w:p w14:paraId="005F150F" w14:textId="77777777" w:rsidR="008B248F" w:rsidRDefault="008B248F" w:rsidP="004F1DDE">
      <w:pPr>
        <w:pStyle w:val="NormalSS"/>
        <w:spacing w:after="0"/>
        <w:ind w:firstLine="0"/>
        <w:rPr>
          <w:szCs w:val="24"/>
        </w:rPr>
      </w:pPr>
    </w:p>
    <w:p w14:paraId="4BE28B67" w14:textId="7D3B9AF2" w:rsidR="00CA6AEA" w:rsidRPr="00E016CC" w:rsidRDefault="00CA6AEA" w:rsidP="00CA6AEA">
      <w:pPr>
        <w:pStyle w:val="H3AlphaNoTOC"/>
        <w:rPr>
          <w:rFonts w:ascii="Times New Roman" w:hAnsi="Times New Roman"/>
          <w:i/>
          <w:color w:val="auto"/>
          <w:sz w:val="24"/>
        </w:rPr>
      </w:pPr>
      <w:r w:rsidRPr="00E016CC">
        <w:rPr>
          <w:rFonts w:ascii="Times New Roman" w:hAnsi="Times New Roman"/>
          <w:i/>
          <w:color w:val="auto"/>
          <w:sz w:val="24"/>
        </w:rPr>
        <w:t xml:space="preserve">High-level </w:t>
      </w:r>
      <w:r w:rsidR="009F1F61">
        <w:rPr>
          <w:rFonts w:ascii="Times New Roman" w:hAnsi="Times New Roman"/>
          <w:i/>
          <w:color w:val="auto"/>
          <w:sz w:val="24"/>
          <w:szCs w:val="24"/>
        </w:rPr>
        <w:t>A</w:t>
      </w:r>
      <w:r w:rsidRPr="009F1F61">
        <w:rPr>
          <w:rFonts w:ascii="Times New Roman" w:hAnsi="Times New Roman"/>
          <w:i/>
          <w:color w:val="auto"/>
          <w:sz w:val="24"/>
          <w:szCs w:val="24"/>
        </w:rPr>
        <w:t>ssumptions</w:t>
      </w:r>
    </w:p>
    <w:p w14:paraId="4D0AC9D4" w14:textId="77777777" w:rsidR="00CA6AEA" w:rsidRPr="00405CF5" w:rsidRDefault="00CA6AEA" w:rsidP="00CA6AEA">
      <w:pPr>
        <w:numPr>
          <w:ilvl w:val="0"/>
          <w:numId w:val="31"/>
        </w:numPr>
        <w:spacing w:after="0" w:line="240" w:lineRule="auto"/>
        <w:rPr>
          <w:rFonts w:cs="Times New Roman"/>
          <w:szCs w:val="24"/>
        </w:rPr>
      </w:pPr>
      <w:r w:rsidRPr="00405CF5">
        <w:rPr>
          <w:rFonts w:cs="Times New Roman"/>
          <w:szCs w:val="24"/>
        </w:rPr>
        <w:t xml:space="preserve">Each state submits three quarterly and one annual report per year. Annual reports require somewhat higher level of effort than quarterly reports due to additional metrics reported. </w:t>
      </w:r>
    </w:p>
    <w:p w14:paraId="31EDBAEF" w14:textId="77777777" w:rsidR="00CA6AEA" w:rsidRPr="00405CF5" w:rsidRDefault="00CA6AEA" w:rsidP="00CA6AEA">
      <w:pPr>
        <w:numPr>
          <w:ilvl w:val="0"/>
          <w:numId w:val="31"/>
        </w:numPr>
        <w:spacing w:after="0" w:line="240" w:lineRule="auto"/>
        <w:rPr>
          <w:rFonts w:cs="Times New Roman"/>
          <w:szCs w:val="24"/>
        </w:rPr>
      </w:pPr>
      <w:r w:rsidRPr="00405CF5">
        <w:rPr>
          <w:rFonts w:cs="Times New Roman"/>
          <w:szCs w:val="24"/>
        </w:rPr>
        <w:t>Each state’s first report will require some additional effort for programming/calculating the metrics; all subsequent reports will require a lower level of effort.</w:t>
      </w:r>
    </w:p>
    <w:p w14:paraId="08293267" w14:textId="77777777" w:rsidR="00CA6AEA" w:rsidRPr="00462F95" w:rsidRDefault="00CA6AEA" w:rsidP="00CA6AEA">
      <w:pPr>
        <w:numPr>
          <w:ilvl w:val="0"/>
          <w:numId w:val="31"/>
        </w:numPr>
        <w:spacing w:after="0" w:line="240" w:lineRule="auto"/>
        <w:rPr>
          <w:rFonts w:cs="Times New Roman"/>
          <w:szCs w:val="24"/>
        </w:rPr>
      </w:pPr>
      <w:r w:rsidRPr="00462F95">
        <w:rPr>
          <w:rFonts w:cs="Times New Roman"/>
          <w:bCs/>
          <w:szCs w:val="24"/>
        </w:rPr>
        <w:t>Estimates are provided by state by year, given that CMS can approve demonstrations for varying lengths of time.</w:t>
      </w:r>
      <w:r w:rsidRPr="00462F95">
        <w:rPr>
          <w:rFonts w:cs="Times New Roman"/>
          <w:szCs w:val="24"/>
        </w:rPr>
        <w:t xml:space="preserve"> </w:t>
      </w:r>
    </w:p>
    <w:p w14:paraId="2F7F4926" w14:textId="77777777" w:rsidR="00CA6AEA" w:rsidRPr="00462F95" w:rsidRDefault="00CA6AEA" w:rsidP="00CA6AEA">
      <w:pPr>
        <w:numPr>
          <w:ilvl w:val="0"/>
          <w:numId w:val="31"/>
        </w:numPr>
        <w:spacing w:after="0" w:line="240" w:lineRule="auto"/>
        <w:rPr>
          <w:rFonts w:cs="Times New Roman"/>
          <w:b/>
          <w:bCs/>
          <w:szCs w:val="24"/>
          <w:u w:val="single"/>
        </w:rPr>
      </w:pPr>
      <w:r w:rsidRPr="00462F95">
        <w:rPr>
          <w:rFonts w:cs="Times New Roman"/>
          <w:szCs w:val="24"/>
        </w:rPr>
        <w:t>All templates are completed by a health services manager and/or a computer programmer.</w:t>
      </w:r>
    </w:p>
    <w:p w14:paraId="23D5C6CF" w14:textId="77777777" w:rsidR="00C866C4" w:rsidRPr="00E016CC" w:rsidRDefault="00C866C4" w:rsidP="00E016CC">
      <w:pPr>
        <w:pStyle w:val="MarkforTableTitle"/>
        <w:spacing w:after="0"/>
        <w:rPr>
          <w:rFonts w:ascii="Times New Roman" w:hAnsi="Times New Roman"/>
          <w:sz w:val="24"/>
        </w:rPr>
      </w:pPr>
    </w:p>
    <w:p w14:paraId="6BF68EA5" w14:textId="71E9E82C" w:rsidR="00C866C4" w:rsidRPr="00C866C4" w:rsidRDefault="00C866C4" w:rsidP="00C866C4">
      <w:pPr>
        <w:pStyle w:val="MarkforTableTitle"/>
        <w:spacing w:after="0"/>
        <w:rPr>
          <w:rFonts w:ascii="Times New Roman" w:hAnsi="Times New Roman"/>
          <w:i/>
          <w:sz w:val="24"/>
          <w:szCs w:val="24"/>
        </w:rPr>
      </w:pPr>
      <w:r w:rsidRPr="00C866C4">
        <w:rPr>
          <w:rFonts w:ascii="Times New Roman" w:hAnsi="Times New Roman"/>
          <w:i/>
          <w:sz w:val="24"/>
          <w:szCs w:val="24"/>
        </w:rPr>
        <w:t>Wage Estimates</w:t>
      </w:r>
    </w:p>
    <w:p w14:paraId="357CC271" w14:textId="01A0492F" w:rsidR="00C866C4" w:rsidRDefault="00C866C4" w:rsidP="00C866C4">
      <w:pPr>
        <w:pStyle w:val="NormalSS"/>
        <w:spacing w:after="0"/>
      </w:pPr>
    </w:p>
    <w:p w14:paraId="0935EB9C" w14:textId="401C4EA5" w:rsidR="00C866C4" w:rsidRPr="00472269" w:rsidRDefault="00C866C4" w:rsidP="00C866C4">
      <w:pPr>
        <w:spacing w:after="0" w:line="240" w:lineRule="auto"/>
        <w:rPr>
          <w:szCs w:val="24"/>
        </w:rPr>
      </w:pPr>
      <w:r w:rsidRPr="000E318C">
        <w:rPr>
          <w:szCs w:val="24"/>
        </w:rPr>
        <w:t>To derive average costs, we are using data from the U.S. Bureau of Labor Statistics’ May 201</w:t>
      </w:r>
      <w:r w:rsidR="000E318C" w:rsidRPr="000E318C">
        <w:rPr>
          <w:szCs w:val="24"/>
        </w:rPr>
        <w:t>8</w:t>
      </w:r>
      <w:r w:rsidRPr="00472269">
        <w:rPr>
          <w:szCs w:val="24"/>
        </w:rPr>
        <w:t xml:space="preserve"> National Occupational Employment and Wage Estimates for all salary estimates (</w:t>
      </w:r>
      <w:hyperlink r:id="rId16" w:history="1">
        <w:r w:rsidRPr="00472269">
          <w:rPr>
            <w:rStyle w:val="Hyperlink"/>
            <w:szCs w:val="24"/>
          </w:rPr>
          <w:t>http://www.bls.gov/oes/current/oes_nat.htm</w:t>
        </w:r>
      </w:hyperlink>
      <w:r w:rsidRPr="00472269">
        <w:rPr>
          <w:szCs w:val="24"/>
        </w:rPr>
        <w:t>). In this regard, the following table presents the mean hourly wage, the cost of fringe benefits and overhead (calculated at 100 percent of salary), and the adjusted hourly wage.</w:t>
      </w:r>
    </w:p>
    <w:p w14:paraId="28C212BB" w14:textId="77777777" w:rsidR="00C866C4" w:rsidRDefault="00C866C4" w:rsidP="00E016CC">
      <w:pPr>
        <w:pStyle w:val="NormalSS"/>
        <w:spacing w:after="0"/>
      </w:pPr>
    </w:p>
    <w:p w14:paraId="083935FB" w14:textId="77777777" w:rsidR="006244F7" w:rsidRDefault="006244F7" w:rsidP="00E016CC">
      <w:pPr>
        <w:pStyle w:val="NormalSS"/>
        <w:spacing w:after="0"/>
      </w:pPr>
    </w:p>
    <w:p w14:paraId="15D88839" w14:textId="77777777" w:rsidR="006244F7" w:rsidRPr="00C866C4" w:rsidRDefault="006244F7" w:rsidP="00E016CC">
      <w:pPr>
        <w:pStyle w:val="NormalSS"/>
        <w:spacing w:after="0"/>
      </w:pPr>
    </w:p>
    <w:tbl>
      <w:tblPr>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056"/>
        <w:gridCol w:w="1746"/>
        <w:gridCol w:w="1314"/>
        <w:gridCol w:w="1530"/>
        <w:gridCol w:w="1588"/>
      </w:tblGrid>
      <w:tr w:rsidR="00C866C4" w:rsidRPr="00C866C4" w14:paraId="40285026" w14:textId="77777777" w:rsidTr="00E071E1">
        <w:trPr>
          <w:trHeight w:val="686"/>
        </w:trPr>
        <w:tc>
          <w:tcPr>
            <w:tcW w:w="3056" w:type="dxa"/>
          </w:tcPr>
          <w:p w14:paraId="6CCB52FB" w14:textId="77777777" w:rsidR="00C866C4" w:rsidRPr="00C866C4" w:rsidRDefault="00C866C4" w:rsidP="00C866C4">
            <w:pPr>
              <w:pStyle w:val="TableParagraph"/>
              <w:rPr>
                <w:b/>
                <w:sz w:val="20"/>
                <w:szCs w:val="20"/>
              </w:rPr>
            </w:pPr>
            <w:r w:rsidRPr="00C866C4">
              <w:rPr>
                <w:b/>
                <w:sz w:val="20"/>
                <w:szCs w:val="20"/>
              </w:rPr>
              <w:t>Occupation Title</w:t>
            </w:r>
          </w:p>
        </w:tc>
        <w:tc>
          <w:tcPr>
            <w:tcW w:w="1746" w:type="dxa"/>
          </w:tcPr>
          <w:p w14:paraId="4F3B4C43" w14:textId="77777777" w:rsidR="00C866C4" w:rsidRPr="00C866C4" w:rsidRDefault="00C866C4" w:rsidP="00C866C4">
            <w:pPr>
              <w:pStyle w:val="TableParagraph"/>
              <w:ind w:right="245"/>
              <w:jc w:val="center"/>
              <w:rPr>
                <w:b/>
                <w:sz w:val="20"/>
                <w:szCs w:val="20"/>
              </w:rPr>
            </w:pPr>
            <w:r w:rsidRPr="00C866C4">
              <w:rPr>
                <w:b/>
                <w:sz w:val="20"/>
                <w:szCs w:val="20"/>
              </w:rPr>
              <w:t>Occupation Code</w:t>
            </w:r>
          </w:p>
        </w:tc>
        <w:tc>
          <w:tcPr>
            <w:tcW w:w="1314" w:type="dxa"/>
          </w:tcPr>
          <w:p w14:paraId="30E98187" w14:textId="479766CB" w:rsidR="00C866C4" w:rsidRPr="00C866C4" w:rsidRDefault="00C866C4" w:rsidP="00C866C4">
            <w:pPr>
              <w:pStyle w:val="TableParagraph"/>
              <w:ind w:right="325"/>
              <w:jc w:val="center"/>
              <w:rPr>
                <w:b/>
                <w:sz w:val="20"/>
                <w:szCs w:val="20"/>
              </w:rPr>
            </w:pPr>
            <w:r w:rsidRPr="00C866C4">
              <w:rPr>
                <w:b/>
                <w:sz w:val="20"/>
                <w:szCs w:val="20"/>
              </w:rPr>
              <w:t>Mean Hourly Wage ($/</w:t>
            </w:r>
            <w:r w:rsidR="0056166F" w:rsidRPr="00C866C4">
              <w:rPr>
                <w:b/>
                <w:sz w:val="20"/>
                <w:szCs w:val="20"/>
              </w:rPr>
              <w:t>hr.</w:t>
            </w:r>
            <w:r w:rsidRPr="00C866C4">
              <w:rPr>
                <w:b/>
                <w:sz w:val="20"/>
                <w:szCs w:val="20"/>
              </w:rPr>
              <w:t>)</w:t>
            </w:r>
          </w:p>
        </w:tc>
        <w:tc>
          <w:tcPr>
            <w:tcW w:w="1530" w:type="dxa"/>
            <w:tcBorders>
              <w:right w:val="single" w:sz="3" w:space="0" w:color="000000"/>
            </w:tcBorders>
          </w:tcPr>
          <w:p w14:paraId="091AF40F" w14:textId="08A82E02" w:rsidR="00C866C4" w:rsidRPr="00C866C4" w:rsidRDefault="00C866C4" w:rsidP="00C866C4">
            <w:pPr>
              <w:pStyle w:val="TableParagraph"/>
              <w:ind w:left="76" w:right="149"/>
              <w:jc w:val="center"/>
              <w:rPr>
                <w:b/>
                <w:sz w:val="20"/>
                <w:szCs w:val="20"/>
              </w:rPr>
            </w:pPr>
            <w:r w:rsidRPr="00C866C4">
              <w:rPr>
                <w:b/>
                <w:sz w:val="20"/>
                <w:szCs w:val="20"/>
              </w:rPr>
              <w:t>Fringe Benefits and Overhead ($/</w:t>
            </w:r>
            <w:r w:rsidR="0056166F" w:rsidRPr="00C866C4">
              <w:rPr>
                <w:b/>
                <w:sz w:val="20"/>
                <w:szCs w:val="20"/>
              </w:rPr>
              <w:t>hr.</w:t>
            </w:r>
            <w:r w:rsidRPr="00C866C4">
              <w:rPr>
                <w:b/>
                <w:sz w:val="20"/>
                <w:szCs w:val="20"/>
              </w:rPr>
              <w:t>)</w:t>
            </w:r>
          </w:p>
        </w:tc>
        <w:tc>
          <w:tcPr>
            <w:tcW w:w="1588" w:type="dxa"/>
            <w:tcBorders>
              <w:left w:val="single" w:sz="3" w:space="0" w:color="000000"/>
            </w:tcBorders>
          </w:tcPr>
          <w:p w14:paraId="6A119905" w14:textId="36FEF672" w:rsidR="00C866C4" w:rsidRPr="00C866C4" w:rsidRDefault="00C866C4" w:rsidP="00C866C4">
            <w:pPr>
              <w:pStyle w:val="TableParagraph"/>
              <w:ind w:right="317"/>
              <w:jc w:val="center"/>
              <w:rPr>
                <w:b/>
                <w:sz w:val="20"/>
                <w:szCs w:val="20"/>
              </w:rPr>
            </w:pPr>
            <w:r w:rsidRPr="00C866C4">
              <w:rPr>
                <w:b/>
                <w:sz w:val="20"/>
                <w:szCs w:val="20"/>
              </w:rPr>
              <w:t>Adjusted Hourly Wage ($/</w:t>
            </w:r>
            <w:r w:rsidR="0056166F" w:rsidRPr="00C866C4">
              <w:rPr>
                <w:b/>
                <w:sz w:val="20"/>
                <w:szCs w:val="20"/>
              </w:rPr>
              <w:t>hr.</w:t>
            </w:r>
            <w:r w:rsidRPr="00C866C4">
              <w:rPr>
                <w:b/>
                <w:sz w:val="20"/>
                <w:szCs w:val="20"/>
              </w:rPr>
              <w:t>)</w:t>
            </w:r>
          </w:p>
        </w:tc>
      </w:tr>
      <w:tr w:rsidR="00C866C4" w:rsidRPr="00C866C4" w14:paraId="1C2B9BB2" w14:textId="77777777" w:rsidTr="00E071E1">
        <w:trPr>
          <w:trHeight w:val="402"/>
        </w:trPr>
        <w:tc>
          <w:tcPr>
            <w:tcW w:w="3056" w:type="dxa"/>
            <w:tcBorders>
              <w:bottom w:val="single" w:sz="3" w:space="0" w:color="000000"/>
            </w:tcBorders>
          </w:tcPr>
          <w:p w14:paraId="65979AE4" w14:textId="77777777" w:rsidR="00C866C4" w:rsidRPr="00C866C4" w:rsidRDefault="00C866C4" w:rsidP="00C866C4">
            <w:pPr>
              <w:pStyle w:val="TableParagraph"/>
              <w:ind w:left="65"/>
              <w:rPr>
                <w:sz w:val="20"/>
                <w:szCs w:val="20"/>
              </w:rPr>
            </w:pPr>
            <w:r w:rsidRPr="00C866C4">
              <w:rPr>
                <w:sz w:val="20"/>
                <w:szCs w:val="20"/>
              </w:rPr>
              <w:t>Computer programmer</w:t>
            </w:r>
          </w:p>
        </w:tc>
        <w:tc>
          <w:tcPr>
            <w:tcW w:w="1746" w:type="dxa"/>
            <w:tcBorders>
              <w:bottom w:val="single" w:sz="3" w:space="0" w:color="000000"/>
            </w:tcBorders>
          </w:tcPr>
          <w:p w14:paraId="041E1BE9" w14:textId="77777777" w:rsidR="00C866C4" w:rsidRPr="00C866C4" w:rsidRDefault="00C866C4" w:rsidP="00C866C4">
            <w:pPr>
              <w:pStyle w:val="TableParagraph"/>
              <w:jc w:val="center"/>
              <w:rPr>
                <w:sz w:val="20"/>
                <w:szCs w:val="20"/>
              </w:rPr>
            </w:pPr>
            <w:r w:rsidRPr="00C866C4">
              <w:rPr>
                <w:sz w:val="20"/>
                <w:szCs w:val="20"/>
              </w:rPr>
              <w:t>15-1131</w:t>
            </w:r>
          </w:p>
        </w:tc>
        <w:tc>
          <w:tcPr>
            <w:tcW w:w="1314" w:type="dxa"/>
            <w:tcBorders>
              <w:bottom w:val="single" w:sz="3" w:space="0" w:color="000000"/>
            </w:tcBorders>
          </w:tcPr>
          <w:p w14:paraId="12216F85" w14:textId="2AAFFE25" w:rsidR="00C866C4" w:rsidRPr="00C866C4" w:rsidRDefault="00754BC0" w:rsidP="00C866C4">
            <w:pPr>
              <w:pStyle w:val="TableParagraph"/>
              <w:jc w:val="center"/>
              <w:rPr>
                <w:sz w:val="20"/>
                <w:szCs w:val="20"/>
              </w:rPr>
            </w:pPr>
            <w:r>
              <w:rPr>
                <w:sz w:val="20"/>
                <w:szCs w:val="20"/>
              </w:rPr>
              <w:t>43.07</w:t>
            </w:r>
          </w:p>
        </w:tc>
        <w:tc>
          <w:tcPr>
            <w:tcW w:w="1530" w:type="dxa"/>
            <w:tcBorders>
              <w:bottom w:val="single" w:sz="3" w:space="0" w:color="000000"/>
              <w:right w:val="single" w:sz="3" w:space="0" w:color="000000"/>
            </w:tcBorders>
          </w:tcPr>
          <w:p w14:paraId="27C00BCC" w14:textId="79C18D3D" w:rsidR="00C866C4" w:rsidRPr="00C866C4" w:rsidRDefault="00754BC0" w:rsidP="00C866C4">
            <w:pPr>
              <w:pStyle w:val="TableParagraph"/>
              <w:ind w:left="76"/>
              <w:jc w:val="center"/>
              <w:rPr>
                <w:sz w:val="20"/>
                <w:szCs w:val="20"/>
              </w:rPr>
            </w:pPr>
            <w:r>
              <w:rPr>
                <w:sz w:val="20"/>
                <w:szCs w:val="20"/>
              </w:rPr>
              <w:t>43.07</w:t>
            </w:r>
          </w:p>
        </w:tc>
        <w:tc>
          <w:tcPr>
            <w:tcW w:w="1588" w:type="dxa"/>
            <w:tcBorders>
              <w:left w:val="single" w:sz="3" w:space="0" w:color="000000"/>
              <w:bottom w:val="single" w:sz="3" w:space="0" w:color="000000"/>
            </w:tcBorders>
          </w:tcPr>
          <w:p w14:paraId="0D9159B8" w14:textId="794CB9A4" w:rsidR="00C866C4" w:rsidRPr="00C866C4" w:rsidRDefault="00A0361F" w:rsidP="00C866C4">
            <w:pPr>
              <w:pStyle w:val="TableParagraph"/>
              <w:jc w:val="center"/>
              <w:rPr>
                <w:sz w:val="20"/>
                <w:szCs w:val="20"/>
              </w:rPr>
            </w:pPr>
            <w:r>
              <w:rPr>
                <w:sz w:val="20"/>
                <w:szCs w:val="20"/>
              </w:rPr>
              <w:t>86.14</w:t>
            </w:r>
          </w:p>
        </w:tc>
      </w:tr>
      <w:tr w:rsidR="00C866C4" w:rsidRPr="00C866C4" w14:paraId="4B499406" w14:textId="77777777" w:rsidTr="00E071E1">
        <w:trPr>
          <w:trHeight w:val="365"/>
        </w:trPr>
        <w:tc>
          <w:tcPr>
            <w:tcW w:w="3056" w:type="dxa"/>
          </w:tcPr>
          <w:p w14:paraId="5000C9D0" w14:textId="77777777" w:rsidR="00C866C4" w:rsidRPr="00C866C4" w:rsidRDefault="00C866C4" w:rsidP="00C866C4">
            <w:pPr>
              <w:pStyle w:val="TableParagraph"/>
              <w:ind w:left="38"/>
              <w:rPr>
                <w:sz w:val="20"/>
                <w:szCs w:val="20"/>
              </w:rPr>
            </w:pPr>
            <w:r w:rsidRPr="00C866C4">
              <w:rPr>
                <w:sz w:val="20"/>
                <w:szCs w:val="20"/>
              </w:rPr>
              <w:t>Health services manager</w:t>
            </w:r>
          </w:p>
        </w:tc>
        <w:tc>
          <w:tcPr>
            <w:tcW w:w="1746" w:type="dxa"/>
          </w:tcPr>
          <w:p w14:paraId="494B1BB6" w14:textId="77777777" w:rsidR="00C866C4" w:rsidRPr="00C866C4" w:rsidRDefault="00C866C4" w:rsidP="00C866C4">
            <w:pPr>
              <w:pStyle w:val="TableParagraph"/>
              <w:ind w:left="88"/>
              <w:jc w:val="center"/>
              <w:rPr>
                <w:sz w:val="20"/>
                <w:szCs w:val="20"/>
              </w:rPr>
            </w:pPr>
            <w:r w:rsidRPr="00C866C4">
              <w:rPr>
                <w:sz w:val="20"/>
                <w:szCs w:val="20"/>
              </w:rPr>
              <w:t>11-9111</w:t>
            </w:r>
          </w:p>
        </w:tc>
        <w:tc>
          <w:tcPr>
            <w:tcW w:w="1314" w:type="dxa"/>
          </w:tcPr>
          <w:p w14:paraId="6172E537" w14:textId="75E52783" w:rsidR="00C866C4" w:rsidRPr="00C866C4" w:rsidRDefault="00735436" w:rsidP="00C866C4">
            <w:pPr>
              <w:pStyle w:val="TableParagraph"/>
              <w:ind w:left="77"/>
              <w:jc w:val="center"/>
              <w:rPr>
                <w:sz w:val="20"/>
                <w:szCs w:val="20"/>
              </w:rPr>
            </w:pPr>
            <w:r>
              <w:rPr>
                <w:sz w:val="20"/>
                <w:szCs w:val="20"/>
              </w:rPr>
              <w:t>54.68</w:t>
            </w:r>
          </w:p>
        </w:tc>
        <w:tc>
          <w:tcPr>
            <w:tcW w:w="1530" w:type="dxa"/>
            <w:tcBorders>
              <w:right w:val="single" w:sz="3" w:space="0" w:color="000000"/>
            </w:tcBorders>
          </w:tcPr>
          <w:p w14:paraId="0FD04F7E" w14:textId="577BE1E2" w:rsidR="00C866C4" w:rsidRPr="00C866C4" w:rsidRDefault="00735436" w:rsidP="00C866C4">
            <w:pPr>
              <w:pStyle w:val="TableParagraph"/>
              <w:ind w:left="95"/>
              <w:jc w:val="center"/>
              <w:rPr>
                <w:sz w:val="20"/>
                <w:szCs w:val="20"/>
              </w:rPr>
            </w:pPr>
            <w:r>
              <w:rPr>
                <w:sz w:val="20"/>
                <w:szCs w:val="20"/>
              </w:rPr>
              <w:t>54.68</w:t>
            </w:r>
          </w:p>
        </w:tc>
        <w:tc>
          <w:tcPr>
            <w:tcW w:w="1588" w:type="dxa"/>
            <w:tcBorders>
              <w:left w:val="single" w:sz="3" w:space="0" w:color="000000"/>
            </w:tcBorders>
          </w:tcPr>
          <w:p w14:paraId="45864673" w14:textId="3EFB5AED" w:rsidR="00C866C4" w:rsidRPr="00C866C4" w:rsidRDefault="00A0361F" w:rsidP="00C866C4">
            <w:pPr>
              <w:pStyle w:val="TableParagraph"/>
              <w:ind w:left="62"/>
              <w:jc w:val="center"/>
              <w:rPr>
                <w:sz w:val="20"/>
                <w:szCs w:val="20"/>
              </w:rPr>
            </w:pPr>
            <w:r>
              <w:rPr>
                <w:sz w:val="20"/>
                <w:szCs w:val="20"/>
              </w:rPr>
              <w:t>109.36</w:t>
            </w:r>
          </w:p>
        </w:tc>
      </w:tr>
    </w:tbl>
    <w:p w14:paraId="4DAB19EC" w14:textId="47C2E0EB" w:rsidR="00C866C4" w:rsidRDefault="00C866C4" w:rsidP="00E016CC">
      <w:pPr>
        <w:pStyle w:val="NormalSS"/>
        <w:spacing w:after="0"/>
        <w:ind w:firstLine="0"/>
        <w:rPr>
          <w:szCs w:val="24"/>
        </w:rPr>
      </w:pPr>
    </w:p>
    <w:p w14:paraId="180121DC" w14:textId="71C98FBD" w:rsidR="00C866C4" w:rsidRPr="00472269" w:rsidRDefault="00C866C4" w:rsidP="00C866C4">
      <w:pPr>
        <w:spacing w:after="0" w:line="240" w:lineRule="auto"/>
        <w:rPr>
          <w:szCs w:val="24"/>
        </w:rPr>
      </w:pPr>
      <w:r w:rsidRPr="0047226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1A3B7ACE" w14:textId="6C76B775" w:rsidR="00C866C4" w:rsidRDefault="00C866C4" w:rsidP="004F1DDE">
      <w:pPr>
        <w:pStyle w:val="NormalSS"/>
        <w:spacing w:after="0"/>
        <w:ind w:firstLine="0"/>
        <w:rPr>
          <w:szCs w:val="24"/>
        </w:rPr>
      </w:pPr>
    </w:p>
    <w:p w14:paraId="0D73E118" w14:textId="70B76692" w:rsidR="00C866C4" w:rsidRPr="00C866C4" w:rsidRDefault="00E02680" w:rsidP="004F1DDE">
      <w:pPr>
        <w:pStyle w:val="NormalSS"/>
        <w:spacing w:after="0"/>
        <w:ind w:firstLine="0"/>
        <w:rPr>
          <w:i/>
          <w:szCs w:val="24"/>
        </w:rPr>
      </w:pPr>
      <w:r>
        <w:rPr>
          <w:i/>
          <w:szCs w:val="24"/>
        </w:rPr>
        <w:t xml:space="preserve">Collection of Information </w:t>
      </w:r>
      <w:r w:rsidR="00CA6AEA">
        <w:rPr>
          <w:i/>
          <w:szCs w:val="24"/>
        </w:rPr>
        <w:t xml:space="preserve">Requirements and Associated </w:t>
      </w:r>
      <w:r w:rsidR="00C866C4" w:rsidRPr="00C866C4">
        <w:rPr>
          <w:i/>
          <w:szCs w:val="24"/>
        </w:rPr>
        <w:t>Burden Estimates</w:t>
      </w:r>
    </w:p>
    <w:p w14:paraId="561323D6" w14:textId="3752B3D1" w:rsidR="00C866C4" w:rsidRDefault="00C866C4" w:rsidP="001411B6">
      <w:pPr>
        <w:pStyle w:val="NormalSS"/>
        <w:spacing w:after="0"/>
        <w:ind w:firstLine="0"/>
        <w:rPr>
          <w:szCs w:val="24"/>
        </w:rPr>
      </w:pPr>
    </w:p>
    <w:p w14:paraId="78A2C6B4" w14:textId="0AFC5FCF" w:rsidR="00AC47F0" w:rsidRDefault="00AC47F0" w:rsidP="001411B6">
      <w:pPr>
        <w:pStyle w:val="NormalSS"/>
        <w:spacing w:after="0"/>
        <w:ind w:firstLine="0"/>
        <w:rPr>
          <w:szCs w:val="24"/>
        </w:rPr>
      </w:pPr>
      <w:r>
        <w:t xml:space="preserve">Currently, there are 7 (seven) states with an approved </w:t>
      </w:r>
      <w:r w:rsidRPr="00435652">
        <w:rPr>
          <w:color w:val="000000"/>
          <w:szCs w:val="24"/>
        </w:rPr>
        <w:t>Medicaid Section 1115 Eligibility and Coverage</w:t>
      </w:r>
      <w:r w:rsidRPr="00472269">
        <w:t xml:space="preserve"> demonstration </w:t>
      </w:r>
      <w:r>
        <w:t xml:space="preserve">for </w:t>
      </w:r>
      <w:r w:rsidRPr="00472269">
        <w:t xml:space="preserve">reporting, however, we anticipate this number to </w:t>
      </w:r>
      <w:r w:rsidR="005F5AC4">
        <w:t>expand somewhat, so</w:t>
      </w:r>
      <w:r>
        <w:t xml:space="preserve"> for the purpose </w:t>
      </w:r>
      <w:r w:rsidR="005F5AC4">
        <w:t xml:space="preserve">of </w:t>
      </w:r>
      <w:r w:rsidR="00E342EA">
        <w:t xml:space="preserve"> calculat</w:t>
      </w:r>
      <w:r w:rsidR="005F5AC4">
        <w:t>ing</w:t>
      </w:r>
      <w:r>
        <w:t xml:space="preserve"> burden estimates we use</w:t>
      </w:r>
      <w:r w:rsidRPr="00472269">
        <w:t xml:space="preserve"> </w:t>
      </w:r>
      <w:r>
        <w:t>the number of</w:t>
      </w:r>
      <w:r w:rsidRPr="00472269">
        <w:t xml:space="preserve"> </w:t>
      </w:r>
      <w:r>
        <w:t>ten (10</w:t>
      </w:r>
      <w:r w:rsidRPr="00472269">
        <w:t>) sta</w:t>
      </w:r>
      <w:r>
        <w:t>tes.</w:t>
      </w:r>
    </w:p>
    <w:p w14:paraId="17ADDE74" w14:textId="77777777" w:rsidR="00AC47F0" w:rsidRDefault="00AC47F0" w:rsidP="001411B6">
      <w:pPr>
        <w:pStyle w:val="NormalSS"/>
        <w:spacing w:after="0"/>
        <w:ind w:firstLine="0"/>
        <w:rPr>
          <w:szCs w:val="24"/>
        </w:rPr>
      </w:pPr>
    </w:p>
    <w:p w14:paraId="483AFB35" w14:textId="77777777" w:rsidR="00EE7851" w:rsidRPr="00EE7851" w:rsidRDefault="00EE7851" w:rsidP="001411B6">
      <w:pPr>
        <w:pStyle w:val="ListParagraph"/>
        <w:numPr>
          <w:ilvl w:val="0"/>
          <w:numId w:val="49"/>
        </w:numPr>
        <w:spacing w:after="0" w:line="240" w:lineRule="auto"/>
        <w:rPr>
          <w:rFonts w:ascii="Times New Roman" w:hAnsi="Times New Roman"/>
          <w:color w:val="000000"/>
          <w:sz w:val="24"/>
          <w:szCs w:val="24"/>
          <w:u w:val="single"/>
        </w:rPr>
      </w:pPr>
      <w:r w:rsidRPr="00EE7851">
        <w:rPr>
          <w:rFonts w:ascii="Times New Roman" w:hAnsi="Times New Roman"/>
          <w:sz w:val="24"/>
          <w:szCs w:val="24"/>
          <w:u w:val="single"/>
        </w:rPr>
        <w:t xml:space="preserve">The </w:t>
      </w:r>
      <w:r w:rsidRPr="00EE7851">
        <w:rPr>
          <w:rFonts w:ascii="Times New Roman" w:hAnsi="Times New Roman"/>
          <w:color w:val="000000"/>
          <w:sz w:val="24"/>
          <w:szCs w:val="24"/>
          <w:u w:val="single"/>
        </w:rPr>
        <w:t xml:space="preserve">Medicaid Section 1115 Eligibility and Coverage Implementation Plan </w:t>
      </w:r>
    </w:p>
    <w:p w14:paraId="106F2499" w14:textId="77777777" w:rsidR="00EE7851" w:rsidRPr="00EE7851" w:rsidRDefault="00EE7851" w:rsidP="00EE7851">
      <w:pPr>
        <w:spacing w:after="0" w:line="240" w:lineRule="auto"/>
        <w:rPr>
          <w:rFonts w:cs="Times New Roman"/>
          <w:color w:val="000000"/>
          <w:szCs w:val="24"/>
        </w:rPr>
      </w:pPr>
    </w:p>
    <w:p w14:paraId="33EF0B56" w14:textId="77777777" w:rsidR="00435652" w:rsidRDefault="00435652" w:rsidP="00EE7851">
      <w:pPr>
        <w:spacing w:after="0" w:line="240" w:lineRule="auto"/>
        <w:rPr>
          <w:rFonts w:cs="Times New Roman"/>
          <w:color w:val="000000"/>
          <w:szCs w:val="24"/>
        </w:rPr>
      </w:pPr>
      <w:r>
        <w:rPr>
          <w:rFonts w:cs="Times New Roman"/>
          <w:color w:val="000000"/>
          <w:szCs w:val="24"/>
        </w:rPr>
        <w:t xml:space="preserve">The Implementation Plan consists of a one-time submission for year-one of the demonstration. </w:t>
      </w:r>
    </w:p>
    <w:p w14:paraId="43FAEF57" w14:textId="77777777" w:rsidR="00BE6E2E" w:rsidRDefault="00BE6E2E" w:rsidP="00EE7851">
      <w:pPr>
        <w:spacing w:after="0" w:line="240" w:lineRule="auto"/>
        <w:rPr>
          <w:rFonts w:cs="Times New Roman"/>
          <w:color w:val="000000"/>
          <w:szCs w:val="24"/>
        </w:rPr>
      </w:pPr>
    </w:p>
    <w:p w14:paraId="54636DB0" w14:textId="74929FAE" w:rsidR="00EE7851" w:rsidRDefault="00435652" w:rsidP="00EE7851">
      <w:pPr>
        <w:spacing w:after="0" w:line="240" w:lineRule="auto"/>
        <w:rPr>
          <w:rFonts w:cs="Times New Roman"/>
          <w:color w:val="000000"/>
          <w:szCs w:val="24"/>
        </w:rPr>
      </w:pPr>
      <w:r>
        <w:rPr>
          <w:rFonts w:cs="Times New Roman"/>
          <w:color w:val="000000"/>
          <w:szCs w:val="24"/>
        </w:rPr>
        <w:t>The Implementation Plan would be developed by a health services manager and a computer programmer:</w:t>
      </w:r>
    </w:p>
    <w:p w14:paraId="47C6965E" w14:textId="77777777" w:rsidR="00435652" w:rsidRDefault="00435652" w:rsidP="00EE7851">
      <w:pPr>
        <w:spacing w:after="0" w:line="240" w:lineRule="auto"/>
        <w:rPr>
          <w:rFonts w:cs="Times New Roman"/>
          <w:color w:val="000000"/>
          <w:szCs w:val="24"/>
        </w:rPr>
      </w:pPr>
    </w:p>
    <w:p w14:paraId="5150C0A1" w14:textId="2A635A9E" w:rsidR="00435652" w:rsidRPr="00E94A5B" w:rsidRDefault="00435652" w:rsidP="00435652">
      <w:pPr>
        <w:spacing w:after="0" w:line="240" w:lineRule="auto"/>
        <w:rPr>
          <w:rFonts w:cs="Times New Roman"/>
          <w:bCs/>
          <w:szCs w:val="24"/>
        </w:rPr>
      </w:pPr>
      <w:r>
        <w:rPr>
          <w:rFonts w:cs="Times New Roman"/>
          <w:bCs/>
          <w:szCs w:val="24"/>
        </w:rPr>
        <w:t>We estimate i</w:t>
      </w:r>
      <w:r w:rsidR="00C44E39">
        <w:rPr>
          <w:rFonts w:cs="Times New Roman"/>
          <w:bCs/>
          <w:szCs w:val="24"/>
        </w:rPr>
        <w:t>t</w:t>
      </w:r>
      <w:r>
        <w:rPr>
          <w:rFonts w:cs="Times New Roman"/>
          <w:bCs/>
          <w:szCs w:val="24"/>
        </w:rPr>
        <w:t xml:space="preserve"> would take </w:t>
      </w:r>
      <w:r w:rsidR="003E428B">
        <w:rPr>
          <w:rFonts w:cs="Times New Roman"/>
          <w:bCs/>
          <w:szCs w:val="24"/>
        </w:rPr>
        <w:t xml:space="preserve">a total of </w:t>
      </w:r>
      <w:r w:rsidRPr="00E94A5B">
        <w:rPr>
          <w:rFonts w:cs="Times New Roman"/>
          <w:bCs/>
          <w:szCs w:val="24"/>
        </w:rPr>
        <w:t>20 hours</w:t>
      </w:r>
      <w:r w:rsidRPr="00694FC7">
        <w:rPr>
          <w:rFonts w:cs="Times New Roman"/>
          <w:bCs/>
          <w:szCs w:val="24"/>
        </w:rPr>
        <w:t xml:space="preserve"> </w:t>
      </w:r>
      <w:r>
        <w:rPr>
          <w:rFonts w:cs="Times New Roman"/>
          <w:bCs/>
          <w:szCs w:val="24"/>
        </w:rPr>
        <w:t>(</w:t>
      </w:r>
      <w:r w:rsidRPr="00694FC7">
        <w:rPr>
          <w:rFonts w:cs="Times New Roman"/>
          <w:bCs/>
          <w:szCs w:val="24"/>
        </w:rPr>
        <w:t>per state</w:t>
      </w:r>
      <w:r>
        <w:rPr>
          <w:rFonts w:cs="Times New Roman"/>
          <w:bCs/>
          <w:szCs w:val="24"/>
        </w:rPr>
        <w:t>)</w:t>
      </w:r>
      <w:r w:rsidR="003E428B">
        <w:rPr>
          <w:rFonts w:cs="Times New Roman"/>
          <w:bCs/>
          <w:szCs w:val="24"/>
        </w:rPr>
        <w:t xml:space="preserve"> to complete one response.  This would consist of</w:t>
      </w:r>
      <w:r w:rsidRPr="00694FC7">
        <w:rPr>
          <w:rFonts w:cs="Times New Roman"/>
          <w:bCs/>
          <w:szCs w:val="24"/>
        </w:rPr>
        <w:t xml:space="preserve"> </w:t>
      </w:r>
      <w:r w:rsidRPr="00E94A5B">
        <w:rPr>
          <w:rFonts w:cs="Times New Roman"/>
          <w:bCs/>
          <w:szCs w:val="24"/>
        </w:rPr>
        <w:t>of 8 h</w:t>
      </w:r>
      <w:r>
        <w:rPr>
          <w:rFonts w:cs="Times New Roman"/>
          <w:bCs/>
          <w:szCs w:val="24"/>
        </w:rPr>
        <w:t xml:space="preserve">ours at $86.14/hr. </w:t>
      </w:r>
      <w:r w:rsidRPr="00E94A5B">
        <w:rPr>
          <w:rFonts w:cs="Times New Roman"/>
          <w:bCs/>
          <w:szCs w:val="24"/>
        </w:rPr>
        <w:t>for a computer programmer to r</w:t>
      </w:r>
      <w:r w:rsidRPr="00E94A5B">
        <w:rPr>
          <w:rFonts w:cs="Times New Roman"/>
          <w:szCs w:val="24"/>
        </w:rPr>
        <w:t>eview technical specifications</w:t>
      </w:r>
      <w:r w:rsidRPr="00E94A5B">
        <w:rPr>
          <w:rFonts w:cs="Times New Roman"/>
          <w:bCs/>
          <w:szCs w:val="24"/>
        </w:rPr>
        <w:t xml:space="preserve"> and 12 h</w:t>
      </w:r>
      <w:r>
        <w:rPr>
          <w:rFonts w:cs="Times New Roman"/>
          <w:bCs/>
          <w:szCs w:val="24"/>
        </w:rPr>
        <w:t>ours at $109.36/hr.</w:t>
      </w:r>
      <w:r w:rsidRPr="00E94A5B">
        <w:rPr>
          <w:rFonts w:cs="Times New Roman"/>
          <w:bCs/>
          <w:szCs w:val="24"/>
        </w:rPr>
        <w:t xml:space="preserve"> for a health services manager to: c</w:t>
      </w:r>
      <w:r w:rsidRPr="00E94A5B">
        <w:rPr>
          <w:rFonts w:cs="Times New Roman"/>
          <w:szCs w:val="24"/>
        </w:rPr>
        <w:t xml:space="preserve">omplete </w:t>
      </w:r>
      <w:r w:rsidR="003E428B">
        <w:rPr>
          <w:rFonts w:cs="Times New Roman"/>
          <w:szCs w:val="24"/>
        </w:rPr>
        <w:t xml:space="preserve">the </w:t>
      </w:r>
      <w:r w:rsidRPr="00E94A5B">
        <w:rPr>
          <w:rFonts w:cs="Times New Roman"/>
          <w:szCs w:val="24"/>
        </w:rPr>
        <w:t>metrics workbook (4 h</w:t>
      </w:r>
      <w:r>
        <w:rPr>
          <w:rFonts w:cs="Times New Roman"/>
          <w:szCs w:val="24"/>
        </w:rPr>
        <w:t>r.</w:t>
      </w:r>
      <w:r w:rsidRPr="00E94A5B">
        <w:rPr>
          <w:rFonts w:cs="Times New Roman"/>
          <w:szCs w:val="24"/>
        </w:rPr>
        <w:t>), the narrative portion by reviewing the monitoring report template and budget neutrality materials for attestations (4 hr</w:t>
      </w:r>
      <w:r>
        <w:rPr>
          <w:rFonts w:cs="Times New Roman"/>
          <w:szCs w:val="24"/>
        </w:rPr>
        <w:t>.</w:t>
      </w:r>
      <w:r w:rsidRPr="00E94A5B">
        <w:rPr>
          <w:rFonts w:cs="Times New Roman"/>
          <w:szCs w:val="24"/>
        </w:rPr>
        <w:t xml:space="preserve">), and QA </w:t>
      </w:r>
      <w:r>
        <w:rPr>
          <w:rFonts w:cs="Times New Roman"/>
          <w:szCs w:val="24"/>
        </w:rPr>
        <w:t xml:space="preserve">the </w:t>
      </w:r>
      <w:r w:rsidRPr="00E94A5B">
        <w:rPr>
          <w:rFonts w:cs="Times New Roman"/>
          <w:szCs w:val="24"/>
        </w:rPr>
        <w:t>m</w:t>
      </w:r>
      <w:r>
        <w:rPr>
          <w:rFonts w:cs="Times New Roman"/>
          <w:szCs w:val="24"/>
        </w:rPr>
        <w:t>onitoring protocol (4 hr.).</w:t>
      </w:r>
    </w:p>
    <w:p w14:paraId="21FAC651" w14:textId="77777777" w:rsidR="00435652" w:rsidRPr="00223FCC" w:rsidRDefault="00435652" w:rsidP="00435652">
      <w:pPr>
        <w:spacing w:after="0" w:line="240" w:lineRule="auto"/>
      </w:pPr>
    </w:p>
    <w:p w14:paraId="2C96E57F" w14:textId="3E415ECE" w:rsidR="00435652" w:rsidRDefault="00435652" w:rsidP="00435652">
      <w:pPr>
        <w:spacing w:after="0" w:line="240" w:lineRule="auto"/>
        <w:rPr>
          <w:szCs w:val="24"/>
        </w:rPr>
      </w:pPr>
      <w:r w:rsidRPr="00E016CC">
        <w:t>In aggregate</w:t>
      </w:r>
      <w:r>
        <w:rPr>
          <w:szCs w:val="24"/>
        </w:rPr>
        <w:t>,</w:t>
      </w:r>
      <w:r w:rsidRPr="004A420A">
        <w:rPr>
          <w:szCs w:val="24"/>
        </w:rPr>
        <w:t xml:space="preserve"> we estimate a burden of </w:t>
      </w:r>
      <w:r>
        <w:rPr>
          <w:szCs w:val="24"/>
        </w:rPr>
        <w:t>2</w:t>
      </w:r>
      <w:r w:rsidRPr="004A420A">
        <w:rPr>
          <w:szCs w:val="24"/>
        </w:rPr>
        <w:t>00 hours (</w:t>
      </w:r>
      <w:r>
        <w:rPr>
          <w:szCs w:val="24"/>
        </w:rPr>
        <w:t>10</w:t>
      </w:r>
      <w:r w:rsidRPr="004A420A">
        <w:rPr>
          <w:szCs w:val="24"/>
        </w:rPr>
        <w:t xml:space="preserve"> states x 20 hr.) at a cost of $</w:t>
      </w:r>
      <w:r w:rsidRPr="00BF76F7">
        <w:rPr>
          <w:szCs w:val="24"/>
        </w:rPr>
        <w:t>3</w:t>
      </w:r>
      <w:r>
        <w:rPr>
          <w:szCs w:val="24"/>
        </w:rPr>
        <w:t>,</w:t>
      </w:r>
      <w:r w:rsidRPr="00BF76F7">
        <w:rPr>
          <w:szCs w:val="24"/>
        </w:rPr>
        <w:t>035.12</w:t>
      </w:r>
      <w:r w:rsidRPr="004A420A">
        <w:rPr>
          <w:szCs w:val="24"/>
        </w:rPr>
        <w:t xml:space="preserve"> (</w:t>
      </w:r>
      <w:r>
        <w:rPr>
          <w:szCs w:val="24"/>
        </w:rPr>
        <w:t>[</w:t>
      </w:r>
      <w:r w:rsidR="003E428B">
        <w:rPr>
          <w:szCs w:val="24"/>
        </w:rPr>
        <w:t>8</w:t>
      </w:r>
      <w:r>
        <w:rPr>
          <w:szCs w:val="24"/>
        </w:rPr>
        <w:t xml:space="preserve"> hr. x </w:t>
      </w:r>
      <w:r>
        <w:rPr>
          <w:rFonts w:cs="Times New Roman"/>
          <w:bCs/>
          <w:szCs w:val="24"/>
        </w:rPr>
        <w:t>$86.14/hr.</w:t>
      </w:r>
      <w:r w:rsidRPr="004A420A">
        <w:rPr>
          <w:szCs w:val="24"/>
        </w:rPr>
        <w:t>]</w:t>
      </w:r>
      <w:r>
        <w:rPr>
          <w:szCs w:val="24"/>
        </w:rPr>
        <w:t xml:space="preserve"> + [12 hr. x </w:t>
      </w:r>
      <w:r>
        <w:rPr>
          <w:rFonts w:cs="Times New Roman"/>
          <w:bCs/>
          <w:szCs w:val="24"/>
        </w:rPr>
        <w:t>$109.36/hr.]</w:t>
      </w:r>
      <w:r w:rsidRPr="004A420A">
        <w:rPr>
          <w:szCs w:val="24"/>
        </w:rPr>
        <w:t>).</w:t>
      </w:r>
    </w:p>
    <w:p w14:paraId="4875633A" w14:textId="77777777" w:rsidR="00EE7851" w:rsidRPr="00EE7851" w:rsidRDefault="00EE7851" w:rsidP="00EE7851">
      <w:pPr>
        <w:spacing w:after="0" w:line="240" w:lineRule="auto"/>
        <w:rPr>
          <w:rFonts w:cs="Times New Roman"/>
          <w:color w:val="000000"/>
          <w:szCs w:val="24"/>
        </w:rPr>
      </w:pPr>
    </w:p>
    <w:p w14:paraId="33FA2E8B" w14:textId="6B25D1BF" w:rsidR="00C866C4" w:rsidRPr="00EE7851" w:rsidRDefault="00EE7851" w:rsidP="001411B6">
      <w:pPr>
        <w:pStyle w:val="ListParagraph"/>
        <w:numPr>
          <w:ilvl w:val="0"/>
          <w:numId w:val="49"/>
        </w:numPr>
        <w:spacing w:after="0" w:line="240" w:lineRule="auto"/>
        <w:rPr>
          <w:rFonts w:ascii="Times New Roman" w:hAnsi="Times New Roman"/>
          <w:color w:val="000000"/>
          <w:sz w:val="24"/>
          <w:szCs w:val="24"/>
          <w:u w:val="single"/>
        </w:rPr>
      </w:pPr>
      <w:r w:rsidRPr="00EE7851">
        <w:rPr>
          <w:rFonts w:ascii="Times New Roman" w:hAnsi="Times New Roman"/>
          <w:color w:val="000000"/>
          <w:sz w:val="24"/>
          <w:szCs w:val="24"/>
          <w:u w:val="single"/>
        </w:rPr>
        <w:t>The Medicaid Section 1115 Eligibility and Coverage</w:t>
      </w:r>
      <w:r w:rsidRPr="00EE7851">
        <w:rPr>
          <w:rFonts w:ascii="Times New Roman" w:hAnsi="Times New Roman"/>
          <w:sz w:val="24"/>
          <w:szCs w:val="24"/>
          <w:u w:val="single"/>
        </w:rPr>
        <w:t xml:space="preserve"> </w:t>
      </w:r>
      <w:r w:rsidR="009F1F61" w:rsidRPr="00EE7851">
        <w:rPr>
          <w:rFonts w:ascii="Times New Roman" w:hAnsi="Times New Roman"/>
          <w:sz w:val="24"/>
          <w:szCs w:val="24"/>
          <w:u w:val="single"/>
        </w:rPr>
        <w:t>M</w:t>
      </w:r>
      <w:r w:rsidR="00C866C4" w:rsidRPr="00EE7851">
        <w:rPr>
          <w:rFonts w:ascii="Times New Roman" w:hAnsi="Times New Roman"/>
          <w:sz w:val="24"/>
          <w:szCs w:val="24"/>
          <w:u w:val="single"/>
        </w:rPr>
        <w:t xml:space="preserve">onitoring </w:t>
      </w:r>
      <w:r w:rsidR="009F1F61" w:rsidRPr="00EE7851">
        <w:rPr>
          <w:rFonts w:ascii="Times New Roman" w:hAnsi="Times New Roman"/>
          <w:sz w:val="24"/>
          <w:szCs w:val="24"/>
          <w:u w:val="single"/>
        </w:rPr>
        <w:t>P</w:t>
      </w:r>
      <w:r w:rsidR="00C866C4" w:rsidRPr="00EE7851">
        <w:rPr>
          <w:rFonts w:ascii="Times New Roman" w:hAnsi="Times New Roman"/>
          <w:sz w:val="24"/>
          <w:szCs w:val="24"/>
          <w:u w:val="single"/>
        </w:rPr>
        <w:t>rotocol</w:t>
      </w:r>
    </w:p>
    <w:p w14:paraId="2EEEA25D" w14:textId="77777777" w:rsidR="006244F7" w:rsidRDefault="006244F7" w:rsidP="00E016CC">
      <w:pPr>
        <w:spacing w:after="0" w:line="240" w:lineRule="auto"/>
      </w:pPr>
    </w:p>
    <w:p w14:paraId="482CCFD7" w14:textId="0C6B9819" w:rsidR="00C866C4" w:rsidRPr="00E016CC" w:rsidRDefault="00BD1124" w:rsidP="00E016CC">
      <w:pPr>
        <w:spacing w:after="0" w:line="240" w:lineRule="auto"/>
      </w:pPr>
      <w:r w:rsidRPr="00E016CC">
        <w:t>Monitoring</w:t>
      </w:r>
      <w:r w:rsidR="001411B6" w:rsidRPr="00E016CC">
        <w:t xml:space="preserve"> protocol </w:t>
      </w:r>
      <w:r w:rsidR="001411B6">
        <w:rPr>
          <w:rFonts w:cs="Times New Roman"/>
          <w:szCs w:val="24"/>
        </w:rPr>
        <w:t xml:space="preserve">consists of </w:t>
      </w:r>
      <w:r w:rsidR="00694FC7">
        <w:rPr>
          <w:rFonts w:cs="Times New Roman"/>
          <w:szCs w:val="24"/>
        </w:rPr>
        <w:t>a</w:t>
      </w:r>
      <w:r w:rsidR="00694FC7" w:rsidRPr="00E016CC">
        <w:t xml:space="preserve"> </w:t>
      </w:r>
      <w:r w:rsidR="00C866C4" w:rsidRPr="00E016CC">
        <w:t xml:space="preserve">one-time submission </w:t>
      </w:r>
      <w:r w:rsidR="00694FC7">
        <w:rPr>
          <w:rFonts w:cs="Times New Roman"/>
          <w:szCs w:val="24"/>
        </w:rPr>
        <w:t>for</w:t>
      </w:r>
      <w:r w:rsidR="00694FC7" w:rsidRPr="00E016CC">
        <w:t xml:space="preserve"> </w:t>
      </w:r>
      <w:r w:rsidR="00C866C4" w:rsidRPr="00E016CC">
        <w:t>year-one of the demonstration.</w:t>
      </w:r>
      <w:r w:rsidR="001411B6">
        <w:rPr>
          <w:rFonts w:cs="Times New Roman"/>
          <w:szCs w:val="24"/>
        </w:rPr>
        <w:t xml:space="preserve"> </w:t>
      </w:r>
      <w:r w:rsidR="007E785B">
        <w:rPr>
          <w:rFonts w:cs="Times New Roman"/>
          <w:szCs w:val="24"/>
        </w:rPr>
        <w:t xml:space="preserve">The </w:t>
      </w:r>
      <w:r w:rsidR="00C866C4">
        <w:rPr>
          <w:rFonts w:cs="Times New Roman"/>
          <w:szCs w:val="24"/>
        </w:rPr>
        <w:t>p</w:t>
      </w:r>
      <w:r w:rsidR="00C866C4" w:rsidRPr="00462F95">
        <w:rPr>
          <w:rFonts w:cs="Times New Roman"/>
          <w:szCs w:val="24"/>
        </w:rPr>
        <w:t xml:space="preserve">rotocol </w:t>
      </w:r>
      <w:r w:rsidR="007E785B">
        <w:rPr>
          <w:rFonts w:cs="Times New Roman"/>
          <w:szCs w:val="24"/>
        </w:rPr>
        <w:t xml:space="preserve">would be </w:t>
      </w:r>
      <w:r w:rsidR="001411B6">
        <w:rPr>
          <w:rFonts w:cs="Times New Roman"/>
          <w:szCs w:val="24"/>
        </w:rPr>
        <w:t xml:space="preserve">developed </w:t>
      </w:r>
      <w:r w:rsidR="00C866C4" w:rsidRPr="00462F95">
        <w:rPr>
          <w:rFonts w:cs="Times New Roman"/>
          <w:szCs w:val="24"/>
        </w:rPr>
        <w:t xml:space="preserve">by </w:t>
      </w:r>
      <w:r w:rsidR="007E785B">
        <w:rPr>
          <w:rFonts w:cs="Times New Roman"/>
          <w:szCs w:val="24"/>
        </w:rPr>
        <w:t xml:space="preserve">a </w:t>
      </w:r>
      <w:r w:rsidR="00C866C4" w:rsidRPr="00462F95">
        <w:rPr>
          <w:rFonts w:cs="Times New Roman"/>
          <w:szCs w:val="24"/>
        </w:rPr>
        <w:t xml:space="preserve">health services manager and </w:t>
      </w:r>
      <w:r w:rsidR="007E785B">
        <w:rPr>
          <w:rFonts w:cs="Times New Roman"/>
          <w:szCs w:val="24"/>
        </w:rPr>
        <w:t xml:space="preserve">a </w:t>
      </w:r>
      <w:r w:rsidR="00C866C4" w:rsidRPr="00462F95">
        <w:rPr>
          <w:rFonts w:cs="Times New Roman"/>
          <w:szCs w:val="24"/>
        </w:rPr>
        <w:t xml:space="preserve">computer programmer: </w:t>
      </w:r>
    </w:p>
    <w:p w14:paraId="21E72E13" w14:textId="77777777" w:rsidR="0062222B" w:rsidRPr="00462F95" w:rsidRDefault="0062222B" w:rsidP="00E016CC">
      <w:pPr>
        <w:spacing w:after="0" w:line="240" w:lineRule="auto"/>
        <w:rPr>
          <w:rFonts w:cs="Times New Roman"/>
          <w:szCs w:val="24"/>
        </w:rPr>
      </w:pPr>
    </w:p>
    <w:p w14:paraId="5DF2143F" w14:textId="4467A8D8" w:rsidR="00C866C4" w:rsidRPr="00E94A5B" w:rsidRDefault="004A420A" w:rsidP="001411B6">
      <w:pPr>
        <w:spacing w:after="0" w:line="240" w:lineRule="auto"/>
        <w:rPr>
          <w:rFonts w:cs="Times New Roman"/>
          <w:bCs/>
          <w:szCs w:val="24"/>
        </w:rPr>
      </w:pPr>
      <w:r>
        <w:rPr>
          <w:rFonts w:cs="Times New Roman"/>
          <w:bCs/>
          <w:szCs w:val="24"/>
        </w:rPr>
        <w:t>We estimate i</w:t>
      </w:r>
      <w:r w:rsidR="003E428B">
        <w:rPr>
          <w:rFonts w:cs="Times New Roman"/>
          <w:bCs/>
          <w:szCs w:val="24"/>
        </w:rPr>
        <w:t>t</w:t>
      </w:r>
      <w:r>
        <w:rPr>
          <w:rFonts w:cs="Times New Roman"/>
          <w:bCs/>
          <w:szCs w:val="24"/>
        </w:rPr>
        <w:t xml:space="preserve"> would take </w:t>
      </w:r>
      <w:r w:rsidR="003E428B">
        <w:rPr>
          <w:rFonts w:cs="Times New Roman"/>
          <w:bCs/>
          <w:szCs w:val="24"/>
        </w:rPr>
        <w:t xml:space="preserve">a total </w:t>
      </w:r>
      <w:r w:rsidR="00C866C4" w:rsidRPr="00E94A5B">
        <w:rPr>
          <w:rFonts w:cs="Times New Roman"/>
          <w:bCs/>
          <w:szCs w:val="24"/>
        </w:rPr>
        <w:t>20 hours</w:t>
      </w:r>
      <w:r w:rsidR="00C866C4" w:rsidRPr="00694FC7">
        <w:rPr>
          <w:rFonts w:cs="Times New Roman"/>
          <w:bCs/>
          <w:szCs w:val="24"/>
        </w:rPr>
        <w:t xml:space="preserve"> </w:t>
      </w:r>
      <w:r w:rsidR="0062222B">
        <w:rPr>
          <w:rFonts w:cs="Times New Roman"/>
          <w:bCs/>
          <w:szCs w:val="24"/>
        </w:rPr>
        <w:t>(</w:t>
      </w:r>
      <w:r w:rsidR="00694FC7" w:rsidRPr="00694FC7">
        <w:rPr>
          <w:rFonts w:cs="Times New Roman"/>
          <w:bCs/>
          <w:szCs w:val="24"/>
        </w:rPr>
        <w:t>per state</w:t>
      </w:r>
      <w:r w:rsidR="0062222B">
        <w:rPr>
          <w:rFonts w:cs="Times New Roman"/>
          <w:bCs/>
          <w:szCs w:val="24"/>
        </w:rPr>
        <w:t>)</w:t>
      </w:r>
      <w:r w:rsidR="00694FC7" w:rsidRPr="00694FC7">
        <w:rPr>
          <w:rFonts w:cs="Times New Roman"/>
          <w:bCs/>
          <w:szCs w:val="24"/>
        </w:rPr>
        <w:t xml:space="preserve"> </w:t>
      </w:r>
      <w:r w:rsidR="003E428B">
        <w:rPr>
          <w:rFonts w:cs="Times New Roman"/>
          <w:bCs/>
          <w:szCs w:val="24"/>
        </w:rPr>
        <w:t xml:space="preserve">to complete one response.  This would consist </w:t>
      </w:r>
      <w:r w:rsidR="00E94A5B" w:rsidRPr="00E94A5B">
        <w:rPr>
          <w:rFonts w:cs="Times New Roman"/>
          <w:bCs/>
          <w:szCs w:val="24"/>
        </w:rPr>
        <w:t>of 8 h</w:t>
      </w:r>
      <w:r w:rsidR="00694FC7">
        <w:rPr>
          <w:rFonts w:cs="Times New Roman"/>
          <w:bCs/>
          <w:szCs w:val="24"/>
        </w:rPr>
        <w:t xml:space="preserve">ours </w:t>
      </w:r>
      <w:r w:rsidR="0062222B">
        <w:rPr>
          <w:rFonts w:cs="Times New Roman"/>
          <w:bCs/>
          <w:szCs w:val="24"/>
        </w:rPr>
        <w:t>at $</w:t>
      </w:r>
      <w:r w:rsidR="00F82BC4">
        <w:rPr>
          <w:rFonts w:cs="Times New Roman"/>
          <w:bCs/>
          <w:szCs w:val="24"/>
        </w:rPr>
        <w:t>86.14</w:t>
      </w:r>
      <w:r w:rsidR="0062222B">
        <w:rPr>
          <w:rFonts w:cs="Times New Roman"/>
          <w:bCs/>
          <w:szCs w:val="24"/>
        </w:rPr>
        <w:t>/hr</w:t>
      </w:r>
      <w:r w:rsidR="00435652">
        <w:rPr>
          <w:rFonts w:cs="Times New Roman"/>
          <w:bCs/>
          <w:szCs w:val="24"/>
        </w:rPr>
        <w:t>.</w:t>
      </w:r>
      <w:r w:rsidR="0062222B">
        <w:rPr>
          <w:rFonts w:cs="Times New Roman"/>
          <w:bCs/>
          <w:szCs w:val="24"/>
        </w:rPr>
        <w:t xml:space="preserve"> </w:t>
      </w:r>
      <w:r w:rsidR="00C866C4" w:rsidRPr="00E94A5B">
        <w:rPr>
          <w:rFonts w:cs="Times New Roman"/>
          <w:bCs/>
          <w:szCs w:val="24"/>
        </w:rPr>
        <w:t xml:space="preserve">for </w:t>
      </w:r>
      <w:r w:rsidR="00E94A5B" w:rsidRPr="00E94A5B">
        <w:rPr>
          <w:rFonts w:cs="Times New Roman"/>
          <w:bCs/>
          <w:szCs w:val="24"/>
        </w:rPr>
        <w:t xml:space="preserve">a </w:t>
      </w:r>
      <w:r w:rsidR="00C866C4" w:rsidRPr="00E94A5B">
        <w:rPr>
          <w:rFonts w:cs="Times New Roman"/>
          <w:bCs/>
          <w:szCs w:val="24"/>
        </w:rPr>
        <w:t xml:space="preserve">computer programmer </w:t>
      </w:r>
      <w:r w:rsidR="00E94A5B" w:rsidRPr="00E94A5B">
        <w:rPr>
          <w:rFonts w:cs="Times New Roman"/>
          <w:bCs/>
          <w:szCs w:val="24"/>
        </w:rPr>
        <w:t>to r</w:t>
      </w:r>
      <w:r w:rsidR="00E94A5B" w:rsidRPr="00E94A5B">
        <w:rPr>
          <w:rFonts w:cs="Times New Roman"/>
          <w:szCs w:val="24"/>
        </w:rPr>
        <w:t>eview technical specifications</w:t>
      </w:r>
      <w:r w:rsidR="00E94A5B" w:rsidRPr="00E94A5B">
        <w:rPr>
          <w:rFonts w:cs="Times New Roman"/>
          <w:bCs/>
          <w:szCs w:val="24"/>
        </w:rPr>
        <w:t xml:space="preserve"> </w:t>
      </w:r>
      <w:r w:rsidR="00C866C4" w:rsidRPr="00E94A5B">
        <w:rPr>
          <w:rFonts w:cs="Times New Roman"/>
          <w:bCs/>
          <w:szCs w:val="24"/>
        </w:rPr>
        <w:t xml:space="preserve">and </w:t>
      </w:r>
      <w:r w:rsidR="00E94A5B" w:rsidRPr="00E94A5B">
        <w:rPr>
          <w:rFonts w:cs="Times New Roman"/>
          <w:bCs/>
          <w:szCs w:val="24"/>
        </w:rPr>
        <w:t>12 h</w:t>
      </w:r>
      <w:r w:rsidR="00694FC7">
        <w:rPr>
          <w:rFonts w:cs="Times New Roman"/>
          <w:bCs/>
          <w:szCs w:val="24"/>
        </w:rPr>
        <w:t xml:space="preserve">ours </w:t>
      </w:r>
      <w:r w:rsidR="00E30C39">
        <w:rPr>
          <w:rFonts w:cs="Times New Roman"/>
          <w:bCs/>
          <w:szCs w:val="24"/>
        </w:rPr>
        <w:t xml:space="preserve">at </w:t>
      </w:r>
      <w:r w:rsidR="0062222B">
        <w:rPr>
          <w:rFonts w:cs="Times New Roman"/>
          <w:bCs/>
          <w:szCs w:val="24"/>
        </w:rPr>
        <w:t>$</w:t>
      </w:r>
      <w:r w:rsidR="00F82BC4">
        <w:rPr>
          <w:rFonts w:cs="Times New Roman"/>
          <w:bCs/>
          <w:szCs w:val="24"/>
        </w:rPr>
        <w:t>109.36</w:t>
      </w:r>
      <w:r w:rsidR="0062222B">
        <w:rPr>
          <w:rFonts w:cs="Times New Roman"/>
          <w:bCs/>
          <w:szCs w:val="24"/>
        </w:rPr>
        <w:t>/hr</w:t>
      </w:r>
      <w:r w:rsidR="00435652">
        <w:rPr>
          <w:rFonts w:cs="Times New Roman"/>
          <w:bCs/>
          <w:szCs w:val="24"/>
        </w:rPr>
        <w:t>.</w:t>
      </w:r>
      <w:r w:rsidR="0062222B" w:rsidRPr="00E94A5B">
        <w:rPr>
          <w:rFonts w:cs="Times New Roman"/>
          <w:bCs/>
          <w:szCs w:val="24"/>
        </w:rPr>
        <w:t xml:space="preserve"> </w:t>
      </w:r>
      <w:r w:rsidR="00C866C4" w:rsidRPr="00E94A5B">
        <w:rPr>
          <w:rFonts w:cs="Times New Roman"/>
          <w:bCs/>
          <w:szCs w:val="24"/>
        </w:rPr>
        <w:t xml:space="preserve">for </w:t>
      </w:r>
      <w:r w:rsidR="00E94A5B" w:rsidRPr="00E94A5B">
        <w:rPr>
          <w:rFonts w:cs="Times New Roman"/>
          <w:bCs/>
          <w:szCs w:val="24"/>
        </w:rPr>
        <w:t xml:space="preserve">a </w:t>
      </w:r>
      <w:r w:rsidR="00C866C4" w:rsidRPr="00E94A5B">
        <w:rPr>
          <w:rFonts w:cs="Times New Roman"/>
          <w:bCs/>
          <w:szCs w:val="24"/>
        </w:rPr>
        <w:t>health services manager</w:t>
      </w:r>
      <w:r w:rsidR="00E94A5B" w:rsidRPr="00E94A5B">
        <w:rPr>
          <w:rFonts w:cs="Times New Roman"/>
          <w:bCs/>
          <w:szCs w:val="24"/>
        </w:rPr>
        <w:t xml:space="preserve"> to: c</w:t>
      </w:r>
      <w:r w:rsidR="00E94A5B" w:rsidRPr="00E94A5B">
        <w:rPr>
          <w:rFonts w:cs="Times New Roman"/>
          <w:szCs w:val="24"/>
        </w:rPr>
        <w:t>omplete</w:t>
      </w:r>
      <w:r w:rsidR="003E428B">
        <w:rPr>
          <w:rFonts w:cs="Times New Roman"/>
          <w:szCs w:val="24"/>
        </w:rPr>
        <w:t xml:space="preserve"> the</w:t>
      </w:r>
      <w:r w:rsidR="00E94A5B" w:rsidRPr="00E94A5B">
        <w:rPr>
          <w:rFonts w:cs="Times New Roman"/>
          <w:szCs w:val="24"/>
        </w:rPr>
        <w:t xml:space="preserve"> metrics workbook (4 h</w:t>
      </w:r>
      <w:r w:rsidR="00E94A5B">
        <w:rPr>
          <w:rFonts w:cs="Times New Roman"/>
          <w:szCs w:val="24"/>
        </w:rPr>
        <w:t>r</w:t>
      </w:r>
      <w:r w:rsidR="00435652">
        <w:rPr>
          <w:rFonts w:cs="Times New Roman"/>
          <w:szCs w:val="24"/>
        </w:rPr>
        <w:t>.</w:t>
      </w:r>
      <w:r w:rsidR="00E94A5B" w:rsidRPr="00E94A5B">
        <w:rPr>
          <w:rFonts w:cs="Times New Roman"/>
          <w:szCs w:val="24"/>
        </w:rPr>
        <w:t>), complete the narrative portion by reviewing the monitoring report template and budget neutrality materials for attestations (4 hr</w:t>
      </w:r>
      <w:r w:rsidR="00435652">
        <w:rPr>
          <w:rFonts w:cs="Times New Roman"/>
          <w:szCs w:val="24"/>
        </w:rPr>
        <w:t>.</w:t>
      </w:r>
      <w:r w:rsidR="00E94A5B" w:rsidRPr="00E94A5B">
        <w:rPr>
          <w:rFonts w:cs="Times New Roman"/>
          <w:szCs w:val="24"/>
        </w:rPr>
        <w:t xml:space="preserve">), and QA </w:t>
      </w:r>
      <w:r w:rsidR="00E94A5B">
        <w:rPr>
          <w:rFonts w:cs="Times New Roman"/>
          <w:szCs w:val="24"/>
        </w:rPr>
        <w:t xml:space="preserve">the </w:t>
      </w:r>
      <w:r w:rsidR="00E94A5B" w:rsidRPr="00E94A5B">
        <w:rPr>
          <w:rFonts w:cs="Times New Roman"/>
          <w:szCs w:val="24"/>
        </w:rPr>
        <w:t>m</w:t>
      </w:r>
      <w:r w:rsidR="00E94A5B">
        <w:rPr>
          <w:rFonts w:cs="Times New Roman"/>
          <w:szCs w:val="24"/>
        </w:rPr>
        <w:t>onitoring protocol (4 hr</w:t>
      </w:r>
      <w:r w:rsidR="00435652">
        <w:rPr>
          <w:rFonts w:cs="Times New Roman"/>
          <w:szCs w:val="24"/>
        </w:rPr>
        <w:t>.</w:t>
      </w:r>
      <w:r w:rsidR="00E94A5B">
        <w:rPr>
          <w:rFonts w:cs="Times New Roman"/>
          <w:szCs w:val="24"/>
        </w:rPr>
        <w:t>).</w:t>
      </w:r>
    </w:p>
    <w:p w14:paraId="2E766DBE" w14:textId="77777777" w:rsidR="004A420A" w:rsidRPr="00223FCC" w:rsidRDefault="004A420A" w:rsidP="00E016CC">
      <w:pPr>
        <w:spacing w:after="0" w:line="240" w:lineRule="auto"/>
      </w:pPr>
    </w:p>
    <w:p w14:paraId="7084F0CE" w14:textId="462C84F3" w:rsidR="00C866C4" w:rsidRDefault="007E785B" w:rsidP="004A420A">
      <w:pPr>
        <w:spacing w:after="0" w:line="240" w:lineRule="auto"/>
        <w:rPr>
          <w:szCs w:val="24"/>
        </w:rPr>
      </w:pPr>
      <w:r w:rsidRPr="00E016CC">
        <w:t>In aggregate</w:t>
      </w:r>
      <w:r w:rsidR="00E30C39">
        <w:rPr>
          <w:szCs w:val="24"/>
        </w:rPr>
        <w:t>,</w:t>
      </w:r>
      <w:r w:rsidRPr="004A420A">
        <w:rPr>
          <w:szCs w:val="24"/>
        </w:rPr>
        <w:t xml:space="preserve"> we estimate a burden of </w:t>
      </w:r>
      <w:r w:rsidR="005757F3">
        <w:rPr>
          <w:szCs w:val="24"/>
        </w:rPr>
        <w:t>2</w:t>
      </w:r>
      <w:r w:rsidR="00976353" w:rsidRPr="004A420A">
        <w:rPr>
          <w:szCs w:val="24"/>
        </w:rPr>
        <w:t>00</w:t>
      </w:r>
      <w:r w:rsidRPr="004A420A">
        <w:rPr>
          <w:szCs w:val="24"/>
        </w:rPr>
        <w:t xml:space="preserve"> hours (</w:t>
      </w:r>
      <w:r w:rsidR="005757F3">
        <w:rPr>
          <w:szCs w:val="24"/>
        </w:rPr>
        <w:t>10</w:t>
      </w:r>
      <w:r w:rsidRPr="004A420A">
        <w:rPr>
          <w:szCs w:val="24"/>
        </w:rPr>
        <w:t xml:space="preserve"> states</w:t>
      </w:r>
      <w:r w:rsidR="00A13797" w:rsidRPr="004A420A">
        <w:rPr>
          <w:szCs w:val="24"/>
        </w:rPr>
        <w:t xml:space="preserve"> x 20 </w:t>
      </w:r>
      <w:r w:rsidR="0056166F" w:rsidRPr="004A420A">
        <w:rPr>
          <w:szCs w:val="24"/>
        </w:rPr>
        <w:t>hr.</w:t>
      </w:r>
      <w:r w:rsidR="00A13797" w:rsidRPr="004A420A">
        <w:rPr>
          <w:szCs w:val="24"/>
        </w:rPr>
        <w:t>)</w:t>
      </w:r>
      <w:r w:rsidRPr="004A420A">
        <w:rPr>
          <w:szCs w:val="24"/>
        </w:rPr>
        <w:t xml:space="preserve"> at a cost of $</w:t>
      </w:r>
      <w:r w:rsidR="00BF76F7" w:rsidRPr="00BF76F7">
        <w:rPr>
          <w:szCs w:val="24"/>
        </w:rPr>
        <w:t>3</w:t>
      </w:r>
      <w:r w:rsidR="00BF76F7">
        <w:rPr>
          <w:szCs w:val="24"/>
        </w:rPr>
        <w:t>,</w:t>
      </w:r>
      <w:r w:rsidR="00BF76F7" w:rsidRPr="00BF76F7">
        <w:rPr>
          <w:szCs w:val="24"/>
        </w:rPr>
        <w:t>035.12</w:t>
      </w:r>
      <w:r w:rsidRPr="004A420A">
        <w:rPr>
          <w:szCs w:val="24"/>
        </w:rPr>
        <w:t xml:space="preserve"> (</w:t>
      </w:r>
      <w:r w:rsidR="00E30C39">
        <w:rPr>
          <w:szCs w:val="24"/>
        </w:rPr>
        <w:t>[</w:t>
      </w:r>
      <w:r w:rsidR="0035711F">
        <w:rPr>
          <w:szCs w:val="24"/>
        </w:rPr>
        <w:t>8</w:t>
      </w:r>
      <w:r w:rsidR="00E30C39">
        <w:rPr>
          <w:szCs w:val="24"/>
        </w:rPr>
        <w:t xml:space="preserve"> hr</w:t>
      </w:r>
      <w:r w:rsidR="00435652">
        <w:rPr>
          <w:szCs w:val="24"/>
        </w:rPr>
        <w:t>.</w:t>
      </w:r>
      <w:r w:rsidR="00E30C39">
        <w:rPr>
          <w:szCs w:val="24"/>
        </w:rPr>
        <w:t xml:space="preserve"> x </w:t>
      </w:r>
      <w:r w:rsidR="00E30C39">
        <w:rPr>
          <w:rFonts w:cs="Times New Roman"/>
          <w:bCs/>
          <w:szCs w:val="24"/>
        </w:rPr>
        <w:t>$86.14/</w:t>
      </w:r>
      <w:r w:rsidR="00BD1124">
        <w:rPr>
          <w:rFonts w:cs="Times New Roman"/>
          <w:bCs/>
          <w:szCs w:val="24"/>
        </w:rPr>
        <w:t>hr</w:t>
      </w:r>
      <w:r w:rsidR="00435652">
        <w:rPr>
          <w:rFonts w:cs="Times New Roman"/>
          <w:bCs/>
          <w:szCs w:val="24"/>
        </w:rPr>
        <w:t>.</w:t>
      </w:r>
      <w:r w:rsidR="00BD1124" w:rsidRPr="004A420A">
        <w:rPr>
          <w:szCs w:val="24"/>
        </w:rPr>
        <w:t>]</w:t>
      </w:r>
      <w:r w:rsidR="00E30C39">
        <w:rPr>
          <w:szCs w:val="24"/>
        </w:rPr>
        <w:t xml:space="preserve"> + [12 hr</w:t>
      </w:r>
      <w:r w:rsidR="00435652">
        <w:rPr>
          <w:szCs w:val="24"/>
        </w:rPr>
        <w:t>.</w:t>
      </w:r>
      <w:r w:rsidR="00E30C39">
        <w:rPr>
          <w:szCs w:val="24"/>
        </w:rPr>
        <w:t xml:space="preserve"> x </w:t>
      </w:r>
      <w:r w:rsidR="00E30C39">
        <w:rPr>
          <w:rFonts w:cs="Times New Roman"/>
          <w:bCs/>
          <w:szCs w:val="24"/>
        </w:rPr>
        <w:t>$109.36/hr</w:t>
      </w:r>
      <w:r w:rsidR="00435652">
        <w:rPr>
          <w:rFonts w:cs="Times New Roman"/>
          <w:bCs/>
          <w:szCs w:val="24"/>
        </w:rPr>
        <w:t>.</w:t>
      </w:r>
      <w:r w:rsidR="00E30C39">
        <w:rPr>
          <w:rFonts w:cs="Times New Roman"/>
          <w:bCs/>
          <w:szCs w:val="24"/>
        </w:rPr>
        <w:t>]</w:t>
      </w:r>
      <w:r w:rsidRPr="004A420A">
        <w:rPr>
          <w:szCs w:val="24"/>
        </w:rPr>
        <w:t>).</w:t>
      </w:r>
    </w:p>
    <w:p w14:paraId="6F44A5A3" w14:textId="77777777" w:rsidR="00432BF7" w:rsidRDefault="00432BF7" w:rsidP="00432BF7">
      <w:pPr>
        <w:pStyle w:val="NormalSS"/>
        <w:spacing w:after="0"/>
        <w:ind w:firstLine="0"/>
        <w:rPr>
          <w:szCs w:val="24"/>
        </w:rPr>
      </w:pPr>
    </w:p>
    <w:p w14:paraId="0B833A8E" w14:textId="1783A47B" w:rsidR="00C866C4" w:rsidRPr="00EE7851" w:rsidRDefault="00EE7851" w:rsidP="00EE7851">
      <w:pPr>
        <w:pStyle w:val="ListParagraph"/>
        <w:numPr>
          <w:ilvl w:val="0"/>
          <w:numId w:val="49"/>
        </w:numPr>
        <w:spacing w:after="0" w:line="240" w:lineRule="auto"/>
        <w:rPr>
          <w:rFonts w:ascii="Times New Roman" w:hAnsi="Times New Roman"/>
          <w:sz w:val="24"/>
          <w:szCs w:val="24"/>
          <w:u w:val="single"/>
        </w:rPr>
      </w:pPr>
      <w:r w:rsidRPr="00EE7851">
        <w:rPr>
          <w:rFonts w:ascii="Times New Roman" w:hAnsi="Times New Roman"/>
          <w:sz w:val="24"/>
          <w:szCs w:val="24"/>
          <w:u w:val="single"/>
        </w:rPr>
        <w:t xml:space="preserve">The </w:t>
      </w:r>
      <w:r w:rsidRPr="00EE7851">
        <w:rPr>
          <w:rFonts w:ascii="Times New Roman" w:hAnsi="Times New Roman"/>
          <w:color w:val="000000"/>
          <w:sz w:val="24"/>
          <w:szCs w:val="24"/>
          <w:u w:val="single"/>
        </w:rPr>
        <w:t>Medicaid Section 1115 Eligibility and Coverage</w:t>
      </w:r>
      <w:r w:rsidRPr="00EE7851">
        <w:rPr>
          <w:rFonts w:ascii="Times New Roman" w:hAnsi="Times New Roman"/>
          <w:sz w:val="24"/>
          <w:szCs w:val="24"/>
          <w:u w:val="single"/>
        </w:rPr>
        <w:t xml:space="preserve"> </w:t>
      </w:r>
      <w:r w:rsidR="00E72C6F" w:rsidRPr="00EE7851">
        <w:rPr>
          <w:rFonts w:ascii="Times New Roman" w:hAnsi="Times New Roman"/>
          <w:sz w:val="24"/>
          <w:szCs w:val="24"/>
          <w:u w:val="single"/>
        </w:rPr>
        <w:t>M</w:t>
      </w:r>
      <w:r w:rsidR="00C866C4" w:rsidRPr="00EE7851">
        <w:rPr>
          <w:rFonts w:ascii="Times New Roman" w:hAnsi="Times New Roman"/>
          <w:sz w:val="24"/>
          <w:szCs w:val="24"/>
          <w:u w:val="single"/>
        </w:rPr>
        <w:t xml:space="preserve">onitoring </w:t>
      </w:r>
      <w:r w:rsidR="00E72C6F" w:rsidRPr="00EE7851">
        <w:rPr>
          <w:rFonts w:ascii="Times New Roman" w:hAnsi="Times New Roman"/>
          <w:sz w:val="24"/>
          <w:szCs w:val="24"/>
          <w:u w:val="single"/>
        </w:rPr>
        <w:t>R</w:t>
      </w:r>
      <w:r w:rsidR="00C866C4" w:rsidRPr="00EE7851">
        <w:rPr>
          <w:rFonts w:ascii="Times New Roman" w:hAnsi="Times New Roman"/>
          <w:sz w:val="24"/>
          <w:szCs w:val="24"/>
          <w:u w:val="single"/>
        </w:rPr>
        <w:t xml:space="preserve">eport </w:t>
      </w:r>
      <w:r w:rsidR="00E72C6F" w:rsidRPr="00EE7851">
        <w:rPr>
          <w:rFonts w:ascii="Times New Roman" w:hAnsi="Times New Roman"/>
          <w:sz w:val="24"/>
          <w:szCs w:val="24"/>
          <w:u w:val="single"/>
        </w:rPr>
        <w:t>T</w:t>
      </w:r>
      <w:r w:rsidR="00C866C4" w:rsidRPr="00EE7851">
        <w:rPr>
          <w:rFonts w:ascii="Times New Roman" w:hAnsi="Times New Roman"/>
          <w:sz w:val="24"/>
          <w:szCs w:val="24"/>
          <w:u w:val="single"/>
        </w:rPr>
        <w:t>emplates</w:t>
      </w:r>
    </w:p>
    <w:p w14:paraId="13F63747" w14:textId="2D74E5A1" w:rsidR="007244F6" w:rsidRPr="00223FCC" w:rsidRDefault="007244F6" w:rsidP="00E016CC">
      <w:pPr>
        <w:spacing w:after="0" w:line="240" w:lineRule="auto"/>
      </w:pPr>
    </w:p>
    <w:p w14:paraId="5214A582" w14:textId="77777777" w:rsidR="004E5356" w:rsidRDefault="004E5356" w:rsidP="00E016CC">
      <w:pPr>
        <w:pStyle w:val="NormalSS"/>
        <w:spacing w:after="0"/>
        <w:ind w:firstLine="0"/>
        <w:rPr>
          <w:szCs w:val="24"/>
        </w:rPr>
      </w:pPr>
      <w:r w:rsidRPr="004E5356">
        <w:rPr>
          <w:szCs w:val="24"/>
        </w:rPr>
        <w:t>We aimed to streamline reporting by allowing states to check a box if it has no updates/changes to report. We assumed that for approximately 1/4 of the reports, the average state would elect not to report updates.</w:t>
      </w:r>
      <w:r w:rsidRPr="00462F95">
        <w:rPr>
          <w:szCs w:val="24"/>
        </w:rPr>
        <w:t xml:space="preserve"> </w:t>
      </w:r>
    </w:p>
    <w:p w14:paraId="188DF001" w14:textId="09ECBB16" w:rsidR="004E5356" w:rsidRDefault="004E5356" w:rsidP="007244F6">
      <w:pPr>
        <w:spacing w:after="0" w:line="240" w:lineRule="auto"/>
        <w:rPr>
          <w:rFonts w:cs="Times New Roman"/>
          <w:szCs w:val="24"/>
        </w:rPr>
      </w:pPr>
    </w:p>
    <w:p w14:paraId="1133771E" w14:textId="30520AE8" w:rsidR="00E72C6F" w:rsidRDefault="00B5736F" w:rsidP="00B5736F">
      <w:pPr>
        <w:pStyle w:val="NormalSS"/>
        <w:spacing w:after="0"/>
        <w:ind w:firstLine="0"/>
        <w:rPr>
          <w:szCs w:val="24"/>
        </w:rPr>
      </w:pPr>
      <w:r>
        <w:rPr>
          <w:szCs w:val="24"/>
        </w:rPr>
        <w:t>For the a</w:t>
      </w:r>
      <w:r w:rsidR="00E72C6F" w:rsidRPr="00462F95">
        <w:rPr>
          <w:szCs w:val="24"/>
        </w:rPr>
        <w:t xml:space="preserve">nnual </w:t>
      </w:r>
      <w:r w:rsidR="00BD1124" w:rsidRPr="00462F95">
        <w:rPr>
          <w:szCs w:val="24"/>
        </w:rPr>
        <w:t>report,</w:t>
      </w:r>
      <w:r>
        <w:rPr>
          <w:szCs w:val="24"/>
        </w:rPr>
        <w:t xml:space="preserve"> we estimate it would take </w:t>
      </w:r>
      <w:r w:rsidR="00E72C6F">
        <w:rPr>
          <w:szCs w:val="24"/>
        </w:rPr>
        <w:t>12 hours</w:t>
      </w:r>
      <w:r w:rsidR="00E72C6F" w:rsidRPr="00462F95">
        <w:rPr>
          <w:szCs w:val="24"/>
        </w:rPr>
        <w:t xml:space="preserve"> </w:t>
      </w:r>
      <w:r>
        <w:rPr>
          <w:szCs w:val="24"/>
        </w:rPr>
        <w:t xml:space="preserve">at </w:t>
      </w:r>
      <w:r>
        <w:rPr>
          <w:bCs/>
          <w:szCs w:val="24"/>
        </w:rPr>
        <w:t>$</w:t>
      </w:r>
      <w:r w:rsidR="00C242C3">
        <w:rPr>
          <w:bCs/>
          <w:szCs w:val="24"/>
        </w:rPr>
        <w:t>109.36</w:t>
      </w:r>
      <w:r>
        <w:rPr>
          <w:bCs/>
          <w:szCs w:val="24"/>
        </w:rPr>
        <w:t>/hr</w:t>
      </w:r>
      <w:r w:rsidR="00435652">
        <w:rPr>
          <w:bCs/>
          <w:szCs w:val="24"/>
        </w:rPr>
        <w:t>.</w:t>
      </w:r>
      <w:r w:rsidRPr="00462F95">
        <w:rPr>
          <w:szCs w:val="24"/>
        </w:rPr>
        <w:t xml:space="preserve"> </w:t>
      </w:r>
      <w:r>
        <w:rPr>
          <w:szCs w:val="24"/>
        </w:rPr>
        <w:t xml:space="preserve">for a </w:t>
      </w:r>
      <w:r w:rsidRPr="00462F95">
        <w:rPr>
          <w:szCs w:val="24"/>
        </w:rPr>
        <w:t>health services manager</w:t>
      </w:r>
      <w:r>
        <w:rPr>
          <w:szCs w:val="24"/>
        </w:rPr>
        <w:t xml:space="preserve"> to prepare and submit the report</w:t>
      </w:r>
      <w:r w:rsidR="004009F1">
        <w:rPr>
          <w:szCs w:val="24"/>
        </w:rPr>
        <w:t xml:space="preserve"> </w:t>
      </w:r>
      <w:r w:rsidR="004009F1" w:rsidRPr="006458A5">
        <w:rPr>
          <w:bCs/>
          <w:szCs w:val="24"/>
        </w:rPr>
        <w:t>per state per demonstration year</w:t>
      </w:r>
      <w:r>
        <w:rPr>
          <w:szCs w:val="24"/>
        </w:rPr>
        <w:t>. In aggregate</w:t>
      </w:r>
      <w:r w:rsidR="00A760B7">
        <w:rPr>
          <w:szCs w:val="24"/>
        </w:rPr>
        <w:t>,</w:t>
      </w:r>
      <w:r>
        <w:rPr>
          <w:szCs w:val="24"/>
        </w:rPr>
        <w:t xml:space="preserve"> we estimate an annual report burden of </w:t>
      </w:r>
      <w:r w:rsidR="005757F3">
        <w:rPr>
          <w:szCs w:val="24"/>
        </w:rPr>
        <w:t>1</w:t>
      </w:r>
      <w:r w:rsidR="00A760B7">
        <w:rPr>
          <w:szCs w:val="24"/>
        </w:rPr>
        <w:t xml:space="preserve">20 hours </w:t>
      </w:r>
      <w:r>
        <w:rPr>
          <w:szCs w:val="24"/>
        </w:rPr>
        <w:t>(1 report x 12 hr</w:t>
      </w:r>
      <w:r w:rsidR="00435652">
        <w:rPr>
          <w:szCs w:val="24"/>
        </w:rPr>
        <w:t>.</w:t>
      </w:r>
      <w:r>
        <w:rPr>
          <w:szCs w:val="24"/>
        </w:rPr>
        <w:t xml:space="preserve"> x </w:t>
      </w:r>
      <w:r w:rsidR="005757F3">
        <w:rPr>
          <w:szCs w:val="24"/>
        </w:rPr>
        <w:t>10</w:t>
      </w:r>
      <w:r>
        <w:rPr>
          <w:szCs w:val="24"/>
        </w:rPr>
        <w:t xml:space="preserve"> states)</w:t>
      </w:r>
      <w:r w:rsidR="00A760B7">
        <w:rPr>
          <w:szCs w:val="24"/>
        </w:rPr>
        <w:t xml:space="preserve"> at a cost of $</w:t>
      </w:r>
      <w:r w:rsidR="005757F3">
        <w:rPr>
          <w:szCs w:val="24"/>
        </w:rPr>
        <w:t>13,123.20 (1</w:t>
      </w:r>
      <w:r w:rsidR="00A760B7">
        <w:rPr>
          <w:szCs w:val="24"/>
        </w:rPr>
        <w:t>20 hr</w:t>
      </w:r>
      <w:r w:rsidR="00435652">
        <w:rPr>
          <w:szCs w:val="24"/>
        </w:rPr>
        <w:t>.</w:t>
      </w:r>
      <w:r w:rsidR="00A760B7">
        <w:rPr>
          <w:szCs w:val="24"/>
        </w:rPr>
        <w:t xml:space="preserve"> x $</w:t>
      </w:r>
      <w:r w:rsidR="00D12AEE">
        <w:rPr>
          <w:szCs w:val="24"/>
        </w:rPr>
        <w:t>109.36/</w:t>
      </w:r>
      <w:r w:rsidR="00A760B7">
        <w:rPr>
          <w:szCs w:val="24"/>
        </w:rPr>
        <w:t>hr</w:t>
      </w:r>
      <w:r w:rsidR="00435652">
        <w:rPr>
          <w:szCs w:val="24"/>
        </w:rPr>
        <w:t>.</w:t>
      </w:r>
      <w:r w:rsidR="00A760B7">
        <w:rPr>
          <w:szCs w:val="24"/>
        </w:rPr>
        <w:t>).</w:t>
      </w:r>
    </w:p>
    <w:p w14:paraId="5E5D570A" w14:textId="21F476EE" w:rsidR="00B5736F" w:rsidRDefault="00B5736F" w:rsidP="00B5736F">
      <w:pPr>
        <w:pStyle w:val="NormalSS"/>
        <w:spacing w:after="0"/>
        <w:ind w:firstLine="0"/>
        <w:rPr>
          <w:szCs w:val="24"/>
        </w:rPr>
      </w:pPr>
    </w:p>
    <w:p w14:paraId="36A6666F" w14:textId="7BFDB421" w:rsidR="00D56C59" w:rsidRDefault="00B5736F" w:rsidP="00D56C59">
      <w:pPr>
        <w:pStyle w:val="NormalSS"/>
        <w:spacing w:after="0"/>
        <w:ind w:firstLine="0"/>
        <w:rPr>
          <w:szCs w:val="24"/>
        </w:rPr>
      </w:pPr>
      <w:r>
        <w:rPr>
          <w:szCs w:val="24"/>
        </w:rPr>
        <w:t xml:space="preserve">For each quarterly </w:t>
      </w:r>
      <w:r w:rsidR="00BD1124" w:rsidRPr="00462F95">
        <w:rPr>
          <w:szCs w:val="24"/>
        </w:rPr>
        <w:t>report,</w:t>
      </w:r>
      <w:r>
        <w:rPr>
          <w:szCs w:val="24"/>
        </w:rPr>
        <w:t xml:space="preserve"> we estimate it would take 8 hours</w:t>
      </w:r>
      <w:r w:rsidRPr="00462F95">
        <w:rPr>
          <w:szCs w:val="24"/>
        </w:rPr>
        <w:t xml:space="preserve"> </w:t>
      </w:r>
      <w:r>
        <w:rPr>
          <w:szCs w:val="24"/>
        </w:rPr>
        <w:t xml:space="preserve">at </w:t>
      </w:r>
      <w:r>
        <w:rPr>
          <w:bCs/>
          <w:szCs w:val="24"/>
        </w:rPr>
        <w:t>$</w:t>
      </w:r>
      <w:r w:rsidR="00D12AEE">
        <w:rPr>
          <w:bCs/>
          <w:szCs w:val="24"/>
        </w:rPr>
        <w:t>109.36</w:t>
      </w:r>
      <w:r>
        <w:rPr>
          <w:bCs/>
          <w:szCs w:val="24"/>
        </w:rPr>
        <w:t>/hr</w:t>
      </w:r>
      <w:r w:rsidR="00435652">
        <w:rPr>
          <w:bCs/>
          <w:szCs w:val="24"/>
        </w:rPr>
        <w:t>.</w:t>
      </w:r>
      <w:r w:rsidRPr="00462F95">
        <w:rPr>
          <w:szCs w:val="24"/>
        </w:rPr>
        <w:t xml:space="preserve"> </w:t>
      </w:r>
      <w:r>
        <w:rPr>
          <w:szCs w:val="24"/>
        </w:rPr>
        <w:t xml:space="preserve">for a </w:t>
      </w:r>
      <w:r w:rsidRPr="00462F95">
        <w:rPr>
          <w:szCs w:val="24"/>
        </w:rPr>
        <w:t>health services manager</w:t>
      </w:r>
      <w:r>
        <w:rPr>
          <w:szCs w:val="24"/>
        </w:rPr>
        <w:t xml:space="preserve"> to prepare and submit each report</w:t>
      </w:r>
      <w:r w:rsidR="004009F1">
        <w:rPr>
          <w:szCs w:val="24"/>
        </w:rPr>
        <w:t xml:space="preserve"> </w:t>
      </w:r>
      <w:r w:rsidR="004009F1" w:rsidRPr="006458A5">
        <w:rPr>
          <w:bCs/>
          <w:szCs w:val="24"/>
        </w:rPr>
        <w:t>per state per demonstration year</w:t>
      </w:r>
      <w:r>
        <w:rPr>
          <w:szCs w:val="24"/>
        </w:rPr>
        <w:t>.</w:t>
      </w:r>
      <w:r w:rsidR="00D56C59">
        <w:rPr>
          <w:szCs w:val="24"/>
        </w:rPr>
        <w:t xml:space="preserve"> In aggregate, we estimat</w:t>
      </w:r>
      <w:r w:rsidR="005757F3">
        <w:rPr>
          <w:szCs w:val="24"/>
        </w:rPr>
        <w:t>e a quarterly report burden of 2</w:t>
      </w:r>
      <w:r w:rsidR="00D56C59">
        <w:rPr>
          <w:szCs w:val="24"/>
        </w:rPr>
        <w:t>40 hours (3 reports x 8 hr</w:t>
      </w:r>
      <w:r w:rsidR="00435652">
        <w:rPr>
          <w:szCs w:val="24"/>
        </w:rPr>
        <w:t>.</w:t>
      </w:r>
      <w:r w:rsidR="00D56C59">
        <w:rPr>
          <w:szCs w:val="24"/>
        </w:rPr>
        <w:t xml:space="preserve"> x </w:t>
      </w:r>
      <w:r w:rsidR="005757F3">
        <w:rPr>
          <w:szCs w:val="24"/>
        </w:rPr>
        <w:t>10</w:t>
      </w:r>
      <w:r w:rsidR="00D56C59">
        <w:rPr>
          <w:szCs w:val="24"/>
        </w:rPr>
        <w:t xml:space="preserve"> states) at a cost of $</w:t>
      </w:r>
      <w:r w:rsidR="002E568A">
        <w:rPr>
          <w:szCs w:val="24"/>
        </w:rPr>
        <w:t>26,246.40 (2</w:t>
      </w:r>
      <w:r w:rsidR="00D56C59">
        <w:rPr>
          <w:szCs w:val="24"/>
        </w:rPr>
        <w:t>40 hr</w:t>
      </w:r>
      <w:r w:rsidR="00435652">
        <w:rPr>
          <w:szCs w:val="24"/>
        </w:rPr>
        <w:t>.</w:t>
      </w:r>
      <w:r w:rsidR="00D56C59">
        <w:rPr>
          <w:szCs w:val="24"/>
        </w:rPr>
        <w:t xml:space="preserve"> x $</w:t>
      </w:r>
      <w:r w:rsidR="00D12AEE">
        <w:rPr>
          <w:bCs/>
          <w:szCs w:val="24"/>
        </w:rPr>
        <w:t>109.36</w:t>
      </w:r>
      <w:r w:rsidR="00D56C59">
        <w:rPr>
          <w:szCs w:val="24"/>
        </w:rPr>
        <w:t>/hr</w:t>
      </w:r>
      <w:r w:rsidR="00435652">
        <w:rPr>
          <w:szCs w:val="24"/>
        </w:rPr>
        <w:t>.</w:t>
      </w:r>
      <w:r w:rsidR="00D56C59">
        <w:rPr>
          <w:szCs w:val="24"/>
        </w:rPr>
        <w:t>).</w:t>
      </w:r>
    </w:p>
    <w:p w14:paraId="2975DFE6" w14:textId="0B65E84B" w:rsidR="00B5736F" w:rsidRDefault="00B5736F" w:rsidP="00B5736F">
      <w:pPr>
        <w:pStyle w:val="NormalSS"/>
        <w:spacing w:after="0"/>
        <w:ind w:firstLine="0"/>
        <w:rPr>
          <w:szCs w:val="24"/>
        </w:rPr>
      </w:pPr>
    </w:p>
    <w:p w14:paraId="34B93AC7" w14:textId="0E43BB88" w:rsidR="0085404A" w:rsidRPr="006458A5" w:rsidRDefault="0085404A" w:rsidP="0085404A">
      <w:pPr>
        <w:spacing w:after="0" w:line="240" w:lineRule="auto"/>
        <w:rPr>
          <w:rFonts w:cs="Times New Roman"/>
          <w:b/>
          <w:bCs/>
          <w:szCs w:val="24"/>
          <w:u w:val="single"/>
        </w:rPr>
      </w:pPr>
      <w:r>
        <w:rPr>
          <w:rFonts w:cs="Times New Roman"/>
          <w:szCs w:val="24"/>
        </w:rPr>
        <w:t xml:space="preserve">Consequently, we estimate a total burden of </w:t>
      </w:r>
      <w:r w:rsidR="002E568A">
        <w:rPr>
          <w:rFonts w:cs="Times New Roman"/>
          <w:szCs w:val="24"/>
        </w:rPr>
        <w:t>360</w:t>
      </w:r>
      <w:r>
        <w:rPr>
          <w:rFonts w:cs="Times New Roman"/>
          <w:szCs w:val="24"/>
        </w:rPr>
        <w:t xml:space="preserve"> hours </w:t>
      </w:r>
      <w:r w:rsidR="006C3092">
        <w:rPr>
          <w:rFonts w:cs="Times New Roman"/>
          <w:szCs w:val="24"/>
        </w:rPr>
        <w:t>(</w:t>
      </w:r>
      <w:r w:rsidR="002E568A">
        <w:rPr>
          <w:szCs w:val="24"/>
        </w:rPr>
        <w:t>120 hr</w:t>
      </w:r>
      <w:r w:rsidR="00435652">
        <w:rPr>
          <w:szCs w:val="24"/>
        </w:rPr>
        <w:t>.</w:t>
      </w:r>
      <w:r w:rsidR="002E568A">
        <w:rPr>
          <w:szCs w:val="24"/>
        </w:rPr>
        <w:t xml:space="preserve"> + 2</w:t>
      </w:r>
      <w:r w:rsidR="006C3092">
        <w:rPr>
          <w:szCs w:val="24"/>
        </w:rPr>
        <w:t>40 hr</w:t>
      </w:r>
      <w:r w:rsidR="00435652">
        <w:rPr>
          <w:szCs w:val="24"/>
        </w:rPr>
        <w:t>.</w:t>
      </w:r>
      <w:r w:rsidR="006C3092">
        <w:rPr>
          <w:szCs w:val="24"/>
        </w:rPr>
        <w:t xml:space="preserve">) </w:t>
      </w:r>
      <w:r>
        <w:rPr>
          <w:rFonts w:cs="Times New Roman"/>
          <w:szCs w:val="24"/>
        </w:rPr>
        <w:t xml:space="preserve">at a cost of </w:t>
      </w:r>
      <w:r w:rsidR="006C3092">
        <w:rPr>
          <w:rFonts w:cs="Times New Roman"/>
          <w:szCs w:val="24"/>
        </w:rPr>
        <w:t>$</w:t>
      </w:r>
      <w:r w:rsidR="002E568A">
        <w:rPr>
          <w:rFonts w:cs="Times New Roman"/>
          <w:szCs w:val="24"/>
        </w:rPr>
        <w:t>39,369.60</w:t>
      </w:r>
      <w:r w:rsidR="006C3092" w:rsidRPr="006C3092">
        <w:rPr>
          <w:rFonts w:cs="Times New Roman"/>
          <w:szCs w:val="24"/>
        </w:rPr>
        <w:t xml:space="preserve"> </w:t>
      </w:r>
      <w:r w:rsidR="006C3092">
        <w:rPr>
          <w:rFonts w:cs="Times New Roman"/>
          <w:szCs w:val="24"/>
        </w:rPr>
        <w:t>(</w:t>
      </w:r>
      <w:r w:rsidR="006C3092">
        <w:rPr>
          <w:szCs w:val="24"/>
        </w:rPr>
        <w:t>$</w:t>
      </w:r>
      <w:r w:rsidR="002E568A">
        <w:rPr>
          <w:szCs w:val="24"/>
        </w:rPr>
        <w:t>13,123.20</w:t>
      </w:r>
      <w:r w:rsidR="00BD1124">
        <w:rPr>
          <w:szCs w:val="24"/>
        </w:rPr>
        <w:t xml:space="preserve"> +</w:t>
      </w:r>
      <w:r w:rsidR="006C3092">
        <w:rPr>
          <w:szCs w:val="24"/>
        </w:rPr>
        <w:t xml:space="preserve"> $</w:t>
      </w:r>
      <w:r w:rsidR="002E568A">
        <w:rPr>
          <w:szCs w:val="24"/>
        </w:rPr>
        <w:t>26,246.40</w:t>
      </w:r>
      <w:r w:rsidR="006C3092">
        <w:rPr>
          <w:szCs w:val="24"/>
        </w:rPr>
        <w:t>)</w:t>
      </w:r>
      <w:r>
        <w:rPr>
          <w:rFonts w:cs="Times New Roman"/>
          <w:szCs w:val="24"/>
        </w:rPr>
        <w:t>.</w:t>
      </w:r>
    </w:p>
    <w:p w14:paraId="18C2EBEE" w14:textId="77777777" w:rsidR="00432BF7" w:rsidRDefault="00432BF7" w:rsidP="007244F6">
      <w:pPr>
        <w:spacing w:after="0" w:line="240" w:lineRule="auto"/>
        <w:rPr>
          <w:rFonts w:cs="Times New Roman"/>
          <w:szCs w:val="24"/>
        </w:rPr>
      </w:pPr>
    </w:p>
    <w:p w14:paraId="72E0E827" w14:textId="58CB0EA7" w:rsidR="00814FF0" w:rsidRPr="00EE7851" w:rsidRDefault="00EE7851" w:rsidP="00EE7851">
      <w:pPr>
        <w:pStyle w:val="ListParagraph"/>
        <w:numPr>
          <w:ilvl w:val="0"/>
          <w:numId w:val="49"/>
        </w:numPr>
        <w:spacing w:after="0" w:line="240" w:lineRule="auto"/>
        <w:rPr>
          <w:rFonts w:ascii="Times New Roman" w:hAnsi="Times New Roman"/>
          <w:sz w:val="24"/>
          <w:szCs w:val="24"/>
        </w:rPr>
      </w:pPr>
      <w:r w:rsidRPr="00EE7851">
        <w:rPr>
          <w:rFonts w:ascii="Times New Roman" w:hAnsi="Times New Roman"/>
          <w:sz w:val="24"/>
          <w:szCs w:val="24"/>
          <w:u w:val="single"/>
        </w:rPr>
        <w:t xml:space="preserve">The </w:t>
      </w:r>
      <w:r w:rsidRPr="00EE7851">
        <w:rPr>
          <w:rFonts w:ascii="Times New Roman" w:hAnsi="Times New Roman"/>
          <w:color w:val="000000"/>
          <w:sz w:val="24"/>
          <w:szCs w:val="24"/>
          <w:u w:val="single"/>
        </w:rPr>
        <w:t>Medicaid Section 1115 Eligibility and Coverage</w:t>
      </w:r>
      <w:r w:rsidRPr="00EE7851">
        <w:rPr>
          <w:rFonts w:ascii="Times New Roman" w:hAnsi="Times New Roman"/>
          <w:sz w:val="24"/>
          <w:szCs w:val="24"/>
          <w:u w:val="single"/>
        </w:rPr>
        <w:t xml:space="preserve"> </w:t>
      </w:r>
      <w:r w:rsidR="00814FF0" w:rsidRPr="00EE7851">
        <w:rPr>
          <w:rFonts w:ascii="Times New Roman" w:hAnsi="Times New Roman"/>
          <w:sz w:val="24"/>
          <w:szCs w:val="24"/>
          <w:u w:val="single"/>
        </w:rPr>
        <w:t>Monitoring Metrics Template</w:t>
      </w:r>
    </w:p>
    <w:p w14:paraId="6F72B0B0" w14:textId="6DB95A22" w:rsidR="00E72C6F" w:rsidRDefault="00E72C6F" w:rsidP="00B86AAB">
      <w:pPr>
        <w:spacing w:after="0" w:line="240" w:lineRule="auto"/>
        <w:rPr>
          <w:rFonts w:cs="Times New Roman"/>
          <w:szCs w:val="24"/>
        </w:rPr>
      </w:pPr>
    </w:p>
    <w:p w14:paraId="75B687F8" w14:textId="7649BF46" w:rsidR="007244F6" w:rsidRPr="00E016CC" w:rsidRDefault="00B86AAB" w:rsidP="00E016CC">
      <w:pPr>
        <w:pStyle w:val="H5Lower"/>
        <w:spacing w:after="0"/>
        <w:ind w:left="0" w:firstLine="0"/>
        <w:rPr>
          <w:b w:val="0"/>
          <w:color w:val="auto"/>
        </w:rPr>
      </w:pPr>
      <w:r>
        <w:rPr>
          <w:b w:val="0"/>
          <w:color w:val="auto"/>
          <w:szCs w:val="24"/>
        </w:rPr>
        <w:t>Outside of the 4 hours burden estimated above f</w:t>
      </w:r>
      <w:r w:rsidRPr="00B86AAB">
        <w:rPr>
          <w:b w:val="0"/>
          <w:color w:val="auto"/>
          <w:szCs w:val="24"/>
        </w:rPr>
        <w:t xml:space="preserve">or the </w:t>
      </w:r>
      <w:r>
        <w:rPr>
          <w:b w:val="0"/>
          <w:color w:val="auto"/>
          <w:szCs w:val="24"/>
        </w:rPr>
        <w:t>monitoring protocol portion of the m</w:t>
      </w:r>
      <w:r w:rsidR="007244F6" w:rsidRPr="00B86AAB">
        <w:rPr>
          <w:b w:val="0"/>
          <w:color w:val="auto"/>
          <w:szCs w:val="24"/>
        </w:rPr>
        <w:t xml:space="preserve">etrics </w:t>
      </w:r>
      <w:r w:rsidRPr="00E016CC">
        <w:rPr>
          <w:b w:val="0"/>
          <w:color w:val="auto"/>
        </w:rPr>
        <w:t>w</w:t>
      </w:r>
      <w:r w:rsidR="007244F6" w:rsidRPr="00E016CC">
        <w:rPr>
          <w:b w:val="0"/>
          <w:color w:val="auto"/>
        </w:rPr>
        <w:t>orkbook</w:t>
      </w:r>
      <w:r>
        <w:rPr>
          <w:b w:val="0"/>
          <w:color w:val="auto"/>
          <w:szCs w:val="24"/>
        </w:rPr>
        <w:t>,</w:t>
      </w:r>
      <w:r w:rsidRPr="00B86AAB">
        <w:rPr>
          <w:b w:val="0"/>
          <w:color w:val="auto"/>
          <w:szCs w:val="24"/>
        </w:rPr>
        <w:t xml:space="preserve"> </w:t>
      </w:r>
      <w:r>
        <w:rPr>
          <w:b w:val="0"/>
          <w:color w:val="auto"/>
          <w:szCs w:val="24"/>
        </w:rPr>
        <w:t>w</w:t>
      </w:r>
      <w:r w:rsidR="007244F6" w:rsidRPr="00B86AAB">
        <w:rPr>
          <w:b w:val="0"/>
          <w:color w:val="auto"/>
          <w:szCs w:val="24"/>
        </w:rPr>
        <w:t>e</w:t>
      </w:r>
      <w:r w:rsidR="007244F6" w:rsidRPr="00E016CC">
        <w:rPr>
          <w:b w:val="0"/>
          <w:color w:val="auto"/>
        </w:rPr>
        <w:t xml:space="preserve"> assume a computer programmer will calculate the metrics and populate the </w:t>
      </w:r>
      <w:r>
        <w:rPr>
          <w:b w:val="0"/>
          <w:color w:val="auto"/>
          <w:szCs w:val="24"/>
        </w:rPr>
        <w:t xml:space="preserve">metrics </w:t>
      </w:r>
      <w:r w:rsidR="007244F6" w:rsidRPr="00E016CC">
        <w:rPr>
          <w:b w:val="0"/>
          <w:color w:val="auto"/>
        </w:rPr>
        <w:t xml:space="preserve">template. Groups of metrics will be calculated simultaneously, rather than sequentially. Initial calculations require an upfront investment, but recalculations for subsequent reports will require significantly less time. </w:t>
      </w:r>
    </w:p>
    <w:p w14:paraId="768B1FDD" w14:textId="5667609D" w:rsidR="007244F6" w:rsidRPr="00462F95" w:rsidRDefault="007244F6" w:rsidP="007244F6">
      <w:pPr>
        <w:numPr>
          <w:ilvl w:val="0"/>
          <w:numId w:val="33"/>
        </w:numPr>
        <w:spacing w:after="0" w:line="240" w:lineRule="auto"/>
        <w:rPr>
          <w:rFonts w:cs="Times New Roman"/>
          <w:szCs w:val="24"/>
        </w:rPr>
      </w:pPr>
      <w:r w:rsidRPr="00462F95">
        <w:rPr>
          <w:rFonts w:cs="Times New Roman"/>
          <w:szCs w:val="24"/>
        </w:rPr>
        <w:t>Low LOE metrics (</w:t>
      </w:r>
      <w:r w:rsidR="00665F73">
        <w:rPr>
          <w:rFonts w:cs="Times New Roman"/>
          <w:szCs w:val="24"/>
        </w:rPr>
        <w:t xml:space="preserve">for </w:t>
      </w:r>
      <w:r w:rsidRPr="00462F95">
        <w:rPr>
          <w:rFonts w:cs="Times New Roman"/>
          <w:szCs w:val="24"/>
        </w:rPr>
        <w:t xml:space="preserve">15 metrics total: 4 annual metrics, 8 quarterly metrics, and 3 health IT metrics): </w:t>
      </w:r>
    </w:p>
    <w:p w14:paraId="525266E2" w14:textId="3F7F171F" w:rsidR="007244F6" w:rsidRPr="00462F95" w:rsidRDefault="007244F6" w:rsidP="007244F6">
      <w:pPr>
        <w:numPr>
          <w:ilvl w:val="2"/>
          <w:numId w:val="33"/>
        </w:numPr>
        <w:spacing w:after="0" w:line="240" w:lineRule="auto"/>
        <w:rPr>
          <w:rFonts w:cs="Times New Roman"/>
          <w:szCs w:val="24"/>
        </w:rPr>
      </w:pPr>
      <w:r>
        <w:rPr>
          <w:rFonts w:cs="Times New Roman"/>
          <w:szCs w:val="24"/>
        </w:rPr>
        <w:t>24 hours</w:t>
      </w:r>
      <w:r w:rsidRPr="00462F95">
        <w:rPr>
          <w:rFonts w:cs="Times New Roman"/>
          <w:szCs w:val="24"/>
        </w:rPr>
        <w:t xml:space="preserve"> for initial report per state</w:t>
      </w:r>
      <w:r>
        <w:rPr>
          <w:rFonts w:cs="Times New Roman"/>
          <w:szCs w:val="24"/>
        </w:rPr>
        <w:t xml:space="preserve"> for the </w:t>
      </w:r>
      <w:r w:rsidRPr="00485FD9">
        <w:rPr>
          <w:rFonts w:cs="Times New Roman"/>
          <w:b/>
          <w:i/>
          <w:szCs w:val="24"/>
        </w:rPr>
        <w:t>1</w:t>
      </w:r>
      <w:r w:rsidRPr="00485FD9">
        <w:rPr>
          <w:rFonts w:cs="Times New Roman"/>
          <w:b/>
          <w:i/>
          <w:szCs w:val="24"/>
          <w:vertAlign w:val="superscript"/>
        </w:rPr>
        <w:t>st</w:t>
      </w:r>
      <w:r w:rsidRPr="00485FD9">
        <w:rPr>
          <w:rFonts w:cs="Times New Roman"/>
          <w:b/>
          <w:i/>
          <w:szCs w:val="24"/>
        </w:rPr>
        <w:t xml:space="preserve"> year </w:t>
      </w:r>
      <w:r>
        <w:rPr>
          <w:rFonts w:cs="Times New Roman"/>
          <w:b/>
          <w:i/>
          <w:szCs w:val="24"/>
        </w:rPr>
        <w:t xml:space="preserve">of the demonstration </w:t>
      </w:r>
      <w:r w:rsidRPr="00485FD9">
        <w:rPr>
          <w:rFonts w:cs="Times New Roman"/>
          <w:b/>
          <w:i/>
          <w:szCs w:val="24"/>
        </w:rPr>
        <w:t>only</w:t>
      </w:r>
      <w:r w:rsidRPr="00462F95">
        <w:rPr>
          <w:rFonts w:cs="Times New Roman"/>
          <w:szCs w:val="24"/>
        </w:rPr>
        <w:t xml:space="preserve"> (assume it’s annual and includes all metrics) </w:t>
      </w:r>
    </w:p>
    <w:p w14:paraId="3E41C0D9" w14:textId="2876ED45" w:rsidR="007244F6" w:rsidRPr="00462F95" w:rsidRDefault="007244F6" w:rsidP="007244F6">
      <w:pPr>
        <w:numPr>
          <w:ilvl w:val="2"/>
          <w:numId w:val="33"/>
        </w:numPr>
        <w:spacing w:after="0" w:line="240" w:lineRule="auto"/>
        <w:rPr>
          <w:rFonts w:cs="Times New Roman"/>
          <w:szCs w:val="24"/>
        </w:rPr>
      </w:pPr>
      <w:r>
        <w:rPr>
          <w:rFonts w:cs="Times New Roman"/>
          <w:szCs w:val="24"/>
        </w:rPr>
        <w:t>8 hours</w:t>
      </w:r>
      <w:r w:rsidRPr="00462F95">
        <w:rPr>
          <w:rFonts w:cs="Times New Roman"/>
          <w:szCs w:val="24"/>
        </w:rPr>
        <w:t xml:space="preserve"> for each </w:t>
      </w:r>
      <w:r w:rsidRPr="00485FD9">
        <w:rPr>
          <w:rFonts w:cs="Times New Roman"/>
          <w:b/>
          <w:i/>
          <w:szCs w:val="24"/>
        </w:rPr>
        <w:t>subsequent annual report</w:t>
      </w:r>
      <w:r w:rsidRPr="00462F95">
        <w:rPr>
          <w:rFonts w:cs="Times New Roman"/>
          <w:szCs w:val="24"/>
        </w:rPr>
        <w:t xml:space="preserve"> per state </w:t>
      </w:r>
    </w:p>
    <w:p w14:paraId="7B900903" w14:textId="4ADA3EB4" w:rsidR="007244F6" w:rsidRPr="00462F95" w:rsidRDefault="0048686E" w:rsidP="007244F6">
      <w:pPr>
        <w:numPr>
          <w:ilvl w:val="2"/>
          <w:numId w:val="33"/>
        </w:numPr>
        <w:spacing w:after="0" w:line="240" w:lineRule="auto"/>
        <w:rPr>
          <w:rFonts w:cs="Times New Roman"/>
          <w:szCs w:val="24"/>
        </w:rPr>
      </w:pPr>
      <w:r>
        <w:rPr>
          <w:rFonts w:cs="Times New Roman"/>
          <w:szCs w:val="24"/>
        </w:rPr>
        <w:t>4</w:t>
      </w:r>
      <w:r w:rsidR="007244F6">
        <w:rPr>
          <w:rFonts w:cs="Times New Roman"/>
          <w:szCs w:val="24"/>
        </w:rPr>
        <w:t xml:space="preserve"> hours</w:t>
      </w:r>
      <w:r w:rsidR="007244F6" w:rsidRPr="00462F95">
        <w:rPr>
          <w:rFonts w:cs="Times New Roman"/>
          <w:szCs w:val="24"/>
        </w:rPr>
        <w:t xml:space="preserve"> for each </w:t>
      </w:r>
      <w:r w:rsidR="007244F6" w:rsidRPr="00485FD9">
        <w:rPr>
          <w:rFonts w:cs="Times New Roman"/>
          <w:b/>
          <w:i/>
          <w:szCs w:val="24"/>
        </w:rPr>
        <w:t>subsequent quarterly</w:t>
      </w:r>
      <w:r w:rsidR="007244F6" w:rsidRPr="00E016CC">
        <w:rPr>
          <w:b/>
          <w:i/>
        </w:rPr>
        <w:t xml:space="preserve"> report</w:t>
      </w:r>
      <w:r w:rsidR="007244F6" w:rsidRPr="00462F95">
        <w:rPr>
          <w:rFonts w:cs="Times New Roman"/>
          <w:szCs w:val="24"/>
        </w:rPr>
        <w:t xml:space="preserve"> per state </w:t>
      </w:r>
    </w:p>
    <w:p w14:paraId="5FB6C388" w14:textId="77777777" w:rsidR="007244F6" w:rsidRPr="00462F95" w:rsidRDefault="007244F6" w:rsidP="007244F6">
      <w:pPr>
        <w:numPr>
          <w:ilvl w:val="0"/>
          <w:numId w:val="33"/>
        </w:numPr>
        <w:spacing w:after="0" w:line="240" w:lineRule="auto"/>
        <w:rPr>
          <w:rFonts w:cs="Times New Roman"/>
          <w:szCs w:val="24"/>
        </w:rPr>
      </w:pPr>
      <w:r w:rsidRPr="00462F95">
        <w:rPr>
          <w:rFonts w:cs="Times New Roman"/>
          <w:szCs w:val="24"/>
        </w:rPr>
        <w:t xml:space="preserve">Medium LOE metrics (6 metrics total: 4 annual metrics, 2 quarterly metrics): </w:t>
      </w:r>
    </w:p>
    <w:p w14:paraId="01781399" w14:textId="62CCEEFF" w:rsidR="007244F6" w:rsidRPr="00462F95" w:rsidRDefault="007244F6" w:rsidP="007244F6">
      <w:pPr>
        <w:numPr>
          <w:ilvl w:val="2"/>
          <w:numId w:val="33"/>
        </w:numPr>
        <w:spacing w:after="0" w:line="240" w:lineRule="auto"/>
        <w:rPr>
          <w:rFonts w:cs="Times New Roman"/>
          <w:szCs w:val="24"/>
        </w:rPr>
      </w:pPr>
      <w:r w:rsidRPr="00B86AAB">
        <w:rPr>
          <w:rFonts w:cs="Times New Roman"/>
          <w:szCs w:val="24"/>
        </w:rPr>
        <w:t xml:space="preserve">48 hours for initial report per state for the </w:t>
      </w:r>
      <w:r w:rsidRPr="00B86AAB">
        <w:rPr>
          <w:rFonts w:cs="Times New Roman"/>
          <w:b/>
          <w:i/>
          <w:szCs w:val="24"/>
        </w:rPr>
        <w:t>1</w:t>
      </w:r>
      <w:r w:rsidRPr="00B86AAB">
        <w:rPr>
          <w:rFonts w:cs="Times New Roman"/>
          <w:b/>
          <w:i/>
          <w:szCs w:val="24"/>
          <w:vertAlign w:val="superscript"/>
        </w:rPr>
        <w:t>st</w:t>
      </w:r>
      <w:r w:rsidRPr="00B86AAB">
        <w:rPr>
          <w:rFonts w:cs="Times New Roman"/>
          <w:b/>
          <w:i/>
          <w:szCs w:val="24"/>
        </w:rPr>
        <w:t xml:space="preserve"> year of the demonstration only</w:t>
      </w:r>
      <w:r w:rsidRPr="00462F95">
        <w:rPr>
          <w:rFonts w:cs="Times New Roman"/>
          <w:szCs w:val="24"/>
        </w:rPr>
        <w:t xml:space="preserve"> (assume it’s annual and includes all metrics) </w:t>
      </w:r>
    </w:p>
    <w:p w14:paraId="76948A3A" w14:textId="02ED9962" w:rsidR="007244F6" w:rsidRPr="00462F95" w:rsidRDefault="007244F6" w:rsidP="007244F6">
      <w:pPr>
        <w:numPr>
          <w:ilvl w:val="2"/>
          <w:numId w:val="33"/>
        </w:numPr>
        <w:spacing w:after="0" w:line="240" w:lineRule="auto"/>
        <w:rPr>
          <w:rFonts w:cs="Times New Roman"/>
          <w:szCs w:val="24"/>
        </w:rPr>
      </w:pPr>
      <w:r>
        <w:rPr>
          <w:rFonts w:cs="Times New Roman"/>
          <w:szCs w:val="24"/>
        </w:rPr>
        <w:t>20 hours</w:t>
      </w:r>
      <w:r w:rsidRPr="00462F95">
        <w:rPr>
          <w:rFonts w:cs="Times New Roman"/>
          <w:szCs w:val="24"/>
        </w:rPr>
        <w:t xml:space="preserve"> for each </w:t>
      </w:r>
      <w:r w:rsidRPr="00485FD9">
        <w:rPr>
          <w:rFonts w:cs="Times New Roman"/>
          <w:b/>
          <w:i/>
          <w:szCs w:val="24"/>
        </w:rPr>
        <w:t>subsequent annual report</w:t>
      </w:r>
      <w:r w:rsidRPr="00462F95">
        <w:rPr>
          <w:rFonts w:cs="Times New Roman"/>
          <w:szCs w:val="24"/>
        </w:rPr>
        <w:t xml:space="preserve"> per state</w:t>
      </w:r>
    </w:p>
    <w:p w14:paraId="3B87D55F" w14:textId="615C72C4" w:rsidR="007244F6" w:rsidRPr="00462F95" w:rsidRDefault="007244F6" w:rsidP="007244F6">
      <w:pPr>
        <w:numPr>
          <w:ilvl w:val="2"/>
          <w:numId w:val="33"/>
        </w:numPr>
        <w:spacing w:after="0" w:line="240" w:lineRule="auto"/>
        <w:rPr>
          <w:rFonts w:cs="Times New Roman"/>
          <w:szCs w:val="24"/>
        </w:rPr>
      </w:pPr>
      <w:r>
        <w:rPr>
          <w:rFonts w:cs="Times New Roman"/>
          <w:szCs w:val="24"/>
        </w:rPr>
        <w:t>4 hours</w:t>
      </w:r>
      <w:r w:rsidRPr="00462F95">
        <w:rPr>
          <w:rFonts w:cs="Times New Roman"/>
          <w:szCs w:val="24"/>
        </w:rPr>
        <w:t xml:space="preserve"> for each </w:t>
      </w:r>
      <w:r w:rsidRPr="00485FD9">
        <w:rPr>
          <w:rFonts w:cs="Times New Roman"/>
          <w:b/>
          <w:i/>
          <w:szCs w:val="24"/>
        </w:rPr>
        <w:t>subsequent quarterly report</w:t>
      </w:r>
    </w:p>
    <w:p w14:paraId="65117E18" w14:textId="77777777" w:rsidR="007244F6" w:rsidRPr="00462F95" w:rsidRDefault="007244F6" w:rsidP="007244F6">
      <w:pPr>
        <w:numPr>
          <w:ilvl w:val="0"/>
          <w:numId w:val="33"/>
        </w:numPr>
        <w:spacing w:after="0" w:line="240" w:lineRule="auto"/>
        <w:rPr>
          <w:rFonts w:cs="Times New Roman"/>
          <w:szCs w:val="24"/>
        </w:rPr>
      </w:pPr>
      <w:r w:rsidRPr="00462F95">
        <w:rPr>
          <w:rFonts w:cs="Times New Roman"/>
          <w:szCs w:val="24"/>
        </w:rPr>
        <w:t xml:space="preserve">High LOE metrics (5 annual metrics): </w:t>
      </w:r>
    </w:p>
    <w:p w14:paraId="6B1F3DBA" w14:textId="01F03CC1" w:rsidR="007244F6" w:rsidRPr="00462F95" w:rsidRDefault="007244F6" w:rsidP="007244F6">
      <w:pPr>
        <w:numPr>
          <w:ilvl w:val="2"/>
          <w:numId w:val="33"/>
        </w:numPr>
        <w:spacing w:after="0" w:line="240" w:lineRule="auto"/>
        <w:rPr>
          <w:rFonts w:cs="Times New Roman"/>
          <w:szCs w:val="24"/>
        </w:rPr>
      </w:pPr>
      <w:r>
        <w:rPr>
          <w:rFonts w:cs="Times New Roman"/>
          <w:szCs w:val="24"/>
        </w:rPr>
        <w:t>56 hours</w:t>
      </w:r>
      <w:r w:rsidRPr="00462F95">
        <w:rPr>
          <w:rFonts w:cs="Times New Roman"/>
          <w:szCs w:val="24"/>
        </w:rPr>
        <w:t xml:space="preserve"> for initial report per state </w:t>
      </w:r>
      <w:r w:rsidRPr="00485FD9">
        <w:rPr>
          <w:rFonts w:cs="Times New Roman"/>
          <w:b/>
          <w:i/>
          <w:szCs w:val="24"/>
        </w:rPr>
        <w:t>1</w:t>
      </w:r>
      <w:r w:rsidRPr="00485FD9">
        <w:rPr>
          <w:rFonts w:cs="Times New Roman"/>
          <w:b/>
          <w:i/>
          <w:szCs w:val="24"/>
          <w:vertAlign w:val="superscript"/>
        </w:rPr>
        <w:t>st</w:t>
      </w:r>
      <w:r w:rsidRPr="00485FD9">
        <w:rPr>
          <w:rFonts w:cs="Times New Roman"/>
          <w:b/>
          <w:i/>
          <w:szCs w:val="24"/>
        </w:rPr>
        <w:t xml:space="preserve"> year </w:t>
      </w:r>
      <w:r>
        <w:rPr>
          <w:rFonts w:cs="Times New Roman"/>
          <w:b/>
          <w:i/>
          <w:szCs w:val="24"/>
        </w:rPr>
        <w:t xml:space="preserve">of the demonstration </w:t>
      </w:r>
      <w:r w:rsidRPr="00485FD9">
        <w:rPr>
          <w:rFonts w:cs="Times New Roman"/>
          <w:b/>
          <w:i/>
          <w:szCs w:val="24"/>
        </w:rPr>
        <w:t>only</w:t>
      </w:r>
      <w:r w:rsidRPr="00462F95">
        <w:rPr>
          <w:rFonts w:cs="Times New Roman"/>
          <w:szCs w:val="24"/>
        </w:rPr>
        <w:t xml:space="preserve"> (assume it’s annual and includes all metrics</w:t>
      </w:r>
      <w:r w:rsidRPr="00462F95" w:rsidDel="00B85F47">
        <w:rPr>
          <w:rFonts w:cs="Times New Roman"/>
          <w:szCs w:val="24"/>
        </w:rPr>
        <w:t xml:space="preserve"> </w:t>
      </w:r>
      <w:r w:rsidRPr="00462F95">
        <w:rPr>
          <w:rFonts w:cs="Times New Roman"/>
          <w:szCs w:val="24"/>
        </w:rPr>
        <w:t>)</w:t>
      </w:r>
    </w:p>
    <w:p w14:paraId="288FEEB3" w14:textId="4A09F116" w:rsidR="007244F6" w:rsidRPr="00DB7215" w:rsidRDefault="007244F6" w:rsidP="007244F6">
      <w:pPr>
        <w:numPr>
          <w:ilvl w:val="2"/>
          <w:numId w:val="33"/>
        </w:numPr>
        <w:spacing w:after="0" w:line="240" w:lineRule="auto"/>
        <w:rPr>
          <w:rFonts w:cs="Times New Roman"/>
          <w:szCs w:val="24"/>
        </w:rPr>
      </w:pPr>
      <w:r w:rsidRPr="00DB7215">
        <w:rPr>
          <w:rFonts w:cs="Times New Roman"/>
          <w:szCs w:val="24"/>
        </w:rPr>
        <w:t xml:space="preserve">4 hours for each </w:t>
      </w:r>
      <w:r w:rsidRPr="00DB7215">
        <w:rPr>
          <w:rFonts w:cs="Times New Roman"/>
          <w:b/>
          <w:i/>
          <w:szCs w:val="24"/>
        </w:rPr>
        <w:t xml:space="preserve">subsequent </w:t>
      </w:r>
      <w:r w:rsidR="00665F73">
        <w:rPr>
          <w:rFonts w:cs="Times New Roman"/>
          <w:b/>
          <w:i/>
          <w:szCs w:val="24"/>
        </w:rPr>
        <w:t xml:space="preserve">annual </w:t>
      </w:r>
      <w:r w:rsidRPr="00DB7215">
        <w:rPr>
          <w:rFonts w:cs="Times New Roman"/>
          <w:b/>
          <w:i/>
          <w:szCs w:val="24"/>
        </w:rPr>
        <w:t>report</w:t>
      </w:r>
      <w:r w:rsidRPr="00DB7215">
        <w:rPr>
          <w:rFonts w:cs="Times New Roman"/>
          <w:szCs w:val="24"/>
        </w:rPr>
        <w:t xml:space="preserve"> per state</w:t>
      </w:r>
    </w:p>
    <w:p w14:paraId="01CBB32B" w14:textId="67482D13" w:rsidR="007244F6" w:rsidRPr="00E016CC" w:rsidRDefault="007244F6" w:rsidP="00E016CC">
      <w:pPr>
        <w:pStyle w:val="ListParagraph"/>
        <w:numPr>
          <w:ilvl w:val="2"/>
          <w:numId w:val="33"/>
        </w:numPr>
        <w:spacing w:after="0" w:line="240" w:lineRule="auto"/>
        <w:rPr>
          <w:rFonts w:ascii="Times New Roman" w:hAnsi="Times New Roman"/>
          <w:sz w:val="24"/>
        </w:rPr>
      </w:pPr>
      <w:r w:rsidRPr="00E016CC">
        <w:rPr>
          <w:rFonts w:ascii="Times New Roman" w:hAnsi="Times New Roman"/>
          <w:sz w:val="24"/>
        </w:rPr>
        <w:t xml:space="preserve">4 hours for each </w:t>
      </w:r>
      <w:r w:rsidRPr="00E016CC">
        <w:rPr>
          <w:rFonts w:ascii="Times New Roman" w:hAnsi="Times New Roman"/>
          <w:b/>
          <w:i/>
          <w:sz w:val="24"/>
        </w:rPr>
        <w:t>subsequent quarterly report</w:t>
      </w:r>
      <w:r w:rsidRPr="00E016CC">
        <w:rPr>
          <w:rFonts w:ascii="Times New Roman" w:hAnsi="Times New Roman"/>
          <w:sz w:val="24"/>
        </w:rPr>
        <w:t xml:space="preserve"> per state.</w:t>
      </w:r>
    </w:p>
    <w:p w14:paraId="466A15CB" w14:textId="77777777" w:rsidR="00EF4D5F" w:rsidRPr="00E06360" w:rsidRDefault="00EF4D5F" w:rsidP="00E016CC">
      <w:pPr>
        <w:spacing w:after="0" w:line="240" w:lineRule="auto"/>
        <w:rPr>
          <w:rFonts w:cs="Times New Roman"/>
          <w:szCs w:val="24"/>
        </w:rPr>
      </w:pPr>
    </w:p>
    <w:p w14:paraId="1488ED86" w14:textId="071603A5" w:rsidR="00C866C4" w:rsidRPr="00E06360" w:rsidRDefault="0048686E" w:rsidP="00AA10A1">
      <w:pPr>
        <w:spacing w:after="0" w:line="240" w:lineRule="auto"/>
        <w:rPr>
          <w:rFonts w:cs="Times New Roman"/>
          <w:szCs w:val="24"/>
        </w:rPr>
      </w:pPr>
      <w:r w:rsidRPr="00E06360">
        <w:rPr>
          <w:rFonts w:cs="Times New Roman"/>
          <w:b/>
          <w:szCs w:val="24"/>
        </w:rPr>
        <w:t xml:space="preserve">YEAR 1 </w:t>
      </w:r>
      <w:r w:rsidR="00112577" w:rsidRPr="00AA10A1">
        <w:t>164 hours</w:t>
      </w:r>
      <w:r w:rsidR="00112577" w:rsidRPr="00E06360">
        <w:rPr>
          <w:rFonts w:cs="Times New Roman"/>
          <w:szCs w:val="24"/>
        </w:rPr>
        <w:t xml:space="preserve"> per state for </w:t>
      </w:r>
      <w:r w:rsidR="00112577" w:rsidRPr="00E06360">
        <w:rPr>
          <w:rFonts w:cs="Times New Roman"/>
          <w:bCs/>
          <w:szCs w:val="24"/>
        </w:rPr>
        <w:t>first</w:t>
      </w:r>
      <w:r w:rsidR="00112577" w:rsidRPr="00E06360">
        <w:rPr>
          <w:rFonts w:cs="Times New Roman"/>
          <w:szCs w:val="24"/>
        </w:rPr>
        <w:t xml:space="preserve"> demonstration </w:t>
      </w:r>
      <w:r w:rsidR="00112577" w:rsidRPr="00E06360">
        <w:rPr>
          <w:rFonts w:cs="Times New Roman"/>
          <w:bCs/>
          <w:szCs w:val="24"/>
        </w:rPr>
        <w:t xml:space="preserve">year </w:t>
      </w:r>
      <w:r w:rsidR="00112577" w:rsidRPr="00E06360">
        <w:rPr>
          <w:rFonts w:cs="Times New Roman"/>
          <w:szCs w:val="24"/>
        </w:rPr>
        <w:t xml:space="preserve">= </w:t>
      </w:r>
      <w:r w:rsidR="00C866C4" w:rsidRPr="00E06360">
        <w:rPr>
          <w:rFonts w:cs="Times New Roman"/>
          <w:szCs w:val="24"/>
        </w:rPr>
        <w:t>(</w:t>
      </w:r>
      <w:r w:rsidR="00424ABD" w:rsidRPr="00E06360">
        <w:rPr>
          <w:rFonts w:cs="Times New Roman"/>
          <w:szCs w:val="24"/>
        </w:rPr>
        <w:t>[</w:t>
      </w:r>
      <w:r w:rsidR="00665F73" w:rsidRPr="00E06360">
        <w:rPr>
          <w:rFonts w:cs="Times New Roman"/>
          <w:szCs w:val="24"/>
        </w:rPr>
        <w:t>128 hr</w:t>
      </w:r>
      <w:r w:rsidR="00435652" w:rsidRPr="00E06360">
        <w:rPr>
          <w:rFonts w:cs="Times New Roman"/>
          <w:szCs w:val="24"/>
        </w:rPr>
        <w:t>.</w:t>
      </w:r>
      <w:r w:rsidR="00665F73" w:rsidRPr="00E06360">
        <w:rPr>
          <w:rFonts w:cs="Times New Roman"/>
          <w:szCs w:val="24"/>
        </w:rPr>
        <w:t xml:space="preserve"> </w:t>
      </w:r>
      <w:r w:rsidR="00C866C4" w:rsidRPr="00E06360">
        <w:rPr>
          <w:rFonts w:cs="Times New Roman"/>
          <w:szCs w:val="24"/>
        </w:rPr>
        <w:t>per state for initial report including all metrics</w:t>
      </w:r>
      <w:r w:rsidR="00424ABD" w:rsidRPr="00E06360">
        <w:rPr>
          <w:rFonts w:cs="Times New Roman"/>
          <w:szCs w:val="24"/>
        </w:rPr>
        <w:t xml:space="preserve"> x 1 report]</w:t>
      </w:r>
      <w:r w:rsidR="00C866C4" w:rsidRPr="00E06360">
        <w:rPr>
          <w:rFonts w:cs="Times New Roman"/>
          <w:szCs w:val="24"/>
        </w:rPr>
        <w:t xml:space="preserve"> + </w:t>
      </w:r>
      <w:r w:rsidR="00112577" w:rsidRPr="00E06360">
        <w:rPr>
          <w:rFonts w:cs="Times New Roman"/>
          <w:szCs w:val="24"/>
        </w:rPr>
        <w:t>[</w:t>
      </w:r>
      <w:r w:rsidR="00665F73" w:rsidRPr="00E06360">
        <w:rPr>
          <w:rFonts w:cs="Times New Roman"/>
          <w:szCs w:val="24"/>
        </w:rPr>
        <w:t>12 hr</w:t>
      </w:r>
      <w:r w:rsidR="00435652" w:rsidRPr="00E06360">
        <w:rPr>
          <w:rFonts w:cs="Times New Roman"/>
          <w:szCs w:val="24"/>
        </w:rPr>
        <w:t>.</w:t>
      </w:r>
      <w:r w:rsidR="00C866C4" w:rsidRPr="00E06360">
        <w:rPr>
          <w:rFonts w:cs="Times New Roman"/>
          <w:szCs w:val="24"/>
        </w:rPr>
        <w:t xml:space="preserve"> per state x 3 subsequent quarterly reports</w:t>
      </w:r>
      <w:r w:rsidR="00112577" w:rsidRPr="00E06360">
        <w:rPr>
          <w:rFonts w:cs="Times New Roman"/>
          <w:szCs w:val="24"/>
        </w:rPr>
        <w:t>]</w:t>
      </w:r>
      <w:r w:rsidR="00C866C4" w:rsidRPr="00E06360">
        <w:rPr>
          <w:rFonts w:cs="Times New Roman"/>
          <w:szCs w:val="24"/>
        </w:rPr>
        <w:t>)</w:t>
      </w:r>
      <w:r w:rsidR="00424ABD" w:rsidRPr="00E06360">
        <w:rPr>
          <w:rFonts w:cs="Times New Roman"/>
          <w:szCs w:val="24"/>
        </w:rPr>
        <w:t xml:space="preserve">. In aggregate we estimate </w:t>
      </w:r>
      <w:r w:rsidR="00E06360">
        <w:rPr>
          <w:rFonts w:cs="Times New Roman"/>
          <w:szCs w:val="24"/>
        </w:rPr>
        <w:t xml:space="preserve">a burden of </w:t>
      </w:r>
      <w:r w:rsidR="00310922" w:rsidRPr="00E06360">
        <w:rPr>
          <w:rFonts w:cs="Times New Roman"/>
          <w:szCs w:val="24"/>
        </w:rPr>
        <w:t xml:space="preserve">1,640 </w:t>
      </w:r>
      <w:r w:rsidR="00424ABD" w:rsidRPr="00E06360">
        <w:rPr>
          <w:rFonts w:cs="Times New Roman"/>
          <w:szCs w:val="24"/>
        </w:rPr>
        <w:t xml:space="preserve">(164 hr x </w:t>
      </w:r>
      <w:r w:rsidR="00310922" w:rsidRPr="00E06360">
        <w:rPr>
          <w:rFonts w:cs="Times New Roman"/>
          <w:szCs w:val="24"/>
        </w:rPr>
        <w:t xml:space="preserve">10 states) </w:t>
      </w:r>
      <w:r w:rsidR="00422A85" w:rsidRPr="00E06360">
        <w:rPr>
          <w:rFonts w:cs="Times New Roman"/>
          <w:bCs/>
          <w:szCs w:val="24"/>
        </w:rPr>
        <w:t xml:space="preserve">at a cost of </w:t>
      </w:r>
      <w:r w:rsidR="000D194E" w:rsidRPr="00E06360">
        <w:rPr>
          <w:rFonts w:cs="Times New Roman"/>
          <w:bCs/>
          <w:szCs w:val="24"/>
        </w:rPr>
        <w:t>$14</w:t>
      </w:r>
      <w:r w:rsidR="00310922" w:rsidRPr="00E06360">
        <w:rPr>
          <w:rFonts w:cs="Times New Roman"/>
          <w:bCs/>
          <w:szCs w:val="24"/>
        </w:rPr>
        <w:t>1</w:t>
      </w:r>
      <w:r w:rsidR="000D194E" w:rsidRPr="00E06360">
        <w:rPr>
          <w:rFonts w:cs="Times New Roman"/>
          <w:bCs/>
          <w:szCs w:val="24"/>
        </w:rPr>
        <w:t>,269</w:t>
      </w:r>
      <w:r w:rsidR="00310922" w:rsidRPr="00E06360">
        <w:rPr>
          <w:rFonts w:cs="Times New Roman"/>
          <w:bCs/>
          <w:szCs w:val="24"/>
        </w:rPr>
        <w:t>.</w:t>
      </w:r>
      <w:r w:rsidR="000D194E" w:rsidRPr="00E06360">
        <w:rPr>
          <w:rFonts w:cs="Times New Roman"/>
          <w:bCs/>
          <w:szCs w:val="24"/>
        </w:rPr>
        <w:t>6</w:t>
      </w:r>
      <w:r w:rsidR="00310922" w:rsidRPr="00E06360">
        <w:rPr>
          <w:rFonts w:cs="Times New Roman"/>
          <w:bCs/>
          <w:szCs w:val="24"/>
        </w:rPr>
        <w:t>0</w:t>
      </w:r>
      <w:r w:rsidR="000D194E" w:rsidRPr="00E06360">
        <w:rPr>
          <w:rFonts w:cs="Times New Roman"/>
          <w:bCs/>
          <w:szCs w:val="24"/>
        </w:rPr>
        <w:t xml:space="preserve"> </w:t>
      </w:r>
      <w:r w:rsidR="00422A85" w:rsidRPr="00E06360">
        <w:rPr>
          <w:rFonts w:cs="Times New Roman"/>
          <w:bCs/>
          <w:szCs w:val="24"/>
        </w:rPr>
        <w:t>(1</w:t>
      </w:r>
      <w:r w:rsidR="00310922" w:rsidRPr="00E06360">
        <w:rPr>
          <w:rFonts w:cs="Times New Roman"/>
          <w:bCs/>
          <w:szCs w:val="24"/>
        </w:rPr>
        <w:t>,</w:t>
      </w:r>
      <w:r w:rsidR="00422A85" w:rsidRPr="00E06360">
        <w:rPr>
          <w:rFonts w:cs="Times New Roman"/>
          <w:bCs/>
          <w:szCs w:val="24"/>
        </w:rPr>
        <w:t>64</w:t>
      </w:r>
      <w:r w:rsidR="00310922" w:rsidRPr="00E06360">
        <w:rPr>
          <w:rFonts w:cs="Times New Roman"/>
          <w:bCs/>
          <w:szCs w:val="24"/>
        </w:rPr>
        <w:t>0</w:t>
      </w:r>
      <w:r w:rsidR="00422A85" w:rsidRPr="00E06360">
        <w:rPr>
          <w:rFonts w:cs="Times New Roman"/>
          <w:bCs/>
          <w:szCs w:val="24"/>
        </w:rPr>
        <w:t xml:space="preserve"> hr</w:t>
      </w:r>
      <w:r w:rsidR="00422A85" w:rsidRPr="00E06360">
        <w:rPr>
          <w:rFonts w:cs="Times New Roman"/>
          <w:szCs w:val="24"/>
        </w:rPr>
        <w:t xml:space="preserve"> x $</w:t>
      </w:r>
      <w:r w:rsidR="00422A85" w:rsidRPr="00E06360">
        <w:rPr>
          <w:rFonts w:cs="Times New Roman"/>
          <w:bCs/>
          <w:szCs w:val="24"/>
        </w:rPr>
        <w:t>86.14/hr)</w:t>
      </w:r>
      <w:r w:rsidR="00310922" w:rsidRPr="00E06360">
        <w:rPr>
          <w:rFonts w:cs="Times New Roman"/>
          <w:bCs/>
          <w:szCs w:val="24"/>
        </w:rPr>
        <w:t>.</w:t>
      </w:r>
    </w:p>
    <w:p w14:paraId="41CA5C7F" w14:textId="77777777" w:rsidR="00424ABD" w:rsidRPr="00E06360" w:rsidRDefault="00424ABD" w:rsidP="00424ABD">
      <w:pPr>
        <w:spacing w:after="0" w:line="240" w:lineRule="auto"/>
        <w:ind w:left="360"/>
        <w:rPr>
          <w:rFonts w:cs="Times New Roman"/>
          <w:szCs w:val="24"/>
        </w:rPr>
      </w:pPr>
    </w:p>
    <w:p w14:paraId="15496052" w14:textId="33E0DF1C" w:rsidR="00E06360" w:rsidRPr="00E06360" w:rsidRDefault="00E06360" w:rsidP="00AA10A1">
      <w:pPr>
        <w:spacing w:after="0" w:line="240" w:lineRule="auto"/>
        <w:rPr>
          <w:rFonts w:cs="Times New Roman"/>
          <w:szCs w:val="24"/>
        </w:rPr>
      </w:pPr>
      <w:r w:rsidRPr="00E06360">
        <w:rPr>
          <w:rFonts w:cs="Times New Roman"/>
          <w:b/>
          <w:szCs w:val="24"/>
        </w:rPr>
        <w:t xml:space="preserve">SUBSEQUENT YEARS </w:t>
      </w:r>
      <w:r w:rsidR="00422A85" w:rsidRPr="00AA10A1">
        <w:t>68</w:t>
      </w:r>
      <w:r w:rsidR="00112577" w:rsidRPr="00AA10A1">
        <w:t xml:space="preserve"> hours </w:t>
      </w:r>
      <w:r w:rsidR="00112577" w:rsidRPr="00E06360">
        <w:rPr>
          <w:rFonts w:cs="Times New Roman"/>
          <w:bCs/>
          <w:szCs w:val="24"/>
        </w:rPr>
        <w:t xml:space="preserve">for a computer programmer </w:t>
      </w:r>
      <w:r w:rsidR="00112577" w:rsidRPr="00E06360">
        <w:rPr>
          <w:rFonts w:cs="Times New Roman"/>
          <w:szCs w:val="24"/>
        </w:rPr>
        <w:t xml:space="preserve">per state for subsequent years </w:t>
      </w:r>
      <w:r w:rsidR="00112577" w:rsidRPr="00E06360">
        <w:rPr>
          <w:rFonts w:cs="Times New Roman"/>
          <w:bCs/>
          <w:szCs w:val="24"/>
        </w:rPr>
        <w:t xml:space="preserve">= </w:t>
      </w:r>
      <w:r w:rsidR="00C866C4" w:rsidRPr="00E06360">
        <w:rPr>
          <w:rFonts w:cs="Times New Roman"/>
          <w:bCs/>
          <w:szCs w:val="24"/>
        </w:rPr>
        <w:t>(</w:t>
      </w:r>
      <w:r w:rsidRPr="00E06360">
        <w:rPr>
          <w:rFonts w:cs="Times New Roman"/>
          <w:bCs/>
          <w:szCs w:val="24"/>
        </w:rPr>
        <w:t>[</w:t>
      </w:r>
      <w:r w:rsidR="00665F73" w:rsidRPr="00E06360">
        <w:rPr>
          <w:rFonts w:cs="Times New Roman"/>
          <w:bCs/>
          <w:szCs w:val="24"/>
        </w:rPr>
        <w:t xml:space="preserve">32 hr </w:t>
      </w:r>
      <w:r w:rsidR="00C866C4" w:rsidRPr="00E06360">
        <w:rPr>
          <w:rFonts w:cs="Times New Roman"/>
          <w:bCs/>
          <w:szCs w:val="24"/>
        </w:rPr>
        <w:t>per state for subsequent annual reports</w:t>
      </w:r>
      <w:r w:rsidRPr="00E06360">
        <w:rPr>
          <w:rFonts w:cs="Times New Roman"/>
          <w:bCs/>
          <w:szCs w:val="24"/>
        </w:rPr>
        <w:t xml:space="preserve"> x 1 report]</w:t>
      </w:r>
      <w:r w:rsidR="00C866C4" w:rsidRPr="00E06360">
        <w:rPr>
          <w:rFonts w:cs="Times New Roman"/>
          <w:bCs/>
          <w:szCs w:val="24"/>
        </w:rPr>
        <w:t xml:space="preserve"> +</w:t>
      </w:r>
      <w:r w:rsidR="00C866C4" w:rsidRPr="00E06360">
        <w:rPr>
          <w:rFonts w:cs="Times New Roman"/>
          <w:b/>
          <w:bCs/>
          <w:szCs w:val="24"/>
        </w:rPr>
        <w:t xml:space="preserve"> </w:t>
      </w:r>
      <w:r w:rsidR="00112577" w:rsidRPr="00E06360">
        <w:rPr>
          <w:rFonts w:cs="Times New Roman"/>
          <w:b/>
          <w:bCs/>
          <w:szCs w:val="24"/>
        </w:rPr>
        <w:t>[</w:t>
      </w:r>
      <w:r w:rsidR="00665F73" w:rsidRPr="00E06360">
        <w:rPr>
          <w:rFonts w:cs="Times New Roman"/>
          <w:szCs w:val="24"/>
        </w:rPr>
        <w:t>12 hr</w:t>
      </w:r>
      <w:r w:rsidR="00C866C4" w:rsidRPr="00E06360">
        <w:rPr>
          <w:rFonts w:cs="Times New Roman"/>
          <w:szCs w:val="24"/>
        </w:rPr>
        <w:t xml:space="preserve"> per state x 3 </w:t>
      </w:r>
      <w:r w:rsidR="00112577" w:rsidRPr="00E06360">
        <w:rPr>
          <w:rFonts w:cs="Times New Roman"/>
          <w:szCs w:val="24"/>
        </w:rPr>
        <w:t>subsequent quarterly reports])</w:t>
      </w:r>
      <w:r w:rsidRPr="00E06360">
        <w:rPr>
          <w:rFonts w:cs="Times New Roman"/>
          <w:szCs w:val="24"/>
        </w:rPr>
        <w:t xml:space="preserve">. In aggregate we estimate </w:t>
      </w:r>
      <w:r>
        <w:rPr>
          <w:rFonts w:cs="Times New Roman"/>
          <w:szCs w:val="24"/>
        </w:rPr>
        <w:t>a burden of</w:t>
      </w:r>
      <w:r w:rsidRPr="00E06360">
        <w:rPr>
          <w:rFonts w:cs="Times New Roman"/>
          <w:szCs w:val="24"/>
        </w:rPr>
        <w:t xml:space="preserve"> 680 (68 hr x 10 states) </w:t>
      </w:r>
      <w:r w:rsidRPr="00E06360">
        <w:rPr>
          <w:rFonts w:cs="Times New Roman"/>
          <w:bCs/>
          <w:szCs w:val="24"/>
        </w:rPr>
        <w:t>at a cost of $</w:t>
      </w:r>
      <w:r w:rsidRPr="00E06360">
        <w:rPr>
          <w:rFonts w:cs="Times New Roman"/>
          <w:szCs w:val="24"/>
        </w:rPr>
        <w:t xml:space="preserve"> </w:t>
      </w:r>
      <w:r w:rsidRPr="00E06360">
        <w:rPr>
          <w:rFonts w:cs="Times New Roman"/>
          <w:bCs/>
          <w:szCs w:val="24"/>
        </w:rPr>
        <w:t>58,575.20 (680 hr</w:t>
      </w:r>
      <w:r w:rsidRPr="00E06360">
        <w:rPr>
          <w:rFonts w:cs="Times New Roman"/>
          <w:szCs w:val="24"/>
        </w:rPr>
        <w:t xml:space="preserve"> x $</w:t>
      </w:r>
      <w:r w:rsidRPr="00E06360">
        <w:rPr>
          <w:rFonts w:cs="Times New Roman"/>
          <w:bCs/>
          <w:szCs w:val="24"/>
        </w:rPr>
        <w:t>86.14/hr).</w:t>
      </w:r>
    </w:p>
    <w:p w14:paraId="4885D0A2" w14:textId="77777777" w:rsidR="008529BF" w:rsidRPr="00E06360" w:rsidRDefault="008529BF" w:rsidP="00AA10A1">
      <w:pPr>
        <w:spacing w:after="0" w:line="240" w:lineRule="auto"/>
        <w:ind w:left="1152"/>
        <w:rPr>
          <w:rFonts w:cs="Times New Roman"/>
          <w:szCs w:val="24"/>
        </w:rPr>
      </w:pPr>
    </w:p>
    <w:p w14:paraId="32138417" w14:textId="4A2F98F6" w:rsidR="00E54FE9" w:rsidRPr="00223FCC" w:rsidRDefault="00E54FE9" w:rsidP="004B74CC">
      <w:pPr>
        <w:spacing w:after="0" w:line="240" w:lineRule="auto"/>
      </w:pPr>
      <w:r>
        <w:t xml:space="preserve">The Metrics Template becomes the Metric Workbook after States enter respective data and submit it via PMDA.  </w:t>
      </w:r>
      <w:r w:rsidR="00FB17C9">
        <w:t>Therefore, w</w:t>
      </w:r>
      <w:r>
        <w:t>e don’t expect any additional burden association with the Workbook.</w:t>
      </w:r>
    </w:p>
    <w:p w14:paraId="67A639BD" w14:textId="6FFC1A70" w:rsidR="004E5356" w:rsidRDefault="004E5356" w:rsidP="00E016CC">
      <w:pPr>
        <w:pStyle w:val="NormalSS"/>
        <w:spacing w:after="0"/>
        <w:ind w:firstLine="0"/>
        <w:rPr>
          <w:szCs w:val="24"/>
        </w:rPr>
      </w:pPr>
    </w:p>
    <w:p w14:paraId="358F40F6" w14:textId="4BC125B9" w:rsidR="004E5356" w:rsidRPr="00E016CC" w:rsidRDefault="004E5356" w:rsidP="00EE7851">
      <w:pPr>
        <w:pStyle w:val="NormalSS"/>
        <w:numPr>
          <w:ilvl w:val="0"/>
          <w:numId w:val="49"/>
        </w:numPr>
        <w:spacing w:after="0"/>
      </w:pPr>
      <w:r w:rsidRPr="00E016CC">
        <w:rPr>
          <w:u w:val="single"/>
        </w:rPr>
        <w:t>PMDA</w:t>
      </w:r>
      <w:r w:rsidR="00772992" w:rsidRPr="00E016CC">
        <w:rPr>
          <w:u w:val="single"/>
        </w:rPr>
        <w:t xml:space="preserve"> </w:t>
      </w:r>
      <w:r w:rsidR="00772992">
        <w:rPr>
          <w:szCs w:val="24"/>
          <w:u w:val="single"/>
        </w:rPr>
        <w:t>and Instruction Videos</w:t>
      </w:r>
    </w:p>
    <w:p w14:paraId="425943BA" w14:textId="77777777" w:rsidR="004E5356" w:rsidRPr="00223FCC" w:rsidRDefault="004E5356" w:rsidP="00E016CC">
      <w:pPr>
        <w:pStyle w:val="NormalSS"/>
        <w:spacing w:after="0"/>
        <w:ind w:firstLine="0"/>
      </w:pPr>
    </w:p>
    <w:p w14:paraId="6391737A" w14:textId="52714AD5" w:rsidR="00736F77" w:rsidRPr="00736F77" w:rsidRDefault="00736F77" w:rsidP="00736F77">
      <w:pPr>
        <w:pStyle w:val="ListParagraph"/>
        <w:autoSpaceDE w:val="0"/>
        <w:autoSpaceDN w:val="0"/>
        <w:spacing w:after="0" w:line="240" w:lineRule="auto"/>
        <w:ind w:left="0" w:right="90"/>
        <w:rPr>
          <w:rFonts w:ascii="Times New Roman" w:hAnsi="Times New Roman"/>
          <w:sz w:val="24"/>
          <w:szCs w:val="24"/>
        </w:rPr>
      </w:pPr>
      <w:r w:rsidRPr="00736F77">
        <w:rPr>
          <w:rFonts w:ascii="Times New Roman" w:hAnsi="Times New Roman"/>
          <w:sz w:val="24"/>
          <w:szCs w:val="24"/>
        </w:rPr>
        <w:t xml:space="preserve">We expect states to submit via PMDA their respective </w:t>
      </w:r>
      <w:r w:rsidR="00435652" w:rsidRPr="00435652">
        <w:rPr>
          <w:rFonts w:ascii="Times New Roman" w:hAnsi="Times New Roman"/>
          <w:color w:val="000000"/>
          <w:sz w:val="24"/>
          <w:szCs w:val="24"/>
        </w:rPr>
        <w:t>Medicaid Section 1115 Eligibility and Coverage</w:t>
      </w:r>
      <w:r w:rsidR="00435652" w:rsidRPr="00435652">
        <w:rPr>
          <w:rFonts w:ascii="Times New Roman" w:hAnsi="Times New Roman"/>
          <w:sz w:val="24"/>
          <w:szCs w:val="24"/>
        </w:rPr>
        <w:t xml:space="preserve"> </w:t>
      </w:r>
      <w:r w:rsidR="00D37480">
        <w:rPr>
          <w:rFonts w:ascii="Times New Roman" w:hAnsi="Times New Roman"/>
          <w:sz w:val="24"/>
          <w:szCs w:val="24"/>
        </w:rPr>
        <w:t xml:space="preserve">implementation plan, monitoring protocol and </w:t>
      </w:r>
      <w:r w:rsidRPr="00736F77">
        <w:rPr>
          <w:rFonts w:ascii="Times New Roman" w:hAnsi="Times New Roman"/>
          <w:sz w:val="24"/>
          <w:szCs w:val="24"/>
        </w:rPr>
        <w:t>quarterly and annual reports</w:t>
      </w:r>
      <w:r w:rsidR="00D37480">
        <w:rPr>
          <w:rFonts w:ascii="Times New Roman" w:hAnsi="Times New Roman"/>
          <w:sz w:val="24"/>
          <w:szCs w:val="24"/>
        </w:rPr>
        <w:t xml:space="preserve"> (here forward referred to as ’monitoring documents’.  T</w:t>
      </w:r>
      <w:r w:rsidRPr="00736F77">
        <w:rPr>
          <w:rFonts w:ascii="Times New Roman" w:hAnsi="Times New Roman"/>
          <w:sz w:val="24"/>
          <w:szCs w:val="24"/>
        </w:rPr>
        <w:t>he 4</w:t>
      </w:r>
      <w:r w:rsidRPr="00736F77">
        <w:rPr>
          <w:rFonts w:ascii="Times New Roman" w:hAnsi="Times New Roman"/>
          <w:sz w:val="24"/>
          <w:szCs w:val="24"/>
          <w:vertAlign w:val="superscript"/>
        </w:rPr>
        <w:t>th</w:t>
      </w:r>
      <w:r w:rsidRPr="00736F77">
        <w:rPr>
          <w:rFonts w:ascii="Times New Roman" w:hAnsi="Times New Roman"/>
          <w:sz w:val="24"/>
          <w:szCs w:val="24"/>
        </w:rPr>
        <w:t xml:space="preserve"> quarter report may be included in the annual report. We expect to maintain the same number of reports.  No statistical methods are employed in information collection and in addition, the quarterly and annual reporting data fields are not duplicating any other collections. </w:t>
      </w:r>
    </w:p>
    <w:p w14:paraId="25B90187" w14:textId="77777777" w:rsidR="009333CB" w:rsidRPr="00223FCC" w:rsidRDefault="009333CB" w:rsidP="00E016CC">
      <w:pPr>
        <w:spacing w:after="0" w:line="240" w:lineRule="auto"/>
      </w:pPr>
    </w:p>
    <w:p w14:paraId="457C5C14" w14:textId="6CC9C5A5" w:rsidR="009333CB" w:rsidRPr="00472269" w:rsidRDefault="009333CB" w:rsidP="009333CB">
      <w:pPr>
        <w:pStyle w:val="ListParagraph"/>
        <w:autoSpaceDE w:val="0"/>
        <w:autoSpaceDN w:val="0"/>
        <w:spacing w:after="0" w:line="240" w:lineRule="auto"/>
        <w:ind w:left="0" w:right="90"/>
        <w:rPr>
          <w:rFonts w:ascii="Times New Roman" w:hAnsi="Times New Roman"/>
          <w:sz w:val="24"/>
          <w:szCs w:val="24"/>
        </w:rPr>
      </w:pPr>
      <w:r w:rsidRPr="00472269">
        <w:rPr>
          <w:rFonts w:ascii="Times New Roman" w:hAnsi="Times New Roman"/>
          <w:sz w:val="24"/>
          <w:szCs w:val="24"/>
        </w:rPr>
        <w:t xml:space="preserve">We expect the </w:t>
      </w:r>
      <w:r w:rsidR="004E5356">
        <w:rPr>
          <w:rFonts w:ascii="Times New Roman" w:hAnsi="Times New Roman"/>
          <w:sz w:val="24"/>
          <w:szCs w:val="24"/>
        </w:rPr>
        <w:t xml:space="preserve">time </w:t>
      </w:r>
      <w:r>
        <w:rPr>
          <w:rFonts w:ascii="Times New Roman" w:hAnsi="Times New Roman"/>
          <w:sz w:val="24"/>
          <w:szCs w:val="24"/>
        </w:rPr>
        <w:t xml:space="preserve">for each state </w:t>
      </w:r>
      <w:r w:rsidRPr="00472269">
        <w:rPr>
          <w:rFonts w:ascii="Times New Roman" w:hAnsi="Times New Roman"/>
          <w:sz w:val="24"/>
          <w:szCs w:val="24"/>
        </w:rPr>
        <w:t xml:space="preserve">to complete the submission of the </w:t>
      </w:r>
      <w:r w:rsidR="00435652" w:rsidRPr="00435652">
        <w:rPr>
          <w:rFonts w:ascii="Times New Roman" w:hAnsi="Times New Roman"/>
          <w:color w:val="000000"/>
          <w:sz w:val="24"/>
          <w:szCs w:val="24"/>
        </w:rPr>
        <w:t>Medicaid Section 1115 Eligibility and Coverage</w:t>
      </w:r>
      <w:r w:rsidR="00435652" w:rsidRPr="00472269">
        <w:rPr>
          <w:rFonts w:ascii="Times New Roman" w:hAnsi="Times New Roman"/>
          <w:sz w:val="24"/>
          <w:szCs w:val="24"/>
        </w:rPr>
        <w:t xml:space="preserve"> </w:t>
      </w:r>
      <w:r w:rsidRPr="00472269">
        <w:rPr>
          <w:rFonts w:ascii="Times New Roman" w:hAnsi="Times New Roman"/>
          <w:sz w:val="24"/>
          <w:szCs w:val="24"/>
        </w:rPr>
        <w:t>monitoring documents via PMDA to be the same or similar to the time it takes today for states to submit other deliverables and each state may approximately spend 3 to 5 minutes per submission.</w:t>
      </w:r>
    </w:p>
    <w:p w14:paraId="4EE54268" w14:textId="77777777" w:rsidR="009333CB" w:rsidRPr="00472269" w:rsidRDefault="009333CB" w:rsidP="009333CB">
      <w:pPr>
        <w:pStyle w:val="ListParagraph"/>
        <w:autoSpaceDE w:val="0"/>
        <w:autoSpaceDN w:val="0"/>
        <w:spacing w:after="0" w:line="240" w:lineRule="auto"/>
        <w:ind w:left="0" w:right="90"/>
        <w:rPr>
          <w:i/>
          <w:sz w:val="24"/>
        </w:rPr>
      </w:pPr>
    </w:p>
    <w:p w14:paraId="4C317323" w14:textId="5F509D53" w:rsidR="009333CB" w:rsidRPr="00472269" w:rsidRDefault="009333CB" w:rsidP="009333CB">
      <w:pPr>
        <w:pStyle w:val="BodyText"/>
        <w:spacing w:after="240"/>
        <w:rPr>
          <w:i w:val="0"/>
          <w:sz w:val="24"/>
        </w:rPr>
      </w:pPr>
      <w:r w:rsidRPr="00472269">
        <w:rPr>
          <w:i w:val="0"/>
          <w:sz w:val="24"/>
        </w:rPr>
        <w:t xml:space="preserve">Each state/territory with an approved </w:t>
      </w:r>
      <w:r w:rsidR="00435652" w:rsidRPr="00435652">
        <w:rPr>
          <w:i w:val="0"/>
          <w:color w:val="000000"/>
          <w:sz w:val="24"/>
          <w:szCs w:val="24"/>
        </w:rPr>
        <w:t>Medicaid Section 1115 Eligibility and Coverage</w:t>
      </w:r>
      <w:r w:rsidR="00435652" w:rsidRPr="00472269">
        <w:rPr>
          <w:i w:val="0"/>
          <w:sz w:val="24"/>
        </w:rPr>
        <w:t xml:space="preserve"> </w:t>
      </w:r>
      <w:r w:rsidRPr="00472269">
        <w:rPr>
          <w:i w:val="0"/>
          <w:sz w:val="24"/>
        </w:rPr>
        <w:t xml:space="preserve">demonstration will be required to complete and submit via PMDA the monitoring documents established by CMS, </w:t>
      </w:r>
      <w:r w:rsidRPr="00472269">
        <w:rPr>
          <w:i w:val="0"/>
          <w:sz w:val="24"/>
          <w:szCs w:val="24"/>
        </w:rPr>
        <w:t xml:space="preserve">aimed to support more efficient, timely and accurate review of states’ </w:t>
      </w:r>
      <w:r w:rsidR="00435652" w:rsidRPr="00435652">
        <w:rPr>
          <w:i w:val="0"/>
          <w:color w:val="000000"/>
          <w:sz w:val="24"/>
          <w:szCs w:val="24"/>
        </w:rPr>
        <w:t>Medicaid Section 1115 Eligibility and Coverage</w:t>
      </w:r>
      <w:r w:rsidRPr="00472269">
        <w:rPr>
          <w:i w:val="0"/>
          <w:sz w:val="24"/>
          <w:szCs w:val="24"/>
        </w:rPr>
        <w:t xml:space="preserve"> demonstrations monitoring </w:t>
      </w:r>
      <w:r w:rsidR="00D37480">
        <w:rPr>
          <w:i w:val="0"/>
          <w:sz w:val="24"/>
          <w:szCs w:val="24"/>
        </w:rPr>
        <w:t xml:space="preserve">document </w:t>
      </w:r>
      <w:r w:rsidRPr="00472269">
        <w:rPr>
          <w:i w:val="0"/>
          <w:sz w:val="24"/>
          <w:szCs w:val="24"/>
        </w:rPr>
        <w:t>s submissions.</w:t>
      </w:r>
      <w:r w:rsidRPr="00472269">
        <w:rPr>
          <w:i w:val="0"/>
          <w:sz w:val="24"/>
        </w:rPr>
        <w:t xml:space="preserve"> The burden is associated with submitting the </w:t>
      </w:r>
      <w:r w:rsidR="00BE6E2E" w:rsidRPr="00435652">
        <w:rPr>
          <w:i w:val="0"/>
          <w:color w:val="000000"/>
          <w:sz w:val="24"/>
          <w:szCs w:val="24"/>
        </w:rPr>
        <w:t>Medicaid Section 1115 Eligibility and Coverage</w:t>
      </w:r>
      <w:r w:rsidR="00BE6E2E" w:rsidRPr="00472269">
        <w:rPr>
          <w:i w:val="0"/>
          <w:sz w:val="24"/>
        </w:rPr>
        <w:t xml:space="preserve"> </w:t>
      </w:r>
      <w:r w:rsidRPr="00472269">
        <w:rPr>
          <w:i w:val="0"/>
          <w:sz w:val="24"/>
        </w:rPr>
        <w:t>monitoring report protocol/templates/ and metrics provided to states/territories by CMS to assist in this</w:t>
      </w:r>
      <w:r w:rsidRPr="00472269">
        <w:rPr>
          <w:i w:val="0"/>
          <w:spacing w:val="15"/>
          <w:sz w:val="24"/>
        </w:rPr>
        <w:t xml:space="preserve"> </w:t>
      </w:r>
      <w:r w:rsidRPr="00472269">
        <w:rPr>
          <w:i w:val="0"/>
          <w:sz w:val="24"/>
        </w:rPr>
        <w:t>effort, as well as the burden related to states viewing as necessary any instructions</w:t>
      </w:r>
      <w:r w:rsidR="004E5356">
        <w:rPr>
          <w:i w:val="0"/>
          <w:sz w:val="24"/>
        </w:rPr>
        <w:t>.</w:t>
      </w:r>
    </w:p>
    <w:p w14:paraId="687EFFD3" w14:textId="6AFF1D04" w:rsidR="00E93FBA" w:rsidRDefault="009333CB" w:rsidP="00E93FBA">
      <w:pPr>
        <w:pStyle w:val="BodyText"/>
        <w:rPr>
          <w:i w:val="0"/>
        </w:rPr>
      </w:pPr>
      <w:r w:rsidRPr="00472269">
        <w:rPr>
          <w:i w:val="0"/>
          <w:sz w:val="24"/>
        </w:rPr>
        <w:t>As mentioned above, each demonstration is estimated to need approximately 3 to 5 minutes quarterly/annually at $</w:t>
      </w:r>
      <w:r w:rsidR="00F82BC4">
        <w:rPr>
          <w:i w:val="0"/>
          <w:sz w:val="24"/>
        </w:rPr>
        <w:t>109.36</w:t>
      </w:r>
      <w:r w:rsidRPr="00472269">
        <w:rPr>
          <w:i w:val="0"/>
          <w:sz w:val="24"/>
        </w:rPr>
        <w:t>/</w:t>
      </w:r>
      <w:r w:rsidR="0056166F" w:rsidRPr="00472269">
        <w:rPr>
          <w:i w:val="0"/>
          <w:sz w:val="24"/>
        </w:rPr>
        <w:t>h</w:t>
      </w:r>
      <w:r w:rsidR="0056166F">
        <w:rPr>
          <w:i w:val="0"/>
          <w:sz w:val="24"/>
        </w:rPr>
        <w:t>r.</w:t>
      </w:r>
      <w:r w:rsidRPr="00472269">
        <w:rPr>
          <w:i w:val="0"/>
          <w:sz w:val="24"/>
        </w:rPr>
        <w:t xml:space="preserve"> for a Health Services Manager to submit via PMDA the necessary </w:t>
      </w:r>
      <w:r w:rsidR="00BE6E2E" w:rsidRPr="00435652">
        <w:rPr>
          <w:i w:val="0"/>
          <w:color w:val="000000"/>
          <w:sz w:val="24"/>
          <w:szCs w:val="24"/>
        </w:rPr>
        <w:t>Medicaid Section 1115 Eligibility and Coverage</w:t>
      </w:r>
      <w:r w:rsidR="00BE6E2E" w:rsidRPr="00472269">
        <w:rPr>
          <w:i w:val="0"/>
          <w:sz w:val="24"/>
        </w:rPr>
        <w:t xml:space="preserve"> </w:t>
      </w:r>
      <w:r w:rsidR="00A64CD1">
        <w:rPr>
          <w:i w:val="0"/>
          <w:sz w:val="24"/>
        </w:rPr>
        <w:t xml:space="preserve">implementation plan and </w:t>
      </w:r>
      <w:r w:rsidRPr="00472269">
        <w:rPr>
          <w:i w:val="0"/>
          <w:sz w:val="24"/>
        </w:rPr>
        <w:t xml:space="preserve">monitoring </w:t>
      </w:r>
      <w:r w:rsidR="00D37480">
        <w:rPr>
          <w:i w:val="0"/>
          <w:sz w:val="24"/>
        </w:rPr>
        <w:t>documents.</w:t>
      </w:r>
      <w:r w:rsidRPr="00472269">
        <w:rPr>
          <w:i w:val="0"/>
          <w:sz w:val="24"/>
        </w:rPr>
        <w:t xml:space="preserve"> </w:t>
      </w:r>
      <w:r w:rsidR="000C2B1A">
        <w:rPr>
          <w:i w:val="0"/>
          <w:sz w:val="24"/>
        </w:rPr>
        <w:t xml:space="preserve">The burden is </w:t>
      </w:r>
      <w:r w:rsidR="004E5356">
        <w:rPr>
          <w:i w:val="0"/>
          <w:sz w:val="24"/>
        </w:rPr>
        <w:t>subsumed within the preceding estimates</w:t>
      </w:r>
      <w:r w:rsidR="00E93FBA">
        <w:rPr>
          <w:i w:val="0"/>
          <w:sz w:val="24"/>
        </w:rPr>
        <w:t xml:space="preserve"> along with the time (30 min) to </w:t>
      </w:r>
      <w:r w:rsidR="00E93FBA" w:rsidRPr="00472269">
        <w:rPr>
          <w:i w:val="0"/>
          <w:sz w:val="24"/>
        </w:rPr>
        <w:t xml:space="preserve">review the “instructions” </w:t>
      </w:r>
      <w:r w:rsidR="00E93FBA">
        <w:rPr>
          <w:i w:val="0"/>
          <w:sz w:val="24"/>
        </w:rPr>
        <w:t>and watch the respective videos.</w:t>
      </w:r>
      <w:r w:rsidR="00E93FBA" w:rsidRPr="00E016CC">
        <w:t xml:space="preserve"> </w:t>
      </w:r>
    </w:p>
    <w:p w14:paraId="5D94D6EB" w14:textId="77777777" w:rsidR="00A64CD1" w:rsidRPr="00AA10A1" w:rsidRDefault="00A64CD1" w:rsidP="00E93FBA">
      <w:pPr>
        <w:pStyle w:val="BodyText"/>
      </w:pPr>
    </w:p>
    <w:p w14:paraId="4090A633" w14:textId="3205CB3D" w:rsidR="00490409" w:rsidRDefault="00490409" w:rsidP="004D521F">
      <w:pPr>
        <w:spacing w:after="0" w:line="240" w:lineRule="auto"/>
        <w:rPr>
          <w:i/>
        </w:rPr>
      </w:pPr>
      <w:r w:rsidRPr="00490409">
        <w:rPr>
          <w:i/>
        </w:rPr>
        <w:t>Summary of Collection of Information Requirements and Burden Estimates</w:t>
      </w:r>
    </w:p>
    <w:p w14:paraId="39153011" w14:textId="77777777" w:rsidR="00A64CD1" w:rsidRPr="00490409" w:rsidRDefault="00A64CD1" w:rsidP="004D521F">
      <w:pPr>
        <w:spacing w:after="0" w:line="240" w:lineRule="auto"/>
        <w:rPr>
          <w:i/>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350"/>
        <w:gridCol w:w="1530"/>
        <w:gridCol w:w="1350"/>
        <w:gridCol w:w="1080"/>
        <w:gridCol w:w="1350"/>
        <w:gridCol w:w="1391"/>
      </w:tblGrid>
      <w:tr w:rsidR="004D521F" w:rsidRPr="00472269" w14:paraId="6437D505" w14:textId="77777777" w:rsidTr="00E071E1">
        <w:trPr>
          <w:trHeight w:val="800"/>
          <w:tblHeader/>
        </w:trPr>
        <w:tc>
          <w:tcPr>
            <w:tcW w:w="1530" w:type="dxa"/>
            <w:shd w:val="clear" w:color="auto" w:fill="auto"/>
          </w:tcPr>
          <w:p w14:paraId="1EB59A59" w14:textId="77777777" w:rsidR="004D521F" w:rsidRPr="00472269" w:rsidRDefault="004D521F" w:rsidP="00165097">
            <w:pPr>
              <w:spacing w:after="0" w:line="240" w:lineRule="auto"/>
              <w:jc w:val="center"/>
              <w:rPr>
                <w:b/>
                <w:sz w:val="20"/>
                <w:szCs w:val="20"/>
              </w:rPr>
            </w:pPr>
            <w:r w:rsidRPr="00472269">
              <w:rPr>
                <w:b/>
                <w:sz w:val="20"/>
                <w:szCs w:val="20"/>
              </w:rPr>
              <w:t>Requirement</w:t>
            </w:r>
          </w:p>
        </w:tc>
        <w:tc>
          <w:tcPr>
            <w:tcW w:w="1350" w:type="dxa"/>
            <w:shd w:val="clear" w:color="auto" w:fill="auto"/>
          </w:tcPr>
          <w:p w14:paraId="37EEFE82" w14:textId="2D835E81" w:rsidR="004D521F" w:rsidRPr="00472269" w:rsidRDefault="00880774" w:rsidP="00165097">
            <w:pPr>
              <w:spacing w:after="0" w:line="240" w:lineRule="auto"/>
              <w:jc w:val="center"/>
              <w:rPr>
                <w:b/>
                <w:sz w:val="20"/>
                <w:szCs w:val="20"/>
              </w:rPr>
            </w:pPr>
            <w:r>
              <w:rPr>
                <w:b/>
                <w:sz w:val="20"/>
                <w:szCs w:val="20"/>
              </w:rPr>
              <w:t xml:space="preserve">No. </w:t>
            </w:r>
            <w:r w:rsidR="004D521F" w:rsidRPr="00472269">
              <w:rPr>
                <w:b/>
                <w:sz w:val="20"/>
                <w:szCs w:val="20"/>
              </w:rPr>
              <w:t>Respondents</w:t>
            </w:r>
          </w:p>
        </w:tc>
        <w:tc>
          <w:tcPr>
            <w:tcW w:w="1530" w:type="dxa"/>
            <w:shd w:val="clear" w:color="auto" w:fill="auto"/>
          </w:tcPr>
          <w:p w14:paraId="66A68137" w14:textId="77777777" w:rsidR="004D521F" w:rsidRPr="00472269" w:rsidRDefault="004D521F" w:rsidP="00165097">
            <w:pPr>
              <w:spacing w:after="0" w:line="240" w:lineRule="auto"/>
              <w:jc w:val="center"/>
              <w:rPr>
                <w:b/>
                <w:sz w:val="20"/>
                <w:szCs w:val="20"/>
              </w:rPr>
            </w:pPr>
            <w:r w:rsidRPr="00472269">
              <w:rPr>
                <w:b/>
                <w:sz w:val="20"/>
                <w:szCs w:val="20"/>
              </w:rPr>
              <w:t>Total Responses</w:t>
            </w:r>
          </w:p>
        </w:tc>
        <w:tc>
          <w:tcPr>
            <w:tcW w:w="1350" w:type="dxa"/>
            <w:shd w:val="clear" w:color="auto" w:fill="auto"/>
          </w:tcPr>
          <w:p w14:paraId="1CB7F978" w14:textId="6F8292A9" w:rsidR="004D521F" w:rsidRPr="00472269" w:rsidRDefault="009C2C6E" w:rsidP="00165097">
            <w:pPr>
              <w:spacing w:after="0" w:line="240" w:lineRule="auto"/>
              <w:jc w:val="center"/>
              <w:rPr>
                <w:b/>
                <w:sz w:val="20"/>
                <w:szCs w:val="20"/>
              </w:rPr>
            </w:pPr>
            <w:r>
              <w:rPr>
                <w:b/>
                <w:sz w:val="20"/>
                <w:szCs w:val="20"/>
              </w:rPr>
              <w:t>Time</w:t>
            </w:r>
            <w:r w:rsidR="004D521F" w:rsidRPr="00472269">
              <w:rPr>
                <w:b/>
                <w:sz w:val="20"/>
                <w:szCs w:val="20"/>
              </w:rPr>
              <w:t xml:space="preserve"> per Response (</w:t>
            </w:r>
            <w:r w:rsidR="00490409">
              <w:rPr>
                <w:b/>
                <w:sz w:val="20"/>
                <w:szCs w:val="20"/>
              </w:rPr>
              <w:t>hours</w:t>
            </w:r>
            <w:r w:rsidR="004D521F" w:rsidRPr="00472269">
              <w:rPr>
                <w:b/>
                <w:sz w:val="20"/>
                <w:szCs w:val="20"/>
              </w:rPr>
              <w:t>)</w:t>
            </w:r>
          </w:p>
        </w:tc>
        <w:tc>
          <w:tcPr>
            <w:tcW w:w="1080" w:type="dxa"/>
          </w:tcPr>
          <w:p w14:paraId="58EA25F1" w14:textId="11EAC988" w:rsidR="004D521F" w:rsidRPr="00472269" w:rsidRDefault="00880774" w:rsidP="00165097">
            <w:pPr>
              <w:spacing w:after="0" w:line="240" w:lineRule="auto"/>
              <w:jc w:val="center"/>
              <w:rPr>
                <w:b/>
                <w:sz w:val="20"/>
                <w:szCs w:val="20"/>
              </w:rPr>
            </w:pPr>
            <w:r>
              <w:rPr>
                <w:b/>
                <w:sz w:val="20"/>
                <w:szCs w:val="20"/>
              </w:rPr>
              <w:t>Total Annual Time</w:t>
            </w:r>
            <w:r w:rsidR="004D521F" w:rsidRPr="00472269">
              <w:rPr>
                <w:b/>
                <w:sz w:val="20"/>
                <w:szCs w:val="20"/>
              </w:rPr>
              <w:t xml:space="preserve"> (hours)</w:t>
            </w:r>
          </w:p>
        </w:tc>
        <w:tc>
          <w:tcPr>
            <w:tcW w:w="1350" w:type="dxa"/>
          </w:tcPr>
          <w:p w14:paraId="29BE74FB" w14:textId="193529DA" w:rsidR="004D521F" w:rsidRPr="00472269" w:rsidRDefault="004D521F" w:rsidP="00165097">
            <w:pPr>
              <w:spacing w:after="0" w:line="240" w:lineRule="auto"/>
              <w:jc w:val="center"/>
              <w:rPr>
                <w:b/>
                <w:sz w:val="20"/>
                <w:szCs w:val="20"/>
              </w:rPr>
            </w:pPr>
            <w:r w:rsidRPr="00472269">
              <w:rPr>
                <w:b/>
                <w:sz w:val="20"/>
                <w:szCs w:val="20"/>
              </w:rPr>
              <w:t>Labor cost of Reporting ($/hr</w:t>
            </w:r>
            <w:r w:rsidR="00435652">
              <w:rPr>
                <w:b/>
                <w:sz w:val="20"/>
                <w:szCs w:val="20"/>
              </w:rPr>
              <w:t>.</w:t>
            </w:r>
            <w:r w:rsidRPr="00472269">
              <w:rPr>
                <w:b/>
                <w:sz w:val="20"/>
                <w:szCs w:val="20"/>
              </w:rPr>
              <w:t>)</w:t>
            </w:r>
          </w:p>
        </w:tc>
        <w:tc>
          <w:tcPr>
            <w:tcW w:w="1391" w:type="dxa"/>
            <w:shd w:val="clear" w:color="auto" w:fill="auto"/>
          </w:tcPr>
          <w:p w14:paraId="0A9A8047" w14:textId="3031409B" w:rsidR="004D521F" w:rsidRPr="00472269" w:rsidRDefault="004D521F" w:rsidP="00165097">
            <w:pPr>
              <w:spacing w:after="0" w:line="240" w:lineRule="auto"/>
              <w:jc w:val="center"/>
              <w:rPr>
                <w:b/>
                <w:sz w:val="20"/>
                <w:szCs w:val="20"/>
              </w:rPr>
            </w:pPr>
            <w:r w:rsidRPr="00472269">
              <w:rPr>
                <w:b/>
                <w:sz w:val="20"/>
                <w:szCs w:val="20"/>
              </w:rPr>
              <w:t xml:space="preserve">Total </w:t>
            </w:r>
            <w:r w:rsidR="009C2C6E">
              <w:rPr>
                <w:b/>
                <w:sz w:val="20"/>
                <w:szCs w:val="20"/>
              </w:rPr>
              <w:t xml:space="preserve">Annual </w:t>
            </w:r>
            <w:r w:rsidRPr="00472269">
              <w:rPr>
                <w:b/>
                <w:sz w:val="20"/>
                <w:szCs w:val="20"/>
              </w:rPr>
              <w:t>Cost ($)</w:t>
            </w:r>
          </w:p>
        </w:tc>
      </w:tr>
      <w:tr w:rsidR="00794E0C" w:rsidRPr="00880774" w14:paraId="505CFD8B" w14:textId="77777777" w:rsidTr="00E016CC">
        <w:trPr>
          <w:trHeight w:val="800"/>
          <w:tblHeader/>
        </w:trPr>
        <w:tc>
          <w:tcPr>
            <w:tcW w:w="1530" w:type="dxa"/>
            <w:shd w:val="clear" w:color="auto" w:fill="auto"/>
          </w:tcPr>
          <w:p w14:paraId="08910441" w14:textId="7155131C" w:rsidR="00794E0C" w:rsidRPr="00880774" w:rsidRDefault="00214F31" w:rsidP="00E071E1">
            <w:pPr>
              <w:spacing w:after="0" w:line="240" w:lineRule="auto"/>
              <w:rPr>
                <w:sz w:val="20"/>
                <w:szCs w:val="20"/>
              </w:rPr>
            </w:pPr>
            <w:r w:rsidRPr="00880774">
              <w:rPr>
                <w:sz w:val="20"/>
                <w:szCs w:val="20"/>
              </w:rPr>
              <w:t xml:space="preserve">Eligibility and Coverage </w:t>
            </w:r>
            <w:r w:rsidR="00794E0C" w:rsidRPr="00880774">
              <w:rPr>
                <w:sz w:val="20"/>
                <w:szCs w:val="20"/>
              </w:rPr>
              <w:t>Implementation Plan</w:t>
            </w:r>
          </w:p>
        </w:tc>
        <w:tc>
          <w:tcPr>
            <w:tcW w:w="1350" w:type="dxa"/>
            <w:shd w:val="clear" w:color="auto" w:fill="auto"/>
          </w:tcPr>
          <w:p w14:paraId="3E5CD880" w14:textId="1C33971E" w:rsidR="00794E0C" w:rsidRPr="00880774" w:rsidRDefault="00794E0C" w:rsidP="00165097">
            <w:pPr>
              <w:spacing w:after="0" w:line="240" w:lineRule="auto"/>
              <w:jc w:val="center"/>
              <w:rPr>
                <w:sz w:val="20"/>
              </w:rPr>
            </w:pPr>
            <w:r w:rsidRPr="00880774">
              <w:rPr>
                <w:sz w:val="20"/>
              </w:rPr>
              <w:t>10</w:t>
            </w:r>
          </w:p>
        </w:tc>
        <w:tc>
          <w:tcPr>
            <w:tcW w:w="1530" w:type="dxa"/>
            <w:shd w:val="clear" w:color="auto" w:fill="auto"/>
          </w:tcPr>
          <w:p w14:paraId="0AEA8AC2" w14:textId="02391FD0" w:rsidR="00794E0C" w:rsidRPr="00880774" w:rsidRDefault="00794E0C" w:rsidP="00165097">
            <w:pPr>
              <w:spacing w:after="0" w:line="240" w:lineRule="auto"/>
              <w:jc w:val="center"/>
              <w:rPr>
                <w:sz w:val="20"/>
              </w:rPr>
            </w:pPr>
            <w:r w:rsidRPr="00880774">
              <w:rPr>
                <w:sz w:val="20"/>
              </w:rPr>
              <w:t>10</w:t>
            </w:r>
          </w:p>
        </w:tc>
        <w:tc>
          <w:tcPr>
            <w:tcW w:w="1350" w:type="dxa"/>
            <w:shd w:val="clear" w:color="auto" w:fill="auto"/>
          </w:tcPr>
          <w:p w14:paraId="62D9E94D" w14:textId="64860DBB" w:rsidR="00794E0C" w:rsidRPr="00880774" w:rsidRDefault="00794E0C" w:rsidP="00165097">
            <w:pPr>
              <w:spacing w:after="0" w:line="240" w:lineRule="auto"/>
              <w:jc w:val="center"/>
              <w:rPr>
                <w:sz w:val="20"/>
                <w:szCs w:val="20"/>
              </w:rPr>
            </w:pPr>
            <w:r w:rsidRPr="00880774">
              <w:rPr>
                <w:sz w:val="20"/>
                <w:szCs w:val="20"/>
              </w:rPr>
              <w:t>20</w:t>
            </w:r>
          </w:p>
        </w:tc>
        <w:tc>
          <w:tcPr>
            <w:tcW w:w="1080" w:type="dxa"/>
          </w:tcPr>
          <w:p w14:paraId="5CD80AFC" w14:textId="05C9AE5C" w:rsidR="00794E0C" w:rsidRPr="00880774" w:rsidRDefault="00794E0C" w:rsidP="00165097">
            <w:pPr>
              <w:spacing w:after="0" w:line="240" w:lineRule="auto"/>
              <w:jc w:val="center"/>
              <w:rPr>
                <w:sz w:val="20"/>
                <w:szCs w:val="20"/>
              </w:rPr>
            </w:pPr>
            <w:r w:rsidRPr="00880774">
              <w:rPr>
                <w:sz w:val="20"/>
                <w:szCs w:val="20"/>
              </w:rPr>
              <w:t>200</w:t>
            </w:r>
          </w:p>
        </w:tc>
        <w:tc>
          <w:tcPr>
            <w:tcW w:w="1350" w:type="dxa"/>
          </w:tcPr>
          <w:p w14:paraId="672A417B" w14:textId="0FD7F178" w:rsidR="00794E0C" w:rsidRPr="00880774" w:rsidRDefault="005410C8" w:rsidP="00165097">
            <w:pPr>
              <w:spacing w:after="0" w:line="240" w:lineRule="auto"/>
              <w:jc w:val="center"/>
              <w:rPr>
                <w:sz w:val="20"/>
                <w:szCs w:val="20"/>
              </w:rPr>
            </w:pPr>
            <w:r w:rsidRPr="00880774">
              <w:rPr>
                <w:sz w:val="20"/>
                <w:szCs w:val="20"/>
              </w:rPr>
              <w:t>86.14/109.36</w:t>
            </w:r>
          </w:p>
        </w:tc>
        <w:tc>
          <w:tcPr>
            <w:tcW w:w="1391" w:type="dxa"/>
            <w:shd w:val="clear" w:color="auto" w:fill="auto"/>
          </w:tcPr>
          <w:p w14:paraId="5B1F0704" w14:textId="6B982ADD" w:rsidR="00794E0C" w:rsidRPr="00880774" w:rsidRDefault="00794E0C" w:rsidP="00165097">
            <w:pPr>
              <w:spacing w:after="0" w:line="240" w:lineRule="auto"/>
              <w:jc w:val="center"/>
              <w:rPr>
                <w:sz w:val="20"/>
                <w:szCs w:val="20"/>
              </w:rPr>
            </w:pPr>
            <w:r w:rsidRPr="00880774">
              <w:rPr>
                <w:sz w:val="20"/>
                <w:szCs w:val="20"/>
              </w:rPr>
              <w:t>3,035.12</w:t>
            </w:r>
          </w:p>
        </w:tc>
      </w:tr>
      <w:tr w:rsidR="00490409" w:rsidRPr="00880774" w14:paraId="715F1178" w14:textId="77777777" w:rsidTr="00E016CC">
        <w:trPr>
          <w:trHeight w:val="800"/>
          <w:tblHeader/>
        </w:trPr>
        <w:tc>
          <w:tcPr>
            <w:tcW w:w="1530" w:type="dxa"/>
            <w:shd w:val="clear" w:color="auto" w:fill="auto"/>
          </w:tcPr>
          <w:p w14:paraId="40A0C141" w14:textId="748F55E8" w:rsidR="00490409" w:rsidRPr="00880774" w:rsidRDefault="00214F31" w:rsidP="00E071E1">
            <w:pPr>
              <w:spacing w:after="0" w:line="240" w:lineRule="auto"/>
              <w:rPr>
                <w:sz w:val="20"/>
                <w:szCs w:val="20"/>
              </w:rPr>
            </w:pPr>
            <w:r w:rsidRPr="00880774">
              <w:rPr>
                <w:sz w:val="20"/>
                <w:szCs w:val="20"/>
              </w:rPr>
              <w:t xml:space="preserve">Eligibility and Coverage </w:t>
            </w:r>
            <w:r w:rsidR="00490409" w:rsidRPr="00880774">
              <w:rPr>
                <w:sz w:val="20"/>
                <w:szCs w:val="20"/>
              </w:rPr>
              <w:t>Monitoring Protocol</w:t>
            </w:r>
          </w:p>
        </w:tc>
        <w:tc>
          <w:tcPr>
            <w:tcW w:w="1350" w:type="dxa"/>
            <w:shd w:val="clear" w:color="auto" w:fill="auto"/>
          </w:tcPr>
          <w:p w14:paraId="7222BD5E" w14:textId="497E57F1" w:rsidR="00490409" w:rsidRPr="00880774" w:rsidRDefault="00AD183B" w:rsidP="00165097">
            <w:pPr>
              <w:spacing w:after="0" w:line="240" w:lineRule="auto"/>
              <w:jc w:val="center"/>
              <w:rPr>
                <w:sz w:val="20"/>
              </w:rPr>
            </w:pPr>
            <w:r w:rsidRPr="00880774">
              <w:rPr>
                <w:sz w:val="20"/>
              </w:rPr>
              <w:t>10</w:t>
            </w:r>
          </w:p>
        </w:tc>
        <w:tc>
          <w:tcPr>
            <w:tcW w:w="1530" w:type="dxa"/>
            <w:shd w:val="clear" w:color="auto" w:fill="auto"/>
          </w:tcPr>
          <w:p w14:paraId="39C7A86C" w14:textId="233680ED" w:rsidR="00490409" w:rsidRPr="00880774" w:rsidRDefault="00AD183B" w:rsidP="00165097">
            <w:pPr>
              <w:spacing w:after="0" w:line="240" w:lineRule="auto"/>
              <w:jc w:val="center"/>
              <w:rPr>
                <w:sz w:val="20"/>
              </w:rPr>
            </w:pPr>
            <w:r w:rsidRPr="00880774">
              <w:rPr>
                <w:sz w:val="20"/>
              </w:rPr>
              <w:t>10</w:t>
            </w:r>
          </w:p>
        </w:tc>
        <w:tc>
          <w:tcPr>
            <w:tcW w:w="1350" w:type="dxa"/>
            <w:shd w:val="clear" w:color="auto" w:fill="auto"/>
          </w:tcPr>
          <w:p w14:paraId="3B951904" w14:textId="0B62524A" w:rsidR="00490409" w:rsidRPr="00880774" w:rsidRDefault="00490409" w:rsidP="00165097">
            <w:pPr>
              <w:spacing w:after="0" w:line="240" w:lineRule="auto"/>
              <w:jc w:val="center"/>
              <w:rPr>
                <w:sz w:val="20"/>
              </w:rPr>
            </w:pPr>
            <w:r w:rsidRPr="00880774">
              <w:rPr>
                <w:sz w:val="20"/>
                <w:szCs w:val="20"/>
              </w:rPr>
              <w:t>20</w:t>
            </w:r>
          </w:p>
        </w:tc>
        <w:tc>
          <w:tcPr>
            <w:tcW w:w="1080" w:type="dxa"/>
          </w:tcPr>
          <w:p w14:paraId="61ED89DD" w14:textId="2FD801F4" w:rsidR="00490409" w:rsidRPr="00880774" w:rsidRDefault="00AD183B" w:rsidP="00165097">
            <w:pPr>
              <w:spacing w:after="0" w:line="240" w:lineRule="auto"/>
              <w:jc w:val="center"/>
              <w:rPr>
                <w:sz w:val="20"/>
              </w:rPr>
            </w:pPr>
            <w:r w:rsidRPr="00880774">
              <w:rPr>
                <w:sz w:val="20"/>
                <w:szCs w:val="20"/>
              </w:rPr>
              <w:t>200</w:t>
            </w:r>
          </w:p>
        </w:tc>
        <w:tc>
          <w:tcPr>
            <w:tcW w:w="1350" w:type="dxa"/>
          </w:tcPr>
          <w:p w14:paraId="70CED433" w14:textId="0B307057" w:rsidR="00490409" w:rsidRPr="00880774" w:rsidRDefault="005410C8" w:rsidP="00165097">
            <w:pPr>
              <w:spacing w:after="0" w:line="240" w:lineRule="auto"/>
              <w:jc w:val="center"/>
              <w:rPr>
                <w:sz w:val="20"/>
                <w:szCs w:val="20"/>
              </w:rPr>
            </w:pPr>
            <w:r w:rsidRPr="00880774">
              <w:rPr>
                <w:sz w:val="20"/>
                <w:szCs w:val="20"/>
              </w:rPr>
              <w:t>86.14/109.36</w:t>
            </w:r>
          </w:p>
        </w:tc>
        <w:tc>
          <w:tcPr>
            <w:tcW w:w="1391" w:type="dxa"/>
            <w:shd w:val="clear" w:color="auto" w:fill="auto"/>
          </w:tcPr>
          <w:p w14:paraId="49AF9E77" w14:textId="1EB6E134" w:rsidR="00490409" w:rsidRPr="00880774" w:rsidRDefault="00AD183B" w:rsidP="00165097">
            <w:pPr>
              <w:spacing w:after="0" w:line="240" w:lineRule="auto"/>
              <w:jc w:val="center"/>
              <w:rPr>
                <w:sz w:val="20"/>
                <w:szCs w:val="20"/>
              </w:rPr>
            </w:pPr>
            <w:r w:rsidRPr="00880774">
              <w:rPr>
                <w:sz w:val="20"/>
                <w:szCs w:val="20"/>
              </w:rPr>
              <w:t>3,035.12</w:t>
            </w:r>
          </w:p>
        </w:tc>
      </w:tr>
      <w:tr w:rsidR="00757452" w:rsidRPr="00880774" w14:paraId="5F0A839C" w14:textId="77777777" w:rsidTr="00E071E1">
        <w:trPr>
          <w:trHeight w:val="800"/>
          <w:tblHeader/>
        </w:trPr>
        <w:tc>
          <w:tcPr>
            <w:tcW w:w="1530" w:type="dxa"/>
            <w:shd w:val="clear" w:color="auto" w:fill="auto"/>
          </w:tcPr>
          <w:p w14:paraId="701104DA" w14:textId="0AD47CCB" w:rsidR="00757452" w:rsidRPr="00880774" w:rsidRDefault="00A2132C" w:rsidP="00A2132C">
            <w:pPr>
              <w:spacing w:after="0" w:line="240" w:lineRule="auto"/>
              <w:rPr>
                <w:sz w:val="20"/>
                <w:szCs w:val="20"/>
              </w:rPr>
            </w:pPr>
            <w:r w:rsidRPr="00880774">
              <w:rPr>
                <w:sz w:val="20"/>
                <w:szCs w:val="20"/>
              </w:rPr>
              <w:t xml:space="preserve">Eligibility and Coverage Monitoring </w:t>
            </w:r>
            <w:r w:rsidR="00757452" w:rsidRPr="00880774">
              <w:rPr>
                <w:sz w:val="20"/>
                <w:szCs w:val="20"/>
              </w:rPr>
              <w:t>Report</w:t>
            </w:r>
            <w:r w:rsidRPr="00880774">
              <w:rPr>
                <w:sz w:val="20"/>
                <w:szCs w:val="20"/>
              </w:rPr>
              <w:t xml:space="preserve"> </w:t>
            </w:r>
            <w:r w:rsidR="00757452" w:rsidRPr="00880774">
              <w:rPr>
                <w:sz w:val="20"/>
                <w:szCs w:val="20"/>
              </w:rPr>
              <w:t>Template</w:t>
            </w:r>
            <w:r w:rsidRPr="00880774">
              <w:rPr>
                <w:sz w:val="20"/>
                <w:szCs w:val="20"/>
              </w:rPr>
              <w:t xml:space="preserve"> (</w:t>
            </w:r>
            <w:r w:rsidR="00757452" w:rsidRPr="00880774">
              <w:rPr>
                <w:sz w:val="20"/>
                <w:szCs w:val="20"/>
              </w:rPr>
              <w:t>Annual</w:t>
            </w:r>
            <w:r w:rsidRPr="00880774">
              <w:rPr>
                <w:sz w:val="20"/>
                <w:szCs w:val="20"/>
              </w:rPr>
              <w:t>)</w:t>
            </w:r>
          </w:p>
        </w:tc>
        <w:tc>
          <w:tcPr>
            <w:tcW w:w="1350" w:type="dxa"/>
            <w:shd w:val="clear" w:color="auto" w:fill="auto"/>
          </w:tcPr>
          <w:p w14:paraId="57F40565" w14:textId="403BC01E" w:rsidR="00757452" w:rsidRPr="00880774" w:rsidRDefault="00AD183B" w:rsidP="00165097">
            <w:pPr>
              <w:spacing w:after="0" w:line="240" w:lineRule="auto"/>
              <w:jc w:val="center"/>
              <w:rPr>
                <w:sz w:val="20"/>
                <w:szCs w:val="20"/>
              </w:rPr>
            </w:pPr>
            <w:r w:rsidRPr="00880774">
              <w:rPr>
                <w:sz w:val="20"/>
                <w:szCs w:val="20"/>
              </w:rPr>
              <w:t>10</w:t>
            </w:r>
          </w:p>
        </w:tc>
        <w:tc>
          <w:tcPr>
            <w:tcW w:w="1530" w:type="dxa"/>
            <w:shd w:val="clear" w:color="auto" w:fill="auto"/>
          </w:tcPr>
          <w:p w14:paraId="477FEA9A" w14:textId="5F01A7E9" w:rsidR="00757452" w:rsidRPr="00880774" w:rsidRDefault="00AD183B" w:rsidP="00165097">
            <w:pPr>
              <w:spacing w:after="0" w:line="240" w:lineRule="auto"/>
              <w:jc w:val="center"/>
              <w:rPr>
                <w:sz w:val="20"/>
                <w:szCs w:val="20"/>
              </w:rPr>
            </w:pPr>
            <w:r w:rsidRPr="00880774">
              <w:rPr>
                <w:sz w:val="20"/>
                <w:szCs w:val="20"/>
              </w:rPr>
              <w:t>10</w:t>
            </w:r>
          </w:p>
        </w:tc>
        <w:tc>
          <w:tcPr>
            <w:tcW w:w="1350" w:type="dxa"/>
            <w:shd w:val="clear" w:color="auto" w:fill="auto"/>
          </w:tcPr>
          <w:p w14:paraId="1157F9E7" w14:textId="25A5D390" w:rsidR="00757452" w:rsidRPr="00880774" w:rsidRDefault="00F24D0F" w:rsidP="00165097">
            <w:pPr>
              <w:spacing w:after="0" w:line="240" w:lineRule="auto"/>
              <w:jc w:val="center"/>
              <w:rPr>
                <w:sz w:val="20"/>
                <w:szCs w:val="20"/>
              </w:rPr>
            </w:pPr>
            <w:r w:rsidRPr="00880774">
              <w:rPr>
                <w:sz w:val="20"/>
                <w:szCs w:val="20"/>
              </w:rPr>
              <w:t>12</w:t>
            </w:r>
          </w:p>
        </w:tc>
        <w:tc>
          <w:tcPr>
            <w:tcW w:w="1080" w:type="dxa"/>
          </w:tcPr>
          <w:p w14:paraId="771AD23B" w14:textId="7D8D29AE" w:rsidR="00757452" w:rsidRPr="00880774" w:rsidRDefault="00AD183B" w:rsidP="00165097">
            <w:pPr>
              <w:spacing w:after="0" w:line="240" w:lineRule="auto"/>
              <w:jc w:val="center"/>
              <w:rPr>
                <w:sz w:val="20"/>
                <w:szCs w:val="20"/>
              </w:rPr>
            </w:pPr>
            <w:r w:rsidRPr="00880774">
              <w:rPr>
                <w:sz w:val="20"/>
                <w:szCs w:val="20"/>
              </w:rPr>
              <w:t>1</w:t>
            </w:r>
            <w:r w:rsidR="00F24D0F" w:rsidRPr="00880774">
              <w:rPr>
                <w:sz w:val="20"/>
                <w:szCs w:val="20"/>
              </w:rPr>
              <w:t>20</w:t>
            </w:r>
          </w:p>
        </w:tc>
        <w:tc>
          <w:tcPr>
            <w:tcW w:w="1350" w:type="dxa"/>
          </w:tcPr>
          <w:p w14:paraId="5B000DEE" w14:textId="16839F26" w:rsidR="00757452" w:rsidRPr="00880774" w:rsidRDefault="002C2A69" w:rsidP="00165097">
            <w:pPr>
              <w:spacing w:after="0" w:line="240" w:lineRule="auto"/>
              <w:jc w:val="center"/>
              <w:rPr>
                <w:sz w:val="20"/>
                <w:szCs w:val="20"/>
              </w:rPr>
            </w:pPr>
            <w:r w:rsidRPr="00880774">
              <w:rPr>
                <w:sz w:val="20"/>
                <w:szCs w:val="20"/>
              </w:rPr>
              <w:t>109.36</w:t>
            </w:r>
          </w:p>
        </w:tc>
        <w:tc>
          <w:tcPr>
            <w:tcW w:w="1391" w:type="dxa"/>
            <w:shd w:val="clear" w:color="auto" w:fill="auto"/>
          </w:tcPr>
          <w:p w14:paraId="2C233DE7" w14:textId="08D40357" w:rsidR="00757452" w:rsidRPr="00880774" w:rsidRDefault="009A7609" w:rsidP="00165097">
            <w:pPr>
              <w:spacing w:after="0" w:line="240" w:lineRule="auto"/>
              <w:jc w:val="center"/>
              <w:rPr>
                <w:sz w:val="20"/>
                <w:szCs w:val="20"/>
              </w:rPr>
            </w:pPr>
            <w:r w:rsidRPr="00880774">
              <w:rPr>
                <w:sz w:val="20"/>
                <w:szCs w:val="20"/>
              </w:rPr>
              <w:t>13,123.20</w:t>
            </w:r>
          </w:p>
        </w:tc>
      </w:tr>
      <w:tr w:rsidR="00A2132C" w:rsidRPr="00880774" w14:paraId="218F0D0F" w14:textId="77777777" w:rsidTr="00E071E1">
        <w:trPr>
          <w:trHeight w:val="800"/>
          <w:tblHeader/>
        </w:trPr>
        <w:tc>
          <w:tcPr>
            <w:tcW w:w="1530" w:type="dxa"/>
            <w:shd w:val="clear" w:color="auto" w:fill="auto"/>
          </w:tcPr>
          <w:p w14:paraId="310AB0F4" w14:textId="459720E8" w:rsidR="00A2132C" w:rsidRPr="00880774" w:rsidRDefault="00A2132C" w:rsidP="00A2132C">
            <w:pPr>
              <w:spacing w:after="0" w:line="240" w:lineRule="auto"/>
              <w:rPr>
                <w:sz w:val="20"/>
                <w:szCs w:val="20"/>
              </w:rPr>
            </w:pPr>
            <w:r w:rsidRPr="00880774">
              <w:rPr>
                <w:sz w:val="20"/>
                <w:szCs w:val="20"/>
              </w:rPr>
              <w:t>Eligibility and Coverage Monitoring Report Template (Quarterly)</w:t>
            </w:r>
          </w:p>
        </w:tc>
        <w:tc>
          <w:tcPr>
            <w:tcW w:w="1350" w:type="dxa"/>
            <w:shd w:val="clear" w:color="auto" w:fill="auto"/>
          </w:tcPr>
          <w:p w14:paraId="023341E8" w14:textId="2552223E" w:rsidR="00A2132C" w:rsidRPr="00880774" w:rsidRDefault="00A2132C" w:rsidP="00165097">
            <w:pPr>
              <w:spacing w:after="0" w:line="240" w:lineRule="auto"/>
              <w:jc w:val="center"/>
              <w:rPr>
                <w:sz w:val="20"/>
                <w:szCs w:val="20"/>
              </w:rPr>
            </w:pPr>
            <w:r w:rsidRPr="00880774">
              <w:rPr>
                <w:sz w:val="20"/>
                <w:szCs w:val="20"/>
              </w:rPr>
              <w:t>10</w:t>
            </w:r>
          </w:p>
        </w:tc>
        <w:tc>
          <w:tcPr>
            <w:tcW w:w="1530" w:type="dxa"/>
            <w:shd w:val="clear" w:color="auto" w:fill="auto"/>
          </w:tcPr>
          <w:p w14:paraId="03741CC7" w14:textId="28CAACE5" w:rsidR="00A2132C" w:rsidRPr="00880774" w:rsidRDefault="00A2132C" w:rsidP="00165097">
            <w:pPr>
              <w:spacing w:after="0" w:line="240" w:lineRule="auto"/>
              <w:jc w:val="center"/>
              <w:rPr>
                <w:sz w:val="20"/>
                <w:szCs w:val="20"/>
              </w:rPr>
            </w:pPr>
            <w:r w:rsidRPr="00880774">
              <w:rPr>
                <w:sz w:val="20"/>
                <w:szCs w:val="20"/>
              </w:rPr>
              <w:t>30</w:t>
            </w:r>
          </w:p>
        </w:tc>
        <w:tc>
          <w:tcPr>
            <w:tcW w:w="1350" w:type="dxa"/>
            <w:shd w:val="clear" w:color="auto" w:fill="auto"/>
          </w:tcPr>
          <w:p w14:paraId="1880BA51" w14:textId="1925DDE2" w:rsidR="00A2132C" w:rsidRPr="00880774" w:rsidRDefault="00A2132C" w:rsidP="00165097">
            <w:pPr>
              <w:spacing w:after="0" w:line="240" w:lineRule="auto"/>
              <w:jc w:val="center"/>
              <w:rPr>
                <w:sz w:val="20"/>
                <w:szCs w:val="20"/>
              </w:rPr>
            </w:pPr>
            <w:r w:rsidRPr="00880774">
              <w:rPr>
                <w:sz w:val="20"/>
                <w:szCs w:val="20"/>
              </w:rPr>
              <w:t>8</w:t>
            </w:r>
          </w:p>
        </w:tc>
        <w:tc>
          <w:tcPr>
            <w:tcW w:w="1080" w:type="dxa"/>
          </w:tcPr>
          <w:p w14:paraId="1D786C7E" w14:textId="371FE772" w:rsidR="00A2132C" w:rsidRPr="00880774" w:rsidRDefault="00A2132C" w:rsidP="00165097">
            <w:pPr>
              <w:spacing w:after="0" w:line="240" w:lineRule="auto"/>
              <w:jc w:val="center"/>
              <w:rPr>
                <w:sz w:val="20"/>
                <w:szCs w:val="20"/>
              </w:rPr>
            </w:pPr>
            <w:r w:rsidRPr="00880774">
              <w:rPr>
                <w:sz w:val="20"/>
                <w:szCs w:val="20"/>
              </w:rPr>
              <w:t>240</w:t>
            </w:r>
          </w:p>
        </w:tc>
        <w:tc>
          <w:tcPr>
            <w:tcW w:w="1350" w:type="dxa"/>
          </w:tcPr>
          <w:p w14:paraId="2FE6D569" w14:textId="4D51BD73" w:rsidR="00A2132C" w:rsidRPr="00880774" w:rsidRDefault="00A2132C" w:rsidP="00165097">
            <w:pPr>
              <w:spacing w:after="0" w:line="240" w:lineRule="auto"/>
              <w:jc w:val="center"/>
              <w:rPr>
                <w:sz w:val="20"/>
                <w:szCs w:val="20"/>
              </w:rPr>
            </w:pPr>
            <w:r w:rsidRPr="00880774">
              <w:rPr>
                <w:sz w:val="20"/>
                <w:szCs w:val="20"/>
              </w:rPr>
              <w:t>109.36</w:t>
            </w:r>
          </w:p>
        </w:tc>
        <w:tc>
          <w:tcPr>
            <w:tcW w:w="1391" w:type="dxa"/>
            <w:shd w:val="clear" w:color="auto" w:fill="auto"/>
          </w:tcPr>
          <w:p w14:paraId="4595DEBF" w14:textId="430B1256" w:rsidR="00A2132C" w:rsidRPr="00880774" w:rsidRDefault="00A2132C" w:rsidP="00165097">
            <w:pPr>
              <w:spacing w:after="0" w:line="240" w:lineRule="auto"/>
              <w:jc w:val="center"/>
              <w:rPr>
                <w:sz w:val="20"/>
                <w:szCs w:val="20"/>
              </w:rPr>
            </w:pPr>
            <w:r w:rsidRPr="00880774">
              <w:rPr>
                <w:sz w:val="20"/>
                <w:szCs w:val="20"/>
              </w:rPr>
              <w:t>26,246.40</w:t>
            </w:r>
          </w:p>
        </w:tc>
      </w:tr>
      <w:tr w:rsidR="00A2132C" w:rsidRPr="00757452" w14:paraId="3C2CD3F2" w14:textId="77777777" w:rsidTr="00E016CC">
        <w:trPr>
          <w:trHeight w:val="800"/>
          <w:tblHeader/>
        </w:trPr>
        <w:tc>
          <w:tcPr>
            <w:tcW w:w="1530" w:type="dxa"/>
            <w:shd w:val="clear" w:color="auto" w:fill="auto"/>
          </w:tcPr>
          <w:p w14:paraId="3A020488" w14:textId="12F982FC" w:rsidR="00A2132C" w:rsidRPr="00880774" w:rsidRDefault="004A4B76" w:rsidP="003847FD">
            <w:pPr>
              <w:spacing w:after="0" w:line="240" w:lineRule="auto"/>
              <w:rPr>
                <w:sz w:val="20"/>
                <w:szCs w:val="20"/>
              </w:rPr>
            </w:pPr>
            <w:r w:rsidRPr="00880774">
              <w:rPr>
                <w:sz w:val="20"/>
                <w:szCs w:val="20"/>
              </w:rPr>
              <w:t>Eligibility and Coverage Monitoring Metrics Template</w:t>
            </w:r>
            <w:r w:rsidR="003847FD">
              <w:rPr>
                <w:sz w:val="20"/>
                <w:szCs w:val="20"/>
              </w:rPr>
              <w:t>/Workbook</w:t>
            </w:r>
            <w:r w:rsidRPr="00880774">
              <w:rPr>
                <w:sz w:val="20"/>
                <w:szCs w:val="20"/>
              </w:rPr>
              <w:t xml:space="preserve"> </w:t>
            </w:r>
            <w:r w:rsidR="00B70582" w:rsidRPr="00880774">
              <w:rPr>
                <w:sz w:val="20"/>
                <w:szCs w:val="20"/>
              </w:rPr>
              <w:t>(Year 1)</w:t>
            </w:r>
          </w:p>
        </w:tc>
        <w:tc>
          <w:tcPr>
            <w:tcW w:w="1350" w:type="dxa"/>
            <w:shd w:val="clear" w:color="auto" w:fill="auto"/>
          </w:tcPr>
          <w:p w14:paraId="7A74A773" w14:textId="0D87512B" w:rsidR="00A2132C" w:rsidRPr="00880774" w:rsidRDefault="00A2132C" w:rsidP="00165097">
            <w:pPr>
              <w:spacing w:after="0" w:line="240" w:lineRule="auto"/>
              <w:jc w:val="center"/>
              <w:rPr>
                <w:sz w:val="20"/>
              </w:rPr>
            </w:pPr>
            <w:r w:rsidRPr="00880774">
              <w:rPr>
                <w:sz w:val="20"/>
              </w:rPr>
              <w:t>10</w:t>
            </w:r>
          </w:p>
        </w:tc>
        <w:tc>
          <w:tcPr>
            <w:tcW w:w="1530" w:type="dxa"/>
            <w:shd w:val="clear" w:color="auto" w:fill="auto"/>
          </w:tcPr>
          <w:p w14:paraId="6848E302" w14:textId="02578B3C" w:rsidR="00A2132C" w:rsidRPr="00880774" w:rsidRDefault="00A2132C" w:rsidP="00165097">
            <w:pPr>
              <w:spacing w:after="0" w:line="240" w:lineRule="auto"/>
              <w:jc w:val="center"/>
              <w:rPr>
                <w:sz w:val="20"/>
              </w:rPr>
            </w:pPr>
            <w:r w:rsidRPr="00880774">
              <w:rPr>
                <w:sz w:val="20"/>
              </w:rPr>
              <w:t>40</w:t>
            </w:r>
          </w:p>
        </w:tc>
        <w:tc>
          <w:tcPr>
            <w:tcW w:w="1350" w:type="dxa"/>
            <w:shd w:val="clear" w:color="auto" w:fill="auto"/>
          </w:tcPr>
          <w:p w14:paraId="4F39A3DC" w14:textId="2BE69B48" w:rsidR="00A2132C" w:rsidRPr="00880774" w:rsidRDefault="002D549A" w:rsidP="00165097">
            <w:pPr>
              <w:spacing w:after="0" w:line="240" w:lineRule="auto"/>
              <w:jc w:val="center"/>
              <w:rPr>
                <w:sz w:val="20"/>
              </w:rPr>
            </w:pPr>
            <w:r w:rsidRPr="00880774">
              <w:rPr>
                <w:sz w:val="20"/>
              </w:rPr>
              <w:t>164 (128 hr annual + 12 hr per quarter for 3 quarters)</w:t>
            </w:r>
          </w:p>
        </w:tc>
        <w:tc>
          <w:tcPr>
            <w:tcW w:w="1080" w:type="dxa"/>
          </w:tcPr>
          <w:p w14:paraId="71500A7B" w14:textId="37BDAA48" w:rsidR="00A2132C" w:rsidRPr="00880774" w:rsidRDefault="002D549A" w:rsidP="00165097">
            <w:pPr>
              <w:spacing w:after="0" w:line="240" w:lineRule="auto"/>
              <w:jc w:val="center"/>
              <w:rPr>
                <w:sz w:val="20"/>
              </w:rPr>
            </w:pPr>
            <w:r w:rsidRPr="00880774">
              <w:rPr>
                <w:sz w:val="20"/>
              </w:rPr>
              <w:t>1,640</w:t>
            </w:r>
          </w:p>
        </w:tc>
        <w:tc>
          <w:tcPr>
            <w:tcW w:w="1350" w:type="dxa"/>
          </w:tcPr>
          <w:p w14:paraId="26AF0F8A" w14:textId="5098D38C" w:rsidR="00A2132C" w:rsidRPr="00880774" w:rsidRDefault="00A2132C" w:rsidP="00165097">
            <w:pPr>
              <w:spacing w:after="0" w:line="240" w:lineRule="auto"/>
              <w:jc w:val="center"/>
              <w:rPr>
                <w:sz w:val="20"/>
                <w:szCs w:val="20"/>
              </w:rPr>
            </w:pPr>
            <w:r w:rsidRPr="00880774">
              <w:rPr>
                <w:sz w:val="20"/>
                <w:szCs w:val="20"/>
              </w:rPr>
              <w:t>86.14</w:t>
            </w:r>
          </w:p>
        </w:tc>
        <w:tc>
          <w:tcPr>
            <w:tcW w:w="1391" w:type="dxa"/>
            <w:shd w:val="clear" w:color="auto" w:fill="auto"/>
          </w:tcPr>
          <w:p w14:paraId="24F3E88B" w14:textId="4F9CE885" w:rsidR="00A2132C" w:rsidRPr="009A7609" w:rsidRDefault="00A2132C" w:rsidP="00165097">
            <w:pPr>
              <w:spacing w:after="0" w:line="240" w:lineRule="auto"/>
              <w:jc w:val="center"/>
              <w:rPr>
                <w:sz w:val="20"/>
                <w:szCs w:val="20"/>
              </w:rPr>
            </w:pPr>
            <w:r w:rsidRPr="00880774">
              <w:rPr>
                <w:rFonts w:cs="Times New Roman"/>
                <w:bCs/>
                <w:sz w:val="20"/>
                <w:szCs w:val="20"/>
              </w:rPr>
              <w:t>141</w:t>
            </w:r>
            <w:r w:rsidR="002D549A" w:rsidRPr="00880774">
              <w:rPr>
                <w:rFonts w:cs="Times New Roman"/>
                <w:bCs/>
                <w:sz w:val="20"/>
                <w:szCs w:val="20"/>
              </w:rPr>
              <w:t>,</w:t>
            </w:r>
            <w:r w:rsidRPr="00880774">
              <w:rPr>
                <w:rFonts w:cs="Times New Roman"/>
                <w:bCs/>
                <w:sz w:val="20"/>
                <w:szCs w:val="20"/>
              </w:rPr>
              <w:t>269</w:t>
            </w:r>
            <w:r w:rsidR="002D549A" w:rsidRPr="00880774">
              <w:rPr>
                <w:rFonts w:cs="Times New Roman"/>
                <w:bCs/>
                <w:sz w:val="20"/>
                <w:szCs w:val="20"/>
              </w:rPr>
              <w:t>.</w:t>
            </w:r>
            <w:r w:rsidRPr="00880774">
              <w:rPr>
                <w:rFonts w:cs="Times New Roman"/>
                <w:bCs/>
                <w:sz w:val="20"/>
                <w:szCs w:val="20"/>
              </w:rPr>
              <w:t>6</w:t>
            </w:r>
            <w:r w:rsidR="002D549A" w:rsidRPr="00880774">
              <w:rPr>
                <w:rFonts w:cs="Times New Roman"/>
                <w:bCs/>
                <w:sz w:val="20"/>
                <w:szCs w:val="20"/>
              </w:rPr>
              <w:t>0</w:t>
            </w:r>
          </w:p>
        </w:tc>
      </w:tr>
      <w:tr w:rsidR="00A2132C" w:rsidRPr="00757452" w14:paraId="348827EC" w14:textId="77777777" w:rsidTr="00E071E1">
        <w:trPr>
          <w:trHeight w:val="800"/>
          <w:tblHeader/>
        </w:trPr>
        <w:tc>
          <w:tcPr>
            <w:tcW w:w="1530" w:type="dxa"/>
            <w:shd w:val="clear" w:color="auto" w:fill="auto"/>
          </w:tcPr>
          <w:p w14:paraId="60C6CFDD" w14:textId="6EE9B969" w:rsidR="00A2132C" w:rsidRPr="00EB1143" w:rsidRDefault="002D549A" w:rsidP="003847FD">
            <w:pPr>
              <w:spacing w:after="0" w:line="240" w:lineRule="auto"/>
              <w:rPr>
                <w:sz w:val="20"/>
                <w:szCs w:val="20"/>
              </w:rPr>
            </w:pPr>
            <w:r w:rsidRPr="004A4B76">
              <w:rPr>
                <w:sz w:val="20"/>
                <w:szCs w:val="20"/>
              </w:rPr>
              <w:t>Eligibility and Coverage Monitoring Metrics Template</w:t>
            </w:r>
            <w:r w:rsidR="003847FD">
              <w:rPr>
                <w:sz w:val="20"/>
                <w:szCs w:val="20"/>
              </w:rPr>
              <w:t>/Workbook</w:t>
            </w:r>
            <w:r w:rsidRPr="004A4B76">
              <w:rPr>
                <w:sz w:val="20"/>
                <w:szCs w:val="20"/>
              </w:rPr>
              <w:t xml:space="preserve"> </w:t>
            </w:r>
            <w:r w:rsidR="00B70582">
              <w:rPr>
                <w:sz w:val="20"/>
                <w:szCs w:val="20"/>
              </w:rPr>
              <w:t>(Subsequent Years)</w:t>
            </w:r>
          </w:p>
        </w:tc>
        <w:tc>
          <w:tcPr>
            <w:tcW w:w="1350" w:type="dxa"/>
            <w:shd w:val="clear" w:color="auto" w:fill="auto"/>
          </w:tcPr>
          <w:p w14:paraId="46213F48" w14:textId="15FED0F9" w:rsidR="00A2132C" w:rsidRDefault="00A2132C" w:rsidP="00165097">
            <w:pPr>
              <w:spacing w:after="0" w:line="240" w:lineRule="auto"/>
              <w:jc w:val="center"/>
              <w:rPr>
                <w:sz w:val="20"/>
                <w:szCs w:val="20"/>
              </w:rPr>
            </w:pPr>
            <w:r>
              <w:rPr>
                <w:sz w:val="20"/>
                <w:szCs w:val="20"/>
              </w:rPr>
              <w:t>10</w:t>
            </w:r>
          </w:p>
        </w:tc>
        <w:tc>
          <w:tcPr>
            <w:tcW w:w="1530" w:type="dxa"/>
            <w:shd w:val="clear" w:color="auto" w:fill="auto"/>
          </w:tcPr>
          <w:p w14:paraId="04857983" w14:textId="73853F8E" w:rsidR="00A2132C" w:rsidRDefault="00A2132C" w:rsidP="00165097">
            <w:pPr>
              <w:spacing w:after="0" w:line="240" w:lineRule="auto"/>
              <w:jc w:val="center"/>
              <w:rPr>
                <w:sz w:val="20"/>
                <w:szCs w:val="20"/>
              </w:rPr>
            </w:pPr>
            <w:r>
              <w:rPr>
                <w:sz w:val="20"/>
                <w:szCs w:val="20"/>
              </w:rPr>
              <w:t>40</w:t>
            </w:r>
          </w:p>
        </w:tc>
        <w:tc>
          <w:tcPr>
            <w:tcW w:w="1350" w:type="dxa"/>
            <w:shd w:val="clear" w:color="auto" w:fill="auto"/>
          </w:tcPr>
          <w:p w14:paraId="0F934D97" w14:textId="69A11EEE" w:rsidR="00A2132C" w:rsidRDefault="002D549A" w:rsidP="00165097">
            <w:pPr>
              <w:spacing w:after="0" w:line="240" w:lineRule="auto"/>
              <w:jc w:val="center"/>
              <w:rPr>
                <w:sz w:val="20"/>
                <w:szCs w:val="20"/>
              </w:rPr>
            </w:pPr>
            <w:r>
              <w:rPr>
                <w:sz w:val="20"/>
                <w:szCs w:val="20"/>
              </w:rPr>
              <w:t xml:space="preserve">68 </w:t>
            </w:r>
            <w:r>
              <w:rPr>
                <w:sz w:val="20"/>
              </w:rPr>
              <w:t>(32 hr annual + 12 hr per quarter for 3 quarters)</w:t>
            </w:r>
          </w:p>
        </w:tc>
        <w:tc>
          <w:tcPr>
            <w:tcW w:w="1080" w:type="dxa"/>
          </w:tcPr>
          <w:p w14:paraId="211459C6" w14:textId="4CD3157B" w:rsidR="00A2132C" w:rsidRDefault="002D549A" w:rsidP="00165097">
            <w:pPr>
              <w:spacing w:after="0" w:line="240" w:lineRule="auto"/>
              <w:jc w:val="center"/>
              <w:rPr>
                <w:sz w:val="20"/>
                <w:szCs w:val="20"/>
              </w:rPr>
            </w:pPr>
            <w:r>
              <w:rPr>
                <w:sz w:val="20"/>
                <w:szCs w:val="20"/>
              </w:rPr>
              <w:t>680</w:t>
            </w:r>
          </w:p>
        </w:tc>
        <w:tc>
          <w:tcPr>
            <w:tcW w:w="1350" w:type="dxa"/>
          </w:tcPr>
          <w:p w14:paraId="24C4B216" w14:textId="08696251" w:rsidR="00A2132C" w:rsidRDefault="00A2132C" w:rsidP="00165097">
            <w:pPr>
              <w:spacing w:after="0" w:line="240" w:lineRule="auto"/>
              <w:jc w:val="center"/>
              <w:rPr>
                <w:sz w:val="20"/>
                <w:szCs w:val="20"/>
              </w:rPr>
            </w:pPr>
            <w:r w:rsidRPr="00D8648D">
              <w:rPr>
                <w:sz w:val="20"/>
                <w:szCs w:val="20"/>
              </w:rPr>
              <w:t>86.14</w:t>
            </w:r>
          </w:p>
        </w:tc>
        <w:tc>
          <w:tcPr>
            <w:tcW w:w="1391" w:type="dxa"/>
            <w:shd w:val="clear" w:color="auto" w:fill="auto"/>
          </w:tcPr>
          <w:p w14:paraId="28F0AF77" w14:textId="3AB50F91" w:rsidR="00A2132C" w:rsidRPr="009A7609" w:rsidRDefault="00A2132C" w:rsidP="00165097">
            <w:pPr>
              <w:spacing w:after="0" w:line="240" w:lineRule="auto"/>
              <w:jc w:val="center"/>
              <w:rPr>
                <w:sz w:val="20"/>
                <w:szCs w:val="20"/>
              </w:rPr>
            </w:pPr>
            <w:r w:rsidRPr="009A7609">
              <w:rPr>
                <w:rFonts w:cs="Times New Roman"/>
                <w:sz w:val="20"/>
                <w:szCs w:val="20"/>
              </w:rPr>
              <w:t>58</w:t>
            </w:r>
            <w:r w:rsidR="002D549A">
              <w:rPr>
                <w:rFonts w:cs="Times New Roman"/>
                <w:sz w:val="20"/>
                <w:szCs w:val="20"/>
              </w:rPr>
              <w:t>,</w:t>
            </w:r>
            <w:r w:rsidRPr="009A7609">
              <w:rPr>
                <w:rFonts w:cs="Times New Roman"/>
                <w:sz w:val="20"/>
                <w:szCs w:val="20"/>
              </w:rPr>
              <w:t>575</w:t>
            </w:r>
            <w:r w:rsidR="002D549A">
              <w:rPr>
                <w:rFonts w:cs="Times New Roman"/>
                <w:sz w:val="20"/>
                <w:szCs w:val="20"/>
              </w:rPr>
              <w:t>.</w:t>
            </w:r>
            <w:r w:rsidRPr="009A7609">
              <w:rPr>
                <w:rFonts w:cs="Times New Roman"/>
                <w:sz w:val="20"/>
                <w:szCs w:val="20"/>
              </w:rPr>
              <w:t>2</w:t>
            </w:r>
            <w:r w:rsidR="002D549A">
              <w:rPr>
                <w:rFonts w:cs="Times New Roman"/>
                <w:sz w:val="20"/>
                <w:szCs w:val="20"/>
              </w:rPr>
              <w:t>0</w:t>
            </w:r>
          </w:p>
        </w:tc>
      </w:tr>
      <w:tr w:rsidR="00A2132C" w:rsidRPr="004E5356" w14:paraId="0C68272A" w14:textId="77777777" w:rsidTr="004E5356">
        <w:tc>
          <w:tcPr>
            <w:tcW w:w="1530" w:type="dxa"/>
            <w:shd w:val="clear" w:color="auto" w:fill="D9D9D9" w:themeFill="background1" w:themeFillShade="D9"/>
          </w:tcPr>
          <w:p w14:paraId="20316724" w14:textId="15DC9ADE" w:rsidR="00A2132C" w:rsidRPr="004E5356" w:rsidRDefault="00A2132C" w:rsidP="00A2132C">
            <w:pPr>
              <w:spacing w:after="0" w:line="240" w:lineRule="auto"/>
              <w:rPr>
                <w:b/>
                <w:sz w:val="20"/>
                <w:szCs w:val="20"/>
              </w:rPr>
            </w:pPr>
            <w:r w:rsidRPr="004E5356">
              <w:rPr>
                <w:b/>
                <w:sz w:val="20"/>
                <w:szCs w:val="20"/>
              </w:rPr>
              <w:t>TOTAL</w:t>
            </w:r>
          </w:p>
        </w:tc>
        <w:tc>
          <w:tcPr>
            <w:tcW w:w="1350" w:type="dxa"/>
            <w:shd w:val="clear" w:color="auto" w:fill="D9D9D9" w:themeFill="background1" w:themeFillShade="D9"/>
          </w:tcPr>
          <w:p w14:paraId="224E868E" w14:textId="366377DF" w:rsidR="00A2132C" w:rsidRPr="004E5356" w:rsidRDefault="00A2132C" w:rsidP="00165097">
            <w:pPr>
              <w:spacing w:after="0" w:line="240" w:lineRule="auto"/>
              <w:jc w:val="center"/>
              <w:rPr>
                <w:rFonts w:ascii="Calibri" w:hAnsi="Calibri"/>
                <w:b/>
                <w:sz w:val="20"/>
                <w:szCs w:val="20"/>
              </w:rPr>
            </w:pPr>
            <w:r>
              <w:rPr>
                <w:rFonts w:ascii="Calibri" w:hAnsi="Calibri"/>
                <w:b/>
                <w:sz w:val="20"/>
                <w:szCs w:val="20"/>
              </w:rPr>
              <w:t>10</w:t>
            </w:r>
          </w:p>
        </w:tc>
        <w:tc>
          <w:tcPr>
            <w:tcW w:w="1530" w:type="dxa"/>
            <w:shd w:val="clear" w:color="auto" w:fill="D9D9D9" w:themeFill="background1" w:themeFillShade="D9"/>
          </w:tcPr>
          <w:p w14:paraId="398CAB16" w14:textId="2E26A8CB" w:rsidR="00A2132C" w:rsidRPr="004E5356" w:rsidRDefault="00A2132C" w:rsidP="00165097">
            <w:pPr>
              <w:spacing w:after="0" w:line="240" w:lineRule="auto"/>
              <w:jc w:val="center"/>
              <w:rPr>
                <w:rFonts w:ascii="Calibri" w:hAnsi="Calibri"/>
                <w:b/>
                <w:sz w:val="20"/>
                <w:szCs w:val="20"/>
              </w:rPr>
            </w:pPr>
            <w:r>
              <w:rPr>
                <w:rFonts w:ascii="Calibri" w:hAnsi="Calibri"/>
                <w:b/>
                <w:sz w:val="20"/>
                <w:szCs w:val="20"/>
              </w:rPr>
              <w:t>140</w:t>
            </w:r>
          </w:p>
        </w:tc>
        <w:tc>
          <w:tcPr>
            <w:tcW w:w="1350" w:type="dxa"/>
            <w:shd w:val="clear" w:color="auto" w:fill="D9D9D9" w:themeFill="background1" w:themeFillShade="D9"/>
          </w:tcPr>
          <w:p w14:paraId="648C38FE" w14:textId="32E15415" w:rsidR="00A2132C" w:rsidRPr="004E5356" w:rsidRDefault="00BB0760" w:rsidP="00165097">
            <w:pPr>
              <w:spacing w:after="0" w:line="240" w:lineRule="auto"/>
              <w:jc w:val="center"/>
              <w:rPr>
                <w:rFonts w:ascii="Calibri" w:hAnsi="Calibri"/>
                <w:b/>
                <w:sz w:val="20"/>
                <w:szCs w:val="20"/>
              </w:rPr>
            </w:pPr>
            <w:r>
              <w:rPr>
                <w:rFonts w:ascii="Calibri" w:hAnsi="Calibri"/>
                <w:b/>
                <w:sz w:val="20"/>
                <w:szCs w:val="20"/>
              </w:rPr>
              <w:t>Varies</w:t>
            </w:r>
          </w:p>
        </w:tc>
        <w:tc>
          <w:tcPr>
            <w:tcW w:w="1080" w:type="dxa"/>
            <w:shd w:val="clear" w:color="auto" w:fill="D9D9D9" w:themeFill="background1" w:themeFillShade="D9"/>
          </w:tcPr>
          <w:p w14:paraId="7273457B" w14:textId="2074954D" w:rsidR="00A2132C" w:rsidRPr="004E5356" w:rsidRDefault="00BB0760" w:rsidP="00165097">
            <w:pPr>
              <w:spacing w:after="0" w:line="240" w:lineRule="auto"/>
              <w:jc w:val="center"/>
              <w:rPr>
                <w:rFonts w:ascii="Calibri" w:hAnsi="Calibri"/>
                <w:b/>
                <w:sz w:val="20"/>
                <w:szCs w:val="20"/>
              </w:rPr>
            </w:pPr>
            <w:r>
              <w:rPr>
                <w:rFonts w:ascii="Calibri" w:hAnsi="Calibri"/>
                <w:b/>
                <w:sz w:val="20"/>
                <w:szCs w:val="20"/>
              </w:rPr>
              <w:t>3</w:t>
            </w:r>
            <w:r w:rsidR="00A2132C">
              <w:rPr>
                <w:rFonts w:ascii="Calibri" w:hAnsi="Calibri"/>
                <w:b/>
                <w:sz w:val="20"/>
                <w:szCs w:val="20"/>
              </w:rPr>
              <w:t>,</w:t>
            </w:r>
            <w:r>
              <w:rPr>
                <w:rFonts w:ascii="Calibri" w:hAnsi="Calibri"/>
                <w:b/>
                <w:sz w:val="20"/>
                <w:szCs w:val="20"/>
              </w:rPr>
              <w:t>0</w:t>
            </w:r>
            <w:r w:rsidR="00A2132C">
              <w:rPr>
                <w:rFonts w:ascii="Calibri" w:hAnsi="Calibri"/>
                <w:b/>
                <w:sz w:val="20"/>
                <w:szCs w:val="20"/>
              </w:rPr>
              <w:t>80</w:t>
            </w:r>
          </w:p>
        </w:tc>
        <w:tc>
          <w:tcPr>
            <w:tcW w:w="1350" w:type="dxa"/>
            <w:shd w:val="clear" w:color="auto" w:fill="D9D9D9" w:themeFill="background1" w:themeFillShade="D9"/>
          </w:tcPr>
          <w:p w14:paraId="4B3D7E63" w14:textId="5B8F79AE" w:rsidR="00A2132C" w:rsidRPr="004E5356" w:rsidRDefault="00A2132C" w:rsidP="00165097">
            <w:pPr>
              <w:spacing w:after="0" w:line="240" w:lineRule="auto"/>
              <w:jc w:val="center"/>
              <w:rPr>
                <w:b/>
                <w:sz w:val="20"/>
                <w:szCs w:val="20"/>
              </w:rPr>
            </w:pPr>
            <w:r>
              <w:rPr>
                <w:b/>
                <w:sz w:val="20"/>
                <w:szCs w:val="20"/>
              </w:rPr>
              <w:t>Varies</w:t>
            </w:r>
          </w:p>
        </w:tc>
        <w:tc>
          <w:tcPr>
            <w:tcW w:w="1391" w:type="dxa"/>
            <w:shd w:val="clear" w:color="auto" w:fill="D9D9D9" w:themeFill="background1" w:themeFillShade="D9"/>
          </w:tcPr>
          <w:p w14:paraId="11267BCD" w14:textId="304D702A" w:rsidR="00A2132C" w:rsidRPr="004E5356" w:rsidRDefault="00BB0760" w:rsidP="00165097">
            <w:pPr>
              <w:spacing w:after="0" w:line="240" w:lineRule="auto"/>
              <w:jc w:val="center"/>
              <w:rPr>
                <w:b/>
                <w:sz w:val="20"/>
                <w:szCs w:val="20"/>
              </w:rPr>
            </w:pPr>
            <w:r>
              <w:rPr>
                <w:b/>
                <w:sz w:val="20"/>
                <w:szCs w:val="20"/>
              </w:rPr>
              <w:t>245</w:t>
            </w:r>
            <w:r w:rsidR="00A2132C">
              <w:rPr>
                <w:b/>
                <w:sz w:val="20"/>
                <w:szCs w:val="20"/>
              </w:rPr>
              <w:t>,</w:t>
            </w:r>
            <w:r>
              <w:rPr>
                <w:b/>
                <w:sz w:val="20"/>
                <w:szCs w:val="20"/>
              </w:rPr>
              <w:t>285</w:t>
            </w:r>
          </w:p>
        </w:tc>
      </w:tr>
    </w:tbl>
    <w:p w14:paraId="6F042E2E" w14:textId="77777777" w:rsidR="00590312" w:rsidRDefault="00590312" w:rsidP="009333CB">
      <w:pPr>
        <w:spacing w:after="0" w:line="240" w:lineRule="auto"/>
        <w:rPr>
          <w:i/>
        </w:rPr>
      </w:pPr>
    </w:p>
    <w:p w14:paraId="203CC2B2" w14:textId="77777777" w:rsidR="009333CB" w:rsidRPr="0045367A" w:rsidRDefault="009333CB" w:rsidP="009333CB">
      <w:pPr>
        <w:spacing w:after="0" w:line="240" w:lineRule="auto"/>
        <w:rPr>
          <w:i/>
        </w:rPr>
      </w:pPr>
      <w:r w:rsidRPr="0045367A">
        <w:rPr>
          <w:i/>
        </w:rPr>
        <w:t>Information Collection Instruments and Instruction/Guidance Documents</w:t>
      </w:r>
    </w:p>
    <w:p w14:paraId="5605F736" w14:textId="77777777" w:rsidR="009333CB" w:rsidRPr="00472269" w:rsidRDefault="009333CB" w:rsidP="009333CB">
      <w:pPr>
        <w:pStyle w:val="BodyText"/>
        <w:rPr>
          <w:sz w:val="24"/>
        </w:rPr>
      </w:pPr>
    </w:p>
    <w:p w14:paraId="3DE9B692" w14:textId="77777777" w:rsidR="009333CB" w:rsidRDefault="009333CB" w:rsidP="00AA10A1">
      <w:pPr>
        <w:pStyle w:val="BodyText"/>
        <w:numPr>
          <w:ilvl w:val="0"/>
          <w:numId w:val="22"/>
        </w:numPr>
        <w:ind w:left="806"/>
        <w:rPr>
          <w:i w:val="0"/>
          <w:sz w:val="24"/>
          <w:szCs w:val="24"/>
        </w:rPr>
      </w:pPr>
      <w:r w:rsidRPr="006B4702">
        <w:rPr>
          <w:i w:val="0"/>
          <w:sz w:val="24"/>
          <w:szCs w:val="24"/>
        </w:rPr>
        <w:t xml:space="preserve">Video: </w:t>
      </w:r>
      <w:hyperlink r:id="rId17" w:history="1">
        <w:r w:rsidRPr="006B4702">
          <w:rPr>
            <w:rStyle w:val="Hyperlink"/>
            <w:i w:val="0"/>
            <w:sz w:val="24"/>
            <w:szCs w:val="24"/>
          </w:rPr>
          <w:t>Overview of the Standardized Monitoring Report Process</w:t>
        </w:r>
      </w:hyperlink>
      <w:r w:rsidRPr="006B4702">
        <w:rPr>
          <w:i w:val="0"/>
          <w:sz w:val="24"/>
          <w:szCs w:val="24"/>
        </w:rPr>
        <w:t xml:space="preserve"> </w:t>
      </w:r>
      <w:r>
        <w:rPr>
          <w:i w:val="0"/>
          <w:sz w:val="24"/>
          <w:szCs w:val="24"/>
        </w:rPr>
        <w:t>(</w:t>
      </w:r>
      <w:r w:rsidRPr="009D1A53">
        <w:rPr>
          <w:sz w:val="24"/>
          <w:szCs w:val="24"/>
        </w:rPr>
        <w:t>8:59 minutes</w:t>
      </w:r>
      <w:r>
        <w:rPr>
          <w:i w:val="0"/>
          <w:sz w:val="24"/>
          <w:szCs w:val="24"/>
        </w:rPr>
        <w:t>)</w:t>
      </w:r>
    </w:p>
    <w:p w14:paraId="4A0DE4B7" w14:textId="77777777" w:rsidR="009333CB" w:rsidRDefault="009333CB" w:rsidP="00AA10A1">
      <w:pPr>
        <w:pStyle w:val="BodyText"/>
        <w:numPr>
          <w:ilvl w:val="0"/>
          <w:numId w:val="22"/>
        </w:numPr>
        <w:ind w:left="806"/>
        <w:rPr>
          <w:i w:val="0"/>
          <w:sz w:val="24"/>
          <w:szCs w:val="24"/>
        </w:rPr>
      </w:pPr>
      <w:r w:rsidRPr="006B4702">
        <w:rPr>
          <w:i w:val="0"/>
          <w:sz w:val="24"/>
          <w:szCs w:val="24"/>
        </w:rPr>
        <w:t xml:space="preserve">Video: </w:t>
      </w:r>
      <w:hyperlink r:id="rId18" w:history="1">
        <w:r w:rsidRPr="006B4702">
          <w:rPr>
            <w:rStyle w:val="Hyperlink"/>
            <w:i w:val="0"/>
            <w:sz w:val="24"/>
            <w:szCs w:val="24"/>
          </w:rPr>
          <w:t>Populating and Submitting Monitoring Templates</w:t>
        </w:r>
      </w:hyperlink>
      <w:r>
        <w:rPr>
          <w:i w:val="0"/>
          <w:sz w:val="24"/>
          <w:szCs w:val="24"/>
        </w:rPr>
        <w:t xml:space="preserve"> (</w:t>
      </w:r>
      <w:r w:rsidRPr="009D1A53">
        <w:rPr>
          <w:sz w:val="24"/>
          <w:szCs w:val="24"/>
        </w:rPr>
        <w:t>8:24 minutes</w:t>
      </w:r>
      <w:r>
        <w:rPr>
          <w:i w:val="0"/>
          <w:sz w:val="24"/>
          <w:szCs w:val="24"/>
        </w:rPr>
        <w:t>)</w:t>
      </w:r>
    </w:p>
    <w:p w14:paraId="120C2CFB" w14:textId="77777777" w:rsidR="009333CB" w:rsidRPr="006B4702" w:rsidRDefault="009333CB" w:rsidP="00AA10A1">
      <w:pPr>
        <w:pStyle w:val="BodyText"/>
        <w:numPr>
          <w:ilvl w:val="0"/>
          <w:numId w:val="22"/>
        </w:numPr>
        <w:ind w:left="806"/>
        <w:rPr>
          <w:i w:val="0"/>
          <w:sz w:val="24"/>
          <w:szCs w:val="24"/>
        </w:rPr>
      </w:pPr>
      <w:r w:rsidRPr="006B4702">
        <w:rPr>
          <w:i w:val="0"/>
          <w:sz w:val="24"/>
          <w:szCs w:val="24"/>
        </w:rPr>
        <w:t xml:space="preserve">Video: </w:t>
      </w:r>
      <w:hyperlink r:id="rId19" w:history="1">
        <w:r w:rsidRPr="006B4702">
          <w:rPr>
            <w:rStyle w:val="Hyperlink"/>
            <w:i w:val="0"/>
            <w:sz w:val="24"/>
            <w:szCs w:val="24"/>
          </w:rPr>
          <w:t>Downloading 1115 Monitoring Report Templates</w:t>
        </w:r>
      </w:hyperlink>
      <w:r>
        <w:rPr>
          <w:i w:val="0"/>
          <w:sz w:val="24"/>
          <w:szCs w:val="24"/>
        </w:rPr>
        <w:t xml:space="preserve"> (</w:t>
      </w:r>
      <w:r w:rsidRPr="009D1A53">
        <w:rPr>
          <w:sz w:val="24"/>
          <w:szCs w:val="24"/>
        </w:rPr>
        <w:t>2:59 minutes</w:t>
      </w:r>
      <w:r>
        <w:rPr>
          <w:i w:val="0"/>
          <w:sz w:val="24"/>
          <w:szCs w:val="24"/>
        </w:rPr>
        <w:t>)</w:t>
      </w:r>
    </w:p>
    <w:p w14:paraId="2A2FF0AE" w14:textId="207141A0" w:rsidR="00BE6E2E" w:rsidRPr="009E3403" w:rsidRDefault="00B06EA8" w:rsidP="00B06EA8">
      <w:pPr>
        <w:pStyle w:val="BodyText"/>
        <w:numPr>
          <w:ilvl w:val="0"/>
          <w:numId w:val="22"/>
        </w:numPr>
        <w:rPr>
          <w:i w:val="0"/>
          <w:sz w:val="24"/>
          <w:szCs w:val="24"/>
        </w:rPr>
      </w:pPr>
      <w:r w:rsidRPr="009E3403">
        <w:rPr>
          <w:i w:val="0"/>
          <w:color w:val="000000"/>
          <w:sz w:val="24"/>
          <w:szCs w:val="24"/>
        </w:rPr>
        <w:t>Medicaid Section 1115 Eligibility and Coverage 1115 Eligibility and Coverage Demonstration Implementation Plan Template</w:t>
      </w:r>
    </w:p>
    <w:p w14:paraId="78264D41" w14:textId="2F45835A" w:rsidR="009333CB" w:rsidRPr="009E3403" w:rsidRDefault="00151312" w:rsidP="00151312">
      <w:pPr>
        <w:pStyle w:val="BodyText"/>
        <w:numPr>
          <w:ilvl w:val="0"/>
          <w:numId w:val="22"/>
        </w:numPr>
        <w:rPr>
          <w:i w:val="0"/>
          <w:sz w:val="24"/>
          <w:szCs w:val="24"/>
        </w:rPr>
      </w:pPr>
      <w:r w:rsidRPr="009E3403">
        <w:rPr>
          <w:i w:val="0"/>
          <w:sz w:val="24"/>
          <w:szCs w:val="24"/>
        </w:rPr>
        <w:t>Medicaid Section 1115 Eligibility and Coverage Demonstration Monitoring Report</w:t>
      </w:r>
    </w:p>
    <w:p w14:paraId="706EC007" w14:textId="0252C1D1" w:rsidR="009333CB" w:rsidRPr="009E3403" w:rsidRDefault="00151312" w:rsidP="00151312">
      <w:pPr>
        <w:pStyle w:val="BodyText"/>
        <w:numPr>
          <w:ilvl w:val="0"/>
          <w:numId w:val="22"/>
        </w:numPr>
        <w:rPr>
          <w:i w:val="0"/>
          <w:sz w:val="24"/>
          <w:szCs w:val="24"/>
        </w:rPr>
      </w:pPr>
      <w:r w:rsidRPr="009E3403">
        <w:rPr>
          <w:i w:val="0"/>
          <w:sz w:val="24"/>
        </w:rPr>
        <w:t>Section 1115 Eligibility and Coverage Demonstrations Monitoring Metrics Technical Specifications</w:t>
      </w:r>
      <w:r w:rsidRPr="009E3403" w:rsidDel="00151312">
        <w:rPr>
          <w:i w:val="0"/>
          <w:sz w:val="24"/>
          <w:szCs w:val="24"/>
        </w:rPr>
        <w:t xml:space="preserve"> </w:t>
      </w:r>
    </w:p>
    <w:p w14:paraId="50840457" w14:textId="01AE4550" w:rsidR="009333CB" w:rsidRPr="009E3403" w:rsidRDefault="00FA2A71" w:rsidP="00FA2A71">
      <w:pPr>
        <w:pStyle w:val="BodyText"/>
        <w:numPr>
          <w:ilvl w:val="0"/>
          <w:numId w:val="22"/>
        </w:numPr>
        <w:rPr>
          <w:i w:val="0"/>
          <w:sz w:val="24"/>
          <w:szCs w:val="24"/>
        </w:rPr>
      </w:pPr>
      <w:r w:rsidRPr="009E3403">
        <w:rPr>
          <w:i w:val="0"/>
          <w:sz w:val="24"/>
        </w:rPr>
        <w:t>Medicaid Section 1115 Eligibility and Coverage Demonstration Monitoring Protocol - Planned metrics</w:t>
      </w:r>
    </w:p>
    <w:p w14:paraId="73A75246" w14:textId="65F5591E" w:rsidR="009333CB" w:rsidRPr="009E3403" w:rsidRDefault="00FA2A71" w:rsidP="00FA2A71">
      <w:pPr>
        <w:pStyle w:val="BodyText"/>
        <w:numPr>
          <w:ilvl w:val="0"/>
          <w:numId w:val="22"/>
        </w:numPr>
        <w:rPr>
          <w:i w:val="0"/>
          <w:sz w:val="24"/>
          <w:szCs w:val="24"/>
        </w:rPr>
      </w:pPr>
      <w:r w:rsidRPr="009E3403">
        <w:rPr>
          <w:i w:val="0"/>
          <w:color w:val="000000"/>
          <w:sz w:val="24"/>
          <w:szCs w:val="24"/>
        </w:rPr>
        <w:t xml:space="preserve">Medicaid Section 1115 Eligibility and Coverage Demonstration Monitoring Report Instructions </w:t>
      </w:r>
    </w:p>
    <w:p w14:paraId="77B8A036" w14:textId="68FF102D" w:rsidR="00BE2D56" w:rsidRPr="009E3403" w:rsidRDefault="00B06EA8" w:rsidP="00221B90">
      <w:pPr>
        <w:pStyle w:val="BodyText"/>
        <w:numPr>
          <w:ilvl w:val="0"/>
          <w:numId w:val="22"/>
        </w:numPr>
        <w:rPr>
          <w:i w:val="0"/>
          <w:sz w:val="24"/>
          <w:szCs w:val="24"/>
        </w:rPr>
      </w:pPr>
      <w:r w:rsidRPr="009E3403">
        <w:rPr>
          <w:i w:val="0"/>
          <w:color w:val="000000"/>
          <w:sz w:val="24"/>
          <w:szCs w:val="24"/>
        </w:rPr>
        <w:t>Monitoring Metrics for Demonstrations with Community Engagement and Other Eligibility and Coverage Policies</w:t>
      </w:r>
    </w:p>
    <w:p w14:paraId="750C2B02" w14:textId="616C1C7B" w:rsidR="009333CB" w:rsidRPr="009E3403" w:rsidRDefault="009A7609" w:rsidP="009333CB">
      <w:pPr>
        <w:pStyle w:val="BodyText"/>
        <w:numPr>
          <w:ilvl w:val="0"/>
          <w:numId w:val="22"/>
        </w:numPr>
        <w:rPr>
          <w:i w:val="0"/>
          <w:sz w:val="24"/>
          <w:szCs w:val="24"/>
        </w:rPr>
      </w:pPr>
      <w:r w:rsidRPr="009E3403">
        <w:rPr>
          <w:i w:val="0"/>
          <w:sz w:val="24"/>
          <w:szCs w:val="24"/>
        </w:rPr>
        <w:t>January</w:t>
      </w:r>
      <w:r w:rsidR="009333CB" w:rsidRPr="009E3403">
        <w:rPr>
          <w:i w:val="0"/>
          <w:sz w:val="24"/>
          <w:szCs w:val="24"/>
        </w:rPr>
        <w:t xml:space="preserve"> </w:t>
      </w:r>
      <w:r w:rsidRPr="009E3403">
        <w:rPr>
          <w:i w:val="0"/>
          <w:sz w:val="24"/>
          <w:szCs w:val="24"/>
        </w:rPr>
        <w:t>1</w:t>
      </w:r>
      <w:r w:rsidR="009333CB" w:rsidRPr="009E3403">
        <w:rPr>
          <w:i w:val="0"/>
          <w:sz w:val="24"/>
          <w:szCs w:val="24"/>
        </w:rPr>
        <w:t>1, 201</w:t>
      </w:r>
      <w:r w:rsidRPr="009E3403">
        <w:rPr>
          <w:i w:val="0"/>
          <w:sz w:val="24"/>
          <w:szCs w:val="24"/>
        </w:rPr>
        <w:t>8</w:t>
      </w:r>
      <w:r w:rsidR="009333CB" w:rsidRPr="009E3403">
        <w:rPr>
          <w:i w:val="0"/>
          <w:sz w:val="24"/>
          <w:szCs w:val="24"/>
        </w:rPr>
        <w:t xml:space="preserve"> – State Medicaid Directors letter #1</w:t>
      </w:r>
      <w:r w:rsidR="000778D8" w:rsidRPr="009E3403">
        <w:rPr>
          <w:i w:val="0"/>
          <w:sz w:val="24"/>
          <w:szCs w:val="24"/>
        </w:rPr>
        <w:t>8</w:t>
      </w:r>
      <w:r w:rsidR="009333CB" w:rsidRPr="009E3403">
        <w:rPr>
          <w:i w:val="0"/>
          <w:sz w:val="24"/>
          <w:szCs w:val="24"/>
        </w:rPr>
        <w:t>-00</w:t>
      </w:r>
      <w:r w:rsidR="000778D8" w:rsidRPr="009E3403">
        <w:rPr>
          <w:i w:val="0"/>
          <w:sz w:val="24"/>
          <w:szCs w:val="24"/>
        </w:rPr>
        <w:t>2</w:t>
      </w:r>
    </w:p>
    <w:p w14:paraId="4BD11128" w14:textId="77777777" w:rsidR="00EE7851" w:rsidRPr="00472269" w:rsidRDefault="00EE7851" w:rsidP="00EE7851">
      <w:pPr>
        <w:pStyle w:val="BodyText"/>
        <w:ind w:left="810"/>
        <w:rPr>
          <w:i w:val="0"/>
          <w:sz w:val="24"/>
          <w:szCs w:val="24"/>
        </w:rPr>
      </w:pPr>
    </w:p>
    <w:p w14:paraId="24F3F593" w14:textId="77777777" w:rsidR="00737C80" w:rsidRPr="002A4CA6" w:rsidRDefault="003F3CE7" w:rsidP="00107E26">
      <w:pPr>
        <w:pStyle w:val="Heading1"/>
      </w:pPr>
      <w:r>
        <w:t>E</w:t>
      </w:r>
      <w:r w:rsidR="007D6E75" w:rsidRPr="002A4CA6">
        <w:t>. Timeline</w:t>
      </w:r>
    </w:p>
    <w:p w14:paraId="3E20D4D4" w14:textId="77777777" w:rsidR="00443F76" w:rsidRPr="00574C42" w:rsidRDefault="00443F76" w:rsidP="007A5704">
      <w:pPr>
        <w:spacing w:after="0" w:line="240" w:lineRule="auto"/>
        <w:rPr>
          <w:szCs w:val="24"/>
        </w:rPr>
      </w:pPr>
    </w:p>
    <w:p w14:paraId="4BCAA8C0" w14:textId="1DE0FF8D" w:rsidR="002221A3" w:rsidRDefault="00515B67" w:rsidP="007A5704">
      <w:pPr>
        <w:pStyle w:val="BodyText"/>
        <w:rPr>
          <w:i w:val="0"/>
          <w:sz w:val="24"/>
          <w:szCs w:val="24"/>
        </w:rPr>
      </w:pPr>
      <w:r w:rsidRPr="00BB1CC7">
        <w:rPr>
          <w:i w:val="0"/>
          <w:sz w:val="24"/>
          <w:szCs w:val="24"/>
        </w:rPr>
        <w:t xml:space="preserve">Approval is requested by </w:t>
      </w:r>
      <w:r w:rsidR="006952F1" w:rsidRPr="00BB1CC7">
        <w:rPr>
          <w:i w:val="0"/>
          <w:sz w:val="24"/>
          <w:szCs w:val="24"/>
        </w:rPr>
        <w:t xml:space="preserve">October </w:t>
      </w:r>
      <w:r w:rsidR="00230F3D">
        <w:rPr>
          <w:i w:val="0"/>
          <w:sz w:val="24"/>
          <w:szCs w:val="24"/>
        </w:rPr>
        <w:t>14</w:t>
      </w:r>
      <w:r w:rsidRPr="00BB1CC7">
        <w:rPr>
          <w:i w:val="0"/>
          <w:sz w:val="24"/>
          <w:szCs w:val="24"/>
        </w:rPr>
        <w:t>, 2019</w:t>
      </w:r>
      <w:r w:rsidR="00A67602" w:rsidRPr="00BB1CC7">
        <w:rPr>
          <w:i w:val="0"/>
          <w:sz w:val="24"/>
          <w:szCs w:val="24"/>
        </w:rPr>
        <w:t>.</w:t>
      </w:r>
    </w:p>
    <w:p w14:paraId="10F0BA55" w14:textId="77777777" w:rsidR="006952F1" w:rsidRPr="0045367A" w:rsidRDefault="006952F1" w:rsidP="007A5704">
      <w:pPr>
        <w:pStyle w:val="BodyText"/>
        <w:rPr>
          <w:i w:val="0"/>
          <w:sz w:val="24"/>
        </w:rPr>
      </w:pPr>
    </w:p>
    <w:sectPr w:rsidR="006952F1" w:rsidRPr="0045367A" w:rsidSect="005B4F1B">
      <w:pgSz w:w="12240" w:h="15840" w:code="1"/>
      <w:pgMar w:top="1440" w:right="135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7AC10" w14:textId="77777777" w:rsidR="001F78DF" w:rsidRDefault="001F78DF" w:rsidP="008111D2">
      <w:pPr>
        <w:spacing w:after="0" w:line="240" w:lineRule="auto"/>
      </w:pPr>
      <w:r>
        <w:separator/>
      </w:r>
    </w:p>
  </w:endnote>
  <w:endnote w:type="continuationSeparator" w:id="0">
    <w:p w14:paraId="0CD2C64F" w14:textId="77777777" w:rsidR="001F78DF" w:rsidRDefault="001F78DF" w:rsidP="008111D2">
      <w:pPr>
        <w:spacing w:after="0" w:line="240" w:lineRule="auto"/>
      </w:pPr>
      <w:r>
        <w:continuationSeparator/>
      </w:r>
    </w:p>
  </w:endnote>
  <w:endnote w:type="continuationNotice" w:id="1">
    <w:p w14:paraId="7FE2DF7B" w14:textId="77777777" w:rsidR="001F78DF" w:rsidRDefault="001F7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718473"/>
      <w:docPartObj>
        <w:docPartGallery w:val="Page Numbers (Bottom of Page)"/>
        <w:docPartUnique/>
      </w:docPartObj>
    </w:sdtPr>
    <w:sdtEndPr>
      <w:rPr>
        <w:noProof/>
      </w:rPr>
    </w:sdtEndPr>
    <w:sdtContent>
      <w:p w14:paraId="6385DF94" w14:textId="0C34056A" w:rsidR="00A12183" w:rsidRDefault="00A12183" w:rsidP="005E0785">
        <w:pPr>
          <w:pStyle w:val="Footer"/>
          <w:jc w:val="center"/>
        </w:pPr>
        <w:r>
          <w:fldChar w:fldCharType="begin"/>
        </w:r>
        <w:r>
          <w:instrText xml:space="preserve"> PAGE   \* MERGEFORMAT </w:instrText>
        </w:r>
        <w:r>
          <w:fldChar w:fldCharType="separate"/>
        </w:r>
        <w:r w:rsidR="00E9257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08C19" w14:textId="77777777" w:rsidR="001F78DF" w:rsidRDefault="001F78DF" w:rsidP="008111D2">
      <w:pPr>
        <w:spacing w:after="0" w:line="240" w:lineRule="auto"/>
      </w:pPr>
      <w:r>
        <w:separator/>
      </w:r>
    </w:p>
  </w:footnote>
  <w:footnote w:type="continuationSeparator" w:id="0">
    <w:p w14:paraId="4D080BE8" w14:textId="77777777" w:rsidR="001F78DF" w:rsidRDefault="001F78DF" w:rsidP="008111D2">
      <w:pPr>
        <w:spacing w:after="0" w:line="240" w:lineRule="auto"/>
      </w:pPr>
      <w:r>
        <w:continuationSeparator/>
      </w:r>
    </w:p>
  </w:footnote>
  <w:footnote w:type="continuationNotice" w:id="1">
    <w:p w14:paraId="2BDD0FF9" w14:textId="77777777" w:rsidR="001F78DF" w:rsidRDefault="001F78D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6"/>
    <w:multiLevelType w:val="multilevel"/>
    <w:tmpl w:val="00000889"/>
    <w:lvl w:ilvl="0">
      <w:start w:val="1"/>
      <w:numFmt w:val="upperRoman"/>
      <w:lvlText w:val="%1."/>
      <w:lvlJc w:val="left"/>
      <w:pPr>
        <w:ind w:left="453" w:hanging="334"/>
      </w:pPr>
      <w:rPr>
        <w:rFonts w:ascii="Times New Roman" w:hAnsi="Times New Roman" w:cs="Times New Roman"/>
        <w:b/>
        <w:bCs/>
        <w:w w:val="100"/>
      </w:rPr>
    </w:lvl>
    <w:lvl w:ilvl="1">
      <w:start w:val="1"/>
      <w:numFmt w:val="upperRoman"/>
      <w:lvlText w:val="%2."/>
      <w:lvlJc w:val="left"/>
      <w:pPr>
        <w:ind w:left="1200" w:hanging="720"/>
      </w:pPr>
      <w:rPr>
        <w:rFonts w:ascii="Times New Roman" w:hAnsi="Times New Roman" w:cs="Times New Roman"/>
        <w:b w:val="0"/>
        <w:bCs w:val="0"/>
        <w:spacing w:val="-4"/>
        <w:w w:val="100"/>
        <w:sz w:val="24"/>
        <w:szCs w:val="24"/>
      </w:rPr>
    </w:lvl>
    <w:lvl w:ilvl="2">
      <w:numFmt w:val="bullet"/>
      <w:lvlText w:val="•"/>
      <w:lvlJc w:val="left"/>
      <w:pPr>
        <w:ind w:left="2131" w:hanging="720"/>
      </w:pPr>
    </w:lvl>
    <w:lvl w:ilvl="3">
      <w:numFmt w:val="bullet"/>
      <w:lvlText w:val="•"/>
      <w:lvlJc w:val="left"/>
      <w:pPr>
        <w:ind w:left="3062" w:hanging="720"/>
      </w:pPr>
    </w:lvl>
    <w:lvl w:ilvl="4">
      <w:numFmt w:val="bullet"/>
      <w:lvlText w:val="•"/>
      <w:lvlJc w:val="left"/>
      <w:pPr>
        <w:ind w:left="3993" w:hanging="720"/>
      </w:pPr>
    </w:lvl>
    <w:lvl w:ilvl="5">
      <w:numFmt w:val="bullet"/>
      <w:lvlText w:val="•"/>
      <w:lvlJc w:val="left"/>
      <w:pPr>
        <w:ind w:left="4924" w:hanging="720"/>
      </w:pPr>
    </w:lvl>
    <w:lvl w:ilvl="6">
      <w:numFmt w:val="bullet"/>
      <w:lvlText w:val="•"/>
      <w:lvlJc w:val="left"/>
      <w:pPr>
        <w:ind w:left="5855" w:hanging="720"/>
      </w:pPr>
    </w:lvl>
    <w:lvl w:ilvl="7">
      <w:numFmt w:val="bullet"/>
      <w:lvlText w:val="•"/>
      <w:lvlJc w:val="left"/>
      <w:pPr>
        <w:ind w:left="6786" w:hanging="720"/>
      </w:pPr>
    </w:lvl>
    <w:lvl w:ilvl="8">
      <w:numFmt w:val="bullet"/>
      <w:lvlText w:val="•"/>
      <w:lvlJc w:val="left"/>
      <w:pPr>
        <w:ind w:left="7717" w:hanging="720"/>
      </w:pPr>
    </w:lvl>
  </w:abstractNum>
  <w:abstractNum w:abstractNumId="1">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F4195"/>
    <w:multiLevelType w:val="hybridMultilevel"/>
    <w:tmpl w:val="A250765A"/>
    <w:lvl w:ilvl="0" w:tplc="D77AE7F8">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F64754"/>
    <w:multiLevelType w:val="hybridMultilevel"/>
    <w:tmpl w:val="5AD88490"/>
    <w:lvl w:ilvl="0" w:tplc="5C34C0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0036E"/>
    <w:multiLevelType w:val="hybridMultilevel"/>
    <w:tmpl w:val="D8B417D0"/>
    <w:lvl w:ilvl="0" w:tplc="78443066">
      <w:start w:val="2"/>
      <w:numFmt w:val="decimal"/>
      <w:lvlText w:val="%1."/>
      <w:lvlJc w:val="left"/>
      <w:pPr>
        <w:ind w:left="720" w:hanging="360"/>
      </w:pPr>
      <w:rPr>
        <w:rFonts w:hint="default"/>
        <w:b/>
      </w:rPr>
    </w:lvl>
    <w:lvl w:ilvl="1" w:tplc="04090019">
      <w:start w:val="1"/>
      <w:numFmt w:val="lowerLetter"/>
      <w:lvlText w:val="%2."/>
      <w:lvlJc w:val="left"/>
      <w:pPr>
        <w:ind w:left="1440" w:hanging="360"/>
      </w:pPr>
      <w:rPr>
        <w:b/>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A3B5D"/>
    <w:multiLevelType w:val="hybridMultilevel"/>
    <w:tmpl w:val="C9428992"/>
    <w:lvl w:ilvl="0" w:tplc="9AA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C4DC1"/>
    <w:multiLevelType w:val="hybridMultilevel"/>
    <w:tmpl w:val="A8EE5CB8"/>
    <w:lvl w:ilvl="0" w:tplc="047A0A4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B9E2CCC"/>
    <w:multiLevelType w:val="hybridMultilevel"/>
    <w:tmpl w:val="AF641844"/>
    <w:lvl w:ilvl="0" w:tplc="9AAC1F2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103C7"/>
    <w:multiLevelType w:val="hybridMultilevel"/>
    <w:tmpl w:val="7BB4064E"/>
    <w:lvl w:ilvl="0" w:tplc="68341F26">
      <w:start w:val="1"/>
      <w:numFmt w:val="decimal"/>
      <w:lvlText w:val="%1."/>
      <w:lvlJc w:val="left"/>
      <w:pPr>
        <w:ind w:left="810" w:hanging="720"/>
      </w:pPr>
      <w:rPr>
        <w:rFonts w:cstheme="minorBidi"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332E68"/>
    <w:multiLevelType w:val="hybridMultilevel"/>
    <w:tmpl w:val="2326E8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85012A"/>
    <w:multiLevelType w:val="hybridMultilevel"/>
    <w:tmpl w:val="B242068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3">
      <w:start w:val="1"/>
      <w:numFmt w:val="bullet"/>
      <w:lvlText w:val="o"/>
      <w:lvlJc w:val="left"/>
      <w:pPr>
        <w:ind w:left="1512" w:hanging="360"/>
      </w:pPr>
      <w:rPr>
        <w:rFonts w:ascii="Courier New" w:hAnsi="Courier New" w:cs="Courier New" w:hint="default"/>
      </w:rPr>
    </w:lvl>
    <w:lvl w:ilvl="3" w:tplc="0409000D">
      <w:start w:val="1"/>
      <w:numFmt w:val="bullet"/>
      <w:lvlText w:val=""/>
      <w:lvlJc w:val="left"/>
      <w:pPr>
        <w:ind w:left="1872" w:hanging="360"/>
      </w:pPr>
      <w:rPr>
        <w:rFonts w:ascii="Wingdings" w:hAnsi="Wingdings"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14">
    <w:nsid w:val="27B03491"/>
    <w:multiLevelType w:val="hybridMultilevel"/>
    <w:tmpl w:val="270E8B18"/>
    <w:lvl w:ilvl="0" w:tplc="023AC386">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F856CB"/>
    <w:multiLevelType w:val="hybridMultilevel"/>
    <w:tmpl w:val="0B32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33772B"/>
    <w:multiLevelType w:val="multilevel"/>
    <w:tmpl w:val="0700F238"/>
    <w:lvl w:ilvl="0">
      <w:start w:val="1"/>
      <w:numFmt w:val="decimal"/>
      <w:lvlText w:val="%1."/>
      <w:lvlJc w:val="left"/>
      <w:pPr>
        <w:ind w:left="840" w:hanging="360"/>
      </w:pPr>
      <w:rPr>
        <w:rFonts w:hint="default"/>
        <w:b/>
        <w:bCs w:val="0"/>
        <w:strike w:val="0"/>
        <w:dstrike w:val="0"/>
        <w:color w:val="auto"/>
        <w:w w:val="100"/>
        <w:sz w:val="24"/>
        <w:szCs w:val="24"/>
        <w:u w:val="none"/>
        <w:effect w:val="none"/>
      </w:rPr>
    </w:lvl>
    <w:lvl w:ilvl="1">
      <w:start w:val="1"/>
      <w:numFmt w:val="lowerLetter"/>
      <w:lvlText w:val="%2."/>
      <w:lvlJc w:val="left"/>
      <w:pPr>
        <w:ind w:left="720" w:hanging="360"/>
      </w:pPr>
      <w:rPr>
        <w:b w:val="0"/>
        <w:bCs w:val="0"/>
        <w:spacing w:val="-1"/>
        <w:w w:val="100"/>
        <w:sz w:val="24"/>
        <w:szCs w:val="24"/>
      </w:rPr>
    </w:lvl>
    <w:lvl w:ilvl="2">
      <w:start w:val="1"/>
      <w:numFmt w:val="lowerLetter"/>
      <w:lvlText w:val="%3."/>
      <w:lvlJc w:val="left"/>
      <w:pPr>
        <w:ind w:left="1900" w:hanging="488"/>
      </w:pPr>
      <w:rPr>
        <w:rFonts w:hint="default"/>
        <w:b w:val="0"/>
        <w:bCs w:val="0"/>
        <w:w w:val="100"/>
        <w:sz w:val="24"/>
        <w:szCs w:val="24"/>
      </w:rPr>
    </w:lvl>
    <w:lvl w:ilvl="3">
      <w:start w:val="1"/>
      <w:numFmt w:val="lowerLetter"/>
      <w:lvlText w:val="%4."/>
      <w:lvlJc w:val="left"/>
      <w:pPr>
        <w:ind w:left="2620" w:hanging="360"/>
      </w:pPr>
      <w:rPr>
        <w:rFonts w:ascii="Times New Roman" w:hAnsi="Times New Roman" w:cs="Times New Roman" w:hint="default"/>
        <w:b w:val="0"/>
        <w:bCs w:val="0"/>
        <w:spacing w:val="-1"/>
        <w:w w:val="100"/>
        <w:sz w:val="24"/>
        <w:szCs w:val="24"/>
      </w:rPr>
    </w:lvl>
    <w:lvl w:ilvl="4">
      <w:numFmt w:val="none"/>
      <w:lvlText w:val="1"/>
      <w:lvlJc w:val="left"/>
      <w:pPr>
        <w:ind w:left="1280" w:firstLine="1528"/>
      </w:pPr>
    </w:lvl>
    <w:lvl w:ilvl="5">
      <w:numFmt w:val="bullet"/>
      <w:lvlText w:val="•"/>
      <w:lvlJc w:val="left"/>
      <w:pPr>
        <w:ind w:left="1300" w:hanging="360"/>
      </w:pPr>
    </w:lvl>
    <w:lvl w:ilvl="6">
      <w:numFmt w:val="bullet"/>
      <w:lvlText w:val="•"/>
      <w:lvlJc w:val="left"/>
      <w:pPr>
        <w:ind w:left="1360" w:hanging="360"/>
      </w:pPr>
    </w:lvl>
    <w:lvl w:ilvl="7">
      <w:numFmt w:val="bullet"/>
      <w:lvlText w:val="•"/>
      <w:lvlJc w:val="left"/>
      <w:pPr>
        <w:ind w:left="1540" w:hanging="360"/>
      </w:pPr>
    </w:lvl>
    <w:lvl w:ilvl="8">
      <w:numFmt w:val="bullet"/>
      <w:lvlText w:val="•"/>
      <w:lvlJc w:val="left"/>
      <w:pPr>
        <w:ind w:left="1720" w:hanging="360"/>
      </w:pPr>
    </w:lvl>
  </w:abstractNum>
  <w:abstractNum w:abstractNumId="19">
    <w:nsid w:val="3A2718E5"/>
    <w:multiLevelType w:val="hybridMultilevel"/>
    <w:tmpl w:val="89CC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A963F94"/>
    <w:multiLevelType w:val="multilevel"/>
    <w:tmpl w:val="9410BA7E"/>
    <w:lvl w:ilvl="0">
      <w:start w:val="1"/>
      <w:numFmt w:val="decimal"/>
      <w:lvlText w:val="%1."/>
      <w:lvlJc w:val="left"/>
      <w:pPr>
        <w:ind w:left="45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1">
    <w:nsid w:val="3C1359EB"/>
    <w:multiLevelType w:val="hybridMultilevel"/>
    <w:tmpl w:val="17AEC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34490C"/>
    <w:multiLevelType w:val="hybridMultilevel"/>
    <w:tmpl w:val="398286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64699E"/>
    <w:multiLevelType w:val="hybridMultilevel"/>
    <w:tmpl w:val="3952673A"/>
    <w:lvl w:ilvl="0" w:tplc="B03A301A">
      <w:numFmt w:val="bullet"/>
      <w:lvlText w:val="•"/>
      <w:lvlJc w:val="left"/>
      <w:pPr>
        <w:ind w:left="192" w:hanging="547"/>
      </w:pPr>
      <w:rPr>
        <w:rFonts w:ascii="Times New Roman" w:eastAsia="Times New Roman" w:hAnsi="Times New Roman" w:cs="Times New Roman" w:hint="default"/>
        <w:w w:val="101"/>
        <w:sz w:val="18"/>
        <w:szCs w:val="18"/>
      </w:rPr>
    </w:lvl>
    <w:lvl w:ilvl="1" w:tplc="9D2AE752">
      <w:numFmt w:val="bullet"/>
      <w:lvlText w:val="•"/>
      <w:lvlJc w:val="left"/>
      <w:pPr>
        <w:ind w:left="1314" w:hanging="547"/>
      </w:pPr>
      <w:rPr>
        <w:rFonts w:hint="default"/>
      </w:rPr>
    </w:lvl>
    <w:lvl w:ilvl="2" w:tplc="B9B0159A">
      <w:numFmt w:val="bullet"/>
      <w:lvlText w:val="•"/>
      <w:lvlJc w:val="left"/>
      <w:pPr>
        <w:ind w:left="2428" w:hanging="547"/>
      </w:pPr>
      <w:rPr>
        <w:rFonts w:hint="default"/>
      </w:rPr>
    </w:lvl>
    <w:lvl w:ilvl="3" w:tplc="31C2455C">
      <w:numFmt w:val="bullet"/>
      <w:lvlText w:val="•"/>
      <w:lvlJc w:val="left"/>
      <w:pPr>
        <w:ind w:left="3542" w:hanging="547"/>
      </w:pPr>
      <w:rPr>
        <w:rFonts w:hint="default"/>
      </w:rPr>
    </w:lvl>
    <w:lvl w:ilvl="4" w:tplc="44A4A444">
      <w:numFmt w:val="bullet"/>
      <w:lvlText w:val="•"/>
      <w:lvlJc w:val="left"/>
      <w:pPr>
        <w:ind w:left="4656" w:hanging="547"/>
      </w:pPr>
      <w:rPr>
        <w:rFonts w:hint="default"/>
      </w:rPr>
    </w:lvl>
    <w:lvl w:ilvl="5" w:tplc="6E4275B4">
      <w:numFmt w:val="bullet"/>
      <w:lvlText w:val="•"/>
      <w:lvlJc w:val="left"/>
      <w:pPr>
        <w:ind w:left="5770" w:hanging="547"/>
      </w:pPr>
      <w:rPr>
        <w:rFonts w:hint="default"/>
      </w:rPr>
    </w:lvl>
    <w:lvl w:ilvl="6" w:tplc="0C020990">
      <w:numFmt w:val="bullet"/>
      <w:lvlText w:val="•"/>
      <w:lvlJc w:val="left"/>
      <w:pPr>
        <w:ind w:left="6884" w:hanging="547"/>
      </w:pPr>
      <w:rPr>
        <w:rFonts w:hint="default"/>
      </w:rPr>
    </w:lvl>
    <w:lvl w:ilvl="7" w:tplc="4672EDB6">
      <w:numFmt w:val="bullet"/>
      <w:lvlText w:val="•"/>
      <w:lvlJc w:val="left"/>
      <w:pPr>
        <w:ind w:left="7998" w:hanging="547"/>
      </w:pPr>
      <w:rPr>
        <w:rFonts w:hint="default"/>
      </w:rPr>
    </w:lvl>
    <w:lvl w:ilvl="8" w:tplc="1400AAE6">
      <w:numFmt w:val="bullet"/>
      <w:lvlText w:val="•"/>
      <w:lvlJc w:val="left"/>
      <w:pPr>
        <w:ind w:left="9112" w:hanging="547"/>
      </w:pPr>
      <w:rPr>
        <w:rFonts w:hint="default"/>
      </w:rPr>
    </w:lvl>
  </w:abstractNum>
  <w:abstractNum w:abstractNumId="24">
    <w:nsid w:val="40791B80"/>
    <w:multiLevelType w:val="hybridMultilevel"/>
    <w:tmpl w:val="F9A2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13277C"/>
    <w:multiLevelType w:val="hybridMultilevel"/>
    <w:tmpl w:val="005871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332072A"/>
    <w:multiLevelType w:val="hybridMultilevel"/>
    <w:tmpl w:val="0CE06CCC"/>
    <w:lvl w:ilvl="0" w:tplc="4BA8BC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C6329D"/>
    <w:multiLevelType w:val="hybridMultilevel"/>
    <w:tmpl w:val="CB32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E14DFB"/>
    <w:multiLevelType w:val="hybridMultilevel"/>
    <w:tmpl w:val="CB0A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B50A73"/>
    <w:multiLevelType w:val="hybridMultilevel"/>
    <w:tmpl w:val="2F54F2EE"/>
    <w:lvl w:ilvl="0" w:tplc="9AAC1F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2181EEB"/>
    <w:multiLevelType w:val="hybridMultilevel"/>
    <w:tmpl w:val="15466540"/>
    <w:lvl w:ilvl="0" w:tplc="24ECF7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6F0073"/>
    <w:multiLevelType w:val="hybridMultilevel"/>
    <w:tmpl w:val="F22E6638"/>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86C73E0"/>
    <w:multiLevelType w:val="hybridMultilevel"/>
    <w:tmpl w:val="479EF5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nsid w:val="59025814"/>
    <w:multiLevelType w:val="hybridMultilevel"/>
    <w:tmpl w:val="F0686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B30104"/>
    <w:multiLevelType w:val="hybridMultilevel"/>
    <w:tmpl w:val="333C0328"/>
    <w:lvl w:ilvl="0" w:tplc="F6024F0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52358B"/>
    <w:multiLevelType w:val="hybridMultilevel"/>
    <w:tmpl w:val="7C16C40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F8C3A97"/>
    <w:multiLevelType w:val="hybridMultilevel"/>
    <w:tmpl w:val="CC8C988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nsid w:val="632A131D"/>
    <w:multiLevelType w:val="hybridMultilevel"/>
    <w:tmpl w:val="EA7C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80621B"/>
    <w:multiLevelType w:val="hybridMultilevel"/>
    <w:tmpl w:val="EAE4B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1B6D11"/>
    <w:multiLevelType w:val="hybridMultilevel"/>
    <w:tmpl w:val="ECEC989C"/>
    <w:lvl w:ilvl="0" w:tplc="486CBA34">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E536E5"/>
    <w:multiLevelType w:val="hybridMultilevel"/>
    <w:tmpl w:val="64F80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F042AD8"/>
    <w:multiLevelType w:val="hybridMultilevel"/>
    <w:tmpl w:val="CF1262D2"/>
    <w:lvl w:ilvl="0" w:tplc="984282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88521A"/>
    <w:multiLevelType w:val="hybridMultilevel"/>
    <w:tmpl w:val="DE8C564A"/>
    <w:lvl w:ilvl="0" w:tplc="9AA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66218A"/>
    <w:multiLevelType w:val="multilevel"/>
    <w:tmpl w:val="E27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9B032EB"/>
    <w:multiLevelType w:val="hybridMultilevel"/>
    <w:tmpl w:val="50BE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8"/>
  </w:num>
  <w:num w:numId="2">
    <w:abstractNumId w:val="17"/>
  </w:num>
  <w:num w:numId="3">
    <w:abstractNumId w:val="26"/>
  </w:num>
  <w:num w:numId="4">
    <w:abstractNumId w:val="43"/>
  </w:num>
  <w:num w:numId="5">
    <w:abstractNumId w:val="5"/>
  </w:num>
  <w:num w:numId="6">
    <w:abstractNumId w:val="11"/>
  </w:num>
  <w:num w:numId="7">
    <w:abstractNumId w:val="16"/>
  </w:num>
  <w:num w:numId="8">
    <w:abstractNumId w:val="36"/>
  </w:num>
  <w:num w:numId="9">
    <w:abstractNumId w:val="1"/>
  </w:num>
  <w:num w:numId="10">
    <w:abstractNumId w:val="44"/>
  </w:num>
  <w:num w:numId="11">
    <w:abstractNumId w:val="3"/>
  </w:num>
  <w:num w:numId="12">
    <w:abstractNumId w:val="23"/>
  </w:num>
  <w:num w:numId="13">
    <w:abstractNumId w:val="7"/>
  </w:num>
  <w:num w:numId="14">
    <w:abstractNumId w:val="47"/>
  </w:num>
  <w:num w:numId="15">
    <w:abstractNumId w:val="46"/>
  </w:num>
  <w:num w:numId="16">
    <w:abstractNumId w:val="25"/>
  </w:num>
  <w:num w:numId="17">
    <w:abstractNumId w:val="9"/>
  </w:num>
  <w:num w:numId="18">
    <w:abstractNumId w:val="30"/>
  </w:num>
  <w:num w:numId="19">
    <w:abstractNumId w:val="29"/>
  </w:num>
  <w:num w:numId="20">
    <w:abstractNumId w:val="34"/>
  </w:num>
  <w:num w:numId="21">
    <w:abstractNumId w:val="48"/>
  </w:num>
  <w:num w:numId="22">
    <w:abstractNumId w:val="2"/>
  </w:num>
  <w:num w:numId="2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8"/>
  </w:num>
  <w:num w:numId="25">
    <w:abstractNumId w:val="32"/>
  </w:num>
  <w:num w:numId="26">
    <w:abstractNumId w:val="6"/>
  </w:num>
  <w:num w:numId="27">
    <w:abstractNumId w:val="41"/>
  </w:num>
  <w:num w:numId="28">
    <w:abstractNumId w:val="45"/>
  </w:num>
  <w:num w:numId="29">
    <w:abstractNumId w:val="14"/>
  </w:num>
  <w:num w:numId="30">
    <w:abstractNumId w:val="13"/>
  </w:num>
  <w:num w:numId="31">
    <w:abstractNumId w:val="49"/>
  </w:num>
  <w:num w:numId="32">
    <w:abstractNumId w:val="19"/>
  </w:num>
  <w:num w:numId="33">
    <w:abstractNumId w:val="15"/>
  </w:num>
  <w:num w:numId="34">
    <w:abstractNumId w:val="40"/>
  </w:num>
  <w:num w:numId="35">
    <w:abstractNumId w:val="12"/>
  </w:num>
  <w:num w:numId="36">
    <w:abstractNumId w:val="33"/>
  </w:num>
  <w:num w:numId="37">
    <w:abstractNumId w:val="37"/>
  </w:num>
  <w:num w:numId="38">
    <w:abstractNumId w:val="35"/>
  </w:num>
  <w:num w:numId="39">
    <w:abstractNumId w:val="27"/>
  </w:num>
  <w:num w:numId="40">
    <w:abstractNumId w:val="28"/>
  </w:num>
  <w:num w:numId="41">
    <w:abstractNumId w:val="22"/>
  </w:num>
  <w:num w:numId="42">
    <w:abstractNumId w:val="24"/>
  </w:num>
  <w:num w:numId="43">
    <w:abstractNumId w:val="42"/>
  </w:num>
  <w:num w:numId="44">
    <w:abstractNumId w:val="31"/>
  </w:num>
  <w:num w:numId="45">
    <w:abstractNumId w:val="39"/>
  </w:num>
  <w:num w:numId="46">
    <w:abstractNumId w:val="20"/>
  </w:num>
  <w:num w:numId="47">
    <w:abstractNumId w:val="8"/>
  </w:num>
  <w:num w:numId="48">
    <w:abstractNumId w:val="4"/>
  </w:num>
  <w:num w:numId="49">
    <w:abstractNumId w:val="10"/>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activeWritingStyle w:appName="MSWord" w:lang="en-U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12D5"/>
    <w:rsid w:val="000036F5"/>
    <w:rsid w:val="00003C46"/>
    <w:rsid w:val="00004F77"/>
    <w:rsid w:val="000061C4"/>
    <w:rsid w:val="00006294"/>
    <w:rsid w:val="00006D62"/>
    <w:rsid w:val="00011FEE"/>
    <w:rsid w:val="00013454"/>
    <w:rsid w:val="00014CB8"/>
    <w:rsid w:val="00015FB5"/>
    <w:rsid w:val="00016C77"/>
    <w:rsid w:val="0002120D"/>
    <w:rsid w:val="00027E8F"/>
    <w:rsid w:val="0003161D"/>
    <w:rsid w:val="00031BF7"/>
    <w:rsid w:val="00034FFD"/>
    <w:rsid w:val="000362BD"/>
    <w:rsid w:val="00037992"/>
    <w:rsid w:val="00043D0E"/>
    <w:rsid w:val="00046ABB"/>
    <w:rsid w:val="000548DE"/>
    <w:rsid w:val="00055754"/>
    <w:rsid w:val="0005612E"/>
    <w:rsid w:val="00063E11"/>
    <w:rsid w:val="000643E3"/>
    <w:rsid w:val="00065F43"/>
    <w:rsid w:val="000712B4"/>
    <w:rsid w:val="000722FE"/>
    <w:rsid w:val="000778D8"/>
    <w:rsid w:val="0008164F"/>
    <w:rsid w:val="00081947"/>
    <w:rsid w:val="00084BF8"/>
    <w:rsid w:val="000876D9"/>
    <w:rsid w:val="00087B5B"/>
    <w:rsid w:val="00096C8E"/>
    <w:rsid w:val="00097D8E"/>
    <w:rsid w:val="000A3364"/>
    <w:rsid w:val="000A442A"/>
    <w:rsid w:val="000A48DC"/>
    <w:rsid w:val="000A5959"/>
    <w:rsid w:val="000B20AE"/>
    <w:rsid w:val="000B23D2"/>
    <w:rsid w:val="000B28B2"/>
    <w:rsid w:val="000B3656"/>
    <w:rsid w:val="000B4AA9"/>
    <w:rsid w:val="000C2A0D"/>
    <w:rsid w:val="000C2B1A"/>
    <w:rsid w:val="000C349A"/>
    <w:rsid w:val="000D194E"/>
    <w:rsid w:val="000D1C46"/>
    <w:rsid w:val="000D1CFD"/>
    <w:rsid w:val="000D3F37"/>
    <w:rsid w:val="000E318C"/>
    <w:rsid w:val="000E3C91"/>
    <w:rsid w:val="000E4824"/>
    <w:rsid w:val="000E55DA"/>
    <w:rsid w:val="000E6C4E"/>
    <w:rsid w:val="000E7BF6"/>
    <w:rsid w:val="000F362E"/>
    <w:rsid w:val="000F51AA"/>
    <w:rsid w:val="000F708D"/>
    <w:rsid w:val="001003E5"/>
    <w:rsid w:val="00101173"/>
    <w:rsid w:val="00103F7E"/>
    <w:rsid w:val="0010672B"/>
    <w:rsid w:val="00107E26"/>
    <w:rsid w:val="00110200"/>
    <w:rsid w:val="00111672"/>
    <w:rsid w:val="00112577"/>
    <w:rsid w:val="00113D59"/>
    <w:rsid w:val="0011549A"/>
    <w:rsid w:val="00117707"/>
    <w:rsid w:val="001213D3"/>
    <w:rsid w:val="00122C0E"/>
    <w:rsid w:val="00131629"/>
    <w:rsid w:val="00131E5A"/>
    <w:rsid w:val="00134C47"/>
    <w:rsid w:val="001353BD"/>
    <w:rsid w:val="001356ED"/>
    <w:rsid w:val="00137BE3"/>
    <w:rsid w:val="001411B6"/>
    <w:rsid w:val="001417FA"/>
    <w:rsid w:val="00142432"/>
    <w:rsid w:val="00144638"/>
    <w:rsid w:val="00147447"/>
    <w:rsid w:val="001503BF"/>
    <w:rsid w:val="00150737"/>
    <w:rsid w:val="00150B48"/>
    <w:rsid w:val="00150C54"/>
    <w:rsid w:val="00151312"/>
    <w:rsid w:val="00153271"/>
    <w:rsid w:val="00154A68"/>
    <w:rsid w:val="00161FA7"/>
    <w:rsid w:val="00163201"/>
    <w:rsid w:val="0016497A"/>
    <w:rsid w:val="00164E4A"/>
    <w:rsid w:val="00165097"/>
    <w:rsid w:val="00165F61"/>
    <w:rsid w:val="00173249"/>
    <w:rsid w:val="0017390D"/>
    <w:rsid w:val="001756A8"/>
    <w:rsid w:val="00175A39"/>
    <w:rsid w:val="0018057C"/>
    <w:rsid w:val="00181585"/>
    <w:rsid w:val="00181D3E"/>
    <w:rsid w:val="00184079"/>
    <w:rsid w:val="00185CB4"/>
    <w:rsid w:val="001877E8"/>
    <w:rsid w:val="001904B6"/>
    <w:rsid w:val="001948CD"/>
    <w:rsid w:val="0019625C"/>
    <w:rsid w:val="0019638B"/>
    <w:rsid w:val="00196A4A"/>
    <w:rsid w:val="001A1FC6"/>
    <w:rsid w:val="001B1B30"/>
    <w:rsid w:val="001B26B8"/>
    <w:rsid w:val="001B3A3D"/>
    <w:rsid w:val="001B42DB"/>
    <w:rsid w:val="001C63B7"/>
    <w:rsid w:val="001C6FEB"/>
    <w:rsid w:val="001D04AC"/>
    <w:rsid w:val="001D0641"/>
    <w:rsid w:val="001D069B"/>
    <w:rsid w:val="001D09B1"/>
    <w:rsid w:val="001D197A"/>
    <w:rsid w:val="001D1C35"/>
    <w:rsid w:val="001D5FEE"/>
    <w:rsid w:val="001D6DCB"/>
    <w:rsid w:val="001E124A"/>
    <w:rsid w:val="001E1D01"/>
    <w:rsid w:val="001E1FA0"/>
    <w:rsid w:val="001E66B6"/>
    <w:rsid w:val="001F0AB5"/>
    <w:rsid w:val="001F2403"/>
    <w:rsid w:val="001F2628"/>
    <w:rsid w:val="001F322B"/>
    <w:rsid w:val="001F78DF"/>
    <w:rsid w:val="0020026D"/>
    <w:rsid w:val="00200AD7"/>
    <w:rsid w:val="00202A6F"/>
    <w:rsid w:val="00203975"/>
    <w:rsid w:val="00203D75"/>
    <w:rsid w:val="0020641C"/>
    <w:rsid w:val="0021213D"/>
    <w:rsid w:val="00214F31"/>
    <w:rsid w:val="00214F96"/>
    <w:rsid w:val="00215C25"/>
    <w:rsid w:val="00220D31"/>
    <w:rsid w:val="00220D55"/>
    <w:rsid w:val="00221B90"/>
    <w:rsid w:val="002221A3"/>
    <w:rsid w:val="00222B4F"/>
    <w:rsid w:val="0022382E"/>
    <w:rsid w:val="00223FCC"/>
    <w:rsid w:val="00227CC6"/>
    <w:rsid w:val="00227E28"/>
    <w:rsid w:val="00230F3D"/>
    <w:rsid w:val="0023194C"/>
    <w:rsid w:val="00235691"/>
    <w:rsid w:val="002516FF"/>
    <w:rsid w:val="00252D20"/>
    <w:rsid w:val="00253B99"/>
    <w:rsid w:val="002544FD"/>
    <w:rsid w:val="00260F63"/>
    <w:rsid w:val="00262B47"/>
    <w:rsid w:val="00270765"/>
    <w:rsid w:val="0027114C"/>
    <w:rsid w:val="00273038"/>
    <w:rsid w:val="002743A6"/>
    <w:rsid w:val="00275034"/>
    <w:rsid w:val="00283534"/>
    <w:rsid w:val="00284582"/>
    <w:rsid w:val="00286070"/>
    <w:rsid w:val="0028799E"/>
    <w:rsid w:val="00292AD5"/>
    <w:rsid w:val="00294A0D"/>
    <w:rsid w:val="002A0D2E"/>
    <w:rsid w:val="002A0E26"/>
    <w:rsid w:val="002A1FBE"/>
    <w:rsid w:val="002A2B1F"/>
    <w:rsid w:val="002A3350"/>
    <w:rsid w:val="002A3FD2"/>
    <w:rsid w:val="002A4CA6"/>
    <w:rsid w:val="002A68E9"/>
    <w:rsid w:val="002B324D"/>
    <w:rsid w:val="002B3F1C"/>
    <w:rsid w:val="002C17E7"/>
    <w:rsid w:val="002C2A69"/>
    <w:rsid w:val="002C33BF"/>
    <w:rsid w:val="002C3976"/>
    <w:rsid w:val="002C3A2C"/>
    <w:rsid w:val="002C4DFD"/>
    <w:rsid w:val="002C62E4"/>
    <w:rsid w:val="002C7F64"/>
    <w:rsid w:val="002D0890"/>
    <w:rsid w:val="002D129A"/>
    <w:rsid w:val="002D3ED9"/>
    <w:rsid w:val="002D549A"/>
    <w:rsid w:val="002D5D20"/>
    <w:rsid w:val="002D682A"/>
    <w:rsid w:val="002D697B"/>
    <w:rsid w:val="002D72F2"/>
    <w:rsid w:val="002E16EF"/>
    <w:rsid w:val="002E20A2"/>
    <w:rsid w:val="002E2865"/>
    <w:rsid w:val="002E568A"/>
    <w:rsid w:val="002F07B1"/>
    <w:rsid w:val="002F6357"/>
    <w:rsid w:val="002F6BE3"/>
    <w:rsid w:val="002F74C2"/>
    <w:rsid w:val="002F77FB"/>
    <w:rsid w:val="003011E1"/>
    <w:rsid w:val="003064F9"/>
    <w:rsid w:val="00310922"/>
    <w:rsid w:val="00310E8E"/>
    <w:rsid w:val="00311631"/>
    <w:rsid w:val="0031362E"/>
    <w:rsid w:val="00313740"/>
    <w:rsid w:val="00314673"/>
    <w:rsid w:val="0031732B"/>
    <w:rsid w:val="00323F99"/>
    <w:rsid w:val="003248D0"/>
    <w:rsid w:val="00324C1F"/>
    <w:rsid w:val="00325F87"/>
    <w:rsid w:val="0033349B"/>
    <w:rsid w:val="00335313"/>
    <w:rsid w:val="0033679F"/>
    <w:rsid w:val="00337ECD"/>
    <w:rsid w:val="003444B4"/>
    <w:rsid w:val="00344B11"/>
    <w:rsid w:val="00344D4E"/>
    <w:rsid w:val="00344DDB"/>
    <w:rsid w:val="003459D9"/>
    <w:rsid w:val="003513EB"/>
    <w:rsid w:val="00355EAF"/>
    <w:rsid w:val="0035669B"/>
    <w:rsid w:val="0035711F"/>
    <w:rsid w:val="00357D62"/>
    <w:rsid w:val="00360C3A"/>
    <w:rsid w:val="00362735"/>
    <w:rsid w:val="003627C8"/>
    <w:rsid w:val="003672C1"/>
    <w:rsid w:val="00371CF2"/>
    <w:rsid w:val="003767AA"/>
    <w:rsid w:val="003767DA"/>
    <w:rsid w:val="00382733"/>
    <w:rsid w:val="003844CF"/>
    <w:rsid w:val="003847FD"/>
    <w:rsid w:val="003865CE"/>
    <w:rsid w:val="00386C4B"/>
    <w:rsid w:val="00387465"/>
    <w:rsid w:val="003918B4"/>
    <w:rsid w:val="00391F70"/>
    <w:rsid w:val="003927DF"/>
    <w:rsid w:val="00393D9F"/>
    <w:rsid w:val="003940DC"/>
    <w:rsid w:val="003A6CA3"/>
    <w:rsid w:val="003A75D0"/>
    <w:rsid w:val="003B03F9"/>
    <w:rsid w:val="003B0828"/>
    <w:rsid w:val="003B2452"/>
    <w:rsid w:val="003B299C"/>
    <w:rsid w:val="003B38DD"/>
    <w:rsid w:val="003B5152"/>
    <w:rsid w:val="003B5B51"/>
    <w:rsid w:val="003B68E7"/>
    <w:rsid w:val="003C0B23"/>
    <w:rsid w:val="003C2CA5"/>
    <w:rsid w:val="003C3780"/>
    <w:rsid w:val="003C47A3"/>
    <w:rsid w:val="003C78F4"/>
    <w:rsid w:val="003C7CBF"/>
    <w:rsid w:val="003D14A3"/>
    <w:rsid w:val="003D1A0C"/>
    <w:rsid w:val="003D374C"/>
    <w:rsid w:val="003D390F"/>
    <w:rsid w:val="003D5E9C"/>
    <w:rsid w:val="003D6F5F"/>
    <w:rsid w:val="003E257D"/>
    <w:rsid w:val="003E428B"/>
    <w:rsid w:val="003E59EF"/>
    <w:rsid w:val="003E5F5B"/>
    <w:rsid w:val="003F3168"/>
    <w:rsid w:val="003F3CE7"/>
    <w:rsid w:val="003F4D04"/>
    <w:rsid w:val="003F573D"/>
    <w:rsid w:val="003F655A"/>
    <w:rsid w:val="004009F1"/>
    <w:rsid w:val="00403E71"/>
    <w:rsid w:val="00405CF5"/>
    <w:rsid w:val="00405CF9"/>
    <w:rsid w:val="00406440"/>
    <w:rsid w:val="00411DE9"/>
    <w:rsid w:val="0041543F"/>
    <w:rsid w:val="00421D81"/>
    <w:rsid w:val="00422A85"/>
    <w:rsid w:val="00423962"/>
    <w:rsid w:val="00424ABD"/>
    <w:rsid w:val="00424ED4"/>
    <w:rsid w:val="00425E80"/>
    <w:rsid w:val="004272E0"/>
    <w:rsid w:val="0043142D"/>
    <w:rsid w:val="00432BF7"/>
    <w:rsid w:val="00432C17"/>
    <w:rsid w:val="00435652"/>
    <w:rsid w:val="00436365"/>
    <w:rsid w:val="00436C40"/>
    <w:rsid w:val="00437FE6"/>
    <w:rsid w:val="00441D67"/>
    <w:rsid w:val="00442975"/>
    <w:rsid w:val="00443F76"/>
    <w:rsid w:val="004468DD"/>
    <w:rsid w:val="004502D6"/>
    <w:rsid w:val="004522CE"/>
    <w:rsid w:val="0045367A"/>
    <w:rsid w:val="00454007"/>
    <w:rsid w:val="00454BBE"/>
    <w:rsid w:val="004566C6"/>
    <w:rsid w:val="00456FF9"/>
    <w:rsid w:val="00462F95"/>
    <w:rsid w:val="00465B2D"/>
    <w:rsid w:val="00467E98"/>
    <w:rsid w:val="00472269"/>
    <w:rsid w:val="00472839"/>
    <w:rsid w:val="00474257"/>
    <w:rsid w:val="00475EF8"/>
    <w:rsid w:val="0047638B"/>
    <w:rsid w:val="00476395"/>
    <w:rsid w:val="00481E7B"/>
    <w:rsid w:val="00483058"/>
    <w:rsid w:val="004833FA"/>
    <w:rsid w:val="004847B2"/>
    <w:rsid w:val="00484BCD"/>
    <w:rsid w:val="00485FD9"/>
    <w:rsid w:val="0048686E"/>
    <w:rsid w:val="00487D6E"/>
    <w:rsid w:val="00490409"/>
    <w:rsid w:val="004A04A0"/>
    <w:rsid w:val="004A0A30"/>
    <w:rsid w:val="004A2DC7"/>
    <w:rsid w:val="004A420A"/>
    <w:rsid w:val="004A4B76"/>
    <w:rsid w:val="004B0333"/>
    <w:rsid w:val="004B05F7"/>
    <w:rsid w:val="004B13E8"/>
    <w:rsid w:val="004B5A02"/>
    <w:rsid w:val="004B74CC"/>
    <w:rsid w:val="004B7A73"/>
    <w:rsid w:val="004C4FD2"/>
    <w:rsid w:val="004C7294"/>
    <w:rsid w:val="004D0857"/>
    <w:rsid w:val="004D2D4E"/>
    <w:rsid w:val="004D345C"/>
    <w:rsid w:val="004D4A22"/>
    <w:rsid w:val="004D4CCB"/>
    <w:rsid w:val="004D521F"/>
    <w:rsid w:val="004D528A"/>
    <w:rsid w:val="004D614D"/>
    <w:rsid w:val="004E5356"/>
    <w:rsid w:val="004E6C57"/>
    <w:rsid w:val="004E7B1A"/>
    <w:rsid w:val="004E7DA0"/>
    <w:rsid w:val="004F1DDE"/>
    <w:rsid w:val="004F30DF"/>
    <w:rsid w:val="004F61D1"/>
    <w:rsid w:val="00503ED0"/>
    <w:rsid w:val="00507C11"/>
    <w:rsid w:val="005111D2"/>
    <w:rsid w:val="00515B67"/>
    <w:rsid w:val="0052333E"/>
    <w:rsid w:val="0052692B"/>
    <w:rsid w:val="005273BC"/>
    <w:rsid w:val="005313AB"/>
    <w:rsid w:val="00534233"/>
    <w:rsid w:val="00534726"/>
    <w:rsid w:val="00534EB0"/>
    <w:rsid w:val="00535665"/>
    <w:rsid w:val="005373DE"/>
    <w:rsid w:val="005410C8"/>
    <w:rsid w:val="00542537"/>
    <w:rsid w:val="005556AE"/>
    <w:rsid w:val="00560697"/>
    <w:rsid w:val="0056166F"/>
    <w:rsid w:val="00566EDA"/>
    <w:rsid w:val="0057392B"/>
    <w:rsid w:val="005742B3"/>
    <w:rsid w:val="00574C42"/>
    <w:rsid w:val="005750B0"/>
    <w:rsid w:val="005757F3"/>
    <w:rsid w:val="00584BB1"/>
    <w:rsid w:val="005851B3"/>
    <w:rsid w:val="00590312"/>
    <w:rsid w:val="00590C22"/>
    <w:rsid w:val="00590E8B"/>
    <w:rsid w:val="005926C5"/>
    <w:rsid w:val="00595CFA"/>
    <w:rsid w:val="00597229"/>
    <w:rsid w:val="005A018D"/>
    <w:rsid w:val="005A149C"/>
    <w:rsid w:val="005A3468"/>
    <w:rsid w:val="005A5A92"/>
    <w:rsid w:val="005A6E88"/>
    <w:rsid w:val="005A72FC"/>
    <w:rsid w:val="005A7F50"/>
    <w:rsid w:val="005B1D52"/>
    <w:rsid w:val="005B2ACF"/>
    <w:rsid w:val="005B4861"/>
    <w:rsid w:val="005B4F1B"/>
    <w:rsid w:val="005B5382"/>
    <w:rsid w:val="005B5B9F"/>
    <w:rsid w:val="005B64D7"/>
    <w:rsid w:val="005B6A37"/>
    <w:rsid w:val="005C2BE1"/>
    <w:rsid w:val="005C3919"/>
    <w:rsid w:val="005C4FE2"/>
    <w:rsid w:val="005C57D9"/>
    <w:rsid w:val="005C580D"/>
    <w:rsid w:val="005C5C57"/>
    <w:rsid w:val="005C6140"/>
    <w:rsid w:val="005D001F"/>
    <w:rsid w:val="005D0E99"/>
    <w:rsid w:val="005D197A"/>
    <w:rsid w:val="005D2BBC"/>
    <w:rsid w:val="005E0425"/>
    <w:rsid w:val="005E0785"/>
    <w:rsid w:val="005E0B1F"/>
    <w:rsid w:val="005E21F1"/>
    <w:rsid w:val="005E3B79"/>
    <w:rsid w:val="005E4F89"/>
    <w:rsid w:val="005E52BE"/>
    <w:rsid w:val="005E6549"/>
    <w:rsid w:val="005F5AC4"/>
    <w:rsid w:val="005F5AC7"/>
    <w:rsid w:val="006026DA"/>
    <w:rsid w:val="006027C5"/>
    <w:rsid w:val="00604DA2"/>
    <w:rsid w:val="0060557D"/>
    <w:rsid w:val="006064E5"/>
    <w:rsid w:val="00607AC6"/>
    <w:rsid w:val="00611183"/>
    <w:rsid w:val="00612488"/>
    <w:rsid w:val="00612496"/>
    <w:rsid w:val="00614F8C"/>
    <w:rsid w:val="006153DE"/>
    <w:rsid w:val="006172CD"/>
    <w:rsid w:val="00621F8D"/>
    <w:rsid w:val="0062222B"/>
    <w:rsid w:val="00623AA6"/>
    <w:rsid w:val="006244F7"/>
    <w:rsid w:val="00625CF0"/>
    <w:rsid w:val="00631F0F"/>
    <w:rsid w:val="00631FDE"/>
    <w:rsid w:val="0063494B"/>
    <w:rsid w:val="00635952"/>
    <w:rsid w:val="00637B35"/>
    <w:rsid w:val="00641F60"/>
    <w:rsid w:val="00643782"/>
    <w:rsid w:val="006446AC"/>
    <w:rsid w:val="006458A5"/>
    <w:rsid w:val="00647812"/>
    <w:rsid w:val="00650047"/>
    <w:rsid w:val="006515BD"/>
    <w:rsid w:val="00651B6C"/>
    <w:rsid w:val="00660108"/>
    <w:rsid w:val="00661F4D"/>
    <w:rsid w:val="00663288"/>
    <w:rsid w:val="00663509"/>
    <w:rsid w:val="00665F73"/>
    <w:rsid w:val="00666717"/>
    <w:rsid w:val="006672EF"/>
    <w:rsid w:val="00667CF1"/>
    <w:rsid w:val="00670707"/>
    <w:rsid w:val="00680B64"/>
    <w:rsid w:val="00682FAE"/>
    <w:rsid w:val="00685368"/>
    <w:rsid w:val="00687A9B"/>
    <w:rsid w:val="00692092"/>
    <w:rsid w:val="00694307"/>
    <w:rsid w:val="006946AB"/>
    <w:rsid w:val="00694FC7"/>
    <w:rsid w:val="006952F1"/>
    <w:rsid w:val="00696395"/>
    <w:rsid w:val="00697650"/>
    <w:rsid w:val="006A13CF"/>
    <w:rsid w:val="006A1987"/>
    <w:rsid w:val="006A200D"/>
    <w:rsid w:val="006A290A"/>
    <w:rsid w:val="006A3AF2"/>
    <w:rsid w:val="006A584D"/>
    <w:rsid w:val="006A6679"/>
    <w:rsid w:val="006B1E9A"/>
    <w:rsid w:val="006B4702"/>
    <w:rsid w:val="006C0B96"/>
    <w:rsid w:val="006C12A3"/>
    <w:rsid w:val="006C1B73"/>
    <w:rsid w:val="006C3092"/>
    <w:rsid w:val="006C3C92"/>
    <w:rsid w:val="006C43CA"/>
    <w:rsid w:val="006C4626"/>
    <w:rsid w:val="006C64E3"/>
    <w:rsid w:val="006D017D"/>
    <w:rsid w:val="006D24AA"/>
    <w:rsid w:val="006D360E"/>
    <w:rsid w:val="006D3742"/>
    <w:rsid w:val="006D3C34"/>
    <w:rsid w:val="006D4B10"/>
    <w:rsid w:val="006D6A5D"/>
    <w:rsid w:val="006D7006"/>
    <w:rsid w:val="006D7353"/>
    <w:rsid w:val="006E1C18"/>
    <w:rsid w:val="006E1E10"/>
    <w:rsid w:val="006E2A21"/>
    <w:rsid w:val="006F087C"/>
    <w:rsid w:val="006F24FB"/>
    <w:rsid w:val="006F2918"/>
    <w:rsid w:val="006F4FDA"/>
    <w:rsid w:val="006F4FF9"/>
    <w:rsid w:val="006F51D0"/>
    <w:rsid w:val="00702396"/>
    <w:rsid w:val="007028EB"/>
    <w:rsid w:val="00707666"/>
    <w:rsid w:val="00707A87"/>
    <w:rsid w:val="007105DC"/>
    <w:rsid w:val="00714597"/>
    <w:rsid w:val="00715FC4"/>
    <w:rsid w:val="0071650B"/>
    <w:rsid w:val="00716824"/>
    <w:rsid w:val="00723A9E"/>
    <w:rsid w:val="007244F6"/>
    <w:rsid w:val="00726491"/>
    <w:rsid w:val="00726C5D"/>
    <w:rsid w:val="00733737"/>
    <w:rsid w:val="00735436"/>
    <w:rsid w:val="00736F77"/>
    <w:rsid w:val="00737C80"/>
    <w:rsid w:val="00741197"/>
    <w:rsid w:val="007417CF"/>
    <w:rsid w:val="007512FD"/>
    <w:rsid w:val="00752A0A"/>
    <w:rsid w:val="00753C11"/>
    <w:rsid w:val="00754077"/>
    <w:rsid w:val="00754985"/>
    <w:rsid w:val="00754BC0"/>
    <w:rsid w:val="00757452"/>
    <w:rsid w:val="007600F4"/>
    <w:rsid w:val="0076633A"/>
    <w:rsid w:val="00772992"/>
    <w:rsid w:val="00777B46"/>
    <w:rsid w:val="00777BFF"/>
    <w:rsid w:val="00777EFC"/>
    <w:rsid w:val="00786CB3"/>
    <w:rsid w:val="00794E0C"/>
    <w:rsid w:val="00796EF3"/>
    <w:rsid w:val="007A014E"/>
    <w:rsid w:val="007A5704"/>
    <w:rsid w:val="007A76F4"/>
    <w:rsid w:val="007B0FDD"/>
    <w:rsid w:val="007B22F4"/>
    <w:rsid w:val="007B255E"/>
    <w:rsid w:val="007B4604"/>
    <w:rsid w:val="007C3683"/>
    <w:rsid w:val="007C3C26"/>
    <w:rsid w:val="007C458F"/>
    <w:rsid w:val="007C7391"/>
    <w:rsid w:val="007D0D81"/>
    <w:rsid w:val="007D39C5"/>
    <w:rsid w:val="007D39FD"/>
    <w:rsid w:val="007D4C31"/>
    <w:rsid w:val="007D67B8"/>
    <w:rsid w:val="007D6E75"/>
    <w:rsid w:val="007E2946"/>
    <w:rsid w:val="007E5C16"/>
    <w:rsid w:val="007E72EC"/>
    <w:rsid w:val="007E73ED"/>
    <w:rsid w:val="007E785B"/>
    <w:rsid w:val="007F1711"/>
    <w:rsid w:val="007F3C76"/>
    <w:rsid w:val="007F4938"/>
    <w:rsid w:val="007F7620"/>
    <w:rsid w:val="007F7EC5"/>
    <w:rsid w:val="00802400"/>
    <w:rsid w:val="00802598"/>
    <w:rsid w:val="00803247"/>
    <w:rsid w:val="00804226"/>
    <w:rsid w:val="00804B02"/>
    <w:rsid w:val="008111D2"/>
    <w:rsid w:val="00814400"/>
    <w:rsid w:val="00814FF0"/>
    <w:rsid w:val="00815DFA"/>
    <w:rsid w:val="008177DE"/>
    <w:rsid w:val="0082047B"/>
    <w:rsid w:val="00820E43"/>
    <w:rsid w:val="00822582"/>
    <w:rsid w:val="008325D0"/>
    <w:rsid w:val="008366CF"/>
    <w:rsid w:val="00836E8F"/>
    <w:rsid w:val="008379E3"/>
    <w:rsid w:val="008408DB"/>
    <w:rsid w:val="0084192B"/>
    <w:rsid w:val="00844D65"/>
    <w:rsid w:val="008463F4"/>
    <w:rsid w:val="00846B8F"/>
    <w:rsid w:val="00846F80"/>
    <w:rsid w:val="00850D26"/>
    <w:rsid w:val="00850D75"/>
    <w:rsid w:val="008528D3"/>
    <w:rsid w:val="008529BF"/>
    <w:rsid w:val="0085404A"/>
    <w:rsid w:val="00854309"/>
    <w:rsid w:val="00856AFD"/>
    <w:rsid w:val="008606C2"/>
    <w:rsid w:val="00864B8A"/>
    <w:rsid w:val="00867343"/>
    <w:rsid w:val="008721C1"/>
    <w:rsid w:val="00873459"/>
    <w:rsid w:val="00875352"/>
    <w:rsid w:val="00875CAE"/>
    <w:rsid w:val="00875D3F"/>
    <w:rsid w:val="008800D7"/>
    <w:rsid w:val="00880774"/>
    <w:rsid w:val="00880BC5"/>
    <w:rsid w:val="0088476C"/>
    <w:rsid w:val="0088756F"/>
    <w:rsid w:val="008910E3"/>
    <w:rsid w:val="0089164A"/>
    <w:rsid w:val="00892724"/>
    <w:rsid w:val="00892B25"/>
    <w:rsid w:val="008A27CB"/>
    <w:rsid w:val="008B248F"/>
    <w:rsid w:val="008B2C95"/>
    <w:rsid w:val="008B3BE6"/>
    <w:rsid w:val="008B6835"/>
    <w:rsid w:val="008B73D2"/>
    <w:rsid w:val="008C0950"/>
    <w:rsid w:val="008C11BC"/>
    <w:rsid w:val="008D2A22"/>
    <w:rsid w:val="008D4082"/>
    <w:rsid w:val="008D4EB3"/>
    <w:rsid w:val="008D52D1"/>
    <w:rsid w:val="008D6E16"/>
    <w:rsid w:val="008E06FE"/>
    <w:rsid w:val="008E0BF5"/>
    <w:rsid w:val="008E4617"/>
    <w:rsid w:val="008E6143"/>
    <w:rsid w:val="008F08FD"/>
    <w:rsid w:val="008F2AED"/>
    <w:rsid w:val="008F5E1B"/>
    <w:rsid w:val="008F5E28"/>
    <w:rsid w:val="008F5FF4"/>
    <w:rsid w:val="008F6D39"/>
    <w:rsid w:val="009004E1"/>
    <w:rsid w:val="00901B45"/>
    <w:rsid w:val="009047C0"/>
    <w:rsid w:val="00904ABB"/>
    <w:rsid w:val="009073C6"/>
    <w:rsid w:val="0090766C"/>
    <w:rsid w:val="00911EAB"/>
    <w:rsid w:val="009160CB"/>
    <w:rsid w:val="00916ACC"/>
    <w:rsid w:val="00917FD0"/>
    <w:rsid w:val="00921262"/>
    <w:rsid w:val="00921518"/>
    <w:rsid w:val="00921608"/>
    <w:rsid w:val="009217D6"/>
    <w:rsid w:val="0092380B"/>
    <w:rsid w:val="009240DA"/>
    <w:rsid w:val="0092430E"/>
    <w:rsid w:val="00927BB1"/>
    <w:rsid w:val="00927BE3"/>
    <w:rsid w:val="0093224D"/>
    <w:rsid w:val="009333CB"/>
    <w:rsid w:val="009354C2"/>
    <w:rsid w:val="00935DCA"/>
    <w:rsid w:val="009378C1"/>
    <w:rsid w:val="009414AD"/>
    <w:rsid w:val="009472B4"/>
    <w:rsid w:val="00950B92"/>
    <w:rsid w:val="0095297C"/>
    <w:rsid w:val="00954934"/>
    <w:rsid w:val="009558F4"/>
    <w:rsid w:val="00960481"/>
    <w:rsid w:val="00963F03"/>
    <w:rsid w:val="00966155"/>
    <w:rsid w:val="00970D1A"/>
    <w:rsid w:val="00976353"/>
    <w:rsid w:val="00977516"/>
    <w:rsid w:val="0098626A"/>
    <w:rsid w:val="009903AB"/>
    <w:rsid w:val="00993A91"/>
    <w:rsid w:val="00994F98"/>
    <w:rsid w:val="009968BB"/>
    <w:rsid w:val="009A0C35"/>
    <w:rsid w:val="009A3029"/>
    <w:rsid w:val="009A31CA"/>
    <w:rsid w:val="009A7609"/>
    <w:rsid w:val="009B19E8"/>
    <w:rsid w:val="009B32D5"/>
    <w:rsid w:val="009B4F3A"/>
    <w:rsid w:val="009B6B42"/>
    <w:rsid w:val="009C15AE"/>
    <w:rsid w:val="009C239A"/>
    <w:rsid w:val="009C2C6E"/>
    <w:rsid w:val="009C2F36"/>
    <w:rsid w:val="009C39F2"/>
    <w:rsid w:val="009C62D1"/>
    <w:rsid w:val="009C6359"/>
    <w:rsid w:val="009D1A53"/>
    <w:rsid w:val="009E1BC7"/>
    <w:rsid w:val="009E3403"/>
    <w:rsid w:val="009E3FAC"/>
    <w:rsid w:val="009E422B"/>
    <w:rsid w:val="009E4BCA"/>
    <w:rsid w:val="009F0256"/>
    <w:rsid w:val="009F1DAC"/>
    <w:rsid w:val="009F1F61"/>
    <w:rsid w:val="009F3B94"/>
    <w:rsid w:val="009F44BD"/>
    <w:rsid w:val="009F49FC"/>
    <w:rsid w:val="009F5C4B"/>
    <w:rsid w:val="00A02CD6"/>
    <w:rsid w:val="00A0361F"/>
    <w:rsid w:val="00A045F2"/>
    <w:rsid w:val="00A04F7E"/>
    <w:rsid w:val="00A07819"/>
    <w:rsid w:val="00A10F75"/>
    <w:rsid w:val="00A12183"/>
    <w:rsid w:val="00A12A80"/>
    <w:rsid w:val="00A13797"/>
    <w:rsid w:val="00A138F7"/>
    <w:rsid w:val="00A13E0E"/>
    <w:rsid w:val="00A15460"/>
    <w:rsid w:val="00A2132C"/>
    <w:rsid w:val="00A2154C"/>
    <w:rsid w:val="00A23A01"/>
    <w:rsid w:val="00A2678D"/>
    <w:rsid w:val="00A278B1"/>
    <w:rsid w:val="00A27F7B"/>
    <w:rsid w:val="00A3035A"/>
    <w:rsid w:val="00A34954"/>
    <w:rsid w:val="00A356D4"/>
    <w:rsid w:val="00A35716"/>
    <w:rsid w:val="00A3663B"/>
    <w:rsid w:val="00A409B8"/>
    <w:rsid w:val="00A4283B"/>
    <w:rsid w:val="00A42EF4"/>
    <w:rsid w:val="00A445B8"/>
    <w:rsid w:val="00A46E37"/>
    <w:rsid w:val="00A548CA"/>
    <w:rsid w:val="00A551BC"/>
    <w:rsid w:val="00A6078E"/>
    <w:rsid w:val="00A64CD1"/>
    <w:rsid w:val="00A67602"/>
    <w:rsid w:val="00A70F2B"/>
    <w:rsid w:val="00A718B4"/>
    <w:rsid w:val="00A71A0C"/>
    <w:rsid w:val="00A73BC8"/>
    <w:rsid w:val="00A742F4"/>
    <w:rsid w:val="00A760B7"/>
    <w:rsid w:val="00A771F4"/>
    <w:rsid w:val="00A772C0"/>
    <w:rsid w:val="00A8062F"/>
    <w:rsid w:val="00A83A42"/>
    <w:rsid w:val="00A85109"/>
    <w:rsid w:val="00A85B29"/>
    <w:rsid w:val="00A90245"/>
    <w:rsid w:val="00A91007"/>
    <w:rsid w:val="00A92C7E"/>
    <w:rsid w:val="00A93EA7"/>
    <w:rsid w:val="00A9704C"/>
    <w:rsid w:val="00AA10A1"/>
    <w:rsid w:val="00AA37EC"/>
    <w:rsid w:val="00AA46DE"/>
    <w:rsid w:val="00AA495B"/>
    <w:rsid w:val="00AB01BC"/>
    <w:rsid w:val="00AB0285"/>
    <w:rsid w:val="00AB1116"/>
    <w:rsid w:val="00AB2888"/>
    <w:rsid w:val="00AB5366"/>
    <w:rsid w:val="00AB6185"/>
    <w:rsid w:val="00AC1AB9"/>
    <w:rsid w:val="00AC47F0"/>
    <w:rsid w:val="00AD183B"/>
    <w:rsid w:val="00AE1BD8"/>
    <w:rsid w:val="00AE235B"/>
    <w:rsid w:val="00AE24CA"/>
    <w:rsid w:val="00AE4F4B"/>
    <w:rsid w:val="00AE4F5B"/>
    <w:rsid w:val="00B000F8"/>
    <w:rsid w:val="00B00A5B"/>
    <w:rsid w:val="00B00BC6"/>
    <w:rsid w:val="00B06EA8"/>
    <w:rsid w:val="00B1443D"/>
    <w:rsid w:val="00B144CB"/>
    <w:rsid w:val="00B151B4"/>
    <w:rsid w:val="00B20438"/>
    <w:rsid w:val="00B2287F"/>
    <w:rsid w:val="00B22E2D"/>
    <w:rsid w:val="00B30430"/>
    <w:rsid w:val="00B31715"/>
    <w:rsid w:val="00B32E2A"/>
    <w:rsid w:val="00B378DB"/>
    <w:rsid w:val="00B40AA0"/>
    <w:rsid w:val="00B42174"/>
    <w:rsid w:val="00B43BBD"/>
    <w:rsid w:val="00B469A3"/>
    <w:rsid w:val="00B46E67"/>
    <w:rsid w:val="00B51646"/>
    <w:rsid w:val="00B529B9"/>
    <w:rsid w:val="00B532F3"/>
    <w:rsid w:val="00B53477"/>
    <w:rsid w:val="00B53C9E"/>
    <w:rsid w:val="00B54634"/>
    <w:rsid w:val="00B5668C"/>
    <w:rsid w:val="00B56D33"/>
    <w:rsid w:val="00B5736F"/>
    <w:rsid w:val="00B607D8"/>
    <w:rsid w:val="00B66512"/>
    <w:rsid w:val="00B666BC"/>
    <w:rsid w:val="00B70582"/>
    <w:rsid w:val="00B76CC9"/>
    <w:rsid w:val="00B80CBA"/>
    <w:rsid w:val="00B82377"/>
    <w:rsid w:val="00B85A7B"/>
    <w:rsid w:val="00B865AF"/>
    <w:rsid w:val="00B8682E"/>
    <w:rsid w:val="00B86AAB"/>
    <w:rsid w:val="00B87957"/>
    <w:rsid w:val="00B91242"/>
    <w:rsid w:val="00B95670"/>
    <w:rsid w:val="00B9719C"/>
    <w:rsid w:val="00BA0E4E"/>
    <w:rsid w:val="00BA14B9"/>
    <w:rsid w:val="00BA3121"/>
    <w:rsid w:val="00BA35B2"/>
    <w:rsid w:val="00BA3ECB"/>
    <w:rsid w:val="00BA610D"/>
    <w:rsid w:val="00BA7680"/>
    <w:rsid w:val="00BB0760"/>
    <w:rsid w:val="00BB109D"/>
    <w:rsid w:val="00BB19C1"/>
    <w:rsid w:val="00BB1BB1"/>
    <w:rsid w:val="00BB1CC7"/>
    <w:rsid w:val="00BB3522"/>
    <w:rsid w:val="00BB6559"/>
    <w:rsid w:val="00BB67A8"/>
    <w:rsid w:val="00BB6AEF"/>
    <w:rsid w:val="00BB6BC5"/>
    <w:rsid w:val="00BB79A8"/>
    <w:rsid w:val="00BC188F"/>
    <w:rsid w:val="00BC1A74"/>
    <w:rsid w:val="00BC40CE"/>
    <w:rsid w:val="00BD0065"/>
    <w:rsid w:val="00BD02EB"/>
    <w:rsid w:val="00BD1124"/>
    <w:rsid w:val="00BD1E9D"/>
    <w:rsid w:val="00BD32FA"/>
    <w:rsid w:val="00BD7D3A"/>
    <w:rsid w:val="00BE0BC4"/>
    <w:rsid w:val="00BE2D56"/>
    <w:rsid w:val="00BE51D8"/>
    <w:rsid w:val="00BE6E2E"/>
    <w:rsid w:val="00BF1C57"/>
    <w:rsid w:val="00BF1D4B"/>
    <w:rsid w:val="00BF60BE"/>
    <w:rsid w:val="00BF76F7"/>
    <w:rsid w:val="00C0172F"/>
    <w:rsid w:val="00C03C6D"/>
    <w:rsid w:val="00C03D62"/>
    <w:rsid w:val="00C0488A"/>
    <w:rsid w:val="00C0692E"/>
    <w:rsid w:val="00C20B45"/>
    <w:rsid w:val="00C2142E"/>
    <w:rsid w:val="00C242C3"/>
    <w:rsid w:val="00C325E1"/>
    <w:rsid w:val="00C3485F"/>
    <w:rsid w:val="00C44E39"/>
    <w:rsid w:val="00C46B1C"/>
    <w:rsid w:val="00C47A7D"/>
    <w:rsid w:val="00C52E3D"/>
    <w:rsid w:val="00C63B57"/>
    <w:rsid w:val="00C65564"/>
    <w:rsid w:val="00C66D7A"/>
    <w:rsid w:val="00C704EA"/>
    <w:rsid w:val="00C70CFF"/>
    <w:rsid w:val="00C71A75"/>
    <w:rsid w:val="00C7631F"/>
    <w:rsid w:val="00C77262"/>
    <w:rsid w:val="00C80713"/>
    <w:rsid w:val="00C8105A"/>
    <w:rsid w:val="00C81071"/>
    <w:rsid w:val="00C8355D"/>
    <w:rsid w:val="00C84FD4"/>
    <w:rsid w:val="00C8592B"/>
    <w:rsid w:val="00C85C81"/>
    <w:rsid w:val="00C866C4"/>
    <w:rsid w:val="00C903C4"/>
    <w:rsid w:val="00C94C5E"/>
    <w:rsid w:val="00C96CB9"/>
    <w:rsid w:val="00CA1801"/>
    <w:rsid w:val="00CA414B"/>
    <w:rsid w:val="00CA5C2F"/>
    <w:rsid w:val="00CA65E1"/>
    <w:rsid w:val="00CA68C2"/>
    <w:rsid w:val="00CA6AEA"/>
    <w:rsid w:val="00CB1C45"/>
    <w:rsid w:val="00CB241F"/>
    <w:rsid w:val="00CB58E7"/>
    <w:rsid w:val="00CB646D"/>
    <w:rsid w:val="00CB7DDC"/>
    <w:rsid w:val="00CC0C59"/>
    <w:rsid w:val="00CC0E51"/>
    <w:rsid w:val="00CC2F0D"/>
    <w:rsid w:val="00CC5EED"/>
    <w:rsid w:val="00CD22D7"/>
    <w:rsid w:val="00CD6891"/>
    <w:rsid w:val="00CD71C1"/>
    <w:rsid w:val="00CD7F74"/>
    <w:rsid w:val="00CE787E"/>
    <w:rsid w:val="00CE7C0B"/>
    <w:rsid w:val="00CF494F"/>
    <w:rsid w:val="00CF62F9"/>
    <w:rsid w:val="00CF6C1D"/>
    <w:rsid w:val="00D013CD"/>
    <w:rsid w:val="00D02857"/>
    <w:rsid w:val="00D12225"/>
    <w:rsid w:val="00D12ABB"/>
    <w:rsid w:val="00D12AEE"/>
    <w:rsid w:val="00D1439E"/>
    <w:rsid w:val="00D15962"/>
    <w:rsid w:val="00D201ED"/>
    <w:rsid w:val="00D215B4"/>
    <w:rsid w:val="00D2212F"/>
    <w:rsid w:val="00D31AF8"/>
    <w:rsid w:val="00D324D8"/>
    <w:rsid w:val="00D358CE"/>
    <w:rsid w:val="00D37480"/>
    <w:rsid w:val="00D4002B"/>
    <w:rsid w:val="00D41767"/>
    <w:rsid w:val="00D42E31"/>
    <w:rsid w:val="00D463DC"/>
    <w:rsid w:val="00D46C38"/>
    <w:rsid w:val="00D4736A"/>
    <w:rsid w:val="00D50434"/>
    <w:rsid w:val="00D51371"/>
    <w:rsid w:val="00D53D14"/>
    <w:rsid w:val="00D54419"/>
    <w:rsid w:val="00D56C59"/>
    <w:rsid w:val="00D57BFE"/>
    <w:rsid w:val="00D6777B"/>
    <w:rsid w:val="00D704F5"/>
    <w:rsid w:val="00D74158"/>
    <w:rsid w:val="00D811C1"/>
    <w:rsid w:val="00D82C21"/>
    <w:rsid w:val="00D8648D"/>
    <w:rsid w:val="00D87E83"/>
    <w:rsid w:val="00D91161"/>
    <w:rsid w:val="00DA31AF"/>
    <w:rsid w:val="00DA419D"/>
    <w:rsid w:val="00DB4077"/>
    <w:rsid w:val="00DB54AB"/>
    <w:rsid w:val="00DB7215"/>
    <w:rsid w:val="00DC3020"/>
    <w:rsid w:val="00DC6D2A"/>
    <w:rsid w:val="00DD794C"/>
    <w:rsid w:val="00DE1DFF"/>
    <w:rsid w:val="00DE2D44"/>
    <w:rsid w:val="00DE6E47"/>
    <w:rsid w:val="00DF0890"/>
    <w:rsid w:val="00DF098E"/>
    <w:rsid w:val="00DF14A0"/>
    <w:rsid w:val="00DF646A"/>
    <w:rsid w:val="00DF78D5"/>
    <w:rsid w:val="00E016CC"/>
    <w:rsid w:val="00E017CE"/>
    <w:rsid w:val="00E02680"/>
    <w:rsid w:val="00E0310E"/>
    <w:rsid w:val="00E06360"/>
    <w:rsid w:val="00E071E1"/>
    <w:rsid w:val="00E07860"/>
    <w:rsid w:val="00E12201"/>
    <w:rsid w:val="00E134EC"/>
    <w:rsid w:val="00E1369E"/>
    <w:rsid w:val="00E236CD"/>
    <w:rsid w:val="00E23F27"/>
    <w:rsid w:val="00E26F1C"/>
    <w:rsid w:val="00E30C39"/>
    <w:rsid w:val="00E32ECF"/>
    <w:rsid w:val="00E342EA"/>
    <w:rsid w:val="00E34602"/>
    <w:rsid w:val="00E3682E"/>
    <w:rsid w:val="00E4039D"/>
    <w:rsid w:val="00E41E72"/>
    <w:rsid w:val="00E44703"/>
    <w:rsid w:val="00E44CFE"/>
    <w:rsid w:val="00E53B53"/>
    <w:rsid w:val="00E53D51"/>
    <w:rsid w:val="00E54FE9"/>
    <w:rsid w:val="00E5517D"/>
    <w:rsid w:val="00E60D81"/>
    <w:rsid w:val="00E6250E"/>
    <w:rsid w:val="00E64716"/>
    <w:rsid w:val="00E65ED9"/>
    <w:rsid w:val="00E72C6F"/>
    <w:rsid w:val="00E7522B"/>
    <w:rsid w:val="00E80247"/>
    <w:rsid w:val="00E81F48"/>
    <w:rsid w:val="00E831F7"/>
    <w:rsid w:val="00E83C3E"/>
    <w:rsid w:val="00E92573"/>
    <w:rsid w:val="00E93F3F"/>
    <w:rsid w:val="00E93FBA"/>
    <w:rsid w:val="00E94A5B"/>
    <w:rsid w:val="00E97E5B"/>
    <w:rsid w:val="00EA4AB1"/>
    <w:rsid w:val="00EB1115"/>
    <w:rsid w:val="00EB1143"/>
    <w:rsid w:val="00EB59C6"/>
    <w:rsid w:val="00EB7FBA"/>
    <w:rsid w:val="00EC24DC"/>
    <w:rsid w:val="00EC3C86"/>
    <w:rsid w:val="00EC451C"/>
    <w:rsid w:val="00EC7578"/>
    <w:rsid w:val="00EC796D"/>
    <w:rsid w:val="00ED51CF"/>
    <w:rsid w:val="00EE11B4"/>
    <w:rsid w:val="00EE1AD1"/>
    <w:rsid w:val="00EE4256"/>
    <w:rsid w:val="00EE58CD"/>
    <w:rsid w:val="00EE5F43"/>
    <w:rsid w:val="00EE7851"/>
    <w:rsid w:val="00EF34E9"/>
    <w:rsid w:val="00EF3873"/>
    <w:rsid w:val="00EF3A74"/>
    <w:rsid w:val="00EF44CF"/>
    <w:rsid w:val="00EF4D5F"/>
    <w:rsid w:val="00F009F1"/>
    <w:rsid w:val="00F01D40"/>
    <w:rsid w:val="00F02098"/>
    <w:rsid w:val="00F04F6D"/>
    <w:rsid w:val="00F07F04"/>
    <w:rsid w:val="00F12C36"/>
    <w:rsid w:val="00F130D0"/>
    <w:rsid w:val="00F2212E"/>
    <w:rsid w:val="00F24CE8"/>
    <w:rsid w:val="00F24D0F"/>
    <w:rsid w:val="00F26D0D"/>
    <w:rsid w:val="00F303E4"/>
    <w:rsid w:val="00F34393"/>
    <w:rsid w:val="00F36BDB"/>
    <w:rsid w:val="00F42E2A"/>
    <w:rsid w:val="00F451B7"/>
    <w:rsid w:val="00F464EE"/>
    <w:rsid w:val="00F54374"/>
    <w:rsid w:val="00F56BF9"/>
    <w:rsid w:val="00F63705"/>
    <w:rsid w:val="00F65437"/>
    <w:rsid w:val="00F679ED"/>
    <w:rsid w:val="00F72DE4"/>
    <w:rsid w:val="00F74076"/>
    <w:rsid w:val="00F7439B"/>
    <w:rsid w:val="00F77570"/>
    <w:rsid w:val="00F82BC4"/>
    <w:rsid w:val="00F85CCE"/>
    <w:rsid w:val="00F87359"/>
    <w:rsid w:val="00F91233"/>
    <w:rsid w:val="00F9295B"/>
    <w:rsid w:val="00F92F05"/>
    <w:rsid w:val="00F97C05"/>
    <w:rsid w:val="00FA0A35"/>
    <w:rsid w:val="00FA26EA"/>
    <w:rsid w:val="00FA2A71"/>
    <w:rsid w:val="00FB0571"/>
    <w:rsid w:val="00FB0945"/>
    <w:rsid w:val="00FB1238"/>
    <w:rsid w:val="00FB17C9"/>
    <w:rsid w:val="00FB2846"/>
    <w:rsid w:val="00FB28C3"/>
    <w:rsid w:val="00FB3D21"/>
    <w:rsid w:val="00FC4AC5"/>
    <w:rsid w:val="00FC5417"/>
    <w:rsid w:val="00FC585C"/>
    <w:rsid w:val="00FD22A3"/>
    <w:rsid w:val="00FE4F27"/>
    <w:rsid w:val="00FE644A"/>
    <w:rsid w:val="00FF0D41"/>
    <w:rsid w:val="00FF1DF7"/>
    <w:rsid w:val="00F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599602942">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cvpcorp-1115pmda.adobeconnect.com/pklt7cdlhgj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cvpcorp-1115pmda.adobeconnect.com/pqopfoy48idv/" TargetMode="Externa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https://cvpcorp-1115pmda.adobeconnect.com/p4l83cvhhqd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0" ma:contentTypeDescription="Create a new document." ma:contentTypeScope="" ma:versionID="e5dd5f85abb84a76562ab79b1e154678">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97c460a34b7ff692ebcb0eb99d7c31f3"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hidden="true" ma:list="{4bd70136-adc3-481d-9b73-a7d0d41fb284}" ma:internalName="Demo_x0020_ID" ma:readOnly="false"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SDW"/>
          <xsd:enumeration value="DSRD"/>
          <xsd:enumeration value="OGD"/>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33</Value>
    </Document_x0020_Type_x0020_Descriptor>
    <Review_x0020_Comments xmlns="6b9f974d-4be1-4652-82ab-08a778657aa4" xsi:nil="true"/>
    <Divisions xmlns="6b9f974d-4be1-4652-82ab-08a778657aa4">DDME</Divisions>
    <Document_x0020_Type xmlns="6b9f974d-4be1-4652-82ab-08a778657aa4">19</Document_x0020_Type>
    <IconOverlay xmlns="http://schemas.microsoft.com/sharepoint/v4" xsi:nil="true"/>
    <State xmlns="6b9f974d-4be1-4652-82ab-08a778657aa4">All States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5DF99-D98D-4FC9-A20A-FF1BAD046C35}">
  <ds:schemaRefs>
    <ds:schemaRef ds:uri="Microsoft.SharePoint.Taxonomy.ContentTypeSync"/>
  </ds:schemaRefs>
</ds:datastoreItem>
</file>

<file path=customXml/itemProps2.xml><?xml version="1.0" encoding="utf-8"?>
<ds:datastoreItem xmlns:ds="http://schemas.openxmlformats.org/officeDocument/2006/customXml" ds:itemID="{43428A19-D87E-4C52-990F-763D57927341}">
  <ds:schemaRefs>
    <ds:schemaRef ds:uri="http://schemas.microsoft.com/sharepoint/v3/contenttype/forms"/>
  </ds:schemaRefs>
</ds:datastoreItem>
</file>

<file path=customXml/itemProps3.xml><?xml version="1.0" encoding="utf-8"?>
<ds:datastoreItem xmlns:ds="http://schemas.openxmlformats.org/officeDocument/2006/customXml" ds:itemID="{4AFBBB4C-E59C-47A6-8D2C-682BC17B0C92}">
  <ds:schemaRefs>
    <ds:schemaRef ds:uri="http://schemas.microsoft.com/office/2006/metadata/customXsn"/>
  </ds:schemaRefs>
</ds:datastoreItem>
</file>

<file path=customXml/itemProps4.xml><?xml version="1.0" encoding="utf-8"?>
<ds:datastoreItem xmlns:ds="http://schemas.openxmlformats.org/officeDocument/2006/customXml" ds:itemID="{DAD2FA39-F2DE-44AD-91CF-9F64295638DE}">
  <ds:schemaRefs/>
</ds:datastoreItem>
</file>

<file path=customXml/itemProps5.xml><?xml version="1.0" encoding="utf-8"?>
<ds:datastoreItem xmlns:ds="http://schemas.openxmlformats.org/officeDocument/2006/customXml" ds:itemID="{D1EB62CC-B3A7-4BE5-9A49-C098B6827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629E92-A25A-41E1-9918-D98AE927CEFF}">
  <ds:schemaRefs>
    <ds:schemaRef ds:uri="http://purl.org/dc/terms/"/>
    <ds:schemaRef ds:uri="http://schemas.microsoft.com/sharepoint/v4"/>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6b9f974d-4be1-4652-82ab-08a778657aa4"/>
    <ds:schemaRef ds:uri="http://www.w3.org/XML/1998/namespace"/>
  </ds:schemaRefs>
</ds:datastoreItem>
</file>

<file path=customXml/itemProps7.xml><?xml version="1.0" encoding="utf-8"?>
<ds:datastoreItem xmlns:ds="http://schemas.openxmlformats.org/officeDocument/2006/customXml" ds:itemID="{242898E4-0277-4789-95AB-78A00B6E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3809</Words>
  <Characters>21716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2019-09-23T14:24:00Z</cp:lastPrinted>
  <dcterms:created xsi:type="dcterms:W3CDTF">2019-09-26T13:18:00Z</dcterms:created>
  <dcterms:modified xsi:type="dcterms:W3CDTF">2019-09-26T13:18:00Z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0x010100228886B34E0E9F48BA16FBED9D25C84A</vt:lpwstr>
  </property>
  <property fmtid="{D5CDD505-2E9C-101B-9397-08002B2CF9AE}" pid="4" name="Comments">
    <vt:lpwstr/>
  </property>
</Properties>
</file>