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DF04F" w14:textId="77777777" w:rsidR="00487D6E" w:rsidRPr="00597647" w:rsidRDefault="00487D6E" w:rsidP="008111D2">
      <w:pPr>
        <w:spacing w:after="0" w:line="240" w:lineRule="auto"/>
        <w:jc w:val="center"/>
        <w:rPr>
          <w:rFonts w:cs="Times New Roman"/>
          <w:b/>
          <w:szCs w:val="24"/>
        </w:rPr>
      </w:pPr>
      <w:bookmarkStart w:id="0" w:name="_GoBack"/>
      <w:bookmarkEnd w:id="0"/>
    </w:p>
    <w:p w14:paraId="16C1769C" w14:textId="4424BF90" w:rsidR="00253B99" w:rsidRPr="00597647" w:rsidRDefault="002D72F2" w:rsidP="008111D2">
      <w:pPr>
        <w:spacing w:after="0" w:line="240" w:lineRule="auto"/>
        <w:jc w:val="center"/>
        <w:rPr>
          <w:rFonts w:cs="Times New Roman"/>
          <w:b/>
          <w:szCs w:val="24"/>
        </w:rPr>
      </w:pPr>
      <w:r w:rsidRPr="00597647">
        <w:rPr>
          <w:rFonts w:cs="Times New Roman"/>
          <w:b/>
          <w:szCs w:val="24"/>
        </w:rPr>
        <w:t xml:space="preserve">Generic </w:t>
      </w:r>
      <w:r w:rsidR="00253B99" w:rsidRPr="00597647">
        <w:rPr>
          <w:rFonts w:cs="Times New Roman"/>
          <w:b/>
          <w:szCs w:val="24"/>
        </w:rPr>
        <w:t>Supporting</w:t>
      </w:r>
      <w:r w:rsidR="00BB6559" w:rsidRPr="00597647">
        <w:rPr>
          <w:rFonts w:cs="Times New Roman"/>
          <w:b/>
          <w:szCs w:val="24"/>
        </w:rPr>
        <w:t xml:space="preserve"> </w:t>
      </w:r>
      <w:r w:rsidR="00253B99" w:rsidRPr="00597647">
        <w:rPr>
          <w:rFonts w:cs="Times New Roman"/>
          <w:b/>
          <w:szCs w:val="24"/>
        </w:rPr>
        <w:t xml:space="preserve">Statement </w:t>
      </w:r>
      <w:r w:rsidRPr="00597647">
        <w:rPr>
          <w:rFonts w:cs="Times New Roman"/>
          <w:b/>
          <w:szCs w:val="24"/>
        </w:rPr>
        <w:t>(</w:t>
      </w:r>
      <w:r w:rsidR="00D143CE">
        <w:rPr>
          <w:rFonts w:cs="Times New Roman"/>
          <w:b/>
          <w:szCs w:val="24"/>
        </w:rPr>
        <w:t>March</w:t>
      </w:r>
      <w:r w:rsidR="00DA61C7" w:rsidRPr="00597647">
        <w:rPr>
          <w:rFonts w:cs="Times New Roman"/>
          <w:b/>
          <w:szCs w:val="24"/>
        </w:rPr>
        <w:t xml:space="preserve"> 2018</w:t>
      </w:r>
      <w:r w:rsidRPr="00597647">
        <w:rPr>
          <w:rFonts w:cs="Times New Roman"/>
          <w:b/>
          <w:szCs w:val="24"/>
        </w:rPr>
        <w:t>)</w:t>
      </w:r>
    </w:p>
    <w:p w14:paraId="16EFFE97" w14:textId="77777777" w:rsidR="00253B99" w:rsidRPr="00597647" w:rsidRDefault="00253B99" w:rsidP="008111D2">
      <w:pPr>
        <w:spacing w:after="0" w:line="240" w:lineRule="auto"/>
        <w:jc w:val="center"/>
        <w:rPr>
          <w:rFonts w:cs="Times New Roman"/>
          <w:szCs w:val="24"/>
        </w:rPr>
      </w:pPr>
    </w:p>
    <w:p w14:paraId="6559454F" w14:textId="61CE51DB" w:rsidR="007D6E75" w:rsidRPr="00597647" w:rsidRDefault="00B54634" w:rsidP="008111D2">
      <w:pPr>
        <w:spacing w:after="0" w:line="240" w:lineRule="auto"/>
        <w:jc w:val="center"/>
        <w:rPr>
          <w:rFonts w:cs="Times New Roman"/>
          <w:szCs w:val="24"/>
        </w:rPr>
      </w:pPr>
      <w:r w:rsidRPr="00597647">
        <w:rPr>
          <w:rFonts w:cs="Times New Roman"/>
          <w:szCs w:val="24"/>
        </w:rPr>
        <w:t>Generic Clearance for Medicaid and CHIP State Plan, Waiver, and Program Submissions</w:t>
      </w:r>
    </w:p>
    <w:p w14:paraId="2CC4D240" w14:textId="53B8E50E" w:rsidR="00DF098E" w:rsidRPr="00597647" w:rsidRDefault="007D6E75" w:rsidP="008111D2">
      <w:pPr>
        <w:spacing w:after="0" w:line="240" w:lineRule="auto"/>
        <w:jc w:val="center"/>
        <w:rPr>
          <w:rFonts w:cs="Times New Roman"/>
          <w:szCs w:val="24"/>
        </w:rPr>
      </w:pPr>
      <w:r w:rsidRPr="00597647">
        <w:rPr>
          <w:rFonts w:cs="Times New Roman"/>
          <w:szCs w:val="24"/>
        </w:rPr>
        <w:t>(CMS-10398, OMB 0938-1148)</w:t>
      </w:r>
    </w:p>
    <w:p w14:paraId="15C29FF8" w14:textId="77777777" w:rsidR="007D6E75" w:rsidRPr="00597647" w:rsidRDefault="007D6E75" w:rsidP="008111D2">
      <w:pPr>
        <w:spacing w:after="0" w:line="240" w:lineRule="auto"/>
        <w:jc w:val="center"/>
        <w:rPr>
          <w:rFonts w:cs="Times New Roman"/>
          <w:szCs w:val="24"/>
        </w:rPr>
      </w:pPr>
    </w:p>
    <w:p w14:paraId="44AF453D" w14:textId="6C013F66" w:rsidR="007F3C76" w:rsidRPr="00597647" w:rsidRDefault="00CB646D" w:rsidP="007F3C76">
      <w:pPr>
        <w:spacing w:after="0" w:line="240" w:lineRule="auto"/>
        <w:jc w:val="center"/>
        <w:rPr>
          <w:rFonts w:cs="Times New Roman"/>
          <w:b/>
          <w:szCs w:val="24"/>
        </w:rPr>
      </w:pPr>
      <w:r w:rsidRPr="003D191C">
        <w:rPr>
          <w:rFonts w:cs="Times New Roman"/>
          <w:b/>
          <w:szCs w:val="24"/>
        </w:rPr>
        <w:t xml:space="preserve">Information Collection </w:t>
      </w:r>
      <w:r w:rsidR="00FE644A" w:rsidRPr="003D191C">
        <w:rPr>
          <w:rFonts w:cs="Times New Roman"/>
          <w:b/>
          <w:szCs w:val="24"/>
        </w:rPr>
        <w:t>#</w:t>
      </w:r>
      <w:r w:rsidR="00A83C55" w:rsidRPr="003D191C">
        <w:rPr>
          <w:rFonts w:cs="Times New Roman"/>
          <w:b/>
          <w:szCs w:val="24"/>
        </w:rPr>
        <w:t>55</w:t>
      </w:r>
    </w:p>
    <w:p w14:paraId="4E698237" w14:textId="77777777" w:rsidR="00486D6B" w:rsidRPr="00597647" w:rsidRDefault="00486D6B" w:rsidP="00486D6B">
      <w:pPr>
        <w:pStyle w:val="Title"/>
        <w:rPr>
          <w:rFonts w:ascii="Times New Roman" w:hAnsi="Times New Roman"/>
          <w:sz w:val="24"/>
          <w:szCs w:val="24"/>
        </w:rPr>
      </w:pPr>
      <w:r w:rsidRPr="00597647">
        <w:rPr>
          <w:rFonts w:ascii="Times New Roman" w:hAnsi="Times New Roman"/>
          <w:sz w:val="24"/>
          <w:szCs w:val="24"/>
        </w:rPr>
        <w:t>Limit on Federal Financial Participation for Durable Medical Equipment in Medicaid</w:t>
      </w:r>
    </w:p>
    <w:p w14:paraId="667FA1D7" w14:textId="3F983D03" w:rsidR="009004E1" w:rsidRPr="00597647" w:rsidRDefault="009004E1" w:rsidP="007F3C76">
      <w:pPr>
        <w:spacing w:after="0" w:line="240" w:lineRule="auto"/>
        <w:jc w:val="center"/>
        <w:rPr>
          <w:rFonts w:cs="Times New Roman"/>
          <w:b/>
          <w:szCs w:val="24"/>
        </w:rPr>
      </w:pPr>
    </w:p>
    <w:p w14:paraId="033071A7" w14:textId="77777777" w:rsidR="007D6E75" w:rsidRPr="00597647" w:rsidRDefault="007D6E75" w:rsidP="008111D2">
      <w:pPr>
        <w:spacing w:after="0" w:line="240" w:lineRule="auto"/>
        <w:jc w:val="center"/>
        <w:rPr>
          <w:rFonts w:cs="Times New Roman"/>
          <w:b/>
          <w:szCs w:val="24"/>
        </w:rPr>
      </w:pPr>
    </w:p>
    <w:p w14:paraId="7484C1E5" w14:textId="16954EBE" w:rsidR="007D6E75" w:rsidRPr="00597647" w:rsidRDefault="007D6E75" w:rsidP="008111D2">
      <w:pPr>
        <w:spacing w:after="0" w:line="240" w:lineRule="auto"/>
        <w:jc w:val="center"/>
        <w:rPr>
          <w:rFonts w:cs="Times New Roman"/>
          <w:b/>
          <w:szCs w:val="24"/>
        </w:rPr>
      </w:pPr>
    </w:p>
    <w:p w14:paraId="240F712C" w14:textId="77777777" w:rsidR="007D6E75" w:rsidRPr="00597647" w:rsidRDefault="007D6E75" w:rsidP="008111D2">
      <w:pPr>
        <w:spacing w:after="0" w:line="240" w:lineRule="auto"/>
        <w:jc w:val="center"/>
        <w:rPr>
          <w:rFonts w:cs="Times New Roman"/>
          <w:szCs w:val="24"/>
        </w:rPr>
      </w:pPr>
    </w:p>
    <w:p w14:paraId="7F755CA7" w14:textId="77777777" w:rsidR="007D6E75" w:rsidRPr="00597647" w:rsidRDefault="007D6E75" w:rsidP="008111D2">
      <w:pPr>
        <w:spacing w:after="0" w:line="240" w:lineRule="auto"/>
        <w:jc w:val="center"/>
        <w:rPr>
          <w:rFonts w:cs="Times New Roman"/>
          <w:szCs w:val="24"/>
        </w:rPr>
      </w:pPr>
    </w:p>
    <w:p w14:paraId="5470714C" w14:textId="77777777" w:rsidR="007D6E75" w:rsidRPr="00597647" w:rsidRDefault="007D6E75" w:rsidP="008111D2">
      <w:pPr>
        <w:spacing w:after="0" w:line="240" w:lineRule="auto"/>
        <w:jc w:val="center"/>
        <w:rPr>
          <w:rFonts w:cs="Times New Roman"/>
          <w:szCs w:val="24"/>
        </w:rPr>
      </w:pPr>
    </w:p>
    <w:p w14:paraId="78B7498C" w14:textId="77777777" w:rsidR="007D6E75" w:rsidRPr="00597647" w:rsidRDefault="007D6E75" w:rsidP="008111D2">
      <w:pPr>
        <w:spacing w:after="0" w:line="240" w:lineRule="auto"/>
        <w:jc w:val="center"/>
        <w:rPr>
          <w:rFonts w:cs="Times New Roman"/>
          <w:szCs w:val="24"/>
        </w:rPr>
      </w:pPr>
      <w:r w:rsidRPr="00597647">
        <w:rPr>
          <w:rFonts w:cs="Times New Roman"/>
          <w:szCs w:val="24"/>
        </w:rPr>
        <w:t>Center for Medicaid and CHIP Services (CMCS)</w:t>
      </w:r>
    </w:p>
    <w:p w14:paraId="2A8D7101" w14:textId="77777777" w:rsidR="007D6E75" w:rsidRPr="00597647" w:rsidRDefault="007D6E75" w:rsidP="008111D2">
      <w:pPr>
        <w:spacing w:after="0" w:line="240" w:lineRule="auto"/>
        <w:jc w:val="center"/>
        <w:rPr>
          <w:rFonts w:cs="Times New Roman"/>
          <w:szCs w:val="24"/>
        </w:rPr>
      </w:pPr>
      <w:r w:rsidRPr="00597647">
        <w:rPr>
          <w:rFonts w:cs="Times New Roman"/>
          <w:szCs w:val="24"/>
        </w:rPr>
        <w:t>Centers for Medicare &amp; Medicaid Services (CMS)</w:t>
      </w:r>
    </w:p>
    <w:p w14:paraId="0F34F1A2" w14:textId="77777777" w:rsidR="007D6E75" w:rsidRPr="00597647" w:rsidRDefault="007D6E75" w:rsidP="008111D2">
      <w:pPr>
        <w:spacing w:after="0" w:line="240" w:lineRule="auto"/>
        <w:rPr>
          <w:rFonts w:cs="Times New Roman"/>
          <w:szCs w:val="24"/>
        </w:rPr>
        <w:sectPr w:rsidR="007D6E75" w:rsidRPr="00597647" w:rsidSect="007D6E75">
          <w:pgSz w:w="12240" w:h="15840" w:code="1"/>
          <w:pgMar w:top="1440" w:right="1440" w:bottom="1440" w:left="1440" w:header="720" w:footer="720" w:gutter="0"/>
          <w:cols w:space="720"/>
          <w:vAlign w:val="center"/>
          <w:docGrid w:linePitch="360"/>
        </w:sectPr>
      </w:pPr>
    </w:p>
    <w:p w14:paraId="7C414A3A" w14:textId="77777777" w:rsidR="007D6E75" w:rsidRPr="00597647" w:rsidRDefault="007D6E75" w:rsidP="00667CF1">
      <w:pPr>
        <w:pStyle w:val="Heading1"/>
        <w:rPr>
          <w:rFonts w:cs="Times New Roman"/>
          <w:szCs w:val="24"/>
        </w:rPr>
      </w:pPr>
      <w:r w:rsidRPr="00597647">
        <w:rPr>
          <w:rFonts w:cs="Times New Roman"/>
          <w:szCs w:val="24"/>
        </w:rPr>
        <w:t>A. Background</w:t>
      </w:r>
    </w:p>
    <w:p w14:paraId="3AC3C575" w14:textId="77777777" w:rsidR="00737C80" w:rsidRDefault="00737C80" w:rsidP="00667CF1">
      <w:pPr>
        <w:spacing w:after="0" w:line="240" w:lineRule="auto"/>
        <w:rPr>
          <w:rFonts w:cs="Times New Roman"/>
          <w:szCs w:val="24"/>
        </w:rPr>
      </w:pPr>
    </w:p>
    <w:p w14:paraId="7D332970" w14:textId="0888A7F1" w:rsidR="008A2295" w:rsidRDefault="008A2295" w:rsidP="00667CF1">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6CD5AE26" w14:textId="77777777" w:rsidR="008A2295" w:rsidRDefault="008A2295" w:rsidP="00667CF1">
      <w:pPr>
        <w:spacing w:after="0" w:line="240" w:lineRule="auto"/>
        <w:rPr>
          <w:szCs w:val="24"/>
        </w:rPr>
      </w:pPr>
    </w:p>
    <w:p w14:paraId="3058BD63" w14:textId="3DCD9A1A" w:rsidR="001D5673" w:rsidRPr="00597647" w:rsidRDefault="001D5673" w:rsidP="0028741C">
      <w:pPr>
        <w:pStyle w:val="NoSpacing"/>
        <w:rPr>
          <w:rFonts w:ascii="Times New Roman" w:hAnsi="Times New Roman"/>
          <w:sz w:val="24"/>
          <w:szCs w:val="24"/>
        </w:rPr>
      </w:pPr>
      <w:r w:rsidRPr="00597647">
        <w:rPr>
          <w:rFonts w:ascii="Times New Roman" w:hAnsi="Times New Roman"/>
          <w:sz w:val="24"/>
          <w:szCs w:val="24"/>
        </w:rPr>
        <w:t>In order to implement section 503 of the Consolidated Appropriations Act, 2016 and section 5002 of the 21st Century Cures Act of 2016, where Congress added section 1903(i)(27) to the Social Security Act (the Act), which prohibits federal Medicaid reimbursement to states for certain durable medical equipment (DME) expenditures that are, in the aggregate, in excess of what Medicare would have paid for such items, we formulated a State Medicaid Directors’ Letter (SMDL) in order to comply with the statute</w:t>
      </w:r>
      <w:r w:rsidR="00C927D9" w:rsidRPr="00597647">
        <w:rPr>
          <w:rFonts w:ascii="Times New Roman" w:hAnsi="Times New Roman"/>
          <w:sz w:val="24"/>
          <w:szCs w:val="24"/>
        </w:rPr>
        <w:t>.  The revised SMDL #18-001 contains the policy guidance to states to comply with this statute</w:t>
      </w:r>
      <w:r w:rsidRPr="00597647">
        <w:rPr>
          <w:rFonts w:ascii="Times New Roman" w:hAnsi="Times New Roman"/>
          <w:sz w:val="24"/>
          <w:szCs w:val="24"/>
        </w:rPr>
        <w:t xml:space="preserve">.  The statute </w:t>
      </w:r>
      <w:r w:rsidR="00C927D9" w:rsidRPr="00597647">
        <w:rPr>
          <w:rFonts w:ascii="Times New Roman" w:hAnsi="Times New Roman"/>
          <w:sz w:val="24"/>
          <w:szCs w:val="24"/>
        </w:rPr>
        <w:t xml:space="preserve">took </w:t>
      </w:r>
      <w:r w:rsidRPr="00597647">
        <w:rPr>
          <w:rFonts w:ascii="Times New Roman" w:hAnsi="Times New Roman"/>
          <w:sz w:val="24"/>
          <w:szCs w:val="24"/>
        </w:rPr>
        <w:t xml:space="preserve">effect January 1, 2018, </w:t>
      </w:r>
      <w:r w:rsidR="00C927D9" w:rsidRPr="00597647">
        <w:rPr>
          <w:rFonts w:ascii="Times New Roman" w:hAnsi="Times New Roman"/>
          <w:sz w:val="24"/>
          <w:szCs w:val="24"/>
        </w:rPr>
        <w:t xml:space="preserve">to begin </w:t>
      </w:r>
      <w:r w:rsidRPr="00597647">
        <w:rPr>
          <w:rFonts w:ascii="Times New Roman" w:hAnsi="Times New Roman"/>
          <w:sz w:val="24"/>
          <w:szCs w:val="24"/>
        </w:rPr>
        <w:t xml:space="preserve">reporting by the states.  In order for states to comply with the statute, </w:t>
      </w:r>
      <w:r w:rsidR="00C927D9" w:rsidRPr="00597647">
        <w:rPr>
          <w:rFonts w:ascii="Times New Roman" w:hAnsi="Times New Roman"/>
          <w:sz w:val="24"/>
          <w:szCs w:val="24"/>
        </w:rPr>
        <w:t xml:space="preserve">CMS requests each state </w:t>
      </w:r>
      <w:r w:rsidRPr="00597647">
        <w:rPr>
          <w:rFonts w:ascii="Times New Roman" w:hAnsi="Times New Roman"/>
          <w:sz w:val="24"/>
          <w:szCs w:val="24"/>
        </w:rPr>
        <w:t xml:space="preserve">to </w:t>
      </w:r>
      <w:r w:rsidR="00C927D9" w:rsidRPr="00597647">
        <w:rPr>
          <w:rFonts w:ascii="Times New Roman" w:hAnsi="Times New Roman"/>
          <w:sz w:val="24"/>
          <w:szCs w:val="24"/>
        </w:rPr>
        <w:t xml:space="preserve">either change their Medicaid state plan to reflect payment at or below the Medicare rates for the relevant HCPCS codes, or demonstrate that the state is </w:t>
      </w:r>
      <w:r w:rsidRPr="00597647">
        <w:rPr>
          <w:rFonts w:ascii="Times New Roman" w:hAnsi="Times New Roman"/>
          <w:sz w:val="24"/>
          <w:szCs w:val="24"/>
        </w:rPr>
        <w:t xml:space="preserve">not spending </w:t>
      </w:r>
      <w:r w:rsidR="00002F8A" w:rsidRPr="00597647">
        <w:rPr>
          <w:rFonts w:ascii="Times New Roman" w:hAnsi="Times New Roman"/>
          <w:sz w:val="24"/>
          <w:szCs w:val="24"/>
        </w:rPr>
        <w:t xml:space="preserve">more than </w:t>
      </w:r>
      <w:r w:rsidRPr="00597647">
        <w:rPr>
          <w:rFonts w:ascii="Times New Roman" w:hAnsi="Times New Roman"/>
          <w:sz w:val="24"/>
          <w:szCs w:val="24"/>
        </w:rPr>
        <w:t>Medicare would have paid for the relevant DME items.</w:t>
      </w:r>
    </w:p>
    <w:p w14:paraId="781DC063" w14:textId="77777777" w:rsidR="0028741C" w:rsidRDefault="0028741C" w:rsidP="0028741C">
      <w:pPr>
        <w:spacing w:after="0" w:line="240" w:lineRule="auto"/>
        <w:rPr>
          <w:rFonts w:cs="Times New Roman"/>
          <w:szCs w:val="24"/>
        </w:rPr>
      </w:pPr>
    </w:p>
    <w:p w14:paraId="3CA915CD" w14:textId="42562A33" w:rsidR="001D5673" w:rsidRDefault="00EB2402" w:rsidP="00604EEC">
      <w:pPr>
        <w:spacing w:line="240" w:lineRule="auto"/>
        <w:rPr>
          <w:rFonts w:cs="Times New Roman"/>
          <w:szCs w:val="24"/>
        </w:rPr>
      </w:pPr>
      <w:r>
        <w:rPr>
          <w:rFonts w:cs="Times New Roman"/>
          <w:szCs w:val="24"/>
        </w:rPr>
        <w:t>W</w:t>
      </w:r>
      <w:r w:rsidR="001D5673" w:rsidRPr="00597647">
        <w:rPr>
          <w:rFonts w:cs="Times New Roman"/>
          <w:szCs w:val="24"/>
        </w:rPr>
        <w:t xml:space="preserve">e propose the minimal amount of information be collected from states to comply with this statute.  </w:t>
      </w:r>
      <w:r w:rsidR="00002F8A" w:rsidRPr="00597647">
        <w:rPr>
          <w:rFonts w:cs="Times New Roman"/>
          <w:szCs w:val="24"/>
        </w:rPr>
        <w:t xml:space="preserve">CMS </w:t>
      </w:r>
      <w:r w:rsidR="001D5673" w:rsidRPr="00597647">
        <w:rPr>
          <w:rFonts w:cs="Times New Roman"/>
          <w:szCs w:val="24"/>
        </w:rPr>
        <w:t xml:space="preserve">will use this information to calculate compliance with the statute using </w:t>
      </w:r>
      <w:r w:rsidR="00681B9B" w:rsidRPr="00597647">
        <w:rPr>
          <w:rFonts w:cs="Times New Roman"/>
          <w:szCs w:val="24"/>
        </w:rPr>
        <w:t>this State Fee Schedule Drop (</w:t>
      </w:r>
      <w:r w:rsidR="00B711E4">
        <w:rPr>
          <w:rFonts w:cs="Times New Roman"/>
          <w:szCs w:val="24"/>
        </w:rPr>
        <w:t>calculation tool</w:t>
      </w:r>
      <w:r w:rsidR="00681B9B" w:rsidRPr="00597647">
        <w:rPr>
          <w:rFonts w:cs="Times New Roman"/>
          <w:szCs w:val="24"/>
        </w:rPr>
        <w:t>)</w:t>
      </w:r>
      <w:r>
        <w:rPr>
          <w:rFonts w:cs="Times New Roman"/>
          <w:szCs w:val="24"/>
        </w:rPr>
        <w:t xml:space="preserve"> as part of its Generic PRA package</w:t>
      </w:r>
      <w:r w:rsidR="00B711E4">
        <w:rPr>
          <w:rFonts w:cs="Times New Roman"/>
          <w:szCs w:val="24"/>
        </w:rPr>
        <w:t xml:space="preserve">.  This calculation tool will be used to calculate compliance with </w:t>
      </w:r>
      <w:r w:rsidR="001D5673" w:rsidRPr="00597647">
        <w:rPr>
          <w:rFonts w:cs="Times New Roman"/>
          <w:szCs w:val="24"/>
        </w:rPr>
        <w:t>the annual</w:t>
      </w:r>
      <w:r w:rsidR="00B711E4">
        <w:rPr>
          <w:rFonts w:cs="Times New Roman"/>
          <w:szCs w:val="24"/>
        </w:rPr>
        <w:t>ly updated</w:t>
      </w:r>
      <w:r w:rsidR="001D5673" w:rsidRPr="00597647">
        <w:rPr>
          <w:rFonts w:cs="Times New Roman"/>
          <w:szCs w:val="24"/>
        </w:rPr>
        <w:t xml:space="preserve"> DME pricing schedules from Medicare.</w:t>
      </w:r>
    </w:p>
    <w:p w14:paraId="23E60B88" w14:textId="14EA4638" w:rsidR="0028741C" w:rsidRPr="00FE30B5" w:rsidRDefault="0028741C" w:rsidP="00604EEC">
      <w:pPr>
        <w:spacing w:line="240" w:lineRule="auto"/>
        <w:rPr>
          <w:rFonts w:cs="Times New Roman"/>
          <w:b/>
          <w:szCs w:val="24"/>
        </w:rPr>
      </w:pPr>
      <w:r w:rsidRPr="00FF3356">
        <w:rPr>
          <w:rFonts w:cs="Times New Roman"/>
          <w:szCs w:val="24"/>
        </w:rPr>
        <w:t xml:space="preserve">This </w:t>
      </w:r>
      <w:r w:rsidR="00604EEC" w:rsidRPr="00FF3356">
        <w:rPr>
          <w:rFonts w:cs="Times New Roman"/>
          <w:szCs w:val="24"/>
        </w:rPr>
        <w:t xml:space="preserve">information collection request </w:t>
      </w:r>
      <w:r w:rsidRPr="00FF3356">
        <w:rPr>
          <w:rFonts w:cs="Times New Roman"/>
          <w:szCs w:val="24"/>
        </w:rPr>
        <w:t xml:space="preserve"> was initiated </w:t>
      </w:r>
      <w:r w:rsidR="00604EEC" w:rsidRPr="00FF3356">
        <w:rPr>
          <w:rFonts w:cs="Times New Roman"/>
          <w:szCs w:val="24"/>
        </w:rPr>
        <w:t xml:space="preserve">under the regular </w:t>
      </w:r>
      <w:r w:rsidRPr="00FF3356">
        <w:rPr>
          <w:rFonts w:cs="Times New Roman"/>
          <w:szCs w:val="24"/>
        </w:rPr>
        <w:t xml:space="preserve"> Paperwork Reduction Act </w:t>
      </w:r>
      <w:r w:rsidR="00604EEC" w:rsidRPr="00FF3356">
        <w:rPr>
          <w:rFonts w:cs="Times New Roman"/>
          <w:szCs w:val="24"/>
        </w:rPr>
        <w:t xml:space="preserve">process which included the publication of a </w:t>
      </w:r>
      <w:r w:rsidRPr="00FF3356">
        <w:rPr>
          <w:rFonts w:cs="Times New Roman"/>
          <w:szCs w:val="24"/>
        </w:rPr>
        <w:t>60</w:t>
      </w:r>
      <w:r w:rsidR="00604EEC" w:rsidRPr="00FF3356">
        <w:rPr>
          <w:rFonts w:cs="Times New Roman"/>
          <w:szCs w:val="24"/>
        </w:rPr>
        <w:t>-</w:t>
      </w:r>
      <w:r w:rsidRPr="00FF3356">
        <w:rPr>
          <w:rFonts w:cs="Times New Roman"/>
          <w:szCs w:val="24"/>
        </w:rPr>
        <w:t xml:space="preserve">day </w:t>
      </w:r>
      <w:r w:rsidR="00604EEC" w:rsidRPr="00FF3356">
        <w:rPr>
          <w:rFonts w:cs="Times New Roman"/>
          <w:szCs w:val="24"/>
        </w:rPr>
        <w:t>F</w:t>
      </w:r>
      <w:r w:rsidRPr="00FF3356">
        <w:rPr>
          <w:rFonts w:cs="Times New Roman"/>
          <w:szCs w:val="24"/>
        </w:rPr>
        <w:t xml:space="preserve">ederal </w:t>
      </w:r>
      <w:r w:rsidR="00604EEC" w:rsidRPr="00FF3356">
        <w:rPr>
          <w:rFonts w:cs="Times New Roman"/>
          <w:szCs w:val="24"/>
        </w:rPr>
        <w:t>R</w:t>
      </w:r>
      <w:r w:rsidRPr="00FF3356">
        <w:rPr>
          <w:rFonts w:cs="Times New Roman"/>
          <w:szCs w:val="24"/>
        </w:rPr>
        <w:t xml:space="preserve">egister </w:t>
      </w:r>
      <w:r w:rsidR="00604EEC" w:rsidRPr="00FF3356">
        <w:rPr>
          <w:rFonts w:cs="Times New Roman"/>
          <w:szCs w:val="24"/>
        </w:rPr>
        <w:t xml:space="preserve">notice </w:t>
      </w:r>
      <w:r w:rsidR="00353488" w:rsidRPr="00FF3356">
        <w:rPr>
          <w:rFonts w:cs="Times New Roman"/>
          <w:szCs w:val="24"/>
        </w:rPr>
        <w:t xml:space="preserve">(Nov. 28, 2017; 82 FR 56242) </w:t>
      </w:r>
      <w:r w:rsidR="00604EEC" w:rsidRPr="00FF3356">
        <w:rPr>
          <w:rFonts w:cs="Times New Roman"/>
          <w:szCs w:val="24"/>
        </w:rPr>
        <w:t xml:space="preserve">under </w:t>
      </w:r>
      <w:r w:rsidRPr="00FF3356">
        <w:rPr>
          <w:rFonts w:cs="Times New Roman"/>
          <w:szCs w:val="24"/>
        </w:rPr>
        <w:t>CMS</w:t>
      </w:r>
      <w:r w:rsidR="00604EEC" w:rsidRPr="00FF3356">
        <w:rPr>
          <w:rFonts w:cs="Times New Roman"/>
          <w:szCs w:val="24"/>
        </w:rPr>
        <w:t xml:space="preserve"> identification number CMS</w:t>
      </w:r>
      <w:r w:rsidRPr="00FF3356">
        <w:rPr>
          <w:rFonts w:cs="Times New Roman"/>
          <w:szCs w:val="24"/>
        </w:rPr>
        <w:t>-10661</w:t>
      </w:r>
      <w:r w:rsidR="00604EEC" w:rsidRPr="00FF3356">
        <w:rPr>
          <w:rFonts w:cs="Times New Roman"/>
          <w:szCs w:val="24"/>
        </w:rPr>
        <w:t xml:space="preserve"> and </w:t>
      </w:r>
      <w:r w:rsidRPr="00FF3356">
        <w:rPr>
          <w:rFonts w:cs="Times New Roman"/>
          <w:szCs w:val="24"/>
        </w:rPr>
        <w:t xml:space="preserve">OMB </w:t>
      </w:r>
      <w:r w:rsidR="00604EEC" w:rsidRPr="00FF3356">
        <w:rPr>
          <w:rFonts w:cs="Times New Roman"/>
          <w:szCs w:val="24"/>
        </w:rPr>
        <w:t xml:space="preserve">control number </w:t>
      </w:r>
      <w:r w:rsidRPr="00FF3356">
        <w:rPr>
          <w:rFonts w:cs="Times New Roman"/>
          <w:szCs w:val="24"/>
        </w:rPr>
        <w:t>0938-New.  After receiving no substantial comments</w:t>
      </w:r>
      <w:r w:rsidR="00EA5FF6">
        <w:rPr>
          <w:rFonts w:cs="Times New Roman"/>
          <w:szCs w:val="24"/>
        </w:rPr>
        <w:t xml:space="preserve">, </w:t>
      </w:r>
      <w:r w:rsidRPr="00FF3356">
        <w:rPr>
          <w:rFonts w:cs="Times New Roman"/>
          <w:szCs w:val="24"/>
        </w:rPr>
        <w:t xml:space="preserve"> we moved to fold </w:t>
      </w:r>
      <w:r w:rsidR="00EA5FF6">
        <w:rPr>
          <w:rFonts w:cs="Times New Roman"/>
          <w:szCs w:val="24"/>
        </w:rPr>
        <w:t xml:space="preserve">our request under </w:t>
      </w:r>
      <w:r w:rsidRPr="00FF3356">
        <w:rPr>
          <w:rFonts w:cs="Times New Roman"/>
          <w:szCs w:val="24"/>
        </w:rPr>
        <w:t xml:space="preserve">the  generic </w:t>
      </w:r>
      <w:r w:rsidR="00EA5FF6">
        <w:rPr>
          <w:rFonts w:cs="Times New Roman"/>
          <w:szCs w:val="24"/>
        </w:rPr>
        <w:t>process,</w:t>
      </w:r>
      <w:r w:rsidRPr="00FF3356">
        <w:rPr>
          <w:rFonts w:cs="Times New Roman"/>
          <w:szCs w:val="24"/>
        </w:rPr>
        <w:t xml:space="preserve"> with a minimal 8 hours of estimated burden</w:t>
      </w:r>
      <w:r w:rsidR="00EB2402" w:rsidRPr="00FF3356">
        <w:rPr>
          <w:rFonts w:cs="Times New Roman"/>
          <w:szCs w:val="24"/>
        </w:rPr>
        <w:t xml:space="preserve"> per entity per year (state or territory).</w:t>
      </w:r>
      <w:r w:rsidRPr="00FF3356">
        <w:rPr>
          <w:rFonts w:cs="Times New Roman"/>
          <w:szCs w:val="24"/>
        </w:rPr>
        <w:t xml:space="preserve">  </w:t>
      </w:r>
      <w:r w:rsidR="006036C6" w:rsidRPr="00FF3356">
        <w:rPr>
          <w:rFonts w:cs="Times New Roman"/>
          <w:szCs w:val="24"/>
        </w:rPr>
        <w:t>The comment</w:t>
      </w:r>
      <w:r w:rsidR="000E0CD9">
        <w:rPr>
          <w:rFonts w:cs="Times New Roman"/>
          <w:szCs w:val="24"/>
        </w:rPr>
        <w:t>s</w:t>
      </w:r>
      <w:r w:rsidR="006036C6" w:rsidRPr="00FF3356">
        <w:rPr>
          <w:rFonts w:cs="Times New Roman"/>
          <w:szCs w:val="24"/>
        </w:rPr>
        <w:t xml:space="preserve"> and our response</w:t>
      </w:r>
      <w:r w:rsidR="000E0CD9">
        <w:rPr>
          <w:rFonts w:cs="Times New Roman"/>
          <w:szCs w:val="24"/>
        </w:rPr>
        <w:t>s</w:t>
      </w:r>
      <w:r w:rsidR="006036C6" w:rsidRPr="00FF3356">
        <w:rPr>
          <w:rFonts w:cs="Times New Roman"/>
          <w:szCs w:val="24"/>
        </w:rPr>
        <w:t xml:space="preserve"> ha</w:t>
      </w:r>
      <w:r w:rsidR="000E0CD9">
        <w:rPr>
          <w:rFonts w:cs="Times New Roman"/>
          <w:szCs w:val="24"/>
        </w:rPr>
        <w:t>ve</w:t>
      </w:r>
      <w:r w:rsidR="006036C6" w:rsidRPr="00FF3356">
        <w:rPr>
          <w:rFonts w:cs="Times New Roman"/>
          <w:szCs w:val="24"/>
        </w:rPr>
        <w:t xml:space="preserve"> been added to this package.</w:t>
      </w:r>
      <w:r w:rsidR="004952F0">
        <w:rPr>
          <w:rFonts w:cs="Times New Roman"/>
          <w:szCs w:val="24"/>
        </w:rPr>
        <w:t xml:space="preserve"> Changes </w:t>
      </w:r>
      <w:r w:rsidR="00BD6D91">
        <w:rPr>
          <w:rFonts w:cs="Times New Roman"/>
          <w:szCs w:val="24"/>
        </w:rPr>
        <w:t xml:space="preserve">subsequent to the publication of the 60-day notice can be found </w:t>
      </w:r>
      <w:r w:rsidR="004952F0">
        <w:rPr>
          <w:rFonts w:cs="Times New Roman"/>
          <w:szCs w:val="24"/>
        </w:rPr>
        <w:t>in the attached Crosswalk and track change version of the instructions.</w:t>
      </w:r>
    </w:p>
    <w:p w14:paraId="55C52931" w14:textId="77777777" w:rsidR="007D6E75" w:rsidRPr="00597647" w:rsidRDefault="007D6E75" w:rsidP="00F54374">
      <w:pPr>
        <w:pStyle w:val="Heading1"/>
        <w:rPr>
          <w:rFonts w:cs="Times New Roman"/>
          <w:szCs w:val="24"/>
        </w:rPr>
      </w:pPr>
      <w:r w:rsidRPr="00597647">
        <w:rPr>
          <w:rFonts w:cs="Times New Roman"/>
          <w:szCs w:val="24"/>
        </w:rPr>
        <w:t>B. Description of Information Collection</w:t>
      </w:r>
    </w:p>
    <w:p w14:paraId="3A7832A0" w14:textId="77777777" w:rsidR="002C7F64" w:rsidRPr="00597647" w:rsidRDefault="002C7F64" w:rsidP="008910E3">
      <w:pPr>
        <w:spacing w:after="0" w:line="240" w:lineRule="auto"/>
        <w:rPr>
          <w:rFonts w:cs="Times New Roman"/>
          <w:i/>
          <w:szCs w:val="24"/>
        </w:rPr>
      </w:pPr>
    </w:p>
    <w:p w14:paraId="408F179F" w14:textId="0D1AAB29" w:rsidR="00DB4077" w:rsidRPr="00EB2402" w:rsidRDefault="00DB4077" w:rsidP="00EB2402">
      <w:pPr>
        <w:pStyle w:val="ListParagraph"/>
        <w:numPr>
          <w:ilvl w:val="0"/>
          <w:numId w:val="14"/>
        </w:numPr>
        <w:spacing w:after="0" w:line="240" w:lineRule="auto"/>
        <w:rPr>
          <w:rFonts w:ascii="Times New Roman" w:hAnsi="Times New Roman"/>
          <w:sz w:val="24"/>
          <w:szCs w:val="24"/>
        </w:rPr>
      </w:pPr>
      <w:r w:rsidRPr="00716408">
        <w:rPr>
          <w:rFonts w:ascii="Times New Roman" w:hAnsi="Times New Roman"/>
          <w:sz w:val="24"/>
          <w:szCs w:val="24"/>
          <w:u w:val="single"/>
        </w:rPr>
        <w:t xml:space="preserve">Who </w:t>
      </w:r>
      <w:r w:rsidR="002C7F64" w:rsidRPr="00716408">
        <w:rPr>
          <w:rFonts w:ascii="Times New Roman" w:hAnsi="Times New Roman"/>
          <w:sz w:val="24"/>
          <w:szCs w:val="24"/>
          <w:u w:val="single"/>
        </w:rPr>
        <w:t xml:space="preserve">are </w:t>
      </w:r>
      <w:r w:rsidRPr="00716408">
        <w:rPr>
          <w:rFonts w:ascii="Times New Roman" w:hAnsi="Times New Roman"/>
          <w:sz w:val="24"/>
          <w:szCs w:val="24"/>
          <w:u w:val="single"/>
        </w:rPr>
        <w:t>the respondents</w:t>
      </w:r>
      <w:r w:rsidR="002C7F64" w:rsidRPr="00716408">
        <w:rPr>
          <w:rFonts w:ascii="Times New Roman" w:hAnsi="Times New Roman"/>
          <w:sz w:val="24"/>
          <w:szCs w:val="24"/>
          <w:u w:val="single"/>
        </w:rPr>
        <w:t>:</w:t>
      </w:r>
      <w:r w:rsidR="002C7F64" w:rsidRPr="00EB2402">
        <w:rPr>
          <w:rFonts w:ascii="Times New Roman" w:hAnsi="Times New Roman"/>
          <w:sz w:val="24"/>
          <w:szCs w:val="24"/>
        </w:rPr>
        <w:t xml:space="preserve"> </w:t>
      </w:r>
      <w:r w:rsidR="000B6555" w:rsidRPr="00EB2402">
        <w:rPr>
          <w:rFonts w:ascii="Times New Roman" w:hAnsi="Times New Roman"/>
          <w:sz w:val="24"/>
          <w:szCs w:val="24"/>
        </w:rPr>
        <w:t>the States that part</w:t>
      </w:r>
      <w:r w:rsidR="00681B9B" w:rsidRPr="00EB2402">
        <w:rPr>
          <w:rFonts w:ascii="Times New Roman" w:hAnsi="Times New Roman"/>
          <w:sz w:val="24"/>
          <w:szCs w:val="24"/>
        </w:rPr>
        <w:t xml:space="preserve">icipate in the </w:t>
      </w:r>
      <w:r w:rsidR="00EB2402" w:rsidRPr="00EB2402">
        <w:rPr>
          <w:rFonts w:ascii="Times New Roman" w:hAnsi="Times New Roman"/>
          <w:sz w:val="24"/>
          <w:szCs w:val="24"/>
        </w:rPr>
        <w:t xml:space="preserve">Medicaid Program that choose to </w:t>
      </w:r>
      <w:r w:rsidR="00681B9B" w:rsidRPr="00EB2402">
        <w:rPr>
          <w:rFonts w:ascii="Times New Roman" w:hAnsi="Times New Roman"/>
          <w:sz w:val="24"/>
          <w:szCs w:val="24"/>
        </w:rPr>
        <w:t xml:space="preserve">show compliance with the statute by demonstrating their current fee schedules pay out at or below what Medicare would pay for the </w:t>
      </w:r>
      <w:r w:rsidR="00C13610" w:rsidRPr="00EB2402">
        <w:rPr>
          <w:rFonts w:ascii="Times New Roman" w:hAnsi="Times New Roman"/>
          <w:sz w:val="24"/>
          <w:szCs w:val="24"/>
        </w:rPr>
        <w:t xml:space="preserve">relevant </w:t>
      </w:r>
      <w:r w:rsidR="00681B9B" w:rsidRPr="00EB2402">
        <w:rPr>
          <w:rFonts w:ascii="Times New Roman" w:hAnsi="Times New Roman"/>
          <w:sz w:val="24"/>
          <w:szCs w:val="24"/>
        </w:rPr>
        <w:t>DME items</w:t>
      </w:r>
      <w:r w:rsidR="00C13610" w:rsidRPr="00EB2402">
        <w:rPr>
          <w:rFonts w:ascii="Times New Roman" w:hAnsi="Times New Roman"/>
          <w:sz w:val="24"/>
          <w:szCs w:val="24"/>
        </w:rPr>
        <w:t xml:space="preserve"> covered in this statute</w:t>
      </w:r>
      <w:r w:rsidR="00681B9B" w:rsidRPr="00EB2402">
        <w:rPr>
          <w:rFonts w:ascii="Times New Roman" w:hAnsi="Times New Roman"/>
          <w:sz w:val="24"/>
          <w:szCs w:val="24"/>
        </w:rPr>
        <w:t>.</w:t>
      </w:r>
    </w:p>
    <w:p w14:paraId="610B2C70" w14:textId="77777777" w:rsidR="00C927D9" w:rsidRPr="00EB2402" w:rsidRDefault="00C927D9" w:rsidP="008910E3">
      <w:pPr>
        <w:spacing w:after="0" w:line="240" w:lineRule="auto"/>
        <w:rPr>
          <w:rFonts w:cs="Times New Roman"/>
          <w:szCs w:val="24"/>
        </w:rPr>
      </w:pPr>
    </w:p>
    <w:p w14:paraId="3C6020B2" w14:textId="4158D8C0" w:rsidR="003B297A" w:rsidRPr="00716408" w:rsidRDefault="00DB4077" w:rsidP="00B03B38">
      <w:pPr>
        <w:pStyle w:val="ListParagraph"/>
        <w:widowControl w:val="0"/>
        <w:numPr>
          <w:ilvl w:val="0"/>
          <w:numId w:val="14"/>
        </w:numPr>
        <w:autoSpaceDE w:val="0"/>
        <w:autoSpaceDN w:val="0"/>
        <w:adjustRightInd w:val="0"/>
        <w:spacing w:after="0" w:line="240" w:lineRule="auto"/>
        <w:rPr>
          <w:rFonts w:ascii="Times New Roman" w:hAnsi="Times New Roman"/>
          <w:sz w:val="24"/>
          <w:szCs w:val="24"/>
        </w:rPr>
      </w:pPr>
      <w:r w:rsidRPr="00716408">
        <w:rPr>
          <w:rFonts w:ascii="Times New Roman" w:hAnsi="Times New Roman"/>
          <w:sz w:val="24"/>
          <w:szCs w:val="24"/>
          <w:u w:val="single"/>
        </w:rPr>
        <w:t>Identify each collection instrument and its format</w:t>
      </w:r>
      <w:r w:rsidR="002C7F64" w:rsidRPr="00716408">
        <w:rPr>
          <w:rFonts w:ascii="Times New Roman" w:hAnsi="Times New Roman"/>
          <w:sz w:val="24"/>
          <w:szCs w:val="24"/>
          <w:u w:val="single"/>
        </w:rPr>
        <w:t>:</w:t>
      </w:r>
      <w:r w:rsidR="00534EB0" w:rsidRPr="00716408">
        <w:rPr>
          <w:rFonts w:ascii="Times New Roman" w:hAnsi="Times New Roman"/>
          <w:sz w:val="24"/>
          <w:szCs w:val="24"/>
        </w:rPr>
        <w:t xml:space="preserve"> </w:t>
      </w:r>
      <w:r w:rsidR="003B297A" w:rsidRPr="00716408">
        <w:rPr>
          <w:rFonts w:ascii="Times New Roman" w:hAnsi="Times New Roman"/>
          <w:sz w:val="24"/>
          <w:szCs w:val="24"/>
        </w:rPr>
        <w:t>State Fee Schedule Drop (</w:t>
      </w:r>
      <w:r w:rsidR="00B711E4" w:rsidRPr="00716408">
        <w:rPr>
          <w:rFonts w:ascii="Times New Roman" w:hAnsi="Times New Roman"/>
          <w:sz w:val="24"/>
          <w:szCs w:val="24"/>
        </w:rPr>
        <w:t>calculation tool</w:t>
      </w:r>
      <w:r w:rsidR="003B297A" w:rsidRPr="00716408">
        <w:rPr>
          <w:rFonts w:ascii="Times New Roman" w:hAnsi="Times New Roman"/>
          <w:sz w:val="24"/>
          <w:szCs w:val="24"/>
        </w:rPr>
        <w:t>)</w:t>
      </w:r>
    </w:p>
    <w:p w14:paraId="50CE532C" w14:textId="77777777" w:rsidR="003B297A" w:rsidRPr="00EB2402" w:rsidRDefault="003B297A" w:rsidP="008910E3">
      <w:pPr>
        <w:spacing w:after="0" w:line="240" w:lineRule="auto"/>
        <w:rPr>
          <w:rFonts w:cs="Times New Roman"/>
          <w:szCs w:val="24"/>
        </w:rPr>
      </w:pPr>
    </w:p>
    <w:p w14:paraId="4F2002F4" w14:textId="2DF36B92" w:rsidR="00B711E4" w:rsidRPr="00716408" w:rsidRDefault="002C7F64" w:rsidP="00A85237">
      <w:pPr>
        <w:pStyle w:val="ListParagraph"/>
        <w:numPr>
          <w:ilvl w:val="0"/>
          <w:numId w:val="14"/>
        </w:numPr>
        <w:spacing w:after="0" w:line="240" w:lineRule="auto"/>
        <w:rPr>
          <w:rFonts w:ascii="Times New Roman" w:hAnsi="Times New Roman"/>
          <w:sz w:val="24"/>
          <w:szCs w:val="24"/>
        </w:rPr>
      </w:pPr>
      <w:r w:rsidRPr="00716408">
        <w:rPr>
          <w:rFonts w:ascii="Times New Roman" w:hAnsi="Times New Roman"/>
          <w:sz w:val="24"/>
          <w:szCs w:val="24"/>
          <w:u w:val="single"/>
        </w:rPr>
        <w:t>Explain h</w:t>
      </w:r>
      <w:r w:rsidR="00DB4077" w:rsidRPr="00716408">
        <w:rPr>
          <w:rFonts w:ascii="Times New Roman" w:hAnsi="Times New Roman"/>
          <w:sz w:val="24"/>
          <w:szCs w:val="24"/>
          <w:u w:val="single"/>
        </w:rPr>
        <w:t>ow the respondents access the collection instrument</w:t>
      </w:r>
      <w:r w:rsidRPr="00716408">
        <w:rPr>
          <w:rFonts w:ascii="Times New Roman" w:hAnsi="Times New Roman"/>
          <w:sz w:val="24"/>
          <w:szCs w:val="24"/>
          <w:u w:val="single"/>
        </w:rPr>
        <w:t>:</w:t>
      </w:r>
      <w:r w:rsidR="00534EB0" w:rsidRPr="00716408">
        <w:rPr>
          <w:rFonts w:ascii="Times New Roman" w:hAnsi="Times New Roman"/>
          <w:sz w:val="24"/>
          <w:szCs w:val="24"/>
        </w:rPr>
        <w:t xml:space="preserve"> </w:t>
      </w:r>
      <w:r w:rsidR="003B297A" w:rsidRPr="00716408">
        <w:rPr>
          <w:rFonts w:ascii="Times New Roman" w:hAnsi="Times New Roman"/>
          <w:sz w:val="24"/>
          <w:szCs w:val="24"/>
        </w:rPr>
        <w:t xml:space="preserve">These documents will be made available on the Medicaid website: </w:t>
      </w:r>
      <w:hyperlink r:id="rId8" w:history="1">
        <w:r w:rsidR="00B711E4" w:rsidRPr="00716408">
          <w:rPr>
            <w:rStyle w:val="Hyperlink"/>
            <w:rFonts w:ascii="Times New Roman" w:hAnsi="Times New Roman"/>
            <w:sz w:val="24"/>
            <w:szCs w:val="24"/>
          </w:rPr>
          <w:t>https://www.medicaid.gov/medicaid/finance/accountability-guidance/index.html</w:t>
        </w:r>
      </w:hyperlink>
    </w:p>
    <w:p w14:paraId="1A1E278E" w14:textId="77777777" w:rsidR="00B711E4" w:rsidRPr="00716408" w:rsidRDefault="00B711E4" w:rsidP="008910E3">
      <w:pPr>
        <w:spacing w:after="0" w:line="240" w:lineRule="auto"/>
        <w:rPr>
          <w:rFonts w:cs="Times New Roman"/>
          <w:szCs w:val="24"/>
        </w:rPr>
      </w:pPr>
    </w:p>
    <w:p w14:paraId="5C5AA829" w14:textId="682265DC" w:rsidR="003B297A" w:rsidRPr="00716408" w:rsidRDefault="002C7F64" w:rsidP="00E50A43">
      <w:pPr>
        <w:pStyle w:val="ListParagraph"/>
        <w:numPr>
          <w:ilvl w:val="0"/>
          <w:numId w:val="14"/>
        </w:numPr>
        <w:spacing w:after="0" w:line="240" w:lineRule="auto"/>
        <w:rPr>
          <w:rFonts w:ascii="Times New Roman" w:hAnsi="Times New Roman"/>
          <w:sz w:val="24"/>
          <w:szCs w:val="24"/>
        </w:rPr>
      </w:pPr>
      <w:r w:rsidRPr="00716408">
        <w:rPr>
          <w:rFonts w:ascii="Times New Roman" w:hAnsi="Times New Roman"/>
          <w:sz w:val="24"/>
          <w:szCs w:val="24"/>
          <w:u w:val="single"/>
        </w:rPr>
        <w:t>Explain h</w:t>
      </w:r>
      <w:r w:rsidR="00DB4077" w:rsidRPr="00716408">
        <w:rPr>
          <w:rFonts w:ascii="Times New Roman" w:hAnsi="Times New Roman"/>
          <w:sz w:val="24"/>
          <w:szCs w:val="24"/>
          <w:u w:val="single"/>
        </w:rPr>
        <w:t xml:space="preserve">ow </w:t>
      </w:r>
      <w:r w:rsidRPr="00716408">
        <w:rPr>
          <w:rFonts w:ascii="Times New Roman" w:hAnsi="Times New Roman"/>
          <w:sz w:val="24"/>
          <w:szCs w:val="24"/>
          <w:u w:val="single"/>
        </w:rPr>
        <w:t xml:space="preserve">the </w:t>
      </w:r>
      <w:r w:rsidR="00E1369E" w:rsidRPr="00716408">
        <w:rPr>
          <w:rFonts w:ascii="Times New Roman" w:hAnsi="Times New Roman"/>
          <w:sz w:val="24"/>
          <w:szCs w:val="24"/>
          <w:u w:val="single"/>
        </w:rPr>
        <w:t xml:space="preserve">respondents </w:t>
      </w:r>
      <w:r w:rsidR="00DB4077" w:rsidRPr="00716408">
        <w:rPr>
          <w:rFonts w:ascii="Times New Roman" w:hAnsi="Times New Roman"/>
          <w:sz w:val="24"/>
          <w:szCs w:val="24"/>
          <w:u w:val="single"/>
        </w:rPr>
        <w:t>complete the collection instrument</w:t>
      </w:r>
      <w:r w:rsidRPr="00716408">
        <w:rPr>
          <w:rFonts w:ascii="Times New Roman" w:hAnsi="Times New Roman"/>
          <w:sz w:val="24"/>
          <w:szCs w:val="24"/>
          <w:u w:val="single"/>
        </w:rPr>
        <w:t>:</w:t>
      </w:r>
      <w:r w:rsidRPr="00716408">
        <w:rPr>
          <w:rFonts w:ascii="Times New Roman" w:hAnsi="Times New Roman"/>
          <w:sz w:val="24"/>
          <w:szCs w:val="24"/>
        </w:rPr>
        <w:t xml:space="preserve"> </w:t>
      </w:r>
      <w:r w:rsidR="00716408" w:rsidRPr="00716408">
        <w:rPr>
          <w:rFonts w:ascii="Times New Roman" w:hAnsi="Times New Roman"/>
          <w:sz w:val="24"/>
          <w:szCs w:val="24"/>
        </w:rPr>
        <w:t xml:space="preserve"> </w:t>
      </w:r>
      <w:r w:rsidR="003B297A" w:rsidRPr="00716408">
        <w:rPr>
          <w:rFonts w:ascii="Times New Roman" w:hAnsi="Times New Roman"/>
          <w:sz w:val="24"/>
          <w:szCs w:val="24"/>
        </w:rPr>
        <w:t>We will ask the states to either change their Medicaid state plans to reflect payment at or below the Medicare rates for the relevant HCPCS codes</w:t>
      </w:r>
      <w:r w:rsidR="00B711E4" w:rsidRPr="00716408">
        <w:rPr>
          <w:rFonts w:ascii="Times New Roman" w:hAnsi="Times New Roman"/>
          <w:sz w:val="24"/>
          <w:szCs w:val="24"/>
        </w:rPr>
        <w:t xml:space="preserve"> and limit on FFP </w:t>
      </w:r>
      <w:r w:rsidR="003B297A" w:rsidRPr="00716408">
        <w:rPr>
          <w:rFonts w:ascii="Times New Roman" w:hAnsi="Times New Roman"/>
          <w:sz w:val="24"/>
          <w:szCs w:val="24"/>
        </w:rPr>
        <w:t xml:space="preserve">or to demonstrate compliance by filling in their DME fee schedules onto the attached </w:t>
      </w:r>
      <w:r w:rsidR="00B711E4" w:rsidRPr="00716408">
        <w:rPr>
          <w:rFonts w:ascii="Times New Roman" w:hAnsi="Times New Roman"/>
          <w:sz w:val="24"/>
          <w:szCs w:val="24"/>
        </w:rPr>
        <w:t xml:space="preserve">calculation tool </w:t>
      </w:r>
      <w:r w:rsidR="003B297A" w:rsidRPr="00716408">
        <w:rPr>
          <w:rFonts w:ascii="Times New Roman" w:hAnsi="Times New Roman"/>
          <w:sz w:val="24"/>
          <w:szCs w:val="24"/>
        </w:rPr>
        <w:t>with the relevant information- HCPCS code series A, K, &amp; E only, that are relevant to this information collection of durable medical equipment (DME)</w:t>
      </w:r>
      <w:r w:rsidR="00B711E4" w:rsidRPr="00716408">
        <w:rPr>
          <w:rFonts w:ascii="Times New Roman" w:hAnsi="Times New Roman"/>
          <w:sz w:val="24"/>
          <w:szCs w:val="24"/>
        </w:rPr>
        <w:t xml:space="preserve"> limit on FFP</w:t>
      </w:r>
      <w:r w:rsidR="003B297A" w:rsidRPr="00716408">
        <w:rPr>
          <w:rFonts w:ascii="Times New Roman" w:hAnsi="Times New Roman"/>
          <w:sz w:val="24"/>
          <w:szCs w:val="24"/>
        </w:rPr>
        <w:t>. The specific HCPCS codes will be updated annually to comply with the statute by the Medicare program and posted on the Medicaid website with other policy guidance</w:t>
      </w:r>
      <w:r w:rsidR="00B711E4" w:rsidRPr="00716408">
        <w:rPr>
          <w:rFonts w:ascii="Times New Roman" w:hAnsi="Times New Roman"/>
          <w:sz w:val="24"/>
          <w:szCs w:val="24"/>
        </w:rPr>
        <w:t xml:space="preserve"> at the website listed above</w:t>
      </w:r>
      <w:r w:rsidR="003B297A" w:rsidRPr="00716408">
        <w:rPr>
          <w:rFonts w:ascii="Times New Roman" w:hAnsi="Times New Roman"/>
          <w:sz w:val="24"/>
          <w:szCs w:val="24"/>
        </w:rPr>
        <w:t xml:space="preserve">.  The </w:t>
      </w:r>
      <w:r w:rsidR="00B711E4" w:rsidRPr="00716408">
        <w:rPr>
          <w:rFonts w:ascii="Times New Roman" w:hAnsi="Times New Roman"/>
          <w:sz w:val="24"/>
          <w:szCs w:val="24"/>
        </w:rPr>
        <w:t xml:space="preserve">calculation tool </w:t>
      </w:r>
      <w:r w:rsidR="003B297A" w:rsidRPr="00716408">
        <w:rPr>
          <w:rFonts w:ascii="Times New Roman" w:hAnsi="Times New Roman"/>
          <w:sz w:val="24"/>
          <w:szCs w:val="24"/>
        </w:rPr>
        <w:t>information from the states that choose to show compliance with the statute through the demonstration should also include all relevant modifiers for the codes, descriptors for these codes, Medicaid fee schedule rates, and the claims volume for each unique combination of the codes for each calendar year- all submitted annually.  We understand that most states use Medicare’s coding system, but some states develop their own coding system, and this needs to be explained as well in their submission.  We would also need the definitions of the state modifiers, if not using the Medicare coding modifiers.</w:t>
      </w:r>
    </w:p>
    <w:p w14:paraId="77A69D11" w14:textId="77777777" w:rsidR="003B297A" w:rsidRPr="00716408" w:rsidRDefault="003B297A" w:rsidP="008910E3">
      <w:pPr>
        <w:spacing w:after="0" w:line="240" w:lineRule="auto"/>
        <w:rPr>
          <w:rFonts w:cs="Times New Roman"/>
          <w:szCs w:val="24"/>
        </w:rPr>
      </w:pPr>
    </w:p>
    <w:p w14:paraId="1CF204DD" w14:textId="0AAA9B1E" w:rsidR="003B297A" w:rsidRPr="00597647" w:rsidRDefault="00DB4077" w:rsidP="008910E3">
      <w:pPr>
        <w:spacing w:after="0" w:line="240" w:lineRule="auto"/>
        <w:rPr>
          <w:rFonts w:cs="Times New Roman"/>
          <w:szCs w:val="24"/>
        </w:rPr>
      </w:pPr>
      <w:r w:rsidRPr="00716408">
        <w:rPr>
          <w:rFonts w:cs="Times New Roman"/>
          <w:szCs w:val="24"/>
        </w:rPr>
        <w:t>•</w:t>
      </w:r>
      <w:r w:rsidRPr="00597647">
        <w:rPr>
          <w:rFonts w:cs="Times New Roman"/>
          <w:szCs w:val="24"/>
        </w:rPr>
        <w:tab/>
      </w:r>
      <w:r w:rsidR="002C7F64" w:rsidRPr="00716408">
        <w:rPr>
          <w:rFonts w:cs="Times New Roman"/>
          <w:szCs w:val="24"/>
          <w:u w:val="single"/>
        </w:rPr>
        <w:t>Explain h</w:t>
      </w:r>
      <w:r w:rsidRPr="00716408">
        <w:rPr>
          <w:rFonts w:cs="Times New Roman"/>
          <w:szCs w:val="24"/>
          <w:u w:val="single"/>
        </w:rPr>
        <w:t xml:space="preserve">ow </w:t>
      </w:r>
      <w:r w:rsidR="002C7F64" w:rsidRPr="00716408">
        <w:rPr>
          <w:rFonts w:cs="Times New Roman"/>
          <w:szCs w:val="24"/>
          <w:u w:val="single"/>
        </w:rPr>
        <w:t xml:space="preserve">the </w:t>
      </w:r>
      <w:r w:rsidR="00A2154C" w:rsidRPr="00716408">
        <w:rPr>
          <w:rFonts w:cs="Times New Roman"/>
          <w:szCs w:val="24"/>
          <w:u w:val="single"/>
        </w:rPr>
        <w:t xml:space="preserve">respondents </w:t>
      </w:r>
      <w:r w:rsidRPr="00716408">
        <w:rPr>
          <w:rFonts w:cs="Times New Roman"/>
          <w:szCs w:val="24"/>
          <w:u w:val="single"/>
        </w:rPr>
        <w:t>submit</w:t>
      </w:r>
      <w:r w:rsidR="00292AD5" w:rsidRPr="00716408">
        <w:rPr>
          <w:rFonts w:cs="Times New Roman"/>
          <w:szCs w:val="24"/>
          <w:u w:val="single"/>
        </w:rPr>
        <w:t>/report</w:t>
      </w:r>
      <w:r w:rsidRPr="00716408">
        <w:rPr>
          <w:rFonts w:cs="Times New Roman"/>
          <w:szCs w:val="24"/>
          <w:u w:val="single"/>
        </w:rPr>
        <w:t xml:space="preserve"> the completed collection instrument</w:t>
      </w:r>
      <w:r w:rsidR="002C7F64" w:rsidRPr="00716408">
        <w:rPr>
          <w:rFonts w:cs="Times New Roman"/>
          <w:szCs w:val="24"/>
          <w:u w:val="single"/>
        </w:rPr>
        <w:t>:</w:t>
      </w:r>
      <w:r w:rsidR="00534EB0" w:rsidRPr="00597647">
        <w:rPr>
          <w:rFonts w:cs="Times New Roman"/>
          <w:szCs w:val="24"/>
        </w:rPr>
        <w:t xml:space="preserve"> </w:t>
      </w:r>
      <w:r w:rsidR="003B297A" w:rsidRPr="00597647">
        <w:rPr>
          <w:rFonts w:cs="Times New Roman"/>
          <w:szCs w:val="24"/>
        </w:rPr>
        <w:t xml:space="preserve">Respondents will attach the completed </w:t>
      </w:r>
      <w:r w:rsidR="00B711E4">
        <w:rPr>
          <w:rFonts w:cs="Times New Roman"/>
          <w:szCs w:val="24"/>
        </w:rPr>
        <w:t>calculation tool</w:t>
      </w:r>
      <w:r w:rsidR="00B711E4" w:rsidRPr="00597647">
        <w:rPr>
          <w:rFonts w:cs="Times New Roman"/>
          <w:szCs w:val="24"/>
        </w:rPr>
        <w:t xml:space="preserve"> </w:t>
      </w:r>
      <w:r w:rsidR="003B297A" w:rsidRPr="00597647">
        <w:rPr>
          <w:rFonts w:cs="Times New Roman"/>
          <w:szCs w:val="24"/>
        </w:rPr>
        <w:t xml:space="preserve">to an e-mail and send it into the dedicated </w:t>
      </w:r>
      <w:r w:rsidR="00283C09" w:rsidRPr="00597647">
        <w:rPr>
          <w:rFonts w:cs="Times New Roman"/>
          <w:szCs w:val="24"/>
        </w:rPr>
        <w:t>Medicaid DME mailbox (</w:t>
      </w:r>
      <w:hyperlink r:id="rId9" w:history="1">
        <w:r w:rsidR="00283C09" w:rsidRPr="00597647">
          <w:rPr>
            <w:rStyle w:val="Hyperlink"/>
            <w:rFonts w:cs="Times New Roman"/>
            <w:szCs w:val="24"/>
          </w:rPr>
          <w:t>MedicaidDME@cms.hhs.gov</w:t>
        </w:r>
      </w:hyperlink>
      <w:r w:rsidR="00283C09" w:rsidRPr="00597647">
        <w:rPr>
          <w:rFonts w:cs="Times New Roman"/>
          <w:szCs w:val="24"/>
        </w:rPr>
        <w:t>).</w:t>
      </w:r>
    </w:p>
    <w:p w14:paraId="63B4E2F7" w14:textId="77777777" w:rsidR="00C927D9" w:rsidRPr="00597647" w:rsidRDefault="00C927D9" w:rsidP="008910E3">
      <w:pPr>
        <w:spacing w:after="0" w:line="240" w:lineRule="auto"/>
        <w:rPr>
          <w:rFonts w:cs="Times New Roman"/>
          <w:i/>
          <w:szCs w:val="24"/>
        </w:rPr>
      </w:pPr>
    </w:p>
    <w:p w14:paraId="57018F8D" w14:textId="2C4DECDB" w:rsidR="00DB4077" w:rsidRDefault="00DB4077" w:rsidP="008910E3">
      <w:pPr>
        <w:spacing w:after="0" w:line="240" w:lineRule="auto"/>
        <w:rPr>
          <w:rFonts w:cs="Times New Roman"/>
          <w:szCs w:val="24"/>
        </w:rPr>
      </w:pPr>
      <w:r w:rsidRPr="00597647">
        <w:rPr>
          <w:rFonts w:cs="Times New Roman"/>
          <w:szCs w:val="24"/>
        </w:rPr>
        <w:t>•</w:t>
      </w:r>
      <w:r w:rsidRPr="00597647">
        <w:rPr>
          <w:rFonts w:cs="Times New Roman"/>
          <w:szCs w:val="24"/>
        </w:rPr>
        <w:tab/>
      </w:r>
      <w:r w:rsidRPr="00716408">
        <w:rPr>
          <w:rFonts w:cs="Times New Roman"/>
          <w:szCs w:val="24"/>
          <w:u w:val="single"/>
        </w:rPr>
        <w:t>Identify whether there are any other documents provided to the respondent. If yes, please include copies with your package</w:t>
      </w:r>
      <w:r w:rsidR="002C7F64" w:rsidRPr="00716408">
        <w:rPr>
          <w:rFonts w:cs="Times New Roman"/>
          <w:szCs w:val="24"/>
          <w:u w:val="single"/>
        </w:rPr>
        <w:t>:</w:t>
      </w:r>
      <w:r w:rsidR="001D069B" w:rsidRPr="00716408">
        <w:rPr>
          <w:rFonts w:cs="Times New Roman"/>
          <w:szCs w:val="24"/>
          <w:u w:val="single"/>
        </w:rPr>
        <w:t xml:space="preserve"> </w:t>
      </w:r>
    </w:p>
    <w:p w14:paraId="4E0D7A7B" w14:textId="77777777" w:rsidR="00716408" w:rsidRPr="00597647" w:rsidRDefault="00716408" w:rsidP="008910E3">
      <w:pPr>
        <w:spacing w:after="0" w:line="240" w:lineRule="auto"/>
        <w:rPr>
          <w:rFonts w:cs="Times New Roman"/>
          <w:szCs w:val="24"/>
        </w:rPr>
      </w:pPr>
    </w:p>
    <w:p w14:paraId="622C6DA9" w14:textId="53C9CE9C" w:rsidR="00B711E4" w:rsidRPr="00597647" w:rsidRDefault="00B711E4" w:rsidP="00B711E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r w:rsidRPr="00597647">
        <w:rPr>
          <w:rFonts w:cs="Times New Roman"/>
          <w:szCs w:val="24"/>
        </w:rPr>
        <w:t>State Fee Schedule Drop (</w:t>
      </w:r>
      <w:r>
        <w:rPr>
          <w:rFonts w:cs="Times New Roman"/>
          <w:szCs w:val="24"/>
        </w:rPr>
        <w:t>calculation tool</w:t>
      </w:r>
      <w:r w:rsidRPr="00597647">
        <w:rPr>
          <w:rFonts w:cs="Times New Roman"/>
          <w:szCs w:val="24"/>
        </w:rPr>
        <w:t>)</w:t>
      </w:r>
    </w:p>
    <w:p w14:paraId="430C478F" w14:textId="77777777" w:rsidR="00C927D9" w:rsidRDefault="00C927D9" w:rsidP="00C927D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r w:rsidRPr="00597647">
        <w:rPr>
          <w:rFonts w:cs="Times New Roman"/>
          <w:szCs w:val="24"/>
        </w:rPr>
        <w:t>State Fee Schedule Drop Instructions (Text document)</w:t>
      </w:r>
    </w:p>
    <w:p w14:paraId="2D73FBC4" w14:textId="77777777" w:rsidR="00C927D9" w:rsidRPr="00597647" w:rsidRDefault="00C927D9" w:rsidP="008910E3">
      <w:pPr>
        <w:spacing w:after="0" w:line="240" w:lineRule="auto"/>
        <w:rPr>
          <w:rFonts w:cs="Times New Roman"/>
          <w:szCs w:val="24"/>
        </w:rPr>
      </w:pPr>
    </w:p>
    <w:p w14:paraId="6C3878F4" w14:textId="76209D71" w:rsidR="00C927D9" w:rsidRPr="00597647" w:rsidRDefault="00DB4077" w:rsidP="00716408">
      <w:pPr>
        <w:spacing w:after="0" w:line="240" w:lineRule="auto"/>
        <w:rPr>
          <w:rFonts w:cs="Times New Roman"/>
          <w:szCs w:val="24"/>
        </w:rPr>
      </w:pPr>
      <w:r w:rsidRPr="00597647">
        <w:rPr>
          <w:rFonts w:cs="Times New Roman"/>
          <w:szCs w:val="24"/>
        </w:rPr>
        <w:t>•</w:t>
      </w:r>
      <w:r w:rsidRPr="00597647">
        <w:rPr>
          <w:rFonts w:cs="Times New Roman"/>
          <w:szCs w:val="24"/>
        </w:rPr>
        <w:tab/>
      </w:r>
      <w:r w:rsidR="00292AD5" w:rsidRPr="00716408">
        <w:rPr>
          <w:rFonts w:cs="Times New Roman"/>
          <w:szCs w:val="24"/>
          <w:u w:val="single"/>
        </w:rPr>
        <w:t>Discuss t</w:t>
      </w:r>
      <w:r w:rsidRPr="00716408">
        <w:rPr>
          <w:rFonts w:cs="Times New Roman"/>
          <w:szCs w:val="24"/>
          <w:u w:val="single"/>
        </w:rPr>
        <w:t>he use or end result of the reported information</w:t>
      </w:r>
      <w:r w:rsidR="002C7F64" w:rsidRPr="00716408">
        <w:rPr>
          <w:rFonts w:cs="Times New Roman"/>
          <w:szCs w:val="24"/>
          <w:u w:val="single"/>
        </w:rPr>
        <w:t>:</w:t>
      </w:r>
      <w:r w:rsidR="001D069B" w:rsidRPr="00597647">
        <w:rPr>
          <w:rFonts w:cs="Times New Roman"/>
          <w:szCs w:val="24"/>
        </w:rPr>
        <w:t xml:space="preserve"> </w:t>
      </w:r>
      <w:r w:rsidR="00C927D9" w:rsidRPr="00597647">
        <w:rPr>
          <w:rFonts w:cs="Times New Roman"/>
          <w:szCs w:val="24"/>
        </w:rPr>
        <w:t>CMS will use this information to calculate compliance with the statute using the State Fee Schedule Drop (</w:t>
      </w:r>
      <w:r w:rsidR="00005510">
        <w:rPr>
          <w:rFonts w:cs="Times New Roman"/>
          <w:szCs w:val="24"/>
        </w:rPr>
        <w:t>calculation tool</w:t>
      </w:r>
      <w:r w:rsidR="00C927D9" w:rsidRPr="00597647">
        <w:rPr>
          <w:rFonts w:cs="Times New Roman"/>
          <w:szCs w:val="24"/>
        </w:rPr>
        <w:t xml:space="preserve">) we developed that includes the annual DME pricing schedules from Medicare.  This </w:t>
      </w:r>
      <w:r w:rsidR="00005510">
        <w:rPr>
          <w:rFonts w:cs="Times New Roman"/>
          <w:szCs w:val="24"/>
        </w:rPr>
        <w:t>calculation tool</w:t>
      </w:r>
      <w:r w:rsidR="00005510" w:rsidRPr="00597647">
        <w:rPr>
          <w:rFonts w:cs="Times New Roman"/>
          <w:szCs w:val="24"/>
        </w:rPr>
        <w:t xml:space="preserve"> </w:t>
      </w:r>
      <w:r w:rsidR="00C927D9" w:rsidRPr="00597647">
        <w:rPr>
          <w:rFonts w:cs="Times New Roman"/>
          <w:szCs w:val="24"/>
        </w:rPr>
        <w:t>will help determine compliance with the statute by calculating the allowable expenditures in Medicare and comparing them to the aggregate Medicaid expenditures for the relevant DME items.  States will be in compliance with the statute as long as the Medicaid expenditures do not exceed the Medicare expenditures for the same number and type of DME, in the aggregate</w:t>
      </w:r>
      <w:r w:rsidR="00005510">
        <w:rPr>
          <w:rFonts w:cs="Times New Roman"/>
          <w:szCs w:val="24"/>
        </w:rPr>
        <w:t xml:space="preserve"> and there is no draw down of FFP for the excess amount</w:t>
      </w:r>
      <w:r w:rsidR="00C927D9" w:rsidRPr="00597647">
        <w:rPr>
          <w:rFonts w:cs="Times New Roman"/>
          <w:szCs w:val="24"/>
        </w:rPr>
        <w:t xml:space="preserve">.  States over the Medicare expenditure limit </w:t>
      </w:r>
      <w:r w:rsidR="00005510">
        <w:rPr>
          <w:rFonts w:cs="Times New Roman"/>
          <w:szCs w:val="24"/>
        </w:rPr>
        <w:t xml:space="preserve">that draw down FFP </w:t>
      </w:r>
      <w:r w:rsidR="00C927D9" w:rsidRPr="00597647">
        <w:rPr>
          <w:rFonts w:cs="Times New Roman"/>
          <w:szCs w:val="24"/>
        </w:rPr>
        <w:t>will be informed and may face the limit on federal financial participation (FFP) for DME, which may mean returning any excess FFP.</w:t>
      </w:r>
    </w:p>
    <w:p w14:paraId="49220201" w14:textId="77777777" w:rsidR="00C927D9" w:rsidRPr="00597647" w:rsidRDefault="00C927D9" w:rsidP="00F34393">
      <w:pPr>
        <w:spacing w:after="0" w:line="240" w:lineRule="auto"/>
        <w:rPr>
          <w:rFonts w:cs="Times New Roman"/>
          <w:szCs w:val="24"/>
        </w:rPr>
      </w:pPr>
    </w:p>
    <w:p w14:paraId="6666ECFC" w14:textId="77777777" w:rsidR="007D6E75" w:rsidRPr="00597647" w:rsidRDefault="007D6E75" w:rsidP="00F54374">
      <w:pPr>
        <w:pStyle w:val="Heading1"/>
        <w:rPr>
          <w:rFonts w:cs="Times New Roman"/>
          <w:szCs w:val="24"/>
        </w:rPr>
      </w:pPr>
      <w:r w:rsidRPr="00597647">
        <w:rPr>
          <w:rFonts w:cs="Times New Roman"/>
          <w:szCs w:val="24"/>
        </w:rPr>
        <w:t>C. Deviations from Generic Request</w:t>
      </w:r>
    </w:p>
    <w:p w14:paraId="1DCAF4AC" w14:textId="77777777" w:rsidR="00737C80" w:rsidRPr="00597647" w:rsidRDefault="00737C80" w:rsidP="008111D2">
      <w:pPr>
        <w:spacing w:after="0" w:line="240" w:lineRule="auto"/>
        <w:rPr>
          <w:rFonts w:cs="Times New Roman"/>
          <w:szCs w:val="24"/>
        </w:rPr>
      </w:pPr>
    </w:p>
    <w:p w14:paraId="159E7842" w14:textId="77777777" w:rsidR="007D6E75" w:rsidRPr="00597647" w:rsidRDefault="009B19E8" w:rsidP="008111D2">
      <w:pPr>
        <w:spacing w:after="0" w:line="240" w:lineRule="auto"/>
        <w:rPr>
          <w:rFonts w:cs="Times New Roman"/>
          <w:szCs w:val="24"/>
        </w:rPr>
      </w:pPr>
      <w:r w:rsidRPr="00597647">
        <w:rPr>
          <w:rFonts w:cs="Times New Roman"/>
          <w:szCs w:val="24"/>
        </w:rPr>
        <w:t>No deviations are requested.</w:t>
      </w:r>
    </w:p>
    <w:p w14:paraId="7B78475A" w14:textId="77777777" w:rsidR="008111D2" w:rsidRPr="00597647" w:rsidRDefault="008111D2" w:rsidP="00F54374">
      <w:pPr>
        <w:pStyle w:val="Heading1"/>
        <w:rPr>
          <w:rFonts w:cs="Times New Roman"/>
          <w:szCs w:val="24"/>
        </w:rPr>
      </w:pPr>
    </w:p>
    <w:p w14:paraId="50563D8F" w14:textId="77777777" w:rsidR="007D6E75" w:rsidRPr="00597647" w:rsidRDefault="007D6E75" w:rsidP="00F54374">
      <w:pPr>
        <w:pStyle w:val="Heading1"/>
        <w:rPr>
          <w:rFonts w:cs="Times New Roman"/>
          <w:szCs w:val="24"/>
        </w:rPr>
      </w:pPr>
      <w:r w:rsidRPr="00597647">
        <w:rPr>
          <w:rFonts w:cs="Times New Roman"/>
          <w:szCs w:val="24"/>
        </w:rPr>
        <w:t>D. Burden Hour Deduction</w:t>
      </w:r>
    </w:p>
    <w:p w14:paraId="0E191D24" w14:textId="77777777" w:rsidR="00737C80" w:rsidRPr="00597647" w:rsidRDefault="00737C80" w:rsidP="008E4617">
      <w:pPr>
        <w:spacing w:after="0" w:line="240" w:lineRule="auto"/>
        <w:rPr>
          <w:rFonts w:cs="Times New Roman"/>
          <w:szCs w:val="24"/>
        </w:rPr>
      </w:pPr>
    </w:p>
    <w:p w14:paraId="08057321" w14:textId="77777777" w:rsidR="00EB2402" w:rsidRPr="00E27B42" w:rsidRDefault="00EB2402" w:rsidP="00EB2402">
      <w:pPr>
        <w:rPr>
          <w:bCs/>
          <w:szCs w:val="24"/>
        </w:rPr>
      </w:pPr>
      <w:r w:rsidRPr="00E27B42">
        <w:rPr>
          <w:bCs/>
        </w:rPr>
        <w:t>The total approved burden ceiling of the generic ICR is 154,104 hours, and CMS previously requested to use 56,004 hours, leaving our burden ceiling at 98,100 hours.</w:t>
      </w:r>
    </w:p>
    <w:p w14:paraId="01BD8101" w14:textId="18A72874" w:rsidR="008E4617" w:rsidRPr="00597647" w:rsidRDefault="008E4617" w:rsidP="008E4617">
      <w:pPr>
        <w:spacing w:after="0" w:line="240" w:lineRule="auto"/>
        <w:rPr>
          <w:rFonts w:cs="Times New Roman"/>
          <w:i/>
          <w:szCs w:val="24"/>
        </w:rPr>
      </w:pPr>
      <w:r w:rsidRPr="00597647">
        <w:rPr>
          <w:rFonts w:cs="Times New Roman"/>
          <w:i/>
          <w:szCs w:val="24"/>
        </w:rPr>
        <w:t>Wage Estimate</w:t>
      </w:r>
      <w:r w:rsidR="007F7EC5" w:rsidRPr="00597647">
        <w:rPr>
          <w:rFonts w:cs="Times New Roman"/>
          <w:i/>
          <w:szCs w:val="24"/>
        </w:rPr>
        <w:t>s</w:t>
      </w:r>
    </w:p>
    <w:p w14:paraId="5E0AC2C0" w14:textId="77777777" w:rsidR="008E4617" w:rsidRPr="00597647" w:rsidRDefault="008E4617" w:rsidP="008E4617">
      <w:pPr>
        <w:spacing w:after="0" w:line="240" w:lineRule="auto"/>
        <w:rPr>
          <w:rFonts w:cs="Times New Roman"/>
          <w:szCs w:val="24"/>
        </w:rPr>
      </w:pPr>
    </w:p>
    <w:p w14:paraId="35E78A35" w14:textId="7A94842B" w:rsidR="00486D6B" w:rsidRPr="00597647" w:rsidRDefault="00486D6B" w:rsidP="00486D6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r w:rsidRPr="00597647">
        <w:rPr>
          <w:rFonts w:cs="Times New Roman"/>
          <w:szCs w:val="24"/>
        </w:rPr>
        <w:t xml:space="preserve">To derive average costs, we used data from the U.S. Bureau of Labor Statistics’ May </w:t>
      </w:r>
      <w:r w:rsidR="005D17FB">
        <w:rPr>
          <w:rFonts w:cs="Times New Roman"/>
          <w:szCs w:val="24"/>
        </w:rPr>
        <w:t>2017</w:t>
      </w:r>
      <w:r w:rsidR="005D17FB" w:rsidRPr="00597647">
        <w:rPr>
          <w:rFonts w:cs="Times New Roman"/>
          <w:szCs w:val="24"/>
        </w:rPr>
        <w:t xml:space="preserve"> </w:t>
      </w:r>
      <w:r w:rsidRPr="00597647">
        <w:rPr>
          <w:rFonts w:cs="Times New Roman"/>
          <w:szCs w:val="24"/>
        </w:rPr>
        <w:t>National Occupational Employment and Wage Estimates for all salary estimates (</w:t>
      </w:r>
      <w:hyperlink r:id="rId10" w:history="1">
        <w:r w:rsidRPr="00597647">
          <w:rPr>
            <w:rStyle w:val="Hyperlink"/>
            <w:rFonts w:cs="Times New Roman"/>
            <w:szCs w:val="24"/>
          </w:rPr>
          <w:t>http://www.bls.gov/oes/current/oes_nat.htm</w:t>
        </w:r>
      </w:hyperlink>
      <w:r w:rsidRPr="00597647">
        <w:rPr>
          <w:rFonts w:cs="Times New Roman"/>
          <w:szCs w:val="24"/>
        </w:rPr>
        <w:t>). In this regard, Table 1 presents the mean hourly wage, the cost of fringe benefits (calculated at 100 percent of salary), and the adjusted hourly wage.</w:t>
      </w:r>
    </w:p>
    <w:p w14:paraId="0EADD20C" w14:textId="77777777" w:rsidR="00486D6B" w:rsidRPr="00597647" w:rsidRDefault="00486D6B" w:rsidP="00486D6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Cs w:val="24"/>
        </w:rPr>
      </w:pPr>
      <w:r w:rsidRPr="00597647">
        <w:rPr>
          <w:rFonts w:cs="Times New Roman"/>
          <w:b/>
          <w:szCs w:val="24"/>
        </w:rPr>
        <w:t>TABLE 1:  National Occupational Employment and Wage Estimates</w:t>
      </w:r>
    </w:p>
    <w:tbl>
      <w:tblPr>
        <w:tblW w:w="7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1486"/>
        <w:gridCol w:w="980"/>
        <w:gridCol w:w="1052"/>
        <w:gridCol w:w="1208"/>
      </w:tblGrid>
      <w:tr w:rsidR="00486D6B" w:rsidRPr="00597647" w14:paraId="28A7B7D5" w14:textId="77777777" w:rsidTr="001F43BF">
        <w:trPr>
          <w:trHeight w:val="960"/>
          <w:jc w:val="center"/>
        </w:trPr>
        <w:tc>
          <w:tcPr>
            <w:tcW w:w="3019" w:type="dxa"/>
            <w:shd w:val="clear" w:color="auto" w:fill="auto"/>
            <w:vAlign w:val="center"/>
            <w:hideMark/>
          </w:tcPr>
          <w:p w14:paraId="3D5FD214" w14:textId="77777777" w:rsidR="00486D6B" w:rsidRPr="00597647" w:rsidRDefault="00486D6B" w:rsidP="001F43BF">
            <w:pPr>
              <w:keepNext/>
              <w:rPr>
                <w:rFonts w:cs="Times New Roman"/>
                <w:b/>
                <w:color w:val="000000"/>
                <w:szCs w:val="24"/>
              </w:rPr>
            </w:pPr>
            <w:r w:rsidRPr="00597647">
              <w:rPr>
                <w:rFonts w:cs="Times New Roman"/>
                <w:b/>
                <w:color w:val="000000"/>
                <w:szCs w:val="24"/>
              </w:rPr>
              <w:t>Occupation Title</w:t>
            </w:r>
          </w:p>
        </w:tc>
        <w:tc>
          <w:tcPr>
            <w:tcW w:w="1486" w:type="dxa"/>
            <w:shd w:val="clear" w:color="auto" w:fill="auto"/>
            <w:vAlign w:val="center"/>
            <w:hideMark/>
          </w:tcPr>
          <w:p w14:paraId="200B1A31" w14:textId="77777777" w:rsidR="00486D6B" w:rsidRPr="00597647" w:rsidRDefault="00486D6B" w:rsidP="001F43BF">
            <w:pPr>
              <w:keepNext/>
              <w:rPr>
                <w:rFonts w:cs="Times New Roman"/>
                <w:b/>
                <w:color w:val="000000"/>
                <w:szCs w:val="24"/>
              </w:rPr>
            </w:pPr>
            <w:r w:rsidRPr="00597647">
              <w:rPr>
                <w:rFonts w:cs="Times New Roman"/>
                <w:b/>
                <w:color w:val="000000"/>
                <w:szCs w:val="24"/>
              </w:rPr>
              <w:t>Occupation Code</w:t>
            </w:r>
          </w:p>
        </w:tc>
        <w:tc>
          <w:tcPr>
            <w:tcW w:w="980" w:type="dxa"/>
            <w:shd w:val="clear" w:color="auto" w:fill="auto"/>
            <w:vAlign w:val="center"/>
            <w:hideMark/>
          </w:tcPr>
          <w:p w14:paraId="64F883DE" w14:textId="77777777" w:rsidR="00486D6B" w:rsidRPr="00597647" w:rsidRDefault="00486D6B" w:rsidP="001F43BF">
            <w:pPr>
              <w:keepNext/>
              <w:rPr>
                <w:rFonts w:cs="Times New Roman"/>
                <w:b/>
                <w:color w:val="000000"/>
                <w:szCs w:val="24"/>
              </w:rPr>
            </w:pPr>
            <w:r w:rsidRPr="00597647">
              <w:rPr>
                <w:rFonts w:cs="Times New Roman"/>
                <w:b/>
                <w:color w:val="000000"/>
                <w:szCs w:val="24"/>
              </w:rPr>
              <w:t>Mean Hourly Wage ($/hr)</w:t>
            </w:r>
          </w:p>
        </w:tc>
        <w:tc>
          <w:tcPr>
            <w:tcW w:w="1052" w:type="dxa"/>
            <w:shd w:val="clear" w:color="auto" w:fill="auto"/>
            <w:vAlign w:val="center"/>
            <w:hideMark/>
          </w:tcPr>
          <w:p w14:paraId="2CE7D316" w14:textId="77777777" w:rsidR="00486D6B" w:rsidRPr="00597647" w:rsidRDefault="00486D6B" w:rsidP="001F43BF">
            <w:pPr>
              <w:keepNext/>
              <w:rPr>
                <w:rFonts w:cs="Times New Roman"/>
                <w:b/>
                <w:color w:val="000000"/>
                <w:szCs w:val="24"/>
              </w:rPr>
            </w:pPr>
            <w:r w:rsidRPr="00597647">
              <w:rPr>
                <w:rFonts w:cs="Times New Roman"/>
                <w:b/>
                <w:color w:val="000000"/>
                <w:szCs w:val="24"/>
              </w:rPr>
              <w:t>Fringe Benefit ($/hr)</w:t>
            </w:r>
          </w:p>
        </w:tc>
        <w:tc>
          <w:tcPr>
            <w:tcW w:w="1208" w:type="dxa"/>
            <w:shd w:val="clear" w:color="auto" w:fill="auto"/>
            <w:vAlign w:val="center"/>
            <w:hideMark/>
          </w:tcPr>
          <w:p w14:paraId="5499BAFF" w14:textId="77777777" w:rsidR="00486D6B" w:rsidRPr="00597647" w:rsidRDefault="00486D6B" w:rsidP="001F43BF">
            <w:pPr>
              <w:keepNext/>
              <w:rPr>
                <w:rFonts w:cs="Times New Roman"/>
                <w:b/>
                <w:color w:val="000000"/>
                <w:szCs w:val="24"/>
              </w:rPr>
            </w:pPr>
            <w:r w:rsidRPr="00597647">
              <w:rPr>
                <w:rFonts w:cs="Times New Roman"/>
                <w:b/>
                <w:color w:val="000000"/>
                <w:szCs w:val="24"/>
              </w:rPr>
              <w:t>Adjusted Hourly Wage ($/hr)</w:t>
            </w:r>
          </w:p>
        </w:tc>
      </w:tr>
      <w:tr w:rsidR="00486D6B" w:rsidRPr="00597647" w14:paraId="7FB0F22D" w14:textId="77777777" w:rsidTr="001F43BF">
        <w:trPr>
          <w:trHeight w:val="330"/>
          <w:jc w:val="center"/>
        </w:trPr>
        <w:tc>
          <w:tcPr>
            <w:tcW w:w="3019" w:type="dxa"/>
            <w:shd w:val="clear" w:color="auto" w:fill="auto"/>
            <w:vAlign w:val="center"/>
            <w:hideMark/>
          </w:tcPr>
          <w:p w14:paraId="45442F22" w14:textId="77777777" w:rsidR="00486D6B" w:rsidRPr="00597647" w:rsidRDefault="00486D6B" w:rsidP="001F43BF">
            <w:pPr>
              <w:keepNext/>
              <w:rPr>
                <w:rFonts w:cs="Times New Roman"/>
                <w:color w:val="000000"/>
                <w:szCs w:val="24"/>
              </w:rPr>
            </w:pPr>
            <w:r w:rsidRPr="00597647">
              <w:rPr>
                <w:rFonts w:cs="Times New Roman"/>
                <w:color w:val="000000"/>
                <w:szCs w:val="24"/>
              </w:rPr>
              <w:t>Data Entry Keyers</w:t>
            </w:r>
          </w:p>
        </w:tc>
        <w:tc>
          <w:tcPr>
            <w:tcW w:w="1486" w:type="dxa"/>
            <w:shd w:val="clear" w:color="auto" w:fill="auto"/>
            <w:vAlign w:val="center"/>
            <w:hideMark/>
          </w:tcPr>
          <w:p w14:paraId="63D11380" w14:textId="77777777" w:rsidR="00486D6B" w:rsidRPr="00597647" w:rsidRDefault="00486D6B" w:rsidP="001F43BF">
            <w:pPr>
              <w:keepNext/>
              <w:rPr>
                <w:rFonts w:cs="Times New Roman"/>
                <w:color w:val="000000"/>
                <w:szCs w:val="24"/>
              </w:rPr>
            </w:pPr>
            <w:r w:rsidRPr="00597647">
              <w:rPr>
                <w:rFonts w:cs="Times New Roman"/>
                <w:color w:val="000000"/>
                <w:szCs w:val="24"/>
              </w:rPr>
              <w:t>43-9021</w:t>
            </w:r>
          </w:p>
        </w:tc>
        <w:tc>
          <w:tcPr>
            <w:tcW w:w="980" w:type="dxa"/>
            <w:shd w:val="clear" w:color="auto" w:fill="auto"/>
            <w:vAlign w:val="center"/>
            <w:hideMark/>
          </w:tcPr>
          <w:p w14:paraId="66E601C5" w14:textId="2E9F5DCF" w:rsidR="00486D6B" w:rsidRPr="00597647" w:rsidRDefault="005D17FB" w:rsidP="001F43BF">
            <w:pPr>
              <w:keepNext/>
              <w:rPr>
                <w:rFonts w:cs="Times New Roman"/>
                <w:color w:val="000000"/>
                <w:szCs w:val="24"/>
              </w:rPr>
            </w:pPr>
            <w:r>
              <w:rPr>
                <w:rFonts w:cs="Times New Roman"/>
                <w:color w:val="000000"/>
                <w:szCs w:val="24"/>
              </w:rPr>
              <w:t>15.64</w:t>
            </w:r>
          </w:p>
        </w:tc>
        <w:tc>
          <w:tcPr>
            <w:tcW w:w="1052" w:type="dxa"/>
            <w:shd w:val="clear" w:color="auto" w:fill="auto"/>
            <w:vAlign w:val="center"/>
            <w:hideMark/>
          </w:tcPr>
          <w:p w14:paraId="20DECE77" w14:textId="32DE8F2A" w:rsidR="00486D6B" w:rsidRPr="00597647" w:rsidRDefault="005D17FB" w:rsidP="001F43BF">
            <w:pPr>
              <w:keepNext/>
              <w:rPr>
                <w:rFonts w:cs="Times New Roman"/>
                <w:color w:val="000000"/>
                <w:szCs w:val="24"/>
              </w:rPr>
            </w:pPr>
            <w:r>
              <w:rPr>
                <w:rFonts w:cs="Times New Roman"/>
                <w:color w:val="000000"/>
                <w:szCs w:val="24"/>
              </w:rPr>
              <w:t>15.64</w:t>
            </w:r>
          </w:p>
        </w:tc>
        <w:tc>
          <w:tcPr>
            <w:tcW w:w="1208" w:type="dxa"/>
            <w:shd w:val="clear" w:color="auto" w:fill="auto"/>
            <w:vAlign w:val="center"/>
            <w:hideMark/>
          </w:tcPr>
          <w:p w14:paraId="1EA3744A" w14:textId="1F27043E" w:rsidR="00486D6B" w:rsidRPr="00597647" w:rsidRDefault="00665304" w:rsidP="001F43BF">
            <w:pPr>
              <w:keepNext/>
              <w:rPr>
                <w:rFonts w:cs="Times New Roman"/>
                <w:color w:val="000000"/>
                <w:szCs w:val="24"/>
              </w:rPr>
            </w:pPr>
            <w:r>
              <w:rPr>
                <w:rFonts w:cs="Times New Roman"/>
                <w:color w:val="000000"/>
                <w:szCs w:val="24"/>
              </w:rPr>
              <w:t>31.28</w:t>
            </w:r>
          </w:p>
        </w:tc>
      </w:tr>
      <w:tr w:rsidR="00486D6B" w:rsidRPr="00597647" w14:paraId="17570E5A" w14:textId="77777777" w:rsidTr="001F43BF">
        <w:trPr>
          <w:trHeight w:val="330"/>
          <w:jc w:val="center"/>
        </w:trPr>
        <w:tc>
          <w:tcPr>
            <w:tcW w:w="3019" w:type="dxa"/>
            <w:shd w:val="clear" w:color="auto" w:fill="auto"/>
            <w:vAlign w:val="center"/>
            <w:hideMark/>
          </w:tcPr>
          <w:p w14:paraId="4247AA80" w14:textId="77777777" w:rsidR="00486D6B" w:rsidRPr="00597647" w:rsidRDefault="00486D6B" w:rsidP="001F43BF">
            <w:pPr>
              <w:keepNext/>
              <w:rPr>
                <w:rFonts w:cs="Times New Roman"/>
                <w:color w:val="000000"/>
                <w:szCs w:val="24"/>
              </w:rPr>
            </w:pPr>
            <w:r w:rsidRPr="00597647">
              <w:rPr>
                <w:rFonts w:cs="Times New Roman"/>
                <w:color w:val="000000"/>
                <w:szCs w:val="24"/>
              </w:rPr>
              <w:t>Social Science Research Assistants</w:t>
            </w:r>
          </w:p>
        </w:tc>
        <w:tc>
          <w:tcPr>
            <w:tcW w:w="1486" w:type="dxa"/>
            <w:shd w:val="clear" w:color="auto" w:fill="auto"/>
            <w:vAlign w:val="center"/>
            <w:hideMark/>
          </w:tcPr>
          <w:p w14:paraId="5264B79B" w14:textId="77777777" w:rsidR="00486D6B" w:rsidRPr="00597647" w:rsidRDefault="00486D6B" w:rsidP="001F43BF">
            <w:pPr>
              <w:keepNext/>
              <w:rPr>
                <w:rFonts w:cs="Times New Roman"/>
                <w:color w:val="000000"/>
                <w:szCs w:val="24"/>
              </w:rPr>
            </w:pPr>
            <w:r w:rsidRPr="00597647">
              <w:rPr>
                <w:rFonts w:cs="Times New Roman"/>
                <w:color w:val="000000"/>
                <w:szCs w:val="24"/>
              </w:rPr>
              <w:t>19-4061</w:t>
            </w:r>
          </w:p>
        </w:tc>
        <w:tc>
          <w:tcPr>
            <w:tcW w:w="980" w:type="dxa"/>
            <w:shd w:val="clear" w:color="auto" w:fill="auto"/>
            <w:vAlign w:val="center"/>
            <w:hideMark/>
          </w:tcPr>
          <w:p w14:paraId="7CE49D9B" w14:textId="36DA8B07" w:rsidR="00486D6B" w:rsidRPr="00597647" w:rsidRDefault="00BA1586" w:rsidP="001F43BF">
            <w:pPr>
              <w:keepNext/>
              <w:rPr>
                <w:rFonts w:cs="Times New Roman"/>
                <w:color w:val="000000"/>
                <w:szCs w:val="24"/>
              </w:rPr>
            </w:pPr>
            <w:r>
              <w:rPr>
                <w:rFonts w:cs="Times New Roman"/>
                <w:color w:val="000000"/>
                <w:szCs w:val="24"/>
              </w:rPr>
              <w:t>23.57</w:t>
            </w:r>
          </w:p>
        </w:tc>
        <w:tc>
          <w:tcPr>
            <w:tcW w:w="1052" w:type="dxa"/>
            <w:shd w:val="clear" w:color="auto" w:fill="auto"/>
            <w:vAlign w:val="center"/>
            <w:hideMark/>
          </w:tcPr>
          <w:p w14:paraId="697F3D84" w14:textId="79145079" w:rsidR="00486D6B" w:rsidRPr="00597647" w:rsidRDefault="00BA1586" w:rsidP="00BA1586">
            <w:pPr>
              <w:keepNext/>
              <w:rPr>
                <w:rFonts w:cs="Times New Roman"/>
                <w:color w:val="000000"/>
                <w:szCs w:val="24"/>
              </w:rPr>
            </w:pPr>
            <w:r>
              <w:rPr>
                <w:rFonts w:cs="Times New Roman"/>
                <w:color w:val="000000"/>
                <w:szCs w:val="24"/>
              </w:rPr>
              <w:t>23.57</w:t>
            </w:r>
          </w:p>
        </w:tc>
        <w:tc>
          <w:tcPr>
            <w:tcW w:w="1208" w:type="dxa"/>
            <w:shd w:val="clear" w:color="auto" w:fill="auto"/>
            <w:vAlign w:val="center"/>
            <w:hideMark/>
          </w:tcPr>
          <w:p w14:paraId="5167D4AF" w14:textId="1B60365C" w:rsidR="00486D6B" w:rsidRPr="00597647" w:rsidRDefault="00BA1586" w:rsidP="001F43BF">
            <w:pPr>
              <w:keepNext/>
              <w:rPr>
                <w:rFonts w:cs="Times New Roman"/>
                <w:color w:val="000000"/>
                <w:szCs w:val="24"/>
              </w:rPr>
            </w:pPr>
            <w:r>
              <w:rPr>
                <w:rFonts w:cs="Times New Roman"/>
                <w:color w:val="000000"/>
                <w:szCs w:val="24"/>
              </w:rPr>
              <w:t>47.14</w:t>
            </w:r>
          </w:p>
        </w:tc>
      </w:tr>
    </w:tbl>
    <w:p w14:paraId="01CE3ED5" w14:textId="77777777" w:rsidR="00486D6B" w:rsidRPr="00597647" w:rsidRDefault="00486D6B" w:rsidP="00486D6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Cs w:val="24"/>
        </w:rPr>
      </w:pPr>
    </w:p>
    <w:p w14:paraId="604D2454" w14:textId="5C44F34E" w:rsidR="00486D6B" w:rsidRPr="00597647" w:rsidRDefault="00486D6B" w:rsidP="00486D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597647">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other practical alternative and we believe that doubling the hourly wage to estimate total cost is a reasonably accurate estimation method</w:t>
      </w:r>
    </w:p>
    <w:p w14:paraId="29145D98" w14:textId="77777777" w:rsidR="00486D6B" w:rsidRPr="00113264" w:rsidRDefault="00486D6B" w:rsidP="00486D6B">
      <w:pPr>
        <w:pStyle w:val="Heading3"/>
        <w:rPr>
          <w:rFonts w:ascii="Times New Roman" w:hAnsi="Times New Roman" w:cs="Times New Roman"/>
          <w:i/>
          <w:color w:val="auto"/>
        </w:rPr>
      </w:pPr>
      <w:r w:rsidRPr="00113264">
        <w:rPr>
          <w:rFonts w:ascii="Times New Roman" w:hAnsi="Times New Roman" w:cs="Times New Roman"/>
          <w:i/>
          <w:color w:val="auto"/>
        </w:rPr>
        <w:t>Burden Estimates</w:t>
      </w:r>
    </w:p>
    <w:p w14:paraId="0A80FE51" w14:textId="77777777" w:rsidR="008B22A0" w:rsidRDefault="008B22A0" w:rsidP="00486D6B">
      <w:pPr>
        <w:ind w:firstLine="720"/>
        <w:rPr>
          <w:rFonts w:cs="Times New Roman"/>
          <w:szCs w:val="24"/>
        </w:rPr>
      </w:pPr>
    </w:p>
    <w:p w14:paraId="6A0E9B57" w14:textId="25AE21D5" w:rsidR="00486D6B" w:rsidRPr="00597647" w:rsidRDefault="00597647" w:rsidP="00486D6B">
      <w:pPr>
        <w:ind w:firstLine="720"/>
        <w:rPr>
          <w:rFonts w:cs="Times New Roman"/>
          <w:szCs w:val="24"/>
        </w:rPr>
      </w:pPr>
      <w:r>
        <w:rPr>
          <w:rFonts w:cs="Times New Roman"/>
          <w:szCs w:val="24"/>
        </w:rPr>
        <w:t>S</w:t>
      </w:r>
      <w:r w:rsidR="00486D6B" w:rsidRPr="00597647">
        <w:rPr>
          <w:rFonts w:cs="Times New Roman"/>
          <w:szCs w:val="24"/>
        </w:rPr>
        <w:t xml:space="preserve">tates </w:t>
      </w:r>
      <w:r>
        <w:rPr>
          <w:rFonts w:cs="Times New Roman"/>
          <w:szCs w:val="24"/>
        </w:rPr>
        <w:t xml:space="preserve">that choose </w:t>
      </w:r>
      <w:r w:rsidR="00486D6B" w:rsidRPr="00597647">
        <w:rPr>
          <w:rFonts w:cs="Times New Roman"/>
          <w:szCs w:val="24"/>
        </w:rPr>
        <w:t xml:space="preserve">to demonstrate compliance </w:t>
      </w:r>
      <w:r>
        <w:rPr>
          <w:rFonts w:cs="Times New Roman"/>
          <w:szCs w:val="24"/>
        </w:rPr>
        <w:t>will fill</w:t>
      </w:r>
      <w:r w:rsidR="00486D6B" w:rsidRPr="00597647">
        <w:rPr>
          <w:rFonts w:cs="Times New Roman"/>
          <w:szCs w:val="24"/>
        </w:rPr>
        <w:t xml:space="preserve"> in their Medicaid specific DME fee schedules onto the attached </w:t>
      </w:r>
      <w:r w:rsidR="00005510">
        <w:rPr>
          <w:rFonts w:cs="Times New Roman"/>
          <w:szCs w:val="24"/>
        </w:rPr>
        <w:t>calculation tool</w:t>
      </w:r>
      <w:r w:rsidR="00005510" w:rsidRPr="00597647">
        <w:rPr>
          <w:rFonts w:cs="Times New Roman"/>
          <w:szCs w:val="24"/>
        </w:rPr>
        <w:t xml:space="preserve"> </w:t>
      </w:r>
      <w:r w:rsidR="00486D6B" w:rsidRPr="00597647">
        <w:rPr>
          <w:rFonts w:cs="Times New Roman"/>
          <w:szCs w:val="24"/>
        </w:rPr>
        <w:t xml:space="preserve">with the relevant information- </w:t>
      </w:r>
      <w:r w:rsidR="00A146D5" w:rsidRPr="00597647">
        <w:rPr>
          <w:rFonts w:cs="Times New Roman"/>
          <w:szCs w:val="24"/>
        </w:rPr>
        <w:t xml:space="preserve">the </w:t>
      </w:r>
      <w:r w:rsidR="00486D6B" w:rsidRPr="00597647">
        <w:rPr>
          <w:rFonts w:cs="Times New Roman"/>
          <w:szCs w:val="24"/>
        </w:rPr>
        <w:t>HCPCS code</w:t>
      </w:r>
      <w:r w:rsidR="00A146D5" w:rsidRPr="00597647">
        <w:rPr>
          <w:rFonts w:cs="Times New Roman"/>
          <w:szCs w:val="24"/>
        </w:rPr>
        <w:t xml:space="preserve">s in </w:t>
      </w:r>
      <w:r w:rsidR="00486D6B" w:rsidRPr="00597647">
        <w:rPr>
          <w:rFonts w:cs="Times New Roman"/>
          <w:szCs w:val="24"/>
        </w:rPr>
        <w:t>series A, K, &amp; E only</w:t>
      </w:r>
      <w:r w:rsidR="003D191C">
        <w:rPr>
          <w:rFonts w:cs="Times New Roman"/>
          <w:szCs w:val="24"/>
        </w:rPr>
        <w:t xml:space="preserve"> </w:t>
      </w:r>
      <w:r w:rsidR="00486D6B" w:rsidRPr="00597647">
        <w:rPr>
          <w:rFonts w:cs="Times New Roman"/>
          <w:szCs w:val="24"/>
        </w:rPr>
        <w:t>that are relevant to this information collection of durable medical equipment</w:t>
      </w:r>
      <w:r w:rsidR="003D191C">
        <w:rPr>
          <w:rFonts w:cs="Times New Roman"/>
          <w:szCs w:val="24"/>
        </w:rPr>
        <w:t xml:space="preserve"> (in 2017 approximately 244 relevant codes)</w:t>
      </w:r>
      <w:r w:rsidR="00486D6B" w:rsidRPr="00597647">
        <w:rPr>
          <w:rFonts w:cs="Times New Roman"/>
          <w:szCs w:val="24"/>
        </w:rPr>
        <w:t xml:space="preserve">. The </w:t>
      </w:r>
      <w:r w:rsidR="00005510">
        <w:rPr>
          <w:rFonts w:cs="Times New Roman"/>
          <w:szCs w:val="24"/>
        </w:rPr>
        <w:t>calculation tool</w:t>
      </w:r>
      <w:r w:rsidR="00005510" w:rsidRPr="00597647">
        <w:rPr>
          <w:rFonts w:cs="Times New Roman"/>
          <w:szCs w:val="24"/>
        </w:rPr>
        <w:t xml:space="preserve"> </w:t>
      </w:r>
      <w:r w:rsidR="00486D6B" w:rsidRPr="00597647">
        <w:rPr>
          <w:rFonts w:cs="Times New Roman"/>
          <w:szCs w:val="24"/>
        </w:rPr>
        <w:t xml:space="preserve">information should also include all relevant modifiers for the codes, descriptors for these codes, Medicaid fee schedule rates, and the claims volume for each unique combination of the codes for </w:t>
      </w:r>
      <w:r w:rsidR="00A146D5" w:rsidRPr="00597647">
        <w:rPr>
          <w:rFonts w:cs="Times New Roman"/>
          <w:szCs w:val="24"/>
        </w:rPr>
        <w:t xml:space="preserve">each calendar year, </w:t>
      </w:r>
      <w:r w:rsidR="00486D6B" w:rsidRPr="00597647">
        <w:rPr>
          <w:rFonts w:cs="Times New Roman"/>
          <w:szCs w:val="24"/>
        </w:rPr>
        <w:t>all submitted annually.  We understand that most states use Medicare’s coding system, but some states develop their own coding system, and this needs to be explained</w:t>
      </w:r>
      <w:r w:rsidR="003D191C">
        <w:rPr>
          <w:rFonts w:cs="Times New Roman"/>
          <w:szCs w:val="24"/>
        </w:rPr>
        <w:t xml:space="preserve"> in their submission</w:t>
      </w:r>
      <w:r w:rsidR="00486D6B" w:rsidRPr="00597647">
        <w:rPr>
          <w:rFonts w:cs="Times New Roman"/>
          <w:szCs w:val="24"/>
        </w:rPr>
        <w:t xml:space="preserve">.  We would also need the definitions of the state modifiers, if not using the Medicare coding modifiers.  However, not all states will have to complete this </w:t>
      </w:r>
      <w:r w:rsidR="00B75490">
        <w:rPr>
          <w:rFonts w:cs="Times New Roman"/>
          <w:szCs w:val="24"/>
        </w:rPr>
        <w:t>calculation tool</w:t>
      </w:r>
      <w:r w:rsidR="00486D6B" w:rsidRPr="00597647">
        <w:rPr>
          <w:rFonts w:cs="Times New Roman"/>
          <w:szCs w:val="24"/>
        </w:rPr>
        <w:t>. States that pay the same as Medicare or some percentage at or lower than 100% of the Medicare fee schedule or its equivalent</w:t>
      </w:r>
      <w:r w:rsidR="00B75490">
        <w:rPr>
          <w:rFonts w:cs="Times New Roman"/>
          <w:szCs w:val="24"/>
        </w:rPr>
        <w:t xml:space="preserve"> in the aggregate</w:t>
      </w:r>
      <w:r w:rsidR="00486D6B" w:rsidRPr="00597647">
        <w:rPr>
          <w:rFonts w:cs="Times New Roman"/>
          <w:szCs w:val="24"/>
        </w:rPr>
        <w:t xml:space="preserve">, will not have to complete this </w:t>
      </w:r>
      <w:r w:rsidR="00B75490">
        <w:rPr>
          <w:rFonts w:cs="Times New Roman"/>
          <w:szCs w:val="24"/>
        </w:rPr>
        <w:t>calculation tool</w:t>
      </w:r>
      <w:r w:rsidR="00B75490" w:rsidRPr="00597647">
        <w:rPr>
          <w:rFonts w:cs="Times New Roman"/>
          <w:szCs w:val="24"/>
        </w:rPr>
        <w:t xml:space="preserve"> </w:t>
      </w:r>
      <w:r>
        <w:rPr>
          <w:rFonts w:cs="Times New Roman"/>
          <w:szCs w:val="24"/>
        </w:rPr>
        <w:t>to show compliance with this statute</w:t>
      </w:r>
      <w:r w:rsidR="00B75490">
        <w:rPr>
          <w:rFonts w:cs="Times New Roman"/>
          <w:szCs w:val="24"/>
        </w:rPr>
        <w:t>, as long as they can show that their rates are at or below the relevant Medicare rates in the aggregate</w:t>
      </w:r>
      <w:r w:rsidR="00486D6B" w:rsidRPr="00597647">
        <w:rPr>
          <w:rFonts w:cs="Times New Roman"/>
          <w:szCs w:val="24"/>
        </w:rPr>
        <w:t xml:space="preserve">.  We do not know how many states will be exempt from these requirements, so we will assume that the burden will fall on all 50 states, the District of Columbia, and potentially all 5 territories, for a total of </w:t>
      </w:r>
      <w:r w:rsidR="00486D6B" w:rsidRPr="00597647">
        <w:rPr>
          <w:rFonts w:cs="Times New Roman"/>
          <w:b/>
          <w:szCs w:val="24"/>
        </w:rPr>
        <w:t>56 entities</w:t>
      </w:r>
      <w:r w:rsidR="00486D6B" w:rsidRPr="00597647">
        <w:rPr>
          <w:rFonts w:cs="Times New Roman"/>
          <w:szCs w:val="24"/>
        </w:rPr>
        <w:t xml:space="preserve">, hereafter referred to simply as states.  </w:t>
      </w:r>
    </w:p>
    <w:p w14:paraId="4D6A41A8" w14:textId="5599C84E" w:rsidR="00486D6B" w:rsidRPr="00597647" w:rsidRDefault="00486D6B" w:rsidP="00486D6B">
      <w:pPr>
        <w:ind w:firstLine="720"/>
        <w:rPr>
          <w:rFonts w:cs="Times New Roman"/>
          <w:szCs w:val="24"/>
        </w:rPr>
      </w:pPr>
      <w:r w:rsidRPr="00597647">
        <w:rPr>
          <w:rFonts w:cs="Times New Roman"/>
          <w:szCs w:val="24"/>
        </w:rPr>
        <w:t xml:space="preserve">We estimate that each state that is required to complete the </w:t>
      </w:r>
      <w:r w:rsidR="00B75490">
        <w:rPr>
          <w:rFonts w:cs="Times New Roman"/>
          <w:szCs w:val="24"/>
        </w:rPr>
        <w:t>calculation tool</w:t>
      </w:r>
      <w:r w:rsidRPr="00597647">
        <w:rPr>
          <w:rFonts w:cs="Times New Roman"/>
          <w:szCs w:val="24"/>
        </w:rPr>
        <w:t xml:space="preserve">, will complete the collection of information and submit to us by email in </w:t>
      </w:r>
      <w:r w:rsidRPr="00597647">
        <w:rPr>
          <w:rFonts w:cs="Times New Roman"/>
          <w:b/>
          <w:szCs w:val="24"/>
        </w:rPr>
        <w:t>8 hours</w:t>
      </w:r>
      <w:r w:rsidRPr="00597647">
        <w:rPr>
          <w:rFonts w:cs="Times New Roman"/>
          <w:szCs w:val="24"/>
        </w:rPr>
        <w:t xml:space="preserve"> for the initial year, and within </w:t>
      </w:r>
      <w:r w:rsidRPr="00597647">
        <w:rPr>
          <w:rFonts w:cs="Times New Roman"/>
          <w:b/>
          <w:szCs w:val="24"/>
        </w:rPr>
        <w:t>8 hours</w:t>
      </w:r>
      <w:r w:rsidRPr="00597647">
        <w:rPr>
          <w:rFonts w:cs="Times New Roman"/>
          <w:szCs w:val="24"/>
        </w:rPr>
        <w:t xml:space="preserve"> for each subsequent reporting year.  This includes the requirements for states to submit </w:t>
      </w:r>
      <w:r w:rsidR="00B75490">
        <w:rPr>
          <w:rFonts w:cs="Times New Roman"/>
          <w:szCs w:val="24"/>
        </w:rPr>
        <w:t>data in the</w:t>
      </w:r>
      <w:r w:rsidRPr="00597647">
        <w:rPr>
          <w:rFonts w:cs="Times New Roman"/>
          <w:szCs w:val="24"/>
        </w:rPr>
        <w:t xml:space="preserve"> </w:t>
      </w:r>
      <w:r w:rsidR="00B75490">
        <w:rPr>
          <w:rFonts w:cs="Times New Roman"/>
          <w:szCs w:val="24"/>
        </w:rPr>
        <w:t>calculation tool</w:t>
      </w:r>
      <w:r w:rsidR="00B75490" w:rsidRPr="00597647">
        <w:rPr>
          <w:rFonts w:cs="Times New Roman"/>
          <w:szCs w:val="24"/>
        </w:rPr>
        <w:t xml:space="preserve"> </w:t>
      </w:r>
      <w:r w:rsidRPr="00597647">
        <w:rPr>
          <w:rFonts w:cs="Times New Roman"/>
          <w:szCs w:val="24"/>
        </w:rPr>
        <w:t xml:space="preserve">within </w:t>
      </w:r>
      <w:r w:rsidR="00B33AE3">
        <w:rPr>
          <w:rFonts w:cs="Times New Roman"/>
          <w:szCs w:val="24"/>
        </w:rPr>
        <w:t xml:space="preserve">three </w:t>
      </w:r>
      <w:r w:rsidRPr="00597647">
        <w:rPr>
          <w:rFonts w:cs="Times New Roman"/>
          <w:szCs w:val="24"/>
        </w:rPr>
        <w:t xml:space="preserve">months after the end of </w:t>
      </w:r>
      <w:r w:rsidR="00A146D5" w:rsidRPr="00597647">
        <w:rPr>
          <w:rFonts w:cs="Times New Roman"/>
          <w:szCs w:val="24"/>
        </w:rPr>
        <w:t>each calendar year</w:t>
      </w:r>
      <w:r w:rsidRPr="00597647">
        <w:rPr>
          <w:rFonts w:cs="Times New Roman"/>
          <w:szCs w:val="24"/>
        </w:rPr>
        <w:t xml:space="preserve">, for the prior </w:t>
      </w:r>
      <w:r w:rsidR="00597647">
        <w:rPr>
          <w:rFonts w:cs="Times New Roman"/>
          <w:szCs w:val="24"/>
        </w:rPr>
        <w:t xml:space="preserve">calendar </w:t>
      </w:r>
      <w:r w:rsidRPr="00597647">
        <w:rPr>
          <w:rFonts w:cs="Times New Roman"/>
          <w:szCs w:val="24"/>
        </w:rPr>
        <w:t xml:space="preserve">year.  </w:t>
      </w:r>
    </w:p>
    <w:p w14:paraId="006596D6" w14:textId="15DB0392" w:rsidR="00486D6B" w:rsidRPr="00597647" w:rsidRDefault="00486D6B" w:rsidP="00486D6B">
      <w:pPr>
        <w:ind w:firstLine="720"/>
        <w:rPr>
          <w:rFonts w:cs="Times New Roman"/>
          <w:szCs w:val="24"/>
        </w:rPr>
      </w:pPr>
      <w:r w:rsidRPr="00597647">
        <w:rPr>
          <w:rFonts w:cs="Times New Roman"/>
          <w:szCs w:val="24"/>
        </w:rPr>
        <w:t xml:space="preserve">The 8 hour estimate takes into account the time to convert the fee schedule into a spreadsheet format that will be submitted to us for analysis in </w:t>
      </w:r>
      <w:r w:rsidR="00B75490">
        <w:rPr>
          <w:rFonts w:cs="Times New Roman"/>
          <w:szCs w:val="24"/>
        </w:rPr>
        <w:t>the calculation tool</w:t>
      </w:r>
      <w:r w:rsidR="00B75490" w:rsidRPr="00597647">
        <w:rPr>
          <w:rFonts w:cs="Times New Roman"/>
          <w:szCs w:val="24"/>
        </w:rPr>
        <w:t xml:space="preserve"> </w:t>
      </w:r>
      <w:r w:rsidRPr="00597647">
        <w:rPr>
          <w:rFonts w:cs="Times New Roman"/>
          <w:szCs w:val="24"/>
        </w:rPr>
        <w:t xml:space="preserve">to ensure compliance with the statute and time for a more senior person to review the submission before submitting this to </w:t>
      </w:r>
      <w:r w:rsidR="00597647">
        <w:rPr>
          <w:rFonts w:cs="Times New Roman"/>
          <w:szCs w:val="24"/>
        </w:rPr>
        <w:t>CMS</w:t>
      </w:r>
      <w:r w:rsidRPr="00597647">
        <w:rPr>
          <w:rFonts w:cs="Times New Roman"/>
          <w:szCs w:val="24"/>
        </w:rPr>
        <w:t>.</w:t>
      </w:r>
    </w:p>
    <w:p w14:paraId="54584A2F" w14:textId="073629B8" w:rsidR="00486D6B" w:rsidRPr="00597647" w:rsidRDefault="00486D6B" w:rsidP="00486D6B">
      <w:pPr>
        <w:ind w:firstLine="720"/>
        <w:rPr>
          <w:rFonts w:cs="Times New Roman"/>
          <w:szCs w:val="24"/>
        </w:rPr>
      </w:pPr>
      <w:r w:rsidRPr="00597647">
        <w:rPr>
          <w:rFonts w:cs="Times New Roman"/>
          <w:szCs w:val="24"/>
        </w:rPr>
        <w:t>Of those 8 hours, we expect a Data Entry Keyer would need no more than 7 hours at $3</w:t>
      </w:r>
      <w:r w:rsidR="000E0CD9">
        <w:rPr>
          <w:rFonts w:cs="Times New Roman"/>
          <w:szCs w:val="24"/>
        </w:rPr>
        <w:t>1.28</w:t>
      </w:r>
      <w:r w:rsidRPr="00597647">
        <w:rPr>
          <w:rFonts w:cs="Times New Roman"/>
          <w:szCs w:val="24"/>
        </w:rPr>
        <w:t>/hr to complete the initial and subsequent years</w:t>
      </w:r>
      <w:r w:rsidR="00597647">
        <w:rPr>
          <w:rFonts w:cs="Times New Roman"/>
          <w:szCs w:val="24"/>
        </w:rPr>
        <w:t>’</w:t>
      </w:r>
      <w:r w:rsidRPr="00597647">
        <w:rPr>
          <w:rFonts w:cs="Times New Roman"/>
          <w:szCs w:val="24"/>
        </w:rPr>
        <w:t xml:space="preserve"> of data transfer of the relevant fee schedules into the provided </w:t>
      </w:r>
      <w:r w:rsidR="00B75490">
        <w:rPr>
          <w:rFonts w:cs="Times New Roman"/>
          <w:szCs w:val="24"/>
        </w:rPr>
        <w:t>calculation tool</w:t>
      </w:r>
      <w:r w:rsidRPr="00597647">
        <w:rPr>
          <w:rFonts w:cs="Times New Roman"/>
          <w:szCs w:val="24"/>
        </w:rPr>
        <w:t>, complete with codes and descriptors, as previously stated and transfer those to us.  A Social Science Research Assistant would need no more than 1 hour at $</w:t>
      </w:r>
      <w:r w:rsidR="000E0CD9">
        <w:rPr>
          <w:rFonts w:cs="Times New Roman"/>
          <w:szCs w:val="24"/>
        </w:rPr>
        <w:t>47.14</w:t>
      </w:r>
      <w:r w:rsidRPr="00597647">
        <w:rPr>
          <w:rFonts w:cs="Times New Roman"/>
          <w:szCs w:val="24"/>
        </w:rPr>
        <w:t xml:space="preserve">/hr to review the initial and subsequent year spreadsheets before submitting them to us.  The overall burden would therefore be </w:t>
      </w:r>
      <w:r w:rsidRPr="00597647">
        <w:rPr>
          <w:rFonts w:cs="Times New Roman"/>
          <w:b/>
          <w:szCs w:val="24"/>
        </w:rPr>
        <w:t>448 hours</w:t>
      </w:r>
      <w:r w:rsidRPr="00597647">
        <w:rPr>
          <w:rFonts w:cs="Times New Roman"/>
          <w:szCs w:val="24"/>
        </w:rPr>
        <w:t xml:space="preserve"> </w:t>
      </w:r>
      <w:r w:rsidR="009746C4">
        <w:rPr>
          <w:rFonts w:cs="Times New Roman"/>
          <w:szCs w:val="24"/>
        </w:rPr>
        <w:t>(</w:t>
      </w:r>
      <w:r w:rsidRPr="00597647">
        <w:rPr>
          <w:rFonts w:cs="Times New Roman"/>
          <w:szCs w:val="24"/>
        </w:rPr>
        <w:t xml:space="preserve">56 respondents x </w:t>
      </w:r>
      <w:r w:rsidR="009746C4">
        <w:rPr>
          <w:rFonts w:cs="Times New Roman"/>
          <w:szCs w:val="24"/>
        </w:rPr>
        <w:t>8 hr)</w:t>
      </w:r>
      <w:r w:rsidRPr="00597647">
        <w:rPr>
          <w:rFonts w:cs="Times New Roman"/>
          <w:szCs w:val="24"/>
        </w:rPr>
        <w:t xml:space="preserve"> at a cost of</w:t>
      </w:r>
      <w:r w:rsidRPr="00597647">
        <w:rPr>
          <w:rFonts w:cs="Times New Roman"/>
          <w:b/>
          <w:szCs w:val="24"/>
        </w:rPr>
        <w:t xml:space="preserve"> $14,</w:t>
      </w:r>
      <w:r w:rsidR="000E0CD9">
        <w:rPr>
          <w:rFonts w:cs="Times New Roman"/>
          <w:b/>
          <w:szCs w:val="24"/>
        </w:rPr>
        <w:t>901.60</w:t>
      </w:r>
      <w:r w:rsidRPr="00597647">
        <w:rPr>
          <w:rFonts w:cs="Times New Roman"/>
          <w:szCs w:val="24"/>
        </w:rPr>
        <w:t xml:space="preserve"> (56 respondents x [(7 hr x $3</w:t>
      </w:r>
      <w:r w:rsidR="000E0CD9">
        <w:rPr>
          <w:rFonts w:cs="Times New Roman"/>
          <w:szCs w:val="24"/>
        </w:rPr>
        <w:t>3.28</w:t>
      </w:r>
      <w:r w:rsidRPr="00597647">
        <w:rPr>
          <w:rFonts w:cs="Times New Roman"/>
          <w:szCs w:val="24"/>
        </w:rPr>
        <w:t>/hr) + (1 hr x $4</w:t>
      </w:r>
      <w:r w:rsidR="000E0CD9">
        <w:rPr>
          <w:rFonts w:cs="Times New Roman"/>
          <w:szCs w:val="24"/>
        </w:rPr>
        <w:t>7.14</w:t>
      </w:r>
      <w:r w:rsidRPr="00597647">
        <w:rPr>
          <w:rFonts w:cs="Times New Roman"/>
          <w:szCs w:val="24"/>
        </w:rPr>
        <w:t>/hr)]</w:t>
      </w:r>
      <w:r w:rsidR="009746C4">
        <w:rPr>
          <w:rFonts w:cs="Times New Roman"/>
          <w:szCs w:val="24"/>
        </w:rPr>
        <w:t>)</w:t>
      </w:r>
      <w:r w:rsidRPr="00597647">
        <w:rPr>
          <w:rFonts w:cs="Times New Roman"/>
          <w:szCs w:val="24"/>
        </w:rPr>
        <w:t xml:space="preserve"> or $2</w:t>
      </w:r>
      <w:r w:rsidR="000E0CD9">
        <w:rPr>
          <w:rFonts w:cs="Times New Roman"/>
          <w:szCs w:val="24"/>
        </w:rPr>
        <w:t>66.10</w:t>
      </w:r>
      <w:r w:rsidRPr="00597647">
        <w:rPr>
          <w:rFonts w:cs="Times New Roman"/>
          <w:szCs w:val="24"/>
        </w:rPr>
        <w:t xml:space="preserve"> per state/territory ($14,</w:t>
      </w:r>
      <w:r w:rsidR="000E0CD9">
        <w:rPr>
          <w:rFonts w:cs="Times New Roman"/>
          <w:szCs w:val="24"/>
        </w:rPr>
        <w:t>901.60</w:t>
      </w:r>
      <w:r w:rsidRPr="00597647">
        <w:rPr>
          <w:rFonts w:cs="Times New Roman"/>
          <w:szCs w:val="24"/>
        </w:rPr>
        <w:t>/56 respondents).</w:t>
      </w:r>
    </w:p>
    <w:p w14:paraId="4F5DABE8" w14:textId="77777777" w:rsidR="00BB19C1" w:rsidRDefault="00BB19C1" w:rsidP="00737C80">
      <w:pPr>
        <w:spacing w:after="0" w:line="240" w:lineRule="auto"/>
        <w:rPr>
          <w:rFonts w:cs="Times New Roman"/>
          <w:szCs w:val="24"/>
        </w:rPr>
      </w:pPr>
    </w:p>
    <w:p w14:paraId="46C8AEB6" w14:textId="1D6285ED" w:rsidR="008B22A0" w:rsidRPr="00113264" w:rsidRDefault="008B22A0" w:rsidP="00737C80">
      <w:pPr>
        <w:spacing w:after="0" w:line="240" w:lineRule="auto"/>
        <w:rPr>
          <w:rFonts w:cs="Times New Roman"/>
          <w:i/>
          <w:szCs w:val="24"/>
        </w:rPr>
      </w:pPr>
      <w:r>
        <w:rPr>
          <w:rFonts w:cs="Times New Roman"/>
          <w:i/>
          <w:szCs w:val="24"/>
        </w:rPr>
        <w:t xml:space="preserve">Information </w:t>
      </w:r>
      <w:r w:rsidRPr="00113264">
        <w:rPr>
          <w:rFonts w:cs="Times New Roman"/>
          <w:i/>
          <w:szCs w:val="24"/>
        </w:rPr>
        <w:t xml:space="preserve">Instruments and Instruction/Guidance Documents </w:t>
      </w:r>
    </w:p>
    <w:p w14:paraId="7E0EAB06" w14:textId="77777777" w:rsidR="008B22A0" w:rsidRDefault="008B22A0" w:rsidP="00737C80">
      <w:pPr>
        <w:spacing w:after="0" w:line="240" w:lineRule="auto"/>
        <w:rPr>
          <w:rFonts w:cs="Times New Roman"/>
          <w:szCs w:val="24"/>
        </w:rPr>
      </w:pPr>
    </w:p>
    <w:p w14:paraId="5F5A9197" w14:textId="77777777" w:rsidR="008B22A0" w:rsidRPr="00597647" w:rsidRDefault="008B22A0" w:rsidP="008B22A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r w:rsidRPr="00597647">
        <w:rPr>
          <w:rFonts w:cs="Times New Roman"/>
          <w:szCs w:val="24"/>
        </w:rPr>
        <w:t>State Fee Schedule Drop (</w:t>
      </w:r>
      <w:r>
        <w:rPr>
          <w:rFonts w:cs="Times New Roman"/>
          <w:szCs w:val="24"/>
        </w:rPr>
        <w:t>calculation tool</w:t>
      </w:r>
      <w:r w:rsidRPr="00597647">
        <w:rPr>
          <w:rFonts w:cs="Times New Roman"/>
          <w:szCs w:val="24"/>
        </w:rPr>
        <w:t>)</w:t>
      </w:r>
    </w:p>
    <w:p w14:paraId="309030E9" w14:textId="77777777" w:rsidR="008B22A0" w:rsidRDefault="008B22A0" w:rsidP="008B22A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r w:rsidRPr="00597647">
        <w:rPr>
          <w:rFonts w:cs="Times New Roman"/>
          <w:szCs w:val="24"/>
        </w:rPr>
        <w:t>State Fee Schedule Drop Instructions (Text document)</w:t>
      </w:r>
    </w:p>
    <w:p w14:paraId="1BE367B7" w14:textId="77777777" w:rsidR="008B22A0" w:rsidRPr="00597647" w:rsidRDefault="008B22A0" w:rsidP="00F908F7">
      <w:pPr>
        <w:spacing w:after="0" w:line="240" w:lineRule="auto"/>
        <w:rPr>
          <w:rFonts w:cs="Times New Roman"/>
          <w:szCs w:val="24"/>
        </w:rPr>
      </w:pPr>
    </w:p>
    <w:p w14:paraId="6D53935E" w14:textId="77777777" w:rsidR="007D6E75" w:rsidRDefault="007D6E75" w:rsidP="00F908F7">
      <w:pPr>
        <w:pStyle w:val="Heading1"/>
        <w:rPr>
          <w:rFonts w:cs="Times New Roman"/>
          <w:szCs w:val="24"/>
        </w:rPr>
      </w:pPr>
      <w:r w:rsidRPr="00597647">
        <w:rPr>
          <w:rFonts w:cs="Times New Roman"/>
          <w:szCs w:val="24"/>
        </w:rPr>
        <w:t>E. Timeline</w:t>
      </w:r>
    </w:p>
    <w:p w14:paraId="0B15CF4F" w14:textId="77777777" w:rsidR="00F908F7" w:rsidRPr="00F908F7" w:rsidRDefault="00F908F7" w:rsidP="00F908F7">
      <w:pPr>
        <w:spacing w:after="0" w:line="240" w:lineRule="auto"/>
      </w:pPr>
    </w:p>
    <w:p w14:paraId="22DD61E0" w14:textId="28D8F869" w:rsidR="00A551BC" w:rsidRDefault="00121286" w:rsidP="00F908F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r w:rsidRPr="00597647">
        <w:rPr>
          <w:rFonts w:cs="Times New Roman"/>
          <w:szCs w:val="24"/>
        </w:rPr>
        <w:t>CMS needs this State Fee Schedule Drop (</w:t>
      </w:r>
      <w:r w:rsidR="00B75490">
        <w:rPr>
          <w:rFonts w:cs="Times New Roman"/>
          <w:szCs w:val="24"/>
        </w:rPr>
        <w:t>calculation tool</w:t>
      </w:r>
      <w:r w:rsidR="00AF654C">
        <w:rPr>
          <w:rFonts w:cs="Times New Roman"/>
          <w:szCs w:val="24"/>
        </w:rPr>
        <w:t>) approved by July</w:t>
      </w:r>
      <w:r w:rsidRPr="00597647">
        <w:rPr>
          <w:rFonts w:cs="Times New Roman"/>
          <w:szCs w:val="24"/>
        </w:rPr>
        <w:t xml:space="preserve"> 2018 in order to train states to use it for </w:t>
      </w:r>
      <w:r w:rsidR="000E0CD9">
        <w:rPr>
          <w:rFonts w:cs="Times New Roman"/>
          <w:szCs w:val="24"/>
        </w:rPr>
        <w:t xml:space="preserve">future </w:t>
      </w:r>
      <w:r w:rsidRPr="00597647">
        <w:rPr>
          <w:rFonts w:cs="Times New Roman"/>
          <w:szCs w:val="24"/>
        </w:rPr>
        <w:t>reporting</w:t>
      </w:r>
      <w:r w:rsidR="00597647">
        <w:rPr>
          <w:rFonts w:cs="Times New Roman"/>
          <w:szCs w:val="24"/>
        </w:rPr>
        <w:t xml:space="preserve">.  </w:t>
      </w:r>
    </w:p>
    <w:p w14:paraId="5C36EFE5" w14:textId="77777777" w:rsidR="00716408" w:rsidRPr="00597647" w:rsidRDefault="00716408" w:rsidP="0011326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imes New Roman"/>
          <w:szCs w:val="24"/>
        </w:rPr>
      </w:pPr>
    </w:p>
    <w:sectPr w:rsidR="00716408" w:rsidRPr="00597647" w:rsidSect="00454B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93320" w14:textId="77777777" w:rsidR="0038569E" w:rsidRDefault="0038569E" w:rsidP="008111D2">
      <w:pPr>
        <w:spacing w:after="0" w:line="240" w:lineRule="auto"/>
      </w:pPr>
      <w:r>
        <w:separator/>
      </w:r>
    </w:p>
  </w:endnote>
  <w:endnote w:type="continuationSeparator" w:id="0">
    <w:p w14:paraId="3BFF2051" w14:textId="77777777" w:rsidR="0038569E" w:rsidRDefault="0038569E"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068E" w14:textId="77777777" w:rsidR="0038569E" w:rsidRDefault="0038569E" w:rsidP="008111D2">
      <w:pPr>
        <w:spacing w:after="0" w:line="240" w:lineRule="auto"/>
      </w:pPr>
      <w:r>
        <w:separator/>
      </w:r>
    </w:p>
  </w:footnote>
  <w:footnote w:type="continuationSeparator" w:id="0">
    <w:p w14:paraId="61CC2D26" w14:textId="77777777" w:rsidR="0038569E" w:rsidRDefault="0038569E"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9202C1"/>
    <w:multiLevelType w:val="hybridMultilevel"/>
    <w:tmpl w:val="9B38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A95EDF"/>
    <w:multiLevelType w:val="hybridMultilevel"/>
    <w:tmpl w:val="CA18A19A"/>
    <w:lvl w:ilvl="0" w:tplc="4E3E205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E7669C"/>
    <w:multiLevelType w:val="hybridMultilevel"/>
    <w:tmpl w:val="358E0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7"/>
  </w:num>
  <w:num w:numId="4">
    <w:abstractNumId w:val="11"/>
  </w:num>
  <w:num w:numId="5">
    <w:abstractNumId w:val="2"/>
  </w:num>
  <w:num w:numId="6">
    <w:abstractNumId w:val="3"/>
  </w:num>
  <w:num w:numId="7">
    <w:abstractNumId w:val="4"/>
  </w:num>
  <w:num w:numId="8">
    <w:abstractNumId w:val="9"/>
  </w:num>
  <w:num w:numId="9">
    <w:abstractNumId w:val="0"/>
  </w:num>
  <w:num w:numId="10">
    <w:abstractNumId w:val="12"/>
  </w:num>
  <w:num w:numId="11">
    <w:abstractNumId w:val="1"/>
  </w:num>
  <w:num w:numId="12">
    <w:abstractNumId w:val="8"/>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2F8A"/>
    <w:rsid w:val="00005510"/>
    <w:rsid w:val="00011FEE"/>
    <w:rsid w:val="00015FB5"/>
    <w:rsid w:val="0003161D"/>
    <w:rsid w:val="000362BD"/>
    <w:rsid w:val="00043D0E"/>
    <w:rsid w:val="000712B4"/>
    <w:rsid w:val="000722FE"/>
    <w:rsid w:val="00087B5B"/>
    <w:rsid w:val="000B28B2"/>
    <w:rsid w:val="000B6555"/>
    <w:rsid w:val="000D1CFD"/>
    <w:rsid w:val="000E0CD9"/>
    <w:rsid w:val="000E55DA"/>
    <w:rsid w:val="000E6C4E"/>
    <w:rsid w:val="001003E5"/>
    <w:rsid w:val="00111672"/>
    <w:rsid w:val="00113264"/>
    <w:rsid w:val="00121286"/>
    <w:rsid w:val="001213D3"/>
    <w:rsid w:val="00122C0E"/>
    <w:rsid w:val="00142432"/>
    <w:rsid w:val="00157939"/>
    <w:rsid w:val="00163201"/>
    <w:rsid w:val="001756A8"/>
    <w:rsid w:val="00175A39"/>
    <w:rsid w:val="00185CB4"/>
    <w:rsid w:val="001948CD"/>
    <w:rsid w:val="00196A4A"/>
    <w:rsid w:val="001A1FC6"/>
    <w:rsid w:val="001B26B8"/>
    <w:rsid w:val="001D069B"/>
    <w:rsid w:val="001D197A"/>
    <w:rsid w:val="001D5673"/>
    <w:rsid w:val="001D6DCB"/>
    <w:rsid w:val="001E1FA0"/>
    <w:rsid w:val="001E66B6"/>
    <w:rsid w:val="001F2628"/>
    <w:rsid w:val="001F322B"/>
    <w:rsid w:val="0020026D"/>
    <w:rsid w:val="0020641C"/>
    <w:rsid w:val="002222DE"/>
    <w:rsid w:val="00222B4F"/>
    <w:rsid w:val="0025124B"/>
    <w:rsid w:val="00252D20"/>
    <w:rsid w:val="00253B99"/>
    <w:rsid w:val="00262B47"/>
    <w:rsid w:val="00270765"/>
    <w:rsid w:val="0027114C"/>
    <w:rsid w:val="00283C09"/>
    <w:rsid w:val="0028741C"/>
    <w:rsid w:val="00292AD5"/>
    <w:rsid w:val="002A0D2E"/>
    <w:rsid w:val="002A3350"/>
    <w:rsid w:val="002A3FD2"/>
    <w:rsid w:val="002B324D"/>
    <w:rsid w:val="002C17E7"/>
    <w:rsid w:val="002C7F64"/>
    <w:rsid w:val="002D0890"/>
    <w:rsid w:val="002D72F2"/>
    <w:rsid w:val="00323F99"/>
    <w:rsid w:val="003248D0"/>
    <w:rsid w:val="00325F87"/>
    <w:rsid w:val="00334084"/>
    <w:rsid w:val="00335313"/>
    <w:rsid w:val="00353488"/>
    <w:rsid w:val="00355EAF"/>
    <w:rsid w:val="00362735"/>
    <w:rsid w:val="003627C8"/>
    <w:rsid w:val="003844CF"/>
    <w:rsid w:val="003852AF"/>
    <w:rsid w:val="0038569E"/>
    <w:rsid w:val="00386C4B"/>
    <w:rsid w:val="00387465"/>
    <w:rsid w:val="003918B4"/>
    <w:rsid w:val="003B297A"/>
    <w:rsid w:val="003B68E7"/>
    <w:rsid w:val="003C2CA5"/>
    <w:rsid w:val="003D191C"/>
    <w:rsid w:val="003D1A0C"/>
    <w:rsid w:val="003E257D"/>
    <w:rsid w:val="003F4D04"/>
    <w:rsid w:val="003F573D"/>
    <w:rsid w:val="00405CF9"/>
    <w:rsid w:val="00424ED4"/>
    <w:rsid w:val="00432C17"/>
    <w:rsid w:val="00442975"/>
    <w:rsid w:val="004468DD"/>
    <w:rsid w:val="00454007"/>
    <w:rsid w:val="00454BBE"/>
    <w:rsid w:val="00465B2D"/>
    <w:rsid w:val="00467E98"/>
    <w:rsid w:val="00474257"/>
    <w:rsid w:val="00475EF8"/>
    <w:rsid w:val="004800E5"/>
    <w:rsid w:val="00483058"/>
    <w:rsid w:val="004847B2"/>
    <w:rsid w:val="00484BCD"/>
    <w:rsid w:val="00486D6B"/>
    <w:rsid w:val="00487D6E"/>
    <w:rsid w:val="004952F0"/>
    <w:rsid w:val="004A04A0"/>
    <w:rsid w:val="004A0A30"/>
    <w:rsid w:val="004A2DC7"/>
    <w:rsid w:val="004B13E8"/>
    <w:rsid w:val="004B5A02"/>
    <w:rsid w:val="004D4CCB"/>
    <w:rsid w:val="004D528A"/>
    <w:rsid w:val="004E7B1A"/>
    <w:rsid w:val="004F4773"/>
    <w:rsid w:val="005111D2"/>
    <w:rsid w:val="0052333E"/>
    <w:rsid w:val="00534EB0"/>
    <w:rsid w:val="0055357F"/>
    <w:rsid w:val="005742B3"/>
    <w:rsid w:val="00576D4A"/>
    <w:rsid w:val="00597229"/>
    <w:rsid w:val="00597647"/>
    <w:rsid w:val="005A5A92"/>
    <w:rsid w:val="005A7F50"/>
    <w:rsid w:val="005B6A37"/>
    <w:rsid w:val="005C580D"/>
    <w:rsid w:val="005C6140"/>
    <w:rsid w:val="005D001F"/>
    <w:rsid w:val="005D17FB"/>
    <w:rsid w:val="005D2BBC"/>
    <w:rsid w:val="005E3B79"/>
    <w:rsid w:val="005E416F"/>
    <w:rsid w:val="005E52BE"/>
    <w:rsid w:val="005F3857"/>
    <w:rsid w:val="005F5AC7"/>
    <w:rsid w:val="005F767D"/>
    <w:rsid w:val="006026DA"/>
    <w:rsid w:val="006036C6"/>
    <w:rsid w:val="00604EEC"/>
    <w:rsid w:val="0060557D"/>
    <w:rsid w:val="00614F8C"/>
    <w:rsid w:val="00616257"/>
    <w:rsid w:val="006172CD"/>
    <w:rsid w:val="00621F8D"/>
    <w:rsid w:val="00647812"/>
    <w:rsid w:val="00650047"/>
    <w:rsid w:val="00651B6C"/>
    <w:rsid w:val="00663509"/>
    <w:rsid w:val="00665304"/>
    <w:rsid w:val="00667CF1"/>
    <w:rsid w:val="00681B9B"/>
    <w:rsid w:val="00685368"/>
    <w:rsid w:val="00693569"/>
    <w:rsid w:val="006A3AF2"/>
    <w:rsid w:val="006C0B96"/>
    <w:rsid w:val="006C12A3"/>
    <w:rsid w:val="006C4626"/>
    <w:rsid w:val="006D360E"/>
    <w:rsid w:val="006D6A5D"/>
    <w:rsid w:val="006F087C"/>
    <w:rsid w:val="006F2918"/>
    <w:rsid w:val="006F4FF9"/>
    <w:rsid w:val="00707666"/>
    <w:rsid w:val="00716408"/>
    <w:rsid w:val="0071650B"/>
    <w:rsid w:val="00716824"/>
    <w:rsid w:val="00723A9E"/>
    <w:rsid w:val="00726491"/>
    <w:rsid w:val="00737C80"/>
    <w:rsid w:val="007600F4"/>
    <w:rsid w:val="007742F6"/>
    <w:rsid w:val="007A014E"/>
    <w:rsid w:val="007A6C5A"/>
    <w:rsid w:val="007A76F4"/>
    <w:rsid w:val="007C458F"/>
    <w:rsid w:val="007D6E75"/>
    <w:rsid w:val="007E72EC"/>
    <w:rsid w:val="007E73ED"/>
    <w:rsid w:val="007F1711"/>
    <w:rsid w:val="007F3C76"/>
    <w:rsid w:val="007F7EC5"/>
    <w:rsid w:val="00802598"/>
    <w:rsid w:val="008111D2"/>
    <w:rsid w:val="00814400"/>
    <w:rsid w:val="00814654"/>
    <w:rsid w:val="00836E8F"/>
    <w:rsid w:val="00846B8F"/>
    <w:rsid w:val="008606C2"/>
    <w:rsid w:val="00873459"/>
    <w:rsid w:val="0088756F"/>
    <w:rsid w:val="008910E3"/>
    <w:rsid w:val="008A2295"/>
    <w:rsid w:val="008A27CB"/>
    <w:rsid w:val="008B22A0"/>
    <w:rsid w:val="008B4787"/>
    <w:rsid w:val="008B73D2"/>
    <w:rsid w:val="008C11BC"/>
    <w:rsid w:val="008D52D1"/>
    <w:rsid w:val="008E4617"/>
    <w:rsid w:val="008E6143"/>
    <w:rsid w:val="008F2AED"/>
    <w:rsid w:val="009004E1"/>
    <w:rsid w:val="00904ABB"/>
    <w:rsid w:val="009160CB"/>
    <w:rsid w:val="00921262"/>
    <w:rsid w:val="009217D6"/>
    <w:rsid w:val="0093224D"/>
    <w:rsid w:val="009414AD"/>
    <w:rsid w:val="0095297C"/>
    <w:rsid w:val="00963F03"/>
    <w:rsid w:val="009746C4"/>
    <w:rsid w:val="009855E3"/>
    <w:rsid w:val="009903AB"/>
    <w:rsid w:val="00993A91"/>
    <w:rsid w:val="009A0C35"/>
    <w:rsid w:val="009B19E8"/>
    <w:rsid w:val="009C2F36"/>
    <w:rsid w:val="009E3FAC"/>
    <w:rsid w:val="00A07819"/>
    <w:rsid w:val="00A138F7"/>
    <w:rsid w:val="00A146D5"/>
    <w:rsid w:val="00A2154C"/>
    <w:rsid w:val="00A278B1"/>
    <w:rsid w:val="00A3663B"/>
    <w:rsid w:val="00A46E37"/>
    <w:rsid w:val="00A551BC"/>
    <w:rsid w:val="00A6078E"/>
    <w:rsid w:val="00A718B4"/>
    <w:rsid w:val="00A83C55"/>
    <w:rsid w:val="00A91007"/>
    <w:rsid w:val="00AA37EC"/>
    <w:rsid w:val="00AB01BC"/>
    <w:rsid w:val="00AD59FD"/>
    <w:rsid w:val="00AE1BD8"/>
    <w:rsid w:val="00AE235B"/>
    <w:rsid w:val="00AE24CA"/>
    <w:rsid w:val="00AE4F4B"/>
    <w:rsid w:val="00AF654C"/>
    <w:rsid w:val="00B00BC6"/>
    <w:rsid w:val="00B151B4"/>
    <w:rsid w:val="00B23E18"/>
    <w:rsid w:val="00B32E2A"/>
    <w:rsid w:val="00B33AE3"/>
    <w:rsid w:val="00B378DB"/>
    <w:rsid w:val="00B43BBD"/>
    <w:rsid w:val="00B532F3"/>
    <w:rsid w:val="00B54634"/>
    <w:rsid w:val="00B5790B"/>
    <w:rsid w:val="00B711AE"/>
    <w:rsid w:val="00B711E4"/>
    <w:rsid w:val="00B75490"/>
    <w:rsid w:val="00B80CBA"/>
    <w:rsid w:val="00B82377"/>
    <w:rsid w:val="00B8682E"/>
    <w:rsid w:val="00B87957"/>
    <w:rsid w:val="00BA14B9"/>
    <w:rsid w:val="00BA1586"/>
    <w:rsid w:val="00BB109D"/>
    <w:rsid w:val="00BB19C1"/>
    <w:rsid w:val="00BB6559"/>
    <w:rsid w:val="00BD02EB"/>
    <w:rsid w:val="00BD32FA"/>
    <w:rsid w:val="00BD6D91"/>
    <w:rsid w:val="00BE51D8"/>
    <w:rsid w:val="00BF1C57"/>
    <w:rsid w:val="00C0488A"/>
    <w:rsid w:val="00C13610"/>
    <w:rsid w:val="00C2142E"/>
    <w:rsid w:val="00C63B57"/>
    <w:rsid w:val="00C70CFF"/>
    <w:rsid w:val="00C80713"/>
    <w:rsid w:val="00C85C81"/>
    <w:rsid w:val="00C86B87"/>
    <w:rsid w:val="00C927D9"/>
    <w:rsid w:val="00C94C5E"/>
    <w:rsid w:val="00CA1801"/>
    <w:rsid w:val="00CA414B"/>
    <w:rsid w:val="00CB241F"/>
    <w:rsid w:val="00CB646D"/>
    <w:rsid w:val="00CD22D7"/>
    <w:rsid w:val="00CD7F74"/>
    <w:rsid w:val="00CF6C1D"/>
    <w:rsid w:val="00D12ABB"/>
    <w:rsid w:val="00D143CE"/>
    <w:rsid w:val="00D15962"/>
    <w:rsid w:val="00D201ED"/>
    <w:rsid w:val="00D215B4"/>
    <w:rsid w:val="00D42E31"/>
    <w:rsid w:val="00D46C38"/>
    <w:rsid w:val="00D4736A"/>
    <w:rsid w:val="00D83D9D"/>
    <w:rsid w:val="00DA173B"/>
    <w:rsid w:val="00DA61C7"/>
    <w:rsid w:val="00DB4077"/>
    <w:rsid w:val="00DD794C"/>
    <w:rsid w:val="00DE2D44"/>
    <w:rsid w:val="00DE6E47"/>
    <w:rsid w:val="00DF098E"/>
    <w:rsid w:val="00E017CE"/>
    <w:rsid w:val="00E1369E"/>
    <w:rsid w:val="00E23F27"/>
    <w:rsid w:val="00E34602"/>
    <w:rsid w:val="00E60D81"/>
    <w:rsid w:val="00E831F7"/>
    <w:rsid w:val="00E83C3E"/>
    <w:rsid w:val="00E93F3F"/>
    <w:rsid w:val="00EA4AB1"/>
    <w:rsid w:val="00EA5FF6"/>
    <w:rsid w:val="00EB1115"/>
    <w:rsid w:val="00EB2402"/>
    <w:rsid w:val="00EC24DC"/>
    <w:rsid w:val="00EC451C"/>
    <w:rsid w:val="00EE1AD1"/>
    <w:rsid w:val="00EE4256"/>
    <w:rsid w:val="00EF3A74"/>
    <w:rsid w:val="00F009F1"/>
    <w:rsid w:val="00F01D40"/>
    <w:rsid w:val="00F02098"/>
    <w:rsid w:val="00F04F6D"/>
    <w:rsid w:val="00F07F04"/>
    <w:rsid w:val="00F130D0"/>
    <w:rsid w:val="00F2032F"/>
    <w:rsid w:val="00F303E4"/>
    <w:rsid w:val="00F34393"/>
    <w:rsid w:val="00F451B7"/>
    <w:rsid w:val="00F54374"/>
    <w:rsid w:val="00F554AF"/>
    <w:rsid w:val="00F63705"/>
    <w:rsid w:val="00F87359"/>
    <w:rsid w:val="00F908F7"/>
    <w:rsid w:val="00FB0571"/>
    <w:rsid w:val="00FB0945"/>
    <w:rsid w:val="00FB3D21"/>
    <w:rsid w:val="00FC4AC5"/>
    <w:rsid w:val="00FC585C"/>
    <w:rsid w:val="00FE644A"/>
    <w:rsid w:val="00FF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486D6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NoSpacing">
    <w:name w:val="No Spacing"/>
    <w:uiPriority w:val="1"/>
    <w:qFormat/>
    <w:rsid w:val="001D5673"/>
    <w:pPr>
      <w:spacing w:after="0" w:line="240" w:lineRule="auto"/>
    </w:pPr>
    <w:rPr>
      <w:rFonts w:ascii="Calibri" w:eastAsia="Calibri" w:hAnsi="Calibri" w:cs="Times New Roman"/>
    </w:rPr>
  </w:style>
  <w:style w:type="paragraph" w:styleId="Title">
    <w:name w:val="Title"/>
    <w:basedOn w:val="Normal"/>
    <w:next w:val="Normal"/>
    <w:link w:val="TitleChar"/>
    <w:qFormat/>
    <w:rsid w:val="00486D6B"/>
    <w:pPr>
      <w:widowControl w:val="0"/>
      <w:autoSpaceDE w:val="0"/>
      <w:autoSpaceDN w:val="0"/>
      <w:adjustRightInd w:val="0"/>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486D6B"/>
    <w:rPr>
      <w:rFonts w:ascii="Calibri Light" w:eastAsia="Times New Roman" w:hAnsi="Calibri Light" w:cs="Times New Roman"/>
      <w:b/>
      <w:bCs/>
      <w:kern w:val="28"/>
      <w:sz w:val="32"/>
      <w:szCs w:val="32"/>
    </w:rPr>
  </w:style>
  <w:style w:type="character" w:customStyle="1" w:styleId="Heading3Char">
    <w:name w:val="Heading 3 Char"/>
    <w:basedOn w:val="DefaultParagraphFont"/>
    <w:link w:val="Heading3"/>
    <w:uiPriority w:val="9"/>
    <w:semiHidden/>
    <w:rsid w:val="00486D6B"/>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486D6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NoSpacing">
    <w:name w:val="No Spacing"/>
    <w:uiPriority w:val="1"/>
    <w:qFormat/>
    <w:rsid w:val="001D5673"/>
    <w:pPr>
      <w:spacing w:after="0" w:line="240" w:lineRule="auto"/>
    </w:pPr>
    <w:rPr>
      <w:rFonts w:ascii="Calibri" w:eastAsia="Calibri" w:hAnsi="Calibri" w:cs="Times New Roman"/>
    </w:rPr>
  </w:style>
  <w:style w:type="paragraph" w:styleId="Title">
    <w:name w:val="Title"/>
    <w:basedOn w:val="Normal"/>
    <w:next w:val="Normal"/>
    <w:link w:val="TitleChar"/>
    <w:qFormat/>
    <w:rsid w:val="00486D6B"/>
    <w:pPr>
      <w:widowControl w:val="0"/>
      <w:autoSpaceDE w:val="0"/>
      <w:autoSpaceDN w:val="0"/>
      <w:adjustRightInd w:val="0"/>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486D6B"/>
    <w:rPr>
      <w:rFonts w:ascii="Calibri Light" w:eastAsia="Times New Roman" w:hAnsi="Calibri Light" w:cs="Times New Roman"/>
      <w:b/>
      <w:bCs/>
      <w:kern w:val="28"/>
      <w:sz w:val="32"/>
      <w:szCs w:val="32"/>
    </w:rPr>
  </w:style>
  <w:style w:type="character" w:customStyle="1" w:styleId="Heading3Char">
    <w:name w:val="Heading 3 Char"/>
    <w:basedOn w:val="DefaultParagraphFont"/>
    <w:link w:val="Heading3"/>
    <w:uiPriority w:val="9"/>
    <w:semiHidden/>
    <w:rsid w:val="00486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medicaid/finance/accountability-guidance/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mailto:MedicaidDME@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2018-04-18T18:16:00Z</dcterms:created>
  <dcterms:modified xsi:type="dcterms:W3CDTF">2018-04-18T18:16:00Z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-1131732248</vt:i4>
  </property>
  <property fmtid="{D5CDD505-2E9C-101B-9397-08002B2CF9AE}" pid="3" name="_NewReviewCycle">
    <vt:lpwstr/>
  </property>
  <property fmtid="{D5CDD505-2E9C-101B-9397-08002B2CF9AE}" pid="4" name="_EmailSubject">
    <vt:lpwstr>DME PRA</vt:lpwstr>
  </property>
  <property fmtid="{D5CDD505-2E9C-101B-9397-08002B2CF9AE}" pid="5" name="_AuthorEmail">
    <vt:lpwstr>Richard.Kimball@cms.hhs.gov</vt:lpwstr>
  </property>
  <property fmtid="{D5CDD505-2E9C-101B-9397-08002B2CF9AE}" pid="6" name="_AuthorEmailDisplayName">
    <vt:lpwstr>Kimball, Richard M. (CMS/CMCS)</vt:lpwstr>
  </property>
  <property fmtid="{D5CDD505-2E9C-101B-9397-08002B2CF9AE}" pid="7" name="_ReviewingToolsShownOnce">
    <vt:lpwstr/>
  </property>
</Properties>
</file>