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36B867" w14:textId="77777777" w:rsidR="007D6E75" w:rsidRPr="008111D2" w:rsidRDefault="007D6E75" w:rsidP="008111D2">
      <w:pPr>
        <w:spacing w:after="0" w:line="240" w:lineRule="auto"/>
        <w:jc w:val="center"/>
        <w:rPr>
          <w:szCs w:val="24"/>
        </w:rPr>
      </w:pPr>
      <w:bookmarkStart w:id="0" w:name="_GoBack"/>
      <w:bookmarkEnd w:id="0"/>
      <w:r w:rsidRPr="008111D2">
        <w:rPr>
          <w:szCs w:val="24"/>
        </w:rPr>
        <w:t>Application to Use Burden/Hours from Generic PRA Clearance:</w:t>
      </w:r>
    </w:p>
    <w:p w14:paraId="1B4D0995" w14:textId="77777777" w:rsidR="007D6E75" w:rsidRPr="008111D2" w:rsidRDefault="007D6E75" w:rsidP="008111D2">
      <w:pPr>
        <w:spacing w:after="0" w:line="240" w:lineRule="auto"/>
        <w:jc w:val="center"/>
        <w:rPr>
          <w:szCs w:val="24"/>
        </w:rPr>
      </w:pPr>
      <w:r w:rsidRPr="008111D2">
        <w:rPr>
          <w:szCs w:val="24"/>
        </w:rPr>
        <w:t>Medicaid and CHIP State Plan, Waiver, and Program Submissions</w:t>
      </w:r>
    </w:p>
    <w:p w14:paraId="75755B83" w14:textId="77777777" w:rsidR="00DF098E" w:rsidRPr="008111D2" w:rsidRDefault="007D6E75" w:rsidP="008111D2">
      <w:pPr>
        <w:spacing w:after="0" w:line="240" w:lineRule="auto"/>
        <w:jc w:val="center"/>
        <w:rPr>
          <w:szCs w:val="24"/>
        </w:rPr>
      </w:pPr>
      <w:r w:rsidRPr="008111D2">
        <w:rPr>
          <w:szCs w:val="24"/>
        </w:rPr>
        <w:t>(CMS-10398, OMB 0938-1148)</w:t>
      </w:r>
    </w:p>
    <w:p w14:paraId="3244AE3F" w14:textId="77777777" w:rsidR="007D6E75" w:rsidRPr="008111D2" w:rsidRDefault="007D6E75" w:rsidP="008111D2">
      <w:pPr>
        <w:spacing w:after="0" w:line="240" w:lineRule="auto"/>
        <w:jc w:val="center"/>
        <w:rPr>
          <w:szCs w:val="24"/>
        </w:rPr>
      </w:pPr>
    </w:p>
    <w:p w14:paraId="3B871970" w14:textId="4302C82F" w:rsidR="00743278" w:rsidRDefault="00CB646D" w:rsidP="00743278">
      <w:pPr>
        <w:spacing w:after="0" w:line="240" w:lineRule="auto"/>
        <w:jc w:val="center"/>
        <w:rPr>
          <w:rFonts w:cs="Times New Roman"/>
          <w:b/>
          <w:szCs w:val="24"/>
        </w:rPr>
      </w:pPr>
      <w:r w:rsidRPr="008111D2">
        <w:rPr>
          <w:rFonts w:cs="Times New Roman"/>
          <w:b/>
          <w:szCs w:val="24"/>
        </w:rPr>
        <w:t xml:space="preserve">Information Collection </w:t>
      </w:r>
      <w:r w:rsidR="00FE644A" w:rsidRPr="008111D2">
        <w:rPr>
          <w:rFonts w:cs="Times New Roman"/>
          <w:b/>
          <w:szCs w:val="24"/>
        </w:rPr>
        <w:t>#</w:t>
      </w:r>
      <w:r w:rsidR="001F6741">
        <w:rPr>
          <w:rFonts w:cs="Times New Roman"/>
          <w:b/>
          <w:szCs w:val="24"/>
        </w:rPr>
        <w:t>37</w:t>
      </w:r>
    </w:p>
    <w:p w14:paraId="0FDD71E5" w14:textId="48E7A4CB" w:rsidR="009E3FAC" w:rsidRDefault="0091347F" w:rsidP="0091347F">
      <w:pPr>
        <w:jc w:val="center"/>
        <w:rPr>
          <w:rFonts w:cs="Times New Roman"/>
          <w:b/>
          <w:szCs w:val="24"/>
        </w:rPr>
      </w:pPr>
      <w:r>
        <w:rPr>
          <w:rFonts w:cs="Times New Roman"/>
          <w:b/>
          <w:szCs w:val="24"/>
        </w:rPr>
        <w:t xml:space="preserve">Managed Care Rate </w:t>
      </w:r>
      <w:r w:rsidR="00DD4E91">
        <w:rPr>
          <w:rFonts w:cs="Times New Roman"/>
          <w:b/>
          <w:szCs w:val="24"/>
        </w:rPr>
        <w:t xml:space="preserve">Setting </w:t>
      </w:r>
      <w:r>
        <w:rPr>
          <w:rFonts w:cs="Times New Roman"/>
          <w:b/>
          <w:szCs w:val="24"/>
        </w:rPr>
        <w:t>Guidance</w:t>
      </w:r>
    </w:p>
    <w:p w14:paraId="3D670AD9" w14:textId="77777777" w:rsidR="007D6E75" w:rsidRPr="008111D2" w:rsidRDefault="007D6E75" w:rsidP="008111D2">
      <w:pPr>
        <w:spacing w:after="0" w:line="240" w:lineRule="auto"/>
        <w:jc w:val="center"/>
        <w:rPr>
          <w:b/>
          <w:szCs w:val="24"/>
        </w:rPr>
      </w:pPr>
    </w:p>
    <w:p w14:paraId="35180A90" w14:textId="0665E320" w:rsidR="007D6E75" w:rsidRPr="008111D2" w:rsidRDefault="00442309" w:rsidP="008111D2">
      <w:pPr>
        <w:spacing w:after="0" w:line="240" w:lineRule="auto"/>
        <w:jc w:val="center"/>
        <w:rPr>
          <w:b/>
          <w:szCs w:val="24"/>
        </w:rPr>
      </w:pPr>
      <w:r>
        <w:rPr>
          <w:b/>
          <w:szCs w:val="24"/>
        </w:rPr>
        <w:t>January 5, 2017</w:t>
      </w:r>
    </w:p>
    <w:p w14:paraId="765A0715" w14:textId="77777777" w:rsidR="007D6E75" w:rsidRPr="008111D2" w:rsidRDefault="007D6E75" w:rsidP="008111D2">
      <w:pPr>
        <w:spacing w:after="0" w:line="240" w:lineRule="auto"/>
        <w:jc w:val="center"/>
        <w:rPr>
          <w:szCs w:val="24"/>
        </w:rPr>
      </w:pPr>
    </w:p>
    <w:p w14:paraId="76CEA97C" w14:textId="77777777" w:rsidR="007D6E75" w:rsidRPr="008111D2" w:rsidRDefault="007D6E75" w:rsidP="008111D2">
      <w:pPr>
        <w:spacing w:after="0" w:line="240" w:lineRule="auto"/>
        <w:jc w:val="center"/>
        <w:rPr>
          <w:szCs w:val="24"/>
        </w:rPr>
      </w:pPr>
    </w:p>
    <w:p w14:paraId="7148F9CC" w14:textId="77777777" w:rsidR="007D6E75" w:rsidRPr="008111D2" w:rsidRDefault="007D6E75" w:rsidP="008111D2">
      <w:pPr>
        <w:spacing w:after="0" w:line="240" w:lineRule="auto"/>
        <w:jc w:val="center"/>
        <w:rPr>
          <w:szCs w:val="24"/>
        </w:rPr>
      </w:pPr>
    </w:p>
    <w:p w14:paraId="17A3FBC7" w14:textId="77777777" w:rsidR="007D6E75" w:rsidRPr="008111D2" w:rsidRDefault="007D6E75" w:rsidP="008111D2">
      <w:pPr>
        <w:spacing w:after="0" w:line="240" w:lineRule="auto"/>
        <w:jc w:val="center"/>
        <w:rPr>
          <w:szCs w:val="24"/>
        </w:rPr>
      </w:pPr>
      <w:r w:rsidRPr="008111D2">
        <w:rPr>
          <w:szCs w:val="24"/>
        </w:rPr>
        <w:t>Center for Medicaid and CHIP Services (CMCS)</w:t>
      </w:r>
    </w:p>
    <w:p w14:paraId="08FEADBB" w14:textId="77777777" w:rsidR="007D6E75" w:rsidRPr="008111D2" w:rsidRDefault="007D6E75" w:rsidP="008111D2">
      <w:pPr>
        <w:spacing w:after="0" w:line="240" w:lineRule="auto"/>
        <w:jc w:val="center"/>
        <w:rPr>
          <w:szCs w:val="24"/>
        </w:rPr>
      </w:pPr>
      <w:r w:rsidRPr="008111D2">
        <w:rPr>
          <w:szCs w:val="24"/>
        </w:rPr>
        <w:t>Centers for Medicare &amp; Medicaid Services (CMS)</w:t>
      </w:r>
    </w:p>
    <w:p w14:paraId="2D5B8765" w14:textId="77777777" w:rsidR="007D6E75" w:rsidRPr="008111D2" w:rsidRDefault="007D6E75" w:rsidP="008111D2">
      <w:pPr>
        <w:spacing w:after="0" w:line="240" w:lineRule="auto"/>
        <w:rPr>
          <w:szCs w:val="24"/>
        </w:rPr>
        <w:sectPr w:rsidR="007D6E75" w:rsidRPr="008111D2" w:rsidSect="007D6E7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vAlign w:val="center"/>
          <w:docGrid w:linePitch="360"/>
        </w:sectPr>
      </w:pPr>
    </w:p>
    <w:p w14:paraId="31788239" w14:textId="5CCE5F84" w:rsidR="00295ABD" w:rsidRPr="00656DB2" w:rsidRDefault="00295ABD" w:rsidP="00295ABD">
      <w:pPr>
        <w:spacing w:after="0" w:line="240" w:lineRule="auto"/>
        <w:rPr>
          <w:szCs w:val="24"/>
        </w:rPr>
      </w:pPr>
      <w:r w:rsidRPr="00656DB2">
        <w:rPr>
          <w:szCs w:val="24"/>
        </w:rPr>
        <w:lastRenderedPageBreak/>
        <w:t xml:space="preserve">GenIC #37 was first approved by OMB on </w:t>
      </w:r>
      <w:r w:rsidR="00A54F01" w:rsidRPr="00656DB2">
        <w:rPr>
          <w:rFonts w:eastAsiaTheme="majorEastAsia" w:cstheme="majorBidi"/>
          <w:bCs/>
          <w:szCs w:val="24"/>
        </w:rPr>
        <w:t>September 15, 2015 by adding the 2015 Rate Guide</w:t>
      </w:r>
      <w:r w:rsidRPr="00656DB2">
        <w:rPr>
          <w:szCs w:val="24"/>
        </w:rPr>
        <w:t>.  The following summarizes the actions subsequent to the initial PRA package.</w:t>
      </w:r>
    </w:p>
    <w:p w14:paraId="3E3F5A69" w14:textId="77777777" w:rsidR="00295ABD" w:rsidRPr="00656DB2" w:rsidRDefault="00295ABD" w:rsidP="00B02608">
      <w:pPr>
        <w:keepNext/>
        <w:keepLines/>
        <w:spacing w:after="0" w:line="240" w:lineRule="auto"/>
        <w:outlineLvl w:val="0"/>
        <w:rPr>
          <w:rFonts w:eastAsiaTheme="majorEastAsia" w:cstheme="majorBidi"/>
          <w:bCs/>
          <w:szCs w:val="24"/>
        </w:rPr>
      </w:pPr>
    </w:p>
    <w:p w14:paraId="2BC4FAD8" w14:textId="721263EF" w:rsidR="00B02608" w:rsidRPr="00656DB2" w:rsidRDefault="00B02608" w:rsidP="00B02608">
      <w:pPr>
        <w:keepNext/>
        <w:keepLines/>
        <w:spacing w:after="0" w:line="240" w:lineRule="auto"/>
        <w:outlineLvl w:val="0"/>
        <w:rPr>
          <w:rFonts w:eastAsiaTheme="majorEastAsia" w:cstheme="majorBidi"/>
          <w:bCs/>
          <w:szCs w:val="24"/>
        </w:rPr>
      </w:pPr>
      <w:r w:rsidRPr="00656DB2">
        <w:rPr>
          <w:rFonts w:eastAsiaTheme="majorEastAsia" w:cstheme="majorBidi"/>
          <w:bCs/>
          <w:szCs w:val="24"/>
          <w:u w:val="single"/>
        </w:rPr>
        <w:t xml:space="preserve">September </w:t>
      </w:r>
      <w:r w:rsidR="00656DB2" w:rsidRPr="00656DB2">
        <w:rPr>
          <w:rFonts w:eastAsiaTheme="majorEastAsia" w:cstheme="majorBidi"/>
          <w:bCs/>
          <w:szCs w:val="24"/>
          <w:u w:val="single"/>
        </w:rPr>
        <w:t>26</w:t>
      </w:r>
      <w:r w:rsidRPr="00656DB2">
        <w:rPr>
          <w:rFonts w:eastAsiaTheme="majorEastAsia" w:cstheme="majorBidi"/>
          <w:bCs/>
          <w:szCs w:val="24"/>
          <w:u w:val="single"/>
        </w:rPr>
        <w:t>, 201</w:t>
      </w:r>
      <w:r w:rsidR="002142A7" w:rsidRPr="00656DB2">
        <w:rPr>
          <w:rFonts w:eastAsiaTheme="majorEastAsia" w:cstheme="majorBidi"/>
          <w:bCs/>
          <w:szCs w:val="24"/>
          <w:u w:val="single"/>
        </w:rPr>
        <w:t>6</w:t>
      </w:r>
      <w:r w:rsidR="00656DB2" w:rsidRPr="00656DB2">
        <w:rPr>
          <w:rFonts w:eastAsiaTheme="majorEastAsia" w:cstheme="majorBidi"/>
          <w:bCs/>
          <w:szCs w:val="24"/>
          <w:u w:val="single"/>
        </w:rPr>
        <w:t xml:space="preserve"> (Approved by OMB)</w:t>
      </w:r>
      <w:r w:rsidRPr="00656DB2">
        <w:rPr>
          <w:rFonts w:eastAsiaTheme="majorEastAsia" w:cstheme="majorBidi"/>
          <w:bCs/>
          <w:szCs w:val="24"/>
        </w:rPr>
        <w:t xml:space="preserve"> 2016</w:t>
      </w:r>
      <w:r w:rsidR="002A0751" w:rsidRPr="00656DB2">
        <w:rPr>
          <w:rFonts w:eastAsiaTheme="majorEastAsia" w:cstheme="majorBidi"/>
          <w:bCs/>
          <w:szCs w:val="24"/>
        </w:rPr>
        <w:t xml:space="preserve"> Rate Guide</w:t>
      </w:r>
      <w:r w:rsidR="00B41BE5" w:rsidRPr="00656DB2">
        <w:rPr>
          <w:rFonts w:eastAsiaTheme="majorEastAsia" w:cstheme="majorBidi"/>
          <w:bCs/>
          <w:szCs w:val="24"/>
        </w:rPr>
        <w:t xml:space="preserve"> added</w:t>
      </w:r>
      <w:r w:rsidRPr="00656DB2">
        <w:rPr>
          <w:rFonts w:eastAsiaTheme="majorEastAsia" w:cstheme="majorBidi"/>
          <w:bCs/>
          <w:szCs w:val="24"/>
        </w:rPr>
        <w:t>.</w:t>
      </w:r>
    </w:p>
    <w:p w14:paraId="3ED7FB06" w14:textId="77777777" w:rsidR="00B02608" w:rsidRPr="00656DB2" w:rsidRDefault="00B02608" w:rsidP="00B02608">
      <w:pPr>
        <w:keepNext/>
        <w:keepLines/>
        <w:spacing w:after="0" w:line="240" w:lineRule="auto"/>
        <w:outlineLvl w:val="0"/>
        <w:rPr>
          <w:rFonts w:eastAsiaTheme="majorEastAsia" w:cstheme="majorBidi"/>
          <w:bCs/>
          <w:szCs w:val="24"/>
        </w:rPr>
      </w:pPr>
    </w:p>
    <w:p w14:paraId="7EC5E4C0" w14:textId="007EDBB9" w:rsidR="00B02608" w:rsidRPr="00656DB2" w:rsidRDefault="00B02608" w:rsidP="00B02608">
      <w:pPr>
        <w:keepNext/>
        <w:keepLines/>
        <w:spacing w:after="0" w:line="240" w:lineRule="auto"/>
        <w:outlineLvl w:val="0"/>
        <w:rPr>
          <w:rFonts w:eastAsiaTheme="majorEastAsia" w:cstheme="majorBidi"/>
          <w:bCs/>
          <w:szCs w:val="24"/>
        </w:rPr>
      </w:pPr>
      <w:r w:rsidRPr="00656DB2">
        <w:rPr>
          <w:rFonts w:eastAsiaTheme="majorEastAsia" w:cstheme="majorBidi"/>
          <w:bCs/>
          <w:szCs w:val="24"/>
          <w:u w:val="single"/>
        </w:rPr>
        <w:t>October 20</w:t>
      </w:r>
      <w:r w:rsidR="00E301FB" w:rsidRPr="00656DB2">
        <w:rPr>
          <w:rFonts w:eastAsiaTheme="majorEastAsia" w:cstheme="majorBidi"/>
          <w:bCs/>
          <w:szCs w:val="24"/>
          <w:u w:val="single"/>
        </w:rPr>
        <w:t>, 2016</w:t>
      </w:r>
      <w:r w:rsidR="00656DB2" w:rsidRPr="00656DB2">
        <w:rPr>
          <w:rFonts w:eastAsiaTheme="majorEastAsia" w:cstheme="majorBidi"/>
          <w:bCs/>
          <w:szCs w:val="24"/>
          <w:u w:val="single"/>
        </w:rPr>
        <w:t xml:space="preserve"> (Approved by OMB)</w:t>
      </w:r>
      <w:r w:rsidRPr="00656DB2">
        <w:rPr>
          <w:rFonts w:eastAsiaTheme="majorEastAsia" w:cstheme="majorBidi"/>
          <w:bCs/>
          <w:szCs w:val="24"/>
        </w:rPr>
        <w:t xml:space="preserve"> </w:t>
      </w:r>
      <w:r w:rsidR="002A0751" w:rsidRPr="00656DB2">
        <w:rPr>
          <w:rFonts w:eastAsiaTheme="majorEastAsia" w:cstheme="majorBidi"/>
          <w:bCs/>
          <w:szCs w:val="24"/>
        </w:rPr>
        <w:t>2017 R</w:t>
      </w:r>
      <w:r w:rsidRPr="00656DB2">
        <w:rPr>
          <w:rFonts w:eastAsiaTheme="majorEastAsia" w:cstheme="majorBidi"/>
          <w:bCs/>
          <w:szCs w:val="24"/>
        </w:rPr>
        <w:t xml:space="preserve">ate </w:t>
      </w:r>
      <w:r w:rsidR="002A0751" w:rsidRPr="00656DB2">
        <w:rPr>
          <w:rFonts w:eastAsiaTheme="majorEastAsia" w:cstheme="majorBidi"/>
          <w:bCs/>
          <w:szCs w:val="24"/>
        </w:rPr>
        <w:t>Guide</w:t>
      </w:r>
      <w:r w:rsidR="00B41BE5" w:rsidRPr="00656DB2">
        <w:rPr>
          <w:rFonts w:eastAsiaTheme="majorEastAsia" w:cstheme="majorBidi"/>
          <w:bCs/>
          <w:szCs w:val="24"/>
        </w:rPr>
        <w:t xml:space="preserve"> added</w:t>
      </w:r>
      <w:r w:rsidRPr="00656DB2">
        <w:rPr>
          <w:rFonts w:eastAsiaTheme="majorEastAsia" w:cstheme="majorBidi"/>
          <w:bCs/>
          <w:szCs w:val="24"/>
        </w:rPr>
        <w:t>.</w:t>
      </w:r>
    </w:p>
    <w:p w14:paraId="08E59636" w14:textId="77777777" w:rsidR="00B02608" w:rsidRPr="00656DB2" w:rsidRDefault="00B02608" w:rsidP="00B02608">
      <w:pPr>
        <w:keepNext/>
        <w:keepLines/>
        <w:spacing w:after="0" w:line="240" w:lineRule="auto"/>
        <w:outlineLvl w:val="0"/>
        <w:rPr>
          <w:rFonts w:eastAsiaTheme="majorEastAsia" w:cstheme="majorBidi"/>
          <w:bCs/>
          <w:szCs w:val="24"/>
        </w:rPr>
      </w:pPr>
    </w:p>
    <w:p w14:paraId="7728970D" w14:textId="1DBFF757" w:rsidR="00295ABD" w:rsidRPr="00656DB2" w:rsidRDefault="00295ABD" w:rsidP="00B02608">
      <w:pPr>
        <w:keepNext/>
        <w:keepLines/>
        <w:spacing w:after="0" w:line="240" w:lineRule="auto"/>
        <w:outlineLvl w:val="0"/>
        <w:rPr>
          <w:rFonts w:eastAsiaTheme="majorEastAsia" w:cstheme="majorBidi"/>
          <w:bCs/>
          <w:szCs w:val="24"/>
        </w:rPr>
      </w:pPr>
      <w:r w:rsidRPr="00656DB2">
        <w:rPr>
          <w:rFonts w:eastAsiaTheme="majorEastAsia" w:cstheme="majorBidi"/>
          <w:bCs/>
          <w:szCs w:val="24"/>
          <w:u w:val="single"/>
        </w:rPr>
        <w:t>January 2017 (Revision</w:t>
      </w:r>
      <w:r w:rsidR="00656DB2" w:rsidRPr="00656DB2">
        <w:rPr>
          <w:rFonts w:eastAsiaTheme="majorEastAsia" w:cstheme="majorBidi"/>
          <w:bCs/>
          <w:szCs w:val="24"/>
          <w:u w:val="single"/>
        </w:rPr>
        <w:t xml:space="preserve"> to OMB</w:t>
      </w:r>
      <w:r w:rsidRPr="00656DB2">
        <w:rPr>
          <w:rFonts w:eastAsiaTheme="majorEastAsia" w:cstheme="majorBidi"/>
          <w:bCs/>
          <w:szCs w:val="24"/>
          <w:u w:val="single"/>
        </w:rPr>
        <w:t>)</w:t>
      </w:r>
      <w:r w:rsidRPr="00656DB2">
        <w:rPr>
          <w:rFonts w:eastAsiaTheme="majorEastAsia" w:cstheme="majorBidi"/>
          <w:bCs/>
          <w:szCs w:val="24"/>
        </w:rPr>
        <w:t xml:space="preserve"> Removes 2016 Rate Guide burden, continues </w:t>
      </w:r>
      <w:r w:rsidR="00B41BE5" w:rsidRPr="00656DB2">
        <w:rPr>
          <w:rFonts w:eastAsiaTheme="majorEastAsia" w:cstheme="majorBidi"/>
          <w:bCs/>
          <w:szCs w:val="24"/>
        </w:rPr>
        <w:t xml:space="preserve">(without change) the </w:t>
      </w:r>
      <w:r w:rsidRPr="00656DB2">
        <w:rPr>
          <w:rFonts w:eastAsiaTheme="majorEastAsia" w:cstheme="majorBidi"/>
          <w:bCs/>
          <w:szCs w:val="24"/>
        </w:rPr>
        <w:t xml:space="preserve">2017 </w:t>
      </w:r>
      <w:r w:rsidR="00B41BE5" w:rsidRPr="00656DB2">
        <w:rPr>
          <w:rFonts w:eastAsiaTheme="majorEastAsia" w:cstheme="majorBidi"/>
          <w:bCs/>
          <w:szCs w:val="24"/>
        </w:rPr>
        <w:t xml:space="preserve">Rate Guide </w:t>
      </w:r>
      <w:r w:rsidRPr="00656DB2">
        <w:rPr>
          <w:rFonts w:eastAsiaTheme="majorEastAsia" w:cstheme="majorBidi"/>
          <w:bCs/>
          <w:szCs w:val="24"/>
        </w:rPr>
        <w:t>burden, and adds new 2018 Rate Guide and associated burden.</w:t>
      </w:r>
    </w:p>
    <w:p w14:paraId="6B37BF76" w14:textId="77777777" w:rsidR="00295ABD" w:rsidRPr="00656DB2" w:rsidRDefault="00295ABD" w:rsidP="00B02608">
      <w:pPr>
        <w:keepNext/>
        <w:keepLines/>
        <w:spacing w:after="0" w:line="240" w:lineRule="auto"/>
        <w:outlineLvl w:val="0"/>
        <w:rPr>
          <w:rFonts w:eastAsiaTheme="majorEastAsia" w:cstheme="majorBidi"/>
          <w:bCs/>
          <w:szCs w:val="24"/>
        </w:rPr>
      </w:pPr>
    </w:p>
    <w:p w14:paraId="0B436A2F" w14:textId="77777777" w:rsidR="007D6E75" w:rsidRPr="00656DB2" w:rsidRDefault="007D6E75" w:rsidP="003F0523">
      <w:pPr>
        <w:pStyle w:val="Heading1"/>
        <w:rPr>
          <w:szCs w:val="24"/>
        </w:rPr>
      </w:pPr>
      <w:r w:rsidRPr="00656DB2">
        <w:rPr>
          <w:szCs w:val="24"/>
        </w:rPr>
        <w:t>A. Background</w:t>
      </w:r>
    </w:p>
    <w:p w14:paraId="734A271B" w14:textId="77777777" w:rsidR="00E8766E" w:rsidRPr="00656DB2" w:rsidRDefault="00E8766E" w:rsidP="008111D2">
      <w:pPr>
        <w:spacing w:after="0" w:line="240" w:lineRule="auto"/>
        <w:rPr>
          <w:szCs w:val="24"/>
        </w:rPr>
      </w:pPr>
    </w:p>
    <w:p w14:paraId="344D30F7" w14:textId="77777777" w:rsidR="009B19E8" w:rsidRDefault="009B19E8" w:rsidP="008111D2">
      <w:pPr>
        <w:spacing w:after="0" w:line="240" w:lineRule="auto"/>
        <w:rPr>
          <w:szCs w:val="24"/>
        </w:rPr>
      </w:pPr>
      <w:r w:rsidRPr="008111D2">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14:paraId="40214B53" w14:textId="77777777" w:rsidR="009B19E8" w:rsidRPr="008111D2" w:rsidRDefault="009B19E8" w:rsidP="003F0523">
      <w:pPr>
        <w:pStyle w:val="Heading1"/>
      </w:pPr>
    </w:p>
    <w:p w14:paraId="58537C2D" w14:textId="77777777" w:rsidR="007D6E75" w:rsidRPr="008111D2" w:rsidRDefault="007D6E75" w:rsidP="005173E1">
      <w:pPr>
        <w:pStyle w:val="Heading1"/>
      </w:pPr>
      <w:r w:rsidRPr="008111D2">
        <w:t>B. Description of Information Collection</w:t>
      </w:r>
    </w:p>
    <w:p w14:paraId="7ECB1D62" w14:textId="77777777" w:rsidR="00E8766E" w:rsidRDefault="00E8766E" w:rsidP="00F34393">
      <w:pPr>
        <w:spacing w:after="0" w:line="240" w:lineRule="auto"/>
        <w:rPr>
          <w:rFonts w:cs="Times New Roman"/>
        </w:rPr>
      </w:pPr>
    </w:p>
    <w:p w14:paraId="15CFC010" w14:textId="6F13C5A3" w:rsidR="0091347F" w:rsidRDefault="0091347F" w:rsidP="00F34393">
      <w:pPr>
        <w:spacing w:after="0" w:line="240" w:lineRule="auto"/>
        <w:rPr>
          <w:rFonts w:cs="Times New Roman"/>
        </w:rPr>
      </w:pPr>
      <w:r>
        <w:rPr>
          <w:rFonts w:cs="Times New Roman"/>
        </w:rPr>
        <w:t>States are required to submit an actuarial certification for all Medicaid managed care capitation rates per §438.</w:t>
      </w:r>
      <w:r w:rsidR="00E7797F">
        <w:rPr>
          <w:rFonts w:cs="Times New Roman"/>
        </w:rPr>
        <w:t>4</w:t>
      </w:r>
      <w:r>
        <w:rPr>
          <w:rFonts w:cs="Times New Roman"/>
        </w:rPr>
        <w:t>.  This document specifies our requirements for that certification and details what types of descriptions we expect to be included.  These elements include descriptions of data used, projected benefit and non-benefit costs, rate range development, risk and contract provisions, and other considerations in all rate setting packages.  This document also details expectations for states when they submit rate certification letters for their newly eligible population.</w:t>
      </w:r>
    </w:p>
    <w:p w14:paraId="5E07E700" w14:textId="77777777" w:rsidR="0091347F" w:rsidRDefault="0091347F" w:rsidP="00F34393">
      <w:pPr>
        <w:spacing w:after="0" w:line="240" w:lineRule="auto"/>
        <w:rPr>
          <w:rFonts w:cs="Times New Roman"/>
        </w:rPr>
      </w:pPr>
    </w:p>
    <w:p w14:paraId="7035C5E3" w14:textId="59639BFB" w:rsidR="0091347F" w:rsidRDefault="0091347F" w:rsidP="00F34393">
      <w:pPr>
        <w:spacing w:after="0" w:line="240" w:lineRule="auto"/>
        <w:rPr>
          <w:rFonts w:cs="Times New Roman"/>
        </w:rPr>
      </w:pPr>
      <w:r w:rsidRPr="0091347F">
        <w:rPr>
          <w:rFonts w:cs="Times New Roman"/>
        </w:rPr>
        <w:t>Statute at 1903(m) of the Social Security Act requires rates paid to Medicaid managed care organizations (MCO) to be actuarially sound.  Regulations at §438.</w:t>
      </w:r>
      <w:r w:rsidR="00E7797F">
        <w:rPr>
          <w:rFonts w:cs="Times New Roman"/>
        </w:rPr>
        <w:t>4</w:t>
      </w:r>
      <w:r w:rsidRPr="0091347F">
        <w:rPr>
          <w:rFonts w:cs="Times New Roman"/>
        </w:rPr>
        <w:t xml:space="preserve"> require all capitation rates paid to an MCO, Prepaid Inpatient Health Plan (PIHP), or Prepaid Ambulatory Health Plans (PAHP) to be actuarially sound and require each state to submit an actuarial certification for each set of capitation rates developed.</w:t>
      </w:r>
    </w:p>
    <w:p w14:paraId="7093DD7B" w14:textId="77777777" w:rsidR="007D3363" w:rsidRDefault="007D3363" w:rsidP="00F34393">
      <w:pPr>
        <w:spacing w:after="0" w:line="240" w:lineRule="auto"/>
        <w:rPr>
          <w:rFonts w:cs="Times New Roman"/>
        </w:rPr>
      </w:pPr>
    </w:p>
    <w:p w14:paraId="0E9BBD66" w14:textId="26C808ED" w:rsidR="007D3363" w:rsidRPr="007D3363" w:rsidRDefault="007D3363" w:rsidP="007D3363">
      <w:pPr>
        <w:spacing w:after="0" w:line="240" w:lineRule="auto"/>
        <w:rPr>
          <w:rFonts w:cs="Times New Roman"/>
          <w:i/>
          <w:u w:val="single"/>
        </w:rPr>
      </w:pPr>
      <w:r w:rsidRPr="007D3363">
        <w:rPr>
          <w:rFonts w:cs="Times New Roman"/>
          <w:i/>
          <w:u w:val="single"/>
        </w:rPr>
        <w:t xml:space="preserve">2016 Rate Guide (Completed </w:t>
      </w:r>
      <w:r w:rsidR="00171E5F">
        <w:rPr>
          <w:rFonts w:cs="Times New Roman"/>
          <w:i/>
          <w:u w:val="single"/>
        </w:rPr>
        <w:t xml:space="preserve">December </w:t>
      </w:r>
      <w:r w:rsidRPr="007D3363">
        <w:rPr>
          <w:rFonts w:cs="Times New Roman"/>
          <w:i/>
          <w:u w:val="single"/>
        </w:rPr>
        <w:t>31</w:t>
      </w:r>
      <w:r w:rsidR="00171E5F">
        <w:rPr>
          <w:rFonts w:cs="Times New Roman"/>
          <w:i/>
          <w:u w:val="single"/>
        </w:rPr>
        <w:t>, 2016</w:t>
      </w:r>
      <w:r w:rsidRPr="007D3363">
        <w:rPr>
          <w:rFonts w:cs="Times New Roman"/>
          <w:i/>
          <w:u w:val="single"/>
        </w:rPr>
        <w:t>)</w:t>
      </w:r>
    </w:p>
    <w:p w14:paraId="07BD987F" w14:textId="77777777" w:rsidR="007D3363" w:rsidRPr="007D3363" w:rsidRDefault="007D3363" w:rsidP="007D3363">
      <w:pPr>
        <w:spacing w:after="0" w:line="240" w:lineRule="auto"/>
        <w:rPr>
          <w:rFonts w:cs="Times New Roman"/>
        </w:rPr>
      </w:pPr>
    </w:p>
    <w:p w14:paraId="2DEEF513" w14:textId="13FB0BA4" w:rsidR="009D316D" w:rsidRDefault="002D5602" w:rsidP="007D3363">
      <w:pPr>
        <w:spacing w:after="0" w:line="240" w:lineRule="auto"/>
        <w:rPr>
          <w:rFonts w:cs="Times New Roman"/>
        </w:rPr>
      </w:pPr>
      <w:r>
        <w:rPr>
          <w:rFonts w:cs="Times New Roman"/>
        </w:rPr>
        <w:t>A</w:t>
      </w:r>
      <w:r w:rsidR="007D3363" w:rsidRPr="007D3363">
        <w:rPr>
          <w:rFonts w:cs="Times New Roman"/>
        </w:rPr>
        <w:t>s of December 31, 2016</w:t>
      </w:r>
      <w:r w:rsidR="009D316D">
        <w:rPr>
          <w:rFonts w:cs="Times New Roman"/>
        </w:rPr>
        <w:t>,</w:t>
      </w:r>
      <w:r w:rsidR="007D3363" w:rsidRPr="007D3363">
        <w:rPr>
          <w:rFonts w:cs="Times New Roman"/>
        </w:rPr>
        <w:t xml:space="preserve"> we are no longer collecting </w:t>
      </w:r>
      <w:r w:rsidR="009D316D">
        <w:rPr>
          <w:rFonts w:cs="Times New Roman"/>
        </w:rPr>
        <w:t>this information.</w:t>
      </w:r>
    </w:p>
    <w:p w14:paraId="218CF3AF" w14:textId="77777777" w:rsidR="007D3363" w:rsidRPr="007D3363" w:rsidRDefault="007D3363" w:rsidP="007D3363">
      <w:pPr>
        <w:spacing w:after="0" w:line="240" w:lineRule="auto"/>
        <w:rPr>
          <w:rFonts w:cs="Times New Roman"/>
        </w:rPr>
      </w:pPr>
    </w:p>
    <w:p w14:paraId="376D33FA" w14:textId="38E41364" w:rsidR="007D3363" w:rsidRPr="007D3363" w:rsidRDefault="007D3363" w:rsidP="007D3363">
      <w:pPr>
        <w:spacing w:after="0" w:line="240" w:lineRule="auto"/>
        <w:rPr>
          <w:rFonts w:cs="Times New Roman"/>
          <w:b/>
          <w:i/>
          <w:u w:val="single"/>
        </w:rPr>
      </w:pPr>
      <w:r w:rsidRPr="007D3363">
        <w:rPr>
          <w:rFonts w:cs="Times New Roman"/>
          <w:i/>
          <w:u w:val="single"/>
        </w:rPr>
        <w:t>2017 Rate Guide (Extension</w:t>
      </w:r>
      <w:r w:rsidR="00DE4783">
        <w:rPr>
          <w:rFonts w:cs="Times New Roman"/>
          <w:i/>
          <w:u w:val="single"/>
        </w:rPr>
        <w:t xml:space="preserve">, </w:t>
      </w:r>
      <w:r w:rsidRPr="007D3363">
        <w:rPr>
          <w:rFonts w:cs="Times New Roman"/>
          <w:i/>
          <w:u w:val="single"/>
        </w:rPr>
        <w:t>without change)</w:t>
      </w:r>
    </w:p>
    <w:p w14:paraId="736FC885" w14:textId="77777777" w:rsidR="007D3363" w:rsidRPr="007D3363" w:rsidRDefault="007D3363" w:rsidP="007D3363">
      <w:pPr>
        <w:spacing w:after="0" w:line="240" w:lineRule="auto"/>
        <w:rPr>
          <w:rFonts w:cs="Times New Roman"/>
          <w:b/>
          <w:u w:val="single"/>
        </w:rPr>
      </w:pPr>
    </w:p>
    <w:p w14:paraId="7ECB957C" w14:textId="4D781CF0" w:rsidR="00DE4783" w:rsidRPr="007D3363" w:rsidRDefault="00DE4783" w:rsidP="00DE4783">
      <w:pPr>
        <w:spacing w:after="0" w:line="240" w:lineRule="auto"/>
        <w:rPr>
          <w:rFonts w:cs="Times New Roman"/>
        </w:rPr>
      </w:pPr>
      <w:r w:rsidRPr="007D3363">
        <w:rPr>
          <w:rFonts w:cs="Times New Roman"/>
        </w:rPr>
        <w:lastRenderedPageBreak/>
        <w:t xml:space="preserve">We </w:t>
      </w:r>
      <w:r>
        <w:rPr>
          <w:rFonts w:cs="Times New Roman"/>
        </w:rPr>
        <w:t xml:space="preserve">are </w:t>
      </w:r>
      <w:r w:rsidRPr="007D3363">
        <w:rPr>
          <w:rFonts w:cs="Times New Roman"/>
        </w:rPr>
        <w:t xml:space="preserve">collecting this </w:t>
      </w:r>
      <w:r>
        <w:rPr>
          <w:rFonts w:cs="Times New Roman"/>
        </w:rPr>
        <w:t xml:space="preserve">information through </w:t>
      </w:r>
      <w:r w:rsidRPr="007D3363">
        <w:rPr>
          <w:rFonts w:cs="Times New Roman"/>
        </w:rPr>
        <w:t>June 30, 2017</w:t>
      </w:r>
      <w:r>
        <w:rPr>
          <w:rFonts w:cs="Times New Roman"/>
        </w:rPr>
        <w:t>.</w:t>
      </w:r>
    </w:p>
    <w:p w14:paraId="4965F46D" w14:textId="77777777" w:rsidR="00DE4783" w:rsidRDefault="00DE4783" w:rsidP="007D3363">
      <w:pPr>
        <w:spacing w:after="0" w:line="240" w:lineRule="auto"/>
        <w:rPr>
          <w:rFonts w:cs="Times New Roman"/>
        </w:rPr>
      </w:pPr>
    </w:p>
    <w:p w14:paraId="09EC30F2" w14:textId="619C7B19" w:rsidR="007D3363" w:rsidRPr="007D3363" w:rsidRDefault="007D3363" w:rsidP="007D3363">
      <w:pPr>
        <w:spacing w:after="0" w:line="240" w:lineRule="auto"/>
        <w:rPr>
          <w:rFonts w:cs="Times New Roman"/>
          <w:i/>
          <w:u w:val="single"/>
        </w:rPr>
      </w:pPr>
      <w:r w:rsidRPr="007D3363">
        <w:rPr>
          <w:rFonts w:cs="Times New Roman"/>
          <w:i/>
          <w:u w:val="single"/>
        </w:rPr>
        <w:t>2018 Rate Guide (</w:t>
      </w:r>
      <w:r w:rsidR="00BD4C36">
        <w:rPr>
          <w:rFonts w:cs="Times New Roman"/>
          <w:i/>
          <w:u w:val="single"/>
        </w:rPr>
        <w:t>New collection</w:t>
      </w:r>
      <w:r w:rsidRPr="007D3363">
        <w:rPr>
          <w:rFonts w:cs="Times New Roman"/>
          <w:i/>
          <w:u w:val="single"/>
        </w:rPr>
        <w:t>)</w:t>
      </w:r>
    </w:p>
    <w:p w14:paraId="451E6E22" w14:textId="77777777" w:rsidR="007D3363" w:rsidRPr="007D3363" w:rsidRDefault="007D3363" w:rsidP="007D3363">
      <w:pPr>
        <w:spacing w:after="0" w:line="240" w:lineRule="auto"/>
        <w:rPr>
          <w:rFonts w:cs="Times New Roman"/>
        </w:rPr>
      </w:pPr>
    </w:p>
    <w:p w14:paraId="73A4A4DA" w14:textId="3ED93F37" w:rsidR="007D3363" w:rsidRDefault="007D3363" w:rsidP="007D3363">
      <w:pPr>
        <w:spacing w:after="0" w:line="240" w:lineRule="auto"/>
        <w:rPr>
          <w:rFonts w:cs="Times New Roman"/>
        </w:rPr>
      </w:pPr>
      <w:r w:rsidRPr="007D3363">
        <w:rPr>
          <w:rFonts w:cs="Times New Roman"/>
        </w:rPr>
        <w:t xml:space="preserve">We will be collecting </w:t>
      </w:r>
      <w:r w:rsidR="00BD4C36">
        <w:rPr>
          <w:rFonts w:cs="Times New Roman"/>
        </w:rPr>
        <w:t xml:space="preserve">this information from July 1, 2017 to </w:t>
      </w:r>
      <w:r w:rsidR="009178F9">
        <w:rPr>
          <w:rFonts w:cs="Times New Roman"/>
        </w:rPr>
        <w:t>June</w:t>
      </w:r>
      <w:r w:rsidR="009178F9" w:rsidRPr="007D3363">
        <w:rPr>
          <w:rFonts w:cs="Times New Roman"/>
        </w:rPr>
        <w:t xml:space="preserve"> </w:t>
      </w:r>
      <w:r w:rsidRPr="007D3363">
        <w:rPr>
          <w:rFonts w:cs="Times New Roman"/>
        </w:rPr>
        <w:t>3</w:t>
      </w:r>
      <w:r w:rsidR="009178F9">
        <w:rPr>
          <w:rFonts w:cs="Times New Roman"/>
        </w:rPr>
        <w:t>0</w:t>
      </w:r>
      <w:r w:rsidRPr="007D3363">
        <w:rPr>
          <w:rFonts w:cs="Times New Roman"/>
        </w:rPr>
        <w:t>, 201</w:t>
      </w:r>
      <w:r w:rsidR="009178F9">
        <w:rPr>
          <w:rFonts w:cs="Times New Roman"/>
        </w:rPr>
        <w:t>8</w:t>
      </w:r>
      <w:r w:rsidRPr="007D3363">
        <w:rPr>
          <w:rFonts w:cs="Times New Roman"/>
        </w:rPr>
        <w:t>.</w:t>
      </w:r>
    </w:p>
    <w:p w14:paraId="59F57BF7" w14:textId="77777777" w:rsidR="00D12ABB" w:rsidRDefault="00D12ABB" w:rsidP="00D4736A">
      <w:pPr>
        <w:spacing w:after="0" w:line="240" w:lineRule="auto"/>
      </w:pPr>
    </w:p>
    <w:p w14:paraId="39A19F27" w14:textId="77777777" w:rsidR="007D6E75" w:rsidRPr="008111D2" w:rsidRDefault="007D6E75" w:rsidP="003F0523">
      <w:pPr>
        <w:pStyle w:val="Heading1"/>
      </w:pPr>
      <w:r w:rsidRPr="008111D2">
        <w:t>C. Deviations from Generic Request</w:t>
      </w:r>
    </w:p>
    <w:p w14:paraId="51332C11" w14:textId="77777777" w:rsidR="00E8766E" w:rsidRDefault="00E8766E" w:rsidP="008111D2">
      <w:pPr>
        <w:spacing w:after="0" w:line="240" w:lineRule="auto"/>
        <w:rPr>
          <w:szCs w:val="24"/>
        </w:rPr>
      </w:pPr>
    </w:p>
    <w:p w14:paraId="08636EA4" w14:textId="77777777" w:rsidR="007D6E75" w:rsidRPr="008111D2" w:rsidRDefault="009B19E8" w:rsidP="008111D2">
      <w:pPr>
        <w:spacing w:after="0" w:line="240" w:lineRule="auto"/>
        <w:rPr>
          <w:szCs w:val="24"/>
        </w:rPr>
      </w:pPr>
      <w:r w:rsidRPr="008111D2">
        <w:rPr>
          <w:szCs w:val="24"/>
        </w:rPr>
        <w:t>No deviations are requested.</w:t>
      </w:r>
    </w:p>
    <w:p w14:paraId="69984A64" w14:textId="77777777" w:rsidR="008111D2" w:rsidRPr="008111D2" w:rsidRDefault="008111D2" w:rsidP="000145FA">
      <w:pPr>
        <w:pStyle w:val="Heading1"/>
      </w:pPr>
    </w:p>
    <w:p w14:paraId="126ABCBE" w14:textId="77777777" w:rsidR="007D6E75" w:rsidRDefault="007D6E75" w:rsidP="000145FA">
      <w:pPr>
        <w:pStyle w:val="Heading1"/>
      </w:pPr>
      <w:r w:rsidRPr="008111D2">
        <w:t>D. Burden Hour Deduction</w:t>
      </w:r>
    </w:p>
    <w:p w14:paraId="332E5E92" w14:textId="77777777" w:rsidR="00E8766E" w:rsidRDefault="00E8766E" w:rsidP="000145FA">
      <w:pPr>
        <w:spacing w:after="0" w:line="240" w:lineRule="auto"/>
      </w:pPr>
    </w:p>
    <w:p w14:paraId="6DE508CD" w14:textId="77777777" w:rsidR="003F0523" w:rsidRPr="003F0523" w:rsidRDefault="003F0523" w:rsidP="000145FA">
      <w:pPr>
        <w:spacing w:after="0" w:line="240" w:lineRule="auto"/>
      </w:pPr>
      <w:r w:rsidRPr="003F0523">
        <w:t>The total approved burden ceiling of the generic ICR is 154,104 hours, and CMS previously requested to use 66,728 hours, leaving our burden ceiling at 87,376 hours.</w:t>
      </w:r>
    </w:p>
    <w:p w14:paraId="6A5E9D2B" w14:textId="77777777" w:rsidR="000C73B6" w:rsidRDefault="000C73B6" w:rsidP="000C73B6">
      <w:pPr>
        <w:spacing w:after="0" w:line="240" w:lineRule="auto"/>
        <w:rPr>
          <w:i/>
        </w:rPr>
      </w:pPr>
    </w:p>
    <w:p w14:paraId="4D7E90E7" w14:textId="77777777" w:rsidR="003F0523" w:rsidRPr="003F0523" w:rsidRDefault="003F0523" w:rsidP="003F0523">
      <w:pPr>
        <w:rPr>
          <w:i/>
        </w:rPr>
      </w:pPr>
      <w:r w:rsidRPr="003F0523">
        <w:rPr>
          <w:i/>
        </w:rPr>
        <w:t>Wage Estimates</w:t>
      </w:r>
    </w:p>
    <w:p w14:paraId="429E2E2C" w14:textId="65821374" w:rsidR="003F0523" w:rsidRDefault="003F0523" w:rsidP="00831289">
      <w:pPr>
        <w:spacing w:after="0" w:line="240" w:lineRule="auto"/>
      </w:pPr>
      <w:r w:rsidRPr="003F0523">
        <w:t>To derive average costs, we used data from the U.S. Bure</w:t>
      </w:r>
      <w:r w:rsidR="00B4138E">
        <w:t>au of Labor Statistics’ May 2016</w:t>
      </w:r>
      <w:r w:rsidRPr="003F0523">
        <w:t xml:space="preserve"> National Occupational Employment and Wage Estimates for all salary estimates (</w:t>
      </w:r>
      <w:hyperlink r:id="rId14" w:history="1">
        <w:r w:rsidRPr="003F0523">
          <w:rPr>
            <w:rStyle w:val="Hyperlink"/>
          </w:rPr>
          <w:t>http://www.bls.gov/oes/current/oes_nat.htm</w:t>
        </w:r>
      </w:hyperlink>
      <w:r w:rsidRPr="003F0523">
        <w:t>). In this regard, the following table presents the mean hourly wage, the cost of fringe benefits (calculated at 100 percent of salary), and the adjusted hourly wage.</w:t>
      </w:r>
    </w:p>
    <w:p w14:paraId="74EE8E16" w14:textId="77777777" w:rsidR="00831289" w:rsidRPr="003F0523" w:rsidRDefault="00831289" w:rsidP="00831289">
      <w:pPr>
        <w:spacing w:after="0" w:line="240" w:lineRule="auto"/>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1785"/>
        <w:gridCol w:w="1688"/>
        <w:gridCol w:w="1692"/>
        <w:gridCol w:w="2217"/>
      </w:tblGrid>
      <w:tr w:rsidR="003F0523" w:rsidRPr="003F0523" w14:paraId="2537FBE1" w14:textId="77777777" w:rsidTr="00076A1D">
        <w:trPr>
          <w:trHeight w:val="800"/>
          <w:tblHeader/>
        </w:trPr>
        <w:tc>
          <w:tcPr>
            <w:tcW w:w="1798" w:type="dxa"/>
            <w:shd w:val="clear" w:color="auto" w:fill="auto"/>
          </w:tcPr>
          <w:p w14:paraId="39D79618" w14:textId="77777777" w:rsidR="003F0523" w:rsidRPr="003F0523" w:rsidRDefault="003F0523" w:rsidP="003B45F7">
            <w:pPr>
              <w:spacing w:after="0" w:line="240" w:lineRule="auto"/>
              <w:rPr>
                <w:b/>
              </w:rPr>
            </w:pPr>
            <w:r w:rsidRPr="003F0523">
              <w:rPr>
                <w:b/>
              </w:rPr>
              <w:t>Occupation Title</w:t>
            </w:r>
          </w:p>
        </w:tc>
        <w:tc>
          <w:tcPr>
            <w:tcW w:w="1785" w:type="dxa"/>
            <w:shd w:val="clear" w:color="auto" w:fill="auto"/>
          </w:tcPr>
          <w:p w14:paraId="1EA5F92D" w14:textId="77777777" w:rsidR="003F0523" w:rsidRPr="003F0523" w:rsidRDefault="003F0523" w:rsidP="003B45F7">
            <w:pPr>
              <w:spacing w:after="0" w:line="240" w:lineRule="auto"/>
              <w:rPr>
                <w:b/>
              </w:rPr>
            </w:pPr>
            <w:r w:rsidRPr="003F0523">
              <w:rPr>
                <w:b/>
              </w:rPr>
              <w:t>Occupation Code</w:t>
            </w:r>
          </w:p>
        </w:tc>
        <w:tc>
          <w:tcPr>
            <w:tcW w:w="1688" w:type="dxa"/>
            <w:shd w:val="clear" w:color="auto" w:fill="auto"/>
          </w:tcPr>
          <w:p w14:paraId="605500BF" w14:textId="77777777" w:rsidR="003F0523" w:rsidRPr="003F0523" w:rsidRDefault="003F0523" w:rsidP="003B45F7">
            <w:pPr>
              <w:spacing w:after="0" w:line="240" w:lineRule="auto"/>
              <w:rPr>
                <w:b/>
              </w:rPr>
            </w:pPr>
            <w:r w:rsidRPr="003F0523">
              <w:rPr>
                <w:b/>
              </w:rPr>
              <w:t>Mean Hourly Wage ($/hr)</w:t>
            </w:r>
          </w:p>
        </w:tc>
        <w:tc>
          <w:tcPr>
            <w:tcW w:w="1692" w:type="dxa"/>
            <w:shd w:val="clear" w:color="auto" w:fill="auto"/>
          </w:tcPr>
          <w:p w14:paraId="380A9194" w14:textId="77777777" w:rsidR="003F0523" w:rsidRPr="003F0523" w:rsidRDefault="003F0523" w:rsidP="003B45F7">
            <w:pPr>
              <w:spacing w:after="0" w:line="240" w:lineRule="auto"/>
              <w:rPr>
                <w:b/>
              </w:rPr>
            </w:pPr>
            <w:r w:rsidRPr="003F0523">
              <w:rPr>
                <w:b/>
              </w:rPr>
              <w:t>Fringe Benefit ($/hr)</w:t>
            </w:r>
          </w:p>
        </w:tc>
        <w:tc>
          <w:tcPr>
            <w:tcW w:w="2217" w:type="dxa"/>
            <w:shd w:val="clear" w:color="auto" w:fill="auto"/>
          </w:tcPr>
          <w:p w14:paraId="087FADB7" w14:textId="77777777" w:rsidR="003F0523" w:rsidRPr="003F0523" w:rsidRDefault="003F0523" w:rsidP="003B45F7">
            <w:pPr>
              <w:spacing w:after="0" w:line="240" w:lineRule="auto"/>
              <w:rPr>
                <w:b/>
              </w:rPr>
            </w:pPr>
            <w:r w:rsidRPr="003F0523">
              <w:rPr>
                <w:b/>
              </w:rPr>
              <w:t>Adjusted Hourly Wage ($/hr)</w:t>
            </w:r>
          </w:p>
        </w:tc>
      </w:tr>
      <w:tr w:rsidR="003F0523" w:rsidRPr="003F0523" w14:paraId="1C096DF0" w14:textId="77777777" w:rsidTr="00076A1D">
        <w:tc>
          <w:tcPr>
            <w:tcW w:w="1798" w:type="dxa"/>
            <w:shd w:val="clear" w:color="auto" w:fill="auto"/>
          </w:tcPr>
          <w:p w14:paraId="6FC6BBA1" w14:textId="77777777" w:rsidR="003F0523" w:rsidRPr="003F0523" w:rsidRDefault="003F0523" w:rsidP="003B45F7">
            <w:pPr>
              <w:spacing w:after="0" w:line="240" w:lineRule="auto"/>
            </w:pPr>
            <w:r w:rsidRPr="003F0523">
              <w:t>Community and Social Service Occupations</w:t>
            </w:r>
          </w:p>
        </w:tc>
        <w:tc>
          <w:tcPr>
            <w:tcW w:w="1785" w:type="dxa"/>
            <w:shd w:val="clear" w:color="auto" w:fill="auto"/>
          </w:tcPr>
          <w:p w14:paraId="361907F9" w14:textId="77777777" w:rsidR="003F0523" w:rsidRPr="003F0523" w:rsidRDefault="003F0523" w:rsidP="003B45F7">
            <w:pPr>
              <w:spacing w:after="0" w:line="240" w:lineRule="auto"/>
            </w:pPr>
            <w:r w:rsidRPr="003F0523">
              <w:t>21-0000</w:t>
            </w:r>
          </w:p>
        </w:tc>
        <w:tc>
          <w:tcPr>
            <w:tcW w:w="1688" w:type="dxa"/>
            <w:shd w:val="clear" w:color="auto" w:fill="auto"/>
          </w:tcPr>
          <w:p w14:paraId="7953B84A" w14:textId="22DB732E" w:rsidR="003F0523" w:rsidRPr="003F0523" w:rsidRDefault="003F0523" w:rsidP="00D94644">
            <w:pPr>
              <w:spacing w:after="0" w:line="240" w:lineRule="auto"/>
            </w:pPr>
            <w:r w:rsidRPr="003F0523">
              <w:t>22.</w:t>
            </w:r>
            <w:r w:rsidR="00D94644">
              <w:t>6</w:t>
            </w:r>
            <w:r>
              <w:t>9</w:t>
            </w:r>
          </w:p>
        </w:tc>
        <w:tc>
          <w:tcPr>
            <w:tcW w:w="1692" w:type="dxa"/>
            <w:shd w:val="clear" w:color="auto" w:fill="auto"/>
          </w:tcPr>
          <w:p w14:paraId="1BD1F11C" w14:textId="0E268A5D" w:rsidR="003F0523" w:rsidRPr="003F0523" w:rsidRDefault="003F0523" w:rsidP="00D94644">
            <w:pPr>
              <w:spacing w:after="0" w:line="240" w:lineRule="auto"/>
            </w:pPr>
            <w:r w:rsidRPr="003F0523">
              <w:t>22.</w:t>
            </w:r>
            <w:r w:rsidR="00D94644">
              <w:t>6</w:t>
            </w:r>
            <w:r>
              <w:t>9</w:t>
            </w:r>
          </w:p>
        </w:tc>
        <w:tc>
          <w:tcPr>
            <w:tcW w:w="2217" w:type="dxa"/>
            <w:shd w:val="clear" w:color="auto" w:fill="auto"/>
          </w:tcPr>
          <w:p w14:paraId="601B8D52" w14:textId="702B5537" w:rsidR="003F0523" w:rsidRPr="003F0523" w:rsidRDefault="003F0523" w:rsidP="00D94644">
            <w:pPr>
              <w:spacing w:after="0" w:line="240" w:lineRule="auto"/>
            </w:pPr>
            <w:r w:rsidRPr="003F0523">
              <w:t>4</w:t>
            </w:r>
            <w:r w:rsidR="00D94644">
              <w:t>5</w:t>
            </w:r>
            <w:r w:rsidRPr="003F0523">
              <w:t>.</w:t>
            </w:r>
            <w:r>
              <w:t>38</w:t>
            </w:r>
          </w:p>
        </w:tc>
      </w:tr>
    </w:tbl>
    <w:p w14:paraId="7ECDEA6F" w14:textId="77777777" w:rsidR="00831289" w:rsidRDefault="00831289" w:rsidP="007D3363">
      <w:pPr>
        <w:spacing w:after="0" w:line="240" w:lineRule="auto"/>
      </w:pPr>
    </w:p>
    <w:p w14:paraId="0539B108" w14:textId="77777777" w:rsidR="003F0523" w:rsidRPr="003F0523" w:rsidRDefault="003F0523" w:rsidP="007D3363">
      <w:pPr>
        <w:spacing w:after="0" w:line="240" w:lineRule="auto"/>
      </w:pPr>
      <w:r w:rsidRPr="003F0523">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11493196" w14:textId="77777777" w:rsidR="003F0523" w:rsidRPr="003F0523" w:rsidRDefault="003F0523" w:rsidP="007D3363">
      <w:pPr>
        <w:spacing w:after="0" w:line="240" w:lineRule="auto"/>
      </w:pPr>
    </w:p>
    <w:p w14:paraId="76C0C4C8" w14:textId="5C4A2E5B" w:rsidR="007D3363" w:rsidRDefault="003F0523" w:rsidP="007D3363">
      <w:pPr>
        <w:spacing w:after="0" w:line="240" w:lineRule="auto"/>
      </w:pPr>
      <w:r w:rsidRPr="003F0523">
        <w:rPr>
          <w:i/>
        </w:rPr>
        <w:t>Burden Estimates</w:t>
      </w:r>
    </w:p>
    <w:p w14:paraId="09ECFC94" w14:textId="77777777" w:rsidR="00831289" w:rsidRPr="005173E1" w:rsidRDefault="00831289" w:rsidP="00831289">
      <w:pPr>
        <w:spacing w:after="0" w:line="240" w:lineRule="auto"/>
      </w:pPr>
    </w:p>
    <w:p w14:paraId="5B451246" w14:textId="5B41051C" w:rsidR="003F0523" w:rsidRDefault="003F0523" w:rsidP="00831289">
      <w:pPr>
        <w:spacing w:after="0" w:line="240" w:lineRule="auto"/>
        <w:rPr>
          <w:u w:val="single"/>
        </w:rPr>
      </w:pPr>
      <w:r w:rsidRPr="00DA71EF">
        <w:rPr>
          <w:u w:val="single"/>
        </w:rPr>
        <w:t xml:space="preserve">2016 </w:t>
      </w:r>
      <w:r w:rsidR="00076A1D" w:rsidRPr="00DA71EF">
        <w:rPr>
          <w:u w:val="single"/>
        </w:rPr>
        <w:t xml:space="preserve">Rate </w:t>
      </w:r>
      <w:r w:rsidRPr="00DA71EF">
        <w:rPr>
          <w:u w:val="single"/>
        </w:rPr>
        <w:t>Guide (Completed)</w:t>
      </w:r>
    </w:p>
    <w:p w14:paraId="6CC3784A" w14:textId="77777777" w:rsidR="00831289" w:rsidRPr="00DA71EF" w:rsidRDefault="00831289" w:rsidP="00831289">
      <w:pPr>
        <w:spacing w:after="0" w:line="240" w:lineRule="auto"/>
        <w:rPr>
          <w:u w:val="single"/>
        </w:rPr>
      </w:pPr>
    </w:p>
    <w:p w14:paraId="113AED9F" w14:textId="1D3A2BD7" w:rsidR="003F0523" w:rsidRDefault="003F0523" w:rsidP="00831289">
      <w:pPr>
        <w:spacing w:after="0" w:line="240" w:lineRule="auto"/>
      </w:pPr>
      <w:r>
        <w:t xml:space="preserve">The 2016 </w:t>
      </w:r>
      <w:r w:rsidR="007D3363">
        <w:t xml:space="preserve">Rate </w:t>
      </w:r>
      <w:r>
        <w:t xml:space="preserve">Guide was completed on </w:t>
      </w:r>
      <w:r w:rsidR="00D025B5">
        <w:t xml:space="preserve">December </w:t>
      </w:r>
      <w:r>
        <w:t>31</w:t>
      </w:r>
      <w:r w:rsidR="00D025B5">
        <w:t>, 20</w:t>
      </w:r>
      <w:r>
        <w:t>16</w:t>
      </w:r>
      <w:r w:rsidR="00601293">
        <w:t xml:space="preserve">. In this regard </w:t>
      </w:r>
      <w:r>
        <w:t xml:space="preserve">the burden of 140 hours </w:t>
      </w:r>
      <w:r w:rsidR="00601293">
        <w:t xml:space="preserve">is </w:t>
      </w:r>
      <w:r>
        <w:t xml:space="preserve">no longer </w:t>
      </w:r>
      <w:r w:rsidR="00601293">
        <w:t>needed and is being removed</w:t>
      </w:r>
      <w:r>
        <w:t>.</w:t>
      </w:r>
    </w:p>
    <w:p w14:paraId="123ED117" w14:textId="77777777" w:rsidR="000145FA" w:rsidRDefault="000145FA" w:rsidP="00831289">
      <w:pPr>
        <w:spacing w:after="0" w:line="240" w:lineRule="auto"/>
      </w:pPr>
    </w:p>
    <w:p w14:paraId="3FF57DD3" w14:textId="20A67BF3" w:rsidR="003F0523" w:rsidRDefault="003F0523" w:rsidP="00831289">
      <w:pPr>
        <w:spacing w:after="0" w:line="240" w:lineRule="auto"/>
        <w:rPr>
          <w:u w:val="single"/>
        </w:rPr>
      </w:pPr>
      <w:r>
        <w:rPr>
          <w:u w:val="single"/>
        </w:rPr>
        <w:t xml:space="preserve">2017 </w:t>
      </w:r>
      <w:r w:rsidR="008C7139">
        <w:rPr>
          <w:u w:val="single"/>
        </w:rPr>
        <w:t xml:space="preserve">Rate </w:t>
      </w:r>
      <w:r>
        <w:rPr>
          <w:u w:val="single"/>
        </w:rPr>
        <w:t>Guide (</w:t>
      </w:r>
      <w:r w:rsidR="00D025B5">
        <w:rPr>
          <w:u w:val="single"/>
        </w:rPr>
        <w:t>Completed</w:t>
      </w:r>
      <w:r>
        <w:rPr>
          <w:u w:val="single"/>
        </w:rPr>
        <w:t>)</w:t>
      </w:r>
    </w:p>
    <w:p w14:paraId="471808A1" w14:textId="77777777" w:rsidR="00831289" w:rsidRPr="002A0751" w:rsidRDefault="00831289" w:rsidP="00831289">
      <w:pPr>
        <w:spacing w:after="0" w:line="240" w:lineRule="auto"/>
        <w:rPr>
          <w:u w:val="single"/>
        </w:rPr>
      </w:pPr>
    </w:p>
    <w:p w14:paraId="1091C16B" w14:textId="3938D311" w:rsidR="00503F94" w:rsidRDefault="003F0523" w:rsidP="00831289">
      <w:pPr>
        <w:spacing w:after="0" w:line="240" w:lineRule="auto"/>
      </w:pPr>
      <w:r>
        <w:t xml:space="preserve">The </w:t>
      </w:r>
      <w:r w:rsidR="00503F94">
        <w:t>collection continue</w:t>
      </w:r>
      <w:r w:rsidR="00D025B5">
        <w:t>d</w:t>
      </w:r>
      <w:r w:rsidR="00503F94">
        <w:t xml:space="preserve"> through </w:t>
      </w:r>
      <w:r>
        <w:t xml:space="preserve">June 30, 2017.  </w:t>
      </w:r>
    </w:p>
    <w:p w14:paraId="4EFEAE6F" w14:textId="77777777" w:rsidR="00831289" w:rsidRPr="003F0523" w:rsidRDefault="00831289" w:rsidP="00831289">
      <w:pPr>
        <w:spacing w:after="0" w:line="240" w:lineRule="auto"/>
      </w:pPr>
    </w:p>
    <w:p w14:paraId="7368E82D" w14:textId="55BBDA28" w:rsidR="007024DF" w:rsidRDefault="00DA71EF" w:rsidP="00831289">
      <w:pPr>
        <w:spacing w:after="0" w:line="240" w:lineRule="auto"/>
        <w:rPr>
          <w:u w:val="single"/>
        </w:rPr>
      </w:pPr>
      <w:r>
        <w:rPr>
          <w:u w:val="single"/>
        </w:rPr>
        <w:t>2018 Rate Guide</w:t>
      </w:r>
      <w:r w:rsidR="00AD4E6E">
        <w:rPr>
          <w:u w:val="single"/>
        </w:rPr>
        <w:t xml:space="preserve"> (New coll</w:t>
      </w:r>
      <w:r w:rsidR="00193029">
        <w:rPr>
          <w:u w:val="single"/>
        </w:rPr>
        <w:t>e</w:t>
      </w:r>
      <w:r w:rsidR="00AD4E6E">
        <w:rPr>
          <w:u w:val="single"/>
        </w:rPr>
        <w:t>ction)</w:t>
      </w:r>
    </w:p>
    <w:p w14:paraId="7AD9A5BC" w14:textId="77777777" w:rsidR="00831289" w:rsidRPr="00DA71EF" w:rsidRDefault="00831289" w:rsidP="00831289">
      <w:pPr>
        <w:spacing w:after="0" w:line="240" w:lineRule="auto"/>
        <w:rPr>
          <w:u w:val="single"/>
        </w:rPr>
      </w:pPr>
    </w:p>
    <w:p w14:paraId="1D370B9E" w14:textId="37DC619A" w:rsidR="007024DF" w:rsidRDefault="002544DF" w:rsidP="00831289">
      <w:pPr>
        <w:spacing w:after="0" w:line="240" w:lineRule="auto"/>
      </w:pPr>
      <w:r>
        <w:t>The</w:t>
      </w:r>
      <w:r w:rsidR="007024DF">
        <w:t xml:space="preserve"> </w:t>
      </w:r>
      <w:r>
        <w:t xml:space="preserve">information will be </w:t>
      </w:r>
      <w:r w:rsidR="007024DF">
        <w:t>collect</w:t>
      </w:r>
      <w:r>
        <w:t xml:space="preserve">ed </w:t>
      </w:r>
      <w:r w:rsidR="007024DF">
        <w:t xml:space="preserve">from </w:t>
      </w:r>
      <w:r>
        <w:t xml:space="preserve">July 1, 2017 to </w:t>
      </w:r>
      <w:r w:rsidR="007024DF">
        <w:t>June 30, 201</w:t>
      </w:r>
      <w:r>
        <w:t>8</w:t>
      </w:r>
      <w:r w:rsidR="007024DF">
        <w:t>.</w:t>
      </w:r>
    </w:p>
    <w:p w14:paraId="5B590679" w14:textId="77777777" w:rsidR="00831289" w:rsidRDefault="00831289" w:rsidP="00831289">
      <w:pPr>
        <w:spacing w:after="0" w:line="240" w:lineRule="auto"/>
      </w:pPr>
    </w:p>
    <w:p w14:paraId="65B51D9B" w14:textId="76007BD0" w:rsidR="003F0523" w:rsidRDefault="005605AF" w:rsidP="00DA71EF">
      <w:pPr>
        <w:spacing w:after="0" w:line="240" w:lineRule="auto"/>
      </w:pPr>
      <w:r w:rsidRPr="005605AF">
        <w:t>We</w:t>
      </w:r>
      <w:r w:rsidR="002544DF" w:rsidRPr="005605AF">
        <w:t xml:space="preserve"> estimate that </w:t>
      </w:r>
      <w:r w:rsidRPr="005605AF">
        <w:t xml:space="preserve">it will take </w:t>
      </w:r>
      <w:r w:rsidR="002544DF" w:rsidRPr="005605AF">
        <w:t xml:space="preserve">each state </w:t>
      </w:r>
      <w:r w:rsidRPr="005605AF">
        <w:t xml:space="preserve">4 hours </w:t>
      </w:r>
      <w:r>
        <w:t xml:space="preserve">at </w:t>
      </w:r>
      <w:r w:rsidRPr="003F0523">
        <w:t>$4</w:t>
      </w:r>
      <w:r w:rsidR="0019175F">
        <w:t>5</w:t>
      </w:r>
      <w:r w:rsidRPr="003F0523">
        <w:t>.38</w:t>
      </w:r>
      <w:r>
        <w:t xml:space="preserve">/hr </w:t>
      </w:r>
      <w:r w:rsidRPr="005605AF">
        <w:t xml:space="preserve">to </w:t>
      </w:r>
      <w:r w:rsidR="002544DF" w:rsidRPr="005605AF">
        <w:t>complete the collection of data and subm</w:t>
      </w:r>
      <w:r w:rsidRPr="005605AF">
        <w:t xml:space="preserve">it the required information to </w:t>
      </w:r>
      <w:r w:rsidR="002544DF" w:rsidRPr="005605AF">
        <w:t xml:space="preserve">CMS. There is a potential universe of 42 respondents.  </w:t>
      </w:r>
      <w:r w:rsidRPr="005605AF">
        <w:t>However, w</w:t>
      </w:r>
      <w:r w:rsidR="002544DF" w:rsidRPr="005605AF">
        <w:t>e expect to receive 70 certificates, so the total burden is 280 hours (70 certificates x 4 hours)</w:t>
      </w:r>
      <w:r>
        <w:t xml:space="preserve"> at a cost of </w:t>
      </w:r>
      <w:r w:rsidR="003F0523" w:rsidRPr="003F0523">
        <w:t>$</w:t>
      </w:r>
      <w:r>
        <w:t>12</w:t>
      </w:r>
      <w:r w:rsidR="003F0523" w:rsidRPr="003F0523">
        <w:t>,</w:t>
      </w:r>
      <w:r w:rsidR="0019175F">
        <w:t>706</w:t>
      </w:r>
      <w:r w:rsidR="003F0523" w:rsidRPr="003F0523">
        <w:t xml:space="preserve"> ($4</w:t>
      </w:r>
      <w:r w:rsidR="0019175F">
        <w:t>5.</w:t>
      </w:r>
      <w:r w:rsidR="003F0523" w:rsidRPr="003F0523">
        <w:t>38</w:t>
      </w:r>
      <w:r>
        <w:t>/hr</w:t>
      </w:r>
      <w:r w:rsidR="003F0523" w:rsidRPr="003F0523">
        <w:t xml:space="preserve"> </w:t>
      </w:r>
      <w:r>
        <w:t>x</w:t>
      </w:r>
      <w:r w:rsidR="003F0523" w:rsidRPr="003F0523">
        <w:t xml:space="preserve"> </w:t>
      </w:r>
      <w:r>
        <w:t>280</w:t>
      </w:r>
      <w:r w:rsidR="003F0523" w:rsidRPr="003F0523">
        <w:t xml:space="preserve"> hours)</w:t>
      </w:r>
      <w:r w:rsidR="00DF10B8">
        <w:t xml:space="preserve"> </w:t>
      </w:r>
      <w:r w:rsidR="00A8208F">
        <w:t xml:space="preserve">or </w:t>
      </w:r>
      <w:r w:rsidR="00DF10B8">
        <w:t>$18</w:t>
      </w:r>
      <w:r w:rsidR="0019175F">
        <w:t>2</w:t>
      </w:r>
      <w:r w:rsidR="00DF10B8">
        <w:t xml:space="preserve"> per response</w:t>
      </w:r>
      <w:r w:rsidR="003F0523" w:rsidRPr="003F0523">
        <w:t>.</w:t>
      </w:r>
    </w:p>
    <w:p w14:paraId="28CF4C1E" w14:textId="77777777" w:rsidR="00076A1D" w:rsidRPr="003F0523" w:rsidRDefault="00076A1D" w:rsidP="00DA71EF">
      <w:pPr>
        <w:spacing w:after="0" w:line="240" w:lineRule="auto"/>
      </w:pPr>
    </w:p>
    <w:p w14:paraId="0D1D5FF9" w14:textId="3AF77B9F" w:rsidR="00AE0D3D" w:rsidRDefault="003F0523" w:rsidP="00AE0D3D">
      <w:pPr>
        <w:spacing w:after="0" w:line="240" w:lineRule="auto"/>
      </w:pPr>
      <w:r w:rsidRPr="003F0523">
        <w:rPr>
          <w:i/>
        </w:rPr>
        <w:t>Burden Summary</w:t>
      </w:r>
    </w:p>
    <w:p w14:paraId="434E4406" w14:textId="77777777" w:rsidR="00AE0D3D" w:rsidRPr="00AE0D3D" w:rsidRDefault="00AE0D3D" w:rsidP="00AE0D3D">
      <w:pPr>
        <w:spacing w:after="0" w:line="240" w:lineRule="auto"/>
      </w:pPr>
    </w:p>
    <w:tbl>
      <w:tblPr>
        <w:tblW w:w="95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530"/>
        <w:gridCol w:w="1350"/>
        <w:gridCol w:w="1260"/>
        <w:gridCol w:w="1080"/>
        <w:gridCol w:w="1350"/>
        <w:gridCol w:w="1391"/>
      </w:tblGrid>
      <w:tr w:rsidR="00076A1D" w:rsidRPr="003F0523" w14:paraId="22358A4A" w14:textId="77777777" w:rsidTr="002F2508">
        <w:trPr>
          <w:trHeight w:val="800"/>
          <w:tblHeader/>
        </w:trPr>
        <w:tc>
          <w:tcPr>
            <w:tcW w:w="1620" w:type="dxa"/>
            <w:shd w:val="clear" w:color="auto" w:fill="auto"/>
          </w:tcPr>
          <w:p w14:paraId="1CC34F72" w14:textId="00095E27" w:rsidR="003F0523" w:rsidRPr="003F0523" w:rsidRDefault="00E301FB" w:rsidP="00E301FB">
            <w:pPr>
              <w:rPr>
                <w:b/>
              </w:rPr>
            </w:pPr>
            <w:r>
              <w:rPr>
                <w:b/>
              </w:rPr>
              <w:t>Guide</w:t>
            </w:r>
          </w:p>
        </w:tc>
        <w:tc>
          <w:tcPr>
            <w:tcW w:w="1530" w:type="dxa"/>
            <w:shd w:val="clear" w:color="auto" w:fill="auto"/>
          </w:tcPr>
          <w:p w14:paraId="0BCB8FAD" w14:textId="622A57F5" w:rsidR="003F0523" w:rsidRPr="003F0523" w:rsidRDefault="003F0523" w:rsidP="00E301FB">
            <w:pPr>
              <w:rPr>
                <w:b/>
              </w:rPr>
            </w:pPr>
            <w:r w:rsidRPr="003F0523">
              <w:rPr>
                <w:b/>
              </w:rPr>
              <w:t>Respon</w:t>
            </w:r>
            <w:r w:rsidR="00D75DF2">
              <w:rPr>
                <w:b/>
              </w:rPr>
              <w:t>dents</w:t>
            </w:r>
          </w:p>
        </w:tc>
        <w:tc>
          <w:tcPr>
            <w:tcW w:w="1350" w:type="dxa"/>
            <w:shd w:val="clear" w:color="auto" w:fill="auto"/>
          </w:tcPr>
          <w:p w14:paraId="1B53895C" w14:textId="055AAEC7" w:rsidR="003F0523" w:rsidRPr="003F0523" w:rsidRDefault="00D75DF2" w:rsidP="00D75DF2">
            <w:pPr>
              <w:rPr>
                <w:b/>
              </w:rPr>
            </w:pPr>
            <w:r>
              <w:rPr>
                <w:b/>
              </w:rPr>
              <w:t>Total Responses Expected</w:t>
            </w:r>
          </w:p>
        </w:tc>
        <w:tc>
          <w:tcPr>
            <w:tcW w:w="1260" w:type="dxa"/>
            <w:shd w:val="clear" w:color="auto" w:fill="auto"/>
          </w:tcPr>
          <w:p w14:paraId="6EC95A06" w14:textId="77777777" w:rsidR="003F0523" w:rsidRPr="003F0523" w:rsidRDefault="003F0523" w:rsidP="003F0523">
            <w:pPr>
              <w:rPr>
                <w:b/>
              </w:rPr>
            </w:pPr>
            <w:r w:rsidRPr="003F0523">
              <w:rPr>
                <w:b/>
              </w:rPr>
              <w:t>Burden per Response (hours)</w:t>
            </w:r>
          </w:p>
        </w:tc>
        <w:tc>
          <w:tcPr>
            <w:tcW w:w="1080" w:type="dxa"/>
          </w:tcPr>
          <w:p w14:paraId="3D8F7C96" w14:textId="77777777" w:rsidR="003F0523" w:rsidRPr="003F0523" w:rsidRDefault="003F0523" w:rsidP="003F0523">
            <w:pPr>
              <w:rPr>
                <w:b/>
              </w:rPr>
            </w:pPr>
            <w:r w:rsidRPr="003F0523">
              <w:rPr>
                <w:b/>
              </w:rPr>
              <w:t>Total Annual Burden (hours)</w:t>
            </w:r>
          </w:p>
        </w:tc>
        <w:tc>
          <w:tcPr>
            <w:tcW w:w="1350" w:type="dxa"/>
          </w:tcPr>
          <w:p w14:paraId="44AB4941" w14:textId="77777777" w:rsidR="003F0523" w:rsidRPr="003F0523" w:rsidRDefault="003F0523" w:rsidP="003F0523">
            <w:pPr>
              <w:rPr>
                <w:b/>
              </w:rPr>
            </w:pPr>
            <w:r w:rsidRPr="003F0523">
              <w:rPr>
                <w:b/>
              </w:rPr>
              <w:t>Labor cost of Reporting ($/hr)</w:t>
            </w:r>
          </w:p>
        </w:tc>
        <w:tc>
          <w:tcPr>
            <w:tcW w:w="1391" w:type="dxa"/>
            <w:shd w:val="clear" w:color="auto" w:fill="auto"/>
          </w:tcPr>
          <w:p w14:paraId="7A261661" w14:textId="77777777" w:rsidR="003F0523" w:rsidRPr="003F0523" w:rsidRDefault="003F0523" w:rsidP="003F0523">
            <w:pPr>
              <w:rPr>
                <w:b/>
              </w:rPr>
            </w:pPr>
            <w:r w:rsidRPr="003F0523">
              <w:rPr>
                <w:b/>
              </w:rPr>
              <w:t>Total Cost ($)</w:t>
            </w:r>
          </w:p>
        </w:tc>
      </w:tr>
      <w:tr w:rsidR="00076A1D" w:rsidRPr="003F0523" w14:paraId="2AAAE5FF" w14:textId="77777777" w:rsidTr="002F2508">
        <w:tc>
          <w:tcPr>
            <w:tcW w:w="1620" w:type="dxa"/>
            <w:shd w:val="clear" w:color="auto" w:fill="auto"/>
          </w:tcPr>
          <w:p w14:paraId="352BCA12" w14:textId="5DAA820D" w:rsidR="003F0523" w:rsidRPr="003F0523" w:rsidRDefault="00B64EF2" w:rsidP="00AE0D3D">
            <w:r>
              <w:t xml:space="preserve">2017 - </w:t>
            </w:r>
            <w:r w:rsidR="0057168E">
              <w:t>2018 Rate Guide</w:t>
            </w:r>
          </w:p>
        </w:tc>
        <w:tc>
          <w:tcPr>
            <w:tcW w:w="1530" w:type="dxa"/>
            <w:shd w:val="clear" w:color="auto" w:fill="auto"/>
          </w:tcPr>
          <w:p w14:paraId="6BF3D6A0" w14:textId="6095644D" w:rsidR="003F0523" w:rsidRPr="003F0523" w:rsidRDefault="003F0523" w:rsidP="00D75DF2">
            <w:r w:rsidRPr="003F0523">
              <w:t>4</w:t>
            </w:r>
            <w:r w:rsidR="00D75DF2">
              <w:t>2</w:t>
            </w:r>
          </w:p>
        </w:tc>
        <w:tc>
          <w:tcPr>
            <w:tcW w:w="1350" w:type="dxa"/>
            <w:shd w:val="clear" w:color="auto" w:fill="auto"/>
          </w:tcPr>
          <w:p w14:paraId="047D99E9" w14:textId="4ECAED5F" w:rsidR="003F0523" w:rsidRPr="003F0523" w:rsidRDefault="00D75DF2" w:rsidP="00D75DF2">
            <w:r>
              <w:t>70</w:t>
            </w:r>
          </w:p>
        </w:tc>
        <w:tc>
          <w:tcPr>
            <w:tcW w:w="1260" w:type="dxa"/>
            <w:shd w:val="clear" w:color="auto" w:fill="auto"/>
          </w:tcPr>
          <w:p w14:paraId="618634C4" w14:textId="35EABA82" w:rsidR="003F0523" w:rsidRPr="003F0523" w:rsidRDefault="00D75DF2" w:rsidP="003F0523">
            <w:r>
              <w:t>4</w:t>
            </w:r>
          </w:p>
        </w:tc>
        <w:tc>
          <w:tcPr>
            <w:tcW w:w="1080" w:type="dxa"/>
          </w:tcPr>
          <w:p w14:paraId="74A33B16" w14:textId="6F7C98E6" w:rsidR="003F0523" w:rsidRPr="003F0523" w:rsidRDefault="00D75DF2" w:rsidP="003F0523">
            <w:r>
              <w:t>280</w:t>
            </w:r>
          </w:p>
        </w:tc>
        <w:tc>
          <w:tcPr>
            <w:tcW w:w="1350" w:type="dxa"/>
          </w:tcPr>
          <w:p w14:paraId="351EACCF" w14:textId="0D2CF900" w:rsidR="003F0523" w:rsidRPr="003F0523" w:rsidRDefault="003F0523" w:rsidP="0019175F">
            <w:r w:rsidRPr="003F0523">
              <w:t>4</w:t>
            </w:r>
            <w:r w:rsidR="0019175F">
              <w:t>5</w:t>
            </w:r>
            <w:r w:rsidRPr="003F0523">
              <w:t>.38</w:t>
            </w:r>
          </w:p>
        </w:tc>
        <w:tc>
          <w:tcPr>
            <w:tcW w:w="1391" w:type="dxa"/>
            <w:shd w:val="clear" w:color="auto" w:fill="auto"/>
          </w:tcPr>
          <w:p w14:paraId="74D857BD" w14:textId="58128E82" w:rsidR="003F0523" w:rsidRPr="003F0523" w:rsidRDefault="00D75DF2" w:rsidP="00D75DF2">
            <w:r>
              <w:t>12</w:t>
            </w:r>
            <w:r w:rsidR="003F0523" w:rsidRPr="003F0523">
              <w:t>,</w:t>
            </w:r>
            <w:r>
              <w:t>426</w:t>
            </w:r>
          </w:p>
        </w:tc>
      </w:tr>
    </w:tbl>
    <w:p w14:paraId="48992EBC" w14:textId="77777777" w:rsidR="005D4CD1" w:rsidRPr="005D4CD1" w:rsidRDefault="005D4CD1" w:rsidP="005D4CD1">
      <w:pPr>
        <w:spacing w:after="0" w:line="240" w:lineRule="auto"/>
        <w:rPr>
          <w:szCs w:val="24"/>
        </w:rPr>
      </w:pPr>
    </w:p>
    <w:p w14:paraId="211C77D3" w14:textId="0A6CEAB4" w:rsidR="005D4CD1" w:rsidRPr="00DA71EF" w:rsidRDefault="005D4CD1" w:rsidP="005D4CD1">
      <w:pPr>
        <w:spacing w:after="0" w:line="240" w:lineRule="auto"/>
        <w:rPr>
          <w:rFonts w:cs="Times New Roman"/>
          <w:i/>
          <w:szCs w:val="24"/>
        </w:rPr>
      </w:pPr>
      <w:r w:rsidRPr="00DA71EF">
        <w:rPr>
          <w:rFonts w:cs="Times New Roman"/>
          <w:i/>
          <w:szCs w:val="24"/>
        </w:rPr>
        <w:t>Information Collection Instruments and Instruction/Guidance Documents</w:t>
      </w:r>
    </w:p>
    <w:p w14:paraId="5C2DA7E0" w14:textId="77777777" w:rsidR="005D4CD1" w:rsidRPr="00762B10" w:rsidRDefault="005D4CD1" w:rsidP="005D4CD1">
      <w:pPr>
        <w:spacing w:after="0" w:line="240" w:lineRule="auto"/>
        <w:rPr>
          <w:rFonts w:cs="Times New Roman"/>
          <w:szCs w:val="24"/>
        </w:rPr>
      </w:pPr>
    </w:p>
    <w:p w14:paraId="38D707CC" w14:textId="6E6A1D88" w:rsidR="00FE07BF" w:rsidRPr="00762B10" w:rsidRDefault="006E1495" w:rsidP="00376862">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 xml:space="preserve">2017 - </w:t>
      </w:r>
      <w:r w:rsidR="00376862" w:rsidRPr="00376862">
        <w:rPr>
          <w:rFonts w:ascii="Times New Roman" w:hAnsi="Times New Roman"/>
          <w:sz w:val="24"/>
          <w:szCs w:val="24"/>
        </w:rPr>
        <w:t>2018 Medicaid Managed Care Rate Development Guide</w:t>
      </w:r>
    </w:p>
    <w:p w14:paraId="50C14850" w14:textId="77777777" w:rsidR="008111D2" w:rsidRPr="00762B10" w:rsidRDefault="008111D2" w:rsidP="003F0523">
      <w:pPr>
        <w:pStyle w:val="Heading1"/>
        <w:rPr>
          <w:rFonts w:cs="Times New Roman"/>
          <w:b w:val="0"/>
          <w:szCs w:val="24"/>
        </w:rPr>
      </w:pPr>
    </w:p>
    <w:p w14:paraId="21FFFA1C" w14:textId="77777777" w:rsidR="007D6E75" w:rsidRPr="00762B10" w:rsidRDefault="007D6E75" w:rsidP="002A0751">
      <w:pPr>
        <w:pStyle w:val="Heading1"/>
        <w:rPr>
          <w:b w:val="0"/>
          <w:szCs w:val="24"/>
        </w:rPr>
      </w:pPr>
      <w:r w:rsidRPr="00762B10">
        <w:rPr>
          <w:b w:val="0"/>
          <w:szCs w:val="24"/>
        </w:rPr>
        <w:t>E. Timeline</w:t>
      </w:r>
    </w:p>
    <w:p w14:paraId="14EECB14" w14:textId="77777777" w:rsidR="00E8766E" w:rsidRPr="00762B10" w:rsidRDefault="00E8766E" w:rsidP="008111D2">
      <w:pPr>
        <w:spacing w:after="0" w:line="240" w:lineRule="auto"/>
        <w:rPr>
          <w:szCs w:val="24"/>
        </w:rPr>
      </w:pPr>
    </w:p>
    <w:p w14:paraId="742ABDDD" w14:textId="154D610B" w:rsidR="003248D0" w:rsidRPr="00DA71EF" w:rsidRDefault="0011695D" w:rsidP="008111D2">
      <w:pPr>
        <w:spacing w:after="0" w:line="240" w:lineRule="auto"/>
        <w:rPr>
          <w:szCs w:val="24"/>
        </w:rPr>
      </w:pPr>
      <w:r>
        <w:rPr>
          <w:szCs w:val="24"/>
        </w:rPr>
        <w:t>n/a</w:t>
      </w:r>
    </w:p>
    <w:p w14:paraId="26C2C23F" w14:textId="77777777" w:rsidR="001E01B1" w:rsidRPr="00DA71EF" w:rsidRDefault="001E01B1" w:rsidP="008111D2">
      <w:pPr>
        <w:spacing w:after="0" w:line="240" w:lineRule="auto"/>
        <w:rPr>
          <w:szCs w:val="24"/>
        </w:rPr>
      </w:pPr>
    </w:p>
    <w:p w14:paraId="18A2A136" w14:textId="4BA11BD7" w:rsidR="001E01B1" w:rsidRPr="008111D2" w:rsidRDefault="001E01B1" w:rsidP="008111D2">
      <w:pPr>
        <w:spacing w:after="0" w:line="240" w:lineRule="auto"/>
        <w:rPr>
          <w:szCs w:val="24"/>
        </w:rPr>
      </w:pPr>
      <w:r w:rsidRPr="001E01B1">
        <w:rPr>
          <w:szCs w:val="24"/>
        </w:rPr>
        <w:t xml:space="preserve">States are required to obtain prior approval of contracts and rates per §438.806 which means that the rates need to be approved by CMS before they claim the expenditures on the CMS-64.  In order for CMS to have the ability to review and analyze the rate certification and allow sufficient time for questions and answers, states should start submitting their certifications at least 60 days prior to the contract start date.  With some contracts starting on </w:t>
      </w:r>
      <w:r w:rsidR="009457EE">
        <w:rPr>
          <w:szCs w:val="24"/>
        </w:rPr>
        <w:t>July</w:t>
      </w:r>
      <w:r w:rsidRPr="001E01B1">
        <w:rPr>
          <w:szCs w:val="24"/>
        </w:rPr>
        <w:t xml:space="preserve"> 1, 201</w:t>
      </w:r>
      <w:r w:rsidR="00E7797F">
        <w:rPr>
          <w:szCs w:val="24"/>
        </w:rPr>
        <w:t>7</w:t>
      </w:r>
      <w:r w:rsidRPr="001E01B1">
        <w:rPr>
          <w:szCs w:val="24"/>
        </w:rPr>
        <w:t>, CMS needs to allow states time to review this guidance and incorporate the elements into its rate certification prior to their submission.  States will have already started their rate development for J</w:t>
      </w:r>
      <w:r w:rsidR="009457EE">
        <w:rPr>
          <w:szCs w:val="24"/>
        </w:rPr>
        <w:t>uly</w:t>
      </w:r>
      <w:r w:rsidRPr="001E01B1">
        <w:rPr>
          <w:szCs w:val="24"/>
        </w:rPr>
        <w:t xml:space="preserve"> 1, 201</w:t>
      </w:r>
      <w:r w:rsidR="00E7797F">
        <w:rPr>
          <w:szCs w:val="24"/>
        </w:rPr>
        <w:t>7</w:t>
      </w:r>
      <w:r w:rsidRPr="001E01B1">
        <w:rPr>
          <w:szCs w:val="24"/>
        </w:rPr>
        <w:t xml:space="preserve"> contracts and we want to ensure states have ample time to incorporate any additional information required by this guidance before submission</w:t>
      </w:r>
      <w:r>
        <w:rPr>
          <w:szCs w:val="24"/>
        </w:rPr>
        <w:t>.</w:t>
      </w:r>
    </w:p>
    <w:p w14:paraId="320F628B" w14:textId="77777777" w:rsidR="008111D2" w:rsidRPr="008111D2" w:rsidRDefault="008111D2" w:rsidP="008111D2">
      <w:pPr>
        <w:spacing w:after="0" w:line="240" w:lineRule="auto"/>
        <w:rPr>
          <w:szCs w:val="24"/>
        </w:rPr>
      </w:pPr>
    </w:p>
    <w:sectPr w:rsidR="008111D2" w:rsidRPr="008111D2"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26344A" w14:textId="77777777" w:rsidR="006D5EE4" w:rsidRDefault="006D5EE4" w:rsidP="008111D2">
      <w:pPr>
        <w:spacing w:after="0" w:line="240" w:lineRule="auto"/>
      </w:pPr>
      <w:r>
        <w:separator/>
      </w:r>
    </w:p>
  </w:endnote>
  <w:endnote w:type="continuationSeparator" w:id="0">
    <w:p w14:paraId="394B0C7A" w14:textId="77777777" w:rsidR="006D5EE4" w:rsidRDefault="006D5EE4"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8D7E0" w14:textId="77777777" w:rsidR="00656F3B" w:rsidRDefault="00656F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1461933"/>
      <w:docPartObj>
        <w:docPartGallery w:val="Page Numbers (Bottom of Page)"/>
        <w:docPartUnique/>
      </w:docPartObj>
    </w:sdtPr>
    <w:sdtEndPr>
      <w:rPr>
        <w:noProof/>
      </w:rPr>
    </w:sdtEndPr>
    <w:sdtContent>
      <w:p w14:paraId="3C638F4D" w14:textId="2D3BDDF4" w:rsidR="00656F3B" w:rsidRDefault="00656F3B">
        <w:pPr>
          <w:pStyle w:val="Footer"/>
          <w:jc w:val="center"/>
        </w:pPr>
        <w:r>
          <w:fldChar w:fldCharType="begin"/>
        </w:r>
        <w:r>
          <w:instrText xml:space="preserve"> PAGE   \* MERGEFORMAT </w:instrText>
        </w:r>
        <w:r>
          <w:fldChar w:fldCharType="separate"/>
        </w:r>
        <w:r w:rsidR="00D37EA6">
          <w:rPr>
            <w:noProof/>
          </w:rPr>
          <w:t>1</w:t>
        </w:r>
        <w:r>
          <w:rPr>
            <w:noProof/>
          </w:rPr>
          <w:fldChar w:fldCharType="end"/>
        </w:r>
      </w:p>
    </w:sdtContent>
  </w:sdt>
  <w:p w14:paraId="6B6A6FE3" w14:textId="77777777" w:rsidR="00656F3B" w:rsidRDefault="00656F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35A15" w14:textId="77777777" w:rsidR="00656F3B" w:rsidRDefault="00656F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DA9727" w14:textId="77777777" w:rsidR="006D5EE4" w:rsidRDefault="006D5EE4" w:rsidP="008111D2">
      <w:pPr>
        <w:spacing w:after="0" w:line="240" w:lineRule="auto"/>
      </w:pPr>
      <w:r>
        <w:separator/>
      </w:r>
    </w:p>
  </w:footnote>
  <w:footnote w:type="continuationSeparator" w:id="0">
    <w:p w14:paraId="41235122" w14:textId="77777777" w:rsidR="006D5EE4" w:rsidRDefault="006D5EE4" w:rsidP="008111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2C798" w14:textId="77777777" w:rsidR="00656F3B" w:rsidRDefault="00656F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D2F78" w14:textId="77777777" w:rsidR="00656F3B" w:rsidRDefault="00656F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08608" w14:textId="77777777" w:rsidR="00656F3B" w:rsidRDefault="00656F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072479B"/>
    <w:multiLevelType w:val="hybridMultilevel"/>
    <w:tmpl w:val="78F84A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955ECE"/>
    <w:multiLevelType w:val="hybridMultilevel"/>
    <w:tmpl w:val="9F88A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10"/>
  </w:num>
  <w:num w:numId="5">
    <w:abstractNumId w:val="2"/>
  </w:num>
  <w:num w:numId="6">
    <w:abstractNumId w:val="3"/>
  </w:num>
  <w:num w:numId="7">
    <w:abstractNumId w:val="4"/>
  </w:num>
  <w:num w:numId="8">
    <w:abstractNumId w:val="7"/>
  </w:num>
  <w:num w:numId="9">
    <w:abstractNumId w:val="0"/>
  </w:num>
  <w:num w:numId="10">
    <w:abstractNumId w:val="11"/>
  </w:num>
  <w:num w:numId="11">
    <w:abstractNumId w:val="1"/>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013C"/>
    <w:rsid w:val="00011FEE"/>
    <w:rsid w:val="000145FA"/>
    <w:rsid w:val="000362BD"/>
    <w:rsid w:val="00043D0E"/>
    <w:rsid w:val="0006495B"/>
    <w:rsid w:val="000712B4"/>
    <w:rsid w:val="000745C0"/>
    <w:rsid w:val="00076A1D"/>
    <w:rsid w:val="000C73B6"/>
    <w:rsid w:val="000D1CFD"/>
    <w:rsid w:val="000E2244"/>
    <w:rsid w:val="000E55DA"/>
    <w:rsid w:val="00111672"/>
    <w:rsid w:val="0011695D"/>
    <w:rsid w:val="001213D3"/>
    <w:rsid w:val="00122C0E"/>
    <w:rsid w:val="00130F6C"/>
    <w:rsid w:val="00134597"/>
    <w:rsid w:val="001366E7"/>
    <w:rsid w:val="00171E5F"/>
    <w:rsid w:val="00172E60"/>
    <w:rsid w:val="00175A39"/>
    <w:rsid w:val="00185CB4"/>
    <w:rsid w:val="0019175F"/>
    <w:rsid w:val="00193029"/>
    <w:rsid w:val="001965BB"/>
    <w:rsid w:val="001A1FC6"/>
    <w:rsid w:val="001D197A"/>
    <w:rsid w:val="001E01B1"/>
    <w:rsid w:val="001E1FA0"/>
    <w:rsid w:val="001E66B6"/>
    <w:rsid w:val="001F2628"/>
    <w:rsid w:val="001F6741"/>
    <w:rsid w:val="0020026D"/>
    <w:rsid w:val="00213B95"/>
    <w:rsid w:val="002142A7"/>
    <w:rsid w:val="00222B4F"/>
    <w:rsid w:val="00225B77"/>
    <w:rsid w:val="002341DF"/>
    <w:rsid w:val="00252D20"/>
    <w:rsid w:val="002544DF"/>
    <w:rsid w:val="00262B47"/>
    <w:rsid w:val="00270765"/>
    <w:rsid w:val="0027114C"/>
    <w:rsid w:val="00295ABD"/>
    <w:rsid w:val="002A0751"/>
    <w:rsid w:val="002A3A2F"/>
    <w:rsid w:val="002D5602"/>
    <w:rsid w:val="002E0E92"/>
    <w:rsid w:val="002F2508"/>
    <w:rsid w:val="003121E3"/>
    <w:rsid w:val="003248D0"/>
    <w:rsid w:val="00325F87"/>
    <w:rsid w:val="00332DBB"/>
    <w:rsid w:val="00335313"/>
    <w:rsid w:val="00344E15"/>
    <w:rsid w:val="003627C8"/>
    <w:rsid w:val="00376862"/>
    <w:rsid w:val="00383494"/>
    <w:rsid w:val="003918B4"/>
    <w:rsid w:val="003B45F7"/>
    <w:rsid w:val="003F0523"/>
    <w:rsid w:val="003F4D04"/>
    <w:rsid w:val="00405CF9"/>
    <w:rsid w:val="00432C17"/>
    <w:rsid w:val="00442309"/>
    <w:rsid w:val="00465B2D"/>
    <w:rsid w:val="00467E98"/>
    <w:rsid w:val="00474257"/>
    <w:rsid w:val="00475EF8"/>
    <w:rsid w:val="00483058"/>
    <w:rsid w:val="004A0A30"/>
    <w:rsid w:val="004B13E8"/>
    <w:rsid w:val="004D1A90"/>
    <w:rsid w:val="004F5DF4"/>
    <w:rsid w:val="00503F94"/>
    <w:rsid w:val="005173E1"/>
    <w:rsid w:val="0052333E"/>
    <w:rsid w:val="0052552A"/>
    <w:rsid w:val="005605AF"/>
    <w:rsid w:val="0057168E"/>
    <w:rsid w:val="00597229"/>
    <w:rsid w:val="005B6A37"/>
    <w:rsid w:val="005C580D"/>
    <w:rsid w:val="005D001F"/>
    <w:rsid w:val="005D4CD1"/>
    <w:rsid w:val="005E3B79"/>
    <w:rsid w:val="005E52BE"/>
    <w:rsid w:val="00601293"/>
    <w:rsid w:val="006026DA"/>
    <w:rsid w:val="00623DD6"/>
    <w:rsid w:val="00647812"/>
    <w:rsid w:val="00651796"/>
    <w:rsid w:val="00656DB2"/>
    <w:rsid w:val="00656F3B"/>
    <w:rsid w:val="00685368"/>
    <w:rsid w:val="00692F6F"/>
    <w:rsid w:val="006A68FA"/>
    <w:rsid w:val="006C0B96"/>
    <w:rsid w:val="006C4626"/>
    <w:rsid w:val="006D5EE4"/>
    <w:rsid w:val="006D6A5D"/>
    <w:rsid w:val="006E1495"/>
    <w:rsid w:val="006F4FF9"/>
    <w:rsid w:val="007024DF"/>
    <w:rsid w:val="00707666"/>
    <w:rsid w:val="007154DE"/>
    <w:rsid w:val="0071650B"/>
    <w:rsid w:val="00716824"/>
    <w:rsid w:val="00723A9E"/>
    <w:rsid w:val="00725CAF"/>
    <w:rsid w:val="00743278"/>
    <w:rsid w:val="00751459"/>
    <w:rsid w:val="00762B10"/>
    <w:rsid w:val="00795024"/>
    <w:rsid w:val="007D3363"/>
    <w:rsid w:val="007D6E75"/>
    <w:rsid w:val="007F1711"/>
    <w:rsid w:val="00802598"/>
    <w:rsid w:val="008111D2"/>
    <w:rsid w:val="00831289"/>
    <w:rsid w:val="00836E8F"/>
    <w:rsid w:val="00850CF3"/>
    <w:rsid w:val="00873459"/>
    <w:rsid w:val="0088756F"/>
    <w:rsid w:val="008C11BC"/>
    <w:rsid w:val="008C7139"/>
    <w:rsid w:val="008D4DA6"/>
    <w:rsid w:val="008D52D1"/>
    <w:rsid w:val="008E6143"/>
    <w:rsid w:val="008F1AD7"/>
    <w:rsid w:val="008F2AED"/>
    <w:rsid w:val="009004E1"/>
    <w:rsid w:val="0091347F"/>
    <w:rsid w:val="00913CE6"/>
    <w:rsid w:val="009178F9"/>
    <w:rsid w:val="00926194"/>
    <w:rsid w:val="009457EE"/>
    <w:rsid w:val="0095297C"/>
    <w:rsid w:val="00975D02"/>
    <w:rsid w:val="009903AB"/>
    <w:rsid w:val="009B19E8"/>
    <w:rsid w:val="009B3330"/>
    <w:rsid w:val="009C2F36"/>
    <w:rsid w:val="009D316D"/>
    <w:rsid w:val="009E3FAC"/>
    <w:rsid w:val="00A0184B"/>
    <w:rsid w:val="00A138F7"/>
    <w:rsid w:val="00A54F01"/>
    <w:rsid w:val="00A65E63"/>
    <w:rsid w:val="00A718B4"/>
    <w:rsid w:val="00A75CFE"/>
    <w:rsid w:val="00A8208F"/>
    <w:rsid w:val="00AA37EC"/>
    <w:rsid w:val="00AB01BC"/>
    <w:rsid w:val="00AD4E6E"/>
    <w:rsid w:val="00AE0D3D"/>
    <w:rsid w:val="00AE1BD8"/>
    <w:rsid w:val="00B02608"/>
    <w:rsid w:val="00B151B4"/>
    <w:rsid w:val="00B34B2F"/>
    <w:rsid w:val="00B4138E"/>
    <w:rsid w:val="00B41BE5"/>
    <w:rsid w:val="00B43BBD"/>
    <w:rsid w:val="00B532F3"/>
    <w:rsid w:val="00B64EF2"/>
    <w:rsid w:val="00B673F3"/>
    <w:rsid w:val="00B87957"/>
    <w:rsid w:val="00BB109D"/>
    <w:rsid w:val="00BD32FA"/>
    <w:rsid w:val="00BD4C36"/>
    <w:rsid w:val="00C2142E"/>
    <w:rsid w:val="00C330A8"/>
    <w:rsid w:val="00C452C5"/>
    <w:rsid w:val="00C60771"/>
    <w:rsid w:val="00C94C5E"/>
    <w:rsid w:val="00CB241F"/>
    <w:rsid w:val="00CB646D"/>
    <w:rsid w:val="00CF6C1D"/>
    <w:rsid w:val="00D025B5"/>
    <w:rsid w:val="00D12ABB"/>
    <w:rsid w:val="00D211BC"/>
    <w:rsid w:val="00D215B4"/>
    <w:rsid w:val="00D34C45"/>
    <w:rsid w:val="00D37EA6"/>
    <w:rsid w:val="00D42E31"/>
    <w:rsid w:val="00D46C38"/>
    <w:rsid w:val="00D4736A"/>
    <w:rsid w:val="00D75DF2"/>
    <w:rsid w:val="00D94644"/>
    <w:rsid w:val="00DA1112"/>
    <w:rsid w:val="00DA71EF"/>
    <w:rsid w:val="00DD4E91"/>
    <w:rsid w:val="00DD794C"/>
    <w:rsid w:val="00DE4783"/>
    <w:rsid w:val="00DF098E"/>
    <w:rsid w:val="00DF10B8"/>
    <w:rsid w:val="00DF2D8B"/>
    <w:rsid w:val="00DF470F"/>
    <w:rsid w:val="00E2219D"/>
    <w:rsid w:val="00E301FB"/>
    <w:rsid w:val="00E7797F"/>
    <w:rsid w:val="00E83C3E"/>
    <w:rsid w:val="00E8766E"/>
    <w:rsid w:val="00E93F3F"/>
    <w:rsid w:val="00E969D5"/>
    <w:rsid w:val="00EA4AB1"/>
    <w:rsid w:val="00EB1115"/>
    <w:rsid w:val="00EB3086"/>
    <w:rsid w:val="00EC0E6E"/>
    <w:rsid w:val="00EE1AD1"/>
    <w:rsid w:val="00EF3A74"/>
    <w:rsid w:val="00F01D40"/>
    <w:rsid w:val="00F04F6D"/>
    <w:rsid w:val="00F303E4"/>
    <w:rsid w:val="00F34393"/>
    <w:rsid w:val="00F465D5"/>
    <w:rsid w:val="00F54374"/>
    <w:rsid w:val="00F54F36"/>
    <w:rsid w:val="00F74B5F"/>
    <w:rsid w:val="00F85BA7"/>
    <w:rsid w:val="00FB3D21"/>
    <w:rsid w:val="00FE07BF"/>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B5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3F0523"/>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523"/>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E7797F"/>
    <w:rPr>
      <w:sz w:val="16"/>
      <w:szCs w:val="16"/>
    </w:rPr>
  </w:style>
  <w:style w:type="paragraph" w:styleId="CommentText">
    <w:name w:val="annotation text"/>
    <w:basedOn w:val="Normal"/>
    <w:link w:val="CommentTextChar"/>
    <w:uiPriority w:val="99"/>
    <w:semiHidden/>
    <w:unhideWhenUsed/>
    <w:rsid w:val="00E7797F"/>
    <w:pPr>
      <w:spacing w:line="240" w:lineRule="auto"/>
    </w:pPr>
    <w:rPr>
      <w:sz w:val="20"/>
      <w:szCs w:val="20"/>
    </w:rPr>
  </w:style>
  <w:style w:type="character" w:customStyle="1" w:styleId="CommentTextChar">
    <w:name w:val="Comment Text Char"/>
    <w:basedOn w:val="DefaultParagraphFont"/>
    <w:link w:val="CommentText"/>
    <w:uiPriority w:val="99"/>
    <w:semiHidden/>
    <w:rsid w:val="00E7797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7797F"/>
    <w:rPr>
      <w:b/>
      <w:bCs/>
    </w:rPr>
  </w:style>
  <w:style w:type="character" w:customStyle="1" w:styleId="CommentSubjectChar">
    <w:name w:val="Comment Subject Char"/>
    <w:basedOn w:val="CommentTextChar"/>
    <w:link w:val="CommentSubject"/>
    <w:uiPriority w:val="99"/>
    <w:semiHidden/>
    <w:rsid w:val="00E7797F"/>
    <w:rPr>
      <w:rFonts w:ascii="Times New Roman" w:hAnsi="Times New Roman"/>
      <w:b/>
      <w:bCs/>
      <w:sz w:val="20"/>
      <w:szCs w:val="20"/>
    </w:rPr>
  </w:style>
  <w:style w:type="paragraph" w:styleId="Revision">
    <w:name w:val="Revision"/>
    <w:hidden/>
    <w:uiPriority w:val="99"/>
    <w:semiHidden/>
    <w:rsid w:val="00DA71EF"/>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3F0523"/>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523"/>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E7797F"/>
    <w:rPr>
      <w:sz w:val="16"/>
      <w:szCs w:val="16"/>
    </w:rPr>
  </w:style>
  <w:style w:type="paragraph" w:styleId="CommentText">
    <w:name w:val="annotation text"/>
    <w:basedOn w:val="Normal"/>
    <w:link w:val="CommentTextChar"/>
    <w:uiPriority w:val="99"/>
    <w:semiHidden/>
    <w:unhideWhenUsed/>
    <w:rsid w:val="00E7797F"/>
    <w:pPr>
      <w:spacing w:line="240" w:lineRule="auto"/>
    </w:pPr>
    <w:rPr>
      <w:sz w:val="20"/>
      <w:szCs w:val="20"/>
    </w:rPr>
  </w:style>
  <w:style w:type="character" w:customStyle="1" w:styleId="CommentTextChar">
    <w:name w:val="Comment Text Char"/>
    <w:basedOn w:val="DefaultParagraphFont"/>
    <w:link w:val="CommentText"/>
    <w:uiPriority w:val="99"/>
    <w:semiHidden/>
    <w:rsid w:val="00E7797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7797F"/>
    <w:rPr>
      <w:b/>
      <w:bCs/>
    </w:rPr>
  </w:style>
  <w:style w:type="character" w:customStyle="1" w:styleId="CommentSubjectChar">
    <w:name w:val="Comment Subject Char"/>
    <w:basedOn w:val="CommentTextChar"/>
    <w:link w:val="CommentSubject"/>
    <w:uiPriority w:val="99"/>
    <w:semiHidden/>
    <w:rsid w:val="00E7797F"/>
    <w:rPr>
      <w:rFonts w:ascii="Times New Roman" w:hAnsi="Times New Roman"/>
      <w:b/>
      <w:bCs/>
      <w:sz w:val="20"/>
      <w:szCs w:val="20"/>
    </w:rPr>
  </w:style>
  <w:style w:type="paragraph" w:styleId="Revision">
    <w:name w:val="Revision"/>
    <w:hidden/>
    <w:uiPriority w:val="99"/>
    <w:semiHidden/>
    <w:rsid w:val="00DA71EF"/>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0927026">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098909805">
      <w:bodyDiv w:val="1"/>
      <w:marLeft w:val="0"/>
      <w:marRight w:val="0"/>
      <w:marTop w:val="0"/>
      <w:marBottom w:val="0"/>
      <w:divBdr>
        <w:top w:val="none" w:sz="0" w:space="0" w:color="auto"/>
        <w:left w:val="none" w:sz="0" w:space="0" w:color="auto"/>
        <w:bottom w:val="none" w:sz="0" w:space="0" w:color="auto"/>
        <w:right w:val="none" w:sz="0" w:space="0" w:color="auto"/>
      </w:divBdr>
    </w:div>
    <w:div w:id="1300069130">
      <w:bodyDiv w:val="1"/>
      <w:marLeft w:val="0"/>
      <w:marRight w:val="0"/>
      <w:marTop w:val="0"/>
      <w:marBottom w:val="0"/>
      <w:divBdr>
        <w:top w:val="none" w:sz="0" w:space="0" w:color="auto"/>
        <w:left w:val="none" w:sz="0" w:space="0" w:color="auto"/>
        <w:bottom w:val="none" w:sz="0" w:space="0" w:color="auto"/>
        <w:right w:val="none" w:sz="0" w:space="0" w:color="auto"/>
      </w:divBdr>
    </w:div>
    <w:div w:id="1330985737">
      <w:bodyDiv w:val="1"/>
      <w:marLeft w:val="0"/>
      <w:marRight w:val="0"/>
      <w:marTop w:val="0"/>
      <w:marBottom w:val="0"/>
      <w:divBdr>
        <w:top w:val="none" w:sz="0" w:space="0" w:color="auto"/>
        <w:left w:val="none" w:sz="0" w:space="0" w:color="auto"/>
        <w:bottom w:val="none" w:sz="0" w:space="0" w:color="auto"/>
        <w:right w:val="none" w:sz="0" w:space="0" w:color="auto"/>
      </w:divBdr>
    </w:div>
    <w:div w:id="1370033835">
      <w:bodyDiv w:val="1"/>
      <w:marLeft w:val="0"/>
      <w:marRight w:val="0"/>
      <w:marTop w:val="0"/>
      <w:marBottom w:val="0"/>
      <w:divBdr>
        <w:top w:val="none" w:sz="0" w:space="0" w:color="auto"/>
        <w:left w:val="none" w:sz="0" w:space="0" w:color="auto"/>
        <w:bottom w:val="none" w:sz="0" w:space="0" w:color="auto"/>
        <w:right w:val="none" w:sz="0" w:space="0" w:color="auto"/>
      </w:divBdr>
    </w:div>
    <w:div w:id="1514762976">
      <w:bodyDiv w:val="1"/>
      <w:marLeft w:val="0"/>
      <w:marRight w:val="0"/>
      <w:marTop w:val="0"/>
      <w:marBottom w:val="0"/>
      <w:divBdr>
        <w:top w:val="none" w:sz="0" w:space="0" w:color="auto"/>
        <w:left w:val="none" w:sz="0" w:space="0" w:color="auto"/>
        <w:bottom w:val="none" w:sz="0" w:space="0" w:color="auto"/>
        <w:right w:val="none" w:sz="0" w:space="0" w:color="auto"/>
      </w:divBdr>
    </w:div>
    <w:div w:id="1538740554">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SYSTEM</cp:lastModifiedBy>
  <cp:revision>2</cp:revision>
  <cp:lastPrinted>2017-01-25T16:57:00Z</cp:lastPrinted>
  <dcterms:created xsi:type="dcterms:W3CDTF">2018-01-11T15:37:00Z</dcterms:created>
  <dcterms:modified xsi:type="dcterms:W3CDTF">2018-01-11T15:37:00Z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116739046</vt:i4>
  </property>
  <property fmtid="{D5CDD505-2E9C-101B-9397-08002B2CF9AE}" pid="3" name="_NewReviewCycle">
    <vt:lpwstr/>
  </property>
  <property fmtid="{D5CDD505-2E9C-101B-9397-08002B2CF9AE}" pid="4" name="_EmailSubject">
    <vt:lpwstr>Gen-IC #37 Managed Care Rate Guide - Revision</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-113256898</vt:i4>
  </property>
  <property fmtid="{D5CDD505-2E9C-101B-9397-08002B2CF9AE}" pid="8" name="_ReviewingToolsShownOnce">
    <vt:lpwstr/>
  </property>
</Properties>
</file>