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02B8D"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00C385D6"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67F20C66" w14:textId="77777777" w:rsidR="00DF098E" w:rsidRPr="008111D2" w:rsidRDefault="007D6E75" w:rsidP="008111D2">
      <w:pPr>
        <w:spacing w:after="0" w:line="240" w:lineRule="auto"/>
        <w:jc w:val="center"/>
        <w:rPr>
          <w:szCs w:val="24"/>
        </w:rPr>
      </w:pPr>
      <w:r w:rsidRPr="008111D2">
        <w:rPr>
          <w:szCs w:val="24"/>
        </w:rPr>
        <w:t>(CMS-10398, OMB 0938-1148)</w:t>
      </w:r>
    </w:p>
    <w:p w14:paraId="4BD2A4F5" w14:textId="77777777" w:rsidR="007D6E75" w:rsidRPr="008111D2" w:rsidRDefault="007D6E75" w:rsidP="008111D2">
      <w:pPr>
        <w:spacing w:after="0" w:line="240" w:lineRule="auto"/>
        <w:jc w:val="center"/>
        <w:rPr>
          <w:szCs w:val="24"/>
        </w:rPr>
      </w:pPr>
    </w:p>
    <w:p w14:paraId="6B0F32A1" w14:textId="247941B3" w:rsidR="009004E1" w:rsidRDefault="00CB646D" w:rsidP="005D098F">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D4736A">
        <w:rPr>
          <w:rFonts w:cs="Times New Roman"/>
          <w:b/>
          <w:szCs w:val="24"/>
        </w:rPr>
        <w:t>3</w:t>
      </w:r>
      <w:r w:rsidR="00EF3A74">
        <w:rPr>
          <w:rFonts w:cs="Times New Roman"/>
          <w:b/>
          <w:szCs w:val="24"/>
        </w:rPr>
        <w:t xml:space="preserve"> </w:t>
      </w:r>
      <w:r w:rsidR="00D4736A" w:rsidRPr="00D4736A">
        <w:rPr>
          <w:rFonts w:cs="Times New Roman"/>
          <w:b/>
          <w:iCs/>
        </w:rPr>
        <w:t xml:space="preserve">Opportunity for </w:t>
      </w:r>
      <w:r w:rsidR="00836C8F">
        <w:rPr>
          <w:rFonts w:cs="Times New Roman"/>
          <w:b/>
          <w:iCs/>
        </w:rPr>
        <w:t>F</w:t>
      </w:r>
      <w:r w:rsidR="00D4736A" w:rsidRPr="00D4736A">
        <w:rPr>
          <w:rFonts w:cs="Times New Roman"/>
          <w:b/>
          <w:iCs/>
        </w:rPr>
        <w:t>amilies of Disabled Children to Purchase Medi</w:t>
      </w:r>
      <w:r w:rsidR="00D4736A">
        <w:rPr>
          <w:rFonts w:cs="Times New Roman"/>
          <w:b/>
          <w:iCs/>
        </w:rPr>
        <w:t xml:space="preserve">caid Coverage for Such Children - </w:t>
      </w:r>
      <w:r w:rsidR="00D4736A" w:rsidRPr="00D4736A">
        <w:rPr>
          <w:rFonts w:cs="Times New Roman"/>
          <w:b/>
          <w:iCs/>
        </w:rPr>
        <w:t>DRA 6062</w:t>
      </w:r>
    </w:p>
    <w:p w14:paraId="41162C58" w14:textId="0EDDBF75" w:rsidR="009E3FAC" w:rsidRPr="005D098F" w:rsidRDefault="009E3FAC" w:rsidP="005D098F">
      <w:pPr>
        <w:spacing w:after="0" w:line="240" w:lineRule="auto"/>
        <w:jc w:val="center"/>
        <w:rPr>
          <w:rFonts w:cs="Times New Roman"/>
          <w:i/>
          <w:szCs w:val="24"/>
        </w:rPr>
      </w:pPr>
    </w:p>
    <w:p w14:paraId="0AB00E81" w14:textId="143D7A16" w:rsidR="005D098F" w:rsidRPr="008111D2" w:rsidRDefault="00C169EF" w:rsidP="005D098F">
      <w:pPr>
        <w:spacing w:after="0" w:line="240" w:lineRule="auto"/>
        <w:jc w:val="center"/>
        <w:rPr>
          <w:rFonts w:cs="Times New Roman"/>
          <w:szCs w:val="24"/>
        </w:rPr>
      </w:pPr>
      <w:r>
        <w:rPr>
          <w:rFonts w:cs="Times New Roman"/>
          <w:szCs w:val="24"/>
        </w:rPr>
        <w:t>November 2017</w:t>
      </w:r>
    </w:p>
    <w:p w14:paraId="1F2918DF" w14:textId="77777777" w:rsidR="007D6E75" w:rsidRPr="008111D2" w:rsidRDefault="007D6E75" w:rsidP="005D098F">
      <w:pPr>
        <w:spacing w:after="0" w:line="240" w:lineRule="auto"/>
        <w:jc w:val="center"/>
        <w:rPr>
          <w:b/>
          <w:szCs w:val="24"/>
        </w:rPr>
      </w:pPr>
    </w:p>
    <w:p w14:paraId="06ABEAB9" w14:textId="77777777" w:rsidR="007D6E75" w:rsidRPr="008111D2" w:rsidRDefault="007D6E75" w:rsidP="008111D2">
      <w:pPr>
        <w:spacing w:after="0" w:line="240" w:lineRule="auto"/>
        <w:jc w:val="center"/>
        <w:rPr>
          <w:szCs w:val="24"/>
        </w:rPr>
      </w:pPr>
    </w:p>
    <w:p w14:paraId="0C58682B" w14:textId="77777777" w:rsidR="007D6E75" w:rsidRPr="008111D2" w:rsidRDefault="007D6E75" w:rsidP="008111D2">
      <w:pPr>
        <w:spacing w:after="0" w:line="240" w:lineRule="auto"/>
        <w:jc w:val="center"/>
        <w:rPr>
          <w:szCs w:val="24"/>
        </w:rPr>
      </w:pPr>
    </w:p>
    <w:p w14:paraId="36A0EC80" w14:textId="77777777" w:rsidR="007D6E75" w:rsidRPr="008111D2" w:rsidRDefault="007D6E75" w:rsidP="008111D2">
      <w:pPr>
        <w:spacing w:after="0" w:line="240" w:lineRule="auto"/>
        <w:jc w:val="center"/>
        <w:rPr>
          <w:szCs w:val="24"/>
        </w:rPr>
      </w:pPr>
    </w:p>
    <w:p w14:paraId="569DAACA"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1DC5E378" w14:textId="34BF336B" w:rsidR="007D6E75" w:rsidRPr="008111D2" w:rsidRDefault="007D6E75" w:rsidP="00C169EF">
      <w:pPr>
        <w:spacing w:after="0" w:line="240" w:lineRule="auto"/>
        <w:jc w:val="center"/>
        <w:rPr>
          <w:szCs w:val="24"/>
        </w:rPr>
        <w:sectPr w:rsidR="007D6E75" w:rsidRPr="008111D2" w:rsidSect="007D6E75">
          <w:pgSz w:w="12240" w:h="15840" w:code="1"/>
          <w:pgMar w:top="1440" w:right="1440" w:bottom="1440" w:left="1440" w:header="720" w:footer="720" w:gutter="0"/>
          <w:cols w:space="720"/>
          <w:vAlign w:val="center"/>
          <w:docGrid w:linePitch="360"/>
        </w:sectPr>
      </w:pPr>
      <w:r w:rsidRPr="008111D2">
        <w:rPr>
          <w:szCs w:val="24"/>
        </w:rPr>
        <w:t>Centers for Medicare &amp; Medicaid Services (CMS)</w:t>
      </w:r>
    </w:p>
    <w:p w14:paraId="5B41B9E5" w14:textId="77777777" w:rsidR="00E83C3E" w:rsidRDefault="00E83C3E" w:rsidP="00F54374">
      <w:pPr>
        <w:pStyle w:val="Heading1"/>
      </w:pPr>
    </w:p>
    <w:p w14:paraId="03857E75" w14:textId="77777777" w:rsidR="007D6E75" w:rsidRPr="00F54374" w:rsidRDefault="007D6E75" w:rsidP="00F54374">
      <w:pPr>
        <w:pStyle w:val="Heading1"/>
      </w:pPr>
      <w:r w:rsidRPr="00F54374">
        <w:t>A. Background</w:t>
      </w:r>
    </w:p>
    <w:p w14:paraId="3350F013" w14:textId="77777777"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4316CAC4" w14:textId="77777777" w:rsidR="009B19E8" w:rsidRPr="008111D2" w:rsidRDefault="009B19E8" w:rsidP="00F54374">
      <w:pPr>
        <w:pStyle w:val="Heading1"/>
      </w:pPr>
    </w:p>
    <w:p w14:paraId="5C6D8E14" w14:textId="77777777" w:rsidR="007D6E75" w:rsidRPr="008111D2" w:rsidRDefault="007D6E75" w:rsidP="00F54374">
      <w:pPr>
        <w:pStyle w:val="Heading1"/>
      </w:pPr>
      <w:r w:rsidRPr="008111D2">
        <w:t>B. Description of Information Collection</w:t>
      </w:r>
    </w:p>
    <w:p w14:paraId="71F07D0A" w14:textId="77777777" w:rsidR="00D4736A" w:rsidRPr="005017C1" w:rsidRDefault="00D4736A" w:rsidP="00E83C3E">
      <w:pPr>
        <w:spacing w:after="0" w:line="240" w:lineRule="auto"/>
      </w:pPr>
      <w:r w:rsidRPr="005017C1">
        <w:t>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Title XXI plan for approval by the Secretary that details how the State intends to use the funds.  States may also amend their plans at any time by submitting an amendment for approval by the Secretary. All 56 States and Territories have submitted and received approval for State plans and numerous amendments to their plans.  States will continue to amend their plans as necessary to reflect changes to their programs.</w:t>
      </w:r>
    </w:p>
    <w:p w14:paraId="31F9D86D" w14:textId="77777777" w:rsidR="00E83C3E" w:rsidRDefault="00E83C3E" w:rsidP="00E83C3E">
      <w:pPr>
        <w:spacing w:after="0" w:line="240" w:lineRule="auto"/>
      </w:pPr>
    </w:p>
    <w:p w14:paraId="58F0A7BC" w14:textId="77777777" w:rsidR="00D4736A" w:rsidRPr="005017C1" w:rsidRDefault="00D4736A" w:rsidP="00E83C3E">
      <w:pPr>
        <w:spacing w:after="0" w:line="240" w:lineRule="auto"/>
      </w:pPr>
      <w:r w:rsidRPr="005017C1">
        <w:t xml:space="preserve">Under the law, a State plan or an amendment is considered approved in 90 days unless the Secretary notifies the State in writing that the plan is disapproved or that specified additional information is needed.  The plan encompasses all of the child health assistance being provided using Title XXI funding.  It is important to note that once a Title XXI plan is approved, the State is obligated to continue operating their program in the same manner as described in that plan until the plan is amended in accordance with the rules governing the program.  </w:t>
      </w:r>
    </w:p>
    <w:p w14:paraId="235FC4D8" w14:textId="77777777" w:rsidR="00E83C3E" w:rsidRDefault="00E83C3E" w:rsidP="00E83C3E">
      <w:pPr>
        <w:spacing w:after="0" w:line="240" w:lineRule="auto"/>
      </w:pPr>
    </w:p>
    <w:p w14:paraId="2EC120BE" w14:textId="77777777" w:rsidR="00556604" w:rsidRPr="00556604" w:rsidRDefault="00556604" w:rsidP="00556604">
      <w:pPr>
        <w:spacing w:before="120" w:after="120" w:line="240" w:lineRule="auto"/>
      </w:pPr>
      <w:r w:rsidRPr="00556604">
        <w:t xml:space="preserve">The Deficit Reduction Act (DRA) provides States with numerous flexibilities in operating their State Medicaid Programs.  Section 6062 of the DRA (Opportunity for families of Disabled Children to Purchase Medicaid Coverage for Such Children) allows States the opportunity to provide Medicaid benefits to disabled children who would otherwise be ineligible because of family income that is above the State’s highest Medicaid eligibility standards for children.  It specifically allows families with disabled children to “buy-in” to Medicaid, and prevents them from having to stay impoverished, become impoverished, place their children in out-of-home placements, or simply give up custody of their child in order to access needed health care for their disabled children.  </w:t>
      </w:r>
    </w:p>
    <w:p w14:paraId="64314199" w14:textId="21D4EB4C" w:rsidR="0064080F" w:rsidRDefault="00556604" w:rsidP="00E83C3E">
      <w:pPr>
        <w:spacing w:after="0" w:line="240" w:lineRule="auto"/>
      </w:pPr>
      <w:r w:rsidRPr="00556604">
        <w:t>Under the DRA, States must submit a State Plan Amendment (SPA) to CMS to effectuate this change to their Medicaid programs.  CMS has provided the associated SPA template for use by States to modify their Medicaid State Plans, if they choose to implement this provision.</w:t>
      </w:r>
      <w:r w:rsidR="0064080F" w:rsidRPr="0064080F">
        <w:t xml:space="preserve"> </w:t>
      </w:r>
    </w:p>
    <w:p w14:paraId="4ED64351" w14:textId="77777777" w:rsidR="00D12ABB" w:rsidRDefault="00D12ABB" w:rsidP="00D4736A">
      <w:pPr>
        <w:spacing w:after="0" w:line="240" w:lineRule="auto"/>
      </w:pPr>
    </w:p>
    <w:p w14:paraId="0CE162CE" w14:textId="77777777" w:rsidR="007D6E75" w:rsidRPr="008111D2" w:rsidRDefault="007D6E75" w:rsidP="00F54374">
      <w:pPr>
        <w:pStyle w:val="Heading1"/>
      </w:pPr>
      <w:r w:rsidRPr="008111D2">
        <w:t>C. Deviations from Generic Request</w:t>
      </w:r>
    </w:p>
    <w:p w14:paraId="3D982D49" w14:textId="77777777" w:rsidR="007D6E75" w:rsidRPr="008111D2" w:rsidRDefault="009B19E8" w:rsidP="008111D2">
      <w:pPr>
        <w:spacing w:after="0" w:line="240" w:lineRule="auto"/>
        <w:rPr>
          <w:szCs w:val="24"/>
        </w:rPr>
      </w:pPr>
      <w:r w:rsidRPr="008111D2">
        <w:rPr>
          <w:szCs w:val="24"/>
        </w:rPr>
        <w:t>No deviations are requested.</w:t>
      </w:r>
    </w:p>
    <w:p w14:paraId="120E290E" w14:textId="77777777" w:rsidR="008111D2" w:rsidRPr="008111D2" w:rsidRDefault="008111D2" w:rsidP="00F54374">
      <w:pPr>
        <w:pStyle w:val="Heading1"/>
      </w:pPr>
    </w:p>
    <w:p w14:paraId="4449C844" w14:textId="77777777" w:rsidR="007D6E75" w:rsidRPr="008111D2" w:rsidRDefault="007D6E75" w:rsidP="00F54374">
      <w:pPr>
        <w:pStyle w:val="Heading1"/>
      </w:pPr>
      <w:r w:rsidRPr="008111D2">
        <w:t>D. Burden Hour Deduction</w:t>
      </w:r>
    </w:p>
    <w:p w14:paraId="5D94ABCC" w14:textId="1C5BA538" w:rsidR="00483058"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E83C3E">
        <w:rPr>
          <w:szCs w:val="24"/>
        </w:rPr>
        <w:t>50,</w:t>
      </w:r>
      <w:r w:rsidR="007F1711">
        <w:rPr>
          <w:szCs w:val="24"/>
        </w:rPr>
        <w:t>47</w:t>
      </w:r>
      <w:r w:rsidR="00E83C3E">
        <w:rPr>
          <w:szCs w:val="24"/>
        </w:rPr>
        <w:t>9</w:t>
      </w:r>
      <w:r w:rsidRPr="008111D2">
        <w:rPr>
          <w:szCs w:val="24"/>
        </w:rPr>
        <w:t xml:space="preserve"> hours, leaving our burden ceiling at </w:t>
      </w:r>
      <w:r w:rsidR="00E83C3E">
        <w:rPr>
          <w:szCs w:val="24"/>
        </w:rPr>
        <w:t>35,</w:t>
      </w:r>
      <w:r w:rsidR="007F1711">
        <w:rPr>
          <w:szCs w:val="24"/>
        </w:rPr>
        <w:t>761</w:t>
      </w:r>
      <w:r w:rsidR="00043D0E" w:rsidRPr="008111D2">
        <w:rPr>
          <w:szCs w:val="24"/>
        </w:rPr>
        <w:t xml:space="preserve"> </w:t>
      </w:r>
      <w:r w:rsidRPr="008111D2">
        <w:rPr>
          <w:szCs w:val="24"/>
        </w:rPr>
        <w:t>hours.</w:t>
      </w:r>
    </w:p>
    <w:p w14:paraId="2B8F9BCF" w14:textId="77777777" w:rsidR="006D19DE" w:rsidRDefault="006D19DE" w:rsidP="008111D2">
      <w:pPr>
        <w:spacing w:after="0" w:line="240" w:lineRule="auto"/>
        <w:rPr>
          <w:szCs w:val="24"/>
        </w:rPr>
      </w:pPr>
    </w:p>
    <w:p w14:paraId="3F5920DA" w14:textId="77777777" w:rsidR="006D19DE" w:rsidRPr="00C169EF" w:rsidRDefault="006D19DE" w:rsidP="006D19DE">
      <w:pPr>
        <w:spacing w:after="0" w:line="240" w:lineRule="auto"/>
        <w:rPr>
          <w:i/>
          <w:iCs/>
          <w:szCs w:val="24"/>
        </w:rPr>
      </w:pPr>
      <w:r w:rsidRPr="00C169EF">
        <w:rPr>
          <w:i/>
          <w:iCs/>
          <w:szCs w:val="24"/>
        </w:rPr>
        <w:t>Wage Estimate</w:t>
      </w:r>
    </w:p>
    <w:p w14:paraId="594E1E11" w14:textId="77777777" w:rsidR="006D19DE" w:rsidRPr="00C169EF" w:rsidRDefault="006D19DE" w:rsidP="006D19DE">
      <w:pPr>
        <w:spacing w:after="0" w:line="240" w:lineRule="auto"/>
        <w:rPr>
          <w:i/>
          <w:iCs/>
          <w:szCs w:val="24"/>
        </w:rPr>
      </w:pPr>
    </w:p>
    <w:p w14:paraId="24E447F8" w14:textId="77777777" w:rsidR="006D19DE" w:rsidRPr="00C169EF" w:rsidRDefault="006D19DE" w:rsidP="006D19DE">
      <w:pPr>
        <w:spacing w:after="0" w:line="240" w:lineRule="auto"/>
        <w:rPr>
          <w:szCs w:val="24"/>
        </w:rPr>
      </w:pPr>
      <w:r w:rsidRPr="00C169EF">
        <w:rPr>
          <w:szCs w:val="24"/>
        </w:rPr>
        <w:t>To derive average costs, we used data from the U.S. Bureau of Labor Statistics’ May 2016 National Occupational Employment and Wage Estimates for all salary estimates (</w:t>
      </w:r>
      <w:hyperlink r:id="rId8" w:history="1">
        <w:r w:rsidRPr="00C169EF">
          <w:rPr>
            <w:rStyle w:val="Hyperlink"/>
            <w:szCs w:val="24"/>
          </w:rPr>
          <w:t>http://www.bls.gov/oes/current/oes_nat.htm</w:t>
        </w:r>
      </w:hyperlink>
      <w:r w:rsidRPr="00C169EF">
        <w:rPr>
          <w:szCs w:val="24"/>
        </w:rPr>
        <w:t>). In this regard, the following table presents the mean hourly wage, the cost of fringe benefits (calculated at 100 percent of salary), and the adjusted hourly wage.</w:t>
      </w:r>
    </w:p>
    <w:p w14:paraId="64A9CE1B" w14:textId="77777777" w:rsidR="006D19DE" w:rsidRPr="00C169EF" w:rsidRDefault="006D19DE" w:rsidP="006D19DE">
      <w:pPr>
        <w:spacing w:after="0" w:line="240" w:lineRule="auto"/>
        <w:rPr>
          <w:i/>
          <w:iCs/>
          <w:szCs w:val="24"/>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6D19DE" w:rsidRPr="00C169EF" w14:paraId="24D12BE3" w14:textId="77777777" w:rsidTr="00CC484C">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54D9EB" w14:textId="77777777" w:rsidR="006D19DE" w:rsidRPr="00C169EF" w:rsidRDefault="006D19DE" w:rsidP="006D19DE">
            <w:pPr>
              <w:spacing w:after="0" w:line="240" w:lineRule="auto"/>
              <w:rPr>
                <w:b/>
                <w:bCs/>
                <w:szCs w:val="24"/>
              </w:rPr>
            </w:pPr>
            <w:r w:rsidRPr="00C169EF">
              <w:rPr>
                <w:b/>
                <w:bCs/>
                <w:szCs w:val="24"/>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38ECBB" w14:textId="77777777" w:rsidR="006D19DE" w:rsidRPr="00C169EF" w:rsidRDefault="006D19DE" w:rsidP="006D19DE">
            <w:pPr>
              <w:spacing w:after="0" w:line="240" w:lineRule="auto"/>
              <w:rPr>
                <w:b/>
                <w:bCs/>
                <w:szCs w:val="24"/>
              </w:rPr>
            </w:pPr>
            <w:r w:rsidRPr="00C169EF">
              <w:rPr>
                <w:b/>
                <w:bCs/>
                <w:szCs w:val="24"/>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E8C0A" w14:textId="77777777" w:rsidR="006D19DE" w:rsidRPr="00C169EF" w:rsidRDefault="006D19DE" w:rsidP="006D19DE">
            <w:pPr>
              <w:spacing w:after="0" w:line="240" w:lineRule="auto"/>
              <w:rPr>
                <w:b/>
                <w:bCs/>
                <w:szCs w:val="24"/>
              </w:rPr>
            </w:pPr>
            <w:r w:rsidRPr="00C169EF">
              <w:rPr>
                <w:b/>
                <w:bCs/>
                <w:szCs w:val="24"/>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F27C3" w14:textId="77777777" w:rsidR="006D19DE" w:rsidRPr="00C169EF" w:rsidRDefault="006D19DE" w:rsidP="006D19DE">
            <w:pPr>
              <w:spacing w:after="0" w:line="240" w:lineRule="auto"/>
              <w:rPr>
                <w:b/>
                <w:bCs/>
                <w:szCs w:val="24"/>
              </w:rPr>
            </w:pPr>
            <w:r w:rsidRPr="00C169EF">
              <w:rPr>
                <w:b/>
                <w:bCs/>
                <w:szCs w:val="24"/>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52C4B" w14:textId="77777777" w:rsidR="006D19DE" w:rsidRPr="00C169EF" w:rsidRDefault="006D19DE" w:rsidP="006D19DE">
            <w:pPr>
              <w:spacing w:after="0" w:line="240" w:lineRule="auto"/>
              <w:rPr>
                <w:b/>
                <w:bCs/>
                <w:szCs w:val="24"/>
              </w:rPr>
            </w:pPr>
            <w:r w:rsidRPr="00C169EF">
              <w:rPr>
                <w:b/>
                <w:bCs/>
                <w:szCs w:val="24"/>
              </w:rPr>
              <w:t>Adjusted Hourly Wage ($/hr)</w:t>
            </w:r>
          </w:p>
        </w:tc>
      </w:tr>
      <w:tr w:rsidR="006D19DE" w:rsidRPr="00C169EF" w14:paraId="78689E10" w14:textId="77777777" w:rsidTr="00CC484C">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E70B2" w14:textId="61E02BC2" w:rsidR="002471DE" w:rsidRPr="00C169EF" w:rsidRDefault="002471DE" w:rsidP="00C169EF">
            <w:pPr>
              <w:spacing w:after="0" w:line="240" w:lineRule="auto"/>
              <w:rPr>
                <w:szCs w:val="24"/>
              </w:rPr>
            </w:pPr>
            <w:r w:rsidRPr="00C169EF">
              <w:t>General and Operations Manager</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88651ED" w14:textId="61EE10EE" w:rsidR="006D19DE" w:rsidRPr="00C169EF" w:rsidRDefault="002471DE" w:rsidP="006D19DE">
            <w:pPr>
              <w:spacing w:after="0" w:line="240" w:lineRule="auto"/>
              <w:rPr>
                <w:szCs w:val="24"/>
              </w:rPr>
            </w:pPr>
            <w:r w:rsidRPr="00C169EF">
              <w:rPr>
                <w:szCs w:val="24"/>
              </w:rPr>
              <w:t>11-1021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401D533" w14:textId="5CDA703A" w:rsidR="006D19DE" w:rsidRPr="00C169EF" w:rsidRDefault="002471DE" w:rsidP="006D19DE">
            <w:pPr>
              <w:spacing w:after="0" w:line="240" w:lineRule="auto"/>
              <w:rPr>
                <w:szCs w:val="24"/>
              </w:rPr>
            </w:pPr>
            <w:r w:rsidRPr="00C169EF">
              <w:rPr>
                <w:szCs w:val="24"/>
              </w:rPr>
              <w:t>58.70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5CF925" w14:textId="431043FA" w:rsidR="006D19DE" w:rsidRPr="00C169EF" w:rsidRDefault="002471DE" w:rsidP="006D19DE">
            <w:pPr>
              <w:spacing w:after="0" w:line="240" w:lineRule="auto"/>
              <w:rPr>
                <w:szCs w:val="24"/>
              </w:rPr>
            </w:pPr>
            <w:r w:rsidRPr="00C169EF">
              <w:rPr>
                <w:szCs w:val="24"/>
              </w:rPr>
              <w:t>58.70</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4ACEBE55" w14:textId="620C9EAB" w:rsidR="006D19DE" w:rsidRPr="00C169EF" w:rsidRDefault="002471DE" w:rsidP="006D19DE">
            <w:pPr>
              <w:spacing w:after="0" w:line="240" w:lineRule="auto"/>
              <w:rPr>
                <w:szCs w:val="24"/>
              </w:rPr>
            </w:pPr>
            <w:r w:rsidRPr="00C169EF">
              <w:rPr>
                <w:szCs w:val="24"/>
              </w:rPr>
              <w:t>117.40</w:t>
            </w:r>
          </w:p>
        </w:tc>
      </w:tr>
    </w:tbl>
    <w:p w14:paraId="6084CE30" w14:textId="77777777" w:rsidR="006D19DE" w:rsidRPr="00C169EF" w:rsidRDefault="006D19DE" w:rsidP="006D19DE">
      <w:pPr>
        <w:spacing w:after="0" w:line="240" w:lineRule="auto"/>
        <w:rPr>
          <w:szCs w:val="24"/>
        </w:rPr>
      </w:pPr>
    </w:p>
    <w:p w14:paraId="61E6E35F" w14:textId="77777777" w:rsidR="006D19DE" w:rsidRDefault="006D19DE" w:rsidP="006D19DE">
      <w:pPr>
        <w:spacing w:after="0" w:line="240" w:lineRule="auto"/>
        <w:rPr>
          <w:szCs w:val="24"/>
        </w:rPr>
      </w:pPr>
      <w:r w:rsidRPr="00C169EF">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DC90816" w14:textId="77777777" w:rsidR="00C169EF" w:rsidRDefault="00C169EF" w:rsidP="006D19DE">
      <w:pPr>
        <w:spacing w:after="0" w:line="240" w:lineRule="auto"/>
        <w:rPr>
          <w:szCs w:val="24"/>
        </w:rPr>
      </w:pPr>
    </w:p>
    <w:p w14:paraId="6CF0E7CB" w14:textId="39A7C7EF" w:rsidR="00253C24" w:rsidRPr="00253C24" w:rsidRDefault="00253C24" w:rsidP="006D19DE">
      <w:pPr>
        <w:spacing w:after="0" w:line="240" w:lineRule="auto"/>
        <w:rPr>
          <w:i/>
          <w:szCs w:val="24"/>
        </w:rPr>
      </w:pPr>
      <w:r w:rsidRPr="00253C24">
        <w:rPr>
          <w:i/>
          <w:szCs w:val="24"/>
        </w:rPr>
        <w:t>Burden Estimates</w:t>
      </w:r>
    </w:p>
    <w:p w14:paraId="70F942F1" w14:textId="77777777" w:rsidR="00253C24" w:rsidRDefault="00253C24" w:rsidP="006D19DE">
      <w:pPr>
        <w:spacing w:after="0" w:line="240" w:lineRule="auto"/>
        <w:rPr>
          <w:szCs w:val="24"/>
        </w:rPr>
      </w:pPr>
    </w:p>
    <w:p w14:paraId="54481F5D" w14:textId="5E2F39C0" w:rsidR="00C169EF" w:rsidRPr="008111D2" w:rsidRDefault="00ED4A58" w:rsidP="006D19DE">
      <w:pPr>
        <w:spacing w:after="0" w:line="240" w:lineRule="auto"/>
        <w:rPr>
          <w:szCs w:val="24"/>
        </w:rPr>
      </w:pPr>
      <w:r w:rsidRPr="008111D2">
        <w:rPr>
          <w:szCs w:val="24"/>
        </w:rPr>
        <w:t xml:space="preserve">CMS estimates that each State will complete the collection of data and submission to CMS within </w:t>
      </w:r>
      <w:r>
        <w:rPr>
          <w:szCs w:val="24"/>
        </w:rPr>
        <w:t>80</w:t>
      </w:r>
      <w:r w:rsidRPr="008111D2">
        <w:rPr>
          <w:szCs w:val="24"/>
        </w:rPr>
        <w:t xml:space="preserve"> hours. There is a potential universe of </w:t>
      </w:r>
      <w:r>
        <w:rPr>
          <w:szCs w:val="24"/>
        </w:rPr>
        <w:t>40</w:t>
      </w:r>
      <w:r w:rsidRPr="008111D2">
        <w:rPr>
          <w:szCs w:val="24"/>
        </w:rPr>
        <w:t xml:space="preserve"> respondents, so the total burden deducted from the total for this request is </w:t>
      </w:r>
      <w:r>
        <w:rPr>
          <w:szCs w:val="24"/>
        </w:rPr>
        <w:t xml:space="preserve">3,200 hours </w:t>
      </w:r>
      <w:r w:rsidR="00C169EF" w:rsidRPr="00C169EF">
        <w:rPr>
          <w:szCs w:val="24"/>
        </w:rPr>
        <w:t>(</w:t>
      </w:r>
      <w:r w:rsidR="00C169EF">
        <w:rPr>
          <w:szCs w:val="24"/>
        </w:rPr>
        <w:t>40</w:t>
      </w:r>
      <w:r w:rsidR="00C169EF" w:rsidRPr="00C169EF">
        <w:rPr>
          <w:szCs w:val="24"/>
        </w:rPr>
        <w:t xml:space="preserve"> responses x </w:t>
      </w:r>
      <w:r w:rsidR="00C169EF">
        <w:rPr>
          <w:szCs w:val="24"/>
        </w:rPr>
        <w:t>8</w:t>
      </w:r>
      <w:r w:rsidR="00C169EF" w:rsidRPr="00C169EF">
        <w:rPr>
          <w:szCs w:val="24"/>
        </w:rPr>
        <w:t>0 hours) at a cost of $</w:t>
      </w:r>
      <w:r w:rsidR="00C169EF">
        <w:rPr>
          <w:szCs w:val="24"/>
        </w:rPr>
        <w:t>375</w:t>
      </w:r>
      <w:r w:rsidR="00C169EF" w:rsidRPr="00C169EF">
        <w:rPr>
          <w:szCs w:val="24"/>
        </w:rPr>
        <w:t>,</w:t>
      </w:r>
      <w:r w:rsidR="00C169EF">
        <w:rPr>
          <w:szCs w:val="24"/>
        </w:rPr>
        <w:t>680</w:t>
      </w:r>
      <w:r w:rsidR="00C169EF" w:rsidRPr="00C169EF">
        <w:rPr>
          <w:szCs w:val="24"/>
        </w:rPr>
        <w:t xml:space="preserve"> (</w:t>
      </w:r>
      <w:r w:rsidR="00C169EF">
        <w:rPr>
          <w:szCs w:val="24"/>
        </w:rPr>
        <w:t>3</w:t>
      </w:r>
      <w:r w:rsidR="00C169EF" w:rsidRPr="00C169EF">
        <w:rPr>
          <w:szCs w:val="24"/>
        </w:rPr>
        <w:t>,2</w:t>
      </w:r>
      <w:r w:rsidR="00C169EF">
        <w:rPr>
          <w:szCs w:val="24"/>
        </w:rPr>
        <w:t>00</w:t>
      </w:r>
      <w:r w:rsidR="00C169EF" w:rsidRPr="00C169EF">
        <w:rPr>
          <w:szCs w:val="24"/>
        </w:rPr>
        <w:t xml:space="preserve"> hrs x $</w:t>
      </w:r>
      <w:r w:rsidR="00C169EF">
        <w:rPr>
          <w:szCs w:val="24"/>
        </w:rPr>
        <w:t>117</w:t>
      </w:r>
      <w:r w:rsidR="00C169EF" w:rsidRPr="00C169EF">
        <w:rPr>
          <w:szCs w:val="24"/>
        </w:rPr>
        <w:t>.</w:t>
      </w:r>
      <w:r w:rsidR="00C169EF">
        <w:rPr>
          <w:szCs w:val="24"/>
        </w:rPr>
        <w:t>40</w:t>
      </w:r>
      <w:r w:rsidR="00C169EF" w:rsidRPr="00C169EF">
        <w:rPr>
          <w:szCs w:val="24"/>
        </w:rPr>
        <w:t>/hr).</w:t>
      </w:r>
    </w:p>
    <w:p w14:paraId="2F06B4A1" w14:textId="77777777" w:rsidR="00253C24" w:rsidRDefault="00253C24" w:rsidP="00253C24"/>
    <w:p w14:paraId="1BDA9B95" w14:textId="77777777" w:rsidR="00253C24" w:rsidRPr="00253C24" w:rsidRDefault="00253C24" w:rsidP="00253C24">
      <w:pPr>
        <w:spacing w:after="0" w:line="240" w:lineRule="auto"/>
        <w:rPr>
          <w:i/>
          <w:szCs w:val="24"/>
        </w:rPr>
      </w:pPr>
      <w:r w:rsidRPr="00253C24">
        <w:rPr>
          <w:i/>
          <w:szCs w:val="24"/>
        </w:rPr>
        <w:t>Attachments</w:t>
      </w:r>
    </w:p>
    <w:p w14:paraId="3AAF2A27" w14:textId="77777777" w:rsidR="00253C24" w:rsidRDefault="00253C24" w:rsidP="00253C24">
      <w:pPr>
        <w:spacing w:after="0" w:line="240" w:lineRule="auto"/>
        <w:rPr>
          <w:szCs w:val="24"/>
        </w:rPr>
      </w:pPr>
    </w:p>
    <w:p w14:paraId="2C8F7135" w14:textId="77777777" w:rsidR="00253C24" w:rsidRDefault="00253C24" w:rsidP="00253C24">
      <w:pPr>
        <w:spacing w:after="0" w:line="240" w:lineRule="auto"/>
        <w:rPr>
          <w:szCs w:val="24"/>
        </w:rPr>
      </w:pPr>
      <w:r w:rsidRPr="008111D2">
        <w:rPr>
          <w:szCs w:val="24"/>
        </w:rPr>
        <w:t xml:space="preserve">The following attachment </w:t>
      </w:r>
      <w:r>
        <w:rPr>
          <w:szCs w:val="24"/>
        </w:rPr>
        <w:t>is</w:t>
      </w:r>
      <w:r w:rsidRPr="008111D2">
        <w:rPr>
          <w:szCs w:val="24"/>
        </w:rPr>
        <w:t xml:space="preserve"> provided for this information collection:</w:t>
      </w:r>
    </w:p>
    <w:p w14:paraId="142F9EC7" w14:textId="01231A28" w:rsidR="00253C24" w:rsidRPr="00253C24" w:rsidRDefault="00253C24" w:rsidP="00BD09D7">
      <w:pPr>
        <w:pStyle w:val="ListParagraph"/>
        <w:numPr>
          <w:ilvl w:val="0"/>
          <w:numId w:val="11"/>
        </w:numPr>
      </w:pPr>
      <w:r w:rsidRPr="007F1711">
        <w:rPr>
          <w:rFonts w:ascii="Times New Roman" w:hAnsi="Times New Roman"/>
          <w:sz w:val="24"/>
        </w:rPr>
        <w:t>FOA Preprint</w:t>
      </w:r>
    </w:p>
    <w:p w14:paraId="2F196D8F" w14:textId="77777777" w:rsidR="007D6E75" w:rsidRPr="008111D2" w:rsidRDefault="007D6E75" w:rsidP="00F54374">
      <w:pPr>
        <w:pStyle w:val="Heading1"/>
      </w:pPr>
      <w:r w:rsidRPr="008111D2">
        <w:t>E. Timeline</w:t>
      </w:r>
    </w:p>
    <w:p w14:paraId="7D8CDFBC" w14:textId="77777777" w:rsidR="00140ED1" w:rsidRDefault="00140ED1" w:rsidP="008111D2">
      <w:pPr>
        <w:spacing w:after="0" w:line="240" w:lineRule="auto"/>
        <w:rPr>
          <w:szCs w:val="24"/>
        </w:rPr>
      </w:pPr>
      <w:r w:rsidRPr="00140ED1">
        <w:rPr>
          <w:szCs w:val="24"/>
        </w:rPr>
        <w:t>Not applicable. This is an extension (without change) of a currently approved GenIC.</w:t>
      </w:r>
    </w:p>
    <w:p w14:paraId="207038DE" w14:textId="77777777" w:rsidR="00140ED1" w:rsidRDefault="00140ED1" w:rsidP="008111D2">
      <w:pPr>
        <w:spacing w:after="0" w:line="240" w:lineRule="auto"/>
        <w:rPr>
          <w:szCs w:val="24"/>
        </w:rPr>
      </w:pPr>
    </w:p>
    <w:sectPr w:rsidR="00140ED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2B799" w14:textId="77777777" w:rsidR="00A937F8" w:rsidRDefault="00A937F8" w:rsidP="008111D2">
      <w:pPr>
        <w:spacing w:after="0" w:line="240" w:lineRule="auto"/>
      </w:pPr>
      <w:r>
        <w:separator/>
      </w:r>
    </w:p>
  </w:endnote>
  <w:endnote w:type="continuationSeparator" w:id="0">
    <w:p w14:paraId="1228742F" w14:textId="77777777" w:rsidR="00A937F8" w:rsidRDefault="00A937F8"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4C4DD" w14:textId="77777777" w:rsidR="00A937F8" w:rsidRDefault="00A937F8" w:rsidP="008111D2">
      <w:pPr>
        <w:spacing w:after="0" w:line="240" w:lineRule="auto"/>
      </w:pPr>
      <w:r>
        <w:separator/>
      </w:r>
    </w:p>
  </w:footnote>
  <w:footnote w:type="continuationSeparator" w:id="0">
    <w:p w14:paraId="5C67051F" w14:textId="77777777" w:rsidR="00A937F8" w:rsidRDefault="00A937F8"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0B2ECC"/>
    <w:multiLevelType w:val="hybridMultilevel"/>
    <w:tmpl w:val="B4048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299D"/>
    <w:rsid w:val="00043D0E"/>
    <w:rsid w:val="00047F7C"/>
    <w:rsid w:val="000712B4"/>
    <w:rsid w:val="000D1CFD"/>
    <w:rsid w:val="000E55DA"/>
    <w:rsid w:val="00111672"/>
    <w:rsid w:val="00122C0E"/>
    <w:rsid w:val="00140ED1"/>
    <w:rsid w:val="00154B31"/>
    <w:rsid w:val="0016468E"/>
    <w:rsid w:val="00175A39"/>
    <w:rsid w:val="00185CB4"/>
    <w:rsid w:val="001A1FC6"/>
    <w:rsid w:val="001D197A"/>
    <w:rsid w:val="001E1FA0"/>
    <w:rsid w:val="001E66B6"/>
    <w:rsid w:val="001F2628"/>
    <w:rsid w:val="0020026D"/>
    <w:rsid w:val="00222B4F"/>
    <w:rsid w:val="002471DE"/>
    <w:rsid w:val="00252D20"/>
    <w:rsid w:val="00253C24"/>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56604"/>
    <w:rsid w:val="0057166F"/>
    <w:rsid w:val="00597229"/>
    <w:rsid w:val="005B6A37"/>
    <w:rsid w:val="005C580D"/>
    <w:rsid w:val="005D001F"/>
    <w:rsid w:val="005D098F"/>
    <w:rsid w:val="005E3B79"/>
    <w:rsid w:val="005E52BE"/>
    <w:rsid w:val="006026DA"/>
    <w:rsid w:val="0064080F"/>
    <w:rsid w:val="00647812"/>
    <w:rsid w:val="00685368"/>
    <w:rsid w:val="006C0B96"/>
    <w:rsid w:val="006C4626"/>
    <w:rsid w:val="006D19DE"/>
    <w:rsid w:val="006F4FF9"/>
    <w:rsid w:val="007040D0"/>
    <w:rsid w:val="00707666"/>
    <w:rsid w:val="0071650B"/>
    <w:rsid w:val="00716824"/>
    <w:rsid w:val="00723A9E"/>
    <w:rsid w:val="00745C11"/>
    <w:rsid w:val="007A1653"/>
    <w:rsid w:val="007D6E75"/>
    <w:rsid w:val="007F1711"/>
    <w:rsid w:val="007F6F17"/>
    <w:rsid w:val="00802598"/>
    <w:rsid w:val="008035EA"/>
    <w:rsid w:val="008111D2"/>
    <w:rsid w:val="00836C8F"/>
    <w:rsid w:val="00836E8F"/>
    <w:rsid w:val="00873459"/>
    <w:rsid w:val="0088756F"/>
    <w:rsid w:val="008C11BC"/>
    <w:rsid w:val="008D52D1"/>
    <w:rsid w:val="008E6143"/>
    <w:rsid w:val="008F2AED"/>
    <w:rsid w:val="009004E1"/>
    <w:rsid w:val="0095297C"/>
    <w:rsid w:val="009903AB"/>
    <w:rsid w:val="009B19E8"/>
    <w:rsid w:val="009C2F36"/>
    <w:rsid w:val="009E3FAC"/>
    <w:rsid w:val="00A138F7"/>
    <w:rsid w:val="00A718B4"/>
    <w:rsid w:val="00A75FCD"/>
    <w:rsid w:val="00A937F8"/>
    <w:rsid w:val="00AA37EC"/>
    <w:rsid w:val="00AB01BC"/>
    <w:rsid w:val="00AE1BD8"/>
    <w:rsid w:val="00B151B4"/>
    <w:rsid w:val="00B43BBD"/>
    <w:rsid w:val="00B532F3"/>
    <w:rsid w:val="00B87957"/>
    <w:rsid w:val="00BD32FA"/>
    <w:rsid w:val="00BE07EB"/>
    <w:rsid w:val="00C169EF"/>
    <w:rsid w:val="00C2142E"/>
    <w:rsid w:val="00C75DFB"/>
    <w:rsid w:val="00C94C5E"/>
    <w:rsid w:val="00CB1BFD"/>
    <w:rsid w:val="00CB241F"/>
    <w:rsid w:val="00CB646D"/>
    <w:rsid w:val="00CC725F"/>
    <w:rsid w:val="00CF6C1D"/>
    <w:rsid w:val="00D12ABB"/>
    <w:rsid w:val="00D215B4"/>
    <w:rsid w:val="00D42E31"/>
    <w:rsid w:val="00D46C38"/>
    <w:rsid w:val="00D4736A"/>
    <w:rsid w:val="00D87858"/>
    <w:rsid w:val="00DD794C"/>
    <w:rsid w:val="00DD7AD8"/>
    <w:rsid w:val="00DF098E"/>
    <w:rsid w:val="00E83C3E"/>
    <w:rsid w:val="00E93F3F"/>
    <w:rsid w:val="00EA28B7"/>
    <w:rsid w:val="00EA4AB1"/>
    <w:rsid w:val="00EB1115"/>
    <w:rsid w:val="00ED4A58"/>
    <w:rsid w:val="00EE1AD1"/>
    <w:rsid w:val="00EF3A74"/>
    <w:rsid w:val="00F01D40"/>
    <w:rsid w:val="00F04F6D"/>
    <w:rsid w:val="00F303E4"/>
    <w:rsid w:val="00F54374"/>
    <w:rsid w:val="00FB3D21"/>
    <w:rsid w:val="00FD1D1B"/>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8035EA"/>
    <w:rPr>
      <w:sz w:val="16"/>
      <w:szCs w:val="16"/>
    </w:rPr>
  </w:style>
  <w:style w:type="paragraph" w:styleId="CommentText">
    <w:name w:val="annotation text"/>
    <w:basedOn w:val="Normal"/>
    <w:link w:val="CommentTextChar"/>
    <w:uiPriority w:val="99"/>
    <w:semiHidden/>
    <w:unhideWhenUsed/>
    <w:rsid w:val="008035EA"/>
    <w:pPr>
      <w:spacing w:line="240" w:lineRule="auto"/>
    </w:pPr>
    <w:rPr>
      <w:sz w:val="20"/>
      <w:szCs w:val="20"/>
    </w:rPr>
  </w:style>
  <w:style w:type="character" w:customStyle="1" w:styleId="CommentTextChar">
    <w:name w:val="Comment Text Char"/>
    <w:basedOn w:val="DefaultParagraphFont"/>
    <w:link w:val="CommentText"/>
    <w:uiPriority w:val="99"/>
    <w:semiHidden/>
    <w:rsid w:val="008035E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035EA"/>
    <w:rPr>
      <w:b/>
      <w:bCs/>
    </w:rPr>
  </w:style>
  <w:style w:type="character" w:customStyle="1" w:styleId="CommentSubjectChar">
    <w:name w:val="Comment Subject Char"/>
    <w:basedOn w:val="CommentTextChar"/>
    <w:link w:val="CommentSubject"/>
    <w:uiPriority w:val="99"/>
    <w:semiHidden/>
    <w:rsid w:val="008035EA"/>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8035EA"/>
    <w:rPr>
      <w:sz w:val="16"/>
      <w:szCs w:val="16"/>
    </w:rPr>
  </w:style>
  <w:style w:type="paragraph" w:styleId="CommentText">
    <w:name w:val="annotation text"/>
    <w:basedOn w:val="Normal"/>
    <w:link w:val="CommentTextChar"/>
    <w:uiPriority w:val="99"/>
    <w:semiHidden/>
    <w:unhideWhenUsed/>
    <w:rsid w:val="008035EA"/>
    <w:pPr>
      <w:spacing w:line="240" w:lineRule="auto"/>
    </w:pPr>
    <w:rPr>
      <w:sz w:val="20"/>
      <w:szCs w:val="20"/>
    </w:rPr>
  </w:style>
  <w:style w:type="character" w:customStyle="1" w:styleId="CommentTextChar">
    <w:name w:val="Comment Text Char"/>
    <w:basedOn w:val="DefaultParagraphFont"/>
    <w:link w:val="CommentText"/>
    <w:uiPriority w:val="99"/>
    <w:semiHidden/>
    <w:rsid w:val="008035E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035EA"/>
    <w:rPr>
      <w:b/>
      <w:bCs/>
    </w:rPr>
  </w:style>
  <w:style w:type="character" w:customStyle="1" w:styleId="CommentSubjectChar">
    <w:name w:val="Comment Subject Char"/>
    <w:basedOn w:val="CommentTextChar"/>
    <w:link w:val="CommentSubject"/>
    <w:uiPriority w:val="99"/>
    <w:semiHidden/>
    <w:rsid w:val="008035E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605120514">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284580973">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2018-01-09T16:53:00Z</dcterms:created>
  <dcterms:modified xsi:type="dcterms:W3CDTF">2018-01-09T16:53:00Z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-566149304</vt:i4>
  </property>
  <property fmtid="{D5CDD505-2E9C-101B-9397-08002B2CF9AE}" pid="3" name="_NewReviewCycle">
    <vt:lpwstr/>
  </property>
  <property fmtid="{D5CDD505-2E9C-101B-9397-08002B2CF9AE}" pid="4" name="_EmailSubject">
    <vt:lpwstr>Generic PRA #33 DRA 6062</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56770334</vt:i4>
  </property>
  <property fmtid="{D5CDD505-2E9C-101B-9397-08002B2CF9AE}" pid="8" name="_ReviewingToolsShownOnce">
    <vt:lpwstr/>
  </property>
</Properties>
</file>