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F2" w:rsidRPr="00F508F2" w:rsidRDefault="00482CDC" w:rsidP="00F508F2">
      <w:pPr>
        <w:jc w:val="center"/>
        <w:rPr>
          <w:b/>
        </w:rPr>
      </w:pPr>
      <w:bookmarkStart w:id="0" w:name="_GoBack"/>
      <w:bookmarkEnd w:id="0"/>
      <w:r>
        <w:rPr>
          <w:b/>
        </w:rPr>
        <w:t xml:space="preserve">SAMPLE </w:t>
      </w:r>
      <w:r w:rsidR="00445496">
        <w:rPr>
          <w:b/>
        </w:rPr>
        <w:t xml:space="preserve">TEMPLATE </w:t>
      </w:r>
      <w:r>
        <w:rPr>
          <w:b/>
        </w:rPr>
        <w:t>FOR</w:t>
      </w:r>
      <w:r w:rsidR="00445496">
        <w:rPr>
          <w:b/>
        </w:rPr>
        <w:t xml:space="preserve"> </w:t>
      </w:r>
      <w:r w:rsidR="00F508F2">
        <w:rPr>
          <w:b/>
        </w:rPr>
        <w:t xml:space="preserve">STATE </w:t>
      </w:r>
      <w:r w:rsidR="00445496">
        <w:rPr>
          <w:b/>
        </w:rPr>
        <w:t>SETTINGS</w:t>
      </w:r>
      <w:r w:rsidR="002D4B78">
        <w:rPr>
          <w:b/>
        </w:rPr>
        <w:t>’</w:t>
      </w:r>
      <w:r w:rsidR="00445496">
        <w:rPr>
          <w:b/>
        </w:rPr>
        <w:t xml:space="preserve"> ANALYSIS</w:t>
      </w:r>
      <w:r>
        <w:rPr>
          <w:b/>
        </w:rPr>
        <w:t xml:space="preserve"> (Optional)</w:t>
      </w:r>
    </w:p>
    <w:tbl>
      <w:tblPr>
        <w:tblStyle w:val="TableGrid"/>
        <w:tblW w:w="14508" w:type="dxa"/>
        <w:tblLook w:val="04A0" w:firstRow="1" w:lastRow="0" w:firstColumn="1" w:lastColumn="0" w:noHBand="0" w:noVBand="1"/>
      </w:tblPr>
      <w:tblGrid>
        <w:gridCol w:w="3708"/>
        <w:gridCol w:w="2610"/>
        <w:gridCol w:w="2520"/>
        <w:gridCol w:w="3330"/>
        <w:gridCol w:w="2340"/>
      </w:tblGrid>
      <w:tr w:rsidR="00B90236" w:rsidTr="00EA2974">
        <w:tc>
          <w:tcPr>
            <w:tcW w:w="3708" w:type="dxa"/>
          </w:tcPr>
          <w:p w:rsidR="00B90236" w:rsidRDefault="00B90236" w:rsidP="00DF0F49">
            <w:pPr>
              <w:jc w:val="center"/>
              <w:rPr>
                <w:b/>
              </w:rPr>
            </w:pPr>
          </w:p>
          <w:p w:rsidR="00B90236" w:rsidRPr="00F508F2" w:rsidRDefault="00B90236" w:rsidP="00482CDC">
            <w:pPr>
              <w:jc w:val="center"/>
              <w:rPr>
                <w:b/>
              </w:rPr>
            </w:pPr>
            <w:r>
              <w:rPr>
                <w:b/>
              </w:rPr>
              <w:t xml:space="preserve">CATEGORY </w:t>
            </w:r>
          </w:p>
        </w:tc>
        <w:tc>
          <w:tcPr>
            <w:tcW w:w="2610" w:type="dxa"/>
          </w:tcPr>
          <w:p w:rsidR="00B90236" w:rsidRDefault="00B90236" w:rsidP="00F508F2">
            <w:pPr>
              <w:jc w:val="center"/>
              <w:rPr>
                <w:b/>
              </w:rPr>
            </w:pPr>
          </w:p>
          <w:p w:rsidR="00B90236" w:rsidRPr="00F508F2" w:rsidRDefault="00B90236" w:rsidP="00F508F2">
            <w:pPr>
              <w:jc w:val="center"/>
              <w:rPr>
                <w:b/>
              </w:rPr>
            </w:pPr>
            <w:r w:rsidRPr="00482CDC">
              <w:rPr>
                <w:b/>
              </w:rPr>
              <w:t>STANDARD (LICENSING, CERTIFICATION, REGULATION, STATE REVIEW OF SETTINGS, ETC.)</w:t>
            </w:r>
          </w:p>
        </w:tc>
        <w:tc>
          <w:tcPr>
            <w:tcW w:w="2520" w:type="dxa"/>
          </w:tcPr>
          <w:p w:rsidR="00B90236" w:rsidRDefault="00B90236" w:rsidP="00F508F2">
            <w:pPr>
              <w:jc w:val="center"/>
              <w:rPr>
                <w:b/>
              </w:rPr>
            </w:pPr>
          </w:p>
          <w:p w:rsidR="00B90236" w:rsidRPr="00F508F2" w:rsidRDefault="00B90236" w:rsidP="00482CDC">
            <w:pPr>
              <w:jc w:val="center"/>
              <w:rPr>
                <w:b/>
              </w:rPr>
            </w:pPr>
            <w:r w:rsidRPr="00482CDC">
              <w:rPr>
                <w:b/>
              </w:rPr>
              <w:t>TYPE OR NAME OF SETTING AND TOTAL NUMBER OF SETTINGS</w:t>
            </w:r>
          </w:p>
        </w:tc>
        <w:tc>
          <w:tcPr>
            <w:tcW w:w="3330" w:type="dxa"/>
          </w:tcPr>
          <w:p w:rsidR="00B90236" w:rsidRDefault="00B90236" w:rsidP="00B90236">
            <w:pPr>
              <w:jc w:val="center"/>
              <w:rPr>
                <w:b/>
              </w:rPr>
            </w:pPr>
          </w:p>
          <w:p w:rsidR="00B90236" w:rsidRDefault="00B90236" w:rsidP="00B90236">
            <w:pPr>
              <w:jc w:val="center"/>
              <w:rPr>
                <w:b/>
              </w:rPr>
            </w:pPr>
            <w:r>
              <w:rPr>
                <w:b/>
              </w:rPr>
              <w:t>SOURCE(S) OF EVIDENCE/EVALUATION FOR PLACEMENT IN CATEGORY</w:t>
            </w:r>
          </w:p>
        </w:tc>
        <w:tc>
          <w:tcPr>
            <w:tcW w:w="2340" w:type="dxa"/>
          </w:tcPr>
          <w:p w:rsidR="00B90236" w:rsidRDefault="00B90236" w:rsidP="00B90236">
            <w:pPr>
              <w:jc w:val="center"/>
              <w:rPr>
                <w:b/>
              </w:rPr>
            </w:pPr>
          </w:p>
          <w:p w:rsidR="00B90236" w:rsidRDefault="00B90236" w:rsidP="00B90236">
            <w:pPr>
              <w:jc w:val="center"/>
              <w:rPr>
                <w:b/>
              </w:rPr>
            </w:pPr>
            <w:r>
              <w:rPr>
                <w:b/>
              </w:rPr>
              <w:t>REMEDIATION STRATEGY</w:t>
            </w:r>
          </w:p>
        </w:tc>
      </w:tr>
      <w:tr w:rsidR="00B90236" w:rsidTr="00EA2974">
        <w:tc>
          <w:tcPr>
            <w:tcW w:w="3708" w:type="dxa"/>
          </w:tcPr>
          <w:p w:rsidR="00B90236" w:rsidRDefault="00B90236" w:rsidP="00C06BF6">
            <w:pPr>
              <w:pStyle w:val="ListParagraph"/>
              <w:numPr>
                <w:ilvl w:val="0"/>
                <w:numId w:val="3"/>
              </w:numPr>
              <w:jc w:val="center"/>
            </w:pPr>
            <w:r>
              <w:t xml:space="preserve">Settings fully </w:t>
            </w:r>
            <w:r w:rsidR="00EA2974">
              <w:t>align</w:t>
            </w:r>
            <w:r>
              <w:t xml:space="preserve"> with HCB</w:t>
            </w:r>
            <w:r w:rsidR="000D5F32">
              <w:t xml:space="preserve"> </w:t>
            </w:r>
            <w:r w:rsidR="00C06BF6">
              <w:t>setting requirements</w:t>
            </w:r>
            <w:r>
              <w:t>:</w:t>
            </w: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Default="00B90236" w:rsidP="00C93B5C">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Default="00B90236" w:rsidP="00C93B5C">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Default="00B90236" w:rsidP="00C93B5C">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Default="00B90236" w:rsidP="00C06BF6">
            <w:pPr>
              <w:pStyle w:val="ListParagraph"/>
              <w:numPr>
                <w:ilvl w:val="0"/>
                <w:numId w:val="3"/>
              </w:numPr>
              <w:jc w:val="center"/>
            </w:pPr>
            <w:r>
              <w:t xml:space="preserve">With changes, settings will </w:t>
            </w:r>
            <w:r w:rsidR="00EA2974">
              <w:t>align</w:t>
            </w:r>
            <w:r>
              <w:t xml:space="preserve"> with HCB</w:t>
            </w:r>
            <w:r w:rsidR="00C06BF6">
              <w:t xml:space="preserve"> setting requirements</w:t>
            </w:r>
            <w:r>
              <w:t>:</w:t>
            </w: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Pr="00523B38" w:rsidRDefault="00B90236" w:rsidP="00827365">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Pr="00523B38" w:rsidRDefault="00B90236" w:rsidP="00827365">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Pr="00523B38" w:rsidRDefault="00B90236" w:rsidP="00827365">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Default="00B90236" w:rsidP="00D16103">
            <w:pPr>
              <w:pStyle w:val="ListParagraph"/>
              <w:numPr>
                <w:ilvl w:val="0"/>
                <w:numId w:val="3"/>
              </w:numPr>
              <w:jc w:val="center"/>
            </w:pPr>
            <w:r>
              <w:t>Presumptively non-HCB settings (for which state is submitting justification/evidence to refute presumption):</w:t>
            </w: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Pr="00A02E1E" w:rsidRDefault="00B90236" w:rsidP="00827365">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Pr="00A02E1E" w:rsidRDefault="00B90236" w:rsidP="00827365">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Pr="00A02E1E" w:rsidRDefault="00B90236" w:rsidP="00827365">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Default="00B90236" w:rsidP="00C06BF6">
            <w:pPr>
              <w:pStyle w:val="ListParagraph"/>
              <w:numPr>
                <w:ilvl w:val="0"/>
                <w:numId w:val="3"/>
              </w:numPr>
              <w:jc w:val="center"/>
            </w:pPr>
            <w:r>
              <w:t>Settings do not/cannot meet HCB setting</w:t>
            </w:r>
            <w:r w:rsidR="00C06BF6">
              <w:t xml:space="preserve"> requirements </w:t>
            </w:r>
            <w:r w:rsidR="00EA2974">
              <w:t>(including presumptively non-HCB settings for which the state does not dispute the status</w:t>
            </w: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Pr="000F1E38" w:rsidRDefault="00B90236" w:rsidP="00827365">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Pr="000F1E38" w:rsidRDefault="00B90236" w:rsidP="00827365">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r w:rsidR="00B90236" w:rsidTr="00EA2974">
        <w:tc>
          <w:tcPr>
            <w:tcW w:w="3708" w:type="dxa"/>
          </w:tcPr>
          <w:p w:rsidR="00B90236" w:rsidRPr="000F1E38" w:rsidRDefault="00B90236" w:rsidP="00827365">
            <w:pPr>
              <w:jc w:val="center"/>
            </w:pPr>
          </w:p>
        </w:tc>
        <w:tc>
          <w:tcPr>
            <w:tcW w:w="2610" w:type="dxa"/>
          </w:tcPr>
          <w:p w:rsidR="00B90236" w:rsidRDefault="00B90236"/>
        </w:tc>
        <w:tc>
          <w:tcPr>
            <w:tcW w:w="2520" w:type="dxa"/>
          </w:tcPr>
          <w:p w:rsidR="00B90236" w:rsidRDefault="00B90236"/>
        </w:tc>
        <w:tc>
          <w:tcPr>
            <w:tcW w:w="3330" w:type="dxa"/>
          </w:tcPr>
          <w:p w:rsidR="00B90236" w:rsidRDefault="00B90236"/>
        </w:tc>
        <w:tc>
          <w:tcPr>
            <w:tcW w:w="2340" w:type="dxa"/>
          </w:tcPr>
          <w:p w:rsidR="00B90236" w:rsidRDefault="00B90236"/>
        </w:tc>
      </w:tr>
    </w:tbl>
    <w:p w:rsidR="00F508F2" w:rsidRDefault="00F508F2" w:rsidP="00CF51B6"/>
    <w:p w:rsidR="00E54193" w:rsidRDefault="00E54193" w:rsidP="00CF51B6"/>
    <w:p w:rsidR="00E54193" w:rsidRPr="00BD7B7D" w:rsidRDefault="00E54193" w:rsidP="00E54193">
      <w:pPr>
        <w:spacing w:line="240" w:lineRule="atLeast"/>
        <w:jc w:val="center"/>
      </w:pPr>
      <w:r w:rsidRPr="00BD7B7D">
        <w:rPr>
          <w:u w:val="single"/>
        </w:rPr>
        <w:t>PRA Disclosure Statement</w:t>
      </w:r>
    </w:p>
    <w:p w:rsidR="00E54193" w:rsidRPr="00BD7B7D" w:rsidRDefault="00E54193" w:rsidP="00E54193">
      <w:pPr>
        <w:spacing w:line="240" w:lineRule="atLeast"/>
      </w:pPr>
      <w:r w:rsidRPr="00BD7B7D">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w:t>
      </w:r>
      <w:r w:rsidR="003E0521">
        <w:t>42</w:t>
      </w:r>
      <w:r w:rsidRPr="00BD7B7D">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3E0521" w:rsidRDefault="003E0521" w:rsidP="00CF51B6"/>
    <w:p w:rsidR="003E0521" w:rsidRPr="003E0521" w:rsidRDefault="003E0521" w:rsidP="003E0521"/>
    <w:p w:rsidR="003E0521" w:rsidRPr="003E0521" w:rsidRDefault="003E0521" w:rsidP="003E0521"/>
    <w:p w:rsidR="003E0521" w:rsidRPr="003E0521" w:rsidRDefault="003E0521" w:rsidP="003E0521"/>
    <w:p w:rsidR="003E0521" w:rsidRPr="003E0521" w:rsidRDefault="003E0521" w:rsidP="003E0521">
      <w:pPr>
        <w:tabs>
          <w:tab w:val="left" w:pos="3647"/>
        </w:tabs>
      </w:pPr>
      <w:r>
        <w:tab/>
      </w:r>
    </w:p>
    <w:p w:rsidR="003E0521" w:rsidRDefault="003E0521" w:rsidP="003E0521"/>
    <w:p w:rsidR="00E54193" w:rsidRPr="003E0521" w:rsidRDefault="003E0521" w:rsidP="003E0521">
      <w:pPr>
        <w:tabs>
          <w:tab w:val="left" w:pos="4737"/>
        </w:tabs>
      </w:pPr>
      <w:r>
        <w:tab/>
      </w:r>
    </w:p>
    <w:sectPr w:rsidR="00E54193" w:rsidRPr="003E0521" w:rsidSect="003E0521">
      <w:headerReference w:type="first" r:id="rId8"/>
      <w:pgSz w:w="15840" w:h="12240" w:orient="landscape"/>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C6" w:rsidRDefault="000E60C6" w:rsidP="00FE7967">
      <w:pPr>
        <w:spacing w:after="0" w:line="240" w:lineRule="auto"/>
      </w:pPr>
      <w:r>
        <w:separator/>
      </w:r>
    </w:p>
  </w:endnote>
  <w:endnote w:type="continuationSeparator" w:id="0">
    <w:p w:rsidR="000E60C6" w:rsidRDefault="000E60C6" w:rsidP="00FE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C6" w:rsidRDefault="000E60C6" w:rsidP="00FE7967">
      <w:pPr>
        <w:spacing w:after="0" w:line="240" w:lineRule="auto"/>
      </w:pPr>
      <w:r>
        <w:separator/>
      </w:r>
    </w:p>
  </w:footnote>
  <w:footnote w:type="continuationSeparator" w:id="0">
    <w:p w:rsidR="000E60C6" w:rsidRDefault="000E60C6" w:rsidP="00FE7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521" w:rsidRPr="002C5314" w:rsidRDefault="003E0521" w:rsidP="003E0521">
    <w:pPr>
      <w:pStyle w:val="Header"/>
      <w:jc w:val="right"/>
      <w:rPr>
        <w:rFonts w:cstheme="minorHAnsi"/>
      </w:rPr>
    </w:pPr>
    <w:r w:rsidRPr="002C5314">
      <w:rPr>
        <w:rFonts w:cstheme="minorHAnsi"/>
      </w:rPr>
      <w:t>OMB Control Number 0938-1148</w:t>
    </w:r>
  </w:p>
  <w:p w:rsidR="003E0521" w:rsidRPr="002C5314" w:rsidRDefault="003E0521" w:rsidP="003E0521">
    <w:pPr>
      <w:pStyle w:val="Header"/>
      <w:jc w:val="right"/>
      <w:rPr>
        <w:rFonts w:cstheme="minorHAnsi"/>
      </w:rPr>
    </w:pPr>
    <w:r w:rsidRPr="002C5314">
      <w:rPr>
        <w:rFonts w:cstheme="minorHAnsi"/>
      </w:rPr>
      <w:t>Expiration date: 10/31/2014</w:t>
    </w:r>
  </w:p>
  <w:p w:rsidR="003E0521" w:rsidRDefault="003E0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2C40"/>
    <w:multiLevelType w:val="hybridMultilevel"/>
    <w:tmpl w:val="98B4A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E2A03"/>
    <w:multiLevelType w:val="hybridMultilevel"/>
    <w:tmpl w:val="FD507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FA2586"/>
    <w:multiLevelType w:val="hybridMultilevel"/>
    <w:tmpl w:val="70BC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F2"/>
    <w:rsid w:val="000D5F32"/>
    <w:rsid w:val="000E60C6"/>
    <w:rsid w:val="00257603"/>
    <w:rsid w:val="002A45AC"/>
    <w:rsid w:val="002D4B78"/>
    <w:rsid w:val="003E0521"/>
    <w:rsid w:val="00445496"/>
    <w:rsid w:val="00482CDC"/>
    <w:rsid w:val="00523BFD"/>
    <w:rsid w:val="00556FBD"/>
    <w:rsid w:val="006A2B12"/>
    <w:rsid w:val="006A2E8E"/>
    <w:rsid w:val="00773C27"/>
    <w:rsid w:val="00827365"/>
    <w:rsid w:val="00846F60"/>
    <w:rsid w:val="008F4C42"/>
    <w:rsid w:val="009276D9"/>
    <w:rsid w:val="00AC22E4"/>
    <w:rsid w:val="00B90236"/>
    <w:rsid w:val="00C06BF6"/>
    <w:rsid w:val="00C93B5C"/>
    <w:rsid w:val="00CE74C6"/>
    <w:rsid w:val="00CF51B6"/>
    <w:rsid w:val="00D16103"/>
    <w:rsid w:val="00D2668B"/>
    <w:rsid w:val="00DD387F"/>
    <w:rsid w:val="00DF0F49"/>
    <w:rsid w:val="00E54193"/>
    <w:rsid w:val="00E84DD1"/>
    <w:rsid w:val="00E9732D"/>
    <w:rsid w:val="00EA2974"/>
    <w:rsid w:val="00EA550A"/>
    <w:rsid w:val="00EE3745"/>
    <w:rsid w:val="00F508F2"/>
    <w:rsid w:val="00F510ED"/>
    <w:rsid w:val="00FE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8F2"/>
    <w:pPr>
      <w:ind w:left="720"/>
      <w:contextualSpacing/>
    </w:pPr>
  </w:style>
  <w:style w:type="paragraph" w:styleId="BalloonText">
    <w:name w:val="Balloon Text"/>
    <w:basedOn w:val="Normal"/>
    <w:link w:val="BalloonTextChar"/>
    <w:uiPriority w:val="99"/>
    <w:semiHidden/>
    <w:unhideWhenUsed/>
    <w:rsid w:val="00DF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F49"/>
    <w:rPr>
      <w:rFonts w:ascii="Tahoma" w:hAnsi="Tahoma" w:cs="Tahoma"/>
      <w:sz w:val="16"/>
      <w:szCs w:val="16"/>
    </w:rPr>
  </w:style>
  <w:style w:type="paragraph" w:styleId="Header">
    <w:name w:val="header"/>
    <w:basedOn w:val="Normal"/>
    <w:link w:val="HeaderChar"/>
    <w:uiPriority w:val="99"/>
    <w:unhideWhenUsed/>
    <w:rsid w:val="00FE7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967"/>
  </w:style>
  <w:style w:type="paragraph" w:styleId="Footer">
    <w:name w:val="footer"/>
    <w:basedOn w:val="Normal"/>
    <w:link w:val="FooterChar"/>
    <w:uiPriority w:val="99"/>
    <w:unhideWhenUsed/>
    <w:rsid w:val="00FE7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967"/>
  </w:style>
  <w:style w:type="character" w:styleId="CommentReference">
    <w:name w:val="annotation reference"/>
    <w:basedOn w:val="DefaultParagraphFont"/>
    <w:uiPriority w:val="99"/>
    <w:semiHidden/>
    <w:unhideWhenUsed/>
    <w:rsid w:val="00D16103"/>
    <w:rPr>
      <w:sz w:val="16"/>
      <w:szCs w:val="16"/>
    </w:rPr>
  </w:style>
  <w:style w:type="paragraph" w:styleId="CommentText">
    <w:name w:val="annotation text"/>
    <w:basedOn w:val="Normal"/>
    <w:link w:val="CommentTextChar"/>
    <w:uiPriority w:val="99"/>
    <w:semiHidden/>
    <w:unhideWhenUsed/>
    <w:rsid w:val="00D16103"/>
    <w:pPr>
      <w:spacing w:line="240" w:lineRule="auto"/>
    </w:pPr>
    <w:rPr>
      <w:sz w:val="20"/>
      <w:szCs w:val="20"/>
    </w:rPr>
  </w:style>
  <w:style w:type="character" w:customStyle="1" w:styleId="CommentTextChar">
    <w:name w:val="Comment Text Char"/>
    <w:basedOn w:val="DefaultParagraphFont"/>
    <w:link w:val="CommentText"/>
    <w:uiPriority w:val="99"/>
    <w:semiHidden/>
    <w:rsid w:val="00D16103"/>
    <w:rPr>
      <w:sz w:val="20"/>
      <w:szCs w:val="20"/>
    </w:rPr>
  </w:style>
  <w:style w:type="paragraph" w:styleId="CommentSubject">
    <w:name w:val="annotation subject"/>
    <w:basedOn w:val="CommentText"/>
    <w:next w:val="CommentText"/>
    <w:link w:val="CommentSubjectChar"/>
    <w:uiPriority w:val="99"/>
    <w:semiHidden/>
    <w:unhideWhenUsed/>
    <w:rsid w:val="00D16103"/>
    <w:rPr>
      <w:b/>
      <w:bCs/>
    </w:rPr>
  </w:style>
  <w:style w:type="character" w:customStyle="1" w:styleId="CommentSubjectChar">
    <w:name w:val="Comment Subject Char"/>
    <w:basedOn w:val="CommentTextChar"/>
    <w:link w:val="CommentSubject"/>
    <w:uiPriority w:val="99"/>
    <w:semiHidden/>
    <w:rsid w:val="00D161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8F2"/>
    <w:pPr>
      <w:ind w:left="720"/>
      <w:contextualSpacing/>
    </w:pPr>
  </w:style>
  <w:style w:type="paragraph" w:styleId="BalloonText">
    <w:name w:val="Balloon Text"/>
    <w:basedOn w:val="Normal"/>
    <w:link w:val="BalloonTextChar"/>
    <w:uiPriority w:val="99"/>
    <w:semiHidden/>
    <w:unhideWhenUsed/>
    <w:rsid w:val="00DF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F49"/>
    <w:rPr>
      <w:rFonts w:ascii="Tahoma" w:hAnsi="Tahoma" w:cs="Tahoma"/>
      <w:sz w:val="16"/>
      <w:szCs w:val="16"/>
    </w:rPr>
  </w:style>
  <w:style w:type="paragraph" w:styleId="Header">
    <w:name w:val="header"/>
    <w:basedOn w:val="Normal"/>
    <w:link w:val="HeaderChar"/>
    <w:uiPriority w:val="99"/>
    <w:unhideWhenUsed/>
    <w:rsid w:val="00FE7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967"/>
  </w:style>
  <w:style w:type="paragraph" w:styleId="Footer">
    <w:name w:val="footer"/>
    <w:basedOn w:val="Normal"/>
    <w:link w:val="FooterChar"/>
    <w:uiPriority w:val="99"/>
    <w:unhideWhenUsed/>
    <w:rsid w:val="00FE7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967"/>
  </w:style>
  <w:style w:type="character" w:styleId="CommentReference">
    <w:name w:val="annotation reference"/>
    <w:basedOn w:val="DefaultParagraphFont"/>
    <w:uiPriority w:val="99"/>
    <w:semiHidden/>
    <w:unhideWhenUsed/>
    <w:rsid w:val="00D16103"/>
    <w:rPr>
      <w:sz w:val="16"/>
      <w:szCs w:val="16"/>
    </w:rPr>
  </w:style>
  <w:style w:type="paragraph" w:styleId="CommentText">
    <w:name w:val="annotation text"/>
    <w:basedOn w:val="Normal"/>
    <w:link w:val="CommentTextChar"/>
    <w:uiPriority w:val="99"/>
    <w:semiHidden/>
    <w:unhideWhenUsed/>
    <w:rsid w:val="00D16103"/>
    <w:pPr>
      <w:spacing w:line="240" w:lineRule="auto"/>
    </w:pPr>
    <w:rPr>
      <w:sz w:val="20"/>
      <w:szCs w:val="20"/>
    </w:rPr>
  </w:style>
  <w:style w:type="character" w:customStyle="1" w:styleId="CommentTextChar">
    <w:name w:val="Comment Text Char"/>
    <w:basedOn w:val="DefaultParagraphFont"/>
    <w:link w:val="CommentText"/>
    <w:uiPriority w:val="99"/>
    <w:semiHidden/>
    <w:rsid w:val="00D16103"/>
    <w:rPr>
      <w:sz w:val="20"/>
      <w:szCs w:val="20"/>
    </w:rPr>
  </w:style>
  <w:style w:type="paragraph" w:styleId="CommentSubject">
    <w:name w:val="annotation subject"/>
    <w:basedOn w:val="CommentText"/>
    <w:next w:val="CommentText"/>
    <w:link w:val="CommentSubjectChar"/>
    <w:uiPriority w:val="99"/>
    <w:semiHidden/>
    <w:unhideWhenUsed/>
    <w:rsid w:val="00D16103"/>
    <w:rPr>
      <w:b/>
      <w:bCs/>
    </w:rPr>
  </w:style>
  <w:style w:type="character" w:customStyle="1" w:styleId="CommentSubjectChar">
    <w:name w:val="Comment Subject Char"/>
    <w:basedOn w:val="CommentTextChar"/>
    <w:link w:val="CommentSubject"/>
    <w:uiPriority w:val="99"/>
    <w:semiHidden/>
    <w:rsid w:val="00D161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JOYCE</dc:creator>
  <cp:lastModifiedBy>SYSTEM</cp:lastModifiedBy>
  <cp:revision>2</cp:revision>
  <cp:lastPrinted>2014-03-19T21:39:00Z</cp:lastPrinted>
  <dcterms:created xsi:type="dcterms:W3CDTF">2018-01-09T15:10:00Z</dcterms:created>
  <dcterms:modified xsi:type="dcterms:W3CDTF">2018-01-09T15:10:00Z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-245951451</vt:i4>
  </property>
  <property fmtid="{D5CDD505-2E9C-101B-9397-08002B2CF9AE}" pid="3" name="_NewReviewCycle">
    <vt:lpwstr/>
  </property>
  <property fmtid="{D5CDD505-2E9C-101B-9397-08002B2CF9AE}" pid="4" name="_EmailSubject">
    <vt:lpwstr>#31 Statewide HCBS Transition Plans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968991151</vt:i4>
  </property>
  <property fmtid="{D5CDD505-2E9C-101B-9397-08002B2CF9AE}" pid="8" name="_ReviewingToolsShownOnce">
    <vt:lpwstr/>
  </property>
</Properties>
</file>