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14C78" w14:textId="77777777" w:rsidR="007D6E75" w:rsidRPr="007D6E75" w:rsidRDefault="007D6E75" w:rsidP="007D6E75">
      <w:pPr>
        <w:jc w:val="center"/>
      </w:pPr>
      <w:bookmarkStart w:id="0" w:name="_GoBack"/>
      <w:bookmarkEnd w:id="0"/>
      <w:r>
        <w:t>Application to Use Burden/Hours from Generic PRA Clearance:</w:t>
      </w:r>
    </w:p>
    <w:p w14:paraId="2C6F6C7D" w14:textId="77777777" w:rsidR="007D6E75" w:rsidRDefault="007D6E75" w:rsidP="007D6E75">
      <w:pPr>
        <w:jc w:val="center"/>
      </w:pPr>
      <w:r w:rsidRPr="007D6E75">
        <w:t>Medicaid and CHIP State Plan, Waiver, and Program Submissions</w:t>
      </w:r>
    </w:p>
    <w:p w14:paraId="49A1C988" w14:textId="77777777" w:rsidR="00DF098E" w:rsidRDefault="007D6E75" w:rsidP="007D6E75">
      <w:pPr>
        <w:jc w:val="center"/>
      </w:pPr>
      <w:r>
        <w:t>(</w:t>
      </w:r>
      <w:r w:rsidRPr="007D6E75">
        <w:t>CMS-10398, OMB 0938-1148</w:t>
      </w:r>
      <w:r>
        <w:t>)</w:t>
      </w:r>
    </w:p>
    <w:p w14:paraId="5EBD433E" w14:textId="77777777" w:rsidR="007D6E75" w:rsidRDefault="007D6E75" w:rsidP="007D6E75">
      <w:pPr>
        <w:jc w:val="center"/>
      </w:pPr>
    </w:p>
    <w:p w14:paraId="1DC97D63" w14:textId="77777777" w:rsidR="007D6E75" w:rsidRDefault="007D6E75" w:rsidP="007D6E75">
      <w:pPr>
        <w:jc w:val="center"/>
      </w:pPr>
    </w:p>
    <w:p w14:paraId="55DC0CF7" w14:textId="77777777" w:rsidR="001C6930" w:rsidRPr="001C6930" w:rsidRDefault="001C6930" w:rsidP="007D6E75">
      <w:pPr>
        <w:jc w:val="center"/>
        <w:rPr>
          <w:b/>
        </w:rPr>
      </w:pPr>
      <w:r w:rsidRPr="001C6930">
        <w:rPr>
          <w:b/>
          <w:bCs/>
          <w:sz w:val="22"/>
        </w:rPr>
        <w:t xml:space="preserve">Information Collection </w:t>
      </w:r>
      <w:r w:rsidR="00530547" w:rsidRPr="0096674E">
        <w:rPr>
          <w:b/>
          <w:bCs/>
          <w:sz w:val="22"/>
        </w:rPr>
        <w:t>#</w:t>
      </w:r>
      <w:r w:rsidR="00530547">
        <w:rPr>
          <w:b/>
          <w:bCs/>
          <w:sz w:val="22"/>
        </w:rPr>
        <w:t>10 Section 1115 Demonstration and Waiver Application</w:t>
      </w:r>
      <w:r w:rsidRPr="001C6930">
        <w:rPr>
          <w:b/>
        </w:rPr>
        <w:t xml:space="preserve"> </w:t>
      </w:r>
    </w:p>
    <w:p w14:paraId="75EA3CF0" w14:textId="51339F78" w:rsidR="007D6E75" w:rsidRPr="007D6E75" w:rsidRDefault="000743F6" w:rsidP="007D6E75">
      <w:pPr>
        <w:jc w:val="center"/>
        <w:rPr>
          <w:b/>
        </w:rPr>
      </w:pPr>
      <w:r>
        <w:rPr>
          <w:b/>
        </w:rPr>
        <w:t xml:space="preserve">November </w:t>
      </w:r>
      <w:r w:rsidR="00AD4F4D">
        <w:rPr>
          <w:b/>
        </w:rPr>
        <w:t>2017</w:t>
      </w:r>
    </w:p>
    <w:p w14:paraId="3630C1E4" w14:textId="77777777" w:rsidR="007D6E75" w:rsidRDefault="007D6E75" w:rsidP="007D6E75">
      <w:pPr>
        <w:jc w:val="center"/>
      </w:pPr>
    </w:p>
    <w:p w14:paraId="078B27AA" w14:textId="77777777" w:rsidR="007D6E75" w:rsidRDefault="007D6E75" w:rsidP="007D6E75">
      <w:pPr>
        <w:jc w:val="center"/>
      </w:pPr>
    </w:p>
    <w:p w14:paraId="007D6473" w14:textId="77777777" w:rsidR="007D6E75" w:rsidRDefault="007D6E75" w:rsidP="007D6E75">
      <w:pPr>
        <w:jc w:val="center"/>
      </w:pPr>
    </w:p>
    <w:p w14:paraId="65835263" w14:textId="77777777" w:rsidR="007D6E75" w:rsidRDefault="007D6E75" w:rsidP="007D6E75">
      <w:pPr>
        <w:jc w:val="center"/>
      </w:pPr>
      <w:r>
        <w:t>Center for Medicaid and CHIP Services (CMCS)</w:t>
      </w:r>
    </w:p>
    <w:p w14:paraId="79FC8C29" w14:textId="77777777" w:rsidR="007D6E75" w:rsidRDefault="007D6E75" w:rsidP="007D6E75">
      <w:pPr>
        <w:jc w:val="center"/>
      </w:pPr>
      <w:r>
        <w:t>Centers for Medicare &amp; Medicaid Services (CMS)</w:t>
      </w:r>
    </w:p>
    <w:p w14:paraId="6899F149" w14:textId="77777777"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14:paraId="74CA690A" w14:textId="77777777" w:rsidR="007D6E75" w:rsidRDefault="007D6E75" w:rsidP="007D6E75">
      <w:pPr>
        <w:pStyle w:val="Heading1"/>
      </w:pPr>
      <w:r>
        <w:lastRenderedPageBreak/>
        <w:t>A. Background</w:t>
      </w:r>
    </w:p>
    <w:p w14:paraId="142C9793" w14:textId="77777777" w:rsidR="009B19E8" w:rsidRPr="009B19E8" w:rsidRDefault="009B19E8" w:rsidP="00857AD3">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0DBFAE75" w14:textId="77777777" w:rsidR="009B19E8" w:rsidRDefault="009B19E8" w:rsidP="007D6E75">
      <w:pPr>
        <w:pStyle w:val="Heading1"/>
      </w:pPr>
    </w:p>
    <w:p w14:paraId="0D947FFF" w14:textId="77777777" w:rsidR="007D6E75" w:rsidRDefault="007D6E75" w:rsidP="007D6E75">
      <w:pPr>
        <w:pStyle w:val="Heading1"/>
      </w:pPr>
      <w:r>
        <w:t>B. Description of Information Collection</w:t>
      </w:r>
    </w:p>
    <w:p w14:paraId="14FF03AD" w14:textId="77777777" w:rsidR="007702D4" w:rsidRDefault="00D71D97" w:rsidP="00857AD3">
      <w:pPr>
        <w:spacing w:after="0" w:line="240" w:lineRule="auto"/>
        <w:rPr>
          <w:rFonts w:ascii="Shruti" w:hAnsi="Shruti" w:cs="Shruti"/>
          <w:color w:val="000000" w:themeColor="text1"/>
          <w:sz w:val="16"/>
          <w:szCs w:val="16"/>
        </w:rPr>
      </w:pPr>
      <w:r w:rsidRPr="00857AD3">
        <w:rPr>
          <w:rFonts w:cs="Times New Roman"/>
          <w:color w:val="000000" w:themeColor="text1"/>
          <w:szCs w:val="24"/>
        </w:rPr>
        <w:t xml:space="preserve">Section 1115 of the Social Security Act gives the Secretary of Health and Human Services authority to approve experimental, pilot, or demonstration projects that promote the objectives of the Medicaid and CHIP programs. The purpose of these demonstrations, which give States additional flexibility to design and improve their programs, is to demonstrate and evaluate policy approaches such as: expanding eligibility to individuals who are not otherwise Medicaid or CHIP eligible; providing services not typically covered by Medicaid; using innovative service delivery systems that improve care, increase efficiency, and reduce costs.  CMS has created a section 1115 application guide that states may use at their option to streamline the State application process and CMS review of pending actions.  New federal regulations at </w:t>
      </w:r>
      <w:r w:rsidR="007702D4" w:rsidRPr="00857AD3">
        <w:rPr>
          <w:rFonts w:cs="Times New Roman"/>
          <w:color w:val="000000" w:themeColor="text1"/>
          <w:szCs w:val="24"/>
        </w:rPr>
        <w:t xml:space="preserve">42 CFR </w:t>
      </w:r>
      <w:r w:rsidRPr="00857AD3">
        <w:rPr>
          <w:rFonts w:cs="Times New Roman"/>
          <w:color w:val="000000" w:themeColor="text1"/>
          <w:szCs w:val="24"/>
        </w:rPr>
        <w:t>431.412 require States to submit required information before CMS will undertake review of a new application; the section 1115 application guide will facilitate states’ submission of complete applications and will help expedite the review process.</w:t>
      </w:r>
      <w:r w:rsidR="007702D4" w:rsidRPr="00857AD3">
        <w:rPr>
          <w:rFonts w:ascii="Shruti" w:hAnsi="Shruti" w:cs="Shruti"/>
          <w:color w:val="000000" w:themeColor="text1"/>
          <w:sz w:val="16"/>
          <w:szCs w:val="16"/>
        </w:rPr>
        <w:t xml:space="preserve">  </w:t>
      </w:r>
    </w:p>
    <w:p w14:paraId="163CB381" w14:textId="77777777" w:rsidR="00857AD3" w:rsidRPr="00857AD3" w:rsidRDefault="00857AD3" w:rsidP="00857AD3">
      <w:pPr>
        <w:spacing w:after="0" w:line="240" w:lineRule="auto"/>
        <w:rPr>
          <w:color w:val="000000" w:themeColor="text1"/>
        </w:rPr>
      </w:pPr>
    </w:p>
    <w:p w14:paraId="31BF236C" w14:textId="77777777" w:rsidR="007D6E75" w:rsidRDefault="007D6E75" w:rsidP="007D6E75">
      <w:pPr>
        <w:pStyle w:val="Heading1"/>
      </w:pPr>
      <w:r>
        <w:t>C. Deviations from Generic Request</w:t>
      </w:r>
    </w:p>
    <w:p w14:paraId="0CBEAB9F" w14:textId="77777777" w:rsidR="007D6E75" w:rsidRDefault="009B19E8" w:rsidP="007D6E75">
      <w:r>
        <w:t>No deviations are requested.</w:t>
      </w:r>
    </w:p>
    <w:p w14:paraId="09CAADE2" w14:textId="77777777" w:rsidR="007D6E75" w:rsidRDefault="007D6E75" w:rsidP="007D6E75">
      <w:pPr>
        <w:pStyle w:val="Heading1"/>
      </w:pPr>
      <w:r>
        <w:t>D. Burden Hour Deduction</w:t>
      </w:r>
    </w:p>
    <w:p w14:paraId="3F7D76A4" w14:textId="77777777" w:rsidR="00271428" w:rsidRPr="003E0990" w:rsidRDefault="00271428" w:rsidP="00271428">
      <w:pPr>
        <w:spacing w:after="0" w:line="240" w:lineRule="auto"/>
        <w:rPr>
          <w:rFonts w:cs="Times New Roman"/>
          <w:szCs w:val="24"/>
        </w:rPr>
      </w:pPr>
      <w:r w:rsidRPr="00880340">
        <w:rPr>
          <w:rFonts w:cs="Times New Roman"/>
          <w:szCs w:val="24"/>
        </w:rPr>
        <w:t>The total approved burden ceiling of the generic ICR is 154,104 hours, and CMS previously requested to use 69,879 hours, leaving our burden ceiling at 84,225 hours.</w:t>
      </w:r>
    </w:p>
    <w:p w14:paraId="4B3D4C9E" w14:textId="77777777" w:rsidR="00857AD3" w:rsidRDefault="00857AD3" w:rsidP="00857AD3">
      <w:pPr>
        <w:spacing w:after="0" w:line="240" w:lineRule="auto"/>
      </w:pPr>
    </w:p>
    <w:p w14:paraId="09B1177A" w14:textId="77777777" w:rsidR="004A7FCB" w:rsidRPr="007A294C" w:rsidRDefault="004A7FCB" w:rsidP="004A7FCB">
      <w:pPr>
        <w:rPr>
          <w:i/>
          <w:iCs/>
        </w:rPr>
      </w:pPr>
      <w:r w:rsidRPr="007A294C">
        <w:rPr>
          <w:i/>
          <w:iCs/>
        </w:rPr>
        <w:t>Wage Estimate</w:t>
      </w:r>
    </w:p>
    <w:p w14:paraId="69DE6122" w14:textId="77777777" w:rsidR="00271428" w:rsidRPr="00AB5CBF" w:rsidRDefault="00271428" w:rsidP="00271428">
      <w:pPr>
        <w:spacing w:after="0" w:line="240" w:lineRule="auto"/>
        <w:rPr>
          <w:rFonts w:cs="Times New Roman"/>
          <w:szCs w:val="24"/>
        </w:rPr>
      </w:pPr>
      <w:r w:rsidRPr="003E0990">
        <w:rPr>
          <w:rFonts w:cs="Times New Roman"/>
          <w:szCs w:val="24"/>
        </w:rPr>
        <w:t>To derive average costs, we used data from the U.S. Bureau of Labor Statistics’ May 201</w:t>
      </w:r>
      <w:r>
        <w:rPr>
          <w:rFonts w:cs="Times New Roman"/>
          <w:szCs w:val="24"/>
        </w:rPr>
        <w:t>6</w:t>
      </w:r>
      <w:r w:rsidRPr="003E0990">
        <w:rPr>
          <w:rFonts w:cs="Times New Roman"/>
          <w:szCs w:val="24"/>
        </w:rPr>
        <w:t xml:space="preserve"> National Occupational Employment and Wage Estimates for all salary estimates (</w:t>
      </w:r>
      <w:hyperlink r:id="rId6" w:history="1">
        <w:r w:rsidRPr="003E0990">
          <w:rPr>
            <w:rStyle w:val="Hyperlink"/>
            <w:rFonts w:cs="Times New Roman"/>
            <w:szCs w:val="24"/>
          </w:rPr>
          <w:t>http://www.bls.gov/oes/current/oes_nat.htm</w:t>
        </w:r>
      </w:hyperlink>
      <w:r w:rsidRPr="003E0990">
        <w:rPr>
          <w:rFonts w:cs="Times New Roman"/>
          <w:szCs w:val="24"/>
        </w:rPr>
        <w:t>). In this regard, the following table presents the mean hourly wage, the cost of fringe benefits (calculated at 100 percent of salary), and the adjusted hourly wage.</w:t>
      </w: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271428" w14:paraId="2A3DB76E" w14:textId="77777777" w:rsidTr="00E65717">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414FF0" w14:textId="77777777" w:rsidR="00271428" w:rsidRPr="00AB5CBF" w:rsidRDefault="00271428" w:rsidP="00E65717">
            <w:pPr>
              <w:rPr>
                <w:b/>
                <w:bCs/>
              </w:rPr>
            </w:pPr>
            <w:r w:rsidRPr="00AB5CBF">
              <w:rPr>
                <w:b/>
                <w:bCs/>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A463F5" w14:textId="77777777" w:rsidR="00271428" w:rsidRPr="00AB5CBF" w:rsidRDefault="00271428" w:rsidP="00E65717">
            <w:pPr>
              <w:rPr>
                <w:b/>
                <w:bCs/>
              </w:rPr>
            </w:pPr>
            <w:r w:rsidRPr="00AB5CBF">
              <w:rPr>
                <w:b/>
                <w:bCs/>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9B8990" w14:textId="77777777" w:rsidR="00271428" w:rsidRPr="00AB5CBF" w:rsidRDefault="00271428" w:rsidP="00E65717">
            <w:pPr>
              <w:rPr>
                <w:b/>
                <w:bCs/>
              </w:rPr>
            </w:pPr>
            <w:r w:rsidRPr="00AB5CBF">
              <w:rPr>
                <w:b/>
                <w:bCs/>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F9582A" w14:textId="77777777" w:rsidR="00271428" w:rsidRPr="00AB5CBF" w:rsidRDefault="00271428" w:rsidP="00E65717">
            <w:pPr>
              <w:rPr>
                <w:b/>
                <w:bCs/>
              </w:rPr>
            </w:pPr>
            <w:r w:rsidRPr="00AB5CBF">
              <w:rPr>
                <w:b/>
                <w:bCs/>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B83106" w14:textId="77777777" w:rsidR="00271428" w:rsidRPr="00AB5CBF" w:rsidRDefault="00271428" w:rsidP="00E65717">
            <w:pPr>
              <w:rPr>
                <w:b/>
                <w:bCs/>
              </w:rPr>
            </w:pPr>
            <w:r w:rsidRPr="00AB5CBF">
              <w:rPr>
                <w:b/>
                <w:bCs/>
              </w:rPr>
              <w:t>Adjusted Hourly Wage ($/hr)</w:t>
            </w:r>
          </w:p>
        </w:tc>
      </w:tr>
      <w:tr w:rsidR="00271428" w14:paraId="764FB7CD" w14:textId="77777777" w:rsidTr="00E65717">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B2C15E" w14:textId="77777777" w:rsidR="00271428" w:rsidRPr="00AB5CBF" w:rsidRDefault="00271428" w:rsidP="00E65717">
            <w:r w:rsidRPr="00AB5CBF">
              <w:lastRenderedPageBreak/>
              <w:t>Computer and Information Analyst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0B0F4CA" w14:textId="77777777" w:rsidR="00271428" w:rsidRPr="00AB5CBF" w:rsidRDefault="00271428" w:rsidP="00E65717">
            <w:r w:rsidRPr="00AB5CBF">
              <w:t>15-1120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FABA15A" w14:textId="694C06A2" w:rsidR="00271428" w:rsidRPr="00AB5CBF" w:rsidRDefault="00271428" w:rsidP="00F850E2">
            <w:r>
              <w:t>$</w:t>
            </w:r>
            <w:r w:rsidR="00F850E2">
              <w:t>44.36</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659EDD6" w14:textId="065EE71F" w:rsidR="00271428" w:rsidRPr="00AB5CBF" w:rsidRDefault="00271428" w:rsidP="00F850E2">
            <w:r>
              <w:t>$</w:t>
            </w:r>
            <w:r w:rsidR="00F850E2">
              <w:t>44.36</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6305F332" w14:textId="1852C543" w:rsidR="00271428" w:rsidRPr="00AB5CBF" w:rsidRDefault="00271428" w:rsidP="00F850E2">
            <w:r>
              <w:t>$</w:t>
            </w:r>
            <w:r w:rsidR="00F850E2">
              <w:t>88.72</w:t>
            </w:r>
          </w:p>
        </w:tc>
      </w:tr>
    </w:tbl>
    <w:p w14:paraId="6B4B303A" w14:textId="77777777" w:rsidR="00271428" w:rsidRDefault="00271428" w:rsidP="00271428">
      <w:pPr>
        <w:rPr>
          <w:rFonts w:ascii="Calibri" w:hAnsi="Calibri"/>
          <w:sz w:val="22"/>
          <w:highlight w:val="yellow"/>
        </w:rPr>
      </w:pPr>
    </w:p>
    <w:p w14:paraId="3E860B8B" w14:textId="77777777" w:rsidR="004A7FCB" w:rsidRDefault="004A7FCB" w:rsidP="00AB5CBF">
      <w:pPr>
        <w:spacing w:after="0" w:line="240" w:lineRule="auto"/>
      </w:pPr>
      <w:r w:rsidRPr="00AB5CBF">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6F6490">
        <w:t xml:space="preserve"> </w:t>
      </w:r>
      <w:r w:rsidRPr="00AB5CBF">
        <w:t>Nonetheless, there is no practical alternative and we believe that doubling the hourly wage to estimate total cost is a reasonably accurate estimation method.</w:t>
      </w:r>
    </w:p>
    <w:p w14:paraId="3775B1AF" w14:textId="77777777" w:rsidR="00AB5CBF" w:rsidRDefault="00AB5CBF" w:rsidP="007D6E75">
      <w:pPr>
        <w:pStyle w:val="Heading1"/>
      </w:pPr>
    </w:p>
    <w:p w14:paraId="392E466A" w14:textId="77777777" w:rsidR="00AB5CBF" w:rsidRPr="003E0990" w:rsidRDefault="00AB5CBF" w:rsidP="00925642">
      <w:pPr>
        <w:spacing w:after="0" w:line="240" w:lineRule="auto"/>
        <w:rPr>
          <w:rFonts w:cs="Times New Roman"/>
          <w:i/>
          <w:szCs w:val="24"/>
        </w:rPr>
      </w:pPr>
      <w:r w:rsidRPr="003E0990">
        <w:rPr>
          <w:rFonts w:cs="Times New Roman"/>
          <w:i/>
          <w:szCs w:val="24"/>
        </w:rPr>
        <w:t>Burden Estimates</w:t>
      </w:r>
    </w:p>
    <w:p w14:paraId="0010FA0B" w14:textId="5C362CC7" w:rsidR="00271428" w:rsidRDefault="00271428" w:rsidP="00271428">
      <w:pPr>
        <w:spacing w:after="0" w:line="240" w:lineRule="auto"/>
      </w:pPr>
      <w:r w:rsidRPr="00AB5CBF">
        <w:t>Section 1115 demonstrations are</w:t>
      </w:r>
      <w:r>
        <w:t xml:space="preserve"> initially approved for a five</w:t>
      </w:r>
      <w:r w:rsidRPr="00AB5CBF">
        <w:t xml:space="preserve"> year period</w:t>
      </w:r>
      <w:r>
        <w:t>, then extended at the state's request, and upon CMS approval, for</w:t>
      </w:r>
      <w:r w:rsidRPr="00AB5CBF">
        <w:t xml:space="preserve"> </w:t>
      </w:r>
      <w:r>
        <w:t>three or five year periods.  42 CFR section</w:t>
      </w:r>
      <w:r w:rsidRPr="00925642">
        <w:t xml:space="preserve"> 431.412(</w:t>
      </w:r>
      <w:r>
        <w:t>a</w:t>
      </w:r>
      <w:r w:rsidRPr="00925642">
        <w:t>)</w:t>
      </w:r>
      <w:r>
        <w:t xml:space="preserve"> outlines</w:t>
      </w:r>
      <w:r w:rsidRPr="00925642">
        <w:t xml:space="preserve"> </w:t>
      </w:r>
      <w:r>
        <w:t xml:space="preserve">the minimum information </w:t>
      </w:r>
      <w:r w:rsidRPr="00925642">
        <w:t xml:space="preserve">that </w:t>
      </w:r>
      <w:r>
        <w:t>a state</w:t>
      </w:r>
      <w:r w:rsidRPr="00925642">
        <w:t xml:space="preserve"> application </w:t>
      </w:r>
      <w:r>
        <w:t xml:space="preserve">for a new 1115 </w:t>
      </w:r>
      <w:r w:rsidRPr="00925642">
        <w:t xml:space="preserve">demonstration </w:t>
      </w:r>
      <w:r>
        <w:t xml:space="preserve">program must contain to be </w:t>
      </w:r>
      <w:r w:rsidRPr="00925642">
        <w:t xml:space="preserve">considered </w:t>
      </w:r>
      <w:r>
        <w:t>"</w:t>
      </w:r>
      <w:r w:rsidRPr="00925642">
        <w:t>complete</w:t>
      </w:r>
      <w:r>
        <w:t xml:space="preserve">" for purposes of initiating federal review as described at 42 CFR section 431.416.  </w:t>
      </w:r>
      <w:r w:rsidRPr="00925642">
        <w:t>The burden associated with</w:t>
      </w:r>
      <w:r>
        <w:t xml:space="preserve"> a state</w:t>
      </w:r>
      <w:r w:rsidRPr="00925642">
        <w:t xml:space="preserve"> </w:t>
      </w:r>
      <w:r>
        <w:t>developing</w:t>
      </w:r>
      <w:r w:rsidRPr="00925642">
        <w:t xml:space="preserve"> </w:t>
      </w:r>
      <w:r>
        <w:t xml:space="preserve">a new </w:t>
      </w:r>
      <w:r w:rsidRPr="00925642">
        <w:t xml:space="preserve">1115 application is estimated </w:t>
      </w:r>
      <w:r>
        <w:t xml:space="preserve">to be 320 </w:t>
      </w:r>
      <w:r w:rsidRPr="00925642">
        <w:t xml:space="preserve">hours per </w:t>
      </w:r>
      <w:r>
        <w:t>application.</w:t>
      </w:r>
      <w:r w:rsidRPr="00925642">
        <w:t xml:space="preserve"> </w:t>
      </w:r>
      <w:r>
        <w:t xml:space="preserve"> Thus, for one new section 1115 application, the burden equates to</w:t>
      </w:r>
      <w:r w:rsidRPr="00271428">
        <w:t xml:space="preserve"> </w:t>
      </w:r>
      <w:r>
        <w:t>320 burden hours x $</w:t>
      </w:r>
      <w:r w:rsidR="00F850E2">
        <w:t>88.72</w:t>
      </w:r>
      <w:r>
        <w:t xml:space="preserve"> </w:t>
      </w:r>
      <w:r w:rsidRPr="00AC464F">
        <w:rPr>
          <w:rFonts w:cs="Times New Roman"/>
          <w:szCs w:val="24"/>
        </w:rPr>
        <w:t>average hourly wage for 1 FTE</w:t>
      </w:r>
      <w:r>
        <w:rPr>
          <w:rFonts w:cs="Times New Roman"/>
          <w:szCs w:val="24"/>
        </w:rPr>
        <w:t>, totaling $</w:t>
      </w:r>
      <w:r w:rsidR="00F850E2">
        <w:rPr>
          <w:rFonts w:cs="Times New Roman"/>
          <w:szCs w:val="24"/>
        </w:rPr>
        <w:t>28</w:t>
      </w:r>
      <w:r>
        <w:rPr>
          <w:rFonts w:cs="Times New Roman"/>
          <w:szCs w:val="24"/>
        </w:rPr>
        <w:t>,</w:t>
      </w:r>
      <w:r w:rsidR="00F850E2">
        <w:rPr>
          <w:rFonts w:cs="Times New Roman"/>
          <w:szCs w:val="24"/>
        </w:rPr>
        <w:t>390</w:t>
      </w:r>
      <w:r>
        <w:rPr>
          <w:rFonts w:cs="Times New Roman"/>
          <w:szCs w:val="24"/>
        </w:rPr>
        <w:t>.</w:t>
      </w:r>
      <w:r w:rsidR="00F850E2">
        <w:rPr>
          <w:rFonts w:cs="Times New Roman"/>
          <w:szCs w:val="24"/>
        </w:rPr>
        <w:t>40.</w:t>
      </w:r>
      <w:r>
        <w:rPr>
          <w:rFonts w:cs="Times New Roman"/>
          <w:szCs w:val="24"/>
        </w:rPr>
        <w:t xml:space="preserve"> </w:t>
      </w:r>
      <w:r>
        <w:t xml:space="preserve"> </w:t>
      </w:r>
      <w:r w:rsidRPr="00925642">
        <w:t xml:space="preserve">CMS </w:t>
      </w:r>
      <w:r>
        <w:t xml:space="preserve">expects to </w:t>
      </w:r>
      <w:r w:rsidRPr="00925642">
        <w:t xml:space="preserve">receive an </w:t>
      </w:r>
      <w:r w:rsidR="00655ECE" w:rsidRPr="00925642">
        <w:t xml:space="preserve">annual </w:t>
      </w:r>
      <w:r w:rsidRPr="00925642">
        <w:t xml:space="preserve">average of </w:t>
      </w:r>
      <w:r>
        <w:t>five</w:t>
      </w:r>
      <w:r w:rsidRPr="00925642">
        <w:t xml:space="preserve"> </w:t>
      </w:r>
      <w:r>
        <w:t>new demonstration</w:t>
      </w:r>
      <w:r w:rsidRPr="00925642">
        <w:t xml:space="preserve"> applications </w:t>
      </w:r>
      <w:r>
        <w:t xml:space="preserve">from </w:t>
      </w:r>
      <w:r w:rsidRPr="00925642">
        <w:t>state</w:t>
      </w:r>
      <w:r>
        <w:t xml:space="preserve">s </w:t>
      </w:r>
      <w:r w:rsidR="00655ECE">
        <w:t>for</w:t>
      </w:r>
      <w:r>
        <w:t xml:space="preserve"> a projected </w:t>
      </w:r>
      <w:r w:rsidRPr="00AC464F">
        <w:rPr>
          <w:rFonts w:cs="Times New Roman"/>
          <w:szCs w:val="24"/>
        </w:rPr>
        <w:t xml:space="preserve">total </w:t>
      </w:r>
      <w:r>
        <w:rPr>
          <w:rFonts w:cs="Times New Roman"/>
          <w:szCs w:val="24"/>
        </w:rPr>
        <w:t xml:space="preserve">annual </w:t>
      </w:r>
      <w:r w:rsidRPr="00AC464F">
        <w:rPr>
          <w:rFonts w:cs="Times New Roman"/>
          <w:szCs w:val="24"/>
        </w:rPr>
        <w:t xml:space="preserve">burden </w:t>
      </w:r>
      <w:r w:rsidR="00655ECE">
        <w:t>of</w:t>
      </w:r>
      <w:r>
        <w:t xml:space="preserve"> </w:t>
      </w:r>
      <w:r>
        <w:rPr>
          <w:rFonts w:cs="Times New Roman"/>
          <w:szCs w:val="24"/>
        </w:rPr>
        <w:t>$</w:t>
      </w:r>
      <w:r w:rsidR="00F850E2">
        <w:rPr>
          <w:rFonts w:cs="Times New Roman"/>
          <w:szCs w:val="24"/>
        </w:rPr>
        <w:t>141</w:t>
      </w:r>
      <w:r>
        <w:rPr>
          <w:rFonts w:cs="Times New Roman"/>
          <w:szCs w:val="24"/>
        </w:rPr>
        <w:t>,</w:t>
      </w:r>
      <w:r w:rsidR="00F850E2">
        <w:rPr>
          <w:rFonts w:cs="Times New Roman"/>
          <w:szCs w:val="24"/>
        </w:rPr>
        <w:t>952</w:t>
      </w:r>
      <w:r>
        <w:rPr>
          <w:rFonts w:cs="Times New Roman"/>
          <w:szCs w:val="24"/>
        </w:rPr>
        <w:t xml:space="preserve"> (i.e.,</w:t>
      </w:r>
      <w:r>
        <w:t xml:space="preserve"> 1600 (320x5) burden hours x $8</w:t>
      </w:r>
      <w:r w:rsidR="00F850E2">
        <w:t>8</w:t>
      </w:r>
      <w:r>
        <w:t>.</w:t>
      </w:r>
      <w:r w:rsidR="00F850E2">
        <w:t>72</w:t>
      </w:r>
      <w:r>
        <w:t xml:space="preserve"> </w:t>
      </w:r>
      <w:r w:rsidRPr="00AC464F">
        <w:rPr>
          <w:rFonts w:cs="Times New Roman"/>
          <w:szCs w:val="24"/>
        </w:rPr>
        <w:t>average hourly wage for 1 FTE</w:t>
      </w:r>
      <w:r>
        <w:rPr>
          <w:rFonts w:cs="Times New Roman"/>
          <w:szCs w:val="24"/>
        </w:rPr>
        <w:t>).</w:t>
      </w:r>
      <w:r>
        <w:t xml:space="preserve"> </w:t>
      </w:r>
    </w:p>
    <w:p w14:paraId="2E37BE33" w14:textId="77777777" w:rsidR="00925642" w:rsidRPr="00B70435" w:rsidRDefault="00925642" w:rsidP="00925642">
      <w:pPr>
        <w:spacing w:after="0" w:line="240" w:lineRule="auto"/>
      </w:pPr>
    </w:p>
    <w:p w14:paraId="34164296" w14:textId="77777777" w:rsidR="00B70435" w:rsidRPr="00B70435" w:rsidRDefault="00B70435" w:rsidP="00B70435">
      <w:pPr>
        <w:spacing w:after="0" w:line="240" w:lineRule="auto"/>
        <w:rPr>
          <w:i/>
        </w:rPr>
      </w:pPr>
      <w:r w:rsidRPr="00B70435">
        <w:rPr>
          <w:i/>
        </w:rPr>
        <w:t>Attachments</w:t>
      </w:r>
    </w:p>
    <w:p w14:paraId="5505420B" w14:textId="77777777" w:rsidR="00B70435" w:rsidRPr="00B70435" w:rsidRDefault="00B70435" w:rsidP="00B70435">
      <w:pPr>
        <w:spacing w:after="0" w:line="240" w:lineRule="auto"/>
      </w:pPr>
    </w:p>
    <w:p w14:paraId="45C379C3" w14:textId="77777777" w:rsidR="00B70435" w:rsidRPr="00B70435" w:rsidRDefault="00B70435" w:rsidP="00B70435">
      <w:pPr>
        <w:spacing w:after="0" w:line="240" w:lineRule="auto"/>
      </w:pPr>
      <w:r w:rsidRPr="00B70435">
        <w:t>The following attachments are provided for this information collection:</w:t>
      </w:r>
    </w:p>
    <w:p w14:paraId="7722F88A" w14:textId="77777777" w:rsidR="00B70435" w:rsidRPr="00B70435" w:rsidRDefault="00B70435" w:rsidP="00B70435">
      <w:pPr>
        <w:spacing w:after="0" w:line="240" w:lineRule="auto"/>
      </w:pPr>
    </w:p>
    <w:p w14:paraId="13A5CA02" w14:textId="77777777" w:rsidR="00B70435" w:rsidRPr="00B70435" w:rsidRDefault="00B70435" w:rsidP="00B70435">
      <w:pPr>
        <w:spacing w:after="0" w:line="240" w:lineRule="auto"/>
        <w:rPr>
          <w:szCs w:val="24"/>
        </w:rPr>
      </w:pPr>
      <w:r w:rsidRPr="00B70435">
        <w:rPr>
          <w:szCs w:val="24"/>
        </w:rPr>
        <w:t>Attachment A – Application for Section 1115 Demonstrations and Waivers</w:t>
      </w:r>
    </w:p>
    <w:p w14:paraId="044A5E74" w14:textId="77777777" w:rsidR="00B70435" w:rsidRPr="00AB5CBF" w:rsidRDefault="00B70435" w:rsidP="00925642">
      <w:pPr>
        <w:spacing w:after="0" w:line="240" w:lineRule="auto"/>
      </w:pPr>
    </w:p>
    <w:p w14:paraId="2B886C3E" w14:textId="77777777" w:rsidR="007D6E75" w:rsidRDefault="007D6E75" w:rsidP="00925642">
      <w:pPr>
        <w:pStyle w:val="Heading1"/>
      </w:pPr>
      <w:r>
        <w:t>E. Timeline</w:t>
      </w:r>
    </w:p>
    <w:p w14:paraId="2BAD4577" w14:textId="77777777" w:rsidR="00925642" w:rsidRDefault="00925642" w:rsidP="00925642">
      <w:pPr>
        <w:spacing w:after="0" w:line="240" w:lineRule="auto"/>
      </w:pPr>
    </w:p>
    <w:p w14:paraId="314EAFE3" w14:textId="77777777" w:rsidR="00271428" w:rsidRDefault="00271428" w:rsidP="00271428">
      <w:pPr>
        <w:spacing w:after="0" w:line="240" w:lineRule="auto"/>
      </w:pPr>
      <w:r w:rsidRPr="00DF4880">
        <w:t>Not applicable. This is an extension (without change) of a currently approved GenIC.</w:t>
      </w:r>
    </w:p>
    <w:p w14:paraId="32BE6025" w14:textId="77777777" w:rsidR="00925642" w:rsidRDefault="00925642" w:rsidP="00925642">
      <w:pPr>
        <w:spacing w:after="0" w:line="240" w:lineRule="auto"/>
        <w:rPr>
          <w:b/>
          <w:u w:val="single"/>
        </w:rPr>
      </w:pPr>
    </w:p>
    <w:sectPr w:rsidR="00925642"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24B59"/>
    <w:rsid w:val="000712B4"/>
    <w:rsid w:val="000743F6"/>
    <w:rsid w:val="000C00DB"/>
    <w:rsid w:val="00122C0E"/>
    <w:rsid w:val="00160CE7"/>
    <w:rsid w:val="00175A39"/>
    <w:rsid w:val="00185CB4"/>
    <w:rsid w:val="001930F9"/>
    <w:rsid w:val="001A1FC6"/>
    <w:rsid w:val="001C6930"/>
    <w:rsid w:val="001C7528"/>
    <w:rsid w:val="0020026D"/>
    <w:rsid w:val="00222B4F"/>
    <w:rsid w:val="00252D20"/>
    <w:rsid w:val="0027114C"/>
    <w:rsid w:val="00271428"/>
    <w:rsid w:val="003B2749"/>
    <w:rsid w:val="00467E98"/>
    <w:rsid w:val="00474257"/>
    <w:rsid w:val="00475EF8"/>
    <w:rsid w:val="00476044"/>
    <w:rsid w:val="004A7FCB"/>
    <w:rsid w:val="004B13E8"/>
    <w:rsid w:val="0052333E"/>
    <w:rsid w:val="00530547"/>
    <w:rsid w:val="005374B2"/>
    <w:rsid w:val="005451E2"/>
    <w:rsid w:val="00553C8F"/>
    <w:rsid w:val="005829C6"/>
    <w:rsid w:val="005E3B79"/>
    <w:rsid w:val="005E52BE"/>
    <w:rsid w:val="00655ECE"/>
    <w:rsid w:val="00682897"/>
    <w:rsid w:val="00685368"/>
    <w:rsid w:val="006C0B96"/>
    <w:rsid w:val="006C4626"/>
    <w:rsid w:val="006F6490"/>
    <w:rsid w:val="00723A9E"/>
    <w:rsid w:val="007435C0"/>
    <w:rsid w:val="007702D4"/>
    <w:rsid w:val="007746BB"/>
    <w:rsid w:val="007A294C"/>
    <w:rsid w:val="007D6E75"/>
    <w:rsid w:val="007F325A"/>
    <w:rsid w:val="00836E8F"/>
    <w:rsid w:val="00857AD3"/>
    <w:rsid w:val="008659ED"/>
    <w:rsid w:val="0088756F"/>
    <w:rsid w:val="008D042C"/>
    <w:rsid w:val="008D52D1"/>
    <w:rsid w:val="00923703"/>
    <w:rsid w:val="00925642"/>
    <w:rsid w:val="009342C2"/>
    <w:rsid w:val="00936D62"/>
    <w:rsid w:val="009903AB"/>
    <w:rsid w:val="009B19E8"/>
    <w:rsid w:val="009C2F36"/>
    <w:rsid w:val="009D1D13"/>
    <w:rsid w:val="00A21B97"/>
    <w:rsid w:val="00A718B4"/>
    <w:rsid w:val="00A860EA"/>
    <w:rsid w:val="00AB01BC"/>
    <w:rsid w:val="00AB5CBF"/>
    <w:rsid w:val="00AD4F4D"/>
    <w:rsid w:val="00AE1BD8"/>
    <w:rsid w:val="00B43BBD"/>
    <w:rsid w:val="00B70435"/>
    <w:rsid w:val="00B87957"/>
    <w:rsid w:val="00BA3B27"/>
    <w:rsid w:val="00BE55B2"/>
    <w:rsid w:val="00C94C5E"/>
    <w:rsid w:val="00D46C38"/>
    <w:rsid w:val="00D46C96"/>
    <w:rsid w:val="00D70E5A"/>
    <w:rsid w:val="00D71D97"/>
    <w:rsid w:val="00DD794C"/>
    <w:rsid w:val="00DF098E"/>
    <w:rsid w:val="00DF4880"/>
    <w:rsid w:val="00E95572"/>
    <w:rsid w:val="00EA4AB1"/>
    <w:rsid w:val="00F33D9E"/>
    <w:rsid w:val="00F85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1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770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2D4"/>
    <w:rPr>
      <w:rFonts w:ascii="Tahoma" w:hAnsi="Tahoma" w:cs="Tahoma"/>
      <w:sz w:val="16"/>
      <w:szCs w:val="16"/>
    </w:rPr>
  </w:style>
  <w:style w:type="character" w:styleId="Hyperlink">
    <w:name w:val="Hyperlink"/>
    <w:basedOn w:val="DefaultParagraphFont"/>
    <w:uiPriority w:val="99"/>
    <w:semiHidden/>
    <w:unhideWhenUsed/>
    <w:rsid w:val="004A7FCB"/>
    <w:rPr>
      <w:color w:val="0563C1"/>
      <w:u w:val="single"/>
    </w:rPr>
  </w:style>
  <w:style w:type="character" w:styleId="FollowedHyperlink">
    <w:name w:val="FollowedHyperlink"/>
    <w:basedOn w:val="DefaultParagraphFont"/>
    <w:uiPriority w:val="99"/>
    <w:semiHidden/>
    <w:unhideWhenUsed/>
    <w:rsid w:val="00AB5CBF"/>
    <w:rPr>
      <w:color w:val="800080" w:themeColor="followedHyperlink"/>
      <w:u w:val="single"/>
    </w:rPr>
  </w:style>
  <w:style w:type="character" w:styleId="CommentReference">
    <w:name w:val="annotation reference"/>
    <w:basedOn w:val="DefaultParagraphFont"/>
    <w:uiPriority w:val="99"/>
    <w:semiHidden/>
    <w:unhideWhenUsed/>
    <w:rsid w:val="00271428"/>
    <w:rPr>
      <w:sz w:val="16"/>
      <w:szCs w:val="16"/>
    </w:rPr>
  </w:style>
  <w:style w:type="paragraph" w:styleId="CommentText">
    <w:name w:val="annotation text"/>
    <w:basedOn w:val="Normal"/>
    <w:link w:val="CommentTextChar"/>
    <w:uiPriority w:val="99"/>
    <w:semiHidden/>
    <w:unhideWhenUsed/>
    <w:rsid w:val="00271428"/>
    <w:pPr>
      <w:spacing w:line="240" w:lineRule="auto"/>
    </w:pPr>
    <w:rPr>
      <w:sz w:val="20"/>
      <w:szCs w:val="20"/>
    </w:rPr>
  </w:style>
  <w:style w:type="character" w:customStyle="1" w:styleId="CommentTextChar">
    <w:name w:val="Comment Text Char"/>
    <w:basedOn w:val="DefaultParagraphFont"/>
    <w:link w:val="CommentText"/>
    <w:uiPriority w:val="99"/>
    <w:semiHidden/>
    <w:rsid w:val="00271428"/>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770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2D4"/>
    <w:rPr>
      <w:rFonts w:ascii="Tahoma" w:hAnsi="Tahoma" w:cs="Tahoma"/>
      <w:sz w:val="16"/>
      <w:szCs w:val="16"/>
    </w:rPr>
  </w:style>
  <w:style w:type="character" w:styleId="Hyperlink">
    <w:name w:val="Hyperlink"/>
    <w:basedOn w:val="DefaultParagraphFont"/>
    <w:uiPriority w:val="99"/>
    <w:semiHidden/>
    <w:unhideWhenUsed/>
    <w:rsid w:val="004A7FCB"/>
    <w:rPr>
      <w:color w:val="0563C1"/>
      <w:u w:val="single"/>
    </w:rPr>
  </w:style>
  <w:style w:type="character" w:styleId="FollowedHyperlink">
    <w:name w:val="FollowedHyperlink"/>
    <w:basedOn w:val="DefaultParagraphFont"/>
    <w:uiPriority w:val="99"/>
    <w:semiHidden/>
    <w:unhideWhenUsed/>
    <w:rsid w:val="00AB5CBF"/>
    <w:rPr>
      <w:color w:val="800080" w:themeColor="followedHyperlink"/>
      <w:u w:val="single"/>
    </w:rPr>
  </w:style>
  <w:style w:type="character" w:styleId="CommentReference">
    <w:name w:val="annotation reference"/>
    <w:basedOn w:val="DefaultParagraphFont"/>
    <w:uiPriority w:val="99"/>
    <w:semiHidden/>
    <w:unhideWhenUsed/>
    <w:rsid w:val="00271428"/>
    <w:rPr>
      <w:sz w:val="16"/>
      <w:szCs w:val="16"/>
    </w:rPr>
  </w:style>
  <w:style w:type="paragraph" w:styleId="CommentText">
    <w:name w:val="annotation text"/>
    <w:basedOn w:val="Normal"/>
    <w:link w:val="CommentTextChar"/>
    <w:uiPriority w:val="99"/>
    <w:semiHidden/>
    <w:unhideWhenUsed/>
    <w:rsid w:val="00271428"/>
    <w:pPr>
      <w:spacing w:line="240" w:lineRule="auto"/>
    </w:pPr>
    <w:rPr>
      <w:sz w:val="20"/>
      <w:szCs w:val="20"/>
    </w:rPr>
  </w:style>
  <w:style w:type="character" w:customStyle="1" w:styleId="CommentTextChar">
    <w:name w:val="Comment Text Char"/>
    <w:basedOn w:val="DefaultParagraphFont"/>
    <w:link w:val="CommentText"/>
    <w:uiPriority w:val="99"/>
    <w:semiHidden/>
    <w:rsid w:val="00271428"/>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23146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2012-02-15T20:07:00Z</cp:lastPrinted>
  <dcterms:created xsi:type="dcterms:W3CDTF">2017-12-29T13:36:00Z</dcterms:created>
  <dcterms:modified xsi:type="dcterms:W3CDTF">2017-12-29T13:36:00Z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-26696686</vt:i4>
  </property>
  <property fmtid="{D5CDD505-2E9C-101B-9397-08002B2CF9AE}" pid="3" name="_NewReviewCycle">
    <vt:lpwstr/>
  </property>
  <property fmtid="{D5CDD505-2E9C-101B-9397-08002B2CF9AE}" pid="4" name="_EmailSubject">
    <vt:lpwstr>Generic PRA CMS-10398 Renewal</vt:lpwstr>
  </property>
  <property fmtid="{D5CDD505-2E9C-101B-9397-08002B2CF9AE}" pid="5" name="_AuthorEmail">
    <vt:lpwstr>Tonya.Moore@cms.hhs.gov</vt:lpwstr>
  </property>
  <property fmtid="{D5CDD505-2E9C-101B-9397-08002B2CF9AE}" pid="6" name="_AuthorEmailDisplayName">
    <vt:lpwstr>Moore, Tonya A. (CMS/CMCS)</vt:lpwstr>
  </property>
  <property fmtid="{D5CDD505-2E9C-101B-9397-08002B2CF9AE}" pid="7" name="_PreviousAdHocReviewCycleID">
    <vt:i4>434964453</vt:i4>
  </property>
  <property fmtid="{D5CDD505-2E9C-101B-9397-08002B2CF9AE}" pid="8" name="_ReviewingToolsShownOnce">
    <vt:lpwstr/>
  </property>
</Properties>
</file>