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46A3" w:rsidR="00253B99" w:rsidP="008111D2" w:rsidRDefault="002F6357" w14:paraId="3AFF71FB" w14:textId="5BFF695F">
      <w:pPr>
        <w:spacing w:after="0" w:line="240" w:lineRule="auto"/>
        <w:jc w:val="center"/>
        <w:rPr>
          <w:rFonts w:cs="Times New Roman"/>
          <w:sz w:val="32"/>
          <w:szCs w:val="32"/>
        </w:rPr>
      </w:pPr>
      <w:r w:rsidRPr="005B46A3">
        <w:rPr>
          <w:rFonts w:cs="Times New Roman"/>
          <w:sz w:val="32"/>
          <w:szCs w:val="32"/>
        </w:rPr>
        <w:t xml:space="preserve">Generic </w:t>
      </w:r>
      <w:r w:rsidRPr="005B46A3" w:rsidR="00253B99">
        <w:rPr>
          <w:rFonts w:cs="Times New Roman"/>
          <w:sz w:val="32"/>
          <w:szCs w:val="32"/>
        </w:rPr>
        <w:t>Supporting</w:t>
      </w:r>
      <w:r w:rsidRPr="005B46A3" w:rsidR="00BB6559">
        <w:rPr>
          <w:rFonts w:cs="Times New Roman"/>
          <w:sz w:val="32"/>
          <w:szCs w:val="32"/>
        </w:rPr>
        <w:t xml:space="preserve"> </w:t>
      </w:r>
      <w:r w:rsidRPr="005B46A3" w:rsidR="00253B99">
        <w:rPr>
          <w:rFonts w:cs="Times New Roman"/>
          <w:sz w:val="32"/>
          <w:szCs w:val="32"/>
        </w:rPr>
        <w:t>Statement</w:t>
      </w:r>
    </w:p>
    <w:p w:rsidRPr="005B46A3" w:rsidR="00253B99" w:rsidP="008111D2" w:rsidRDefault="00253B99" w14:paraId="74C4819F" w14:textId="77777777">
      <w:pPr>
        <w:spacing w:after="0" w:line="240" w:lineRule="auto"/>
        <w:jc w:val="center"/>
        <w:rPr>
          <w:szCs w:val="24"/>
        </w:rPr>
      </w:pPr>
    </w:p>
    <w:p w:rsidRPr="005B46A3" w:rsidR="007D6E75" w:rsidP="008111D2" w:rsidRDefault="00B54634" w14:paraId="31ADAFFE" w14:textId="77777777">
      <w:pPr>
        <w:spacing w:after="0" w:line="240" w:lineRule="auto"/>
        <w:jc w:val="center"/>
        <w:rPr>
          <w:szCs w:val="24"/>
        </w:rPr>
      </w:pPr>
      <w:r w:rsidRPr="005B46A3">
        <w:rPr>
          <w:szCs w:val="24"/>
        </w:rPr>
        <w:t>Generic Clearance for Medicaid and CHIP State Plan, Waiver, and Program Submissions</w:t>
      </w:r>
    </w:p>
    <w:p w:rsidRPr="005B46A3" w:rsidR="00DF098E" w:rsidP="008111D2" w:rsidRDefault="007D6E75" w14:paraId="6F45673B" w14:textId="77777777">
      <w:pPr>
        <w:spacing w:after="0" w:line="240" w:lineRule="auto"/>
        <w:jc w:val="center"/>
        <w:rPr>
          <w:szCs w:val="24"/>
        </w:rPr>
      </w:pPr>
      <w:r w:rsidRPr="005B46A3">
        <w:rPr>
          <w:szCs w:val="24"/>
        </w:rPr>
        <w:t>(CMS-10398, OMB 0938-1148)</w:t>
      </w:r>
    </w:p>
    <w:p w:rsidRPr="005B46A3" w:rsidR="007D6E75" w:rsidP="008111D2" w:rsidRDefault="007D6E75" w14:paraId="549638F8" w14:textId="77777777">
      <w:pPr>
        <w:spacing w:after="0" w:line="240" w:lineRule="auto"/>
        <w:jc w:val="center"/>
        <w:rPr>
          <w:szCs w:val="24"/>
        </w:rPr>
      </w:pPr>
    </w:p>
    <w:p w:rsidRPr="005B46A3" w:rsidR="007F3C76" w:rsidP="007F3C76" w:rsidRDefault="002A68E9" w14:paraId="221469B9" w14:textId="28ED3FAD">
      <w:pPr>
        <w:spacing w:after="0" w:line="240" w:lineRule="auto"/>
        <w:jc w:val="center"/>
        <w:rPr>
          <w:rFonts w:cs="Times New Roman"/>
          <w:szCs w:val="24"/>
        </w:rPr>
      </w:pPr>
      <w:r w:rsidRPr="005B46A3">
        <w:rPr>
          <w:rFonts w:cs="Times New Roman"/>
          <w:szCs w:val="24"/>
        </w:rPr>
        <w:t xml:space="preserve">Generic </w:t>
      </w:r>
      <w:r w:rsidRPr="005B46A3" w:rsidR="00CB646D">
        <w:rPr>
          <w:rFonts w:cs="Times New Roman"/>
          <w:szCs w:val="24"/>
        </w:rPr>
        <w:t xml:space="preserve">Information Collection </w:t>
      </w:r>
      <w:r w:rsidRPr="005B46A3" w:rsidR="00FE644A">
        <w:rPr>
          <w:rFonts w:cs="Times New Roman"/>
          <w:szCs w:val="24"/>
        </w:rPr>
        <w:t>#</w:t>
      </w:r>
      <w:r w:rsidRPr="005B46A3" w:rsidR="00C65564">
        <w:rPr>
          <w:rFonts w:cs="Times New Roman"/>
          <w:szCs w:val="24"/>
        </w:rPr>
        <w:t xml:space="preserve"> </w:t>
      </w:r>
      <w:r w:rsidRPr="005B46A3" w:rsidR="00C2023F">
        <w:rPr>
          <w:rFonts w:cs="Times New Roman"/>
          <w:szCs w:val="24"/>
        </w:rPr>
        <w:t>59</w:t>
      </w:r>
      <w:r w:rsidR="00CE5971">
        <w:rPr>
          <w:rFonts w:cs="Times New Roman"/>
          <w:szCs w:val="24"/>
        </w:rPr>
        <w:t xml:space="preserve"> (New)</w:t>
      </w:r>
    </w:p>
    <w:p w:rsidRPr="005B46A3" w:rsidR="001D09B1" w:rsidP="00607AC6" w:rsidRDefault="00607AC6" w14:paraId="042899B4" w14:textId="1E7E7609">
      <w:pPr>
        <w:spacing w:after="0" w:line="240" w:lineRule="auto"/>
        <w:jc w:val="center"/>
        <w:rPr>
          <w:rFonts w:cs="Times New Roman"/>
          <w:szCs w:val="24"/>
        </w:rPr>
      </w:pPr>
      <w:r w:rsidRPr="005B46A3">
        <w:rPr>
          <w:rFonts w:cs="Times New Roman"/>
          <w:color w:val="000000"/>
          <w:szCs w:val="24"/>
        </w:rPr>
        <w:t xml:space="preserve">Medicaid Section 1115 </w:t>
      </w:r>
      <w:r w:rsidRPr="005B46A3" w:rsidR="00BB55A7">
        <w:rPr>
          <w:rFonts w:cs="Times New Roman"/>
          <w:color w:val="000000"/>
          <w:szCs w:val="24"/>
        </w:rPr>
        <w:t xml:space="preserve">Severe Mental Illness and Children with Serious Emotional Disturbance </w:t>
      </w:r>
      <w:r w:rsidRPr="005B46A3">
        <w:rPr>
          <w:rFonts w:cs="Times New Roman"/>
          <w:color w:val="000000"/>
          <w:szCs w:val="24"/>
        </w:rPr>
        <w:t>Demonstration</w:t>
      </w:r>
      <w:r w:rsidRPr="005B46A3" w:rsidR="00BB55A7">
        <w:rPr>
          <w:rFonts w:cs="Times New Roman"/>
          <w:color w:val="000000"/>
          <w:szCs w:val="24"/>
        </w:rPr>
        <w:t>s</w:t>
      </w:r>
      <w:r w:rsidRPr="005B46A3" w:rsidR="001D09B1">
        <w:rPr>
          <w:rFonts w:cs="Times New Roman"/>
          <w:szCs w:val="24"/>
        </w:rPr>
        <w:t xml:space="preserve"> </w:t>
      </w:r>
    </w:p>
    <w:p w:rsidRPr="005B46A3" w:rsidR="001D09B1" w:rsidP="007F3C76" w:rsidRDefault="0092380B" w14:paraId="249D4A69" w14:textId="4FC6EA28">
      <w:pPr>
        <w:spacing w:after="0" w:line="240" w:lineRule="auto"/>
        <w:jc w:val="center"/>
        <w:rPr>
          <w:rFonts w:cs="Times New Roman"/>
          <w:szCs w:val="24"/>
        </w:rPr>
      </w:pPr>
      <w:r w:rsidRPr="005B46A3">
        <w:rPr>
          <w:rFonts w:cs="Times New Roman"/>
          <w:szCs w:val="24"/>
        </w:rPr>
        <w:t xml:space="preserve">Implementation Plan and </w:t>
      </w:r>
      <w:r w:rsidRPr="005B46A3" w:rsidR="00F2212E">
        <w:rPr>
          <w:rFonts w:cs="Times New Roman"/>
          <w:szCs w:val="24"/>
        </w:rPr>
        <w:t xml:space="preserve">Monitoring </w:t>
      </w:r>
      <w:r w:rsidRPr="005B46A3" w:rsidR="006C3ADF">
        <w:rPr>
          <w:rFonts w:cs="Times New Roman"/>
          <w:szCs w:val="24"/>
        </w:rPr>
        <w:t xml:space="preserve">Reports Documents, </w:t>
      </w:r>
      <w:r w:rsidRPr="005B46A3" w:rsidR="00F2212E">
        <w:rPr>
          <w:rFonts w:cs="Times New Roman"/>
          <w:szCs w:val="24"/>
        </w:rPr>
        <w:t>Templates</w:t>
      </w:r>
      <w:r w:rsidRPr="005B46A3" w:rsidR="006C3ADF">
        <w:rPr>
          <w:rFonts w:cs="Times New Roman"/>
          <w:szCs w:val="24"/>
        </w:rPr>
        <w:t xml:space="preserve"> and Assessment Report</w:t>
      </w:r>
    </w:p>
    <w:p w:rsidRPr="00E12439" w:rsidR="009E3FAC" w:rsidP="008111D2" w:rsidRDefault="009E3FAC" w14:paraId="413C6494" w14:textId="77777777">
      <w:pPr>
        <w:spacing w:after="0" w:line="240" w:lineRule="auto"/>
        <w:jc w:val="center"/>
        <w:rPr>
          <w:rFonts w:cs="Times New Roman"/>
          <w:szCs w:val="24"/>
        </w:rPr>
      </w:pPr>
    </w:p>
    <w:p w:rsidRPr="00E12439" w:rsidR="007D6E75" w:rsidP="008111D2" w:rsidRDefault="007D6E75" w14:paraId="44EB51B7" w14:textId="77777777">
      <w:pPr>
        <w:spacing w:after="0" w:line="240" w:lineRule="auto"/>
        <w:jc w:val="center"/>
        <w:rPr>
          <w:szCs w:val="24"/>
        </w:rPr>
      </w:pPr>
    </w:p>
    <w:p w:rsidRPr="00E12439" w:rsidR="007D6E75" w:rsidP="008111D2" w:rsidRDefault="007D6E75" w14:paraId="12AAAC0E" w14:textId="77777777">
      <w:pPr>
        <w:spacing w:after="0" w:line="240" w:lineRule="auto"/>
        <w:jc w:val="center"/>
        <w:rPr>
          <w:szCs w:val="24"/>
        </w:rPr>
      </w:pPr>
    </w:p>
    <w:p w:rsidRPr="00E12439" w:rsidR="007D6E75" w:rsidP="008111D2" w:rsidRDefault="007D6E75" w14:paraId="38974F02" w14:textId="77777777">
      <w:pPr>
        <w:spacing w:after="0" w:line="240" w:lineRule="auto"/>
        <w:jc w:val="center"/>
        <w:rPr>
          <w:szCs w:val="24"/>
        </w:rPr>
      </w:pPr>
    </w:p>
    <w:p w:rsidRPr="00E12439" w:rsidR="007D6E75" w:rsidP="008111D2" w:rsidRDefault="007D6E75" w14:paraId="1FBEC2DD" w14:textId="77777777">
      <w:pPr>
        <w:spacing w:after="0" w:line="240" w:lineRule="auto"/>
        <w:jc w:val="center"/>
        <w:rPr>
          <w:szCs w:val="24"/>
        </w:rPr>
      </w:pPr>
    </w:p>
    <w:p w:rsidRPr="00E12439" w:rsidR="007D6E75" w:rsidP="008111D2" w:rsidRDefault="007D6E75" w14:paraId="74466888" w14:textId="77777777">
      <w:pPr>
        <w:spacing w:after="0" w:line="240" w:lineRule="auto"/>
        <w:jc w:val="center"/>
        <w:rPr>
          <w:szCs w:val="24"/>
        </w:rPr>
      </w:pPr>
    </w:p>
    <w:p w:rsidRPr="008111D2" w:rsidR="007D6E75" w:rsidP="008111D2" w:rsidRDefault="007D6E75" w14:paraId="4C2517DA" w14:textId="77777777">
      <w:pPr>
        <w:spacing w:after="0" w:line="240" w:lineRule="auto"/>
        <w:jc w:val="center"/>
        <w:rPr>
          <w:szCs w:val="24"/>
        </w:rPr>
      </w:pPr>
      <w:r w:rsidRPr="008111D2">
        <w:rPr>
          <w:szCs w:val="24"/>
        </w:rPr>
        <w:t>Center for Medicaid and CHIP Services (CMCS)</w:t>
      </w:r>
    </w:p>
    <w:p w:rsidRPr="008111D2" w:rsidR="007D6E75" w:rsidP="005E6549" w:rsidRDefault="007D6E75" w14:paraId="4610D625" w14:textId="77777777">
      <w:pPr>
        <w:spacing w:after="0" w:line="240" w:lineRule="auto"/>
        <w:jc w:val="center"/>
        <w:rPr>
          <w:szCs w:val="24"/>
        </w:rPr>
        <w:sectPr w:rsidRPr="008111D2" w:rsidR="007D6E75" w:rsidSect="001D09B1">
          <w:footerReference w:type="default" r:id="rId14"/>
          <w:pgSz w:w="12240" w:h="15840" w:code="1"/>
          <w:pgMar w:top="1440" w:right="1080" w:bottom="1440" w:left="1080" w:header="720" w:footer="720" w:gutter="0"/>
          <w:cols w:space="720"/>
          <w:vAlign w:val="center"/>
          <w:docGrid w:linePitch="360"/>
        </w:sectPr>
      </w:pPr>
      <w:r w:rsidRPr="008111D2">
        <w:rPr>
          <w:szCs w:val="24"/>
        </w:rPr>
        <w:t>Centers for Me</w:t>
      </w:r>
      <w:r w:rsidR="005E6549">
        <w:rPr>
          <w:szCs w:val="24"/>
        </w:rPr>
        <w:t>dicare &amp; Medicaid Services (CMS</w:t>
      </w:r>
      <w:r w:rsidR="00344DDB">
        <w:rPr>
          <w:szCs w:val="24"/>
        </w:rPr>
        <w:t>)</w:t>
      </w:r>
    </w:p>
    <w:p w:rsidRPr="00443F76" w:rsidR="00A34954" w:rsidP="0088327A" w:rsidRDefault="00802400" w14:paraId="0EF41C04" w14:textId="77777777">
      <w:pPr>
        <w:pStyle w:val="Heading1"/>
        <w:numPr>
          <w:ilvl w:val="0"/>
          <w:numId w:val="3"/>
        </w:numPr>
      </w:pPr>
      <w:r>
        <w:lastRenderedPageBreak/>
        <w:t>Background</w:t>
      </w:r>
      <w:r w:rsidR="00344DDB">
        <w:t xml:space="preserve"> </w:t>
      </w:r>
    </w:p>
    <w:p w:rsidR="00150C54" w:rsidP="00150C54" w:rsidRDefault="00150C54" w14:paraId="45E37F5F" w14:textId="77777777">
      <w:pPr>
        <w:spacing w:after="0" w:line="240" w:lineRule="auto"/>
        <w:rPr>
          <w:i/>
          <w:szCs w:val="24"/>
        </w:rPr>
      </w:pPr>
    </w:p>
    <w:p w:rsidR="00892724" w:rsidP="00357D62" w:rsidRDefault="00892724" w14:paraId="439A4903" w14:textId="2B455D1B">
      <w:pPr>
        <w:spacing w:line="240" w:lineRule="auto"/>
        <w:rPr>
          <w:szCs w:val="24"/>
        </w:rPr>
      </w:pPr>
      <w:r w:rsidRPr="008111D2">
        <w:rPr>
          <w:szCs w:val="24"/>
        </w:rPr>
        <w:t>The Centers for Medicare &amp; Medicaid Services (CMS) work</w:t>
      </w:r>
      <w:r w:rsidR="00E64716">
        <w:rPr>
          <w:szCs w:val="24"/>
        </w:rPr>
        <w:t>s</w:t>
      </w:r>
      <w:r w:rsidRPr="008111D2">
        <w:rPr>
          <w:szCs w:val="24"/>
        </w:rPr>
        <w:t xml:space="preserve"> in partnership with States to implement </w:t>
      </w:r>
      <w:r w:rsidR="00E64716">
        <w:rPr>
          <w:szCs w:val="24"/>
        </w:rPr>
        <w:t xml:space="preserve">the </w:t>
      </w:r>
      <w:r w:rsidRPr="008111D2">
        <w:rPr>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8111D2" w:rsidR="00BD1124">
        <w:rPr>
          <w:szCs w:val="24"/>
        </w:rPr>
        <w:t>because</w:t>
      </w:r>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Pr="0088327A" w:rsidR="00357D62" w:rsidP="00357D62" w:rsidRDefault="00867343" w14:paraId="10EFC857" w14:textId="77777777">
      <w:pPr>
        <w:spacing w:line="240" w:lineRule="auto"/>
        <w:rPr>
          <w:rFonts w:cs="Times New Roman"/>
          <w:szCs w:val="24"/>
        </w:rPr>
      </w:pPr>
      <w:r w:rsidRPr="00344DDB">
        <w:rPr>
          <w:szCs w:val="24"/>
        </w:rPr>
        <w:t xml:space="preserve">Under section 1115(a) of the </w:t>
      </w:r>
      <w:r w:rsidRPr="00344DDB" w:rsidR="00A548CA">
        <w:rPr>
          <w:szCs w:val="24"/>
        </w:rPr>
        <w:t xml:space="preserve">Social Security </w:t>
      </w:r>
      <w:r w:rsidRPr="00344DDB">
        <w:rPr>
          <w:szCs w:val="24"/>
        </w:rPr>
        <w:t xml:space="preserve">Act, the Secretary of Health and Human Services (“Secretary”) may authorize a state to conduct experimental, pilot, or demonstration projects that, in the judgment of the Secretary, promote the objectives of title XIX of the Act. The Secretary (1) may, under section 1115(a)(1), waive provisions in section 1902 of the Act; and/or (2) may, under section 1115(a)(2)(A), authorize federal matching funds for state expenditures that would not otherwise be matchable (i.e., expenditure authority) under section 1903 of the Act. Section 1902 of the Act lists what elements the Medicaid state plan must include, such as provisions relating to </w:t>
      </w:r>
      <w:r w:rsidRPr="00344DDB">
        <w:rPr>
          <w:rFonts w:cs="Times New Roman"/>
          <w:szCs w:val="24"/>
        </w:rPr>
        <w:t xml:space="preserve">eligibility, beneficiary protections, benefits and services and cost sharing. Section 1903, “Payments to States,” describes expenditures that may be “matched” with federal title XIX </w:t>
      </w:r>
      <w:r w:rsidRPr="0088327A">
        <w:rPr>
          <w:rFonts w:cs="Times New Roman"/>
          <w:szCs w:val="24"/>
        </w:rPr>
        <w:t xml:space="preserve">dollars, allowable sources of non-federal share, and managed care requirements. </w:t>
      </w:r>
      <w:bookmarkStart w:name="_Toc288057811" w:id="0"/>
      <w:bookmarkStart w:name="_Toc288057812" w:id="1"/>
      <w:bookmarkStart w:name="_Toc288057813" w:id="2"/>
      <w:bookmarkStart w:name="_Toc288057814" w:id="3"/>
      <w:bookmarkStart w:name="_Toc288057839" w:id="4"/>
      <w:bookmarkStart w:name="_Toc288057840" w:id="5"/>
      <w:bookmarkEnd w:id="0"/>
      <w:bookmarkEnd w:id="1"/>
      <w:bookmarkEnd w:id="2"/>
      <w:bookmarkEnd w:id="3"/>
      <w:bookmarkEnd w:id="4"/>
      <w:bookmarkEnd w:id="5"/>
    </w:p>
    <w:p w:rsidR="0088327A" w:rsidP="0088327A" w:rsidRDefault="00344DDB" w14:paraId="11EBF206" w14:textId="22086EF6">
      <w:pPr>
        <w:pStyle w:val="Default"/>
      </w:pPr>
      <w:r w:rsidRPr="0088327A">
        <w:t xml:space="preserve">On </w:t>
      </w:r>
      <w:r w:rsidRPr="0088327A" w:rsidR="00BB55A7">
        <w:t>November 13</w:t>
      </w:r>
      <w:r w:rsidRPr="0088327A">
        <w:t>,</w:t>
      </w:r>
      <w:r w:rsidRPr="0088327A" w:rsidR="006C64E3">
        <w:t xml:space="preserve"> 2018,</w:t>
      </w:r>
      <w:r w:rsidRPr="0088327A">
        <w:t xml:space="preserve"> CMS released a letter</w:t>
      </w:r>
      <w:r w:rsidRPr="0088327A" w:rsidR="0082047B">
        <w:t xml:space="preserve"> #1</w:t>
      </w:r>
      <w:r w:rsidRPr="0088327A" w:rsidR="006C64E3">
        <w:t>8</w:t>
      </w:r>
      <w:r w:rsidRPr="0088327A" w:rsidR="0082047B">
        <w:t>-0</w:t>
      </w:r>
      <w:r w:rsidRPr="0088327A" w:rsidR="00BB55A7">
        <w:t>11</w:t>
      </w:r>
      <w:r w:rsidRPr="0088327A" w:rsidR="0082047B">
        <w:t xml:space="preserve"> </w:t>
      </w:r>
      <w:r w:rsidRPr="0088327A">
        <w:t>to all State Medicaid Di</w:t>
      </w:r>
      <w:r w:rsidRPr="0088327A" w:rsidR="006C64E3">
        <w:t xml:space="preserve">rectors </w:t>
      </w:r>
      <w:r w:rsidRPr="0088327A" w:rsidR="006C64E3">
        <w:rPr>
          <w:rFonts w:eastAsiaTheme="minorHAnsi"/>
        </w:rPr>
        <w:t xml:space="preserve">announcing </w:t>
      </w:r>
      <w:r w:rsidRPr="0088327A" w:rsidR="00BB55A7">
        <w:rPr>
          <w:rFonts w:eastAsiaTheme="minorHAnsi"/>
        </w:rPr>
        <w:t>opportunities to design innov</w:t>
      </w:r>
      <w:r w:rsidR="007F0C22">
        <w:rPr>
          <w:rFonts w:eastAsiaTheme="minorHAnsi"/>
        </w:rPr>
        <w:t xml:space="preserve">ative service delivery systems </w:t>
      </w:r>
      <w:r w:rsidRPr="0088327A" w:rsidR="00BB55A7">
        <w:rPr>
          <w:rFonts w:eastAsiaTheme="minorHAnsi"/>
        </w:rPr>
        <w:t xml:space="preserve">for providing community-based services, for adults with a serious mental illness (SMI) or children with a serious emotional disturbance (SED) who are receiving medical assistance, as mandated by section 12003 of the 21st Century Cures Act (Cures Act). </w:t>
      </w:r>
      <w:r w:rsidRPr="0088327A" w:rsidR="0088327A">
        <w:t xml:space="preserve">Section 12003 of the Cures Act also mandated that this State Medicaid Director (SMD) letter </w:t>
      </w:r>
      <w:r w:rsidR="0088327A">
        <w:t xml:space="preserve">include </w:t>
      </w:r>
      <w:r w:rsidRPr="0088327A" w:rsidR="0088327A">
        <w:t xml:space="preserve">opportunities for demonstration projects under section 1115(a) of the Social Security Act (the Act) to improve care for adults with SMI </w:t>
      </w:r>
      <w:r w:rsidR="007F0C22">
        <w:t>and/</w:t>
      </w:r>
      <w:r w:rsidRPr="0088327A" w:rsidR="0088327A">
        <w:t>or children with SED</w:t>
      </w:r>
      <w:r w:rsidR="007F0C22">
        <w:t>.</w:t>
      </w:r>
      <w:r w:rsidRPr="0088327A" w:rsidR="0088327A">
        <w:t xml:space="preserve"> </w:t>
      </w:r>
    </w:p>
    <w:p w:rsidR="0088327A" w:rsidP="0088327A" w:rsidRDefault="0088327A" w14:paraId="490D4F4B" w14:textId="77777777">
      <w:pPr>
        <w:pStyle w:val="Default"/>
      </w:pPr>
    </w:p>
    <w:p w:rsidR="00316DC9" w:rsidP="00316DC9" w:rsidRDefault="00316DC9" w14:paraId="434ACE57" w14:textId="661EB3B2">
      <w:pPr>
        <w:pStyle w:val="Default"/>
        <w:rPr>
          <w:sz w:val="23"/>
          <w:szCs w:val="23"/>
        </w:rPr>
      </w:pPr>
      <w:r w:rsidRPr="00316DC9">
        <w:t>Section</w:t>
      </w:r>
      <w:r>
        <w:t xml:space="preserve"> 1115 demonstration monitoring and evaluation Special Terms and Conditions</w:t>
      </w:r>
      <w:r w:rsidR="00EA3121">
        <w:t xml:space="preserve"> (STC)</w:t>
      </w:r>
      <w:r>
        <w:t>, and t</w:t>
      </w:r>
      <w:r w:rsidRPr="00A772C0">
        <w:t>he l</w:t>
      </w:r>
      <w:r>
        <w:t xml:space="preserve">etter #18-011, make clear that CMS </w:t>
      </w:r>
      <w:r>
        <w:rPr>
          <w:sz w:val="23"/>
          <w:szCs w:val="23"/>
        </w:rPr>
        <w:t xml:space="preserve">remains committed to ensuring state accountability for the health and well-being of Medicaid enrollees and that monitoring and evaluation are important for understanding the outcomes and impacts of approaches to Medicaid </w:t>
      </w:r>
      <w:r w:rsidR="0000312A">
        <w:rPr>
          <w:sz w:val="23"/>
          <w:szCs w:val="23"/>
        </w:rPr>
        <w:t>SMI</w:t>
      </w:r>
      <w:r>
        <w:rPr>
          <w:sz w:val="23"/>
          <w:szCs w:val="23"/>
        </w:rPr>
        <w:t xml:space="preserve"> demonstrations. For this purpose, CMS is undertaking efforts to help states monitor the elements of these demonstrations, while giving them the flexibility to adapt to changing conditions in their states. States with approved </w:t>
      </w:r>
      <w:r w:rsidR="0000312A">
        <w:rPr>
          <w:sz w:val="23"/>
          <w:szCs w:val="23"/>
        </w:rPr>
        <w:t>SMI</w:t>
      </w:r>
      <w:r>
        <w:rPr>
          <w:sz w:val="23"/>
          <w:szCs w:val="23"/>
        </w:rPr>
        <w:t xml:space="preserve"> demonstrations are required to develop implementation and monitoring plans, including</w:t>
      </w:r>
      <w:r w:rsidR="003B30CD">
        <w:rPr>
          <w:sz w:val="23"/>
          <w:szCs w:val="23"/>
        </w:rPr>
        <w:t xml:space="preserve"> monitoring metrics, monitoring protocol, </w:t>
      </w:r>
      <w:r>
        <w:rPr>
          <w:sz w:val="23"/>
          <w:szCs w:val="23"/>
        </w:rPr>
        <w:t>regular monitoring reports describing their implementation progress</w:t>
      </w:r>
      <w:r w:rsidR="003B30CD">
        <w:rPr>
          <w:sz w:val="23"/>
          <w:szCs w:val="23"/>
        </w:rPr>
        <w:t xml:space="preserve"> and availability assessments</w:t>
      </w:r>
      <w:r>
        <w:rPr>
          <w:sz w:val="23"/>
          <w:szCs w:val="23"/>
        </w:rPr>
        <w:t xml:space="preserve">. </w:t>
      </w:r>
    </w:p>
    <w:p w:rsidR="00316DC9" w:rsidP="00316DC9" w:rsidRDefault="00316DC9" w14:paraId="27DAC1D7" w14:textId="77777777">
      <w:pPr>
        <w:pStyle w:val="Default"/>
        <w:rPr>
          <w:sz w:val="23"/>
          <w:szCs w:val="23"/>
        </w:rPr>
      </w:pPr>
    </w:p>
    <w:p w:rsidRPr="00A772C0" w:rsidR="007F0C22" w:rsidP="007F0C22" w:rsidRDefault="007F0C22" w14:paraId="4B5AFE5E" w14:textId="77777777">
      <w:pPr>
        <w:pStyle w:val="Default"/>
      </w:pPr>
      <w:r w:rsidRPr="00A772C0">
        <w:t xml:space="preserve">In addition, the special terms and conditions (STC) for these 1115 demonstrations address that states are required to submit in their regular monitoring reports, information on milestones and </w:t>
      </w:r>
      <w:r w:rsidRPr="00A772C0">
        <w:lastRenderedPageBreak/>
        <w:t>performance measures that they elected to represent key indicators of progress toward meeting the goals for the demonstrations.</w:t>
      </w:r>
    </w:p>
    <w:p w:rsidRPr="002C3A2C" w:rsidR="007F0C22" w:rsidP="007F0C22" w:rsidRDefault="007F0C22" w14:paraId="7CDD3576" w14:textId="77777777">
      <w:pPr>
        <w:pStyle w:val="Default"/>
      </w:pPr>
    </w:p>
    <w:p w:rsidRPr="00144638" w:rsidR="007F0C22" w:rsidP="007F0C22" w:rsidRDefault="007F0C22" w14:paraId="4D58DD7D" w14:textId="77777777">
      <w:pPr>
        <w:pStyle w:val="Default"/>
      </w:pPr>
      <w:r w:rsidRPr="00144638">
        <w:t xml:space="preserve">Furthermore, to improve the quality and efficiency of the reporting requirements for </w:t>
      </w:r>
      <w:r>
        <w:t>SMI/SED</w:t>
      </w:r>
      <w:r w:rsidRPr="00144638">
        <w:t xml:space="preserve"> demonstrations, CMS in conjunction with state advisory groups </w:t>
      </w:r>
      <w:r w:rsidRPr="00144638">
        <w:rPr>
          <w:rFonts w:eastAsiaTheme="minorHAnsi"/>
        </w:rPr>
        <w:t>developed a set of standardized monitoring tools for states to use for their regular reporting, including:</w:t>
      </w:r>
    </w:p>
    <w:p w:rsidR="007F0C22" w:rsidP="007F0C22" w:rsidRDefault="007F0C22" w14:paraId="6535D45B" w14:textId="77777777">
      <w:pPr>
        <w:pStyle w:val="Default"/>
        <w:rPr>
          <w:sz w:val="23"/>
          <w:szCs w:val="23"/>
        </w:rPr>
      </w:pPr>
    </w:p>
    <w:p w:rsidRPr="0090766C" w:rsidR="007F0C22" w:rsidP="007F0C22" w:rsidRDefault="007F0C22" w14:paraId="5D209FFE" w14:textId="77777777">
      <w:pPr>
        <w:pStyle w:val="Default"/>
        <w:numPr>
          <w:ilvl w:val="0"/>
          <w:numId w:val="6"/>
        </w:numPr>
        <w:rPr>
          <w:rFonts w:eastAsiaTheme="minorHAnsi"/>
        </w:rPr>
      </w:pPr>
      <w:r>
        <w:rPr>
          <w:rFonts w:eastAsiaTheme="minorHAnsi"/>
        </w:rPr>
        <w:t xml:space="preserve">The Medicaid </w:t>
      </w:r>
      <w:r w:rsidRPr="0090766C">
        <w:rPr>
          <w:rFonts w:eastAsiaTheme="minorHAnsi"/>
        </w:rPr>
        <w:t xml:space="preserve">Section 1115 </w:t>
      </w:r>
      <w:r>
        <w:rPr>
          <w:rFonts w:eastAsiaTheme="minorHAnsi"/>
        </w:rPr>
        <w:t>SMI</w:t>
      </w:r>
      <w:r w:rsidRPr="0090766C">
        <w:rPr>
          <w:rFonts w:eastAsiaTheme="minorHAnsi"/>
        </w:rPr>
        <w:t xml:space="preserve"> Demonstration Implementation Plan (this is one-time submission);</w:t>
      </w:r>
    </w:p>
    <w:p w:rsidRPr="00101E43" w:rsidR="007F0C22" w:rsidP="007F0C22" w:rsidRDefault="007F0C22" w14:paraId="47A6B38E" w14:textId="77777777">
      <w:pPr>
        <w:pStyle w:val="Default"/>
        <w:numPr>
          <w:ilvl w:val="0"/>
          <w:numId w:val="6"/>
        </w:numPr>
        <w:rPr>
          <w:rFonts w:eastAsiaTheme="minorHAnsi"/>
        </w:rPr>
      </w:pPr>
      <w:r w:rsidRPr="00101E43">
        <w:rPr>
          <w:rFonts w:eastAsiaTheme="minorHAnsi"/>
        </w:rPr>
        <w:t>The Medicaid Section 1115 SMI Demonstration monitoring protocol (this is one-time submission);</w:t>
      </w:r>
    </w:p>
    <w:p w:rsidRPr="00101E43" w:rsidR="007F0C22" w:rsidP="007F0C22" w:rsidRDefault="007F0C22" w14:paraId="61433815" w14:textId="2D846C70">
      <w:pPr>
        <w:pStyle w:val="Default"/>
        <w:numPr>
          <w:ilvl w:val="0"/>
          <w:numId w:val="6"/>
        </w:numPr>
        <w:rPr>
          <w:rFonts w:eastAsiaTheme="minorHAnsi"/>
        </w:rPr>
      </w:pPr>
      <w:r w:rsidRPr="00101E43">
        <w:t xml:space="preserve">The </w:t>
      </w:r>
      <w:r w:rsidRPr="00101E43">
        <w:rPr>
          <w:rFonts w:eastAsiaTheme="minorHAnsi"/>
        </w:rPr>
        <w:t xml:space="preserve">Medicaid Section 1115 SMI Demonstration monitoring report template; </w:t>
      </w:r>
    </w:p>
    <w:p w:rsidRPr="00101E43" w:rsidR="007F0C22" w:rsidP="007F0C22" w:rsidRDefault="007F0C22" w14:paraId="6ACB743D" w14:textId="659D4258">
      <w:pPr>
        <w:pStyle w:val="Default"/>
        <w:numPr>
          <w:ilvl w:val="0"/>
          <w:numId w:val="6"/>
        </w:numPr>
        <w:rPr>
          <w:rFonts w:eastAsiaTheme="minorHAnsi"/>
        </w:rPr>
      </w:pPr>
      <w:r w:rsidRPr="00101E43">
        <w:rPr>
          <w:rFonts w:eastAsiaTheme="minorHAnsi"/>
        </w:rPr>
        <w:t>The Medicaid Section 1115 SMI Demonstration metrics workbook/planned metrics</w:t>
      </w:r>
      <w:r w:rsidRPr="00101E43" w:rsidR="00101E43">
        <w:rPr>
          <w:rFonts w:eastAsiaTheme="minorHAnsi"/>
        </w:rPr>
        <w:t>; and</w:t>
      </w:r>
    </w:p>
    <w:p w:rsidRPr="00101E43" w:rsidR="007F0C22" w:rsidP="007F0C22" w:rsidRDefault="007F0C22" w14:paraId="1A37369B" w14:textId="6576772C">
      <w:pPr>
        <w:pStyle w:val="Default"/>
        <w:numPr>
          <w:ilvl w:val="0"/>
          <w:numId w:val="6"/>
        </w:numPr>
        <w:rPr>
          <w:rFonts w:eastAsiaTheme="minorHAnsi"/>
        </w:rPr>
      </w:pPr>
      <w:r w:rsidRPr="00101E43">
        <w:t>The Medicaid Section 1115 SMI Current Availability Assessment</w:t>
      </w:r>
      <w:r w:rsidR="00F642FA">
        <w:t>.</w:t>
      </w:r>
    </w:p>
    <w:p w:rsidR="007F0C22" w:rsidP="007F0C22" w:rsidRDefault="007F0C22" w14:paraId="5336A842" w14:textId="77777777">
      <w:pPr>
        <w:pStyle w:val="Default"/>
        <w:rPr>
          <w:sz w:val="23"/>
          <w:szCs w:val="23"/>
        </w:rPr>
      </w:pPr>
    </w:p>
    <w:p w:rsidR="007F0C22" w:rsidP="000202A6" w:rsidRDefault="007F0C22" w14:paraId="6C5BA3F9" w14:textId="5B1DAD3F">
      <w:pPr>
        <w:spacing w:after="0" w:line="240" w:lineRule="auto"/>
        <w:rPr>
          <w:sz w:val="23"/>
          <w:szCs w:val="23"/>
        </w:rPr>
      </w:pPr>
      <w:r w:rsidRPr="00282094">
        <w:rPr>
          <w:rFonts w:cs="Times New Roman"/>
        </w:rPr>
        <w:t>As specified in official 1115 policy communications to states</w:t>
      </w:r>
      <w:r w:rsidR="00EF7520">
        <w:rPr>
          <w:rFonts w:cs="Times New Roman"/>
        </w:rPr>
        <w:t xml:space="preserve">, such as the SMD letter #18-011 and the </w:t>
      </w:r>
      <w:r w:rsidR="007B674E">
        <w:rPr>
          <w:rFonts w:cs="Times New Roman"/>
        </w:rPr>
        <w:t xml:space="preserve">section </w:t>
      </w:r>
      <w:r w:rsidR="00EF7520">
        <w:rPr>
          <w:rFonts w:cs="Times New Roman"/>
        </w:rPr>
        <w:t>1115 SMI/SED demonstration states’</w:t>
      </w:r>
      <w:r w:rsidR="007B674E">
        <w:rPr>
          <w:rFonts w:cs="Times New Roman"/>
        </w:rPr>
        <w:t>STCs</w:t>
      </w:r>
      <w:r w:rsidRPr="00282094">
        <w:rPr>
          <w:rFonts w:cs="Times New Roman"/>
        </w:rPr>
        <w:t>:</w:t>
      </w:r>
      <w:r w:rsidR="000202A6">
        <w:rPr>
          <w:rFonts w:cs="Times New Roman"/>
        </w:rPr>
        <w:t xml:space="preserve"> I</w:t>
      </w:r>
      <w:r w:rsidRPr="002516FF">
        <w:t xml:space="preserve">n accordance with 42 CFR 431.428 </w:t>
      </w:r>
      <w:r w:rsidRPr="002516FF">
        <w:rPr>
          <w:bCs/>
        </w:rPr>
        <w:t>s</w:t>
      </w:r>
      <w:r w:rsidRPr="002516FF">
        <w:t>tates must submit all post-approval deliverables as stipulated by CMS and within the timeframes outlined within the STCs for the specific Medicaid 1115 State Demonstration.</w:t>
      </w:r>
    </w:p>
    <w:p w:rsidR="007F0C22" w:rsidP="00316DC9" w:rsidRDefault="007F0C22" w14:paraId="12AE7F6C" w14:textId="77777777">
      <w:pPr>
        <w:pStyle w:val="Default"/>
        <w:rPr>
          <w:sz w:val="23"/>
          <w:szCs w:val="23"/>
        </w:rPr>
      </w:pPr>
    </w:p>
    <w:p w:rsidR="00316DC9" w:rsidP="00316DC9" w:rsidRDefault="007F0C22" w14:paraId="0E4B0D9B" w14:textId="73AEBB1B">
      <w:pPr>
        <w:pStyle w:val="Default"/>
      </w:pPr>
      <w:r>
        <w:rPr>
          <w:sz w:val="23"/>
          <w:szCs w:val="23"/>
        </w:rPr>
        <w:t>The STCs require states that are testing approaches to SMI/SED demonstrations to submit to CMS for approval a draft implementation plan, and a monitoring protocol with quantitative metrics developed collaboratively between CMS and the state.  States with SMI/SED section 1115 demonstrations are required per the STCs to report performance on the metrics in quarterly and annual monitoring reports.</w:t>
      </w:r>
      <w:r w:rsidR="00316DC9">
        <w:rPr>
          <w:sz w:val="23"/>
          <w:szCs w:val="23"/>
        </w:rPr>
        <w:t xml:space="preserve"> </w:t>
      </w:r>
    </w:p>
    <w:p w:rsidR="00316DC9" w:rsidP="00316DC9" w:rsidRDefault="00316DC9" w14:paraId="7055A522" w14:textId="77777777">
      <w:pPr>
        <w:pStyle w:val="Default"/>
      </w:pPr>
    </w:p>
    <w:p w:rsidR="00475399" w:rsidP="00475399" w:rsidRDefault="00475399" w14:paraId="01D1A458" w14:textId="2384E8F9">
      <w:pPr>
        <w:autoSpaceDE w:val="0"/>
        <w:autoSpaceDN w:val="0"/>
        <w:adjustRightInd w:val="0"/>
        <w:spacing w:after="0" w:line="240" w:lineRule="auto"/>
        <w:rPr>
          <w:rFonts w:cs="Times New Roman"/>
          <w:color w:val="000000"/>
          <w:sz w:val="23"/>
          <w:szCs w:val="23"/>
        </w:rPr>
      </w:pPr>
      <w:r>
        <w:rPr>
          <w:rFonts w:cs="Times New Roman"/>
          <w:color w:val="000000"/>
          <w:sz w:val="23"/>
          <w:szCs w:val="23"/>
        </w:rPr>
        <w:t>F</w:t>
      </w:r>
      <w:r w:rsidR="00316DC9">
        <w:rPr>
          <w:rFonts w:cs="Times New Roman"/>
          <w:color w:val="000000"/>
          <w:sz w:val="23"/>
          <w:szCs w:val="23"/>
        </w:rPr>
        <w:t xml:space="preserve">or </w:t>
      </w:r>
      <w:r>
        <w:rPr>
          <w:rFonts w:cs="Times New Roman"/>
          <w:color w:val="000000"/>
          <w:sz w:val="23"/>
          <w:szCs w:val="23"/>
        </w:rPr>
        <w:t>1115 SMI/SED demonstrations</w:t>
      </w:r>
      <w:r w:rsidRPr="00475399">
        <w:rPr>
          <w:rFonts w:cs="Times New Roman"/>
          <w:color w:val="000000"/>
          <w:sz w:val="23"/>
          <w:szCs w:val="23"/>
        </w:rPr>
        <w:t xml:space="preserve"> states will include in their section 1115(a) demonstration reports, information detailing milestones and performance measures representing key indicators of progress toward meeting the goals for this initiative. Participating states will report on a common set of measures and the states and CMS will agree to additional measures and measure concepts specific to a particular state’s demonstration parameters. </w:t>
      </w:r>
    </w:p>
    <w:p w:rsidR="00475399" w:rsidP="00475399" w:rsidRDefault="00475399" w14:paraId="5CA58DE9" w14:textId="77777777">
      <w:pPr>
        <w:autoSpaceDE w:val="0"/>
        <w:autoSpaceDN w:val="0"/>
        <w:adjustRightInd w:val="0"/>
        <w:spacing w:after="0" w:line="240" w:lineRule="auto"/>
        <w:rPr>
          <w:rFonts w:cs="Times New Roman"/>
          <w:color w:val="000000"/>
          <w:sz w:val="23"/>
          <w:szCs w:val="23"/>
        </w:rPr>
      </w:pPr>
    </w:p>
    <w:p w:rsidRPr="002516FF" w:rsidR="00BC40CE" w:rsidP="007F0C22" w:rsidRDefault="004601EF" w14:paraId="295A26E9" w14:textId="2544227A">
      <w:pPr>
        <w:autoSpaceDE w:val="0"/>
        <w:autoSpaceDN w:val="0"/>
        <w:adjustRightInd w:val="0"/>
        <w:spacing w:after="0" w:line="240" w:lineRule="auto"/>
      </w:pPr>
      <w:r>
        <w:t>T</w:t>
      </w:r>
      <w:r w:rsidRPr="00A772C0">
        <w:t>he l</w:t>
      </w:r>
      <w:r>
        <w:t>etter #18-011 states that f</w:t>
      </w:r>
      <w:r w:rsidR="00475399">
        <w:rPr>
          <w:rFonts w:cs="Times New Roman"/>
          <w:color w:val="000000"/>
          <w:sz w:val="23"/>
          <w:szCs w:val="23"/>
        </w:rPr>
        <w:t xml:space="preserve">or these 1115 demonstrations, </w:t>
      </w:r>
      <w:r w:rsidRPr="00475399" w:rsidR="00475399">
        <w:rPr>
          <w:rFonts w:cs="Times New Roman"/>
          <w:color w:val="000000"/>
          <w:sz w:val="23"/>
          <w:szCs w:val="23"/>
        </w:rPr>
        <w:t xml:space="preserve">CMS will provide guidance to participating states on development of monitoring protocols that will identify expectations for quarterly and annual monitoring reports, including agreed upon performance measures, measure concepts, and qualitative narrative summaries. </w:t>
      </w:r>
      <w:r w:rsidRPr="002516FF" w:rsidR="00BC40CE">
        <w:t xml:space="preserve"> </w:t>
      </w:r>
    </w:p>
    <w:p w:rsidRPr="002516FF" w:rsidR="00DB54AB" w:rsidP="00BC40CE" w:rsidRDefault="00DB54AB" w14:paraId="02938DFE" w14:textId="77777777">
      <w:pPr>
        <w:widowControl w:val="0"/>
        <w:kinsoku w:val="0"/>
        <w:overflowPunct w:val="0"/>
        <w:autoSpaceDE w:val="0"/>
        <w:autoSpaceDN w:val="0"/>
        <w:adjustRightInd w:val="0"/>
        <w:spacing w:after="0" w:line="240" w:lineRule="auto"/>
        <w:ind w:right="348"/>
      </w:pPr>
    </w:p>
    <w:p w:rsidR="00891FFB" w:rsidP="00E016CC" w:rsidRDefault="00FB36E8" w14:paraId="0B61384D" w14:textId="6B90D078">
      <w:pPr>
        <w:widowControl w:val="0"/>
        <w:kinsoku w:val="0"/>
        <w:overflowPunct w:val="0"/>
        <w:autoSpaceDE w:val="0"/>
        <w:autoSpaceDN w:val="0"/>
        <w:adjustRightInd w:val="0"/>
        <w:spacing w:after="0" w:line="240" w:lineRule="auto"/>
        <w:ind w:right="634"/>
      </w:pPr>
      <w:r>
        <w:t>S</w:t>
      </w:r>
      <w:r w:rsidR="00E41E72">
        <w:t>imilar</w:t>
      </w:r>
      <w:r w:rsidR="000036F5">
        <w:t xml:space="preserve"> </w:t>
      </w:r>
      <w:r w:rsidR="00EF1C02">
        <w:t xml:space="preserve">guidance and </w:t>
      </w:r>
      <w:r w:rsidRPr="002C3A2C" w:rsidR="002C3A2C">
        <w:t>template</w:t>
      </w:r>
      <w:r w:rsidR="000036F5">
        <w:t xml:space="preserve">s for other </w:t>
      </w:r>
      <w:r w:rsidR="00733737">
        <w:t xml:space="preserve">types of </w:t>
      </w:r>
      <w:r w:rsidR="007F0C22">
        <w:t xml:space="preserve">section </w:t>
      </w:r>
      <w:r w:rsidR="000036F5">
        <w:t xml:space="preserve">1115 demonstrations </w:t>
      </w:r>
      <w:r w:rsidR="00733737">
        <w:t>have been</w:t>
      </w:r>
      <w:r w:rsidRPr="002C3A2C" w:rsidR="002C3A2C">
        <w:t xml:space="preserve"> approved under </w:t>
      </w:r>
      <w:r w:rsidR="000036F5">
        <w:t>other</w:t>
      </w:r>
      <w:r w:rsidRPr="002C3A2C" w:rsidR="002C3A2C">
        <w:t xml:space="preserve"> generic package</w:t>
      </w:r>
      <w:r w:rsidR="000036F5">
        <w:t>s</w:t>
      </w:r>
      <w:r w:rsidR="002B3F1C">
        <w:t xml:space="preserve">, </w:t>
      </w:r>
      <w:r w:rsidR="0011549A">
        <w:t>such as</w:t>
      </w:r>
      <w:r w:rsidR="000036F5">
        <w:t xml:space="preserve"> the </w:t>
      </w:r>
      <w:r w:rsidR="002B3F1C">
        <w:t xml:space="preserve">SUD Gen IC </w:t>
      </w:r>
      <w:r w:rsidRPr="002C3A2C" w:rsidR="002C3A2C">
        <w:t xml:space="preserve">(specifically, </w:t>
      </w:r>
      <w:r w:rsidRPr="00E016CC" w:rsidR="002C3A2C">
        <w:t>CMS-10398 #53</w:t>
      </w:r>
      <w:r w:rsidR="002B3F1C">
        <w:t>)</w:t>
      </w:r>
      <w:r>
        <w:t xml:space="preserve">, </w:t>
      </w:r>
      <w:r w:rsidR="00891FFB">
        <w:t>which includes:</w:t>
      </w:r>
    </w:p>
    <w:p w:rsidR="00DA0D01" w:rsidP="00E016CC" w:rsidRDefault="00DA0D01" w14:paraId="2DCC60A0" w14:textId="14A3953F">
      <w:pPr>
        <w:widowControl w:val="0"/>
        <w:kinsoku w:val="0"/>
        <w:overflowPunct w:val="0"/>
        <w:autoSpaceDE w:val="0"/>
        <w:autoSpaceDN w:val="0"/>
        <w:adjustRightInd w:val="0"/>
        <w:spacing w:after="0" w:line="240" w:lineRule="auto"/>
        <w:ind w:right="634"/>
      </w:pPr>
    </w:p>
    <w:p w:rsidRPr="0090766C" w:rsidR="00DA0D01" w:rsidP="00DA0D01" w:rsidRDefault="00DA0D01" w14:paraId="22DA3669" w14:textId="5FF8E86B">
      <w:pPr>
        <w:pStyle w:val="Default"/>
        <w:numPr>
          <w:ilvl w:val="0"/>
          <w:numId w:val="6"/>
        </w:numPr>
        <w:rPr>
          <w:rFonts w:eastAsiaTheme="minorHAnsi"/>
        </w:rPr>
      </w:pPr>
      <w:r>
        <w:rPr>
          <w:rFonts w:eastAsiaTheme="minorHAnsi"/>
        </w:rPr>
        <w:t xml:space="preserve">The Medicaid </w:t>
      </w:r>
      <w:r w:rsidRPr="0090766C">
        <w:rPr>
          <w:rFonts w:eastAsiaTheme="minorHAnsi"/>
        </w:rPr>
        <w:t xml:space="preserve">Section 1115 </w:t>
      </w:r>
      <w:r>
        <w:rPr>
          <w:rFonts w:eastAsiaTheme="minorHAnsi"/>
        </w:rPr>
        <w:t>SUD</w:t>
      </w:r>
      <w:r w:rsidRPr="0090766C">
        <w:rPr>
          <w:rFonts w:eastAsiaTheme="minorHAnsi"/>
        </w:rPr>
        <w:t xml:space="preserve"> Demonstration Implementation Plan (this is one-time submission);</w:t>
      </w:r>
    </w:p>
    <w:p w:rsidRPr="0090766C" w:rsidR="00DA0D01" w:rsidP="00DA0D01" w:rsidRDefault="00DA0D01" w14:paraId="28661B09" w14:textId="75C1C9F7">
      <w:pPr>
        <w:pStyle w:val="Default"/>
        <w:numPr>
          <w:ilvl w:val="0"/>
          <w:numId w:val="6"/>
        </w:numPr>
        <w:rPr>
          <w:rFonts w:eastAsiaTheme="minorHAnsi"/>
        </w:rPr>
      </w:pPr>
      <w:r w:rsidRPr="0090766C">
        <w:rPr>
          <w:rFonts w:eastAsiaTheme="minorHAnsi"/>
        </w:rPr>
        <w:t xml:space="preserve">The Medicaid Section 1115 </w:t>
      </w:r>
      <w:r>
        <w:rPr>
          <w:rFonts w:eastAsiaTheme="minorHAnsi"/>
        </w:rPr>
        <w:t>SUD</w:t>
      </w:r>
      <w:r w:rsidRPr="0090766C">
        <w:rPr>
          <w:rFonts w:eastAsiaTheme="minorHAnsi"/>
        </w:rPr>
        <w:t xml:space="preserve"> Demonstration monitoring protocol (this is one-time submission);</w:t>
      </w:r>
    </w:p>
    <w:p w:rsidR="00DA0D01" w:rsidP="00DA0D01" w:rsidRDefault="00DA0D01" w14:paraId="4EEE4C40" w14:textId="46BE5701">
      <w:pPr>
        <w:pStyle w:val="Default"/>
        <w:numPr>
          <w:ilvl w:val="0"/>
          <w:numId w:val="6"/>
        </w:numPr>
        <w:rPr>
          <w:rFonts w:eastAsiaTheme="minorHAnsi"/>
        </w:rPr>
      </w:pPr>
      <w:r w:rsidRPr="0090766C">
        <w:t xml:space="preserve">The </w:t>
      </w:r>
      <w:r w:rsidRPr="0090766C">
        <w:rPr>
          <w:rFonts w:eastAsiaTheme="minorHAnsi"/>
        </w:rPr>
        <w:t xml:space="preserve">Medicaid Section 1115 </w:t>
      </w:r>
      <w:r>
        <w:rPr>
          <w:rFonts w:eastAsiaTheme="minorHAnsi"/>
        </w:rPr>
        <w:t>SUD</w:t>
      </w:r>
      <w:r w:rsidRPr="0090766C">
        <w:rPr>
          <w:rFonts w:eastAsiaTheme="minorHAnsi"/>
        </w:rPr>
        <w:t xml:space="preserve"> Demonstration </w:t>
      </w:r>
      <w:r>
        <w:rPr>
          <w:rFonts w:eastAsiaTheme="minorHAnsi"/>
        </w:rPr>
        <w:t>monitoring report template</w:t>
      </w:r>
      <w:r w:rsidR="00F642FA">
        <w:rPr>
          <w:rFonts w:eastAsiaTheme="minorHAnsi"/>
        </w:rPr>
        <w:t xml:space="preserve">; </w:t>
      </w:r>
      <w:r w:rsidRPr="0090766C">
        <w:rPr>
          <w:rFonts w:eastAsiaTheme="minorHAnsi"/>
        </w:rPr>
        <w:t>and</w:t>
      </w:r>
    </w:p>
    <w:p w:rsidRPr="00DA0D01" w:rsidR="00891FFB" w:rsidP="00DA0D01" w:rsidRDefault="00DA0D01" w14:paraId="443C71F8" w14:textId="769D103A">
      <w:pPr>
        <w:pStyle w:val="Default"/>
        <w:numPr>
          <w:ilvl w:val="0"/>
          <w:numId w:val="6"/>
        </w:numPr>
        <w:rPr>
          <w:rFonts w:eastAsiaTheme="minorHAnsi"/>
        </w:rPr>
      </w:pPr>
      <w:r w:rsidRPr="0090766C">
        <w:t xml:space="preserve">The Medicaid Section 1115 </w:t>
      </w:r>
      <w:r>
        <w:t>SUD</w:t>
      </w:r>
      <w:r w:rsidRPr="0090766C">
        <w:t xml:space="preserve"> Demonstration metrics workbook/</w:t>
      </w:r>
      <w:r>
        <w:t xml:space="preserve">planned </w:t>
      </w:r>
      <w:r w:rsidRPr="0090766C">
        <w:t>metrics</w:t>
      </w:r>
      <w:r w:rsidR="00F642FA">
        <w:t>.</w:t>
      </w:r>
    </w:p>
    <w:p w:rsidR="00891FFB" w:rsidP="00E016CC" w:rsidRDefault="00891FFB" w14:paraId="0A032A50" w14:textId="77777777">
      <w:pPr>
        <w:widowControl w:val="0"/>
        <w:kinsoku w:val="0"/>
        <w:overflowPunct w:val="0"/>
        <w:autoSpaceDE w:val="0"/>
        <w:autoSpaceDN w:val="0"/>
        <w:adjustRightInd w:val="0"/>
        <w:spacing w:after="0" w:line="240" w:lineRule="auto"/>
        <w:ind w:right="634"/>
      </w:pPr>
    </w:p>
    <w:p w:rsidRPr="00F23ECB" w:rsidR="002C3A2C" w:rsidP="00E016CC" w:rsidRDefault="00EF1C02" w14:paraId="7A78A9C3" w14:textId="360D3F50">
      <w:pPr>
        <w:widowControl w:val="0"/>
        <w:kinsoku w:val="0"/>
        <w:overflowPunct w:val="0"/>
        <w:autoSpaceDE w:val="0"/>
        <w:autoSpaceDN w:val="0"/>
        <w:adjustRightInd w:val="0"/>
        <w:spacing w:after="0" w:line="240" w:lineRule="auto"/>
        <w:ind w:right="634"/>
        <w:rPr>
          <w:rFonts w:cs="Times New Roman"/>
          <w:color w:val="000000"/>
          <w:sz w:val="23"/>
          <w:szCs w:val="23"/>
        </w:rPr>
      </w:pPr>
      <w:r>
        <w:t xml:space="preserve">However, while the SMI/SED templates are similar </w:t>
      </w:r>
      <w:r w:rsidR="00FA0241">
        <w:t xml:space="preserve">in structure </w:t>
      </w:r>
      <w:r>
        <w:t xml:space="preserve">to the templates approved </w:t>
      </w:r>
      <w:r w:rsidRPr="00F23ECB">
        <w:t>under other generic packages, there is no duplication of data collection or reporting requirements.</w:t>
      </w:r>
      <w:r w:rsidRPr="00F23ECB" w:rsidR="000036F5">
        <w:t xml:space="preserve"> </w:t>
      </w:r>
      <w:r w:rsidRPr="00F23ECB" w:rsidR="00891FFB">
        <w:t>T</w:t>
      </w:r>
      <w:r w:rsidRPr="00F23ECB" w:rsidR="002C3A2C">
        <w:t xml:space="preserve">his </w:t>
      </w:r>
      <w:r w:rsidRPr="00F23ECB" w:rsidR="00B862A1">
        <w:t>January 2020</w:t>
      </w:r>
      <w:r w:rsidRPr="00F23ECB" w:rsidR="002C3A2C">
        <w:t xml:space="preserve"> </w:t>
      </w:r>
      <w:r w:rsidRPr="00F23ECB" w:rsidR="00E6250E">
        <w:t xml:space="preserve">package </w:t>
      </w:r>
      <w:r w:rsidRPr="00F23ECB" w:rsidR="00E41E72">
        <w:t>is for</w:t>
      </w:r>
      <w:r w:rsidRPr="00F23ECB" w:rsidR="002C3A2C">
        <w:t xml:space="preserve"> </w:t>
      </w:r>
      <w:r w:rsidRPr="00F23ECB" w:rsidR="002C3A2C">
        <w:rPr>
          <w:rFonts w:cs="Times New Roman"/>
          <w:color w:val="000000"/>
          <w:sz w:val="23"/>
          <w:szCs w:val="23"/>
        </w:rPr>
        <w:t>the following</w:t>
      </w:r>
      <w:r w:rsidRPr="00F23ECB" w:rsidR="00E6250E">
        <w:rPr>
          <w:rFonts w:cs="Times New Roman"/>
          <w:color w:val="000000"/>
          <w:sz w:val="23"/>
          <w:szCs w:val="23"/>
        </w:rPr>
        <w:t xml:space="preserve"> templates and metrics</w:t>
      </w:r>
      <w:r w:rsidRPr="00F23ECB" w:rsidR="00891FFB">
        <w:rPr>
          <w:rFonts w:cs="Times New Roman"/>
          <w:color w:val="000000"/>
          <w:sz w:val="23"/>
          <w:szCs w:val="23"/>
        </w:rPr>
        <w:t xml:space="preserve"> specific to th</w:t>
      </w:r>
      <w:r w:rsidRPr="00F23ECB" w:rsidR="00177474">
        <w:rPr>
          <w:rFonts w:cs="Times New Roman"/>
          <w:color w:val="000000"/>
          <w:sz w:val="23"/>
          <w:szCs w:val="23"/>
        </w:rPr>
        <w:t xml:space="preserve">e </w:t>
      </w:r>
      <w:r w:rsidRPr="00F23ECB" w:rsidR="00891FFB">
        <w:rPr>
          <w:rFonts w:cs="Times New Roman"/>
          <w:color w:val="000000"/>
          <w:sz w:val="23"/>
          <w:szCs w:val="23"/>
        </w:rPr>
        <w:t xml:space="preserve">section 1115 </w:t>
      </w:r>
      <w:r w:rsidRPr="00F23ECB" w:rsidR="00177474">
        <w:rPr>
          <w:rFonts w:cs="Times New Roman"/>
          <w:color w:val="000000"/>
          <w:sz w:val="23"/>
          <w:szCs w:val="23"/>
        </w:rPr>
        <w:t xml:space="preserve">SMI/SED </w:t>
      </w:r>
      <w:r w:rsidRPr="00F23ECB" w:rsidR="00891FFB">
        <w:rPr>
          <w:rFonts w:cs="Times New Roman"/>
          <w:color w:val="000000"/>
          <w:sz w:val="23"/>
          <w:szCs w:val="23"/>
        </w:rPr>
        <w:t>demonstration opportunity</w:t>
      </w:r>
      <w:r w:rsidRPr="00F23ECB" w:rsidR="002C3A2C">
        <w:rPr>
          <w:rFonts w:cs="Times New Roman"/>
          <w:color w:val="000000"/>
          <w:sz w:val="23"/>
          <w:szCs w:val="23"/>
        </w:rPr>
        <w:t>:</w:t>
      </w:r>
    </w:p>
    <w:p w:rsidRPr="00F23ECB" w:rsidR="00BD1124" w:rsidP="00E016CC" w:rsidRDefault="00BD1124" w14:paraId="1A4CEFE3" w14:textId="77777777">
      <w:pPr>
        <w:widowControl w:val="0"/>
        <w:kinsoku w:val="0"/>
        <w:overflowPunct w:val="0"/>
        <w:autoSpaceDE w:val="0"/>
        <w:autoSpaceDN w:val="0"/>
        <w:adjustRightInd w:val="0"/>
        <w:spacing w:after="0" w:line="240" w:lineRule="auto"/>
        <w:ind w:right="634"/>
      </w:pPr>
    </w:p>
    <w:p w:rsidRPr="00F23ECB" w:rsidR="0090766C" w:rsidP="0088327A" w:rsidRDefault="0090766C" w14:paraId="6901BCF1" w14:textId="3455D91E">
      <w:pPr>
        <w:pStyle w:val="Default"/>
        <w:numPr>
          <w:ilvl w:val="0"/>
          <w:numId w:val="6"/>
        </w:numPr>
        <w:rPr>
          <w:rFonts w:eastAsiaTheme="minorHAnsi"/>
        </w:rPr>
      </w:pPr>
      <w:r w:rsidRPr="00F23ECB">
        <w:rPr>
          <w:rFonts w:eastAsiaTheme="minorHAnsi"/>
        </w:rPr>
        <w:t xml:space="preserve">The Medicaid Section 1115 </w:t>
      </w:r>
      <w:r w:rsidRPr="00F23ECB" w:rsidR="001567A4">
        <w:rPr>
          <w:rFonts w:eastAsiaTheme="minorHAnsi"/>
        </w:rPr>
        <w:t>SMI</w:t>
      </w:r>
      <w:r w:rsidRPr="00F23ECB">
        <w:rPr>
          <w:rFonts w:eastAsiaTheme="minorHAnsi"/>
        </w:rPr>
        <w:t xml:space="preserve"> Demonstration Implementation Plan (this is one-time submission);</w:t>
      </w:r>
    </w:p>
    <w:p w:rsidRPr="00F23ECB" w:rsidR="0090766C" w:rsidP="0088327A" w:rsidRDefault="0090766C" w14:paraId="02BA657C" w14:textId="57E4E819">
      <w:pPr>
        <w:pStyle w:val="Default"/>
        <w:numPr>
          <w:ilvl w:val="0"/>
          <w:numId w:val="6"/>
        </w:numPr>
        <w:rPr>
          <w:rFonts w:eastAsiaTheme="minorHAnsi"/>
        </w:rPr>
      </w:pPr>
      <w:r w:rsidRPr="00F23ECB">
        <w:rPr>
          <w:rFonts w:eastAsiaTheme="minorHAnsi"/>
        </w:rPr>
        <w:t xml:space="preserve">The Medicaid Section 1115 </w:t>
      </w:r>
      <w:r w:rsidRPr="00F23ECB" w:rsidR="001567A4">
        <w:rPr>
          <w:rFonts w:eastAsiaTheme="minorHAnsi"/>
        </w:rPr>
        <w:t>SMI</w:t>
      </w:r>
      <w:r w:rsidRPr="00F23ECB">
        <w:rPr>
          <w:rFonts w:eastAsiaTheme="minorHAnsi"/>
        </w:rPr>
        <w:t xml:space="preserve"> Demonstration monitoring protocol</w:t>
      </w:r>
      <w:r w:rsidRPr="00F23ECB" w:rsidR="00620E7B">
        <w:rPr>
          <w:rFonts w:eastAsiaTheme="minorHAnsi"/>
        </w:rPr>
        <w:t xml:space="preserve"> template</w:t>
      </w:r>
      <w:r w:rsidRPr="00F23ECB">
        <w:rPr>
          <w:rFonts w:eastAsiaTheme="minorHAnsi"/>
        </w:rPr>
        <w:t xml:space="preserve"> (this is one-time submission);</w:t>
      </w:r>
    </w:p>
    <w:p w:rsidRPr="00F23ECB" w:rsidR="0090766C" w:rsidP="0088327A" w:rsidRDefault="0090766C" w14:paraId="43D40A28" w14:textId="31997582">
      <w:pPr>
        <w:pStyle w:val="Default"/>
        <w:numPr>
          <w:ilvl w:val="0"/>
          <w:numId w:val="6"/>
        </w:numPr>
        <w:rPr>
          <w:rFonts w:eastAsiaTheme="minorHAnsi"/>
        </w:rPr>
      </w:pPr>
      <w:r w:rsidRPr="00F23ECB">
        <w:t xml:space="preserve">The </w:t>
      </w:r>
      <w:r w:rsidRPr="00F23ECB">
        <w:rPr>
          <w:rFonts w:eastAsiaTheme="minorHAnsi"/>
        </w:rPr>
        <w:t xml:space="preserve">Medicaid Section 1115 </w:t>
      </w:r>
      <w:r w:rsidRPr="00F23ECB" w:rsidR="001567A4">
        <w:rPr>
          <w:rFonts w:eastAsiaTheme="minorHAnsi"/>
        </w:rPr>
        <w:t>SMI</w:t>
      </w:r>
      <w:r w:rsidRPr="00F23ECB">
        <w:rPr>
          <w:rFonts w:eastAsiaTheme="minorHAnsi"/>
        </w:rPr>
        <w:t xml:space="preserve"> Demonstration</w:t>
      </w:r>
      <w:r w:rsidRPr="00F23ECB" w:rsidR="00FE570E">
        <w:rPr>
          <w:rFonts w:eastAsiaTheme="minorHAnsi"/>
        </w:rPr>
        <w:t xml:space="preserve"> monitor</w:t>
      </w:r>
      <w:r w:rsidRPr="00F23ECB" w:rsidR="00DB307E">
        <w:rPr>
          <w:rFonts w:eastAsiaTheme="minorHAnsi"/>
        </w:rPr>
        <w:t>ing report template;</w:t>
      </w:r>
      <w:r w:rsidRPr="00F23ECB" w:rsidR="00FE570E">
        <w:rPr>
          <w:rFonts w:eastAsiaTheme="minorHAnsi"/>
        </w:rPr>
        <w:t xml:space="preserve"> </w:t>
      </w:r>
      <w:r w:rsidRPr="00F23ECB">
        <w:rPr>
          <w:rFonts w:eastAsiaTheme="minorHAnsi"/>
        </w:rPr>
        <w:t xml:space="preserve"> </w:t>
      </w:r>
    </w:p>
    <w:p w:rsidRPr="00F23ECB" w:rsidR="0090766C" w:rsidP="0088327A" w:rsidRDefault="0090766C" w14:paraId="38967EA5" w14:textId="1CBDCDEF">
      <w:pPr>
        <w:pStyle w:val="Default"/>
        <w:numPr>
          <w:ilvl w:val="0"/>
          <w:numId w:val="6"/>
        </w:numPr>
        <w:rPr>
          <w:rFonts w:eastAsiaTheme="minorHAnsi"/>
        </w:rPr>
      </w:pPr>
      <w:r w:rsidRPr="00F23ECB">
        <w:rPr>
          <w:rFonts w:eastAsiaTheme="minorHAnsi"/>
        </w:rPr>
        <w:t xml:space="preserve">The Medicaid Section 1115 </w:t>
      </w:r>
      <w:r w:rsidRPr="00F23ECB" w:rsidR="001567A4">
        <w:rPr>
          <w:rFonts w:eastAsiaTheme="minorHAnsi"/>
        </w:rPr>
        <w:t>SMI</w:t>
      </w:r>
      <w:r w:rsidRPr="00F23ECB" w:rsidR="002F0952">
        <w:rPr>
          <w:rFonts w:eastAsiaTheme="minorHAnsi"/>
        </w:rPr>
        <w:t xml:space="preserve"> Demonstration </w:t>
      </w:r>
      <w:r w:rsidRPr="00F23ECB" w:rsidR="00620E7B">
        <w:rPr>
          <w:rFonts w:eastAsiaTheme="minorHAnsi"/>
        </w:rPr>
        <w:t xml:space="preserve">monitoring </w:t>
      </w:r>
      <w:r w:rsidRPr="00F23ECB">
        <w:rPr>
          <w:rFonts w:eastAsiaTheme="minorHAnsi"/>
        </w:rPr>
        <w:t>workbook/</w:t>
      </w:r>
      <w:r w:rsidRPr="00F23ECB" w:rsidR="00915EB0">
        <w:rPr>
          <w:rFonts w:eastAsiaTheme="minorHAnsi"/>
        </w:rPr>
        <w:t xml:space="preserve">planned </w:t>
      </w:r>
      <w:r w:rsidRPr="00F23ECB">
        <w:rPr>
          <w:rFonts w:eastAsiaTheme="minorHAnsi"/>
        </w:rPr>
        <w:t>metrics</w:t>
      </w:r>
      <w:r w:rsidR="00F23ECB">
        <w:rPr>
          <w:rFonts w:eastAsiaTheme="minorHAnsi"/>
        </w:rPr>
        <w:t xml:space="preserve">; </w:t>
      </w:r>
      <w:r w:rsidRPr="00F23ECB" w:rsidR="00FE570E">
        <w:rPr>
          <w:rFonts w:eastAsiaTheme="minorHAnsi"/>
        </w:rPr>
        <w:t>and</w:t>
      </w:r>
    </w:p>
    <w:p w:rsidRPr="00F23ECB" w:rsidR="00222365" w:rsidP="00222365" w:rsidRDefault="00222365" w14:paraId="182B50A2" w14:textId="62EC2257">
      <w:pPr>
        <w:pStyle w:val="Default"/>
        <w:numPr>
          <w:ilvl w:val="0"/>
          <w:numId w:val="6"/>
        </w:numPr>
        <w:rPr>
          <w:rFonts w:eastAsiaTheme="minorHAnsi"/>
        </w:rPr>
      </w:pPr>
      <w:r w:rsidRPr="00F23ECB">
        <w:t>The Medicaid Section 1115 SMI Current Availability Assessment</w:t>
      </w:r>
      <w:r w:rsidRPr="00F23ECB" w:rsidR="00FE570E">
        <w:t>.</w:t>
      </w:r>
    </w:p>
    <w:p w:rsidR="00222365" w:rsidP="002C3A2C" w:rsidRDefault="00222365" w14:paraId="50C10695" w14:textId="77777777">
      <w:pPr>
        <w:widowControl w:val="0"/>
        <w:kinsoku w:val="0"/>
        <w:overflowPunct w:val="0"/>
        <w:autoSpaceDE w:val="0"/>
        <w:autoSpaceDN w:val="0"/>
        <w:adjustRightInd w:val="0"/>
        <w:spacing w:after="0" w:line="240" w:lineRule="auto"/>
        <w:ind w:right="634"/>
      </w:pPr>
    </w:p>
    <w:p w:rsidRPr="00F56F50" w:rsidR="005544DA" w:rsidP="002C3A2C" w:rsidRDefault="002C3A2C" w14:paraId="692B94A3" w14:textId="5D03256E">
      <w:pPr>
        <w:widowControl w:val="0"/>
        <w:kinsoku w:val="0"/>
        <w:overflowPunct w:val="0"/>
        <w:autoSpaceDE w:val="0"/>
        <w:autoSpaceDN w:val="0"/>
        <w:adjustRightInd w:val="0"/>
        <w:spacing w:after="0" w:line="240" w:lineRule="auto"/>
        <w:ind w:right="634"/>
        <w:rPr>
          <w:rFonts w:cs="Times New Roman"/>
          <w:color w:val="000000"/>
          <w:szCs w:val="24"/>
        </w:rPr>
      </w:pPr>
      <w:r w:rsidRPr="00DC3020">
        <w:t>The</w:t>
      </w:r>
      <w:r w:rsidR="00222365">
        <w:t xml:space="preserve"> templates, </w:t>
      </w:r>
      <w:r w:rsidR="00E6250E">
        <w:t>metrics</w:t>
      </w:r>
      <w:r w:rsidR="00222365">
        <w:t xml:space="preserve"> and </w:t>
      </w:r>
      <w:r w:rsidR="007F0C22">
        <w:t xml:space="preserve">current </w:t>
      </w:r>
      <w:r w:rsidR="00222365">
        <w:t>availability</w:t>
      </w:r>
      <w:r w:rsidR="00E6250E">
        <w:t xml:space="preserve"> </w:t>
      </w:r>
      <w:r w:rsidR="007F0C22">
        <w:t xml:space="preserve">assessment </w:t>
      </w:r>
      <w:r w:rsidRPr="00DC3020">
        <w:t xml:space="preserve">are also consistent with the requirements of the STCs to which approved states have agreed. </w:t>
      </w:r>
      <w:r w:rsidRPr="00DC3020">
        <w:rPr>
          <w:rFonts w:cs="Times New Roman"/>
          <w:color w:val="000000"/>
          <w:sz w:val="23"/>
          <w:szCs w:val="23"/>
        </w:rPr>
        <w:t>In addition, CMS convened a State Advisory Group</w:t>
      </w:r>
      <w:r w:rsidR="00620E7B">
        <w:rPr>
          <w:rFonts w:cs="Times New Roman"/>
          <w:color w:val="000000"/>
          <w:sz w:val="23"/>
          <w:szCs w:val="23"/>
        </w:rPr>
        <w:t xml:space="preserve"> on May 16, 2019</w:t>
      </w:r>
      <w:r w:rsidR="005B46A3">
        <w:rPr>
          <w:rFonts w:cs="Times New Roman"/>
          <w:color w:val="000000"/>
          <w:sz w:val="23"/>
          <w:szCs w:val="23"/>
        </w:rPr>
        <w:t>,</w:t>
      </w:r>
      <w:r w:rsidRPr="00DC3020">
        <w:rPr>
          <w:rFonts w:cs="Times New Roman"/>
          <w:color w:val="000000"/>
          <w:sz w:val="23"/>
          <w:szCs w:val="23"/>
        </w:rPr>
        <w:t xml:space="preserve"> to review and provide comments on these templates, their content and the metrics</w:t>
      </w:r>
      <w:r w:rsidR="00620E7B">
        <w:rPr>
          <w:rFonts w:cs="Times New Roman"/>
          <w:color w:val="000000"/>
          <w:sz w:val="23"/>
          <w:szCs w:val="23"/>
        </w:rPr>
        <w:t>.</w:t>
      </w:r>
      <w:r w:rsidRPr="00DC3020">
        <w:rPr>
          <w:rFonts w:cs="Times New Roman"/>
          <w:color w:val="000000"/>
          <w:sz w:val="23"/>
          <w:szCs w:val="23"/>
        </w:rPr>
        <w:t xml:space="preserve"> CMS made adjustments in consideration of those comments</w:t>
      </w:r>
      <w:r w:rsidR="00620E7B">
        <w:rPr>
          <w:rFonts w:cs="Times New Roman"/>
          <w:color w:val="000000"/>
          <w:sz w:val="23"/>
          <w:szCs w:val="23"/>
        </w:rPr>
        <w:t xml:space="preserve">, </w:t>
      </w:r>
      <w:r w:rsidRPr="00F56F50" w:rsidR="00620E7B">
        <w:rPr>
          <w:rFonts w:cs="Times New Roman"/>
          <w:color w:val="000000"/>
          <w:szCs w:val="24"/>
        </w:rPr>
        <w:t>includin</w:t>
      </w:r>
      <w:r w:rsidRPr="00F56F50" w:rsidR="005544DA">
        <w:rPr>
          <w:rFonts w:cs="Times New Roman"/>
          <w:color w:val="000000"/>
          <w:szCs w:val="24"/>
        </w:rPr>
        <w:t>g:</w:t>
      </w:r>
    </w:p>
    <w:p w:rsidRPr="00F56F50" w:rsidR="005544DA" w:rsidP="005544DA" w:rsidRDefault="005544DA" w14:paraId="54F5CAE2" w14:textId="2B4B8D73">
      <w:pPr>
        <w:pStyle w:val="ListParagraph"/>
        <w:widowControl w:val="0"/>
        <w:numPr>
          <w:ilvl w:val="0"/>
          <w:numId w:val="10"/>
        </w:numPr>
        <w:kinsoku w:val="0"/>
        <w:overflowPunct w:val="0"/>
        <w:autoSpaceDE w:val="0"/>
        <w:autoSpaceDN w:val="0"/>
        <w:adjustRightInd w:val="0"/>
        <w:spacing w:after="0" w:line="240" w:lineRule="auto"/>
        <w:ind w:right="634"/>
        <w:rPr>
          <w:rFonts w:ascii="Times New Roman" w:hAnsi="Times New Roman"/>
          <w:sz w:val="24"/>
          <w:szCs w:val="24"/>
        </w:rPr>
      </w:pPr>
      <w:r w:rsidRPr="00F56F50">
        <w:rPr>
          <w:rFonts w:ascii="Times New Roman" w:hAnsi="Times New Roman"/>
          <w:color w:val="000000"/>
          <w:sz w:val="24"/>
          <w:szCs w:val="24"/>
        </w:rPr>
        <w:t>Re-categoriz</w:t>
      </w:r>
      <w:r w:rsidR="00F56F50">
        <w:rPr>
          <w:rFonts w:ascii="Times New Roman" w:hAnsi="Times New Roman"/>
          <w:color w:val="000000"/>
          <w:sz w:val="24"/>
          <w:szCs w:val="24"/>
        </w:rPr>
        <w:t>ed</w:t>
      </w:r>
      <w:r w:rsidRPr="00F56F50">
        <w:rPr>
          <w:rFonts w:ascii="Times New Roman" w:hAnsi="Times New Roman"/>
          <w:color w:val="000000"/>
          <w:sz w:val="24"/>
          <w:szCs w:val="24"/>
        </w:rPr>
        <w:t xml:space="preserve"> </w:t>
      </w:r>
      <w:r w:rsidR="00F56F50">
        <w:rPr>
          <w:rFonts w:ascii="Times New Roman" w:hAnsi="Times New Roman"/>
          <w:color w:val="000000"/>
          <w:sz w:val="24"/>
          <w:szCs w:val="24"/>
        </w:rPr>
        <w:t>four</w:t>
      </w:r>
      <w:r w:rsidRPr="00F56F50">
        <w:rPr>
          <w:rFonts w:ascii="Times New Roman" w:hAnsi="Times New Roman"/>
          <w:color w:val="000000"/>
          <w:sz w:val="24"/>
          <w:szCs w:val="24"/>
        </w:rPr>
        <w:t xml:space="preserve"> metrics from “required” to “recommended” in the Medicaid Section 1115 SMI Demonstration metrics monitoring workbook/planned metrics</w:t>
      </w:r>
      <w:r w:rsidR="00F56F50">
        <w:rPr>
          <w:rFonts w:ascii="Times New Roman" w:hAnsi="Times New Roman"/>
          <w:color w:val="000000"/>
          <w:sz w:val="24"/>
          <w:szCs w:val="24"/>
        </w:rPr>
        <w:t xml:space="preserve"> based on feedback that data required to report on these metrics may be difficult for states to collect</w:t>
      </w:r>
    </w:p>
    <w:p w:rsidRPr="00F56F50" w:rsidR="005544DA" w:rsidP="005544DA" w:rsidRDefault="005544DA" w14:paraId="36DB498A" w14:textId="4EABE799">
      <w:pPr>
        <w:pStyle w:val="ListParagraph"/>
        <w:widowControl w:val="0"/>
        <w:numPr>
          <w:ilvl w:val="0"/>
          <w:numId w:val="10"/>
        </w:numPr>
        <w:kinsoku w:val="0"/>
        <w:overflowPunct w:val="0"/>
        <w:autoSpaceDE w:val="0"/>
        <w:autoSpaceDN w:val="0"/>
        <w:adjustRightInd w:val="0"/>
        <w:spacing w:after="0" w:line="240" w:lineRule="auto"/>
        <w:ind w:right="634"/>
        <w:rPr>
          <w:rFonts w:ascii="Times New Roman" w:hAnsi="Times New Roman"/>
          <w:sz w:val="24"/>
          <w:szCs w:val="24"/>
        </w:rPr>
      </w:pPr>
      <w:r w:rsidRPr="00F56F50">
        <w:rPr>
          <w:rFonts w:ascii="Times New Roman" w:hAnsi="Times New Roman"/>
          <w:color w:val="000000"/>
          <w:sz w:val="24"/>
          <w:szCs w:val="24"/>
        </w:rPr>
        <w:t>Provid</w:t>
      </w:r>
      <w:r w:rsidR="00F56F50">
        <w:rPr>
          <w:rFonts w:ascii="Times New Roman" w:hAnsi="Times New Roman"/>
          <w:color w:val="000000"/>
          <w:sz w:val="24"/>
          <w:szCs w:val="24"/>
        </w:rPr>
        <w:t>ed</w:t>
      </w:r>
      <w:r w:rsidRPr="00F56F50">
        <w:rPr>
          <w:rFonts w:ascii="Times New Roman" w:hAnsi="Times New Roman"/>
          <w:color w:val="000000"/>
          <w:sz w:val="24"/>
          <w:szCs w:val="24"/>
        </w:rPr>
        <w:t xml:space="preserve"> a cut-off date to determine if beneficiaries </w:t>
      </w:r>
      <w:r w:rsidR="00F47769">
        <w:rPr>
          <w:rFonts w:ascii="Times New Roman" w:hAnsi="Times New Roman"/>
          <w:color w:val="000000"/>
          <w:sz w:val="24"/>
          <w:szCs w:val="24"/>
        </w:rPr>
        <w:t>falls under the</w:t>
      </w:r>
      <w:r w:rsidRPr="00F56F50">
        <w:rPr>
          <w:rFonts w:ascii="Times New Roman" w:hAnsi="Times New Roman"/>
          <w:color w:val="000000"/>
          <w:sz w:val="24"/>
          <w:szCs w:val="24"/>
        </w:rPr>
        <w:t xml:space="preserve"> SMI or SED category in the Medicaid Section 1115 SMI Current Availability Assessment</w:t>
      </w:r>
      <w:r w:rsidR="00F56F50">
        <w:rPr>
          <w:rFonts w:ascii="Times New Roman" w:hAnsi="Times New Roman"/>
          <w:color w:val="000000"/>
          <w:sz w:val="24"/>
          <w:szCs w:val="24"/>
        </w:rPr>
        <w:t>.</w:t>
      </w:r>
    </w:p>
    <w:p w:rsidRPr="00F023E5" w:rsidR="00F47769" w:rsidP="00F023E5" w:rsidRDefault="00F47769" w14:paraId="36F67C07" w14:textId="77777777">
      <w:pPr>
        <w:pStyle w:val="ListParagraph"/>
        <w:widowControl w:val="0"/>
        <w:numPr>
          <w:ilvl w:val="0"/>
          <w:numId w:val="10"/>
        </w:numPr>
        <w:kinsoku w:val="0"/>
        <w:overflowPunct w:val="0"/>
        <w:autoSpaceDE w:val="0"/>
        <w:autoSpaceDN w:val="0"/>
        <w:adjustRightInd w:val="0"/>
        <w:spacing w:after="0" w:line="240" w:lineRule="auto"/>
        <w:ind w:right="634"/>
        <w:rPr>
          <w:rFonts w:ascii="Times New Roman" w:hAnsi="Times New Roman"/>
          <w:color w:val="000000"/>
          <w:sz w:val="24"/>
          <w:szCs w:val="24"/>
        </w:rPr>
      </w:pPr>
      <w:r w:rsidRPr="00F023E5">
        <w:rPr>
          <w:rFonts w:ascii="Times New Roman" w:hAnsi="Times New Roman"/>
          <w:color w:val="000000"/>
          <w:sz w:val="24"/>
          <w:szCs w:val="24"/>
        </w:rPr>
        <w:t>Clarified that Medicaid beneficiaries who are eligible to receive a service—rather than those who receive a service—should be included in calculations/counts for the Medicaid Section 1115 SMI Current Availability Assessment</w:t>
      </w:r>
    </w:p>
    <w:p w:rsidR="002C3A2C" w:rsidP="002C3A2C" w:rsidRDefault="002C3A2C" w14:paraId="51BEAEE7" w14:textId="52DA8F97">
      <w:pPr>
        <w:widowControl w:val="0"/>
        <w:kinsoku w:val="0"/>
        <w:overflowPunct w:val="0"/>
        <w:autoSpaceDE w:val="0"/>
        <w:autoSpaceDN w:val="0"/>
        <w:adjustRightInd w:val="0"/>
        <w:spacing w:after="0" w:line="240" w:lineRule="auto"/>
        <w:ind w:right="634"/>
        <w:rPr>
          <w:rFonts w:cs="Times New Roman"/>
          <w:color w:val="000000"/>
          <w:sz w:val="23"/>
          <w:szCs w:val="23"/>
        </w:rPr>
      </w:pPr>
    </w:p>
    <w:p w:rsidRPr="00F76379" w:rsidR="00F76379" w:rsidP="002C3A2C" w:rsidRDefault="00F56F50" w14:paraId="1B32FEC8" w14:textId="3FE4A622">
      <w:pPr>
        <w:widowControl w:val="0"/>
        <w:kinsoku w:val="0"/>
        <w:overflowPunct w:val="0"/>
        <w:autoSpaceDE w:val="0"/>
        <w:autoSpaceDN w:val="0"/>
        <w:adjustRightInd w:val="0"/>
        <w:spacing w:after="0" w:line="240" w:lineRule="auto"/>
        <w:ind w:right="634"/>
        <w:rPr>
          <w:rFonts w:cs="Times New Roman"/>
          <w:color w:val="000000"/>
          <w:szCs w:val="24"/>
        </w:rPr>
      </w:pPr>
      <w:r w:rsidRPr="00F76379">
        <w:rPr>
          <w:rFonts w:cs="Times New Roman"/>
          <w:color w:val="000000"/>
          <w:szCs w:val="24"/>
        </w:rPr>
        <w:t xml:space="preserve">Other feedback from the State Advisory </w:t>
      </w:r>
      <w:r w:rsidR="00AA23A4">
        <w:rPr>
          <w:rFonts w:cs="Times New Roman"/>
          <w:color w:val="000000"/>
          <w:szCs w:val="24"/>
        </w:rPr>
        <w:t>G</w:t>
      </w:r>
      <w:r w:rsidRPr="00F76379">
        <w:rPr>
          <w:rFonts w:cs="Times New Roman"/>
          <w:color w:val="000000"/>
          <w:szCs w:val="24"/>
        </w:rPr>
        <w:t xml:space="preserve">roup </w:t>
      </w:r>
      <w:r w:rsidRPr="00F76379" w:rsidR="00F76379">
        <w:rPr>
          <w:rFonts w:cs="Times New Roman"/>
          <w:color w:val="000000"/>
          <w:szCs w:val="24"/>
        </w:rPr>
        <w:t>that did not result in adjustments included:</w:t>
      </w:r>
    </w:p>
    <w:p w:rsidRPr="00F76379" w:rsidR="00F76379" w:rsidP="002C3A2C" w:rsidRDefault="00F76379" w14:paraId="54A6719F" w14:textId="77777777">
      <w:pPr>
        <w:widowControl w:val="0"/>
        <w:kinsoku w:val="0"/>
        <w:overflowPunct w:val="0"/>
        <w:autoSpaceDE w:val="0"/>
        <w:autoSpaceDN w:val="0"/>
        <w:adjustRightInd w:val="0"/>
        <w:spacing w:after="0" w:line="240" w:lineRule="auto"/>
        <w:ind w:right="634"/>
        <w:rPr>
          <w:rFonts w:cs="Times New Roman"/>
          <w:color w:val="000000"/>
          <w:szCs w:val="24"/>
        </w:rPr>
      </w:pPr>
    </w:p>
    <w:p w:rsidRPr="00AA23A4" w:rsidR="00F56F50" w:rsidP="00F76379" w:rsidRDefault="00AA23A4" w14:paraId="25C36F92" w14:textId="3F9F4BEE">
      <w:pPr>
        <w:pStyle w:val="ListParagraph"/>
        <w:widowControl w:val="0"/>
        <w:numPr>
          <w:ilvl w:val="0"/>
          <w:numId w:val="11"/>
        </w:numPr>
        <w:kinsoku w:val="0"/>
        <w:overflowPunct w:val="0"/>
        <w:autoSpaceDE w:val="0"/>
        <w:autoSpaceDN w:val="0"/>
        <w:adjustRightInd w:val="0"/>
        <w:spacing w:after="0" w:line="240" w:lineRule="auto"/>
        <w:ind w:right="634"/>
        <w:rPr>
          <w:rFonts w:ascii="Times New Roman" w:hAnsi="Times New Roman"/>
          <w:color w:val="000000"/>
          <w:sz w:val="24"/>
          <w:szCs w:val="24"/>
        </w:rPr>
      </w:pPr>
      <w:r w:rsidRPr="00AA23A4">
        <w:rPr>
          <w:rFonts w:ascii="Times New Roman" w:hAnsi="Times New Roman"/>
          <w:color w:val="000000"/>
          <w:sz w:val="24"/>
          <w:szCs w:val="24"/>
        </w:rPr>
        <w:t>State Advisory Group members r</w:t>
      </w:r>
      <w:r w:rsidRPr="00AA23A4" w:rsidR="00F76379">
        <w:rPr>
          <w:rFonts w:ascii="Times New Roman" w:hAnsi="Times New Roman"/>
          <w:color w:val="000000"/>
          <w:sz w:val="24"/>
          <w:szCs w:val="24"/>
        </w:rPr>
        <w:t>equest</w:t>
      </w:r>
      <w:r w:rsidRPr="00AA23A4">
        <w:rPr>
          <w:rFonts w:ascii="Times New Roman" w:hAnsi="Times New Roman"/>
          <w:color w:val="000000"/>
          <w:sz w:val="24"/>
          <w:szCs w:val="24"/>
        </w:rPr>
        <w:t>ed</w:t>
      </w:r>
      <w:r w:rsidRPr="00AA23A4" w:rsidR="00F76379">
        <w:rPr>
          <w:rFonts w:ascii="Times New Roman" w:hAnsi="Times New Roman"/>
          <w:color w:val="000000"/>
          <w:sz w:val="24"/>
          <w:szCs w:val="24"/>
        </w:rPr>
        <w:t xml:space="preserve"> CMS provide </w:t>
      </w:r>
      <w:r w:rsidRPr="00AA23A4" w:rsidR="005A4167">
        <w:rPr>
          <w:rFonts w:ascii="Times New Roman" w:hAnsi="Times New Roman"/>
          <w:color w:val="000000"/>
          <w:sz w:val="24"/>
          <w:szCs w:val="24"/>
        </w:rPr>
        <w:t>guidance on</w:t>
      </w:r>
      <w:r w:rsidRPr="00AA23A4" w:rsidR="00F76379">
        <w:rPr>
          <w:rFonts w:ascii="Times New Roman" w:hAnsi="Times New Roman"/>
          <w:color w:val="000000"/>
          <w:sz w:val="24"/>
          <w:szCs w:val="24"/>
        </w:rPr>
        <w:t xml:space="preserve"> defin</w:t>
      </w:r>
      <w:r w:rsidRPr="00AA23A4" w:rsidR="005A4167">
        <w:rPr>
          <w:rFonts w:ascii="Times New Roman" w:hAnsi="Times New Roman"/>
          <w:color w:val="000000"/>
          <w:sz w:val="24"/>
          <w:szCs w:val="24"/>
        </w:rPr>
        <w:t>ing</w:t>
      </w:r>
      <w:r w:rsidRPr="00AA23A4" w:rsidR="00F76379">
        <w:rPr>
          <w:rFonts w:ascii="Times New Roman" w:hAnsi="Times New Roman"/>
          <w:color w:val="000000"/>
          <w:sz w:val="24"/>
          <w:szCs w:val="24"/>
        </w:rPr>
        <w:t xml:space="preserve"> beneficiaries with SMI and SED. States will identify the populations covered by the demonstration</w:t>
      </w:r>
      <w:r w:rsidRPr="00AA23A4" w:rsidR="005A4167">
        <w:rPr>
          <w:rFonts w:ascii="Times New Roman" w:hAnsi="Times New Roman"/>
          <w:color w:val="000000"/>
          <w:sz w:val="24"/>
          <w:szCs w:val="24"/>
        </w:rPr>
        <w:t>,</w:t>
      </w:r>
      <w:r w:rsidRPr="00AA23A4" w:rsidR="00F76379">
        <w:rPr>
          <w:rFonts w:ascii="Times New Roman" w:hAnsi="Times New Roman"/>
          <w:color w:val="000000"/>
          <w:sz w:val="24"/>
          <w:szCs w:val="24"/>
        </w:rPr>
        <w:t xml:space="preserve"> and </w:t>
      </w:r>
      <w:r w:rsidRPr="00AA23A4" w:rsidR="005A4167">
        <w:rPr>
          <w:rFonts w:ascii="Times New Roman" w:hAnsi="Times New Roman"/>
          <w:color w:val="000000"/>
          <w:sz w:val="24"/>
          <w:szCs w:val="24"/>
        </w:rPr>
        <w:t xml:space="preserve">individually </w:t>
      </w:r>
      <w:r w:rsidRPr="00AA23A4" w:rsidR="00F76379">
        <w:rPr>
          <w:rFonts w:ascii="Times New Roman" w:hAnsi="Times New Roman"/>
          <w:color w:val="000000"/>
          <w:sz w:val="24"/>
          <w:szCs w:val="24"/>
        </w:rPr>
        <w:t xml:space="preserve">establish data definitions for </w:t>
      </w:r>
      <w:r w:rsidRPr="00AA23A4" w:rsidR="005A4167">
        <w:rPr>
          <w:rFonts w:ascii="Times New Roman" w:hAnsi="Times New Roman"/>
          <w:color w:val="000000"/>
          <w:sz w:val="24"/>
          <w:szCs w:val="24"/>
        </w:rPr>
        <w:t xml:space="preserve">beneficiaries with </w:t>
      </w:r>
      <w:r w:rsidRPr="00AA23A4" w:rsidR="00F76379">
        <w:rPr>
          <w:rFonts w:ascii="Times New Roman" w:hAnsi="Times New Roman"/>
          <w:color w:val="000000"/>
          <w:sz w:val="24"/>
          <w:szCs w:val="24"/>
        </w:rPr>
        <w:t xml:space="preserve">SMI </w:t>
      </w:r>
      <w:r w:rsidRPr="00AA23A4" w:rsidR="005A4167">
        <w:rPr>
          <w:rFonts w:ascii="Times New Roman" w:hAnsi="Times New Roman"/>
          <w:color w:val="000000"/>
          <w:sz w:val="24"/>
          <w:szCs w:val="24"/>
        </w:rPr>
        <w:t>and SED</w:t>
      </w:r>
      <w:r w:rsidRPr="00AA23A4" w:rsidR="00440D60">
        <w:rPr>
          <w:rFonts w:ascii="Times New Roman" w:hAnsi="Times New Roman"/>
          <w:color w:val="000000"/>
          <w:sz w:val="24"/>
          <w:szCs w:val="24"/>
        </w:rPr>
        <w:t>.</w:t>
      </w:r>
      <w:r w:rsidRPr="00AA23A4" w:rsidR="005A4167">
        <w:rPr>
          <w:rFonts w:ascii="Times New Roman" w:hAnsi="Times New Roman"/>
          <w:color w:val="000000"/>
          <w:sz w:val="24"/>
          <w:szCs w:val="24"/>
        </w:rPr>
        <w:t xml:space="preserve"> </w:t>
      </w:r>
    </w:p>
    <w:p w:rsidRPr="00F76379" w:rsidR="00F76379" w:rsidP="00F76379" w:rsidRDefault="00AA23A4" w14:paraId="5682387E" w14:textId="5DEE08D5">
      <w:pPr>
        <w:pStyle w:val="ListParagraph"/>
        <w:widowControl w:val="0"/>
        <w:numPr>
          <w:ilvl w:val="0"/>
          <w:numId w:val="11"/>
        </w:numPr>
        <w:kinsoku w:val="0"/>
        <w:overflowPunct w:val="0"/>
        <w:autoSpaceDE w:val="0"/>
        <w:autoSpaceDN w:val="0"/>
        <w:adjustRightInd w:val="0"/>
        <w:spacing w:after="0" w:line="240" w:lineRule="auto"/>
        <w:ind w:right="634"/>
        <w:rPr>
          <w:rFonts w:ascii="Times New Roman" w:hAnsi="Times New Roman"/>
          <w:sz w:val="24"/>
          <w:szCs w:val="24"/>
        </w:rPr>
      </w:pPr>
      <w:r w:rsidRPr="00AA23A4">
        <w:rPr>
          <w:rFonts w:ascii="Times New Roman" w:hAnsi="Times New Roman"/>
          <w:sz w:val="24"/>
          <w:szCs w:val="24"/>
        </w:rPr>
        <w:t>State Advisory Group members s</w:t>
      </w:r>
      <w:r w:rsidRPr="00AA23A4" w:rsidR="00F76379">
        <w:rPr>
          <w:rFonts w:ascii="Times New Roman" w:hAnsi="Times New Roman"/>
          <w:sz w:val="24"/>
          <w:szCs w:val="24"/>
        </w:rPr>
        <w:t>uggest</w:t>
      </w:r>
      <w:r w:rsidRPr="00AA23A4">
        <w:rPr>
          <w:rFonts w:ascii="Times New Roman" w:hAnsi="Times New Roman"/>
          <w:sz w:val="24"/>
          <w:szCs w:val="24"/>
        </w:rPr>
        <w:t>ed</w:t>
      </w:r>
      <w:r w:rsidRPr="00AA23A4" w:rsidR="00F76379">
        <w:rPr>
          <w:rFonts w:ascii="Times New Roman" w:hAnsi="Times New Roman"/>
          <w:sz w:val="24"/>
          <w:szCs w:val="24"/>
        </w:rPr>
        <w:t xml:space="preserve"> </w:t>
      </w:r>
      <w:r w:rsidRPr="00AA23A4">
        <w:rPr>
          <w:rFonts w:ascii="Times New Roman" w:hAnsi="Times New Roman"/>
          <w:sz w:val="24"/>
          <w:szCs w:val="24"/>
        </w:rPr>
        <w:t>CMS</w:t>
      </w:r>
      <w:r w:rsidRPr="00AA23A4" w:rsidR="00F76379">
        <w:rPr>
          <w:rFonts w:ascii="Times New Roman" w:hAnsi="Times New Roman"/>
          <w:sz w:val="24"/>
          <w:szCs w:val="24"/>
        </w:rPr>
        <w:t xml:space="preserve"> remove data elements from the Medicaid Section 1115 SMI Current Availability Assessment. States</w:t>
      </w:r>
      <w:r w:rsidRPr="00F76379" w:rsidR="00F76379">
        <w:rPr>
          <w:rFonts w:ascii="Times New Roman" w:hAnsi="Times New Roman"/>
          <w:sz w:val="24"/>
          <w:szCs w:val="24"/>
        </w:rPr>
        <w:t xml:space="preserve"> that are unable to provide data for certain elements may use the “Notes” columns in each section of the template to explain any missing or incomplete data the state is unable to report</w:t>
      </w:r>
      <w:r w:rsidR="00440D60">
        <w:rPr>
          <w:rFonts w:ascii="Times New Roman" w:hAnsi="Times New Roman"/>
          <w:sz w:val="24"/>
          <w:szCs w:val="24"/>
        </w:rPr>
        <w:t>.</w:t>
      </w:r>
    </w:p>
    <w:p w:rsidRPr="00DC3020" w:rsidR="00F56F50" w:rsidP="002C3A2C" w:rsidRDefault="00F56F50" w14:paraId="5AF06EE6" w14:textId="77777777">
      <w:pPr>
        <w:widowControl w:val="0"/>
        <w:kinsoku w:val="0"/>
        <w:overflowPunct w:val="0"/>
        <w:autoSpaceDE w:val="0"/>
        <w:autoSpaceDN w:val="0"/>
        <w:adjustRightInd w:val="0"/>
        <w:spacing w:after="0" w:line="240" w:lineRule="auto"/>
        <w:ind w:right="634"/>
        <w:rPr>
          <w:rFonts w:cs="Times New Roman"/>
          <w:color w:val="000000"/>
          <w:sz w:val="23"/>
          <w:szCs w:val="23"/>
        </w:rPr>
      </w:pPr>
    </w:p>
    <w:p w:rsidR="002C3A2C" w:rsidP="002B3F1C" w:rsidRDefault="002C3A2C" w14:paraId="3E8A5A70" w14:textId="7D34561B">
      <w:pPr>
        <w:widowControl w:val="0"/>
        <w:kinsoku w:val="0"/>
        <w:overflowPunct w:val="0"/>
        <w:autoSpaceDE w:val="0"/>
        <w:autoSpaceDN w:val="0"/>
        <w:adjustRightInd w:val="0"/>
        <w:spacing w:after="0" w:line="240" w:lineRule="auto"/>
        <w:ind w:right="634"/>
      </w:pPr>
      <w:r w:rsidRPr="00223FCC">
        <w:rPr>
          <w:sz w:val="23"/>
        </w:rPr>
        <w:t xml:space="preserve">CMS believes that </w:t>
      </w:r>
      <w:r w:rsidR="003217E5">
        <w:rPr>
          <w:sz w:val="23"/>
        </w:rPr>
        <w:t>the templates, metrics, and current availability assessment</w:t>
      </w:r>
      <w:r w:rsidRPr="00223FCC">
        <w:rPr>
          <w:sz w:val="23"/>
        </w:rPr>
        <w:t xml:space="preserve"> are noncontroversial</w:t>
      </w:r>
      <w:r w:rsidR="00B857A1">
        <w:rPr>
          <w:sz w:val="23"/>
        </w:rPr>
        <w:t>,</w:t>
      </w:r>
      <w:r w:rsidRPr="00223FCC">
        <w:rPr>
          <w:sz w:val="23"/>
        </w:rPr>
        <w:t xml:space="preserve"> </w:t>
      </w:r>
      <w:r w:rsidR="001C7FEB">
        <w:rPr>
          <w:sz w:val="23"/>
        </w:rPr>
        <w:t xml:space="preserve">as they are </w:t>
      </w:r>
      <w:r w:rsidRPr="001C7FEB" w:rsidR="001C7FEB">
        <w:rPr>
          <w:sz w:val="23"/>
        </w:rPr>
        <w:t>consistent with the requirements of the STCs to which approved states have agreed</w:t>
      </w:r>
      <w:r w:rsidR="003217E5">
        <w:rPr>
          <w:sz w:val="23"/>
        </w:rPr>
        <w:t xml:space="preserve"> and are similar to the templates currently used by states for other section 1115 demonstrations</w:t>
      </w:r>
      <w:r w:rsidR="001C7FEB">
        <w:rPr>
          <w:sz w:val="23"/>
        </w:rPr>
        <w:t>.</w:t>
      </w:r>
      <w:r w:rsidRPr="001C7FEB" w:rsidDel="001C7FEB" w:rsidR="001C7FEB">
        <w:rPr>
          <w:sz w:val="23"/>
        </w:rPr>
        <w:t xml:space="preserve"> </w:t>
      </w:r>
      <w:r w:rsidR="001C7FEB">
        <w:rPr>
          <w:sz w:val="23"/>
        </w:rPr>
        <w:t>CMS</w:t>
      </w:r>
      <w:r w:rsidR="00B857A1">
        <w:rPr>
          <w:sz w:val="23"/>
        </w:rPr>
        <w:t xml:space="preserve"> </w:t>
      </w:r>
      <w:r w:rsidRPr="00DC3020">
        <w:t xml:space="preserve">does not anticipate any adverse reaction from interested parties. </w:t>
      </w:r>
    </w:p>
    <w:p w:rsidR="00C3485F" w:rsidP="00631F0F" w:rsidRDefault="00C3485F" w14:paraId="355EE819" w14:textId="77777777">
      <w:pPr>
        <w:autoSpaceDE w:val="0"/>
        <w:autoSpaceDN w:val="0"/>
        <w:adjustRightInd w:val="0"/>
        <w:spacing w:after="0" w:line="240" w:lineRule="auto"/>
        <w:rPr>
          <w:rFonts w:cs="Times New Roman"/>
          <w:color w:val="000000"/>
          <w:sz w:val="23"/>
          <w:szCs w:val="23"/>
          <w:highlight w:val="yellow"/>
        </w:rPr>
      </w:pPr>
    </w:p>
    <w:p w:rsidRPr="00522B1D" w:rsidR="005556AE" w:rsidP="0088327A" w:rsidRDefault="005556AE" w14:paraId="5DD8A6AF" w14:textId="77777777">
      <w:pPr>
        <w:pStyle w:val="Heading1"/>
        <w:numPr>
          <w:ilvl w:val="0"/>
          <w:numId w:val="3"/>
        </w:numPr>
      </w:pPr>
      <w:r w:rsidRPr="00522B1D">
        <w:t>Description of Information Collection</w:t>
      </w:r>
    </w:p>
    <w:p w:rsidR="0082047B" w:rsidP="0082047B" w:rsidRDefault="0082047B" w14:paraId="5B7F6263"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Pr="00864B8A" w:rsidR="00864B8A" w:rsidP="00864B8A" w:rsidRDefault="0082047B" w14:paraId="0C98BB10" w14:textId="5C4850B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31732B">
        <w:rPr>
          <w:rFonts w:ascii="Times New Roman" w:hAnsi="Times New Roman"/>
          <w:sz w:val="24"/>
          <w:szCs w:val="24"/>
        </w:rPr>
        <w:t xml:space="preserve">Respondents </w:t>
      </w:r>
      <w:r>
        <w:rPr>
          <w:rFonts w:ascii="Times New Roman" w:hAnsi="Times New Roman"/>
          <w:sz w:val="24"/>
          <w:szCs w:val="24"/>
        </w:rPr>
        <w:t>(</w:t>
      </w:r>
      <w:r w:rsidRPr="00584BB1">
        <w:rPr>
          <w:rFonts w:ascii="Times New Roman" w:hAnsi="Times New Roman"/>
          <w:sz w:val="24"/>
          <w:szCs w:val="24"/>
        </w:rPr>
        <w:t>State Medicaid Agencies</w:t>
      </w:r>
      <w:r>
        <w:rPr>
          <w:rFonts w:ascii="Times New Roman" w:hAnsi="Times New Roman"/>
          <w:sz w:val="24"/>
          <w:szCs w:val="24"/>
        </w:rPr>
        <w:t xml:space="preserve">) </w:t>
      </w:r>
      <w:r w:rsidRPr="0031732B">
        <w:rPr>
          <w:rFonts w:ascii="Times New Roman" w:hAnsi="Times New Roman"/>
          <w:sz w:val="24"/>
          <w:szCs w:val="24"/>
        </w:rPr>
        <w:t>will manually populate the necessary data</w:t>
      </w:r>
      <w:r w:rsidRPr="0031732B">
        <w:rPr>
          <w:rFonts w:ascii="Times New Roman" w:hAnsi="Times New Roman"/>
          <w:spacing w:val="32"/>
          <w:sz w:val="24"/>
          <w:szCs w:val="24"/>
        </w:rPr>
        <w:t xml:space="preserve"> </w:t>
      </w:r>
      <w:r w:rsidRPr="0031732B">
        <w:rPr>
          <w:rFonts w:ascii="Times New Roman" w:hAnsi="Times New Roman"/>
          <w:sz w:val="24"/>
          <w:szCs w:val="24"/>
        </w:rPr>
        <w:t>fields</w:t>
      </w:r>
      <w:r>
        <w:rPr>
          <w:rFonts w:ascii="Times New Roman" w:hAnsi="Times New Roman"/>
          <w:sz w:val="24"/>
          <w:szCs w:val="24"/>
        </w:rPr>
        <w:t xml:space="preserve"> in the templates and </w:t>
      </w:r>
      <w:r w:rsidRPr="00584BB1">
        <w:rPr>
          <w:rFonts w:ascii="Times New Roman" w:hAnsi="Times New Roman"/>
          <w:sz w:val="24"/>
          <w:szCs w:val="24"/>
        </w:rPr>
        <w:t xml:space="preserve">submit to </w:t>
      </w:r>
      <w:r w:rsidR="007F0C22">
        <w:rPr>
          <w:rFonts w:ascii="Times New Roman" w:hAnsi="Times New Roman"/>
          <w:sz w:val="24"/>
          <w:szCs w:val="24"/>
        </w:rPr>
        <w:t xml:space="preserve">the </w:t>
      </w:r>
      <w:r w:rsidRPr="00584BB1">
        <w:rPr>
          <w:rFonts w:ascii="Times New Roman" w:hAnsi="Times New Roman"/>
          <w:sz w:val="24"/>
          <w:szCs w:val="24"/>
        </w:rPr>
        <w:t>CMS project officer</w:t>
      </w:r>
      <w:r>
        <w:rPr>
          <w:rFonts w:ascii="Times New Roman" w:hAnsi="Times New Roman"/>
          <w:sz w:val="24"/>
          <w:szCs w:val="24"/>
        </w:rPr>
        <w:t xml:space="preserve"> and monitoring lead</w:t>
      </w:r>
      <w:r w:rsidRPr="00584BB1">
        <w:rPr>
          <w:rFonts w:ascii="Times New Roman" w:hAnsi="Times New Roman"/>
          <w:sz w:val="24"/>
          <w:szCs w:val="24"/>
        </w:rPr>
        <w:t xml:space="preserve"> electronically</w:t>
      </w:r>
      <w:r>
        <w:rPr>
          <w:rFonts w:ascii="Times New Roman" w:hAnsi="Times New Roman"/>
          <w:sz w:val="24"/>
          <w:szCs w:val="24"/>
        </w:rPr>
        <w:t xml:space="preserve"> via the Performance Metrics Database &amp; Analytics (PMDA).  </w:t>
      </w:r>
      <w:r w:rsidRPr="00694307" w:rsidR="00864B8A">
        <w:rPr>
          <w:rFonts w:ascii="Times New Roman" w:hAnsi="Times New Roman"/>
          <w:sz w:val="24"/>
          <w:szCs w:val="24"/>
        </w:rPr>
        <w:t xml:space="preserve">By incorporating these </w:t>
      </w:r>
      <w:r w:rsidRPr="003444B4" w:rsidR="003444B4">
        <w:rPr>
          <w:rFonts w:ascii="Times New Roman" w:hAnsi="Times New Roman"/>
          <w:color w:val="000000"/>
          <w:sz w:val="24"/>
          <w:szCs w:val="24"/>
        </w:rPr>
        <w:t xml:space="preserve">Medicaid Section 1115 </w:t>
      </w:r>
      <w:r w:rsidR="001567A4">
        <w:rPr>
          <w:rFonts w:ascii="Times New Roman" w:hAnsi="Times New Roman"/>
          <w:color w:val="000000"/>
          <w:sz w:val="24"/>
          <w:szCs w:val="24"/>
        </w:rPr>
        <w:t>SMI</w:t>
      </w:r>
      <w:r w:rsidR="007F0C22">
        <w:rPr>
          <w:rFonts w:ascii="Times New Roman" w:hAnsi="Times New Roman"/>
          <w:color w:val="000000"/>
          <w:sz w:val="24"/>
          <w:szCs w:val="24"/>
        </w:rPr>
        <w:t>/SED</w:t>
      </w:r>
      <w:r w:rsidRPr="00694307" w:rsidR="00864B8A">
        <w:rPr>
          <w:rFonts w:ascii="Times New Roman" w:hAnsi="Times New Roman"/>
          <w:sz w:val="24"/>
          <w:szCs w:val="24"/>
        </w:rPr>
        <w:t xml:space="preserve"> demonstration-monitoring documents into the Medicaid 1115 PMDA workflow, submissions are parsed and validated, notifying the state of any upfront potential problems with their </w:t>
      </w:r>
      <w:r w:rsidRPr="00864B8A" w:rsidR="00864B8A">
        <w:rPr>
          <w:rFonts w:ascii="Times New Roman" w:hAnsi="Times New Roman"/>
          <w:sz w:val="24"/>
          <w:szCs w:val="24"/>
        </w:rPr>
        <w:t xml:space="preserve">submissions, reducing downstream communication, and subsequent needs for clarification or modifications to the templates and metrics. </w:t>
      </w:r>
    </w:p>
    <w:p w:rsidR="00443F76" w:rsidP="00443F76" w:rsidRDefault="00443F76" w14:paraId="293EA941" w14:textId="68BEF700">
      <w:pPr>
        <w:spacing w:after="0" w:line="240" w:lineRule="auto"/>
        <w:contextualSpacing/>
      </w:pPr>
    </w:p>
    <w:p w:rsidRPr="00864B8A" w:rsidR="007F0C22" w:rsidP="007F0C22" w:rsidRDefault="007F0C22" w14:paraId="516C20DC"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864B8A">
        <w:rPr>
          <w:rFonts w:ascii="Times New Roman" w:hAnsi="Times New Roman"/>
          <w:sz w:val="24"/>
          <w:szCs w:val="24"/>
        </w:rPr>
        <w:t>The PMDA application, which issued for submission, will historically retain all monitoring data and related documents, reducing the number of duplicate records required and the need for respondents to retain records.</w:t>
      </w:r>
    </w:p>
    <w:p w:rsidRPr="00E016CC" w:rsidR="007F0C22" w:rsidP="007F0C22" w:rsidRDefault="007F0C22" w14:paraId="3C356B9E"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rPr>
      </w:pPr>
    </w:p>
    <w:p w:rsidR="007F0C22" w:rsidP="007F0C22" w:rsidRDefault="007F0C22" w14:paraId="686E621D" w14:textId="77777777">
      <w:pPr>
        <w:spacing w:after="0" w:line="240" w:lineRule="auto"/>
        <w:contextualSpacing/>
      </w:pPr>
      <w:r w:rsidRPr="00516A83">
        <w:rPr>
          <w:iCs/>
          <w:szCs w:val="24"/>
        </w:rPr>
        <w:t xml:space="preserve">The characteristics of </w:t>
      </w:r>
      <w:r>
        <w:rPr>
          <w:iCs/>
          <w:szCs w:val="24"/>
        </w:rPr>
        <w:t>the</w:t>
      </w:r>
      <w:r w:rsidRPr="00516A83">
        <w:rPr>
          <w:iCs/>
          <w:szCs w:val="24"/>
        </w:rPr>
        <w:t xml:space="preserve"> </w:t>
      </w:r>
      <w:r>
        <w:rPr>
          <w:iCs/>
          <w:szCs w:val="24"/>
        </w:rPr>
        <w:t>monitoring and evaluation requirements for each Medicaid section 1115 demonstration project</w:t>
      </w:r>
      <w:r w:rsidRPr="00516A83">
        <w:rPr>
          <w:iCs/>
          <w:szCs w:val="24"/>
        </w:rPr>
        <w:t xml:space="preserve"> are determined as part of CMS and state negotiations </w:t>
      </w:r>
      <w:r>
        <w:rPr>
          <w:iCs/>
          <w:szCs w:val="24"/>
        </w:rPr>
        <w:t xml:space="preserve">that culminate </w:t>
      </w:r>
      <w:r>
        <w:t>the</w:t>
      </w:r>
      <w:r w:rsidRPr="00FD3FD2">
        <w:t xml:space="preserve"> demonstration’s </w:t>
      </w:r>
      <w:r>
        <w:t xml:space="preserve">STCs.  These STCs </w:t>
      </w:r>
      <w:r w:rsidRPr="00FD3FD2">
        <w:t xml:space="preserve">include </w:t>
      </w:r>
      <w:r>
        <w:t xml:space="preserve">a </w:t>
      </w:r>
      <w:r w:rsidRPr="00FD3FD2">
        <w:t>section describing the monitoring</w:t>
      </w:r>
      <w:r>
        <w:t>, evaluation</w:t>
      </w:r>
      <w:r w:rsidRPr="00FD3FD2">
        <w:t xml:space="preserve"> requirements and corrective actions. Together, these STCs</w:t>
      </w:r>
      <w:r>
        <w:t xml:space="preserve"> describe the process by which s</w:t>
      </w:r>
      <w:r w:rsidRPr="00FD3FD2">
        <w:t>tate</w:t>
      </w:r>
      <w:r>
        <w:t>s</w:t>
      </w:r>
      <w:r w:rsidRPr="00FD3FD2">
        <w:t xml:space="preserve"> should </w:t>
      </w:r>
      <w:r>
        <w:t xml:space="preserve">submit these required </w:t>
      </w:r>
      <w:r w:rsidRPr="00FD3FD2">
        <w:t>report</w:t>
      </w:r>
      <w:r>
        <w:t>s</w:t>
      </w:r>
      <w:r w:rsidRPr="00FD3FD2">
        <w:t xml:space="preserve">. </w:t>
      </w:r>
    </w:p>
    <w:p w:rsidR="007F0C22" w:rsidP="00443F76" w:rsidRDefault="007F0C22" w14:paraId="094FB1FE" w14:textId="77777777">
      <w:pPr>
        <w:spacing w:after="0" w:line="240" w:lineRule="auto"/>
        <w:contextualSpacing/>
      </w:pPr>
    </w:p>
    <w:p w:rsidR="003D374C" w:rsidP="00443F76" w:rsidRDefault="00443F76" w14:paraId="63EFE346" w14:textId="77777777">
      <w:pPr>
        <w:spacing w:after="0" w:line="240" w:lineRule="auto"/>
        <w:contextualSpacing/>
      </w:pPr>
      <w:r w:rsidRPr="007D39FD">
        <w:t>Per each demonstration’s STC</w:t>
      </w:r>
      <w:r w:rsidRPr="007D39FD" w:rsidR="006D7353">
        <w:t>s</w:t>
      </w:r>
      <w:r w:rsidRPr="007D39FD">
        <w:t>, states are required to submit to CMS quarterly monitoring reports within 60-days of the end of each quarter, as well as an annual report within 90-days of a demonstration year’s completion</w:t>
      </w:r>
      <w:r>
        <w:t xml:space="preserve">. </w:t>
      </w:r>
      <w:r w:rsidRPr="00FE4F27">
        <w:t xml:space="preserve"> </w:t>
      </w:r>
    </w:p>
    <w:p w:rsidR="005A72FC" w:rsidP="00443F76" w:rsidRDefault="005A72FC" w14:paraId="04EEEB45" w14:textId="77777777">
      <w:pPr>
        <w:spacing w:after="0" w:line="240" w:lineRule="auto"/>
        <w:contextualSpacing/>
      </w:pPr>
    </w:p>
    <w:p w:rsidR="005A72FC" w:rsidP="005A72FC" w:rsidRDefault="005A72FC" w14:paraId="5CC46CB0" w14:textId="1D601BC9">
      <w:pPr>
        <w:spacing w:after="0" w:line="240" w:lineRule="auto"/>
        <w:rPr>
          <w:szCs w:val="24"/>
        </w:rPr>
      </w:pPr>
      <w:r>
        <w:rPr>
          <w:szCs w:val="24"/>
        </w:rPr>
        <w:t xml:space="preserve">Currently, there are inconsistencies in the manner in which states submit their required monitoring reports, in significant part due to minimal standardization of the collection instrument.  This causes time- consuming reviews and does not support </w:t>
      </w:r>
      <w:r w:rsidR="00EE5F43">
        <w:rPr>
          <w:szCs w:val="24"/>
        </w:rPr>
        <w:t xml:space="preserve">efficient or robust </w:t>
      </w:r>
      <w:r>
        <w:rPr>
          <w:szCs w:val="24"/>
        </w:rPr>
        <w:t xml:space="preserve">monitoring and assessment across the </w:t>
      </w:r>
      <w:r w:rsidR="007F0C22">
        <w:rPr>
          <w:szCs w:val="24"/>
        </w:rPr>
        <w:t xml:space="preserve">section </w:t>
      </w:r>
      <w:r>
        <w:rPr>
          <w:szCs w:val="24"/>
        </w:rPr>
        <w:t xml:space="preserve">1115 demonstration portfolio.   </w:t>
      </w:r>
    </w:p>
    <w:p w:rsidR="005A72FC" w:rsidP="005A72FC" w:rsidRDefault="005A72FC" w14:paraId="768A85BC" w14:textId="77777777">
      <w:pPr>
        <w:spacing w:after="0" w:line="240" w:lineRule="auto"/>
        <w:rPr>
          <w:szCs w:val="24"/>
        </w:rPr>
      </w:pPr>
    </w:p>
    <w:p w:rsidR="005A72FC" w:rsidP="005A72FC" w:rsidRDefault="005A72FC" w14:paraId="3B39696B" w14:textId="16458AE1">
      <w:pPr>
        <w:spacing w:after="0" w:line="240" w:lineRule="auto"/>
        <w:rPr>
          <w:rFonts w:cs="Times New Roman"/>
          <w:szCs w:val="24"/>
        </w:rPr>
      </w:pPr>
      <w:r>
        <w:rPr>
          <w:szCs w:val="24"/>
        </w:rPr>
        <w:t xml:space="preserve">To support more efficient, timely and accurate review of states’ </w:t>
      </w:r>
      <w:r w:rsidRPr="00EE7851" w:rsidR="00EE7851">
        <w:rPr>
          <w:rFonts w:cs="Times New Roman"/>
          <w:color w:val="000000"/>
          <w:szCs w:val="24"/>
        </w:rPr>
        <w:t xml:space="preserve">Medicaid Section 1115 </w:t>
      </w:r>
      <w:r w:rsidR="001567A4">
        <w:rPr>
          <w:rFonts w:cs="Times New Roman"/>
          <w:color w:val="000000"/>
          <w:szCs w:val="24"/>
        </w:rPr>
        <w:t>SMI</w:t>
      </w:r>
      <w:r w:rsidR="00915EB0">
        <w:rPr>
          <w:rFonts w:cs="Times New Roman"/>
          <w:color w:val="000000"/>
          <w:szCs w:val="24"/>
        </w:rPr>
        <w:t>/SED</w:t>
      </w:r>
      <w:r w:rsidR="00EE7851">
        <w:t xml:space="preserve"> </w:t>
      </w:r>
      <w:r>
        <w:rPr>
          <w:szCs w:val="24"/>
        </w:rPr>
        <w:t xml:space="preserve">demonstrations monitoring reports submissions, CMS has </w:t>
      </w:r>
      <w:r>
        <w:rPr>
          <w:rFonts w:cs="Times New Roman"/>
          <w:szCs w:val="24"/>
        </w:rPr>
        <w:t>standardized the reporting methodology and together with automation of the reporting submission will support</w:t>
      </w:r>
      <w:r w:rsidRPr="007D67B8">
        <w:rPr>
          <w:rFonts w:cs="Times New Roman"/>
          <w:szCs w:val="24"/>
        </w:rPr>
        <w:t xml:space="preserve">: </w:t>
      </w:r>
    </w:p>
    <w:p w:rsidRPr="007D67B8" w:rsidR="005A72FC" w:rsidP="005A72FC" w:rsidRDefault="005A72FC" w14:paraId="248E0BE8" w14:textId="77777777">
      <w:pPr>
        <w:spacing w:after="0" w:line="240" w:lineRule="auto"/>
        <w:rPr>
          <w:rFonts w:cs="Times New Roman"/>
          <w:szCs w:val="24"/>
        </w:rPr>
      </w:pPr>
    </w:p>
    <w:p w:rsidRPr="000754DA" w:rsidR="00EE5F43" w:rsidP="0088327A" w:rsidRDefault="00EE5F43" w14:paraId="51004F4C" w14:textId="069C4B0E">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t xml:space="preserve">Insight into an approved State’s approach to implementation of the </w:t>
      </w:r>
      <w:r w:rsidRPr="000754DA" w:rsidR="001567A4">
        <w:rPr>
          <w:rFonts w:ascii="Times New Roman" w:hAnsi="Times New Roman"/>
          <w:sz w:val="24"/>
          <w:szCs w:val="24"/>
        </w:rPr>
        <w:t>SMI</w:t>
      </w:r>
      <w:r w:rsidR="007F0C22">
        <w:rPr>
          <w:rFonts w:ascii="Times New Roman" w:hAnsi="Times New Roman"/>
          <w:sz w:val="24"/>
          <w:szCs w:val="24"/>
        </w:rPr>
        <w:t>/SED</w:t>
      </w:r>
      <w:r w:rsidRPr="000754DA" w:rsidR="005F5AC4">
        <w:rPr>
          <w:rFonts w:ascii="Times New Roman" w:hAnsi="Times New Roman"/>
          <w:sz w:val="24"/>
          <w:szCs w:val="24"/>
        </w:rPr>
        <w:t xml:space="preserve"> </w:t>
      </w:r>
      <w:r w:rsidRPr="000754DA">
        <w:rPr>
          <w:rFonts w:ascii="Times New Roman" w:hAnsi="Times New Roman"/>
          <w:sz w:val="24"/>
          <w:szCs w:val="24"/>
        </w:rPr>
        <w:t>included in the Letter #18-0</w:t>
      </w:r>
      <w:r w:rsidRPr="000754DA" w:rsidR="001567A4">
        <w:rPr>
          <w:rFonts w:ascii="Times New Roman" w:hAnsi="Times New Roman"/>
          <w:sz w:val="24"/>
          <w:szCs w:val="24"/>
        </w:rPr>
        <w:t>11</w:t>
      </w:r>
      <w:r w:rsidRPr="000754DA">
        <w:rPr>
          <w:rFonts w:ascii="Times New Roman" w:hAnsi="Times New Roman"/>
          <w:sz w:val="24"/>
          <w:szCs w:val="24"/>
        </w:rPr>
        <w:t xml:space="preserve">, which crosswalks to </w:t>
      </w:r>
      <w:r w:rsidR="007F0C22">
        <w:rPr>
          <w:rFonts w:ascii="Times New Roman" w:hAnsi="Times New Roman"/>
          <w:sz w:val="24"/>
          <w:szCs w:val="24"/>
        </w:rPr>
        <w:t>SMI/SED</w:t>
      </w:r>
      <w:r w:rsidRPr="000754DA">
        <w:rPr>
          <w:rFonts w:ascii="Times New Roman" w:hAnsi="Times New Roman"/>
          <w:sz w:val="24"/>
          <w:szCs w:val="24"/>
        </w:rPr>
        <w:t xml:space="preserve"> requirements in the monitoring metrics and reports, providing a clear basis for assessing the state’s implementation of such requirements.</w:t>
      </w:r>
    </w:p>
    <w:p w:rsidRPr="000754DA" w:rsidR="005A72FC" w:rsidP="0088327A" w:rsidRDefault="00472269" w14:paraId="786B9B8B" w14:textId="3C7802CD">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t>C</w:t>
      </w:r>
      <w:r w:rsidRPr="000754DA" w:rsidR="005A72FC">
        <w:rPr>
          <w:rFonts w:ascii="Times New Roman" w:hAnsi="Times New Roman"/>
          <w:sz w:val="24"/>
          <w:szCs w:val="24"/>
        </w:rPr>
        <w:t xml:space="preserve">onsistency of monitoring and evaluation of </w:t>
      </w:r>
      <w:r w:rsidRPr="000754DA" w:rsidR="00EE5F43">
        <w:rPr>
          <w:rFonts w:ascii="Times New Roman" w:hAnsi="Times New Roman"/>
          <w:sz w:val="24"/>
          <w:szCs w:val="24"/>
        </w:rPr>
        <w:t xml:space="preserve">requirements and other policy approaches that complement </w:t>
      </w:r>
      <w:r w:rsidRPr="000754DA" w:rsidR="00915EB0">
        <w:rPr>
          <w:rFonts w:ascii="Times New Roman" w:hAnsi="Times New Roman"/>
          <w:sz w:val="24"/>
          <w:szCs w:val="24"/>
        </w:rPr>
        <w:t>SMI/SED</w:t>
      </w:r>
      <w:r w:rsidRPr="000754DA" w:rsidR="00EE5F43">
        <w:rPr>
          <w:rFonts w:ascii="Times New Roman" w:hAnsi="Times New Roman"/>
          <w:sz w:val="24"/>
          <w:szCs w:val="24"/>
        </w:rPr>
        <w:t xml:space="preserve"> requirements</w:t>
      </w:r>
      <w:r w:rsidRPr="000754DA" w:rsidR="00915EB0">
        <w:rPr>
          <w:rFonts w:ascii="Times New Roman" w:hAnsi="Times New Roman"/>
          <w:sz w:val="24"/>
          <w:szCs w:val="24"/>
        </w:rPr>
        <w:t>.</w:t>
      </w:r>
      <w:r w:rsidRPr="000754DA" w:rsidR="00EE5F43">
        <w:rPr>
          <w:rFonts w:ascii="Times New Roman" w:hAnsi="Times New Roman"/>
          <w:sz w:val="24"/>
          <w:szCs w:val="24"/>
        </w:rPr>
        <w:t xml:space="preserve">  </w:t>
      </w:r>
    </w:p>
    <w:p w:rsidRPr="000754DA" w:rsidR="005A72FC" w:rsidP="0088327A" w:rsidRDefault="00EE5F43" w14:paraId="533B22A6" w14:textId="6E199636">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t>S</w:t>
      </w:r>
      <w:r w:rsidRPr="000754DA" w:rsidR="005A72FC">
        <w:rPr>
          <w:rFonts w:ascii="Times New Roman" w:hAnsi="Times New Roman"/>
          <w:sz w:val="24"/>
          <w:szCs w:val="24"/>
        </w:rPr>
        <w:t xml:space="preserve">treamlined communication </w:t>
      </w:r>
      <w:r w:rsidRPr="000754DA" w:rsidR="00B56D33">
        <w:rPr>
          <w:rFonts w:ascii="Times New Roman" w:hAnsi="Times New Roman"/>
          <w:sz w:val="24"/>
          <w:szCs w:val="24"/>
        </w:rPr>
        <w:t>and shorter timeframes for state development and CMS approval o</w:t>
      </w:r>
      <w:r w:rsidRPr="000754DA">
        <w:rPr>
          <w:rFonts w:ascii="Times New Roman" w:hAnsi="Times New Roman"/>
          <w:sz w:val="24"/>
          <w:szCs w:val="24"/>
        </w:rPr>
        <w:t xml:space="preserve">f </w:t>
      </w:r>
      <w:r w:rsidRPr="000754DA" w:rsidR="00B56D33">
        <w:rPr>
          <w:rFonts w:ascii="Times New Roman" w:hAnsi="Times New Roman"/>
          <w:sz w:val="24"/>
          <w:szCs w:val="24"/>
        </w:rPr>
        <w:t xml:space="preserve">implementation and </w:t>
      </w:r>
      <w:r w:rsidRPr="000754DA">
        <w:rPr>
          <w:rFonts w:ascii="Times New Roman" w:hAnsi="Times New Roman"/>
          <w:sz w:val="24"/>
          <w:szCs w:val="24"/>
        </w:rPr>
        <w:t xml:space="preserve">monitoring </w:t>
      </w:r>
      <w:r w:rsidRPr="000754DA" w:rsidR="00B56D33">
        <w:rPr>
          <w:rFonts w:ascii="Times New Roman" w:hAnsi="Times New Roman"/>
          <w:sz w:val="24"/>
          <w:szCs w:val="24"/>
        </w:rPr>
        <w:t>plans for</w:t>
      </w:r>
      <w:r w:rsidRPr="000754DA">
        <w:rPr>
          <w:rFonts w:ascii="Times New Roman" w:hAnsi="Times New Roman"/>
          <w:sz w:val="24"/>
          <w:szCs w:val="24"/>
        </w:rPr>
        <w:t xml:space="preserve"> </w:t>
      </w:r>
      <w:r w:rsidRPr="000754DA" w:rsidR="000754DA">
        <w:rPr>
          <w:rFonts w:ascii="Times New Roman" w:hAnsi="Times New Roman"/>
          <w:sz w:val="24"/>
          <w:szCs w:val="24"/>
        </w:rPr>
        <w:t>SMI/SED</w:t>
      </w:r>
      <w:r w:rsidRPr="000754DA">
        <w:rPr>
          <w:rFonts w:ascii="Times New Roman" w:hAnsi="Times New Roman"/>
          <w:sz w:val="24"/>
          <w:szCs w:val="24"/>
        </w:rPr>
        <w:t xml:space="preserve"> demonstrations</w:t>
      </w:r>
      <w:r w:rsidRPr="000754DA" w:rsidR="005A72FC">
        <w:rPr>
          <w:rFonts w:ascii="Times New Roman" w:hAnsi="Times New Roman"/>
          <w:sz w:val="24"/>
          <w:szCs w:val="24"/>
        </w:rPr>
        <w:t>,</w:t>
      </w:r>
    </w:p>
    <w:p w:rsidRPr="000754DA" w:rsidR="00B56D33" w:rsidP="00AA23A4" w:rsidRDefault="00B56D33" w14:paraId="4BDE307B" w14:textId="59483252">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t xml:space="preserve">Accuracy </w:t>
      </w:r>
      <w:r w:rsidRPr="000754DA" w:rsidR="005A72FC">
        <w:rPr>
          <w:rFonts w:ascii="Times New Roman" w:hAnsi="Times New Roman"/>
          <w:sz w:val="24"/>
          <w:szCs w:val="24"/>
        </w:rPr>
        <w:t xml:space="preserve">in </w:t>
      </w:r>
      <w:r w:rsidRPr="000754DA">
        <w:rPr>
          <w:rFonts w:ascii="Times New Roman" w:hAnsi="Times New Roman"/>
          <w:sz w:val="24"/>
          <w:szCs w:val="24"/>
        </w:rPr>
        <w:t xml:space="preserve">state </w:t>
      </w:r>
      <w:r w:rsidRPr="000754DA" w:rsidR="000754DA">
        <w:rPr>
          <w:rFonts w:ascii="Times New Roman" w:hAnsi="Times New Roman"/>
          <w:sz w:val="24"/>
          <w:szCs w:val="24"/>
        </w:rPr>
        <w:t>reporting and r</w:t>
      </w:r>
      <w:r w:rsidRPr="000754DA" w:rsidR="00472269">
        <w:rPr>
          <w:rFonts w:ascii="Times New Roman" w:hAnsi="Times New Roman"/>
          <w:sz w:val="24"/>
          <w:szCs w:val="24"/>
        </w:rPr>
        <w:t>educ</w:t>
      </w:r>
      <w:r w:rsidRPr="000754DA">
        <w:rPr>
          <w:rFonts w:ascii="Times New Roman" w:hAnsi="Times New Roman"/>
          <w:sz w:val="24"/>
          <w:szCs w:val="24"/>
        </w:rPr>
        <w:t xml:space="preserve">tion in </w:t>
      </w:r>
      <w:r w:rsidRPr="000754DA" w:rsidR="005A72FC">
        <w:rPr>
          <w:rFonts w:ascii="Times New Roman" w:hAnsi="Times New Roman"/>
          <w:sz w:val="24"/>
          <w:szCs w:val="24"/>
        </w:rPr>
        <w:t xml:space="preserve">timeframes for </w:t>
      </w:r>
      <w:r w:rsidRPr="000754DA">
        <w:rPr>
          <w:rFonts w:ascii="Times New Roman" w:hAnsi="Times New Roman"/>
          <w:sz w:val="24"/>
          <w:szCs w:val="24"/>
        </w:rPr>
        <w:t xml:space="preserve">state reporting and CMS review of </w:t>
      </w:r>
      <w:r w:rsidRPr="000754DA" w:rsidR="005A72FC">
        <w:rPr>
          <w:rFonts w:ascii="Times New Roman" w:hAnsi="Times New Roman"/>
          <w:sz w:val="24"/>
          <w:szCs w:val="24"/>
        </w:rPr>
        <w:t>monitoring</w:t>
      </w:r>
      <w:r w:rsidRPr="000754DA">
        <w:rPr>
          <w:rFonts w:ascii="Times New Roman" w:hAnsi="Times New Roman"/>
          <w:sz w:val="24"/>
          <w:szCs w:val="24"/>
        </w:rPr>
        <w:t xml:space="preserve"> metrics and reports</w:t>
      </w:r>
      <w:r w:rsidRPr="000754DA" w:rsidR="000754DA">
        <w:rPr>
          <w:rFonts w:ascii="Times New Roman" w:hAnsi="Times New Roman"/>
          <w:sz w:val="24"/>
          <w:szCs w:val="24"/>
        </w:rPr>
        <w:t>.</w:t>
      </w:r>
    </w:p>
    <w:p w:rsidRPr="000754DA" w:rsidR="005A72FC" w:rsidP="0088327A" w:rsidRDefault="00B56D33" w14:paraId="7254D0D1" w14:textId="78A09FD6">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t>More robust evaluation in so much as it is informed by a clear implementation plan and monitoring data</w:t>
      </w:r>
      <w:r w:rsidRPr="000754DA" w:rsidR="005A72FC">
        <w:rPr>
          <w:rFonts w:ascii="Times New Roman" w:hAnsi="Times New Roman"/>
          <w:sz w:val="24"/>
          <w:szCs w:val="24"/>
        </w:rPr>
        <w:t>.</w:t>
      </w:r>
    </w:p>
    <w:p w:rsidRPr="000754DA" w:rsidR="00B56D33" w:rsidP="0088327A" w:rsidRDefault="00B56D33" w14:paraId="49A1A8C0" w14:textId="03AEF5D9">
      <w:pPr>
        <w:pStyle w:val="ListParagraph"/>
        <w:numPr>
          <w:ilvl w:val="0"/>
          <w:numId w:val="1"/>
        </w:numPr>
        <w:spacing w:after="0" w:line="240" w:lineRule="auto"/>
        <w:rPr>
          <w:rFonts w:ascii="Times New Roman" w:hAnsi="Times New Roman"/>
          <w:sz w:val="24"/>
          <w:szCs w:val="24"/>
        </w:rPr>
      </w:pPr>
      <w:r w:rsidRPr="000754DA">
        <w:rPr>
          <w:rFonts w:ascii="Times New Roman" w:hAnsi="Times New Roman"/>
          <w:sz w:val="24"/>
          <w:szCs w:val="24"/>
        </w:rPr>
        <w:lastRenderedPageBreak/>
        <w:t xml:space="preserve">Improvements in needed mid-course corrections and the identification and diffusion of best practices under </w:t>
      </w:r>
      <w:r w:rsidRPr="000754DA" w:rsidR="000754DA">
        <w:rPr>
          <w:rFonts w:ascii="Times New Roman" w:hAnsi="Times New Roman"/>
          <w:sz w:val="24"/>
          <w:szCs w:val="24"/>
        </w:rPr>
        <w:t>SMI/SED</w:t>
      </w:r>
      <w:r w:rsidRPr="000754DA">
        <w:rPr>
          <w:rFonts w:ascii="Times New Roman" w:hAnsi="Times New Roman"/>
          <w:sz w:val="24"/>
          <w:szCs w:val="24"/>
        </w:rPr>
        <w:t xml:space="preserve"> demonstrations. </w:t>
      </w:r>
    </w:p>
    <w:p w:rsidR="005A72FC" w:rsidP="005A72FC" w:rsidRDefault="005A72FC" w14:paraId="3ADBCD26" w14:textId="77777777">
      <w:pPr>
        <w:spacing w:after="0" w:line="240" w:lineRule="auto"/>
        <w:rPr>
          <w:szCs w:val="24"/>
        </w:rPr>
      </w:pPr>
    </w:p>
    <w:p w:rsidR="007F0C22" w:rsidP="007F0C22" w:rsidRDefault="007F0C22" w14:paraId="55927952" w14:textId="77777777">
      <w:pPr>
        <w:spacing w:after="0" w:line="240" w:lineRule="auto"/>
        <w:rPr>
          <w:rFonts w:cs="Times New Roman"/>
          <w:szCs w:val="24"/>
        </w:rPr>
      </w:pPr>
      <w:r>
        <w:rPr>
          <w:szCs w:val="24"/>
        </w:rPr>
        <w:t xml:space="preserve">To achieve these goals, CMS has developed for the </w:t>
      </w:r>
      <w:r w:rsidRPr="0092380B">
        <w:rPr>
          <w:rFonts w:cs="Times New Roman"/>
          <w:color w:val="000000"/>
          <w:szCs w:val="24"/>
        </w:rPr>
        <w:t xml:space="preserve">Medicaid </w:t>
      </w:r>
      <w:r>
        <w:rPr>
          <w:rFonts w:cs="Times New Roman"/>
          <w:color w:val="000000"/>
          <w:szCs w:val="24"/>
        </w:rPr>
        <w:t>s</w:t>
      </w:r>
      <w:r w:rsidRPr="0092380B">
        <w:rPr>
          <w:rFonts w:cs="Times New Roman"/>
          <w:color w:val="000000"/>
          <w:szCs w:val="24"/>
        </w:rPr>
        <w:t xml:space="preserve">ection 1115 </w:t>
      </w:r>
      <w:r>
        <w:rPr>
          <w:rFonts w:cs="Times New Roman"/>
          <w:color w:val="000000"/>
          <w:szCs w:val="24"/>
        </w:rPr>
        <w:t>SMI/SED</w:t>
      </w:r>
      <w:r w:rsidRPr="00607AC6">
        <w:rPr>
          <w:rFonts w:cs="Times New Roman"/>
          <w:b/>
          <w:color w:val="000000"/>
          <w:szCs w:val="24"/>
        </w:rPr>
        <w:t xml:space="preserve"> </w:t>
      </w:r>
      <w:r>
        <w:rPr>
          <w:szCs w:val="24"/>
        </w:rPr>
        <w:t xml:space="preserve">demonstrations </w:t>
      </w:r>
      <w:r>
        <w:rPr>
          <w:rFonts w:cs="Times New Roman"/>
          <w:szCs w:val="24"/>
        </w:rPr>
        <w:t>standardized implementation plan, current availability assessment, and monitoring reporting template and performance metrics, as follows:</w:t>
      </w:r>
    </w:p>
    <w:p w:rsidR="005A72FC" w:rsidP="005A72FC" w:rsidRDefault="005A72FC" w14:paraId="21098445" w14:textId="77777777">
      <w:pPr>
        <w:spacing w:after="0" w:line="240" w:lineRule="auto"/>
        <w:rPr>
          <w:rFonts w:cs="Times New Roman"/>
          <w:szCs w:val="24"/>
        </w:rPr>
      </w:pPr>
    </w:p>
    <w:p w:rsidR="00846F80" w:rsidP="00310E8E" w:rsidRDefault="00846F80" w14:paraId="7EAA4941" w14:textId="3B248612">
      <w:pPr>
        <w:spacing w:after="0"/>
        <w:rPr>
          <w:i/>
          <w:iCs/>
          <w:color w:val="000000"/>
        </w:rPr>
      </w:pPr>
      <w:r>
        <w:rPr>
          <w:i/>
          <w:iCs/>
          <w:color w:val="000000"/>
        </w:rPr>
        <w:t xml:space="preserve">Medicaid Section 1115 </w:t>
      </w:r>
      <w:r w:rsidR="00520FDD">
        <w:rPr>
          <w:i/>
          <w:iCs/>
          <w:color w:val="000000"/>
        </w:rPr>
        <w:t>SMI</w:t>
      </w:r>
      <w:r w:rsidR="007F0C22">
        <w:rPr>
          <w:i/>
          <w:iCs/>
          <w:color w:val="000000"/>
        </w:rPr>
        <w:t>/SED</w:t>
      </w:r>
      <w:r>
        <w:rPr>
          <w:i/>
          <w:iCs/>
          <w:color w:val="000000"/>
        </w:rPr>
        <w:t xml:space="preserve"> Implementation Plan</w:t>
      </w:r>
    </w:p>
    <w:p w:rsidR="00310E8E" w:rsidP="00310E8E" w:rsidRDefault="00310E8E" w14:paraId="3DD50086" w14:textId="77777777">
      <w:pPr>
        <w:spacing w:after="0"/>
      </w:pPr>
    </w:p>
    <w:p w:rsidR="00846F80" w:rsidP="00310E8E" w:rsidRDefault="00846F80" w14:paraId="75E13490" w14:textId="00C5F7E6">
      <w:pPr>
        <w:spacing w:after="0"/>
      </w:pPr>
      <w:r>
        <w:t xml:space="preserve">The state will submit the </w:t>
      </w:r>
      <w:r>
        <w:rPr>
          <w:color w:val="000000"/>
        </w:rPr>
        <w:t xml:space="preserve">Medicaid Section 1115 </w:t>
      </w:r>
      <w:r w:rsidR="00520FDD">
        <w:t>SMI</w:t>
      </w:r>
      <w:r w:rsidR="007F0C22">
        <w:t>/SED</w:t>
      </w:r>
      <w:r w:rsidR="00520FDD">
        <w:t xml:space="preserve"> </w:t>
      </w:r>
      <w:r w:rsidR="007F0C22">
        <w:t>d</w:t>
      </w:r>
      <w:r>
        <w:t xml:space="preserve">emonstration Implementation Plan to provide information about implementation of the state’s </w:t>
      </w:r>
      <w:r w:rsidR="00520FDD">
        <w:t>demonstration requirements</w:t>
      </w:r>
      <w:r>
        <w:t xml:space="preserve"> and to respond to each prompt listed in the tables.</w:t>
      </w:r>
    </w:p>
    <w:p w:rsidR="00854DB0" w:rsidP="00310E8E" w:rsidRDefault="00854DB0" w14:paraId="55A3A92C" w14:textId="77777777">
      <w:pPr>
        <w:spacing w:after="0"/>
      </w:pPr>
    </w:p>
    <w:p w:rsidR="00846F80" w:rsidP="00310E8E" w:rsidRDefault="00846F80" w14:paraId="6B600DAC" w14:textId="7D7DA05B">
      <w:pPr>
        <w:spacing w:after="0"/>
      </w:pPr>
      <w:r>
        <w:t>The information in the implementation plan flow</w:t>
      </w:r>
      <w:r w:rsidR="00854DB0">
        <w:t>s</w:t>
      </w:r>
      <w:r>
        <w:t xml:space="preserve"> down from the state’s </w:t>
      </w:r>
      <w:r w:rsidR="00520FDD">
        <w:t>SMI</w:t>
      </w:r>
      <w:r>
        <w:t xml:space="preserve"> Special Terms and Conditions (STC). It creates an implementation framework that crosswalks to the </w:t>
      </w:r>
      <w:r w:rsidR="00520FDD">
        <w:t>all</w:t>
      </w:r>
      <w:r>
        <w:t xml:space="preserve"> requir</w:t>
      </w:r>
      <w:r w:rsidR="00083DC3">
        <w:t>ement segments of the Medicaid s</w:t>
      </w:r>
      <w:r>
        <w:t xml:space="preserve">ection 1115 </w:t>
      </w:r>
      <w:r w:rsidR="00520FDD">
        <w:t>SMI</w:t>
      </w:r>
      <w:r w:rsidR="00083DC3">
        <w:t>/SED</w:t>
      </w:r>
      <w:r>
        <w:t xml:space="preserve"> </w:t>
      </w:r>
      <w:r w:rsidR="00083DC3">
        <w:t xml:space="preserve">demonstration </w:t>
      </w:r>
      <w:r>
        <w:t xml:space="preserve">Monitoring Protocol </w:t>
      </w:r>
      <w:r w:rsidRPr="001726C2">
        <w:t>Template.</w:t>
      </w:r>
      <w:r>
        <w:t xml:space="preserve">  </w:t>
      </w:r>
    </w:p>
    <w:p w:rsidR="00310E8E" w:rsidP="00310E8E" w:rsidRDefault="00310E8E" w14:paraId="48CB6456" w14:textId="77777777">
      <w:pPr>
        <w:spacing w:after="0"/>
        <w:rPr>
          <w:i/>
          <w:iCs/>
          <w:color w:val="000000"/>
        </w:rPr>
      </w:pPr>
    </w:p>
    <w:p w:rsidR="00846F80" w:rsidP="00310E8E" w:rsidRDefault="00846F80" w14:paraId="1F7FCFEB" w14:textId="5803D6BC">
      <w:pPr>
        <w:spacing w:after="0"/>
      </w:pPr>
      <w:r>
        <w:rPr>
          <w:i/>
          <w:iCs/>
          <w:color w:val="000000"/>
        </w:rPr>
        <w:t xml:space="preserve">Medicaid Section 1115 </w:t>
      </w:r>
      <w:r w:rsidR="004D0CF0">
        <w:rPr>
          <w:i/>
          <w:iCs/>
          <w:color w:val="000000"/>
        </w:rPr>
        <w:t>SMI</w:t>
      </w:r>
      <w:r w:rsidR="00083DC3">
        <w:rPr>
          <w:i/>
          <w:iCs/>
          <w:color w:val="000000"/>
        </w:rPr>
        <w:t>/SED</w:t>
      </w:r>
      <w:r>
        <w:rPr>
          <w:b/>
          <w:bCs/>
          <w:color w:val="000000"/>
        </w:rPr>
        <w:t xml:space="preserve"> </w:t>
      </w:r>
      <w:r w:rsidR="004D0CF0">
        <w:rPr>
          <w:i/>
          <w:iCs/>
        </w:rPr>
        <w:t>Monitoring Protocol</w:t>
      </w:r>
      <w:r w:rsidR="00AA23A4">
        <w:rPr>
          <w:i/>
          <w:iCs/>
        </w:rPr>
        <w:t xml:space="preserve"> Template</w:t>
      </w:r>
    </w:p>
    <w:p w:rsidR="00310E8E" w:rsidP="00310E8E" w:rsidRDefault="00310E8E" w14:paraId="2F81E0E2" w14:textId="77777777">
      <w:pPr>
        <w:spacing w:after="0"/>
      </w:pPr>
    </w:p>
    <w:p w:rsidR="00310E8E" w:rsidP="00310E8E" w:rsidRDefault="00846F80" w14:paraId="249D0D87" w14:textId="5A56F903">
      <w:pPr>
        <w:spacing w:after="0"/>
      </w:pPr>
      <w:r>
        <w:t xml:space="preserve">The state will use the </w:t>
      </w:r>
      <w:r>
        <w:rPr>
          <w:color w:val="000000"/>
        </w:rPr>
        <w:t>Medicai</w:t>
      </w:r>
      <w:r w:rsidR="00083DC3">
        <w:rPr>
          <w:color w:val="000000"/>
        </w:rPr>
        <w:t>d s</w:t>
      </w:r>
      <w:r>
        <w:rPr>
          <w:color w:val="000000"/>
        </w:rPr>
        <w:t xml:space="preserve">ection 1115 </w:t>
      </w:r>
      <w:r w:rsidR="004D0CF0">
        <w:rPr>
          <w:color w:val="000000"/>
        </w:rPr>
        <w:t>SMI</w:t>
      </w:r>
      <w:r w:rsidR="00083DC3">
        <w:rPr>
          <w:color w:val="000000"/>
        </w:rPr>
        <w:t>/SED</w:t>
      </w:r>
      <w:r w:rsidR="00083DC3">
        <w:t xml:space="preserve"> d</w:t>
      </w:r>
      <w:r>
        <w:t>emonstration Monitoring Protocol</w:t>
      </w:r>
      <w:r w:rsidR="00AA23A4">
        <w:t xml:space="preserve"> Template</w:t>
      </w:r>
      <w:r>
        <w:t xml:space="preserve"> to develop its Monitoring Protocol </w:t>
      </w:r>
      <w:r w:rsidR="004D0CF0">
        <w:t xml:space="preserve">that specifies </w:t>
      </w:r>
      <w:r>
        <w:t>the details of the state’s monitoring plans for th</w:t>
      </w:r>
      <w:r w:rsidR="004D0CF0">
        <w:t>e</w:t>
      </w:r>
      <w:r>
        <w:t xml:space="preserve"> </w:t>
      </w:r>
      <w:r w:rsidR="004D0CF0">
        <w:t>d</w:t>
      </w:r>
      <w:r w:rsidR="00F244B6">
        <w:t>emonst</w:t>
      </w:r>
      <w:r w:rsidR="004D0CF0">
        <w:t>r</w:t>
      </w:r>
      <w:r w:rsidR="00F244B6">
        <w:t>a</w:t>
      </w:r>
      <w:r w:rsidR="004D0CF0">
        <w:t>tion</w:t>
      </w:r>
      <w:r>
        <w:t>. It is comprised of two components – qualitative and quantitat</w:t>
      </w:r>
      <w:r w:rsidR="00310E8E">
        <w:t>ive (metrics) reporting plans. </w:t>
      </w:r>
      <w:r>
        <w:t xml:space="preserve">The metrics component of the Monitoring Protocol </w:t>
      </w:r>
      <w:r w:rsidR="00854DB0">
        <w:t>is</w:t>
      </w:r>
      <w:r>
        <w:t xml:space="preserve"> described below under Monitoring Metrics Template.</w:t>
      </w:r>
    </w:p>
    <w:p w:rsidR="00846F80" w:rsidP="00310E8E" w:rsidRDefault="00846F80" w14:paraId="229D2710" w14:textId="381CBC33">
      <w:pPr>
        <w:spacing w:after="0"/>
      </w:pPr>
      <w:r>
        <w:t xml:space="preserve">  </w:t>
      </w:r>
    </w:p>
    <w:p w:rsidR="004D0CF0" w:rsidP="00310E8E" w:rsidRDefault="00846F80" w14:paraId="7B2C369A" w14:textId="32125535">
      <w:pPr>
        <w:spacing w:after="0"/>
      </w:pPr>
      <w:r>
        <w:t xml:space="preserve">The </w:t>
      </w:r>
      <w:r>
        <w:rPr>
          <w:color w:val="000000"/>
        </w:rPr>
        <w:t xml:space="preserve">Medicaid Section 1115 </w:t>
      </w:r>
      <w:r w:rsidR="004D0CF0">
        <w:rPr>
          <w:color w:val="000000"/>
        </w:rPr>
        <w:t>SMI</w:t>
      </w:r>
      <w:r w:rsidR="00083DC3">
        <w:rPr>
          <w:color w:val="000000"/>
        </w:rPr>
        <w:t>/SED</w:t>
      </w:r>
      <w:r w:rsidR="004D0CF0">
        <w:t xml:space="preserve"> </w:t>
      </w:r>
      <w:r w:rsidR="00083DC3">
        <w:t xml:space="preserve">demonstration </w:t>
      </w:r>
      <w:r w:rsidR="004D0CF0">
        <w:t>Monitoring Protocol</w:t>
      </w:r>
      <w:r>
        <w:t xml:space="preserve"> helps the state specify the methods of data collection and timeframes for reporting on the state’s progress on required measures and milestones.  In addition, the </w:t>
      </w:r>
      <w:r w:rsidR="00083DC3">
        <w:rPr>
          <w:color w:val="000000"/>
        </w:rPr>
        <w:t>Medicaid s</w:t>
      </w:r>
      <w:r>
        <w:rPr>
          <w:color w:val="000000"/>
        </w:rPr>
        <w:t xml:space="preserve">ection 1115 </w:t>
      </w:r>
      <w:r w:rsidR="004D0CF0">
        <w:rPr>
          <w:color w:val="000000"/>
        </w:rPr>
        <w:t>SMI</w:t>
      </w:r>
      <w:r w:rsidR="00083DC3">
        <w:rPr>
          <w:color w:val="000000"/>
        </w:rPr>
        <w:t>/SED demonstration</w:t>
      </w:r>
      <w:r>
        <w:t xml:space="preserve"> Monitoring Proto</w:t>
      </w:r>
      <w:r w:rsidR="004D0CF0">
        <w:t xml:space="preserve">col </w:t>
      </w:r>
      <w:r>
        <w:t>helps states identify the demonstration baseline and performance targets to be achieved by the end of the demonstration.</w:t>
      </w:r>
    </w:p>
    <w:p w:rsidR="00310E8E" w:rsidP="00310E8E" w:rsidRDefault="00310E8E" w14:paraId="2E81E12A" w14:textId="77777777">
      <w:pPr>
        <w:spacing w:after="0"/>
      </w:pPr>
    </w:p>
    <w:p w:rsidRPr="00310E8E" w:rsidR="00846F80" w:rsidP="00310E8E" w:rsidRDefault="00846F80" w14:paraId="5BD86F4B" w14:textId="4FAB47C8">
      <w:pPr>
        <w:spacing w:after="0"/>
        <w:rPr>
          <w:i/>
        </w:rPr>
      </w:pPr>
      <w:r w:rsidRPr="00310E8E">
        <w:rPr>
          <w:i/>
          <w:color w:val="000000"/>
        </w:rPr>
        <w:t xml:space="preserve">Medicaid Section 1115 </w:t>
      </w:r>
      <w:r w:rsidR="002F0952">
        <w:rPr>
          <w:i/>
          <w:color w:val="000000"/>
        </w:rPr>
        <w:t>SMI</w:t>
      </w:r>
      <w:r w:rsidR="00083DC3">
        <w:rPr>
          <w:i/>
          <w:color w:val="000000"/>
        </w:rPr>
        <w:t>/SED</w:t>
      </w:r>
      <w:r w:rsidRPr="00310E8E">
        <w:rPr>
          <w:i/>
        </w:rPr>
        <w:t xml:space="preserve"> </w:t>
      </w:r>
      <w:r w:rsidRPr="00310E8E">
        <w:rPr>
          <w:i/>
          <w:iCs/>
        </w:rPr>
        <w:t>Demonstration Monitoring Report Template</w:t>
      </w:r>
    </w:p>
    <w:p w:rsidR="00820E43" w:rsidP="00310E8E" w:rsidRDefault="00820E43" w14:paraId="5914B807" w14:textId="77777777">
      <w:pPr>
        <w:spacing w:after="0"/>
      </w:pPr>
    </w:p>
    <w:p w:rsidR="00846F80" w:rsidP="00310E8E" w:rsidRDefault="00846F80" w14:paraId="402AA7FF" w14:textId="67EB13F9">
      <w:pPr>
        <w:spacing w:after="0"/>
      </w:pPr>
      <w:r>
        <w:t>The Monitoring Report Template mirrors the Monitoring Protocol</w:t>
      </w:r>
      <w:r w:rsidR="00310E8E">
        <w:t xml:space="preserve">, and like the Protocol, </w:t>
      </w:r>
      <w:r>
        <w:t>it is comprised of qualitative and quantitative (metrics) performance information that the state reports to CMS on a quarterly and annual basis</w:t>
      </w:r>
      <w:r w:rsidR="002F0952">
        <w:t xml:space="preserve">. </w:t>
      </w:r>
      <w:r>
        <w:t xml:space="preserve">Performance values on the metrics in the approved Monitoring Protocol are reported in the Monitoring Metrics Template described below. </w:t>
      </w:r>
    </w:p>
    <w:p w:rsidR="00310E8E" w:rsidP="00310E8E" w:rsidRDefault="00310E8E" w14:paraId="01CD1746" w14:textId="77777777">
      <w:pPr>
        <w:spacing w:after="0"/>
        <w:rPr>
          <w:b/>
          <w:bCs/>
          <w:i/>
          <w:iCs/>
        </w:rPr>
      </w:pPr>
    </w:p>
    <w:p w:rsidRPr="00310E8E" w:rsidR="00846F80" w:rsidP="00310E8E" w:rsidRDefault="00846F80" w14:paraId="0AB9D324" w14:textId="5BD8321B">
      <w:pPr>
        <w:spacing w:after="0"/>
        <w:rPr>
          <w:i/>
        </w:rPr>
      </w:pPr>
      <w:r w:rsidRPr="00310E8E">
        <w:rPr>
          <w:i/>
          <w:color w:val="000000"/>
        </w:rPr>
        <w:t xml:space="preserve">Medicaid Section 1115 </w:t>
      </w:r>
      <w:r w:rsidR="002F0952">
        <w:rPr>
          <w:i/>
          <w:color w:val="000000"/>
        </w:rPr>
        <w:t>SMI</w:t>
      </w:r>
      <w:r w:rsidR="00083DC3">
        <w:rPr>
          <w:i/>
          <w:color w:val="000000"/>
        </w:rPr>
        <w:t>/SED</w:t>
      </w:r>
      <w:r w:rsidRPr="00310E8E">
        <w:rPr>
          <w:i/>
        </w:rPr>
        <w:t xml:space="preserve"> </w:t>
      </w:r>
      <w:r w:rsidRPr="00310E8E">
        <w:rPr>
          <w:i/>
          <w:iCs/>
        </w:rPr>
        <w:t xml:space="preserve">Demonstration Monitoring </w:t>
      </w:r>
      <w:r w:rsidR="001726C2">
        <w:rPr>
          <w:i/>
          <w:iCs/>
        </w:rPr>
        <w:t>Workbook</w:t>
      </w:r>
    </w:p>
    <w:p w:rsidR="00310E8E" w:rsidP="00310E8E" w:rsidRDefault="00310E8E" w14:paraId="34028BD5" w14:textId="77777777">
      <w:pPr>
        <w:spacing w:after="0" w:line="259" w:lineRule="auto"/>
      </w:pPr>
    </w:p>
    <w:p w:rsidR="00310E8E" w:rsidP="00310E8E" w:rsidRDefault="00846F80" w14:paraId="379E264A" w14:textId="600B6EA5">
      <w:pPr>
        <w:spacing w:after="0" w:line="259" w:lineRule="auto"/>
      </w:pPr>
      <w:r>
        <w:lastRenderedPageBreak/>
        <w:t xml:space="preserve">The Monitoring Metrics </w:t>
      </w:r>
      <w:r w:rsidR="001726C2">
        <w:t>Workbook</w:t>
      </w:r>
      <w:r>
        <w:t xml:space="preserve"> is one of the two components of both the Monitoring Protocol and the Monitoring Repo</w:t>
      </w:r>
      <w:r w:rsidR="00FE462D">
        <w:t>rt Templates described above. </w:t>
      </w:r>
      <w:r w:rsidR="00083DC3">
        <w:t>It is an Excel file which</w:t>
      </w:r>
      <w:r>
        <w:t xml:space="preserve"> contains a set of metrics for the </w:t>
      </w:r>
      <w:r w:rsidR="001726C2">
        <w:t>SMI</w:t>
      </w:r>
      <w:r w:rsidR="00083DC3">
        <w:t>/SED</w:t>
      </w:r>
      <w:r w:rsidR="001726C2">
        <w:t xml:space="preserve"> </w:t>
      </w:r>
      <w:r w:rsidR="00222365">
        <w:t>demonst</w:t>
      </w:r>
      <w:r w:rsidR="001726C2">
        <w:t>r</w:t>
      </w:r>
      <w:r w:rsidR="00222365">
        <w:t>a</w:t>
      </w:r>
      <w:r w:rsidR="001726C2">
        <w:t>tions</w:t>
      </w:r>
      <w:r>
        <w:t>.</w:t>
      </w:r>
      <w:r w:rsidR="00310E8E">
        <w:t xml:space="preserve"> </w:t>
      </w:r>
    </w:p>
    <w:p w:rsidR="00310E8E" w:rsidP="00310E8E" w:rsidRDefault="00310E8E" w14:paraId="60BB3515" w14:textId="77777777">
      <w:pPr>
        <w:spacing w:after="0" w:line="259" w:lineRule="auto"/>
      </w:pPr>
    </w:p>
    <w:p w:rsidR="00B9719C" w:rsidP="00310E8E" w:rsidRDefault="00846F80" w14:paraId="37D963D6" w14:textId="758C964D">
      <w:pPr>
        <w:spacing w:after="0" w:line="259" w:lineRule="auto"/>
      </w:pPr>
      <w:r>
        <w:t xml:space="preserve">For the Monitoring Protocol, the state will review the metrics listed in the ‘Protocol’ tab of the </w:t>
      </w:r>
      <w:r w:rsidR="00083DC3">
        <w:rPr>
          <w:color w:val="000000"/>
        </w:rPr>
        <w:t>Medicaid s</w:t>
      </w:r>
      <w:r>
        <w:rPr>
          <w:color w:val="000000"/>
        </w:rPr>
        <w:t xml:space="preserve">ection 1115 </w:t>
      </w:r>
      <w:r w:rsidR="001726C2">
        <w:rPr>
          <w:color w:val="000000"/>
        </w:rPr>
        <w:t>SMI</w:t>
      </w:r>
      <w:r w:rsidR="00083DC3">
        <w:rPr>
          <w:color w:val="000000"/>
        </w:rPr>
        <w:t>/SED demonstration</w:t>
      </w:r>
      <w:r>
        <w:t xml:space="preserve"> Metrics Workbook and the accompanying metrics technical specifications, and use the template to identify the metrics it plans to report, including any additional state-identified metrics. The state also identifies annual goals and targets, as well as any deviations from</w:t>
      </w:r>
      <w:r w:rsidR="00FE462D">
        <w:t xml:space="preserve"> CMS technical specifications. </w:t>
      </w:r>
      <w:r>
        <w:t xml:space="preserve">The state’s performance on the CMS approved metrics </w:t>
      </w:r>
      <w:r w:rsidR="00854DB0">
        <w:t>is</w:t>
      </w:r>
      <w:r>
        <w:t xml:space="preserve"> reported on a quarterly and annual basis under the subsequent ‘Report’ tabs.</w:t>
      </w:r>
    </w:p>
    <w:p w:rsidR="00222365" w:rsidP="00310E8E" w:rsidRDefault="00222365" w14:paraId="3E76EC7C" w14:textId="77777777">
      <w:pPr>
        <w:spacing w:after="0" w:line="259" w:lineRule="auto"/>
      </w:pPr>
    </w:p>
    <w:p w:rsidRPr="00222365" w:rsidR="00222365" w:rsidP="00222365" w:rsidRDefault="00222365" w14:paraId="0B11CD78" w14:textId="5D53858C">
      <w:pPr>
        <w:pStyle w:val="Default"/>
        <w:rPr>
          <w:i/>
        </w:rPr>
      </w:pPr>
      <w:r w:rsidRPr="00222365">
        <w:rPr>
          <w:i/>
        </w:rPr>
        <w:t>Medicaid Section 1115 SMI</w:t>
      </w:r>
      <w:r w:rsidR="00083DC3">
        <w:rPr>
          <w:i/>
        </w:rPr>
        <w:t>/SED</w:t>
      </w:r>
      <w:r w:rsidRPr="00222365">
        <w:rPr>
          <w:i/>
        </w:rPr>
        <w:t xml:space="preserve"> Current Availability Assessment</w:t>
      </w:r>
    </w:p>
    <w:p w:rsidR="00222365" w:rsidP="00222365" w:rsidRDefault="00222365" w14:paraId="4D92F46A" w14:textId="77777777">
      <w:pPr>
        <w:pStyle w:val="Default"/>
      </w:pPr>
    </w:p>
    <w:p w:rsidR="00083DC3" w:rsidP="00083DC3" w:rsidRDefault="00083DC3" w14:paraId="5BA4B4F6" w14:textId="77777777">
      <w:pPr>
        <w:spacing w:after="0" w:line="259" w:lineRule="auto"/>
        <w:rPr>
          <w:szCs w:val="24"/>
        </w:rPr>
      </w:pPr>
      <w:r>
        <w:rPr>
          <w:szCs w:val="24"/>
        </w:rPr>
        <w:t>The purpose of the Medicaid section 1115 SMI/SED demonstration Current Availability Assessment template is intended to help states meet the requirements outlined in the SMDL #18-011 to provide annual assessments of the availability of mental health services throughout the state. In addition, the purpose of the assessment of the availability of mental health services is to help CMS understand and gather data on the state’s SMI/SED population and the services available to them. The assessment will allow CMS and the state to monitor how the state’s available mental health services evolve over the duration of the demonstration.</w:t>
      </w:r>
    </w:p>
    <w:p w:rsidR="00083DC3" w:rsidP="00083DC3" w:rsidRDefault="00083DC3" w14:paraId="58BF173C" w14:textId="77777777">
      <w:pPr>
        <w:spacing w:after="0" w:line="259" w:lineRule="auto"/>
        <w:rPr>
          <w:szCs w:val="24"/>
        </w:rPr>
      </w:pPr>
    </w:p>
    <w:p w:rsidR="00777EFC" w:rsidP="00083DC3" w:rsidRDefault="00083DC3" w14:paraId="3B7D0ED2" w14:textId="1BEE1E49">
      <w:pPr>
        <w:spacing w:after="0" w:line="240" w:lineRule="auto"/>
        <w:contextualSpacing/>
        <w:rPr>
          <w:szCs w:val="24"/>
        </w:rPr>
      </w:pPr>
      <w:r>
        <w:rPr>
          <w:szCs w:val="24"/>
        </w:rPr>
        <w:t>The availability assessment is completed with the implementation plan and is updated every year and submitted to CMS with the annual monitoring reports.</w:t>
      </w:r>
    </w:p>
    <w:p w:rsidRPr="005556AE" w:rsidR="00083DC3" w:rsidP="00083DC3" w:rsidRDefault="00083DC3" w14:paraId="190C90E4" w14:textId="77777777">
      <w:pPr>
        <w:spacing w:after="0" w:line="240" w:lineRule="auto"/>
        <w:contextualSpacing/>
      </w:pPr>
    </w:p>
    <w:p w:rsidRPr="008111D2" w:rsidR="007D6E75" w:rsidP="00310E8E" w:rsidRDefault="003F3CE7" w14:paraId="66528621" w14:textId="77777777">
      <w:pPr>
        <w:pStyle w:val="Heading1"/>
      </w:pPr>
      <w:r>
        <w:t>C</w:t>
      </w:r>
      <w:r w:rsidRPr="008111D2" w:rsidR="007D6E75">
        <w:t>. Deviations from Generic Request</w:t>
      </w:r>
    </w:p>
    <w:p w:rsidR="00150C54" w:rsidP="00AB0285" w:rsidRDefault="00150C54" w14:paraId="06F09F5F" w14:textId="77777777">
      <w:pPr>
        <w:spacing w:after="0" w:line="240" w:lineRule="auto"/>
        <w:rPr>
          <w:szCs w:val="24"/>
        </w:rPr>
      </w:pPr>
    </w:p>
    <w:p w:rsidRPr="00815DFA" w:rsidR="00EE7851" w:rsidP="0084192B" w:rsidRDefault="009B19E8" w14:paraId="341112F8" w14:textId="50319602">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14:paraId="2B8EF38D" w14:textId="7DB5513D">
      <w:pPr>
        <w:pStyle w:val="Heading1"/>
        <w:rPr>
          <w:rFonts w:cs="Times New Roman"/>
          <w:szCs w:val="24"/>
        </w:rPr>
      </w:pPr>
      <w:r w:rsidRPr="00815DFA">
        <w:rPr>
          <w:rFonts w:cs="Times New Roman"/>
          <w:szCs w:val="24"/>
        </w:rPr>
        <w:t>D</w:t>
      </w:r>
      <w:r w:rsidRPr="00815DFA" w:rsidR="007D6E75">
        <w:rPr>
          <w:rFonts w:cs="Times New Roman"/>
          <w:szCs w:val="24"/>
        </w:rPr>
        <w:t xml:space="preserve">. </w:t>
      </w:r>
      <w:r w:rsidRPr="005345E5" w:rsidR="007D6E75">
        <w:rPr>
          <w:rFonts w:cs="Times New Roman"/>
          <w:szCs w:val="24"/>
        </w:rPr>
        <w:t>Burden Hour Deduction</w:t>
      </w:r>
    </w:p>
    <w:p w:rsidR="005D0E99" w:rsidP="004F1DDE" w:rsidRDefault="005D0E99" w14:paraId="26223254" w14:textId="5B90415D">
      <w:pPr>
        <w:pStyle w:val="NormalSS"/>
        <w:spacing w:after="0"/>
        <w:ind w:firstLine="0"/>
        <w:rPr>
          <w:szCs w:val="24"/>
        </w:rPr>
      </w:pPr>
    </w:p>
    <w:p w:rsidR="008B248F" w:rsidP="004F1DDE" w:rsidRDefault="008B248F" w14:paraId="48286A98" w14:textId="2F775E97">
      <w:pPr>
        <w:pStyle w:val="NormalSS"/>
        <w:spacing w:after="0"/>
        <w:ind w:firstLine="0"/>
        <w:rPr>
          <w:szCs w:val="24"/>
        </w:rPr>
      </w:pPr>
      <w:r w:rsidRPr="008B248F">
        <w:rPr>
          <w:szCs w:val="24"/>
        </w:rPr>
        <w:t>The total approved burden ceiling of the generic ICR is 154,104 hours, and CMS previously requested to use 59,141 hours, leaving our burden ceiling at 94,963 hours.</w:t>
      </w:r>
    </w:p>
    <w:p w:rsidR="008B248F" w:rsidP="004F1DDE" w:rsidRDefault="008B248F" w14:paraId="005F150F" w14:textId="77777777">
      <w:pPr>
        <w:pStyle w:val="NormalSS"/>
        <w:spacing w:after="0"/>
        <w:ind w:firstLine="0"/>
        <w:rPr>
          <w:szCs w:val="24"/>
        </w:rPr>
      </w:pPr>
    </w:p>
    <w:p w:rsidRPr="00E016CC" w:rsidR="00CA6AEA" w:rsidP="00CA6AEA" w:rsidRDefault="00CA6AEA" w14:paraId="4BE28B67" w14:textId="7D3B9AF2">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Pr="00405CF5" w:rsidR="00CA6AEA" w:rsidP="0088327A" w:rsidRDefault="00CA6AEA" w14:paraId="4D0AC9D4" w14:textId="77777777">
      <w:pPr>
        <w:numPr>
          <w:ilvl w:val="0"/>
          <w:numId w:val="4"/>
        </w:numPr>
        <w:spacing w:after="0" w:line="240" w:lineRule="auto"/>
        <w:rPr>
          <w:rFonts w:cs="Times New Roman"/>
          <w:szCs w:val="24"/>
        </w:rPr>
      </w:pPr>
      <w:r w:rsidRPr="00405CF5">
        <w:rPr>
          <w:rFonts w:cs="Times New Roman"/>
          <w:szCs w:val="24"/>
        </w:rPr>
        <w:t xml:space="preserve">Each state submits three quarterly and one annual report per year. Annual reports require somewhat higher level of effort than quarterly reports due to additional metrics reported. </w:t>
      </w:r>
    </w:p>
    <w:p w:rsidRPr="00405CF5" w:rsidR="00CA6AEA" w:rsidP="0088327A" w:rsidRDefault="00CA6AEA" w14:paraId="31EDBAEF" w14:textId="77777777">
      <w:pPr>
        <w:numPr>
          <w:ilvl w:val="0"/>
          <w:numId w:val="4"/>
        </w:numPr>
        <w:spacing w:after="0" w:line="240" w:lineRule="auto"/>
        <w:rPr>
          <w:rFonts w:cs="Times New Roman"/>
          <w:szCs w:val="24"/>
        </w:rPr>
      </w:pPr>
      <w:r w:rsidRPr="00405CF5">
        <w:rPr>
          <w:rFonts w:cs="Times New Roman"/>
          <w:szCs w:val="24"/>
        </w:rPr>
        <w:t>Each state’s first report will require some additional effort for programming/calculating the metrics; all subsequent reports will require a lower level of effort.</w:t>
      </w:r>
    </w:p>
    <w:p w:rsidRPr="00462F95" w:rsidR="00CA6AEA" w:rsidP="0088327A" w:rsidRDefault="00CA6AEA" w14:paraId="08293267" w14:textId="77777777">
      <w:pPr>
        <w:numPr>
          <w:ilvl w:val="0"/>
          <w:numId w:val="4"/>
        </w:numPr>
        <w:spacing w:after="0" w:line="240" w:lineRule="auto"/>
        <w:rPr>
          <w:rFonts w:cs="Times New Roman"/>
          <w:szCs w:val="24"/>
        </w:rPr>
      </w:pPr>
      <w:r w:rsidRPr="00462F95">
        <w:rPr>
          <w:rFonts w:cs="Times New Roman"/>
          <w:bCs/>
          <w:szCs w:val="24"/>
        </w:rPr>
        <w:t>Estimates are provided by state by year, given that CMS can approve demonstrations for varying lengths of time.</w:t>
      </w:r>
      <w:r w:rsidRPr="00462F95">
        <w:rPr>
          <w:rFonts w:cs="Times New Roman"/>
          <w:szCs w:val="24"/>
        </w:rPr>
        <w:t xml:space="preserve"> </w:t>
      </w:r>
    </w:p>
    <w:p w:rsidRPr="00462F95" w:rsidR="00CA6AEA" w:rsidP="0088327A" w:rsidRDefault="00CA6AEA" w14:paraId="2F7F4926" w14:textId="77777777">
      <w:pPr>
        <w:numPr>
          <w:ilvl w:val="0"/>
          <w:numId w:val="4"/>
        </w:numPr>
        <w:spacing w:after="0" w:line="240" w:lineRule="auto"/>
        <w:rPr>
          <w:rFonts w:cs="Times New Roman"/>
          <w:b/>
          <w:bCs/>
          <w:szCs w:val="24"/>
          <w:u w:val="single"/>
        </w:rPr>
      </w:pPr>
      <w:r w:rsidRPr="00462F95">
        <w:rPr>
          <w:rFonts w:cs="Times New Roman"/>
          <w:szCs w:val="24"/>
        </w:rPr>
        <w:t>All templates are completed by a health services manager and/or a computer programmer.</w:t>
      </w:r>
    </w:p>
    <w:p w:rsidRPr="00E016CC" w:rsidR="00C866C4" w:rsidP="00E016CC" w:rsidRDefault="00C866C4" w14:paraId="23D5C6CF" w14:textId="77777777">
      <w:pPr>
        <w:pStyle w:val="MarkforTableTitle"/>
        <w:spacing w:after="0"/>
        <w:rPr>
          <w:rFonts w:ascii="Times New Roman" w:hAnsi="Times New Roman"/>
          <w:sz w:val="24"/>
        </w:rPr>
      </w:pPr>
    </w:p>
    <w:p w:rsidRPr="00E012E0" w:rsidR="00C866C4" w:rsidP="00C866C4" w:rsidRDefault="00C866C4" w14:paraId="6BF68EA5" w14:textId="71E9E82C">
      <w:pPr>
        <w:pStyle w:val="MarkforTableTitle"/>
        <w:spacing w:after="0"/>
        <w:rPr>
          <w:rFonts w:ascii="Times New Roman" w:hAnsi="Times New Roman"/>
          <w:i/>
          <w:sz w:val="24"/>
          <w:szCs w:val="24"/>
        </w:rPr>
      </w:pPr>
      <w:r w:rsidRPr="00E012E0">
        <w:rPr>
          <w:rFonts w:ascii="Times New Roman" w:hAnsi="Times New Roman"/>
          <w:i/>
          <w:sz w:val="24"/>
          <w:szCs w:val="24"/>
        </w:rPr>
        <w:t>Wage Estimates</w:t>
      </w:r>
    </w:p>
    <w:p w:rsidRPr="00E012E0" w:rsidR="00C866C4" w:rsidP="00C866C4" w:rsidRDefault="00C866C4" w14:paraId="357CC271" w14:textId="01A0492F">
      <w:pPr>
        <w:pStyle w:val="NormalSS"/>
        <w:spacing w:after="0"/>
      </w:pPr>
    </w:p>
    <w:p w:rsidRPr="00E012E0" w:rsidR="006244F7" w:rsidP="005548CF" w:rsidRDefault="00C866C4" w14:paraId="083935FB" w14:textId="23AD1B10">
      <w:pPr>
        <w:spacing w:after="0" w:line="240" w:lineRule="auto"/>
      </w:pPr>
      <w:r w:rsidRPr="00E012E0">
        <w:rPr>
          <w:szCs w:val="24"/>
        </w:rPr>
        <w:lastRenderedPageBreak/>
        <w:t>To derive average costs, we are using data from the U.S. Bureau of Labor Statistics’ May 201</w:t>
      </w:r>
      <w:r w:rsidRPr="00E012E0" w:rsidR="00E012E0">
        <w:rPr>
          <w:szCs w:val="24"/>
        </w:rPr>
        <w:t>9</w:t>
      </w:r>
      <w:r w:rsidRPr="00E012E0">
        <w:rPr>
          <w:szCs w:val="24"/>
        </w:rPr>
        <w:t xml:space="preserve"> National Occupational Employment and Wage Estimates for all salary estimates (</w:t>
      </w:r>
      <w:hyperlink w:history="1" r:id="rId15">
        <w:r w:rsidRPr="00E012E0">
          <w:rPr>
            <w:rStyle w:val="Hyperlink"/>
            <w:szCs w:val="24"/>
          </w:rPr>
          <w:t>http://www.bls.gov/oes/curren</w:t>
        </w:r>
        <w:r w:rsidRPr="00E012E0">
          <w:rPr>
            <w:rStyle w:val="Hyperlink"/>
            <w:szCs w:val="24"/>
          </w:rPr>
          <w:t>t</w:t>
        </w:r>
        <w:r w:rsidRPr="00E012E0">
          <w:rPr>
            <w:rStyle w:val="Hyperlink"/>
            <w:szCs w:val="24"/>
          </w:rPr>
          <w:t>/oes_nat.htm</w:t>
        </w:r>
      </w:hyperlink>
      <w:r w:rsidRPr="00E012E0">
        <w:rPr>
          <w:szCs w:val="24"/>
        </w:rPr>
        <w:t>). In this regard, the following table presents the mean hourly wage, the cost of fringe benefits and overhead (calculated at 100 percent of salary), and the adjusted hourly wage.</w:t>
      </w:r>
    </w:p>
    <w:p w:rsidRPr="00E012E0" w:rsidR="006244F7" w:rsidP="00E016CC" w:rsidRDefault="006244F7" w14:paraId="15D88839"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E012E0" w:rsidR="00C866C4" w:rsidTr="00E071E1" w14:paraId="40285026" w14:textId="77777777">
        <w:trPr>
          <w:trHeight w:val="686"/>
        </w:trPr>
        <w:tc>
          <w:tcPr>
            <w:tcW w:w="3056" w:type="dxa"/>
          </w:tcPr>
          <w:p w:rsidRPr="00E012E0" w:rsidR="00C866C4" w:rsidP="00C866C4" w:rsidRDefault="00C866C4" w14:paraId="6CCB52FB" w14:textId="77777777">
            <w:pPr>
              <w:pStyle w:val="TableParagraph"/>
              <w:rPr>
                <w:b/>
                <w:sz w:val="20"/>
                <w:szCs w:val="20"/>
              </w:rPr>
            </w:pPr>
            <w:r w:rsidRPr="00E012E0">
              <w:rPr>
                <w:b/>
                <w:sz w:val="20"/>
                <w:szCs w:val="20"/>
              </w:rPr>
              <w:t>Occupation Title</w:t>
            </w:r>
          </w:p>
        </w:tc>
        <w:tc>
          <w:tcPr>
            <w:tcW w:w="1746" w:type="dxa"/>
          </w:tcPr>
          <w:p w:rsidRPr="00E012E0" w:rsidR="00C866C4" w:rsidP="00C866C4" w:rsidRDefault="00C866C4" w14:paraId="4F3B4C43" w14:textId="77777777">
            <w:pPr>
              <w:pStyle w:val="TableParagraph"/>
              <w:ind w:right="245"/>
              <w:jc w:val="center"/>
              <w:rPr>
                <w:b/>
                <w:sz w:val="20"/>
                <w:szCs w:val="20"/>
              </w:rPr>
            </w:pPr>
            <w:r w:rsidRPr="00E012E0">
              <w:rPr>
                <w:b/>
                <w:sz w:val="20"/>
                <w:szCs w:val="20"/>
              </w:rPr>
              <w:t>Occupation Code</w:t>
            </w:r>
          </w:p>
        </w:tc>
        <w:tc>
          <w:tcPr>
            <w:tcW w:w="1314" w:type="dxa"/>
          </w:tcPr>
          <w:p w:rsidRPr="00E012E0" w:rsidR="00C866C4" w:rsidP="00C866C4" w:rsidRDefault="00C866C4" w14:paraId="30E98187" w14:textId="77655D9D">
            <w:pPr>
              <w:pStyle w:val="TableParagraph"/>
              <w:ind w:right="325"/>
              <w:jc w:val="center"/>
              <w:rPr>
                <w:b/>
                <w:sz w:val="20"/>
                <w:szCs w:val="20"/>
              </w:rPr>
            </w:pPr>
            <w:r w:rsidRPr="00E012E0">
              <w:rPr>
                <w:b/>
                <w:sz w:val="20"/>
                <w:szCs w:val="20"/>
              </w:rPr>
              <w:t>Mean Hourly Wage ($/</w:t>
            </w:r>
            <w:r w:rsidR="00C10B2E">
              <w:rPr>
                <w:b/>
                <w:sz w:val="20"/>
                <w:szCs w:val="20"/>
              </w:rPr>
              <w:t>hr</w:t>
            </w:r>
            <w:r w:rsidRPr="00E012E0">
              <w:rPr>
                <w:b/>
                <w:sz w:val="20"/>
                <w:szCs w:val="20"/>
              </w:rPr>
              <w:t>)</w:t>
            </w:r>
          </w:p>
        </w:tc>
        <w:tc>
          <w:tcPr>
            <w:tcW w:w="1530" w:type="dxa"/>
            <w:tcBorders>
              <w:right w:val="single" w:color="000000" w:sz="3" w:space="0"/>
            </w:tcBorders>
          </w:tcPr>
          <w:p w:rsidRPr="00E012E0" w:rsidR="00C866C4" w:rsidP="00C866C4" w:rsidRDefault="00C866C4" w14:paraId="091AF40F" w14:textId="42DCC82A">
            <w:pPr>
              <w:pStyle w:val="TableParagraph"/>
              <w:ind w:left="76" w:right="149"/>
              <w:jc w:val="center"/>
              <w:rPr>
                <w:b/>
                <w:sz w:val="20"/>
                <w:szCs w:val="20"/>
              </w:rPr>
            </w:pPr>
            <w:r w:rsidRPr="00E012E0">
              <w:rPr>
                <w:b/>
                <w:sz w:val="20"/>
                <w:szCs w:val="20"/>
              </w:rPr>
              <w:t>Fringe Benefits and Overhead ($/</w:t>
            </w:r>
            <w:r w:rsidR="00C10B2E">
              <w:rPr>
                <w:b/>
                <w:sz w:val="20"/>
                <w:szCs w:val="20"/>
              </w:rPr>
              <w:t>hr</w:t>
            </w:r>
            <w:r w:rsidRPr="00E012E0">
              <w:rPr>
                <w:b/>
                <w:sz w:val="20"/>
                <w:szCs w:val="20"/>
              </w:rPr>
              <w:t>)</w:t>
            </w:r>
          </w:p>
        </w:tc>
        <w:tc>
          <w:tcPr>
            <w:tcW w:w="1588" w:type="dxa"/>
            <w:tcBorders>
              <w:left w:val="single" w:color="000000" w:sz="3" w:space="0"/>
            </w:tcBorders>
          </w:tcPr>
          <w:p w:rsidRPr="00E012E0" w:rsidR="00C866C4" w:rsidP="00C866C4" w:rsidRDefault="00C866C4" w14:paraId="6A119905" w14:textId="04139D8E">
            <w:pPr>
              <w:pStyle w:val="TableParagraph"/>
              <w:ind w:right="317"/>
              <w:jc w:val="center"/>
              <w:rPr>
                <w:b/>
                <w:sz w:val="20"/>
                <w:szCs w:val="20"/>
              </w:rPr>
            </w:pPr>
            <w:r w:rsidRPr="00E012E0">
              <w:rPr>
                <w:b/>
                <w:sz w:val="20"/>
                <w:szCs w:val="20"/>
              </w:rPr>
              <w:t>Adjusted Hourly Wage ($/</w:t>
            </w:r>
            <w:r w:rsidR="00C10B2E">
              <w:rPr>
                <w:b/>
                <w:sz w:val="20"/>
                <w:szCs w:val="20"/>
              </w:rPr>
              <w:t>hr</w:t>
            </w:r>
            <w:r w:rsidRPr="00E012E0">
              <w:rPr>
                <w:b/>
                <w:sz w:val="20"/>
                <w:szCs w:val="20"/>
              </w:rPr>
              <w:t>)</w:t>
            </w:r>
          </w:p>
        </w:tc>
      </w:tr>
      <w:tr w:rsidRPr="00E012E0" w:rsidR="00C866C4" w:rsidTr="00E071E1" w14:paraId="1C2B9BB2" w14:textId="77777777">
        <w:trPr>
          <w:trHeight w:val="402"/>
        </w:trPr>
        <w:tc>
          <w:tcPr>
            <w:tcW w:w="3056" w:type="dxa"/>
            <w:tcBorders>
              <w:bottom w:val="single" w:color="000000" w:sz="3" w:space="0"/>
            </w:tcBorders>
          </w:tcPr>
          <w:p w:rsidRPr="00E012E0" w:rsidR="00C866C4" w:rsidP="00C866C4" w:rsidRDefault="00C866C4" w14:paraId="65979AE4" w14:textId="77777777">
            <w:pPr>
              <w:pStyle w:val="TableParagraph"/>
              <w:ind w:left="65"/>
              <w:rPr>
                <w:sz w:val="20"/>
                <w:szCs w:val="20"/>
              </w:rPr>
            </w:pPr>
            <w:r w:rsidRPr="00E012E0">
              <w:rPr>
                <w:sz w:val="20"/>
                <w:szCs w:val="20"/>
              </w:rPr>
              <w:t>Computer programmer</w:t>
            </w:r>
          </w:p>
        </w:tc>
        <w:tc>
          <w:tcPr>
            <w:tcW w:w="1746" w:type="dxa"/>
            <w:tcBorders>
              <w:bottom w:val="single" w:color="000000" w:sz="3" w:space="0"/>
            </w:tcBorders>
          </w:tcPr>
          <w:p w:rsidRPr="00E012E0" w:rsidR="00C866C4" w:rsidP="00C866C4" w:rsidRDefault="00617DCF" w14:paraId="041E1BE9" w14:textId="273ADEDB">
            <w:pPr>
              <w:pStyle w:val="TableParagraph"/>
              <w:jc w:val="center"/>
              <w:rPr>
                <w:sz w:val="20"/>
                <w:szCs w:val="20"/>
              </w:rPr>
            </w:pPr>
            <w:r w:rsidRPr="00E012E0">
              <w:rPr>
                <w:sz w:val="20"/>
                <w:szCs w:val="20"/>
              </w:rPr>
              <w:t>15-1251</w:t>
            </w:r>
          </w:p>
        </w:tc>
        <w:tc>
          <w:tcPr>
            <w:tcW w:w="1314" w:type="dxa"/>
            <w:tcBorders>
              <w:bottom w:val="single" w:color="000000" w:sz="3" w:space="0"/>
            </w:tcBorders>
          </w:tcPr>
          <w:p w:rsidRPr="00E012E0" w:rsidR="00C866C4" w:rsidP="00C866C4" w:rsidRDefault="00617DCF" w14:paraId="12216F85" w14:textId="19849EF4">
            <w:pPr>
              <w:pStyle w:val="TableParagraph"/>
              <w:jc w:val="center"/>
              <w:rPr>
                <w:sz w:val="20"/>
                <w:szCs w:val="20"/>
              </w:rPr>
            </w:pPr>
            <w:r w:rsidRPr="00E012E0">
              <w:rPr>
                <w:sz w:val="20"/>
                <w:szCs w:val="20"/>
              </w:rPr>
              <w:t>44.53</w:t>
            </w:r>
          </w:p>
        </w:tc>
        <w:tc>
          <w:tcPr>
            <w:tcW w:w="1530" w:type="dxa"/>
            <w:tcBorders>
              <w:bottom w:val="single" w:color="000000" w:sz="3" w:space="0"/>
              <w:right w:val="single" w:color="000000" w:sz="3" w:space="0"/>
            </w:tcBorders>
          </w:tcPr>
          <w:p w:rsidRPr="00E012E0" w:rsidR="00C866C4" w:rsidP="00C866C4" w:rsidRDefault="00617DCF" w14:paraId="27C00BCC" w14:textId="2800927F">
            <w:pPr>
              <w:pStyle w:val="TableParagraph"/>
              <w:ind w:left="76"/>
              <w:jc w:val="center"/>
              <w:rPr>
                <w:sz w:val="20"/>
                <w:szCs w:val="20"/>
              </w:rPr>
            </w:pPr>
            <w:r w:rsidRPr="00E012E0">
              <w:rPr>
                <w:sz w:val="20"/>
                <w:szCs w:val="20"/>
              </w:rPr>
              <w:t>44.53</w:t>
            </w:r>
          </w:p>
        </w:tc>
        <w:tc>
          <w:tcPr>
            <w:tcW w:w="1588" w:type="dxa"/>
            <w:tcBorders>
              <w:left w:val="single" w:color="000000" w:sz="3" w:space="0"/>
              <w:bottom w:val="single" w:color="000000" w:sz="3" w:space="0"/>
            </w:tcBorders>
          </w:tcPr>
          <w:p w:rsidRPr="00E012E0" w:rsidR="00617DCF" w:rsidP="00C866C4" w:rsidRDefault="00617DCF" w14:paraId="0D9159B8" w14:textId="1171496F">
            <w:pPr>
              <w:pStyle w:val="TableParagraph"/>
              <w:jc w:val="center"/>
              <w:rPr>
                <w:sz w:val="20"/>
                <w:szCs w:val="20"/>
              </w:rPr>
            </w:pPr>
            <w:r w:rsidRPr="00E012E0">
              <w:rPr>
                <w:sz w:val="20"/>
                <w:szCs w:val="20"/>
              </w:rPr>
              <w:t>89.06</w:t>
            </w:r>
          </w:p>
        </w:tc>
      </w:tr>
      <w:tr w:rsidRPr="00C866C4" w:rsidR="00C866C4" w:rsidTr="00E071E1" w14:paraId="4B499406" w14:textId="77777777">
        <w:trPr>
          <w:trHeight w:val="365"/>
        </w:trPr>
        <w:tc>
          <w:tcPr>
            <w:tcW w:w="3056" w:type="dxa"/>
          </w:tcPr>
          <w:p w:rsidRPr="00E012E0" w:rsidR="00C866C4" w:rsidP="00C866C4" w:rsidRDefault="00C866C4" w14:paraId="5000C9D0" w14:textId="77777777">
            <w:pPr>
              <w:pStyle w:val="TableParagraph"/>
              <w:ind w:left="38"/>
              <w:rPr>
                <w:sz w:val="20"/>
                <w:szCs w:val="20"/>
              </w:rPr>
            </w:pPr>
            <w:r w:rsidRPr="00E012E0">
              <w:rPr>
                <w:sz w:val="20"/>
                <w:szCs w:val="20"/>
              </w:rPr>
              <w:t>Health services manager</w:t>
            </w:r>
          </w:p>
        </w:tc>
        <w:tc>
          <w:tcPr>
            <w:tcW w:w="1746" w:type="dxa"/>
          </w:tcPr>
          <w:p w:rsidRPr="00E012E0" w:rsidR="00C866C4" w:rsidP="00C866C4" w:rsidRDefault="00C866C4" w14:paraId="494B1BB6" w14:textId="77777777">
            <w:pPr>
              <w:pStyle w:val="TableParagraph"/>
              <w:ind w:left="88"/>
              <w:jc w:val="center"/>
              <w:rPr>
                <w:sz w:val="20"/>
                <w:szCs w:val="20"/>
              </w:rPr>
            </w:pPr>
            <w:r w:rsidRPr="00E012E0">
              <w:rPr>
                <w:sz w:val="20"/>
                <w:szCs w:val="20"/>
              </w:rPr>
              <w:t>11-9111</w:t>
            </w:r>
          </w:p>
        </w:tc>
        <w:tc>
          <w:tcPr>
            <w:tcW w:w="1314" w:type="dxa"/>
          </w:tcPr>
          <w:p w:rsidRPr="00E012E0" w:rsidR="00C866C4" w:rsidP="00C866C4" w:rsidRDefault="005A2208" w14:paraId="6172E537" w14:textId="75805141">
            <w:pPr>
              <w:pStyle w:val="TableParagraph"/>
              <w:ind w:left="77"/>
              <w:jc w:val="center"/>
              <w:rPr>
                <w:sz w:val="20"/>
                <w:szCs w:val="20"/>
              </w:rPr>
            </w:pPr>
            <w:r w:rsidRPr="00E012E0">
              <w:rPr>
                <w:sz w:val="20"/>
                <w:szCs w:val="20"/>
              </w:rPr>
              <w:t>55.37</w:t>
            </w:r>
          </w:p>
        </w:tc>
        <w:tc>
          <w:tcPr>
            <w:tcW w:w="1530" w:type="dxa"/>
            <w:tcBorders>
              <w:right w:val="single" w:color="000000" w:sz="3" w:space="0"/>
            </w:tcBorders>
          </w:tcPr>
          <w:p w:rsidRPr="00E012E0" w:rsidR="00C866C4" w:rsidP="00C866C4" w:rsidRDefault="005A2208" w14:paraId="0FD04F7E" w14:textId="32DB80E5">
            <w:pPr>
              <w:pStyle w:val="TableParagraph"/>
              <w:ind w:left="95"/>
              <w:jc w:val="center"/>
              <w:rPr>
                <w:sz w:val="20"/>
                <w:szCs w:val="20"/>
              </w:rPr>
            </w:pPr>
            <w:r w:rsidRPr="00E012E0">
              <w:rPr>
                <w:sz w:val="20"/>
                <w:szCs w:val="20"/>
              </w:rPr>
              <w:t>55.37</w:t>
            </w:r>
          </w:p>
        </w:tc>
        <w:tc>
          <w:tcPr>
            <w:tcW w:w="1588" w:type="dxa"/>
            <w:tcBorders>
              <w:left w:val="single" w:color="000000" w:sz="3" w:space="0"/>
            </w:tcBorders>
          </w:tcPr>
          <w:p w:rsidRPr="005A2208" w:rsidR="005A2208" w:rsidP="00C866C4" w:rsidRDefault="005A2208" w14:paraId="45864673" w14:textId="66B65EB5">
            <w:pPr>
              <w:pStyle w:val="TableParagraph"/>
              <w:ind w:left="62"/>
              <w:jc w:val="center"/>
              <w:rPr>
                <w:sz w:val="20"/>
                <w:szCs w:val="20"/>
              </w:rPr>
            </w:pPr>
            <w:r w:rsidRPr="00E012E0">
              <w:rPr>
                <w:sz w:val="20"/>
                <w:szCs w:val="20"/>
              </w:rPr>
              <w:t>110.74</w:t>
            </w:r>
          </w:p>
        </w:tc>
      </w:tr>
    </w:tbl>
    <w:p w:rsidR="00C866C4" w:rsidP="00E016CC" w:rsidRDefault="00C866C4" w14:paraId="4DAB19EC" w14:textId="47C2E0EB">
      <w:pPr>
        <w:pStyle w:val="NormalSS"/>
        <w:spacing w:after="0"/>
        <w:ind w:firstLine="0"/>
        <w:rPr>
          <w:szCs w:val="24"/>
        </w:rPr>
      </w:pPr>
    </w:p>
    <w:p w:rsidRPr="00472269" w:rsidR="00C866C4" w:rsidP="00C866C4" w:rsidRDefault="00C866C4" w14:paraId="180121DC" w14:textId="71C98FBD">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1A3B7ACE" w14:textId="6C76B775">
      <w:pPr>
        <w:pStyle w:val="NormalSS"/>
        <w:spacing w:after="0"/>
        <w:ind w:firstLine="0"/>
        <w:rPr>
          <w:szCs w:val="24"/>
        </w:rPr>
      </w:pPr>
    </w:p>
    <w:p w:rsidRPr="00C866C4" w:rsidR="00C866C4" w:rsidP="004F1DDE" w:rsidRDefault="00E02680" w14:paraId="0D73E118" w14:textId="70B76692">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561323D6" w14:textId="3752B3D1">
      <w:pPr>
        <w:pStyle w:val="NormalSS"/>
        <w:spacing w:after="0"/>
        <w:ind w:firstLine="0"/>
        <w:rPr>
          <w:szCs w:val="24"/>
        </w:rPr>
      </w:pPr>
    </w:p>
    <w:p w:rsidR="00AC47F0" w:rsidP="001411B6" w:rsidRDefault="00AC47F0" w14:paraId="78A2C6B4" w14:textId="32C6253D">
      <w:pPr>
        <w:pStyle w:val="NormalSS"/>
        <w:spacing w:after="0"/>
        <w:ind w:firstLine="0"/>
        <w:rPr>
          <w:szCs w:val="24"/>
        </w:rPr>
      </w:pPr>
      <w:r>
        <w:t xml:space="preserve">Currently, there are 7 (seven) states with an approved </w:t>
      </w:r>
      <w:r w:rsidRPr="00435652">
        <w:rPr>
          <w:color w:val="000000"/>
          <w:szCs w:val="24"/>
        </w:rPr>
        <w:t xml:space="preserve">Medicaid Section </w:t>
      </w:r>
      <w:r w:rsidR="00FE462D">
        <w:rPr>
          <w:color w:val="000000"/>
          <w:szCs w:val="24"/>
        </w:rPr>
        <w:t>SMI</w:t>
      </w:r>
      <w:r w:rsidRPr="00472269">
        <w:t xml:space="preserve"> demonstration </w:t>
      </w:r>
      <w:r>
        <w:t xml:space="preserve">for </w:t>
      </w:r>
      <w:r w:rsidRPr="00472269">
        <w:t xml:space="preserve">reporting, however, we anticipate this number to </w:t>
      </w:r>
      <w:r w:rsidR="005F5AC4">
        <w:t>expand somewhat, so</w:t>
      </w:r>
      <w:r>
        <w:t xml:space="preserve"> for the purpose </w:t>
      </w:r>
      <w:r w:rsidR="005F5AC4">
        <w:t xml:space="preserve">of </w:t>
      </w:r>
      <w:r w:rsidR="00E342EA">
        <w:t>calculat</w:t>
      </w:r>
      <w:r w:rsidR="005F5AC4">
        <w:t>ing</w:t>
      </w:r>
      <w:r>
        <w:t xml:space="preserve"> burden we </w:t>
      </w:r>
      <w:r w:rsidR="00153A73">
        <w:t xml:space="preserve">are estimating </w:t>
      </w:r>
      <w:r>
        <w:t>ten (10</w:t>
      </w:r>
      <w:r w:rsidRPr="00472269">
        <w:t>) sta</w:t>
      </w:r>
      <w:r>
        <w:t>tes.</w:t>
      </w:r>
    </w:p>
    <w:p w:rsidR="00AC47F0" w:rsidP="001411B6" w:rsidRDefault="00AC47F0" w14:paraId="17ADDE74" w14:textId="77777777">
      <w:pPr>
        <w:pStyle w:val="NormalSS"/>
        <w:spacing w:after="0"/>
        <w:ind w:firstLine="0"/>
        <w:rPr>
          <w:szCs w:val="24"/>
        </w:rPr>
      </w:pPr>
    </w:p>
    <w:p w:rsidRPr="00EE7851" w:rsidR="00EE7851" w:rsidP="0088327A" w:rsidRDefault="00EE7851" w14:paraId="483AFB35" w14:textId="5261058C">
      <w:pPr>
        <w:pStyle w:val="ListParagraph"/>
        <w:numPr>
          <w:ilvl w:val="0"/>
          <w:numId w:val="7"/>
        </w:numPr>
        <w:spacing w:after="0" w:line="240" w:lineRule="auto"/>
        <w:rPr>
          <w:rFonts w:ascii="Times New Roman" w:hAnsi="Times New Roman"/>
          <w:color w:val="000000"/>
          <w:sz w:val="24"/>
          <w:szCs w:val="24"/>
          <w:u w:val="single"/>
        </w:rPr>
      </w:pPr>
      <w:r w:rsidRPr="00EE7851">
        <w:rPr>
          <w:rFonts w:ascii="Times New Roman" w:hAnsi="Times New Roman"/>
          <w:sz w:val="24"/>
          <w:szCs w:val="24"/>
          <w:u w:val="single"/>
        </w:rPr>
        <w:t xml:space="preserve">The </w:t>
      </w:r>
      <w:r w:rsidRPr="00EE7851">
        <w:rPr>
          <w:rFonts w:ascii="Times New Roman" w:hAnsi="Times New Roman"/>
          <w:color w:val="000000"/>
          <w:sz w:val="24"/>
          <w:szCs w:val="24"/>
          <w:u w:val="single"/>
        </w:rPr>
        <w:t xml:space="preserve">Medicaid Section 1115 </w:t>
      </w:r>
      <w:r w:rsidR="00305B32">
        <w:rPr>
          <w:rFonts w:ascii="Times New Roman" w:hAnsi="Times New Roman"/>
          <w:color w:val="000000"/>
          <w:sz w:val="24"/>
          <w:szCs w:val="24"/>
          <w:u w:val="single"/>
        </w:rPr>
        <w:t>SMI</w:t>
      </w:r>
      <w:r w:rsidR="00D32843">
        <w:rPr>
          <w:rFonts w:ascii="Times New Roman" w:hAnsi="Times New Roman"/>
          <w:color w:val="000000"/>
          <w:sz w:val="24"/>
          <w:szCs w:val="24"/>
          <w:u w:val="single"/>
        </w:rPr>
        <w:t>/SED</w:t>
      </w:r>
      <w:r w:rsidRPr="00EE7851">
        <w:rPr>
          <w:rFonts w:ascii="Times New Roman" w:hAnsi="Times New Roman"/>
          <w:color w:val="000000"/>
          <w:sz w:val="24"/>
          <w:szCs w:val="24"/>
          <w:u w:val="single"/>
        </w:rPr>
        <w:t xml:space="preserve"> Implementation Plan </w:t>
      </w:r>
    </w:p>
    <w:p w:rsidRPr="00EE7851" w:rsidR="00EE7851" w:rsidP="00EE7851" w:rsidRDefault="00EE7851" w14:paraId="106F2499" w14:textId="77777777">
      <w:pPr>
        <w:spacing w:after="0" w:line="240" w:lineRule="auto"/>
        <w:rPr>
          <w:rFonts w:cs="Times New Roman"/>
          <w:color w:val="000000"/>
          <w:szCs w:val="24"/>
        </w:rPr>
      </w:pPr>
    </w:p>
    <w:p w:rsidR="00435652" w:rsidP="00EE7851" w:rsidRDefault="00435652" w14:paraId="33EF0B56" w14:textId="77777777">
      <w:pPr>
        <w:spacing w:after="0" w:line="240" w:lineRule="auto"/>
        <w:rPr>
          <w:rFonts w:cs="Times New Roman"/>
          <w:color w:val="000000"/>
          <w:szCs w:val="24"/>
        </w:rPr>
      </w:pPr>
      <w:r>
        <w:rPr>
          <w:rFonts w:cs="Times New Roman"/>
          <w:color w:val="000000"/>
          <w:szCs w:val="24"/>
        </w:rPr>
        <w:t xml:space="preserve">The Implementation Plan consists of a one-time submission for year-one of the demonstration. </w:t>
      </w:r>
    </w:p>
    <w:p w:rsidR="00BE6E2E" w:rsidP="00EE7851" w:rsidRDefault="00BE6E2E" w14:paraId="43FAEF57" w14:textId="77777777">
      <w:pPr>
        <w:spacing w:after="0" w:line="240" w:lineRule="auto"/>
        <w:rPr>
          <w:rFonts w:cs="Times New Roman"/>
          <w:color w:val="000000"/>
          <w:szCs w:val="24"/>
        </w:rPr>
      </w:pPr>
    </w:p>
    <w:p w:rsidRPr="00E94A5B" w:rsidR="00435652" w:rsidP="00435652" w:rsidRDefault="00435652" w14:paraId="5150C0A1" w14:textId="3AD493B1">
      <w:pPr>
        <w:spacing w:after="0" w:line="240" w:lineRule="auto"/>
        <w:rPr>
          <w:rFonts w:cs="Times New Roman"/>
          <w:bCs/>
          <w:szCs w:val="24"/>
        </w:rPr>
      </w:pPr>
      <w:r w:rsidRPr="00E12439">
        <w:rPr>
          <w:rFonts w:cs="Times New Roman"/>
          <w:color w:val="000000"/>
          <w:szCs w:val="24"/>
        </w:rPr>
        <w:t>The Implementation Plan would be developed by a health services manager and a computer programmer</w:t>
      </w:r>
      <w:r w:rsidRPr="00E12439" w:rsidR="00E12439">
        <w:rPr>
          <w:rFonts w:cs="Times New Roman"/>
          <w:color w:val="000000"/>
          <w:szCs w:val="24"/>
        </w:rPr>
        <w:t xml:space="preserve">. We </w:t>
      </w:r>
      <w:r w:rsidRPr="00E12439">
        <w:rPr>
          <w:rFonts w:cs="Times New Roman"/>
          <w:bCs/>
          <w:szCs w:val="24"/>
        </w:rPr>
        <w:t>estimate i</w:t>
      </w:r>
      <w:r w:rsidRPr="00E12439" w:rsidR="00C44E39">
        <w:rPr>
          <w:rFonts w:cs="Times New Roman"/>
          <w:bCs/>
          <w:szCs w:val="24"/>
        </w:rPr>
        <w:t>t</w:t>
      </w:r>
      <w:r w:rsidRPr="00E12439">
        <w:rPr>
          <w:rFonts w:cs="Times New Roman"/>
          <w:bCs/>
          <w:szCs w:val="24"/>
        </w:rPr>
        <w:t xml:space="preserve"> would take </w:t>
      </w:r>
      <w:r w:rsidRPr="00E12439" w:rsidR="003E428B">
        <w:rPr>
          <w:rFonts w:cs="Times New Roman"/>
          <w:bCs/>
          <w:szCs w:val="24"/>
        </w:rPr>
        <w:t xml:space="preserve">a total of </w:t>
      </w:r>
      <w:r w:rsidRPr="00E12439">
        <w:rPr>
          <w:rFonts w:cs="Times New Roman"/>
          <w:bCs/>
          <w:szCs w:val="24"/>
        </w:rPr>
        <w:t>20 hours (per state)</w:t>
      </w:r>
      <w:r w:rsidRPr="00E12439" w:rsidR="003E428B">
        <w:rPr>
          <w:rFonts w:cs="Times New Roman"/>
          <w:bCs/>
          <w:szCs w:val="24"/>
        </w:rPr>
        <w:t xml:space="preserve"> to complete one response.  This would consist of</w:t>
      </w:r>
      <w:r w:rsidRPr="00E12439">
        <w:rPr>
          <w:rFonts w:cs="Times New Roman"/>
          <w:bCs/>
          <w:szCs w:val="24"/>
        </w:rPr>
        <w:t xml:space="preserve"> 8 hours at $</w:t>
      </w:r>
      <w:r w:rsidRPr="00E12439" w:rsidR="00F57677">
        <w:rPr>
          <w:rFonts w:cs="Times New Roman"/>
          <w:bCs/>
          <w:szCs w:val="24"/>
        </w:rPr>
        <w:t>89.06</w:t>
      </w:r>
      <w:r w:rsidRPr="00E12439">
        <w:rPr>
          <w:rFonts w:cs="Times New Roman"/>
          <w:bCs/>
          <w:szCs w:val="24"/>
        </w:rPr>
        <w:t>/</w:t>
      </w:r>
      <w:r w:rsidRPr="00E12439" w:rsidR="00C10B2E">
        <w:rPr>
          <w:rFonts w:cs="Times New Roman"/>
          <w:bCs/>
          <w:szCs w:val="24"/>
        </w:rPr>
        <w:t>hr</w:t>
      </w:r>
      <w:r w:rsidRPr="00E12439">
        <w:rPr>
          <w:rFonts w:cs="Times New Roman"/>
          <w:bCs/>
          <w:szCs w:val="24"/>
        </w:rPr>
        <w:t xml:space="preserve"> for a computer programmer to r</w:t>
      </w:r>
      <w:r w:rsidRPr="00E12439">
        <w:rPr>
          <w:rFonts w:cs="Times New Roman"/>
          <w:szCs w:val="24"/>
        </w:rPr>
        <w:t>eview technical specifications</w:t>
      </w:r>
      <w:r w:rsidRPr="00E12439">
        <w:rPr>
          <w:rFonts w:cs="Times New Roman"/>
          <w:bCs/>
          <w:szCs w:val="24"/>
        </w:rPr>
        <w:t xml:space="preserve"> and 12 hours at $</w:t>
      </w:r>
      <w:r w:rsidRPr="00E12439" w:rsidR="00F57677">
        <w:rPr>
          <w:rFonts w:cs="Times New Roman"/>
          <w:bCs/>
          <w:szCs w:val="24"/>
        </w:rPr>
        <w:t>110.74</w:t>
      </w:r>
      <w:r w:rsidRPr="00E12439">
        <w:rPr>
          <w:rFonts w:cs="Times New Roman"/>
          <w:bCs/>
          <w:szCs w:val="24"/>
        </w:rPr>
        <w:t>/</w:t>
      </w:r>
      <w:r w:rsidRPr="00E12439" w:rsidR="00C10B2E">
        <w:rPr>
          <w:rFonts w:cs="Times New Roman"/>
          <w:bCs/>
          <w:szCs w:val="24"/>
        </w:rPr>
        <w:t>hr</w:t>
      </w:r>
      <w:r w:rsidRPr="00E12439">
        <w:rPr>
          <w:rFonts w:cs="Times New Roman"/>
          <w:bCs/>
          <w:szCs w:val="24"/>
        </w:rPr>
        <w:t xml:space="preserve"> for a health services manager to: c</w:t>
      </w:r>
      <w:r w:rsidRPr="00E12439">
        <w:rPr>
          <w:rFonts w:cs="Times New Roman"/>
          <w:szCs w:val="24"/>
        </w:rPr>
        <w:t xml:space="preserve">omplete </w:t>
      </w:r>
      <w:r w:rsidRPr="00E12439" w:rsidR="003E428B">
        <w:rPr>
          <w:rFonts w:cs="Times New Roman"/>
          <w:szCs w:val="24"/>
        </w:rPr>
        <w:t xml:space="preserve">the </w:t>
      </w:r>
      <w:r w:rsidRPr="00E12439">
        <w:rPr>
          <w:rFonts w:cs="Times New Roman"/>
          <w:szCs w:val="24"/>
        </w:rPr>
        <w:t xml:space="preserve">metrics workbook (4 </w:t>
      </w:r>
      <w:r w:rsidRPr="00E12439" w:rsidR="00C10B2E">
        <w:rPr>
          <w:rFonts w:cs="Times New Roman"/>
          <w:szCs w:val="24"/>
        </w:rPr>
        <w:t>hr</w:t>
      </w:r>
      <w:r w:rsidRPr="00E12439">
        <w:rPr>
          <w:rFonts w:cs="Times New Roman"/>
          <w:szCs w:val="24"/>
        </w:rPr>
        <w:t xml:space="preserve">), the narrative portion by reviewing the monitoring report template and budget neutrality materials for attestations (4 </w:t>
      </w:r>
      <w:r w:rsidRPr="00E12439" w:rsidR="00C10B2E">
        <w:rPr>
          <w:rFonts w:cs="Times New Roman"/>
          <w:szCs w:val="24"/>
        </w:rPr>
        <w:t>hr</w:t>
      </w:r>
      <w:r w:rsidRPr="00E12439">
        <w:rPr>
          <w:rFonts w:cs="Times New Roman"/>
          <w:szCs w:val="24"/>
        </w:rPr>
        <w:t xml:space="preserve">), QA the monitoring protocol (4 </w:t>
      </w:r>
      <w:r w:rsidRPr="00E12439" w:rsidR="00C10B2E">
        <w:rPr>
          <w:rFonts w:cs="Times New Roman"/>
          <w:szCs w:val="24"/>
        </w:rPr>
        <w:t>hr</w:t>
      </w:r>
      <w:r w:rsidRPr="00E12439">
        <w:rPr>
          <w:rFonts w:cs="Times New Roman"/>
          <w:szCs w:val="24"/>
        </w:rPr>
        <w:t>)</w:t>
      </w:r>
      <w:r w:rsidRPr="00E12439" w:rsidR="007B674E">
        <w:rPr>
          <w:rFonts w:cs="Times New Roman"/>
          <w:szCs w:val="24"/>
        </w:rPr>
        <w:t>. and submit the implementation plan to PMDA</w:t>
      </w:r>
      <w:r w:rsidRPr="00E12439">
        <w:rPr>
          <w:rFonts w:cs="Times New Roman"/>
          <w:szCs w:val="24"/>
        </w:rPr>
        <w:t>.</w:t>
      </w:r>
    </w:p>
    <w:p w:rsidRPr="00223FCC" w:rsidR="00435652" w:rsidP="00435652" w:rsidRDefault="00435652" w14:paraId="21FAC651" w14:textId="77777777">
      <w:pPr>
        <w:spacing w:after="0" w:line="240" w:lineRule="auto"/>
      </w:pPr>
    </w:p>
    <w:p w:rsidR="00435652" w:rsidP="00435652" w:rsidRDefault="00435652" w14:paraId="2C96E57F" w14:textId="2C0508F3">
      <w:pPr>
        <w:spacing w:after="0" w:line="240" w:lineRule="auto"/>
        <w:rPr>
          <w:szCs w:val="24"/>
        </w:rPr>
      </w:pPr>
      <w:r w:rsidRPr="00211240">
        <w:t>In aggregate</w:t>
      </w:r>
      <w:r w:rsidRPr="00211240">
        <w:rPr>
          <w:szCs w:val="24"/>
        </w:rPr>
        <w:t xml:space="preserve">, we estimate a burden of 200 hours (10 states x 20 </w:t>
      </w:r>
      <w:r w:rsidRPr="00211240" w:rsidR="00C10B2E">
        <w:rPr>
          <w:szCs w:val="24"/>
        </w:rPr>
        <w:t>hr</w:t>
      </w:r>
      <w:r w:rsidRPr="00211240">
        <w:rPr>
          <w:szCs w:val="24"/>
        </w:rPr>
        <w:t>) at a cost of $</w:t>
      </w:r>
      <w:r w:rsidRPr="00211240" w:rsidR="00211240">
        <w:rPr>
          <w:szCs w:val="24"/>
        </w:rPr>
        <w:t>2</w:t>
      </w:r>
      <w:r w:rsidR="006638FA">
        <w:rPr>
          <w:szCs w:val="24"/>
        </w:rPr>
        <w:t>0,414</w:t>
      </w:r>
      <w:r w:rsidRPr="00211240">
        <w:rPr>
          <w:szCs w:val="24"/>
        </w:rPr>
        <w:t xml:space="preserve"> ([</w:t>
      </w:r>
      <w:r w:rsidRPr="00211240" w:rsidR="003E428B">
        <w:rPr>
          <w:szCs w:val="24"/>
        </w:rPr>
        <w:t>8</w:t>
      </w:r>
      <w:r w:rsidRPr="00211240">
        <w:rPr>
          <w:szCs w:val="24"/>
        </w:rPr>
        <w:t xml:space="preserve"> </w:t>
      </w:r>
      <w:r w:rsidRPr="00211240" w:rsidR="00C10B2E">
        <w:rPr>
          <w:szCs w:val="24"/>
        </w:rPr>
        <w:t>hr</w:t>
      </w:r>
      <w:r w:rsidRPr="00211240">
        <w:rPr>
          <w:szCs w:val="24"/>
        </w:rPr>
        <w:t xml:space="preserve"> x </w:t>
      </w:r>
      <w:r w:rsidRPr="00211240">
        <w:rPr>
          <w:rFonts w:cs="Times New Roman"/>
          <w:bCs/>
          <w:szCs w:val="24"/>
        </w:rPr>
        <w:t>$</w:t>
      </w:r>
      <w:r w:rsidRPr="00211240" w:rsidR="00F57677">
        <w:rPr>
          <w:rFonts w:cs="Times New Roman"/>
          <w:bCs/>
          <w:szCs w:val="24"/>
        </w:rPr>
        <w:t>89.06</w:t>
      </w:r>
      <w:r w:rsidRPr="00211240">
        <w:rPr>
          <w:rFonts w:cs="Times New Roman"/>
          <w:bCs/>
          <w:szCs w:val="24"/>
        </w:rPr>
        <w:t>/</w:t>
      </w:r>
      <w:r w:rsidRPr="00211240" w:rsidR="00C10B2E">
        <w:rPr>
          <w:rFonts w:cs="Times New Roman"/>
          <w:bCs/>
          <w:szCs w:val="24"/>
        </w:rPr>
        <w:t>hr</w:t>
      </w:r>
      <w:r w:rsidR="006638FA">
        <w:rPr>
          <w:rFonts w:cs="Times New Roman"/>
          <w:bCs/>
          <w:szCs w:val="24"/>
        </w:rPr>
        <w:t xml:space="preserve"> x 10 states</w:t>
      </w:r>
      <w:r w:rsidRPr="00211240">
        <w:rPr>
          <w:szCs w:val="24"/>
        </w:rPr>
        <w:t xml:space="preserve">] + [12 </w:t>
      </w:r>
      <w:r w:rsidRPr="00211240" w:rsidR="00C10B2E">
        <w:rPr>
          <w:szCs w:val="24"/>
        </w:rPr>
        <w:t>hr</w:t>
      </w:r>
      <w:r w:rsidRPr="00211240">
        <w:rPr>
          <w:szCs w:val="24"/>
        </w:rPr>
        <w:t xml:space="preserve"> x </w:t>
      </w:r>
      <w:r w:rsidRPr="00211240">
        <w:rPr>
          <w:rFonts w:cs="Times New Roman"/>
          <w:bCs/>
          <w:szCs w:val="24"/>
        </w:rPr>
        <w:t>$</w:t>
      </w:r>
      <w:r w:rsidRPr="00211240" w:rsidR="00F57677">
        <w:rPr>
          <w:rFonts w:cs="Times New Roman"/>
          <w:bCs/>
          <w:szCs w:val="24"/>
        </w:rPr>
        <w:t>110.74</w:t>
      </w:r>
      <w:r w:rsidRPr="00211240">
        <w:rPr>
          <w:rFonts w:cs="Times New Roman"/>
          <w:bCs/>
          <w:szCs w:val="24"/>
        </w:rPr>
        <w:t>/</w:t>
      </w:r>
      <w:r w:rsidRPr="00211240" w:rsidR="00C10B2E">
        <w:rPr>
          <w:rFonts w:cs="Times New Roman"/>
          <w:bCs/>
          <w:szCs w:val="24"/>
        </w:rPr>
        <w:t>hr</w:t>
      </w:r>
      <w:r w:rsidR="006638FA">
        <w:rPr>
          <w:rFonts w:cs="Times New Roman"/>
          <w:bCs/>
          <w:szCs w:val="24"/>
        </w:rPr>
        <w:t xml:space="preserve"> x 10 states</w:t>
      </w:r>
      <w:r w:rsidRPr="00211240">
        <w:rPr>
          <w:rFonts w:cs="Times New Roman"/>
          <w:bCs/>
          <w:szCs w:val="24"/>
        </w:rPr>
        <w:t>]</w:t>
      </w:r>
      <w:r w:rsidRPr="00211240">
        <w:rPr>
          <w:szCs w:val="24"/>
        </w:rPr>
        <w:t>).</w:t>
      </w:r>
    </w:p>
    <w:p w:rsidRPr="00EE7851" w:rsidR="00EE7851" w:rsidP="00EE7851" w:rsidRDefault="00EE7851" w14:paraId="4875633A" w14:textId="77777777">
      <w:pPr>
        <w:spacing w:after="0" w:line="240" w:lineRule="auto"/>
        <w:rPr>
          <w:rFonts w:cs="Times New Roman"/>
          <w:color w:val="000000"/>
          <w:szCs w:val="24"/>
        </w:rPr>
      </w:pPr>
    </w:p>
    <w:p w:rsidRPr="00EE7851" w:rsidR="00C866C4" w:rsidP="0088327A" w:rsidRDefault="00EE7851" w14:paraId="33FA2E8B" w14:textId="6B426408">
      <w:pPr>
        <w:pStyle w:val="ListParagraph"/>
        <w:numPr>
          <w:ilvl w:val="0"/>
          <w:numId w:val="7"/>
        </w:numPr>
        <w:spacing w:after="0" w:line="240" w:lineRule="auto"/>
        <w:rPr>
          <w:rFonts w:ascii="Times New Roman" w:hAnsi="Times New Roman"/>
          <w:color w:val="000000"/>
          <w:sz w:val="24"/>
          <w:szCs w:val="24"/>
          <w:u w:val="single"/>
        </w:rPr>
      </w:pPr>
      <w:bookmarkStart w:name="_Hlk36458449" w:id="6"/>
      <w:r w:rsidRPr="00EE7851">
        <w:rPr>
          <w:rFonts w:ascii="Times New Roman" w:hAnsi="Times New Roman"/>
          <w:color w:val="000000"/>
          <w:sz w:val="24"/>
          <w:szCs w:val="24"/>
          <w:u w:val="single"/>
        </w:rPr>
        <w:t xml:space="preserve">The Medicaid Section 1115 </w:t>
      </w:r>
      <w:r w:rsidR="00D062B3">
        <w:rPr>
          <w:rFonts w:ascii="Times New Roman" w:hAnsi="Times New Roman"/>
          <w:color w:val="000000"/>
          <w:sz w:val="24"/>
          <w:szCs w:val="24"/>
          <w:u w:val="single"/>
        </w:rPr>
        <w:t>SMI</w:t>
      </w:r>
      <w:r w:rsidR="00D32843">
        <w:rPr>
          <w:rFonts w:ascii="Times New Roman" w:hAnsi="Times New Roman"/>
          <w:color w:val="000000"/>
          <w:sz w:val="24"/>
          <w:szCs w:val="24"/>
          <w:u w:val="single"/>
        </w:rPr>
        <w:t xml:space="preserve">/SED </w:t>
      </w:r>
      <w:r w:rsidRPr="00EE7851" w:rsidR="009F1F61">
        <w:rPr>
          <w:rFonts w:ascii="Times New Roman" w:hAnsi="Times New Roman"/>
          <w:sz w:val="24"/>
          <w:szCs w:val="24"/>
          <w:u w:val="single"/>
        </w:rPr>
        <w:t>M</w:t>
      </w:r>
      <w:r w:rsidRPr="00EE7851" w:rsidR="00C866C4">
        <w:rPr>
          <w:rFonts w:ascii="Times New Roman" w:hAnsi="Times New Roman"/>
          <w:sz w:val="24"/>
          <w:szCs w:val="24"/>
          <w:u w:val="single"/>
        </w:rPr>
        <w:t xml:space="preserve">onitoring </w:t>
      </w:r>
      <w:r w:rsidRPr="00EE7851" w:rsidR="009F1F61">
        <w:rPr>
          <w:rFonts w:ascii="Times New Roman" w:hAnsi="Times New Roman"/>
          <w:sz w:val="24"/>
          <w:szCs w:val="24"/>
          <w:u w:val="single"/>
        </w:rPr>
        <w:t>P</w:t>
      </w:r>
      <w:r w:rsidRPr="00EE7851" w:rsidR="00C866C4">
        <w:rPr>
          <w:rFonts w:ascii="Times New Roman" w:hAnsi="Times New Roman"/>
          <w:sz w:val="24"/>
          <w:szCs w:val="24"/>
          <w:u w:val="single"/>
        </w:rPr>
        <w:t>rotocol</w:t>
      </w:r>
      <w:r w:rsidR="00306D38">
        <w:rPr>
          <w:rFonts w:ascii="Times New Roman" w:hAnsi="Times New Roman"/>
          <w:sz w:val="24"/>
          <w:szCs w:val="24"/>
          <w:u w:val="single"/>
        </w:rPr>
        <w:t xml:space="preserve"> Template</w:t>
      </w:r>
    </w:p>
    <w:bookmarkEnd w:id="6"/>
    <w:p w:rsidR="006244F7" w:rsidP="00E016CC" w:rsidRDefault="006244F7" w14:paraId="2EEEA25D" w14:textId="77777777">
      <w:pPr>
        <w:spacing w:after="0" w:line="240" w:lineRule="auto"/>
      </w:pPr>
    </w:p>
    <w:p w:rsidRPr="008E0A87" w:rsidR="00C866C4" w:rsidP="00E016CC" w:rsidRDefault="00BD1124" w14:paraId="482CCFD7" w14:textId="0C6B9819">
      <w:pPr>
        <w:spacing w:after="0" w:line="240" w:lineRule="auto"/>
        <w:rPr>
          <w:rFonts w:cs="Times New Roman"/>
          <w:szCs w:val="24"/>
        </w:rPr>
      </w:pPr>
      <w:r w:rsidRPr="00E016CC">
        <w:t>Monitoring</w:t>
      </w:r>
      <w:r w:rsidRPr="00E016CC" w:rsidR="001411B6">
        <w:t xml:space="preserve"> protocol </w:t>
      </w:r>
      <w:r w:rsidR="001411B6">
        <w:rPr>
          <w:rFonts w:cs="Times New Roman"/>
          <w:szCs w:val="24"/>
        </w:rPr>
        <w:t xml:space="preserve">consists of </w:t>
      </w:r>
      <w:r w:rsidR="00694FC7">
        <w:rPr>
          <w:rFonts w:cs="Times New Roman"/>
          <w:szCs w:val="24"/>
        </w:rPr>
        <w:t>a</w:t>
      </w:r>
      <w:r w:rsidRPr="00E016CC" w:rsidR="00694FC7">
        <w:t xml:space="preserve"> </w:t>
      </w:r>
      <w:r w:rsidRPr="00E016CC" w:rsidR="00C866C4">
        <w:t xml:space="preserve">one-time submission </w:t>
      </w:r>
      <w:r w:rsidR="00694FC7">
        <w:rPr>
          <w:rFonts w:cs="Times New Roman"/>
          <w:szCs w:val="24"/>
        </w:rPr>
        <w:t>for</w:t>
      </w:r>
      <w:r w:rsidRPr="00E016CC" w:rsidR="00694FC7">
        <w:t xml:space="preserve"> </w:t>
      </w:r>
      <w:r w:rsidRPr="00E016CC" w:rsidR="00C866C4">
        <w:t>year-one of the demonstration.</w:t>
      </w:r>
      <w:r w:rsidR="001411B6">
        <w:rPr>
          <w:rFonts w:cs="Times New Roman"/>
          <w:szCs w:val="24"/>
        </w:rPr>
        <w:t xml:space="preserve"> </w:t>
      </w:r>
      <w:r w:rsidR="007E785B">
        <w:rPr>
          <w:rFonts w:cs="Times New Roman"/>
          <w:szCs w:val="24"/>
        </w:rPr>
        <w:t xml:space="preserve">The </w:t>
      </w:r>
      <w:r w:rsidRPr="008E0A87" w:rsidR="00C866C4">
        <w:rPr>
          <w:rFonts w:cs="Times New Roman"/>
          <w:szCs w:val="24"/>
        </w:rPr>
        <w:t xml:space="preserve">protocol </w:t>
      </w:r>
      <w:r w:rsidRPr="008E0A87" w:rsidR="007E785B">
        <w:rPr>
          <w:rFonts w:cs="Times New Roman"/>
          <w:szCs w:val="24"/>
        </w:rPr>
        <w:t xml:space="preserve">would be </w:t>
      </w:r>
      <w:r w:rsidRPr="008E0A87" w:rsidR="001411B6">
        <w:rPr>
          <w:rFonts w:cs="Times New Roman"/>
          <w:szCs w:val="24"/>
        </w:rPr>
        <w:t xml:space="preserve">developed </w:t>
      </w:r>
      <w:r w:rsidRPr="008E0A87" w:rsidR="00C866C4">
        <w:rPr>
          <w:rFonts w:cs="Times New Roman"/>
          <w:szCs w:val="24"/>
        </w:rPr>
        <w:t xml:space="preserve">by </w:t>
      </w:r>
      <w:r w:rsidRPr="008E0A87" w:rsidR="007E785B">
        <w:rPr>
          <w:rFonts w:cs="Times New Roman"/>
          <w:szCs w:val="24"/>
        </w:rPr>
        <w:t xml:space="preserve">a </w:t>
      </w:r>
      <w:r w:rsidRPr="008E0A87" w:rsidR="00C866C4">
        <w:rPr>
          <w:rFonts w:cs="Times New Roman"/>
          <w:szCs w:val="24"/>
        </w:rPr>
        <w:t xml:space="preserve">health services manager and </w:t>
      </w:r>
      <w:r w:rsidRPr="008E0A87" w:rsidR="007E785B">
        <w:rPr>
          <w:rFonts w:cs="Times New Roman"/>
          <w:szCs w:val="24"/>
        </w:rPr>
        <w:t xml:space="preserve">a </w:t>
      </w:r>
      <w:r w:rsidRPr="008E0A87" w:rsidR="00C866C4">
        <w:rPr>
          <w:rFonts w:cs="Times New Roman"/>
          <w:szCs w:val="24"/>
        </w:rPr>
        <w:t xml:space="preserve">computer programmer: </w:t>
      </w:r>
    </w:p>
    <w:p w:rsidRPr="008E0A87" w:rsidR="004A420A" w:rsidP="00E016CC" w:rsidRDefault="004A420A" w14:paraId="2E766DBE" w14:textId="3A5C8B98">
      <w:pPr>
        <w:spacing w:after="0" w:line="240" w:lineRule="auto"/>
        <w:rPr>
          <w:rFonts w:cs="Times New Roman"/>
          <w:strike/>
          <w:szCs w:val="24"/>
        </w:rPr>
      </w:pPr>
    </w:p>
    <w:p w:rsidRPr="00AC32F9" w:rsidR="00AC32F9" w:rsidP="00AC32F9" w:rsidRDefault="00AC32F9" w14:paraId="5BFDA7A5" w14:textId="790BD72B">
      <w:pPr>
        <w:spacing w:after="0" w:line="240" w:lineRule="auto"/>
        <w:rPr>
          <w:rFonts w:eastAsia="Calibri" w:cs="Times New Roman"/>
          <w:szCs w:val="24"/>
        </w:rPr>
      </w:pPr>
      <w:r w:rsidRPr="00AC32F9">
        <w:rPr>
          <w:rFonts w:eastAsia="Calibri" w:cs="Times New Roman"/>
          <w:szCs w:val="24"/>
        </w:rPr>
        <w:lastRenderedPageBreak/>
        <w:t>We estimate it would take a total of 14 hours (per state) at $</w:t>
      </w:r>
      <w:r w:rsidRPr="008E0A87" w:rsidR="00F57677">
        <w:rPr>
          <w:rFonts w:eastAsia="Calibri" w:cs="Times New Roman"/>
          <w:szCs w:val="24"/>
        </w:rPr>
        <w:t>110.74</w:t>
      </w:r>
      <w:r w:rsidRPr="00AC32F9">
        <w:rPr>
          <w:rFonts w:eastAsia="Calibri" w:cs="Times New Roman"/>
          <w:szCs w:val="24"/>
        </w:rPr>
        <w:t>/hr for a health services manager to: complete the implementation plan template (8 hr) and compile relevant documents (4 hr), QA the implementation plan (2 hr) and submit the implementation plan to PMDA.</w:t>
      </w:r>
    </w:p>
    <w:p w:rsidRPr="008E0A87" w:rsidR="00AC32F9" w:rsidP="004A420A" w:rsidRDefault="00AC32F9" w14:paraId="640B5DBE" w14:textId="77777777">
      <w:pPr>
        <w:spacing w:after="0" w:line="240" w:lineRule="auto"/>
        <w:rPr>
          <w:rFonts w:cs="Times New Roman"/>
          <w:szCs w:val="24"/>
        </w:rPr>
      </w:pPr>
    </w:p>
    <w:p w:rsidRPr="008E0A87" w:rsidR="00C866C4" w:rsidP="004A420A" w:rsidRDefault="007E785B" w14:paraId="7084F0CE" w14:textId="17D49503">
      <w:pPr>
        <w:spacing w:after="0" w:line="240" w:lineRule="auto"/>
        <w:rPr>
          <w:rFonts w:cs="Times New Roman"/>
          <w:szCs w:val="24"/>
        </w:rPr>
      </w:pPr>
      <w:r w:rsidRPr="00AD6893">
        <w:rPr>
          <w:rFonts w:cs="Times New Roman"/>
          <w:szCs w:val="24"/>
        </w:rPr>
        <w:t>In aggregate</w:t>
      </w:r>
      <w:r w:rsidRPr="00AD6893" w:rsidR="00E30C39">
        <w:rPr>
          <w:rFonts w:cs="Times New Roman"/>
          <w:szCs w:val="24"/>
        </w:rPr>
        <w:t>,</w:t>
      </w:r>
      <w:r w:rsidRPr="00AD6893">
        <w:rPr>
          <w:rFonts w:cs="Times New Roman"/>
          <w:szCs w:val="24"/>
        </w:rPr>
        <w:t xml:space="preserve"> we estimate a burden of </w:t>
      </w:r>
      <w:r w:rsidRPr="00AD6893" w:rsidR="00AC32F9">
        <w:rPr>
          <w:rFonts w:cs="Times New Roman"/>
          <w:szCs w:val="24"/>
        </w:rPr>
        <w:t>140</w:t>
      </w:r>
      <w:r w:rsidRPr="00AD6893">
        <w:rPr>
          <w:rFonts w:cs="Times New Roman"/>
          <w:szCs w:val="24"/>
        </w:rPr>
        <w:t xml:space="preserve"> hours (</w:t>
      </w:r>
      <w:r w:rsidRPr="00AD6893" w:rsidR="005757F3">
        <w:rPr>
          <w:rFonts w:cs="Times New Roman"/>
          <w:szCs w:val="24"/>
        </w:rPr>
        <w:t>10</w:t>
      </w:r>
      <w:r w:rsidRPr="00AD6893">
        <w:rPr>
          <w:rFonts w:cs="Times New Roman"/>
          <w:szCs w:val="24"/>
        </w:rPr>
        <w:t xml:space="preserve"> states</w:t>
      </w:r>
      <w:r w:rsidRPr="00AD6893" w:rsidR="00A13797">
        <w:rPr>
          <w:rFonts w:cs="Times New Roman"/>
          <w:szCs w:val="24"/>
        </w:rPr>
        <w:t xml:space="preserve"> x </w:t>
      </w:r>
      <w:r w:rsidRPr="00AD6893" w:rsidR="00AC32F9">
        <w:rPr>
          <w:rFonts w:cs="Times New Roman"/>
          <w:szCs w:val="24"/>
        </w:rPr>
        <w:t>14</w:t>
      </w:r>
      <w:r w:rsidRPr="00AD6893" w:rsidR="00A13797">
        <w:rPr>
          <w:rFonts w:cs="Times New Roman"/>
          <w:szCs w:val="24"/>
        </w:rPr>
        <w:t xml:space="preserve"> </w:t>
      </w:r>
      <w:r w:rsidRPr="00AD6893" w:rsidR="0056166F">
        <w:rPr>
          <w:rFonts w:cs="Times New Roman"/>
          <w:szCs w:val="24"/>
        </w:rPr>
        <w:t>hr</w:t>
      </w:r>
      <w:r w:rsidRPr="00AD6893" w:rsidR="00A13797">
        <w:rPr>
          <w:rFonts w:cs="Times New Roman"/>
          <w:szCs w:val="24"/>
        </w:rPr>
        <w:t>)</w:t>
      </w:r>
      <w:r w:rsidRPr="00AD6893">
        <w:rPr>
          <w:rFonts w:cs="Times New Roman"/>
          <w:szCs w:val="24"/>
        </w:rPr>
        <w:t xml:space="preserve"> at a cost of $</w:t>
      </w:r>
      <w:r w:rsidRPr="00AD6893" w:rsidR="00AD6893">
        <w:rPr>
          <w:rFonts w:cs="Times New Roman"/>
          <w:szCs w:val="24"/>
        </w:rPr>
        <w:t>15,504</w:t>
      </w:r>
      <w:r w:rsidRPr="00AD6893">
        <w:rPr>
          <w:rFonts w:cs="Times New Roman"/>
          <w:szCs w:val="24"/>
        </w:rPr>
        <w:t xml:space="preserve"> </w:t>
      </w:r>
      <w:r w:rsidRPr="00AD6893" w:rsidR="00AC32F9">
        <w:rPr>
          <w:rFonts w:cs="Times New Roman"/>
          <w:szCs w:val="24"/>
        </w:rPr>
        <w:t>(</w:t>
      </w:r>
      <w:r w:rsidRPr="00AD6893" w:rsidR="00E30C39">
        <w:rPr>
          <w:rFonts w:cs="Times New Roman"/>
          <w:szCs w:val="24"/>
        </w:rPr>
        <w:t>1</w:t>
      </w:r>
      <w:r w:rsidRPr="00AD6893" w:rsidR="00AC32F9">
        <w:rPr>
          <w:rFonts w:cs="Times New Roman"/>
          <w:szCs w:val="24"/>
        </w:rPr>
        <w:t>40</w:t>
      </w:r>
      <w:r w:rsidRPr="00AD6893" w:rsidR="00E30C39">
        <w:rPr>
          <w:rFonts w:cs="Times New Roman"/>
          <w:szCs w:val="24"/>
        </w:rPr>
        <w:t xml:space="preserve"> hr x </w:t>
      </w:r>
      <w:r w:rsidRPr="00AD6893" w:rsidR="00E30C39">
        <w:rPr>
          <w:rFonts w:cs="Times New Roman"/>
          <w:bCs/>
          <w:szCs w:val="24"/>
        </w:rPr>
        <w:t>$</w:t>
      </w:r>
      <w:r w:rsidRPr="00AD6893" w:rsidR="00F57677">
        <w:rPr>
          <w:rFonts w:cs="Times New Roman"/>
          <w:bCs/>
          <w:szCs w:val="24"/>
        </w:rPr>
        <w:t>110.74</w:t>
      </w:r>
      <w:r w:rsidRPr="00AD6893" w:rsidR="00E30C39">
        <w:rPr>
          <w:rFonts w:cs="Times New Roman"/>
          <w:bCs/>
          <w:szCs w:val="24"/>
        </w:rPr>
        <w:t>/hr</w:t>
      </w:r>
      <w:r w:rsidRPr="00AD6893">
        <w:rPr>
          <w:rFonts w:cs="Times New Roman"/>
          <w:szCs w:val="24"/>
        </w:rPr>
        <w:t>).</w:t>
      </w:r>
    </w:p>
    <w:p w:rsidRPr="008E0A87" w:rsidR="00432BF7" w:rsidP="00432BF7" w:rsidRDefault="00432BF7" w14:paraId="6F44A5A3" w14:textId="77777777">
      <w:pPr>
        <w:pStyle w:val="NormalSS"/>
        <w:spacing w:after="0"/>
        <w:ind w:firstLine="0"/>
        <w:rPr>
          <w:szCs w:val="24"/>
        </w:rPr>
      </w:pPr>
    </w:p>
    <w:p w:rsidRPr="00EE7851" w:rsidR="00C866C4" w:rsidP="0088327A" w:rsidRDefault="00EE7851" w14:paraId="0B833A8E" w14:textId="0F4D9ACB">
      <w:pPr>
        <w:pStyle w:val="ListParagraph"/>
        <w:numPr>
          <w:ilvl w:val="0"/>
          <w:numId w:val="7"/>
        </w:numPr>
        <w:spacing w:after="0" w:line="240" w:lineRule="auto"/>
        <w:rPr>
          <w:rFonts w:ascii="Times New Roman" w:hAnsi="Times New Roman"/>
          <w:sz w:val="24"/>
          <w:szCs w:val="24"/>
          <w:u w:val="single"/>
        </w:rPr>
      </w:pPr>
      <w:bookmarkStart w:name="_Hlk36458441" w:id="7"/>
      <w:r w:rsidRPr="00EE7851">
        <w:rPr>
          <w:rFonts w:ascii="Times New Roman" w:hAnsi="Times New Roman"/>
          <w:sz w:val="24"/>
          <w:szCs w:val="24"/>
          <w:u w:val="single"/>
        </w:rPr>
        <w:t xml:space="preserve">The </w:t>
      </w:r>
      <w:r w:rsidRPr="00EE7851">
        <w:rPr>
          <w:rFonts w:ascii="Times New Roman" w:hAnsi="Times New Roman"/>
          <w:color w:val="000000"/>
          <w:sz w:val="24"/>
          <w:szCs w:val="24"/>
          <w:u w:val="single"/>
        </w:rPr>
        <w:t xml:space="preserve">Medicaid Section 1115 </w:t>
      </w:r>
      <w:r w:rsidR="00D062B3">
        <w:rPr>
          <w:rFonts w:ascii="Times New Roman" w:hAnsi="Times New Roman"/>
          <w:color w:val="000000"/>
          <w:sz w:val="24"/>
          <w:szCs w:val="24"/>
          <w:u w:val="single"/>
        </w:rPr>
        <w:t>SMI</w:t>
      </w:r>
      <w:r w:rsidR="00D32843">
        <w:rPr>
          <w:rFonts w:ascii="Times New Roman" w:hAnsi="Times New Roman"/>
          <w:color w:val="000000"/>
          <w:sz w:val="24"/>
          <w:szCs w:val="24"/>
          <w:u w:val="single"/>
        </w:rPr>
        <w:t>/SED Demonstration</w:t>
      </w:r>
      <w:r w:rsidRPr="00EE7851">
        <w:rPr>
          <w:rFonts w:ascii="Times New Roman" w:hAnsi="Times New Roman"/>
          <w:sz w:val="24"/>
          <w:szCs w:val="24"/>
          <w:u w:val="single"/>
        </w:rPr>
        <w:t xml:space="preserve"> </w:t>
      </w:r>
      <w:r w:rsidRPr="00EE7851" w:rsidR="00E72C6F">
        <w:rPr>
          <w:rFonts w:ascii="Times New Roman" w:hAnsi="Times New Roman"/>
          <w:sz w:val="24"/>
          <w:szCs w:val="24"/>
          <w:u w:val="single"/>
        </w:rPr>
        <w:t>M</w:t>
      </w:r>
      <w:r w:rsidRPr="00EE7851" w:rsidR="00C866C4">
        <w:rPr>
          <w:rFonts w:ascii="Times New Roman" w:hAnsi="Times New Roman"/>
          <w:sz w:val="24"/>
          <w:szCs w:val="24"/>
          <w:u w:val="single"/>
        </w:rPr>
        <w:t xml:space="preserve">onitoring </w:t>
      </w:r>
      <w:r w:rsidRPr="00EE7851" w:rsidR="00E72C6F">
        <w:rPr>
          <w:rFonts w:ascii="Times New Roman" w:hAnsi="Times New Roman"/>
          <w:sz w:val="24"/>
          <w:szCs w:val="24"/>
          <w:u w:val="single"/>
        </w:rPr>
        <w:t>R</w:t>
      </w:r>
      <w:r w:rsidRPr="00EE7851" w:rsidR="00C866C4">
        <w:rPr>
          <w:rFonts w:ascii="Times New Roman" w:hAnsi="Times New Roman"/>
          <w:sz w:val="24"/>
          <w:szCs w:val="24"/>
          <w:u w:val="single"/>
        </w:rPr>
        <w:t xml:space="preserve">eport </w:t>
      </w:r>
      <w:r w:rsidRPr="00EE7851" w:rsidR="00E72C6F">
        <w:rPr>
          <w:rFonts w:ascii="Times New Roman" w:hAnsi="Times New Roman"/>
          <w:sz w:val="24"/>
          <w:szCs w:val="24"/>
          <w:u w:val="single"/>
        </w:rPr>
        <w:t>T</w:t>
      </w:r>
      <w:r w:rsidR="00D062B3">
        <w:rPr>
          <w:rFonts w:ascii="Times New Roman" w:hAnsi="Times New Roman"/>
          <w:sz w:val="24"/>
          <w:szCs w:val="24"/>
          <w:u w:val="single"/>
        </w:rPr>
        <w:t>emplate</w:t>
      </w:r>
    </w:p>
    <w:bookmarkEnd w:id="7"/>
    <w:p w:rsidRPr="00223FCC" w:rsidR="007244F6" w:rsidP="00E016CC" w:rsidRDefault="007244F6" w14:paraId="13F63747" w14:textId="2D74E5A1">
      <w:pPr>
        <w:spacing w:after="0" w:line="240" w:lineRule="auto"/>
      </w:pPr>
    </w:p>
    <w:p w:rsidR="004E5356" w:rsidP="00E016CC" w:rsidRDefault="004E5356" w14:paraId="5214A582" w14:textId="77777777">
      <w:pPr>
        <w:pStyle w:val="NormalSS"/>
        <w:spacing w:after="0"/>
        <w:ind w:firstLine="0"/>
        <w:rPr>
          <w:szCs w:val="24"/>
        </w:rPr>
      </w:pPr>
      <w:r w:rsidRPr="004E5356">
        <w:rPr>
          <w:szCs w:val="24"/>
        </w:rPr>
        <w:t>We aimed to streamline reporting by allowing states to check a box if it has no updates/changes to report. We assumed that for approximately 1/4 of the reports, the average state would elect not to report updates.</w:t>
      </w:r>
      <w:r w:rsidRPr="00462F95">
        <w:rPr>
          <w:szCs w:val="24"/>
        </w:rPr>
        <w:t xml:space="preserve"> </w:t>
      </w:r>
    </w:p>
    <w:p w:rsidR="004E5356" w:rsidP="007244F6" w:rsidRDefault="004E5356" w14:paraId="188DF001" w14:textId="09ECBB16">
      <w:pPr>
        <w:spacing w:after="0" w:line="240" w:lineRule="auto"/>
        <w:rPr>
          <w:rFonts w:cs="Times New Roman"/>
          <w:szCs w:val="24"/>
        </w:rPr>
      </w:pPr>
    </w:p>
    <w:p w:rsidRPr="00E06360" w:rsidR="007B674E" w:rsidP="007B674E" w:rsidRDefault="00B5736F" w14:paraId="71FA19BB" w14:textId="1EDE4D99">
      <w:pPr>
        <w:spacing w:after="0" w:line="240" w:lineRule="auto"/>
        <w:rPr>
          <w:rFonts w:cs="Times New Roman"/>
          <w:szCs w:val="24"/>
        </w:rPr>
      </w:pPr>
      <w:r w:rsidRPr="00186F1A">
        <w:rPr>
          <w:szCs w:val="24"/>
        </w:rPr>
        <w:t>For the a</w:t>
      </w:r>
      <w:r w:rsidRPr="00186F1A" w:rsidR="00E72C6F">
        <w:rPr>
          <w:szCs w:val="24"/>
        </w:rPr>
        <w:t xml:space="preserve">nnual </w:t>
      </w:r>
      <w:r w:rsidRPr="00186F1A" w:rsidR="00BD1124">
        <w:rPr>
          <w:szCs w:val="24"/>
        </w:rPr>
        <w:t>report,</w:t>
      </w:r>
      <w:r w:rsidRPr="00186F1A">
        <w:rPr>
          <w:szCs w:val="24"/>
        </w:rPr>
        <w:t xml:space="preserve"> we estimate it would take </w:t>
      </w:r>
      <w:r w:rsidRPr="00186F1A" w:rsidR="00E72C6F">
        <w:rPr>
          <w:szCs w:val="24"/>
        </w:rPr>
        <w:t xml:space="preserve">12 hours </w:t>
      </w:r>
      <w:r w:rsidRPr="00186F1A">
        <w:rPr>
          <w:szCs w:val="24"/>
        </w:rPr>
        <w:t xml:space="preserve">at </w:t>
      </w:r>
      <w:r w:rsidRPr="00186F1A">
        <w:rPr>
          <w:bCs/>
          <w:szCs w:val="24"/>
        </w:rPr>
        <w:t>$</w:t>
      </w:r>
      <w:r w:rsidRPr="00186F1A" w:rsidR="00F57677">
        <w:rPr>
          <w:bCs/>
          <w:szCs w:val="24"/>
        </w:rPr>
        <w:t>110.74</w:t>
      </w:r>
      <w:r w:rsidRPr="00186F1A">
        <w:rPr>
          <w:bCs/>
          <w:szCs w:val="24"/>
        </w:rPr>
        <w:t>/</w:t>
      </w:r>
      <w:r w:rsidRPr="00186F1A" w:rsidR="00C10B2E">
        <w:rPr>
          <w:bCs/>
          <w:szCs w:val="24"/>
        </w:rPr>
        <w:t>hr</w:t>
      </w:r>
      <w:r w:rsidRPr="00186F1A">
        <w:rPr>
          <w:szCs w:val="24"/>
        </w:rPr>
        <w:t xml:space="preserve"> for a health services manager to prepare and submit the report</w:t>
      </w:r>
      <w:r w:rsidRPr="00186F1A" w:rsidR="004009F1">
        <w:rPr>
          <w:szCs w:val="24"/>
        </w:rPr>
        <w:t xml:space="preserve"> </w:t>
      </w:r>
      <w:r w:rsidRPr="00186F1A" w:rsidR="004009F1">
        <w:rPr>
          <w:bCs/>
          <w:szCs w:val="24"/>
        </w:rPr>
        <w:t>per state per demonstration year</w:t>
      </w:r>
      <w:r w:rsidRPr="00186F1A">
        <w:rPr>
          <w:szCs w:val="24"/>
        </w:rPr>
        <w:t>. In aggregate</w:t>
      </w:r>
      <w:r w:rsidRPr="00186F1A" w:rsidR="00A760B7">
        <w:rPr>
          <w:szCs w:val="24"/>
        </w:rPr>
        <w:t>,</w:t>
      </w:r>
      <w:r w:rsidRPr="00186F1A">
        <w:rPr>
          <w:szCs w:val="24"/>
        </w:rPr>
        <w:t xml:space="preserve"> we estimate an annual report burden of </w:t>
      </w:r>
      <w:r w:rsidRPr="00186F1A" w:rsidR="005757F3">
        <w:rPr>
          <w:szCs w:val="24"/>
        </w:rPr>
        <w:t>1</w:t>
      </w:r>
      <w:r w:rsidRPr="00186F1A" w:rsidR="00A760B7">
        <w:rPr>
          <w:szCs w:val="24"/>
        </w:rPr>
        <w:t xml:space="preserve">20 hours </w:t>
      </w:r>
      <w:r w:rsidRPr="00186F1A">
        <w:rPr>
          <w:szCs w:val="24"/>
        </w:rPr>
        <w:t xml:space="preserve">(1 report x 12 </w:t>
      </w:r>
      <w:r w:rsidRPr="00186F1A" w:rsidR="00C10B2E">
        <w:rPr>
          <w:szCs w:val="24"/>
        </w:rPr>
        <w:t>hr</w:t>
      </w:r>
      <w:r w:rsidRPr="00186F1A">
        <w:rPr>
          <w:szCs w:val="24"/>
        </w:rPr>
        <w:t xml:space="preserve"> x </w:t>
      </w:r>
      <w:r w:rsidRPr="00186F1A" w:rsidR="005757F3">
        <w:rPr>
          <w:szCs w:val="24"/>
        </w:rPr>
        <w:t>10</w:t>
      </w:r>
      <w:r w:rsidRPr="00186F1A">
        <w:rPr>
          <w:szCs w:val="24"/>
        </w:rPr>
        <w:t xml:space="preserve"> states)</w:t>
      </w:r>
      <w:r w:rsidRPr="00186F1A" w:rsidR="00A760B7">
        <w:rPr>
          <w:szCs w:val="24"/>
        </w:rPr>
        <w:t xml:space="preserve"> at a cost of $</w:t>
      </w:r>
      <w:r w:rsidRPr="00186F1A" w:rsidR="005757F3">
        <w:rPr>
          <w:szCs w:val="24"/>
        </w:rPr>
        <w:t>13,</w:t>
      </w:r>
      <w:r w:rsidRPr="00186F1A" w:rsidR="00186F1A">
        <w:rPr>
          <w:szCs w:val="24"/>
        </w:rPr>
        <w:t>289</w:t>
      </w:r>
      <w:r w:rsidRPr="00186F1A" w:rsidR="005757F3">
        <w:rPr>
          <w:szCs w:val="24"/>
        </w:rPr>
        <w:t xml:space="preserve"> (1</w:t>
      </w:r>
      <w:r w:rsidRPr="00186F1A" w:rsidR="00A760B7">
        <w:rPr>
          <w:szCs w:val="24"/>
        </w:rPr>
        <w:t xml:space="preserve">20 </w:t>
      </w:r>
      <w:r w:rsidRPr="00186F1A" w:rsidR="00C10B2E">
        <w:rPr>
          <w:szCs w:val="24"/>
        </w:rPr>
        <w:t>hr</w:t>
      </w:r>
      <w:r w:rsidRPr="00186F1A" w:rsidR="00A760B7">
        <w:rPr>
          <w:szCs w:val="24"/>
        </w:rPr>
        <w:t xml:space="preserve"> x $</w:t>
      </w:r>
      <w:r w:rsidRPr="00186F1A" w:rsidR="00F57677">
        <w:rPr>
          <w:szCs w:val="24"/>
        </w:rPr>
        <w:t>110.74</w:t>
      </w:r>
      <w:r w:rsidRPr="00186F1A" w:rsidR="00D12AEE">
        <w:rPr>
          <w:szCs w:val="24"/>
        </w:rPr>
        <w:t>/</w:t>
      </w:r>
      <w:r w:rsidRPr="00186F1A" w:rsidR="00C10B2E">
        <w:rPr>
          <w:szCs w:val="24"/>
        </w:rPr>
        <w:t>hr</w:t>
      </w:r>
      <w:r w:rsidRPr="00186F1A" w:rsidR="00A760B7">
        <w:rPr>
          <w:szCs w:val="24"/>
        </w:rPr>
        <w:t>).</w:t>
      </w:r>
      <w:r w:rsidRPr="00186F1A" w:rsidR="007B674E">
        <w:rPr>
          <w:szCs w:val="24"/>
        </w:rPr>
        <w:t xml:space="preserve"> </w:t>
      </w:r>
      <w:r w:rsidRPr="00186F1A" w:rsidR="007B674E">
        <w:rPr>
          <w:rFonts w:cs="Times New Roman"/>
          <w:bCs/>
          <w:szCs w:val="24"/>
        </w:rPr>
        <w:t>This also includes time to submit the template to PMDA.</w:t>
      </w:r>
    </w:p>
    <w:p w:rsidR="00B5736F" w:rsidP="00B5736F" w:rsidRDefault="00B5736F" w14:paraId="5E5D570A" w14:textId="21F476EE">
      <w:pPr>
        <w:pStyle w:val="NormalSS"/>
        <w:spacing w:after="0"/>
        <w:ind w:firstLine="0"/>
        <w:rPr>
          <w:szCs w:val="24"/>
        </w:rPr>
      </w:pPr>
    </w:p>
    <w:p w:rsidR="00D56C59" w:rsidP="00D56C59" w:rsidRDefault="00B5736F" w14:paraId="36A6666F" w14:textId="5D3DA14F">
      <w:pPr>
        <w:pStyle w:val="NormalSS"/>
        <w:spacing w:after="0"/>
        <w:ind w:firstLine="0"/>
        <w:rPr>
          <w:szCs w:val="24"/>
        </w:rPr>
      </w:pPr>
      <w:r w:rsidRPr="00933731">
        <w:rPr>
          <w:szCs w:val="24"/>
        </w:rPr>
        <w:t xml:space="preserve">For each quarterly </w:t>
      </w:r>
      <w:r w:rsidRPr="00933731" w:rsidR="00BD1124">
        <w:rPr>
          <w:szCs w:val="24"/>
        </w:rPr>
        <w:t>report,</w:t>
      </w:r>
      <w:r w:rsidRPr="00933731">
        <w:rPr>
          <w:szCs w:val="24"/>
        </w:rPr>
        <w:t xml:space="preserve"> we estimate it would take 8 hours at </w:t>
      </w:r>
      <w:r w:rsidRPr="00933731">
        <w:rPr>
          <w:bCs/>
          <w:szCs w:val="24"/>
        </w:rPr>
        <w:t>$</w:t>
      </w:r>
      <w:r w:rsidRPr="00933731" w:rsidR="00F57677">
        <w:rPr>
          <w:bCs/>
          <w:szCs w:val="24"/>
        </w:rPr>
        <w:t>110.74</w:t>
      </w:r>
      <w:r w:rsidRPr="00933731">
        <w:rPr>
          <w:bCs/>
          <w:szCs w:val="24"/>
        </w:rPr>
        <w:t>/</w:t>
      </w:r>
      <w:r w:rsidRPr="00933731" w:rsidR="00C10B2E">
        <w:rPr>
          <w:bCs/>
          <w:szCs w:val="24"/>
        </w:rPr>
        <w:t>hr</w:t>
      </w:r>
      <w:r w:rsidRPr="00933731">
        <w:rPr>
          <w:szCs w:val="24"/>
        </w:rPr>
        <w:t xml:space="preserve"> for a health services manager to prepare and submit each report</w:t>
      </w:r>
      <w:r w:rsidRPr="00933731" w:rsidR="004009F1">
        <w:rPr>
          <w:szCs w:val="24"/>
        </w:rPr>
        <w:t xml:space="preserve"> </w:t>
      </w:r>
      <w:r w:rsidRPr="00933731" w:rsidR="004009F1">
        <w:rPr>
          <w:bCs/>
          <w:szCs w:val="24"/>
        </w:rPr>
        <w:t>per state per demonstration year</w:t>
      </w:r>
      <w:r w:rsidRPr="00933731">
        <w:rPr>
          <w:szCs w:val="24"/>
        </w:rPr>
        <w:t>.</w:t>
      </w:r>
      <w:r w:rsidRPr="00933731" w:rsidR="00D56C59">
        <w:rPr>
          <w:szCs w:val="24"/>
        </w:rPr>
        <w:t xml:space="preserve"> In aggregate, we estimat</w:t>
      </w:r>
      <w:r w:rsidRPr="00933731" w:rsidR="005757F3">
        <w:rPr>
          <w:szCs w:val="24"/>
        </w:rPr>
        <w:t>e a quarterly report burden of 2</w:t>
      </w:r>
      <w:r w:rsidRPr="00933731" w:rsidR="00D56C59">
        <w:rPr>
          <w:szCs w:val="24"/>
        </w:rPr>
        <w:t xml:space="preserve">40 hours (3 reports x 8 </w:t>
      </w:r>
      <w:r w:rsidRPr="00933731" w:rsidR="00C10B2E">
        <w:rPr>
          <w:szCs w:val="24"/>
        </w:rPr>
        <w:t>hr</w:t>
      </w:r>
      <w:r w:rsidRPr="00933731" w:rsidR="00D56C59">
        <w:rPr>
          <w:szCs w:val="24"/>
        </w:rPr>
        <w:t xml:space="preserve"> x </w:t>
      </w:r>
      <w:r w:rsidRPr="00933731" w:rsidR="005757F3">
        <w:rPr>
          <w:szCs w:val="24"/>
        </w:rPr>
        <w:t>10</w:t>
      </w:r>
      <w:r w:rsidRPr="00933731" w:rsidR="00D56C59">
        <w:rPr>
          <w:szCs w:val="24"/>
        </w:rPr>
        <w:t xml:space="preserve"> states) at a cost of $</w:t>
      </w:r>
      <w:r w:rsidRPr="00933731" w:rsidR="002E568A">
        <w:rPr>
          <w:szCs w:val="24"/>
        </w:rPr>
        <w:t>26,</w:t>
      </w:r>
      <w:r w:rsidRPr="00933731" w:rsidR="00933731">
        <w:rPr>
          <w:szCs w:val="24"/>
        </w:rPr>
        <w:t>578</w:t>
      </w:r>
      <w:r w:rsidRPr="00933731" w:rsidR="002E568A">
        <w:rPr>
          <w:szCs w:val="24"/>
        </w:rPr>
        <w:t xml:space="preserve"> (2</w:t>
      </w:r>
      <w:r w:rsidRPr="00933731" w:rsidR="00D56C59">
        <w:rPr>
          <w:szCs w:val="24"/>
        </w:rPr>
        <w:t xml:space="preserve">40 </w:t>
      </w:r>
      <w:r w:rsidRPr="00933731" w:rsidR="00C10B2E">
        <w:rPr>
          <w:szCs w:val="24"/>
        </w:rPr>
        <w:t>hr</w:t>
      </w:r>
      <w:r w:rsidRPr="00933731" w:rsidR="00D56C59">
        <w:rPr>
          <w:szCs w:val="24"/>
        </w:rPr>
        <w:t xml:space="preserve"> x $</w:t>
      </w:r>
      <w:r w:rsidRPr="00933731" w:rsidR="00F57677">
        <w:rPr>
          <w:bCs/>
          <w:szCs w:val="24"/>
        </w:rPr>
        <w:t>110.74</w:t>
      </w:r>
      <w:r w:rsidRPr="00933731" w:rsidR="00D56C59">
        <w:rPr>
          <w:szCs w:val="24"/>
        </w:rPr>
        <w:t>/</w:t>
      </w:r>
      <w:r w:rsidRPr="00933731" w:rsidR="00C10B2E">
        <w:rPr>
          <w:szCs w:val="24"/>
        </w:rPr>
        <w:t>hr</w:t>
      </w:r>
      <w:r w:rsidRPr="00933731" w:rsidR="00D56C59">
        <w:rPr>
          <w:szCs w:val="24"/>
        </w:rPr>
        <w:t>).</w:t>
      </w:r>
    </w:p>
    <w:p w:rsidR="00B5736F" w:rsidP="00B5736F" w:rsidRDefault="00B5736F" w14:paraId="2975DFE6" w14:textId="0B65E84B">
      <w:pPr>
        <w:pStyle w:val="NormalSS"/>
        <w:spacing w:after="0"/>
        <w:ind w:firstLine="0"/>
        <w:rPr>
          <w:szCs w:val="24"/>
        </w:rPr>
      </w:pPr>
    </w:p>
    <w:p w:rsidRPr="006458A5" w:rsidR="0085404A" w:rsidP="0085404A" w:rsidRDefault="0085404A" w14:paraId="34B93AC7" w14:textId="2A2F031C">
      <w:pPr>
        <w:spacing w:after="0" w:line="240" w:lineRule="auto"/>
        <w:rPr>
          <w:rFonts w:cs="Times New Roman"/>
          <w:b/>
          <w:bCs/>
          <w:szCs w:val="24"/>
          <w:u w:val="single"/>
        </w:rPr>
      </w:pPr>
      <w:r w:rsidRPr="00D965CB">
        <w:rPr>
          <w:rFonts w:cs="Times New Roman"/>
          <w:szCs w:val="24"/>
        </w:rPr>
        <w:t xml:space="preserve">Consequently, we estimate a total burden of </w:t>
      </w:r>
      <w:r w:rsidRPr="00D965CB" w:rsidR="002E568A">
        <w:rPr>
          <w:rFonts w:cs="Times New Roman"/>
          <w:szCs w:val="24"/>
        </w:rPr>
        <w:t>360</w:t>
      </w:r>
      <w:r w:rsidRPr="00D965CB">
        <w:rPr>
          <w:rFonts w:cs="Times New Roman"/>
          <w:szCs w:val="24"/>
        </w:rPr>
        <w:t xml:space="preserve"> hours </w:t>
      </w:r>
      <w:r w:rsidRPr="00D965CB" w:rsidR="006C3092">
        <w:rPr>
          <w:rFonts w:cs="Times New Roman"/>
          <w:szCs w:val="24"/>
        </w:rPr>
        <w:t>(</w:t>
      </w:r>
      <w:r w:rsidRPr="00D965CB" w:rsidR="002E568A">
        <w:rPr>
          <w:szCs w:val="24"/>
        </w:rPr>
        <w:t xml:space="preserve">120 </w:t>
      </w:r>
      <w:r w:rsidRPr="00D965CB" w:rsidR="00C10B2E">
        <w:rPr>
          <w:szCs w:val="24"/>
        </w:rPr>
        <w:t>hr</w:t>
      </w:r>
      <w:r w:rsidRPr="00D965CB" w:rsidR="002E568A">
        <w:rPr>
          <w:szCs w:val="24"/>
        </w:rPr>
        <w:t xml:space="preserve"> + 2</w:t>
      </w:r>
      <w:r w:rsidRPr="00D965CB" w:rsidR="006C3092">
        <w:rPr>
          <w:szCs w:val="24"/>
        </w:rPr>
        <w:t xml:space="preserve">40 </w:t>
      </w:r>
      <w:r w:rsidRPr="00D965CB" w:rsidR="00C10B2E">
        <w:rPr>
          <w:szCs w:val="24"/>
        </w:rPr>
        <w:t>hr</w:t>
      </w:r>
      <w:r w:rsidRPr="00D965CB" w:rsidR="006C3092">
        <w:rPr>
          <w:szCs w:val="24"/>
        </w:rPr>
        <w:t xml:space="preserve">) </w:t>
      </w:r>
      <w:r w:rsidRPr="00D965CB">
        <w:rPr>
          <w:rFonts w:cs="Times New Roman"/>
          <w:szCs w:val="24"/>
        </w:rPr>
        <w:t xml:space="preserve">at a cost of </w:t>
      </w:r>
      <w:r w:rsidRPr="00D965CB" w:rsidR="006C3092">
        <w:rPr>
          <w:rFonts w:cs="Times New Roman"/>
          <w:szCs w:val="24"/>
        </w:rPr>
        <w:t>$</w:t>
      </w:r>
      <w:r w:rsidRPr="00D965CB" w:rsidR="002E568A">
        <w:rPr>
          <w:rFonts w:cs="Times New Roman"/>
          <w:szCs w:val="24"/>
        </w:rPr>
        <w:t>39,</w:t>
      </w:r>
      <w:r w:rsidRPr="00D965CB" w:rsidR="00D965CB">
        <w:rPr>
          <w:rFonts w:cs="Times New Roman"/>
          <w:szCs w:val="24"/>
        </w:rPr>
        <w:t>867</w:t>
      </w:r>
      <w:r w:rsidRPr="00D965CB" w:rsidR="006C3092">
        <w:rPr>
          <w:rFonts w:cs="Times New Roman"/>
          <w:szCs w:val="24"/>
        </w:rPr>
        <w:t xml:space="preserve"> (</w:t>
      </w:r>
      <w:r w:rsidRPr="00D965CB" w:rsidR="006C3092">
        <w:rPr>
          <w:szCs w:val="24"/>
        </w:rPr>
        <w:t>$</w:t>
      </w:r>
      <w:r w:rsidRPr="00D965CB" w:rsidR="002E568A">
        <w:rPr>
          <w:szCs w:val="24"/>
        </w:rPr>
        <w:t>13,</w:t>
      </w:r>
      <w:r w:rsidRPr="00D965CB" w:rsidR="0075591D">
        <w:rPr>
          <w:szCs w:val="24"/>
        </w:rPr>
        <w:t>289</w:t>
      </w:r>
      <w:r w:rsidRPr="00D965CB" w:rsidR="00BD1124">
        <w:rPr>
          <w:szCs w:val="24"/>
        </w:rPr>
        <w:t xml:space="preserve"> +</w:t>
      </w:r>
      <w:r w:rsidRPr="00D965CB" w:rsidR="006C3092">
        <w:rPr>
          <w:szCs w:val="24"/>
        </w:rPr>
        <w:t xml:space="preserve"> $</w:t>
      </w:r>
      <w:r w:rsidRPr="00D965CB" w:rsidR="002E568A">
        <w:rPr>
          <w:szCs w:val="24"/>
        </w:rPr>
        <w:t>26,</w:t>
      </w:r>
      <w:r w:rsidRPr="00D965CB" w:rsidR="0075591D">
        <w:rPr>
          <w:szCs w:val="24"/>
        </w:rPr>
        <w:t>578</w:t>
      </w:r>
      <w:r w:rsidRPr="00D965CB" w:rsidR="006C3092">
        <w:rPr>
          <w:szCs w:val="24"/>
        </w:rPr>
        <w:t>)</w:t>
      </w:r>
      <w:r w:rsidRPr="00D965CB">
        <w:rPr>
          <w:rFonts w:cs="Times New Roman"/>
          <w:szCs w:val="24"/>
        </w:rPr>
        <w:t>.</w:t>
      </w:r>
    </w:p>
    <w:p w:rsidR="00432BF7" w:rsidP="007244F6" w:rsidRDefault="00432BF7" w14:paraId="18C2EBEE" w14:textId="77777777">
      <w:pPr>
        <w:spacing w:after="0" w:line="240" w:lineRule="auto"/>
        <w:rPr>
          <w:rFonts w:cs="Times New Roman"/>
          <w:szCs w:val="24"/>
        </w:rPr>
      </w:pPr>
    </w:p>
    <w:p w:rsidRPr="00B74DFA" w:rsidR="00814FF0" w:rsidP="0088327A" w:rsidRDefault="00EE7851" w14:paraId="72E0E827" w14:textId="2F380BD4">
      <w:pPr>
        <w:pStyle w:val="ListParagraph"/>
        <w:numPr>
          <w:ilvl w:val="0"/>
          <w:numId w:val="7"/>
        </w:numPr>
        <w:spacing w:after="0" w:line="240" w:lineRule="auto"/>
        <w:rPr>
          <w:rFonts w:ascii="Times New Roman" w:hAnsi="Times New Roman"/>
          <w:sz w:val="24"/>
          <w:szCs w:val="24"/>
        </w:rPr>
      </w:pPr>
      <w:bookmarkStart w:name="_Hlk36458433" w:id="8"/>
      <w:r w:rsidRPr="00B74DFA">
        <w:rPr>
          <w:rFonts w:ascii="Times New Roman" w:hAnsi="Times New Roman"/>
          <w:sz w:val="24"/>
          <w:szCs w:val="24"/>
          <w:u w:val="single"/>
        </w:rPr>
        <w:t xml:space="preserve">The </w:t>
      </w:r>
      <w:r w:rsidRPr="00B74DFA">
        <w:rPr>
          <w:rFonts w:ascii="Times New Roman" w:hAnsi="Times New Roman"/>
          <w:color w:val="000000"/>
          <w:sz w:val="24"/>
          <w:szCs w:val="24"/>
          <w:u w:val="single"/>
        </w:rPr>
        <w:t xml:space="preserve">Medicaid Section 1115 </w:t>
      </w:r>
      <w:r w:rsidRPr="00B74DFA" w:rsidR="00D062B3">
        <w:rPr>
          <w:rFonts w:ascii="Times New Roman" w:hAnsi="Times New Roman"/>
          <w:color w:val="000000"/>
          <w:sz w:val="24"/>
          <w:szCs w:val="24"/>
          <w:u w:val="single"/>
        </w:rPr>
        <w:t>SMI</w:t>
      </w:r>
      <w:r w:rsidRPr="00B74DFA" w:rsidR="00D32843">
        <w:rPr>
          <w:rFonts w:ascii="Times New Roman" w:hAnsi="Times New Roman"/>
          <w:color w:val="000000"/>
          <w:sz w:val="24"/>
          <w:szCs w:val="24"/>
          <w:u w:val="single"/>
        </w:rPr>
        <w:t>/SED</w:t>
      </w:r>
      <w:r w:rsidRPr="00B74DFA">
        <w:rPr>
          <w:rFonts w:ascii="Times New Roman" w:hAnsi="Times New Roman"/>
          <w:sz w:val="24"/>
          <w:szCs w:val="24"/>
          <w:u w:val="single"/>
        </w:rPr>
        <w:t xml:space="preserve"> </w:t>
      </w:r>
      <w:r w:rsidRPr="00B74DFA" w:rsidR="00814FF0">
        <w:rPr>
          <w:rFonts w:ascii="Times New Roman" w:hAnsi="Times New Roman"/>
          <w:sz w:val="24"/>
          <w:szCs w:val="24"/>
          <w:u w:val="single"/>
        </w:rPr>
        <w:t xml:space="preserve">Monitoring </w:t>
      </w:r>
      <w:r w:rsidRPr="00B74DFA" w:rsidR="00D062B3">
        <w:rPr>
          <w:rFonts w:ascii="Times New Roman" w:hAnsi="Times New Roman"/>
          <w:sz w:val="24"/>
          <w:szCs w:val="24"/>
          <w:u w:val="single"/>
        </w:rPr>
        <w:t>Workbook/Planned Metrics</w:t>
      </w:r>
    </w:p>
    <w:bookmarkEnd w:id="8"/>
    <w:p w:rsidRPr="00B74DFA" w:rsidR="00E72C6F" w:rsidP="00B86AAB" w:rsidRDefault="00E72C6F" w14:paraId="6F72B0B0" w14:textId="6DB95A22">
      <w:pPr>
        <w:spacing w:after="0" w:line="240" w:lineRule="auto"/>
        <w:rPr>
          <w:rFonts w:cs="Times New Roman"/>
          <w:szCs w:val="24"/>
        </w:rPr>
      </w:pPr>
    </w:p>
    <w:p w:rsidRPr="00B74DFA" w:rsidR="007244F6" w:rsidP="00E016CC" w:rsidRDefault="00B86AAB" w14:paraId="75B687F8" w14:textId="52F0FAFE">
      <w:pPr>
        <w:pStyle w:val="H5Lower"/>
        <w:spacing w:after="0"/>
        <w:ind w:left="0" w:firstLine="0"/>
        <w:rPr>
          <w:b w:val="0"/>
          <w:color w:val="auto"/>
        </w:rPr>
      </w:pPr>
      <w:r w:rsidRPr="00B74DFA">
        <w:rPr>
          <w:b w:val="0"/>
          <w:color w:val="auto"/>
          <w:szCs w:val="24"/>
        </w:rPr>
        <w:t>Outside of the 4 hours burden estimated above for the monitoring protocol portion of the m</w:t>
      </w:r>
      <w:r w:rsidRPr="00B74DFA" w:rsidR="007244F6">
        <w:rPr>
          <w:b w:val="0"/>
          <w:color w:val="auto"/>
          <w:szCs w:val="24"/>
        </w:rPr>
        <w:t xml:space="preserve">etrics </w:t>
      </w:r>
      <w:r w:rsidRPr="00B74DFA">
        <w:rPr>
          <w:b w:val="0"/>
          <w:color w:val="auto"/>
        </w:rPr>
        <w:t>w</w:t>
      </w:r>
      <w:r w:rsidRPr="00B74DFA" w:rsidR="007244F6">
        <w:rPr>
          <w:b w:val="0"/>
          <w:color w:val="auto"/>
        </w:rPr>
        <w:t>orkbook</w:t>
      </w:r>
      <w:r w:rsidRPr="00B74DFA">
        <w:rPr>
          <w:b w:val="0"/>
          <w:color w:val="auto"/>
          <w:szCs w:val="24"/>
        </w:rPr>
        <w:t>, w</w:t>
      </w:r>
      <w:r w:rsidRPr="00B74DFA" w:rsidR="007244F6">
        <w:rPr>
          <w:b w:val="0"/>
          <w:color w:val="auto"/>
          <w:szCs w:val="24"/>
        </w:rPr>
        <w:t>e</w:t>
      </w:r>
      <w:r w:rsidRPr="00B74DFA" w:rsidR="007244F6">
        <w:rPr>
          <w:b w:val="0"/>
          <w:color w:val="auto"/>
        </w:rPr>
        <w:t xml:space="preserve"> assume a computer programmer will calculate the metrics and populate the </w:t>
      </w:r>
      <w:r w:rsidRPr="00B74DFA">
        <w:rPr>
          <w:b w:val="0"/>
          <w:color w:val="auto"/>
          <w:szCs w:val="24"/>
        </w:rPr>
        <w:t xml:space="preserve">metrics </w:t>
      </w:r>
      <w:r w:rsidRPr="00B74DFA" w:rsidR="007244F6">
        <w:rPr>
          <w:b w:val="0"/>
          <w:color w:val="auto"/>
        </w:rPr>
        <w:t xml:space="preserve">template. Groups of metrics will be calculated simultaneously, rather than sequentially. Initial calculations require an upfront investment, but recalculations for subsequent reports will require significantly less time. </w:t>
      </w:r>
    </w:p>
    <w:p w:rsidRPr="00B74DFA" w:rsidR="007244F6" w:rsidP="0088327A" w:rsidRDefault="007244F6" w14:paraId="768B1FDD" w14:textId="5667609D">
      <w:pPr>
        <w:numPr>
          <w:ilvl w:val="0"/>
          <w:numId w:val="5"/>
        </w:numPr>
        <w:spacing w:after="0" w:line="240" w:lineRule="auto"/>
        <w:rPr>
          <w:rFonts w:cs="Times New Roman"/>
          <w:szCs w:val="24"/>
        </w:rPr>
      </w:pPr>
      <w:r w:rsidRPr="00B74DFA">
        <w:rPr>
          <w:rFonts w:cs="Times New Roman"/>
          <w:szCs w:val="24"/>
        </w:rPr>
        <w:t>Low LOE metrics (</w:t>
      </w:r>
      <w:r w:rsidRPr="00B74DFA" w:rsidR="00665F73">
        <w:rPr>
          <w:rFonts w:cs="Times New Roman"/>
          <w:szCs w:val="24"/>
        </w:rPr>
        <w:t xml:space="preserve">for </w:t>
      </w:r>
      <w:r w:rsidRPr="00B74DFA">
        <w:rPr>
          <w:rFonts w:cs="Times New Roman"/>
          <w:szCs w:val="24"/>
        </w:rPr>
        <w:t xml:space="preserve">15 metrics total: 4 annual metrics, 8 quarterly metrics, and 3 health IT metrics): </w:t>
      </w:r>
    </w:p>
    <w:p w:rsidRPr="00B74DFA" w:rsidR="007244F6" w:rsidP="0088327A" w:rsidRDefault="007244F6" w14:paraId="525266E2" w14:textId="3F7F171F">
      <w:pPr>
        <w:numPr>
          <w:ilvl w:val="2"/>
          <w:numId w:val="5"/>
        </w:numPr>
        <w:spacing w:after="0" w:line="240" w:lineRule="auto"/>
        <w:rPr>
          <w:rFonts w:cs="Times New Roman"/>
          <w:szCs w:val="24"/>
        </w:rPr>
      </w:pPr>
      <w:r w:rsidRPr="00B74DFA">
        <w:rPr>
          <w:rFonts w:cs="Times New Roman"/>
          <w:szCs w:val="24"/>
        </w:rPr>
        <w:t>24 hours for initial report per state for the 1</w:t>
      </w:r>
      <w:r w:rsidRPr="00B74DFA">
        <w:rPr>
          <w:rFonts w:cs="Times New Roman"/>
          <w:szCs w:val="24"/>
          <w:vertAlign w:val="superscript"/>
        </w:rPr>
        <w:t>st</w:t>
      </w:r>
      <w:r w:rsidRPr="00B74DFA">
        <w:rPr>
          <w:rFonts w:cs="Times New Roman"/>
          <w:szCs w:val="24"/>
        </w:rPr>
        <w:t xml:space="preserve"> year of the demonstration only (assume it’s annual and includes all metrics) </w:t>
      </w:r>
    </w:p>
    <w:p w:rsidRPr="00B74DFA" w:rsidR="007244F6" w:rsidP="0088327A" w:rsidRDefault="007244F6" w14:paraId="3E41C0D9" w14:textId="2876ED45">
      <w:pPr>
        <w:numPr>
          <w:ilvl w:val="2"/>
          <w:numId w:val="5"/>
        </w:numPr>
        <w:spacing w:after="0" w:line="240" w:lineRule="auto"/>
        <w:rPr>
          <w:rFonts w:cs="Times New Roman"/>
          <w:szCs w:val="24"/>
        </w:rPr>
      </w:pPr>
      <w:r w:rsidRPr="00B74DFA">
        <w:rPr>
          <w:rFonts w:cs="Times New Roman"/>
          <w:szCs w:val="24"/>
        </w:rPr>
        <w:t xml:space="preserve">8 hours for each subsequent annual report per state </w:t>
      </w:r>
    </w:p>
    <w:p w:rsidRPr="00B74DFA" w:rsidR="007244F6" w:rsidP="0088327A" w:rsidRDefault="0048686E" w14:paraId="7B900903" w14:textId="4ADA3EB4">
      <w:pPr>
        <w:numPr>
          <w:ilvl w:val="2"/>
          <w:numId w:val="5"/>
        </w:numPr>
        <w:spacing w:after="0" w:line="240" w:lineRule="auto"/>
        <w:rPr>
          <w:rFonts w:cs="Times New Roman"/>
          <w:szCs w:val="24"/>
        </w:rPr>
      </w:pPr>
      <w:r w:rsidRPr="00B74DFA">
        <w:rPr>
          <w:rFonts w:cs="Times New Roman"/>
          <w:szCs w:val="24"/>
        </w:rPr>
        <w:t>4</w:t>
      </w:r>
      <w:r w:rsidRPr="00B74DFA" w:rsidR="007244F6">
        <w:rPr>
          <w:rFonts w:cs="Times New Roman"/>
          <w:szCs w:val="24"/>
        </w:rPr>
        <w:t xml:space="preserve"> hours for each subsequent quarterly</w:t>
      </w:r>
      <w:r w:rsidRPr="00B74DFA" w:rsidR="007244F6">
        <w:t xml:space="preserve"> report</w:t>
      </w:r>
      <w:r w:rsidRPr="00B74DFA" w:rsidR="007244F6">
        <w:rPr>
          <w:rFonts w:cs="Times New Roman"/>
          <w:szCs w:val="24"/>
        </w:rPr>
        <w:t xml:space="preserve"> per state </w:t>
      </w:r>
    </w:p>
    <w:p w:rsidRPr="00B74DFA" w:rsidR="007244F6" w:rsidP="0088327A" w:rsidRDefault="007244F6" w14:paraId="5FB6C388" w14:textId="77777777">
      <w:pPr>
        <w:numPr>
          <w:ilvl w:val="0"/>
          <w:numId w:val="5"/>
        </w:numPr>
        <w:spacing w:after="0" w:line="240" w:lineRule="auto"/>
        <w:rPr>
          <w:rFonts w:cs="Times New Roman"/>
          <w:szCs w:val="24"/>
        </w:rPr>
      </w:pPr>
      <w:r w:rsidRPr="00B74DFA">
        <w:rPr>
          <w:rFonts w:cs="Times New Roman"/>
          <w:szCs w:val="24"/>
        </w:rPr>
        <w:t xml:space="preserve">Medium LOE metrics (6 metrics total: 4 annual metrics, 2 quarterly metrics): </w:t>
      </w:r>
    </w:p>
    <w:p w:rsidRPr="00B74DFA" w:rsidR="007244F6" w:rsidP="0088327A" w:rsidRDefault="007244F6" w14:paraId="01781399" w14:textId="62CCEEFF">
      <w:pPr>
        <w:numPr>
          <w:ilvl w:val="2"/>
          <w:numId w:val="5"/>
        </w:numPr>
        <w:spacing w:after="0" w:line="240" w:lineRule="auto"/>
        <w:rPr>
          <w:rFonts w:cs="Times New Roman"/>
          <w:szCs w:val="24"/>
        </w:rPr>
      </w:pPr>
      <w:r w:rsidRPr="00B74DFA">
        <w:rPr>
          <w:rFonts w:cs="Times New Roman"/>
          <w:szCs w:val="24"/>
        </w:rPr>
        <w:t>48 hours for initial report per state for the 1</w:t>
      </w:r>
      <w:r w:rsidRPr="00B74DFA">
        <w:rPr>
          <w:rFonts w:cs="Times New Roman"/>
          <w:szCs w:val="24"/>
          <w:vertAlign w:val="superscript"/>
        </w:rPr>
        <w:t>st</w:t>
      </w:r>
      <w:r w:rsidRPr="00B74DFA">
        <w:rPr>
          <w:rFonts w:cs="Times New Roman"/>
          <w:szCs w:val="24"/>
        </w:rPr>
        <w:t xml:space="preserve"> year of the demonstration only (assume it’s annual and includes all metrics) </w:t>
      </w:r>
    </w:p>
    <w:p w:rsidRPr="00B74DFA" w:rsidR="007244F6" w:rsidP="0088327A" w:rsidRDefault="00D7177A" w14:paraId="76948A3A" w14:textId="1BE98EF0">
      <w:pPr>
        <w:numPr>
          <w:ilvl w:val="2"/>
          <w:numId w:val="5"/>
        </w:numPr>
        <w:spacing w:after="0" w:line="240" w:lineRule="auto"/>
        <w:rPr>
          <w:rFonts w:cs="Times New Roman"/>
          <w:szCs w:val="24"/>
        </w:rPr>
      </w:pPr>
      <w:r w:rsidRPr="00B74DFA">
        <w:rPr>
          <w:rFonts w:cs="Times New Roman"/>
          <w:strike/>
          <w:szCs w:val="24"/>
        </w:rPr>
        <w:t>4</w:t>
      </w:r>
      <w:r w:rsidRPr="00B74DFA" w:rsidR="008050DB">
        <w:rPr>
          <w:rFonts w:cs="Times New Roman"/>
          <w:szCs w:val="24"/>
        </w:rPr>
        <w:t xml:space="preserve"> </w:t>
      </w:r>
      <w:r w:rsidRPr="00B74DFA" w:rsidR="007244F6">
        <w:rPr>
          <w:rFonts w:cs="Times New Roman"/>
          <w:szCs w:val="24"/>
        </w:rPr>
        <w:t>hours for each subsequent annual report per state</w:t>
      </w:r>
    </w:p>
    <w:p w:rsidRPr="00B74DFA" w:rsidR="007244F6" w:rsidP="0088327A" w:rsidRDefault="007244F6" w14:paraId="3B87D55F" w14:textId="615C72C4">
      <w:pPr>
        <w:numPr>
          <w:ilvl w:val="2"/>
          <w:numId w:val="5"/>
        </w:numPr>
        <w:spacing w:after="0" w:line="240" w:lineRule="auto"/>
        <w:rPr>
          <w:rFonts w:cs="Times New Roman"/>
          <w:szCs w:val="24"/>
        </w:rPr>
      </w:pPr>
      <w:r w:rsidRPr="00B74DFA">
        <w:rPr>
          <w:rFonts w:cs="Times New Roman"/>
          <w:szCs w:val="24"/>
        </w:rPr>
        <w:t>4 hours for each subsequent quarterly report</w:t>
      </w:r>
    </w:p>
    <w:p w:rsidRPr="00B74DFA" w:rsidR="007244F6" w:rsidP="0088327A" w:rsidRDefault="007244F6" w14:paraId="65117E18" w14:textId="77777777">
      <w:pPr>
        <w:numPr>
          <w:ilvl w:val="0"/>
          <w:numId w:val="5"/>
        </w:numPr>
        <w:spacing w:after="0" w:line="240" w:lineRule="auto"/>
        <w:rPr>
          <w:rFonts w:cs="Times New Roman"/>
          <w:szCs w:val="24"/>
        </w:rPr>
      </w:pPr>
      <w:r w:rsidRPr="00B74DFA">
        <w:rPr>
          <w:rFonts w:cs="Times New Roman"/>
          <w:szCs w:val="24"/>
        </w:rPr>
        <w:t xml:space="preserve">High LOE metrics (5 annual metrics): </w:t>
      </w:r>
    </w:p>
    <w:p w:rsidRPr="00B74DFA" w:rsidR="007244F6" w:rsidP="0088327A" w:rsidRDefault="007244F6" w14:paraId="6B1F3DBA" w14:textId="1A8F7EA4">
      <w:pPr>
        <w:numPr>
          <w:ilvl w:val="2"/>
          <w:numId w:val="5"/>
        </w:numPr>
        <w:spacing w:after="0" w:line="240" w:lineRule="auto"/>
        <w:rPr>
          <w:rFonts w:cs="Times New Roman"/>
          <w:szCs w:val="24"/>
        </w:rPr>
      </w:pPr>
      <w:r w:rsidRPr="00B74DFA">
        <w:rPr>
          <w:rFonts w:cs="Times New Roman"/>
          <w:szCs w:val="24"/>
        </w:rPr>
        <w:lastRenderedPageBreak/>
        <w:t>56 hours for initial report per state 1</w:t>
      </w:r>
      <w:r w:rsidRPr="00B74DFA">
        <w:rPr>
          <w:rFonts w:cs="Times New Roman"/>
          <w:szCs w:val="24"/>
          <w:vertAlign w:val="superscript"/>
        </w:rPr>
        <w:t>st</w:t>
      </w:r>
      <w:r w:rsidRPr="00B74DFA">
        <w:rPr>
          <w:rFonts w:cs="Times New Roman"/>
          <w:szCs w:val="24"/>
        </w:rPr>
        <w:t xml:space="preserve"> year of the demonstration only (assume it’s annual and includes all metrics)</w:t>
      </w:r>
    </w:p>
    <w:p w:rsidRPr="00B74DFA" w:rsidR="007244F6" w:rsidP="0088327A" w:rsidRDefault="007244F6" w14:paraId="288FEEB3" w14:textId="4A09F116">
      <w:pPr>
        <w:numPr>
          <w:ilvl w:val="2"/>
          <w:numId w:val="5"/>
        </w:numPr>
        <w:spacing w:after="0" w:line="240" w:lineRule="auto"/>
        <w:rPr>
          <w:rFonts w:cs="Times New Roman"/>
          <w:szCs w:val="24"/>
        </w:rPr>
      </w:pPr>
      <w:r w:rsidRPr="00B74DFA">
        <w:rPr>
          <w:rFonts w:cs="Times New Roman"/>
          <w:szCs w:val="24"/>
        </w:rPr>
        <w:t xml:space="preserve">4 hours for each subsequent </w:t>
      </w:r>
      <w:r w:rsidRPr="00B74DFA" w:rsidR="00665F73">
        <w:rPr>
          <w:rFonts w:cs="Times New Roman"/>
          <w:szCs w:val="24"/>
        </w:rPr>
        <w:t xml:space="preserve">annual </w:t>
      </w:r>
      <w:r w:rsidRPr="00B74DFA">
        <w:rPr>
          <w:rFonts w:cs="Times New Roman"/>
          <w:szCs w:val="24"/>
        </w:rPr>
        <w:t>report per state</w:t>
      </w:r>
    </w:p>
    <w:p w:rsidRPr="00B74DFA" w:rsidR="007244F6" w:rsidP="0088327A" w:rsidRDefault="007244F6" w14:paraId="01CBB32B" w14:textId="67482D13">
      <w:pPr>
        <w:pStyle w:val="ListParagraph"/>
        <w:numPr>
          <w:ilvl w:val="2"/>
          <w:numId w:val="5"/>
        </w:numPr>
        <w:spacing w:after="0" w:line="240" w:lineRule="auto"/>
        <w:rPr>
          <w:rFonts w:ascii="Times New Roman" w:hAnsi="Times New Roman"/>
          <w:sz w:val="24"/>
        </w:rPr>
      </w:pPr>
      <w:r w:rsidRPr="00B74DFA">
        <w:rPr>
          <w:rFonts w:ascii="Times New Roman" w:hAnsi="Times New Roman"/>
          <w:sz w:val="24"/>
        </w:rPr>
        <w:t>4 hours for each subsequent quarterly report per state.</w:t>
      </w:r>
    </w:p>
    <w:p w:rsidRPr="00B74DFA" w:rsidR="00EF4D5F" w:rsidP="00E016CC" w:rsidRDefault="00EF4D5F" w14:paraId="466A15CB" w14:textId="77777777">
      <w:pPr>
        <w:spacing w:after="0" w:line="240" w:lineRule="auto"/>
        <w:rPr>
          <w:rFonts w:cs="Times New Roman"/>
          <w:szCs w:val="24"/>
        </w:rPr>
      </w:pPr>
    </w:p>
    <w:p w:rsidRPr="007C2EEE" w:rsidR="00BC7CE8" w:rsidP="00AA10A1" w:rsidRDefault="006E141A" w14:paraId="63609B7A" w14:textId="40982E91">
      <w:pPr>
        <w:spacing w:after="0" w:line="240" w:lineRule="auto"/>
        <w:rPr>
          <w:rFonts w:cs="Times New Roman"/>
          <w:szCs w:val="24"/>
        </w:rPr>
      </w:pPr>
      <w:r w:rsidRPr="00B74DFA">
        <w:rPr>
          <w:rFonts w:cs="Times New Roman"/>
          <w:szCs w:val="24"/>
        </w:rPr>
        <w:t xml:space="preserve">Demonstration </w:t>
      </w:r>
      <w:r w:rsidRPr="00B74DFA" w:rsidR="00995DA0">
        <w:rPr>
          <w:rFonts w:cs="Times New Roman"/>
          <w:szCs w:val="24"/>
        </w:rPr>
        <w:t>Year 1</w:t>
      </w:r>
    </w:p>
    <w:p w:rsidR="00BC7CE8" w:rsidP="00AA10A1" w:rsidRDefault="00BC7CE8" w14:paraId="26602120" w14:textId="6F81AE74">
      <w:pPr>
        <w:spacing w:after="0" w:line="240" w:lineRule="auto"/>
        <w:rPr>
          <w:rFonts w:cs="Times New Roman"/>
          <w:b/>
          <w:szCs w:val="24"/>
        </w:rPr>
      </w:pPr>
    </w:p>
    <w:p w:rsidRPr="00BC7CE8" w:rsidR="00BC7CE8" w:rsidP="00AA10A1" w:rsidRDefault="00BC7CE8" w14:paraId="5D0E81F0" w14:textId="2D351139">
      <w:pPr>
        <w:spacing w:after="0" w:line="240" w:lineRule="auto"/>
        <w:rPr>
          <w:rFonts w:cs="Times New Roman"/>
          <w:szCs w:val="24"/>
        </w:rPr>
      </w:pPr>
      <w:r w:rsidRPr="00BC7CE8">
        <w:rPr>
          <w:rFonts w:cs="Times New Roman"/>
          <w:szCs w:val="24"/>
        </w:rPr>
        <w:t>Initial Report</w:t>
      </w:r>
      <w:r>
        <w:rPr>
          <w:rFonts w:cs="Times New Roman"/>
          <w:szCs w:val="24"/>
        </w:rPr>
        <w:tab/>
      </w:r>
      <w:r>
        <w:rPr>
          <w:rFonts w:cs="Times New Roman"/>
          <w:szCs w:val="24"/>
        </w:rPr>
        <w:tab/>
      </w:r>
      <w:r>
        <w:rPr>
          <w:rFonts w:cs="Times New Roman"/>
          <w:szCs w:val="24"/>
        </w:rPr>
        <w:tab/>
        <w:t>Q</w:t>
      </w:r>
      <w:r w:rsidRPr="00E06360">
        <w:rPr>
          <w:rFonts w:cs="Times New Roman"/>
          <w:szCs w:val="24"/>
        </w:rPr>
        <w:t xml:space="preserve">uarterly </w:t>
      </w:r>
      <w:r>
        <w:rPr>
          <w:rFonts w:cs="Times New Roman"/>
          <w:szCs w:val="24"/>
        </w:rPr>
        <w:t>R</w:t>
      </w:r>
      <w:r w:rsidRPr="00E06360">
        <w:rPr>
          <w:rFonts w:cs="Times New Roman"/>
          <w:szCs w:val="24"/>
        </w:rPr>
        <w:t>eports</w:t>
      </w:r>
    </w:p>
    <w:p w:rsidRPr="00BC7CE8" w:rsidR="00BC7CE8" w:rsidP="00AA10A1" w:rsidRDefault="00BC7CE8" w14:paraId="49B8A439" w14:textId="21C17E29">
      <w:pPr>
        <w:spacing w:after="0" w:line="240" w:lineRule="auto"/>
        <w:rPr>
          <w:rFonts w:cs="Times New Roman"/>
          <w:szCs w:val="24"/>
        </w:rPr>
      </w:pPr>
      <w:r w:rsidRPr="00BC7CE8">
        <w:rPr>
          <w:rFonts w:cs="Times New Roman"/>
          <w:szCs w:val="24"/>
        </w:rPr>
        <w:t>24 hr (low)</w:t>
      </w:r>
      <w:r>
        <w:rPr>
          <w:rFonts w:cs="Times New Roman"/>
          <w:szCs w:val="24"/>
        </w:rPr>
        <w:tab/>
      </w:r>
      <w:r>
        <w:rPr>
          <w:rFonts w:cs="Times New Roman"/>
          <w:szCs w:val="24"/>
        </w:rPr>
        <w:tab/>
      </w:r>
      <w:r>
        <w:rPr>
          <w:rFonts w:cs="Times New Roman"/>
          <w:szCs w:val="24"/>
        </w:rPr>
        <w:tab/>
        <w:t>4 hr (low)</w:t>
      </w:r>
    </w:p>
    <w:p w:rsidRPr="00BC7CE8" w:rsidR="00BC7CE8" w:rsidP="00AA10A1" w:rsidRDefault="00BC7CE8" w14:paraId="5199D3E2" w14:textId="08D6A98F">
      <w:pPr>
        <w:spacing w:after="0" w:line="240" w:lineRule="auto"/>
        <w:rPr>
          <w:rFonts w:cs="Times New Roman"/>
          <w:szCs w:val="24"/>
        </w:rPr>
      </w:pPr>
      <w:r w:rsidRPr="00BC7CE8">
        <w:rPr>
          <w:rFonts w:cs="Times New Roman"/>
          <w:szCs w:val="24"/>
        </w:rPr>
        <w:t>48 hr (medium)</w:t>
      </w:r>
      <w:r>
        <w:rPr>
          <w:rFonts w:cs="Times New Roman"/>
          <w:szCs w:val="24"/>
        </w:rPr>
        <w:tab/>
      </w:r>
      <w:r>
        <w:rPr>
          <w:rFonts w:cs="Times New Roman"/>
          <w:szCs w:val="24"/>
        </w:rPr>
        <w:tab/>
      </w:r>
      <w:r w:rsidR="006E141A">
        <w:rPr>
          <w:rFonts w:cs="Times New Roman"/>
          <w:szCs w:val="24"/>
        </w:rPr>
        <w:t>4 hr (medium</w:t>
      </w:r>
      <w:r>
        <w:rPr>
          <w:rFonts w:cs="Times New Roman"/>
          <w:szCs w:val="24"/>
        </w:rPr>
        <w:t>)</w:t>
      </w:r>
    </w:p>
    <w:p w:rsidRPr="00BC7CE8" w:rsidR="00BC7CE8" w:rsidP="00AA10A1" w:rsidRDefault="00BC7CE8" w14:paraId="0F7012C8" w14:textId="203F6884">
      <w:pPr>
        <w:spacing w:after="0" w:line="240" w:lineRule="auto"/>
        <w:rPr>
          <w:rFonts w:cs="Times New Roman"/>
          <w:szCs w:val="24"/>
          <w:u w:val="single"/>
        </w:rPr>
      </w:pPr>
      <w:r w:rsidRPr="00BC7CE8">
        <w:rPr>
          <w:rFonts w:cs="Times New Roman"/>
          <w:szCs w:val="24"/>
          <w:u w:val="single"/>
        </w:rPr>
        <w:t>56 hr (high)</w:t>
      </w:r>
      <w:r w:rsidRPr="00BC7CE8">
        <w:rPr>
          <w:rFonts w:cs="Times New Roman"/>
          <w:szCs w:val="24"/>
        </w:rPr>
        <w:tab/>
      </w:r>
      <w:r w:rsidRPr="00BC7CE8">
        <w:rPr>
          <w:rFonts w:cs="Times New Roman"/>
          <w:szCs w:val="24"/>
        </w:rPr>
        <w:tab/>
      </w:r>
      <w:r w:rsidRPr="00BC7CE8">
        <w:rPr>
          <w:rFonts w:cs="Times New Roman"/>
          <w:szCs w:val="24"/>
        </w:rPr>
        <w:tab/>
      </w:r>
      <w:r w:rsidR="006E141A">
        <w:rPr>
          <w:rFonts w:cs="Times New Roman"/>
          <w:szCs w:val="24"/>
          <w:u w:val="single"/>
        </w:rPr>
        <w:t>4 hr (high</w:t>
      </w:r>
      <w:r w:rsidRPr="00BC7CE8">
        <w:rPr>
          <w:rFonts w:cs="Times New Roman"/>
          <w:szCs w:val="24"/>
          <w:u w:val="single"/>
        </w:rPr>
        <w:t>)</w:t>
      </w:r>
    </w:p>
    <w:p w:rsidRPr="00BC7CE8" w:rsidR="00BC7CE8" w:rsidP="00BC7CE8" w:rsidRDefault="00BC7CE8" w14:paraId="3D975D8A" w14:textId="075A6713">
      <w:pPr>
        <w:spacing w:after="0" w:line="240" w:lineRule="auto"/>
        <w:rPr>
          <w:rFonts w:cs="Times New Roman"/>
          <w:szCs w:val="24"/>
        </w:rPr>
      </w:pPr>
      <w:r>
        <w:rPr>
          <w:rFonts w:cs="Times New Roman"/>
          <w:szCs w:val="24"/>
        </w:rPr>
        <w:t>128 hr</w:t>
      </w:r>
      <w:r>
        <w:rPr>
          <w:rFonts w:cs="Times New Roman"/>
          <w:szCs w:val="24"/>
        </w:rPr>
        <w:tab/>
      </w:r>
      <w:r>
        <w:rPr>
          <w:rFonts w:cs="Times New Roman"/>
          <w:szCs w:val="24"/>
        </w:rPr>
        <w:tab/>
      </w:r>
      <w:r>
        <w:rPr>
          <w:rFonts w:cs="Times New Roman"/>
          <w:szCs w:val="24"/>
        </w:rPr>
        <w:tab/>
      </w:r>
      <w:r>
        <w:rPr>
          <w:rFonts w:cs="Times New Roman"/>
          <w:szCs w:val="24"/>
        </w:rPr>
        <w:tab/>
        <w:t>12 hr</w:t>
      </w:r>
    </w:p>
    <w:p w:rsidRPr="00BC7CE8" w:rsidR="00BC7CE8" w:rsidP="00AA10A1" w:rsidRDefault="00BC7CE8" w14:paraId="24CB392B" w14:textId="77777777">
      <w:pPr>
        <w:spacing w:after="0" w:line="240" w:lineRule="auto"/>
        <w:rPr>
          <w:rFonts w:cs="Times New Roman"/>
          <w:szCs w:val="24"/>
        </w:rPr>
      </w:pPr>
    </w:p>
    <w:p w:rsidRPr="00E06360" w:rsidR="00C866C4" w:rsidP="00AA10A1" w:rsidRDefault="00112577" w14:paraId="1488ED86" w14:textId="285ECB4F">
      <w:pPr>
        <w:spacing w:after="0" w:line="240" w:lineRule="auto"/>
        <w:rPr>
          <w:rFonts w:cs="Times New Roman"/>
          <w:szCs w:val="24"/>
        </w:rPr>
      </w:pPr>
      <w:r w:rsidRPr="00966358">
        <w:t>164 h</w:t>
      </w:r>
      <w:r w:rsidRPr="00966358" w:rsidR="006E141A">
        <w:t xml:space="preserve">r per state </w:t>
      </w:r>
      <w:r w:rsidRPr="00966358">
        <w:rPr>
          <w:rFonts w:cs="Times New Roman"/>
          <w:szCs w:val="24"/>
        </w:rPr>
        <w:t xml:space="preserve">= </w:t>
      </w:r>
      <w:r w:rsidRPr="00966358" w:rsidR="00C866C4">
        <w:rPr>
          <w:rFonts w:cs="Times New Roman"/>
          <w:szCs w:val="24"/>
        </w:rPr>
        <w:t>(</w:t>
      </w:r>
      <w:r w:rsidRPr="00966358" w:rsidR="00424ABD">
        <w:rPr>
          <w:rFonts w:cs="Times New Roman"/>
          <w:szCs w:val="24"/>
        </w:rPr>
        <w:t>[</w:t>
      </w:r>
      <w:r w:rsidRPr="00966358" w:rsidR="00665F73">
        <w:rPr>
          <w:rFonts w:cs="Times New Roman"/>
          <w:szCs w:val="24"/>
        </w:rPr>
        <w:t>128 hr</w:t>
      </w:r>
      <w:r w:rsidRPr="00966358" w:rsidR="006E141A">
        <w:rPr>
          <w:rFonts w:cs="Times New Roman"/>
          <w:szCs w:val="24"/>
        </w:rPr>
        <w:t xml:space="preserve"> </w:t>
      </w:r>
      <w:r w:rsidRPr="00966358" w:rsidR="00424ABD">
        <w:rPr>
          <w:rFonts w:cs="Times New Roman"/>
          <w:szCs w:val="24"/>
        </w:rPr>
        <w:t xml:space="preserve">x 1 </w:t>
      </w:r>
      <w:r w:rsidR="004D3449">
        <w:rPr>
          <w:rFonts w:cs="Times New Roman"/>
          <w:szCs w:val="24"/>
        </w:rPr>
        <w:t xml:space="preserve">initial </w:t>
      </w:r>
      <w:r w:rsidRPr="00966358" w:rsidR="00424ABD">
        <w:rPr>
          <w:rFonts w:cs="Times New Roman"/>
          <w:szCs w:val="24"/>
        </w:rPr>
        <w:t>report]</w:t>
      </w:r>
      <w:r w:rsidRPr="00966358" w:rsidR="00C866C4">
        <w:rPr>
          <w:rFonts w:cs="Times New Roman"/>
          <w:szCs w:val="24"/>
        </w:rPr>
        <w:t xml:space="preserve"> + </w:t>
      </w:r>
      <w:r w:rsidRPr="00966358">
        <w:rPr>
          <w:rFonts w:cs="Times New Roman"/>
          <w:szCs w:val="24"/>
        </w:rPr>
        <w:t>[</w:t>
      </w:r>
      <w:r w:rsidRPr="00966358" w:rsidR="00665F73">
        <w:rPr>
          <w:rFonts w:cs="Times New Roman"/>
          <w:szCs w:val="24"/>
        </w:rPr>
        <w:t>12 hr</w:t>
      </w:r>
      <w:r w:rsidRPr="00966358" w:rsidR="006E141A">
        <w:rPr>
          <w:rFonts w:cs="Times New Roman"/>
          <w:szCs w:val="24"/>
        </w:rPr>
        <w:t xml:space="preserve"> </w:t>
      </w:r>
      <w:r w:rsidRPr="00966358" w:rsidR="00C866C4">
        <w:rPr>
          <w:rFonts w:cs="Times New Roman"/>
          <w:szCs w:val="24"/>
        </w:rPr>
        <w:t>x 3 quarterly reports</w:t>
      </w:r>
      <w:r w:rsidRPr="00966358">
        <w:rPr>
          <w:rFonts w:cs="Times New Roman"/>
          <w:szCs w:val="24"/>
        </w:rPr>
        <w:t>]</w:t>
      </w:r>
      <w:r w:rsidRPr="00966358" w:rsidR="00C866C4">
        <w:rPr>
          <w:rFonts w:cs="Times New Roman"/>
          <w:szCs w:val="24"/>
        </w:rPr>
        <w:t>)</w:t>
      </w:r>
      <w:r w:rsidRPr="00966358" w:rsidR="00424ABD">
        <w:rPr>
          <w:rFonts w:cs="Times New Roman"/>
          <w:szCs w:val="24"/>
        </w:rPr>
        <w:t xml:space="preserve">. In aggregate we estimate </w:t>
      </w:r>
      <w:r w:rsidRPr="00966358" w:rsidR="00E06360">
        <w:rPr>
          <w:rFonts w:cs="Times New Roman"/>
          <w:szCs w:val="24"/>
        </w:rPr>
        <w:t xml:space="preserve">a burden of </w:t>
      </w:r>
      <w:r w:rsidRPr="00966358" w:rsidR="00310922">
        <w:rPr>
          <w:rFonts w:cs="Times New Roman"/>
          <w:szCs w:val="24"/>
        </w:rPr>
        <w:t>1,640</w:t>
      </w:r>
      <w:r w:rsidR="00D260CC">
        <w:rPr>
          <w:rFonts w:cs="Times New Roman"/>
          <w:szCs w:val="24"/>
        </w:rPr>
        <w:t xml:space="preserve"> hours</w:t>
      </w:r>
      <w:r w:rsidRPr="00966358" w:rsidR="00310922">
        <w:rPr>
          <w:rFonts w:cs="Times New Roman"/>
          <w:szCs w:val="24"/>
        </w:rPr>
        <w:t xml:space="preserve"> </w:t>
      </w:r>
      <w:r w:rsidRPr="00966358" w:rsidR="00424ABD">
        <w:rPr>
          <w:rFonts w:cs="Times New Roman"/>
          <w:szCs w:val="24"/>
        </w:rPr>
        <w:t xml:space="preserve">(164 hr x </w:t>
      </w:r>
      <w:r w:rsidRPr="00966358" w:rsidR="00310922">
        <w:rPr>
          <w:rFonts w:cs="Times New Roman"/>
          <w:szCs w:val="24"/>
        </w:rPr>
        <w:t xml:space="preserve">10 states) </w:t>
      </w:r>
      <w:r w:rsidRPr="00966358" w:rsidR="00422A85">
        <w:rPr>
          <w:rFonts w:cs="Times New Roman"/>
          <w:bCs/>
          <w:szCs w:val="24"/>
        </w:rPr>
        <w:t xml:space="preserve">at a cost of </w:t>
      </w:r>
      <w:r w:rsidRPr="00966358" w:rsidR="000D194E">
        <w:rPr>
          <w:rFonts w:cs="Times New Roman"/>
          <w:bCs/>
          <w:szCs w:val="24"/>
        </w:rPr>
        <w:t>$</w:t>
      </w:r>
      <w:r w:rsidRPr="00966358" w:rsidR="00FA033A">
        <w:rPr>
          <w:rFonts w:cs="Times New Roman"/>
          <w:bCs/>
          <w:szCs w:val="24"/>
        </w:rPr>
        <w:t>146,058</w:t>
      </w:r>
      <w:r w:rsidRPr="00966358" w:rsidR="000D194E">
        <w:rPr>
          <w:rFonts w:cs="Times New Roman"/>
          <w:bCs/>
          <w:szCs w:val="24"/>
        </w:rPr>
        <w:t xml:space="preserve"> </w:t>
      </w:r>
      <w:r w:rsidRPr="00966358" w:rsidR="00422A85">
        <w:rPr>
          <w:rFonts w:cs="Times New Roman"/>
          <w:bCs/>
          <w:szCs w:val="24"/>
        </w:rPr>
        <w:t>(1</w:t>
      </w:r>
      <w:r w:rsidRPr="00966358" w:rsidR="00310922">
        <w:rPr>
          <w:rFonts w:cs="Times New Roman"/>
          <w:bCs/>
          <w:szCs w:val="24"/>
        </w:rPr>
        <w:t>,</w:t>
      </w:r>
      <w:r w:rsidRPr="00966358" w:rsidR="00422A85">
        <w:rPr>
          <w:rFonts w:cs="Times New Roman"/>
          <w:bCs/>
          <w:szCs w:val="24"/>
        </w:rPr>
        <w:t>64</w:t>
      </w:r>
      <w:r w:rsidRPr="00966358" w:rsidR="00310922">
        <w:rPr>
          <w:rFonts w:cs="Times New Roman"/>
          <w:bCs/>
          <w:szCs w:val="24"/>
        </w:rPr>
        <w:t>0</w:t>
      </w:r>
      <w:r w:rsidRPr="00966358" w:rsidR="00422A85">
        <w:rPr>
          <w:rFonts w:cs="Times New Roman"/>
          <w:bCs/>
          <w:szCs w:val="24"/>
        </w:rPr>
        <w:t xml:space="preserve"> hr</w:t>
      </w:r>
      <w:r w:rsidRPr="00966358" w:rsidR="00422A85">
        <w:rPr>
          <w:rFonts w:cs="Times New Roman"/>
          <w:szCs w:val="24"/>
        </w:rPr>
        <w:t xml:space="preserve"> x $</w:t>
      </w:r>
      <w:r w:rsidRPr="00966358" w:rsidR="00F57677">
        <w:rPr>
          <w:rFonts w:cs="Times New Roman"/>
          <w:bCs/>
          <w:szCs w:val="24"/>
        </w:rPr>
        <w:t>89.06</w:t>
      </w:r>
      <w:r w:rsidRPr="00966358" w:rsidR="00422A85">
        <w:rPr>
          <w:rFonts w:cs="Times New Roman"/>
          <w:bCs/>
          <w:szCs w:val="24"/>
        </w:rPr>
        <w:t>/hr</w:t>
      </w:r>
      <w:r w:rsidRPr="00966358" w:rsidR="00B71EBF">
        <w:rPr>
          <w:rFonts w:cs="Times New Roman"/>
          <w:bCs/>
          <w:szCs w:val="24"/>
        </w:rPr>
        <w:t xml:space="preserve"> for </w:t>
      </w:r>
      <w:r w:rsidRPr="00966358" w:rsidR="00B71EBF">
        <w:t>a computer programmer</w:t>
      </w:r>
      <w:r w:rsidRPr="00966358" w:rsidR="00422A85">
        <w:rPr>
          <w:rFonts w:cs="Times New Roman"/>
          <w:bCs/>
          <w:szCs w:val="24"/>
        </w:rPr>
        <w:t>)</w:t>
      </w:r>
      <w:r w:rsidRPr="00966358" w:rsidR="00310922">
        <w:rPr>
          <w:rFonts w:cs="Times New Roman"/>
          <w:bCs/>
          <w:szCs w:val="24"/>
        </w:rPr>
        <w:t>.</w:t>
      </w:r>
      <w:r w:rsidRPr="00966358" w:rsidR="007B674E">
        <w:rPr>
          <w:rFonts w:cs="Times New Roman"/>
          <w:bCs/>
          <w:szCs w:val="24"/>
        </w:rPr>
        <w:t xml:space="preserve"> This also includes time to submit to PMDA.</w:t>
      </w:r>
    </w:p>
    <w:p w:rsidRPr="006E141A" w:rsidR="006E141A" w:rsidP="00424ABD" w:rsidRDefault="006E141A" w14:paraId="1A01C42E" w14:textId="77777777">
      <w:pPr>
        <w:spacing w:after="0" w:line="240" w:lineRule="auto"/>
        <w:ind w:left="360"/>
        <w:rPr>
          <w:rFonts w:cs="Times New Roman"/>
          <w:szCs w:val="24"/>
        </w:rPr>
      </w:pPr>
    </w:p>
    <w:p w:rsidRPr="007C2EEE" w:rsidR="006E141A" w:rsidP="00AA10A1" w:rsidRDefault="006E141A" w14:paraId="797C6AB8" w14:textId="61C872E7">
      <w:pPr>
        <w:spacing w:after="0" w:line="240" w:lineRule="auto"/>
        <w:rPr>
          <w:rFonts w:cs="Times New Roman"/>
          <w:szCs w:val="24"/>
        </w:rPr>
      </w:pPr>
      <w:r w:rsidRPr="007C2EEE">
        <w:rPr>
          <w:rFonts w:cs="Times New Roman"/>
          <w:szCs w:val="24"/>
        </w:rPr>
        <w:t>Subsequent Years</w:t>
      </w:r>
    </w:p>
    <w:p w:rsidR="006E141A" w:rsidP="00AA10A1" w:rsidRDefault="006E141A" w14:paraId="4EDA7E59" w14:textId="2A5AEBF2">
      <w:pPr>
        <w:spacing w:after="0" w:line="240" w:lineRule="auto"/>
        <w:rPr>
          <w:rFonts w:cs="Times New Roman"/>
          <w:szCs w:val="24"/>
        </w:rPr>
      </w:pPr>
    </w:p>
    <w:p w:rsidRPr="005E55E4" w:rsidR="006E141A" w:rsidP="006E141A" w:rsidRDefault="006E141A" w14:paraId="0062E2B2" w14:textId="72E38D8E">
      <w:pPr>
        <w:spacing w:after="0" w:line="240" w:lineRule="auto"/>
        <w:rPr>
          <w:rFonts w:cs="Times New Roman"/>
          <w:szCs w:val="24"/>
        </w:rPr>
      </w:pPr>
      <w:r w:rsidRPr="005E55E4">
        <w:rPr>
          <w:rFonts w:cs="Times New Roman"/>
          <w:szCs w:val="24"/>
        </w:rPr>
        <w:t>Annual Report</w:t>
      </w:r>
      <w:r w:rsidRPr="005E55E4">
        <w:rPr>
          <w:rFonts w:cs="Times New Roman"/>
          <w:szCs w:val="24"/>
        </w:rPr>
        <w:tab/>
      </w:r>
      <w:r w:rsidRPr="005E55E4">
        <w:rPr>
          <w:rFonts w:cs="Times New Roman"/>
          <w:szCs w:val="24"/>
        </w:rPr>
        <w:tab/>
        <w:t>Quarterly Reports</w:t>
      </w:r>
    </w:p>
    <w:p w:rsidRPr="005E55E4" w:rsidR="006E141A" w:rsidP="006E141A" w:rsidRDefault="006E141A" w14:paraId="6C9F6A54" w14:textId="583AAFD6">
      <w:pPr>
        <w:spacing w:after="0" w:line="240" w:lineRule="auto"/>
        <w:rPr>
          <w:rFonts w:cs="Times New Roman"/>
          <w:szCs w:val="24"/>
        </w:rPr>
      </w:pPr>
      <w:r w:rsidRPr="005E55E4">
        <w:rPr>
          <w:rFonts w:cs="Times New Roman"/>
          <w:szCs w:val="24"/>
        </w:rPr>
        <w:t>8 hr (low)</w:t>
      </w:r>
      <w:r w:rsidRPr="005E55E4">
        <w:rPr>
          <w:rFonts w:cs="Times New Roman"/>
          <w:szCs w:val="24"/>
        </w:rPr>
        <w:tab/>
      </w:r>
      <w:r w:rsidRPr="005E55E4">
        <w:rPr>
          <w:rFonts w:cs="Times New Roman"/>
          <w:szCs w:val="24"/>
        </w:rPr>
        <w:tab/>
        <w:t>4 hr (low)</w:t>
      </w:r>
    </w:p>
    <w:p w:rsidRPr="005E55E4" w:rsidR="006E141A" w:rsidP="006E141A" w:rsidRDefault="00F66265" w14:paraId="3ABF040A" w14:textId="45E6F79C">
      <w:pPr>
        <w:spacing w:after="0" w:line="240" w:lineRule="auto"/>
        <w:rPr>
          <w:rFonts w:cs="Times New Roman"/>
          <w:szCs w:val="24"/>
        </w:rPr>
      </w:pPr>
      <w:r w:rsidRPr="005E55E4">
        <w:rPr>
          <w:rFonts w:cs="Times New Roman"/>
          <w:strike/>
          <w:szCs w:val="24"/>
        </w:rPr>
        <w:t>4</w:t>
      </w:r>
      <w:r w:rsidRPr="005E55E4" w:rsidR="006E141A">
        <w:rPr>
          <w:rFonts w:cs="Times New Roman"/>
          <w:szCs w:val="24"/>
        </w:rPr>
        <w:t xml:space="preserve"> hr (medium)</w:t>
      </w:r>
      <w:r w:rsidRPr="005E55E4" w:rsidR="006E141A">
        <w:rPr>
          <w:rFonts w:cs="Times New Roman"/>
          <w:szCs w:val="24"/>
        </w:rPr>
        <w:tab/>
      </w:r>
      <w:r w:rsidRPr="005E55E4" w:rsidR="006E141A">
        <w:rPr>
          <w:rFonts w:cs="Times New Roman"/>
          <w:szCs w:val="24"/>
        </w:rPr>
        <w:tab/>
        <w:t>4 hr (medium)</w:t>
      </w:r>
    </w:p>
    <w:p w:rsidRPr="005E55E4" w:rsidR="006E141A" w:rsidP="006E141A" w:rsidRDefault="006E141A" w14:paraId="4D0ACEAC" w14:textId="35D9FD94">
      <w:pPr>
        <w:spacing w:after="0" w:line="240" w:lineRule="auto"/>
        <w:rPr>
          <w:rFonts w:cs="Times New Roman"/>
          <w:szCs w:val="24"/>
          <w:u w:val="single"/>
        </w:rPr>
      </w:pPr>
      <w:r w:rsidRPr="005E55E4">
        <w:rPr>
          <w:rFonts w:cs="Times New Roman"/>
          <w:szCs w:val="24"/>
          <w:u w:val="single"/>
        </w:rPr>
        <w:t>4 hr (high)</w:t>
      </w:r>
      <w:r w:rsidRPr="005E55E4">
        <w:rPr>
          <w:rFonts w:cs="Times New Roman"/>
          <w:szCs w:val="24"/>
        </w:rPr>
        <w:tab/>
      </w:r>
      <w:r w:rsidRPr="005E55E4">
        <w:rPr>
          <w:rFonts w:cs="Times New Roman"/>
          <w:szCs w:val="24"/>
        </w:rPr>
        <w:tab/>
      </w:r>
      <w:r w:rsidRPr="005E55E4">
        <w:rPr>
          <w:rFonts w:cs="Times New Roman"/>
          <w:szCs w:val="24"/>
          <w:u w:val="single"/>
        </w:rPr>
        <w:t>4 hr (high)</w:t>
      </w:r>
    </w:p>
    <w:p w:rsidRPr="005E55E4" w:rsidR="006E141A" w:rsidP="006E141A" w:rsidRDefault="00F66265" w14:paraId="32A76A90" w14:textId="1E5BB00B">
      <w:pPr>
        <w:spacing w:after="0" w:line="240" w:lineRule="auto"/>
        <w:rPr>
          <w:rFonts w:cs="Times New Roman"/>
          <w:szCs w:val="24"/>
        </w:rPr>
      </w:pPr>
      <w:r w:rsidRPr="005E55E4">
        <w:rPr>
          <w:rFonts w:cs="Times New Roman"/>
          <w:szCs w:val="24"/>
        </w:rPr>
        <w:t xml:space="preserve">16 </w:t>
      </w:r>
      <w:r w:rsidRPr="005E55E4" w:rsidR="006E141A">
        <w:rPr>
          <w:rFonts w:cs="Times New Roman"/>
          <w:szCs w:val="24"/>
        </w:rPr>
        <w:t>hr</w:t>
      </w:r>
      <w:r w:rsidRPr="005E55E4" w:rsidR="006E141A">
        <w:rPr>
          <w:rFonts w:cs="Times New Roman"/>
          <w:szCs w:val="24"/>
        </w:rPr>
        <w:tab/>
      </w:r>
      <w:r w:rsidRPr="005E55E4" w:rsidR="006E141A">
        <w:rPr>
          <w:rFonts w:cs="Times New Roman"/>
          <w:szCs w:val="24"/>
        </w:rPr>
        <w:tab/>
      </w:r>
      <w:r w:rsidRPr="005E55E4" w:rsidR="006E141A">
        <w:rPr>
          <w:rFonts w:cs="Times New Roman"/>
          <w:szCs w:val="24"/>
        </w:rPr>
        <w:tab/>
        <w:t>12 hr</w:t>
      </w:r>
    </w:p>
    <w:p w:rsidRPr="005E55E4" w:rsidR="006E141A" w:rsidP="00AA10A1" w:rsidRDefault="006E141A" w14:paraId="41C00565" w14:textId="77777777">
      <w:pPr>
        <w:spacing w:after="0" w:line="240" w:lineRule="auto"/>
        <w:rPr>
          <w:rFonts w:cs="Times New Roman"/>
          <w:szCs w:val="24"/>
        </w:rPr>
      </w:pPr>
    </w:p>
    <w:p w:rsidRPr="00E06360" w:rsidR="00E06360" w:rsidP="00AA10A1" w:rsidRDefault="007C3895" w14:paraId="15496052" w14:textId="08E18432">
      <w:pPr>
        <w:spacing w:after="0" w:line="240" w:lineRule="auto"/>
        <w:rPr>
          <w:rFonts w:cs="Times New Roman"/>
          <w:szCs w:val="24"/>
        </w:rPr>
      </w:pPr>
      <w:r w:rsidRPr="005E55E4">
        <w:t>52</w:t>
      </w:r>
      <w:r w:rsidRPr="005E55E4" w:rsidR="00112577">
        <w:t xml:space="preserve"> h</w:t>
      </w:r>
      <w:r w:rsidRPr="005E55E4" w:rsidR="000C2FA9">
        <w:t xml:space="preserve">r </w:t>
      </w:r>
      <w:r w:rsidRPr="005E55E4" w:rsidR="00112577">
        <w:rPr>
          <w:rFonts w:cs="Times New Roman"/>
          <w:szCs w:val="24"/>
        </w:rPr>
        <w:t xml:space="preserve">per state </w:t>
      </w:r>
      <w:r w:rsidRPr="005E55E4" w:rsidR="00112577">
        <w:rPr>
          <w:rFonts w:cs="Times New Roman"/>
          <w:bCs/>
          <w:szCs w:val="24"/>
        </w:rPr>
        <w:t xml:space="preserve">= </w:t>
      </w:r>
      <w:r w:rsidRPr="005E55E4" w:rsidR="00C866C4">
        <w:rPr>
          <w:rFonts w:cs="Times New Roman"/>
          <w:bCs/>
          <w:szCs w:val="24"/>
        </w:rPr>
        <w:t>(</w:t>
      </w:r>
      <w:r w:rsidRPr="005E55E4" w:rsidR="00E06360">
        <w:rPr>
          <w:rFonts w:cs="Times New Roman"/>
          <w:bCs/>
          <w:szCs w:val="24"/>
        </w:rPr>
        <w:t>[</w:t>
      </w:r>
      <w:r w:rsidRPr="005E55E4">
        <w:rPr>
          <w:rFonts w:cs="Times New Roman"/>
          <w:bCs/>
          <w:szCs w:val="24"/>
        </w:rPr>
        <w:t>16</w:t>
      </w:r>
      <w:r w:rsidRPr="005E55E4" w:rsidR="00665F73">
        <w:rPr>
          <w:rFonts w:cs="Times New Roman"/>
          <w:bCs/>
          <w:szCs w:val="24"/>
        </w:rPr>
        <w:t xml:space="preserve"> hr </w:t>
      </w:r>
      <w:r w:rsidRPr="005E55E4" w:rsidR="00E06360">
        <w:rPr>
          <w:rFonts w:cs="Times New Roman"/>
          <w:bCs/>
          <w:szCs w:val="24"/>
        </w:rPr>
        <w:t xml:space="preserve">x 1 </w:t>
      </w:r>
      <w:r w:rsidRPr="005E55E4" w:rsidR="000C2FA9">
        <w:rPr>
          <w:rFonts w:cs="Times New Roman"/>
          <w:bCs/>
          <w:szCs w:val="24"/>
        </w:rPr>
        <w:t xml:space="preserve">annual </w:t>
      </w:r>
      <w:r w:rsidRPr="005E55E4" w:rsidR="00E06360">
        <w:rPr>
          <w:rFonts w:cs="Times New Roman"/>
          <w:bCs/>
          <w:szCs w:val="24"/>
        </w:rPr>
        <w:t>report]</w:t>
      </w:r>
      <w:r w:rsidRPr="005E55E4" w:rsidR="00C866C4">
        <w:rPr>
          <w:rFonts w:cs="Times New Roman"/>
          <w:bCs/>
          <w:szCs w:val="24"/>
        </w:rPr>
        <w:t xml:space="preserve"> +</w:t>
      </w:r>
      <w:r w:rsidRPr="005E55E4" w:rsidR="00C866C4">
        <w:rPr>
          <w:rFonts w:cs="Times New Roman"/>
          <w:b/>
          <w:bCs/>
          <w:szCs w:val="24"/>
        </w:rPr>
        <w:t xml:space="preserve"> </w:t>
      </w:r>
      <w:r w:rsidRPr="005E55E4" w:rsidR="002C5143">
        <w:rPr>
          <w:rFonts w:cs="Times New Roman"/>
          <w:bCs/>
          <w:szCs w:val="24"/>
        </w:rPr>
        <w:t>[</w:t>
      </w:r>
      <w:r w:rsidRPr="005E55E4" w:rsidR="00665F73">
        <w:rPr>
          <w:rFonts w:cs="Times New Roman"/>
          <w:szCs w:val="24"/>
        </w:rPr>
        <w:t>12 hr</w:t>
      </w:r>
      <w:r w:rsidRPr="005E55E4" w:rsidR="00C866C4">
        <w:rPr>
          <w:rFonts w:cs="Times New Roman"/>
          <w:szCs w:val="24"/>
        </w:rPr>
        <w:t xml:space="preserve"> x 3 </w:t>
      </w:r>
      <w:r w:rsidRPr="005E55E4" w:rsidR="00112577">
        <w:rPr>
          <w:rFonts w:cs="Times New Roman"/>
          <w:szCs w:val="24"/>
        </w:rPr>
        <w:t>quarterly reports])</w:t>
      </w:r>
      <w:r w:rsidRPr="005E55E4" w:rsidR="00E06360">
        <w:rPr>
          <w:rFonts w:cs="Times New Roman"/>
          <w:szCs w:val="24"/>
        </w:rPr>
        <w:t xml:space="preserve">. In aggregate we estimate a burden of </w:t>
      </w:r>
      <w:r w:rsidRPr="005E55E4">
        <w:rPr>
          <w:rFonts w:cs="Times New Roman"/>
          <w:szCs w:val="24"/>
        </w:rPr>
        <w:t>520</w:t>
      </w:r>
      <w:r w:rsidRPr="005E55E4" w:rsidR="00E06360">
        <w:rPr>
          <w:rFonts w:cs="Times New Roman"/>
          <w:szCs w:val="24"/>
        </w:rPr>
        <w:t xml:space="preserve"> </w:t>
      </w:r>
      <w:r w:rsidRPr="005E55E4">
        <w:rPr>
          <w:rFonts w:cs="Times New Roman"/>
          <w:szCs w:val="24"/>
        </w:rPr>
        <w:t xml:space="preserve">hours </w:t>
      </w:r>
      <w:r w:rsidRPr="005E55E4" w:rsidR="00E06360">
        <w:rPr>
          <w:rFonts w:cs="Times New Roman"/>
          <w:szCs w:val="24"/>
        </w:rPr>
        <w:t>(</w:t>
      </w:r>
      <w:r w:rsidRPr="005E55E4">
        <w:rPr>
          <w:rFonts w:cs="Times New Roman"/>
          <w:szCs w:val="24"/>
        </w:rPr>
        <w:t>52</w:t>
      </w:r>
      <w:r w:rsidRPr="005E55E4" w:rsidR="00E06360">
        <w:rPr>
          <w:rFonts w:cs="Times New Roman"/>
          <w:szCs w:val="24"/>
        </w:rPr>
        <w:t xml:space="preserve"> hr x 10 states) </w:t>
      </w:r>
      <w:r w:rsidRPr="005E55E4" w:rsidR="00E06360">
        <w:rPr>
          <w:rFonts w:cs="Times New Roman"/>
          <w:bCs/>
          <w:szCs w:val="24"/>
        </w:rPr>
        <w:t>at a cost of $</w:t>
      </w:r>
      <w:r w:rsidRPr="005E55E4">
        <w:rPr>
          <w:rFonts w:cs="Times New Roman"/>
          <w:bCs/>
          <w:szCs w:val="24"/>
        </w:rPr>
        <w:t>46,311</w:t>
      </w:r>
      <w:r w:rsidRPr="005E55E4" w:rsidR="00E06360">
        <w:rPr>
          <w:rFonts w:cs="Times New Roman"/>
          <w:bCs/>
          <w:szCs w:val="24"/>
        </w:rPr>
        <w:t xml:space="preserve"> (</w:t>
      </w:r>
      <w:r w:rsidRPr="005E55E4">
        <w:rPr>
          <w:rFonts w:cs="Times New Roman"/>
          <w:bCs/>
          <w:szCs w:val="24"/>
        </w:rPr>
        <w:t>520</w:t>
      </w:r>
      <w:r w:rsidRPr="005E55E4" w:rsidR="00E06360">
        <w:rPr>
          <w:rFonts w:cs="Times New Roman"/>
          <w:bCs/>
          <w:szCs w:val="24"/>
        </w:rPr>
        <w:t xml:space="preserve"> hr</w:t>
      </w:r>
      <w:r w:rsidRPr="005E55E4" w:rsidR="00E06360">
        <w:rPr>
          <w:rFonts w:cs="Times New Roman"/>
          <w:szCs w:val="24"/>
        </w:rPr>
        <w:t xml:space="preserve"> x $</w:t>
      </w:r>
      <w:r w:rsidRPr="005E55E4" w:rsidR="00F57677">
        <w:rPr>
          <w:rFonts w:cs="Times New Roman"/>
          <w:bCs/>
          <w:szCs w:val="24"/>
        </w:rPr>
        <w:t>89.06</w:t>
      </w:r>
      <w:r w:rsidRPr="005E55E4" w:rsidR="00E06360">
        <w:rPr>
          <w:rFonts w:cs="Times New Roman"/>
          <w:bCs/>
          <w:szCs w:val="24"/>
        </w:rPr>
        <w:t>/hr</w:t>
      </w:r>
      <w:r w:rsidRPr="005E55E4" w:rsidR="00B71EBF">
        <w:rPr>
          <w:rFonts w:cs="Times New Roman"/>
          <w:bCs/>
          <w:szCs w:val="24"/>
        </w:rPr>
        <w:t xml:space="preserve"> for </w:t>
      </w:r>
      <w:r w:rsidRPr="005E55E4" w:rsidR="00B71EBF">
        <w:t>a computer programmer</w:t>
      </w:r>
      <w:r w:rsidRPr="005E55E4" w:rsidR="00E06360">
        <w:rPr>
          <w:rFonts w:cs="Times New Roman"/>
          <w:bCs/>
          <w:szCs w:val="24"/>
        </w:rPr>
        <w:t>).</w:t>
      </w:r>
    </w:p>
    <w:p w:rsidRPr="00E06360" w:rsidR="008529BF" w:rsidP="00AA10A1" w:rsidRDefault="008529BF" w14:paraId="4885D0A2" w14:textId="77777777">
      <w:pPr>
        <w:spacing w:after="0" w:line="240" w:lineRule="auto"/>
        <w:ind w:left="1152"/>
        <w:rPr>
          <w:rFonts w:cs="Times New Roman"/>
          <w:szCs w:val="24"/>
        </w:rPr>
      </w:pPr>
    </w:p>
    <w:p w:rsidRPr="00223FCC" w:rsidR="00E54FE9" w:rsidP="004B74CC" w:rsidRDefault="00E54FE9" w14:paraId="32138417" w14:textId="4A2F98F6">
      <w:pPr>
        <w:spacing w:after="0" w:line="240" w:lineRule="auto"/>
      </w:pPr>
      <w:r>
        <w:t xml:space="preserve">The Metrics Template becomes the Metric Workbook after States enter respective data and submit it via PMDA.  </w:t>
      </w:r>
      <w:r w:rsidR="00FB17C9">
        <w:t>Therefore, w</w:t>
      </w:r>
      <w:r>
        <w:t>e don’t expect any additional burden association with the Workbook.</w:t>
      </w:r>
    </w:p>
    <w:p w:rsidR="004E5356" w:rsidP="00E016CC" w:rsidRDefault="004E5356" w14:paraId="67A639BD" w14:textId="6FFC1A70">
      <w:pPr>
        <w:pStyle w:val="NormalSS"/>
        <w:spacing w:after="0"/>
        <w:ind w:firstLine="0"/>
        <w:rPr>
          <w:szCs w:val="24"/>
        </w:rPr>
      </w:pPr>
    </w:p>
    <w:p w:rsidRPr="00820A25" w:rsidR="00D062B3" w:rsidP="00D062B3" w:rsidRDefault="00D062B3" w14:paraId="571321B3" w14:textId="142A92B1">
      <w:pPr>
        <w:pStyle w:val="Default"/>
        <w:numPr>
          <w:ilvl w:val="0"/>
          <w:numId w:val="7"/>
        </w:numPr>
        <w:rPr>
          <w:rFonts w:eastAsiaTheme="minorHAnsi"/>
          <w:u w:val="single"/>
        </w:rPr>
      </w:pPr>
      <w:bookmarkStart w:name="_Hlk36458413" w:id="9"/>
      <w:r w:rsidRPr="00820A25">
        <w:rPr>
          <w:u w:val="single"/>
        </w:rPr>
        <w:t>The Medicaid Section 1115 SMI</w:t>
      </w:r>
      <w:r w:rsidR="00D32843">
        <w:rPr>
          <w:u w:val="single"/>
        </w:rPr>
        <w:t>/SED</w:t>
      </w:r>
      <w:r w:rsidRPr="00820A25">
        <w:rPr>
          <w:u w:val="single"/>
        </w:rPr>
        <w:t xml:space="preserve"> Current Availability Assessment</w:t>
      </w:r>
    </w:p>
    <w:bookmarkEnd w:id="9"/>
    <w:p w:rsidR="00D062B3" w:rsidP="00D062B3" w:rsidRDefault="00D062B3" w14:paraId="4FD58D7C" w14:textId="10E90936">
      <w:pPr>
        <w:pStyle w:val="NormalSS"/>
        <w:spacing w:after="0"/>
        <w:ind w:left="90" w:firstLine="0"/>
        <w:rPr>
          <w:szCs w:val="24"/>
        </w:rPr>
      </w:pPr>
    </w:p>
    <w:p w:rsidR="003B4951" w:rsidP="00820A25" w:rsidRDefault="00D01880" w14:paraId="7DF5AE80" w14:textId="2A1972CA">
      <w:pPr>
        <w:pStyle w:val="NormalSS"/>
        <w:spacing w:after="0"/>
        <w:ind w:firstLine="0"/>
        <w:rPr>
          <w:szCs w:val="24"/>
        </w:rPr>
      </w:pPr>
      <w:r w:rsidRPr="002505D2">
        <w:rPr>
          <w:szCs w:val="24"/>
        </w:rPr>
        <w:t>This assessment is s</w:t>
      </w:r>
      <w:r w:rsidRPr="002505D2" w:rsidR="003B4951">
        <w:rPr>
          <w:szCs w:val="24"/>
        </w:rPr>
        <w:t xml:space="preserve">ubmitted </w:t>
      </w:r>
      <w:r w:rsidRPr="002505D2" w:rsidR="00820A25">
        <w:rPr>
          <w:szCs w:val="24"/>
        </w:rPr>
        <w:t xml:space="preserve">once </w:t>
      </w:r>
      <w:r w:rsidR="00D32843">
        <w:rPr>
          <w:szCs w:val="24"/>
        </w:rPr>
        <w:t xml:space="preserve">a </w:t>
      </w:r>
      <w:r w:rsidRPr="002505D2" w:rsidR="00820A25">
        <w:rPr>
          <w:szCs w:val="24"/>
        </w:rPr>
        <w:t>year</w:t>
      </w:r>
      <w:r w:rsidR="00D32843">
        <w:rPr>
          <w:szCs w:val="24"/>
        </w:rPr>
        <w:t xml:space="preserve"> along </w:t>
      </w:r>
      <w:r w:rsidRPr="002505D2" w:rsidR="003B4951">
        <w:rPr>
          <w:szCs w:val="24"/>
        </w:rPr>
        <w:t>with the annual reports</w:t>
      </w:r>
      <w:r w:rsidRPr="002505D2" w:rsidR="00820A25">
        <w:rPr>
          <w:szCs w:val="24"/>
        </w:rPr>
        <w:t>.</w:t>
      </w:r>
    </w:p>
    <w:p w:rsidR="00D062B3" w:rsidP="00E016CC" w:rsidRDefault="00D062B3" w14:paraId="4EA1A736" w14:textId="77777777">
      <w:pPr>
        <w:pStyle w:val="NormalSS"/>
        <w:spacing w:after="0"/>
        <w:ind w:firstLine="0"/>
        <w:rPr>
          <w:szCs w:val="24"/>
        </w:rPr>
      </w:pPr>
    </w:p>
    <w:p w:rsidRPr="007C2EEE" w:rsidR="007C2EEE" w:rsidP="00820A25" w:rsidRDefault="007C2EEE" w14:paraId="39CF67A0" w14:textId="79F3F47B">
      <w:pPr>
        <w:spacing w:after="0" w:line="240" w:lineRule="auto"/>
        <w:rPr>
          <w:szCs w:val="24"/>
        </w:rPr>
      </w:pPr>
      <w:r w:rsidRPr="007C2EEE">
        <w:rPr>
          <w:szCs w:val="24"/>
        </w:rPr>
        <w:t>Year 1</w:t>
      </w:r>
    </w:p>
    <w:p w:rsidRPr="007C2EEE" w:rsidR="007C2EEE" w:rsidP="00820A25" w:rsidRDefault="007C2EEE" w14:paraId="4771A1D0" w14:textId="77777777">
      <w:pPr>
        <w:spacing w:after="0" w:line="240" w:lineRule="auto"/>
        <w:rPr>
          <w:szCs w:val="24"/>
        </w:rPr>
      </w:pPr>
    </w:p>
    <w:p w:rsidR="00820A25" w:rsidP="00820A25" w:rsidRDefault="00087860" w14:paraId="219C9DAE" w14:textId="33990BE3">
      <w:pPr>
        <w:spacing w:after="0" w:line="240" w:lineRule="auto"/>
        <w:rPr>
          <w:szCs w:val="24"/>
        </w:rPr>
      </w:pPr>
      <w:r w:rsidRPr="009B1AE7">
        <w:rPr>
          <w:rFonts w:cs="Times New Roman"/>
          <w:bCs/>
          <w:szCs w:val="24"/>
        </w:rPr>
        <w:t xml:space="preserve">We estimate it would take 20 hours (per state) </w:t>
      </w:r>
      <w:r w:rsidRPr="009B1AE7" w:rsidR="007C2EEE">
        <w:rPr>
          <w:rFonts w:cs="Times New Roman"/>
          <w:bCs/>
          <w:szCs w:val="24"/>
        </w:rPr>
        <w:t xml:space="preserve">at </w:t>
      </w:r>
      <w:r w:rsidRPr="009B1AE7">
        <w:rPr>
          <w:rFonts w:cs="Times New Roman"/>
          <w:bCs/>
          <w:szCs w:val="24"/>
        </w:rPr>
        <w:t>$</w:t>
      </w:r>
      <w:r w:rsidRPr="009B1AE7" w:rsidR="00192823">
        <w:rPr>
          <w:rFonts w:cs="Times New Roman"/>
          <w:bCs/>
          <w:szCs w:val="24"/>
        </w:rPr>
        <w:t>110.74</w:t>
      </w:r>
      <w:r w:rsidRPr="009B1AE7">
        <w:rPr>
          <w:rFonts w:cs="Times New Roman"/>
          <w:bCs/>
          <w:szCs w:val="24"/>
        </w:rPr>
        <w:t xml:space="preserve">/hr for </w:t>
      </w:r>
      <w:r w:rsidRPr="009B1AE7" w:rsidR="007C2EEE">
        <w:rPr>
          <w:rFonts w:cs="Times New Roman"/>
          <w:bCs/>
          <w:szCs w:val="24"/>
        </w:rPr>
        <w:t xml:space="preserve">a health services manager </w:t>
      </w:r>
      <w:r w:rsidRPr="009B1AE7">
        <w:rPr>
          <w:rFonts w:cs="Times New Roman"/>
          <w:bCs/>
          <w:szCs w:val="24"/>
        </w:rPr>
        <w:t>to complete the availability assessment</w:t>
      </w:r>
      <w:r w:rsidRPr="009B1AE7" w:rsidR="007B674E">
        <w:rPr>
          <w:rFonts w:cs="Times New Roman"/>
          <w:bCs/>
          <w:szCs w:val="24"/>
        </w:rPr>
        <w:t xml:space="preserve"> and submit to PMDA</w:t>
      </w:r>
      <w:r w:rsidRPr="009B1AE7" w:rsidR="00820A25">
        <w:rPr>
          <w:szCs w:val="24"/>
        </w:rPr>
        <w:t xml:space="preserve">. </w:t>
      </w:r>
      <w:r w:rsidRPr="009B1AE7" w:rsidR="00820A25">
        <w:t>In aggregate</w:t>
      </w:r>
      <w:r w:rsidRPr="009B1AE7" w:rsidR="00820A25">
        <w:rPr>
          <w:szCs w:val="24"/>
        </w:rPr>
        <w:t>, we estimate a burden of 200 hours (10 states x 20 hr) at a cost of $</w:t>
      </w:r>
      <w:r w:rsidRPr="009B1AE7" w:rsidR="009B1AE7">
        <w:rPr>
          <w:szCs w:val="24"/>
        </w:rPr>
        <w:t>22</w:t>
      </w:r>
      <w:r w:rsidRPr="009B1AE7" w:rsidR="00825EF9">
        <w:rPr>
          <w:szCs w:val="24"/>
        </w:rPr>
        <w:t>,</w:t>
      </w:r>
      <w:r w:rsidRPr="009B1AE7" w:rsidR="009B1AE7">
        <w:rPr>
          <w:szCs w:val="24"/>
        </w:rPr>
        <w:t>148</w:t>
      </w:r>
      <w:r w:rsidRPr="009B1AE7" w:rsidR="00825EF9">
        <w:rPr>
          <w:szCs w:val="24"/>
        </w:rPr>
        <w:t xml:space="preserve"> </w:t>
      </w:r>
      <w:r w:rsidRPr="009B1AE7" w:rsidR="00820A25">
        <w:rPr>
          <w:szCs w:val="24"/>
        </w:rPr>
        <w:t>(</w:t>
      </w:r>
      <w:r w:rsidRPr="009B1AE7">
        <w:rPr>
          <w:szCs w:val="24"/>
        </w:rPr>
        <w:t>200</w:t>
      </w:r>
      <w:r w:rsidRPr="009B1AE7" w:rsidR="00820A25">
        <w:rPr>
          <w:szCs w:val="24"/>
        </w:rPr>
        <w:t xml:space="preserve"> </w:t>
      </w:r>
      <w:r w:rsidRPr="009B1AE7" w:rsidR="00C10B2E">
        <w:rPr>
          <w:szCs w:val="24"/>
        </w:rPr>
        <w:t>hr</w:t>
      </w:r>
      <w:r w:rsidRPr="009B1AE7" w:rsidR="00820A25">
        <w:rPr>
          <w:szCs w:val="24"/>
        </w:rPr>
        <w:t xml:space="preserve"> x </w:t>
      </w:r>
      <w:r w:rsidRPr="009B1AE7" w:rsidR="00820A25">
        <w:rPr>
          <w:rFonts w:cs="Times New Roman"/>
          <w:bCs/>
          <w:szCs w:val="24"/>
        </w:rPr>
        <w:t>$</w:t>
      </w:r>
      <w:r w:rsidRPr="009B1AE7" w:rsidR="00F57677">
        <w:rPr>
          <w:rFonts w:cs="Times New Roman"/>
          <w:bCs/>
          <w:szCs w:val="24"/>
        </w:rPr>
        <w:t>110.74</w:t>
      </w:r>
      <w:r w:rsidRPr="009B1AE7" w:rsidR="00820A25">
        <w:rPr>
          <w:rFonts w:cs="Times New Roman"/>
          <w:bCs/>
          <w:szCs w:val="24"/>
        </w:rPr>
        <w:t>/</w:t>
      </w:r>
      <w:r w:rsidRPr="009B1AE7" w:rsidR="00C10B2E">
        <w:rPr>
          <w:rFonts w:cs="Times New Roman"/>
          <w:bCs/>
          <w:szCs w:val="24"/>
        </w:rPr>
        <w:t>hr</w:t>
      </w:r>
      <w:r w:rsidRPr="009B1AE7" w:rsidR="00820A25">
        <w:rPr>
          <w:szCs w:val="24"/>
        </w:rPr>
        <w:t>).</w:t>
      </w:r>
    </w:p>
    <w:p w:rsidR="00820A25" w:rsidP="00820A25" w:rsidRDefault="00820A25" w14:paraId="64DA7897" w14:textId="77777777">
      <w:pPr>
        <w:spacing w:after="0" w:line="240" w:lineRule="auto"/>
        <w:rPr>
          <w:szCs w:val="24"/>
        </w:rPr>
      </w:pPr>
    </w:p>
    <w:p w:rsidRPr="006977B5" w:rsidR="006977B5" w:rsidP="00825EF9" w:rsidRDefault="006977B5" w14:paraId="42252362" w14:textId="64914A56">
      <w:pPr>
        <w:spacing w:after="0" w:line="240" w:lineRule="auto"/>
        <w:rPr>
          <w:szCs w:val="24"/>
        </w:rPr>
      </w:pPr>
      <w:r>
        <w:rPr>
          <w:szCs w:val="24"/>
        </w:rPr>
        <w:t>Subsequent Years</w:t>
      </w:r>
    </w:p>
    <w:p w:rsidR="006977B5" w:rsidP="00825EF9" w:rsidRDefault="006977B5" w14:paraId="08362BA9" w14:textId="77777777">
      <w:pPr>
        <w:spacing w:after="0" w:line="240" w:lineRule="auto"/>
        <w:rPr>
          <w:szCs w:val="24"/>
        </w:rPr>
      </w:pPr>
    </w:p>
    <w:p w:rsidR="00825EF9" w:rsidP="00825EF9" w:rsidRDefault="00483F20" w14:paraId="706106A6" w14:textId="0FF382BF">
      <w:pPr>
        <w:spacing w:after="0" w:line="240" w:lineRule="auto"/>
        <w:rPr>
          <w:szCs w:val="24"/>
        </w:rPr>
      </w:pPr>
      <w:r w:rsidRPr="00540389">
        <w:rPr>
          <w:szCs w:val="24"/>
        </w:rPr>
        <w:lastRenderedPageBreak/>
        <w:t xml:space="preserve">We estimate it would take </w:t>
      </w:r>
      <w:r w:rsidRPr="00540389" w:rsidR="00820A25">
        <w:rPr>
          <w:szCs w:val="24"/>
        </w:rPr>
        <w:t>8 hours per state, in view that states will know where to collect all the necessary data for the assessment. In aggregate</w:t>
      </w:r>
      <w:r w:rsidRPr="00540389" w:rsidR="00087860">
        <w:rPr>
          <w:szCs w:val="24"/>
        </w:rPr>
        <w:t>,</w:t>
      </w:r>
      <w:r w:rsidRPr="00540389" w:rsidR="00820A25">
        <w:rPr>
          <w:szCs w:val="24"/>
        </w:rPr>
        <w:t xml:space="preserve"> we estimate a burden of 80 hours (10 states x 8 </w:t>
      </w:r>
      <w:r w:rsidRPr="00540389" w:rsidR="00C10B2E">
        <w:rPr>
          <w:szCs w:val="24"/>
        </w:rPr>
        <w:t>hr</w:t>
      </w:r>
      <w:r w:rsidRPr="00540389" w:rsidR="00820A25">
        <w:rPr>
          <w:szCs w:val="24"/>
        </w:rPr>
        <w:t xml:space="preserve">) at a cost of </w:t>
      </w:r>
      <w:r w:rsidRPr="00540389" w:rsidR="00825EF9">
        <w:rPr>
          <w:szCs w:val="24"/>
        </w:rPr>
        <w:t>$8,</w:t>
      </w:r>
      <w:r w:rsidRPr="00540389" w:rsidR="009B1AE7">
        <w:rPr>
          <w:szCs w:val="24"/>
        </w:rPr>
        <w:t>859</w:t>
      </w:r>
      <w:r w:rsidRPr="00540389" w:rsidR="00825EF9">
        <w:rPr>
          <w:szCs w:val="24"/>
        </w:rPr>
        <w:t xml:space="preserve"> (80 </w:t>
      </w:r>
      <w:r w:rsidRPr="00540389" w:rsidR="00C10B2E">
        <w:rPr>
          <w:szCs w:val="24"/>
        </w:rPr>
        <w:t>hr</w:t>
      </w:r>
      <w:r w:rsidRPr="00540389" w:rsidR="00825EF9">
        <w:rPr>
          <w:szCs w:val="24"/>
        </w:rPr>
        <w:t xml:space="preserve"> x </w:t>
      </w:r>
      <w:r w:rsidRPr="00540389" w:rsidR="00825EF9">
        <w:rPr>
          <w:rFonts w:cs="Times New Roman"/>
          <w:bCs/>
          <w:szCs w:val="24"/>
        </w:rPr>
        <w:t>$</w:t>
      </w:r>
      <w:r w:rsidRPr="00540389" w:rsidR="00F57677">
        <w:rPr>
          <w:rFonts w:cs="Times New Roman"/>
          <w:bCs/>
          <w:szCs w:val="24"/>
        </w:rPr>
        <w:t>110.74</w:t>
      </w:r>
      <w:r w:rsidRPr="00540389" w:rsidR="00825EF9">
        <w:rPr>
          <w:rFonts w:cs="Times New Roman"/>
          <w:bCs/>
          <w:szCs w:val="24"/>
        </w:rPr>
        <w:t>/</w:t>
      </w:r>
      <w:r w:rsidRPr="00540389" w:rsidR="00C10B2E">
        <w:rPr>
          <w:rFonts w:cs="Times New Roman"/>
          <w:bCs/>
          <w:szCs w:val="24"/>
        </w:rPr>
        <w:t>hr</w:t>
      </w:r>
      <w:r w:rsidRPr="00540389" w:rsidR="00825EF9">
        <w:rPr>
          <w:szCs w:val="24"/>
        </w:rPr>
        <w:t>).</w:t>
      </w:r>
    </w:p>
    <w:p w:rsidR="00483F20" w:rsidP="00825EF9" w:rsidRDefault="00483F20" w14:paraId="609D3D01" w14:textId="77777777">
      <w:pPr>
        <w:spacing w:after="0" w:line="240" w:lineRule="auto"/>
        <w:rPr>
          <w:szCs w:val="24"/>
        </w:rPr>
      </w:pPr>
    </w:p>
    <w:p w:rsidRPr="00E016CC" w:rsidR="004E5356" w:rsidP="0088327A" w:rsidRDefault="004E5356" w14:paraId="358F40F6" w14:textId="4BC125B9">
      <w:pPr>
        <w:pStyle w:val="NormalSS"/>
        <w:numPr>
          <w:ilvl w:val="0"/>
          <w:numId w:val="7"/>
        </w:numPr>
        <w:spacing w:after="0"/>
      </w:pPr>
      <w:r w:rsidRPr="00E016CC">
        <w:rPr>
          <w:u w:val="single"/>
        </w:rPr>
        <w:t>PMDA</w:t>
      </w:r>
      <w:r w:rsidRPr="00E016CC" w:rsidR="00772992">
        <w:rPr>
          <w:u w:val="single"/>
        </w:rPr>
        <w:t xml:space="preserve"> </w:t>
      </w:r>
      <w:r w:rsidR="00772992">
        <w:rPr>
          <w:szCs w:val="24"/>
          <w:u w:val="single"/>
        </w:rPr>
        <w:t>and Instruction Videos</w:t>
      </w:r>
    </w:p>
    <w:p w:rsidRPr="00223FCC" w:rsidR="004E5356" w:rsidP="00E016CC" w:rsidRDefault="004E5356" w14:paraId="425943BA" w14:textId="77777777">
      <w:pPr>
        <w:pStyle w:val="NormalSS"/>
        <w:spacing w:after="0"/>
        <w:ind w:firstLine="0"/>
      </w:pPr>
    </w:p>
    <w:p w:rsidRPr="001A1E14" w:rsidR="001A1E14" w:rsidP="00736F77" w:rsidRDefault="00736F77" w14:paraId="79C5A665" w14:textId="77777777">
      <w:pPr>
        <w:pStyle w:val="ListParagraph"/>
        <w:autoSpaceDE w:val="0"/>
        <w:autoSpaceDN w:val="0"/>
        <w:spacing w:after="0" w:line="240" w:lineRule="auto"/>
        <w:ind w:left="0" w:right="90"/>
        <w:rPr>
          <w:rFonts w:ascii="Times New Roman" w:hAnsi="Times New Roman"/>
          <w:sz w:val="24"/>
          <w:szCs w:val="24"/>
        </w:rPr>
      </w:pPr>
      <w:r w:rsidRPr="001A1E14">
        <w:rPr>
          <w:rFonts w:ascii="Times New Roman" w:hAnsi="Times New Roman"/>
          <w:sz w:val="24"/>
          <w:szCs w:val="24"/>
        </w:rPr>
        <w:t xml:space="preserve">We expect states to submit via PMDA their respective </w:t>
      </w:r>
      <w:r w:rsidRPr="001A1E14" w:rsidR="00435652">
        <w:rPr>
          <w:rFonts w:ascii="Times New Roman" w:hAnsi="Times New Roman"/>
          <w:color w:val="000000"/>
          <w:sz w:val="24"/>
          <w:szCs w:val="24"/>
        </w:rPr>
        <w:t xml:space="preserve">Medicaid Section 1115 </w:t>
      </w:r>
      <w:r w:rsidRPr="001A1E14" w:rsidR="00D062B3">
        <w:rPr>
          <w:rFonts w:ascii="Times New Roman" w:hAnsi="Times New Roman"/>
          <w:color w:val="000000"/>
          <w:sz w:val="24"/>
          <w:szCs w:val="24"/>
        </w:rPr>
        <w:t>SMI</w:t>
      </w:r>
      <w:r w:rsidRPr="001A1E14" w:rsidR="00435652">
        <w:rPr>
          <w:rFonts w:ascii="Times New Roman" w:hAnsi="Times New Roman"/>
          <w:sz w:val="24"/>
          <w:szCs w:val="24"/>
        </w:rPr>
        <w:t xml:space="preserve"> </w:t>
      </w:r>
      <w:r w:rsidRPr="001A1E14" w:rsidR="00D37480">
        <w:rPr>
          <w:rFonts w:ascii="Times New Roman" w:hAnsi="Times New Roman"/>
          <w:sz w:val="24"/>
          <w:szCs w:val="24"/>
        </w:rPr>
        <w:t>implementatio</w:t>
      </w:r>
      <w:r w:rsidRPr="001A1E14" w:rsidR="00D062B3">
        <w:rPr>
          <w:rFonts w:ascii="Times New Roman" w:hAnsi="Times New Roman"/>
          <w:sz w:val="24"/>
          <w:szCs w:val="24"/>
        </w:rPr>
        <w:t xml:space="preserve">n plan, monitoring protocol, </w:t>
      </w:r>
      <w:r w:rsidRPr="001A1E14">
        <w:rPr>
          <w:rFonts w:ascii="Times New Roman" w:hAnsi="Times New Roman"/>
          <w:sz w:val="24"/>
          <w:szCs w:val="24"/>
        </w:rPr>
        <w:t>quarterly and annual reports</w:t>
      </w:r>
      <w:r w:rsidRPr="001A1E14" w:rsidR="00D37480">
        <w:rPr>
          <w:rFonts w:ascii="Times New Roman" w:hAnsi="Times New Roman"/>
          <w:sz w:val="24"/>
          <w:szCs w:val="24"/>
        </w:rPr>
        <w:t xml:space="preserve"> (here forward referred to as ’monitoring documents’</w:t>
      </w:r>
      <w:r w:rsidRPr="001A1E14" w:rsidR="00D062B3">
        <w:rPr>
          <w:rFonts w:ascii="Times New Roman" w:hAnsi="Times New Roman"/>
          <w:sz w:val="24"/>
          <w:szCs w:val="24"/>
        </w:rPr>
        <w:t xml:space="preserve"> and the current availability assessment reports</w:t>
      </w:r>
      <w:r w:rsidRPr="001A1E14" w:rsidR="00D37480">
        <w:rPr>
          <w:rFonts w:ascii="Times New Roman" w:hAnsi="Times New Roman"/>
          <w:sz w:val="24"/>
          <w:szCs w:val="24"/>
        </w:rPr>
        <w:t>.  T</w:t>
      </w:r>
      <w:r w:rsidRPr="001A1E14">
        <w:rPr>
          <w:rFonts w:ascii="Times New Roman" w:hAnsi="Times New Roman"/>
          <w:sz w:val="24"/>
          <w:szCs w:val="24"/>
        </w:rPr>
        <w:t>he 4</w:t>
      </w:r>
      <w:r w:rsidRPr="001A1E14">
        <w:rPr>
          <w:rFonts w:ascii="Times New Roman" w:hAnsi="Times New Roman"/>
          <w:sz w:val="24"/>
          <w:szCs w:val="24"/>
          <w:vertAlign w:val="superscript"/>
        </w:rPr>
        <w:t>th</w:t>
      </w:r>
      <w:r w:rsidRPr="001A1E14">
        <w:rPr>
          <w:rFonts w:ascii="Times New Roman" w:hAnsi="Times New Roman"/>
          <w:sz w:val="24"/>
          <w:szCs w:val="24"/>
        </w:rPr>
        <w:t xml:space="preserve"> quarter report may be included in the annual report. We expect to maintain the same number of reports.  </w:t>
      </w:r>
    </w:p>
    <w:p w:rsidRPr="001A1E14" w:rsidR="001A1E14" w:rsidP="00736F77" w:rsidRDefault="001A1E14" w14:paraId="650F63C3" w14:textId="77777777">
      <w:pPr>
        <w:pStyle w:val="ListParagraph"/>
        <w:autoSpaceDE w:val="0"/>
        <w:autoSpaceDN w:val="0"/>
        <w:spacing w:after="0" w:line="240" w:lineRule="auto"/>
        <w:ind w:left="0" w:right="90"/>
        <w:rPr>
          <w:rFonts w:ascii="Times New Roman" w:hAnsi="Times New Roman"/>
          <w:sz w:val="24"/>
          <w:szCs w:val="24"/>
        </w:rPr>
      </w:pPr>
    </w:p>
    <w:p w:rsidRPr="001A1E14" w:rsidR="00736F77" w:rsidP="00736F77" w:rsidRDefault="00736F77" w14:paraId="6391737A" w14:textId="4FD62327">
      <w:pPr>
        <w:pStyle w:val="ListParagraph"/>
        <w:autoSpaceDE w:val="0"/>
        <w:autoSpaceDN w:val="0"/>
        <w:spacing w:after="0" w:line="240" w:lineRule="auto"/>
        <w:ind w:left="0" w:right="90"/>
        <w:rPr>
          <w:rFonts w:ascii="Times New Roman" w:hAnsi="Times New Roman"/>
          <w:sz w:val="24"/>
          <w:szCs w:val="24"/>
        </w:rPr>
      </w:pPr>
      <w:r w:rsidRPr="001A1E14">
        <w:rPr>
          <w:rFonts w:ascii="Times New Roman" w:hAnsi="Times New Roman"/>
          <w:sz w:val="24"/>
          <w:szCs w:val="24"/>
        </w:rPr>
        <w:t xml:space="preserve">No statistical methods are employed in information collection and in addition, the quarterly and annual reporting data fields are not duplicating any other collections. </w:t>
      </w:r>
    </w:p>
    <w:p w:rsidRPr="001A1E14" w:rsidR="009333CB" w:rsidP="00E016CC" w:rsidRDefault="009333CB" w14:paraId="25B90187" w14:textId="77777777">
      <w:pPr>
        <w:spacing w:after="0" w:line="240" w:lineRule="auto"/>
      </w:pPr>
    </w:p>
    <w:p w:rsidRPr="00472269" w:rsidR="009333CB" w:rsidP="009333CB" w:rsidRDefault="009333CB" w14:paraId="457C5C14" w14:textId="21CDFFDB">
      <w:pPr>
        <w:pStyle w:val="ListParagraph"/>
        <w:autoSpaceDE w:val="0"/>
        <w:autoSpaceDN w:val="0"/>
        <w:spacing w:after="0" w:line="240" w:lineRule="auto"/>
        <w:ind w:left="0" w:right="90"/>
        <w:rPr>
          <w:rFonts w:ascii="Times New Roman" w:hAnsi="Times New Roman"/>
          <w:sz w:val="24"/>
          <w:szCs w:val="24"/>
        </w:rPr>
      </w:pPr>
      <w:r w:rsidRPr="001A1E14">
        <w:rPr>
          <w:rFonts w:ascii="Times New Roman" w:hAnsi="Times New Roman"/>
          <w:sz w:val="24"/>
          <w:szCs w:val="24"/>
        </w:rPr>
        <w:t xml:space="preserve">We expect the </w:t>
      </w:r>
      <w:r w:rsidRPr="001A1E14" w:rsidR="004E5356">
        <w:rPr>
          <w:rFonts w:ascii="Times New Roman" w:hAnsi="Times New Roman"/>
          <w:sz w:val="24"/>
          <w:szCs w:val="24"/>
        </w:rPr>
        <w:t xml:space="preserve">time </w:t>
      </w:r>
      <w:r w:rsidRPr="001A1E14">
        <w:rPr>
          <w:rFonts w:ascii="Times New Roman" w:hAnsi="Times New Roman"/>
          <w:sz w:val="24"/>
          <w:szCs w:val="24"/>
        </w:rPr>
        <w:t xml:space="preserve">for each state to complete the submission of the </w:t>
      </w:r>
      <w:r w:rsidRPr="001A1E14" w:rsidR="00435652">
        <w:rPr>
          <w:rFonts w:ascii="Times New Roman" w:hAnsi="Times New Roman"/>
          <w:color w:val="000000"/>
          <w:sz w:val="24"/>
          <w:szCs w:val="24"/>
        </w:rPr>
        <w:t xml:space="preserve">Medicaid Section 1115 </w:t>
      </w:r>
      <w:r w:rsidRPr="001A1E14" w:rsidR="00D062B3">
        <w:rPr>
          <w:rFonts w:ascii="Times New Roman" w:hAnsi="Times New Roman"/>
          <w:color w:val="000000"/>
          <w:sz w:val="24"/>
          <w:szCs w:val="24"/>
        </w:rPr>
        <w:t>SMI</w:t>
      </w:r>
      <w:r w:rsidRPr="001A1E14" w:rsidR="00435652">
        <w:rPr>
          <w:rFonts w:ascii="Times New Roman" w:hAnsi="Times New Roman"/>
          <w:sz w:val="24"/>
          <w:szCs w:val="24"/>
        </w:rPr>
        <w:t xml:space="preserve"> </w:t>
      </w:r>
      <w:r w:rsidRPr="001A1E14">
        <w:rPr>
          <w:rFonts w:ascii="Times New Roman" w:hAnsi="Times New Roman"/>
          <w:sz w:val="24"/>
          <w:szCs w:val="24"/>
        </w:rPr>
        <w:t>monitoring documents via PMDA to be the same or similar to the time it takes today for states to submit other deliverables and each state may approximately spend 3 to 5 minutes per submission.</w:t>
      </w:r>
    </w:p>
    <w:p w:rsidRPr="00472269" w:rsidR="009333CB" w:rsidP="009333CB" w:rsidRDefault="009333CB" w14:paraId="4EE54268" w14:textId="77777777">
      <w:pPr>
        <w:pStyle w:val="ListParagraph"/>
        <w:autoSpaceDE w:val="0"/>
        <w:autoSpaceDN w:val="0"/>
        <w:spacing w:after="0" w:line="240" w:lineRule="auto"/>
        <w:ind w:left="0" w:right="90"/>
        <w:rPr>
          <w:i/>
          <w:sz w:val="24"/>
        </w:rPr>
      </w:pPr>
    </w:p>
    <w:p w:rsidRPr="00472269" w:rsidR="009333CB" w:rsidP="009333CB" w:rsidRDefault="009333CB" w14:paraId="4C317323" w14:textId="43D98E2C">
      <w:pPr>
        <w:pStyle w:val="BodyText"/>
        <w:spacing w:after="240"/>
        <w:rPr>
          <w:i w:val="0"/>
          <w:sz w:val="24"/>
        </w:rPr>
      </w:pPr>
      <w:r w:rsidRPr="00472269">
        <w:rPr>
          <w:i w:val="0"/>
          <w:sz w:val="24"/>
        </w:rPr>
        <w:t xml:space="preserve">Each state/territory with an approved </w:t>
      </w:r>
      <w:r w:rsidRPr="00435652" w:rsidR="00435652">
        <w:rPr>
          <w:i w:val="0"/>
          <w:color w:val="000000"/>
          <w:sz w:val="24"/>
          <w:szCs w:val="24"/>
        </w:rPr>
        <w:t xml:space="preserve">Medicaid Section 1115 </w:t>
      </w:r>
      <w:r w:rsidR="00D062B3">
        <w:rPr>
          <w:i w:val="0"/>
          <w:color w:val="000000"/>
          <w:sz w:val="24"/>
          <w:szCs w:val="24"/>
        </w:rPr>
        <w:t>SMI/SED</w:t>
      </w:r>
      <w:r w:rsidRPr="00472269" w:rsidR="00435652">
        <w:rPr>
          <w:i w:val="0"/>
          <w:sz w:val="24"/>
        </w:rPr>
        <w:t xml:space="preserve"> </w:t>
      </w:r>
      <w:r w:rsidRPr="00472269">
        <w:rPr>
          <w:i w:val="0"/>
          <w:sz w:val="24"/>
        </w:rPr>
        <w:t xml:space="preserve">demonstration will be required to complete and submit via PMDA the monitoring documents established by CMS, </w:t>
      </w:r>
      <w:r w:rsidRPr="00472269">
        <w:rPr>
          <w:i w:val="0"/>
          <w:sz w:val="24"/>
          <w:szCs w:val="24"/>
        </w:rPr>
        <w:t xml:space="preserve">aimed to support more efficient, timely and accurate review of states’ </w:t>
      </w:r>
      <w:r w:rsidRPr="00435652" w:rsidR="00435652">
        <w:rPr>
          <w:i w:val="0"/>
          <w:color w:val="000000"/>
          <w:sz w:val="24"/>
          <w:szCs w:val="24"/>
        </w:rPr>
        <w:t xml:space="preserve">Medicaid Section 1115 </w:t>
      </w:r>
      <w:r w:rsidR="00D062B3">
        <w:rPr>
          <w:i w:val="0"/>
          <w:color w:val="000000"/>
          <w:sz w:val="24"/>
          <w:szCs w:val="24"/>
        </w:rPr>
        <w:t xml:space="preserve">SMI/SED </w:t>
      </w:r>
      <w:r w:rsidRPr="00472269">
        <w:rPr>
          <w:i w:val="0"/>
          <w:sz w:val="24"/>
          <w:szCs w:val="24"/>
        </w:rPr>
        <w:t xml:space="preserve">demonstrations monitoring </w:t>
      </w:r>
      <w:r w:rsidR="00D37480">
        <w:rPr>
          <w:i w:val="0"/>
          <w:sz w:val="24"/>
          <w:szCs w:val="24"/>
        </w:rPr>
        <w:t xml:space="preserve">document </w:t>
      </w:r>
      <w:r w:rsidRPr="00472269">
        <w:rPr>
          <w:i w:val="0"/>
          <w:sz w:val="24"/>
          <w:szCs w:val="24"/>
        </w:rPr>
        <w:t>s submissions.</w:t>
      </w:r>
      <w:r w:rsidRPr="00472269">
        <w:rPr>
          <w:i w:val="0"/>
          <w:sz w:val="24"/>
        </w:rPr>
        <w:t xml:space="preserve"> The burden is associated with submitting the </w:t>
      </w:r>
      <w:r w:rsidRPr="00435652" w:rsidR="00BE6E2E">
        <w:rPr>
          <w:i w:val="0"/>
          <w:color w:val="000000"/>
          <w:sz w:val="24"/>
          <w:szCs w:val="24"/>
        </w:rPr>
        <w:t xml:space="preserve">Medicaid Section 1115 </w:t>
      </w:r>
      <w:r w:rsidR="00D062B3">
        <w:rPr>
          <w:i w:val="0"/>
          <w:color w:val="000000"/>
          <w:sz w:val="24"/>
          <w:szCs w:val="24"/>
        </w:rPr>
        <w:t>SMI</w:t>
      </w:r>
      <w:r w:rsidRPr="00472269" w:rsidR="00BE6E2E">
        <w:rPr>
          <w:i w:val="0"/>
          <w:sz w:val="24"/>
        </w:rPr>
        <w:t xml:space="preserve"> </w:t>
      </w:r>
      <w:r w:rsidRPr="00472269">
        <w:rPr>
          <w:i w:val="0"/>
          <w:sz w:val="24"/>
        </w:rPr>
        <w:t>monitoring report protocol/templates/and metrics provided to states/territories by CMS to assist in this</w:t>
      </w:r>
      <w:r w:rsidRPr="00472269">
        <w:rPr>
          <w:i w:val="0"/>
          <w:spacing w:val="15"/>
          <w:sz w:val="24"/>
        </w:rPr>
        <w:t xml:space="preserve"> </w:t>
      </w:r>
      <w:r w:rsidRPr="00472269">
        <w:rPr>
          <w:i w:val="0"/>
          <w:sz w:val="24"/>
        </w:rPr>
        <w:t>effort, as well as the burden related to states viewing as necessary any instructions</w:t>
      </w:r>
      <w:r w:rsidR="004E5356">
        <w:rPr>
          <w:i w:val="0"/>
          <w:sz w:val="24"/>
        </w:rPr>
        <w:t>.</w:t>
      </w:r>
    </w:p>
    <w:p w:rsidRPr="00F47769" w:rsidR="00E93FBA" w:rsidP="00421E04" w:rsidRDefault="009333CB" w14:paraId="687EFFD3" w14:textId="7DB1A259">
      <w:pPr>
        <w:pStyle w:val="BodyText"/>
        <w:rPr>
          <w:i w:val="0"/>
          <w:sz w:val="24"/>
        </w:rPr>
      </w:pPr>
      <w:r w:rsidRPr="005113A0">
        <w:rPr>
          <w:i w:val="0"/>
          <w:sz w:val="24"/>
        </w:rPr>
        <w:t xml:space="preserve">As mentioned above, each demonstration is estimated to need approximately 3 to 5 minutes </w:t>
      </w:r>
      <w:r w:rsidRPr="005113A0" w:rsidR="00421E04">
        <w:rPr>
          <w:i w:val="0"/>
          <w:sz w:val="24"/>
        </w:rPr>
        <w:t xml:space="preserve">per submission </w:t>
      </w:r>
      <w:r w:rsidRPr="005113A0">
        <w:rPr>
          <w:i w:val="0"/>
          <w:sz w:val="24"/>
        </w:rPr>
        <w:t>quarterly/annually at $</w:t>
      </w:r>
      <w:r w:rsidRPr="005113A0" w:rsidR="00F57677">
        <w:rPr>
          <w:i w:val="0"/>
          <w:sz w:val="24"/>
        </w:rPr>
        <w:t>110.74</w:t>
      </w:r>
      <w:r w:rsidRPr="005113A0">
        <w:rPr>
          <w:i w:val="0"/>
          <w:sz w:val="24"/>
        </w:rPr>
        <w:t>/</w:t>
      </w:r>
      <w:r w:rsidRPr="005113A0" w:rsidR="00C10B2E">
        <w:rPr>
          <w:i w:val="0"/>
          <w:sz w:val="24"/>
        </w:rPr>
        <w:t>hr</w:t>
      </w:r>
      <w:r w:rsidRPr="005113A0">
        <w:rPr>
          <w:i w:val="0"/>
          <w:sz w:val="24"/>
        </w:rPr>
        <w:t xml:space="preserve"> for a Health Services Manager to submit via PMDA the necessary </w:t>
      </w:r>
      <w:r w:rsidRPr="005113A0" w:rsidR="00BE6E2E">
        <w:rPr>
          <w:i w:val="0"/>
          <w:color w:val="000000"/>
          <w:sz w:val="24"/>
          <w:szCs w:val="24"/>
        </w:rPr>
        <w:t xml:space="preserve">Medicaid Section 1115 </w:t>
      </w:r>
      <w:r w:rsidRPr="005113A0" w:rsidR="00D062B3">
        <w:rPr>
          <w:i w:val="0"/>
          <w:color w:val="000000"/>
          <w:sz w:val="24"/>
          <w:szCs w:val="24"/>
        </w:rPr>
        <w:t>SMI</w:t>
      </w:r>
      <w:r w:rsidRPr="005113A0" w:rsidR="00BE6E2E">
        <w:rPr>
          <w:i w:val="0"/>
          <w:sz w:val="24"/>
        </w:rPr>
        <w:t xml:space="preserve"> </w:t>
      </w:r>
      <w:r w:rsidRPr="005113A0" w:rsidR="00A64CD1">
        <w:rPr>
          <w:i w:val="0"/>
          <w:sz w:val="24"/>
        </w:rPr>
        <w:t xml:space="preserve">implementation plan and </w:t>
      </w:r>
      <w:r w:rsidRPr="005113A0">
        <w:rPr>
          <w:i w:val="0"/>
          <w:sz w:val="24"/>
        </w:rPr>
        <w:t xml:space="preserve">monitoring </w:t>
      </w:r>
      <w:r w:rsidRPr="005113A0" w:rsidR="00D37480">
        <w:rPr>
          <w:i w:val="0"/>
          <w:sz w:val="24"/>
        </w:rPr>
        <w:t>documents.</w:t>
      </w:r>
      <w:r w:rsidRPr="005113A0">
        <w:rPr>
          <w:i w:val="0"/>
          <w:sz w:val="24"/>
        </w:rPr>
        <w:t xml:space="preserve"> </w:t>
      </w:r>
      <w:r w:rsidRPr="005113A0" w:rsidR="000C2B1A">
        <w:rPr>
          <w:i w:val="0"/>
          <w:sz w:val="24"/>
        </w:rPr>
        <w:t xml:space="preserve">The burden is </w:t>
      </w:r>
      <w:r w:rsidRPr="005113A0" w:rsidR="004E5356">
        <w:rPr>
          <w:i w:val="0"/>
          <w:sz w:val="24"/>
        </w:rPr>
        <w:t>subsumed within the preceding estimates</w:t>
      </w:r>
      <w:r w:rsidRPr="005113A0" w:rsidR="00421E04">
        <w:rPr>
          <w:i w:val="0"/>
          <w:sz w:val="24"/>
        </w:rPr>
        <w:t xml:space="preserve"> for the Medicaid Section 1115 SMI/SED  Monitoring Protocol Template, the Medicaid Section 1115 SMI/SED Demonstration Monitoring Report Template, the Medicaid Section 1115 SMI/SED Monitoring Workbook/Planned Metrics, the Medicaid Section 1115 SMI/SED Current Availability Assessment</w:t>
      </w:r>
      <w:r w:rsidRPr="005113A0" w:rsidR="00E93FBA">
        <w:rPr>
          <w:i w:val="0"/>
          <w:sz w:val="24"/>
        </w:rPr>
        <w:t xml:space="preserve"> along with the time (</w:t>
      </w:r>
      <w:r w:rsidRPr="005113A0" w:rsidR="00FF463A">
        <w:rPr>
          <w:i w:val="0"/>
          <w:sz w:val="24"/>
        </w:rPr>
        <w:t xml:space="preserve">20 </w:t>
      </w:r>
      <w:r w:rsidRPr="005113A0" w:rsidR="00E93FBA">
        <w:rPr>
          <w:i w:val="0"/>
          <w:sz w:val="24"/>
        </w:rPr>
        <w:t>min) to review the “instructions” and watch the respective videos.</w:t>
      </w:r>
      <w:r w:rsidRPr="00E016CC" w:rsidR="00E93FBA">
        <w:t xml:space="preserve"> </w:t>
      </w:r>
    </w:p>
    <w:p w:rsidR="00C929B2" w:rsidP="004D521F" w:rsidRDefault="00C929B2" w14:paraId="52E47FA6" w14:textId="77777777">
      <w:pPr>
        <w:spacing w:after="0" w:line="240" w:lineRule="auto"/>
        <w:rPr>
          <w:i/>
        </w:rPr>
      </w:pPr>
    </w:p>
    <w:p w:rsidR="00490409" w:rsidP="004D521F" w:rsidRDefault="00490409" w14:paraId="4090A633" w14:textId="3205CB3D">
      <w:pPr>
        <w:spacing w:after="0" w:line="240" w:lineRule="auto"/>
        <w:rPr>
          <w:i/>
        </w:rPr>
      </w:pPr>
      <w:r w:rsidRPr="00490409">
        <w:rPr>
          <w:i/>
        </w:rPr>
        <w:t>Summary of Collection of Information Requirements and Burden Estimates</w:t>
      </w:r>
    </w:p>
    <w:p w:rsidRPr="00490409" w:rsidR="00A64CD1" w:rsidP="004D521F" w:rsidRDefault="00A64CD1" w14:paraId="39153011"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472269" w:rsidR="004D521F" w:rsidTr="00E071E1" w14:paraId="6437D505" w14:textId="77777777">
        <w:trPr>
          <w:trHeight w:val="800"/>
          <w:tblHeader/>
        </w:trPr>
        <w:tc>
          <w:tcPr>
            <w:tcW w:w="1530" w:type="dxa"/>
            <w:shd w:val="clear" w:color="auto" w:fill="auto"/>
          </w:tcPr>
          <w:p w:rsidRPr="00472269" w:rsidR="004D521F" w:rsidP="00165097" w:rsidRDefault="004D521F" w14:paraId="1EB59A59" w14:textId="77777777">
            <w:pPr>
              <w:spacing w:after="0" w:line="240" w:lineRule="auto"/>
              <w:jc w:val="center"/>
              <w:rPr>
                <w:b/>
                <w:sz w:val="20"/>
                <w:szCs w:val="20"/>
              </w:rPr>
            </w:pPr>
            <w:r w:rsidRPr="00472269">
              <w:rPr>
                <w:b/>
                <w:sz w:val="20"/>
                <w:szCs w:val="20"/>
              </w:rPr>
              <w:lastRenderedPageBreak/>
              <w:t>Requirement</w:t>
            </w:r>
          </w:p>
        </w:tc>
        <w:tc>
          <w:tcPr>
            <w:tcW w:w="1350" w:type="dxa"/>
            <w:shd w:val="clear" w:color="auto" w:fill="auto"/>
          </w:tcPr>
          <w:p w:rsidRPr="00472269" w:rsidR="004D521F" w:rsidP="00165097" w:rsidRDefault="00880774" w14:paraId="37EEFE82" w14:textId="2D835E81">
            <w:pPr>
              <w:spacing w:after="0" w:line="240" w:lineRule="auto"/>
              <w:jc w:val="center"/>
              <w:rPr>
                <w:b/>
                <w:sz w:val="20"/>
                <w:szCs w:val="20"/>
              </w:rPr>
            </w:pPr>
            <w:r>
              <w:rPr>
                <w:b/>
                <w:sz w:val="20"/>
                <w:szCs w:val="20"/>
              </w:rPr>
              <w:t xml:space="preserve">No. </w:t>
            </w:r>
            <w:r w:rsidRPr="00472269" w:rsidR="004D521F">
              <w:rPr>
                <w:b/>
                <w:sz w:val="20"/>
                <w:szCs w:val="20"/>
              </w:rPr>
              <w:t>Respondents</w:t>
            </w:r>
          </w:p>
        </w:tc>
        <w:tc>
          <w:tcPr>
            <w:tcW w:w="1530" w:type="dxa"/>
            <w:shd w:val="clear" w:color="auto" w:fill="auto"/>
          </w:tcPr>
          <w:p w:rsidRPr="00472269" w:rsidR="004D521F" w:rsidP="00165097" w:rsidRDefault="004D521F" w14:paraId="66A68137" w14:textId="77777777">
            <w:pPr>
              <w:spacing w:after="0" w:line="240" w:lineRule="auto"/>
              <w:jc w:val="center"/>
              <w:rPr>
                <w:b/>
                <w:sz w:val="20"/>
                <w:szCs w:val="20"/>
              </w:rPr>
            </w:pPr>
            <w:r w:rsidRPr="00472269">
              <w:rPr>
                <w:b/>
                <w:sz w:val="20"/>
                <w:szCs w:val="20"/>
              </w:rPr>
              <w:t>Total Responses</w:t>
            </w:r>
          </w:p>
        </w:tc>
        <w:tc>
          <w:tcPr>
            <w:tcW w:w="1350" w:type="dxa"/>
            <w:shd w:val="clear" w:color="auto" w:fill="auto"/>
          </w:tcPr>
          <w:p w:rsidRPr="00472269" w:rsidR="004D521F" w:rsidP="00165097" w:rsidRDefault="009C2C6E" w14:paraId="1CB7F978" w14:textId="6F8292A9">
            <w:pPr>
              <w:spacing w:after="0" w:line="240" w:lineRule="auto"/>
              <w:jc w:val="center"/>
              <w:rPr>
                <w:b/>
                <w:sz w:val="20"/>
                <w:szCs w:val="20"/>
              </w:rPr>
            </w:pPr>
            <w:r>
              <w:rPr>
                <w:b/>
                <w:sz w:val="20"/>
                <w:szCs w:val="20"/>
              </w:rPr>
              <w:t>Time</w:t>
            </w:r>
            <w:r w:rsidRPr="00472269" w:rsidR="004D521F">
              <w:rPr>
                <w:b/>
                <w:sz w:val="20"/>
                <w:szCs w:val="20"/>
              </w:rPr>
              <w:t xml:space="preserve"> per Response (</w:t>
            </w:r>
            <w:r w:rsidR="00490409">
              <w:rPr>
                <w:b/>
                <w:sz w:val="20"/>
                <w:szCs w:val="20"/>
              </w:rPr>
              <w:t>hours</w:t>
            </w:r>
            <w:r w:rsidRPr="00472269" w:rsidR="004D521F">
              <w:rPr>
                <w:b/>
                <w:sz w:val="20"/>
                <w:szCs w:val="20"/>
              </w:rPr>
              <w:t>)</w:t>
            </w:r>
          </w:p>
        </w:tc>
        <w:tc>
          <w:tcPr>
            <w:tcW w:w="1080" w:type="dxa"/>
          </w:tcPr>
          <w:p w:rsidRPr="00472269" w:rsidR="004D521F" w:rsidP="00165097" w:rsidRDefault="00880774" w14:paraId="58EA25F1" w14:textId="11EAC988">
            <w:pPr>
              <w:spacing w:after="0" w:line="240" w:lineRule="auto"/>
              <w:jc w:val="center"/>
              <w:rPr>
                <w:b/>
                <w:sz w:val="20"/>
                <w:szCs w:val="20"/>
              </w:rPr>
            </w:pPr>
            <w:r>
              <w:rPr>
                <w:b/>
                <w:sz w:val="20"/>
                <w:szCs w:val="20"/>
              </w:rPr>
              <w:t>Total Annual Time</w:t>
            </w:r>
            <w:r w:rsidRPr="00472269" w:rsidR="004D521F">
              <w:rPr>
                <w:b/>
                <w:sz w:val="20"/>
                <w:szCs w:val="20"/>
              </w:rPr>
              <w:t xml:space="preserve"> (hours)</w:t>
            </w:r>
          </w:p>
        </w:tc>
        <w:tc>
          <w:tcPr>
            <w:tcW w:w="1350" w:type="dxa"/>
          </w:tcPr>
          <w:p w:rsidRPr="00472269" w:rsidR="004D521F" w:rsidP="00F36490" w:rsidRDefault="004D521F" w14:paraId="29BE74FB" w14:textId="2C25E8F2">
            <w:pPr>
              <w:spacing w:after="0" w:line="240" w:lineRule="auto"/>
              <w:jc w:val="center"/>
              <w:rPr>
                <w:b/>
                <w:sz w:val="20"/>
                <w:szCs w:val="20"/>
              </w:rPr>
            </w:pPr>
            <w:r w:rsidRPr="00472269">
              <w:rPr>
                <w:b/>
                <w:sz w:val="20"/>
                <w:szCs w:val="20"/>
              </w:rPr>
              <w:t xml:space="preserve">Labor </w:t>
            </w:r>
            <w:r w:rsidR="00F36490">
              <w:rPr>
                <w:b/>
                <w:sz w:val="20"/>
                <w:szCs w:val="20"/>
              </w:rPr>
              <w:t>C</w:t>
            </w:r>
            <w:r w:rsidRPr="00472269">
              <w:rPr>
                <w:b/>
                <w:sz w:val="20"/>
                <w:szCs w:val="20"/>
              </w:rPr>
              <w:t>ost ($/hr)</w:t>
            </w:r>
          </w:p>
        </w:tc>
        <w:tc>
          <w:tcPr>
            <w:tcW w:w="1391" w:type="dxa"/>
            <w:shd w:val="clear" w:color="auto" w:fill="auto"/>
          </w:tcPr>
          <w:p w:rsidRPr="00472269" w:rsidR="004D521F" w:rsidP="00165097" w:rsidRDefault="004D521F" w14:paraId="0A9A8047" w14:textId="3031409B">
            <w:pPr>
              <w:spacing w:after="0" w:line="240" w:lineRule="auto"/>
              <w:jc w:val="center"/>
              <w:rPr>
                <w:b/>
                <w:sz w:val="20"/>
                <w:szCs w:val="20"/>
              </w:rPr>
            </w:pPr>
            <w:r w:rsidRPr="00472269">
              <w:rPr>
                <w:b/>
                <w:sz w:val="20"/>
                <w:szCs w:val="20"/>
              </w:rPr>
              <w:t xml:space="preserve">Total </w:t>
            </w:r>
            <w:r w:rsidR="009C2C6E">
              <w:rPr>
                <w:b/>
                <w:sz w:val="20"/>
                <w:szCs w:val="20"/>
              </w:rPr>
              <w:t xml:space="preserve">Annual </w:t>
            </w:r>
            <w:r w:rsidRPr="00472269">
              <w:rPr>
                <w:b/>
                <w:sz w:val="20"/>
                <w:szCs w:val="20"/>
              </w:rPr>
              <w:t>Cost ($)</w:t>
            </w:r>
          </w:p>
        </w:tc>
      </w:tr>
      <w:tr w:rsidRPr="00880774" w:rsidR="00794E0C" w:rsidTr="00E016CC" w14:paraId="505CFD8B" w14:textId="77777777">
        <w:trPr>
          <w:trHeight w:val="800"/>
          <w:tblHeader/>
        </w:trPr>
        <w:tc>
          <w:tcPr>
            <w:tcW w:w="1530" w:type="dxa"/>
            <w:shd w:val="clear" w:color="auto" w:fill="auto"/>
          </w:tcPr>
          <w:p w:rsidRPr="00880774" w:rsidR="00794E0C" w:rsidP="00E071E1" w:rsidRDefault="00D062B3" w14:paraId="08910441" w14:textId="30B64066">
            <w:pPr>
              <w:spacing w:after="0" w:line="240" w:lineRule="auto"/>
              <w:rPr>
                <w:sz w:val="20"/>
                <w:szCs w:val="20"/>
              </w:rPr>
            </w:pPr>
            <w:r>
              <w:rPr>
                <w:sz w:val="20"/>
                <w:szCs w:val="20"/>
              </w:rPr>
              <w:t>SMI</w:t>
            </w:r>
            <w:r w:rsidR="004915A3">
              <w:rPr>
                <w:sz w:val="20"/>
                <w:szCs w:val="20"/>
              </w:rPr>
              <w:t>/SED</w:t>
            </w:r>
            <w:r w:rsidRPr="00880774" w:rsidR="00214F31">
              <w:rPr>
                <w:sz w:val="20"/>
                <w:szCs w:val="20"/>
              </w:rPr>
              <w:t xml:space="preserve"> </w:t>
            </w:r>
            <w:r w:rsidRPr="00880774" w:rsidR="00794E0C">
              <w:rPr>
                <w:sz w:val="20"/>
                <w:szCs w:val="20"/>
              </w:rPr>
              <w:t>Implementation Plan</w:t>
            </w:r>
          </w:p>
        </w:tc>
        <w:tc>
          <w:tcPr>
            <w:tcW w:w="1350" w:type="dxa"/>
            <w:shd w:val="clear" w:color="auto" w:fill="auto"/>
          </w:tcPr>
          <w:p w:rsidRPr="00880774" w:rsidR="00794E0C" w:rsidP="00165097" w:rsidRDefault="00150689" w14:paraId="3E5CD880" w14:textId="2E7B2004">
            <w:pPr>
              <w:spacing w:after="0" w:line="240" w:lineRule="auto"/>
              <w:jc w:val="center"/>
              <w:rPr>
                <w:sz w:val="20"/>
              </w:rPr>
            </w:pPr>
            <w:r>
              <w:rPr>
                <w:sz w:val="20"/>
              </w:rPr>
              <w:t>10</w:t>
            </w:r>
          </w:p>
        </w:tc>
        <w:tc>
          <w:tcPr>
            <w:tcW w:w="1530" w:type="dxa"/>
            <w:shd w:val="clear" w:color="auto" w:fill="auto"/>
          </w:tcPr>
          <w:p w:rsidRPr="00880774" w:rsidR="00794E0C" w:rsidP="00165097" w:rsidRDefault="00794E0C" w14:paraId="0AEA8AC2" w14:textId="02391FD0">
            <w:pPr>
              <w:spacing w:after="0" w:line="240" w:lineRule="auto"/>
              <w:jc w:val="center"/>
              <w:rPr>
                <w:sz w:val="20"/>
              </w:rPr>
            </w:pPr>
            <w:r w:rsidRPr="00880774">
              <w:rPr>
                <w:sz w:val="20"/>
              </w:rPr>
              <w:t>10</w:t>
            </w:r>
          </w:p>
        </w:tc>
        <w:tc>
          <w:tcPr>
            <w:tcW w:w="1350" w:type="dxa"/>
            <w:shd w:val="clear" w:color="auto" w:fill="auto"/>
          </w:tcPr>
          <w:p w:rsidRPr="00880774" w:rsidR="00794E0C" w:rsidP="00165097" w:rsidRDefault="00794E0C" w14:paraId="62D9E94D" w14:textId="64860DBB">
            <w:pPr>
              <w:spacing w:after="0" w:line="240" w:lineRule="auto"/>
              <w:jc w:val="center"/>
              <w:rPr>
                <w:sz w:val="20"/>
                <w:szCs w:val="20"/>
              </w:rPr>
            </w:pPr>
            <w:r w:rsidRPr="00880774">
              <w:rPr>
                <w:sz w:val="20"/>
                <w:szCs w:val="20"/>
              </w:rPr>
              <w:t>20</w:t>
            </w:r>
          </w:p>
        </w:tc>
        <w:tc>
          <w:tcPr>
            <w:tcW w:w="1080" w:type="dxa"/>
          </w:tcPr>
          <w:p w:rsidRPr="00880774" w:rsidR="00794E0C" w:rsidP="00165097" w:rsidRDefault="00794E0C" w14:paraId="5CD80AFC" w14:textId="05C9AE5C">
            <w:pPr>
              <w:spacing w:after="0" w:line="240" w:lineRule="auto"/>
              <w:jc w:val="center"/>
              <w:rPr>
                <w:sz w:val="20"/>
                <w:szCs w:val="20"/>
              </w:rPr>
            </w:pPr>
            <w:r w:rsidRPr="00880774">
              <w:rPr>
                <w:sz w:val="20"/>
                <w:szCs w:val="20"/>
              </w:rPr>
              <w:t>200</w:t>
            </w:r>
          </w:p>
        </w:tc>
        <w:tc>
          <w:tcPr>
            <w:tcW w:w="1350" w:type="dxa"/>
          </w:tcPr>
          <w:p w:rsidRPr="00880774" w:rsidR="00794E0C" w:rsidP="00C4370B" w:rsidRDefault="00C4370B" w14:paraId="672A417B" w14:textId="36576E0F">
            <w:pPr>
              <w:spacing w:after="0" w:line="240" w:lineRule="auto"/>
              <w:jc w:val="center"/>
              <w:rPr>
                <w:sz w:val="20"/>
                <w:szCs w:val="20"/>
              </w:rPr>
            </w:pPr>
            <w:r>
              <w:rPr>
                <w:sz w:val="20"/>
                <w:szCs w:val="20"/>
              </w:rPr>
              <w:t>Varies (</w:t>
            </w:r>
            <w:r w:rsidR="00F57677">
              <w:rPr>
                <w:sz w:val="20"/>
                <w:szCs w:val="20"/>
              </w:rPr>
              <w:t>89.06</w:t>
            </w:r>
            <w:r>
              <w:rPr>
                <w:sz w:val="20"/>
                <w:szCs w:val="20"/>
              </w:rPr>
              <w:t xml:space="preserve"> and </w:t>
            </w:r>
            <w:r w:rsidR="00F57677">
              <w:rPr>
                <w:sz w:val="20"/>
                <w:szCs w:val="20"/>
              </w:rPr>
              <w:t>110.74</w:t>
            </w:r>
            <w:r>
              <w:rPr>
                <w:sz w:val="20"/>
                <w:szCs w:val="20"/>
              </w:rPr>
              <w:t>)</w:t>
            </w:r>
          </w:p>
        </w:tc>
        <w:tc>
          <w:tcPr>
            <w:tcW w:w="1391" w:type="dxa"/>
            <w:shd w:val="clear" w:color="auto" w:fill="auto"/>
          </w:tcPr>
          <w:p w:rsidRPr="00880774" w:rsidR="00794E0C" w:rsidP="00C4370B" w:rsidRDefault="006638FA" w14:paraId="5B1F0704" w14:textId="79B776FD">
            <w:pPr>
              <w:spacing w:after="0" w:line="240" w:lineRule="auto"/>
              <w:jc w:val="center"/>
              <w:rPr>
                <w:sz w:val="20"/>
                <w:szCs w:val="20"/>
              </w:rPr>
            </w:pPr>
            <w:r>
              <w:rPr>
                <w:sz w:val="20"/>
                <w:szCs w:val="20"/>
              </w:rPr>
              <w:t>20,</w:t>
            </w:r>
            <w:r w:rsidR="009B64FB">
              <w:rPr>
                <w:sz w:val="20"/>
                <w:szCs w:val="20"/>
              </w:rPr>
              <w:t>414</w:t>
            </w:r>
          </w:p>
        </w:tc>
      </w:tr>
      <w:tr w:rsidRPr="00880774" w:rsidR="00490409" w:rsidTr="00E016CC" w14:paraId="715F1178" w14:textId="77777777">
        <w:trPr>
          <w:trHeight w:val="800"/>
          <w:tblHeader/>
        </w:trPr>
        <w:tc>
          <w:tcPr>
            <w:tcW w:w="1530" w:type="dxa"/>
            <w:shd w:val="clear" w:color="auto" w:fill="auto"/>
          </w:tcPr>
          <w:p w:rsidRPr="00880774" w:rsidR="00490409" w:rsidP="00E071E1" w:rsidRDefault="00D062B3" w14:paraId="40A0C141" w14:textId="6F30DAEB">
            <w:pPr>
              <w:spacing w:after="0" w:line="240" w:lineRule="auto"/>
              <w:rPr>
                <w:sz w:val="20"/>
                <w:szCs w:val="20"/>
              </w:rPr>
            </w:pPr>
            <w:r>
              <w:rPr>
                <w:sz w:val="20"/>
                <w:szCs w:val="20"/>
              </w:rPr>
              <w:t>SMI</w:t>
            </w:r>
            <w:r w:rsidR="004915A3">
              <w:rPr>
                <w:sz w:val="20"/>
                <w:szCs w:val="20"/>
              </w:rPr>
              <w:t>/SED Demonstration</w:t>
            </w:r>
            <w:r w:rsidRPr="00880774" w:rsidR="00214F31">
              <w:rPr>
                <w:sz w:val="20"/>
                <w:szCs w:val="20"/>
              </w:rPr>
              <w:t xml:space="preserve"> </w:t>
            </w:r>
            <w:r w:rsidRPr="00880774" w:rsidR="00490409">
              <w:rPr>
                <w:sz w:val="20"/>
                <w:szCs w:val="20"/>
              </w:rPr>
              <w:t>Monitoring Protocol</w:t>
            </w:r>
          </w:p>
        </w:tc>
        <w:tc>
          <w:tcPr>
            <w:tcW w:w="1350" w:type="dxa"/>
            <w:shd w:val="clear" w:color="auto" w:fill="auto"/>
          </w:tcPr>
          <w:p w:rsidRPr="00880774" w:rsidR="00490409" w:rsidP="00165097" w:rsidRDefault="00AD183B" w14:paraId="7222BD5E" w14:textId="497E57F1">
            <w:pPr>
              <w:spacing w:after="0" w:line="240" w:lineRule="auto"/>
              <w:jc w:val="center"/>
              <w:rPr>
                <w:sz w:val="20"/>
              </w:rPr>
            </w:pPr>
            <w:r w:rsidRPr="00880774">
              <w:rPr>
                <w:sz w:val="20"/>
              </w:rPr>
              <w:t>10</w:t>
            </w:r>
          </w:p>
        </w:tc>
        <w:tc>
          <w:tcPr>
            <w:tcW w:w="1530" w:type="dxa"/>
            <w:shd w:val="clear" w:color="auto" w:fill="auto"/>
          </w:tcPr>
          <w:p w:rsidRPr="00880774" w:rsidR="00490409" w:rsidP="00165097" w:rsidRDefault="00AD183B" w14:paraId="39C7A86C" w14:textId="233680ED">
            <w:pPr>
              <w:spacing w:after="0" w:line="240" w:lineRule="auto"/>
              <w:jc w:val="center"/>
              <w:rPr>
                <w:sz w:val="20"/>
              </w:rPr>
            </w:pPr>
            <w:r w:rsidRPr="00880774">
              <w:rPr>
                <w:sz w:val="20"/>
              </w:rPr>
              <w:t>10</w:t>
            </w:r>
          </w:p>
        </w:tc>
        <w:tc>
          <w:tcPr>
            <w:tcW w:w="1350" w:type="dxa"/>
            <w:shd w:val="clear" w:color="auto" w:fill="auto"/>
          </w:tcPr>
          <w:p w:rsidRPr="00880774" w:rsidR="00490409" w:rsidP="00165097" w:rsidRDefault="00C4370B" w14:paraId="3B951904" w14:textId="3CCF93A3">
            <w:pPr>
              <w:spacing w:after="0" w:line="240" w:lineRule="auto"/>
              <w:jc w:val="center"/>
              <w:rPr>
                <w:sz w:val="20"/>
              </w:rPr>
            </w:pPr>
            <w:r>
              <w:rPr>
                <w:sz w:val="20"/>
                <w:szCs w:val="20"/>
              </w:rPr>
              <w:t>14</w:t>
            </w:r>
          </w:p>
        </w:tc>
        <w:tc>
          <w:tcPr>
            <w:tcW w:w="1080" w:type="dxa"/>
          </w:tcPr>
          <w:p w:rsidRPr="00880774" w:rsidR="00490409" w:rsidP="00165097" w:rsidRDefault="00C4370B" w14:paraId="61ED89DD" w14:textId="60C2ECE2">
            <w:pPr>
              <w:spacing w:after="0" w:line="240" w:lineRule="auto"/>
              <w:jc w:val="center"/>
              <w:rPr>
                <w:sz w:val="20"/>
              </w:rPr>
            </w:pPr>
            <w:r>
              <w:rPr>
                <w:sz w:val="20"/>
              </w:rPr>
              <w:t>140</w:t>
            </w:r>
          </w:p>
        </w:tc>
        <w:tc>
          <w:tcPr>
            <w:tcW w:w="1350" w:type="dxa"/>
          </w:tcPr>
          <w:p w:rsidRPr="00880774" w:rsidR="00490409" w:rsidP="00165097" w:rsidRDefault="00F57677" w14:paraId="70CED433" w14:textId="6285D373">
            <w:pPr>
              <w:spacing w:after="0" w:line="240" w:lineRule="auto"/>
              <w:jc w:val="center"/>
              <w:rPr>
                <w:sz w:val="20"/>
                <w:szCs w:val="20"/>
              </w:rPr>
            </w:pPr>
            <w:r>
              <w:rPr>
                <w:sz w:val="20"/>
                <w:szCs w:val="20"/>
              </w:rPr>
              <w:t>110.74</w:t>
            </w:r>
          </w:p>
        </w:tc>
        <w:tc>
          <w:tcPr>
            <w:tcW w:w="1391" w:type="dxa"/>
            <w:shd w:val="clear" w:color="auto" w:fill="auto"/>
          </w:tcPr>
          <w:p w:rsidRPr="00880774" w:rsidR="00490409" w:rsidP="00C4370B" w:rsidRDefault="00C4370B" w14:paraId="49AF9E77" w14:textId="7F343E5A">
            <w:pPr>
              <w:spacing w:after="0" w:line="240" w:lineRule="auto"/>
              <w:jc w:val="center"/>
              <w:rPr>
                <w:sz w:val="20"/>
                <w:szCs w:val="20"/>
              </w:rPr>
            </w:pPr>
            <w:r>
              <w:rPr>
                <w:sz w:val="20"/>
                <w:szCs w:val="20"/>
              </w:rPr>
              <w:t>15,504</w:t>
            </w:r>
          </w:p>
        </w:tc>
      </w:tr>
      <w:tr w:rsidRPr="00880774" w:rsidR="00757452" w:rsidTr="00E071E1" w14:paraId="5F0A839C" w14:textId="77777777">
        <w:trPr>
          <w:trHeight w:val="800"/>
          <w:tblHeader/>
        </w:trPr>
        <w:tc>
          <w:tcPr>
            <w:tcW w:w="1530" w:type="dxa"/>
            <w:shd w:val="clear" w:color="auto" w:fill="auto"/>
          </w:tcPr>
          <w:p w:rsidRPr="00880774" w:rsidR="00757452" w:rsidP="00A2132C" w:rsidRDefault="00D062B3" w14:paraId="701104DA" w14:textId="2EC22C8D">
            <w:pPr>
              <w:spacing w:after="0" w:line="240" w:lineRule="auto"/>
              <w:rPr>
                <w:sz w:val="20"/>
                <w:szCs w:val="20"/>
              </w:rPr>
            </w:pPr>
            <w:r>
              <w:rPr>
                <w:sz w:val="20"/>
                <w:szCs w:val="20"/>
              </w:rPr>
              <w:t>SMI</w:t>
            </w:r>
            <w:r w:rsidR="004915A3">
              <w:rPr>
                <w:sz w:val="20"/>
                <w:szCs w:val="20"/>
              </w:rPr>
              <w:t xml:space="preserve">/SED Demonstration </w:t>
            </w:r>
            <w:r w:rsidRPr="00880774" w:rsidR="00A2132C">
              <w:rPr>
                <w:sz w:val="20"/>
                <w:szCs w:val="20"/>
              </w:rPr>
              <w:t xml:space="preserve">Monitoring </w:t>
            </w:r>
            <w:r w:rsidRPr="00880774" w:rsidR="00757452">
              <w:rPr>
                <w:sz w:val="20"/>
                <w:szCs w:val="20"/>
              </w:rPr>
              <w:t>Report</w:t>
            </w:r>
            <w:r w:rsidRPr="00880774" w:rsidR="00A2132C">
              <w:rPr>
                <w:sz w:val="20"/>
                <w:szCs w:val="20"/>
              </w:rPr>
              <w:t xml:space="preserve"> </w:t>
            </w:r>
            <w:r w:rsidRPr="00880774" w:rsidR="00757452">
              <w:rPr>
                <w:sz w:val="20"/>
                <w:szCs w:val="20"/>
              </w:rPr>
              <w:t>Template</w:t>
            </w:r>
            <w:r w:rsidRPr="00880774" w:rsidR="00A2132C">
              <w:rPr>
                <w:sz w:val="20"/>
                <w:szCs w:val="20"/>
              </w:rPr>
              <w:t xml:space="preserve"> (</w:t>
            </w:r>
            <w:r w:rsidRPr="00880774" w:rsidR="00757452">
              <w:rPr>
                <w:sz w:val="20"/>
                <w:szCs w:val="20"/>
              </w:rPr>
              <w:t>Annual</w:t>
            </w:r>
            <w:r w:rsidRPr="00880774" w:rsidR="00A2132C">
              <w:rPr>
                <w:sz w:val="20"/>
                <w:szCs w:val="20"/>
              </w:rPr>
              <w:t>)</w:t>
            </w:r>
          </w:p>
        </w:tc>
        <w:tc>
          <w:tcPr>
            <w:tcW w:w="1350" w:type="dxa"/>
            <w:shd w:val="clear" w:color="auto" w:fill="auto"/>
          </w:tcPr>
          <w:p w:rsidRPr="00880774" w:rsidR="00757452" w:rsidP="00165097" w:rsidRDefault="00AD183B" w14:paraId="57F40565" w14:textId="403BC01E">
            <w:pPr>
              <w:spacing w:after="0" w:line="240" w:lineRule="auto"/>
              <w:jc w:val="center"/>
              <w:rPr>
                <w:sz w:val="20"/>
                <w:szCs w:val="20"/>
              </w:rPr>
            </w:pPr>
            <w:r w:rsidRPr="00880774">
              <w:rPr>
                <w:sz w:val="20"/>
                <w:szCs w:val="20"/>
              </w:rPr>
              <w:t>10</w:t>
            </w:r>
          </w:p>
        </w:tc>
        <w:tc>
          <w:tcPr>
            <w:tcW w:w="1530" w:type="dxa"/>
            <w:shd w:val="clear" w:color="auto" w:fill="auto"/>
          </w:tcPr>
          <w:p w:rsidRPr="00880774" w:rsidR="00757452" w:rsidP="00165097" w:rsidRDefault="00AD183B" w14:paraId="477FEA9A" w14:textId="5F01A7E9">
            <w:pPr>
              <w:spacing w:after="0" w:line="240" w:lineRule="auto"/>
              <w:jc w:val="center"/>
              <w:rPr>
                <w:sz w:val="20"/>
                <w:szCs w:val="20"/>
              </w:rPr>
            </w:pPr>
            <w:r w:rsidRPr="00880774">
              <w:rPr>
                <w:sz w:val="20"/>
                <w:szCs w:val="20"/>
              </w:rPr>
              <w:t>10</w:t>
            </w:r>
          </w:p>
        </w:tc>
        <w:tc>
          <w:tcPr>
            <w:tcW w:w="1350" w:type="dxa"/>
            <w:shd w:val="clear" w:color="auto" w:fill="auto"/>
          </w:tcPr>
          <w:p w:rsidRPr="00880774" w:rsidR="00757452" w:rsidP="00165097" w:rsidRDefault="00F24D0F" w14:paraId="1157F9E7" w14:textId="25A5D390">
            <w:pPr>
              <w:spacing w:after="0" w:line="240" w:lineRule="auto"/>
              <w:jc w:val="center"/>
              <w:rPr>
                <w:sz w:val="20"/>
                <w:szCs w:val="20"/>
              </w:rPr>
            </w:pPr>
            <w:r w:rsidRPr="00880774">
              <w:rPr>
                <w:sz w:val="20"/>
                <w:szCs w:val="20"/>
              </w:rPr>
              <w:t>12</w:t>
            </w:r>
          </w:p>
        </w:tc>
        <w:tc>
          <w:tcPr>
            <w:tcW w:w="1080" w:type="dxa"/>
          </w:tcPr>
          <w:p w:rsidRPr="00880774" w:rsidR="00757452" w:rsidP="00165097" w:rsidRDefault="00AD183B" w14:paraId="771AD23B" w14:textId="7D8D29AE">
            <w:pPr>
              <w:spacing w:after="0" w:line="240" w:lineRule="auto"/>
              <w:jc w:val="center"/>
              <w:rPr>
                <w:sz w:val="20"/>
                <w:szCs w:val="20"/>
              </w:rPr>
            </w:pPr>
            <w:r w:rsidRPr="00880774">
              <w:rPr>
                <w:sz w:val="20"/>
                <w:szCs w:val="20"/>
              </w:rPr>
              <w:t>1</w:t>
            </w:r>
            <w:r w:rsidRPr="00880774" w:rsidR="00F24D0F">
              <w:rPr>
                <w:sz w:val="20"/>
                <w:szCs w:val="20"/>
              </w:rPr>
              <w:t>20</w:t>
            </w:r>
          </w:p>
        </w:tc>
        <w:tc>
          <w:tcPr>
            <w:tcW w:w="1350" w:type="dxa"/>
          </w:tcPr>
          <w:p w:rsidRPr="00880774" w:rsidR="00757452" w:rsidP="00165097" w:rsidRDefault="00F57677" w14:paraId="5B000DEE" w14:textId="17FCFBA8">
            <w:pPr>
              <w:spacing w:after="0" w:line="240" w:lineRule="auto"/>
              <w:jc w:val="center"/>
              <w:rPr>
                <w:sz w:val="20"/>
                <w:szCs w:val="20"/>
              </w:rPr>
            </w:pPr>
            <w:r>
              <w:rPr>
                <w:sz w:val="20"/>
                <w:szCs w:val="20"/>
              </w:rPr>
              <w:t>110.74</w:t>
            </w:r>
          </w:p>
        </w:tc>
        <w:tc>
          <w:tcPr>
            <w:tcW w:w="1391" w:type="dxa"/>
            <w:shd w:val="clear" w:color="auto" w:fill="auto"/>
          </w:tcPr>
          <w:p w:rsidRPr="00880774" w:rsidR="00757452" w:rsidP="00C4370B" w:rsidRDefault="009A7609" w14:paraId="2C233DE7" w14:textId="07922F9E">
            <w:pPr>
              <w:spacing w:after="0" w:line="240" w:lineRule="auto"/>
              <w:jc w:val="center"/>
              <w:rPr>
                <w:sz w:val="20"/>
                <w:szCs w:val="20"/>
              </w:rPr>
            </w:pPr>
            <w:r w:rsidRPr="00880774">
              <w:rPr>
                <w:sz w:val="20"/>
                <w:szCs w:val="20"/>
              </w:rPr>
              <w:t>13,</w:t>
            </w:r>
            <w:r w:rsidR="00C4370B">
              <w:rPr>
                <w:sz w:val="20"/>
                <w:szCs w:val="20"/>
              </w:rPr>
              <w:t>289</w:t>
            </w:r>
          </w:p>
        </w:tc>
      </w:tr>
      <w:tr w:rsidRPr="00880774" w:rsidR="00A2132C" w:rsidTr="00E071E1" w14:paraId="218F0D0F" w14:textId="77777777">
        <w:trPr>
          <w:trHeight w:val="800"/>
          <w:tblHeader/>
        </w:trPr>
        <w:tc>
          <w:tcPr>
            <w:tcW w:w="1530" w:type="dxa"/>
            <w:shd w:val="clear" w:color="auto" w:fill="auto"/>
          </w:tcPr>
          <w:p w:rsidRPr="00880774" w:rsidR="00A2132C" w:rsidP="00A2132C" w:rsidRDefault="00D062B3" w14:paraId="310AB0F4" w14:textId="64CE072D">
            <w:pPr>
              <w:spacing w:after="0" w:line="240" w:lineRule="auto"/>
              <w:rPr>
                <w:sz w:val="20"/>
                <w:szCs w:val="20"/>
              </w:rPr>
            </w:pPr>
            <w:r>
              <w:rPr>
                <w:sz w:val="20"/>
                <w:szCs w:val="20"/>
              </w:rPr>
              <w:t>SMI</w:t>
            </w:r>
            <w:r w:rsidR="004915A3">
              <w:rPr>
                <w:sz w:val="20"/>
                <w:szCs w:val="20"/>
              </w:rPr>
              <w:t>/SED</w:t>
            </w:r>
            <w:r w:rsidRPr="00880774" w:rsidR="00A2132C">
              <w:rPr>
                <w:sz w:val="20"/>
                <w:szCs w:val="20"/>
              </w:rPr>
              <w:t xml:space="preserve"> </w:t>
            </w:r>
            <w:r w:rsidR="004915A3">
              <w:rPr>
                <w:sz w:val="20"/>
                <w:szCs w:val="20"/>
              </w:rPr>
              <w:t xml:space="preserve">Demonstration </w:t>
            </w:r>
            <w:r w:rsidRPr="00880774" w:rsidR="00A2132C">
              <w:rPr>
                <w:sz w:val="20"/>
                <w:szCs w:val="20"/>
              </w:rPr>
              <w:t>Monitoring Report Template (Quarterly)</w:t>
            </w:r>
          </w:p>
        </w:tc>
        <w:tc>
          <w:tcPr>
            <w:tcW w:w="1350" w:type="dxa"/>
            <w:shd w:val="clear" w:color="auto" w:fill="auto"/>
          </w:tcPr>
          <w:p w:rsidRPr="00880774" w:rsidR="00A2132C" w:rsidP="00165097" w:rsidRDefault="00A2132C" w14:paraId="023341E8" w14:textId="2552223E">
            <w:pPr>
              <w:spacing w:after="0" w:line="240" w:lineRule="auto"/>
              <w:jc w:val="center"/>
              <w:rPr>
                <w:sz w:val="20"/>
                <w:szCs w:val="20"/>
              </w:rPr>
            </w:pPr>
            <w:r w:rsidRPr="00880774">
              <w:rPr>
                <w:sz w:val="20"/>
                <w:szCs w:val="20"/>
              </w:rPr>
              <w:t>10</w:t>
            </w:r>
          </w:p>
        </w:tc>
        <w:tc>
          <w:tcPr>
            <w:tcW w:w="1530" w:type="dxa"/>
            <w:shd w:val="clear" w:color="auto" w:fill="auto"/>
          </w:tcPr>
          <w:p w:rsidRPr="00880774" w:rsidR="00A2132C" w:rsidP="00165097" w:rsidRDefault="00A2132C" w14:paraId="03741CC7" w14:textId="28CAACE5">
            <w:pPr>
              <w:spacing w:after="0" w:line="240" w:lineRule="auto"/>
              <w:jc w:val="center"/>
              <w:rPr>
                <w:sz w:val="20"/>
                <w:szCs w:val="20"/>
              </w:rPr>
            </w:pPr>
            <w:r w:rsidRPr="00880774">
              <w:rPr>
                <w:sz w:val="20"/>
                <w:szCs w:val="20"/>
              </w:rPr>
              <w:t>30</w:t>
            </w:r>
          </w:p>
        </w:tc>
        <w:tc>
          <w:tcPr>
            <w:tcW w:w="1350" w:type="dxa"/>
            <w:shd w:val="clear" w:color="auto" w:fill="auto"/>
          </w:tcPr>
          <w:p w:rsidRPr="00880774" w:rsidR="00A2132C" w:rsidP="00165097" w:rsidRDefault="00A2132C" w14:paraId="1880BA51" w14:textId="1925DDE2">
            <w:pPr>
              <w:spacing w:after="0" w:line="240" w:lineRule="auto"/>
              <w:jc w:val="center"/>
              <w:rPr>
                <w:sz w:val="20"/>
                <w:szCs w:val="20"/>
              </w:rPr>
            </w:pPr>
            <w:r w:rsidRPr="00880774">
              <w:rPr>
                <w:sz w:val="20"/>
                <w:szCs w:val="20"/>
              </w:rPr>
              <w:t>8</w:t>
            </w:r>
          </w:p>
        </w:tc>
        <w:tc>
          <w:tcPr>
            <w:tcW w:w="1080" w:type="dxa"/>
          </w:tcPr>
          <w:p w:rsidRPr="00880774" w:rsidR="00A2132C" w:rsidP="00165097" w:rsidRDefault="00A2132C" w14:paraId="1D786C7E" w14:textId="371FE772">
            <w:pPr>
              <w:spacing w:after="0" w:line="240" w:lineRule="auto"/>
              <w:jc w:val="center"/>
              <w:rPr>
                <w:sz w:val="20"/>
                <w:szCs w:val="20"/>
              </w:rPr>
            </w:pPr>
            <w:r w:rsidRPr="00880774">
              <w:rPr>
                <w:sz w:val="20"/>
                <w:szCs w:val="20"/>
              </w:rPr>
              <w:t>240</w:t>
            </w:r>
          </w:p>
        </w:tc>
        <w:tc>
          <w:tcPr>
            <w:tcW w:w="1350" w:type="dxa"/>
          </w:tcPr>
          <w:p w:rsidRPr="00880774" w:rsidR="00A2132C" w:rsidP="00165097" w:rsidRDefault="00F57677" w14:paraId="2FE6D569" w14:textId="28963031">
            <w:pPr>
              <w:spacing w:after="0" w:line="240" w:lineRule="auto"/>
              <w:jc w:val="center"/>
              <w:rPr>
                <w:sz w:val="20"/>
                <w:szCs w:val="20"/>
              </w:rPr>
            </w:pPr>
            <w:r>
              <w:rPr>
                <w:sz w:val="20"/>
                <w:szCs w:val="20"/>
              </w:rPr>
              <w:t>110.74</w:t>
            </w:r>
          </w:p>
        </w:tc>
        <w:tc>
          <w:tcPr>
            <w:tcW w:w="1391" w:type="dxa"/>
            <w:shd w:val="clear" w:color="auto" w:fill="auto"/>
          </w:tcPr>
          <w:p w:rsidRPr="00880774" w:rsidR="00A2132C" w:rsidP="00C4370B" w:rsidRDefault="00C4370B" w14:paraId="4595DEBF" w14:textId="56FAEDE5">
            <w:pPr>
              <w:spacing w:after="0" w:line="240" w:lineRule="auto"/>
              <w:jc w:val="center"/>
              <w:rPr>
                <w:sz w:val="20"/>
                <w:szCs w:val="20"/>
              </w:rPr>
            </w:pPr>
            <w:r>
              <w:rPr>
                <w:sz w:val="20"/>
                <w:szCs w:val="20"/>
              </w:rPr>
              <w:t>26,578</w:t>
            </w:r>
          </w:p>
        </w:tc>
      </w:tr>
      <w:tr w:rsidRPr="00757452" w:rsidR="00C500C7" w:rsidTr="00E016CC" w14:paraId="3C2CD3F2" w14:textId="77777777">
        <w:trPr>
          <w:trHeight w:val="800"/>
          <w:tblHeader/>
        </w:trPr>
        <w:tc>
          <w:tcPr>
            <w:tcW w:w="1530" w:type="dxa"/>
            <w:shd w:val="clear" w:color="auto" w:fill="auto"/>
          </w:tcPr>
          <w:p w:rsidRPr="00880774" w:rsidR="00C500C7" w:rsidP="003847FD" w:rsidRDefault="00C500C7" w14:paraId="3A020488" w14:textId="54B36E78">
            <w:pPr>
              <w:spacing w:after="0" w:line="240" w:lineRule="auto"/>
              <w:rPr>
                <w:sz w:val="20"/>
                <w:szCs w:val="20"/>
              </w:rPr>
            </w:pPr>
            <w:r>
              <w:rPr>
                <w:sz w:val="20"/>
                <w:szCs w:val="20"/>
              </w:rPr>
              <w:t>SMI/SED Demonstration Monitoring Metrics Workbook</w:t>
            </w:r>
            <w:r w:rsidRPr="00880774">
              <w:rPr>
                <w:sz w:val="20"/>
                <w:szCs w:val="20"/>
              </w:rPr>
              <w:t xml:space="preserve"> (Year 1)</w:t>
            </w:r>
          </w:p>
        </w:tc>
        <w:tc>
          <w:tcPr>
            <w:tcW w:w="1350" w:type="dxa"/>
            <w:vMerge w:val="restart"/>
            <w:shd w:val="clear" w:color="auto" w:fill="auto"/>
          </w:tcPr>
          <w:p w:rsidRPr="00880774" w:rsidR="00C500C7" w:rsidP="00C500C7" w:rsidRDefault="00C500C7" w14:paraId="7A74A773" w14:textId="72BAADF1">
            <w:pPr>
              <w:spacing w:after="0" w:line="240" w:lineRule="auto"/>
              <w:jc w:val="center"/>
              <w:rPr>
                <w:sz w:val="20"/>
              </w:rPr>
            </w:pPr>
            <w:r w:rsidRPr="00880774">
              <w:rPr>
                <w:sz w:val="20"/>
              </w:rPr>
              <w:t>10</w:t>
            </w:r>
          </w:p>
        </w:tc>
        <w:tc>
          <w:tcPr>
            <w:tcW w:w="1530" w:type="dxa"/>
            <w:vMerge w:val="restart"/>
            <w:shd w:val="clear" w:color="auto" w:fill="auto"/>
          </w:tcPr>
          <w:p w:rsidRPr="00880774" w:rsidR="00C500C7" w:rsidP="00C500C7" w:rsidRDefault="00C500C7" w14:paraId="6848E302" w14:textId="51357B1B">
            <w:pPr>
              <w:spacing w:after="0" w:line="240" w:lineRule="auto"/>
              <w:jc w:val="center"/>
              <w:rPr>
                <w:sz w:val="20"/>
              </w:rPr>
            </w:pPr>
            <w:r w:rsidRPr="00880774">
              <w:rPr>
                <w:sz w:val="20"/>
              </w:rPr>
              <w:t>40</w:t>
            </w:r>
          </w:p>
        </w:tc>
        <w:tc>
          <w:tcPr>
            <w:tcW w:w="1350" w:type="dxa"/>
            <w:shd w:val="clear" w:color="auto" w:fill="auto"/>
          </w:tcPr>
          <w:p w:rsidRPr="00880774" w:rsidR="00C500C7" w:rsidP="00165097" w:rsidRDefault="00C500C7" w14:paraId="4F39A3DC" w14:textId="2BE69B48">
            <w:pPr>
              <w:spacing w:after="0" w:line="240" w:lineRule="auto"/>
              <w:jc w:val="center"/>
              <w:rPr>
                <w:sz w:val="20"/>
              </w:rPr>
            </w:pPr>
            <w:r w:rsidRPr="00880774">
              <w:rPr>
                <w:sz w:val="20"/>
              </w:rPr>
              <w:t>164 (128 hr annual + 12 hr per quarter for 3 quarters)</w:t>
            </w:r>
          </w:p>
        </w:tc>
        <w:tc>
          <w:tcPr>
            <w:tcW w:w="1080" w:type="dxa"/>
          </w:tcPr>
          <w:p w:rsidRPr="00880774" w:rsidR="00C500C7" w:rsidP="00165097" w:rsidRDefault="00C500C7" w14:paraId="71500A7B" w14:textId="37BDAA48">
            <w:pPr>
              <w:spacing w:after="0" w:line="240" w:lineRule="auto"/>
              <w:jc w:val="center"/>
              <w:rPr>
                <w:sz w:val="20"/>
              </w:rPr>
            </w:pPr>
            <w:r w:rsidRPr="00880774">
              <w:rPr>
                <w:sz w:val="20"/>
              </w:rPr>
              <w:t>1,640</w:t>
            </w:r>
          </w:p>
        </w:tc>
        <w:tc>
          <w:tcPr>
            <w:tcW w:w="1350" w:type="dxa"/>
          </w:tcPr>
          <w:p w:rsidRPr="00880774" w:rsidR="00C500C7" w:rsidP="00165097" w:rsidRDefault="00C500C7" w14:paraId="26AF0F8A" w14:textId="1FEC3630">
            <w:pPr>
              <w:spacing w:after="0" w:line="240" w:lineRule="auto"/>
              <w:jc w:val="center"/>
              <w:rPr>
                <w:sz w:val="20"/>
                <w:szCs w:val="20"/>
              </w:rPr>
            </w:pPr>
            <w:r>
              <w:rPr>
                <w:sz w:val="20"/>
                <w:szCs w:val="20"/>
              </w:rPr>
              <w:t>89.06</w:t>
            </w:r>
          </w:p>
        </w:tc>
        <w:tc>
          <w:tcPr>
            <w:tcW w:w="1391" w:type="dxa"/>
            <w:shd w:val="clear" w:color="auto" w:fill="auto"/>
          </w:tcPr>
          <w:p w:rsidRPr="009A7609" w:rsidR="00C500C7" w:rsidP="001A6AD5" w:rsidRDefault="00C500C7" w14:paraId="24F3E88B" w14:textId="2522DFC7">
            <w:pPr>
              <w:spacing w:after="0" w:line="240" w:lineRule="auto"/>
              <w:jc w:val="center"/>
              <w:rPr>
                <w:sz w:val="20"/>
                <w:szCs w:val="20"/>
              </w:rPr>
            </w:pPr>
            <w:r w:rsidRPr="00880774">
              <w:rPr>
                <w:rFonts w:cs="Times New Roman"/>
                <w:bCs/>
                <w:sz w:val="20"/>
                <w:szCs w:val="20"/>
              </w:rPr>
              <w:t>14</w:t>
            </w:r>
            <w:r>
              <w:rPr>
                <w:rFonts w:cs="Times New Roman"/>
                <w:bCs/>
                <w:sz w:val="20"/>
                <w:szCs w:val="20"/>
              </w:rPr>
              <w:t>6,058</w:t>
            </w:r>
          </w:p>
        </w:tc>
      </w:tr>
      <w:tr w:rsidRPr="00946BD4" w:rsidR="00C500C7" w:rsidTr="00E071E1" w14:paraId="348827EC" w14:textId="77777777">
        <w:trPr>
          <w:trHeight w:val="800"/>
          <w:tblHeader/>
        </w:trPr>
        <w:tc>
          <w:tcPr>
            <w:tcW w:w="1530" w:type="dxa"/>
            <w:shd w:val="clear" w:color="auto" w:fill="auto"/>
          </w:tcPr>
          <w:p w:rsidRPr="00946BD4" w:rsidR="00C500C7" w:rsidP="003847FD" w:rsidRDefault="00C500C7" w14:paraId="60C6CFDD" w14:textId="71FB1018">
            <w:pPr>
              <w:spacing w:after="0" w:line="240" w:lineRule="auto"/>
              <w:rPr>
                <w:sz w:val="20"/>
                <w:szCs w:val="20"/>
              </w:rPr>
            </w:pPr>
            <w:r w:rsidRPr="00946BD4">
              <w:rPr>
                <w:sz w:val="20"/>
                <w:szCs w:val="20"/>
              </w:rPr>
              <w:t>SMI/SED Demonstration Monitoring Metrics Workbook (Subsequent Years)</w:t>
            </w:r>
          </w:p>
        </w:tc>
        <w:tc>
          <w:tcPr>
            <w:tcW w:w="1350" w:type="dxa"/>
            <w:vMerge/>
            <w:shd w:val="clear" w:color="auto" w:fill="auto"/>
          </w:tcPr>
          <w:p w:rsidRPr="00946BD4" w:rsidR="00C500C7" w:rsidP="00165097" w:rsidRDefault="00C500C7" w14:paraId="46213F48" w14:textId="6ED22C38">
            <w:pPr>
              <w:spacing w:after="0" w:line="240" w:lineRule="auto"/>
              <w:jc w:val="center"/>
              <w:rPr>
                <w:sz w:val="20"/>
                <w:szCs w:val="20"/>
              </w:rPr>
            </w:pPr>
          </w:p>
        </w:tc>
        <w:tc>
          <w:tcPr>
            <w:tcW w:w="1530" w:type="dxa"/>
            <w:vMerge/>
            <w:shd w:val="clear" w:color="auto" w:fill="auto"/>
          </w:tcPr>
          <w:p w:rsidRPr="00946BD4" w:rsidR="00C500C7" w:rsidP="00165097" w:rsidRDefault="00C500C7" w14:paraId="04857983" w14:textId="4EC12715">
            <w:pPr>
              <w:spacing w:after="0" w:line="240" w:lineRule="auto"/>
              <w:jc w:val="center"/>
              <w:rPr>
                <w:sz w:val="20"/>
                <w:szCs w:val="20"/>
              </w:rPr>
            </w:pPr>
          </w:p>
        </w:tc>
        <w:tc>
          <w:tcPr>
            <w:tcW w:w="1350" w:type="dxa"/>
            <w:shd w:val="clear" w:color="auto" w:fill="auto"/>
          </w:tcPr>
          <w:p w:rsidRPr="00946BD4" w:rsidR="00C500C7" w:rsidP="001C54B8" w:rsidRDefault="00C500C7" w14:paraId="0F934D97" w14:textId="27D21DD8">
            <w:pPr>
              <w:spacing w:after="0" w:line="240" w:lineRule="auto"/>
              <w:jc w:val="center"/>
              <w:rPr>
                <w:sz w:val="20"/>
                <w:szCs w:val="20"/>
              </w:rPr>
            </w:pPr>
            <w:r w:rsidRPr="00946BD4">
              <w:rPr>
                <w:sz w:val="20"/>
                <w:szCs w:val="20"/>
              </w:rPr>
              <w:t>52 (16 hr annual + 12 hr per quarter for 3 quarters)</w:t>
            </w:r>
          </w:p>
        </w:tc>
        <w:tc>
          <w:tcPr>
            <w:tcW w:w="1080" w:type="dxa"/>
          </w:tcPr>
          <w:p w:rsidRPr="00946BD4" w:rsidR="00C500C7" w:rsidP="00165097" w:rsidRDefault="00C500C7" w14:paraId="211459C6" w14:textId="41B2F94A">
            <w:pPr>
              <w:spacing w:after="0" w:line="240" w:lineRule="auto"/>
              <w:jc w:val="center"/>
              <w:rPr>
                <w:sz w:val="20"/>
                <w:szCs w:val="20"/>
              </w:rPr>
            </w:pPr>
            <w:r w:rsidRPr="00946BD4">
              <w:rPr>
                <w:sz w:val="20"/>
                <w:szCs w:val="20"/>
              </w:rPr>
              <w:t>520</w:t>
            </w:r>
          </w:p>
        </w:tc>
        <w:tc>
          <w:tcPr>
            <w:tcW w:w="1350" w:type="dxa"/>
          </w:tcPr>
          <w:p w:rsidRPr="00946BD4" w:rsidR="00C500C7" w:rsidP="00165097" w:rsidRDefault="00C500C7" w14:paraId="24C4B216" w14:textId="0FC358F6">
            <w:pPr>
              <w:spacing w:after="0" w:line="240" w:lineRule="auto"/>
              <w:jc w:val="center"/>
              <w:rPr>
                <w:sz w:val="20"/>
                <w:szCs w:val="20"/>
              </w:rPr>
            </w:pPr>
            <w:r w:rsidRPr="00946BD4">
              <w:rPr>
                <w:sz w:val="20"/>
                <w:szCs w:val="20"/>
              </w:rPr>
              <w:t>89.06</w:t>
            </w:r>
          </w:p>
        </w:tc>
        <w:tc>
          <w:tcPr>
            <w:tcW w:w="1391" w:type="dxa"/>
            <w:shd w:val="clear" w:color="auto" w:fill="auto"/>
          </w:tcPr>
          <w:p w:rsidRPr="00946BD4" w:rsidR="00C500C7" w:rsidP="001C54B8" w:rsidRDefault="00C500C7" w14:paraId="28F0AF77" w14:textId="18D4B623">
            <w:pPr>
              <w:spacing w:after="0" w:line="240" w:lineRule="auto"/>
              <w:jc w:val="center"/>
              <w:rPr>
                <w:sz w:val="20"/>
                <w:szCs w:val="20"/>
              </w:rPr>
            </w:pPr>
            <w:r w:rsidRPr="00946BD4">
              <w:rPr>
                <w:rFonts w:cs="Times New Roman"/>
                <w:sz w:val="20"/>
                <w:szCs w:val="20"/>
              </w:rPr>
              <w:t>46,311</w:t>
            </w:r>
          </w:p>
        </w:tc>
      </w:tr>
      <w:tr w:rsidRPr="00946BD4" w:rsidR="00B96BB4" w:rsidTr="00E071E1" w14:paraId="43E7031E" w14:textId="77777777">
        <w:trPr>
          <w:trHeight w:val="800"/>
          <w:tblHeader/>
        </w:trPr>
        <w:tc>
          <w:tcPr>
            <w:tcW w:w="1530" w:type="dxa"/>
            <w:shd w:val="clear" w:color="auto" w:fill="auto"/>
          </w:tcPr>
          <w:p w:rsidRPr="00946BD4" w:rsidR="00B96BB4" w:rsidP="003847FD" w:rsidRDefault="00B96BB4" w14:paraId="2614E78D" w14:textId="47A56506">
            <w:pPr>
              <w:spacing w:after="0" w:line="240" w:lineRule="auto"/>
              <w:rPr>
                <w:sz w:val="20"/>
                <w:szCs w:val="20"/>
              </w:rPr>
            </w:pPr>
            <w:r w:rsidRPr="00946BD4">
              <w:rPr>
                <w:sz w:val="20"/>
                <w:szCs w:val="20"/>
              </w:rPr>
              <w:t>SMI/SED Current Availability Assessment (Annual -Year 1)</w:t>
            </w:r>
          </w:p>
        </w:tc>
        <w:tc>
          <w:tcPr>
            <w:tcW w:w="1350" w:type="dxa"/>
            <w:vMerge w:val="restart"/>
            <w:shd w:val="clear" w:color="auto" w:fill="auto"/>
          </w:tcPr>
          <w:p w:rsidRPr="00946BD4" w:rsidR="00B96BB4" w:rsidP="00B96BB4" w:rsidRDefault="00B96BB4" w14:paraId="0B03C2B3" w14:textId="4B7013D5">
            <w:pPr>
              <w:spacing w:after="0" w:line="240" w:lineRule="auto"/>
              <w:jc w:val="center"/>
              <w:rPr>
                <w:sz w:val="20"/>
                <w:szCs w:val="20"/>
              </w:rPr>
            </w:pPr>
            <w:r w:rsidRPr="00946BD4">
              <w:rPr>
                <w:sz w:val="20"/>
                <w:szCs w:val="20"/>
              </w:rPr>
              <w:t>10</w:t>
            </w:r>
          </w:p>
        </w:tc>
        <w:tc>
          <w:tcPr>
            <w:tcW w:w="1530" w:type="dxa"/>
            <w:vMerge w:val="restart"/>
            <w:shd w:val="clear" w:color="auto" w:fill="auto"/>
          </w:tcPr>
          <w:p w:rsidRPr="00946BD4" w:rsidR="00B96BB4" w:rsidP="00B96BB4" w:rsidRDefault="00B96BB4" w14:paraId="2A510287" w14:textId="0A19C73B">
            <w:pPr>
              <w:spacing w:after="0" w:line="240" w:lineRule="auto"/>
              <w:jc w:val="center"/>
              <w:rPr>
                <w:sz w:val="20"/>
                <w:szCs w:val="20"/>
              </w:rPr>
            </w:pPr>
            <w:r w:rsidRPr="00946BD4">
              <w:rPr>
                <w:sz w:val="20"/>
                <w:szCs w:val="20"/>
              </w:rPr>
              <w:t>10</w:t>
            </w:r>
          </w:p>
        </w:tc>
        <w:tc>
          <w:tcPr>
            <w:tcW w:w="1350" w:type="dxa"/>
            <w:shd w:val="clear" w:color="auto" w:fill="auto"/>
          </w:tcPr>
          <w:p w:rsidRPr="00946BD4" w:rsidR="00B96BB4" w:rsidP="00165097" w:rsidRDefault="00B96BB4" w14:paraId="00DAC30C" w14:textId="157EE3C4">
            <w:pPr>
              <w:spacing w:after="0" w:line="240" w:lineRule="auto"/>
              <w:jc w:val="center"/>
              <w:rPr>
                <w:sz w:val="20"/>
                <w:szCs w:val="20"/>
              </w:rPr>
            </w:pPr>
            <w:r w:rsidRPr="00946BD4">
              <w:rPr>
                <w:sz w:val="20"/>
                <w:szCs w:val="20"/>
              </w:rPr>
              <w:t>20</w:t>
            </w:r>
          </w:p>
        </w:tc>
        <w:tc>
          <w:tcPr>
            <w:tcW w:w="1080" w:type="dxa"/>
          </w:tcPr>
          <w:p w:rsidRPr="00946BD4" w:rsidR="00B96BB4" w:rsidP="00165097" w:rsidRDefault="00B96BB4" w14:paraId="63795A34" w14:textId="66B77551">
            <w:pPr>
              <w:spacing w:after="0" w:line="240" w:lineRule="auto"/>
              <w:jc w:val="center"/>
              <w:rPr>
                <w:sz w:val="20"/>
                <w:szCs w:val="20"/>
              </w:rPr>
            </w:pPr>
            <w:r w:rsidRPr="00946BD4">
              <w:rPr>
                <w:sz w:val="20"/>
                <w:szCs w:val="20"/>
              </w:rPr>
              <w:t>200</w:t>
            </w:r>
          </w:p>
        </w:tc>
        <w:tc>
          <w:tcPr>
            <w:tcW w:w="1350" w:type="dxa"/>
          </w:tcPr>
          <w:p w:rsidRPr="00946BD4" w:rsidR="00B96BB4" w:rsidP="00165097" w:rsidRDefault="00B96BB4" w14:paraId="41867B99" w14:textId="4604A0A3">
            <w:pPr>
              <w:spacing w:after="0" w:line="240" w:lineRule="auto"/>
              <w:jc w:val="center"/>
              <w:rPr>
                <w:sz w:val="20"/>
                <w:szCs w:val="20"/>
              </w:rPr>
            </w:pPr>
            <w:r w:rsidRPr="00946BD4">
              <w:rPr>
                <w:sz w:val="20"/>
                <w:szCs w:val="20"/>
              </w:rPr>
              <w:t>110.74</w:t>
            </w:r>
          </w:p>
        </w:tc>
        <w:tc>
          <w:tcPr>
            <w:tcW w:w="1391" w:type="dxa"/>
            <w:shd w:val="clear" w:color="auto" w:fill="auto"/>
          </w:tcPr>
          <w:p w:rsidRPr="00946BD4" w:rsidR="00B96BB4" w:rsidP="001C54B8" w:rsidRDefault="00B96BB4" w14:paraId="5F406171" w14:textId="02B7D763">
            <w:pPr>
              <w:spacing w:after="0" w:line="240" w:lineRule="auto"/>
              <w:jc w:val="center"/>
              <w:rPr>
                <w:rFonts w:cs="Times New Roman"/>
                <w:sz w:val="20"/>
                <w:szCs w:val="20"/>
              </w:rPr>
            </w:pPr>
            <w:r w:rsidRPr="00946BD4">
              <w:rPr>
                <w:sz w:val="20"/>
                <w:szCs w:val="20"/>
              </w:rPr>
              <w:t>22,148</w:t>
            </w:r>
          </w:p>
        </w:tc>
      </w:tr>
      <w:tr w:rsidRPr="00946BD4" w:rsidR="00B96BB4" w:rsidTr="00E071E1" w14:paraId="141F8249" w14:textId="77777777">
        <w:trPr>
          <w:trHeight w:val="800"/>
          <w:tblHeader/>
        </w:trPr>
        <w:tc>
          <w:tcPr>
            <w:tcW w:w="1530" w:type="dxa"/>
            <w:shd w:val="clear" w:color="auto" w:fill="auto"/>
          </w:tcPr>
          <w:p w:rsidRPr="00946BD4" w:rsidR="00B96BB4" w:rsidP="003847FD" w:rsidRDefault="00B96BB4" w14:paraId="6E2F169E" w14:textId="4BEE31F1">
            <w:pPr>
              <w:spacing w:after="0" w:line="240" w:lineRule="auto"/>
              <w:rPr>
                <w:sz w:val="20"/>
                <w:szCs w:val="20"/>
              </w:rPr>
            </w:pPr>
            <w:r w:rsidRPr="00946BD4">
              <w:rPr>
                <w:sz w:val="20"/>
                <w:szCs w:val="20"/>
              </w:rPr>
              <w:t>SMI/SED Current Availability Assessment (Subsequent Years)</w:t>
            </w:r>
          </w:p>
        </w:tc>
        <w:tc>
          <w:tcPr>
            <w:tcW w:w="1350" w:type="dxa"/>
            <w:vMerge/>
            <w:shd w:val="clear" w:color="auto" w:fill="auto"/>
          </w:tcPr>
          <w:p w:rsidRPr="00946BD4" w:rsidR="00B96BB4" w:rsidP="00165097" w:rsidRDefault="00B96BB4" w14:paraId="1F839832" w14:textId="60D60879">
            <w:pPr>
              <w:spacing w:after="0" w:line="240" w:lineRule="auto"/>
              <w:jc w:val="center"/>
              <w:rPr>
                <w:sz w:val="20"/>
                <w:szCs w:val="20"/>
              </w:rPr>
            </w:pPr>
          </w:p>
        </w:tc>
        <w:tc>
          <w:tcPr>
            <w:tcW w:w="1530" w:type="dxa"/>
            <w:vMerge/>
            <w:shd w:val="clear" w:color="auto" w:fill="auto"/>
          </w:tcPr>
          <w:p w:rsidRPr="00946BD4" w:rsidR="00B96BB4" w:rsidP="00165097" w:rsidRDefault="00B96BB4" w14:paraId="1672861E" w14:textId="6E1F8A58">
            <w:pPr>
              <w:spacing w:after="0" w:line="240" w:lineRule="auto"/>
              <w:jc w:val="center"/>
              <w:rPr>
                <w:sz w:val="20"/>
                <w:szCs w:val="20"/>
              </w:rPr>
            </w:pPr>
          </w:p>
        </w:tc>
        <w:tc>
          <w:tcPr>
            <w:tcW w:w="1350" w:type="dxa"/>
            <w:shd w:val="clear" w:color="auto" w:fill="auto"/>
          </w:tcPr>
          <w:p w:rsidRPr="00946BD4" w:rsidR="00B96BB4" w:rsidP="00165097" w:rsidRDefault="00B96BB4" w14:paraId="428FD91B" w14:textId="01A3BB4D">
            <w:pPr>
              <w:spacing w:after="0" w:line="240" w:lineRule="auto"/>
              <w:jc w:val="center"/>
              <w:rPr>
                <w:sz w:val="20"/>
                <w:szCs w:val="20"/>
              </w:rPr>
            </w:pPr>
            <w:r w:rsidRPr="00946BD4">
              <w:rPr>
                <w:sz w:val="20"/>
                <w:szCs w:val="20"/>
              </w:rPr>
              <w:t>8</w:t>
            </w:r>
          </w:p>
        </w:tc>
        <w:tc>
          <w:tcPr>
            <w:tcW w:w="1080" w:type="dxa"/>
          </w:tcPr>
          <w:p w:rsidRPr="00946BD4" w:rsidR="00B96BB4" w:rsidP="00165097" w:rsidRDefault="00B96BB4" w14:paraId="2388C118" w14:textId="3B0FEF87">
            <w:pPr>
              <w:spacing w:after="0" w:line="240" w:lineRule="auto"/>
              <w:jc w:val="center"/>
              <w:rPr>
                <w:sz w:val="20"/>
                <w:szCs w:val="20"/>
              </w:rPr>
            </w:pPr>
            <w:r w:rsidRPr="00946BD4">
              <w:rPr>
                <w:sz w:val="20"/>
                <w:szCs w:val="20"/>
              </w:rPr>
              <w:t>80</w:t>
            </w:r>
          </w:p>
        </w:tc>
        <w:tc>
          <w:tcPr>
            <w:tcW w:w="1350" w:type="dxa"/>
          </w:tcPr>
          <w:p w:rsidRPr="00946BD4" w:rsidR="00B96BB4" w:rsidP="00165097" w:rsidRDefault="00B96BB4" w14:paraId="506478DB" w14:textId="6E307F01">
            <w:pPr>
              <w:spacing w:after="0" w:line="240" w:lineRule="auto"/>
              <w:jc w:val="center"/>
              <w:rPr>
                <w:sz w:val="20"/>
                <w:szCs w:val="20"/>
              </w:rPr>
            </w:pPr>
            <w:r w:rsidRPr="00946BD4">
              <w:rPr>
                <w:sz w:val="20"/>
                <w:szCs w:val="20"/>
              </w:rPr>
              <w:t>110.74</w:t>
            </w:r>
          </w:p>
        </w:tc>
        <w:tc>
          <w:tcPr>
            <w:tcW w:w="1391" w:type="dxa"/>
            <w:shd w:val="clear" w:color="auto" w:fill="auto"/>
          </w:tcPr>
          <w:p w:rsidRPr="00946BD4" w:rsidR="00B96BB4" w:rsidP="001C54B8" w:rsidRDefault="00B96BB4" w14:paraId="397D39CF" w14:textId="417CD815">
            <w:pPr>
              <w:spacing w:after="0" w:line="240" w:lineRule="auto"/>
              <w:jc w:val="center"/>
              <w:rPr>
                <w:sz w:val="20"/>
                <w:szCs w:val="20"/>
              </w:rPr>
            </w:pPr>
            <w:r w:rsidRPr="00946BD4">
              <w:rPr>
                <w:sz w:val="20"/>
                <w:szCs w:val="20"/>
              </w:rPr>
              <w:t>8,859</w:t>
            </w:r>
          </w:p>
        </w:tc>
      </w:tr>
      <w:tr w:rsidRPr="00946BD4" w:rsidR="00A2132C" w:rsidTr="004E5356" w14:paraId="0C68272A" w14:textId="77777777">
        <w:tc>
          <w:tcPr>
            <w:tcW w:w="1530" w:type="dxa"/>
            <w:shd w:val="clear" w:color="auto" w:fill="D9D9D9" w:themeFill="background1" w:themeFillShade="D9"/>
          </w:tcPr>
          <w:p w:rsidRPr="00946BD4" w:rsidR="00A2132C" w:rsidP="00A2132C" w:rsidRDefault="00A2132C" w14:paraId="20316724" w14:textId="15DC9ADE">
            <w:pPr>
              <w:spacing w:after="0" w:line="240" w:lineRule="auto"/>
              <w:rPr>
                <w:b/>
                <w:sz w:val="20"/>
                <w:szCs w:val="20"/>
              </w:rPr>
            </w:pPr>
            <w:r w:rsidRPr="00946BD4">
              <w:rPr>
                <w:b/>
                <w:sz w:val="20"/>
                <w:szCs w:val="20"/>
              </w:rPr>
              <w:t>TOTAL</w:t>
            </w:r>
          </w:p>
        </w:tc>
        <w:tc>
          <w:tcPr>
            <w:tcW w:w="1350" w:type="dxa"/>
            <w:shd w:val="clear" w:color="auto" w:fill="D9D9D9" w:themeFill="background1" w:themeFillShade="D9"/>
          </w:tcPr>
          <w:p w:rsidRPr="00946BD4" w:rsidR="00A2132C" w:rsidP="00165097" w:rsidRDefault="002A613C" w14:paraId="224E868E" w14:textId="381DADB6">
            <w:pPr>
              <w:spacing w:after="0" w:line="240" w:lineRule="auto"/>
              <w:jc w:val="center"/>
              <w:rPr>
                <w:rFonts w:ascii="Calibri" w:hAnsi="Calibri"/>
                <w:b/>
                <w:sz w:val="20"/>
                <w:szCs w:val="20"/>
              </w:rPr>
            </w:pPr>
            <w:r w:rsidRPr="00946BD4">
              <w:rPr>
                <w:rFonts w:ascii="Calibri" w:hAnsi="Calibri"/>
                <w:b/>
                <w:sz w:val="20"/>
                <w:szCs w:val="20"/>
              </w:rPr>
              <w:t>10</w:t>
            </w:r>
          </w:p>
        </w:tc>
        <w:tc>
          <w:tcPr>
            <w:tcW w:w="1530" w:type="dxa"/>
            <w:shd w:val="clear" w:color="auto" w:fill="D9D9D9" w:themeFill="background1" w:themeFillShade="D9"/>
          </w:tcPr>
          <w:p w:rsidRPr="00946BD4" w:rsidR="00A2132C" w:rsidP="00165097" w:rsidRDefault="009E2714" w14:paraId="398CAB16" w14:textId="2C372DD8">
            <w:pPr>
              <w:spacing w:after="0" w:line="240" w:lineRule="auto"/>
              <w:jc w:val="center"/>
              <w:rPr>
                <w:rFonts w:ascii="Calibri" w:hAnsi="Calibri"/>
                <w:b/>
                <w:sz w:val="20"/>
                <w:szCs w:val="20"/>
              </w:rPr>
            </w:pPr>
            <w:r>
              <w:rPr>
                <w:rFonts w:ascii="Calibri" w:hAnsi="Calibri"/>
                <w:b/>
                <w:sz w:val="20"/>
                <w:szCs w:val="20"/>
              </w:rPr>
              <w:t>110</w:t>
            </w:r>
            <w:bookmarkStart w:name="_GoBack" w:id="10"/>
            <w:bookmarkEnd w:id="10"/>
          </w:p>
        </w:tc>
        <w:tc>
          <w:tcPr>
            <w:tcW w:w="1350" w:type="dxa"/>
            <w:shd w:val="clear" w:color="auto" w:fill="D9D9D9" w:themeFill="background1" w:themeFillShade="D9"/>
          </w:tcPr>
          <w:p w:rsidRPr="00946BD4" w:rsidR="00A2132C" w:rsidP="00165097" w:rsidRDefault="00BB0760" w14:paraId="648C38FE" w14:textId="32E15415">
            <w:pPr>
              <w:spacing w:after="0" w:line="240" w:lineRule="auto"/>
              <w:jc w:val="center"/>
              <w:rPr>
                <w:rFonts w:ascii="Calibri" w:hAnsi="Calibri"/>
                <w:b/>
                <w:sz w:val="20"/>
                <w:szCs w:val="20"/>
              </w:rPr>
            </w:pPr>
            <w:r w:rsidRPr="00946BD4">
              <w:rPr>
                <w:rFonts w:ascii="Calibri" w:hAnsi="Calibri"/>
                <w:b/>
                <w:sz w:val="20"/>
                <w:szCs w:val="20"/>
              </w:rPr>
              <w:t>Varies</w:t>
            </w:r>
          </w:p>
        </w:tc>
        <w:tc>
          <w:tcPr>
            <w:tcW w:w="1080" w:type="dxa"/>
            <w:shd w:val="clear" w:color="auto" w:fill="D9D9D9" w:themeFill="background1" w:themeFillShade="D9"/>
          </w:tcPr>
          <w:p w:rsidRPr="00946BD4" w:rsidR="00A2132C" w:rsidP="00165097" w:rsidRDefault="00DF698B" w14:paraId="7273457B" w14:textId="614EB743">
            <w:pPr>
              <w:spacing w:after="0" w:line="240" w:lineRule="auto"/>
              <w:jc w:val="center"/>
              <w:rPr>
                <w:rFonts w:ascii="Calibri" w:hAnsi="Calibri"/>
                <w:b/>
                <w:sz w:val="20"/>
                <w:szCs w:val="20"/>
              </w:rPr>
            </w:pPr>
            <w:r>
              <w:rPr>
                <w:rFonts w:ascii="Calibri" w:hAnsi="Calibri"/>
                <w:b/>
                <w:sz w:val="20"/>
                <w:szCs w:val="20"/>
              </w:rPr>
              <w:t>3,140</w:t>
            </w:r>
          </w:p>
        </w:tc>
        <w:tc>
          <w:tcPr>
            <w:tcW w:w="1350" w:type="dxa"/>
            <w:shd w:val="clear" w:color="auto" w:fill="D9D9D9" w:themeFill="background1" w:themeFillShade="D9"/>
          </w:tcPr>
          <w:p w:rsidRPr="00946BD4" w:rsidR="00A2132C" w:rsidP="00165097" w:rsidRDefault="00A2132C" w14:paraId="4B3D7E63" w14:textId="5B8F79AE">
            <w:pPr>
              <w:spacing w:after="0" w:line="240" w:lineRule="auto"/>
              <w:jc w:val="center"/>
              <w:rPr>
                <w:b/>
                <w:sz w:val="20"/>
                <w:szCs w:val="20"/>
              </w:rPr>
            </w:pPr>
            <w:r w:rsidRPr="00946BD4">
              <w:rPr>
                <w:b/>
                <w:sz w:val="20"/>
                <w:szCs w:val="20"/>
              </w:rPr>
              <w:t>Varies</w:t>
            </w:r>
          </w:p>
        </w:tc>
        <w:tc>
          <w:tcPr>
            <w:tcW w:w="1391" w:type="dxa"/>
            <w:shd w:val="clear" w:color="auto" w:fill="D9D9D9" w:themeFill="background1" w:themeFillShade="D9"/>
          </w:tcPr>
          <w:p w:rsidRPr="00946BD4" w:rsidR="00A2132C" w:rsidP="00165097" w:rsidRDefault="00237D3B" w14:paraId="11267BCD" w14:textId="13462A94">
            <w:pPr>
              <w:spacing w:after="0" w:line="240" w:lineRule="auto"/>
              <w:jc w:val="center"/>
              <w:rPr>
                <w:b/>
                <w:sz w:val="20"/>
                <w:szCs w:val="20"/>
              </w:rPr>
            </w:pPr>
            <w:r>
              <w:rPr>
                <w:b/>
                <w:sz w:val="20"/>
                <w:szCs w:val="20"/>
              </w:rPr>
              <w:t>299,161</w:t>
            </w:r>
          </w:p>
        </w:tc>
      </w:tr>
    </w:tbl>
    <w:p w:rsidR="00421E04" w:rsidP="009333CB" w:rsidRDefault="00421E04" w14:paraId="65660BE2" w14:textId="77777777">
      <w:pPr>
        <w:spacing w:after="0" w:line="240" w:lineRule="auto"/>
        <w:rPr>
          <w:i/>
        </w:rPr>
      </w:pPr>
    </w:p>
    <w:p w:rsidRPr="0045367A" w:rsidR="009333CB" w:rsidP="009333CB" w:rsidRDefault="009333CB" w14:paraId="203CC2B2" w14:textId="17D870A4">
      <w:pPr>
        <w:spacing w:after="0" w:line="240" w:lineRule="auto"/>
        <w:rPr>
          <w:i/>
        </w:rPr>
      </w:pPr>
      <w:r w:rsidRPr="0045367A">
        <w:rPr>
          <w:i/>
        </w:rPr>
        <w:t>Information Collection Instruments and Instruction/Guidance Documents</w:t>
      </w:r>
    </w:p>
    <w:p w:rsidRPr="00472269" w:rsidR="009333CB" w:rsidP="009333CB" w:rsidRDefault="009333CB" w14:paraId="5605F736" w14:textId="77777777">
      <w:pPr>
        <w:pStyle w:val="BodyText"/>
        <w:rPr>
          <w:sz w:val="24"/>
        </w:rPr>
      </w:pPr>
    </w:p>
    <w:p w:rsidR="009333CB" w:rsidP="0088327A" w:rsidRDefault="009333CB" w14:paraId="3DE9B692" w14:textId="2C8BDDCB">
      <w:pPr>
        <w:pStyle w:val="BodyText"/>
        <w:numPr>
          <w:ilvl w:val="0"/>
          <w:numId w:val="2"/>
        </w:numPr>
        <w:ind w:left="806"/>
        <w:rPr>
          <w:i w:val="0"/>
          <w:sz w:val="24"/>
          <w:szCs w:val="24"/>
        </w:rPr>
      </w:pPr>
      <w:r w:rsidRPr="006B4702">
        <w:rPr>
          <w:i w:val="0"/>
          <w:sz w:val="24"/>
          <w:szCs w:val="24"/>
        </w:rPr>
        <w:t xml:space="preserve">Video: </w:t>
      </w:r>
      <w:hyperlink w:history="1" r:id="rId16">
        <w:r w:rsidRPr="006B4702">
          <w:rPr>
            <w:rStyle w:val="Hyperlink"/>
            <w:i w:val="0"/>
            <w:sz w:val="24"/>
            <w:szCs w:val="24"/>
          </w:rPr>
          <w:t>Overview of the Standardized Monitoring Report Process</w:t>
        </w:r>
      </w:hyperlink>
      <w:r w:rsidRPr="006B4702">
        <w:rPr>
          <w:i w:val="0"/>
          <w:sz w:val="24"/>
          <w:szCs w:val="24"/>
        </w:rPr>
        <w:t xml:space="preserve"> </w:t>
      </w:r>
      <w:r>
        <w:rPr>
          <w:i w:val="0"/>
          <w:sz w:val="24"/>
          <w:szCs w:val="24"/>
        </w:rPr>
        <w:t>(</w:t>
      </w:r>
      <w:r w:rsidRPr="009D1A53">
        <w:rPr>
          <w:sz w:val="24"/>
          <w:szCs w:val="24"/>
        </w:rPr>
        <w:t>8:59 minutes</w:t>
      </w:r>
      <w:r>
        <w:rPr>
          <w:i w:val="0"/>
          <w:sz w:val="24"/>
          <w:szCs w:val="24"/>
        </w:rPr>
        <w:t>)</w:t>
      </w:r>
      <w:r w:rsidR="00A74CF5">
        <w:rPr>
          <w:i w:val="0"/>
          <w:sz w:val="24"/>
          <w:szCs w:val="24"/>
        </w:rPr>
        <w:t xml:space="preserve"> (see link)</w:t>
      </w:r>
    </w:p>
    <w:p w:rsidR="009333CB" w:rsidP="0088327A" w:rsidRDefault="009333CB" w14:paraId="4A0DE4B7" w14:textId="6FB59766">
      <w:pPr>
        <w:pStyle w:val="BodyText"/>
        <w:numPr>
          <w:ilvl w:val="0"/>
          <w:numId w:val="2"/>
        </w:numPr>
        <w:ind w:left="806"/>
        <w:rPr>
          <w:i w:val="0"/>
          <w:sz w:val="24"/>
          <w:szCs w:val="24"/>
        </w:rPr>
      </w:pPr>
      <w:r w:rsidRPr="006B4702">
        <w:rPr>
          <w:i w:val="0"/>
          <w:sz w:val="24"/>
          <w:szCs w:val="24"/>
        </w:rPr>
        <w:lastRenderedPageBreak/>
        <w:t xml:space="preserve">Video: </w:t>
      </w:r>
      <w:hyperlink w:history="1" r:id="rId17">
        <w:r w:rsidRPr="006B4702">
          <w:rPr>
            <w:rStyle w:val="Hyperlink"/>
            <w:i w:val="0"/>
            <w:sz w:val="24"/>
            <w:szCs w:val="24"/>
          </w:rPr>
          <w:t>Populating and Submitting Monitoring Templates</w:t>
        </w:r>
      </w:hyperlink>
      <w:r>
        <w:rPr>
          <w:i w:val="0"/>
          <w:sz w:val="24"/>
          <w:szCs w:val="24"/>
        </w:rPr>
        <w:t xml:space="preserve"> (</w:t>
      </w:r>
      <w:r w:rsidRPr="009D1A53">
        <w:rPr>
          <w:sz w:val="24"/>
          <w:szCs w:val="24"/>
        </w:rPr>
        <w:t>8:24 minutes</w:t>
      </w:r>
      <w:r>
        <w:rPr>
          <w:i w:val="0"/>
          <w:sz w:val="24"/>
          <w:szCs w:val="24"/>
        </w:rPr>
        <w:t>)</w:t>
      </w:r>
      <w:r w:rsidR="00A74CF5">
        <w:rPr>
          <w:i w:val="0"/>
          <w:sz w:val="24"/>
          <w:szCs w:val="24"/>
        </w:rPr>
        <w:t xml:space="preserve"> (see link)</w:t>
      </w:r>
    </w:p>
    <w:p w:rsidRPr="006B4702" w:rsidR="009333CB" w:rsidP="0088327A" w:rsidRDefault="009333CB" w14:paraId="120C2CFB" w14:textId="24FA0CE7">
      <w:pPr>
        <w:pStyle w:val="BodyText"/>
        <w:numPr>
          <w:ilvl w:val="0"/>
          <w:numId w:val="2"/>
        </w:numPr>
        <w:ind w:left="806"/>
        <w:rPr>
          <w:i w:val="0"/>
          <w:sz w:val="24"/>
          <w:szCs w:val="24"/>
        </w:rPr>
      </w:pPr>
      <w:r w:rsidRPr="006B4702">
        <w:rPr>
          <w:i w:val="0"/>
          <w:sz w:val="24"/>
          <w:szCs w:val="24"/>
        </w:rPr>
        <w:t xml:space="preserve">Video: </w:t>
      </w:r>
      <w:hyperlink w:history="1" r:id="rId18">
        <w:r w:rsidRPr="006B4702">
          <w:rPr>
            <w:rStyle w:val="Hyperlink"/>
            <w:i w:val="0"/>
            <w:sz w:val="24"/>
            <w:szCs w:val="24"/>
          </w:rPr>
          <w:t>Downloading 1115 Monitoring Report Templates</w:t>
        </w:r>
      </w:hyperlink>
      <w:r>
        <w:rPr>
          <w:i w:val="0"/>
          <w:sz w:val="24"/>
          <w:szCs w:val="24"/>
        </w:rPr>
        <w:t xml:space="preserve"> (</w:t>
      </w:r>
      <w:r w:rsidRPr="009D1A53">
        <w:rPr>
          <w:sz w:val="24"/>
          <w:szCs w:val="24"/>
        </w:rPr>
        <w:t>2:59 minutes</w:t>
      </w:r>
      <w:r>
        <w:rPr>
          <w:i w:val="0"/>
          <w:sz w:val="24"/>
          <w:szCs w:val="24"/>
        </w:rPr>
        <w:t>)</w:t>
      </w:r>
      <w:r w:rsidR="00A74CF5">
        <w:rPr>
          <w:i w:val="0"/>
          <w:sz w:val="24"/>
          <w:szCs w:val="24"/>
        </w:rPr>
        <w:t xml:space="preserve"> (see link)</w:t>
      </w:r>
    </w:p>
    <w:p w:rsidR="00BE6E2E" w:rsidP="0088327A" w:rsidRDefault="00B06EA8" w14:paraId="2A2FF0AE" w14:textId="11D9AD6E">
      <w:pPr>
        <w:pStyle w:val="BodyText"/>
        <w:numPr>
          <w:ilvl w:val="0"/>
          <w:numId w:val="2"/>
        </w:numPr>
        <w:rPr>
          <w:i w:val="0"/>
          <w:sz w:val="24"/>
          <w:szCs w:val="24"/>
        </w:rPr>
      </w:pPr>
      <w:r>
        <w:rPr>
          <w:i w:val="0"/>
          <w:color w:val="000000"/>
          <w:sz w:val="24"/>
          <w:szCs w:val="24"/>
        </w:rPr>
        <w:t xml:space="preserve">Medicaid Section 1115 </w:t>
      </w:r>
      <w:r w:rsidR="00D062B3">
        <w:rPr>
          <w:i w:val="0"/>
          <w:color w:val="000000"/>
          <w:sz w:val="24"/>
          <w:szCs w:val="24"/>
        </w:rPr>
        <w:t>SMI</w:t>
      </w:r>
      <w:r w:rsidR="000358CB">
        <w:rPr>
          <w:i w:val="0"/>
          <w:color w:val="000000"/>
          <w:sz w:val="24"/>
          <w:szCs w:val="24"/>
        </w:rPr>
        <w:t>/SED</w:t>
      </w:r>
      <w:r>
        <w:rPr>
          <w:i w:val="0"/>
          <w:color w:val="000000"/>
          <w:sz w:val="24"/>
          <w:szCs w:val="24"/>
        </w:rPr>
        <w:t xml:space="preserve"> Implementation Plan Template</w:t>
      </w:r>
      <w:r w:rsidR="00660108">
        <w:rPr>
          <w:i w:val="0"/>
          <w:color w:val="000000"/>
          <w:sz w:val="24"/>
          <w:szCs w:val="24"/>
        </w:rPr>
        <w:t xml:space="preserve"> </w:t>
      </w:r>
      <w:r w:rsidR="00A74CF5">
        <w:rPr>
          <w:i w:val="0"/>
          <w:color w:val="000000"/>
          <w:sz w:val="24"/>
          <w:szCs w:val="24"/>
        </w:rPr>
        <w:t>(</w:t>
      </w:r>
      <w:r w:rsidRPr="00A74CF5" w:rsidR="00A74CF5">
        <w:rPr>
          <w:i w:val="0"/>
          <w:color w:val="000000"/>
          <w:sz w:val="24"/>
          <w:szCs w:val="24"/>
        </w:rPr>
        <w:t>smi-impl-plan-template</w:t>
      </w:r>
      <w:r w:rsidR="00A74CF5">
        <w:rPr>
          <w:i w:val="0"/>
          <w:color w:val="000000"/>
          <w:sz w:val="24"/>
          <w:szCs w:val="24"/>
        </w:rPr>
        <w:t>.pdf)</w:t>
      </w:r>
    </w:p>
    <w:p w:rsidR="009333CB" w:rsidP="0088327A" w:rsidRDefault="00151312" w14:paraId="78264D41" w14:textId="4EB9C106">
      <w:pPr>
        <w:pStyle w:val="BodyText"/>
        <w:numPr>
          <w:ilvl w:val="0"/>
          <w:numId w:val="2"/>
        </w:numPr>
        <w:rPr>
          <w:i w:val="0"/>
          <w:sz w:val="24"/>
          <w:szCs w:val="24"/>
        </w:rPr>
      </w:pPr>
      <w:r w:rsidRPr="00151312">
        <w:rPr>
          <w:i w:val="0"/>
          <w:sz w:val="24"/>
          <w:szCs w:val="24"/>
        </w:rPr>
        <w:t xml:space="preserve">Medicaid Section 1115 </w:t>
      </w:r>
      <w:r w:rsidR="00D062B3">
        <w:rPr>
          <w:i w:val="0"/>
          <w:sz w:val="24"/>
          <w:szCs w:val="24"/>
        </w:rPr>
        <w:t>SMI</w:t>
      </w:r>
      <w:r w:rsidR="000358CB">
        <w:rPr>
          <w:i w:val="0"/>
          <w:sz w:val="24"/>
          <w:szCs w:val="24"/>
        </w:rPr>
        <w:t>/SED</w:t>
      </w:r>
      <w:r w:rsidRPr="00151312">
        <w:rPr>
          <w:i w:val="0"/>
          <w:sz w:val="24"/>
          <w:szCs w:val="24"/>
        </w:rPr>
        <w:t xml:space="preserve"> Demonstration Monitoring Report</w:t>
      </w:r>
      <w:r w:rsidR="000358CB">
        <w:rPr>
          <w:i w:val="0"/>
          <w:sz w:val="24"/>
          <w:szCs w:val="24"/>
        </w:rPr>
        <w:t xml:space="preserve"> Template</w:t>
      </w:r>
      <w:r w:rsidR="00A74CF5">
        <w:rPr>
          <w:i w:val="0"/>
          <w:sz w:val="24"/>
          <w:szCs w:val="24"/>
        </w:rPr>
        <w:t xml:space="preserve"> (</w:t>
      </w:r>
      <w:r w:rsidRPr="00A74CF5" w:rsidR="00A74CF5">
        <w:rPr>
          <w:i w:val="0"/>
          <w:sz w:val="24"/>
          <w:szCs w:val="24"/>
        </w:rPr>
        <w:t>1115-SMI-Monitoring-Report-Template</w:t>
      </w:r>
      <w:r w:rsidR="00A74CF5">
        <w:rPr>
          <w:i w:val="0"/>
          <w:sz w:val="24"/>
          <w:szCs w:val="24"/>
        </w:rPr>
        <w:t>.docx</w:t>
      </w:r>
      <w:r w:rsidR="00C876F0">
        <w:rPr>
          <w:i w:val="0"/>
          <w:sz w:val="24"/>
          <w:szCs w:val="24"/>
        </w:rPr>
        <w:t>/.pdf</w:t>
      </w:r>
      <w:r w:rsidR="00A74CF5">
        <w:rPr>
          <w:i w:val="0"/>
          <w:sz w:val="24"/>
          <w:szCs w:val="24"/>
        </w:rPr>
        <w:t>)</w:t>
      </w:r>
    </w:p>
    <w:p w:rsidRPr="00FA2A71" w:rsidR="009333CB" w:rsidP="0088327A" w:rsidRDefault="00151312" w14:paraId="706EC007" w14:textId="726D562B">
      <w:pPr>
        <w:pStyle w:val="BodyText"/>
        <w:numPr>
          <w:ilvl w:val="0"/>
          <w:numId w:val="2"/>
        </w:numPr>
        <w:rPr>
          <w:i w:val="0"/>
          <w:sz w:val="24"/>
          <w:szCs w:val="24"/>
        </w:rPr>
      </w:pPr>
      <w:r w:rsidRPr="00151312">
        <w:rPr>
          <w:i w:val="0"/>
          <w:sz w:val="24"/>
        </w:rPr>
        <w:t xml:space="preserve">Section 1115 </w:t>
      </w:r>
      <w:r w:rsidR="00D062B3">
        <w:rPr>
          <w:i w:val="0"/>
          <w:sz w:val="24"/>
        </w:rPr>
        <w:t>SMI</w:t>
      </w:r>
      <w:r w:rsidR="000358CB">
        <w:rPr>
          <w:i w:val="0"/>
          <w:sz w:val="24"/>
        </w:rPr>
        <w:t>/SED</w:t>
      </w:r>
      <w:r w:rsidRPr="00FA2A71">
        <w:rPr>
          <w:i w:val="0"/>
          <w:sz w:val="24"/>
        </w:rPr>
        <w:t xml:space="preserve"> Demonstrations Monitoring Metrics Technical Specifications</w:t>
      </w:r>
      <w:r w:rsidRPr="00FA2A71" w:rsidDel="00151312">
        <w:rPr>
          <w:i w:val="0"/>
          <w:sz w:val="24"/>
          <w:szCs w:val="24"/>
        </w:rPr>
        <w:t xml:space="preserve"> </w:t>
      </w:r>
      <w:r w:rsidR="00A74CF5">
        <w:rPr>
          <w:i w:val="0"/>
          <w:sz w:val="24"/>
          <w:szCs w:val="24"/>
        </w:rPr>
        <w:t>(</w:t>
      </w:r>
      <w:r w:rsidRPr="00A74CF5" w:rsidR="00A74CF5">
        <w:rPr>
          <w:i w:val="0"/>
          <w:sz w:val="24"/>
          <w:szCs w:val="24"/>
        </w:rPr>
        <w:t>1115_SMI_Metrics_Tech_specs_v1</w:t>
      </w:r>
      <w:r w:rsidR="00A74CF5">
        <w:rPr>
          <w:i w:val="0"/>
          <w:sz w:val="24"/>
          <w:szCs w:val="24"/>
        </w:rPr>
        <w:t>.pdf)</w:t>
      </w:r>
    </w:p>
    <w:p w:rsidRPr="00A74CF5" w:rsidR="009333CB" w:rsidP="0088327A" w:rsidRDefault="00FA2A71" w14:paraId="50840457" w14:textId="7499CA43">
      <w:pPr>
        <w:pStyle w:val="BodyText"/>
        <w:numPr>
          <w:ilvl w:val="0"/>
          <w:numId w:val="2"/>
        </w:numPr>
        <w:rPr>
          <w:i w:val="0"/>
          <w:sz w:val="24"/>
          <w:szCs w:val="24"/>
        </w:rPr>
      </w:pPr>
      <w:r w:rsidRPr="00FA2A71">
        <w:rPr>
          <w:i w:val="0"/>
          <w:sz w:val="24"/>
        </w:rPr>
        <w:t xml:space="preserve">Medicaid Section 1115 </w:t>
      </w:r>
      <w:r w:rsidR="00D062B3">
        <w:rPr>
          <w:i w:val="0"/>
          <w:sz w:val="24"/>
        </w:rPr>
        <w:t>SMI</w:t>
      </w:r>
      <w:r w:rsidR="000358CB">
        <w:rPr>
          <w:i w:val="0"/>
          <w:sz w:val="24"/>
        </w:rPr>
        <w:t>/SED</w:t>
      </w:r>
      <w:r w:rsidRPr="00FA2A71">
        <w:rPr>
          <w:i w:val="0"/>
          <w:sz w:val="24"/>
        </w:rPr>
        <w:t xml:space="preserve"> Demo</w:t>
      </w:r>
      <w:r w:rsidR="002A613C">
        <w:rPr>
          <w:i w:val="0"/>
          <w:sz w:val="24"/>
        </w:rPr>
        <w:t xml:space="preserve">nstration Monitoring Protocol </w:t>
      </w:r>
      <w:r w:rsidR="00A74CF5">
        <w:rPr>
          <w:i w:val="0"/>
          <w:sz w:val="24"/>
        </w:rPr>
        <w:t>Template (</w:t>
      </w:r>
      <w:r w:rsidRPr="00A74CF5" w:rsidR="00A74CF5">
        <w:rPr>
          <w:i w:val="0"/>
          <w:sz w:val="24"/>
        </w:rPr>
        <w:t>1115-SMI-Monitoring-Protocol-Template</w:t>
      </w:r>
      <w:r w:rsidR="00A74CF5">
        <w:rPr>
          <w:i w:val="0"/>
          <w:sz w:val="24"/>
        </w:rPr>
        <w:t>.docx</w:t>
      </w:r>
      <w:r w:rsidR="00C876F0">
        <w:rPr>
          <w:i w:val="0"/>
          <w:sz w:val="24"/>
        </w:rPr>
        <w:t>/.pdf</w:t>
      </w:r>
      <w:r w:rsidR="00A74CF5">
        <w:rPr>
          <w:i w:val="0"/>
          <w:sz w:val="24"/>
        </w:rPr>
        <w:t>)</w:t>
      </w:r>
    </w:p>
    <w:p w:rsidRPr="00A74CF5" w:rsidR="00A74CF5" w:rsidP="00A74CF5" w:rsidRDefault="00A74CF5" w14:paraId="111B6629" w14:textId="30FBDA8F">
      <w:pPr>
        <w:pStyle w:val="BodyText"/>
        <w:numPr>
          <w:ilvl w:val="0"/>
          <w:numId w:val="2"/>
        </w:numPr>
        <w:rPr>
          <w:i w:val="0"/>
          <w:sz w:val="24"/>
          <w:szCs w:val="24"/>
        </w:rPr>
      </w:pPr>
      <w:r w:rsidRPr="00FA2A71">
        <w:rPr>
          <w:i w:val="0"/>
          <w:sz w:val="24"/>
        </w:rPr>
        <w:t xml:space="preserve">Medicaid Section 1115 </w:t>
      </w:r>
      <w:r>
        <w:rPr>
          <w:i w:val="0"/>
          <w:sz w:val="24"/>
        </w:rPr>
        <w:t>SMI/SED</w:t>
      </w:r>
      <w:r w:rsidRPr="00FA2A71">
        <w:rPr>
          <w:i w:val="0"/>
          <w:sz w:val="24"/>
        </w:rPr>
        <w:t xml:space="preserve"> Demo</w:t>
      </w:r>
      <w:r>
        <w:rPr>
          <w:i w:val="0"/>
          <w:sz w:val="24"/>
        </w:rPr>
        <w:t>nstration Monitoring Protocol Instructions (</w:t>
      </w:r>
      <w:r w:rsidRPr="00A74CF5">
        <w:rPr>
          <w:i w:val="0"/>
          <w:sz w:val="24"/>
        </w:rPr>
        <w:t>1115-SMI-Monitoring-Protocol-Template-Instructions</w:t>
      </w:r>
      <w:r>
        <w:rPr>
          <w:i w:val="0"/>
          <w:sz w:val="24"/>
        </w:rPr>
        <w:t>.docx</w:t>
      </w:r>
      <w:r w:rsidR="00C876F0">
        <w:rPr>
          <w:i w:val="0"/>
          <w:sz w:val="24"/>
        </w:rPr>
        <w:t>/.pdf</w:t>
      </w:r>
      <w:r>
        <w:rPr>
          <w:i w:val="0"/>
          <w:sz w:val="24"/>
        </w:rPr>
        <w:t>)</w:t>
      </w:r>
    </w:p>
    <w:p w:rsidRPr="002A613C" w:rsidR="009333CB" w:rsidP="0088327A" w:rsidRDefault="00FA2A71" w14:paraId="73A75246" w14:textId="2BABAC97">
      <w:pPr>
        <w:pStyle w:val="BodyText"/>
        <w:numPr>
          <w:ilvl w:val="0"/>
          <w:numId w:val="2"/>
        </w:numPr>
        <w:rPr>
          <w:i w:val="0"/>
          <w:sz w:val="24"/>
          <w:szCs w:val="24"/>
        </w:rPr>
      </w:pPr>
      <w:r w:rsidRPr="00D062B3">
        <w:rPr>
          <w:i w:val="0"/>
          <w:color w:val="000000"/>
          <w:sz w:val="24"/>
          <w:szCs w:val="24"/>
        </w:rPr>
        <w:t xml:space="preserve">Medicaid Section 1115 </w:t>
      </w:r>
      <w:r w:rsidRPr="00D062B3" w:rsidR="00D062B3">
        <w:rPr>
          <w:i w:val="0"/>
          <w:color w:val="000000"/>
          <w:sz w:val="24"/>
          <w:szCs w:val="24"/>
        </w:rPr>
        <w:t>SMI</w:t>
      </w:r>
      <w:r w:rsidR="000358CB">
        <w:rPr>
          <w:i w:val="0"/>
          <w:color w:val="000000"/>
          <w:sz w:val="24"/>
          <w:szCs w:val="24"/>
        </w:rPr>
        <w:t>/SED</w:t>
      </w:r>
      <w:r w:rsidRPr="00D062B3">
        <w:rPr>
          <w:i w:val="0"/>
          <w:color w:val="000000"/>
          <w:sz w:val="24"/>
          <w:szCs w:val="24"/>
        </w:rPr>
        <w:t xml:space="preserve"> Demonstration Monitoring Report Instructions </w:t>
      </w:r>
      <w:r w:rsidR="00A74CF5">
        <w:rPr>
          <w:i w:val="0"/>
          <w:color w:val="000000"/>
          <w:sz w:val="24"/>
          <w:szCs w:val="24"/>
        </w:rPr>
        <w:t>(</w:t>
      </w:r>
      <w:r w:rsidRPr="00A74CF5" w:rsidR="00A74CF5">
        <w:rPr>
          <w:i w:val="0"/>
          <w:color w:val="000000"/>
          <w:sz w:val="24"/>
          <w:szCs w:val="24"/>
        </w:rPr>
        <w:t>1115-SMI-Monitoring-Report-Template-Instructions</w:t>
      </w:r>
      <w:r w:rsidR="00A74CF5">
        <w:rPr>
          <w:i w:val="0"/>
          <w:color w:val="000000"/>
          <w:sz w:val="24"/>
          <w:szCs w:val="24"/>
        </w:rPr>
        <w:t>.docx</w:t>
      </w:r>
      <w:r w:rsidR="00C876F0">
        <w:rPr>
          <w:i w:val="0"/>
          <w:color w:val="000000"/>
          <w:sz w:val="24"/>
          <w:szCs w:val="24"/>
        </w:rPr>
        <w:t>/.pdf)</w:t>
      </w:r>
    </w:p>
    <w:p w:rsidRPr="00D062B3" w:rsidR="002A613C" w:rsidP="0088327A" w:rsidRDefault="002A613C" w14:paraId="6D42E111" w14:textId="678FB764">
      <w:pPr>
        <w:pStyle w:val="BodyText"/>
        <w:numPr>
          <w:ilvl w:val="0"/>
          <w:numId w:val="2"/>
        </w:numPr>
        <w:rPr>
          <w:i w:val="0"/>
          <w:sz w:val="24"/>
          <w:szCs w:val="24"/>
        </w:rPr>
      </w:pPr>
      <w:r>
        <w:rPr>
          <w:i w:val="0"/>
          <w:color w:val="000000"/>
          <w:sz w:val="24"/>
          <w:szCs w:val="24"/>
        </w:rPr>
        <w:t>Medicaid Section 1115 SMI</w:t>
      </w:r>
      <w:r w:rsidR="000358CB">
        <w:rPr>
          <w:i w:val="0"/>
          <w:color w:val="000000"/>
          <w:sz w:val="24"/>
          <w:szCs w:val="24"/>
        </w:rPr>
        <w:t>/SED</w:t>
      </w:r>
      <w:r>
        <w:rPr>
          <w:i w:val="0"/>
          <w:color w:val="000000"/>
          <w:sz w:val="24"/>
          <w:szCs w:val="24"/>
        </w:rPr>
        <w:t xml:space="preserve"> Demonstration </w:t>
      </w:r>
      <w:r w:rsidR="00A74CF5">
        <w:rPr>
          <w:i w:val="0"/>
          <w:color w:val="000000"/>
          <w:sz w:val="24"/>
          <w:szCs w:val="24"/>
        </w:rPr>
        <w:t xml:space="preserve">Monitoring </w:t>
      </w:r>
      <w:r>
        <w:rPr>
          <w:i w:val="0"/>
          <w:color w:val="000000"/>
          <w:sz w:val="24"/>
          <w:szCs w:val="24"/>
        </w:rPr>
        <w:t>Workbook</w:t>
      </w:r>
      <w:r w:rsidR="00A74CF5">
        <w:rPr>
          <w:i w:val="0"/>
          <w:color w:val="000000"/>
          <w:sz w:val="24"/>
          <w:szCs w:val="24"/>
        </w:rPr>
        <w:t xml:space="preserve"> (</w:t>
      </w:r>
      <w:r w:rsidRPr="00A74CF5" w:rsidR="00A74CF5">
        <w:rPr>
          <w:i w:val="0"/>
          <w:color w:val="000000"/>
          <w:sz w:val="24"/>
          <w:szCs w:val="24"/>
        </w:rPr>
        <w:t>1115-SMI-Monitoring-Workbook_013020</w:t>
      </w:r>
      <w:r w:rsidR="00A74CF5">
        <w:rPr>
          <w:i w:val="0"/>
          <w:color w:val="000000"/>
          <w:sz w:val="24"/>
          <w:szCs w:val="24"/>
        </w:rPr>
        <w:t>.xlsm)</w:t>
      </w:r>
    </w:p>
    <w:p w:rsidR="00D062B3" w:rsidP="0088327A" w:rsidRDefault="00D062B3" w14:paraId="7B7E869F" w14:textId="0B2F5899">
      <w:pPr>
        <w:pStyle w:val="BodyText"/>
        <w:numPr>
          <w:ilvl w:val="0"/>
          <w:numId w:val="2"/>
        </w:numPr>
        <w:rPr>
          <w:i w:val="0"/>
          <w:sz w:val="24"/>
          <w:szCs w:val="24"/>
        </w:rPr>
      </w:pPr>
      <w:r w:rsidRPr="00D062B3">
        <w:rPr>
          <w:i w:val="0"/>
          <w:sz w:val="24"/>
          <w:szCs w:val="24"/>
        </w:rPr>
        <w:t>Medicaid Section 1115 SMI</w:t>
      </w:r>
      <w:r w:rsidR="000358CB">
        <w:rPr>
          <w:i w:val="0"/>
          <w:sz w:val="24"/>
          <w:szCs w:val="24"/>
        </w:rPr>
        <w:t>/SED</w:t>
      </w:r>
      <w:r w:rsidRPr="00D062B3">
        <w:rPr>
          <w:i w:val="0"/>
          <w:sz w:val="24"/>
          <w:szCs w:val="24"/>
        </w:rPr>
        <w:t xml:space="preserve"> Current Availability Assessment</w:t>
      </w:r>
      <w:r w:rsidR="00A74CF5">
        <w:rPr>
          <w:i w:val="0"/>
          <w:sz w:val="24"/>
          <w:szCs w:val="24"/>
        </w:rPr>
        <w:t xml:space="preserve"> (</w:t>
      </w:r>
      <w:r w:rsidRPr="00A74CF5" w:rsidR="00A74CF5">
        <w:rPr>
          <w:i w:val="0"/>
          <w:sz w:val="24"/>
          <w:szCs w:val="24"/>
        </w:rPr>
        <w:t>1115-smi-current-availability-assessment_013020</w:t>
      </w:r>
      <w:r w:rsidR="00A74CF5">
        <w:rPr>
          <w:i w:val="0"/>
          <w:sz w:val="24"/>
          <w:szCs w:val="24"/>
        </w:rPr>
        <w:t>.xlsm)</w:t>
      </w:r>
    </w:p>
    <w:p w:rsidRPr="00D062B3" w:rsidR="004745BF" w:rsidP="0088327A" w:rsidRDefault="004745BF" w14:paraId="338AB99C" w14:textId="0EEDF58B">
      <w:pPr>
        <w:pStyle w:val="BodyText"/>
        <w:numPr>
          <w:ilvl w:val="0"/>
          <w:numId w:val="2"/>
        </w:numPr>
        <w:rPr>
          <w:i w:val="0"/>
          <w:sz w:val="24"/>
          <w:szCs w:val="24"/>
        </w:rPr>
      </w:pPr>
      <w:r>
        <w:rPr>
          <w:i w:val="0"/>
          <w:sz w:val="24"/>
          <w:szCs w:val="24"/>
        </w:rPr>
        <w:t>SMI_SED_HIT Plan Instructions</w:t>
      </w:r>
      <w:r w:rsidR="00A74CF5">
        <w:rPr>
          <w:i w:val="0"/>
          <w:sz w:val="24"/>
          <w:szCs w:val="24"/>
        </w:rPr>
        <w:t xml:space="preserve"> (</w:t>
      </w:r>
      <w:r w:rsidRPr="00A74CF5" w:rsidR="00A74CF5">
        <w:rPr>
          <w:i w:val="0"/>
          <w:sz w:val="24"/>
          <w:szCs w:val="24"/>
        </w:rPr>
        <w:t>SMI_SED_HIT_Plan_Instructions</w:t>
      </w:r>
      <w:r w:rsidR="00A74CF5">
        <w:rPr>
          <w:i w:val="0"/>
          <w:sz w:val="24"/>
          <w:szCs w:val="24"/>
        </w:rPr>
        <w:t>.pdf)</w:t>
      </w:r>
    </w:p>
    <w:p w:rsidRPr="00D062B3" w:rsidR="009333CB" w:rsidP="0088327A" w:rsidRDefault="009A7609" w14:paraId="750C2B02" w14:textId="79868472">
      <w:pPr>
        <w:pStyle w:val="BodyText"/>
        <w:numPr>
          <w:ilvl w:val="0"/>
          <w:numId w:val="2"/>
        </w:numPr>
        <w:rPr>
          <w:i w:val="0"/>
          <w:sz w:val="24"/>
          <w:szCs w:val="24"/>
        </w:rPr>
      </w:pPr>
      <w:r w:rsidRPr="00D062B3">
        <w:rPr>
          <w:i w:val="0"/>
          <w:sz w:val="24"/>
          <w:szCs w:val="24"/>
        </w:rPr>
        <w:t>January</w:t>
      </w:r>
      <w:r w:rsidRPr="00D062B3" w:rsidR="009333CB">
        <w:rPr>
          <w:i w:val="0"/>
          <w:sz w:val="24"/>
          <w:szCs w:val="24"/>
        </w:rPr>
        <w:t xml:space="preserve"> </w:t>
      </w:r>
      <w:r w:rsidRPr="00D062B3">
        <w:rPr>
          <w:i w:val="0"/>
          <w:sz w:val="24"/>
          <w:szCs w:val="24"/>
        </w:rPr>
        <w:t>1</w:t>
      </w:r>
      <w:r w:rsidRPr="00D062B3" w:rsidR="009333CB">
        <w:rPr>
          <w:i w:val="0"/>
          <w:sz w:val="24"/>
          <w:szCs w:val="24"/>
        </w:rPr>
        <w:t>1, 201</w:t>
      </w:r>
      <w:r w:rsidRPr="00D062B3">
        <w:rPr>
          <w:i w:val="0"/>
          <w:sz w:val="24"/>
          <w:szCs w:val="24"/>
        </w:rPr>
        <w:t>8</w:t>
      </w:r>
      <w:r w:rsidRPr="00D062B3" w:rsidR="009333CB">
        <w:rPr>
          <w:i w:val="0"/>
          <w:sz w:val="24"/>
          <w:szCs w:val="24"/>
        </w:rPr>
        <w:t xml:space="preserve"> – State Medicaid Directors letter #1</w:t>
      </w:r>
      <w:r w:rsidRPr="00D062B3" w:rsidR="000778D8">
        <w:rPr>
          <w:i w:val="0"/>
          <w:sz w:val="24"/>
          <w:szCs w:val="24"/>
        </w:rPr>
        <w:t>8</w:t>
      </w:r>
      <w:r w:rsidRPr="00D062B3" w:rsidR="00D062B3">
        <w:rPr>
          <w:i w:val="0"/>
          <w:sz w:val="24"/>
          <w:szCs w:val="24"/>
        </w:rPr>
        <w:t>-011</w:t>
      </w:r>
      <w:r w:rsidR="00A74CF5">
        <w:rPr>
          <w:i w:val="0"/>
          <w:sz w:val="24"/>
          <w:szCs w:val="24"/>
        </w:rPr>
        <w:t xml:space="preserve"> (</w:t>
      </w:r>
      <w:r w:rsidRPr="00A74CF5" w:rsidR="00A74CF5">
        <w:rPr>
          <w:i w:val="0"/>
          <w:sz w:val="24"/>
          <w:szCs w:val="24"/>
        </w:rPr>
        <w:t>smd18011</w:t>
      </w:r>
      <w:r w:rsidR="00A74CF5">
        <w:rPr>
          <w:i w:val="0"/>
          <w:sz w:val="24"/>
          <w:szCs w:val="24"/>
        </w:rPr>
        <w:t>.pdf)</w:t>
      </w:r>
    </w:p>
    <w:p w:rsidRPr="00472269" w:rsidR="00EE7851" w:rsidP="00EE7851" w:rsidRDefault="00EE7851" w14:paraId="4BD11128" w14:textId="77777777">
      <w:pPr>
        <w:pStyle w:val="BodyText"/>
        <w:ind w:left="810"/>
        <w:rPr>
          <w:i w:val="0"/>
          <w:sz w:val="24"/>
          <w:szCs w:val="24"/>
        </w:rPr>
      </w:pPr>
    </w:p>
    <w:p w:rsidRPr="002A4CA6" w:rsidR="00737C80" w:rsidP="00107E26" w:rsidRDefault="003F3CE7" w14:paraId="24F3F593" w14:textId="77777777">
      <w:pPr>
        <w:pStyle w:val="Heading1"/>
      </w:pPr>
      <w:r>
        <w:t>E</w:t>
      </w:r>
      <w:r w:rsidRPr="002A4CA6" w:rsidR="007D6E75">
        <w:t>. Timeline</w:t>
      </w:r>
    </w:p>
    <w:p w:rsidRPr="00574C42" w:rsidR="00443F76" w:rsidP="007A5704" w:rsidRDefault="00443F76" w14:paraId="3E20D4D4" w14:textId="77777777">
      <w:pPr>
        <w:spacing w:after="0" w:line="240" w:lineRule="auto"/>
        <w:rPr>
          <w:szCs w:val="24"/>
        </w:rPr>
      </w:pPr>
    </w:p>
    <w:p w:rsidR="002221A3" w:rsidP="007A5704" w:rsidRDefault="00515B67" w14:paraId="4BCAA8C0" w14:textId="65E04862">
      <w:pPr>
        <w:pStyle w:val="BodyText"/>
        <w:rPr>
          <w:i w:val="0"/>
          <w:sz w:val="24"/>
          <w:szCs w:val="24"/>
        </w:rPr>
      </w:pPr>
      <w:r w:rsidRPr="00D97252">
        <w:rPr>
          <w:i w:val="0"/>
          <w:sz w:val="24"/>
          <w:szCs w:val="24"/>
        </w:rPr>
        <w:t xml:space="preserve">Approval is requested </w:t>
      </w:r>
      <w:r w:rsidRPr="00D97252" w:rsidR="00D64F23">
        <w:rPr>
          <w:i w:val="0"/>
          <w:sz w:val="24"/>
          <w:szCs w:val="24"/>
        </w:rPr>
        <w:t>within 30 days</w:t>
      </w:r>
      <w:r w:rsidRPr="00D97252" w:rsidR="00D97252">
        <w:rPr>
          <w:i w:val="0"/>
          <w:sz w:val="24"/>
          <w:szCs w:val="24"/>
        </w:rPr>
        <w:t>, by May 21, 2020</w:t>
      </w:r>
      <w:r w:rsidRPr="00D97252" w:rsidR="00A67602">
        <w:rPr>
          <w:i w:val="0"/>
          <w:sz w:val="24"/>
          <w:szCs w:val="24"/>
        </w:rPr>
        <w:t>.</w:t>
      </w:r>
    </w:p>
    <w:p w:rsidRPr="0045367A" w:rsidR="006952F1" w:rsidP="007A5704" w:rsidRDefault="006952F1" w14:paraId="10F0BA55" w14:textId="77777777">
      <w:pPr>
        <w:pStyle w:val="BodyText"/>
        <w:rPr>
          <w:i w:val="0"/>
          <w:sz w:val="24"/>
        </w:rPr>
      </w:pPr>
    </w:p>
    <w:sectPr w:rsidRPr="0045367A" w:rsidR="006952F1" w:rsidSect="005B4F1B">
      <w:pgSz w:w="12240" w:h="15840" w:code="1"/>
      <w:pgMar w:top="1440" w:right="135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A3178" w16cid:durableId="22318AC0"/>
  <w16cid:commentId w16cid:paraId="29770934" w16cid:durableId="22318B52"/>
  <w16cid:commentId w16cid:paraId="17E2B496" w16cid:durableId="22318BD7"/>
  <w16cid:commentId w16cid:paraId="72723BA2" w16cid:durableId="22318DC2"/>
  <w16cid:commentId w16cid:paraId="27997400" w16cid:durableId="22318DFA"/>
  <w16cid:commentId w16cid:paraId="61F80A01" w16cid:durableId="22318E56"/>
  <w16cid:commentId w16cid:paraId="69CEA9EB" w16cid:durableId="22318E87"/>
  <w16cid:commentId w16cid:paraId="12C12777" w16cid:durableId="22318E92"/>
  <w16cid:commentId w16cid:paraId="2BA86F5F" w16cid:durableId="22318E97"/>
  <w16cid:commentId w16cid:paraId="3541F9E0" w16cid:durableId="22318E9B"/>
  <w16cid:commentId w16cid:paraId="50F6A888" w16cid:durableId="22318EA1"/>
  <w16cid:commentId w16cid:paraId="599ED3BD" w16cid:durableId="22318EB4"/>
  <w16cid:commentId w16cid:paraId="77ABCFFA" w16cid:durableId="22318E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AC10" w14:textId="77777777" w:rsidR="00AA23A4" w:rsidRDefault="00AA23A4" w:rsidP="008111D2">
      <w:pPr>
        <w:spacing w:after="0" w:line="240" w:lineRule="auto"/>
      </w:pPr>
      <w:r>
        <w:separator/>
      </w:r>
    </w:p>
  </w:endnote>
  <w:endnote w:type="continuationSeparator" w:id="0">
    <w:p w14:paraId="0CD2C64F" w14:textId="77777777" w:rsidR="00AA23A4" w:rsidRDefault="00AA23A4" w:rsidP="008111D2">
      <w:pPr>
        <w:spacing w:after="0" w:line="240" w:lineRule="auto"/>
      </w:pPr>
      <w:r>
        <w:continuationSeparator/>
      </w:r>
    </w:p>
  </w:endnote>
  <w:endnote w:type="continuationNotice" w:id="1">
    <w:p w14:paraId="7FE2DF7B" w14:textId="77777777" w:rsidR="00AA23A4" w:rsidRDefault="00AA2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718473"/>
      <w:docPartObj>
        <w:docPartGallery w:val="Page Numbers (Bottom of Page)"/>
        <w:docPartUnique/>
      </w:docPartObj>
    </w:sdtPr>
    <w:sdtEndPr>
      <w:rPr>
        <w:noProof/>
      </w:rPr>
    </w:sdtEndPr>
    <w:sdtContent>
      <w:p w14:paraId="6385DF94" w14:textId="0897A74A" w:rsidR="00AA23A4" w:rsidRDefault="00AA23A4" w:rsidP="005E0785">
        <w:pPr>
          <w:pStyle w:val="Footer"/>
          <w:jc w:val="center"/>
        </w:pPr>
        <w:r>
          <w:fldChar w:fldCharType="begin"/>
        </w:r>
        <w:r>
          <w:instrText xml:space="preserve"> PAGE   \* MERGEFORMAT </w:instrText>
        </w:r>
        <w:r>
          <w:fldChar w:fldCharType="separate"/>
        </w:r>
        <w:r w:rsidR="009E271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08C19" w14:textId="77777777" w:rsidR="00AA23A4" w:rsidRDefault="00AA23A4" w:rsidP="008111D2">
      <w:pPr>
        <w:spacing w:after="0" w:line="240" w:lineRule="auto"/>
      </w:pPr>
      <w:r>
        <w:separator/>
      </w:r>
    </w:p>
  </w:footnote>
  <w:footnote w:type="continuationSeparator" w:id="0">
    <w:p w14:paraId="4D080BE8" w14:textId="77777777" w:rsidR="00AA23A4" w:rsidRDefault="00AA23A4" w:rsidP="008111D2">
      <w:pPr>
        <w:spacing w:after="0" w:line="240" w:lineRule="auto"/>
      </w:pPr>
      <w:r>
        <w:continuationSeparator/>
      </w:r>
    </w:p>
  </w:footnote>
  <w:footnote w:type="continuationNotice" w:id="1">
    <w:p w14:paraId="2BDD0FF9" w14:textId="77777777" w:rsidR="00AA23A4" w:rsidRDefault="00AA23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195"/>
    <w:multiLevelType w:val="hybridMultilevel"/>
    <w:tmpl w:val="A250765A"/>
    <w:lvl w:ilvl="0" w:tplc="D77AE7F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6112A1"/>
    <w:multiLevelType w:val="hybridMultilevel"/>
    <w:tmpl w:val="CD1083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25600D"/>
    <w:multiLevelType w:val="hybridMultilevel"/>
    <w:tmpl w:val="500C4F9C"/>
    <w:lvl w:ilvl="0" w:tplc="318E8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91B80"/>
    <w:multiLevelType w:val="hybridMultilevel"/>
    <w:tmpl w:val="F9A2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87758"/>
    <w:multiLevelType w:val="hybridMultilevel"/>
    <w:tmpl w:val="9AA6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82B9B"/>
    <w:multiLevelType w:val="hybridMultilevel"/>
    <w:tmpl w:val="FD24F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1BC4254"/>
    <w:multiLevelType w:val="hybridMultilevel"/>
    <w:tmpl w:val="B85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1"/>
  </w:num>
  <w:num w:numId="5">
    <w:abstractNumId w:val="3"/>
  </w:num>
  <w:num w:numId="6">
    <w:abstractNumId w:val="5"/>
  </w:num>
  <w:num w:numId="7">
    <w:abstractNumId w:val="2"/>
  </w:num>
  <w:num w:numId="8">
    <w:abstractNumId w:val="4"/>
  </w:num>
  <w:num w:numId="9">
    <w:abstractNumId w:val="7"/>
  </w:num>
  <w:num w:numId="10">
    <w:abstractNumId w:val="8"/>
  </w:num>
  <w:num w:numId="11">
    <w:abstractNumId w:val="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5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2D5"/>
    <w:rsid w:val="0000312A"/>
    <w:rsid w:val="000036F5"/>
    <w:rsid w:val="00003C46"/>
    <w:rsid w:val="00004F77"/>
    <w:rsid w:val="000061C4"/>
    <w:rsid w:val="00006294"/>
    <w:rsid w:val="00006D62"/>
    <w:rsid w:val="00011FEE"/>
    <w:rsid w:val="00013454"/>
    <w:rsid w:val="00014CB8"/>
    <w:rsid w:val="00015FB5"/>
    <w:rsid w:val="00016C77"/>
    <w:rsid w:val="000202A6"/>
    <w:rsid w:val="0002120D"/>
    <w:rsid w:val="00027412"/>
    <w:rsid w:val="00027E8F"/>
    <w:rsid w:val="0003161D"/>
    <w:rsid w:val="00031BF7"/>
    <w:rsid w:val="00034FFD"/>
    <w:rsid w:val="000358CB"/>
    <w:rsid w:val="000362BD"/>
    <w:rsid w:val="00037992"/>
    <w:rsid w:val="00043D0E"/>
    <w:rsid w:val="00046ABB"/>
    <w:rsid w:val="000548DE"/>
    <w:rsid w:val="00055754"/>
    <w:rsid w:val="0005612E"/>
    <w:rsid w:val="00063E11"/>
    <w:rsid w:val="000643E3"/>
    <w:rsid w:val="00065F43"/>
    <w:rsid w:val="000712B4"/>
    <w:rsid w:val="000722FE"/>
    <w:rsid w:val="000754DA"/>
    <w:rsid w:val="000778D8"/>
    <w:rsid w:val="0008164F"/>
    <w:rsid w:val="00081947"/>
    <w:rsid w:val="00083DC3"/>
    <w:rsid w:val="00084BF8"/>
    <w:rsid w:val="000876D9"/>
    <w:rsid w:val="00087860"/>
    <w:rsid w:val="00087B5B"/>
    <w:rsid w:val="00096C8E"/>
    <w:rsid w:val="00097D8E"/>
    <w:rsid w:val="000A3364"/>
    <w:rsid w:val="000A442A"/>
    <w:rsid w:val="000A48DC"/>
    <w:rsid w:val="000A5959"/>
    <w:rsid w:val="000B022A"/>
    <w:rsid w:val="000B20AE"/>
    <w:rsid w:val="000B23D2"/>
    <w:rsid w:val="000B28B2"/>
    <w:rsid w:val="000B3656"/>
    <w:rsid w:val="000B4AA9"/>
    <w:rsid w:val="000B5A41"/>
    <w:rsid w:val="000C2A0D"/>
    <w:rsid w:val="000C2B1A"/>
    <w:rsid w:val="000C2FA9"/>
    <w:rsid w:val="000C349A"/>
    <w:rsid w:val="000D194E"/>
    <w:rsid w:val="000D1C46"/>
    <w:rsid w:val="000D1CFD"/>
    <w:rsid w:val="000D3F37"/>
    <w:rsid w:val="000E318C"/>
    <w:rsid w:val="000E3C91"/>
    <w:rsid w:val="000E4824"/>
    <w:rsid w:val="000E55DA"/>
    <w:rsid w:val="000E6C4E"/>
    <w:rsid w:val="000E7BF6"/>
    <w:rsid w:val="000F362E"/>
    <w:rsid w:val="000F51AA"/>
    <w:rsid w:val="000F708D"/>
    <w:rsid w:val="001003E5"/>
    <w:rsid w:val="00101173"/>
    <w:rsid w:val="00101E43"/>
    <w:rsid w:val="00103F7E"/>
    <w:rsid w:val="0010672B"/>
    <w:rsid w:val="00107E26"/>
    <w:rsid w:val="00110200"/>
    <w:rsid w:val="00111672"/>
    <w:rsid w:val="00112577"/>
    <w:rsid w:val="00113D59"/>
    <w:rsid w:val="0011549A"/>
    <w:rsid w:val="00117707"/>
    <w:rsid w:val="001213D3"/>
    <w:rsid w:val="00122C0E"/>
    <w:rsid w:val="00131629"/>
    <w:rsid w:val="00131E5A"/>
    <w:rsid w:val="00134C47"/>
    <w:rsid w:val="001353BD"/>
    <w:rsid w:val="001356ED"/>
    <w:rsid w:val="00137BE3"/>
    <w:rsid w:val="001411B6"/>
    <w:rsid w:val="001417FA"/>
    <w:rsid w:val="00142432"/>
    <w:rsid w:val="00144638"/>
    <w:rsid w:val="00146C76"/>
    <w:rsid w:val="00147447"/>
    <w:rsid w:val="001503BF"/>
    <w:rsid w:val="00150689"/>
    <w:rsid w:val="00150737"/>
    <w:rsid w:val="00150B48"/>
    <w:rsid w:val="00150C54"/>
    <w:rsid w:val="00151312"/>
    <w:rsid w:val="00153271"/>
    <w:rsid w:val="00153A73"/>
    <w:rsid w:val="00154A68"/>
    <w:rsid w:val="001567A4"/>
    <w:rsid w:val="00161FA7"/>
    <w:rsid w:val="00163201"/>
    <w:rsid w:val="0016497A"/>
    <w:rsid w:val="00164E4A"/>
    <w:rsid w:val="00165097"/>
    <w:rsid w:val="00165F61"/>
    <w:rsid w:val="00167159"/>
    <w:rsid w:val="001726C2"/>
    <w:rsid w:val="00173249"/>
    <w:rsid w:val="0017390D"/>
    <w:rsid w:val="001756A8"/>
    <w:rsid w:val="00175A39"/>
    <w:rsid w:val="00177474"/>
    <w:rsid w:val="0018057C"/>
    <w:rsid w:val="00181585"/>
    <w:rsid w:val="00181D3E"/>
    <w:rsid w:val="00184079"/>
    <w:rsid w:val="00185CB4"/>
    <w:rsid w:val="00186F1A"/>
    <w:rsid w:val="001877E8"/>
    <w:rsid w:val="001904B6"/>
    <w:rsid w:val="00192823"/>
    <w:rsid w:val="001948CD"/>
    <w:rsid w:val="0019625C"/>
    <w:rsid w:val="0019638B"/>
    <w:rsid w:val="00196A4A"/>
    <w:rsid w:val="001A1E14"/>
    <w:rsid w:val="001A1FC6"/>
    <w:rsid w:val="001A6AD5"/>
    <w:rsid w:val="001B1B30"/>
    <w:rsid w:val="001B26B8"/>
    <w:rsid w:val="001B3A3D"/>
    <w:rsid w:val="001B42DB"/>
    <w:rsid w:val="001C01A8"/>
    <w:rsid w:val="001C0BCC"/>
    <w:rsid w:val="001C54B8"/>
    <w:rsid w:val="001C63B7"/>
    <w:rsid w:val="001C6FEB"/>
    <w:rsid w:val="001C7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78DF"/>
    <w:rsid w:val="0020026D"/>
    <w:rsid w:val="00200AD7"/>
    <w:rsid w:val="00202A6F"/>
    <w:rsid w:val="00203975"/>
    <w:rsid w:val="00203D75"/>
    <w:rsid w:val="0020641C"/>
    <w:rsid w:val="00210C71"/>
    <w:rsid w:val="00211240"/>
    <w:rsid w:val="0021213D"/>
    <w:rsid w:val="00214F31"/>
    <w:rsid w:val="00214F96"/>
    <w:rsid w:val="00215C25"/>
    <w:rsid w:val="00220D31"/>
    <w:rsid w:val="00220D55"/>
    <w:rsid w:val="00221B90"/>
    <w:rsid w:val="002221A3"/>
    <w:rsid w:val="00222365"/>
    <w:rsid w:val="00222B4F"/>
    <w:rsid w:val="0022382E"/>
    <w:rsid w:val="00223FCC"/>
    <w:rsid w:val="00227CC6"/>
    <w:rsid w:val="00227E28"/>
    <w:rsid w:val="00227F5D"/>
    <w:rsid w:val="00230F3D"/>
    <w:rsid w:val="0023194C"/>
    <w:rsid w:val="00233FD7"/>
    <w:rsid w:val="00235691"/>
    <w:rsid w:val="00237D3B"/>
    <w:rsid w:val="002505D2"/>
    <w:rsid w:val="002516FF"/>
    <w:rsid w:val="00252D20"/>
    <w:rsid w:val="00253B99"/>
    <w:rsid w:val="002544FD"/>
    <w:rsid w:val="00260F63"/>
    <w:rsid w:val="00262B4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5787"/>
    <w:rsid w:val="002A613C"/>
    <w:rsid w:val="002A68E9"/>
    <w:rsid w:val="002B249E"/>
    <w:rsid w:val="002B324D"/>
    <w:rsid w:val="002B3F1C"/>
    <w:rsid w:val="002C17E7"/>
    <w:rsid w:val="002C2A69"/>
    <w:rsid w:val="002C33BF"/>
    <w:rsid w:val="002C3976"/>
    <w:rsid w:val="002C3A2C"/>
    <w:rsid w:val="002C4DFD"/>
    <w:rsid w:val="002C5143"/>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0952"/>
    <w:rsid w:val="002F5612"/>
    <w:rsid w:val="002F6357"/>
    <w:rsid w:val="002F6BE3"/>
    <w:rsid w:val="002F74C2"/>
    <w:rsid w:val="002F77FB"/>
    <w:rsid w:val="003011E1"/>
    <w:rsid w:val="00305B32"/>
    <w:rsid w:val="003064F9"/>
    <w:rsid w:val="00306D38"/>
    <w:rsid w:val="00310922"/>
    <w:rsid w:val="00310E8E"/>
    <w:rsid w:val="00311631"/>
    <w:rsid w:val="0031362E"/>
    <w:rsid w:val="00313740"/>
    <w:rsid w:val="00314673"/>
    <w:rsid w:val="00316DC9"/>
    <w:rsid w:val="0031732B"/>
    <w:rsid w:val="003217E5"/>
    <w:rsid w:val="00322046"/>
    <w:rsid w:val="00323F99"/>
    <w:rsid w:val="003248D0"/>
    <w:rsid w:val="00324C1F"/>
    <w:rsid w:val="00325F87"/>
    <w:rsid w:val="00331830"/>
    <w:rsid w:val="0033349B"/>
    <w:rsid w:val="00335313"/>
    <w:rsid w:val="0033679F"/>
    <w:rsid w:val="00337ECD"/>
    <w:rsid w:val="003444B4"/>
    <w:rsid w:val="00344B11"/>
    <w:rsid w:val="00344D4E"/>
    <w:rsid w:val="00344DDB"/>
    <w:rsid w:val="003459D9"/>
    <w:rsid w:val="003513EB"/>
    <w:rsid w:val="00355481"/>
    <w:rsid w:val="00355EAF"/>
    <w:rsid w:val="0035669B"/>
    <w:rsid w:val="0035711F"/>
    <w:rsid w:val="00357D62"/>
    <w:rsid w:val="00360C3A"/>
    <w:rsid w:val="00362735"/>
    <w:rsid w:val="003627C8"/>
    <w:rsid w:val="003672C1"/>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0CD"/>
    <w:rsid w:val="003B38DD"/>
    <w:rsid w:val="003B4951"/>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59EF"/>
    <w:rsid w:val="003E5F5B"/>
    <w:rsid w:val="003F3168"/>
    <w:rsid w:val="003F3CE7"/>
    <w:rsid w:val="003F4D04"/>
    <w:rsid w:val="003F573D"/>
    <w:rsid w:val="003F655A"/>
    <w:rsid w:val="00400457"/>
    <w:rsid w:val="004009F1"/>
    <w:rsid w:val="00403E71"/>
    <w:rsid w:val="00405CF5"/>
    <w:rsid w:val="00405CF9"/>
    <w:rsid w:val="00406440"/>
    <w:rsid w:val="00411C7F"/>
    <w:rsid w:val="00411DE9"/>
    <w:rsid w:val="0041543F"/>
    <w:rsid w:val="00421D81"/>
    <w:rsid w:val="00421E04"/>
    <w:rsid w:val="00422A85"/>
    <w:rsid w:val="00423962"/>
    <w:rsid w:val="00424ABD"/>
    <w:rsid w:val="00424ED4"/>
    <w:rsid w:val="00425E80"/>
    <w:rsid w:val="004272E0"/>
    <w:rsid w:val="0043142D"/>
    <w:rsid w:val="00432BF7"/>
    <w:rsid w:val="00432C17"/>
    <w:rsid w:val="00435652"/>
    <w:rsid w:val="00436365"/>
    <w:rsid w:val="00436C40"/>
    <w:rsid w:val="00437FE6"/>
    <w:rsid w:val="00440D60"/>
    <w:rsid w:val="00441D67"/>
    <w:rsid w:val="00442975"/>
    <w:rsid w:val="00443F76"/>
    <w:rsid w:val="004468DD"/>
    <w:rsid w:val="004502D6"/>
    <w:rsid w:val="004522CE"/>
    <w:rsid w:val="0045367A"/>
    <w:rsid w:val="00454007"/>
    <w:rsid w:val="00454BBE"/>
    <w:rsid w:val="004566C6"/>
    <w:rsid w:val="00456FF9"/>
    <w:rsid w:val="004601EF"/>
    <w:rsid w:val="00462F95"/>
    <w:rsid w:val="00465B2D"/>
    <w:rsid w:val="00467E98"/>
    <w:rsid w:val="00472269"/>
    <w:rsid w:val="00472839"/>
    <w:rsid w:val="00474257"/>
    <w:rsid w:val="004745BF"/>
    <w:rsid w:val="00475399"/>
    <w:rsid w:val="00475EF8"/>
    <w:rsid w:val="0047638B"/>
    <w:rsid w:val="00476395"/>
    <w:rsid w:val="00481E7B"/>
    <w:rsid w:val="00483058"/>
    <w:rsid w:val="004833FA"/>
    <w:rsid w:val="00483F20"/>
    <w:rsid w:val="004847B2"/>
    <w:rsid w:val="00484BCD"/>
    <w:rsid w:val="00485FD9"/>
    <w:rsid w:val="0048686E"/>
    <w:rsid w:val="00487D6E"/>
    <w:rsid w:val="00490409"/>
    <w:rsid w:val="004915A3"/>
    <w:rsid w:val="004A04A0"/>
    <w:rsid w:val="004A0A30"/>
    <w:rsid w:val="004A2DC7"/>
    <w:rsid w:val="004A420A"/>
    <w:rsid w:val="004A4B76"/>
    <w:rsid w:val="004B0333"/>
    <w:rsid w:val="004B05F7"/>
    <w:rsid w:val="004B13E8"/>
    <w:rsid w:val="004B5A02"/>
    <w:rsid w:val="004B74CC"/>
    <w:rsid w:val="004B7A73"/>
    <w:rsid w:val="004C2EEA"/>
    <w:rsid w:val="004C4FD2"/>
    <w:rsid w:val="004C7294"/>
    <w:rsid w:val="004D0857"/>
    <w:rsid w:val="004D0CF0"/>
    <w:rsid w:val="004D2D4E"/>
    <w:rsid w:val="004D3449"/>
    <w:rsid w:val="004D345C"/>
    <w:rsid w:val="004D388C"/>
    <w:rsid w:val="004D4A22"/>
    <w:rsid w:val="004D4CCB"/>
    <w:rsid w:val="004D521F"/>
    <w:rsid w:val="004D528A"/>
    <w:rsid w:val="004D614D"/>
    <w:rsid w:val="004E5356"/>
    <w:rsid w:val="004E6C57"/>
    <w:rsid w:val="004E754C"/>
    <w:rsid w:val="004E7B1A"/>
    <w:rsid w:val="004E7DA0"/>
    <w:rsid w:val="004F1DDE"/>
    <w:rsid w:val="004F30DF"/>
    <w:rsid w:val="004F61D1"/>
    <w:rsid w:val="004F6E88"/>
    <w:rsid w:val="00503ED0"/>
    <w:rsid w:val="00507C11"/>
    <w:rsid w:val="005111D2"/>
    <w:rsid w:val="005113A0"/>
    <w:rsid w:val="00515B67"/>
    <w:rsid w:val="00520FDD"/>
    <w:rsid w:val="00522B1D"/>
    <w:rsid w:val="0052333E"/>
    <w:rsid w:val="005252B1"/>
    <w:rsid w:val="0052692B"/>
    <w:rsid w:val="005273BC"/>
    <w:rsid w:val="005275A8"/>
    <w:rsid w:val="005313AB"/>
    <w:rsid w:val="00534233"/>
    <w:rsid w:val="005345E5"/>
    <w:rsid w:val="00534726"/>
    <w:rsid w:val="00534EB0"/>
    <w:rsid w:val="00535665"/>
    <w:rsid w:val="005373DE"/>
    <w:rsid w:val="00540389"/>
    <w:rsid w:val="005410C8"/>
    <w:rsid w:val="00542537"/>
    <w:rsid w:val="005544DA"/>
    <w:rsid w:val="005548CF"/>
    <w:rsid w:val="005556AE"/>
    <w:rsid w:val="00560697"/>
    <w:rsid w:val="0056166F"/>
    <w:rsid w:val="00565889"/>
    <w:rsid w:val="00566EDA"/>
    <w:rsid w:val="0057392B"/>
    <w:rsid w:val="005742B3"/>
    <w:rsid w:val="00574C42"/>
    <w:rsid w:val="005750B0"/>
    <w:rsid w:val="005757F3"/>
    <w:rsid w:val="00584BB1"/>
    <w:rsid w:val="005851B3"/>
    <w:rsid w:val="00590312"/>
    <w:rsid w:val="00590C22"/>
    <w:rsid w:val="00590E8B"/>
    <w:rsid w:val="005926C5"/>
    <w:rsid w:val="00597229"/>
    <w:rsid w:val="005A018D"/>
    <w:rsid w:val="005A149C"/>
    <w:rsid w:val="005A2208"/>
    <w:rsid w:val="005A3468"/>
    <w:rsid w:val="005A4167"/>
    <w:rsid w:val="005A5A92"/>
    <w:rsid w:val="005A6E88"/>
    <w:rsid w:val="005A72FC"/>
    <w:rsid w:val="005A7F50"/>
    <w:rsid w:val="005B1921"/>
    <w:rsid w:val="005B1D52"/>
    <w:rsid w:val="005B2ACF"/>
    <w:rsid w:val="005B418E"/>
    <w:rsid w:val="005B46A3"/>
    <w:rsid w:val="005B4861"/>
    <w:rsid w:val="005B4F1B"/>
    <w:rsid w:val="005B5122"/>
    <w:rsid w:val="005B5382"/>
    <w:rsid w:val="005B5B9F"/>
    <w:rsid w:val="005B64D7"/>
    <w:rsid w:val="005B6A37"/>
    <w:rsid w:val="005C2BE1"/>
    <w:rsid w:val="005C3919"/>
    <w:rsid w:val="005C4FE2"/>
    <w:rsid w:val="005C57D9"/>
    <w:rsid w:val="005C580D"/>
    <w:rsid w:val="005C5C57"/>
    <w:rsid w:val="005C6140"/>
    <w:rsid w:val="005D001F"/>
    <w:rsid w:val="005D0E99"/>
    <w:rsid w:val="005D197A"/>
    <w:rsid w:val="005D2BBC"/>
    <w:rsid w:val="005D5C8B"/>
    <w:rsid w:val="005E0425"/>
    <w:rsid w:val="005E0785"/>
    <w:rsid w:val="005E0B1F"/>
    <w:rsid w:val="005E21F1"/>
    <w:rsid w:val="005E3B79"/>
    <w:rsid w:val="005E4F89"/>
    <w:rsid w:val="005E52BE"/>
    <w:rsid w:val="005E55E4"/>
    <w:rsid w:val="005E6549"/>
    <w:rsid w:val="005F5AC4"/>
    <w:rsid w:val="005F5AC7"/>
    <w:rsid w:val="006026DA"/>
    <w:rsid w:val="006027C5"/>
    <w:rsid w:val="00604DA2"/>
    <w:rsid w:val="0060557D"/>
    <w:rsid w:val="006064E5"/>
    <w:rsid w:val="00607AC6"/>
    <w:rsid w:val="00611183"/>
    <w:rsid w:val="00612488"/>
    <w:rsid w:val="00612496"/>
    <w:rsid w:val="00613ED2"/>
    <w:rsid w:val="00614F8C"/>
    <w:rsid w:val="006153DE"/>
    <w:rsid w:val="006172CD"/>
    <w:rsid w:val="00617DCF"/>
    <w:rsid w:val="00620E7B"/>
    <w:rsid w:val="00621F8D"/>
    <w:rsid w:val="0062222B"/>
    <w:rsid w:val="00623AA6"/>
    <w:rsid w:val="006244F7"/>
    <w:rsid w:val="00625CF0"/>
    <w:rsid w:val="00631F0F"/>
    <w:rsid w:val="00631FDE"/>
    <w:rsid w:val="0063494B"/>
    <w:rsid w:val="00635952"/>
    <w:rsid w:val="00637B35"/>
    <w:rsid w:val="00641F60"/>
    <w:rsid w:val="00643782"/>
    <w:rsid w:val="006446AC"/>
    <w:rsid w:val="006458A5"/>
    <w:rsid w:val="00647812"/>
    <w:rsid w:val="00650047"/>
    <w:rsid w:val="006515BD"/>
    <w:rsid w:val="00651B6C"/>
    <w:rsid w:val="00660108"/>
    <w:rsid w:val="00661F4D"/>
    <w:rsid w:val="00663288"/>
    <w:rsid w:val="00663509"/>
    <w:rsid w:val="006638FA"/>
    <w:rsid w:val="00665F73"/>
    <w:rsid w:val="00666717"/>
    <w:rsid w:val="006672EF"/>
    <w:rsid w:val="00667CF1"/>
    <w:rsid w:val="00670707"/>
    <w:rsid w:val="00680B64"/>
    <w:rsid w:val="00682FAE"/>
    <w:rsid w:val="00685368"/>
    <w:rsid w:val="00687A9B"/>
    <w:rsid w:val="00692092"/>
    <w:rsid w:val="00694307"/>
    <w:rsid w:val="006946AB"/>
    <w:rsid w:val="00694FC7"/>
    <w:rsid w:val="006952F1"/>
    <w:rsid w:val="00696395"/>
    <w:rsid w:val="00697650"/>
    <w:rsid w:val="006977B5"/>
    <w:rsid w:val="006A13CF"/>
    <w:rsid w:val="006A1987"/>
    <w:rsid w:val="006A200D"/>
    <w:rsid w:val="006A290A"/>
    <w:rsid w:val="006A3AF2"/>
    <w:rsid w:val="006A584D"/>
    <w:rsid w:val="006A6679"/>
    <w:rsid w:val="006B1E9A"/>
    <w:rsid w:val="006B4702"/>
    <w:rsid w:val="006C0B96"/>
    <w:rsid w:val="006C12A3"/>
    <w:rsid w:val="006C1B73"/>
    <w:rsid w:val="006C3092"/>
    <w:rsid w:val="006C3ADF"/>
    <w:rsid w:val="006C3C92"/>
    <w:rsid w:val="006C43CA"/>
    <w:rsid w:val="006C4626"/>
    <w:rsid w:val="006C64E3"/>
    <w:rsid w:val="006D017D"/>
    <w:rsid w:val="006D24AA"/>
    <w:rsid w:val="006D360E"/>
    <w:rsid w:val="006D3742"/>
    <w:rsid w:val="006D3C34"/>
    <w:rsid w:val="006D4B10"/>
    <w:rsid w:val="006D6A5D"/>
    <w:rsid w:val="006D7006"/>
    <w:rsid w:val="006D7353"/>
    <w:rsid w:val="006E141A"/>
    <w:rsid w:val="006E1C18"/>
    <w:rsid w:val="006E1E10"/>
    <w:rsid w:val="006E2A21"/>
    <w:rsid w:val="006F087C"/>
    <w:rsid w:val="006F24FB"/>
    <w:rsid w:val="006F2918"/>
    <w:rsid w:val="006F4FDA"/>
    <w:rsid w:val="006F4FF9"/>
    <w:rsid w:val="006F51D0"/>
    <w:rsid w:val="00702396"/>
    <w:rsid w:val="007028EB"/>
    <w:rsid w:val="00703463"/>
    <w:rsid w:val="00707666"/>
    <w:rsid w:val="00707A87"/>
    <w:rsid w:val="007105DC"/>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591D"/>
    <w:rsid w:val="00757452"/>
    <w:rsid w:val="007600F4"/>
    <w:rsid w:val="00765061"/>
    <w:rsid w:val="0076633A"/>
    <w:rsid w:val="00772992"/>
    <w:rsid w:val="00777B46"/>
    <w:rsid w:val="00777BFF"/>
    <w:rsid w:val="00777EFC"/>
    <w:rsid w:val="00786CB3"/>
    <w:rsid w:val="00794E0C"/>
    <w:rsid w:val="00796EF3"/>
    <w:rsid w:val="007A014E"/>
    <w:rsid w:val="007A5704"/>
    <w:rsid w:val="007A76F4"/>
    <w:rsid w:val="007B0FDD"/>
    <w:rsid w:val="007B22F4"/>
    <w:rsid w:val="007B255E"/>
    <w:rsid w:val="007B4604"/>
    <w:rsid w:val="007B674E"/>
    <w:rsid w:val="007C2EEE"/>
    <w:rsid w:val="007C3683"/>
    <w:rsid w:val="007C3895"/>
    <w:rsid w:val="007C3C26"/>
    <w:rsid w:val="007C458F"/>
    <w:rsid w:val="007C7391"/>
    <w:rsid w:val="007D0D81"/>
    <w:rsid w:val="007D39C5"/>
    <w:rsid w:val="007D39FD"/>
    <w:rsid w:val="007D4C31"/>
    <w:rsid w:val="007D67B8"/>
    <w:rsid w:val="007D6E75"/>
    <w:rsid w:val="007E2946"/>
    <w:rsid w:val="007E5C16"/>
    <w:rsid w:val="007E72EC"/>
    <w:rsid w:val="007E73ED"/>
    <w:rsid w:val="007E785B"/>
    <w:rsid w:val="007F0C22"/>
    <w:rsid w:val="007F1711"/>
    <w:rsid w:val="007F3C76"/>
    <w:rsid w:val="007F4938"/>
    <w:rsid w:val="007F71BA"/>
    <w:rsid w:val="007F7620"/>
    <w:rsid w:val="007F7EC5"/>
    <w:rsid w:val="00802400"/>
    <w:rsid w:val="00802598"/>
    <w:rsid w:val="00802788"/>
    <w:rsid w:val="00803247"/>
    <w:rsid w:val="00804226"/>
    <w:rsid w:val="00804B02"/>
    <w:rsid w:val="008050DB"/>
    <w:rsid w:val="008111D2"/>
    <w:rsid w:val="00814400"/>
    <w:rsid w:val="00814FF0"/>
    <w:rsid w:val="00815DFA"/>
    <w:rsid w:val="008177DE"/>
    <w:rsid w:val="0082047B"/>
    <w:rsid w:val="00820A25"/>
    <w:rsid w:val="00820E43"/>
    <w:rsid w:val="00822582"/>
    <w:rsid w:val="008236C2"/>
    <w:rsid w:val="00825EF9"/>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4DB0"/>
    <w:rsid w:val="00856AFD"/>
    <w:rsid w:val="008606C2"/>
    <w:rsid w:val="00864B8A"/>
    <w:rsid w:val="00867343"/>
    <w:rsid w:val="008721C1"/>
    <w:rsid w:val="00873459"/>
    <w:rsid w:val="00875352"/>
    <w:rsid w:val="00875CAE"/>
    <w:rsid w:val="00875D3F"/>
    <w:rsid w:val="008800D7"/>
    <w:rsid w:val="00880774"/>
    <w:rsid w:val="00880BC5"/>
    <w:rsid w:val="0088327A"/>
    <w:rsid w:val="0088476C"/>
    <w:rsid w:val="0088756F"/>
    <w:rsid w:val="008910E3"/>
    <w:rsid w:val="0089164A"/>
    <w:rsid w:val="00891FFB"/>
    <w:rsid w:val="00892724"/>
    <w:rsid w:val="00892B25"/>
    <w:rsid w:val="00892DAD"/>
    <w:rsid w:val="008A27CB"/>
    <w:rsid w:val="008B248F"/>
    <w:rsid w:val="008B2C95"/>
    <w:rsid w:val="008B3BE6"/>
    <w:rsid w:val="008B6835"/>
    <w:rsid w:val="008B73D2"/>
    <w:rsid w:val="008C0950"/>
    <w:rsid w:val="008C11BC"/>
    <w:rsid w:val="008D2A22"/>
    <w:rsid w:val="008D4082"/>
    <w:rsid w:val="008D4EB3"/>
    <w:rsid w:val="008D52D1"/>
    <w:rsid w:val="008D6E16"/>
    <w:rsid w:val="008E06FE"/>
    <w:rsid w:val="008E0A87"/>
    <w:rsid w:val="008E0BF5"/>
    <w:rsid w:val="008E4617"/>
    <w:rsid w:val="008E6143"/>
    <w:rsid w:val="008F08FD"/>
    <w:rsid w:val="008F2AED"/>
    <w:rsid w:val="008F5E1B"/>
    <w:rsid w:val="008F5E28"/>
    <w:rsid w:val="008F5FF4"/>
    <w:rsid w:val="008F6D39"/>
    <w:rsid w:val="009004E1"/>
    <w:rsid w:val="00901B45"/>
    <w:rsid w:val="009047C0"/>
    <w:rsid w:val="00904ABB"/>
    <w:rsid w:val="009073C6"/>
    <w:rsid w:val="0090766C"/>
    <w:rsid w:val="00911EAB"/>
    <w:rsid w:val="00915EB0"/>
    <w:rsid w:val="009160CB"/>
    <w:rsid w:val="00916ACC"/>
    <w:rsid w:val="00917FD0"/>
    <w:rsid w:val="00921262"/>
    <w:rsid w:val="00921518"/>
    <w:rsid w:val="00921608"/>
    <w:rsid w:val="009217D6"/>
    <w:rsid w:val="0092380B"/>
    <w:rsid w:val="009240DA"/>
    <w:rsid w:val="0092430E"/>
    <w:rsid w:val="00927BB1"/>
    <w:rsid w:val="00927BE3"/>
    <w:rsid w:val="0093224D"/>
    <w:rsid w:val="009333CB"/>
    <w:rsid w:val="00933731"/>
    <w:rsid w:val="009354C2"/>
    <w:rsid w:val="00935DCA"/>
    <w:rsid w:val="009378C1"/>
    <w:rsid w:val="009414AD"/>
    <w:rsid w:val="00946BD4"/>
    <w:rsid w:val="009472B4"/>
    <w:rsid w:val="00950B92"/>
    <w:rsid w:val="0095297C"/>
    <w:rsid w:val="00954934"/>
    <w:rsid w:val="009558F4"/>
    <w:rsid w:val="00960481"/>
    <w:rsid w:val="00963F03"/>
    <w:rsid w:val="00965974"/>
    <w:rsid w:val="00966155"/>
    <w:rsid w:val="00966358"/>
    <w:rsid w:val="00970D1A"/>
    <w:rsid w:val="00976353"/>
    <w:rsid w:val="00977516"/>
    <w:rsid w:val="00977D8A"/>
    <w:rsid w:val="0098626A"/>
    <w:rsid w:val="009903AB"/>
    <w:rsid w:val="00993A91"/>
    <w:rsid w:val="00994F98"/>
    <w:rsid w:val="00995DA0"/>
    <w:rsid w:val="009968BB"/>
    <w:rsid w:val="009A0C35"/>
    <w:rsid w:val="009A3029"/>
    <w:rsid w:val="009A3121"/>
    <w:rsid w:val="009A31CA"/>
    <w:rsid w:val="009A7609"/>
    <w:rsid w:val="009B19E8"/>
    <w:rsid w:val="009B1AE7"/>
    <w:rsid w:val="009B32D5"/>
    <w:rsid w:val="009B4F3A"/>
    <w:rsid w:val="009B64FB"/>
    <w:rsid w:val="009B6B42"/>
    <w:rsid w:val="009C15AE"/>
    <w:rsid w:val="009C239A"/>
    <w:rsid w:val="009C2C6E"/>
    <w:rsid w:val="009C2F36"/>
    <w:rsid w:val="009C39F2"/>
    <w:rsid w:val="009C62D1"/>
    <w:rsid w:val="009C6359"/>
    <w:rsid w:val="009D1A53"/>
    <w:rsid w:val="009E1BC7"/>
    <w:rsid w:val="009E2714"/>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194"/>
    <w:rsid w:val="00A34954"/>
    <w:rsid w:val="00A356D4"/>
    <w:rsid w:val="00A35716"/>
    <w:rsid w:val="00A3663B"/>
    <w:rsid w:val="00A409B8"/>
    <w:rsid w:val="00A4283B"/>
    <w:rsid w:val="00A42EF4"/>
    <w:rsid w:val="00A43B40"/>
    <w:rsid w:val="00A445B8"/>
    <w:rsid w:val="00A466BA"/>
    <w:rsid w:val="00A46E37"/>
    <w:rsid w:val="00A548CA"/>
    <w:rsid w:val="00A551BC"/>
    <w:rsid w:val="00A6078E"/>
    <w:rsid w:val="00A64CD1"/>
    <w:rsid w:val="00A67602"/>
    <w:rsid w:val="00A70F2B"/>
    <w:rsid w:val="00A718B4"/>
    <w:rsid w:val="00A71A0C"/>
    <w:rsid w:val="00A73BC8"/>
    <w:rsid w:val="00A742F4"/>
    <w:rsid w:val="00A74CF5"/>
    <w:rsid w:val="00A760B7"/>
    <w:rsid w:val="00A771F4"/>
    <w:rsid w:val="00A772C0"/>
    <w:rsid w:val="00A8062F"/>
    <w:rsid w:val="00A83A42"/>
    <w:rsid w:val="00A85109"/>
    <w:rsid w:val="00A85B29"/>
    <w:rsid w:val="00A87380"/>
    <w:rsid w:val="00A90245"/>
    <w:rsid w:val="00A91007"/>
    <w:rsid w:val="00A92C7E"/>
    <w:rsid w:val="00A93EA7"/>
    <w:rsid w:val="00A93FDE"/>
    <w:rsid w:val="00A9704C"/>
    <w:rsid w:val="00AA10A1"/>
    <w:rsid w:val="00AA23A4"/>
    <w:rsid w:val="00AA37EC"/>
    <w:rsid w:val="00AA46DE"/>
    <w:rsid w:val="00AA495B"/>
    <w:rsid w:val="00AB01BC"/>
    <w:rsid w:val="00AB0285"/>
    <w:rsid w:val="00AB1116"/>
    <w:rsid w:val="00AB2888"/>
    <w:rsid w:val="00AB5366"/>
    <w:rsid w:val="00AB6185"/>
    <w:rsid w:val="00AC1AB9"/>
    <w:rsid w:val="00AC32F9"/>
    <w:rsid w:val="00AC47F0"/>
    <w:rsid w:val="00AC573D"/>
    <w:rsid w:val="00AD183B"/>
    <w:rsid w:val="00AD6893"/>
    <w:rsid w:val="00AE1BD8"/>
    <w:rsid w:val="00AE235B"/>
    <w:rsid w:val="00AE24CA"/>
    <w:rsid w:val="00AE48A2"/>
    <w:rsid w:val="00AE4F4B"/>
    <w:rsid w:val="00AE4F5B"/>
    <w:rsid w:val="00B000F8"/>
    <w:rsid w:val="00B00A5B"/>
    <w:rsid w:val="00B00BC6"/>
    <w:rsid w:val="00B06EA8"/>
    <w:rsid w:val="00B1443D"/>
    <w:rsid w:val="00B144CB"/>
    <w:rsid w:val="00B151B4"/>
    <w:rsid w:val="00B20438"/>
    <w:rsid w:val="00B2287F"/>
    <w:rsid w:val="00B22E2D"/>
    <w:rsid w:val="00B30430"/>
    <w:rsid w:val="00B31715"/>
    <w:rsid w:val="00B32E2A"/>
    <w:rsid w:val="00B378DB"/>
    <w:rsid w:val="00B40AA0"/>
    <w:rsid w:val="00B42174"/>
    <w:rsid w:val="00B43BBD"/>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70582"/>
    <w:rsid w:val="00B70FF5"/>
    <w:rsid w:val="00B71EBF"/>
    <w:rsid w:val="00B74DFA"/>
    <w:rsid w:val="00B76CC9"/>
    <w:rsid w:val="00B80CBA"/>
    <w:rsid w:val="00B82377"/>
    <w:rsid w:val="00B857A1"/>
    <w:rsid w:val="00B85A7B"/>
    <w:rsid w:val="00B862A1"/>
    <w:rsid w:val="00B865AF"/>
    <w:rsid w:val="00B8682E"/>
    <w:rsid w:val="00B86AAB"/>
    <w:rsid w:val="00B87957"/>
    <w:rsid w:val="00B91242"/>
    <w:rsid w:val="00B95670"/>
    <w:rsid w:val="00B96BB4"/>
    <w:rsid w:val="00B9719C"/>
    <w:rsid w:val="00BA0E4E"/>
    <w:rsid w:val="00BA14B9"/>
    <w:rsid w:val="00BA2D59"/>
    <w:rsid w:val="00BA3121"/>
    <w:rsid w:val="00BA35B2"/>
    <w:rsid w:val="00BA3ECB"/>
    <w:rsid w:val="00BA610D"/>
    <w:rsid w:val="00BA7680"/>
    <w:rsid w:val="00BB0760"/>
    <w:rsid w:val="00BB109D"/>
    <w:rsid w:val="00BB19C1"/>
    <w:rsid w:val="00BB1BB1"/>
    <w:rsid w:val="00BB1CC7"/>
    <w:rsid w:val="00BB3522"/>
    <w:rsid w:val="00BB55A7"/>
    <w:rsid w:val="00BB6559"/>
    <w:rsid w:val="00BB67A8"/>
    <w:rsid w:val="00BB6AEF"/>
    <w:rsid w:val="00BB6BC5"/>
    <w:rsid w:val="00BB79A8"/>
    <w:rsid w:val="00BC188F"/>
    <w:rsid w:val="00BC1A74"/>
    <w:rsid w:val="00BC40CE"/>
    <w:rsid w:val="00BC7CE8"/>
    <w:rsid w:val="00BD0065"/>
    <w:rsid w:val="00BD02EB"/>
    <w:rsid w:val="00BD1124"/>
    <w:rsid w:val="00BD1E9D"/>
    <w:rsid w:val="00BD32FA"/>
    <w:rsid w:val="00BD7D3A"/>
    <w:rsid w:val="00BE0BC4"/>
    <w:rsid w:val="00BE2D56"/>
    <w:rsid w:val="00BE51D8"/>
    <w:rsid w:val="00BE6E2E"/>
    <w:rsid w:val="00BF1C57"/>
    <w:rsid w:val="00BF1D4B"/>
    <w:rsid w:val="00BF60BE"/>
    <w:rsid w:val="00BF76F7"/>
    <w:rsid w:val="00BF76FA"/>
    <w:rsid w:val="00C010C3"/>
    <w:rsid w:val="00C0172F"/>
    <w:rsid w:val="00C03C6D"/>
    <w:rsid w:val="00C03D62"/>
    <w:rsid w:val="00C0488A"/>
    <w:rsid w:val="00C0692E"/>
    <w:rsid w:val="00C06B5A"/>
    <w:rsid w:val="00C10B2E"/>
    <w:rsid w:val="00C14181"/>
    <w:rsid w:val="00C2023F"/>
    <w:rsid w:val="00C20B45"/>
    <w:rsid w:val="00C2142E"/>
    <w:rsid w:val="00C242C3"/>
    <w:rsid w:val="00C25B8F"/>
    <w:rsid w:val="00C325E1"/>
    <w:rsid w:val="00C3485F"/>
    <w:rsid w:val="00C4370B"/>
    <w:rsid w:val="00C44E39"/>
    <w:rsid w:val="00C46B1C"/>
    <w:rsid w:val="00C47A7D"/>
    <w:rsid w:val="00C500C7"/>
    <w:rsid w:val="00C52E3D"/>
    <w:rsid w:val="00C63B57"/>
    <w:rsid w:val="00C65564"/>
    <w:rsid w:val="00C66D7A"/>
    <w:rsid w:val="00C704EA"/>
    <w:rsid w:val="00C70CFF"/>
    <w:rsid w:val="00C71A75"/>
    <w:rsid w:val="00C73AF6"/>
    <w:rsid w:val="00C7631F"/>
    <w:rsid w:val="00C77262"/>
    <w:rsid w:val="00C80713"/>
    <w:rsid w:val="00C8105A"/>
    <w:rsid w:val="00C81071"/>
    <w:rsid w:val="00C8355D"/>
    <w:rsid w:val="00C84FD4"/>
    <w:rsid w:val="00C8592B"/>
    <w:rsid w:val="00C85C81"/>
    <w:rsid w:val="00C866C4"/>
    <w:rsid w:val="00C876F0"/>
    <w:rsid w:val="00C903C4"/>
    <w:rsid w:val="00C929B2"/>
    <w:rsid w:val="00C94C5E"/>
    <w:rsid w:val="00C96CB9"/>
    <w:rsid w:val="00CA08C4"/>
    <w:rsid w:val="00CA1801"/>
    <w:rsid w:val="00CA414B"/>
    <w:rsid w:val="00CA5C2F"/>
    <w:rsid w:val="00CA65E1"/>
    <w:rsid w:val="00CA68C2"/>
    <w:rsid w:val="00CA6AEA"/>
    <w:rsid w:val="00CA6BAD"/>
    <w:rsid w:val="00CB1C45"/>
    <w:rsid w:val="00CB241F"/>
    <w:rsid w:val="00CB58E7"/>
    <w:rsid w:val="00CB646D"/>
    <w:rsid w:val="00CB7DDC"/>
    <w:rsid w:val="00CC0C59"/>
    <w:rsid w:val="00CC0E51"/>
    <w:rsid w:val="00CC2F0D"/>
    <w:rsid w:val="00CC3804"/>
    <w:rsid w:val="00CC5EED"/>
    <w:rsid w:val="00CD22D7"/>
    <w:rsid w:val="00CD6891"/>
    <w:rsid w:val="00CD71C1"/>
    <w:rsid w:val="00CD7F74"/>
    <w:rsid w:val="00CE5971"/>
    <w:rsid w:val="00CE787E"/>
    <w:rsid w:val="00CE7C0B"/>
    <w:rsid w:val="00CF494F"/>
    <w:rsid w:val="00CF6110"/>
    <w:rsid w:val="00CF62F9"/>
    <w:rsid w:val="00CF6C1D"/>
    <w:rsid w:val="00D013CD"/>
    <w:rsid w:val="00D01880"/>
    <w:rsid w:val="00D02857"/>
    <w:rsid w:val="00D062B3"/>
    <w:rsid w:val="00D12225"/>
    <w:rsid w:val="00D12ABB"/>
    <w:rsid w:val="00D12AEE"/>
    <w:rsid w:val="00D15962"/>
    <w:rsid w:val="00D201ED"/>
    <w:rsid w:val="00D215B4"/>
    <w:rsid w:val="00D2212F"/>
    <w:rsid w:val="00D260CC"/>
    <w:rsid w:val="00D31AF8"/>
    <w:rsid w:val="00D324D8"/>
    <w:rsid w:val="00D32843"/>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26"/>
    <w:rsid w:val="00D64F23"/>
    <w:rsid w:val="00D6777B"/>
    <w:rsid w:val="00D704F5"/>
    <w:rsid w:val="00D7177A"/>
    <w:rsid w:val="00D74158"/>
    <w:rsid w:val="00D811C1"/>
    <w:rsid w:val="00D82C21"/>
    <w:rsid w:val="00D83A38"/>
    <w:rsid w:val="00D8648D"/>
    <w:rsid w:val="00D87E83"/>
    <w:rsid w:val="00D91161"/>
    <w:rsid w:val="00D965CB"/>
    <w:rsid w:val="00D97252"/>
    <w:rsid w:val="00DA0D01"/>
    <w:rsid w:val="00DA31AF"/>
    <w:rsid w:val="00DA419D"/>
    <w:rsid w:val="00DA4CED"/>
    <w:rsid w:val="00DB307E"/>
    <w:rsid w:val="00DB4077"/>
    <w:rsid w:val="00DB54AB"/>
    <w:rsid w:val="00DB7215"/>
    <w:rsid w:val="00DC3020"/>
    <w:rsid w:val="00DC6D2A"/>
    <w:rsid w:val="00DD42DB"/>
    <w:rsid w:val="00DD794C"/>
    <w:rsid w:val="00DE1DFF"/>
    <w:rsid w:val="00DE2D44"/>
    <w:rsid w:val="00DE6E47"/>
    <w:rsid w:val="00DF0890"/>
    <w:rsid w:val="00DF098E"/>
    <w:rsid w:val="00DF0F1C"/>
    <w:rsid w:val="00DF14A0"/>
    <w:rsid w:val="00DF646A"/>
    <w:rsid w:val="00DF698B"/>
    <w:rsid w:val="00DF78D5"/>
    <w:rsid w:val="00E012E0"/>
    <w:rsid w:val="00E016CC"/>
    <w:rsid w:val="00E017CE"/>
    <w:rsid w:val="00E02680"/>
    <w:rsid w:val="00E0310E"/>
    <w:rsid w:val="00E06360"/>
    <w:rsid w:val="00E071E1"/>
    <w:rsid w:val="00E07860"/>
    <w:rsid w:val="00E12201"/>
    <w:rsid w:val="00E12439"/>
    <w:rsid w:val="00E134EC"/>
    <w:rsid w:val="00E1369E"/>
    <w:rsid w:val="00E236CD"/>
    <w:rsid w:val="00E23F27"/>
    <w:rsid w:val="00E26F1C"/>
    <w:rsid w:val="00E30C39"/>
    <w:rsid w:val="00E32ECF"/>
    <w:rsid w:val="00E342EA"/>
    <w:rsid w:val="00E34602"/>
    <w:rsid w:val="00E3682E"/>
    <w:rsid w:val="00E4039D"/>
    <w:rsid w:val="00E41E72"/>
    <w:rsid w:val="00E44703"/>
    <w:rsid w:val="00E44CFE"/>
    <w:rsid w:val="00E53B53"/>
    <w:rsid w:val="00E53D51"/>
    <w:rsid w:val="00E54FE9"/>
    <w:rsid w:val="00E5517D"/>
    <w:rsid w:val="00E60D81"/>
    <w:rsid w:val="00E6250E"/>
    <w:rsid w:val="00E64716"/>
    <w:rsid w:val="00E64E40"/>
    <w:rsid w:val="00E65ED9"/>
    <w:rsid w:val="00E72C6F"/>
    <w:rsid w:val="00E743CD"/>
    <w:rsid w:val="00E7522B"/>
    <w:rsid w:val="00E80247"/>
    <w:rsid w:val="00E81F48"/>
    <w:rsid w:val="00E831F7"/>
    <w:rsid w:val="00E83C3E"/>
    <w:rsid w:val="00E93F3F"/>
    <w:rsid w:val="00E93FBA"/>
    <w:rsid w:val="00E94A5B"/>
    <w:rsid w:val="00E97E5B"/>
    <w:rsid w:val="00EA3121"/>
    <w:rsid w:val="00EA4AB1"/>
    <w:rsid w:val="00EB1115"/>
    <w:rsid w:val="00EB1143"/>
    <w:rsid w:val="00EB59C6"/>
    <w:rsid w:val="00EB7FBA"/>
    <w:rsid w:val="00EC24DC"/>
    <w:rsid w:val="00EC3C86"/>
    <w:rsid w:val="00EC451C"/>
    <w:rsid w:val="00EC7578"/>
    <w:rsid w:val="00EC796D"/>
    <w:rsid w:val="00ED51CF"/>
    <w:rsid w:val="00EE11B4"/>
    <w:rsid w:val="00EE1AD1"/>
    <w:rsid w:val="00EE4256"/>
    <w:rsid w:val="00EE50AF"/>
    <w:rsid w:val="00EE58CD"/>
    <w:rsid w:val="00EE5F43"/>
    <w:rsid w:val="00EE7851"/>
    <w:rsid w:val="00EF1C02"/>
    <w:rsid w:val="00EF34E9"/>
    <w:rsid w:val="00EF3873"/>
    <w:rsid w:val="00EF3A74"/>
    <w:rsid w:val="00EF4189"/>
    <w:rsid w:val="00EF44CF"/>
    <w:rsid w:val="00EF4D5F"/>
    <w:rsid w:val="00EF7520"/>
    <w:rsid w:val="00F009F1"/>
    <w:rsid w:val="00F01D40"/>
    <w:rsid w:val="00F02098"/>
    <w:rsid w:val="00F023E5"/>
    <w:rsid w:val="00F04F6D"/>
    <w:rsid w:val="00F0732C"/>
    <w:rsid w:val="00F07F04"/>
    <w:rsid w:val="00F12C36"/>
    <w:rsid w:val="00F130D0"/>
    <w:rsid w:val="00F2212E"/>
    <w:rsid w:val="00F23ECB"/>
    <w:rsid w:val="00F244B6"/>
    <w:rsid w:val="00F2452B"/>
    <w:rsid w:val="00F24CE8"/>
    <w:rsid w:val="00F24D0F"/>
    <w:rsid w:val="00F26D0D"/>
    <w:rsid w:val="00F303E4"/>
    <w:rsid w:val="00F34393"/>
    <w:rsid w:val="00F36490"/>
    <w:rsid w:val="00F36BDB"/>
    <w:rsid w:val="00F42E2A"/>
    <w:rsid w:val="00F451B7"/>
    <w:rsid w:val="00F464EE"/>
    <w:rsid w:val="00F47769"/>
    <w:rsid w:val="00F54374"/>
    <w:rsid w:val="00F56BF9"/>
    <w:rsid w:val="00F56F50"/>
    <w:rsid w:val="00F57677"/>
    <w:rsid w:val="00F63705"/>
    <w:rsid w:val="00F642FA"/>
    <w:rsid w:val="00F65437"/>
    <w:rsid w:val="00F66265"/>
    <w:rsid w:val="00F679ED"/>
    <w:rsid w:val="00F72DE4"/>
    <w:rsid w:val="00F74076"/>
    <w:rsid w:val="00F7439B"/>
    <w:rsid w:val="00F76379"/>
    <w:rsid w:val="00F77570"/>
    <w:rsid w:val="00F82BC4"/>
    <w:rsid w:val="00F85CCE"/>
    <w:rsid w:val="00F87359"/>
    <w:rsid w:val="00F91233"/>
    <w:rsid w:val="00F9295B"/>
    <w:rsid w:val="00F92F05"/>
    <w:rsid w:val="00F97C05"/>
    <w:rsid w:val="00FA0241"/>
    <w:rsid w:val="00FA033A"/>
    <w:rsid w:val="00FA0A35"/>
    <w:rsid w:val="00FA26EA"/>
    <w:rsid w:val="00FA2A71"/>
    <w:rsid w:val="00FB0571"/>
    <w:rsid w:val="00FB0945"/>
    <w:rsid w:val="00FB1238"/>
    <w:rsid w:val="00FB17C9"/>
    <w:rsid w:val="00FB2846"/>
    <w:rsid w:val="00FB28C3"/>
    <w:rsid w:val="00FB36E8"/>
    <w:rsid w:val="00FB3D21"/>
    <w:rsid w:val="00FB78E9"/>
    <w:rsid w:val="00FC4AC5"/>
    <w:rsid w:val="00FC5417"/>
    <w:rsid w:val="00FC585C"/>
    <w:rsid w:val="00FD22A3"/>
    <w:rsid w:val="00FE462D"/>
    <w:rsid w:val="00FE4F27"/>
    <w:rsid w:val="00FE570E"/>
    <w:rsid w:val="00FE644A"/>
    <w:rsid w:val="00FF0D41"/>
    <w:rsid w:val="00FF1DF7"/>
    <w:rsid w:val="00FF3C15"/>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15:docId w15:val="{AE043498-32E7-44BA-A059-4DF6E1D4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010521813">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vpcorp-1115pmda.adobeconnect.com/p4l83cvhhqda/"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cvpcorp-1115pmda.adobeconnect.com/pklt7cdlhgjl/" TargetMode="External"/><Relationship Id="rId2" Type="http://schemas.openxmlformats.org/officeDocument/2006/relationships/customXml" Target="../customXml/item2.xml"/><Relationship Id="rId16" Type="http://schemas.openxmlformats.org/officeDocument/2006/relationships/hyperlink" Target="https://cvpcorp-1115pmda.adobeconnect.com/pqopfoy48id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0" ma:contentTypeDescription="Create a new document." ma:contentTypeScope="" ma:versionID="e5dd5f85abb84a76562ab79b1e154678">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97c460a34b7ff692ebcb0eb99d7c31f3"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hidden="true" ma:list="{4bd70136-adc3-481d-9b73-a7d0d41fb284}" ma:internalName="Demo_x0020_ID" ma:readOnly="false"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SDW"/>
          <xsd:enumeration value="DSRD"/>
          <xsd:enumeration value="OGD"/>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8A19-D87E-4C52-990F-763D57927341}">
  <ds:schemaRefs>
    <ds:schemaRef ds:uri="http://schemas.microsoft.com/sharepoint/v3/contenttype/forms"/>
  </ds:schemaRefs>
</ds:datastoreItem>
</file>

<file path=customXml/itemProps2.xml><?xml version="1.0" encoding="utf-8"?>
<ds:datastoreItem xmlns:ds="http://schemas.openxmlformats.org/officeDocument/2006/customXml" ds:itemID="{4AFBBB4C-E59C-47A6-8D2C-682BC17B0C92}">
  <ds:schemaRefs>
    <ds:schemaRef ds:uri="http://schemas.microsoft.com/office/2006/metadata/customXsn"/>
  </ds:schemaRefs>
</ds:datastoreItem>
</file>

<file path=customXml/itemProps3.xml><?xml version="1.0" encoding="utf-8"?>
<ds:datastoreItem xmlns:ds="http://schemas.openxmlformats.org/officeDocument/2006/customXml" ds:itemID="{DAD2FA39-F2DE-44AD-91CF-9F64295638DE}">
  <ds:schemaRefs/>
</ds:datastoreItem>
</file>

<file path=customXml/itemProps4.xml><?xml version="1.0" encoding="utf-8"?>
<ds:datastoreItem xmlns:ds="http://schemas.openxmlformats.org/officeDocument/2006/customXml" ds:itemID="{D1EB62CC-B3A7-4BE5-9A49-C098B682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629E92-A25A-41E1-9918-D98AE927CEFF}">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schemas.microsoft.com/sharepoint/v4"/>
    <ds:schemaRef ds:uri="6b9f974d-4be1-4652-82ab-08a778657aa4"/>
    <ds:schemaRef ds:uri="http://www.w3.org/XML/1998/namespace"/>
  </ds:schemaRefs>
</ds:datastoreItem>
</file>

<file path=customXml/itemProps6.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7.xml><?xml version="1.0" encoding="utf-8"?>
<ds:datastoreItem xmlns:ds="http://schemas.openxmlformats.org/officeDocument/2006/customXml" ds:itemID="{CE4611E9-D9C3-47EF-994F-59E90BC1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74</cp:revision>
  <cp:lastPrinted>2019-09-23T14:24:00Z</cp:lastPrinted>
  <dcterms:created xsi:type="dcterms:W3CDTF">2020-04-16T13:01:00Z</dcterms:created>
  <dcterms:modified xsi:type="dcterms:W3CDTF">2020-04-21T11:57:00Z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0x010100228886B34E0E9F48BA16FBED9D25C84A</vt:lpwstr>
  </property>
  <property fmtid="{D5CDD505-2E9C-101B-9397-08002B2CF9AE}" pid="4" name="Comments">
    <vt:lpwstr/>
  </property>
  <property fmtid="{D5CDD505-2E9C-101B-9397-08002B2CF9AE}" pid="5" name="_AdHocReviewCycleID">
    <vt:i4>1626580035</vt:i4>
  </property>
  <property fmtid="{D5CDD505-2E9C-101B-9397-08002B2CF9AE}" pid="6" name="_EmailSubject">
    <vt:lpwstr>#59 Medicaid Section 1115 Severe Mental Illness and Children with Serious Emotional Disturbance Demonstrations</vt:lpwstr>
  </property>
  <property fmtid="{D5CDD505-2E9C-101B-9397-08002B2CF9AE}" pid="7" name="_AuthorEmail">
    <vt:lpwstr>Danielle.Daly@cms.hhs.gov</vt:lpwstr>
  </property>
  <property fmtid="{D5CDD505-2E9C-101B-9397-08002B2CF9AE}" pid="8" name="_AuthorEmailDisplayName">
    <vt:lpwstr>Daly, Danielle N. (CMS/CMCS)</vt:lpwstr>
  </property>
  <property fmtid="{D5CDD505-2E9C-101B-9397-08002B2CF9AE}" pid="9" name="_ReviewingToolsShownOnce">
    <vt:lpwstr/>
  </property>
</Properties>
</file>