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73BF9" w14:textId="77777777" w:rsidR="00716F94" w:rsidRDefault="00716F94" w:rsidP="00BC6896">
      <w:bookmarkStart w:id="0" w:name="_GoBack"/>
      <w:bookmarkEnd w:id="0"/>
    </w:p>
    <w:p w14:paraId="67C49194" w14:textId="77777777" w:rsidR="009B4A51" w:rsidRDefault="009B4A51" w:rsidP="00BC6896"/>
    <w:p w14:paraId="7B11B799" w14:textId="77777777" w:rsidR="009B4A51" w:rsidRDefault="009B4A51" w:rsidP="00BC6896"/>
    <w:p w14:paraId="71BD6ACE" w14:textId="77777777" w:rsidR="009B4A51" w:rsidRDefault="009B4A51" w:rsidP="00BC6896"/>
    <w:p w14:paraId="0AB7555A" w14:textId="77777777" w:rsidR="009B4A51" w:rsidRDefault="009B4A51" w:rsidP="00BC6896"/>
    <w:p w14:paraId="3652228E" w14:textId="77777777" w:rsidR="00667C89" w:rsidRDefault="00667C89" w:rsidP="00BC6896"/>
    <w:p w14:paraId="080478A8" w14:textId="77777777" w:rsidR="009B4A51" w:rsidRDefault="009B4A51" w:rsidP="00BC6896"/>
    <w:p w14:paraId="2E957B0E" w14:textId="77777777" w:rsidR="009B4A51" w:rsidRDefault="009B4A51" w:rsidP="00BC6896"/>
    <w:p w14:paraId="36C3E305" w14:textId="20497648" w:rsidR="000C6B62" w:rsidRPr="00713412" w:rsidRDefault="005A633A" w:rsidP="000C6B62">
      <w:pPr>
        <w:pStyle w:val="Heading1"/>
        <w:rPr>
          <w:color w:val="0070C0"/>
        </w:rPr>
      </w:pPr>
      <w:r>
        <w:rPr>
          <w:color w:val="0070C0"/>
        </w:rPr>
        <w:t xml:space="preserve">Implementing the </w:t>
      </w:r>
      <w:r w:rsidR="000C6B62">
        <w:rPr>
          <w:color w:val="0070C0"/>
        </w:rPr>
        <w:t>6|18 Initiative</w:t>
      </w:r>
      <w:r>
        <w:rPr>
          <w:color w:val="0070C0"/>
        </w:rPr>
        <w:t>:</w:t>
      </w:r>
      <w:r w:rsidR="000C6B62">
        <w:rPr>
          <w:color w:val="0070C0"/>
        </w:rPr>
        <w:t xml:space="preserve"> </w:t>
      </w:r>
      <w:r>
        <w:rPr>
          <w:color w:val="0070C0"/>
        </w:rPr>
        <w:t>Case Studies</w:t>
      </w:r>
    </w:p>
    <w:p w14:paraId="379EA081" w14:textId="6D5A7582" w:rsidR="00716F94" w:rsidRPr="009D77CD" w:rsidRDefault="00716F94" w:rsidP="00BC6896">
      <w:pPr>
        <w:pStyle w:val="Heading1"/>
        <w:rPr>
          <w:color w:val="0070C0"/>
        </w:rPr>
      </w:pPr>
    </w:p>
    <w:p w14:paraId="5B80353A" w14:textId="77777777" w:rsidR="00AA3192" w:rsidRDefault="00AA3192" w:rsidP="00BC6896"/>
    <w:p w14:paraId="6086CD08" w14:textId="6E058CDE" w:rsidR="00716F94" w:rsidRPr="00AA3192" w:rsidRDefault="00012B10" w:rsidP="00BC6896">
      <w:pPr>
        <w:ind w:left="0"/>
        <w:jc w:val="center"/>
      </w:pPr>
      <w:r w:rsidRPr="004D3543">
        <w:t>New</w:t>
      </w:r>
    </w:p>
    <w:p w14:paraId="4A2CE02D" w14:textId="77777777" w:rsidR="009B4A51" w:rsidRDefault="009B4A51" w:rsidP="00BC6896"/>
    <w:p w14:paraId="36A0F231" w14:textId="77777777" w:rsidR="009B4A51" w:rsidRDefault="009B4A51" w:rsidP="00BC6896"/>
    <w:p w14:paraId="57782574" w14:textId="77777777" w:rsidR="00AA3192" w:rsidRDefault="00AA3192" w:rsidP="00BC6896"/>
    <w:p w14:paraId="3741C34F" w14:textId="77777777" w:rsidR="00AA3192" w:rsidRDefault="00AA3192" w:rsidP="00BC6896"/>
    <w:p w14:paraId="70EE8450" w14:textId="77777777" w:rsidR="009B4A51" w:rsidRPr="00BC6896" w:rsidRDefault="009B4A51" w:rsidP="00BC6896">
      <w:pPr>
        <w:pStyle w:val="Heading2"/>
      </w:pPr>
      <w:r w:rsidRPr="00BC6896">
        <w:t xml:space="preserve">Supporting Statement – Section </w:t>
      </w:r>
      <w:r w:rsidR="00601392" w:rsidRPr="00BC6896">
        <w:t>B</w:t>
      </w:r>
    </w:p>
    <w:p w14:paraId="0956F05F" w14:textId="77777777" w:rsidR="009B4A51" w:rsidRDefault="009B4A51" w:rsidP="00BC6896"/>
    <w:p w14:paraId="67501100" w14:textId="77777777" w:rsidR="00484011" w:rsidRDefault="00484011" w:rsidP="000C6B62">
      <w:pPr>
        <w:ind w:left="0"/>
      </w:pPr>
    </w:p>
    <w:p w14:paraId="05A91873" w14:textId="77777777" w:rsidR="00AA3192" w:rsidRDefault="00AA3192" w:rsidP="00BC6896"/>
    <w:p w14:paraId="431BB963" w14:textId="77777777" w:rsidR="009B4A51" w:rsidRDefault="009B4A51" w:rsidP="00BC6896"/>
    <w:p w14:paraId="19A3DAFE" w14:textId="77777777" w:rsidR="009B4A51" w:rsidRDefault="009B4A51" w:rsidP="00BC6896"/>
    <w:p w14:paraId="3E14F573" w14:textId="77777777" w:rsidR="00187D5A" w:rsidRDefault="00187D5A" w:rsidP="00BC6896"/>
    <w:p w14:paraId="451918F0" w14:textId="23522881" w:rsidR="009B4A51" w:rsidRPr="00BC6896" w:rsidRDefault="002B42F5" w:rsidP="00BC6896">
      <w:pPr>
        <w:ind w:left="0"/>
        <w:jc w:val="center"/>
      </w:pPr>
      <w:r>
        <w:t>December 19</w:t>
      </w:r>
      <w:r w:rsidR="001B1600">
        <w:t>, 2017</w:t>
      </w:r>
    </w:p>
    <w:p w14:paraId="6EDE990F" w14:textId="77777777" w:rsidR="009B4A51" w:rsidRDefault="009B4A51" w:rsidP="00BC6896"/>
    <w:p w14:paraId="3BCDD2F9" w14:textId="77777777" w:rsidR="009B4A51" w:rsidRDefault="009B4A51" w:rsidP="000C6B62">
      <w:pPr>
        <w:ind w:left="0"/>
      </w:pPr>
    </w:p>
    <w:p w14:paraId="62236C34" w14:textId="77777777" w:rsidR="00AA3192" w:rsidRDefault="00AA3192" w:rsidP="00BC6896"/>
    <w:p w14:paraId="03FAE741" w14:textId="77777777" w:rsidR="00AA3192" w:rsidRDefault="00AA3192" w:rsidP="00BC6896"/>
    <w:p w14:paraId="4B864C5B" w14:textId="77777777" w:rsidR="009B4A51" w:rsidRDefault="009B4A51" w:rsidP="00BC6896"/>
    <w:p w14:paraId="7A2C0B2F"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66F814F5" w14:textId="77777777" w:rsidR="00136A26" w:rsidRPr="00A143FC" w:rsidRDefault="00136A26" w:rsidP="00136A26">
      <w:pPr>
        <w:ind w:left="0"/>
      </w:pPr>
      <w:bookmarkStart w:id="1" w:name="_Toc413847909"/>
      <w:r>
        <w:t>Naomi Chen-Bowers</w:t>
      </w:r>
    </w:p>
    <w:p w14:paraId="5648D837" w14:textId="77777777" w:rsidR="00136A26" w:rsidRPr="00A143FC" w:rsidRDefault="00136A26" w:rsidP="00136A26">
      <w:pPr>
        <w:ind w:left="0"/>
      </w:pPr>
      <w:r>
        <w:t>Senior Service Fellow</w:t>
      </w:r>
    </w:p>
    <w:p w14:paraId="439B8E52" w14:textId="77777777" w:rsidR="00136A26" w:rsidRPr="00A143FC" w:rsidRDefault="00136A26" w:rsidP="00136A26">
      <w:pPr>
        <w:ind w:left="0"/>
      </w:pPr>
      <w:r w:rsidRPr="00A143FC">
        <w:t>Office of Health System Collaboration</w:t>
      </w:r>
    </w:p>
    <w:p w14:paraId="41AFBF8C" w14:textId="77777777" w:rsidR="00136A26" w:rsidRPr="00A143FC" w:rsidRDefault="00136A26" w:rsidP="00136A26">
      <w:pPr>
        <w:ind w:left="0"/>
      </w:pPr>
      <w:r w:rsidRPr="00A143FC">
        <w:t>Office of the Associate Director for Policy</w:t>
      </w:r>
    </w:p>
    <w:p w14:paraId="0E543CF2" w14:textId="77777777" w:rsidR="00136A26" w:rsidRPr="00A143FC" w:rsidRDefault="00136A26" w:rsidP="00136A26">
      <w:pPr>
        <w:ind w:left="0"/>
      </w:pPr>
      <w:r w:rsidRPr="00A143FC">
        <w:t>Centers for Disease Control &amp; Prevention</w:t>
      </w:r>
    </w:p>
    <w:p w14:paraId="50B2D6A5" w14:textId="77777777" w:rsidR="00136A26" w:rsidRPr="00A143FC" w:rsidRDefault="00136A26" w:rsidP="00136A26">
      <w:pPr>
        <w:ind w:left="0"/>
      </w:pPr>
      <w:r w:rsidRPr="00A143FC">
        <w:t>1600 Clifton Road NE</w:t>
      </w:r>
    </w:p>
    <w:p w14:paraId="77E163C3" w14:textId="77777777" w:rsidR="00136A26" w:rsidRPr="00A143FC" w:rsidRDefault="00136A26" w:rsidP="00136A26">
      <w:pPr>
        <w:ind w:left="0"/>
      </w:pPr>
      <w:r w:rsidRPr="00A143FC">
        <w:t>Atlanta, Georgia 30333</w:t>
      </w:r>
    </w:p>
    <w:p w14:paraId="1CBD184B" w14:textId="77777777" w:rsidR="00136A26" w:rsidRPr="00A143FC" w:rsidRDefault="00136A26" w:rsidP="00136A26">
      <w:pPr>
        <w:ind w:left="0"/>
      </w:pPr>
      <w:r w:rsidRPr="00A143FC">
        <w:t xml:space="preserve">Phone Number: </w:t>
      </w:r>
      <w:r>
        <w:t>(</w:t>
      </w:r>
      <w:r w:rsidRPr="00A143FC">
        <w:t>404</w:t>
      </w:r>
      <w:r>
        <w:t>) 488-6036</w:t>
      </w:r>
    </w:p>
    <w:p w14:paraId="1D59B0D1" w14:textId="333F807C" w:rsidR="00136A26" w:rsidRDefault="00136A26" w:rsidP="00136A26">
      <w:pPr>
        <w:ind w:left="0"/>
      </w:pPr>
      <w:r w:rsidRPr="00A143FC">
        <w:t>Email:</w:t>
      </w:r>
      <w:r>
        <w:t xml:space="preserve"> </w:t>
      </w:r>
      <w:hyperlink r:id="rId14" w:history="1">
        <w:r w:rsidR="000A1B6B" w:rsidRPr="00B62E39">
          <w:rPr>
            <w:rStyle w:val="Hyperlink"/>
          </w:rPr>
          <w:t>jtv4@cdc.gov</w:t>
        </w:r>
      </w:hyperlink>
    </w:p>
    <w:p w14:paraId="3857A1EB" w14:textId="77777777" w:rsidR="000A1B6B" w:rsidRPr="00C50CD8" w:rsidRDefault="000A1B6B" w:rsidP="00136A26">
      <w:pPr>
        <w:ind w:left="0"/>
      </w:pPr>
    </w:p>
    <w:p w14:paraId="44620FD7" w14:textId="77777777" w:rsidR="00F7065B" w:rsidRDefault="00F7065B" w:rsidP="00BC6896">
      <w:pPr>
        <w:pStyle w:val="Heading3"/>
      </w:pPr>
      <w:bookmarkStart w:id="2" w:name="_Toc492558724"/>
      <w:r>
        <w:br w:type="page"/>
      </w:r>
    </w:p>
    <w:p w14:paraId="50150EEB" w14:textId="30478FBD" w:rsidR="00245F1F" w:rsidRDefault="00245F1F" w:rsidP="00BC6896">
      <w:pPr>
        <w:pStyle w:val="Heading3"/>
      </w:pPr>
      <w:r>
        <w:lastRenderedPageBreak/>
        <w:t>Table of Contents</w:t>
      </w:r>
      <w:bookmarkEnd w:id="1"/>
      <w:bookmarkEnd w:id="2"/>
    </w:p>
    <w:p w14:paraId="4A2B4B89" w14:textId="110A0180" w:rsidR="00752908"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92558724" w:history="1">
        <w:r w:rsidR="00752908" w:rsidRPr="009B5C91">
          <w:rPr>
            <w:rStyle w:val="Hyperlink"/>
            <w:noProof/>
          </w:rPr>
          <w:t>Table of Contents</w:t>
        </w:r>
        <w:r w:rsidR="00752908">
          <w:rPr>
            <w:noProof/>
            <w:webHidden/>
          </w:rPr>
          <w:tab/>
        </w:r>
        <w:r w:rsidR="00752908">
          <w:rPr>
            <w:noProof/>
            <w:webHidden/>
          </w:rPr>
          <w:fldChar w:fldCharType="begin"/>
        </w:r>
        <w:r w:rsidR="00752908">
          <w:rPr>
            <w:noProof/>
            <w:webHidden/>
          </w:rPr>
          <w:instrText xml:space="preserve"> PAGEREF _Toc492558724 \h </w:instrText>
        </w:r>
        <w:r w:rsidR="00752908">
          <w:rPr>
            <w:noProof/>
            <w:webHidden/>
          </w:rPr>
        </w:r>
        <w:r w:rsidR="00752908">
          <w:rPr>
            <w:noProof/>
            <w:webHidden/>
          </w:rPr>
          <w:fldChar w:fldCharType="separate"/>
        </w:r>
        <w:r w:rsidR="00752908">
          <w:rPr>
            <w:noProof/>
            <w:webHidden/>
          </w:rPr>
          <w:t>2</w:t>
        </w:r>
        <w:r w:rsidR="00752908">
          <w:rPr>
            <w:noProof/>
            <w:webHidden/>
          </w:rPr>
          <w:fldChar w:fldCharType="end"/>
        </w:r>
      </w:hyperlink>
    </w:p>
    <w:p w14:paraId="79FDAE18" w14:textId="7EC7BDDC" w:rsidR="00752908" w:rsidRDefault="00ED6432">
      <w:pPr>
        <w:pStyle w:val="TOC1"/>
        <w:tabs>
          <w:tab w:val="right" w:leader="dot" w:pos="9350"/>
        </w:tabs>
        <w:rPr>
          <w:rFonts w:asciiTheme="minorHAnsi" w:hAnsiTheme="minorHAnsi"/>
          <w:noProof/>
        </w:rPr>
      </w:pPr>
      <w:hyperlink w:anchor="_Toc492558725" w:history="1">
        <w:r w:rsidR="00752908" w:rsidRPr="009B5C91">
          <w:rPr>
            <w:rStyle w:val="Hyperlink"/>
            <w:noProof/>
          </w:rPr>
          <w:t>LIST OF ATTACHMENTS – Section B</w:t>
        </w:r>
        <w:r w:rsidR="00752908">
          <w:rPr>
            <w:noProof/>
            <w:webHidden/>
          </w:rPr>
          <w:tab/>
        </w:r>
        <w:r w:rsidR="00752908">
          <w:rPr>
            <w:noProof/>
            <w:webHidden/>
          </w:rPr>
          <w:fldChar w:fldCharType="begin"/>
        </w:r>
        <w:r w:rsidR="00752908">
          <w:rPr>
            <w:noProof/>
            <w:webHidden/>
          </w:rPr>
          <w:instrText xml:space="preserve"> PAGEREF _Toc492558725 \h </w:instrText>
        </w:r>
        <w:r w:rsidR="00752908">
          <w:rPr>
            <w:noProof/>
            <w:webHidden/>
          </w:rPr>
        </w:r>
        <w:r w:rsidR="00752908">
          <w:rPr>
            <w:noProof/>
            <w:webHidden/>
          </w:rPr>
          <w:fldChar w:fldCharType="separate"/>
        </w:r>
        <w:r w:rsidR="00752908">
          <w:rPr>
            <w:noProof/>
            <w:webHidden/>
          </w:rPr>
          <w:t>2</w:t>
        </w:r>
        <w:r w:rsidR="00752908">
          <w:rPr>
            <w:noProof/>
            <w:webHidden/>
          </w:rPr>
          <w:fldChar w:fldCharType="end"/>
        </w:r>
      </w:hyperlink>
    </w:p>
    <w:p w14:paraId="140CBB11" w14:textId="3E471471" w:rsidR="00752908" w:rsidRDefault="00ED6432">
      <w:pPr>
        <w:pStyle w:val="TOC1"/>
        <w:tabs>
          <w:tab w:val="right" w:leader="dot" w:pos="9350"/>
        </w:tabs>
        <w:rPr>
          <w:rFonts w:asciiTheme="minorHAnsi" w:hAnsiTheme="minorHAnsi"/>
          <w:noProof/>
        </w:rPr>
      </w:pPr>
      <w:hyperlink w:anchor="_Toc492558726" w:history="1">
        <w:r w:rsidR="00752908" w:rsidRPr="009B5C91">
          <w:rPr>
            <w:rStyle w:val="Hyperlink"/>
            <w:noProof/>
          </w:rPr>
          <w:t>Section B – Information Collection Procedures</w:t>
        </w:r>
        <w:r w:rsidR="00752908">
          <w:rPr>
            <w:noProof/>
            <w:webHidden/>
          </w:rPr>
          <w:tab/>
        </w:r>
        <w:r w:rsidR="00752908">
          <w:rPr>
            <w:noProof/>
            <w:webHidden/>
          </w:rPr>
          <w:fldChar w:fldCharType="begin"/>
        </w:r>
        <w:r w:rsidR="00752908">
          <w:rPr>
            <w:noProof/>
            <w:webHidden/>
          </w:rPr>
          <w:instrText xml:space="preserve"> PAGEREF _Toc492558726 \h </w:instrText>
        </w:r>
        <w:r w:rsidR="00752908">
          <w:rPr>
            <w:noProof/>
            <w:webHidden/>
          </w:rPr>
        </w:r>
        <w:r w:rsidR="00752908">
          <w:rPr>
            <w:noProof/>
            <w:webHidden/>
          </w:rPr>
          <w:fldChar w:fldCharType="separate"/>
        </w:r>
        <w:r w:rsidR="00752908">
          <w:rPr>
            <w:noProof/>
            <w:webHidden/>
          </w:rPr>
          <w:t>3</w:t>
        </w:r>
        <w:r w:rsidR="00752908">
          <w:rPr>
            <w:noProof/>
            <w:webHidden/>
          </w:rPr>
          <w:fldChar w:fldCharType="end"/>
        </w:r>
      </w:hyperlink>
    </w:p>
    <w:p w14:paraId="477147D4" w14:textId="46E93AD9" w:rsidR="00752908" w:rsidRDefault="00ED6432">
      <w:pPr>
        <w:pStyle w:val="TOC2"/>
        <w:rPr>
          <w:rFonts w:asciiTheme="minorHAnsi" w:hAnsiTheme="minorHAnsi"/>
          <w:noProof/>
        </w:rPr>
      </w:pPr>
      <w:hyperlink w:anchor="_Toc492558727" w:history="1">
        <w:r w:rsidR="00752908" w:rsidRPr="009B5C91">
          <w:rPr>
            <w:rStyle w:val="Hyperlink"/>
            <w:noProof/>
          </w:rPr>
          <w:t>1.</w:t>
        </w:r>
        <w:r w:rsidR="00752908">
          <w:rPr>
            <w:rFonts w:asciiTheme="minorHAnsi" w:hAnsiTheme="minorHAnsi"/>
            <w:noProof/>
          </w:rPr>
          <w:tab/>
        </w:r>
        <w:r w:rsidR="00752908" w:rsidRPr="009B5C91">
          <w:rPr>
            <w:rStyle w:val="Hyperlink"/>
            <w:noProof/>
          </w:rPr>
          <w:t>Respondent Universe and Sampling Methods</w:t>
        </w:r>
        <w:r w:rsidR="00752908">
          <w:rPr>
            <w:noProof/>
            <w:webHidden/>
          </w:rPr>
          <w:tab/>
        </w:r>
        <w:r w:rsidR="00752908">
          <w:rPr>
            <w:noProof/>
            <w:webHidden/>
          </w:rPr>
          <w:fldChar w:fldCharType="begin"/>
        </w:r>
        <w:r w:rsidR="00752908">
          <w:rPr>
            <w:noProof/>
            <w:webHidden/>
          </w:rPr>
          <w:instrText xml:space="preserve"> PAGEREF _Toc492558727 \h </w:instrText>
        </w:r>
        <w:r w:rsidR="00752908">
          <w:rPr>
            <w:noProof/>
            <w:webHidden/>
          </w:rPr>
        </w:r>
        <w:r w:rsidR="00752908">
          <w:rPr>
            <w:noProof/>
            <w:webHidden/>
          </w:rPr>
          <w:fldChar w:fldCharType="separate"/>
        </w:r>
        <w:r w:rsidR="00752908">
          <w:rPr>
            <w:noProof/>
            <w:webHidden/>
          </w:rPr>
          <w:t>3</w:t>
        </w:r>
        <w:r w:rsidR="00752908">
          <w:rPr>
            <w:noProof/>
            <w:webHidden/>
          </w:rPr>
          <w:fldChar w:fldCharType="end"/>
        </w:r>
      </w:hyperlink>
    </w:p>
    <w:p w14:paraId="5FDD62E2" w14:textId="74E83A06" w:rsidR="00752908" w:rsidRDefault="00ED6432">
      <w:pPr>
        <w:pStyle w:val="TOC2"/>
        <w:rPr>
          <w:rFonts w:asciiTheme="minorHAnsi" w:hAnsiTheme="minorHAnsi"/>
          <w:noProof/>
        </w:rPr>
      </w:pPr>
      <w:hyperlink w:anchor="_Toc492558728" w:history="1">
        <w:r w:rsidR="00752908" w:rsidRPr="009B5C91">
          <w:rPr>
            <w:rStyle w:val="Hyperlink"/>
            <w:noProof/>
          </w:rPr>
          <w:t>2.</w:t>
        </w:r>
        <w:r w:rsidR="00752908">
          <w:rPr>
            <w:rFonts w:asciiTheme="minorHAnsi" w:hAnsiTheme="minorHAnsi"/>
            <w:noProof/>
          </w:rPr>
          <w:tab/>
        </w:r>
        <w:r w:rsidR="00752908" w:rsidRPr="009B5C91">
          <w:rPr>
            <w:rStyle w:val="Hyperlink"/>
            <w:noProof/>
          </w:rPr>
          <w:t>Procedures for the Collection of Information</w:t>
        </w:r>
        <w:r w:rsidR="00752908">
          <w:rPr>
            <w:noProof/>
            <w:webHidden/>
          </w:rPr>
          <w:tab/>
        </w:r>
        <w:r w:rsidR="00752908">
          <w:rPr>
            <w:noProof/>
            <w:webHidden/>
          </w:rPr>
          <w:fldChar w:fldCharType="begin"/>
        </w:r>
        <w:r w:rsidR="00752908">
          <w:rPr>
            <w:noProof/>
            <w:webHidden/>
          </w:rPr>
          <w:instrText xml:space="preserve"> PAGEREF _Toc492558728 \h </w:instrText>
        </w:r>
        <w:r w:rsidR="00752908">
          <w:rPr>
            <w:noProof/>
            <w:webHidden/>
          </w:rPr>
        </w:r>
        <w:r w:rsidR="00752908">
          <w:rPr>
            <w:noProof/>
            <w:webHidden/>
          </w:rPr>
          <w:fldChar w:fldCharType="separate"/>
        </w:r>
        <w:r w:rsidR="00752908">
          <w:rPr>
            <w:noProof/>
            <w:webHidden/>
          </w:rPr>
          <w:t>5</w:t>
        </w:r>
        <w:r w:rsidR="00752908">
          <w:rPr>
            <w:noProof/>
            <w:webHidden/>
          </w:rPr>
          <w:fldChar w:fldCharType="end"/>
        </w:r>
      </w:hyperlink>
    </w:p>
    <w:p w14:paraId="4B277442" w14:textId="60759AD4" w:rsidR="00752908" w:rsidRDefault="00ED6432">
      <w:pPr>
        <w:pStyle w:val="TOC2"/>
        <w:rPr>
          <w:rFonts w:asciiTheme="minorHAnsi" w:hAnsiTheme="minorHAnsi"/>
          <w:noProof/>
        </w:rPr>
      </w:pPr>
      <w:hyperlink w:anchor="_Toc492558729" w:history="1">
        <w:r w:rsidR="00752908" w:rsidRPr="009B5C91">
          <w:rPr>
            <w:rStyle w:val="Hyperlink"/>
            <w:noProof/>
          </w:rPr>
          <w:t>3.</w:t>
        </w:r>
        <w:r w:rsidR="00752908">
          <w:rPr>
            <w:rFonts w:asciiTheme="minorHAnsi" w:hAnsiTheme="minorHAnsi"/>
            <w:noProof/>
          </w:rPr>
          <w:tab/>
        </w:r>
        <w:r w:rsidR="00752908" w:rsidRPr="009B5C91">
          <w:rPr>
            <w:rStyle w:val="Hyperlink"/>
            <w:noProof/>
          </w:rPr>
          <w:t>Methods to Maximize Response Rates Deal with Nonresponse</w:t>
        </w:r>
        <w:r w:rsidR="00752908">
          <w:rPr>
            <w:noProof/>
            <w:webHidden/>
          </w:rPr>
          <w:tab/>
        </w:r>
        <w:r w:rsidR="00752908">
          <w:rPr>
            <w:noProof/>
            <w:webHidden/>
          </w:rPr>
          <w:fldChar w:fldCharType="begin"/>
        </w:r>
        <w:r w:rsidR="00752908">
          <w:rPr>
            <w:noProof/>
            <w:webHidden/>
          </w:rPr>
          <w:instrText xml:space="preserve"> PAGEREF _Toc492558729 \h </w:instrText>
        </w:r>
        <w:r w:rsidR="00752908">
          <w:rPr>
            <w:noProof/>
            <w:webHidden/>
          </w:rPr>
        </w:r>
        <w:r w:rsidR="00752908">
          <w:rPr>
            <w:noProof/>
            <w:webHidden/>
          </w:rPr>
          <w:fldChar w:fldCharType="separate"/>
        </w:r>
        <w:r w:rsidR="00752908">
          <w:rPr>
            <w:noProof/>
            <w:webHidden/>
          </w:rPr>
          <w:t>6</w:t>
        </w:r>
        <w:r w:rsidR="00752908">
          <w:rPr>
            <w:noProof/>
            <w:webHidden/>
          </w:rPr>
          <w:fldChar w:fldCharType="end"/>
        </w:r>
      </w:hyperlink>
    </w:p>
    <w:p w14:paraId="43A3E0FE" w14:textId="1B6A619E" w:rsidR="00752908" w:rsidRDefault="00ED6432">
      <w:pPr>
        <w:pStyle w:val="TOC2"/>
        <w:rPr>
          <w:rFonts w:asciiTheme="minorHAnsi" w:hAnsiTheme="minorHAnsi"/>
          <w:noProof/>
        </w:rPr>
      </w:pPr>
      <w:hyperlink w:anchor="_Toc492558730" w:history="1">
        <w:r w:rsidR="00752908" w:rsidRPr="009B5C91">
          <w:rPr>
            <w:rStyle w:val="Hyperlink"/>
            <w:noProof/>
          </w:rPr>
          <w:t>4.</w:t>
        </w:r>
        <w:r w:rsidR="00752908">
          <w:rPr>
            <w:rFonts w:asciiTheme="minorHAnsi" w:hAnsiTheme="minorHAnsi"/>
            <w:noProof/>
          </w:rPr>
          <w:tab/>
        </w:r>
        <w:r w:rsidR="00752908" w:rsidRPr="009B5C91">
          <w:rPr>
            <w:rStyle w:val="Hyperlink"/>
            <w:noProof/>
          </w:rPr>
          <w:t>Test of Procedures or Methods to be Undertaken</w:t>
        </w:r>
        <w:r w:rsidR="00752908">
          <w:rPr>
            <w:noProof/>
            <w:webHidden/>
          </w:rPr>
          <w:tab/>
        </w:r>
        <w:r w:rsidR="00752908">
          <w:rPr>
            <w:noProof/>
            <w:webHidden/>
          </w:rPr>
          <w:fldChar w:fldCharType="begin"/>
        </w:r>
        <w:r w:rsidR="00752908">
          <w:rPr>
            <w:noProof/>
            <w:webHidden/>
          </w:rPr>
          <w:instrText xml:space="preserve"> PAGEREF _Toc492558730 \h </w:instrText>
        </w:r>
        <w:r w:rsidR="00752908">
          <w:rPr>
            <w:noProof/>
            <w:webHidden/>
          </w:rPr>
        </w:r>
        <w:r w:rsidR="00752908">
          <w:rPr>
            <w:noProof/>
            <w:webHidden/>
          </w:rPr>
          <w:fldChar w:fldCharType="separate"/>
        </w:r>
        <w:r w:rsidR="00752908">
          <w:rPr>
            <w:noProof/>
            <w:webHidden/>
          </w:rPr>
          <w:t>7</w:t>
        </w:r>
        <w:r w:rsidR="00752908">
          <w:rPr>
            <w:noProof/>
            <w:webHidden/>
          </w:rPr>
          <w:fldChar w:fldCharType="end"/>
        </w:r>
      </w:hyperlink>
    </w:p>
    <w:p w14:paraId="00FB4206" w14:textId="4F985B4A" w:rsidR="00752908" w:rsidRDefault="00ED6432">
      <w:pPr>
        <w:pStyle w:val="TOC2"/>
        <w:rPr>
          <w:rFonts w:asciiTheme="minorHAnsi" w:hAnsiTheme="minorHAnsi"/>
          <w:noProof/>
        </w:rPr>
      </w:pPr>
      <w:hyperlink w:anchor="_Toc492558731" w:history="1">
        <w:r w:rsidR="00752908" w:rsidRPr="009B5C91">
          <w:rPr>
            <w:rStyle w:val="Hyperlink"/>
            <w:noProof/>
          </w:rPr>
          <w:t>5.</w:t>
        </w:r>
        <w:r w:rsidR="00752908">
          <w:rPr>
            <w:rFonts w:asciiTheme="minorHAnsi" w:hAnsiTheme="minorHAnsi"/>
            <w:noProof/>
          </w:rPr>
          <w:tab/>
        </w:r>
        <w:r w:rsidR="00752908" w:rsidRPr="009B5C91">
          <w:rPr>
            <w:rStyle w:val="Hyperlink"/>
            <w:noProof/>
          </w:rPr>
          <w:t>Individuals Consulted on Statistical Aspects and Individuals Collecting and/or Analyzing Data</w:t>
        </w:r>
        <w:r w:rsidR="00752908">
          <w:rPr>
            <w:noProof/>
            <w:webHidden/>
          </w:rPr>
          <w:tab/>
        </w:r>
        <w:r w:rsidR="00752908">
          <w:rPr>
            <w:noProof/>
            <w:webHidden/>
          </w:rPr>
          <w:fldChar w:fldCharType="begin"/>
        </w:r>
        <w:r w:rsidR="00752908">
          <w:rPr>
            <w:noProof/>
            <w:webHidden/>
          </w:rPr>
          <w:instrText xml:space="preserve"> PAGEREF _Toc492558731 \h </w:instrText>
        </w:r>
        <w:r w:rsidR="00752908">
          <w:rPr>
            <w:noProof/>
            <w:webHidden/>
          </w:rPr>
        </w:r>
        <w:r w:rsidR="00752908">
          <w:rPr>
            <w:noProof/>
            <w:webHidden/>
          </w:rPr>
          <w:fldChar w:fldCharType="separate"/>
        </w:r>
        <w:r w:rsidR="00752908">
          <w:rPr>
            <w:noProof/>
            <w:webHidden/>
          </w:rPr>
          <w:t>7</w:t>
        </w:r>
        <w:r w:rsidR="00752908">
          <w:rPr>
            <w:noProof/>
            <w:webHidden/>
          </w:rPr>
          <w:fldChar w:fldCharType="end"/>
        </w:r>
      </w:hyperlink>
    </w:p>
    <w:p w14:paraId="750E7036" w14:textId="6FC09544" w:rsidR="00752908" w:rsidRDefault="00245F1F" w:rsidP="00752908">
      <w:pPr>
        <w:pStyle w:val="Heading3"/>
      </w:pPr>
      <w:r>
        <w:fldChar w:fldCharType="end"/>
      </w:r>
    </w:p>
    <w:p w14:paraId="70FFD3C9" w14:textId="6CDD12B9" w:rsidR="00752908" w:rsidRPr="00BC6896" w:rsidRDefault="00752908" w:rsidP="00752908">
      <w:pPr>
        <w:pStyle w:val="Heading3"/>
      </w:pPr>
      <w:bookmarkStart w:id="3" w:name="_Toc492558725"/>
      <w:r w:rsidRPr="00BC6896">
        <w:t>LIST OF ATTACHMENTS – Section B</w:t>
      </w:r>
      <w:bookmarkEnd w:id="3"/>
    </w:p>
    <w:p w14:paraId="216CBF08" w14:textId="77777777" w:rsidR="00752908" w:rsidRPr="00A36419" w:rsidRDefault="00752908" w:rsidP="00752908">
      <w:pPr>
        <w:ind w:left="0"/>
      </w:pPr>
      <w:r w:rsidRPr="00CD1EA8">
        <w:t>Note:</w:t>
      </w:r>
      <w:r>
        <w:t xml:space="preserve"> Attachments are included as separate files as instructed.</w:t>
      </w:r>
    </w:p>
    <w:p w14:paraId="63E956DE" w14:textId="77777777" w:rsidR="00752908" w:rsidRPr="00C9042C" w:rsidRDefault="00752908" w:rsidP="00752908">
      <w:pPr>
        <w:pStyle w:val="ListParagraph"/>
        <w:numPr>
          <w:ilvl w:val="0"/>
          <w:numId w:val="49"/>
        </w:numPr>
        <w:spacing w:line="240" w:lineRule="auto"/>
        <w:rPr>
          <w:b/>
        </w:rPr>
      </w:pPr>
      <w:r w:rsidRPr="00C9042C">
        <w:rPr>
          <w:b/>
        </w:rPr>
        <w:t xml:space="preserve">Att. 1—Authorizing Legislation </w:t>
      </w:r>
    </w:p>
    <w:p w14:paraId="09B66F00" w14:textId="77777777" w:rsidR="00752908" w:rsidRPr="00C9042C" w:rsidRDefault="00752908" w:rsidP="00752908">
      <w:pPr>
        <w:pStyle w:val="ListParagraph"/>
        <w:numPr>
          <w:ilvl w:val="0"/>
          <w:numId w:val="49"/>
        </w:numPr>
        <w:spacing w:line="240" w:lineRule="auto"/>
        <w:rPr>
          <w:b/>
        </w:rPr>
      </w:pPr>
      <w:r w:rsidRPr="00C9042C">
        <w:rPr>
          <w:b/>
        </w:rPr>
        <w:t>Att. 2—60-Day FRN</w:t>
      </w:r>
    </w:p>
    <w:p w14:paraId="707E9F02" w14:textId="77777777" w:rsidR="00752908" w:rsidRDefault="00752908" w:rsidP="00752908">
      <w:pPr>
        <w:pStyle w:val="ListParagraph"/>
        <w:numPr>
          <w:ilvl w:val="0"/>
          <w:numId w:val="49"/>
        </w:numPr>
        <w:spacing w:line="240" w:lineRule="auto"/>
        <w:rPr>
          <w:b/>
        </w:rPr>
      </w:pPr>
      <w:r>
        <w:rPr>
          <w:b/>
        </w:rPr>
        <w:t>Att. 3—Interview Guide</w:t>
      </w:r>
    </w:p>
    <w:p w14:paraId="44A71420" w14:textId="77777777" w:rsidR="00752908" w:rsidRPr="008F15EC" w:rsidRDefault="00752908" w:rsidP="00752908">
      <w:pPr>
        <w:pStyle w:val="ListParagraph"/>
        <w:numPr>
          <w:ilvl w:val="0"/>
          <w:numId w:val="49"/>
        </w:numPr>
        <w:spacing w:line="240" w:lineRule="auto"/>
        <w:rPr>
          <w:b/>
        </w:rPr>
      </w:pPr>
      <w:r>
        <w:rPr>
          <w:b/>
        </w:rPr>
        <w:t>Att. 4</w:t>
      </w:r>
      <w:r w:rsidRPr="008F15EC">
        <w:rPr>
          <w:b/>
        </w:rPr>
        <w:t>—Advance notice email</w:t>
      </w:r>
    </w:p>
    <w:p w14:paraId="58BBE7F7" w14:textId="311D6DC3" w:rsidR="00752908" w:rsidRPr="008F15EC" w:rsidRDefault="00752908" w:rsidP="00752908">
      <w:pPr>
        <w:pStyle w:val="ListParagraph"/>
        <w:numPr>
          <w:ilvl w:val="0"/>
          <w:numId w:val="49"/>
        </w:numPr>
        <w:spacing w:line="240" w:lineRule="auto"/>
        <w:rPr>
          <w:b/>
        </w:rPr>
      </w:pPr>
      <w:r>
        <w:rPr>
          <w:b/>
        </w:rPr>
        <w:t>Att. 5</w:t>
      </w:r>
      <w:r w:rsidR="00F7065B">
        <w:rPr>
          <w:b/>
        </w:rPr>
        <w:t>—IRB determination</w:t>
      </w:r>
    </w:p>
    <w:p w14:paraId="3BBECE7D" w14:textId="77777777" w:rsidR="00752908" w:rsidRDefault="00752908" w:rsidP="00752908">
      <w:pPr>
        <w:pStyle w:val="ListParagraph"/>
        <w:numPr>
          <w:ilvl w:val="0"/>
          <w:numId w:val="49"/>
        </w:numPr>
        <w:spacing w:line="240" w:lineRule="auto"/>
        <w:rPr>
          <w:b/>
        </w:rPr>
      </w:pPr>
      <w:r w:rsidRPr="008F15EC">
        <w:rPr>
          <w:b/>
        </w:rPr>
        <w:t>Att.</w:t>
      </w:r>
      <w:r>
        <w:rPr>
          <w:b/>
        </w:rPr>
        <w:t xml:space="preserve"> 6—</w:t>
      </w:r>
      <w:r w:rsidRPr="008F15EC">
        <w:rPr>
          <w:b/>
        </w:rPr>
        <w:t>6|18 Frequently Asked Questions</w:t>
      </w:r>
    </w:p>
    <w:p w14:paraId="2204707F" w14:textId="77777777" w:rsidR="00752908" w:rsidRDefault="00752908" w:rsidP="00752908">
      <w:pPr>
        <w:pStyle w:val="ListParagraph"/>
        <w:numPr>
          <w:ilvl w:val="0"/>
          <w:numId w:val="49"/>
        </w:numPr>
        <w:spacing w:line="240" w:lineRule="auto"/>
        <w:rPr>
          <w:b/>
        </w:rPr>
      </w:pPr>
      <w:r>
        <w:rPr>
          <w:b/>
        </w:rPr>
        <w:t>Att. 7—6|18 Conditions: Burden, Cost, and Associated Evidence-Based Interventions</w:t>
      </w:r>
    </w:p>
    <w:p w14:paraId="1F5C7EDF" w14:textId="798897D8" w:rsidR="00752908" w:rsidRPr="00752908" w:rsidRDefault="00752908" w:rsidP="00752908">
      <w:pPr>
        <w:pStyle w:val="ListParagraph"/>
        <w:numPr>
          <w:ilvl w:val="0"/>
          <w:numId w:val="49"/>
        </w:numPr>
        <w:spacing w:line="240" w:lineRule="auto"/>
        <w:rPr>
          <w:rFonts w:ascii="Cambria" w:hAnsi="Cambria"/>
          <w:b/>
        </w:rPr>
      </w:pPr>
      <w:r w:rsidRPr="0066767D">
        <w:rPr>
          <w:b/>
        </w:rPr>
        <w:t>Att</w:t>
      </w:r>
      <w:r>
        <w:rPr>
          <w:b/>
        </w:rPr>
        <w:t>. 8</w:t>
      </w:r>
      <w:r w:rsidR="00D20A97">
        <w:rPr>
          <w:b/>
        </w:rPr>
        <w:t>—6</w:t>
      </w:r>
      <w:r>
        <w:rPr>
          <w:b/>
        </w:rPr>
        <w:t>|18 States</w:t>
      </w:r>
    </w:p>
    <w:p w14:paraId="20EEA37D" w14:textId="77777777" w:rsidR="00245F1F" w:rsidRDefault="00245F1F" w:rsidP="00BC6896">
      <w:pPr>
        <w:pStyle w:val="Heading3"/>
      </w:pPr>
    </w:p>
    <w:p w14:paraId="7E02B7DD" w14:textId="77777777" w:rsidR="00245F1F" w:rsidRDefault="00245F1F">
      <w:pPr>
        <w:spacing w:after="200"/>
        <w:ind w:left="0"/>
        <w:rPr>
          <w:b/>
          <w:sz w:val="28"/>
        </w:rPr>
      </w:pPr>
      <w:r>
        <w:br w:type="page"/>
      </w:r>
    </w:p>
    <w:p w14:paraId="4954A819" w14:textId="77777777" w:rsidR="00B12F51" w:rsidRPr="00BC6896" w:rsidRDefault="00B12F51" w:rsidP="00BC6896">
      <w:pPr>
        <w:pStyle w:val="Heading3"/>
      </w:pPr>
      <w:bookmarkStart w:id="4" w:name="_Toc492558726"/>
      <w:r w:rsidRPr="00BC6896">
        <w:lastRenderedPageBreak/>
        <w:t xml:space="preserve">Section B – </w:t>
      </w:r>
      <w:r w:rsidR="00C84DC3">
        <w:t>Information</w:t>
      </w:r>
      <w:r w:rsidR="00287E2F" w:rsidRPr="00BC6896">
        <w:t xml:space="preserve"> Collection Procedures</w:t>
      </w:r>
      <w:bookmarkEnd w:id="4"/>
    </w:p>
    <w:p w14:paraId="4FC1A903" w14:textId="77777777" w:rsidR="00287E2F" w:rsidRDefault="00287E2F" w:rsidP="00BC6896"/>
    <w:p w14:paraId="537DC170" w14:textId="77777777" w:rsidR="00A75D1C" w:rsidRPr="00660BDB" w:rsidRDefault="009759F3" w:rsidP="00991BF9">
      <w:pPr>
        <w:pStyle w:val="Heading4"/>
      </w:pPr>
      <w:bookmarkStart w:id="5" w:name="_Toc492558727"/>
      <w:r w:rsidRPr="00660BDB">
        <w:t>Respondent Universe and Sampling Methods</w:t>
      </w:r>
      <w:bookmarkEnd w:id="5"/>
      <w:r w:rsidR="00A305CE" w:rsidRPr="00660BDB">
        <w:t xml:space="preserve"> </w:t>
      </w:r>
    </w:p>
    <w:p w14:paraId="02EBF903" w14:textId="31BCA65B" w:rsidR="007B1CAE" w:rsidRPr="007B1CAE" w:rsidRDefault="007B1CAE" w:rsidP="00B91C78">
      <w:pPr>
        <w:tabs>
          <w:tab w:val="left" w:pos="7272"/>
        </w:tabs>
        <w:ind w:left="360"/>
        <w:rPr>
          <w:i/>
        </w:rPr>
      </w:pPr>
      <w:r w:rsidRPr="007B1CAE">
        <w:rPr>
          <w:i/>
        </w:rPr>
        <w:t>Respondent Universe</w:t>
      </w:r>
    </w:p>
    <w:p w14:paraId="4CFBA8D2" w14:textId="77777777" w:rsidR="00A50B28" w:rsidRDefault="00A50B28" w:rsidP="006A7F3D">
      <w:pPr>
        <w:ind w:left="360"/>
        <w:rPr>
          <w:i/>
        </w:rPr>
      </w:pPr>
    </w:p>
    <w:p w14:paraId="1FB9BA51" w14:textId="48E003A9" w:rsidR="00B6196A" w:rsidRDefault="009666F5" w:rsidP="006A7F3D">
      <w:pPr>
        <w:ind w:left="360"/>
      </w:pPr>
      <w:r w:rsidRPr="00A50B28">
        <w:rPr>
          <w:i/>
        </w:rPr>
        <w:t xml:space="preserve">Overview: </w:t>
      </w:r>
      <w:r w:rsidR="00B6196A" w:rsidRPr="00B6196A">
        <w:t xml:space="preserve">Information will be collected from a purposively selected convenience sample of 17 </w:t>
      </w:r>
      <w:r w:rsidR="003C3F3F">
        <w:t xml:space="preserve">jurisdictions (hereafter, “states”) </w:t>
      </w:r>
      <w:r w:rsidR="00B6196A" w:rsidRPr="00B6196A">
        <w:t>participating in the 6|18 initiative</w:t>
      </w:r>
      <w:r w:rsidR="001B1600">
        <w:t xml:space="preserve"> (see </w:t>
      </w:r>
      <w:r w:rsidR="001B1600" w:rsidRPr="005E5F9F">
        <w:rPr>
          <w:b/>
        </w:rPr>
        <w:t>Attachment 8</w:t>
      </w:r>
      <w:r w:rsidR="005E5F9F" w:rsidRPr="005E5F9F">
        <w:rPr>
          <w:b/>
        </w:rPr>
        <w:t xml:space="preserve"> -</w:t>
      </w:r>
      <w:r w:rsidR="001B1600" w:rsidRPr="005E5F9F">
        <w:rPr>
          <w:b/>
        </w:rPr>
        <w:t xml:space="preserve"> 6|18 States</w:t>
      </w:r>
      <w:r w:rsidR="001B1600">
        <w:t>)</w:t>
      </w:r>
      <w:r w:rsidR="00B6196A" w:rsidRPr="00B6196A">
        <w:t xml:space="preserve">.  Each state </w:t>
      </w:r>
      <w:r w:rsidR="00787DA7">
        <w:t xml:space="preserve">team </w:t>
      </w:r>
      <w:r w:rsidR="00B6196A" w:rsidRPr="00B6196A">
        <w:t xml:space="preserve">will be represented by up to </w:t>
      </w:r>
      <w:r w:rsidR="00584553">
        <w:t>4-7</w:t>
      </w:r>
      <w:r w:rsidR="00B6196A" w:rsidRPr="00B6196A">
        <w:t xml:space="preserve"> respondents with the following job titles: state public health director (1), public health manager (1-</w:t>
      </w:r>
      <w:r w:rsidR="005730CB">
        <w:t>4</w:t>
      </w:r>
      <w:r w:rsidR="00B6196A" w:rsidRPr="00B6196A">
        <w:t>), Medicaid director (1), and Medicaid manager (1).</w:t>
      </w:r>
      <w:r w:rsidR="001B1600">
        <w:t xml:space="preserve">  From the list of health conditions targeted by the 6|18 initiative, each state has selected 1-4 health conditions and has assigned a public health manager to each condition.  As a result, the number of respondents will vary by state.  A summary of the number of respondents, by role and year of </w:t>
      </w:r>
      <w:r w:rsidR="00C52D73">
        <w:t xml:space="preserve">6|18 </w:t>
      </w:r>
      <w:r w:rsidR="001B1600">
        <w:t xml:space="preserve">participation, is provided in Table B1.  The table provides both the </w:t>
      </w:r>
      <w:r w:rsidR="00203808">
        <w:t xml:space="preserve">actual targeted number of </w:t>
      </w:r>
      <w:r w:rsidR="001B1600">
        <w:t xml:space="preserve">respondents and the annualized number of respondents used to </w:t>
      </w:r>
      <w:r w:rsidR="00366D33">
        <w:t>estimate</w:t>
      </w:r>
      <w:r w:rsidR="001B1600">
        <w:t xml:space="preserve"> burden</w:t>
      </w:r>
      <w:r w:rsidR="00366D33">
        <w:t xml:space="preserve"> for this information collection</w:t>
      </w:r>
      <w:r w:rsidR="001B1600">
        <w:t>.</w:t>
      </w:r>
    </w:p>
    <w:p w14:paraId="20C93DDD" w14:textId="77777777" w:rsidR="001B1600" w:rsidRPr="001B1600" w:rsidRDefault="001B1600" w:rsidP="006A7F3D">
      <w:pPr>
        <w:ind w:left="360"/>
      </w:pPr>
    </w:p>
    <w:p w14:paraId="76984BFF" w14:textId="1E0015DF" w:rsidR="00E136D1" w:rsidRDefault="001B1600" w:rsidP="00E136D1">
      <w:pPr>
        <w:ind w:left="360"/>
      </w:pPr>
      <w:r>
        <w:t>Table B1. Number of Respondents, by Role</w:t>
      </w:r>
      <w:r w:rsidR="00561D3F">
        <w:t xml:space="preserve"> and Year of 6|18 Participation</w:t>
      </w:r>
    </w:p>
    <w:tbl>
      <w:tblPr>
        <w:tblStyle w:val="TableGrid"/>
        <w:tblW w:w="0" w:type="auto"/>
        <w:tblInd w:w="445" w:type="dxa"/>
        <w:tblLook w:val="04A0" w:firstRow="1" w:lastRow="0" w:firstColumn="1" w:lastColumn="0" w:noHBand="0" w:noVBand="1"/>
      </w:tblPr>
      <w:tblGrid>
        <w:gridCol w:w="2430"/>
        <w:gridCol w:w="1350"/>
        <w:gridCol w:w="1620"/>
        <w:gridCol w:w="1350"/>
        <w:gridCol w:w="1890"/>
      </w:tblGrid>
      <w:tr w:rsidR="001B1600" w14:paraId="5F1F0981" w14:textId="77777777" w:rsidTr="003C3F3F">
        <w:trPr>
          <w:trHeight w:val="323"/>
        </w:trPr>
        <w:tc>
          <w:tcPr>
            <w:tcW w:w="2430" w:type="dxa"/>
            <w:vMerge w:val="restart"/>
          </w:tcPr>
          <w:p w14:paraId="2265EED2" w14:textId="77777777" w:rsidR="003C3F3F" w:rsidRDefault="003C3F3F" w:rsidP="001B1600">
            <w:pPr>
              <w:ind w:left="0"/>
              <w:jc w:val="center"/>
            </w:pPr>
          </w:p>
          <w:p w14:paraId="48436941" w14:textId="3CE7C463" w:rsidR="001B1600" w:rsidRDefault="001B1600" w:rsidP="001B1600">
            <w:pPr>
              <w:ind w:left="0"/>
              <w:jc w:val="center"/>
            </w:pPr>
            <w:r>
              <w:t>State Team Respondents, by Role</w:t>
            </w:r>
          </w:p>
        </w:tc>
        <w:tc>
          <w:tcPr>
            <w:tcW w:w="6210" w:type="dxa"/>
            <w:gridSpan w:val="4"/>
          </w:tcPr>
          <w:p w14:paraId="27FAE48F" w14:textId="1E8BA378" w:rsidR="001B1600" w:rsidRDefault="001B1600" w:rsidP="001B1600">
            <w:pPr>
              <w:ind w:left="0"/>
              <w:jc w:val="center"/>
            </w:pPr>
            <w:r>
              <w:t>Number of Respondents</w:t>
            </w:r>
          </w:p>
        </w:tc>
      </w:tr>
      <w:tr w:rsidR="003C3F3F" w14:paraId="549BB949" w14:textId="77777777" w:rsidTr="003C3F3F">
        <w:tc>
          <w:tcPr>
            <w:tcW w:w="2430" w:type="dxa"/>
            <w:vMerge/>
          </w:tcPr>
          <w:p w14:paraId="44BC859C" w14:textId="77777777" w:rsidR="001B1600" w:rsidRDefault="001B1600" w:rsidP="005E5F9F">
            <w:pPr>
              <w:ind w:left="0"/>
              <w:jc w:val="center"/>
            </w:pPr>
          </w:p>
        </w:tc>
        <w:tc>
          <w:tcPr>
            <w:tcW w:w="1350" w:type="dxa"/>
          </w:tcPr>
          <w:p w14:paraId="0F5E9328" w14:textId="5229F3CF" w:rsidR="001B1600" w:rsidRDefault="001B1600" w:rsidP="005E5F9F">
            <w:pPr>
              <w:ind w:left="0"/>
              <w:jc w:val="center"/>
            </w:pPr>
            <w:r>
              <w:t>Year 1 (Actual)</w:t>
            </w:r>
          </w:p>
        </w:tc>
        <w:tc>
          <w:tcPr>
            <w:tcW w:w="1620" w:type="dxa"/>
          </w:tcPr>
          <w:p w14:paraId="3A402512" w14:textId="6798EFFD" w:rsidR="001B1600" w:rsidRDefault="001B1600" w:rsidP="005E5F9F">
            <w:pPr>
              <w:ind w:left="0"/>
              <w:jc w:val="center"/>
            </w:pPr>
            <w:r>
              <w:t>Year 2 (Actual)</w:t>
            </w:r>
          </w:p>
        </w:tc>
        <w:tc>
          <w:tcPr>
            <w:tcW w:w="1350" w:type="dxa"/>
          </w:tcPr>
          <w:p w14:paraId="49DAFE94" w14:textId="6B8DACA5" w:rsidR="001B1600" w:rsidRDefault="001B1600" w:rsidP="005E5F9F">
            <w:pPr>
              <w:ind w:left="0"/>
              <w:jc w:val="center"/>
            </w:pPr>
            <w:r>
              <w:t>Total (Actual)</w:t>
            </w:r>
          </w:p>
        </w:tc>
        <w:tc>
          <w:tcPr>
            <w:tcW w:w="1890" w:type="dxa"/>
          </w:tcPr>
          <w:p w14:paraId="2595BC94" w14:textId="77777777" w:rsidR="003C3F3F" w:rsidRDefault="003C3F3F" w:rsidP="005E5F9F">
            <w:pPr>
              <w:ind w:left="0"/>
              <w:jc w:val="center"/>
            </w:pPr>
            <w:r>
              <w:t>Total</w:t>
            </w:r>
          </w:p>
          <w:p w14:paraId="716541D7" w14:textId="219ECD6C" w:rsidR="001B1600" w:rsidRDefault="001B1600" w:rsidP="005E5F9F">
            <w:pPr>
              <w:ind w:left="0"/>
              <w:jc w:val="center"/>
            </w:pPr>
            <w:r>
              <w:t>(Annualized)</w:t>
            </w:r>
            <w:r w:rsidR="003C3F3F">
              <w:t xml:space="preserve"> </w:t>
            </w:r>
            <w:r w:rsidR="00520791">
              <w:rPr>
                <w:vertAlign w:val="superscript"/>
              </w:rPr>
              <w:t>(</w:t>
            </w:r>
            <w:r w:rsidR="003C3F3F" w:rsidRPr="003C3F3F">
              <w:rPr>
                <w:vertAlign w:val="superscript"/>
              </w:rPr>
              <w:t>i)</w:t>
            </w:r>
          </w:p>
        </w:tc>
      </w:tr>
      <w:tr w:rsidR="003C3F3F" w14:paraId="4A7B962D" w14:textId="77777777" w:rsidTr="003C3F3F">
        <w:tc>
          <w:tcPr>
            <w:tcW w:w="2430" w:type="dxa"/>
          </w:tcPr>
          <w:p w14:paraId="751FF9D0" w14:textId="09F0EA0A" w:rsidR="001B1600" w:rsidRDefault="001B1600" w:rsidP="006A7F3D">
            <w:pPr>
              <w:ind w:left="0"/>
            </w:pPr>
            <w:r>
              <w:t>Public Health Director</w:t>
            </w:r>
          </w:p>
        </w:tc>
        <w:tc>
          <w:tcPr>
            <w:tcW w:w="1350" w:type="dxa"/>
          </w:tcPr>
          <w:p w14:paraId="66BF87A9" w14:textId="1BB434E6" w:rsidR="001B1600" w:rsidRDefault="001B1600" w:rsidP="00E136D1">
            <w:pPr>
              <w:ind w:left="0"/>
              <w:jc w:val="center"/>
            </w:pPr>
            <w:r>
              <w:t>9</w:t>
            </w:r>
          </w:p>
        </w:tc>
        <w:tc>
          <w:tcPr>
            <w:tcW w:w="1620" w:type="dxa"/>
          </w:tcPr>
          <w:p w14:paraId="5CC45C33" w14:textId="196B0656" w:rsidR="001B1600" w:rsidRDefault="001B1600" w:rsidP="00E136D1">
            <w:pPr>
              <w:ind w:left="0"/>
              <w:jc w:val="center"/>
            </w:pPr>
            <w:r>
              <w:t>8</w:t>
            </w:r>
          </w:p>
        </w:tc>
        <w:tc>
          <w:tcPr>
            <w:tcW w:w="1350" w:type="dxa"/>
          </w:tcPr>
          <w:p w14:paraId="7411E964" w14:textId="68C6916C" w:rsidR="001B1600" w:rsidRDefault="001B1600" w:rsidP="00E136D1">
            <w:pPr>
              <w:ind w:left="0"/>
              <w:jc w:val="center"/>
            </w:pPr>
            <w:r>
              <w:t>17</w:t>
            </w:r>
          </w:p>
        </w:tc>
        <w:tc>
          <w:tcPr>
            <w:tcW w:w="1890" w:type="dxa"/>
          </w:tcPr>
          <w:p w14:paraId="6E338B80" w14:textId="1BED2E66" w:rsidR="001B1600" w:rsidRDefault="001B1600" w:rsidP="00E136D1">
            <w:pPr>
              <w:ind w:left="0"/>
              <w:jc w:val="center"/>
            </w:pPr>
            <w:r>
              <w:t>6</w:t>
            </w:r>
          </w:p>
        </w:tc>
      </w:tr>
      <w:tr w:rsidR="003C3F3F" w14:paraId="2CF0CDAA" w14:textId="77777777" w:rsidTr="003C3F3F">
        <w:tc>
          <w:tcPr>
            <w:tcW w:w="2430" w:type="dxa"/>
          </w:tcPr>
          <w:p w14:paraId="023D0CC0" w14:textId="6AF1DDFC" w:rsidR="001B1600" w:rsidRDefault="001B1600" w:rsidP="006A7F3D">
            <w:pPr>
              <w:ind w:left="0"/>
            </w:pPr>
            <w:r>
              <w:t>Public Health Manager</w:t>
            </w:r>
          </w:p>
        </w:tc>
        <w:tc>
          <w:tcPr>
            <w:tcW w:w="1350" w:type="dxa"/>
          </w:tcPr>
          <w:p w14:paraId="7B1ED167" w14:textId="10B0B0E5" w:rsidR="001B1600" w:rsidRDefault="001B1600" w:rsidP="00E136D1">
            <w:pPr>
              <w:ind w:left="0"/>
              <w:jc w:val="center"/>
            </w:pPr>
            <w:r>
              <w:t xml:space="preserve">16 </w:t>
            </w:r>
            <w:r w:rsidR="00881607">
              <w:rPr>
                <w:vertAlign w:val="superscript"/>
              </w:rPr>
              <w:t>(</w:t>
            </w:r>
            <w:r w:rsidR="00520791">
              <w:rPr>
                <w:vertAlign w:val="superscript"/>
              </w:rPr>
              <w:t>i</w:t>
            </w:r>
            <w:r w:rsidR="00881607">
              <w:rPr>
                <w:vertAlign w:val="superscript"/>
              </w:rPr>
              <w:t>i</w:t>
            </w:r>
            <w:r w:rsidRPr="00E136D1">
              <w:rPr>
                <w:vertAlign w:val="superscript"/>
              </w:rPr>
              <w:t>)</w:t>
            </w:r>
          </w:p>
        </w:tc>
        <w:tc>
          <w:tcPr>
            <w:tcW w:w="1620" w:type="dxa"/>
          </w:tcPr>
          <w:p w14:paraId="68544A57" w14:textId="10ACD23D" w:rsidR="001B1600" w:rsidRDefault="001B1600" w:rsidP="00E136D1">
            <w:pPr>
              <w:ind w:left="0"/>
              <w:jc w:val="center"/>
            </w:pPr>
            <w:r>
              <w:t xml:space="preserve">15 </w:t>
            </w:r>
            <w:r w:rsidR="00881607">
              <w:rPr>
                <w:vertAlign w:val="superscript"/>
              </w:rPr>
              <w:t>(i</w:t>
            </w:r>
            <w:r w:rsidR="00520791">
              <w:rPr>
                <w:vertAlign w:val="superscript"/>
              </w:rPr>
              <w:t>i</w:t>
            </w:r>
            <w:r w:rsidR="00881607">
              <w:rPr>
                <w:vertAlign w:val="superscript"/>
              </w:rPr>
              <w:t>i</w:t>
            </w:r>
            <w:r w:rsidRPr="00E136D1">
              <w:rPr>
                <w:vertAlign w:val="superscript"/>
              </w:rPr>
              <w:t>)</w:t>
            </w:r>
          </w:p>
        </w:tc>
        <w:tc>
          <w:tcPr>
            <w:tcW w:w="1350" w:type="dxa"/>
          </w:tcPr>
          <w:p w14:paraId="04B4C7FF" w14:textId="61B44BF2" w:rsidR="001B1600" w:rsidRDefault="001B1600" w:rsidP="00E136D1">
            <w:pPr>
              <w:ind w:left="0"/>
              <w:jc w:val="center"/>
            </w:pPr>
            <w:r>
              <w:t>31</w:t>
            </w:r>
          </w:p>
        </w:tc>
        <w:tc>
          <w:tcPr>
            <w:tcW w:w="1890" w:type="dxa"/>
          </w:tcPr>
          <w:p w14:paraId="266933B1" w14:textId="24EFEF2B" w:rsidR="001B1600" w:rsidRDefault="001B1600" w:rsidP="00E136D1">
            <w:pPr>
              <w:ind w:left="0"/>
              <w:jc w:val="center"/>
            </w:pPr>
            <w:r>
              <w:t>11</w:t>
            </w:r>
          </w:p>
        </w:tc>
      </w:tr>
      <w:tr w:rsidR="003C3F3F" w14:paraId="194BA640" w14:textId="77777777" w:rsidTr="003C3F3F">
        <w:tc>
          <w:tcPr>
            <w:tcW w:w="2430" w:type="dxa"/>
          </w:tcPr>
          <w:p w14:paraId="2D0ECDB9" w14:textId="114A97AA" w:rsidR="001B1600" w:rsidRDefault="001B1600" w:rsidP="006A7F3D">
            <w:pPr>
              <w:ind w:left="0"/>
            </w:pPr>
            <w:r>
              <w:t>Medicaid Director</w:t>
            </w:r>
          </w:p>
        </w:tc>
        <w:tc>
          <w:tcPr>
            <w:tcW w:w="1350" w:type="dxa"/>
          </w:tcPr>
          <w:p w14:paraId="2BF6F951" w14:textId="31C04A9B" w:rsidR="001B1600" w:rsidRDefault="00E136D1" w:rsidP="00E136D1">
            <w:pPr>
              <w:ind w:left="0"/>
              <w:jc w:val="center"/>
            </w:pPr>
            <w:r>
              <w:t>9</w:t>
            </w:r>
          </w:p>
        </w:tc>
        <w:tc>
          <w:tcPr>
            <w:tcW w:w="1620" w:type="dxa"/>
          </w:tcPr>
          <w:p w14:paraId="3CC75A5D" w14:textId="2FA57E1E" w:rsidR="001B1600" w:rsidRDefault="00E136D1" w:rsidP="00E136D1">
            <w:pPr>
              <w:ind w:left="0"/>
              <w:jc w:val="center"/>
            </w:pPr>
            <w:r>
              <w:t>8</w:t>
            </w:r>
          </w:p>
        </w:tc>
        <w:tc>
          <w:tcPr>
            <w:tcW w:w="1350" w:type="dxa"/>
          </w:tcPr>
          <w:p w14:paraId="46E275A1" w14:textId="230B6916" w:rsidR="001B1600" w:rsidRDefault="00E136D1" w:rsidP="00E136D1">
            <w:pPr>
              <w:ind w:left="0"/>
              <w:jc w:val="center"/>
            </w:pPr>
            <w:r>
              <w:t>17</w:t>
            </w:r>
          </w:p>
        </w:tc>
        <w:tc>
          <w:tcPr>
            <w:tcW w:w="1890" w:type="dxa"/>
          </w:tcPr>
          <w:p w14:paraId="78C78524" w14:textId="473EE5C0" w:rsidR="001B1600" w:rsidRDefault="00E136D1" w:rsidP="00E136D1">
            <w:pPr>
              <w:ind w:left="0"/>
              <w:jc w:val="center"/>
            </w:pPr>
            <w:r>
              <w:t>6</w:t>
            </w:r>
          </w:p>
        </w:tc>
      </w:tr>
      <w:tr w:rsidR="003C3F3F" w14:paraId="20C7F722" w14:textId="77777777" w:rsidTr="003C3F3F">
        <w:tc>
          <w:tcPr>
            <w:tcW w:w="2430" w:type="dxa"/>
          </w:tcPr>
          <w:p w14:paraId="06359595" w14:textId="00C98625" w:rsidR="001B1600" w:rsidRDefault="00E136D1" w:rsidP="006A7F3D">
            <w:pPr>
              <w:ind w:left="0"/>
            </w:pPr>
            <w:r>
              <w:t>Medicaid Manager</w:t>
            </w:r>
          </w:p>
        </w:tc>
        <w:tc>
          <w:tcPr>
            <w:tcW w:w="1350" w:type="dxa"/>
          </w:tcPr>
          <w:p w14:paraId="50B82EAC" w14:textId="3421116B" w:rsidR="001B1600" w:rsidRDefault="00E136D1" w:rsidP="00E136D1">
            <w:pPr>
              <w:ind w:left="0"/>
              <w:jc w:val="center"/>
            </w:pPr>
            <w:r>
              <w:t>9</w:t>
            </w:r>
          </w:p>
        </w:tc>
        <w:tc>
          <w:tcPr>
            <w:tcW w:w="1620" w:type="dxa"/>
          </w:tcPr>
          <w:p w14:paraId="44E36981" w14:textId="19B70E2A" w:rsidR="001B1600" w:rsidRDefault="00E136D1" w:rsidP="00E136D1">
            <w:pPr>
              <w:ind w:left="0"/>
              <w:jc w:val="center"/>
            </w:pPr>
            <w:r>
              <w:t>8</w:t>
            </w:r>
          </w:p>
        </w:tc>
        <w:tc>
          <w:tcPr>
            <w:tcW w:w="1350" w:type="dxa"/>
          </w:tcPr>
          <w:p w14:paraId="63535EB7" w14:textId="603A7512" w:rsidR="001B1600" w:rsidRDefault="00E136D1" w:rsidP="00E136D1">
            <w:pPr>
              <w:ind w:left="0"/>
              <w:jc w:val="center"/>
            </w:pPr>
            <w:r>
              <w:t>17</w:t>
            </w:r>
          </w:p>
        </w:tc>
        <w:tc>
          <w:tcPr>
            <w:tcW w:w="1890" w:type="dxa"/>
          </w:tcPr>
          <w:p w14:paraId="10657F0E" w14:textId="4C011CDC" w:rsidR="001B1600" w:rsidRDefault="00E136D1" w:rsidP="00E136D1">
            <w:pPr>
              <w:ind w:left="0"/>
              <w:jc w:val="center"/>
            </w:pPr>
            <w:r>
              <w:t>6</w:t>
            </w:r>
          </w:p>
        </w:tc>
      </w:tr>
      <w:tr w:rsidR="003C3F3F" w14:paraId="16FE3CE9" w14:textId="77777777" w:rsidTr="003C3F3F">
        <w:tc>
          <w:tcPr>
            <w:tcW w:w="2430" w:type="dxa"/>
          </w:tcPr>
          <w:p w14:paraId="32608BEC" w14:textId="17AF3AAF" w:rsidR="001B1600" w:rsidRDefault="00E136D1" w:rsidP="00E136D1">
            <w:pPr>
              <w:ind w:left="0"/>
              <w:jc w:val="right"/>
            </w:pPr>
            <w:r>
              <w:t>Total</w:t>
            </w:r>
          </w:p>
        </w:tc>
        <w:tc>
          <w:tcPr>
            <w:tcW w:w="1350" w:type="dxa"/>
          </w:tcPr>
          <w:p w14:paraId="3CE4BBE5" w14:textId="13F8B990" w:rsidR="001B1600" w:rsidRDefault="00E136D1" w:rsidP="00E136D1">
            <w:pPr>
              <w:ind w:left="0"/>
              <w:jc w:val="center"/>
            </w:pPr>
            <w:r>
              <w:t>43</w:t>
            </w:r>
          </w:p>
        </w:tc>
        <w:tc>
          <w:tcPr>
            <w:tcW w:w="1620" w:type="dxa"/>
          </w:tcPr>
          <w:p w14:paraId="2E090DE5" w14:textId="373AFE74" w:rsidR="001B1600" w:rsidRDefault="00E136D1" w:rsidP="00E136D1">
            <w:pPr>
              <w:ind w:left="0"/>
              <w:jc w:val="center"/>
            </w:pPr>
            <w:r>
              <w:t>39</w:t>
            </w:r>
          </w:p>
        </w:tc>
        <w:tc>
          <w:tcPr>
            <w:tcW w:w="1350" w:type="dxa"/>
          </w:tcPr>
          <w:p w14:paraId="2C66CB88" w14:textId="308D0B3B" w:rsidR="001B1600" w:rsidRDefault="00E136D1" w:rsidP="00E136D1">
            <w:pPr>
              <w:ind w:left="0"/>
              <w:jc w:val="center"/>
            </w:pPr>
            <w:r>
              <w:t>82</w:t>
            </w:r>
          </w:p>
        </w:tc>
        <w:tc>
          <w:tcPr>
            <w:tcW w:w="1890" w:type="dxa"/>
          </w:tcPr>
          <w:p w14:paraId="7E9AE2DD" w14:textId="73A28E4C" w:rsidR="001B1600" w:rsidRDefault="00E136D1" w:rsidP="00E136D1">
            <w:pPr>
              <w:ind w:left="0"/>
              <w:jc w:val="center"/>
            </w:pPr>
            <w:r>
              <w:t>29</w:t>
            </w:r>
          </w:p>
        </w:tc>
      </w:tr>
    </w:tbl>
    <w:p w14:paraId="44378705" w14:textId="77777777" w:rsidR="001B1600" w:rsidRPr="00E136D1" w:rsidRDefault="001B1600" w:rsidP="006A7F3D">
      <w:pPr>
        <w:ind w:left="360"/>
      </w:pPr>
    </w:p>
    <w:p w14:paraId="73BE70D8" w14:textId="77777777" w:rsidR="00520791" w:rsidRDefault="00520791" w:rsidP="00D45ADA">
      <w:pPr>
        <w:pStyle w:val="ListParagraph"/>
        <w:numPr>
          <w:ilvl w:val="0"/>
          <w:numId w:val="50"/>
        </w:numPr>
      </w:pPr>
      <w:r>
        <w:t>Information collection has been annualized over a 3-year period to provide flexibility in scheduling options</w:t>
      </w:r>
    </w:p>
    <w:p w14:paraId="2C6E9376" w14:textId="5B53E058" w:rsidR="00B6196A" w:rsidRDefault="005E6F5E" w:rsidP="00D45ADA">
      <w:pPr>
        <w:pStyle w:val="ListParagraph"/>
        <w:numPr>
          <w:ilvl w:val="0"/>
          <w:numId w:val="50"/>
        </w:numPr>
      </w:pPr>
      <w:r>
        <w:t>Colorado (2), Georgia (2), Louisiana (1), Massachusetts (1), Michigan (3), Minnesota (1), New York (2), Rhode Island (2), South Carolina (2)</w:t>
      </w:r>
    </w:p>
    <w:p w14:paraId="7643FB15" w14:textId="74DCD6F4" w:rsidR="005E6F5E" w:rsidRDefault="005E6F5E" w:rsidP="00D45ADA">
      <w:pPr>
        <w:pStyle w:val="ListParagraph"/>
        <w:numPr>
          <w:ilvl w:val="0"/>
          <w:numId w:val="50"/>
        </w:numPr>
      </w:pPr>
      <w:r>
        <w:t>Alaska (4), District of Columbia (2), LA County (1), Maryland (1), Nevada (1), North Carolina (3), Texas (1), Utah (2)</w:t>
      </w:r>
    </w:p>
    <w:p w14:paraId="572F31D8" w14:textId="0A078849" w:rsidR="003C3F3F" w:rsidRDefault="003C3F3F" w:rsidP="00520791">
      <w:pPr>
        <w:ind w:left="360"/>
      </w:pPr>
    </w:p>
    <w:p w14:paraId="090BFC80" w14:textId="77777777" w:rsidR="005E6F5E" w:rsidRPr="00B6196A" w:rsidRDefault="005E6F5E" w:rsidP="006A7F3D">
      <w:pPr>
        <w:ind w:left="360"/>
      </w:pPr>
    </w:p>
    <w:p w14:paraId="157DC9F2" w14:textId="10802980" w:rsidR="009666F5" w:rsidRDefault="00B724B9" w:rsidP="006A7F3D">
      <w:pPr>
        <w:ind w:left="360"/>
      </w:pPr>
      <w:r>
        <w:rPr>
          <w:i/>
        </w:rPr>
        <w:t>Background</w:t>
      </w:r>
      <w:r w:rsidRPr="00A50B28">
        <w:rPr>
          <w:i/>
        </w:rPr>
        <w:t xml:space="preserve">: </w:t>
      </w:r>
      <w:r w:rsidR="00B60517">
        <w:t>Through the 6|18 Initiative,</w:t>
      </w:r>
      <w:r w:rsidR="00661C52" w:rsidRPr="00BC68AC">
        <w:t xml:space="preserve"> CDC has been supporting and accelerating the work of </w:t>
      </w:r>
      <w:r w:rsidR="003A21A4">
        <w:t>state teams,</w:t>
      </w:r>
      <w:r w:rsidR="00661C52" w:rsidRPr="00BC68AC">
        <w:t xml:space="preserve"> </w:t>
      </w:r>
      <w:r w:rsidR="003A21A4">
        <w:t xml:space="preserve">composed of State Medicaid and State Public Health, </w:t>
      </w:r>
      <w:r w:rsidR="00661C52" w:rsidRPr="00BC68AC">
        <w:t>as they implement evidence-based preventive service clinical interventions for</w:t>
      </w:r>
      <w:r w:rsidR="00FB2AB1">
        <w:t>:</w:t>
      </w:r>
      <w:r w:rsidR="00661C52" w:rsidRPr="00BC68AC">
        <w:t xml:space="preserve"> reducing tobacco use, controlling high blood pressure, preventing healthcare-associated infections, controlling asthma, preventing unintended pregnancy, and controlling and preventing diabetes.</w:t>
      </w:r>
      <w:r w:rsidR="00A54AEA">
        <w:t xml:space="preserve">  </w:t>
      </w:r>
    </w:p>
    <w:p w14:paraId="135FC96E" w14:textId="77777777" w:rsidR="00314EF7" w:rsidRDefault="00314EF7" w:rsidP="00314EF7">
      <w:pPr>
        <w:ind w:left="360"/>
      </w:pPr>
    </w:p>
    <w:p w14:paraId="3DAB22B7" w14:textId="02D741D1" w:rsidR="00314EF7" w:rsidRPr="00CD2732" w:rsidRDefault="00314EF7" w:rsidP="00314EF7">
      <w:pPr>
        <w:ind w:left="360"/>
      </w:pPr>
      <w:r>
        <w:t xml:space="preserve">State </w:t>
      </w:r>
      <w:r w:rsidR="00C471F3">
        <w:t>teams from</w:t>
      </w:r>
      <w:r>
        <w:t xml:space="preserve"> </w:t>
      </w:r>
      <w:r w:rsidR="00641058">
        <w:t>Year</w:t>
      </w:r>
      <w:r w:rsidR="00C471F3">
        <w:t>s 1 and 2</w:t>
      </w:r>
      <w:r>
        <w:t xml:space="preserve"> constitute the respondent universe.  </w:t>
      </w:r>
      <w:r w:rsidR="008A0E17">
        <w:t xml:space="preserve">We are inviting a census of participants because each </w:t>
      </w:r>
      <w:r w:rsidR="00E8510F">
        <w:t>state</w:t>
      </w:r>
      <w:r w:rsidR="008A0E17">
        <w:t xml:space="preserve"> has a unique context and activities, and collecting information from a census of participants will allow us to understand a range of different contexts and activities.  Collecting information from a census of participants will also allow us to understand a broad range of lessons learned.  </w:t>
      </w:r>
      <w:r>
        <w:t xml:space="preserve">Data collection will take place for </w:t>
      </w:r>
      <w:r w:rsidR="00E8510F">
        <w:t>states</w:t>
      </w:r>
      <w:r>
        <w:t xml:space="preserve"> that agree to participate.  The unit of analysis is the participant (state</w:t>
      </w:r>
      <w:r w:rsidR="006A3391">
        <w:t xml:space="preserve"> or large city team</w:t>
      </w:r>
      <w:r>
        <w:t xml:space="preserve">) and not individuals within these </w:t>
      </w:r>
      <w:r w:rsidR="006262A4">
        <w:t>states</w:t>
      </w:r>
      <w:r>
        <w:t xml:space="preserve">.  </w:t>
      </w:r>
      <w:r w:rsidR="006E4190">
        <w:t xml:space="preserve">Because </w:t>
      </w:r>
      <w:r w:rsidR="006E4190" w:rsidRPr="00CD2732">
        <w:t>p</w:t>
      </w:r>
      <w:r w:rsidR="008A0E17" w:rsidRPr="00CD2732">
        <w:rPr>
          <w:rFonts w:cs="Times New Roman"/>
        </w:rPr>
        <w:t xml:space="preserve">articipants </w:t>
      </w:r>
      <w:r w:rsidR="00A3080B" w:rsidRPr="00CD2732">
        <w:rPr>
          <w:rFonts w:cs="Times New Roman"/>
        </w:rPr>
        <w:t>are</w:t>
      </w:r>
      <w:r w:rsidR="008A0E17" w:rsidRPr="00CD2732">
        <w:rPr>
          <w:rFonts w:cs="Times New Roman"/>
        </w:rPr>
        <w:t xml:space="preserve"> volunteers</w:t>
      </w:r>
      <w:r w:rsidR="00A3080B" w:rsidRPr="00CD2732">
        <w:rPr>
          <w:rFonts w:cs="Times New Roman"/>
        </w:rPr>
        <w:t>,</w:t>
      </w:r>
      <w:r w:rsidR="006E4190" w:rsidRPr="00CD2732">
        <w:rPr>
          <w:rFonts w:cs="Times New Roman"/>
        </w:rPr>
        <w:t xml:space="preserve"> they</w:t>
      </w:r>
      <w:r w:rsidR="008A0E17" w:rsidRPr="00CD2732">
        <w:rPr>
          <w:rFonts w:cs="Times New Roman"/>
        </w:rPr>
        <w:t xml:space="preserve"> will constitute a non-random sample. </w:t>
      </w:r>
    </w:p>
    <w:p w14:paraId="3C54BA21" w14:textId="77777777" w:rsidR="00661C52" w:rsidRDefault="00661C52" w:rsidP="006A7F3D">
      <w:pPr>
        <w:ind w:left="360"/>
      </w:pPr>
    </w:p>
    <w:p w14:paraId="1B9B71BF" w14:textId="0B384E1E" w:rsidR="00B44AE6" w:rsidRDefault="00641058" w:rsidP="00B44AE6">
      <w:pPr>
        <w:ind w:left="360"/>
      </w:pPr>
      <w:r>
        <w:rPr>
          <w:i/>
        </w:rPr>
        <w:t>Year</w:t>
      </w:r>
      <w:r w:rsidR="00BE540A" w:rsidRPr="00A50B28">
        <w:rPr>
          <w:i/>
        </w:rPr>
        <w:t xml:space="preserve"> 1:</w:t>
      </w:r>
      <w:r w:rsidR="00BE540A">
        <w:t xml:space="preserve"> </w:t>
      </w:r>
      <w:r w:rsidR="00B91C78" w:rsidRPr="002D7EC3">
        <w:t xml:space="preserve">In </w:t>
      </w:r>
      <w:r w:rsidR="00643034" w:rsidRPr="002D7EC3">
        <w:t xml:space="preserve">Spring </w:t>
      </w:r>
      <w:r w:rsidR="00B91C78" w:rsidRPr="002D7EC3">
        <w:t>201</w:t>
      </w:r>
      <w:r w:rsidR="00643034" w:rsidRPr="002D7EC3">
        <w:t>6</w:t>
      </w:r>
      <w:r w:rsidR="00B91C78" w:rsidRPr="002D7EC3">
        <w:t xml:space="preserve">, </w:t>
      </w:r>
      <w:r w:rsidR="00643034" w:rsidRPr="002D7EC3">
        <w:t>C</w:t>
      </w:r>
      <w:r w:rsidR="00B91C78" w:rsidRPr="002D7EC3">
        <w:t xml:space="preserve">DC </w:t>
      </w:r>
      <w:r w:rsidR="00643034" w:rsidRPr="002D7EC3">
        <w:t>began</w:t>
      </w:r>
      <w:r w:rsidR="00573345" w:rsidRPr="002D7EC3">
        <w:t xml:space="preserve"> partnering</w:t>
      </w:r>
      <w:r w:rsidR="00643034" w:rsidRPr="002D7EC3">
        <w:t xml:space="preserve"> with </w:t>
      </w:r>
      <w:r w:rsidR="007B6E53" w:rsidRPr="002D7EC3">
        <w:t xml:space="preserve">a first </w:t>
      </w:r>
      <w:r>
        <w:t>group</w:t>
      </w:r>
      <w:r w:rsidR="007B6E53" w:rsidRPr="002D7EC3">
        <w:t xml:space="preserve"> of </w:t>
      </w:r>
      <w:r w:rsidR="00643034" w:rsidRPr="002D7EC3">
        <w:t xml:space="preserve">9 </w:t>
      </w:r>
      <w:r w:rsidR="009E3ABE">
        <w:t xml:space="preserve">public payer </w:t>
      </w:r>
      <w:r w:rsidR="00643034" w:rsidRPr="002D7EC3">
        <w:t>state teams</w:t>
      </w:r>
      <w:r w:rsidR="00573345" w:rsidRPr="002D7EC3">
        <w:t xml:space="preserve"> </w:t>
      </w:r>
      <w:r w:rsidR="00643034" w:rsidRPr="002D7EC3">
        <w:t>as part of the 6|18 Initiative</w:t>
      </w:r>
      <w:r w:rsidR="00B91C78" w:rsidRPr="002D7EC3">
        <w:t xml:space="preserve"> (see </w:t>
      </w:r>
      <w:r w:rsidR="006F104F">
        <w:rPr>
          <w:b/>
        </w:rPr>
        <w:t>Attachment 8</w:t>
      </w:r>
      <w:r w:rsidR="00252EAE">
        <w:rPr>
          <w:b/>
        </w:rPr>
        <w:t xml:space="preserve"> – 6|18 States</w:t>
      </w:r>
      <w:r w:rsidR="00B91C78" w:rsidRPr="002D7EC3">
        <w:t xml:space="preserve">).  </w:t>
      </w:r>
      <w:r w:rsidR="004D3543" w:rsidRPr="002D7EC3">
        <w:t xml:space="preserve">The 9 states </w:t>
      </w:r>
      <w:r w:rsidR="00196734">
        <w:t xml:space="preserve">were selected because they </w:t>
      </w:r>
      <w:r w:rsidR="004D3543" w:rsidRPr="002D7EC3">
        <w:t>had the following factors critical for success: (1) They had active efforts in place to control one or more of the 3 priority health conditions</w:t>
      </w:r>
      <w:r w:rsidR="00A67AA1">
        <w:t xml:space="preserve"> targeted in Year 1 (i.e., Asthma, Tobacco, and Unintended Pregnancy)</w:t>
      </w:r>
      <w:r w:rsidR="004D3543" w:rsidRPr="002D7EC3">
        <w:t xml:space="preserve">, (2) They were working to implement the specific interventions highlighted within the set of 18, </w:t>
      </w:r>
      <w:r w:rsidR="00AF6221">
        <w:t xml:space="preserve">and </w:t>
      </w:r>
      <w:r w:rsidR="004D3543" w:rsidRPr="002D7EC3">
        <w:t>(3) The state supported the Medicaid Agency and the Department of Public Health working on this initiative in partnership</w:t>
      </w:r>
      <w:r w:rsidR="00AF6221">
        <w:t>.  (4</w:t>
      </w:r>
      <w:r w:rsidR="00AF6221" w:rsidRPr="00AF6221">
        <w:t>) Additionally, CDC prioritized working with states that had already made significant progress in addressing their selected health conditions, where success would be achievable and best practices could be provided for other states just beginning this work.</w:t>
      </w:r>
      <w:r w:rsidR="00B44AE6">
        <w:t xml:space="preserve">  </w:t>
      </w:r>
      <w:r w:rsidR="00B44AE6" w:rsidRPr="008D2629">
        <w:t xml:space="preserve">Based on meeting the three criteria above, </w:t>
      </w:r>
      <w:r w:rsidR="00B44AE6">
        <w:t xml:space="preserve">the nine </w:t>
      </w:r>
      <w:r w:rsidR="00B44AE6" w:rsidRPr="008D2629">
        <w:t xml:space="preserve">states </w:t>
      </w:r>
      <w:r w:rsidR="00B44AE6">
        <w:t xml:space="preserve">that </w:t>
      </w:r>
      <w:r w:rsidR="00B44AE6" w:rsidRPr="008D2629">
        <w:t>participat</w:t>
      </w:r>
      <w:r w:rsidR="00B44AE6">
        <w:t>ed in the 6|18 Initiative</w:t>
      </w:r>
      <w:r w:rsidR="00B44AE6" w:rsidRPr="008D2629">
        <w:t xml:space="preserve"> </w:t>
      </w:r>
      <w:r w:rsidR="00B44AE6">
        <w:t xml:space="preserve">in </w:t>
      </w:r>
      <w:r>
        <w:t>Year</w:t>
      </w:r>
      <w:r w:rsidR="00B44AE6">
        <w:t xml:space="preserve"> 1 </w:t>
      </w:r>
      <w:r w:rsidR="00B44AE6" w:rsidRPr="008D2629">
        <w:t>included: Colorado, Georgia, Louisiana, Massachusetts, Michigan, Minnesota, New York, Rhode Island, and South Carolina.</w:t>
      </w:r>
    </w:p>
    <w:p w14:paraId="3EBB3264" w14:textId="77777777" w:rsidR="00C87FA9" w:rsidRDefault="00C87FA9" w:rsidP="00C87FA9">
      <w:pPr>
        <w:ind w:left="360"/>
      </w:pPr>
    </w:p>
    <w:p w14:paraId="25D0C261" w14:textId="627EAFA8" w:rsidR="007C05EA" w:rsidRDefault="00641058" w:rsidP="004E062A">
      <w:pPr>
        <w:ind w:left="360"/>
      </w:pPr>
      <w:r>
        <w:rPr>
          <w:i/>
        </w:rPr>
        <w:t>Year</w:t>
      </w:r>
      <w:r w:rsidR="00BE540A" w:rsidRPr="00A50B28">
        <w:rPr>
          <w:i/>
        </w:rPr>
        <w:t xml:space="preserve"> 2:</w:t>
      </w:r>
      <w:r w:rsidR="00BE540A" w:rsidRPr="00CF0EA9">
        <w:t xml:space="preserve"> </w:t>
      </w:r>
      <w:r w:rsidR="00B91C78" w:rsidRPr="00CF0EA9">
        <w:t xml:space="preserve">In </w:t>
      </w:r>
      <w:r w:rsidR="009E3ABE" w:rsidRPr="00CF0EA9">
        <w:t xml:space="preserve">Summer </w:t>
      </w:r>
      <w:r w:rsidR="007B6E53" w:rsidRPr="00CF0EA9">
        <w:t>2017</w:t>
      </w:r>
      <w:r w:rsidR="00B91C78" w:rsidRPr="00CF0EA9">
        <w:t xml:space="preserve">, </w:t>
      </w:r>
      <w:r w:rsidR="009E3ABE" w:rsidRPr="00CF0EA9">
        <w:t xml:space="preserve">CDC began partnering with a </w:t>
      </w:r>
      <w:r w:rsidR="007B6E53" w:rsidRPr="00CF0EA9">
        <w:t xml:space="preserve">second </w:t>
      </w:r>
      <w:r>
        <w:t>group</w:t>
      </w:r>
      <w:r w:rsidR="009E3ABE" w:rsidRPr="00CF0EA9">
        <w:t xml:space="preserve"> of </w:t>
      </w:r>
      <w:r w:rsidR="00BC2F66">
        <w:t>eight</w:t>
      </w:r>
      <w:r w:rsidR="00BE540A" w:rsidRPr="00CF0EA9">
        <w:t xml:space="preserve"> new public payer teams (</w:t>
      </w:r>
      <w:r w:rsidR="009E3ABE" w:rsidRPr="00CF0EA9">
        <w:t>seven state teams</w:t>
      </w:r>
      <w:r w:rsidR="003A21A4">
        <w:t xml:space="preserve"> and</w:t>
      </w:r>
      <w:r w:rsidR="00BE540A" w:rsidRPr="00CF0EA9">
        <w:t xml:space="preserve"> one large city team</w:t>
      </w:r>
      <w:r w:rsidR="004E062A">
        <w:t>, hereafter, “states”</w:t>
      </w:r>
      <w:r w:rsidR="00BE540A" w:rsidRPr="00CF0EA9">
        <w:t xml:space="preserve">) </w:t>
      </w:r>
      <w:r w:rsidR="00CF0EA9" w:rsidRPr="00CF0EA9">
        <w:t xml:space="preserve">(see </w:t>
      </w:r>
      <w:r w:rsidR="006F104F">
        <w:rPr>
          <w:b/>
        </w:rPr>
        <w:t>Attachment 8</w:t>
      </w:r>
      <w:r w:rsidR="00252EAE">
        <w:rPr>
          <w:b/>
        </w:rPr>
        <w:t xml:space="preserve"> – 6|18 States</w:t>
      </w:r>
      <w:r w:rsidR="00CF0EA9" w:rsidRPr="00CF0EA9">
        <w:t>)</w:t>
      </w:r>
      <w:r w:rsidR="00BE540A" w:rsidRPr="00CF0EA9">
        <w:t>.</w:t>
      </w:r>
      <w:r w:rsidR="008673C5">
        <w:t xml:space="preserve">  </w:t>
      </w:r>
      <w:r w:rsidR="009D52B2">
        <w:t>The states</w:t>
      </w:r>
      <w:r w:rsidR="007B1CAE">
        <w:t xml:space="preserve"> in </w:t>
      </w:r>
      <w:r>
        <w:t>Year</w:t>
      </w:r>
      <w:r w:rsidR="007B1CAE">
        <w:t xml:space="preserve"> 2</w:t>
      </w:r>
      <w:r w:rsidR="009D52B2">
        <w:t xml:space="preserve"> </w:t>
      </w:r>
      <w:r w:rsidR="0023179F">
        <w:t>are</w:t>
      </w:r>
      <w:r w:rsidR="007B1CAE">
        <w:t xml:space="preserve"> at an earlier stage in their program life cycle.  Whereas many </w:t>
      </w:r>
      <w:r>
        <w:t>Year</w:t>
      </w:r>
      <w:r w:rsidR="007B1CAE">
        <w:t xml:space="preserve"> 1 states were leaders in their field that had already been working in 6|18-</w:t>
      </w:r>
      <w:r w:rsidR="00926FCF">
        <w:t>related</w:t>
      </w:r>
      <w:r w:rsidR="007B1CAE">
        <w:t xml:space="preserve"> work prior to formal engagement in 6|18, </w:t>
      </w:r>
      <w:r>
        <w:t>Year</w:t>
      </w:r>
      <w:r w:rsidR="00926FCF">
        <w:t xml:space="preserve"> 2 states may be newer to 6|18-type interventions and activities.  </w:t>
      </w:r>
      <w:r w:rsidR="009D52B2">
        <w:t>The</w:t>
      </w:r>
      <w:r w:rsidR="007B1CAE">
        <w:t xml:space="preserve"> goal of partnering with states that are earlier in their program life cycle is to </w:t>
      </w:r>
      <w:r w:rsidR="00342A89">
        <w:t xml:space="preserve">broaden our </w:t>
      </w:r>
      <w:r w:rsidR="009D52B2">
        <w:t>understand</w:t>
      </w:r>
      <w:r w:rsidR="00342A89">
        <w:t>ing of</w:t>
      </w:r>
      <w:r w:rsidR="009D52B2">
        <w:t xml:space="preserve"> </w:t>
      </w:r>
      <w:r w:rsidR="007B1CAE">
        <w:t xml:space="preserve">facilitators, barriers, </w:t>
      </w:r>
      <w:r w:rsidR="00C23B8D">
        <w:t xml:space="preserve">technical assistance needs, </w:t>
      </w:r>
      <w:r w:rsidR="007B1CAE">
        <w:t xml:space="preserve">and </w:t>
      </w:r>
      <w:r w:rsidR="009D52B2" w:rsidRPr="009D52B2">
        <w:t xml:space="preserve">best practices </w:t>
      </w:r>
      <w:r w:rsidR="007B1CAE">
        <w:t xml:space="preserve">that </w:t>
      </w:r>
      <w:r w:rsidR="00342A89">
        <w:t>are</w:t>
      </w:r>
      <w:r w:rsidR="007B1CAE">
        <w:t xml:space="preserve"> specific to states that are in an earlier stage of their program life cycle.  </w:t>
      </w:r>
      <w:r w:rsidR="00B90F76">
        <w:t xml:space="preserve">We want to understand </w:t>
      </w:r>
      <w:r w:rsidR="00342A89">
        <w:t>activities, barriers, and facilitators</w:t>
      </w:r>
      <w:r w:rsidR="00480C3D">
        <w:t>, and lessons learned</w:t>
      </w:r>
      <w:r w:rsidR="00342A89">
        <w:t xml:space="preserve"> </w:t>
      </w:r>
      <w:r w:rsidR="00B90F76">
        <w:t xml:space="preserve">across the project life cycle </w:t>
      </w:r>
      <w:r w:rsidR="00342A89">
        <w:t xml:space="preserve">spectrum </w:t>
      </w:r>
      <w:r w:rsidR="00B90F76">
        <w:t xml:space="preserve">in order to be able to generate </w:t>
      </w:r>
      <w:r w:rsidR="00480C3D">
        <w:t xml:space="preserve">and disseminate </w:t>
      </w:r>
      <w:r w:rsidR="00B90F76">
        <w:t xml:space="preserve">toolkits and resources that </w:t>
      </w:r>
      <w:r w:rsidR="00BA59C2">
        <w:t>will be useful to</w:t>
      </w:r>
      <w:r w:rsidR="00B90F76">
        <w:t xml:space="preserve"> </w:t>
      </w:r>
      <w:r w:rsidR="00480C3D">
        <w:t xml:space="preserve">other </w:t>
      </w:r>
      <w:r w:rsidR="00E8510F">
        <w:t>states</w:t>
      </w:r>
      <w:r w:rsidR="00F82A56">
        <w:t xml:space="preserve"> that are </w:t>
      </w:r>
      <w:r w:rsidR="00342A89" w:rsidRPr="009D52B2">
        <w:t>implement</w:t>
      </w:r>
      <w:r w:rsidR="00342A89">
        <w:t>ing</w:t>
      </w:r>
      <w:r w:rsidR="00342A89" w:rsidRPr="009D52B2">
        <w:t xml:space="preserve"> </w:t>
      </w:r>
      <w:r w:rsidR="00F82A56">
        <w:t>6|18-type work</w:t>
      </w:r>
      <w:r w:rsidR="00B90F76">
        <w:t xml:space="preserve"> at varied points in the</w:t>
      </w:r>
      <w:r w:rsidR="00F82A56">
        <w:t>ir</w:t>
      </w:r>
      <w:r w:rsidR="00B90F76">
        <w:t xml:space="preserve"> project life cycle</w:t>
      </w:r>
      <w:r w:rsidR="006262A4">
        <w:t>.</w:t>
      </w:r>
      <w:r w:rsidR="004E062A">
        <w:t xml:space="preserve">  </w:t>
      </w:r>
      <w:r w:rsidR="004E062A" w:rsidRPr="008D2629">
        <w:t xml:space="preserve">Based on meeting the criteria above, </w:t>
      </w:r>
      <w:r w:rsidR="004E062A">
        <w:t xml:space="preserve">the 8 </w:t>
      </w:r>
      <w:r w:rsidR="004E062A" w:rsidRPr="008D2629">
        <w:t xml:space="preserve">states </w:t>
      </w:r>
      <w:r w:rsidR="004E062A">
        <w:t xml:space="preserve">that are </w:t>
      </w:r>
      <w:r w:rsidR="004E062A" w:rsidRPr="008D2629">
        <w:t>participat</w:t>
      </w:r>
      <w:r w:rsidR="004E062A">
        <w:t>ing in the 6|18 Initiative</w:t>
      </w:r>
      <w:r w:rsidR="004E062A" w:rsidRPr="008D2629">
        <w:t xml:space="preserve"> </w:t>
      </w:r>
      <w:r w:rsidR="004E062A">
        <w:t>in Year 2 include</w:t>
      </w:r>
      <w:r w:rsidR="004E062A" w:rsidRPr="008D2629">
        <w:t>:</w:t>
      </w:r>
      <w:r w:rsidR="004E062A">
        <w:t xml:space="preserve"> Alaska, the District of Columbia, Los Angeles County, Maryland, Nevada, North Carolina, Texas, and Utah.</w:t>
      </w:r>
    </w:p>
    <w:p w14:paraId="74DE25DB" w14:textId="77777777" w:rsidR="007C05EA" w:rsidRDefault="007C05EA" w:rsidP="00B91C78">
      <w:pPr>
        <w:ind w:left="360"/>
        <w:rPr>
          <w:i/>
        </w:rPr>
      </w:pPr>
    </w:p>
    <w:p w14:paraId="1D0591AD" w14:textId="77777777" w:rsidR="006262A4" w:rsidRDefault="006262A4" w:rsidP="00F96BDE">
      <w:pPr>
        <w:ind w:left="360"/>
        <w:rPr>
          <w:i/>
        </w:rPr>
      </w:pPr>
    </w:p>
    <w:p w14:paraId="7AFF0492" w14:textId="5B06555C" w:rsidR="00F96BDE" w:rsidRDefault="00F96BDE" w:rsidP="00F96BDE">
      <w:pPr>
        <w:ind w:left="360"/>
        <w:rPr>
          <w:i/>
        </w:rPr>
      </w:pPr>
      <w:r w:rsidRPr="00402EE7">
        <w:rPr>
          <w:i/>
        </w:rPr>
        <w:t>Sampling Methods</w:t>
      </w:r>
    </w:p>
    <w:p w14:paraId="245F4702" w14:textId="2A2A3062" w:rsidR="00F96BDE" w:rsidRPr="00402EE7" w:rsidRDefault="00F96BDE" w:rsidP="00F96BDE">
      <w:pPr>
        <w:ind w:left="360"/>
        <w:rPr>
          <w:i/>
        </w:rPr>
      </w:pPr>
      <w:r>
        <w:rPr>
          <w:i/>
        </w:rPr>
        <w:t xml:space="preserve">Selection criteria for </w:t>
      </w:r>
      <w:r w:rsidR="00E8510F">
        <w:rPr>
          <w:i/>
        </w:rPr>
        <w:t>states</w:t>
      </w:r>
    </w:p>
    <w:p w14:paraId="7633D5D7" w14:textId="77777777" w:rsidR="00F96BDE" w:rsidRDefault="00F96BDE" w:rsidP="00F96BDE">
      <w:pPr>
        <w:ind w:left="360"/>
      </w:pPr>
    </w:p>
    <w:p w14:paraId="3D9F8933" w14:textId="52CC9AAD" w:rsidR="00F96BDE" w:rsidRDefault="00F96BDE" w:rsidP="00F96BDE">
      <w:pPr>
        <w:ind w:left="360"/>
      </w:pPr>
      <w:r>
        <w:t xml:space="preserve">Because the universe of </w:t>
      </w:r>
      <w:r w:rsidRPr="00E2556A">
        <w:t>states</w:t>
      </w:r>
      <w:r w:rsidR="00C471F3">
        <w:t xml:space="preserve"> and large cities</w:t>
      </w:r>
      <w:r>
        <w:t xml:space="preserve"> who are participating in 6|18 </w:t>
      </w:r>
      <w:r w:rsidRPr="00E2556A">
        <w:t>is small</w:t>
      </w:r>
      <w:r>
        <w:t xml:space="preserve">, and they represent considerable variation in context and choice of 6|18 intervention (see </w:t>
      </w:r>
      <w:r w:rsidR="006F104F">
        <w:rPr>
          <w:b/>
        </w:rPr>
        <w:t>Attachment 8</w:t>
      </w:r>
      <w:r w:rsidR="00252EAE">
        <w:rPr>
          <w:b/>
        </w:rPr>
        <w:t xml:space="preserve"> – 6|18 States</w:t>
      </w:r>
      <w:r>
        <w:t xml:space="preserve">), a random sample of </w:t>
      </w:r>
      <w:r w:rsidR="00F56C9E">
        <w:t xml:space="preserve">states </w:t>
      </w:r>
      <w:r>
        <w:t>would not ensure that the case study pool includes the appropriate mix of states</w:t>
      </w:r>
      <w:r w:rsidR="00C471F3">
        <w:t xml:space="preserve"> and</w:t>
      </w:r>
      <w:r>
        <w:t xml:space="preserve"> large cities, and would not support meaningful examination of the range of approaches to collaboration that may vary by the type of </w:t>
      </w:r>
      <w:r w:rsidR="00C471F3">
        <w:t>stakeholder</w:t>
      </w:r>
      <w:r>
        <w:t xml:space="preserve">.  We therefore propose to interview a census of public team participants when they have achieved programmatic milestones that can be </w:t>
      </w:r>
      <w:r w:rsidRPr="00537257">
        <w:t>meaningfully</w:t>
      </w:r>
      <w:r>
        <w:t xml:space="preserve"> discussed in an interview.  We have listed the upper range of the estimated number of state team </w:t>
      </w:r>
      <w:r w:rsidR="00C471F3">
        <w:t>members that</w:t>
      </w:r>
      <w:r>
        <w:t xml:space="preserve"> will be interviewed, but the actual number interviewed may be smaller if the amount of time needed to achieve </w:t>
      </w:r>
      <w:r w:rsidRPr="00E95B6F">
        <w:t>meaningful</w:t>
      </w:r>
      <w:r>
        <w:t xml:space="preserve"> milestones is longer than anticipated.  </w:t>
      </w:r>
      <w:r w:rsidR="00213EDA" w:rsidRPr="00744AE7">
        <w:t xml:space="preserve">We </w:t>
      </w:r>
      <w:r w:rsidR="00744AE7" w:rsidRPr="00744AE7">
        <w:t xml:space="preserve">have </w:t>
      </w:r>
      <w:r w:rsidR="001675BA">
        <w:t xml:space="preserve">planned for a </w:t>
      </w:r>
      <w:r w:rsidR="00744AE7" w:rsidRPr="00744AE7">
        <w:t xml:space="preserve">long time window (eight months) for conducting interviews each year to accommodate </w:t>
      </w:r>
      <w:r w:rsidR="00E8510F">
        <w:t>state</w:t>
      </w:r>
      <w:r w:rsidR="00744AE7">
        <w:t xml:space="preserve"> schedules</w:t>
      </w:r>
      <w:r w:rsidR="002460D2" w:rsidRPr="00744AE7">
        <w:t>.</w:t>
      </w:r>
    </w:p>
    <w:p w14:paraId="2C5F392D" w14:textId="77777777" w:rsidR="00F96BDE" w:rsidRDefault="00F96BDE" w:rsidP="00F96BDE">
      <w:pPr>
        <w:ind w:left="360"/>
      </w:pPr>
    </w:p>
    <w:p w14:paraId="1382B642" w14:textId="30D45562" w:rsidR="00F96BDE" w:rsidRDefault="00F96BDE" w:rsidP="00F96BDE">
      <w:pPr>
        <w:ind w:left="360"/>
      </w:pPr>
      <w:r w:rsidRPr="00927652">
        <w:t xml:space="preserve">Our sample will be a </w:t>
      </w:r>
      <w:r w:rsidR="005B03D0">
        <w:t xml:space="preserve">census.  Because of the small sample size and the uniqueness of individual state situations, </w:t>
      </w:r>
      <w:r w:rsidRPr="00927652">
        <w:t xml:space="preserve">the results are not generalizable to the general population. Statistical power is not applicable because this is a qualitative study. The total estimated sample size is shown in </w:t>
      </w:r>
      <w:r>
        <w:t>Table</w:t>
      </w:r>
      <w:r w:rsidRPr="00927652">
        <w:t xml:space="preserve"> </w:t>
      </w:r>
      <w:r w:rsidR="008201CF">
        <w:t>B1-a</w:t>
      </w:r>
      <w:r>
        <w:t>.</w:t>
      </w:r>
    </w:p>
    <w:p w14:paraId="1896CFC1" w14:textId="77777777" w:rsidR="00F96BDE" w:rsidRDefault="00F96BDE" w:rsidP="00F96BDE">
      <w:pPr>
        <w:ind w:left="360"/>
      </w:pPr>
    </w:p>
    <w:p w14:paraId="6CACE76B" w14:textId="436D2D64" w:rsidR="00F96BDE" w:rsidRDefault="00F96BDE" w:rsidP="00F96BDE">
      <w:pPr>
        <w:ind w:left="360"/>
      </w:pPr>
      <w:r w:rsidRPr="009E6451">
        <w:t xml:space="preserve">CDC </w:t>
      </w:r>
      <w:r>
        <w:t>will confirm</w:t>
      </w:r>
      <w:r w:rsidRPr="009E6451">
        <w:t>, by calls</w:t>
      </w:r>
      <w:r w:rsidR="0045661E">
        <w:t xml:space="preserve"> or emails</w:t>
      </w:r>
      <w:r w:rsidRPr="009E6451">
        <w:t xml:space="preserve"> made to each </w:t>
      </w:r>
      <w:r w:rsidR="00E8510F">
        <w:t>state</w:t>
      </w:r>
      <w:r w:rsidR="00B41FB2">
        <w:t xml:space="preserve"> </w:t>
      </w:r>
      <w:r w:rsidRPr="009E6451">
        <w:t xml:space="preserve">assessing their interest in participating in the </w:t>
      </w:r>
      <w:r>
        <w:t xml:space="preserve">6|18 Case </w:t>
      </w:r>
      <w:r w:rsidRPr="009E6451">
        <w:t>Study</w:t>
      </w:r>
      <w:r>
        <w:t xml:space="preserve"> </w:t>
      </w:r>
      <w:r w:rsidR="00C471F3">
        <w:t>Interviews</w:t>
      </w:r>
      <w:r w:rsidR="0045661E">
        <w:t>,</w:t>
      </w:r>
      <w:r w:rsidR="00C471F3">
        <w:t xml:space="preserve"> that</w:t>
      </w:r>
      <w:r w:rsidRPr="009E6451">
        <w:t xml:space="preserve"> </w:t>
      </w:r>
      <w:r w:rsidR="0045661E">
        <w:t>states</w:t>
      </w:r>
      <w:r w:rsidRPr="009E6451">
        <w:t xml:space="preserve"> are able to participate without being overburdened given other project responsibilities, turnover of staff, and other unforeseen issues. </w:t>
      </w:r>
    </w:p>
    <w:p w14:paraId="4036D893" w14:textId="77777777" w:rsidR="00F96BDE" w:rsidRDefault="00F96BDE" w:rsidP="00F96BDE">
      <w:pPr>
        <w:ind w:left="360"/>
      </w:pPr>
    </w:p>
    <w:p w14:paraId="131F5E0A" w14:textId="77777777" w:rsidR="00F96BDE" w:rsidRPr="00BB6EF9" w:rsidRDefault="00F96BDE" w:rsidP="00F96BDE">
      <w:pPr>
        <w:ind w:left="360"/>
        <w:rPr>
          <w:i/>
        </w:rPr>
      </w:pPr>
      <w:r>
        <w:rPr>
          <w:i/>
        </w:rPr>
        <w:t>Selection criteria for interview participants</w:t>
      </w:r>
    </w:p>
    <w:p w14:paraId="356768EB" w14:textId="77777777" w:rsidR="00F96BDE" w:rsidRDefault="00F96BDE" w:rsidP="00F96BDE">
      <w:pPr>
        <w:ind w:left="360"/>
        <w:rPr>
          <w:b/>
          <w:i/>
        </w:rPr>
      </w:pPr>
    </w:p>
    <w:p w14:paraId="5B30DD8E" w14:textId="76C1A9A3" w:rsidR="00F96BDE" w:rsidRPr="00927652" w:rsidRDefault="00F96BDE" w:rsidP="00F96BDE">
      <w:pPr>
        <w:ind w:left="360"/>
      </w:pPr>
      <w:r>
        <w:t>R</w:t>
      </w:r>
      <w:r w:rsidRPr="00927652">
        <w:t>espondents</w:t>
      </w:r>
      <w:r>
        <w:t xml:space="preserve"> from state public health agencies </w:t>
      </w:r>
      <w:r w:rsidR="001814CF">
        <w:t xml:space="preserve">and </w:t>
      </w:r>
      <w:r>
        <w:t>state Medicaid agencies</w:t>
      </w:r>
      <w:r w:rsidRPr="00927652">
        <w:t xml:space="preserve"> were chosen based upon their roles and responsibilities in their respective </w:t>
      </w:r>
      <w:r>
        <w:t>organization</w:t>
      </w:r>
      <w:r w:rsidRPr="00927652">
        <w:t xml:space="preserve">. </w:t>
      </w:r>
      <w:r w:rsidR="00C15ED9">
        <w:t xml:space="preserve"> If respondents wish to nominate known partners (e.g., non-profit organizations, foundations) who have an integral role in the partnership, we will interview them at the suggestion of respondents.  </w:t>
      </w:r>
      <w:r w:rsidRPr="00927652">
        <w:t>The purpose of this qualitative research study is to describe the collaborative efforts</w:t>
      </w:r>
      <w:r w:rsidR="00F41702">
        <w:t xml:space="preserve"> </w:t>
      </w:r>
      <w:r w:rsidRPr="00927652">
        <w:t xml:space="preserve">between the </w:t>
      </w:r>
      <w:r w:rsidR="00F41702">
        <w:t>stakeholders</w:t>
      </w:r>
      <w:r w:rsidRPr="00927652">
        <w:t xml:space="preserve"> in </w:t>
      </w:r>
      <w:r w:rsidR="00F41702">
        <w:t xml:space="preserve">the health care and public health sectors, </w:t>
      </w:r>
      <w:r w:rsidRPr="00927652">
        <w:t xml:space="preserve">and the </w:t>
      </w:r>
      <w:r w:rsidRPr="00A60896">
        <w:t>factors that impede or facilitate their collaboration</w:t>
      </w:r>
      <w:r w:rsidRPr="00927652">
        <w:t xml:space="preserve">. Qualitative methods provide flexible in-depth exploration of the participants’ perceptions and experience, and the interviews yield descriptions in the participants’ own words. They also allow the interviewer flexibility to pursue relevant and important issues as they arise during the discussion. Our discussion guides include probes to ensure that we obtain input on specific items of interest, while open-ended questions ensure that participants’ responses and perceptions are fully addressed and captured. </w:t>
      </w:r>
    </w:p>
    <w:p w14:paraId="109B5A56" w14:textId="77777777" w:rsidR="00F96BDE" w:rsidRDefault="00F96BDE" w:rsidP="006A7F3D">
      <w:pPr>
        <w:ind w:left="360"/>
      </w:pPr>
    </w:p>
    <w:p w14:paraId="0E7F77D8" w14:textId="0E61BE87" w:rsidR="00F4157E" w:rsidRDefault="00366D33" w:rsidP="008201CF">
      <w:pPr>
        <w:ind w:left="360"/>
      </w:pPr>
      <w:r>
        <w:t>W</w:t>
      </w:r>
      <w:r w:rsidR="00246559">
        <w:t>e have projected the maximum anticipated number of</w:t>
      </w:r>
      <w:r w:rsidR="00F4157E">
        <w:t xml:space="preserve"> interviewees, assuming a 100% participation rate among</w:t>
      </w:r>
      <w:r w:rsidR="002C3676">
        <w:t xml:space="preserve"> 6|18 participating </w:t>
      </w:r>
      <w:r w:rsidR="00E8510F">
        <w:t>states</w:t>
      </w:r>
      <w:r w:rsidR="002C3676">
        <w:t xml:space="preserve"> and their staff members.  </w:t>
      </w:r>
      <w:r w:rsidR="00246559" w:rsidRPr="00246559">
        <w:t>In reality, these numbers may be lower if</w:t>
      </w:r>
      <w:r w:rsidR="001814CF">
        <w:t xml:space="preserve"> m</w:t>
      </w:r>
      <w:r w:rsidR="00756E85">
        <w:t>ore time is needed for</w:t>
      </w:r>
      <w:r w:rsidR="00F4157E">
        <w:t xml:space="preserve"> meaningful outcomes to occur</w:t>
      </w:r>
      <w:r w:rsidR="00756E85">
        <w:t>, for which it would be meaningful to conduct interviews</w:t>
      </w:r>
      <w:r w:rsidR="001814CF">
        <w:t>.</w:t>
      </w:r>
    </w:p>
    <w:p w14:paraId="382E3911" w14:textId="6B345D37" w:rsidR="0085309F" w:rsidRDefault="0085309F" w:rsidP="0085309F">
      <w:pPr>
        <w:ind w:left="360"/>
      </w:pPr>
    </w:p>
    <w:p w14:paraId="52E90203" w14:textId="6F8ECA2B" w:rsidR="0085309F" w:rsidRDefault="0085309F" w:rsidP="0085309F">
      <w:pPr>
        <w:ind w:left="360"/>
      </w:pPr>
      <w:r>
        <w:t xml:space="preserve">We reserve the opportunity to conduct site visits with a limited number of </w:t>
      </w:r>
      <w:r w:rsidR="006262A4">
        <w:t>states</w:t>
      </w:r>
      <w:r w:rsidR="0006321C">
        <w:t xml:space="preserve">.  Out of respect for </w:t>
      </w:r>
      <w:r w:rsidR="006262A4">
        <w:t>state</w:t>
      </w:r>
      <w:r w:rsidR="0010102D">
        <w:t xml:space="preserve"> staff’s</w:t>
      </w:r>
      <w:r w:rsidR="0006321C">
        <w:t xml:space="preserve"> time, we will only visit</w:t>
      </w:r>
      <w:r>
        <w:t xml:space="preserve"> if and when it is meaningful to do so (e.g., they have achieved milestones that would be meaningful to discuss</w:t>
      </w:r>
      <w:r w:rsidR="0078469F">
        <w:t xml:space="preserve"> in depth</w:t>
      </w:r>
      <w:r>
        <w:t xml:space="preserve"> during a site visit).  Visits are contingent on </w:t>
      </w:r>
      <w:r w:rsidR="005C41DC">
        <w:t xml:space="preserve">budgetary resources, </w:t>
      </w:r>
      <w:r w:rsidR="006262A4">
        <w:t>state</w:t>
      </w:r>
      <w:r>
        <w:t xml:space="preserve"> staff availability</w:t>
      </w:r>
      <w:r w:rsidR="005C41DC">
        <w:t>,</w:t>
      </w:r>
      <w:r>
        <w:t xml:space="preserve"> and </w:t>
      </w:r>
      <w:r w:rsidR="006262A4">
        <w:t>state</w:t>
      </w:r>
      <w:r w:rsidR="005C41DC">
        <w:t xml:space="preserve"> staff </w:t>
      </w:r>
      <w:r>
        <w:t>agreement</w:t>
      </w:r>
      <w:r w:rsidR="006F403D">
        <w:t xml:space="preserve"> to</w:t>
      </w:r>
      <w:r w:rsidR="007D1F94">
        <w:t xml:space="preserve"> host</w:t>
      </w:r>
      <w:r w:rsidR="006F403D">
        <w:t xml:space="preserve"> a site visit</w:t>
      </w:r>
      <w:r>
        <w:t>.</w:t>
      </w:r>
    </w:p>
    <w:p w14:paraId="07C2D982" w14:textId="77777777" w:rsidR="007D1F94" w:rsidRDefault="007D1F94" w:rsidP="0085309F">
      <w:pPr>
        <w:ind w:left="360"/>
      </w:pPr>
    </w:p>
    <w:p w14:paraId="2BA7E21C" w14:textId="419BEC9E" w:rsidR="00504031" w:rsidRDefault="00504031" w:rsidP="00E94373">
      <w:pPr>
        <w:ind w:left="360"/>
        <w:rPr>
          <w:color w:val="365F91" w:themeColor="accent1" w:themeShade="BF"/>
        </w:rPr>
      </w:pPr>
    </w:p>
    <w:p w14:paraId="126ABDBA" w14:textId="77777777" w:rsidR="00504031" w:rsidRPr="00E94373" w:rsidRDefault="00504031" w:rsidP="00E94373">
      <w:pPr>
        <w:ind w:left="360"/>
        <w:rPr>
          <w:color w:val="365F91" w:themeColor="accent1" w:themeShade="BF"/>
        </w:rPr>
      </w:pPr>
    </w:p>
    <w:p w14:paraId="24827F39" w14:textId="77777777" w:rsidR="00287E2F" w:rsidRPr="009759F3" w:rsidRDefault="00287E2F" w:rsidP="00991BF9">
      <w:pPr>
        <w:pStyle w:val="Heading4"/>
      </w:pPr>
      <w:bookmarkStart w:id="6" w:name="_Toc492558728"/>
      <w:r w:rsidRPr="00660BDB">
        <w:t xml:space="preserve">Procedures for </w:t>
      </w:r>
      <w:r w:rsidR="009759F3" w:rsidRPr="00660BDB">
        <w:t xml:space="preserve">the </w:t>
      </w:r>
      <w:r w:rsidRPr="00660BDB">
        <w:t>Collecti</w:t>
      </w:r>
      <w:r w:rsidR="009759F3" w:rsidRPr="00660BDB">
        <w:t>on</w:t>
      </w:r>
      <w:r w:rsidRPr="00660BDB">
        <w:t xml:space="preserve"> of Information</w:t>
      </w:r>
      <w:bookmarkEnd w:id="6"/>
      <w:r w:rsidR="00F725B5" w:rsidRPr="009759F3">
        <w:t xml:space="preserve"> </w:t>
      </w:r>
      <w:r w:rsidR="009759F3" w:rsidRPr="009759F3">
        <w:t xml:space="preserve">  </w:t>
      </w:r>
    </w:p>
    <w:p w14:paraId="53DB2FDF" w14:textId="77DFDE58" w:rsidR="005E486E" w:rsidRDefault="00591BB8" w:rsidP="00FE759E">
      <w:pPr>
        <w:ind w:left="0"/>
      </w:pPr>
      <w:r>
        <w:t xml:space="preserve">This is a one-time data collection.  </w:t>
      </w:r>
      <w:r w:rsidR="0071360B" w:rsidRPr="0071360B">
        <w:t xml:space="preserve">CDC and co-operative agreement sub-contractor George Washington University </w:t>
      </w:r>
      <w:r>
        <w:t>will collect</w:t>
      </w:r>
      <w:r w:rsidR="0071360B">
        <w:t xml:space="preserve"> data</w:t>
      </w:r>
      <w:r>
        <w:t xml:space="preserve"> once from each </w:t>
      </w:r>
      <w:r w:rsidR="00E8510F">
        <w:t>state</w:t>
      </w:r>
      <w:r>
        <w:t xml:space="preserve">, approximately </w:t>
      </w:r>
      <w:r w:rsidR="00E2588C">
        <w:t>eight</w:t>
      </w:r>
      <w:r>
        <w:t xml:space="preserve"> to </w:t>
      </w:r>
      <w:r w:rsidR="000969A7">
        <w:t>fifteen</w:t>
      </w:r>
      <w:r>
        <w:t xml:space="preserve"> months after initiating a partnership with 6|18.  This period of time was chosen because it: (1) allows time for </w:t>
      </w:r>
      <w:r w:rsidR="003947F8">
        <w:t xml:space="preserve">some </w:t>
      </w:r>
      <w:r>
        <w:t>partnership outcomes to develop; (2) is</w:t>
      </w:r>
      <w:r w:rsidR="00E2588C">
        <w:t xml:space="preserve"> </w:t>
      </w:r>
      <w:r>
        <w:t>within</w:t>
      </w:r>
      <w:r w:rsidR="00E2588C">
        <w:t>, or close to,</w:t>
      </w:r>
      <w:r>
        <w:t xml:space="preserve"> the one-year timeframe that states are initial</w:t>
      </w:r>
      <w:r w:rsidR="003947F8">
        <w:t>ly committing to work with 6|18; (3) is</w:t>
      </w:r>
      <w:r w:rsidR="00D564BC">
        <w:t xml:space="preserve"> relatively</w:t>
      </w:r>
      <w:r w:rsidR="003947F8">
        <w:t xml:space="preserve"> short</w:t>
      </w:r>
      <w:r w:rsidR="0055157C">
        <w:t>,</w:t>
      </w:r>
      <w:r w:rsidR="003947F8">
        <w:t xml:space="preserve"> </w:t>
      </w:r>
      <w:r w:rsidR="00E86767">
        <w:t xml:space="preserve">to reduce the possibility that </w:t>
      </w:r>
      <w:r w:rsidR="00E8510F">
        <w:t>state</w:t>
      </w:r>
      <w:r w:rsidR="00E86767">
        <w:t xml:space="preserve"> staff turnover </w:t>
      </w:r>
      <w:r w:rsidR="00AB6B1F">
        <w:t xml:space="preserve">will </w:t>
      </w:r>
      <w:r w:rsidR="00D564BC">
        <w:t>pose a barrier to</w:t>
      </w:r>
      <w:r w:rsidR="003947F8">
        <w:t xml:space="preserve"> data collection</w:t>
      </w:r>
      <w:r w:rsidR="000969A7">
        <w:t xml:space="preserve">; and (4) allows flexibility so we can schedule interviews at a time that is most convenient for the </w:t>
      </w:r>
      <w:r w:rsidR="00E8510F">
        <w:t>state</w:t>
      </w:r>
      <w:r w:rsidR="000969A7">
        <w:t>, and potentially join existing CDC division site visits to reduce burden and duplication of effort for the state</w:t>
      </w:r>
      <w:r w:rsidR="003947F8">
        <w:t>.</w:t>
      </w:r>
      <w:r w:rsidR="000F55AC">
        <w:t xml:space="preserve">  In </w:t>
      </w:r>
      <w:r w:rsidR="00222934">
        <w:t xml:space="preserve">cases where the </w:t>
      </w:r>
      <w:r w:rsidR="00E8510F">
        <w:t>state</w:t>
      </w:r>
      <w:r w:rsidR="00222934">
        <w:t xml:space="preserve">’s </w:t>
      </w:r>
      <w:r w:rsidR="0055157C">
        <w:t xml:space="preserve">partnership </w:t>
      </w:r>
      <w:r w:rsidR="00222934">
        <w:t xml:space="preserve">milestones are still in progress </w:t>
      </w:r>
      <w:r w:rsidR="008F3195">
        <w:t xml:space="preserve">eight </w:t>
      </w:r>
      <w:r w:rsidR="00086DDC">
        <w:t xml:space="preserve">to </w:t>
      </w:r>
      <w:r w:rsidR="008F3195">
        <w:t xml:space="preserve">fifteen </w:t>
      </w:r>
      <w:r w:rsidR="00DA02D1">
        <w:t xml:space="preserve">months after initiating a partnership with 6|18, </w:t>
      </w:r>
      <w:r w:rsidR="00222934">
        <w:t xml:space="preserve">the CDC </w:t>
      </w:r>
      <w:r w:rsidR="00DA02D1">
        <w:t xml:space="preserve">and/or the </w:t>
      </w:r>
      <w:r w:rsidR="00E8510F">
        <w:t>state</w:t>
      </w:r>
      <w:r w:rsidR="00DA02D1">
        <w:t xml:space="preserve"> </w:t>
      </w:r>
      <w:r w:rsidR="00222934">
        <w:t xml:space="preserve">may </w:t>
      </w:r>
      <w:r w:rsidR="00DA02D1">
        <w:t xml:space="preserve">decide to postpone the interviews for another </w:t>
      </w:r>
      <w:r w:rsidR="008F3195">
        <w:t>six to nine</w:t>
      </w:r>
      <w:r w:rsidR="00DA02D1">
        <w:t xml:space="preserve"> months, or until tangible</w:t>
      </w:r>
      <w:r w:rsidR="008F3195">
        <w:t xml:space="preserve"> partnership</w:t>
      </w:r>
      <w:r w:rsidR="00DA02D1">
        <w:t xml:space="preserve"> outcomes have occurred</w:t>
      </w:r>
      <w:r w:rsidR="00EB6D25">
        <w:t>, whichever is more appropriate</w:t>
      </w:r>
      <w:r w:rsidR="00DA02D1">
        <w:t>.</w:t>
      </w:r>
      <w:r w:rsidR="00222934">
        <w:t xml:space="preserve"> </w:t>
      </w:r>
      <w:r w:rsidR="00192510">
        <w:t>As a courtesy, w</w:t>
      </w:r>
      <w:r w:rsidR="005E486E">
        <w:t>e will share</w:t>
      </w:r>
      <w:r w:rsidR="00143A07">
        <w:t xml:space="preserve"> interview</w:t>
      </w:r>
      <w:r w:rsidR="005E486E">
        <w:t xml:space="preserve"> questio</w:t>
      </w:r>
      <w:r w:rsidR="00192510">
        <w:t>n</w:t>
      </w:r>
      <w:r w:rsidR="00143A07">
        <w:t>s</w:t>
      </w:r>
      <w:r w:rsidR="00192510">
        <w:t xml:space="preserve"> with </w:t>
      </w:r>
      <w:r w:rsidR="00E8510F">
        <w:t>states</w:t>
      </w:r>
      <w:r w:rsidR="00192510">
        <w:t xml:space="preserve"> in advance</w:t>
      </w:r>
      <w:r w:rsidR="008A4D05">
        <w:t>.</w:t>
      </w:r>
      <w:r w:rsidR="003836CA">
        <w:t xml:space="preserve">  </w:t>
      </w:r>
      <w:r w:rsidR="00584553">
        <w:t>If</w:t>
      </w:r>
      <w:r w:rsidR="006236D1">
        <w:t>, for convenience,</w:t>
      </w:r>
      <w:r w:rsidR="00584553">
        <w:t xml:space="preserve"> respondents wish to </w:t>
      </w:r>
      <w:r w:rsidR="006236D1">
        <w:t>have multiple interviewees in an interview, we will conduct the interviews concurrently.</w:t>
      </w:r>
    </w:p>
    <w:p w14:paraId="1AC85754" w14:textId="77777777" w:rsidR="005E486E" w:rsidRDefault="005E486E" w:rsidP="00FE759E">
      <w:pPr>
        <w:ind w:left="0"/>
      </w:pPr>
    </w:p>
    <w:p w14:paraId="16EA1903" w14:textId="3AAB004A" w:rsidR="00AE697C" w:rsidRPr="00CB32F2" w:rsidRDefault="00AE697C" w:rsidP="00FE759E">
      <w:pPr>
        <w:ind w:left="0"/>
      </w:pPr>
      <w:r w:rsidRPr="00AE697C">
        <w:t xml:space="preserve">Respondents will be asked to grant permission for the interview team to audio record the interview for note taking, clarification and to verify quotes only.  </w:t>
      </w:r>
      <w:r w:rsidR="00CB32F2" w:rsidRPr="00CB32F2">
        <w:t>Study information and data, including contact information for respondents</w:t>
      </w:r>
      <w:r w:rsidR="00CB32F2">
        <w:t xml:space="preserve"> and audio recordings</w:t>
      </w:r>
      <w:r w:rsidR="00CB32F2" w:rsidRPr="00CB32F2">
        <w:t>, wi</w:t>
      </w:r>
      <w:r w:rsidR="00CB32F2">
        <w:t xml:space="preserve">ll be destroyed </w:t>
      </w:r>
      <w:r w:rsidR="00252EAE">
        <w:t xml:space="preserve">on or before </w:t>
      </w:r>
      <w:r w:rsidR="00143A07">
        <w:t xml:space="preserve">May </w:t>
      </w:r>
      <w:r w:rsidR="00252EAE">
        <w:t>2021</w:t>
      </w:r>
      <w:r w:rsidR="00143A07" w:rsidRPr="00143A07">
        <w:t>, three years after data collection begins.</w:t>
      </w:r>
    </w:p>
    <w:p w14:paraId="3AF5AAA6" w14:textId="77777777" w:rsidR="00AE697C" w:rsidRDefault="00AE697C" w:rsidP="00FE759E">
      <w:pPr>
        <w:autoSpaceDE w:val="0"/>
        <w:autoSpaceDN w:val="0"/>
        <w:adjustRightInd w:val="0"/>
        <w:ind w:left="0"/>
        <w:rPr>
          <w:rFonts w:eastAsia="Times New Roman" w:cs="Times New Roman"/>
        </w:rPr>
      </w:pPr>
    </w:p>
    <w:p w14:paraId="5FB84E57" w14:textId="6541EDF3" w:rsidR="00AE697C" w:rsidRDefault="00AE697C" w:rsidP="00FE759E">
      <w:pPr>
        <w:autoSpaceDE w:val="0"/>
        <w:autoSpaceDN w:val="0"/>
        <w:adjustRightInd w:val="0"/>
        <w:ind w:left="0"/>
      </w:pPr>
      <w:r>
        <w:t xml:space="preserve">Prior to conducting interviews </w:t>
      </w:r>
      <w:r w:rsidR="008E4DA9">
        <w:t>for</w:t>
      </w:r>
      <w:r>
        <w:t xml:space="preserve"> each </w:t>
      </w:r>
      <w:r w:rsidR="00E8510F">
        <w:t>state</w:t>
      </w:r>
      <w:r>
        <w:t>, we will use existing data resources, such as workplans and notes from calls with the technical assistance provider, Center for Health Care Strategies</w:t>
      </w:r>
      <w:r w:rsidR="00143A07">
        <w:t xml:space="preserve"> (CHCS)</w:t>
      </w:r>
      <w:r>
        <w:t>, to assemble a</w:t>
      </w:r>
      <w:r w:rsidR="008E4DA9">
        <w:t xml:space="preserve"> </w:t>
      </w:r>
      <w:r w:rsidR="00E8510F">
        <w:t>state</w:t>
      </w:r>
      <w:r>
        <w:t xml:space="preserve">-specific summary.  The summary will be used to verify that the information obtained from these sources is complete, and to prepare the interviewer(s) to conduct the interviews in a focused and efficient manner. </w:t>
      </w:r>
    </w:p>
    <w:p w14:paraId="3EEB2AF3" w14:textId="77777777" w:rsidR="00304EFC" w:rsidRDefault="00304EFC" w:rsidP="00FE759E">
      <w:pPr>
        <w:autoSpaceDE w:val="0"/>
        <w:autoSpaceDN w:val="0"/>
        <w:adjustRightInd w:val="0"/>
        <w:ind w:left="0" w:firstLine="360"/>
      </w:pPr>
    </w:p>
    <w:p w14:paraId="3D05F330" w14:textId="77777777" w:rsidR="00EF7E1B" w:rsidRPr="00E63C4A" w:rsidRDefault="00EF7E1B" w:rsidP="00FE759E">
      <w:pPr>
        <w:ind w:left="0"/>
      </w:pPr>
      <w:r>
        <w:t>After</w:t>
      </w:r>
      <w:r w:rsidRPr="00B40A94">
        <w:t xml:space="preserve"> data </w:t>
      </w:r>
      <w:r>
        <w:t>are</w:t>
      </w:r>
      <w:r w:rsidRPr="00B40A94">
        <w:t xml:space="preserve"> </w:t>
      </w:r>
      <w:r>
        <w:t>collected</w:t>
      </w:r>
      <w:r w:rsidRPr="00B40A94">
        <w:t xml:space="preserve">, </w:t>
      </w:r>
      <w:r>
        <w:t>notes will be cleaned. Research staff will compose an initial case memo detailing what we have learned from the interviews around each of our four specific aims. This memo will be provided to the state for confirmation and any corrections. Data from the interviews and documents analysis will be triangulated to identify the key descriptive and explanatory themes for each case. Our analysis for specific aim 2</w:t>
      </w:r>
      <w:r w:rsidRPr="000B2D9E">
        <w:t>, the results of collaboration between public health and health care sectors</w:t>
      </w:r>
      <w:r>
        <w:t xml:space="preserve">, will be descriptive. We will develop an initial descriptive framework to document this collaboration prior to data collection but will adapt our framework based on the interviews.  The framework would be an </w:t>
      </w:r>
      <w:r w:rsidRPr="00877DBC">
        <w:t>outline of the sections w</w:t>
      </w:r>
      <w:r>
        <w:t>e anticipate presenting in a case study</w:t>
      </w:r>
      <w:r w:rsidRPr="00877DBC">
        <w:t xml:space="preserve"> </w:t>
      </w:r>
      <w:r>
        <w:t>(e</w:t>
      </w:r>
      <w:r w:rsidRPr="00877DBC">
        <w:t>.g., complementary capacities, shared mission</w:t>
      </w:r>
      <w:r>
        <w:t xml:space="preserve">). </w:t>
      </w:r>
      <w:r w:rsidRPr="00877DBC">
        <w:t xml:space="preserve"> </w:t>
      </w:r>
      <w:r>
        <w:t xml:space="preserve">For </w:t>
      </w:r>
      <w:r w:rsidRPr="000B2D9E">
        <w:t>specific aims 1, 3 and 4, identifying the role of 6|18 and key contextual barriers and facilitators</w:t>
      </w:r>
      <w:r>
        <w:t>, we will use a combination of inductive and deductive thematic analysis. We list a number of expected themes as probes in the interview guide (deductive) and will also include additional factors described by participants (inductive).</w:t>
      </w:r>
    </w:p>
    <w:p w14:paraId="050E4CB8" w14:textId="70E1C40A" w:rsidR="00815AE8" w:rsidRDefault="00815AE8" w:rsidP="00FE759E">
      <w:pPr>
        <w:autoSpaceDE w:val="0"/>
        <w:autoSpaceDN w:val="0"/>
        <w:adjustRightInd w:val="0"/>
        <w:ind w:left="0"/>
      </w:pPr>
    </w:p>
    <w:p w14:paraId="202AB56A" w14:textId="700261B7" w:rsidR="00815AE8" w:rsidRDefault="00815AE8" w:rsidP="00FE759E">
      <w:pPr>
        <w:ind w:left="0"/>
      </w:pPr>
      <w:r w:rsidRPr="00A92023">
        <w:t>GWU and the CDC evaluation team staff have consulted with CDC’s Office of the Chief Information Security Officer to review the data acquisition, storage, and processing procedures to ensure that they comply with government data privacy and security procedures.</w:t>
      </w:r>
      <w:r>
        <w:t xml:space="preserve">  We will transfer files (i.e., audio recordings and written notes) between CDC and GWU using</w:t>
      </w:r>
      <w:r w:rsidR="00DF333A">
        <w:t xml:space="preserve"> secu</w:t>
      </w:r>
      <w:r w:rsidR="005E7192">
        <w:t xml:space="preserve">re mechanisms such as </w:t>
      </w:r>
      <w:r w:rsidR="000F46EB">
        <w:t>Filezilla, a third-party FTP client</w:t>
      </w:r>
      <w:r w:rsidR="005E7192">
        <w:t>.  We will</w:t>
      </w:r>
      <w:r w:rsidR="00DF333A">
        <w:t xml:space="preserve"> </w:t>
      </w:r>
      <w:r w:rsidR="005E7192">
        <w:t xml:space="preserve">store files on </w:t>
      </w:r>
      <w:r>
        <w:t xml:space="preserve">an outward-facing external </w:t>
      </w:r>
      <w:r w:rsidR="00DF333A">
        <w:t>infrastructure</w:t>
      </w:r>
      <w:r w:rsidR="000F46EB">
        <w:t>, such as an</w:t>
      </w:r>
      <w:r w:rsidR="00DF333A">
        <w:t xml:space="preserve"> </w:t>
      </w:r>
      <w:r w:rsidR="000F46EB">
        <w:t xml:space="preserve">encrypted FTP site, </w:t>
      </w:r>
      <w:r w:rsidR="00DF333A">
        <w:t xml:space="preserve">hosted by CDC. </w:t>
      </w:r>
    </w:p>
    <w:p w14:paraId="5503480A" w14:textId="77777777" w:rsidR="0073226E" w:rsidRPr="00AC26DF" w:rsidRDefault="0073226E" w:rsidP="00FE759E">
      <w:pPr>
        <w:ind w:left="360"/>
        <w:rPr>
          <w:color w:val="7030A0"/>
        </w:rPr>
      </w:pPr>
    </w:p>
    <w:p w14:paraId="1C68D7D0" w14:textId="48B418BB" w:rsidR="009759F3" w:rsidRPr="00683735" w:rsidRDefault="00287E2F" w:rsidP="00FE759E">
      <w:pPr>
        <w:pStyle w:val="Heading4"/>
      </w:pPr>
      <w:bookmarkStart w:id="7" w:name="_Toc492558729"/>
      <w:r w:rsidRPr="00683735">
        <w:t>Methods to Maximize Response Rates</w:t>
      </w:r>
      <w:r w:rsidR="00F725B5" w:rsidRPr="00683735">
        <w:t xml:space="preserve"> </w:t>
      </w:r>
      <w:r w:rsidR="009759F3" w:rsidRPr="00683735">
        <w:t>Deal with Nonresponse</w:t>
      </w:r>
      <w:bookmarkEnd w:id="7"/>
    </w:p>
    <w:p w14:paraId="70C4E052" w14:textId="3BA11367" w:rsidR="00333709" w:rsidRPr="00C92E07" w:rsidRDefault="009E7C03" w:rsidP="00FE759E">
      <w:pPr>
        <w:ind w:left="0"/>
        <w:rPr>
          <w:rFonts w:cs="Times New Roman"/>
        </w:rPr>
      </w:pPr>
      <w:r w:rsidRPr="00300092">
        <w:t xml:space="preserve">CDC designed this information collection to minimize the burden to respondents and to the government, to maximize convenience and flexibility, and to ensure the quality </w:t>
      </w:r>
      <w:r>
        <w:t xml:space="preserve">and usefulness </w:t>
      </w:r>
      <w:r w:rsidRPr="00300092">
        <w:t xml:space="preserve">of the information collected.  </w:t>
      </w:r>
      <w:r w:rsidR="003F1764" w:rsidRPr="003F1764">
        <w:t xml:space="preserve">Participation in this assessment is voluntary for both </w:t>
      </w:r>
      <w:r w:rsidR="00E8510F">
        <w:t>states</w:t>
      </w:r>
      <w:r w:rsidR="003F1764" w:rsidRPr="003F1764">
        <w:t xml:space="preserve"> and individuals within </w:t>
      </w:r>
      <w:r w:rsidR="00E8510F">
        <w:t>states</w:t>
      </w:r>
      <w:r w:rsidR="003F1764" w:rsidRPr="003F1764">
        <w:t>.</w:t>
      </w:r>
      <w:r w:rsidR="00DC346E">
        <w:t xml:space="preserve"> </w:t>
      </w:r>
      <w:r w:rsidR="003F1764" w:rsidRPr="003F1764">
        <w:t xml:space="preserve"> </w:t>
      </w:r>
      <w:r w:rsidR="006C3BD6" w:rsidRPr="006C3BD6">
        <w:t>All Year 1 and 2 states</w:t>
      </w:r>
      <w:r w:rsidR="006C3BD6">
        <w:t xml:space="preserve"> have been invited to participate in </w:t>
      </w:r>
      <w:r w:rsidR="006C3BD6" w:rsidRPr="00C92E07">
        <w:rPr>
          <w:rFonts w:cs="Times New Roman"/>
        </w:rPr>
        <w:t>assessment activities</w:t>
      </w:r>
      <w:r w:rsidR="006C3BD6">
        <w:rPr>
          <w:rFonts w:cs="Times New Roman"/>
        </w:rPr>
        <w:t>, as part of their 6|18 activities</w:t>
      </w:r>
      <w:r w:rsidR="006C3BD6" w:rsidRPr="006C3BD6">
        <w:t>.</w:t>
      </w:r>
      <w:r w:rsidR="006C3BD6">
        <w:t xml:space="preserve">  </w:t>
      </w:r>
      <w:r w:rsidR="00B07E92">
        <w:t>Y</w:t>
      </w:r>
      <w:r w:rsidR="00A54AEA">
        <w:t>ear</w:t>
      </w:r>
      <w:r w:rsidR="00B07E92">
        <w:t xml:space="preserve"> 2 states </w:t>
      </w:r>
      <w:r w:rsidR="00B07E92" w:rsidRPr="00C92E07">
        <w:rPr>
          <w:rFonts w:cs="Times New Roman"/>
        </w:rPr>
        <w:t>agree</w:t>
      </w:r>
      <w:r w:rsidR="00B07E92">
        <w:rPr>
          <w:rFonts w:cs="Times New Roman"/>
        </w:rPr>
        <w:t>d</w:t>
      </w:r>
      <w:r w:rsidR="00B07E92" w:rsidRPr="00C92E07">
        <w:rPr>
          <w:rFonts w:cs="Times New Roman"/>
        </w:rPr>
        <w:t xml:space="preserve"> to </w:t>
      </w:r>
      <w:r w:rsidR="00B07E92">
        <w:rPr>
          <w:rFonts w:cs="Times New Roman"/>
        </w:rPr>
        <w:t xml:space="preserve">participate in </w:t>
      </w:r>
      <w:r w:rsidR="00B07E92" w:rsidRPr="00C92E07">
        <w:rPr>
          <w:rFonts w:cs="Times New Roman"/>
        </w:rPr>
        <w:t>assessment activities</w:t>
      </w:r>
      <w:r w:rsidR="006B3D0E" w:rsidRPr="00C92E07">
        <w:t xml:space="preserve"> a</w:t>
      </w:r>
      <w:r w:rsidR="00333709" w:rsidRPr="00C92E07">
        <w:rPr>
          <w:rFonts w:cs="Times New Roman"/>
        </w:rPr>
        <w:t>s part of the</w:t>
      </w:r>
      <w:r w:rsidR="006B3D0E" w:rsidRPr="00C92E07">
        <w:rPr>
          <w:rFonts w:cs="Times New Roman"/>
        </w:rPr>
        <w:t>ir</w:t>
      </w:r>
      <w:r w:rsidR="00333709" w:rsidRPr="00C92E07">
        <w:rPr>
          <w:rFonts w:cs="Times New Roman"/>
        </w:rPr>
        <w:t xml:space="preserve"> original statement of interest </w:t>
      </w:r>
      <w:r w:rsidR="00A54AEA">
        <w:rPr>
          <w:rFonts w:cs="Times New Roman"/>
        </w:rPr>
        <w:t>to join 6|18</w:t>
      </w:r>
      <w:r w:rsidR="006B3D0E" w:rsidRPr="00C92E07">
        <w:rPr>
          <w:rFonts w:cs="Times New Roman"/>
        </w:rPr>
        <w:t xml:space="preserve">.  </w:t>
      </w:r>
      <w:r w:rsidR="00333709" w:rsidRPr="00C92E07">
        <w:rPr>
          <w:rFonts w:cs="Times New Roman"/>
        </w:rPr>
        <w:t xml:space="preserve">Therefore, we expect that </w:t>
      </w:r>
      <w:r w:rsidR="00C47F0A" w:rsidRPr="00C92E07">
        <w:rPr>
          <w:rFonts w:cs="Times New Roman"/>
        </w:rPr>
        <w:t xml:space="preserve">the majority of states will </w:t>
      </w:r>
      <w:r w:rsidR="00B07E92">
        <w:rPr>
          <w:rFonts w:cs="Times New Roman"/>
        </w:rPr>
        <w:t xml:space="preserve">agree to </w:t>
      </w:r>
      <w:r w:rsidR="00C47F0A" w:rsidRPr="00C92E07">
        <w:rPr>
          <w:rFonts w:cs="Times New Roman"/>
        </w:rPr>
        <w:t>participate.</w:t>
      </w:r>
    </w:p>
    <w:p w14:paraId="1C7698A6" w14:textId="77777777" w:rsidR="009B574B" w:rsidRDefault="009B574B" w:rsidP="00FE759E">
      <w:pPr>
        <w:ind w:left="0"/>
        <w:rPr>
          <w:rFonts w:cs="Times New Roman"/>
        </w:rPr>
      </w:pPr>
    </w:p>
    <w:p w14:paraId="740F4969" w14:textId="1227C2A4" w:rsidR="006B3D0E" w:rsidRPr="00CB7144" w:rsidRDefault="006B3D0E" w:rsidP="00FE759E">
      <w:pPr>
        <w:ind w:left="0"/>
        <w:rPr>
          <w:rFonts w:cs="Times New Roman"/>
        </w:rPr>
      </w:pPr>
      <w:r w:rsidRPr="007766CF">
        <w:rPr>
          <w:rFonts w:cs="Times New Roman"/>
        </w:rPr>
        <w:t xml:space="preserve">To maximize response rate </w:t>
      </w:r>
      <w:r w:rsidR="00416C5A">
        <w:rPr>
          <w:rFonts w:cs="Times New Roman"/>
        </w:rPr>
        <w:t xml:space="preserve">and minimize burden, </w:t>
      </w:r>
      <w:r w:rsidRPr="007766CF">
        <w:rPr>
          <w:rFonts w:cs="Times New Roman"/>
        </w:rPr>
        <w:t xml:space="preserve">we will </w:t>
      </w:r>
      <w:r w:rsidR="00A67CE8">
        <w:rPr>
          <w:rFonts w:cs="Times New Roman"/>
        </w:rPr>
        <w:t xml:space="preserve">send the advance notice email </w:t>
      </w:r>
      <w:r w:rsidR="00A67CE8" w:rsidRPr="00C92E07">
        <w:rPr>
          <w:rFonts w:cs="Times New Roman"/>
        </w:rPr>
        <w:t>(see</w:t>
      </w:r>
      <w:r w:rsidR="00A67CE8" w:rsidRPr="00C92E07">
        <w:rPr>
          <w:b/>
        </w:rPr>
        <w:t xml:space="preserve"> </w:t>
      </w:r>
      <w:r w:rsidR="00252EAE">
        <w:rPr>
          <w:b/>
        </w:rPr>
        <w:t>Attachment 4 — Advance Notice Email</w:t>
      </w:r>
      <w:r w:rsidR="00A67CE8" w:rsidRPr="00C92E07">
        <w:rPr>
          <w:rFonts w:cs="Times New Roman"/>
        </w:rPr>
        <w:t>)</w:t>
      </w:r>
      <w:r w:rsidR="00A67CE8">
        <w:rPr>
          <w:rFonts w:cs="Times New Roman"/>
        </w:rPr>
        <w:t xml:space="preserve"> in advance of</w:t>
      </w:r>
      <w:r w:rsidR="00C47F0A">
        <w:rPr>
          <w:rFonts w:cs="Times New Roman"/>
        </w:rPr>
        <w:t xml:space="preserve"> </w:t>
      </w:r>
      <w:r w:rsidR="00C47F0A" w:rsidRPr="007766CF">
        <w:rPr>
          <w:rFonts w:cs="Times New Roman"/>
        </w:rPr>
        <w:t>scheduled monthly technical assistance calls</w:t>
      </w:r>
      <w:r w:rsidR="00A67CE8">
        <w:rPr>
          <w:rFonts w:cs="Times New Roman"/>
        </w:rPr>
        <w:t>, and follow up with states during the scheduled call</w:t>
      </w:r>
      <w:r w:rsidRPr="00C92E07">
        <w:rPr>
          <w:rFonts w:cs="Times New Roman"/>
        </w:rPr>
        <w:t xml:space="preserve">.  </w:t>
      </w:r>
      <w:r w:rsidR="00CB7144" w:rsidRPr="00CB7144">
        <w:rPr>
          <w:rFonts w:cs="Times New Roman"/>
        </w:rPr>
        <w:t xml:space="preserve">To minimize response burden, we have designed the information collection tools so they do not require the participant to </w:t>
      </w:r>
      <w:r w:rsidR="00A54AEA">
        <w:rPr>
          <w:rFonts w:cs="Times New Roman"/>
        </w:rPr>
        <w:t>prepare</w:t>
      </w:r>
      <w:r w:rsidR="00CB7144" w:rsidRPr="00CB7144">
        <w:t xml:space="preserve"> in advance of the interview. </w:t>
      </w:r>
    </w:p>
    <w:p w14:paraId="4A79B044" w14:textId="77777777" w:rsidR="009B574B" w:rsidRDefault="009B574B" w:rsidP="00FE759E">
      <w:pPr>
        <w:pStyle w:val="bodytextCharCharChar"/>
        <w:spacing w:after="0" w:line="276" w:lineRule="auto"/>
        <w:ind w:firstLine="0"/>
        <w:rPr>
          <w:rFonts w:asciiTheme="majorHAnsi" w:hAnsiTheme="majorHAnsi"/>
          <w:sz w:val="22"/>
          <w:szCs w:val="22"/>
        </w:rPr>
      </w:pPr>
    </w:p>
    <w:p w14:paraId="469D8315" w14:textId="13687A43" w:rsidR="003F1764" w:rsidRPr="003F1764" w:rsidRDefault="003F1764" w:rsidP="00FE759E">
      <w:pPr>
        <w:pStyle w:val="bodytextCharCharChar"/>
        <w:spacing w:after="0" w:line="276" w:lineRule="auto"/>
        <w:ind w:firstLine="0"/>
        <w:rPr>
          <w:rFonts w:asciiTheme="majorHAnsi" w:hAnsiTheme="majorHAnsi"/>
          <w:sz w:val="22"/>
          <w:szCs w:val="22"/>
        </w:rPr>
      </w:pPr>
      <w:r w:rsidRPr="003F1764">
        <w:rPr>
          <w:rFonts w:asciiTheme="majorHAnsi" w:hAnsiTheme="majorHAnsi"/>
          <w:sz w:val="22"/>
          <w:szCs w:val="22"/>
        </w:rPr>
        <w:t xml:space="preserve">Because we are seeking theoretically rather than statistically generalizable findings, we do not anticipate that </w:t>
      </w:r>
      <w:r w:rsidR="00C15D2A">
        <w:rPr>
          <w:rFonts w:asciiTheme="majorHAnsi" w:hAnsiTheme="majorHAnsi"/>
          <w:sz w:val="22"/>
          <w:szCs w:val="22"/>
        </w:rPr>
        <w:t xml:space="preserve">a </w:t>
      </w:r>
      <w:r w:rsidR="00C15D2A" w:rsidRPr="00C63B76">
        <w:rPr>
          <w:rFonts w:asciiTheme="majorHAnsi" w:hAnsiTheme="majorHAnsi"/>
          <w:sz w:val="22"/>
          <w:szCs w:val="22"/>
        </w:rPr>
        <w:t>response rate below 100%</w:t>
      </w:r>
      <w:r w:rsidRPr="00C63B76">
        <w:rPr>
          <w:rFonts w:asciiTheme="majorHAnsi" w:hAnsiTheme="majorHAnsi"/>
          <w:sz w:val="22"/>
          <w:szCs w:val="22"/>
        </w:rPr>
        <w:t xml:space="preserve"> will be a significant problem for our study. We anticipate a sufficiently high response rate to reach saturation in our thematic analysis. However, if some </w:t>
      </w:r>
      <w:r w:rsidR="006262A4">
        <w:rPr>
          <w:rFonts w:asciiTheme="majorHAnsi" w:hAnsiTheme="majorHAnsi"/>
          <w:sz w:val="22"/>
          <w:szCs w:val="22"/>
        </w:rPr>
        <w:t>states</w:t>
      </w:r>
      <w:r w:rsidRPr="00C63B76">
        <w:rPr>
          <w:rFonts w:asciiTheme="majorHAnsi" w:hAnsiTheme="majorHAnsi"/>
          <w:sz w:val="22"/>
          <w:szCs w:val="22"/>
        </w:rPr>
        <w:t xml:space="preserve"> decline to participate, we will acknowledge the</w:t>
      </w:r>
      <w:r w:rsidRPr="003F1764">
        <w:rPr>
          <w:rFonts w:asciiTheme="majorHAnsi" w:hAnsiTheme="majorHAnsi"/>
          <w:sz w:val="22"/>
          <w:szCs w:val="22"/>
        </w:rPr>
        <w:t xml:space="preserve"> fact that they may be different than participating </w:t>
      </w:r>
      <w:r w:rsidR="006262A4">
        <w:rPr>
          <w:rFonts w:asciiTheme="majorHAnsi" w:hAnsiTheme="majorHAnsi"/>
          <w:sz w:val="22"/>
          <w:szCs w:val="22"/>
        </w:rPr>
        <w:t>states</w:t>
      </w:r>
      <w:r w:rsidRPr="003F1764">
        <w:rPr>
          <w:rFonts w:asciiTheme="majorHAnsi" w:hAnsiTheme="majorHAnsi"/>
          <w:sz w:val="22"/>
          <w:szCs w:val="22"/>
        </w:rPr>
        <w:t xml:space="preserve"> as a limitation when publishing</w:t>
      </w:r>
      <w:r w:rsidR="005C36B4">
        <w:rPr>
          <w:rFonts w:asciiTheme="majorHAnsi" w:hAnsiTheme="majorHAnsi"/>
          <w:sz w:val="22"/>
          <w:szCs w:val="22"/>
        </w:rPr>
        <w:t xml:space="preserve"> and/or disseminating findings</w:t>
      </w:r>
      <w:r w:rsidRPr="003F1764">
        <w:rPr>
          <w:rFonts w:asciiTheme="majorHAnsi" w:hAnsiTheme="majorHAnsi"/>
          <w:sz w:val="22"/>
          <w:szCs w:val="22"/>
        </w:rPr>
        <w:t xml:space="preserve">. </w:t>
      </w:r>
    </w:p>
    <w:p w14:paraId="1E65BDCD" w14:textId="77777777" w:rsidR="00991BF9" w:rsidRDefault="00991BF9" w:rsidP="00991BF9"/>
    <w:p w14:paraId="2092A856" w14:textId="77777777" w:rsidR="003B4616" w:rsidRDefault="003B4616" w:rsidP="00991BF9"/>
    <w:p w14:paraId="402F3505" w14:textId="77777777" w:rsidR="00F52BCC" w:rsidRPr="00032E92" w:rsidRDefault="00287E2F" w:rsidP="00991BF9">
      <w:pPr>
        <w:pStyle w:val="Heading4"/>
      </w:pPr>
      <w:bookmarkStart w:id="8" w:name="_Toc492558730"/>
      <w:r w:rsidRPr="00032E92">
        <w:t xml:space="preserve">Test of Procedures </w:t>
      </w:r>
      <w:r w:rsidR="009759F3" w:rsidRPr="00032E92">
        <w:t>or Methods to be Undertaken</w:t>
      </w:r>
      <w:bookmarkEnd w:id="8"/>
    </w:p>
    <w:p w14:paraId="6713841E" w14:textId="5354F2F4" w:rsidR="005370A3" w:rsidRDefault="005370A3" w:rsidP="00BE2375">
      <w:pPr>
        <w:ind w:left="0"/>
      </w:pPr>
      <w:r w:rsidRPr="005370A3">
        <w:t>The estimate for burden hours</w:t>
      </w:r>
      <w:r w:rsidR="005C0409">
        <w:t xml:space="preserve"> of </w:t>
      </w:r>
      <w:r w:rsidR="005C0409" w:rsidRPr="005370A3">
        <w:t>the average time to complete the instrument including time for reviewing instructions, gathering needed information and completing the instrument</w:t>
      </w:r>
      <w:r w:rsidR="005C0409">
        <w:t>;</w:t>
      </w:r>
      <w:r w:rsidR="005C0409" w:rsidRPr="005370A3">
        <w:t xml:space="preserve"> </w:t>
      </w:r>
      <w:r w:rsidRPr="005370A3">
        <w:t xml:space="preserve">is based on pilot tests of </w:t>
      </w:r>
      <w:r w:rsidR="00DD1CEC">
        <w:t>the</w:t>
      </w:r>
      <w:r w:rsidRPr="005370A3">
        <w:t xml:space="preserve"> interview guide</w:t>
      </w:r>
      <w:r w:rsidR="002C54BD">
        <w:t xml:space="preserve">s </w:t>
      </w:r>
      <w:r w:rsidR="00FF2715">
        <w:t xml:space="preserve">by </w:t>
      </w:r>
      <w:r w:rsidR="00FF2715" w:rsidRPr="005370A3">
        <w:t>public health professionals</w:t>
      </w:r>
      <w:r w:rsidR="005C0409">
        <w:t>, as follows</w:t>
      </w:r>
      <w:r w:rsidR="000E42DA">
        <w:t xml:space="preserve">.  </w:t>
      </w:r>
      <w:r w:rsidR="009F111B">
        <w:t>P</w:t>
      </w:r>
      <w:r w:rsidR="000E42DA">
        <w:rPr>
          <w:color w:val="000000"/>
        </w:rPr>
        <w:t xml:space="preserve">rogram staff </w:t>
      </w:r>
      <w:r w:rsidR="00012A9E">
        <w:rPr>
          <w:color w:val="000000"/>
        </w:rPr>
        <w:t>from 6|18, and other testers, pilot tested the instrument.</w:t>
      </w:r>
      <w:r w:rsidR="00D6467A">
        <w:rPr>
          <w:color w:val="000000"/>
        </w:rPr>
        <w:t xml:space="preserve">  </w:t>
      </w:r>
      <w:r w:rsidR="009F111B">
        <w:rPr>
          <w:color w:val="000000"/>
        </w:rPr>
        <w:t xml:space="preserve">Burden estimates </w:t>
      </w:r>
      <w:r w:rsidR="00D6467A">
        <w:rPr>
          <w:color w:val="000000"/>
        </w:rPr>
        <w:t xml:space="preserve">for the interview only </w:t>
      </w:r>
      <w:r w:rsidR="009F111B">
        <w:rPr>
          <w:color w:val="000000"/>
        </w:rPr>
        <w:t xml:space="preserve">ranged from </w:t>
      </w:r>
      <w:r w:rsidR="009F111B" w:rsidRPr="00764B07">
        <w:rPr>
          <w:color w:val="000000"/>
        </w:rPr>
        <w:t>00:58-1:08</w:t>
      </w:r>
      <w:r w:rsidR="009F111B">
        <w:rPr>
          <w:color w:val="000000"/>
        </w:rPr>
        <w:t xml:space="preserve">, for </w:t>
      </w:r>
      <w:r w:rsidR="009F111B" w:rsidRPr="00764B07">
        <w:rPr>
          <w:color w:val="000000"/>
        </w:rPr>
        <w:t>an average of 1:04</w:t>
      </w:r>
      <w:r w:rsidR="009F111B">
        <w:rPr>
          <w:color w:val="000000"/>
        </w:rPr>
        <w:t xml:space="preserve">.  </w:t>
      </w:r>
      <w:r w:rsidR="00D6467A">
        <w:rPr>
          <w:color w:val="000000"/>
        </w:rPr>
        <w:t>T</w:t>
      </w:r>
      <w:r w:rsidR="009F111B">
        <w:rPr>
          <w:color w:val="000000"/>
        </w:rPr>
        <w:t xml:space="preserve">he burden estimates in </w:t>
      </w:r>
      <w:r w:rsidR="009F111B" w:rsidRPr="007D3DCC">
        <w:rPr>
          <w:b/>
          <w:color w:val="000000"/>
        </w:rPr>
        <w:t xml:space="preserve">Table </w:t>
      </w:r>
      <w:r w:rsidR="00D6467A">
        <w:rPr>
          <w:b/>
          <w:color w:val="000000"/>
        </w:rPr>
        <w:t>B4</w:t>
      </w:r>
      <w:r w:rsidR="009F111B">
        <w:rPr>
          <w:b/>
          <w:color w:val="000000"/>
        </w:rPr>
        <w:t>-a</w:t>
      </w:r>
      <w:r w:rsidR="009F111B">
        <w:rPr>
          <w:color w:val="000000"/>
        </w:rPr>
        <w:t xml:space="preserve"> below include an estimated additional 00:15 to allow for time that respondents may spend preparing for the interview.  </w:t>
      </w:r>
      <w:r w:rsidR="000E42DA" w:rsidRPr="00261186">
        <w:t xml:space="preserve"> </w:t>
      </w:r>
      <w:r w:rsidR="000E42DA">
        <w:t xml:space="preserve"> </w:t>
      </w:r>
    </w:p>
    <w:p w14:paraId="5E70A49A" w14:textId="77777777" w:rsidR="005370A3" w:rsidRDefault="005370A3" w:rsidP="005370A3">
      <w:pPr>
        <w:ind w:left="360"/>
      </w:pPr>
    </w:p>
    <w:p w14:paraId="6EFEA806" w14:textId="6AB4DC9D" w:rsidR="000D2E5E" w:rsidRDefault="000D2E5E" w:rsidP="000D2E5E">
      <w:pPr>
        <w:tabs>
          <w:tab w:val="left" w:pos="450"/>
          <w:tab w:val="left" w:pos="720"/>
          <w:tab w:val="left" w:pos="1620"/>
        </w:tabs>
        <w:ind w:left="0"/>
      </w:pPr>
      <w:r w:rsidRPr="00605140">
        <w:rPr>
          <w:rFonts w:eastAsia="Times New Roman" w:cs="Times New Roman"/>
          <w:b/>
        </w:rPr>
        <w:t>Table B</w:t>
      </w:r>
      <w:r>
        <w:rPr>
          <w:rFonts w:eastAsia="Times New Roman" w:cs="Times New Roman"/>
          <w:b/>
        </w:rPr>
        <w:t>4</w:t>
      </w:r>
      <w:r w:rsidRPr="00605140">
        <w:rPr>
          <w:rFonts w:eastAsia="Times New Roman" w:cs="Times New Roman"/>
          <w:b/>
        </w:rPr>
        <w:t>-</w:t>
      </w:r>
      <w:r w:rsidR="00D360CE">
        <w:rPr>
          <w:rFonts w:eastAsia="Times New Roman" w:cs="Times New Roman"/>
          <w:b/>
        </w:rPr>
        <w:t>a</w:t>
      </w:r>
      <w:r w:rsidRPr="00605140">
        <w:rPr>
          <w:rFonts w:eastAsia="Times New Roman" w:cs="Times New Roman"/>
          <w:b/>
        </w:rPr>
        <w:t>.</w:t>
      </w:r>
      <w:r>
        <w:rPr>
          <w:rFonts w:eastAsia="Times New Roman" w:cs="Times New Roman"/>
        </w:rPr>
        <w:t xml:space="preserve">  Estimate for burden hours, based on pilot testing</w:t>
      </w:r>
    </w:p>
    <w:tbl>
      <w:tblPr>
        <w:tblStyle w:val="TableGrid"/>
        <w:tblW w:w="0" w:type="auto"/>
        <w:jc w:val="center"/>
        <w:tblLook w:val="04A0" w:firstRow="1" w:lastRow="0" w:firstColumn="1" w:lastColumn="0" w:noHBand="0" w:noVBand="1"/>
      </w:tblPr>
      <w:tblGrid>
        <w:gridCol w:w="2335"/>
        <w:gridCol w:w="1159"/>
        <w:gridCol w:w="2231"/>
        <w:gridCol w:w="1521"/>
      </w:tblGrid>
      <w:tr w:rsidR="00322E76" w:rsidRPr="00D26F15" w14:paraId="1732F50F" w14:textId="77777777" w:rsidTr="00322E76">
        <w:trPr>
          <w:jc w:val="center"/>
        </w:trPr>
        <w:tc>
          <w:tcPr>
            <w:tcW w:w="2335" w:type="dxa"/>
            <w:tcBorders>
              <w:bottom w:val="single" w:sz="4" w:space="0" w:color="auto"/>
            </w:tcBorders>
          </w:tcPr>
          <w:p w14:paraId="22A8E351" w14:textId="54EF4202" w:rsidR="00322E76" w:rsidRPr="0037754D" w:rsidRDefault="00322E76" w:rsidP="00322E76">
            <w:pPr>
              <w:ind w:left="0"/>
              <w:jc w:val="center"/>
              <w:rPr>
                <w:b/>
                <w:u w:val="single"/>
              </w:rPr>
            </w:pPr>
            <w:r w:rsidRPr="0037754D">
              <w:rPr>
                <w:b/>
                <w:u w:val="single"/>
              </w:rPr>
              <w:t>Instr</w:t>
            </w:r>
            <w:r>
              <w:rPr>
                <w:b/>
                <w:u w:val="single"/>
              </w:rPr>
              <w:t>ument</w:t>
            </w:r>
          </w:p>
        </w:tc>
        <w:tc>
          <w:tcPr>
            <w:tcW w:w="0" w:type="auto"/>
          </w:tcPr>
          <w:p w14:paraId="0A66D410" w14:textId="1B218727" w:rsidR="00322E76" w:rsidRPr="00D26F15" w:rsidRDefault="00322E76" w:rsidP="00B52277">
            <w:pPr>
              <w:ind w:left="0"/>
              <w:jc w:val="center"/>
              <w:rPr>
                <w:b/>
                <w:u w:val="single"/>
              </w:rPr>
            </w:pPr>
            <w:r>
              <w:rPr>
                <w:b/>
                <w:u w:val="single"/>
              </w:rPr>
              <w:t># Testers</w:t>
            </w:r>
          </w:p>
        </w:tc>
        <w:tc>
          <w:tcPr>
            <w:tcW w:w="0" w:type="auto"/>
          </w:tcPr>
          <w:p w14:paraId="65F0EB2D" w14:textId="41CA568A" w:rsidR="00322E76" w:rsidRPr="00D26F15" w:rsidRDefault="00322E76" w:rsidP="00B52277">
            <w:pPr>
              <w:ind w:left="0"/>
              <w:jc w:val="center"/>
              <w:rPr>
                <w:b/>
                <w:u w:val="single"/>
              </w:rPr>
            </w:pPr>
            <w:r w:rsidRPr="00D26F15">
              <w:rPr>
                <w:b/>
                <w:u w:val="single"/>
              </w:rPr>
              <w:t>Average time (min.)</w:t>
            </w:r>
          </w:p>
        </w:tc>
        <w:tc>
          <w:tcPr>
            <w:tcW w:w="0" w:type="auto"/>
          </w:tcPr>
          <w:p w14:paraId="667AFC6E" w14:textId="5E4B6962" w:rsidR="00322E76" w:rsidRPr="00D26F15" w:rsidRDefault="00322E76" w:rsidP="00B52277">
            <w:pPr>
              <w:ind w:left="0"/>
              <w:jc w:val="center"/>
              <w:rPr>
                <w:b/>
                <w:u w:val="single"/>
              </w:rPr>
            </w:pPr>
            <w:r w:rsidRPr="00D26F15">
              <w:rPr>
                <w:b/>
                <w:u w:val="single"/>
              </w:rPr>
              <w:t>Range (min.)</w:t>
            </w:r>
          </w:p>
        </w:tc>
      </w:tr>
      <w:tr w:rsidR="00322E76" w14:paraId="6A48B6BE" w14:textId="77777777" w:rsidTr="00322E76">
        <w:trPr>
          <w:jc w:val="center"/>
        </w:trPr>
        <w:tc>
          <w:tcPr>
            <w:tcW w:w="2335" w:type="dxa"/>
            <w:tcBorders>
              <w:bottom w:val="single" w:sz="4" w:space="0" w:color="auto"/>
            </w:tcBorders>
          </w:tcPr>
          <w:p w14:paraId="18F005E9" w14:textId="71724801" w:rsidR="00322E76" w:rsidRDefault="00322E76" w:rsidP="00F309DB">
            <w:pPr>
              <w:ind w:left="0"/>
              <w:jc w:val="center"/>
            </w:pPr>
            <w:r w:rsidRPr="000F22D4">
              <w:t>Interview Guide</w:t>
            </w:r>
          </w:p>
        </w:tc>
        <w:tc>
          <w:tcPr>
            <w:tcW w:w="0" w:type="auto"/>
          </w:tcPr>
          <w:p w14:paraId="6E2B95D2" w14:textId="074F5352" w:rsidR="00322E76" w:rsidRPr="008201CF" w:rsidRDefault="00322E76" w:rsidP="00B00886">
            <w:pPr>
              <w:ind w:left="0"/>
              <w:jc w:val="center"/>
            </w:pPr>
            <w:r>
              <w:t>4</w:t>
            </w:r>
          </w:p>
        </w:tc>
        <w:tc>
          <w:tcPr>
            <w:tcW w:w="0" w:type="auto"/>
          </w:tcPr>
          <w:p w14:paraId="122750B8" w14:textId="07FA8B89" w:rsidR="00322E76" w:rsidRPr="008201CF" w:rsidRDefault="000E42DA" w:rsidP="00F309DB">
            <w:pPr>
              <w:ind w:left="0"/>
              <w:jc w:val="center"/>
            </w:pPr>
            <w:r>
              <w:t>79</w:t>
            </w:r>
          </w:p>
        </w:tc>
        <w:tc>
          <w:tcPr>
            <w:tcW w:w="0" w:type="auto"/>
          </w:tcPr>
          <w:p w14:paraId="095057E6" w14:textId="7A814C32" w:rsidR="00322E76" w:rsidRPr="008201CF" w:rsidRDefault="000E42DA" w:rsidP="00ED6A78">
            <w:pPr>
              <w:ind w:left="0"/>
              <w:jc w:val="center"/>
            </w:pPr>
            <w:r>
              <w:t>73</w:t>
            </w:r>
            <w:r w:rsidRPr="000933A4">
              <w:t xml:space="preserve"> to </w:t>
            </w:r>
            <w:r>
              <w:t>83</w:t>
            </w:r>
          </w:p>
        </w:tc>
      </w:tr>
    </w:tbl>
    <w:p w14:paraId="3698904C" w14:textId="77777777" w:rsidR="00D26F15" w:rsidRDefault="00D26F15" w:rsidP="005370A3">
      <w:pPr>
        <w:ind w:left="360"/>
      </w:pPr>
    </w:p>
    <w:p w14:paraId="15E491A6" w14:textId="77777777" w:rsidR="00D26F15" w:rsidRDefault="00D26F15" w:rsidP="005370A3">
      <w:pPr>
        <w:ind w:left="360"/>
      </w:pPr>
    </w:p>
    <w:p w14:paraId="0B559335" w14:textId="77777777" w:rsidR="009759F3" w:rsidRPr="009759F3" w:rsidRDefault="009759F3" w:rsidP="00991BF9">
      <w:pPr>
        <w:pStyle w:val="Heading4"/>
      </w:pPr>
      <w:bookmarkStart w:id="9" w:name="_Toc492558731"/>
      <w:r w:rsidRPr="009759F3">
        <w:t>Individuals Consulted on Statistical Aspects and Individuals Collecting and/or Analyzing Data</w:t>
      </w:r>
      <w:bookmarkEnd w:id="9"/>
    </w:p>
    <w:p w14:paraId="33FEDEC1" w14:textId="64EFF770" w:rsidR="00605140" w:rsidRPr="00BF67BA" w:rsidRDefault="00BF67BA" w:rsidP="00F231CE">
      <w:pPr>
        <w:spacing w:line="240" w:lineRule="auto"/>
        <w:ind w:left="0"/>
        <w:rPr>
          <w:rFonts w:eastAsia="Times New Roman" w:cs="Times New Roman"/>
        </w:rPr>
      </w:pPr>
      <w:r w:rsidRPr="00BF67BA">
        <w:rPr>
          <w:rFonts w:eastAsia="Times New Roman" w:cs="Times New Roman"/>
        </w:rPr>
        <w:t>Naomi Chen-Bowers</w:t>
      </w:r>
      <w:r w:rsidRPr="00605140">
        <w:rPr>
          <w:rFonts w:eastAsia="Times New Roman" w:cs="Times New Roman"/>
        </w:rPr>
        <w:t>, of the Centers for Disease Control and Prevention, is the Principal Investigator for the study. She has overall responsibility for overseeing the design and administration of the project and reporting of the case study information.</w:t>
      </w:r>
      <w:r w:rsidRPr="00BF67BA">
        <w:rPr>
          <w:rFonts w:eastAsia="Times New Roman" w:cs="Times New Roman"/>
        </w:rPr>
        <w:t xml:space="preserve">  </w:t>
      </w:r>
      <w:r w:rsidR="00605140" w:rsidRPr="00BF67BA">
        <w:t xml:space="preserve">CDC will provide overall direction for the 6|18 Case Studies, directing regular planning and coordination meetings with GWU staff, including the data collection protocol and data reporting. </w:t>
      </w:r>
    </w:p>
    <w:p w14:paraId="5996D94C" w14:textId="77777777" w:rsidR="00605140" w:rsidRPr="00BF67BA" w:rsidRDefault="00605140" w:rsidP="00605140">
      <w:pPr>
        <w:tabs>
          <w:tab w:val="left" w:pos="450"/>
          <w:tab w:val="left" w:pos="720"/>
          <w:tab w:val="left" w:pos="1620"/>
        </w:tabs>
      </w:pPr>
    </w:p>
    <w:p w14:paraId="4A2B71FF" w14:textId="08029DC9" w:rsidR="00605140" w:rsidRPr="00BF67BA" w:rsidRDefault="00605140" w:rsidP="00E4507D">
      <w:pPr>
        <w:tabs>
          <w:tab w:val="left" w:pos="450"/>
          <w:tab w:val="left" w:pos="720"/>
          <w:tab w:val="left" w:pos="1620"/>
        </w:tabs>
        <w:ind w:left="0"/>
      </w:pPr>
      <w:r w:rsidRPr="00605140">
        <w:rPr>
          <w:rFonts w:eastAsia="Times New Roman" w:cs="Times New Roman"/>
        </w:rPr>
        <w:t>The protocol</w:t>
      </w:r>
      <w:r w:rsidR="00A1176D">
        <w:rPr>
          <w:rFonts w:eastAsia="Times New Roman" w:cs="Times New Roman"/>
        </w:rPr>
        <w:t>, including statistical aspects,</w:t>
      </w:r>
      <w:r w:rsidRPr="00605140">
        <w:rPr>
          <w:rFonts w:eastAsia="Times New Roman" w:cs="Times New Roman"/>
        </w:rPr>
        <w:t xml:space="preserve"> was designed in collaboration with </w:t>
      </w:r>
      <w:r w:rsidRPr="00BF67BA">
        <w:rPr>
          <w:rFonts w:eastAsia="Times New Roman" w:cs="Times New Roman"/>
        </w:rPr>
        <w:t>t</w:t>
      </w:r>
      <w:r w:rsidRPr="00BF67BA">
        <w:t xml:space="preserve">he </w:t>
      </w:r>
      <w:r w:rsidR="00DD21BA" w:rsidRPr="00BF67BA">
        <w:t>cooperative agreement sub-</w:t>
      </w:r>
      <w:r w:rsidRPr="00BF67BA">
        <w:t>contractor</w:t>
      </w:r>
      <w:r w:rsidR="003C4201" w:rsidRPr="00BF67BA">
        <w:t xml:space="preserve"> for implementa</w:t>
      </w:r>
      <w:r w:rsidR="00DD21BA" w:rsidRPr="00BF67BA">
        <w:t>t</w:t>
      </w:r>
      <w:r w:rsidR="003C4201" w:rsidRPr="00BF67BA">
        <w:t>i</w:t>
      </w:r>
      <w:r w:rsidR="00DD21BA" w:rsidRPr="00BF67BA">
        <w:t>on</w:t>
      </w:r>
      <w:r w:rsidRPr="00BF67BA">
        <w:t xml:space="preserve">, GWU.  GWU and CDC will collaborate to schedule and administer the semi-structured key informant interviews from select program leaders and staff members within participating 6|18 </w:t>
      </w:r>
      <w:r w:rsidR="00E8510F">
        <w:t>states</w:t>
      </w:r>
      <w:r w:rsidRPr="00BF67BA">
        <w:t xml:space="preserve">.  GW will analyze and report </w:t>
      </w:r>
      <w:r w:rsidR="00F56C9E">
        <w:t>interview</w:t>
      </w:r>
      <w:r w:rsidR="00982198">
        <w:t xml:space="preserve"> </w:t>
      </w:r>
      <w:r w:rsidRPr="00BF67BA">
        <w:t>results.</w:t>
      </w:r>
    </w:p>
    <w:p w14:paraId="4BFEA987" w14:textId="77777777" w:rsidR="00605140" w:rsidRDefault="00605140" w:rsidP="00E4507D">
      <w:pPr>
        <w:tabs>
          <w:tab w:val="left" w:pos="450"/>
          <w:tab w:val="left" w:pos="720"/>
          <w:tab w:val="left" w:pos="1620"/>
        </w:tabs>
        <w:ind w:left="0"/>
      </w:pPr>
    </w:p>
    <w:p w14:paraId="2DB18D36" w14:textId="1A3F2FE6" w:rsidR="00605140" w:rsidRDefault="00D360CE" w:rsidP="005E5F9F">
      <w:pPr>
        <w:spacing w:after="200"/>
        <w:ind w:left="0"/>
      </w:pPr>
      <w:r>
        <w:rPr>
          <w:rFonts w:eastAsia="Times New Roman" w:cs="Times New Roman"/>
          <w:b/>
        </w:rPr>
        <w:t>Table B</w:t>
      </w:r>
      <w:r w:rsidR="00E4507D" w:rsidRPr="00605140">
        <w:rPr>
          <w:rFonts w:eastAsia="Times New Roman" w:cs="Times New Roman"/>
          <w:b/>
        </w:rPr>
        <w:t>5-</w:t>
      </w:r>
      <w:r>
        <w:rPr>
          <w:rFonts w:eastAsia="Times New Roman" w:cs="Times New Roman"/>
          <w:b/>
        </w:rPr>
        <w:t>a</w:t>
      </w:r>
      <w:r w:rsidR="00E4507D" w:rsidRPr="00605140">
        <w:rPr>
          <w:rFonts w:eastAsia="Times New Roman" w:cs="Times New Roman"/>
          <w:b/>
        </w:rPr>
        <w:t>.</w:t>
      </w:r>
      <w:r w:rsidR="00E4507D">
        <w:rPr>
          <w:rFonts w:eastAsia="Times New Roman" w:cs="Times New Roman"/>
        </w:rPr>
        <w:t xml:space="preserve">  P</w:t>
      </w:r>
      <w:r w:rsidR="00605140">
        <w:t xml:space="preserve">rincipal contacts for each organization </w:t>
      </w:r>
    </w:p>
    <w:tbl>
      <w:tblPr>
        <w:tblStyle w:val="TableGrid"/>
        <w:tblW w:w="9085" w:type="dxa"/>
        <w:tblLayout w:type="fixed"/>
        <w:tblLook w:val="04A0" w:firstRow="1" w:lastRow="0" w:firstColumn="1" w:lastColumn="0" w:noHBand="0" w:noVBand="1"/>
      </w:tblPr>
      <w:tblGrid>
        <w:gridCol w:w="3775"/>
        <w:gridCol w:w="2520"/>
        <w:gridCol w:w="2790"/>
      </w:tblGrid>
      <w:tr w:rsidR="00605140" w:rsidRPr="003E6233" w14:paraId="2373818C" w14:textId="77777777" w:rsidTr="00E4507D">
        <w:tc>
          <w:tcPr>
            <w:tcW w:w="3775" w:type="dxa"/>
            <w:shd w:val="clear" w:color="auto" w:fill="D9D9D9" w:themeFill="background1" w:themeFillShade="D9"/>
          </w:tcPr>
          <w:p w14:paraId="0F831661" w14:textId="77777777" w:rsidR="00605140" w:rsidRPr="003E6233" w:rsidRDefault="00605140" w:rsidP="000147DD">
            <w:pPr>
              <w:tabs>
                <w:tab w:val="left" w:pos="450"/>
                <w:tab w:val="left" w:pos="720"/>
                <w:tab w:val="left" w:pos="1620"/>
              </w:tabs>
              <w:ind w:left="0"/>
              <w:jc w:val="center"/>
              <w:rPr>
                <w:b/>
                <w:u w:val="single"/>
              </w:rPr>
            </w:pPr>
            <w:r w:rsidRPr="003E6233">
              <w:rPr>
                <w:b/>
                <w:u w:val="single"/>
              </w:rPr>
              <w:t>Staff Name</w:t>
            </w:r>
          </w:p>
        </w:tc>
        <w:tc>
          <w:tcPr>
            <w:tcW w:w="2520" w:type="dxa"/>
            <w:shd w:val="clear" w:color="auto" w:fill="D9D9D9" w:themeFill="background1" w:themeFillShade="D9"/>
          </w:tcPr>
          <w:p w14:paraId="32FE3ED6" w14:textId="7AD07029" w:rsidR="00605140" w:rsidRPr="003E6233" w:rsidRDefault="005B5D3A" w:rsidP="000147DD">
            <w:pPr>
              <w:tabs>
                <w:tab w:val="left" w:pos="450"/>
                <w:tab w:val="left" w:pos="720"/>
                <w:tab w:val="left" w:pos="1620"/>
              </w:tabs>
              <w:ind w:left="0"/>
              <w:jc w:val="center"/>
              <w:rPr>
                <w:b/>
                <w:u w:val="single"/>
              </w:rPr>
            </w:pPr>
            <w:r>
              <w:rPr>
                <w:b/>
                <w:u w:val="single"/>
              </w:rPr>
              <w:t>Role</w:t>
            </w:r>
          </w:p>
        </w:tc>
        <w:tc>
          <w:tcPr>
            <w:tcW w:w="2790" w:type="dxa"/>
            <w:shd w:val="clear" w:color="auto" w:fill="D9D9D9" w:themeFill="background1" w:themeFillShade="D9"/>
          </w:tcPr>
          <w:p w14:paraId="5EBD690A" w14:textId="77777777" w:rsidR="00605140" w:rsidRPr="003E6233" w:rsidRDefault="00605140" w:rsidP="000147DD">
            <w:pPr>
              <w:tabs>
                <w:tab w:val="left" w:pos="450"/>
                <w:tab w:val="left" w:pos="720"/>
                <w:tab w:val="left" w:pos="1620"/>
              </w:tabs>
              <w:ind w:left="0"/>
              <w:jc w:val="center"/>
              <w:rPr>
                <w:b/>
                <w:u w:val="single"/>
              </w:rPr>
            </w:pPr>
            <w:r w:rsidRPr="003E6233">
              <w:rPr>
                <w:b/>
                <w:u w:val="single"/>
              </w:rPr>
              <w:t>Contact Information</w:t>
            </w:r>
          </w:p>
        </w:tc>
      </w:tr>
      <w:tr w:rsidR="00605140" w:rsidRPr="003E6233" w14:paraId="52702465" w14:textId="77777777" w:rsidTr="00E90828">
        <w:tc>
          <w:tcPr>
            <w:tcW w:w="9085" w:type="dxa"/>
            <w:gridSpan w:val="3"/>
            <w:shd w:val="clear" w:color="auto" w:fill="FFFFFF" w:themeFill="background1"/>
          </w:tcPr>
          <w:p w14:paraId="6018D4E7" w14:textId="77777777" w:rsidR="00605140" w:rsidRDefault="00605140" w:rsidP="00323C6D">
            <w:pPr>
              <w:tabs>
                <w:tab w:val="left" w:pos="450"/>
                <w:tab w:val="left" w:pos="720"/>
                <w:tab w:val="left" w:pos="1620"/>
              </w:tabs>
              <w:ind w:left="0"/>
              <w:rPr>
                <w:b/>
              </w:rPr>
            </w:pPr>
            <w:r w:rsidRPr="003E6233">
              <w:rPr>
                <w:b/>
              </w:rPr>
              <w:t>CDC</w:t>
            </w:r>
          </w:p>
          <w:p w14:paraId="1B82D4CD" w14:textId="77777777" w:rsidR="00506A76" w:rsidRDefault="00506A76" w:rsidP="00506A76">
            <w:pPr>
              <w:tabs>
                <w:tab w:val="left" w:pos="450"/>
                <w:tab w:val="left" w:pos="720"/>
                <w:tab w:val="left" w:pos="1620"/>
              </w:tabs>
              <w:ind w:left="0"/>
            </w:pPr>
            <w:r>
              <w:t>Office Of Health System Collaboration</w:t>
            </w:r>
          </w:p>
          <w:p w14:paraId="213D9454" w14:textId="052A82B9" w:rsidR="00506A76" w:rsidRPr="003E6233" w:rsidRDefault="00506A76" w:rsidP="00506A76">
            <w:pPr>
              <w:tabs>
                <w:tab w:val="left" w:pos="450"/>
                <w:tab w:val="left" w:pos="720"/>
                <w:tab w:val="left" w:pos="1620"/>
              </w:tabs>
              <w:ind w:left="0"/>
              <w:rPr>
                <w:b/>
              </w:rPr>
            </w:pPr>
            <w:r>
              <w:t>CDC/OD/OADP/OHSC</w:t>
            </w:r>
          </w:p>
        </w:tc>
      </w:tr>
      <w:tr w:rsidR="00605140" w14:paraId="209B9E20" w14:textId="77777777" w:rsidTr="00E4507D">
        <w:tc>
          <w:tcPr>
            <w:tcW w:w="3775" w:type="dxa"/>
          </w:tcPr>
          <w:p w14:paraId="33311447" w14:textId="5343557D" w:rsidR="00605140" w:rsidRDefault="00605140" w:rsidP="00323C6D">
            <w:pPr>
              <w:tabs>
                <w:tab w:val="left" w:pos="450"/>
                <w:tab w:val="left" w:pos="720"/>
                <w:tab w:val="left" w:pos="1620"/>
              </w:tabs>
              <w:ind w:left="0"/>
            </w:pPr>
            <w:r>
              <w:t>Naomi Chen-Bowers, PhD</w:t>
            </w:r>
          </w:p>
          <w:p w14:paraId="7CE3BC9C" w14:textId="1D6802F8" w:rsidR="002431B9" w:rsidRDefault="00C84B70" w:rsidP="002431B9">
            <w:pPr>
              <w:tabs>
                <w:tab w:val="left" w:pos="450"/>
                <w:tab w:val="left" w:pos="720"/>
                <w:tab w:val="left" w:pos="1620"/>
              </w:tabs>
              <w:ind w:left="0"/>
            </w:pPr>
            <w:r>
              <w:t xml:space="preserve">Senior Service Fellow, </w:t>
            </w:r>
            <w:r w:rsidR="00605140">
              <w:t>Health Scientist</w:t>
            </w:r>
          </w:p>
        </w:tc>
        <w:tc>
          <w:tcPr>
            <w:tcW w:w="2520" w:type="dxa"/>
          </w:tcPr>
          <w:p w14:paraId="47C79E30" w14:textId="4891C944" w:rsidR="00605140" w:rsidRDefault="00F445C6" w:rsidP="00147FE4">
            <w:pPr>
              <w:tabs>
                <w:tab w:val="left" w:pos="450"/>
                <w:tab w:val="left" w:pos="720"/>
                <w:tab w:val="left" w:pos="1620"/>
              </w:tabs>
              <w:ind w:left="0"/>
            </w:pPr>
            <w:r>
              <w:t>Project d</w:t>
            </w:r>
            <w:r w:rsidR="00605140">
              <w:t>esign</w:t>
            </w:r>
            <w:r w:rsidR="00455547">
              <w:t xml:space="preserve"> including statistical aspects</w:t>
            </w:r>
            <w:r w:rsidR="00E729D4">
              <w:t xml:space="preserve">, </w:t>
            </w:r>
            <w:r>
              <w:t>data c</w:t>
            </w:r>
            <w:r w:rsidR="00E729D4">
              <w:t xml:space="preserve">ollection, </w:t>
            </w:r>
            <w:r>
              <w:t>d</w:t>
            </w:r>
            <w:r w:rsidR="00E729D4">
              <w:t xml:space="preserve">ata </w:t>
            </w:r>
            <w:r>
              <w:t>a</w:t>
            </w:r>
            <w:r w:rsidR="00E729D4">
              <w:t>nalysis</w:t>
            </w:r>
          </w:p>
        </w:tc>
        <w:tc>
          <w:tcPr>
            <w:tcW w:w="2790" w:type="dxa"/>
          </w:tcPr>
          <w:p w14:paraId="116E0CC9" w14:textId="77777777" w:rsidR="002431B9" w:rsidRPr="00CE270E" w:rsidRDefault="002431B9" w:rsidP="002976ED">
            <w:pPr>
              <w:tabs>
                <w:tab w:val="left" w:pos="450"/>
              </w:tabs>
              <w:ind w:left="0"/>
              <w:rPr>
                <w:rFonts w:ascii="Times New Roman" w:hAnsi="Times New Roman" w:cs="Times New Roman"/>
                <w:sz w:val="24"/>
                <w:szCs w:val="24"/>
              </w:rPr>
            </w:pPr>
            <w:r w:rsidRPr="00CE270E">
              <w:rPr>
                <w:rFonts w:ascii="Times New Roman" w:hAnsi="Times New Roman" w:cs="Times New Roman"/>
                <w:sz w:val="24"/>
                <w:szCs w:val="24"/>
              </w:rPr>
              <w:t>Phone: (770) 488-</w:t>
            </w:r>
            <w:r>
              <w:rPr>
                <w:rFonts w:ascii="Times New Roman" w:hAnsi="Times New Roman" w:cs="Times New Roman"/>
                <w:sz w:val="24"/>
                <w:szCs w:val="24"/>
              </w:rPr>
              <w:t>6036</w:t>
            </w:r>
            <w:r w:rsidRPr="00CE270E">
              <w:rPr>
                <w:rFonts w:ascii="Times New Roman" w:hAnsi="Times New Roman" w:cs="Times New Roman"/>
                <w:sz w:val="24"/>
                <w:szCs w:val="24"/>
              </w:rPr>
              <w:t xml:space="preserve">  </w:t>
            </w:r>
          </w:p>
          <w:p w14:paraId="0976760E" w14:textId="2323ACC4" w:rsidR="00605140" w:rsidRDefault="002431B9" w:rsidP="002976ED">
            <w:pPr>
              <w:tabs>
                <w:tab w:val="left" w:pos="450"/>
                <w:tab w:val="left" w:pos="720"/>
                <w:tab w:val="left" w:pos="1620"/>
              </w:tabs>
              <w:ind w:left="0"/>
            </w:pPr>
            <w:r w:rsidRPr="00CE270E">
              <w:rPr>
                <w:rFonts w:ascii="Times New Roman" w:hAnsi="Times New Roman" w:cs="Times New Roman"/>
                <w:sz w:val="24"/>
                <w:szCs w:val="24"/>
              </w:rPr>
              <w:t xml:space="preserve">Email: </w:t>
            </w:r>
            <w:hyperlink r:id="rId15" w:history="1">
              <w:r w:rsidR="008252E7" w:rsidRPr="00ED6B1A">
                <w:rPr>
                  <w:rStyle w:val="Hyperlink"/>
                  <w:rFonts w:ascii="Times New Roman" w:hAnsi="Times New Roman" w:cs="Times New Roman"/>
                  <w:sz w:val="24"/>
                  <w:szCs w:val="24"/>
                </w:rPr>
                <w:t>jtv4@cdc.gov</w:t>
              </w:r>
            </w:hyperlink>
            <w:r w:rsidR="008252E7">
              <w:rPr>
                <w:rFonts w:ascii="Times New Roman" w:hAnsi="Times New Roman" w:cs="Times New Roman"/>
                <w:sz w:val="24"/>
                <w:szCs w:val="24"/>
              </w:rPr>
              <w:t xml:space="preserve"> </w:t>
            </w:r>
          </w:p>
        </w:tc>
      </w:tr>
      <w:tr w:rsidR="007D0EF9" w14:paraId="6BF5F8EF" w14:textId="77777777" w:rsidTr="00E4507D">
        <w:tc>
          <w:tcPr>
            <w:tcW w:w="3775" w:type="dxa"/>
          </w:tcPr>
          <w:p w14:paraId="63FE475E" w14:textId="3E4E439D" w:rsidR="007D0EF9" w:rsidRDefault="007D0EF9" w:rsidP="007D0EF9">
            <w:pPr>
              <w:tabs>
                <w:tab w:val="left" w:pos="450"/>
                <w:tab w:val="left" w:pos="720"/>
                <w:tab w:val="left" w:pos="1620"/>
              </w:tabs>
              <w:ind w:left="0"/>
            </w:pPr>
            <w:r>
              <w:t>Jocelyn Wheaton, MPH</w:t>
            </w:r>
          </w:p>
          <w:p w14:paraId="2D04DD02" w14:textId="0A16A603" w:rsidR="007D0EF9" w:rsidRDefault="007D0EF9" w:rsidP="007D0EF9">
            <w:pPr>
              <w:tabs>
                <w:tab w:val="left" w:pos="450"/>
                <w:tab w:val="left" w:pos="720"/>
                <w:tab w:val="left" w:pos="1620"/>
              </w:tabs>
              <w:ind w:left="0"/>
            </w:pPr>
            <w:r>
              <w:t>Public Health Advisor</w:t>
            </w:r>
          </w:p>
          <w:p w14:paraId="75E9BD88" w14:textId="4AE59E8D" w:rsidR="007D0EF9" w:rsidRDefault="007D0EF9" w:rsidP="007D0EF9">
            <w:pPr>
              <w:tabs>
                <w:tab w:val="left" w:pos="450"/>
                <w:tab w:val="left" w:pos="720"/>
                <w:tab w:val="left" w:pos="1620"/>
              </w:tabs>
              <w:ind w:left="0"/>
            </w:pPr>
          </w:p>
        </w:tc>
        <w:tc>
          <w:tcPr>
            <w:tcW w:w="2520" w:type="dxa"/>
          </w:tcPr>
          <w:p w14:paraId="2318F4E2" w14:textId="644C8234" w:rsidR="007D0EF9" w:rsidRDefault="007D0EF9" w:rsidP="00323C6D">
            <w:pPr>
              <w:tabs>
                <w:tab w:val="left" w:pos="450"/>
                <w:tab w:val="left" w:pos="720"/>
                <w:tab w:val="left" w:pos="1620"/>
              </w:tabs>
              <w:ind w:left="0"/>
            </w:pPr>
            <w:r>
              <w:t>Cooperative agreement technical monitor; receives and approves contract deliverables</w:t>
            </w:r>
          </w:p>
        </w:tc>
        <w:tc>
          <w:tcPr>
            <w:tcW w:w="2790" w:type="dxa"/>
          </w:tcPr>
          <w:p w14:paraId="47A50F4E" w14:textId="00D56D9E" w:rsidR="007D0EF9" w:rsidRDefault="007D0EF9" w:rsidP="007D0EF9">
            <w:pPr>
              <w:tabs>
                <w:tab w:val="left" w:pos="450"/>
                <w:tab w:val="left" w:pos="720"/>
                <w:tab w:val="left" w:pos="1620"/>
              </w:tabs>
              <w:ind w:left="0"/>
            </w:pPr>
            <w:r w:rsidRPr="00CE270E">
              <w:rPr>
                <w:rFonts w:ascii="Times New Roman" w:hAnsi="Times New Roman" w:cs="Times New Roman"/>
                <w:sz w:val="24"/>
                <w:szCs w:val="24"/>
              </w:rPr>
              <w:t xml:space="preserve">Phone: </w:t>
            </w:r>
            <w:r w:rsidR="005B5D3A">
              <w:rPr>
                <w:rFonts w:ascii="Times New Roman" w:hAnsi="Times New Roman" w:cs="Times New Roman"/>
                <w:sz w:val="24"/>
                <w:szCs w:val="24"/>
              </w:rPr>
              <w:t>(</w:t>
            </w:r>
            <w:r>
              <w:t>404</w:t>
            </w:r>
            <w:r w:rsidR="005B5D3A">
              <w:t xml:space="preserve">) </w:t>
            </w:r>
            <w:r>
              <w:t>639-1048</w:t>
            </w:r>
          </w:p>
          <w:p w14:paraId="0F7739ED" w14:textId="5090B9F3" w:rsidR="007D0EF9" w:rsidRPr="00CE270E" w:rsidRDefault="007D0EF9" w:rsidP="007D0EF9">
            <w:pPr>
              <w:tabs>
                <w:tab w:val="left" w:pos="450"/>
              </w:tabs>
              <w:ind w:left="0"/>
              <w:rPr>
                <w:rFonts w:ascii="Times New Roman" w:hAnsi="Times New Roman" w:cs="Times New Roman"/>
                <w:sz w:val="24"/>
                <w:szCs w:val="24"/>
              </w:rPr>
            </w:pPr>
            <w:r w:rsidRPr="00CE270E">
              <w:rPr>
                <w:rFonts w:ascii="Times New Roman" w:hAnsi="Times New Roman" w:cs="Times New Roman"/>
                <w:sz w:val="24"/>
                <w:szCs w:val="24"/>
              </w:rPr>
              <w:t>Email:</w:t>
            </w:r>
            <w:r>
              <w:rPr>
                <w:rFonts w:ascii="Times New Roman" w:hAnsi="Times New Roman" w:cs="Times New Roman"/>
                <w:sz w:val="24"/>
                <w:szCs w:val="24"/>
              </w:rPr>
              <w:t xml:space="preserve"> </w:t>
            </w:r>
            <w:hyperlink r:id="rId16" w:history="1">
              <w:r w:rsidR="008252E7" w:rsidRPr="00ED6B1A">
                <w:rPr>
                  <w:rStyle w:val="Hyperlink"/>
                </w:rPr>
                <w:t>kzw9@cdc.gov</w:t>
              </w:r>
            </w:hyperlink>
            <w:r w:rsidR="008252E7">
              <w:t xml:space="preserve"> </w:t>
            </w:r>
            <w:r>
              <w:t xml:space="preserve">  </w:t>
            </w:r>
            <w:r w:rsidR="008252E7">
              <w:t xml:space="preserve"> </w:t>
            </w:r>
          </w:p>
        </w:tc>
      </w:tr>
      <w:tr w:rsidR="00605140" w:rsidRPr="003E6233" w14:paraId="6CC11E15" w14:textId="77777777" w:rsidTr="00E90828">
        <w:tc>
          <w:tcPr>
            <w:tcW w:w="9085" w:type="dxa"/>
            <w:gridSpan w:val="3"/>
          </w:tcPr>
          <w:p w14:paraId="66007747" w14:textId="77777777" w:rsidR="00605140" w:rsidRDefault="001814DA" w:rsidP="00323C6D">
            <w:pPr>
              <w:tabs>
                <w:tab w:val="left" w:pos="450"/>
                <w:tab w:val="left" w:pos="720"/>
                <w:tab w:val="left" w:pos="1620"/>
              </w:tabs>
              <w:ind w:left="0"/>
              <w:rPr>
                <w:b/>
              </w:rPr>
            </w:pPr>
            <w:r w:rsidRPr="003E6233">
              <w:rPr>
                <w:b/>
              </w:rPr>
              <w:t>George Washington University (GWU)</w:t>
            </w:r>
          </w:p>
          <w:p w14:paraId="75ED3E7C" w14:textId="77777777" w:rsidR="00506A76" w:rsidRPr="00C55242" w:rsidRDefault="00506A76" w:rsidP="00506A76">
            <w:pPr>
              <w:tabs>
                <w:tab w:val="left" w:pos="450"/>
              </w:tabs>
              <w:ind w:left="0"/>
              <w:rPr>
                <w:rFonts w:ascii="Times New Roman" w:hAnsi="Times New Roman" w:cs="Times New Roman"/>
                <w:sz w:val="24"/>
                <w:szCs w:val="24"/>
              </w:rPr>
            </w:pPr>
            <w:r w:rsidRPr="00C55242">
              <w:rPr>
                <w:rFonts w:ascii="Times New Roman" w:hAnsi="Times New Roman" w:cs="Times New Roman"/>
                <w:sz w:val="24"/>
                <w:szCs w:val="24"/>
              </w:rPr>
              <w:t>Milken Institute School of Public Health</w:t>
            </w:r>
          </w:p>
          <w:p w14:paraId="0D0DFD75" w14:textId="6399A806" w:rsidR="00506A76" w:rsidRPr="003E6233" w:rsidRDefault="00506A76" w:rsidP="00506A76">
            <w:pPr>
              <w:tabs>
                <w:tab w:val="left" w:pos="450"/>
                <w:tab w:val="left" w:pos="720"/>
                <w:tab w:val="left" w:pos="1620"/>
              </w:tabs>
              <w:ind w:left="0"/>
              <w:rPr>
                <w:b/>
              </w:rPr>
            </w:pPr>
            <w:r w:rsidRPr="00C55242">
              <w:rPr>
                <w:rFonts w:ascii="Times New Roman" w:hAnsi="Times New Roman" w:cs="Times New Roman"/>
                <w:sz w:val="24"/>
                <w:szCs w:val="24"/>
              </w:rPr>
              <w:t>Dept. of Health Policy and Management</w:t>
            </w:r>
          </w:p>
        </w:tc>
      </w:tr>
      <w:tr w:rsidR="00605140" w14:paraId="44EF3549" w14:textId="77777777" w:rsidTr="00E4507D">
        <w:tc>
          <w:tcPr>
            <w:tcW w:w="3775" w:type="dxa"/>
          </w:tcPr>
          <w:p w14:paraId="1A686586" w14:textId="77777777" w:rsidR="002431B9" w:rsidRDefault="002431B9" w:rsidP="002431B9">
            <w:pPr>
              <w:tabs>
                <w:tab w:val="left" w:pos="450"/>
              </w:tabs>
              <w:ind w:left="0"/>
              <w:rPr>
                <w:rFonts w:ascii="Times New Roman" w:hAnsi="Times New Roman" w:cs="Times New Roman"/>
                <w:sz w:val="24"/>
                <w:szCs w:val="24"/>
              </w:rPr>
            </w:pPr>
            <w:r w:rsidRPr="00B34581">
              <w:rPr>
                <w:rFonts w:ascii="Times New Roman" w:hAnsi="Times New Roman" w:cs="Times New Roman"/>
                <w:sz w:val="24"/>
                <w:szCs w:val="24"/>
              </w:rPr>
              <w:t>Leighton Ku</w:t>
            </w:r>
          </w:p>
          <w:p w14:paraId="320B7B7B" w14:textId="784A21B0" w:rsidR="002431B9" w:rsidRPr="00C55242" w:rsidRDefault="00506A76" w:rsidP="002431B9">
            <w:pPr>
              <w:tabs>
                <w:tab w:val="left" w:pos="450"/>
              </w:tabs>
              <w:ind w:left="0"/>
              <w:rPr>
                <w:rFonts w:ascii="Times New Roman" w:hAnsi="Times New Roman" w:cs="Times New Roman"/>
                <w:sz w:val="24"/>
                <w:szCs w:val="24"/>
              </w:rPr>
            </w:pPr>
            <w:r>
              <w:rPr>
                <w:rFonts w:ascii="Times New Roman" w:hAnsi="Times New Roman" w:cs="Times New Roman"/>
                <w:sz w:val="24"/>
                <w:szCs w:val="24"/>
              </w:rPr>
              <w:t>Professor</w:t>
            </w:r>
          </w:p>
          <w:p w14:paraId="7D8CE131" w14:textId="77777777" w:rsidR="002431B9" w:rsidRPr="00C55242" w:rsidRDefault="002431B9" w:rsidP="002431B9">
            <w:pPr>
              <w:tabs>
                <w:tab w:val="left" w:pos="450"/>
              </w:tabs>
              <w:ind w:left="0"/>
              <w:rPr>
                <w:rFonts w:ascii="Times New Roman" w:hAnsi="Times New Roman" w:cs="Times New Roman"/>
                <w:sz w:val="24"/>
                <w:szCs w:val="24"/>
              </w:rPr>
            </w:pPr>
            <w:r w:rsidRPr="00C55242">
              <w:rPr>
                <w:rFonts w:ascii="Times New Roman" w:hAnsi="Times New Roman" w:cs="Times New Roman"/>
                <w:sz w:val="24"/>
                <w:szCs w:val="24"/>
              </w:rPr>
              <w:t>Director, Center for Health Policy Research</w:t>
            </w:r>
          </w:p>
          <w:p w14:paraId="2EBED729" w14:textId="707C91AB" w:rsidR="00605140" w:rsidRDefault="00605140" w:rsidP="002431B9">
            <w:pPr>
              <w:tabs>
                <w:tab w:val="left" w:pos="450"/>
                <w:tab w:val="left" w:pos="720"/>
                <w:tab w:val="left" w:pos="1620"/>
              </w:tabs>
              <w:ind w:left="0"/>
            </w:pPr>
          </w:p>
        </w:tc>
        <w:tc>
          <w:tcPr>
            <w:tcW w:w="2520" w:type="dxa"/>
          </w:tcPr>
          <w:p w14:paraId="6A50F996" w14:textId="23624ABD" w:rsidR="00605140" w:rsidRDefault="00F445C6" w:rsidP="00323C6D">
            <w:pPr>
              <w:tabs>
                <w:tab w:val="left" w:pos="450"/>
                <w:tab w:val="left" w:pos="720"/>
                <w:tab w:val="left" w:pos="1620"/>
              </w:tabs>
              <w:ind w:left="0"/>
            </w:pPr>
            <w:r>
              <w:t>Project design</w:t>
            </w:r>
            <w:r w:rsidR="00455547">
              <w:t xml:space="preserve"> including statistical aspects</w:t>
            </w:r>
            <w:r>
              <w:t>, data collection, data analysis</w:t>
            </w:r>
          </w:p>
        </w:tc>
        <w:tc>
          <w:tcPr>
            <w:tcW w:w="2790" w:type="dxa"/>
          </w:tcPr>
          <w:p w14:paraId="7FA38A4F" w14:textId="77777777" w:rsidR="002431B9" w:rsidRDefault="002431B9" w:rsidP="002976ED">
            <w:pPr>
              <w:tabs>
                <w:tab w:val="left" w:pos="450"/>
              </w:tabs>
              <w:ind w:left="0"/>
              <w:rPr>
                <w:rFonts w:ascii="Times New Roman" w:hAnsi="Times New Roman" w:cs="Times New Roman"/>
                <w:sz w:val="24"/>
                <w:szCs w:val="24"/>
              </w:rPr>
            </w:pPr>
            <w:r>
              <w:rPr>
                <w:rFonts w:ascii="Times New Roman" w:hAnsi="Times New Roman" w:cs="Times New Roman"/>
                <w:sz w:val="24"/>
                <w:szCs w:val="24"/>
              </w:rPr>
              <w:t>Phone: (</w:t>
            </w:r>
            <w:r w:rsidRPr="00C55242">
              <w:rPr>
                <w:rFonts w:ascii="Times New Roman" w:hAnsi="Times New Roman" w:cs="Times New Roman"/>
                <w:sz w:val="24"/>
                <w:szCs w:val="24"/>
              </w:rPr>
              <w:t>202</w:t>
            </w:r>
            <w:r>
              <w:rPr>
                <w:rFonts w:ascii="Times New Roman" w:hAnsi="Times New Roman" w:cs="Times New Roman"/>
                <w:sz w:val="24"/>
                <w:szCs w:val="24"/>
              </w:rPr>
              <w:t xml:space="preserve">) </w:t>
            </w:r>
            <w:r w:rsidRPr="00C55242">
              <w:rPr>
                <w:rFonts w:ascii="Times New Roman" w:hAnsi="Times New Roman" w:cs="Times New Roman"/>
                <w:sz w:val="24"/>
                <w:szCs w:val="24"/>
              </w:rPr>
              <w:t>994-4143</w:t>
            </w:r>
          </w:p>
          <w:p w14:paraId="42C61A64" w14:textId="514FB62E" w:rsidR="00605140" w:rsidRDefault="002431B9" w:rsidP="002976ED">
            <w:pPr>
              <w:tabs>
                <w:tab w:val="left" w:pos="450"/>
                <w:tab w:val="left" w:pos="720"/>
                <w:tab w:val="left" w:pos="1620"/>
              </w:tabs>
              <w:ind w:left="0"/>
            </w:pPr>
            <w:r>
              <w:rPr>
                <w:rFonts w:ascii="Times New Roman" w:hAnsi="Times New Roman" w:cs="Times New Roman"/>
                <w:sz w:val="24"/>
                <w:szCs w:val="24"/>
              </w:rPr>
              <w:t xml:space="preserve">Email: </w:t>
            </w:r>
            <w:hyperlink r:id="rId17" w:history="1">
              <w:r w:rsidR="00DC197E" w:rsidRPr="00ED6B1A">
                <w:rPr>
                  <w:rStyle w:val="Hyperlink"/>
                  <w:rFonts w:ascii="Times New Roman" w:hAnsi="Times New Roman" w:cs="Times New Roman"/>
                  <w:sz w:val="24"/>
                  <w:szCs w:val="24"/>
                </w:rPr>
                <w:t>lku@gwu.edu</w:t>
              </w:r>
            </w:hyperlink>
          </w:p>
        </w:tc>
      </w:tr>
      <w:tr w:rsidR="00605140" w14:paraId="6BBDDD85" w14:textId="77777777" w:rsidTr="00E4507D">
        <w:tc>
          <w:tcPr>
            <w:tcW w:w="3775" w:type="dxa"/>
          </w:tcPr>
          <w:p w14:paraId="3542439F" w14:textId="77777777" w:rsidR="002431B9" w:rsidRDefault="002431B9" w:rsidP="002431B9">
            <w:pPr>
              <w:tabs>
                <w:tab w:val="left" w:pos="450"/>
              </w:tabs>
              <w:ind w:left="0"/>
              <w:rPr>
                <w:rFonts w:ascii="Times New Roman" w:hAnsi="Times New Roman" w:cs="Times New Roman"/>
                <w:sz w:val="24"/>
                <w:szCs w:val="24"/>
              </w:rPr>
            </w:pPr>
            <w:r w:rsidRPr="00B34581">
              <w:rPr>
                <w:rFonts w:ascii="Times New Roman" w:hAnsi="Times New Roman" w:cs="Times New Roman"/>
                <w:sz w:val="24"/>
                <w:szCs w:val="24"/>
              </w:rPr>
              <w:t>Erin Brantley</w:t>
            </w:r>
          </w:p>
          <w:p w14:paraId="4A29001B" w14:textId="77777777" w:rsidR="002431B9" w:rsidRPr="00C55242" w:rsidRDefault="002431B9" w:rsidP="002431B9">
            <w:pPr>
              <w:tabs>
                <w:tab w:val="left" w:pos="450"/>
              </w:tabs>
              <w:ind w:left="0"/>
              <w:rPr>
                <w:rFonts w:ascii="Times New Roman" w:hAnsi="Times New Roman" w:cs="Times New Roman"/>
                <w:sz w:val="24"/>
                <w:szCs w:val="24"/>
              </w:rPr>
            </w:pPr>
            <w:r w:rsidRPr="00C55242">
              <w:rPr>
                <w:rFonts w:ascii="Times New Roman" w:hAnsi="Times New Roman" w:cs="Times New Roman"/>
                <w:sz w:val="24"/>
                <w:szCs w:val="24"/>
              </w:rPr>
              <w:t>Senior Research Associate</w:t>
            </w:r>
          </w:p>
          <w:p w14:paraId="3FC0B930" w14:textId="4EFB65AE" w:rsidR="00605140" w:rsidRDefault="00605140" w:rsidP="002431B9">
            <w:pPr>
              <w:tabs>
                <w:tab w:val="left" w:pos="450"/>
                <w:tab w:val="left" w:pos="720"/>
                <w:tab w:val="left" w:pos="1620"/>
              </w:tabs>
              <w:ind w:left="0"/>
            </w:pPr>
          </w:p>
        </w:tc>
        <w:tc>
          <w:tcPr>
            <w:tcW w:w="2520" w:type="dxa"/>
          </w:tcPr>
          <w:p w14:paraId="5F8D4957" w14:textId="21B65557" w:rsidR="00605140" w:rsidRDefault="00F445C6" w:rsidP="00323C6D">
            <w:pPr>
              <w:tabs>
                <w:tab w:val="left" w:pos="450"/>
                <w:tab w:val="left" w:pos="720"/>
                <w:tab w:val="left" w:pos="1620"/>
              </w:tabs>
              <w:ind w:left="0"/>
            </w:pPr>
            <w:r>
              <w:t>Project design</w:t>
            </w:r>
            <w:r w:rsidR="00455547">
              <w:t xml:space="preserve"> including statistical aspects</w:t>
            </w:r>
            <w:r>
              <w:t>, data collection, data analysis</w:t>
            </w:r>
          </w:p>
        </w:tc>
        <w:tc>
          <w:tcPr>
            <w:tcW w:w="2790" w:type="dxa"/>
          </w:tcPr>
          <w:p w14:paraId="14099131" w14:textId="77777777" w:rsidR="002431B9" w:rsidRDefault="002431B9" w:rsidP="000147DD">
            <w:pPr>
              <w:tabs>
                <w:tab w:val="left" w:pos="450"/>
              </w:tabs>
              <w:ind w:left="0"/>
              <w:rPr>
                <w:rFonts w:ascii="Times New Roman" w:hAnsi="Times New Roman" w:cs="Times New Roman"/>
                <w:sz w:val="24"/>
                <w:szCs w:val="24"/>
              </w:rPr>
            </w:pPr>
            <w:r>
              <w:rPr>
                <w:rFonts w:ascii="Times New Roman" w:hAnsi="Times New Roman" w:cs="Times New Roman"/>
                <w:sz w:val="24"/>
                <w:szCs w:val="24"/>
              </w:rPr>
              <w:t>Phone: (</w:t>
            </w:r>
            <w:r w:rsidRPr="00C55242">
              <w:rPr>
                <w:rFonts w:ascii="Times New Roman" w:hAnsi="Times New Roman" w:cs="Times New Roman"/>
                <w:sz w:val="24"/>
                <w:szCs w:val="24"/>
              </w:rPr>
              <w:t>202</w:t>
            </w:r>
            <w:r>
              <w:rPr>
                <w:rFonts w:ascii="Times New Roman" w:hAnsi="Times New Roman" w:cs="Times New Roman"/>
                <w:sz w:val="24"/>
                <w:szCs w:val="24"/>
              </w:rPr>
              <w:t xml:space="preserve">) </w:t>
            </w:r>
            <w:r w:rsidRPr="00C55242">
              <w:rPr>
                <w:rFonts w:ascii="Times New Roman" w:hAnsi="Times New Roman" w:cs="Times New Roman"/>
                <w:sz w:val="24"/>
                <w:szCs w:val="24"/>
              </w:rPr>
              <w:t>994-8606</w:t>
            </w:r>
          </w:p>
          <w:p w14:paraId="1B717C65" w14:textId="631FA950" w:rsidR="00605140" w:rsidRDefault="002431B9" w:rsidP="000147DD">
            <w:pPr>
              <w:tabs>
                <w:tab w:val="left" w:pos="450"/>
                <w:tab w:val="left" w:pos="720"/>
                <w:tab w:val="left" w:pos="1620"/>
              </w:tabs>
              <w:ind w:left="0"/>
            </w:pPr>
            <w:r>
              <w:rPr>
                <w:rFonts w:ascii="Times New Roman" w:hAnsi="Times New Roman" w:cs="Times New Roman"/>
                <w:sz w:val="24"/>
                <w:szCs w:val="24"/>
              </w:rPr>
              <w:t xml:space="preserve">Email: </w:t>
            </w:r>
            <w:hyperlink r:id="rId18" w:history="1">
              <w:r w:rsidR="00DC197E" w:rsidRPr="00ED6B1A">
                <w:rPr>
                  <w:rStyle w:val="Hyperlink"/>
                  <w:rFonts w:ascii="Times New Roman" w:hAnsi="Times New Roman" w:cs="Times New Roman"/>
                  <w:sz w:val="24"/>
                  <w:szCs w:val="24"/>
                </w:rPr>
                <w:t>ebrantley@email.gwu.edu</w:t>
              </w:r>
            </w:hyperlink>
          </w:p>
        </w:tc>
      </w:tr>
      <w:tr w:rsidR="00E729D4" w14:paraId="737A2573" w14:textId="77777777" w:rsidTr="00E90828">
        <w:tc>
          <w:tcPr>
            <w:tcW w:w="9085" w:type="dxa"/>
            <w:gridSpan w:val="3"/>
          </w:tcPr>
          <w:p w14:paraId="0EE7F3A1" w14:textId="793E26C2" w:rsidR="00E729D4" w:rsidRDefault="00E729D4" w:rsidP="000147DD">
            <w:pPr>
              <w:tabs>
                <w:tab w:val="left" w:pos="450"/>
              </w:tabs>
              <w:ind w:left="0"/>
              <w:rPr>
                <w:rFonts w:ascii="Times New Roman" w:hAnsi="Times New Roman" w:cs="Times New Roman"/>
                <w:sz w:val="24"/>
                <w:szCs w:val="24"/>
              </w:rPr>
            </w:pPr>
            <w:r w:rsidRPr="00E729D4">
              <w:rPr>
                <w:rFonts w:ascii="Times New Roman" w:hAnsi="Times New Roman" w:cs="Times New Roman"/>
                <w:b/>
                <w:sz w:val="24"/>
                <w:szCs w:val="24"/>
              </w:rPr>
              <w:t>ChangeLab</w:t>
            </w:r>
            <w:r w:rsidR="00717B82">
              <w:rPr>
                <w:rFonts w:ascii="Times New Roman" w:hAnsi="Times New Roman" w:cs="Times New Roman"/>
                <w:b/>
                <w:sz w:val="24"/>
                <w:szCs w:val="24"/>
              </w:rPr>
              <w:t xml:space="preserve"> Solutions</w:t>
            </w:r>
          </w:p>
        </w:tc>
      </w:tr>
      <w:tr w:rsidR="00DC197E" w14:paraId="2DFCFDE1" w14:textId="77777777" w:rsidTr="00E4507D">
        <w:tc>
          <w:tcPr>
            <w:tcW w:w="3775" w:type="dxa"/>
          </w:tcPr>
          <w:p w14:paraId="7F75B257" w14:textId="77777777" w:rsidR="00DC197E" w:rsidRDefault="00DC197E" w:rsidP="00DC197E">
            <w:pPr>
              <w:tabs>
                <w:tab w:val="left" w:pos="450"/>
                <w:tab w:val="left" w:pos="720"/>
                <w:tab w:val="left" w:pos="1620"/>
              </w:tabs>
              <w:ind w:left="0"/>
            </w:pPr>
            <w:r>
              <w:t xml:space="preserve">Manel Kappagoda, JD, MPH </w:t>
            </w:r>
          </w:p>
          <w:p w14:paraId="0FBA1584" w14:textId="61479F5A" w:rsidR="00DC197E" w:rsidRDefault="00DC197E" w:rsidP="00DC197E">
            <w:pPr>
              <w:tabs>
                <w:tab w:val="left" w:pos="450"/>
                <w:tab w:val="left" w:pos="720"/>
                <w:tab w:val="left" w:pos="1620"/>
              </w:tabs>
              <w:ind w:left="0"/>
            </w:pPr>
            <w:r>
              <w:t>Senior Staff Attorney and Project Director</w:t>
            </w:r>
          </w:p>
          <w:p w14:paraId="644B179B" w14:textId="13B92154" w:rsidR="00DC197E" w:rsidRPr="00DC197E" w:rsidRDefault="00DC197E" w:rsidP="00DC197E">
            <w:pPr>
              <w:tabs>
                <w:tab w:val="left" w:pos="450"/>
                <w:tab w:val="left" w:pos="720"/>
                <w:tab w:val="left" w:pos="1620"/>
              </w:tabs>
              <w:ind w:left="0"/>
            </w:pPr>
            <w:r>
              <w:t>ChangeLab Solutions</w:t>
            </w:r>
          </w:p>
        </w:tc>
        <w:tc>
          <w:tcPr>
            <w:tcW w:w="2520" w:type="dxa"/>
          </w:tcPr>
          <w:p w14:paraId="2FD58913" w14:textId="153E4E56" w:rsidR="00DC197E" w:rsidRDefault="00A2650A" w:rsidP="00323C6D">
            <w:pPr>
              <w:tabs>
                <w:tab w:val="left" w:pos="450"/>
                <w:tab w:val="left" w:pos="720"/>
                <w:tab w:val="left" w:pos="1620"/>
              </w:tabs>
              <w:ind w:left="0"/>
            </w:pPr>
            <w:r>
              <w:t>C</w:t>
            </w:r>
            <w:r w:rsidR="00DC197E">
              <w:t>ooperative agreement contractor; responsible for receiving and approving contract deliverables</w:t>
            </w:r>
          </w:p>
        </w:tc>
        <w:tc>
          <w:tcPr>
            <w:tcW w:w="2790" w:type="dxa"/>
          </w:tcPr>
          <w:p w14:paraId="2DF869BB" w14:textId="4AA5E8CA" w:rsidR="00DC197E" w:rsidRDefault="00DC197E" w:rsidP="000147DD">
            <w:pPr>
              <w:tabs>
                <w:tab w:val="left" w:pos="450"/>
              </w:tabs>
              <w:ind w:left="0"/>
              <w:rPr>
                <w:rFonts w:ascii="Times New Roman" w:hAnsi="Times New Roman" w:cs="Times New Roman"/>
                <w:sz w:val="24"/>
                <w:szCs w:val="24"/>
              </w:rPr>
            </w:pPr>
            <w:r>
              <w:rPr>
                <w:rFonts w:ascii="Times New Roman" w:hAnsi="Times New Roman" w:cs="Times New Roman"/>
                <w:sz w:val="24"/>
                <w:szCs w:val="24"/>
              </w:rPr>
              <w:t xml:space="preserve">Phone: </w:t>
            </w:r>
            <w:r>
              <w:t xml:space="preserve">510-388-2477 (cell); 510-302-3343 (office) </w:t>
            </w:r>
            <w:hyperlink r:id="rId19" w:history="1">
              <w:r w:rsidRPr="00ED6B1A">
                <w:rPr>
                  <w:rStyle w:val="Hyperlink"/>
                </w:rPr>
                <w:t>mkappagoda@changelabsolutions.org</w:t>
              </w:r>
            </w:hyperlink>
            <w:r>
              <w:t xml:space="preserve"> </w:t>
            </w:r>
          </w:p>
        </w:tc>
      </w:tr>
    </w:tbl>
    <w:p w14:paraId="7DEC3A69" w14:textId="77777777" w:rsidR="00605140" w:rsidRDefault="00605140" w:rsidP="00605140"/>
    <w:p w14:paraId="6A89D1F1" w14:textId="48DC174A" w:rsidR="00605140" w:rsidRPr="00064AC5" w:rsidRDefault="00605FA9" w:rsidP="00605140">
      <w:r>
        <w:t>Naomi Chen-Bowers, PhD</w:t>
      </w:r>
    </w:p>
    <w:p w14:paraId="4447F7DF" w14:textId="49643547" w:rsidR="00605140" w:rsidRPr="00064AC5" w:rsidRDefault="00C84B70" w:rsidP="00605140">
      <w:r>
        <w:t xml:space="preserve">Senior Service Fellow, </w:t>
      </w:r>
      <w:r w:rsidR="00605140">
        <w:t>Health Scientist</w:t>
      </w:r>
    </w:p>
    <w:p w14:paraId="1609ABFB" w14:textId="17765B5E" w:rsidR="00914A0C" w:rsidRDefault="00914A0C" w:rsidP="00914A0C">
      <w:pPr>
        <w:tabs>
          <w:tab w:val="left" w:pos="450"/>
          <w:tab w:val="left" w:pos="720"/>
          <w:tab w:val="left" w:pos="1620"/>
        </w:tabs>
        <w:spacing w:line="240" w:lineRule="auto"/>
        <w:ind w:left="0"/>
      </w:pPr>
      <w:r>
        <w:tab/>
      </w:r>
      <w:r>
        <w:tab/>
        <w:t xml:space="preserve">Office </w:t>
      </w:r>
      <w:r w:rsidR="00ED6A78">
        <w:t>of</w:t>
      </w:r>
      <w:r>
        <w:t xml:space="preserve"> Health System Collaboration</w:t>
      </w:r>
    </w:p>
    <w:p w14:paraId="7FD898D5" w14:textId="496CD7D7" w:rsidR="00914A0C" w:rsidRDefault="00914A0C" w:rsidP="00914A0C">
      <w:r w:rsidRPr="00914A0C">
        <w:t xml:space="preserve">Office </w:t>
      </w:r>
      <w:r w:rsidR="00ED6A78" w:rsidRPr="00914A0C">
        <w:t>of</w:t>
      </w:r>
      <w:r w:rsidRPr="00914A0C">
        <w:t xml:space="preserve"> </w:t>
      </w:r>
      <w:r w:rsidR="00ED6A78" w:rsidRPr="00914A0C">
        <w:t>the</w:t>
      </w:r>
      <w:r w:rsidRPr="00914A0C">
        <w:t xml:space="preserve"> Associate Director </w:t>
      </w:r>
      <w:r w:rsidR="00ED6A78" w:rsidRPr="00914A0C">
        <w:t>for</w:t>
      </w:r>
      <w:r w:rsidRPr="00914A0C">
        <w:t xml:space="preserve"> Policy</w:t>
      </w:r>
    </w:p>
    <w:p w14:paraId="64D00C76" w14:textId="3ABE133C" w:rsidR="00914A0C" w:rsidRDefault="00914A0C" w:rsidP="00914A0C">
      <w:r w:rsidRPr="00914A0C">
        <w:t xml:space="preserve">Office </w:t>
      </w:r>
      <w:r w:rsidR="00ED6A78" w:rsidRPr="00914A0C">
        <w:t>of</w:t>
      </w:r>
      <w:r w:rsidRPr="00914A0C">
        <w:t xml:space="preserve"> </w:t>
      </w:r>
      <w:r w:rsidR="00ED6A78" w:rsidRPr="00914A0C">
        <w:t>the</w:t>
      </w:r>
      <w:r w:rsidRPr="00914A0C">
        <w:t xml:space="preserve"> Director</w:t>
      </w:r>
    </w:p>
    <w:p w14:paraId="25C4BC47" w14:textId="77777777" w:rsidR="00605140" w:rsidRPr="00914A0C" w:rsidRDefault="00605140" w:rsidP="00605140">
      <w:r w:rsidRPr="00914A0C">
        <w:t>Centers for Disease Control and Prevention</w:t>
      </w:r>
    </w:p>
    <w:p w14:paraId="0777C943" w14:textId="6DEEBEC7" w:rsidR="00605140" w:rsidRPr="00914A0C" w:rsidRDefault="00914A0C" w:rsidP="00605140">
      <w:r w:rsidRPr="00914A0C">
        <w:t>1600 Clifton Rd NE, MS D-28</w:t>
      </w:r>
      <w:r w:rsidR="00605140" w:rsidRPr="00914A0C">
        <w:t xml:space="preserve"> </w:t>
      </w:r>
    </w:p>
    <w:p w14:paraId="1970BE2C" w14:textId="284649B0" w:rsidR="00605140" w:rsidRPr="00914A0C" w:rsidRDefault="00605140" w:rsidP="00605140">
      <w:r w:rsidRPr="00914A0C">
        <w:t>Atlanta, GA 303</w:t>
      </w:r>
      <w:r w:rsidR="00914A0C" w:rsidRPr="00914A0C">
        <w:t>29</w:t>
      </w:r>
    </w:p>
    <w:p w14:paraId="153C659E" w14:textId="6050902E" w:rsidR="00605140" w:rsidRPr="00914A0C" w:rsidRDefault="00605140" w:rsidP="00605140">
      <w:r w:rsidRPr="00914A0C">
        <w:t>OFFICE: 770-</w:t>
      </w:r>
      <w:r w:rsidR="00914A0C" w:rsidRPr="00914A0C">
        <w:rPr>
          <w:rFonts w:ascii="Times New Roman" w:hAnsi="Times New Roman" w:cs="Times New Roman"/>
          <w:sz w:val="24"/>
          <w:szCs w:val="24"/>
        </w:rPr>
        <w:t xml:space="preserve">488-6036  </w:t>
      </w:r>
    </w:p>
    <w:p w14:paraId="18C33476" w14:textId="2FD2D16F" w:rsidR="00F95968" w:rsidRDefault="00605140" w:rsidP="005E5F9F">
      <w:pPr>
        <w:jc w:val="both"/>
      </w:pPr>
      <w:r w:rsidRPr="00914A0C">
        <w:t xml:space="preserve">FAX: </w:t>
      </w:r>
      <w:r w:rsidR="00914A0C" w:rsidRPr="00914A0C">
        <w:t>404-639-5172</w:t>
      </w:r>
    </w:p>
    <w:sectPr w:rsidR="00F95968" w:rsidSect="003E5D57">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236A9" w14:textId="77777777" w:rsidR="0033707C" w:rsidRDefault="0033707C" w:rsidP="00BC6896">
      <w:r>
        <w:separator/>
      </w:r>
    </w:p>
    <w:p w14:paraId="0807CB76" w14:textId="77777777" w:rsidR="0033707C" w:rsidRDefault="0033707C" w:rsidP="00BC6896"/>
  </w:endnote>
  <w:endnote w:type="continuationSeparator" w:id="0">
    <w:p w14:paraId="7D95A8A7" w14:textId="77777777" w:rsidR="0033707C" w:rsidRDefault="0033707C" w:rsidP="00BC6896">
      <w:r>
        <w:continuationSeparator/>
      </w:r>
    </w:p>
    <w:p w14:paraId="71740461" w14:textId="77777777" w:rsidR="0033707C" w:rsidRDefault="0033707C"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5A5DE74" w14:textId="68790739" w:rsidR="00911511" w:rsidRDefault="009115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643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6432">
              <w:rPr>
                <w:b/>
                <w:bCs/>
                <w:noProof/>
              </w:rPr>
              <w:t>2</w:t>
            </w:r>
            <w:r>
              <w:rPr>
                <w:b/>
                <w:bCs/>
                <w:sz w:val="24"/>
                <w:szCs w:val="24"/>
              </w:rPr>
              <w:fldChar w:fldCharType="end"/>
            </w:r>
          </w:p>
        </w:sdtContent>
      </w:sdt>
    </w:sdtContent>
  </w:sdt>
  <w:p w14:paraId="1753C7E8" w14:textId="77777777" w:rsidR="00911511" w:rsidRDefault="00911511"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7C4BC" w14:textId="77777777" w:rsidR="0033707C" w:rsidRDefault="0033707C" w:rsidP="00BC6896">
      <w:r>
        <w:separator/>
      </w:r>
    </w:p>
    <w:p w14:paraId="60731DF6" w14:textId="77777777" w:rsidR="0033707C" w:rsidRDefault="0033707C" w:rsidP="00BC6896"/>
  </w:footnote>
  <w:footnote w:type="continuationSeparator" w:id="0">
    <w:p w14:paraId="39EA8277" w14:textId="77777777" w:rsidR="0033707C" w:rsidRDefault="0033707C" w:rsidP="00BC6896">
      <w:r>
        <w:continuationSeparator/>
      </w:r>
    </w:p>
    <w:p w14:paraId="749BEA0A" w14:textId="77777777" w:rsidR="0033707C" w:rsidRDefault="0033707C" w:rsidP="00BC68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AD297A"/>
    <w:multiLevelType w:val="hybridMultilevel"/>
    <w:tmpl w:val="D11235CE"/>
    <w:lvl w:ilvl="0" w:tplc="85C677DC">
      <w:start w:val="12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0A6DD1"/>
    <w:multiLevelType w:val="hybridMultilevel"/>
    <w:tmpl w:val="3B7A1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C370BF"/>
    <w:multiLevelType w:val="hybridMultilevel"/>
    <w:tmpl w:val="062CFFB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A4733"/>
    <w:multiLevelType w:val="hybridMultilevel"/>
    <w:tmpl w:val="5790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0050D8"/>
    <w:multiLevelType w:val="hybridMultilevel"/>
    <w:tmpl w:val="B14E8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3D5118"/>
    <w:multiLevelType w:val="hybridMultilevel"/>
    <w:tmpl w:val="7EB2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785155"/>
    <w:multiLevelType w:val="hybridMultilevel"/>
    <w:tmpl w:val="807A4D48"/>
    <w:lvl w:ilvl="0" w:tplc="B44C4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965340"/>
    <w:multiLevelType w:val="hybridMultilevel"/>
    <w:tmpl w:val="14EA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E8365B"/>
    <w:multiLevelType w:val="hybridMultilevel"/>
    <w:tmpl w:val="B0704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FD1C53"/>
    <w:multiLevelType w:val="hybridMultilevel"/>
    <w:tmpl w:val="76D06AD4"/>
    <w:lvl w:ilvl="0" w:tplc="A582DE8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C654E"/>
    <w:multiLevelType w:val="hybridMultilevel"/>
    <w:tmpl w:val="652E0AE6"/>
    <w:lvl w:ilvl="0" w:tplc="480ED39A">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90300E"/>
    <w:multiLevelType w:val="hybridMultilevel"/>
    <w:tmpl w:val="8FBA45B8"/>
    <w:lvl w:ilvl="0" w:tplc="04C2D738">
      <w:start w:val="1"/>
      <w:numFmt w:val="lowerRoman"/>
      <w:lvlText w:val="(%1)"/>
      <w:lvlJc w:val="left"/>
      <w:pPr>
        <w:ind w:left="72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1C2141"/>
    <w:multiLevelType w:val="hybridMultilevel"/>
    <w:tmpl w:val="A628D0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6E57A35"/>
    <w:multiLevelType w:val="hybridMultilevel"/>
    <w:tmpl w:val="F3E41BEC"/>
    <w:lvl w:ilvl="0" w:tplc="B71AF300">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2F1BB4"/>
    <w:multiLevelType w:val="hybridMultilevel"/>
    <w:tmpl w:val="14EAB21E"/>
    <w:lvl w:ilvl="0" w:tplc="C7B2827E">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nsid w:val="49E6308A"/>
    <w:multiLevelType w:val="hybridMultilevel"/>
    <w:tmpl w:val="7A38531C"/>
    <w:lvl w:ilvl="0" w:tplc="ED407532">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250739"/>
    <w:multiLevelType w:val="hybridMultilevel"/>
    <w:tmpl w:val="7584D476"/>
    <w:lvl w:ilvl="0" w:tplc="7CB81BA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3">
    <w:nsid w:val="50D00986"/>
    <w:multiLevelType w:val="hybridMultilevel"/>
    <w:tmpl w:val="59127AAA"/>
    <w:lvl w:ilvl="0" w:tplc="9B2A3D18">
      <w:start w:val="1"/>
      <w:numFmt w:val="bullet"/>
      <w:lvlText w:val=""/>
      <w:lvlJc w:val="left"/>
      <w:pPr>
        <w:ind w:left="806" w:hanging="360"/>
      </w:pPr>
      <w:rPr>
        <w:rFonts w:ascii="Wingdings" w:hAnsi="Wingdings" w:hint="default"/>
        <w:color w:val="4F81BD" w:themeColor="accent1"/>
        <w:sz w:val="1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5808700C"/>
    <w:multiLevelType w:val="hybridMultilevel"/>
    <w:tmpl w:val="0F9875EC"/>
    <w:lvl w:ilvl="0" w:tplc="E0C4786A">
      <w:start w:val="40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2326EB"/>
    <w:multiLevelType w:val="hybridMultilevel"/>
    <w:tmpl w:val="2618C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F438DA"/>
    <w:multiLevelType w:val="hybridMultilevel"/>
    <w:tmpl w:val="A1D274C4"/>
    <w:lvl w:ilvl="0" w:tplc="7A104858">
      <w:start w:val="1"/>
      <w:numFmt w:val="bullet"/>
      <w:lvlText w:val=""/>
      <w:lvlJc w:val="left"/>
      <w:pPr>
        <w:tabs>
          <w:tab w:val="num" w:pos="720"/>
        </w:tabs>
        <w:ind w:left="720"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3A29E7"/>
    <w:multiLevelType w:val="hybridMultilevel"/>
    <w:tmpl w:val="5A3653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800FB0"/>
    <w:multiLevelType w:val="hybridMultilevel"/>
    <w:tmpl w:val="01740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9E3D83"/>
    <w:multiLevelType w:val="hybridMultilevel"/>
    <w:tmpl w:val="4B50CA58"/>
    <w:lvl w:ilvl="0" w:tplc="36A82C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3F6B69"/>
    <w:multiLevelType w:val="hybridMultilevel"/>
    <w:tmpl w:val="CDACBD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91D26AF"/>
    <w:multiLevelType w:val="hybridMultilevel"/>
    <w:tmpl w:val="D48E0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0C6AF8"/>
    <w:multiLevelType w:val="hybridMultilevel"/>
    <w:tmpl w:val="1CDEF31C"/>
    <w:lvl w:ilvl="0" w:tplc="1B7CD78A">
      <w:start w:val="1"/>
      <w:numFmt w:val="decimal"/>
      <w:pStyle w:val="Heading4"/>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3"/>
  </w:num>
  <w:num w:numId="3">
    <w:abstractNumId w:val="47"/>
  </w:num>
  <w:num w:numId="4">
    <w:abstractNumId w:val="14"/>
  </w:num>
  <w:num w:numId="5">
    <w:abstractNumId w:val="32"/>
  </w:num>
  <w:num w:numId="6">
    <w:abstractNumId w:val="11"/>
  </w:num>
  <w:num w:numId="7">
    <w:abstractNumId w:val="0"/>
  </w:num>
  <w:num w:numId="8">
    <w:abstractNumId w:val="5"/>
  </w:num>
  <w:num w:numId="9">
    <w:abstractNumId w:val="13"/>
  </w:num>
  <w:num w:numId="10">
    <w:abstractNumId w:val="35"/>
  </w:num>
  <w:num w:numId="11">
    <w:abstractNumId w:val="2"/>
  </w:num>
  <w:num w:numId="12">
    <w:abstractNumId w:val="44"/>
  </w:num>
  <w:num w:numId="13">
    <w:abstractNumId w:val="10"/>
  </w:num>
  <w:num w:numId="14">
    <w:abstractNumId w:val="3"/>
  </w:num>
  <w:num w:numId="15">
    <w:abstractNumId w:val="40"/>
  </w:num>
  <w:num w:numId="16">
    <w:abstractNumId w:val="49"/>
  </w:num>
  <w:num w:numId="17">
    <w:abstractNumId w:val="12"/>
  </w:num>
  <w:num w:numId="18">
    <w:abstractNumId w:val="18"/>
  </w:num>
  <w:num w:numId="19">
    <w:abstractNumId w:val="4"/>
  </w:num>
  <w:num w:numId="20">
    <w:abstractNumId w:val="19"/>
  </w:num>
  <w:num w:numId="21">
    <w:abstractNumId w:val="48"/>
  </w:num>
  <w:num w:numId="22">
    <w:abstractNumId w:val="38"/>
  </w:num>
  <w:num w:numId="23">
    <w:abstractNumId w:val="16"/>
  </w:num>
  <w:num w:numId="24">
    <w:abstractNumId w:val="39"/>
  </w:num>
  <w:num w:numId="25">
    <w:abstractNumId w:val="42"/>
  </w:num>
  <w:num w:numId="26">
    <w:abstractNumId w:val="8"/>
  </w:num>
  <w:num w:numId="27">
    <w:abstractNumId w:val="33"/>
  </w:num>
  <w:num w:numId="28">
    <w:abstractNumId w:val="27"/>
  </w:num>
  <w:num w:numId="29">
    <w:abstractNumId w:val="7"/>
  </w:num>
  <w:num w:numId="30">
    <w:abstractNumId w:val="9"/>
  </w:num>
  <w:num w:numId="31">
    <w:abstractNumId w:val="34"/>
  </w:num>
  <w:num w:numId="32">
    <w:abstractNumId w:val="45"/>
  </w:num>
  <w:num w:numId="33">
    <w:abstractNumId w:val="43"/>
  </w:num>
  <w:num w:numId="34">
    <w:abstractNumId w:val="41"/>
  </w:num>
  <w:num w:numId="35">
    <w:abstractNumId w:val="17"/>
  </w:num>
  <w:num w:numId="36">
    <w:abstractNumId w:val="29"/>
  </w:num>
  <w:num w:numId="37">
    <w:abstractNumId w:val="15"/>
  </w:num>
  <w:num w:numId="38">
    <w:abstractNumId w:val="21"/>
  </w:num>
  <w:num w:numId="39">
    <w:abstractNumId w:val="36"/>
  </w:num>
  <w:num w:numId="40">
    <w:abstractNumId w:val="28"/>
  </w:num>
  <w:num w:numId="41">
    <w:abstractNumId w:val="31"/>
  </w:num>
  <w:num w:numId="42">
    <w:abstractNumId w:val="37"/>
  </w:num>
  <w:num w:numId="43">
    <w:abstractNumId w:val="46"/>
  </w:num>
  <w:num w:numId="44">
    <w:abstractNumId w:val="30"/>
  </w:num>
  <w:num w:numId="45">
    <w:abstractNumId w:val="22"/>
  </w:num>
  <w:num w:numId="46">
    <w:abstractNumId w:val="20"/>
  </w:num>
  <w:num w:numId="47">
    <w:abstractNumId w:val="6"/>
  </w:num>
  <w:num w:numId="48">
    <w:abstractNumId w:val="24"/>
  </w:num>
  <w:num w:numId="49">
    <w:abstractNumId w:val="2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E4"/>
    <w:rsid w:val="00010420"/>
    <w:rsid w:val="00011A98"/>
    <w:rsid w:val="00011F8D"/>
    <w:rsid w:val="000121D8"/>
    <w:rsid w:val="00012A9E"/>
    <w:rsid w:val="00012B10"/>
    <w:rsid w:val="000130B4"/>
    <w:rsid w:val="00014361"/>
    <w:rsid w:val="000147DD"/>
    <w:rsid w:val="00026497"/>
    <w:rsid w:val="00031670"/>
    <w:rsid w:val="00031DE7"/>
    <w:rsid w:val="00032E92"/>
    <w:rsid w:val="00033B73"/>
    <w:rsid w:val="0003585D"/>
    <w:rsid w:val="00040A7A"/>
    <w:rsid w:val="0004241B"/>
    <w:rsid w:val="000474FB"/>
    <w:rsid w:val="00052A34"/>
    <w:rsid w:val="00053A92"/>
    <w:rsid w:val="00054BDD"/>
    <w:rsid w:val="000557D0"/>
    <w:rsid w:val="0005605E"/>
    <w:rsid w:val="000573E4"/>
    <w:rsid w:val="00057F36"/>
    <w:rsid w:val="00061840"/>
    <w:rsid w:val="0006321C"/>
    <w:rsid w:val="000714FB"/>
    <w:rsid w:val="0007448F"/>
    <w:rsid w:val="0008055A"/>
    <w:rsid w:val="000819FB"/>
    <w:rsid w:val="00083A63"/>
    <w:rsid w:val="000863BD"/>
    <w:rsid w:val="00086DDC"/>
    <w:rsid w:val="00091145"/>
    <w:rsid w:val="000969A7"/>
    <w:rsid w:val="000A1B6B"/>
    <w:rsid w:val="000A1F30"/>
    <w:rsid w:val="000A42E0"/>
    <w:rsid w:val="000A65F6"/>
    <w:rsid w:val="000A7304"/>
    <w:rsid w:val="000B115C"/>
    <w:rsid w:val="000B2E1B"/>
    <w:rsid w:val="000C197B"/>
    <w:rsid w:val="000C6B62"/>
    <w:rsid w:val="000D2E5E"/>
    <w:rsid w:val="000D2E99"/>
    <w:rsid w:val="000D326A"/>
    <w:rsid w:val="000D3395"/>
    <w:rsid w:val="000D63BA"/>
    <w:rsid w:val="000E0068"/>
    <w:rsid w:val="000E42DA"/>
    <w:rsid w:val="000E53A9"/>
    <w:rsid w:val="000E6577"/>
    <w:rsid w:val="000E7A19"/>
    <w:rsid w:val="000F0646"/>
    <w:rsid w:val="000F1D6B"/>
    <w:rsid w:val="000F46EB"/>
    <w:rsid w:val="000F55AC"/>
    <w:rsid w:val="0010102D"/>
    <w:rsid w:val="00104A1B"/>
    <w:rsid w:val="00113420"/>
    <w:rsid w:val="001177DD"/>
    <w:rsid w:val="00120CCB"/>
    <w:rsid w:val="00121241"/>
    <w:rsid w:val="00126CFA"/>
    <w:rsid w:val="0013013F"/>
    <w:rsid w:val="001308EB"/>
    <w:rsid w:val="001325ED"/>
    <w:rsid w:val="00134948"/>
    <w:rsid w:val="00136A26"/>
    <w:rsid w:val="00137273"/>
    <w:rsid w:val="001412D4"/>
    <w:rsid w:val="00143323"/>
    <w:rsid w:val="00143A07"/>
    <w:rsid w:val="00144F64"/>
    <w:rsid w:val="00146207"/>
    <w:rsid w:val="00147FE4"/>
    <w:rsid w:val="001506E1"/>
    <w:rsid w:val="00151567"/>
    <w:rsid w:val="00155F26"/>
    <w:rsid w:val="00162424"/>
    <w:rsid w:val="00163E17"/>
    <w:rsid w:val="00166F9E"/>
    <w:rsid w:val="0016732D"/>
    <w:rsid w:val="001675BA"/>
    <w:rsid w:val="001761A4"/>
    <w:rsid w:val="001773AE"/>
    <w:rsid w:val="0018103D"/>
    <w:rsid w:val="001814CF"/>
    <w:rsid w:val="001814DA"/>
    <w:rsid w:val="001835C3"/>
    <w:rsid w:val="001859E7"/>
    <w:rsid w:val="00187D5A"/>
    <w:rsid w:val="00187EBC"/>
    <w:rsid w:val="001906AE"/>
    <w:rsid w:val="00192510"/>
    <w:rsid w:val="00192B0E"/>
    <w:rsid w:val="001942C7"/>
    <w:rsid w:val="00196734"/>
    <w:rsid w:val="001972D7"/>
    <w:rsid w:val="001A28F6"/>
    <w:rsid w:val="001A760C"/>
    <w:rsid w:val="001A7C70"/>
    <w:rsid w:val="001A7D0E"/>
    <w:rsid w:val="001B1600"/>
    <w:rsid w:val="001B2831"/>
    <w:rsid w:val="001B3DFE"/>
    <w:rsid w:val="001C0493"/>
    <w:rsid w:val="001C28AD"/>
    <w:rsid w:val="001D4CDD"/>
    <w:rsid w:val="001D5C75"/>
    <w:rsid w:val="001D7132"/>
    <w:rsid w:val="001D7FCB"/>
    <w:rsid w:val="001E2B99"/>
    <w:rsid w:val="001E2DBE"/>
    <w:rsid w:val="001E69B6"/>
    <w:rsid w:val="001E7446"/>
    <w:rsid w:val="001F0D83"/>
    <w:rsid w:val="001F2B03"/>
    <w:rsid w:val="001F4DBB"/>
    <w:rsid w:val="001F7C89"/>
    <w:rsid w:val="0020156A"/>
    <w:rsid w:val="0020312D"/>
    <w:rsid w:val="00203808"/>
    <w:rsid w:val="0020495F"/>
    <w:rsid w:val="00205FB5"/>
    <w:rsid w:val="00206C6E"/>
    <w:rsid w:val="00206E33"/>
    <w:rsid w:val="00210519"/>
    <w:rsid w:val="00213EDA"/>
    <w:rsid w:val="00222934"/>
    <w:rsid w:val="00222FFC"/>
    <w:rsid w:val="0022330B"/>
    <w:rsid w:val="002243DF"/>
    <w:rsid w:val="002300C3"/>
    <w:rsid w:val="00230CEF"/>
    <w:rsid w:val="0023179F"/>
    <w:rsid w:val="00233DC9"/>
    <w:rsid w:val="00234BD6"/>
    <w:rsid w:val="00234FDC"/>
    <w:rsid w:val="00235F4A"/>
    <w:rsid w:val="00241B17"/>
    <w:rsid w:val="00241C81"/>
    <w:rsid w:val="002431B9"/>
    <w:rsid w:val="00244E1F"/>
    <w:rsid w:val="00245F1F"/>
    <w:rsid w:val="002460D2"/>
    <w:rsid w:val="00246559"/>
    <w:rsid w:val="00252EAE"/>
    <w:rsid w:val="00256090"/>
    <w:rsid w:val="00256392"/>
    <w:rsid w:val="00257A19"/>
    <w:rsid w:val="00257A1C"/>
    <w:rsid w:val="00262153"/>
    <w:rsid w:val="002647D8"/>
    <w:rsid w:val="0026723A"/>
    <w:rsid w:val="0027234C"/>
    <w:rsid w:val="00272E03"/>
    <w:rsid w:val="0028028E"/>
    <w:rsid w:val="00281795"/>
    <w:rsid w:val="002850E3"/>
    <w:rsid w:val="00286EBC"/>
    <w:rsid w:val="00287E2F"/>
    <w:rsid w:val="0029061A"/>
    <w:rsid w:val="00290C44"/>
    <w:rsid w:val="00294DAF"/>
    <w:rsid w:val="0029705F"/>
    <w:rsid w:val="002976ED"/>
    <w:rsid w:val="002A1948"/>
    <w:rsid w:val="002B21D0"/>
    <w:rsid w:val="002B42F5"/>
    <w:rsid w:val="002C0877"/>
    <w:rsid w:val="002C2AE2"/>
    <w:rsid w:val="002C3676"/>
    <w:rsid w:val="002C54BD"/>
    <w:rsid w:val="002C5FA6"/>
    <w:rsid w:val="002D0DCE"/>
    <w:rsid w:val="002D1AC8"/>
    <w:rsid w:val="002D3C51"/>
    <w:rsid w:val="002D5A23"/>
    <w:rsid w:val="002D5AC8"/>
    <w:rsid w:val="002D7EC3"/>
    <w:rsid w:val="002E2B10"/>
    <w:rsid w:val="002F07A0"/>
    <w:rsid w:val="002F1502"/>
    <w:rsid w:val="002F169D"/>
    <w:rsid w:val="002F2069"/>
    <w:rsid w:val="002F20AA"/>
    <w:rsid w:val="002F2301"/>
    <w:rsid w:val="002F4187"/>
    <w:rsid w:val="002F6F92"/>
    <w:rsid w:val="00300092"/>
    <w:rsid w:val="003041AD"/>
    <w:rsid w:val="00304EFC"/>
    <w:rsid w:val="00307E7E"/>
    <w:rsid w:val="0031279F"/>
    <w:rsid w:val="00312D63"/>
    <w:rsid w:val="00314EF7"/>
    <w:rsid w:val="00322E76"/>
    <w:rsid w:val="003231FB"/>
    <w:rsid w:val="00323C6D"/>
    <w:rsid w:val="003254D8"/>
    <w:rsid w:val="0032634D"/>
    <w:rsid w:val="00327D05"/>
    <w:rsid w:val="00330B8A"/>
    <w:rsid w:val="00333709"/>
    <w:rsid w:val="00335EBD"/>
    <w:rsid w:val="00336D96"/>
    <w:rsid w:val="0033707C"/>
    <w:rsid w:val="00340697"/>
    <w:rsid w:val="00342A89"/>
    <w:rsid w:val="0034406E"/>
    <w:rsid w:val="00344F07"/>
    <w:rsid w:val="0034617B"/>
    <w:rsid w:val="003469C8"/>
    <w:rsid w:val="0035113C"/>
    <w:rsid w:val="00355EA4"/>
    <w:rsid w:val="00361C39"/>
    <w:rsid w:val="003631B6"/>
    <w:rsid w:val="003635BE"/>
    <w:rsid w:val="00366B5E"/>
    <w:rsid w:val="00366D33"/>
    <w:rsid w:val="00372844"/>
    <w:rsid w:val="00372D1E"/>
    <w:rsid w:val="00373212"/>
    <w:rsid w:val="00373CA7"/>
    <w:rsid w:val="0037754D"/>
    <w:rsid w:val="00382D6A"/>
    <w:rsid w:val="003836CA"/>
    <w:rsid w:val="0038560A"/>
    <w:rsid w:val="00385973"/>
    <w:rsid w:val="003924E7"/>
    <w:rsid w:val="003942EA"/>
    <w:rsid w:val="00394685"/>
    <w:rsid w:val="003947F8"/>
    <w:rsid w:val="003A21A4"/>
    <w:rsid w:val="003B2C1A"/>
    <w:rsid w:val="003B34CD"/>
    <w:rsid w:val="003B4616"/>
    <w:rsid w:val="003C31C9"/>
    <w:rsid w:val="003C3548"/>
    <w:rsid w:val="003C3F3F"/>
    <w:rsid w:val="003C4201"/>
    <w:rsid w:val="003C4961"/>
    <w:rsid w:val="003C720D"/>
    <w:rsid w:val="003C7C5D"/>
    <w:rsid w:val="003D0AD2"/>
    <w:rsid w:val="003D2A71"/>
    <w:rsid w:val="003D61F1"/>
    <w:rsid w:val="003D6436"/>
    <w:rsid w:val="003E3BEF"/>
    <w:rsid w:val="003E4E7D"/>
    <w:rsid w:val="003E5216"/>
    <w:rsid w:val="003E5D57"/>
    <w:rsid w:val="003E6233"/>
    <w:rsid w:val="003F1764"/>
    <w:rsid w:val="003F2ED8"/>
    <w:rsid w:val="003F5913"/>
    <w:rsid w:val="004024F8"/>
    <w:rsid w:val="00402EE7"/>
    <w:rsid w:val="00405E23"/>
    <w:rsid w:val="00406824"/>
    <w:rsid w:val="0041159A"/>
    <w:rsid w:val="00412B63"/>
    <w:rsid w:val="00412C6B"/>
    <w:rsid w:val="00415647"/>
    <w:rsid w:val="004168A7"/>
    <w:rsid w:val="00416C5A"/>
    <w:rsid w:val="00417024"/>
    <w:rsid w:val="00425B70"/>
    <w:rsid w:val="004305A8"/>
    <w:rsid w:val="004329AD"/>
    <w:rsid w:val="0043417A"/>
    <w:rsid w:val="00434824"/>
    <w:rsid w:val="0043764C"/>
    <w:rsid w:val="00443ABA"/>
    <w:rsid w:val="00443CA0"/>
    <w:rsid w:val="004472B7"/>
    <w:rsid w:val="00447622"/>
    <w:rsid w:val="00450E14"/>
    <w:rsid w:val="0045498B"/>
    <w:rsid w:val="00454E77"/>
    <w:rsid w:val="00455547"/>
    <w:rsid w:val="0045661E"/>
    <w:rsid w:val="00462C65"/>
    <w:rsid w:val="00467B14"/>
    <w:rsid w:val="0047303A"/>
    <w:rsid w:val="0047429B"/>
    <w:rsid w:val="00474EDA"/>
    <w:rsid w:val="0047536D"/>
    <w:rsid w:val="00480C3D"/>
    <w:rsid w:val="004819D0"/>
    <w:rsid w:val="004824FA"/>
    <w:rsid w:val="00484011"/>
    <w:rsid w:val="004841F1"/>
    <w:rsid w:val="00492B53"/>
    <w:rsid w:val="004934F8"/>
    <w:rsid w:val="004A1E3A"/>
    <w:rsid w:val="004B4EB5"/>
    <w:rsid w:val="004C3B1C"/>
    <w:rsid w:val="004C4AEA"/>
    <w:rsid w:val="004C4EA2"/>
    <w:rsid w:val="004C77E2"/>
    <w:rsid w:val="004D3543"/>
    <w:rsid w:val="004D4E23"/>
    <w:rsid w:val="004E003C"/>
    <w:rsid w:val="004E062A"/>
    <w:rsid w:val="004E16EB"/>
    <w:rsid w:val="004E469B"/>
    <w:rsid w:val="004E6665"/>
    <w:rsid w:val="004F32D5"/>
    <w:rsid w:val="004F5033"/>
    <w:rsid w:val="004F634E"/>
    <w:rsid w:val="004F67A8"/>
    <w:rsid w:val="00504031"/>
    <w:rsid w:val="00506A76"/>
    <w:rsid w:val="00510EBD"/>
    <w:rsid w:val="0051307B"/>
    <w:rsid w:val="00520791"/>
    <w:rsid w:val="00522A50"/>
    <w:rsid w:val="005258BE"/>
    <w:rsid w:val="00526D79"/>
    <w:rsid w:val="00527225"/>
    <w:rsid w:val="005276E0"/>
    <w:rsid w:val="0053123A"/>
    <w:rsid w:val="005313D3"/>
    <w:rsid w:val="0053557D"/>
    <w:rsid w:val="005370A3"/>
    <w:rsid w:val="00537257"/>
    <w:rsid w:val="00537AD9"/>
    <w:rsid w:val="005463DE"/>
    <w:rsid w:val="00546DC2"/>
    <w:rsid w:val="0055157C"/>
    <w:rsid w:val="00553650"/>
    <w:rsid w:val="005539F3"/>
    <w:rsid w:val="005542E8"/>
    <w:rsid w:val="00556630"/>
    <w:rsid w:val="0055686D"/>
    <w:rsid w:val="00560B7A"/>
    <w:rsid w:val="00561D3F"/>
    <w:rsid w:val="00572388"/>
    <w:rsid w:val="005730CB"/>
    <w:rsid w:val="00573345"/>
    <w:rsid w:val="00576C52"/>
    <w:rsid w:val="005800EE"/>
    <w:rsid w:val="00584553"/>
    <w:rsid w:val="005869D6"/>
    <w:rsid w:val="00591BB8"/>
    <w:rsid w:val="005970D0"/>
    <w:rsid w:val="005A33F6"/>
    <w:rsid w:val="005A59E5"/>
    <w:rsid w:val="005A5F2A"/>
    <w:rsid w:val="005A633A"/>
    <w:rsid w:val="005A7062"/>
    <w:rsid w:val="005B03D0"/>
    <w:rsid w:val="005B262A"/>
    <w:rsid w:val="005B5D3A"/>
    <w:rsid w:val="005B733A"/>
    <w:rsid w:val="005B7440"/>
    <w:rsid w:val="005C0409"/>
    <w:rsid w:val="005C36B4"/>
    <w:rsid w:val="005C3A22"/>
    <w:rsid w:val="005C41DC"/>
    <w:rsid w:val="005C6E9D"/>
    <w:rsid w:val="005C7599"/>
    <w:rsid w:val="005D2DFD"/>
    <w:rsid w:val="005D4829"/>
    <w:rsid w:val="005E0538"/>
    <w:rsid w:val="005E2150"/>
    <w:rsid w:val="005E2995"/>
    <w:rsid w:val="005E486E"/>
    <w:rsid w:val="005E5F9F"/>
    <w:rsid w:val="005E6F5E"/>
    <w:rsid w:val="005E7192"/>
    <w:rsid w:val="005E762A"/>
    <w:rsid w:val="005F1178"/>
    <w:rsid w:val="005F11CE"/>
    <w:rsid w:val="005F2D95"/>
    <w:rsid w:val="005F359C"/>
    <w:rsid w:val="005F3B1C"/>
    <w:rsid w:val="005F3FEF"/>
    <w:rsid w:val="00601392"/>
    <w:rsid w:val="00604F54"/>
    <w:rsid w:val="00605140"/>
    <w:rsid w:val="00605FA9"/>
    <w:rsid w:val="006075F6"/>
    <w:rsid w:val="00607F7C"/>
    <w:rsid w:val="006102DA"/>
    <w:rsid w:val="00611DF0"/>
    <w:rsid w:val="006121E4"/>
    <w:rsid w:val="006143FC"/>
    <w:rsid w:val="00620FA3"/>
    <w:rsid w:val="00621F93"/>
    <w:rsid w:val="006236D1"/>
    <w:rsid w:val="006250D8"/>
    <w:rsid w:val="006262A4"/>
    <w:rsid w:val="0062634F"/>
    <w:rsid w:val="006315A3"/>
    <w:rsid w:val="00637323"/>
    <w:rsid w:val="00637CC1"/>
    <w:rsid w:val="00641058"/>
    <w:rsid w:val="00643034"/>
    <w:rsid w:val="00643AD8"/>
    <w:rsid w:val="006466BA"/>
    <w:rsid w:val="00650EC7"/>
    <w:rsid w:val="006576A9"/>
    <w:rsid w:val="006579A2"/>
    <w:rsid w:val="00657C0D"/>
    <w:rsid w:val="00660BDB"/>
    <w:rsid w:val="00661C52"/>
    <w:rsid w:val="0066398C"/>
    <w:rsid w:val="00663EBF"/>
    <w:rsid w:val="0066767D"/>
    <w:rsid w:val="00667C89"/>
    <w:rsid w:val="006711EE"/>
    <w:rsid w:val="006809BB"/>
    <w:rsid w:val="006809FD"/>
    <w:rsid w:val="00683735"/>
    <w:rsid w:val="00687382"/>
    <w:rsid w:val="00690855"/>
    <w:rsid w:val="00691B33"/>
    <w:rsid w:val="00691D1F"/>
    <w:rsid w:val="0069577A"/>
    <w:rsid w:val="0069678E"/>
    <w:rsid w:val="00697BAE"/>
    <w:rsid w:val="006A0109"/>
    <w:rsid w:val="006A02D5"/>
    <w:rsid w:val="006A23EE"/>
    <w:rsid w:val="006A3391"/>
    <w:rsid w:val="006A3FDF"/>
    <w:rsid w:val="006A40E3"/>
    <w:rsid w:val="006A7F3D"/>
    <w:rsid w:val="006B3D0E"/>
    <w:rsid w:val="006B4DDC"/>
    <w:rsid w:val="006B5E55"/>
    <w:rsid w:val="006C3BD6"/>
    <w:rsid w:val="006C78E9"/>
    <w:rsid w:val="006D03AA"/>
    <w:rsid w:val="006D0CBF"/>
    <w:rsid w:val="006D0FB0"/>
    <w:rsid w:val="006D25A1"/>
    <w:rsid w:val="006D359A"/>
    <w:rsid w:val="006D61E0"/>
    <w:rsid w:val="006E1380"/>
    <w:rsid w:val="006E4190"/>
    <w:rsid w:val="006F0F94"/>
    <w:rsid w:val="006F104F"/>
    <w:rsid w:val="006F1E66"/>
    <w:rsid w:val="006F403D"/>
    <w:rsid w:val="006F6856"/>
    <w:rsid w:val="006F6BA5"/>
    <w:rsid w:val="006F6FD5"/>
    <w:rsid w:val="00704D54"/>
    <w:rsid w:val="00710381"/>
    <w:rsid w:val="0071190E"/>
    <w:rsid w:val="0071360B"/>
    <w:rsid w:val="007145D0"/>
    <w:rsid w:val="00716F94"/>
    <w:rsid w:val="00717B82"/>
    <w:rsid w:val="00717BE9"/>
    <w:rsid w:val="00717CAE"/>
    <w:rsid w:val="00720843"/>
    <w:rsid w:val="00731E7B"/>
    <w:rsid w:val="0073226E"/>
    <w:rsid w:val="0073505F"/>
    <w:rsid w:val="00744AE7"/>
    <w:rsid w:val="00752908"/>
    <w:rsid w:val="00752925"/>
    <w:rsid w:val="00755ECF"/>
    <w:rsid w:val="00756E85"/>
    <w:rsid w:val="00760E12"/>
    <w:rsid w:val="00762267"/>
    <w:rsid w:val="0076388F"/>
    <w:rsid w:val="00763CF3"/>
    <w:rsid w:val="00767B98"/>
    <w:rsid w:val="00772293"/>
    <w:rsid w:val="007766CF"/>
    <w:rsid w:val="007767FF"/>
    <w:rsid w:val="00776945"/>
    <w:rsid w:val="00777E38"/>
    <w:rsid w:val="00783A3C"/>
    <w:rsid w:val="00783C75"/>
    <w:rsid w:val="00784619"/>
    <w:rsid w:val="0078469F"/>
    <w:rsid w:val="0078627B"/>
    <w:rsid w:val="0078799A"/>
    <w:rsid w:val="00787DA7"/>
    <w:rsid w:val="0079140A"/>
    <w:rsid w:val="0079271D"/>
    <w:rsid w:val="007941A9"/>
    <w:rsid w:val="00794E32"/>
    <w:rsid w:val="0079581E"/>
    <w:rsid w:val="007A4DC5"/>
    <w:rsid w:val="007A5F1F"/>
    <w:rsid w:val="007A5F94"/>
    <w:rsid w:val="007A7058"/>
    <w:rsid w:val="007B1CAE"/>
    <w:rsid w:val="007B305A"/>
    <w:rsid w:val="007B68A4"/>
    <w:rsid w:val="007B6E53"/>
    <w:rsid w:val="007B713B"/>
    <w:rsid w:val="007B7323"/>
    <w:rsid w:val="007C05EA"/>
    <w:rsid w:val="007C4195"/>
    <w:rsid w:val="007D0EF9"/>
    <w:rsid w:val="007D1F94"/>
    <w:rsid w:val="007E157B"/>
    <w:rsid w:val="007E17CC"/>
    <w:rsid w:val="007F0C90"/>
    <w:rsid w:val="007F3252"/>
    <w:rsid w:val="007F60F6"/>
    <w:rsid w:val="00800993"/>
    <w:rsid w:val="00801057"/>
    <w:rsid w:val="00803BEC"/>
    <w:rsid w:val="0080572E"/>
    <w:rsid w:val="00807CCD"/>
    <w:rsid w:val="00811A2A"/>
    <w:rsid w:val="0081354A"/>
    <w:rsid w:val="00815AE8"/>
    <w:rsid w:val="00815C7D"/>
    <w:rsid w:val="00815F70"/>
    <w:rsid w:val="00817941"/>
    <w:rsid w:val="008201CF"/>
    <w:rsid w:val="00823376"/>
    <w:rsid w:val="008252E7"/>
    <w:rsid w:val="008258CD"/>
    <w:rsid w:val="008261AB"/>
    <w:rsid w:val="00831C9C"/>
    <w:rsid w:val="00832AB6"/>
    <w:rsid w:val="00832DE1"/>
    <w:rsid w:val="00835CA7"/>
    <w:rsid w:val="008370D4"/>
    <w:rsid w:val="00840B2C"/>
    <w:rsid w:val="008414AD"/>
    <w:rsid w:val="008428D9"/>
    <w:rsid w:val="0084492C"/>
    <w:rsid w:val="008469A4"/>
    <w:rsid w:val="0085309F"/>
    <w:rsid w:val="008531D2"/>
    <w:rsid w:val="00857EDD"/>
    <w:rsid w:val="008654B8"/>
    <w:rsid w:val="00866B95"/>
    <w:rsid w:val="008673C5"/>
    <w:rsid w:val="0087372D"/>
    <w:rsid w:val="00874EDC"/>
    <w:rsid w:val="008759BD"/>
    <w:rsid w:val="00877DBC"/>
    <w:rsid w:val="00881607"/>
    <w:rsid w:val="00884DB9"/>
    <w:rsid w:val="00885ABC"/>
    <w:rsid w:val="00887185"/>
    <w:rsid w:val="0089676F"/>
    <w:rsid w:val="0089720E"/>
    <w:rsid w:val="008A0E17"/>
    <w:rsid w:val="008A4D05"/>
    <w:rsid w:val="008A571E"/>
    <w:rsid w:val="008A751D"/>
    <w:rsid w:val="008B0F32"/>
    <w:rsid w:val="008C0D14"/>
    <w:rsid w:val="008C12E3"/>
    <w:rsid w:val="008C67D2"/>
    <w:rsid w:val="008C6BF5"/>
    <w:rsid w:val="008D024B"/>
    <w:rsid w:val="008D2629"/>
    <w:rsid w:val="008D5C5A"/>
    <w:rsid w:val="008E0683"/>
    <w:rsid w:val="008E4DA9"/>
    <w:rsid w:val="008F3195"/>
    <w:rsid w:val="008F401C"/>
    <w:rsid w:val="008F4E8A"/>
    <w:rsid w:val="00902DD9"/>
    <w:rsid w:val="00907343"/>
    <w:rsid w:val="009076F7"/>
    <w:rsid w:val="00911486"/>
    <w:rsid w:val="00911511"/>
    <w:rsid w:val="009129CA"/>
    <w:rsid w:val="009138E4"/>
    <w:rsid w:val="00914A0C"/>
    <w:rsid w:val="00915E31"/>
    <w:rsid w:val="009206B6"/>
    <w:rsid w:val="009263C1"/>
    <w:rsid w:val="009269E2"/>
    <w:rsid w:val="00926FCF"/>
    <w:rsid w:val="00927336"/>
    <w:rsid w:val="00927652"/>
    <w:rsid w:val="00927DF5"/>
    <w:rsid w:val="00930146"/>
    <w:rsid w:val="00931C02"/>
    <w:rsid w:val="00935B48"/>
    <w:rsid w:val="00935FFD"/>
    <w:rsid w:val="00941B4F"/>
    <w:rsid w:val="00942B29"/>
    <w:rsid w:val="00963CE3"/>
    <w:rsid w:val="00964F18"/>
    <w:rsid w:val="009666F5"/>
    <w:rsid w:val="00970490"/>
    <w:rsid w:val="00974424"/>
    <w:rsid w:val="009759F3"/>
    <w:rsid w:val="0098064B"/>
    <w:rsid w:val="00982198"/>
    <w:rsid w:val="009826E7"/>
    <w:rsid w:val="00987F76"/>
    <w:rsid w:val="00991912"/>
    <w:rsid w:val="00991BF9"/>
    <w:rsid w:val="00992172"/>
    <w:rsid w:val="00993088"/>
    <w:rsid w:val="00995E6F"/>
    <w:rsid w:val="0099664F"/>
    <w:rsid w:val="0099718B"/>
    <w:rsid w:val="00997D5D"/>
    <w:rsid w:val="009A0447"/>
    <w:rsid w:val="009A22C2"/>
    <w:rsid w:val="009A402F"/>
    <w:rsid w:val="009A56CF"/>
    <w:rsid w:val="009B034F"/>
    <w:rsid w:val="009B4A51"/>
    <w:rsid w:val="009B574B"/>
    <w:rsid w:val="009C1417"/>
    <w:rsid w:val="009C28B1"/>
    <w:rsid w:val="009C4F93"/>
    <w:rsid w:val="009C61AD"/>
    <w:rsid w:val="009C68DD"/>
    <w:rsid w:val="009D10F2"/>
    <w:rsid w:val="009D373D"/>
    <w:rsid w:val="009D52B2"/>
    <w:rsid w:val="009D77CD"/>
    <w:rsid w:val="009E181D"/>
    <w:rsid w:val="009E1D05"/>
    <w:rsid w:val="009E3ABE"/>
    <w:rsid w:val="009E6451"/>
    <w:rsid w:val="009E7B98"/>
    <w:rsid w:val="009E7C03"/>
    <w:rsid w:val="009F111B"/>
    <w:rsid w:val="009F2B78"/>
    <w:rsid w:val="009F3891"/>
    <w:rsid w:val="009F7283"/>
    <w:rsid w:val="00A11138"/>
    <w:rsid w:val="00A1176D"/>
    <w:rsid w:val="00A11B0C"/>
    <w:rsid w:val="00A213F4"/>
    <w:rsid w:val="00A21E34"/>
    <w:rsid w:val="00A226C0"/>
    <w:rsid w:val="00A2650A"/>
    <w:rsid w:val="00A305CE"/>
    <w:rsid w:val="00A3080B"/>
    <w:rsid w:val="00A33B35"/>
    <w:rsid w:val="00A36419"/>
    <w:rsid w:val="00A45752"/>
    <w:rsid w:val="00A50B28"/>
    <w:rsid w:val="00A515D2"/>
    <w:rsid w:val="00A54AEA"/>
    <w:rsid w:val="00A578C2"/>
    <w:rsid w:val="00A60896"/>
    <w:rsid w:val="00A67AA1"/>
    <w:rsid w:val="00A67CE8"/>
    <w:rsid w:val="00A70EBC"/>
    <w:rsid w:val="00A72470"/>
    <w:rsid w:val="00A72652"/>
    <w:rsid w:val="00A75D1C"/>
    <w:rsid w:val="00A800F0"/>
    <w:rsid w:val="00A809AA"/>
    <w:rsid w:val="00A849B3"/>
    <w:rsid w:val="00A8510D"/>
    <w:rsid w:val="00A86AF3"/>
    <w:rsid w:val="00A90BDC"/>
    <w:rsid w:val="00A9371E"/>
    <w:rsid w:val="00A95477"/>
    <w:rsid w:val="00A975A9"/>
    <w:rsid w:val="00AA0FE3"/>
    <w:rsid w:val="00AA3192"/>
    <w:rsid w:val="00AB0EF1"/>
    <w:rsid w:val="00AB3608"/>
    <w:rsid w:val="00AB6B1F"/>
    <w:rsid w:val="00AB6DFE"/>
    <w:rsid w:val="00AB6E0B"/>
    <w:rsid w:val="00AC0557"/>
    <w:rsid w:val="00AC26DF"/>
    <w:rsid w:val="00AC3113"/>
    <w:rsid w:val="00AC41B6"/>
    <w:rsid w:val="00AC4B4C"/>
    <w:rsid w:val="00AC5C48"/>
    <w:rsid w:val="00AD5BE9"/>
    <w:rsid w:val="00AD5E94"/>
    <w:rsid w:val="00AE2D4F"/>
    <w:rsid w:val="00AE697C"/>
    <w:rsid w:val="00AE7043"/>
    <w:rsid w:val="00AF0CF4"/>
    <w:rsid w:val="00AF2252"/>
    <w:rsid w:val="00AF382E"/>
    <w:rsid w:val="00AF6221"/>
    <w:rsid w:val="00B0053D"/>
    <w:rsid w:val="00B00886"/>
    <w:rsid w:val="00B067B2"/>
    <w:rsid w:val="00B07346"/>
    <w:rsid w:val="00B07B33"/>
    <w:rsid w:val="00B07E92"/>
    <w:rsid w:val="00B10FDA"/>
    <w:rsid w:val="00B1129F"/>
    <w:rsid w:val="00B11D61"/>
    <w:rsid w:val="00B1288A"/>
    <w:rsid w:val="00B12F51"/>
    <w:rsid w:val="00B214BB"/>
    <w:rsid w:val="00B27291"/>
    <w:rsid w:val="00B2751E"/>
    <w:rsid w:val="00B33C3F"/>
    <w:rsid w:val="00B3455E"/>
    <w:rsid w:val="00B3650C"/>
    <w:rsid w:val="00B36922"/>
    <w:rsid w:val="00B40043"/>
    <w:rsid w:val="00B4087A"/>
    <w:rsid w:val="00B4098E"/>
    <w:rsid w:val="00B41FB2"/>
    <w:rsid w:val="00B44AE6"/>
    <w:rsid w:val="00B50A2B"/>
    <w:rsid w:val="00B513F1"/>
    <w:rsid w:val="00B52277"/>
    <w:rsid w:val="00B53C42"/>
    <w:rsid w:val="00B54B5C"/>
    <w:rsid w:val="00B60503"/>
    <w:rsid w:val="00B60517"/>
    <w:rsid w:val="00B6196A"/>
    <w:rsid w:val="00B64BFA"/>
    <w:rsid w:val="00B65C38"/>
    <w:rsid w:val="00B718F2"/>
    <w:rsid w:val="00B723B3"/>
    <w:rsid w:val="00B724B9"/>
    <w:rsid w:val="00B73B27"/>
    <w:rsid w:val="00B8107D"/>
    <w:rsid w:val="00B81D09"/>
    <w:rsid w:val="00B8216F"/>
    <w:rsid w:val="00B853F1"/>
    <w:rsid w:val="00B85DE4"/>
    <w:rsid w:val="00B90EA1"/>
    <w:rsid w:val="00B90F76"/>
    <w:rsid w:val="00B91A31"/>
    <w:rsid w:val="00B91C78"/>
    <w:rsid w:val="00B93468"/>
    <w:rsid w:val="00B952CC"/>
    <w:rsid w:val="00BA1BE8"/>
    <w:rsid w:val="00BA2DC1"/>
    <w:rsid w:val="00BA59C2"/>
    <w:rsid w:val="00BA6DB4"/>
    <w:rsid w:val="00BA6F1E"/>
    <w:rsid w:val="00BB18FE"/>
    <w:rsid w:val="00BB3EE7"/>
    <w:rsid w:val="00BB47BB"/>
    <w:rsid w:val="00BB4AA5"/>
    <w:rsid w:val="00BB6EF9"/>
    <w:rsid w:val="00BC2F66"/>
    <w:rsid w:val="00BC3F3C"/>
    <w:rsid w:val="00BC5BB2"/>
    <w:rsid w:val="00BC6896"/>
    <w:rsid w:val="00BC68AC"/>
    <w:rsid w:val="00BD76FB"/>
    <w:rsid w:val="00BD7B3F"/>
    <w:rsid w:val="00BE2375"/>
    <w:rsid w:val="00BE3DF1"/>
    <w:rsid w:val="00BE540A"/>
    <w:rsid w:val="00BE79A8"/>
    <w:rsid w:val="00BF219D"/>
    <w:rsid w:val="00BF3F54"/>
    <w:rsid w:val="00BF67BA"/>
    <w:rsid w:val="00BF67DC"/>
    <w:rsid w:val="00C00280"/>
    <w:rsid w:val="00C00697"/>
    <w:rsid w:val="00C0376C"/>
    <w:rsid w:val="00C06D77"/>
    <w:rsid w:val="00C07735"/>
    <w:rsid w:val="00C13B8F"/>
    <w:rsid w:val="00C14BA6"/>
    <w:rsid w:val="00C15BFB"/>
    <w:rsid w:val="00C15D2A"/>
    <w:rsid w:val="00C15ED9"/>
    <w:rsid w:val="00C20E2D"/>
    <w:rsid w:val="00C22BB4"/>
    <w:rsid w:val="00C23B8D"/>
    <w:rsid w:val="00C23CF9"/>
    <w:rsid w:val="00C347E7"/>
    <w:rsid w:val="00C3485C"/>
    <w:rsid w:val="00C34CC0"/>
    <w:rsid w:val="00C4189F"/>
    <w:rsid w:val="00C41A58"/>
    <w:rsid w:val="00C420D4"/>
    <w:rsid w:val="00C471F3"/>
    <w:rsid w:val="00C47F0A"/>
    <w:rsid w:val="00C52D73"/>
    <w:rsid w:val="00C57611"/>
    <w:rsid w:val="00C63B76"/>
    <w:rsid w:val="00C66A23"/>
    <w:rsid w:val="00C67D19"/>
    <w:rsid w:val="00C743E8"/>
    <w:rsid w:val="00C7758F"/>
    <w:rsid w:val="00C77A56"/>
    <w:rsid w:val="00C8217A"/>
    <w:rsid w:val="00C845EB"/>
    <w:rsid w:val="00C84B70"/>
    <w:rsid w:val="00C84DC3"/>
    <w:rsid w:val="00C871D6"/>
    <w:rsid w:val="00C87FA9"/>
    <w:rsid w:val="00C92E07"/>
    <w:rsid w:val="00CA2004"/>
    <w:rsid w:val="00CB2ED4"/>
    <w:rsid w:val="00CB32F2"/>
    <w:rsid w:val="00CB334D"/>
    <w:rsid w:val="00CB49E2"/>
    <w:rsid w:val="00CB56D5"/>
    <w:rsid w:val="00CB60DD"/>
    <w:rsid w:val="00CB7144"/>
    <w:rsid w:val="00CC44A3"/>
    <w:rsid w:val="00CD02A0"/>
    <w:rsid w:val="00CD0771"/>
    <w:rsid w:val="00CD1EA8"/>
    <w:rsid w:val="00CD2732"/>
    <w:rsid w:val="00CD3ADA"/>
    <w:rsid w:val="00CE099C"/>
    <w:rsid w:val="00CE1153"/>
    <w:rsid w:val="00CE1288"/>
    <w:rsid w:val="00CE1FE8"/>
    <w:rsid w:val="00CF0CE8"/>
    <w:rsid w:val="00CF0EA9"/>
    <w:rsid w:val="00CF3D9C"/>
    <w:rsid w:val="00CF4F6A"/>
    <w:rsid w:val="00CF5ABD"/>
    <w:rsid w:val="00CF63CE"/>
    <w:rsid w:val="00D00F4E"/>
    <w:rsid w:val="00D01931"/>
    <w:rsid w:val="00D067C1"/>
    <w:rsid w:val="00D13874"/>
    <w:rsid w:val="00D13B13"/>
    <w:rsid w:val="00D13CF6"/>
    <w:rsid w:val="00D16E78"/>
    <w:rsid w:val="00D201D3"/>
    <w:rsid w:val="00D20A97"/>
    <w:rsid w:val="00D24DE4"/>
    <w:rsid w:val="00D26A64"/>
    <w:rsid w:val="00D26F15"/>
    <w:rsid w:val="00D30B7F"/>
    <w:rsid w:val="00D328FA"/>
    <w:rsid w:val="00D3404E"/>
    <w:rsid w:val="00D360CE"/>
    <w:rsid w:val="00D40346"/>
    <w:rsid w:val="00D4221A"/>
    <w:rsid w:val="00D425CD"/>
    <w:rsid w:val="00D42F5D"/>
    <w:rsid w:val="00D45ADA"/>
    <w:rsid w:val="00D47E90"/>
    <w:rsid w:val="00D50158"/>
    <w:rsid w:val="00D52B9A"/>
    <w:rsid w:val="00D5367E"/>
    <w:rsid w:val="00D564BC"/>
    <w:rsid w:val="00D5762E"/>
    <w:rsid w:val="00D605CC"/>
    <w:rsid w:val="00D61AAC"/>
    <w:rsid w:val="00D63CA8"/>
    <w:rsid w:val="00D6467A"/>
    <w:rsid w:val="00D66CE5"/>
    <w:rsid w:val="00D70F42"/>
    <w:rsid w:val="00D7285C"/>
    <w:rsid w:val="00D861ED"/>
    <w:rsid w:val="00D873E0"/>
    <w:rsid w:val="00D9018F"/>
    <w:rsid w:val="00D9150F"/>
    <w:rsid w:val="00D93601"/>
    <w:rsid w:val="00D94F8B"/>
    <w:rsid w:val="00D95634"/>
    <w:rsid w:val="00DA02D1"/>
    <w:rsid w:val="00DA3D48"/>
    <w:rsid w:val="00DA4EA9"/>
    <w:rsid w:val="00DA5988"/>
    <w:rsid w:val="00DA79D3"/>
    <w:rsid w:val="00DB1071"/>
    <w:rsid w:val="00DC197E"/>
    <w:rsid w:val="00DC317C"/>
    <w:rsid w:val="00DC346E"/>
    <w:rsid w:val="00DC4FF2"/>
    <w:rsid w:val="00DC795F"/>
    <w:rsid w:val="00DC79CC"/>
    <w:rsid w:val="00DD1550"/>
    <w:rsid w:val="00DD1CEC"/>
    <w:rsid w:val="00DD21BA"/>
    <w:rsid w:val="00DD2922"/>
    <w:rsid w:val="00DD4D58"/>
    <w:rsid w:val="00DE0301"/>
    <w:rsid w:val="00DE1BE4"/>
    <w:rsid w:val="00DE2606"/>
    <w:rsid w:val="00DE2D38"/>
    <w:rsid w:val="00DE4C4C"/>
    <w:rsid w:val="00DE566C"/>
    <w:rsid w:val="00DF31D6"/>
    <w:rsid w:val="00DF333A"/>
    <w:rsid w:val="00DF3F6A"/>
    <w:rsid w:val="00DF580A"/>
    <w:rsid w:val="00E00F45"/>
    <w:rsid w:val="00E01769"/>
    <w:rsid w:val="00E11646"/>
    <w:rsid w:val="00E134F4"/>
    <w:rsid w:val="00E136D1"/>
    <w:rsid w:val="00E20C68"/>
    <w:rsid w:val="00E23333"/>
    <w:rsid w:val="00E23568"/>
    <w:rsid w:val="00E23CF9"/>
    <w:rsid w:val="00E245B5"/>
    <w:rsid w:val="00E24C20"/>
    <w:rsid w:val="00E2556A"/>
    <w:rsid w:val="00E2588C"/>
    <w:rsid w:val="00E277F9"/>
    <w:rsid w:val="00E3009E"/>
    <w:rsid w:val="00E33E1B"/>
    <w:rsid w:val="00E34D3E"/>
    <w:rsid w:val="00E36518"/>
    <w:rsid w:val="00E37F39"/>
    <w:rsid w:val="00E44442"/>
    <w:rsid w:val="00E4507D"/>
    <w:rsid w:val="00E45CC5"/>
    <w:rsid w:val="00E47404"/>
    <w:rsid w:val="00E553D0"/>
    <w:rsid w:val="00E633F1"/>
    <w:rsid w:val="00E7064F"/>
    <w:rsid w:val="00E729D4"/>
    <w:rsid w:val="00E73746"/>
    <w:rsid w:val="00E74064"/>
    <w:rsid w:val="00E81C5E"/>
    <w:rsid w:val="00E81FEE"/>
    <w:rsid w:val="00E83B3C"/>
    <w:rsid w:val="00E8510F"/>
    <w:rsid w:val="00E86767"/>
    <w:rsid w:val="00E8736B"/>
    <w:rsid w:val="00E90275"/>
    <w:rsid w:val="00E90828"/>
    <w:rsid w:val="00E925D4"/>
    <w:rsid w:val="00E94373"/>
    <w:rsid w:val="00E95B6F"/>
    <w:rsid w:val="00E97226"/>
    <w:rsid w:val="00EA02C8"/>
    <w:rsid w:val="00EA3A28"/>
    <w:rsid w:val="00EB0898"/>
    <w:rsid w:val="00EB63B3"/>
    <w:rsid w:val="00EB6D25"/>
    <w:rsid w:val="00EC3CBE"/>
    <w:rsid w:val="00EC3E76"/>
    <w:rsid w:val="00ED1920"/>
    <w:rsid w:val="00ED6432"/>
    <w:rsid w:val="00ED6878"/>
    <w:rsid w:val="00ED6A78"/>
    <w:rsid w:val="00EE247E"/>
    <w:rsid w:val="00EF0EC8"/>
    <w:rsid w:val="00EF33CD"/>
    <w:rsid w:val="00EF635B"/>
    <w:rsid w:val="00EF7E1B"/>
    <w:rsid w:val="00F02104"/>
    <w:rsid w:val="00F100F5"/>
    <w:rsid w:val="00F12BC6"/>
    <w:rsid w:val="00F15AF8"/>
    <w:rsid w:val="00F15C18"/>
    <w:rsid w:val="00F16ACB"/>
    <w:rsid w:val="00F170B8"/>
    <w:rsid w:val="00F2267A"/>
    <w:rsid w:val="00F231CE"/>
    <w:rsid w:val="00F300CB"/>
    <w:rsid w:val="00F30534"/>
    <w:rsid w:val="00F309DB"/>
    <w:rsid w:val="00F30F1A"/>
    <w:rsid w:val="00F3658F"/>
    <w:rsid w:val="00F4157E"/>
    <w:rsid w:val="00F41702"/>
    <w:rsid w:val="00F42C3A"/>
    <w:rsid w:val="00F435E5"/>
    <w:rsid w:val="00F445C6"/>
    <w:rsid w:val="00F46005"/>
    <w:rsid w:val="00F47194"/>
    <w:rsid w:val="00F525F8"/>
    <w:rsid w:val="00F52BCC"/>
    <w:rsid w:val="00F5313F"/>
    <w:rsid w:val="00F56797"/>
    <w:rsid w:val="00F56C9E"/>
    <w:rsid w:val="00F57581"/>
    <w:rsid w:val="00F673A9"/>
    <w:rsid w:val="00F7065B"/>
    <w:rsid w:val="00F723EC"/>
    <w:rsid w:val="00F725B5"/>
    <w:rsid w:val="00F73518"/>
    <w:rsid w:val="00F80104"/>
    <w:rsid w:val="00F81A48"/>
    <w:rsid w:val="00F82A56"/>
    <w:rsid w:val="00F84127"/>
    <w:rsid w:val="00F87F30"/>
    <w:rsid w:val="00F95968"/>
    <w:rsid w:val="00F96BDE"/>
    <w:rsid w:val="00FA72E6"/>
    <w:rsid w:val="00FB2AB1"/>
    <w:rsid w:val="00FB3463"/>
    <w:rsid w:val="00FB5390"/>
    <w:rsid w:val="00FC33EE"/>
    <w:rsid w:val="00FC5B1F"/>
    <w:rsid w:val="00FC6FA3"/>
    <w:rsid w:val="00FD17C9"/>
    <w:rsid w:val="00FD1EF0"/>
    <w:rsid w:val="00FD2A5B"/>
    <w:rsid w:val="00FD3067"/>
    <w:rsid w:val="00FD4043"/>
    <w:rsid w:val="00FE0E1C"/>
    <w:rsid w:val="00FE173C"/>
    <w:rsid w:val="00FE26AF"/>
    <w:rsid w:val="00FE5121"/>
    <w:rsid w:val="00FE6924"/>
    <w:rsid w:val="00FE6A5C"/>
    <w:rsid w:val="00FE759E"/>
    <w:rsid w:val="00FF2715"/>
    <w:rsid w:val="00FF3393"/>
    <w:rsid w:val="00FF4B37"/>
    <w:rsid w:val="00FF6D62"/>
    <w:rsid w:val="00FF6E0D"/>
    <w:rsid w:val="00FF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F7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Date">
    <w:name w:val="Date"/>
    <w:basedOn w:val="Normal"/>
    <w:next w:val="Normal"/>
    <w:link w:val="DateChar"/>
    <w:uiPriority w:val="99"/>
    <w:semiHidden/>
    <w:unhideWhenUsed/>
    <w:rsid w:val="001859E7"/>
  </w:style>
  <w:style w:type="character" w:customStyle="1" w:styleId="DateChar">
    <w:name w:val="Date Char"/>
    <w:basedOn w:val="DefaultParagraphFont"/>
    <w:link w:val="Date"/>
    <w:uiPriority w:val="99"/>
    <w:semiHidden/>
    <w:rsid w:val="001859E7"/>
    <w:rPr>
      <w:rFonts w:asciiTheme="majorHAnsi" w:hAnsiTheme="majorHAnsi"/>
    </w:rPr>
  </w:style>
  <w:style w:type="paragraph" w:customStyle="1" w:styleId="ExhibitTitle">
    <w:name w:val="Exhibit Title"/>
    <w:basedOn w:val="Normal"/>
    <w:link w:val="ExhibitTitleChar"/>
    <w:qFormat/>
    <w:rsid w:val="00927652"/>
    <w:pPr>
      <w:keepNext/>
      <w:keepLines/>
      <w:spacing w:before="240" w:after="240" w:line="360" w:lineRule="auto"/>
      <w:ind w:left="0"/>
      <w:contextualSpacing/>
    </w:pPr>
    <w:rPr>
      <w:rFonts w:ascii="Times New Roman" w:eastAsia="Times New Roman" w:hAnsi="Times New Roman" w:cs="Times New Roman"/>
      <w:b/>
      <w:snapToGrid w:val="0"/>
    </w:rPr>
  </w:style>
  <w:style w:type="paragraph" w:customStyle="1" w:styleId="Tabletext">
    <w:name w:val="Table text"/>
    <w:basedOn w:val="Normal"/>
    <w:qFormat/>
    <w:rsid w:val="00927652"/>
    <w:pPr>
      <w:autoSpaceDE w:val="0"/>
      <w:autoSpaceDN w:val="0"/>
      <w:spacing w:before="80" w:after="80" w:line="240" w:lineRule="auto"/>
      <w:ind w:left="0"/>
      <w:contextualSpacing/>
    </w:pPr>
    <w:rPr>
      <w:rFonts w:ascii="Times New Roman" w:eastAsia="Times New Roman" w:hAnsi="Times New Roman" w:cs="Times New Roman"/>
      <w:bCs/>
    </w:rPr>
  </w:style>
  <w:style w:type="paragraph" w:customStyle="1" w:styleId="bodytextCharCharChar">
    <w:name w:val="body text Char Char Char"/>
    <w:aliases w:val="bt Char Char Char,body tx Char Char Char,indent Char Char Char,flush Char Char Char"/>
    <w:basedOn w:val="Normal"/>
    <w:rsid w:val="00927652"/>
    <w:pPr>
      <w:spacing w:after="120" w:line="360" w:lineRule="auto"/>
      <w:ind w:left="0" w:firstLine="720"/>
    </w:pPr>
    <w:rPr>
      <w:rFonts w:ascii="Times New Roman" w:eastAsia="Times New Roman" w:hAnsi="Times New Roman" w:cs="Times New Roman"/>
      <w:sz w:val="24"/>
      <w:szCs w:val="24"/>
    </w:rPr>
  </w:style>
  <w:style w:type="character" w:customStyle="1" w:styleId="ExhibitTitleChar">
    <w:name w:val="Exhibit Title Char"/>
    <w:basedOn w:val="DefaultParagraphFont"/>
    <w:link w:val="ExhibitTitle"/>
    <w:rsid w:val="00927652"/>
    <w:rPr>
      <w:rFonts w:ascii="Times New Roman" w:eastAsia="Times New Roman" w:hAnsi="Times New Roman" w:cs="Times New Roman"/>
      <w:b/>
      <w:snapToGrid w:val="0"/>
    </w:rPr>
  </w:style>
  <w:style w:type="character" w:styleId="PageNumber">
    <w:name w:val="page number"/>
    <w:basedOn w:val="DefaultParagraphFont"/>
    <w:rsid w:val="00605140"/>
    <w:rPr>
      <w:rFonts w:cs="Times New Roman"/>
    </w:rPr>
  </w:style>
  <w:style w:type="character" w:customStyle="1" w:styleId="baec5a81-e4d6-4674-97f3-e9220f0136c1">
    <w:name w:val="baec5a81-e4d6-4674-97f3-e9220f0136c1"/>
    <w:basedOn w:val="DefaultParagraphFont"/>
    <w:rsid w:val="00914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Date">
    <w:name w:val="Date"/>
    <w:basedOn w:val="Normal"/>
    <w:next w:val="Normal"/>
    <w:link w:val="DateChar"/>
    <w:uiPriority w:val="99"/>
    <w:semiHidden/>
    <w:unhideWhenUsed/>
    <w:rsid w:val="001859E7"/>
  </w:style>
  <w:style w:type="character" w:customStyle="1" w:styleId="DateChar">
    <w:name w:val="Date Char"/>
    <w:basedOn w:val="DefaultParagraphFont"/>
    <w:link w:val="Date"/>
    <w:uiPriority w:val="99"/>
    <w:semiHidden/>
    <w:rsid w:val="001859E7"/>
    <w:rPr>
      <w:rFonts w:asciiTheme="majorHAnsi" w:hAnsiTheme="majorHAnsi"/>
    </w:rPr>
  </w:style>
  <w:style w:type="paragraph" w:customStyle="1" w:styleId="ExhibitTitle">
    <w:name w:val="Exhibit Title"/>
    <w:basedOn w:val="Normal"/>
    <w:link w:val="ExhibitTitleChar"/>
    <w:qFormat/>
    <w:rsid w:val="00927652"/>
    <w:pPr>
      <w:keepNext/>
      <w:keepLines/>
      <w:spacing w:before="240" w:after="240" w:line="360" w:lineRule="auto"/>
      <w:ind w:left="0"/>
      <w:contextualSpacing/>
    </w:pPr>
    <w:rPr>
      <w:rFonts w:ascii="Times New Roman" w:eastAsia="Times New Roman" w:hAnsi="Times New Roman" w:cs="Times New Roman"/>
      <w:b/>
      <w:snapToGrid w:val="0"/>
    </w:rPr>
  </w:style>
  <w:style w:type="paragraph" w:customStyle="1" w:styleId="Tabletext">
    <w:name w:val="Table text"/>
    <w:basedOn w:val="Normal"/>
    <w:qFormat/>
    <w:rsid w:val="00927652"/>
    <w:pPr>
      <w:autoSpaceDE w:val="0"/>
      <w:autoSpaceDN w:val="0"/>
      <w:spacing w:before="80" w:after="80" w:line="240" w:lineRule="auto"/>
      <w:ind w:left="0"/>
      <w:contextualSpacing/>
    </w:pPr>
    <w:rPr>
      <w:rFonts w:ascii="Times New Roman" w:eastAsia="Times New Roman" w:hAnsi="Times New Roman" w:cs="Times New Roman"/>
      <w:bCs/>
    </w:rPr>
  </w:style>
  <w:style w:type="paragraph" w:customStyle="1" w:styleId="bodytextCharCharChar">
    <w:name w:val="body text Char Char Char"/>
    <w:aliases w:val="bt Char Char Char,body tx Char Char Char,indent Char Char Char,flush Char Char Char"/>
    <w:basedOn w:val="Normal"/>
    <w:rsid w:val="00927652"/>
    <w:pPr>
      <w:spacing w:after="120" w:line="360" w:lineRule="auto"/>
      <w:ind w:left="0" w:firstLine="720"/>
    </w:pPr>
    <w:rPr>
      <w:rFonts w:ascii="Times New Roman" w:eastAsia="Times New Roman" w:hAnsi="Times New Roman" w:cs="Times New Roman"/>
      <w:sz w:val="24"/>
      <w:szCs w:val="24"/>
    </w:rPr>
  </w:style>
  <w:style w:type="character" w:customStyle="1" w:styleId="ExhibitTitleChar">
    <w:name w:val="Exhibit Title Char"/>
    <w:basedOn w:val="DefaultParagraphFont"/>
    <w:link w:val="ExhibitTitle"/>
    <w:rsid w:val="00927652"/>
    <w:rPr>
      <w:rFonts w:ascii="Times New Roman" w:eastAsia="Times New Roman" w:hAnsi="Times New Roman" w:cs="Times New Roman"/>
      <w:b/>
      <w:snapToGrid w:val="0"/>
    </w:rPr>
  </w:style>
  <w:style w:type="character" w:styleId="PageNumber">
    <w:name w:val="page number"/>
    <w:basedOn w:val="DefaultParagraphFont"/>
    <w:rsid w:val="00605140"/>
    <w:rPr>
      <w:rFonts w:cs="Times New Roman"/>
    </w:rPr>
  </w:style>
  <w:style w:type="character" w:customStyle="1" w:styleId="baec5a81-e4d6-4674-97f3-e9220f0136c1">
    <w:name w:val="baec5a81-e4d6-4674-97f3-e9220f0136c1"/>
    <w:basedOn w:val="DefaultParagraphFont"/>
    <w:rsid w:val="0091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654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ebrantley@email.gwu.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ku@gwu.edu" TargetMode="External"/><Relationship Id="rId2" Type="http://schemas.openxmlformats.org/officeDocument/2006/relationships/customXml" Target="../customXml/item2.xml"/><Relationship Id="rId16" Type="http://schemas.openxmlformats.org/officeDocument/2006/relationships/hyperlink" Target="mailto:kzw9@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tv4@cdc.gov" TargetMode="External"/><Relationship Id="rId10" Type="http://schemas.openxmlformats.org/officeDocument/2006/relationships/settings" Target="settings.xml"/><Relationship Id="rId19" Type="http://schemas.openxmlformats.org/officeDocument/2006/relationships/hyperlink" Target="mailto:mkappagoda@changelabsolutions.or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tv4@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OSTLTSDOC-727-137</_dlc_DocId>
    <_dlc_DocIdUrl xmlns="b5c0ca00-073d-4463-9985-b654f14791fe">
      <Url>https://esp.cdc.gov/sites/ostlts/pip/osc/_layouts/15/DocIdRedir.aspx?ID=OSTLTSDOC-727-137</Url>
      <Description>OSTLTSDOC-727-137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2.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3.xml><?xml version="1.0" encoding="utf-8"?>
<ds:datastoreItem xmlns:ds="http://schemas.openxmlformats.org/officeDocument/2006/customXml" ds:itemID="{4C66D475-B04F-409F-B356-E58628029DB2}">
  <ds:schemaRef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15b1c282-9287-45cb-9b41-eae3a76919a0"/>
    <ds:schemaRef ds:uri="http://schemas.microsoft.com/office/infopath/2007/PartnerControls"/>
    <ds:schemaRef ds:uri="http://purl.org/dc/terms/"/>
    <ds:schemaRef ds:uri="bd99c180-279b-44c3-9486-dd050336677e"/>
    <ds:schemaRef ds:uri="http://www.w3.org/XML/1998/namespace"/>
    <ds:schemaRef ds:uri="http://purl.org/dc/dcmitype/"/>
  </ds:schemaRefs>
</ds:datastoreItem>
</file>

<file path=customXml/itemProps4.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6.xml><?xml version="1.0" encoding="utf-8"?>
<ds:datastoreItem xmlns:ds="http://schemas.openxmlformats.org/officeDocument/2006/customXml" ds:itemID="{2CAEDD14-45ED-4217-A2E8-789FC278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SYSTEM</cp:lastModifiedBy>
  <cp:revision>2</cp:revision>
  <cp:lastPrinted>2017-07-31T19:11:00Z</cp:lastPrinted>
  <dcterms:created xsi:type="dcterms:W3CDTF">2018-02-03T20:22:00Z</dcterms:created>
  <dcterms:modified xsi:type="dcterms:W3CDTF">2018-02-03T20:22:00Z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ba61b5fd-1a94-438d-9469-90f81ed26b76</vt:lpwstr>
  </property>
</Properties>
</file>