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C43C4" w14:textId="77777777" w:rsidR="00716F94" w:rsidRDefault="00716F94" w:rsidP="007D6163">
      <w:bookmarkStart w:id="0" w:name="_GoBack"/>
      <w:bookmarkEnd w:id="0"/>
    </w:p>
    <w:p w14:paraId="0B708628" w14:textId="77777777" w:rsidR="009B4A51" w:rsidRDefault="009B4A51" w:rsidP="007D6163"/>
    <w:p w14:paraId="76D758BC" w14:textId="77777777" w:rsidR="009B4A51" w:rsidRDefault="009B4A51" w:rsidP="007D6163"/>
    <w:p w14:paraId="3E742AF2" w14:textId="77777777" w:rsidR="009B4A51" w:rsidRDefault="009B4A51" w:rsidP="007D6163"/>
    <w:p w14:paraId="09A04921" w14:textId="77777777" w:rsidR="009B4A51" w:rsidRDefault="009B4A51" w:rsidP="007D6163"/>
    <w:p w14:paraId="652227D7" w14:textId="77777777" w:rsidR="00667C89" w:rsidRDefault="00667C89" w:rsidP="007D6163"/>
    <w:p w14:paraId="6A5F4D6D" w14:textId="77777777" w:rsidR="009B4A51" w:rsidRDefault="009B4A51" w:rsidP="007D6163"/>
    <w:p w14:paraId="652A4522" w14:textId="77777777" w:rsidR="009B4A51" w:rsidRDefault="009B4A51" w:rsidP="00CA5840">
      <w:pPr>
        <w:ind w:left="0"/>
      </w:pPr>
    </w:p>
    <w:p w14:paraId="21AB10D4" w14:textId="0A92B096" w:rsidR="00716F94" w:rsidRPr="00713412" w:rsidRDefault="00063978" w:rsidP="00CA5840">
      <w:pPr>
        <w:pStyle w:val="Heading1"/>
        <w:ind w:left="0"/>
        <w:rPr>
          <w:color w:val="0070C0"/>
        </w:rPr>
      </w:pPr>
      <w:r w:rsidRPr="00063978">
        <w:rPr>
          <w:color w:val="0070C0"/>
        </w:rPr>
        <w:t xml:space="preserve">Implementing the </w:t>
      </w:r>
      <w:r w:rsidR="005E7CF1">
        <w:rPr>
          <w:color w:val="0070C0"/>
        </w:rPr>
        <w:t>6|18 Initiative</w:t>
      </w:r>
      <w:r>
        <w:rPr>
          <w:color w:val="0070C0"/>
        </w:rPr>
        <w:t>:</w:t>
      </w:r>
      <w:r w:rsidR="005E7CF1">
        <w:rPr>
          <w:color w:val="0070C0"/>
        </w:rPr>
        <w:t xml:space="preserve"> </w:t>
      </w:r>
      <w:r>
        <w:rPr>
          <w:color w:val="0070C0"/>
        </w:rPr>
        <w:t>Case Studies</w:t>
      </w:r>
    </w:p>
    <w:p w14:paraId="3AB168F0" w14:textId="77777777" w:rsidR="00AA3192" w:rsidRDefault="00AA3192" w:rsidP="00CA5840">
      <w:pPr>
        <w:ind w:left="0"/>
      </w:pPr>
    </w:p>
    <w:p w14:paraId="43138373" w14:textId="4D2D21D4" w:rsidR="00716F94" w:rsidRPr="00AA3192" w:rsidRDefault="005E3F06" w:rsidP="00CA5840">
      <w:pPr>
        <w:ind w:left="0"/>
        <w:jc w:val="center"/>
      </w:pPr>
      <w:r w:rsidRPr="00906AA3">
        <w:t>New</w:t>
      </w:r>
      <w:r>
        <w:t xml:space="preserve"> </w:t>
      </w:r>
    </w:p>
    <w:p w14:paraId="3833BDDC" w14:textId="77777777" w:rsidR="009B4A51" w:rsidRDefault="009B4A51" w:rsidP="00CA5840">
      <w:pPr>
        <w:ind w:left="0"/>
      </w:pPr>
    </w:p>
    <w:p w14:paraId="34077657" w14:textId="77777777" w:rsidR="009B4A51" w:rsidRDefault="009B4A51" w:rsidP="00CA5840">
      <w:pPr>
        <w:ind w:left="0"/>
      </w:pPr>
    </w:p>
    <w:p w14:paraId="1D53C425" w14:textId="77777777" w:rsidR="00AA3192" w:rsidRDefault="00AA3192" w:rsidP="00CA5840">
      <w:pPr>
        <w:ind w:left="0"/>
      </w:pPr>
    </w:p>
    <w:p w14:paraId="31987F6E" w14:textId="77777777" w:rsidR="00AA3192" w:rsidRDefault="00AA3192" w:rsidP="00CA5840">
      <w:pPr>
        <w:ind w:left="0"/>
      </w:pPr>
    </w:p>
    <w:p w14:paraId="425D7D72" w14:textId="77777777" w:rsidR="009B4A51" w:rsidRPr="007D6163" w:rsidRDefault="009B4A51" w:rsidP="00CA5840">
      <w:pPr>
        <w:pStyle w:val="Heading2"/>
        <w:ind w:left="0"/>
      </w:pPr>
      <w:r w:rsidRPr="007D6163">
        <w:t>Supporting Statement – Section A</w:t>
      </w:r>
    </w:p>
    <w:p w14:paraId="17A25A21" w14:textId="77777777" w:rsidR="009B4A51" w:rsidRDefault="009B4A51" w:rsidP="00CA5840">
      <w:pPr>
        <w:ind w:left="0"/>
      </w:pPr>
    </w:p>
    <w:p w14:paraId="4A68640D" w14:textId="77777777" w:rsidR="00484011" w:rsidRDefault="00484011" w:rsidP="00CA5840">
      <w:pPr>
        <w:ind w:left="0"/>
      </w:pPr>
    </w:p>
    <w:p w14:paraId="21D32C2D" w14:textId="77777777" w:rsidR="00AA3192" w:rsidRDefault="00AA3192" w:rsidP="00CA5840">
      <w:pPr>
        <w:ind w:left="0"/>
      </w:pPr>
    </w:p>
    <w:p w14:paraId="23B58AFE" w14:textId="77777777" w:rsidR="009B4A51" w:rsidRDefault="009B4A51" w:rsidP="00CA5840">
      <w:pPr>
        <w:ind w:left="0"/>
      </w:pPr>
    </w:p>
    <w:p w14:paraId="06A1EDD8" w14:textId="77777777" w:rsidR="00187D5A" w:rsidRDefault="00187D5A" w:rsidP="00CA5840">
      <w:pPr>
        <w:ind w:left="0"/>
      </w:pPr>
    </w:p>
    <w:p w14:paraId="41855CD1" w14:textId="5E0DA8B0" w:rsidR="009B4A51" w:rsidRDefault="009741B1" w:rsidP="00731F63">
      <w:pPr>
        <w:jc w:val="center"/>
      </w:pPr>
      <w:r>
        <w:t>February 6, 2018</w:t>
      </w:r>
    </w:p>
    <w:p w14:paraId="34468E40" w14:textId="77777777" w:rsidR="009B4A51" w:rsidRDefault="009B4A51" w:rsidP="007D6163"/>
    <w:p w14:paraId="11CBFC4D" w14:textId="77777777" w:rsidR="009B4A51" w:rsidRDefault="009B4A51" w:rsidP="007D6163"/>
    <w:p w14:paraId="599AE1A6" w14:textId="77777777" w:rsidR="00AA3192" w:rsidRDefault="00AA3192" w:rsidP="007D6163"/>
    <w:p w14:paraId="25CF88AE" w14:textId="77777777" w:rsidR="00AA3192" w:rsidRDefault="00AA3192" w:rsidP="007D6163"/>
    <w:p w14:paraId="25BB39DA" w14:textId="77777777" w:rsidR="009B4A51" w:rsidRDefault="009B4A51" w:rsidP="007D6163"/>
    <w:p w14:paraId="36C4AD8D" w14:textId="77777777" w:rsidR="00A143FC" w:rsidRDefault="00A143FC" w:rsidP="007D6163"/>
    <w:p w14:paraId="1AA73458"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1B8FC6C6" w14:textId="59A11FCA" w:rsidR="00321B51" w:rsidRPr="00A143FC" w:rsidRDefault="00C4478B" w:rsidP="00CA5840">
      <w:pPr>
        <w:ind w:left="0"/>
      </w:pPr>
      <w:r>
        <w:t>Naomi Chen-Bowers</w:t>
      </w:r>
    </w:p>
    <w:p w14:paraId="75C9533F" w14:textId="154D7A47" w:rsidR="00321B51" w:rsidRPr="00A143FC" w:rsidRDefault="00C4478B" w:rsidP="00CA5840">
      <w:pPr>
        <w:ind w:left="0"/>
      </w:pPr>
      <w:r>
        <w:t>Senior Service Fellow</w:t>
      </w:r>
    </w:p>
    <w:p w14:paraId="619E2C63" w14:textId="77777777" w:rsidR="00A143FC" w:rsidRPr="00A143FC" w:rsidRDefault="00A143FC" w:rsidP="00CA5840">
      <w:pPr>
        <w:ind w:left="0"/>
      </w:pPr>
      <w:r w:rsidRPr="00A143FC">
        <w:t>Office of Health System Collaboration</w:t>
      </w:r>
    </w:p>
    <w:p w14:paraId="50E383DE" w14:textId="77777777" w:rsidR="00A143FC" w:rsidRPr="00A143FC" w:rsidRDefault="00A143FC" w:rsidP="00CA5840">
      <w:pPr>
        <w:ind w:left="0"/>
      </w:pPr>
      <w:r w:rsidRPr="00A143FC">
        <w:t>Office of the Associate Director for Policy</w:t>
      </w:r>
    </w:p>
    <w:p w14:paraId="0C84B8E0" w14:textId="77777777" w:rsidR="00A143FC" w:rsidRPr="00A143FC" w:rsidRDefault="00A143FC" w:rsidP="00CA5840">
      <w:pPr>
        <w:ind w:left="0"/>
      </w:pPr>
      <w:r w:rsidRPr="00A143FC">
        <w:t>Centers for Disease Control &amp; Prevention</w:t>
      </w:r>
    </w:p>
    <w:p w14:paraId="7342D04B" w14:textId="77777777" w:rsidR="00A143FC" w:rsidRPr="00A143FC" w:rsidRDefault="00A143FC" w:rsidP="00CA5840">
      <w:pPr>
        <w:ind w:left="0"/>
      </w:pPr>
      <w:r w:rsidRPr="00A143FC">
        <w:t>1600 Clifton Road NE</w:t>
      </w:r>
    </w:p>
    <w:p w14:paraId="0C92A276" w14:textId="77777777" w:rsidR="00A143FC" w:rsidRPr="00A143FC" w:rsidRDefault="00A143FC" w:rsidP="00CA5840">
      <w:pPr>
        <w:ind w:left="0"/>
      </w:pPr>
      <w:r w:rsidRPr="00A143FC">
        <w:t>Atlanta, Georgia 30333</w:t>
      </w:r>
    </w:p>
    <w:p w14:paraId="788FD4F0" w14:textId="5CEC8787" w:rsidR="00A143FC" w:rsidRPr="00A143FC" w:rsidRDefault="00A143FC" w:rsidP="00CA5840">
      <w:pPr>
        <w:ind w:left="0"/>
      </w:pPr>
      <w:r w:rsidRPr="00A143FC">
        <w:t xml:space="preserve">Phone Number: </w:t>
      </w:r>
      <w:r w:rsidR="005E3F06">
        <w:t>(</w:t>
      </w:r>
      <w:r w:rsidRPr="00A143FC">
        <w:t>404</w:t>
      </w:r>
      <w:r w:rsidR="005E3F06">
        <w:t xml:space="preserve">) </w:t>
      </w:r>
      <w:r w:rsidR="00C4478B">
        <w:t>488</w:t>
      </w:r>
      <w:r w:rsidR="005E3F06">
        <w:t>-</w:t>
      </w:r>
      <w:r w:rsidR="00C4478B">
        <w:t>6036</w:t>
      </w:r>
    </w:p>
    <w:p w14:paraId="486A3710" w14:textId="79183FCC" w:rsidR="00CA5840" w:rsidRPr="00C50CD8" w:rsidRDefault="00A143FC" w:rsidP="00C50CD8">
      <w:pPr>
        <w:ind w:left="0"/>
      </w:pPr>
      <w:r w:rsidRPr="00A143FC">
        <w:t>Email:</w:t>
      </w:r>
      <w:r>
        <w:t xml:space="preserve"> </w:t>
      </w:r>
      <w:r w:rsidR="00C4478B">
        <w:t>jtv4</w:t>
      </w:r>
      <w:r>
        <w:t>@cdc.gov</w:t>
      </w:r>
    </w:p>
    <w:p w14:paraId="56032486" w14:textId="77777777" w:rsidR="00AD7007" w:rsidRDefault="00AD7007">
      <w:pPr>
        <w:tabs>
          <w:tab w:val="clear" w:pos="9360"/>
        </w:tabs>
        <w:spacing w:after="200"/>
        <w:ind w:left="0"/>
        <w:rPr>
          <w:b/>
          <w:sz w:val="28"/>
        </w:rPr>
      </w:pPr>
      <w:r>
        <w:br w:type="page"/>
      </w:r>
    </w:p>
    <w:p w14:paraId="2DCF2D8A" w14:textId="6F6D7A8B" w:rsidR="003860A5" w:rsidRDefault="003860A5" w:rsidP="003860A5">
      <w:pPr>
        <w:pStyle w:val="Heading3"/>
        <w:ind w:left="0"/>
      </w:pPr>
      <w:bookmarkStart w:id="1" w:name="_Toc492543243"/>
      <w:r>
        <w:lastRenderedPageBreak/>
        <w:t>Table of Contents</w:t>
      </w:r>
      <w:bookmarkEnd w:id="1"/>
    </w:p>
    <w:p w14:paraId="0012E0FA" w14:textId="77777777" w:rsidR="003860A5" w:rsidRPr="003860A5" w:rsidRDefault="003860A5" w:rsidP="003860A5"/>
    <w:p w14:paraId="5453D670" w14:textId="4F530696" w:rsidR="00835EB0"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92543243" w:history="1">
        <w:r w:rsidR="00835EB0" w:rsidRPr="00C95892">
          <w:rPr>
            <w:rStyle w:val="Hyperlink"/>
            <w:noProof/>
          </w:rPr>
          <w:t>Table of Contents</w:t>
        </w:r>
        <w:r w:rsidR="00835EB0">
          <w:rPr>
            <w:noProof/>
            <w:webHidden/>
          </w:rPr>
          <w:tab/>
        </w:r>
        <w:r w:rsidR="00835EB0">
          <w:rPr>
            <w:noProof/>
            <w:webHidden/>
          </w:rPr>
          <w:fldChar w:fldCharType="begin"/>
        </w:r>
        <w:r w:rsidR="00835EB0">
          <w:rPr>
            <w:noProof/>
            <w:webHidden/>
          </w:rPr>
          <w:instrText xml:space="preserve"> PAGEREF _Toc492543243 \h </w:instrText>
        </w:r>
        <w:r w:rsidR="00835EB0">
          <w:rPr>
            <w:noProof/>
            <w:webHidden/>
          </w:rPr>
        </w:r>
        <w:r w:rsidR="00835EB0">
          <w:rPr>
            <w:noProof/>
            <w:webHidden/>
          </w:rPr>
          <w:fldChar w:fldCharType="separate"/>
        </w:r>
        <w:r w:rsidR="00835EB0">
          <w:rPr>
            <w:noProof/>
            <w:webHidden/>
          </w:rPr>
          <w:t>2</w:t>
        </w:r>
        <w:r w:rsidR="00835EB0">
          <w:rPr>
            <w:noProof/>
            <w:webHidden/>
          </w:rPr>
          <w:fldChar w:fldCharType="end"/>
        </w:r>
      </w:hyperlink>
    </w:p>
    <w:p w14:paraId="2F56755C" w14:textId="73E8F98A" w:rsidR="00835EB0" w:rsidRDefault="00806F62">
      <w:pPr>
        <w:pStyle w:val="TOC1"/>
        <w:tabs>
          <w:tab w:val="right" w:leader="dot" w:pos="9350"/>
        </w:tabs>
        <w:rPr>
          <w:rFonts w:asciiTheme="minorHAnsi" w:hAnsiTheme="minorHAnsi"/>
          <w:noProof/>
        </w:rPr>
      </w:pPr>
      <w:hyperlink w:anchor="_Toc492543244" w:history="1">
        <w:r w:rsidR="00835EB0" w:rsidRPr="00C95892">
          <w:rPr>
            <w:rStyle w:val="Hyperlink"/>
            <w:noProof/>
          </w:rPr>
          <w:t>LIST OF ATTACHMENTS – Section A</w:t>
        </w:r>
        <w:r w:rsidR="00835EB0">
          <w:rPr>
            <w:noProof/>
            <w:webHidden/>
          </w:rPr>
          <w:tab/>
        </w:r>
        <w:r w:rsidR="00835EB0">
          <w:rPr>
            <w:noProof/>
            <w:webHidden/>
          </w:rPr>
          <w:fldChar w:fldCharType="begin"/>
        </w:r>
        <w:r w:rsidR="00835EB0">
          <w:rPr>
            <w:noProof/>
            <w:webHidden/>
          </w:rPr>
          <w:instrText xml:space="preserve"> PAGEREF _Toc492543244 \h </w:instrText>
        </w:r>
        <w:r w:rsidR="00835EB0">
          <w:rPr>
            <w:noProof/>
            <w:webHidden/>
          </w:rPr>
        </w:r>
        <w:r w:rsidR="00835EB0">
          <w:rPr>
            <w:noProof/>
            <w:webHidden/>
          </w:rPr>
          <w:fldChar w:fldCharType="separate"/>
        </w:r>
        <w:r w:rsidR="00835EB0">
          <w:rPr>
            <w:noProof/>
            <w:webHidden/>
          </w:rPr>
          <w:t>2</w:t>
        </w:r>
        <w:r w:rsidR="00835EB0">
          <w:rPr>
            <w:noProof/>
            <w:webHidden/>
          </w:rPr>
          <w:fldChar w:fldCharType="end"/>
        </w:r>
      </w:hyperlink>
    </w:p>
    <w:p w14:paraId="22E108C4" w14:textId="1D856007" w:rsidR="00835EB0" w:rsidRDefault="00806F62">
      <w:pPr>
        <w:pStyle w:val="TOC1"/>
        <w:tabs>
          <w:tab w:val="right" w:leader="dot" w:pos="9350"/>
        </w:tabs>
        <w:rPr>
          <w:rFonts w:asciiTheme="minorHAnsi" w:hAnsiTheme="minorHAnsi"/>
          <w:noProof/>
        </w:rPr>
      </w:pPr>
      <w:hyperlink w:anchor="_Toc492543245" w:history="1">
        <w:r w:rsidR="00835EB0" w:rsidRPr="00C95892">
          <w:rPr>
            <w:rStyle w:val="Hyperlink"/>
            <w:noProof/>
          </w:rPr>
          <w:t>Section A – Justification</w:t>
        </w:r>
        <w:r w:rsidR="00835EB0">
          <w:rPr>
            <w:noProof/>
            <w:webHidden/>
          </w:rPr>
          <w:tab/>
        </w:r>
        <w:r w:rsidR="00835EB0">
          <w:rPr>
            <w:noProof/>
            <w:webHidden/>
          </w:rPr>
          <w:fldChar w:fldCharType="begin"/>
        </w:r>
        <w:r w:rsidR="00835EB0">
          <w:rPr>
            <w:noProof/>
            <w:webHidden/>
          </w:rPr>
          <w:instrText xml:space="preserve"> PAGEREF _Toc492543245 \h </w:instrText>
        </w:r>
        <w:r w:rsidR="00835EB0">
          <w:rPr>
            <w:noProof/>
            <w:webHidden/>
          </w:rPr>
        </w:r>
        <w:r w:rsidR="00835EB0">
          <w:rPr>
            <w:noProof/>
            <w:webHidden/>
          </w:rPr>
          <w:fldChar w:fldCharType="separate"/>
        </w:r>
        <w:r w:rsidR="00835EB0">
          <w:rPr>
            <w:noProof/>
            <w:webHidden/>
          </w:rPr>
          <w:t>4</w:t>
        </w:r>
        <w:r w:rsidR="00835EB0">
          <w:rPr>
            <w:noProof/>
            <w:webHidden/>
          </w:rPr>
          <w:fldChar w:fldCharType="end"/>
        </w:r>
      </w:hyperlink>
    </w:p>
    <w:p w14:paraId="2E19FF7A" w14:textId="1AE8172D" w:rsidR="00835EB0" w:rsidRDefault="00806F62">
      <w:pPr>
        <w:pStyle w:val="TOC2"/>
        <w:rPr>
          <w:rFonts w:asciiTheme="minorHAnsi" w:hAnsiTheme="minorHAnsi"/>
          <w:noProof/>
        </w:rPr>
      </w:pPr>
      <w:hyperlink w:anchor="_Toc492543246" w:history="1">
        <w:r w:rsidR="00835EB0" w:rsidRPr="00C95892">
          <w:rPr>
            <w:rStyle w:val="Hyperlink"/>
            <w:noProof/>
          </w:rPr>
          <w:t>A1. Circumstances Making the Collection of Information Necessary</w:t>
        </w:r>
        <w:r w:rsidR="00835EB0">
          <w:rPr>
            <w:noProof/>
            <w:webHidden/>
          </w:rPr>
          <w:tab/>
        </w:r>
        <w:r w:rsidR="00835EB0">
          <w:rPr>
            <w:noProof/>
            <w:webHidden/>
          </w:rPr>
          <w:fldChar w:fldCharType="begin"/>
        </w:r>
        <w:r w:rsidR="00835EB0">
          <w:rPr>
            <w:noProof/>
            <w:webHidden/>
          </w:rPr>
          <w:instrText xml:space="preserve"> PAGEREF _Toc492543246 \h </w:instrText>
        </w:r>
        <w:r w:rsidR="00835EB0">
          <w:rPr>
            <w:noProof/>
            <w:webHidden/>
          </w:rPr>
        </w:r>
        <w:r w:rsidR="00835EB0">
          <w:rPr>
            <w:noProof/>
            <w:webHidden/>
          </w:rPr>
          <w:fldChar w:fldCharType="separate"/>
        </w:r>
        <w:r w:rsidR="00835EB0">
          <w:rPr>
            <w:noProof/>
            <w:webHidden/>
          </w:rPr>
          <w:t>4</w:t>
        </w:r>
        <w:r w:rsidR="00835EB0">
          <w:rPr>
            <w:noProof/>
            <w:webHidden/>
          </w:rPr>
          <w:fldChar w:fldCharType="end"/>
        </w:r>
      </w:hyperlink>
    </w:p>
    <w:p w14:paraId="366AAE9B" w14:textId="4CB3B24D" w:rsidR="00835EB0" w:rsidRDefault="00806F62">
      <w:pPr>
        <w:pStyle w:val="TOC2"/>
        <w:rPr>
          <w:rFonts w:asciiTheme="minorHAnsi" w:hAnsiTheme="minorHAnsi"/>
          <w:noProof/>
        </w:rPr>
      </w:pPr>
      <w:hyperlink w:anchor="_Toc492543247" w:history="1">
        <w:r w:rsidR="00835EB0" w:rsidRPr="00C95892">
          <w:rPr>
            <w:rStyle w:val="Hyperlink"/>
            <w:noProof/>
          </w:rPr>
          <w:t>A2. Purpose and Use of the Information Collection</w:t>
        </w:r>
        <w:r w:rsidR="00835EB0">
          <w:rPr>
            <w:noProof/>
            <w:webHidden/>
          </w:rPr>
          <w:tab/>
        </w:r>
        <w:r w:rsidR="00835EB0">
          <w:rPr>
            <w:noProof/>
            <w:webHidden/>
          </w:rPr>
          <w:fldChar w:fldCharType="begin"/>
        </w:r>
        <w:r w:rsidR="00835EB0">
          <w:rPr>
            <w:noProof/>
            <w:webHidden/>
          </w:rPr>
          <w:instrText xml:space="preserve"> PAGEREF _Toc492543247 \h </w:instrText>
        </w:r>
        <w:r w:rsidR="00835EB0">
          <w:rPr>
            <w:noProof/>
            <w:webHidden/>
          </w:rPr>
        </w:r>
        <w:r w:rsidR="00835EB0">
          <w:rPr>
            <w:noProof/>
            <w:webHidden/>
          </w:rPr>
          <w:fldChar w:fldCharType="separate"/>
        </w:r>
        <w:r w:rsidR="00835EB0">
          <w:rPr>
            <w:noProof/>
            <w:webHidden/>
          </w:rPr>
          <w:t>7</w:t>
        </w:r>
        <w:r w:rsidR="00835EB0">
          <w:rPr>
            <w:noProof/>
            <w:webHidden/>
          </w:rPr>
          <w:fldChar w:fldCharType="end"/>
        </w:r>
      </w:hyperlink>
    </w:p>
    <w:p w14:paraId="35B94E7F" w14:textId="36752957" w:rsidR="00835EB0" w:rsidRDefault="00806F62">
      <w:pPr>
        <w:pStyle w:val="TOC2"/>
        <w:rPr>
          <w:rFonts w:asciiTheme="minorHAnsi" w:hAnsiTheme="minorHAnsi"/>
          <w:noProof/>
        </w:rPr>
      </w:pPr>
      <w:hyperlink w:anchor="_Toc492543248" w:history="1">
        <w:r w:rsidR="00835EB0" w:rsidRPr="00C95892">
          <w:rPr>
            <w:rStyle w:val="Hyperlink"/>
            <w:noProof/>
          </w:rPr>
          <w:t>A3. Use of Improved Information Technology and Burden Reduction</w:t>
        </w:r>
        <w:r w:rsidR="00835EB0">
          <w:rPr>
            <w:noProof/>
            <w:webHidden/>
          </w:rPr>
          <w:tab/>
        </w:r>
        <w:r w:rsidR="00835EB0">
          <w:rPr>
            <w:noProof/>
            <w:webHidden/>
          </w:rPr>
          <w:fldChar w:fldCharType="begin"/>
        </w:r>
        <w:r w:rsidR="00835EB0">
          <w:rPr>
            <w:noProof/>
            <w:webHidden/>
          </w:rPr>
          <w:instrText xml:space="preserve"> PAGEREF _Toc492543248 \h </w:instrText>
        </w:r>
        <w:r w:rsidR="00835EB0">
          <w:rPr>
            <w:noProof/>
            <w:webHidden/>
          </w:rPr>
        </w:r>
        <w:r w:rsidR="00835EB0">
          <w:rPr>
            <w:noProof/>
            <w:webHidden/>
          </w:rPr>
          <w:fldChar w:fldCharType="separate"/>
        </w:r>
        <w:r w:rsidR="00835EB0">
          <w:rPr>
            <w:noProof/>
            <w:webHidden/>
          </w:rPr>
          <w:t>7</w:t>
        </w:r>
        <w:r w:rsidR="00835EB0">
          <w:rPr>
            <w:noProof/>
            <w:webHidden/>
          </w:rPr>
          <w:fldChar w:fldCharType="end"/>
        </w:r>
      </w:hyperlink>
    </w:p>
    <w:p w14:paraId="21051DFA" w14:textId="5482AAC4" w:rsidR="00835EB0" w:rsidRDefault="00806F62">
      <w:pPr>
        <w:pStyle w:val="TOC2"/>
        <w:rPr>
          <w:rFonts w:asciiTheme="minorHAnsi" w:hAnsiTheme="minorHAnsi"/>
          <w:noProof/>
        </w:rPr>
      </w:pPr>
      <w:hyperlink w:anchor="_Toc492543249" w:history="1">
        <w:r w:rsidR="00835EB0" w:rsidRPr="00C95892">
          <w:rPr>
            <w:rStyle w:val="Hyperlink"/>
            <w:noProof/>
          </w:rPr>
          <w:t>A4. Efforts to Identify Duplication and Use of Similar Information</w:t>
        </w:r>
        <w:r w:rsidR="00835EB0">
          <w:rPr>
            <w:noProof/>
            <w:webHidden/>
          </w:rPr>
          <w:tab/>
        </w:r>
        <w:r w:rsidR="00835EB0">
          <w:rPr>
            <w:noProof/>
            <w:webHidden/>
          </w:rPr>
          <w:fldChar w:fldCharType="begin"/>
        </w:r>
        <w:r w:rsidR="00835EB0">
          <w:rPr>
            <w:noProof/>
            <w:webHidden/>
          </w:rPr>
          <w:instrText xml:space="preserve"> PAGEREF _Toc492543249 \h </w:instrText>
        </w:r>
        <w:r w:rsidR="00835EB0">
          <w:rPr>
            <w:noProof/>
            <w:webHidden/>
          </w:rPr>
        </w:r>
        <w:r w:rsidR="00835EB0">
          <w:rPr>
            <w:noProof/>
            <w:webHidden/>
          </w:rPr>
          <w:fldChar w:fldCharType="separate"/>
        </w:r>
        <w:r w:rsidR="00835EB0">
          <w:rPr>
            <w:noProof/>
            <w:webHidden/>
          </w:rPr>
          <w:t>8</w:t>
        </w:r>
        <w:r w:rsidR="00835EB0">
          <w:rPr>
            <w:noProof/>
            <w:webHidden/>
          </w:rPr>
          <w:fldChar w:fldCharType="end"/>
        </w:r>
      </w:hyperlink>
    </w:p>
    <w:p w14:paraId="5C5BD05E" w14:textId="129C3E43" w:rsidR="00835EB0" w:rsidRDefault="00806F62">
      <w:pPr>
        <w:pStyle w:val="TOC2"/>
        <w:rPr>
          <w:rFonts w:asciiTheme="minorHAnsi" w:hAnsiTheme="minorHAnsi"/>
          <w:noProof/>
        </w:rPr>
      </w:pPr>
      <w:hyperlink w:anchor="_Toc492543250" w:history="1">
        <w:r w:rsidR="00835EB0" w:rsidRPr="00C95892">
          <w:rPr>
            <w:rStyle w:val="Hyperlink"/>
            <w:noProof/>
          </w:rPr>
          <w:t>A5. Impact on Small Businesses or Other Small Entities</w:t>
        </w:r>
        <w:r w:rsidR="00835EB0">
          <w:rPr>
            <w:noProof/>
            <w:webHidden/>
          </w:rPr>
          <w:tab/>
        </w:r>
        <w:r w:rsidR="00835EB0">
          <w:rPr>
            <w:noProof/>
            <w:webHidden/>
          </w:rPr>
          <w:fldChar w:fldCharType="begin"/>
        </w:r>
        <w:r w:rsidR="00835EB0">
          <w:rPr>
            <w:noProof/>
            <w:webHidden/>
          </w:rPr>
          <w:instrText xml:space="preserve"> PAGEREF _Toc492543250 \h </w:instrText>
        </w:r>
        <w:r w:rsidR="00835EB0">
          <w:rPr>
            <w:noProof/>
            <w:webHidden/>
          </w:rPr>
        </w:r>
        <w:r w:rsidR="00835EB0">
          <w:rPr>
            <w:noProof/>
            <w:webHidden/>
          </w:rPr>
          <w:fldChar w:fldCharType="separate"/>
        </w:r>
        <w:r w:rsidR="00835EB0">
          <w:rPr>
            <w:noProof/>
            <w:webHidden/>
          </w:rPr>
          <w:t>9</w:t>
        </w:r>
        <w:r w:rsidR="00835EB0">
          <w:rPr>
            <w:noProof/>
            <w:webHidden/>
          </w:rPr>
          <w:fldChar w:fldCharType="end"/>
        </w:r>
      </w:hyperlink>
    </w:p>
    <w:p w14:paraId="49558A1A" w14:textId="126B2050" w:rsidR="00835EB0" w:rsidRDefault="00806F62">
      <w:pPr>
        <w:pStyle w:val="TOC2"/>
        <w:rPr>
          <w:rFonts w:asciiTheme="minorHAnsi" w:hAnsiTheme="minorHAnsi"/>
          <w:noProof/>
        </w:rPr>
      </w:pPr>
      <w:hyperlink w:anchor="_Toc492543251" w:history="1">
        <w:r w:rsidR="00835EB0" w:rsidRPr="00C95892">
          <w:rPr>
            <w:rStyle w:val="Hyperlink"/>
            <w:noProof/>
          </w:rPr>
          <w:t>A6. Consequences of Collecting the Information Less Frequently</w:t>
        </w:r>
        <w:r w:rsidR="00835EB0">
          <w:rPr>
            <w:noProof/>
            <w:webHidden/>
          </w:rPr>
          <w:tab/>
        </w:r>
        <w:r w:rsidR="00835EB0">
          <w:rPr>
            <w:noProof/>
            <w:webHidden/>
          </w:rPr>
          <w:fldChar w:fldCharType="begin"/>
        </w:r>
        <w:r w:rsidR="00835EB0">
          <w:rPr>
            <w:noProof/>
            <w:webHidden/>
          </w:rPr>
          <w:instrText xml:space="preserve"> PAGEREF _Toc492543251 \h </w:instrText>
        </w:r>
        <w:r w:rsidR="00835EB0">
          <w:rPr>
            <w:noProof/>
            <w:webHidden/>
          </w:rPr>
        </w:r>
        <w:r w:rsidR="00835EB0">
          <w:rPr>
            <w:noProof/>
            <w:webHidden/>
          </w:rPr>
          <w:fldChar w:fldCharType="separate"/>
        </w:r>
        <w:r w:rsidR="00835EB0">
          <w:rPr>
            <w:noProof/>
            <w:webHidden/>
          </w:rPr>
          <w:t>10</w:t>
        </w:r>
        <w:r w:rsidR="00835EB0">
          <w:rPr>
            <w:noProof/>
            <w:webHidden/>
          </w:rPr>
          <w:fldChar w:fldCharType="end"/>
        </w:r>
      </w:hyperlink>
    </w:p>
    <w:p w14:paraId="719FED1F" w14:textId="20D817BB" w:rsidR="00835EB0" w:rsidRDefault="00806F62">
      <w:pPr>
        <w:pStyle w:val="TOC2"/>
        <w:rPr>
          <w:rFonts w:asciiTheme="minorHAnsi" w:hAnsiTheme="minorHAnsi"/>
          <w:noProof/>
        </w:rPr>
      </w:pPr>
      <w:hyperlink w:anchor="_Toc492543252" w:history="1">
        <w:r w:rsidR="00835EB0" w:rsidRPr="00C95892">
          <w:rPr>
            <w:rStyle w:val="Hyperlink"/>
            <w:noProof/>
          </w:rPr>
          <w:t>A7. Special Circumstances Relating to the Guidelines of 5 CFR 1320.5</w:t>
        </w:r>
        <w:r w:rsidR="00835EB0">
          <w:rPr>
            <w:noProof/>
            <w:webHidden/>
          </w:rPr>
          <w:tab/>
        </w:r>
        <w:r w:rsidR="00835EB0">
          <w:rPr>
            <w:noProof/>
            <w:webHidden/>
          </w:rPr>
          <w:fldChar w:fldCharType="begin"/>
        </w:r>
        <w:r w:rsidR="00835EB0">
          <w:rPr>
            <w:noProof/>
            <w:webHidden/>
          </w:rPr>
          <w:instrText xml:space="preserve"> PAGEREF _Toc492543252 \h </w:instrText>
        </w:r>
        <w:r w:rsidR="00835EB0">
          <w:rPr>
            <w:noProof/>
            <w:webHidden/>
          </w:rPr>
        </w:r>
        <w:r w:rsidR="00835EB0">
          <w:rPr>
            <w:noProof/>
            <w:webHidden/>
          </w:rPr>
          <w:fldChar w:fldCharType="separate"/>
        </w:r>
        <w:r w:rsidR="00835EB0">
          <w:rPr>
            <w:noProof/>
            <w:webHidden/>
          </w:rPr>
          <w:t>10</w:t>
        </w:r>
        <w:r w:rsidR="00835EB0">
          <w:rPr>
            <w:noProof/>
            <w:webHidden/>
          </w:rPr>
          <w:fldChar w:fldCharType="end"/>
        </w:r>
      </w:hyperlink>
    </w:p>
    <w:p w14:paraId="1F58AAC3" w14:textId="6EBA5C56" w:rsidR="00835EB0" w:rsidRDefault="00806F62">
      <w:pPr>
        <w:pStyle w:val="TOC2"/>
        <w:rPr>
          <w:rFonts w:asciiTheme="minorHAnsi" w:hAnsiTheme="minorHAnsi"/>
          <w:noProof/>
        </w:rPr>
      </w:pPr>
      <w:hyperlink w:anchor="_Toc492543253" w:history="1">
        <w:r w:rsidR="00835EB0" w:rsidRPr="00C95892">
          <w:rPr>
            <w:rStyle w:val="Hyperlink"/>
            <w:noProof/>
          </w:rPr>
          <w:t>A8. Comments in Response to the Federal Register Notice and Efforts to Consult Outside the Agency</w:t>
        </w:r>
        <w:r w:rsidR="00835EB0">
          <w:rPr>
            <w:noProof/>
            <w:webHidden/>
          </w:rPr>
          <w:tab/>
        </w:r>
        <w:r w:rsidR="00835EB0">
          <w:rPr>
            <w:noProof/>
            <w:webHidden/>
          </w:rPr>
          <w:fldChar w:fldCharType="begin"/>
        </w:r>
        <w:r w:rsidR="00835EB0">
          <w:rPr>
            <w:noProof/>
            <w:webHidden/>
          </w:rPr>
          <w:instrText xml:space="preserve"> PAGEREF _Toc492543253 \h </w:instrText>
        </w:r>
        <w:r w:rsidR="00835EB0">
          <w:rPr>
            <w:noProof/>
            <w:webHidden/>
          </w:rPr>
        </w:r>
        <w:r w:rsidR="00835EB0">
          <w:rPr>
            <w:noProof/>
            <w:webHidden/>
          </w:rPr>
          <w:fldChar w:fldCharType="separate"/>
        </w:r>
        <w:r w:rsidR="00835EB0">
          <w:rPr>
            <w:noProof/>
            <w:webHidden/>
          </w:rPr>
          <w:t>10</w:t>
        </w:r>
        <w:r w:rsidR="00835EB0">
          <w:rPr>
            <w:noProof/>
            <w:webHidden/>
          </w:rPr>
          <w:fldChar w:fldCharType="end"/>
        </w:r>
      </w:hyperlink>
    </w:p>
    <w:p w14:paraId="279BAEEB" w14:textId="129C9A44" w:rsidR="00835EB0" w:rsidRDefault="00806F62">
      <w:pPr>
        <w:pStyle w:val="TOC2"/>
        <w:rPr>
          <w:rFonts w:asciiTheme="minorHAnsi" w:hAnsiTheme="minorHAnsi"/>
          <w:noProof/>
        </w:rPr>
      </w:pPr>
      <w:hyperlink w:anchor="_Toc492543254" w:history="1">
        <w:r w:rsidR="00835EB0" w:rsidRPr="00C95892">
          <w:rPr>
            <w:rStyle w:val="Hyperlink"/>
            <w:noProof/>
          </w:rPr>
          <w:t>A9. Explanation of Any Payment or Gift to Respondents</w:t>
        </w:r>
        <w:r w:rsidR="00835EB0">
          <w:rPr>
            <w:noProof/>
            <w:webHidden/>
          </w:rPr>
          <w:tab/>
        </w:r>
        <w:r w:rsidR="00835EB0">
          <w:rPr>
            <w:noProof/>
            <w:webHidden/>
          </w:rPr>
          <w:fldChar w:fldCharType="begin"/>
        </w:r>
        <w:r w:rsidR="00835EB0">
          <w:rPr>
            <w:noProof/>
            <w:webHidden/>
          </w:rPr>
          <w:instrText xml:space="preserve"> PAGEREF _Toc492543254 \h </w:instrText>
        </w:r>
        <w:r w:rsidR="00835EB0">
          <w:rPr>
            <w:noProof/>
            <w:webHidden/>
          </w:rPr>
        </w:r>
        <w:r w:rsidR="00835EB0">
          <w:rPr>
            <w:noProof/>
            <w:webHidden/>
          </w:rPr>
          <w:fldChar w:fldCharType="separate"/>
        </w:r>
        <w:r w:rsidR="00835EB0">
          <w:rPr>
            <w:noProof/>
            <w:webHidden/>
          </w:rPr>
          <w:t>11</w:t>
        </w:r>
        <w:r w:rsidR="00835EB0">
          <w:rPr>
            <w:noProof/>
            <w:webHidden/>
          </w:rPr>
          <w:fldChar w:fldCharType="end"/>
        </w:r>
      </w:hyperlink>
    </w:p>
    <w:p w14:paraId="1A922A11" w14:textId="00EDB841" w:rsidR="00835EB0" w:rsidRDefault="00806F62">
      <w:pPr>
        <w:pStyle w:val="TOC2"/>
        <w:rPr>
          <w:rFonts w:asciiTheme="minorHAnsi" w:hAnsiTheme="minorHAnsi"/>
          <w:noProof/>
        </w:rPr>
      </w:pPr>
      <w:hyperlink w:anchor="_Toc492543255" w:history="1">
        <w:r w:rsidR="00835EB0" w:rsidRPr="00C95892">
          <w:rPr>
            <w:rStyle w:val="Hyperlink"/>
            <w:noProof/>
          </w:rPr>
          <w:t>A10.  Protection of the Privacy and Confidentiality of Information Provided by Respondents</w:t>
        </w:r>
        <w:r w:rsidR="00835EB0">
          <w:rPr>
            <w:noProof/>
            <w:webHidden/>
          </w:rPr>
          <w:tab/>
        </w:r>
        <w:r w:rsidR="00835EB0">
          <w:rPr>
            <w:noProof/>
            <w:webHidden/>
          </w:rPr>
          <w:fldChar w:fldCharType="begin"/>
        </w:r>
        <w:r w:rsidR="00835EB0">
          <w:rPr>
            <w:noProof/>
            <w:webHidden/>
          </w:rPr>
          <w:instrText xml:space="preserve"> PAGEREF _Toc492543255 \h </w:instrText>
        </w:r>
        <w:r w:rsidR="00835EB0">
          <w:rPr>
            <w:noProof/>
            <w:webHidden/>
          </w:rPr>
        </w:r>
        <w:r w:rsidR="00835EB0">
          <w:rPr>
            <w:noProof/>
            <w:webHidden/>
          </w:rPr>
          <w:fldChar w:fldCharType="separate"/>
        </w:r>
        <w:r w:rsidR="00835EB0">
          <w:rPr>
            <w:noProof/>
            <w:webHidden/>
          </w:rPr>
          <w:t>11</w:t>
        </w:r>
        <w:r w:rsidR="00835EB0">
          <w:rPr>
            <w:noProof/>
            <w:webHidden/>
          </w:rPr>
          <w:fldChar w:fldCharType="end"/>
        </w:r>
      </w:hyperlink>
    </w:p>
    <w:p w14:paraId="74648698" w14:textId="5679A527" w:rsidR="00835EB0" w:rsidRDefault="00806F62">
      <w:pPr>
        <w:pStyle w:val="TOC2"/>
        <w:rPr>
          <w:rFonts w:asciiTheme="minorHAnsi" w:hAnsiTheme="minorHAnsi"/>
          <w:noProof/>
        </w:rPr>
      </w:pPr>
      <w:hyperlink w:anchor="_Toc492543256" w:history="1">
        <w:r w:rsidR="00835EB0" w:rsidRPr="00C95892">
          <w:rPr>
            <w:rStyle w:val="Hyperlink"/>
            <w:noProof/>
          </w:rPr>
          <w:t>A11. Institutional Review Board (IRB) and Justification for Sensitive Questions</w:t>
        </w:r>
        <w:r w:rsidR="00835EB0">
          <w:rPr>
            <w:noProof/>
            <w:webHidden/>
          </w:rPr>
          <w:tab/>
        </w:r>
        <w:r w:rsidR="00835EB0">
          <w:rPr>
            <w:noProof/>
            <w:webHidden/>
          </w:rPr>
          <w:fldChar w:fldCharType="begin"/>
        </w:r>
        <w:r w:rsidR="00835EB0">
          <w:rPr>
            <w:noProof/>
            <w:webHidden/>
          </w:rPr>
          <w:instrText xml:space="preserve"> PAGEREF _Toc492543256 \h </w:instrText>
        </w:r>
        <w:r w:rsidR="00835EB0">
          <w:rPr>
            <w:noProof/>
            <w:webHidden/>
          </w:rPr>
        </w:r>
        <w:r w:rsidR="00835EB0">
          <w:rPr>
            <w:noProof/>
            <w:webHidden/>
          </w:rPr>
          <w:fldChar w:fldCharType="separate"/>
        </w:r>
        <w:r w:rsidR="00835EB0">
          <w:rPr>
            <w:noProof/>
            <w:webHidden/>
          </w:rPr>
          <w:t>13</w:t>
        </w:r>
        <w:r w:rsidR="00835EB0">
          <w:rPr>
            <w:noProof/>
            <w:webHidden/>
          </w:rPr>
          <w:fldChar w:fldCharType="end"/>
        </w:r>
      </w:hyperlink>
    </w:p>
    <w:p w14:paraId="4F8C6CCE" w14:textId="06AA41C9" w:rsidR="00835EB0" w:rsidRDefault="00806F62">
      <w:pPr>
        <w:pStyle w:val="TOC2"/>
        <w:rPr>
          <w:rFonts w:asciiTheme="minorHAnsi" w:hAnsiTheme="minorHAnsi"/>
          <w:noProof/>
        </w:rPr>
      </w:pPr>
      <w:hyperlink w:anchor="_Toc492543257" w:history="1">
        <w:r w:rsidR="00835EB0" w:rsidRPr="00C95892">
          <w:rPr>
            <w:rStyle w:val="Hyperlink"/>
            <w:noProof/>
          </w:rPr>
          <w:t>A12. Estimates of Annualized Burden Hours and Costs</w:t>
        </w:r>
        <w:r w:rsidR="00835EB0">
          <w:rPr>
            <w:noProof/>
            <w:webHidden/>
          </w:rPr>
          <w:tab/>
        </w:r>
        <w:r w:rsidR="00835EB0">
          <w:rPr>
            <w:noProof/>
            <w:webHidden/>
          </w:rPr>
          <w:fldChar w:fldCharType="begin"/>
        </w:r>
        <w:r w:rsidR="00835EB0">
          <w:rPr>
            <w:noProof/>
            <w:webHidden/>
          </w:rPr>
          <w:instrText xml:space="preserve"> PAGEREF _Toc492543257 \h </w:instrText>
        </w:r>
        <w:r w:rsidR="00835EB0">
          <w:rPr>
            <w:noProof/>
            <w:webHidden/>
          </w:rPr>
        </w:r>
        <w:r w:rsidR="00835EB0">
          <w:rPr>
            <w:noProof/>
            <w:webHidden/>
          </w:rPr>
          <w:fldChar w:fldCharType="separate"/>
        </w:r>
        <w:r w:rsidR="00835EB0">
          <w:rPr>
            <w:noProof/>
            <w:webHidden/>
          </w:rPr>
          <w:t>13</w:t>
        </w:r>
        <w:r w:rsidR="00835EB0">
          <w:rPr>
            <w:noProof/>
            <w:webHidden/>
          </w:rPr>
          <w:fldChar w:fldCharType="end"/>
        </w:r>
      </w:hyperlink>
    </w:p>
    <w:p w14:paraId="5936F0C7" w14:textId="328C6483" w:rsidR="00835EB0" w:rsidRDefault="00806F62">
      <w:pPr>
        <w:pStyle w:val="TOC2"/>
        <w:rPr>
          <w:rFonts w:asciiTheme="minorHAnsi" w:hAnsiTheme="minorHAnsi"/>
          <w:noProof/>
        </w:rPr>
      </w:pPr>
      <w:hyperlink w:anchor="_Toc492543258" w:history="1">
        <w:r w:rsidR="00835EB0" w:rsidRPr="00C95892">
          <w:rPr>
            <w:rStyle w:val="Hyperlink"/>
            <w:noProof/>
          </w:rPr>
          <w:t>A13. Estimates of Other Total Annual Cost Burden to Respondents or Record Keepers</w:t>
        </w:r>
        <w:r w:rsidR="00835EB0">
          <w:rPr>
            <w:noProof/>
            <w:webHidden/>
          </w:rPr>
          <w:tab/>
        </w:r>
        <w:r w:rsidR="00835EB0">
          <w:rPr>
            <w:noProof/>
            <w:webHidden/>
          </w:rPr>
          <w:fldChar w:fldCharType="begin"/>
        </w:r>
        <w:r w:rsidR="00835EB0">
          <w:rPr>
            <w:noProof/>
            <w:webHidden/>
          </w:rPr>
          <w:instrText xml:space="preserve"> PAGEREF _Toc492543258 \h </w:instrText>
        </w:r>
        <w:r w:rsidR="00835EB0">
          <w:rPr>
            <w:noProof/>
            <w:webHidden/>
          </w:rPr>
        </w:r>
        <w:r w:rsidR="00835EB0">
          <w:rPr>
            <w:noProof/>
            <w:webHidden/>
          </w:rPr>
          <w:fldChar w:fldCharType="separate"/>
        </w:r>
        <w:r w:rsidR="00835EB0">
          <w:rPr>
            <w:noProof/>
            <w:webHidden/>
          </w:rPr>
          <w:t>14</w:t>
        </w:r>
        <w:r w:rsidR="00835EB0">
          <w:rPr>
            <w:noProof/>
            <w:webHidden/>
          </w:rPr>
          <w:fldChar w:fldCharType="end"/>
        </w:r>
      </w:hyperlink>
    </w:p>
    <w:p w14:paraId="2BBFE93F" w14:textId="19C4765B" w:rsidR="00835EB0" w:rsidRDefault="00806F62">
      <w:pPr>
        <w:pStyle w:val="TOC2"/>
        <w:rPr>
          <w:rFonts w:asciiTheme="minorHAnsi" w:hAnsiTheme="minorHAnsi"/>
          <w:noProof/>
        </w:rPr>
      </w:pPr>
      <w:hyperlink w:anchor="_Toc492543259" w:history="1">
        <w:r w:rsidR="00835EB0" w:rsidRPr="00C95892">
          <w:rPr>
            <w:rStyle w:val="Hyperlink"/>
            <w:noProof/>
          </w:rPr>
          <w:t>A14. Annualized Cost to the Government</w:t>
        </w:r>
        <w:r w:rsidR="00835EB0">
          <w:rPr>
            <w:noProof/>
            <w:webHidden/>
          </w:rPr>
          <w:tab/>
        </w:r>
        <w:r w:rsidR="00835EB0">
          <w:rPr>
            <w:noProof/>
            <w:webHidden/>
          </w:rPr>
          <w:fldChar w:fldCharType="begin"/>
        </w:r>
        <w:r w:rsidR="00835EB0">
          <w:rPr>
            <w:noProof/>
            <w:webHidden/>
          </w:rPr>
          <w:instrText xml:space="preserve"> PAGEREF _Toc492543259 \h </w:instrText>
        </w:r>
        <w:r w:rsidR="00835EB0">
          <w:rPr>
            <w:noProof/>
            <w:webHidden/>
          </w:rPr>
        </w:r>
        <w:r w:rsidR="00835EB0">
          <w:rPr>
            <w:noProof/>
            <w:webHidden/>
          </w:rPr>
          <w:fldChar w:fldCharType="separate"/>
        </w:r>
        <w:r w:rsidR="00835EB0">
          <w:rPr>
            <w:noProof/>
            <w:webHidden/>
          </w:rPr>
          <w:t>15</w:t>
        </w:r>
        <w:r w:rsidR="00835EB0">
          <w:rPr>
            <w:noProof/>
            <w:webHidden/>
          </w:rPr>
          <w:fldChar w:fldCharType="end"/>
        </w:r>
      </w:hyperlink>
    </w:p>
    <w:p w14:paraId="7C63DF63" w14:textId="6C7D5EFE" w:rsidR="00835EB0" w:rsidRDefault="00806F62">
      <w:pPr>
        <w:pStyle w:val="TOC2"/>
        <w:rPr>
          <w:rFonts w:asciiTheme="minorHAnsi" w:hAnsiTheme="minorHAnsi"/>
          <w:noProof/>
        </w:rPr>
      </w:pPr>
      <w:hyperlink w:anchor="_Toc492543260" w:history="1">
        <w:r w:rsidR="00835EB0" w:rsidRPr="00C95892">
          <w:rPr>
            <w:rStyle w:val="Hyperlink"/>
            <w:noProof/>
          </w:rPr>
          <w:t>A15. Explanation for Program Changes or Adjustments</w:t>
        </w:r>
        <w:r w:rsidR="00835EB0">
          <w:rPr>
            <w:noProof/>
            <w:webHidden/>
          </w:rPr>
          <w:tab/>
        </w:r>
        <w:r w:rsidR="00835EB0">
          <w:rPr>
            <w:noProof/>
            <w:webHidden/>
          </w:rPr>
          <w:fldChar w:fldCharType="begin"/>
        </w:r>
        <w:r w:rsidR="00835EB0">
          <w:rPr>
            <w:noProof/>
            <w:webHidden/>
          </w:rPr>
          <w:instrText xml:space="preserve"> PAGEREF _Toc492543260 \h </w:instrText>
        </w:r>
        <w:r w:rsidR="00835EB0">
          <w:rPr>
            <w:noProof/>
            <w:webHidden/>
          </w:rPr>
        </w:r>
        <w:r w:rsidR="00835EB0">
          <w:rPr>
            <w:noProof/>
            <w:webHidden/>
          </w:rPr>
          <w:fldChar w:fldCharType="separate"/>
        </w:r>
        <w:r w:rsidR="00835EB0">
          <w:rPr>
            <w:noProof/>
            <w:webHidden/>
          </w:rPr>
          <w:t>15</w:t>
        </w:r>
        <w:r w:rsidR="00835EB0">
          <w:rPr>
            <w:noProof/>
            <w:webHidden/>
          </w:rPr>
          <w:fldChar w:fldCharType="end"/>
        </w:r>
      </w:hyperlink>
    </w:p>
    <w:p w14:paraId="1E7DE070" w14:textId="4482C81F" w:rsidR="00835EB0" w:rsidRDefault="00806F62">
      <w:pPr>
        <w:pStyle w:val="TOC2"/>
        <w:rPr>
          <w:rFonts w:asciiTheme="minorHAnsi" w:hAnsiTheme="minorHAnsi"/>
          <w:noProof/>
        </w:rPr>
      </w:pPr>
      <w:hyperlink w:anchor="_Toc492543261" w:history="1">
        <w:r w:rsidR="00835EB0" w:rsidRPr="00C95892">
          <w:rPr>
            <w:rStyle w:val="Hyperlink"/>
            <w:noProof/>
          </w:rPr>
          <w:t>A16. Plans for Tabulation and Publication and Project Time Schedule</w:t>
        </w:r>
        <w:r w:rsidR="00835EB0">
          <w:rPr>
            <w:noProof/>
            <w:webHidden/>
          </w:rPr>
          <w:tab/>
        </w:r>
        <w:r w:rsidR="00835EB0">
          <w:rPr>
            <w:noProof/>
            <w:webHidden/>
          </w:rPr>
          <w:fldChar w:fldCharType="begin"/>
        </w:r>
        <w:r w:rsidR="00835EB0">
          <w:rPr>
            <w:noProof/>
            <w:webHidden/>
          </w:rPr>
          <w:instrText xml:space="preserve"> PAGEREF _Toc492543261 \h </w:instrText>
        </w:r>
        <w:r w:rsidR="00835EB0">
          <w:rPr>
            <w:noProof/>
            <w:webHidden/>
          </w:rPr>
        </w:r>
        <w:r w:rsidR="00835EB0">
          <w:rPr>
            <w:noProof/>
            <w:webHidden/>
          </w:rPr>
          <w:fldChar w:fldCharType="separate"/>
        </w:r>
        <w:r w:rsidR="00835EB0">
          <w:rPr>
            <w:noProof/>
            <w:webHidden/>
          </w:rPr>
          <w:t>15</w:t>
        </w:r>
        <w:r w:rsidR="00835EB0">
          <w:rPr>
            <w:noProof/>
            <w:webHidden/>
          </w:rPr>
          <w:fldChar w:fldCharType="end"/>
        </w:r>
      </w:hyperlink>
    </w:p>
    <w:p w14:paraId="5E17EBBF" w14:textId="68BF7817" w:rsidR="00835EB0" w:rsidRDefault="00806F62">
      <w:pPr>
        <w:pStyle w:val="TOC2"/>
        <w:rPr>
          <w:rFonts w:asciiTheme="minorHAnsi" w:hAnsiTheme="minorHAnsi"/>
          <w:noProof/>
        </w:rPr>
      </w:pPr>
      <w:hyperlink w:anchor="_Toc492543262" w:history="1">
        <w:r w:rsidR="00835EB0" w:rsidRPr="00C95892">
          <w:rPr>
            <w:rStyle w:val="Hyperlink"/>
            <w:noProof/>
          </w:rPr>
          <w:t>A17. Reason(s) Display of OMB Expiration Date is Inappropriate</w:t>
        </w:r>
        <w:r w:rsidR="00835EB0">
          <w:rPr>
            <w:noProof/>
            <w:webHidden/>
          </w:rPr>
          <w:tab/>
        </w:r>
        <w:r w:rsidR="00835EB0">
          <w:rPr>
            <w:noProof/>
            <w:webHidden/>
          </w:rPr>
          <w:fldChar w:fldCharType="begin"/>
        </w:r>
        <w:r w:rsidR="00835EB0">
          <w:rPr>
            <w:noProof/>
            <w:webHidden/>
          </w:rPr>
          <w:instrText xml:space="preserve"> PAGEREF _Toc492543262 \h </w:instrText>
        </w:r>
        <w:r w:rsidR="00835EB0">
          <w:rPr>
            <w:noProof/>
            <w:webHidden/>
          </w:rPr>
        </w:r>
        <w:r w:rsidR="00835EB0">
          <w:rPr>
            <w:noProof/>
            <w:webHidden/>
          </w:rPr>
          <w:fldChar w:fldCharType="separate"/>
        </w:r>
        <w:r w:rsidR="00835EB0">
          <w:rPr>
            <w:noProof/>
            <w:webHidden/>
          </w:rPr>
          <w:t>17</w:t>
        </w:r>
        <w:r w:rsidR="00835EB0">
          <w:rPr>
            <w:noProof/>
            <w:webHidden/>
          </w:rPr>
          <w:fldChar w:fldCharType="end"/>
        </w:r>
      </w:hyperlink>
    </w:p>
    <w:p w14:paraId="56BBEE07" w14:textId="5045CAC4" w:rsidR="00835EB0" w:rsidRDefault="00806F62">
      <w:pPr>
        <w:pStyle w:val="TOC2"/>
        <w:rPr>
          <w:rFonts w:asciiTheme="minorHAnsi" w:hAnsiTheme="minorHAnsi"/>
          <w:noProof/>
        </w:rPr>
      </w:pPr>
      <w:hyperlink w:anchor="_Toc492543263" w:history="1">
        <w:r w:rsidR="00835EB0" w:rsidRPr="00C95892">
          <w:rPr>
            <w:rStyle w:val="Hyperlink"/>
            <w:noProof/>
          </w:rPr>
          <w:t>A18. Exceptions to Certification for Paperwork Reduction Act Submissions</w:t>
        </w:r>
        <w:r w:rsidR="00835EB0">
          <w:rPr>
            <w:noProof/>
            <w:webHidden/>
          </w:rPr>
          <w:tab/>
        </w:r>
        <w:r w:rsidR="00835EB0">
          <w:rPr>
            <w:noProof/>
            <w:webHidden/>
          </w:rPr>
          <w:fldChar w:fldCharType="begin"/>
        </w:r>
        <w:r w:rsidR="00835EB0">
          <w:rPr>
            <w:noProof/>
            <w:webHidden/>
          </w:rPr>
          <w:instrText xml:space="preserve"> PAGEREF _Toc492543263 \h </w:instrText>
        </w:r>
        <w:r w:rsidR="00835EB0">
          <w:rPr>
            <w:noProof/>
            <w:webHidden/>
          </w:rPr>
        </w:r>
        <w:r w:rsidR="00835EB0">
          <w:rPr>
            <w:noProof/>
            <w:webHidden/>
          </w:rPr>
          <w:fldChar w:fldCharType="separate"/>
        </w:r>
        <w:r w:rsidR="00835EB0">
          <w:rPr>
            <w:noProof/>
            <w:webHidden/>
          </w:rPr>
          <w:t>17</w:t>
        </w:r>
        <w:r w:rsidR="00835EB0">
          <w:rPr>
            <w:noProof/>
            <w:webHidden/>
          </w:rPr>
          <w:fldChar w:fldCharType="end"/>
        </w:r>
      </w:hyperlink>
    </w:p>
    <w:p w14:paraId="7D2FAA94" w14:textId="3A362F87" w:rsidR="00B37E0E" w:rsidRDefault="003860A5" w:rsidP="00AD7007">
      <w:pPr>
        <w:pStyle w:val="B1BodyCopy"/>
      </w:pPr>
      <w:r>
        <w:fldChar w:fldCharType="end"/>
      </w:r>
      <w:bookmarkStart w:id="2" w:name="_Toc413847747"/>
      <w:bookmarkStart w:id="3" w:name="_Toc427752812"/>
    </w:p>
    <w:p w14:paraId="2390C211" w14:textId="77777777" w:rsidR="007338BC" w:rsidRDefault="007338BC" w:rsidP="007338BC">
      <w:pPr>
        <w:pStyle w:val="Heading3"/>
        <w:ind w:left="0"/>
      </w:pPr>
      <w:bookmarkStart w:id="4" w:name="_Toc492543244"/>
      <w:r>
        <w:t>LIST OF ATTACHMENTS – Section A</w:t>
      </w:r>
      <w:bookmarkEnd w:id="4"/>
    </w:p>
    <w:p w14:paraId="0371D4EE" w14:textId="77777777" w:rsidR="007338BC" w:rsidRDefault="007338BC" w:rsidP="007338BC">
      <w:pPr>
        <w:ind w:left="0"/>
      </w:pPr>
      <w:r w:rsidRPr="00711BFA">
        <w:t>Note: Attachments are included as separate files as instructed.</w:t>
      </w:r>
    </w:p>
    <w:p w14:paraId="41025E44" w14:textId="16804D60" w:rsidR="007338BC" w:rsidRPr="00C9042C" w:rsidRDefault="007338BC" w:rsidP="007338BC">
      <w:pPr>
        <w:pStyle w:val="ListParagraph"/>
        <w:numPr>
          <w:ilvl w:val="0"/>
          <w:numId w:val="7"/>
        </w:numPr>
        <w:tabs>
          <w:tab w:val="clear" w:pos="9360"/>
        </w:tabs>
        <w:spacing w:line="240" w:lineRule="auto"/>
        <w:rPr>
          <w:b/>
        </w:rPr>
      </w:pPr>
      <w:r w:rsidRPr="00C9042C">
        <w:rPr>
          <w:b/>
        </w:rPr>
        <w:t xml:space="preserve">Att. 1—Authorizing Legislation </w:t>
      </w:r>
    </w:p>
    <w:p w14:paraId="12E72C33" w14:textId="77777777" w:rsidR="007338BC" w:rsidRPr="00C9042C" w:rsidRDefault="007338BC" w:rsidP="007338BC">
      <w:pPr>
        <w:pStyle w:val="ListParagraph"/>
        <w:numPr>
          <w:ilvl w:val="0"/>
          <w:numId w:val="7"/>
        </w:numPr>
        <w:tabs>
          <w:tab w:val="clear" w:pos="9360"/>
        </w:tabs>
        <w:spacing w:line="240" w:lineRule="auto"/>
        <w:rPr>
          <w:b/>
        </w:rPr>
      </w:pPr>
      <w:r w:rsidRPr="00C9042C">
        <w:rPr>
          <w:b/>
        </w:rPr>
        <w:t>Att. 2—60-Day FRN</w:t>
      </w:r>
    </w:p>
    <w:p w14:paraId="4EF14B5A" w14:textId="4D7F9540" w:rsidR="007338BC" w:rsidRDefault="007338BC" w:rsidP="007338BC">
      <w:pPr>
        <w:pStyle w:val="ListParagraph"/>
        <w:numPr>
          <w:ilvl w:val="0"/>
          <w:numId w:val="7"/>
        </w:numPr>
        <w:tabs>
          <w:tab w:val="clear" w:pos="9360"/>
        </w:tabs>
        <w:spacing w:line="240" w:lineRule="auto"/>
        <w:rPr>
          <w:b/>
        </w:rPr>
      </w:pPr>
      <w:r w:rsidRPr="00C9042C">
        <w:rPr>
          <w:b/>
        </w:rPr>
        <w:t>Att. 3—</w:t>
      </w:r>
      <w:r>
        <w:rPr>
          <w:b/>
        </w:rPr>
        <w:t>Interview Guide</w:t>
      </w:r>
    </w:p>
    <w:p w14:paraId="19E49A8F" w14:textId="77777777" w:rsidR="007338BC" w:rsidRPr="008F15EC" w:rsidRDefault="007338BC" w:rsidP="007338BC">
      <w:pPr>
        <w:pStyle w:val="ListParagraph"/>
        <w:numPr>
          <w:ilvl w:val="0"/>
          <w:numId w:val="7"/>
        </w:numPr>
        <w:tabs>
          <w:tab w:val="clear" w:pos="9360"/>
        </w:tabs>
        <w:spacing w:line="240" w:lineRule="auto"/>
        <w:rPr>
          <w:b/>
        </w:rPr>
      </w:pPr>
      <w:r>
        <w:rPr>
          <w:b/>
        </w:rPr>
        <w:t>Att. 4</w:t>
      </w:r>
      <w:r w:rsidRPr="008F15EC">
        <w:rPr>
          <w:b/>
        </w:rPr>
        <w:t>—Advance notice email</w:t>
      </w:r>
    </w:p>
    <w:p w14:paraId="720A11C6" w14:textId="77777777" w:rsidR="007338BC" w:rsidRPr="008F15EC" w:rsidRDefault="007338BC" w:rsidP="007338BC">
      <w:pPr>
        <w:pStyle w:val="ListParagraph"/>
        <w:numPr>
          <w:ilvl w:val="0"/>
          <w:numId w:val="7"/>
        </w:numPr>
        <w:tabs>
          <w:tab w:val="clear" w:pos="9360"/>
        </w:tabs>
        <w:spacing w:line="240" w:lineRule="auto"/>
        <w:rPr>
          <w:b/>
        </w:rPr>
      </w:pPr>
      <w:r>
        <w:rPr>
          <w:b/>
        </w:rPr>
        <w:t>Att. 5</w:t>
      </w:r>
      <w:r w:rsidRPr="008F15EC">
        <w:rPr>
          <w:b/>
        </w:rPr>
        <w:t>—IRB approval letter</w:t>
      </w:r>
    </w:p>
    <w:p w14:paraId="0758D11E" w14:textId="59CF24B8" w:rsidR="007338BC" w:rsidRDefault="007338BC" w:rsidP="007338BC">
      <w:pPr>
        <w:pStyle w:val="ListParagraph"/>
        <w:numPr>
          <w:ilvl w:val="0"/>
          <w:numId w:val="7"/>
        </w:numPr>
        <w:tabs>
          <w:tab w:val="clear" w:pos="9360"/>
        </w:tabs>
        <w:spacing w:line="240" w:lineRule="auto"/>
        <w:rPr>
          <w:b/>
        </w:rPr>
      </w:pPr>
      <w:r w:rsidRPr="008F15EC">
        <w:rPr>
          <w:b/>
        </w:rPr>
        <w:t>Att.</w:t>
      </w:r>
      <w:r>
        <w:rPr>
          <w:b/>
        </w:rPr>
        <w:t xml:space="preserve"> 6—</w:t>
      </w:r>
      <w:r w:rsidRPr="008F15EC">
        <w:rPr>
          <w:b/>
        </w:rPr>
        <w:t>6|18 Frequently Asked Questions</w:t>
      </w:r>
    </w:p>
    <w:p w14:paraId="7AC08999" w14:textId="3D4237CE" w:rsidR="00217E4B" w:rsidRDefault="00217E4B" w:rsidP="007338BC">
      <w:pPr>
        <w:pStyle w:val="ListParagraph"/>
        <w:numPr>
          <w:ilvl w:val="0"/>
          <w:numId w:val="7"/>
        </w:numPr>
        <w:tabs>
          <w:tab w:val="clear" w:pos="9360"/>
        </w:tabs>
        <w:spacing w:line="240" w:lineRule="auto"/>
        <w:rPr>
          <w:b/>
        </w:rPr>
      </w:pPr>
      <w:r>
        <w:rPr>
          <w:b/>
        </w:rPr>
        <w:t xml:space="preserve">Att. </w:t>
      </w:r>
      <w:r w:rsidR="004709BF">
        <w:rPr>
          <w:b/>
        </w:rPr>
        <w:t>7</w:t>
      </w:r>
      <w:r>
        <w:rPr>
          <w:b/>
        </w:rPr>
        <w:t>—6|18 Conditions: Burden, Cost, and Associated Evidence-Based Interventions</w:t>
      </w:r>
    </w:p>
    <w:p w14:paraId="3063A01F" w14:textId="4EA8B8A1" w:rsidR="00646AD8" w:rsidRPr="00646AD8" w:rsidRDefault="00646AD8" w:rsidP="00646AD8">
      <w:pPr>
        <w:pStyle w:val="ListParagraph"/>
        <w:numPr>
          <w:ilvl w:val="0"/>
          <w:numId w:val="7"/>
        </w:numPr>
        <w:tabs>
          <w:tab w:val="clear" w:pos="9360"/>
        </w:tabs>
        <w:spacing w:line="240" w:lineRule="auto"/>
        <w:rPr>
          <w:rFonts w:ascii="Cambria" w:hAnsi="Cambria"/>
          <w:b/>
        </w:rPr>
      </w:pPr>
      <w:r w:rsidRPr="0066767D">
        <w:rPr>
          <w:b/>
        </w:rPr>
        <w:t>Att</w:t>
      </w:r>
      <w:r>
        <w:rPr>
          <w:b/>
        </w:rPr>
        <w:t>. 8</w:t>
      </w:r>
      <w:r w:rsidR="00084C74">
        <w:rPr>
          <w:b/>
        </w:rPr>
        <w:t>—6</w:t>
      </w:r>
      <w:r>
        <w:rPr>
          <w:b/>
        </w:rPr>
        <w:t>|18 States</w:t>
      </w:r>
    </w:p>
    <w:p w14:paraId="28AFEDB9" w14:textId="77777777" w:rsidR="00B37E0E" w:rsidRDefault="00B37E0E" w:rsidP="00ED6F31">
      <w:pPr>
        <w:pStyle w:val="B1BodyCopy"/>
      </w:pPr>
    </w:p>
    <w:p w14:paraId="21EC85BF" w14:textId="3F8834BD" w:rsidR="00B37E0E" w:rsidRDefault="001365FC" w:rsidP="00ED6F31">
      <w:pPr>
        <w:pStyle w:val="B1BodyCopy"/>
      </w:pPr>
      <w:r w:rsidRPr="00487937">
        <w:rPr>
          <w:noProof/>
        </w:rPr>
        <mc:AlternateContent>
          <mc:Choice Requires="wps">
            <w:drawing>
              <wp:anchor distT="0" distB="0" distL="114300" distR="114300" simplePos="0" relativeHeight="251658240" behindDoc="0" locked="0" layoutInCell="1" allowOverlap="1" wp14:anchorId="5CC58CE1" wp14:editId="70830F2B">
                <wp:simplePos x="0" y="0"/>
                <wp:positionH relativeFrom="margin">
                  <wp:align>left</wp:align>
                </wp:positionH>
                <wp:positionV relativeFrom="paragraph">
                  <wp:posOffset>182880</wp:posOffset>
                </wp:positionV>
                <wp:extent cx="5943600" cy="5036820"/>
                <wp:effectExtent l="0" t="0" r="19050"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36820"/>
                        </a:xfrm>
                        <a:prstGeom prst="rect">
                          <a:avLst/>
                        </a:prstGeom>
                        <a:solidFill>
                          <a:srgbClr val="FFFFFF"/>
                        </a:solidFill>
                        <a:ln w="9525">
                          <a:solidFill>
                            <a:srgbClr val="000000"/>
                          </a:solidFill>
                          <a:miter lim="800000"/>
                          <a:headEnd/>
                          <a:tailEnd/>
                        </a:ln>
                      </wps:spPr>
                      <wps:txbx>
                        <w:txbxContent>
                          <w:p w14:paraId="274DD18E" w14:textId="51269685" w:rsidR="00BC196B" w:rsidRPr="00905284" w:rsidRDefault="00BC196B" w:rsidP="00DF43EB">
                            <w:r w:rsidRPr="00CD120A">
                              <w:rPr>
                                <w:b/>
                              </w:rPr>
                              <w:t xml:space="preserve">Goal of the data collection: </w:t>
                            </w:r>
                            <w:r>
                              <w:t>To describe:</w:t>
                            </w:r>
                            <w:r w:rsidRPr="00CD120A">
                              <w:rPr>
                                <w:b/>
                              </w:rPr>
                              <w:t xml:space="preserve"> </w:t>
                            </w:r>
                            <w:r w:rsidRPr="00DF43EB">
                              <w:t>1.</w:t>
                            </w:r>
                            <w:r>
                              <w:rPr>
                                <w:b/>
                              </w:rPr>
                              <w:t xml:space="preserve"> </w:t>
                            </w:r>
                            <w:r w:rsidRPr="00963B2F">
                              <w:t>Facilitators and barriers to implementation of the 6|18 Initiative interventions; 2. How collaboration between public health and Medicaid contributed to success in implementing changes to Medicaid payment policy and/or increasing utilization of evidence-based preventive services; 3. How CDC’s 6|18 Initiative supported progress; and 4. How state-level factors facilitated, or posed barriers to, success.</w:t>
                            </w:r>
                          </w:p>
                          <w:p w14:paraId="782ECD77" w14:textId="77777777" w:rsidR="00BC196B" w:rsidRDefault="00BC196B" w:rsidP="00AD7007"/>
                          <w:p w14:paraId="368D376E" w14:textId="4E9356D1" w:rsidR="00BC196B" w:rsidRDefault="00BC196B" w:rsidP="00AD7007">
                            <w:r w:rsidRPr="00CD120A">
                              <w:rPr>
                                <w:b/>
                              </w:rPr>
                              <w:t>Intended use of the resulting data:</w:t>
                            </w:r>
                            <w:r w:rsidRPr="001575D8">
                              <w:t xml:space="preserve"> </w:t>
                            </w:r>
                            <w:r w:rsidRPr="004762AC">
                              <w:t>CDC will use the</w:t>
                            </w:r>
                            <w:r w:rsidRPr="001575D8">
                              <w:t xml:space="preserve"> </w:t>
                            </w:r>
                            <w:r>
                              <w:t>d</w:t>
                            </w:r>
                            <w:r w:rsidRPr="00747BA9">
                              <w:t>ata</w:t>
                            </w:r>
                            <w:r>
                              <w:t xml:space="preserve"> to describe, disseminate, and scale best practices to participating and non-participating states; and for program improvement of the CDC’s 6|18 Initiative.  State teams who are participating in the 6|18 Initiative can use t</w:t>
                            </w:r>
                            <w:r w:rsidRPr="00747BA9">
                              <w:t>he data</w:t>
                            </w:r>
                            <w:r>
                              <w:t xml:space="preserve"> to highlight their progress when engaging with their own stakeholders.</w:t>
                            </w:r>
                          </w:p>
                          <w:p w14:paraId="629451B3" w14:textId="77777777" w:rsidR="00BC196B" w:rsidRPr="00747BA9" w:rsidRDefault="00BC196B" w:rsidP="00AD7007"/>
                          <w:p w14:paraId="6F0F1897" w14:textId="73C16377" w:rsidR="00BC196B" w:rsidRDefault="00BC196B" w:rsidP="00AD7007">
                            <w:r w:rsidRPr="00CD120A">
                              <w:rPr>
                                <w:b/>
                              </w:rPr>
                              <w:t>Methods to be used to collect data:</w:t>
                            </w:r>
                            <w:r w:rsidRPr="00747BA9">
                              <w:t xml:space="preserve"> </w:t>
                            </w:r>
                            <w:r>
                              <w:t>Information will be collected via interviews conducted in-person or by phone.</w:t>
                            </w:r>
                          </w:p>
                          <w:p w14:paraId="312F4D85" w14:textId="77777777" w:rsidR="00BC196B" w:rsidRDefault="00BC196B" w:rsidP="00AD7007"/>
                          <w:p w14:paraId="7EBDBA1C" w14:textId="46A173B5" w:rsidR="00BC196B" w:rsidRDefault="00BC196B" w:rsidP="00AD7007">
                            <w:r w:rsidRPr="00CD120A">
                              <w:rPr>
                                <w:b/>
                              </w:rPr>
                              <w:t>The subpopulation to be studied:</w:t>
                            </w:r>
                            <w:r w:rsidRPr="009C7381">
                              <w:t xml:space="preserve"> </w:t>
                            </w:r>
                            <w:r>
                              <w:t xml:space="preserve">State Health Officials (i.e., Public Health and Health Care professionals) participating in 6|18 activities. </w:t>
                            </w:r>
                            <w:r w:rsidRPr="00747BA9">
                              <w:t xml:space="preserve">Data will be collected </w:t>
                            </w:r>
                            <w:r>
                              <w:t xml:space="preserve">from up to 82 respondents.  Public Health respondents will consist of: State Public Health Officials and State Public Health Analysts. Health care respondents will consist of:  State Medicaid Directors, and State Medicaid Analysts. All participants will be responding in their official capacities.  </w:t>
                            </w:r>
                          </w:p>
                          <w:p w14:paraId="4F99B95C" w14:textId="77777777" w:rsidR="00BC196B" w:rsidRDefault="00BC196B" w:rsidP="00AD7007"/>
                          <w:p w14:paraId="5768DB8E" w14:textId="77777777" w:rsidR="00BC196B" w:rsidRPr="00747BA9" w:rsidRDefault="00BC196B" w:rsidP="00AD7007">
                            <w:r w:rsidRPr="00CD120A">
                              <w:rPr>
                                <w:b/>
                              </w:rPr>
                              <w:t xml:space="preserve">How data will be analyzed: </w:t>
                            </w:r>
                            <w:r w:rsidRPr="00747BA9">
                              <w:t xml:space="preserve">Data will be analyzed </w:t>
                            </w:r>
                            <w:r>
                              <w:t xml:space="preserve">using </w:t>
                            </w:r>
                            <w:r w:rsidRPr="00747BA9">
                              <w:t>qualitative</w:t>
                            </w:r>
                            <w:r>
                              <w:t xml:space="preserve"> methods</w:t>
                            </w:r>
                            <w:r w:rsidRPr="00747BA9">
                              <w:t xml:space="preserve"> by CDC and its implementing </w:t>
                            </w:r>
                            <w:r w:rsidRPr="00632D5D">
                              <w:t>partner</w:t>
                            </w:r>
                            <w:r w:rsidRPr="00747BA9">
                              <w:t xml:space="preserve">, </w:t>
                            </w:r>
                            <w:r>
                              <w:t>George Washington University.</w:t>
                            </w:r>
                            <w:r w:rsidRPr="00747BA9">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4.4pt;width:468pt;height:396.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vJAIAAEUEAAAOAAAAZHJzL2Uyb0RvYy54bWysU9uO2yAQfa/Uf0C8N3a8SZp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">
                <v:textbox>
                  <w:txbxContent>
                    <w:p w14:paraId="274DD18E" w14:textId="51269685" w:rsidR="00BC196B" w:rsidRPr="00905284" w:rsidRDefault="00BC196B" w:rsidP="00DF43EB">
                      <w:r w:rsidRPr="00CD120A">
                        <w:rPr>
                          <w:b/>
                        </w:rPr>
                        <w:t xml:space="preserve">Goal of the data collection: </w:t>
                      </w:r>
                      <w:r>
                        <w:t>To describe:</w:t>
                      </w:r>
                      <w:r w:rsidRPr="00CD120A">
                        <w:rPr>
                          <w:b/>
                        </w:rPr>
                        <w:t xml:space="preserve"> </w:t>
                      </w:r>
                      <w:r w:rsidRPr="00DF43EB">
                        <w:t>1.</w:t>
                      </w:r>
                      <w:r>
                        <w:rPr>
                          <w:b/>
                        </w:rPr>
                        <w:t xml:space="preserve"> </w:t>
                      </w:r>
                      <w:r w:rsidRPr="00963B2F">
                        <w:t>Facilitators and barriers to implementation of the 6|18 Initiative interventions; 2. How collaboration between public health and Medicaid contributed to success in implementing changes to Medicaid payment policy and/or increasing utilization of evidence-based preventive services; 3. How CDC’s 6|18 Initiative supported progress; and 4. How state-level factors facilitated, or posed barriers to, success.</w:t>
                      </w:r>
                    </w:p>
                    <w:p w14:paraId="782ECD77" w14:textId="77777777" w:rsidR="00BC196B" w:rsidRDefault="00BC196B" w:rsidP="00AD7007"/>
                    <w:p w14:paraId="368D376E" w14:textId="4E9356D1" w:rsidR="00BC196B" w:rsidRDefault="00BC196B" w:rsidP="00AD7007">
                      <w:r w:rsidRPr="00CD120A">
                        <w:rPr>
                          <w:b/>
                        </w:rPr>
                        <w:t>Intended use of the resulting data:</w:t>
                      </w:r>
                      <w:r w:rsidRPr="001575D8">
                        <w:t xml:space="preserve"> </w:t>
                      </w:r>
                      <w:r w:rsidRPr="004762AC">
                        <w:t>CDC will use the</w:t>
                      </w:r>
                      <w:r w:rsidRPr="001575D8">
                        <w:t xml:space="preserve"> </w:t>
                      </w:r>
                      <w:r>
                        <w:t>d</w:t>
                      </w:r>
                      <w:r w:rsidRPr="00747BA9">
                        <w:t>ata</w:t>
                      </w:r>
                      <w:r>
                        <w:t xml:space="preserve"> to describe, disseminate, and scale best practices to participating and non-participating states; and for program improvement of the CDC’s 6|18 Initiative.  State teams who are participating in the 6|18 Initiative can use t</w:t>
                      </w:r>
                      <w:r w:rsidRPr="00747BA9">
                        <w:t>he data</w:t>
                      </w:r>
                      <w:r>
                        <w:t xml:space="preserve"> to highlight their progress when engaging with their own stakeholders.</w:t>
                      </w:r>
                    </w:p>
                    <w:p w14:paraId="629451B3" w14:textId="77777777" w:rsidR="00BC196B" w:rsidRPr="00747BA9" w:rsidRDefault="00BC196B" w:rsidP="00AD7007"/>
                    <w:p w14:paraId="6F0F1897" w14:textId="73C16377" w:rsidR="00BC196B" w:rsidRDefault="00BC196B" w:rsidP="00AD7007">
                      <w:r w:rsidRPr="00CD120A">
                        <w:rPr>
                          <w:b/>
                        </w:rPr>
                        <w:t>Methods to be used to collect data:</w:t>
                      </w:r>
                      <w:r w:rsidRPr="00747BA9">
                        <w:t xml:space="preserve"> </w:t>
                      </w:r>
                      <w:r>
                        <w:t>Information will be collected via interviews conducted in-person or by phone.</w:t>
                      </w:r>
                    </w:p>
                    <w:p w14:paraId="312F4D85" w14:textId="77777777" w:rsidR="00BC196B" w:rsidRDefault="00BC196B" w:rsidP="00AD7007"/>
                    <w:p w14:paraId="7EBDBA1C" w14:textId="46A173B5" w:rsidR="00BC196B" w:rsidRDefault="00BC196B" w:rsidP="00AD7007">
                      <w:r w:rsidRPr="00CD120A">
                        <w:rPr>
                          <w:b/>
                        </w:rPr>
                        <w:t>The subpopulation to be studied:</w:t>
                      </w:r>
                      <w:r w:rsidRPr="009C7381">
                        <w:t xml:space="preserve"> </w:t>
                      </w:r>
                      <w:r>
                        <w:t xml:space="preserve">State Health Officials (i.e., Public Health and Health Care professionals) participating in 6|18 activities. </w:t>
                      </w:r>
                      <w:r w:rsidRPr="00747BA9">
                        <w:t xml:space="preserve">Data will be collected </w:t>
                      </w:r>
                      <w:r>
                        <w:t xml:space="preserve">from up to 82 respondents.  Public Health respondents will consist of: State Public Health Officials and State Public Health Analysts. Health care respondents will consist of:  State Medicaid Directors, and State Medicaid Analysts. All participants will be responding in their official capacities.  </w:t>
                      </w:r>
                    </w:p>
                    <w:p w14:paraId="4F99B95C" w14:textId="77777777" w:rsidR="00BC196B" w:rsidRDefault="00BC196B" w:rsidP="00AD7007"/>
                    <w:p w14:paraId="5768DB8E" w14:textId="77777777" w:rsidR="00BC196B" w:rsidRPr="00747BA9" w:rsidRDefault="00BC196B" w:rsidP="00AD7007">
                      <w:r w:rsidRPr="00CD120A">
                        <w:rPr>
                          <w:b/>
                        </w:rPr>
                        <w:t xml:space="preserve">How data will be analyzed: </w:t>
                      </w:r>
                      <w:r w:rsidRPr="00747BA9">
                        <w:t xml:space="preserve">Data will be analyzed </w:t>
                      </w:r>
                      <w:r>
                        <w:t xml:space="preserve">using </w:t>
                      </w:r>
                      <w:r w:rsidRPr="00747BA9">
                        <w:t>qualitative</w:t>
                      </w:r>
                      <w:r>
                        <w:t xml:space="preserve"> methods</w:t>
                      </w:r>
                      <w:r w:rsidRPr="00747BA9">
                        <w:t xml:space="preserve"> by CDC and its implementing </w:t>
                      </w:r>
                      <w:r w:rsidRPr="00632D5D">
                        <w:t>partner</w:t>
                      </w:r>
                      <w:r w:rsidRPr="00747BA9">
                        <w:t xml:space="preserve">, </w:t>
                      </w:r>
                      <w:r>
                        <w:t>George Washington University.</w:t>
                      </w:r>
                      <w:r w:rsidRPr="00747BA9">
                        <w:t xml:space="preserve"> </w:t>
                      </w:r>
                    </w:p>
                  </w:txbxContent>
                </v:textbox>
                <w10:wrap type="topAndBottom" anchorx="margin"/>
              </v:shape>
            </w:pict>
          </mc:Fallback>
        </mc:AlternateContent>
      </w:r>
      <w:r w:rsidR="00905284">
        <w:t xml:space="preserve">  </w:t>
      </w:r>
    </w:p>
    <w:p w14:paraId="73A296E3" w14:textId="5400D8C1" w:rsidR="003632A8" w:rsidRDefault="003632A8" w:rsidP="00830765"/>
    <w:p w14:paraId="515E6A4B" w14:textId="77777777" w:rsidR="00ED6F31" w:rsidRDefault="00ED6F31">
      <w:pPr>
        <w:tabs>
          <w:tab w:val="clear" w:pos="9360"/>
        </w:tabs>
        <w:spacing w:after="200"/>
        <w:ind w:left="0"/>
        <w:rPr>
          <w:b/>
          <w:sz w:val="28"/>
        </w:rPr>
      </w:pPr>
      <w:r>
        <w:br w:type="page"/>
      </w:r>
    </w:p>
    <w:p w14:paraId="0D8D4090" w14:textId="6DDCF98C" w:rsidR="00ED4E72" w:rsidRPr="007D6163" w:rsidRDefault="00ED4E72" w:rsidP="00187227">
      <w:pPr>
        <w:pStyle w:val="Heading3"/>
        <w:ind w:left="0"/>
      </w:pPr>
      <w:bookmarkStart w:id="5" w:name="_Toc492543245"/>
      <w:r w:rsidRPr="007D6163">
        <w:t>Section A – Justification</w:t>
      </w:r>
      <w:bookmarkEnd w:id="5"/>
    </w:p>
    <w:p w14:paraId="7EF28D7B" w14:textId="77777777" w:rsidR="00ED4E72" w:rsidRDefault="00ED4E72" w:rsidP="00ED4E72">
      <w:pPr>
        <w:contextualSpacing/>
      </w:pPr>
    </w:p>
    <w:p w14:paraId="3A2A983A" w14:textId="134DE781" w:rsidR="00ED4E72" w:rsidRPr="00D30AA5" w:rsidRDefault="008634DD" w:rsidP="008634DD">
      <w:pPr>
        <w:pStyle w:val="Heading4"/>
        <w:numPr>
          <w:ilvl w:val="0"/>
          <w:numId w:val="0"/>
        </w:numPr>
        <w:ind w:left="360"/>
      </w:pPr>
      <w:bookmarkStart w:id="6" w:name="_Toc492543246"/>
      <w:r>
        <w:t xml:space="preserve">A1. </w:t>
      </w:r>
      <w:r w:rsidR="00ED4E72" w:rsidRPr="00D30AA5">
        <w:t>Circumstances Making the Collection of Information Necessary</w:t>
      </w:r>
      <w:bookmarkEnd w:id="6"/>
    </w:p>
    <w:p w14:paraId="0F1EBC52" w14:textId="77777777" w:rsidR="00ED4E72" w:rsidRPr="00580222" w:rsidRDefault="00ED4E72" w:rsidP="00ED4E72">
      <w:pPr>
        <w:pStyle w:val="Heading5"/>
        <w:spacing w:after="120"/>
        <w:ind w:left="360"/>
        <w:contextualSpacing/>
        <w:rPr>
          <w:b w:val="0"/>
          <w:u w:val="single"/>
        </w:rPr>
      </w:pPr>
      <w:r w:rsidRPr="00580222">
        <w:rPr>
          <w:b w:val="0"/>
          <w:u w:val="single"/>
        </w:rPr>
        <w:t>Background</w:t>
      </w:r>
    </w:p>
    <w:p w14:paraId="357007FA" w14:textId="77777777" w:rsidR="00ED4E72" w:rsidRPr="00941298" w:rsidRDefault="00ED4E72" w:rsidP="00ED4E72">
      <w:pPr>
        <w:ind w:left="360"/>
        <w:contextualSpacing/>
        <w:rPr>
          <w:i/>
        </w:rPr>
      </w:pPr>
      <w:r>
        <w:rPr>
          <w:i/>
        </w:rPr>
        <w:t>T</w:t>
      </w:r>
      <w:r w:rsidRPr="00941298">
        <w:rPr>
          <w:i/>
        </w:rPr>
        <w:t>he 6|18 Initiative</w:t>
      </w:r>
      <w:r>
        <w:rPr>
          <w:i/>
        </w:rPr>
        <w:t xml:space="preserve"> links health care and public health sectors</w:t>
      </w:r>
    </w:p>
    <w:p w14:paraId="25EEE195" w14:textId="77777777" w:rsidR="00ED4E72" w:rsidRDefault="00ED4E72" w:rsidP="00ED4E72">
      <w:pPr>
        <w:ind w:left="360"/>
        <w:contextualSpacing/>
        <w:rPr>
          <w:highlight w:val="green"/>
        </w:rPr>
      </w:pPr>
    </w:p>
    <w:p w14:paraId="5850C9D9" w14:textId="77777777" w:rsidR="00ED4E72" w:rsidRDefault="00ED4E72" w:rsidP="00ED4E72">
      <w:pPr>
        <w:ind w:left="360"/>
        <w:contextualSpacing/>
      </w:pPr>
      <w:r>
        <w:t xml:space="preserve">Major trends in health care are providing new opportunities to pay for and deliver prevention and to improve population health. New and alternative health care payment and delivery models are more patient-centered and facilitate the delivery of greater comprehensive care and prevention. Public health departments have been eager to play an active role alongside the health care sector in this time of dynamic health system change and opportunity. </w:t>
      </w:r>
    </w:p>
    <w:p w14:paraId="2E5C76EE" w14:textId="77777777" w:rsidR="00ED4E72" w:rsidRDefault="00ED4E72" w:rsidP="00ED4E72">
      <w:pPr>
        <w:ind w:left="360"/>
        <w:contextualSpacing/>
      </w:pPr>
    </w:p>
    <w:p w14:paraId="2C4B4DEC" w14:textId="7BFEB89C" w:rsidR="00ED4E72" w:rsidRDefault="00ED4E72" w:rsidP="00ED4E72">
      <w:pPr>
        <w:ind w:left="360"/>
        <w:contextualSpacing/>
      </w:pPr>
      <w:r>
        <w:t>In this context, the Centers for Disease Control and Prevention’s (CDC) 6|18 Initiative was developed for public health to provide health care purchasers, payers and providers with rigorous evidence about high-burden health conditions and associated evidence-based interventions to inform their coverage decisions to have the greatest health and</w:t>
      </w:r>
      <w:r w:rsidR="00E545E5">
        <w:t xml:space="preserve"> potential</w:t>
      </w:r>
      <w:r>
        <w:t xml:space="preserve"> cost impact in the short term</w:t>
      </w:r>
      <w:r w:rsidR="00B7693A">
        <w:t>, generally</w:t>
      </w:r>
      <w:r>
        <w:t xml:space="preserve"> in less than five years.  </w:t>
      </w:r>
      <w:r w:rsidRPr="0012014F">
        <w:t xml:space="preserve">This initiative </w:t>
      </w:r>
      <w:r w:rsidR="00646AD8">
        <w:t>promotes</w:t>
      </w:r>
      <w:r w:rsidR="00646AD8" w:rsidRPr="0012014F">
        <w:t xml:space="preserve"> </w:t>
      </w:r>
      <w:r w:rsidRPr="0012014F">
        <w:t xml:space="preserve">proven interventions that prevent chronic and infectious diseases by increasing </w:t>
      </w:r>
      <w:r>
        <w:t xml:space="preserve">the </w:t>
      </w:r>
      <w:r w:rsidRPr="0012014F">
        <w:t>coverage</w:t>
      </w:r>
      <w:r>
        <w:t xml:space="preserve"> of</w:t>
      </w:r>
      <w:r w:rsidRPr="0012014F">
        <w:t>, access</w:t>
      </w:r>
      <w:r>
        <w:t xml:space="preserve"> to</w:t>
      </w:r>
      <w:r w:rsidRPr="0012014F">
        <w:t xml:space="preserve">, utilization </w:t>
      </w:r>
      <w:r>
        <w:t xml:space="preserve">of, </w:t>
      </w:r>
      <w:r w:rsidRPr="0012014F">
        <w:t>and quality</w:t>
      </w:r>
      <w:r>
        <w:t xml:space="preserve"> of preventive services</w:t>
      </w:r>
      <w:r w:rsidRPr="0012014F">
        <w:t>. Additionally, it aligns evidence-based preventive practices with emerging value-based payment and delivery models.</w:t>
      </w:r>
    </w:p>
    <w:p w14:paraId="5FF918D2" w14:textId="77777777" w:rsidR="00ED4E72" w:rsidRDefault="00ED4E72" w:rsidP="00ED4E72">
      <w:pPr>
        <w:ind w:left="360"/>
        <w:contextualSpacing/>
      </w:pPr>
    </w:p>
    <w:p w14:paraId="3BA7B632" w14:textId="5CB80F0B" w:rsidR="00ED4E72" w:rsidRDefault="00ED4E72" w:rsidP="00476123">
      <w:pPr>
        <w:ind w:left="360"/>
        <w:contextualSpacing/>
      </w:pPr>
      <w:r>
        <w:t xml:space="preserve">This initiative links the health care and public health sectors by providing a shared focus across a spectrum of prevention interventions, from traditional clinical settings to care outside the clinical setting.  </w:t>
      </w:r>
      <w:r w:rsidRPr="0012014F">
        <w:t xml:space="preserve">CDC is partnering with health care purchasers, payers, and providers to improve health and </w:t>
      </w:r>
      <w:r w:rsidR="00E545E5">
        <w:t>potentially</w:t>
      </w:r>
      <w:r w:rsidR="0065046C">
        <w:t xml:space="preserve"> </w:t>
      </w:r>
      <w:r w:rsidR="00687830">
        <w:t>contribute to</w:t>
      </w:r>
      <w:r w:rsidR="00E545E5">
        <w:t xml:space="preserve"> </w:t>
      </w:r>
      <w:r w:rsidRPr="0012014F">
        <w:t>control</w:t>
      </w:r>
      <w:r w:rsidR="00687830">
        <w:t>ling</w:t>
      </w:r>
      <w:r w:rsidRPr="0012014F">
        <w:t xml:space="preserve"> health care costs.</w:t>
      </w:r>
      <w:r>
        <w:t xml:space="preserve">  Public health's strength in identifying and analyzing scientific evidence complements the purchaser, payer and provider role of financing and delivering care.</w:t>
      </w:r>
      <w:r w:rsidR="00476123">
        <w:t xml:space="preserve">  </w:t>
      </w:r>
      <w:r>
        <w:t xml:space="preserve">The name “6|18” comes from the initial focus on </w:t>
      </w:r>
      <w:r w:rsidRPr="00BD3EA2">
        <w:rPr>
          <w:b/>
        </w:rPr>
        <w:t>six</w:t>
      </w:r>
      <w:r>
        <w:t xml:space="preserve"> common, costly and preventable health conditions (tobacco use, high blood pressure, diabetes, asthma, healthcare-associated infections and unintended pregnancies) and</w:t>
      </w:r>
      <w:r w:rsidRPr="0012014F">
        <w:t>, initially,</w:t>
      </w:r>
      <w:r>
        <w:t xml:space="preserve"> </w:t>
      </w:r>
      <w:r w:rsidRPr="00BD3EA2">
        <w:rPr>
          <w:b/>
        </w:rPr>
        <w:t>18</w:t>
      </w:r>
      <w:r>
        <w:t xml:space="preserve"> evidence-based preve</w:t>
      </w:r>
      <w:r w:rsidR="00476123">
        <w:t>ntion and control interventions</w:t>
      </w:r>
      <w:r>
        <w:t xml:space="preserve">. </w:t>
      </w:r>
    </w:p>
    <w:p w14:paraId="2C056BBD" w14:textId="77777777" w:rsidR="00ED4E72" w:rsidRDefault="00ED4E72" w:rsidP="00ED4E72">
      <w:pPr>
        <w:ind w:left="360"/>
        <w:contextualSpacing/>
      </w:pPr>
    </w:p>
    <w:p w14:paraId="670307C0" w14:textId="24A1BE19" w:rsidR="00ED4E72" w:rsidRPr="00592FED" w:rsidRDefault="00ED4E72" w:rsidP="00ED4E72">
      <w:pPr>
        <w:ind w:left="360"/>
        <w:contextualSpacing/>
      </w:pPr>
      <w:r w:rsidRPr="0012014F">
        <w:t>The number of</w:t>
      </w:r>
      <w:r>
        <w:t xml:space="preserve"> conditions and/or</w:t>
      </w:r>
      <w:r w:rsidRPr="0012014F">
        <w:t xml:space="preserve"> interventions may fluctuate over time</w:t>
      </w:r>
      <w:r>
        <w:t xml:space="preserve"> as evidence for the effectiveness of additional proven interventions becomes available</w:t>
      </w:r>
      <w:r w:rsidRPr="0012014F">
        <w:t>.</w:t>
      </w:r>
      <w:r w:rsidRPr="00FC5F28">
        <w:t xml:space="preserve"> </w:t>
      </w:r>
      <w:r>
        <w:t xml:space="preserve">  The criteria for selecting 6|18 conditions, described later in the background section in “</w:t>
      </w:r>
      <w:r w:rsidRPr="0018579D">
        <w:rPr>
          <w:i/>
        </w:rPr>
        <w:t>Criteria for selecting 6|18 conditions</w:t>
      </w:r>
      <w:r>
        <w:t xml:space="preserve">,” will remain the same.  For ease of communication with states, partners, and other stakeholders, we will continue to refer to this as the “6|18 Initiative.”  More information on the Initiative content and progress can be found at </w:t>
      </w:r>
      <w:hyperlink r:id="rId14" w:history="1">
        <w:r w:rsidRPr="004226EE">
          <w:rPr>
            <w:rStyle w:val="Hyperlink"/>
          </w:rPr>
          <w:t>http://www.cdc.gov/sixeighteen</w:t>
        </w:r>
      </w:hyperlink>
      <w:r>
        <w:t xml:space="preserve"> </w:t>
      </w:r>
      <w:r w:rsidRPr="00471B22">
        <w:rPr>
          <w:b/>
        </w:rPr>
        <w:t>(</w:t>
      </w:r>
      <w:r>
        <w:rPr>
          <w:b/>
        </w:rPr>
        <w:t>also s</w:t>
      </w:r>
      <w:r w:rsidRPr="00471B22">
        <w:rPr>
          <w:b/>
        </w:rPr>
        <w:t xml:space="preserve">ee </w:t>
      </w:r>
      <w:r w:rsidR="00C35C44">
        <w:rPr>
          <w:b/>
        </w:rPr>
        <w:t xml:space="preserve">Attachment 6 – 6|18 </w:t>
      </w:r>
      <w:r>
        <w:rPr>
          <w:b/>
        </w:rPr>
        <w:t>Frequently Asked Questions</w:t>
      </w:r>
      <w:r w:rsidRPr="00471B22">
        <w:rPr>
          <w:b/>
        </w:rPr>
        <w:t>)</w:t>
      </w:r>
      <w:r>
        <w:rPr>
          <w:b/>
        </w:rPr>
        <w:t>.</w:t>
      </w:r>
    </w:p>
    <w:p w14:paraId="7A4D45A3" w14:textId="77777777" w:rsidR="00ED4E72" w:rsidRDefault="00ED4E72" w:rsidP="00ED4E72">
      <w:pPr>
        <w:ind w:left="360"/>
        <w:contextualSpacing/>
      </w:pPr>
    </w:p>
    <w:p w14:paraId="017565D8" w14:textId="77777777" w:rsidR="00ED4E72" w:rsidRDefault="00ED4E72" w:rsidP="00ED4E72">
      <w:pPr>
        <w:ind w:left="360"/>
        <w:contextualSpacing/>
        <w:rPr>
          <w:i/>
        </w:rPr>
      </w:pPr>
    </w:p>
    <w:p w14:paraId="0FD0CB0A" w14:textId="59788017" w:rsidR="00ED4E72" w:rsidRPr="00941298" w:rsidRDefault="00ED4E72" w:rsidP="00ED4E72">
      <w:pPr>
        <w:ind w:left="360"/>
        <w:contextualSpacing/>
        <w:rPr>
          <w:i/>
        </w:rPr>
      </w:pPr>
      <w:r w:rsidRPr="00941298">
        <w:rPr>
          <w:i/>
        </w:rPr>
        <w:t>Key 6|18 partners are State Medicaid</w:t>
      </w:r>
      <w:r w:rsidR="00320D0E">
        <w:rPr>
          <w:i/>
        </w:rPr>
        <w:t xml:space="preserve"> and State Public Health</w:t>
      </w:r>
      <w:r w:rsidRPr="00941298">
        <w:rPr>
          <w:i/>
        </w:rPr>
        <w:t xml:space="preserve"> </w:t>
      </w:r>
    </w:p>
    <w:p w14:paraId="580A019E" w14:textId="77777777" w:rsidR="00ED4E72" w:rsidRDefault="00ED4E72" w:rsidP="00ED4E72">
      <w:pPr>
        <w:ind w:left="360"/>
        <w:contextualSpacing/>
      </w:pPr>
    </w:p>
    <w:p w14:paraId="12ECFE94" w14:textId="50832256" w:rsidR="00ED4E72" w:rsidRDefault="00ED4E72" w:rsidP="00ED4E72">
      <w:pPr>
        <w:ind w:left="360"/>
        <w:contextualSpacing/>
      </w:pPr>
      <w:r w:rsidRPr="00747BA9">
        <w:t>As part of the 6|18 Initiative, CDC is partnering with state teams that include representatives from state Medicaid and Public Health agencies</w:t>
      </w:r>
      <w:r w:rsidR="0070044B">
        <w:t xml:space="preserve"> in states and large cities (hereafter referred to as states)</w:t>
      </w:r>
      <w:r>
        <w:t xml:space="preserve">.  </w:t>
      </w:r>
      <w:r w:rsidRPr="00747BA9">
        <w:t xml:space="preserve">CDC’s </w:t>
      </w:r>
      <w:r w:rsidRPr="004A3F4A">
        <w:t>goals</w:t>
      </w:r>
      <w:r w:rsidRPr="00747BA9">
        <w:t xml:space="preserve"> in working with state </w:t>
      </w:r>
      <w:r w:rsidR="002C5666" w:rsidRPr="00747BA9">
        <w:t xml:space="preserve">teams </w:t>
      </w:r>
      <w:r w:rsidR="002C5666">
        <w:t>through</w:t>
      </w:r>
      <w:r>
        <w:t xml:space="preserve"> the 6|18 Initiative </w:t>
      </w:r>
      <w:r w:rsidRPr="00747BA9">
        <w:t>are to:</w:t>
      </w:r>
      <w:r>
        <w:t xml:space="preserve"> 1. </w:t>
      </w:r>
      <w:r w:rsidRPr="00592FED">
        <w:t xml:space="preserve">Improve health and </w:t>
      </w:r>
      <w:r w:rsidR="00E545E5">
        <w:t xml:space="preserve">potentially </w:t>
      </w:r>
      <w:r w:rsidR="00687830">
        <w:t>contribute to</w:t>
      </w:r>
      <w:r w:rsidR="00E545E5">
        <w:t xml:space="preserve"> </w:t>
      </w:r>
      <w:r w:rsidRPr="00592FED">
        <w:t>control</w:t>
      </w:r>
      <w:r w:rsidR="00687830">
        <w:t>ling</w:t>
      </w:r>
      <w:r w:rsidRPr="00592FED">
        <w:t xml:space="preserve"> costs using specific evidence-based interventions</w:t>
      </w:r>
      <w:r>
        <w:t xml:space="preserve">; and 2. </w:t>
      </w:r>
      <w:r w:rsidRPr="00592FED">
        <w:t>Establish sustainable cross-sector partnerships between public health and health care purchasers, health plans, and providers to address shared health priorities</w:t>
      </w:r>
      <w:r>
        <w:t xml:space="preserve">.  </w:t>
      </w:r>
    </w:p>
    <w:p w14:paraId="28EF2C6A" w14:textId="77777777" w:rsidR="00ED4E72" w:rsidRDefault="00ED4E72" w:rsidP="00ED4E72">
      <w:pPr>
        <w:ind w:left="360"/>
        <w:contextualSpacing/>
      </w:pPr>
    </w:p>
    <w:p w14:paraId="7A879E45" w14:textId="0CE9BCC5" w:rsidR="00ED4E72" w:rsidRPr="00963B2F" w:rsidRDefault="00ED4E72" w:rsidP="00963B2F">
      <w:pPr>
        <w:ind w:left="360"/>
        <w:contextualSpacing/>
      </w:pPr>
      <w:r>
        <w:t xml:space="preserve">To assess whether the 6|18 Initiative has </w:t>
      </w:r>
      <w:r w:rsidRPr="00D47DCB">
        <w:t>support</w:t>
      </w:r>
      <w:r>
        <w:t>ed</w:t>
      </w:r>
      <w:r w:rsidRPr="00D47DCB">
        <w:t xml:space="preserve"> state</w:t>
      </w:r>
      <w:r w:rsidRPr="00731759">
        <w:t xml:space="preserve"> </w:t>
      </w:r>
      <w:r w:rsidRPr="00D47DCB">
        <w:t>efforts to improve</w:t>
      </w:r>
      <w:r>
        <w:t xml:space="preserve"> preventive service utilization by establishing cross-sector partnerships</w:t>
      </w:r>
      <w:r w:rsidR="00476123">
        <w:t xml:space="preserve"> and providing technical assistance,</w:t>
      </w:r>
      <w:r w:rsidRPr="00D47DCB">
        <w:t xml:space="preserve"> CDC </w:t>
      </w:r>
      <w:r>
        <w:t>seeks, through the proposed data collection, to</w:t>
      </w:r>
      <w:r w:rsidR="00D775DF">
        <w:t xml:space="preserve"> describe the following aspects of 6|18 Initiative-related activities</w:t>
      </w:r>
      <w:r>
        <w:t>:</w:t>
      </w:r>
      <w:r w:rsidRPr="00D47DCB">
        <w:t xml:space="preserve"> </w:t>
      </w:r>
      <w:r w:rsidR="00963B2F" w:rsidRPr="00963B2F">
        <w:t>1. Facilitators and barriers to implementation of the 6|18 Initiative interventions; 2. How collaboration between public health and Medicaid contributed to success in implementing changes to Medicaid payment policy and/or increasing utilization of evidence-based preventive services; 3. How CDC’s 6|18 Initiative supported progress; and 4. How state-level factors facilitated, or posed barriers to, success.</w:t>
      </w:r>
    </w:p>
    <w:p w14:paraId="1D2D0DF4" w14:textId="77777777" w:rsidR="00ED4E72" w:rsidRDefault="00ED4E72" w:rsidP="00ED4E72">
      <w:pPr>
        <w:ind w:left="360"/>
        <w:contextualSpacing/>
        <w:rPr>
          <w:i/>
        </w:rPr>
      </w:pPr>
    </w:p>
    <w:p w14:paraId="647D1684" w14:textId="77777777" w:rsidR="00ED4E72" w:rsidRPr="0018579D" w:rsidRDefault="00ED4E72" w:rsidP="00ED4E72">
      <w:pPr>
        <w:ind w:left="360"/>
        <w:contextualSpacing/>
        <w:rPr>
          <w:i/>
        </w:rPr>
      </w:pPr>
      <w:r w:rsidRPr="0018579D">
        <w:rPr>
          <w:i/>
        </w:rPr>
        <w:t xml:space="preserve">Criteria for selecting conditions </w:t>
      </w:r>
      <w:r>
        <w:rPr>
          <w:i/>
        </w:rPr>
        <w:t xml:space="preserve">for the </w:t>
      </w:r>
      <w:r w:rsidRPr="0018579D">
        <w:rPr>
          <w:i/>
        </w:rPr>
        <w:t xml:space="preserve">6|18 </w:t>
      </w:r>
      <w:r>
        <w:rPr>
          <w:i/>
        </w:rPr>
        <w:t>Initiative</w:t>
      </w:r>
    </w:p>
    <w:p w14:paraId="2DD5ADBB" w14:textId="77777777" w:rsidR="00ED4E72" w:rsidRDefault="00ED4E72" w:rsidP="00ED4E72">
      <w:pPr>
        <w:ind w:left="360"/>
        <w:contextualSpacing/>
      </w:pPr>
    </w:p>
    <w:p w14:paraId="7976A85C" w14:textId="4692F873" w:rsidR="00ED4E72" w:rsidRPr="00C10B4E" w:rsidRDefault="00ED4E72" w:rsidP="00ED4E72">
      <w:pPr>
        <w:ind w:left="360"/>
        <w:contextualSpacing/>
      </w:pPr>
      <w:r>
        <w:t xml:space="preserve">CDC selected as a starting point 6 high-burden, preventable conditions that met the following five criteria: (1) They affect large numbers of people; (2) They are associated with high health care costs; (3) There are </w:t>
      </w:r>
      <w:r w:rsidRPr="006532E5">
        <w:t>underutilized</w:t>
      </w:r>
      <w:r>
        <w:t xml:space="preserve"> evidence-based interventions associated with the conditions</w:t>
      </w:r>
      <w:r w:rsidRPr="006532E5">
        <w:t xml:space="preserve">, </w:t>
      </w:r>
      <w:r>
        <w:t xml:space="preserve">(4) The evidence-based interventions may </w:t>
      </w:r>
      <w:r w:rsidRPr="00D5409C">
        <w:t>prevent or control these conditions in a short time horizon (</w:t>
      </w:r>
      <w:r w:rsidR="00B7693A">
        <w:t xml:space="preserve">generally </w:t>
      </w:r>
      <w:r w:rsidRPr="00D5409C">
        <w:t xml:space="preserve">less than </w:t>
      </w:r>
      <w:r w:rsidR="00B7693A">
        <w:t>five</w:t>
      </w:r>
      <w:r w:rsidRPr="00D5409C">
        <w:t xml:space="preserve"> years)</w:t>
      </w:r>
      <w:r>
        <w:t xml:space="preserve"> and </w:t>
      </w:r>
      <w:r w:rsidR="00E545E5">
        <w:t>may</w:t>
      </w:r>
      <w:r w:rsidR="00C562EC">
        <w:t xml:space="preserve"> potential</w:t>
      </w:r>
      <w:r w:rsidR="00E545E5">
        <w:t>ly</w:t>
      </w:r>
      <w:r w:rsidR="00C562EC">
        <w:t xml:space="preserve"> </w:t>
      </w:r>
      <w:r w:rsidR="00687830">
        <w:t>contribute</w:t>
      </w:r>
      <w:r w:rsidR="00E545E5">
        <w:t xml:space="preserve"> to </w:t>
      </w:r>
      <w:r>
        <w:t xml:space="preserve">control health care costs, and (5) </w:t>
      </w:r>
      <w:r w:rsidRPr="00D5409C">
        <w:t>The evidence-based interventions can be implemented by the health care sector - health care purchasers, health plans, and providers</w:t>
      </w:r>
      <w:r>
        <w:t xml:space="preserve">.  </w:t>
      </w:r>
      <w:r w:rsidR="00AD5084">
        <w:t xml:space="preserve">The 6 conditions are: tobacco use, hypertension, healthcare-associated infections, asthma, unintended pregnancy, and diabetes.  </w:t>
      </w:r>
      <w:r w:rsidRPr="00C10B4E">
        <w:t xml:space="preserve">CDC </w:t>
      </w:r>
      <w:r w:rsidR="0052195E">
        <w:t>applied criteria, using a</w:t>
      </w:r>
      <w:r w:rsidRPr="00C10B4E">
        <w:t xml:space="preserve"> </w:t>
      </w:r>
      <w:r w:rsidR="00FE4C98">
        <w:t>systematic</w:t>
      </w:r>
      <w:r w:rsidR="00FE4C98" w:rsidRPr="00C10B4E">
        <w:t xml:space="preserve"> </w:t>
      </w:r>
      <w:r w:rsidRPr="00C10B4E">
        <w:t>process</w:t>
      </w:r>
      <w:r w:rsidR="0052195E">
        <w:t>,</w:t>
      </w:r>
      <w:r w:rsidRPr="00C10B4E">
        <w:t xml:space="preserve"> to select and identify the interventions</w:t>
      </w:r>
      <w:r>
        <w:t xml:space="preserve"> (please see </w:t>
      </w:r>
      <w:r w:rsidR="00C35C44">
        <w:rPr>
          <w:b/>
        </w:rPr>
        <w:t xml:space="preserve">Attachment 6 – 6|18 </w:t>
      </w:r>
      <w:r w:rsidRPr="00A84FF6">
        <w:rPr>
          <w:b/>
        </w:rPr>
        <w:t>Initiative Frequently Asked Questions</w:t>
      </w:r>
      <w:r>
        <w:t>)</w:t>
      </w:r>
      <w:r w:rsidRPr="00C10B4E">
        <w:t xml:space="preserve">. </w:t>
      </w:r>
      <w:r>
        <w:t xml:space="preserve"> </w:t>
      </w:r>
      <w:r w:rsidRPr="00A74AC0">
        <w:t>The interventions</w:t>
      </w:r>
      <w:r>
        <w:t xml:space="preserve"> themselves were presented as opportunities for payers and providers to consider.  </w:t>
      </w:r>
      <w:r w:rsidR="002C5666" w:rsidRPr="00C10B4E">
        <w:t>States determine</w:t>
      </w:r>
      <w:r w:rsidRPr="00C10B4E">
        <w:t xml:space="preserve"> which conditions and interventions to focus on.</w:t>
      </w:r>
    </w:p>
    <w:p w14:paraId="5825D1EC" w14:textId="77777777" w:rsidR="00ED4E72" w:rsidRDefault="00ED4E72" w:rsidP="00ED4E72">
      <w:pPr>
        <w:ind w:left="360"/>
        <w:contextualSpacing/>
        <w:rPr>
          <w:i/>
        </w:rPr>
      </w:pPr>
    </w:p>
    <w:p w14:paraId="3DF3385B" w14:textId="26DD7C0F" w:rsidR="00ED4E72" w:rsidRPr="006362F5" w:rsidRDefault="00201D73" w:rsidP="00ED4E72">
      <w:pPr>
        <w:ind w:left="360"/>
        <w:contextualSpacing/>
        <w:rPr>
          <w:i/>
        </w:rPr>
      </w:pPr>
      <w:r w:rsidRPr="006362F5">
        <w:rPr>
          <w:i/>
        </w:rPr>
        <w:t>Conditions</w:t>
      </w:r>
      <w:r w:rsidRPr="00201D73">
        <w:rPr>
          <w:i/>
        </w:rPr>
        <w:t xml:space="preserve"> </w:t>
      </w:r>
      <w:r>
        <w:rPr>
          <w:i/>
        </w:rPr>
        <w:t>targeted</w:t>
      </w:r>
      <w:r w:rsidRPr="006362F5">
        <w:rPr>
          <w:i/>
        </w:rPr>
        <w:t xml:space="preserve"> </w:t>
      </w:r>
      <w:r>
        <w:rPr>
          <w:i/>
        </w:rPr>
        <w:t xml:space="preserve">in the </w:t>
      </w:r>
      <w:r w:rsidRPr="006362F5">
        <w:rPr>
          <w:i/>
        </w:rPr>
        <w:t>6|18</w:t>
      </w:r>
      <w:r>
        <w:rPr>
          <w:i/>
        </w:rPr>
        <w:t xml:space="preserve"> Initiative</w:t>
      </w:r>
      <w:r w:rsidRPr="006362F5">
        <w:rPr>
          <w:i/>
        </w:rPr>
        <w:t xml:space="preserve"> </w:t>
      </w:r>
      <w:r>
        <w:rPr>
          <w:i/>
        </w:rPr>
        <w:t>are common, costly, and preventable</w:t>
      </w:r>
      <w:r w:rsidR="00ED4E72" w:rsidRPr="006362F5">
        <w:rPr>
          <w:i/>
        </w:rPr>
        <w:t xml:space="preserve"> </w:t>
      </w:r>
    </w:p>
    <w:p w14:paraId="36C5CAEF" w14:textId="77777777" w:rsidR="00ED4E72" w:rsidRDefault="00ED4E72" w:rsidP="00ED4E72">
      <w:pPr>
        <w:ind w:left="360"/>
        <w:contextualSpacing/>
      </w:pPr>
    </w:p>
    <w:p w14:paraId="5D06FE6D" w14:textId="3904B138" w:rsidR="00ED4E72" w:rsidRDefault="00ED4E72" w:rsidP="00ED4E72">
      <w:pPr>
        <w:ind w:left="360"/>
        <w:contextualSpacing/>
      </w:pPr>
      <w:r>
        <w:t xml:space="preserve">For a list of the 18 effective interventions within the 6 high-burden health conditions that CDC is prioritizing to improve health and </w:t>
      </w:r>
      <w:r w:rsidR="00E545E5">
        <w:t xml:space="preserve">potentially </w:t>
      </w:r>
      <w:r>
        <w:t xml:space="preserve">control health care costs, please see </w:t>
      </w:r>
      <w:r w:rsidR="00C35C44">
        <w:rPr>
          <w:b/>
        </w:rPr>
        <w:t xml:space="preserve">Attachment 6 – 6|18 </w:t>
      </w:r>
      <w:r w:rsidR="007C502E">
        <w:rPr>
          <w:b/>
        </w:rPr>
        <w:t>Frequently Asked Questions</w:t>
      </w:r>
      <w:r>
        <w:t xml:space="preserve">.  </w:t>
      </w:r>
      <w:r w:rsidR="00861637">
        <w:t xml:space="preserve">For more information on each of the conditions, including burden estimates, estimated associated costs, and the evidence-based interventions that may prevent or control the condition, please see </w:t>
      </w:r>
      <w:r w:rsidR="00861637" w:rsidRPr="00C46FE1">
        <w:rPr>
          <w:b/>
        </w:rPr>
        <w:t xml:space="preserve">Attachment </w:t>
      </w:r>
      <w:r w:rsidR="004709BF">
        <w:rPr>
          <w:b/>
        </w:rPr>
        <w:t xml:space="preserve">7 – </w:t>
      </w:r>
      <w:r w:rsidR="00861637">
        <w:rPr>
          <w:b/>
        </w:rPr>
        <w:t>6|18 Conditions: Burden, Cost, and Associated Evidence-Based Interventions</w:t>
      </w:r>
      <w:r w:rsidR="00861637">
        <w:t>.</w:t>
      </w:r>
    </w:p>
    <w:p w14:paraId="763CA00A" w14:textId="6C99300F" w:rsidR="00ED4E72" w:rsidRDefault="00ED4E72" w:rsidP="00C46FE1">
      <w:pPr>
        <w:ind w:left="0"/>
        <w:contextualSpacing/>
      </w:pPr>
    </w:p>
    <w:p w14:paraId="0ED49EA4" w14:textId="77777777" w:rsidR="00ED4E72" w:rsidRDefault="00ED4E72" w:rsidP="00ED4E72">
      <w:pPr>
        <w:ind w:left="360"/>
        <w:contextualSpacing/>
        <w:rPr>
          <w:i/>
        </w:rPr>
      </w:pPr>
    </w:p>
    <w:p w14:paraId="0DD6A890" w14:textId="754A51DC" w:rsidR="00ED4E72" w:rsidRPr="00B26765" w:rsidRDefault="00ED4E72" w:rsidP="00ED4E72">
      <w:pPr>
        <w:ind w:left="360"/>
        <w:contextualSpacing/>
        <w:rPr>
          <w:i/>
        </w:rPr>
      </w:pPr>
      <w:r>
        <w:rPr>
          <w:i/>
        </w:rPr>
        <w:t>6|18 Initiative</w:t>
      </w:r>
      <w:r w:rsidR="00580222">
        <w:rPr>
          <w:i/>
        </w:rPr>
        <w:t xml:space="preserve"> activities:</w:t>
      </w:r>
      <w:r>
        <w:rPr>
          <w:i/>
        </w:rPr>
        <w:t xml:space="preserve"> </w:t>
      </w:r>
      <w:r w:rsidRPr="00B26765">
        <w:rPr>
          <w:i/>
        </w:rPr>
        <w:t xml:space="preserve">CDC and its partners provide technical assistance to state teams </w:t>
      </w:r>
    </w:p>
    <w:p w14:paraId="7F0D4B84" w14:textId="77777777" w:rsidR="00ED4E72" w:rsidRDefault="00ED4E72" w:rsidP="00ED4E72">
      <w:pPr>
        <w:ind w:left="360"/>
        <w:contextualSpacing/>
        <w:rPr>
          <w:highlight w:val="yellow"/>
        </w:rPr>
      </w:pPr>
    </w:p>
    <w:p w14:paraId="3C16F16D" w14:textId="42AD892B" w:rsidR="00ED4E72" w:rsidRPr="00747BA9" w:rsidRDefault="00ED4E72" w:rsidP="00ED4E72">
      <w:pPr>
        <w:ind w:left="360"/>
        <w:contextualSpacing/>
      </w:pPr>
      <w:r w:rsidRPr="00731759">
        <w:t>CDC</w:t>
      </w:r>
      <w:r w:rsidRPr="00C10B4E">
        <w:t xml:space="preserve"> is leading the 6|18 Initiative with support from</w:t>
      </w:r>
      <w:r w:rsidRPr="00731759">
        <w:t xml:space="preserve"> the Centers for Medicare &amp; Medicaid Services (CMS),</w:t>
      </w:r>
      <w:r w:rsidRPr="00747BA9">
        <w:t xml:space="preserve"> </w:t>
      </w:r>
      <w:r w:rsidR="006063EF">
        <w:t xml:space="preserve">and </w:t>
      </w:r>
      <w:r w:rsidR="00E16E49">
        <w:t>the Center for Health Care Strategies (CHCS</w:t>
      </w:r>
      <w:r w:rsidR="00C52955">
        <w:t>)</w:t>
      </w:r>
      <w:r>
        <w:t>.</w:t>
      </w:r>
      <w:r w:rsidR="001F4225">
        <w:t xml:space="preserve"> </w:t>
      </w:r>
      <w:r w:rsidRPr="00747BA9">
        <w:t xml:space="preserve"> </w:t>
      </w:r>
      <w:r>
        <w:t xml:space="preserve">CDC and partners </w:t>
      </w:r>
      <w:r w:rsidRPr="00747BA9">
        <w:t xml:space="preserve">are collaborating to support and provide technical assistance to the state </w:t>
      </w:r>
      <w:r w:rsidR="002C5666" w:rsidRPr="00747BA9">
        <w:t>teams</w:t>
      </w:r>
      <w:r w:rsidR="002C5666">
        <w:t>.</w:t>
      </w:r>
      <w:r w:rsidRPr="00747BA9">
        <w:t xml:space="preserve">  </w:t>
      </w:r>
      <w:r>
        <w:t>State</w:t>
      </w:r>
      <w:r w:rsidR="009F7679">
        <w:t>s</w:t>
      </w:r>
      <w:r>
        <w:t xml:space="preserve"> select the 6|18 conditions and interventions that are best aligned with their existing efforts.  </w:t>
      </w:r>
      <w:r w:rsidR="00182568">
        <w:t>S</w:t>
      </w:r>
      <w:r w:rsidRPr="00747BA9">
        <w:t xml:space="preserve">tate </w:t>
      </w:r>
      <w:r w:rsidR="002C5666" w:rsidRPr="00747BA9">
        <w:t xml:space="preserve">teams </w:t>
      </w:r>
      <w:r w:rsidR="002C5666">
        <w:t>receive</w:t>
      </w:r>
      <w:r w:rsidRPr="00747BA9">
        <w:t xml:space="preserve"> targeted technical assistance and opportunities for peer learning</w:t>
      </w:r>
      <w:r w:rsidR="00182568">
        <w:t>,</w:t>
      </w:r>
      <w:r w:rsidRPr="00747BA9">
        <w:t xml:space="preserve"> to support implementation through CDC in partnership with the Robert Wood Johnson Foundation and </w:t>
      </w:r>
      <w:r w:rsidR="00C52955">
        <w:t>CHCS</w:t>
      </w:r>
      <w:r w:rsidRPr="00747BA9">
        <w:t xml:space="preserve">.  </w:t>
      </w:r>
    </w:p>
    <w:p w14:paraId="5738C0C8" w14:textId="77777777" w:rsidR="00ED4E72" w:rsidRPr="00747BA9" w:rsidRDefault="00ED4E72" w:rsidP="00ED4E72">
      <w:pPr>
        <w:ind w:left="360"/>
        <w:contextualSpacing/>
      </w:pPr>
    </w:p>
    <w:p w14:paraId="37489EDC" w14:textId="1BCF9975" w:rsidR="00ED4E72" w:rsidRDefault="00ED4E72" w:rsidP="00ED4E72">
      <w:pPr>
        <w:ind w:left="360"/>
        <w:contextualSpacing/>
      </w:pPr>
      <w:r w:rsidRPr="00747BA9">
        <w:t xml:space="preserve">In </w:t>
      </w:r>
      <w:r w:rsidR="00996DBA">
        <w:t>Year 1 (</w:t>
      </w:r>
      <w:r w:rsidRPr="00747BA9">
        <w:t>2016</w:t>
      </w:r>
      <w:r w:rsidR="00996DBA">
        <w:t>)</w:t>
      </w:r>
      <w:r w:rsidRPr="00747BA9">
        <w:t>, CDC and its partners provided technical assistance to</w:t>
      </w:r>
      <w:r>
        <w:t xml:space="preserve"> </w:t>
      </w:r>
      <w:r w:rsidRPr="00747BA9">
        <w:t>nine state</w:t>
      </w:r>
      <w:r>
        <w:t xml:space="preserve"> public payer</w:t>
      </w:r>
      <w:r w:rsidRPr="00747BA9">
        <w:t xml:space="preserve"> teams to support and accelerate their implementation of the 6|18 Initiative’s interventions. </w:t>
      </w:r>
      <w:r>
        <w:t xml:space="preserve"> In </w:t>
      </w:r>
      <w:r w:rsidR="00996DBA">
        <w:t>Year 2 (</w:t>
      </w:r>
      <w:r>
        <w:t>2017</w:t>
      </w:r>
      <w:r w:rsidR="00996DBA">
        <w:t>)</w:t>
      </w:r>
      <w:r>
        <w:t xml:space="preserve">, </w:t>
      </w:r>
      <w:r w:rsidRPr="00747BA9">
        <w:t xml:space="preserve">CDC and its partners </w:t>
      </w:r>
      <w:r>
        <w:t>will provide</w:t>
      </w:r>
      <w:r w:rsidRPr="00747BA9">
        <w:t xml:space="preserve"> technical assistance to</w:t>
      </w:r>
      <w:r>
        <w:t xml:space="preserve"> </w:t>
      </w:r>
      <w:r w:rsidR="00182568">
        <w:t>eight</w:t>
      </w:r>
      <w:r>
        <w:t xml:space="preserve"> new public payer teams from seven states </w:t>
      </w:r>
      <w:r w:rsidR="00F672F6">
        <w:t xml:space="preserve">and </w:t>
      </w:r>
      <w:r>
        <w:t xml:space="preserve">one large city.  Among </w:t>
      </w:r>
      <w:r w:rsidR="00996DBA">
        <w:t>Year 1</w:t>
      </w:r>
      <w:r>
        <w:t xml:space="preserve"> </w:t>
      </w:r>
      <w:r w:rsidR="00DB4FCA">
        <w:t>states</w:t>
      </w:r>
      <w:r>
        <w:t xml:space="preserve">, </w:t>
      </w:r>
      <w:r w:rsidR="00A771B4">
        <w:t xml:space="preserve">up to </w:t>
      </w:r>
      <w:r w:rsidR="00292BB7">
        <w:t>six</w:t>
      </w:r>
      <w:r>
        <w:t xml:space="preserve"> state teams </w:t>
      </w:r>
      <w:r w:rsidR="00A771B4">
        <w:t>have elected</w:t>
      </w:r>
      <w:r>
        <w:t xml:space="preserve"> to </w:t>
      </w:r>
      <w:r w:rsidR="00DB4FCA">
        <w:t>continue receiving</w:t>
      </w:r>
      <w:r>
        <w:t xml:space="preserve"> technical assistance in 2017.  The remaining </w:t>
      </w:r>
      <w:r w:rsidR="00292BB7">
        <w:t>three</w:t>
      </w:r>
      <w:r>
        <w:t xml:space="preserve"> </w:t>
      </w:r>
      <w:r w:rsidR="00DB4FCA">
        <w:t xml:space="preserve">Year 1 </w:t>
      </w:r>
      <w:r>
        <w:t>state</w:t>
      </w:r>
      <w:r w:rsidR="00DB4FCA">
        <w:t xml:space="preserve">s </w:t>
      </w:r>
      <w:r>
        <w:t>have “graduated” from the 6|18 Initiative</w:t>
      </w:r>
      <w:r w:rsidR="00996DBA">
        <w:t>, as their activities and technical assistance needs have</w:t>
      </w:r>
      <w:r w:rsidR="00674694">
        <w:t xml:space="preserve"> </w:t>
      </w:r>
      <w:r w:rsidR="00937737">
        <w:t>progressed</w:t>
      </w:r>
      <w:r w:rsidR="00996DBA">
        <w:t xml:space="preserve"> beyond the targeted scope of technical assistance provided by 6|18</w:t>
      </w:r>
      <w:r>
        <w:t xml:space="preserve">.  </w:t>
      </w:r>
    </w:p>
    <w:p w14:paraId="78032E77" w14:textId="77777777" w:rsidR="00ED4E72" w:rsidRDefault="00ED4E72" w:rsidP="00ED4E72">
      <w:pPr>
        <w:ind w:left="360"/>
        <w:contextualSpacing/>
      </w:pPr>
    </w:p>
    <w:p w14:paraId="546A6AB1" w14:textId="77777777" w:rsidR="00E7654E" w:rsidRPr="00580222" w:rsidRDefault="00E7654E" w:rsidP="00E7654E">
      <w:pPr>
        <w:ind w:left="360"/>
        <w:contextualSpacing/>
        <w:rPr>
          <w:u w:val="single"/>
        </w:rPr>
      </w:pPr>
      <w:r w:rsidRPr="00580222">
        <w:rPr>
          <w:u w:val="single"/>
        </w:rPr>
        <w:t>Overview of the proposed information collection</w:t>
      </w:r>
    </w:p>
    <w:p w14:paraId="118BFA59" w14:textId="77777777" w:rsidR="00E7654E" w:rsidRDefault="00E7654E" w:rsidP="00ED4E72">
      <w:pPr>
        <w:ind w:left="360"/>
        <w:contextualSpacing/>
      </w:pPr>
    </w:p>
    <w:p w14:paraId="420FD271" w14:textId="7D8DE291" w:rsidR="00E7654E" w:rsidRDefault="00E7654E" w:rsidP="00ED4E72">
      <w:pPr>
        <w:ind w:left="360"/>
        <w:contextualSpacing/>
      </w:pPr>
      <w:r w:rsidRPr="00E7654E">
        <w:rPr>
          <w:i/>
        </w:rPr>
        <w:t>Methodology</w:t>
      </w:r>
    </w:p>
    <w:p w14:paraId="2D1A958D" w14:textId="5C74A3C2" w:rsidR="00ED4E72" w:rsidRDefault="00ED4E72" w:rsidP="00ED4E72">
      <w:pPr>
        <w:ind w:left="360"/>
        <w:contextualSpacing/>
      </w:pPr>
      <w:r>
        <w:t>In order to better understand qualitative lessons learned in cross-sector collaboration, CDC and co-operative agreement sub-contractor George Washington University</w:t>
      </w:r>
      <w:r w:rsidRPr="00747BA9">
        <w:t xml:space="preserve"> </w:t>
      </w:r>
      <w:r>
        <w:t xml:space="preserve">seek OMB approval to conduct interviews, </w:t>
      </w:r>
      <w:r w:rsidR="00506796">
        <w:t>either</w:t>
      </w:r>
      <w:r>
        <w:t xml:space="preserve"> in-person or by phone, with 6|18 participants. These include </w:t>
      </w:r>
      <w:r w:rsidR="001253DB">
        <w:t xml:space="preserve">staff from </w:t>
      </w:r>
      <w:r>
        <w:t>State Public Health Departments</w:t>
      </w:r>
      <w:r w:rsidR="001253DB" w:rsidRPr="001253DB">
        <w:t xml:space="preserve"> </w:t>
      </w:r>
      <w:r w:rsidR="001253DB" w:rsidRPr="00770C5F">
        <w:t>and</w:t>
      </w:r>
      <w:r w:rsidR="001253DB">
        <w:t xml:space="preserve"> State Medicaid Agencies</w:t>
      </w:r>
      <w:r w:rsidRPr="00770C5F">
        <w:t>.</w:t>
      </w:r>
      <w:r w:rsidR="00DB4FCA">
        <w:t xml:space="preserve">  </w:t>
      </w:r>
      <w:r w:rsidRPr="00770C5F">
        <w:t>We seek to conduct</w:t>
      </w:r>
      <w:r w:rsidR="00C4030C" w:rsidRPr="00770C5F">
        <w:t xml:space="preserve"> </w:t>
      </w:r>
      <w:r w:rsidR="00592DC1">
        <w:t>semi-structured individual</w:t>
      </w:r>
      <w:r w:rsidRPr="00770C5F">
        <w:t xml:space="preserve"> </w:t>
      </w:r>
      <w:r w:rsidR="003632A8" w:rsidRPr="00770C5F">
        <w:t>interviews</w:t>
      </w:r>
      <w:r w:rsidR="007B21F0">
        <w:t xml:space="preserve"> </w:t>
      </w:r>
      <w:r w:rsidR="00C4030C" w:rsidRPr="00770C5F">
        <w:t xml:space="preserve">with </w:t>
      </w:r>
      <w:r w:rsidR="007B21F0">
        <w:t xml:space="preserve">up to </w:t>
      </w:r>
      <w:r w:rsidR="00371275">
        <w:t>82</w:t>
      </w:r>
      <w:r w:rsidR="007B21F0">
        <w:t xml:space="preserve"> participants in </w:t>
      </w:r>
      <w:r w:rsidR="00C4030C" w:rsidRPr="00770C5F">
        <w:t xml:space="preserve">up to </w:t>
      </w:r>
      <w:r w:rsidR="00F54E89">
        <w:t>17</w:t>
      </w:r>
      <w:r w:rsidR="00C4030C" w:rsidRPr="00770C5F">
        <w:t xml:space="preserve"> </w:t>
      </w:r>
      <w:r w:rsidR="00F672F6">
        <w:t>states</w:t>
      </w:r>
      <w:r w:rsidR="00C4030C" w:rsidRPr="00770C5F">
        <w:t xml:space="preserve">.  </w:t>
      </w:r>
      <w:r w:rsidR="00743327">
        <w:t xml:space="preserve">As part of their ongoing work with </w:t>
      </w:r>
      <w:r w:rsidR="00283743" w:rsidRPr="00770C5F">
        <w:t xml:space="preserve">6|18, </w:t>
      </w:r>
      <w:r w:rsidR="00743327">
        <w:t xml:space="preserve">states </w:t>
      </w:r>
      <w:r w:rsidR="00283743" w:rsidRPr="00770C5F">
        <w:t xml:space="preserve">were asked to </w:t>
      </w:r>
      <w:r w:rsidR="00743327">
        <w:t xml:space="preserve">participate in </w:t>
      </w:r>
      <w:r w:rsidR="00283743" w:rsidRPr="00770C5F">
        <w:t>assessment activities.  However, p</w:t>
      </w:r>
      <w:r w:rsidRPr="00770C5F">
        <w:t>articipating in this assessment is not required as a condition of joining 6|18</w:t>
      </w:r>
      <w:r w:rsidR="00145CE6">
        <w:t xml:space="preserve"> or receiving support from 6|18</w:t>
      </w:r>
      <w:r w:rsidRPr="00770C5F">
        <w:t xml:space="preserve">; we will only interview </w:t>
      </w:r>
      <w:r w:rsidR="00F672F6">
        <w:t>states</w:t>
      </w:r>
      <w:r w:rsidRPr="00770C5F">
        <w:t xml:space="preserve"> and individuals that agree to our invitation.</w:t>
      </w:r>
      <w:r w:rsidR="00996DBA" w:rsidRPr="00770C5F">
        <w:t xml:space="preserve">  </w:t>
      </w:r>
    </w:p>
    <w:p w14:paraId="69382FAB" w14:textId="2D611367" w:rsidR="001B0B3E" w:rsidRDefault="001B0B3E" w:rsidP="00ED4E72">
      <w:pPr>
        <w:ind w:left="360"/>
        <w:contextualSpacing/>
      </w:pPr>
    </w:p>
    <w:p w14:paraId="6FE801AF" w14:textId="67F3E306" w:rsidR="00ED4E72" w:rsidRPr="00770C5F" w:rsidRDefault="00ED4E72" w:rsidP="00ED4E72">
      <w:pPr>
        <w:ind w:left="360"/>
        <w:contextualSpacing/>
        <w:rPr>
          <w:i/>
        </w:rPr>
      </w:pPr>
      <w:r w:rsidRPr="00770C5F">
        <w:rPr>
          <w:i/>
        </w:rPr>
        <w:t>Respondent universe for the proposed data collection</w:t>
      </w:r>
    </w:p>
    <w:p w14:paraId="32959102" w14:textId="74C8B4CE" w:rsidR="00ED4E72" w:rsidRDefault="00ED4E72" w:rsidP="00ED4E72">
      <w:pPr>
        <w:ind w:left="360"/>
        <w:contextualSpacing/>
      </w:pPr>
      <w:r w:rsidRPr="00770C5F">
        <w:t xml:space="preserve">This is a new information collection. Data will be collected from up to </w:t>
      </w:r>
      <w:r w:rsidR="00F54E89">
        <w:t>8</w:t>
      </w:r>
      <w:r w:rsidR="002F0DF5">
        <w:t>2</w:t>
      </w:r>
      <w:r w:rsidRPr="00770C5F">
        <w:t xml:space="preserve"> respondents.  The</w:t>
      </w:r>
      <w:r>
        <w:t xml:space="preserve"> respondent universe for this information collection consists of Public Health and Health Care respondents.  Public Health respondents will consist of: State Public Health Officials, and State Public Health Analysts. Health Care respondents will consist of:  State Medicaid Directors, </w:t>
      </w:r>
      <w:r w:rsidR="003A7340">
        <w:t>and State Medicaid Analysts</w:t>
      </w:r>
      <w:r>
        <w:t xml:space="preserve">. All participants will be responding in their official capacities.  </w:t>
      </w:r>
      <w:r w:rsidR="00AD5084">
        <w:t>OMB approval is requested for 3 years.</w:t>
      </w:r>
    </w:p>
    <w:p w14:paraId="2EE8CC13" w14:textId="77777777" w:rsidR="00ED4E72" w:rsidRDefault="00ED4E72" w:rsidP="00ED4E72">
      <w:pPr>
        <w:ind w:left="360"/>
        <w:contextualSpacing/>
      </w:pPr>
    </w:p>
    <w:p w14:paraId="33E9C048" w14:textId="2B0AEBBF" w:rsidR="00ED4E72" w:rsidRPr="00F5291C" w:rsidRDefault="003E05AD" w:rsidP="00ED4E72">
      <w:pPr>
        <w:ind w:left="360"/>
        <w:contextualSpacing/>
        <w:rPr>
          <w:i/>
        </w:rPr>
      </w:pPr>
      <w:r>
        <w:rPr>
          <w:i/>
        </w:rPr>
        <w:t>Intended use of t</w:t>
      </w:r>
      <w:r w:rsidR="00ED4E72">
        <w:rPr>
          <w:i/>
        </w:rPr>
        <w:t>he p</w:t>
      </w:r>
      <w:r w:rsidR="00ED4E72" w:rsidRPr="00F5291C">
        <w:rPr>
          <w:i/>
        </w:rPr>
        <w:t xml:space="preserve">roposed data collection </w:t>
      </w:r>
      <w:r>
        <w:rPr>
          <w:i/>
        </w:rPr>
        <w:t xml:space="preserve">to </w:t>
      </w:r>
      <w:r w:rsidR="00ED4E72" w:rsidRPr="00F5291C">
        <w:rPr>
          <w:i/>
        </w:rPr>
        <w:t>fill a knowledge gap</w:t>
      </w:r>
    </w:p>
    <w:p w14:paraId="298259A8" w14:textId="4A304FD1" w:rsidR="00ED4E72" w:rsidRDefault="00ED4E72" w:rsidP="00ED4E72">
      <w:pPr>
        <w:ind w:left="360"/>
        <w:contextualSpacing/>
      </w:pPr>
      <w:r w:rsidRPr="00363EBB">
        <w:t xml:space="preserve">Since cross-sector public health-health care collaboration to improve population health is still not a standard practice, information regarding public or private payer collaboration with public health agencies to jointly improve population health is scarce. There are few or no </w:t>
      </w:r>
      <w:r>
        <w:t xml:space="preserve">existing </w:t>
      </w:r>
      <w:r w:rsidRPr="00363EBB">
        <w:t xml:space="preserve">case studies related to public health-health care collaboration around increasing </w:t>
      </w:r>
      <w:r w:rsidR="00AD5084">
        <w:t xml:space="preserve">the utilization of </w:t>
      </w:r>
      <w:r w:rsidRPr="00363EBB">
        <w:t>preventive service</w:t>
      </w:r>
      <w:r w:rsidR="00AD5084">
        <w:t>s</w:t>
      </w:r>
      <w:r w:rsidRPr="00363EBB">
        <w:t>.  This data collection is intended to fill this knowledge gap.</w:t>
      </w:r>
      <w:r>
        <w:t xml:space="preserve">  </w:t>
      </w:r>
      <w:r w:rsidR="00C562EC">
        <w:t xml:space="preserve">However, </w:t>
      </w:r>
      <w:r w:rsidR="00AD5084">
        <w:t xml:space="preserve">the proposed information collection does not address the potential </w:t>
      </w:r>
      <w:r w:rsidR="00C562EC">
        <w:t>c</w:t>
      </w:r>
      <w:r w:rsidR="00F72796">
        <w:t>ost-savings</w:t>
      </w:r>
      <w:r w:rsidR="00AD5084">
        <w:t xml:space="preserve"> or</w:t>
      </w:r>
      <w:r w:rsidR="00F72796">
        <w:t xml:space="preserve"> cost-effectiveness </w:t>
      </w:r>
      <w:r w:rsidR="00AD5084">
        <w:t>of preventive services</w:t>
      </w:r>
      <w:r w:rsidR="00F72796">
        <w:t xml:space="preserve">.  </w:t>
      </w:r>
      <w:r w:rsidR="003E05AD" w:rsidRPr="004762AC">
        <w:t>CDC will use the</w:t>
      </w:r>
      <w:r w:rsidR="003E05AD" w:rsidRPr="001575D8">
        <w:rPr>
          <w:b/>
        </w:rPr>
        <w:t xml:space="preserve"> </w:t>
      </w:r>
      <w:r w:rsidR="003E05AD">
        <w:t>d</w:t>
      </w:r>
      <w:r w:rsidR="003E05AD" w:rsidRPr="00747BA9">
        <w:t>ata</w:t>
      </w:r>
      <w:r w:rsidR="003E05AD">
        <w:t xml:space="preserve"> </w:t>
      </w:r>
      <w:r w:rsidR="00F72796">
        <w:t xml:space="preserve">from this data collection </w:t>
      </w:r>
      <w:r w:rsidR="003E05AD">
        <w:t xml:space="preserve">to describe, disseminate, and scale best practices to participating and non-participating states; and for program improvement of the CDC’s 6|18 Initiative.  </w:t>
      </w:r>
    </w:p>
    <w:p w14:paraId="08F4B72E" w14:textId="77777777" w:rsidR="004C4D4C" w:rsidRDefault="004C4D4C" w:rsidP="004C4D4C">
      <w:pPr>
        <w:ind w:left="360"/>
        <w:contextualSpacing/>
        <w:rPr>
          <w:i/>
        </w:rPr>
      </w:pPr>
    </w:p>
    <w:p w14:paraId="7923FA76" w14:textId="77777777" w:rsidR="004C4D4C" w:rsidRPr="00580222" w:rsidRDefault="004C4D4C" w:rsidP="004C4D4C">
      <w:pPr>
        <w:ind w:left="360"/>
        <w:contextualSpacing/>
        <w:rPr>
          <w:u w:val="single"/>
        </w:rPr>
      </w:pPr>
      <w:r w:rsidRPr="00580222">
        <w:rPr>
          <w:u w:val="single"/>
        </w:rPr>
        <w:t>Legislative authorization</w:t>
      </w:r>
    </w:p>
    <w:p w14:paraId="1C91CB0C" w14:textId="3525301C" w:rsidR="00523373" w:rsidRPr="00FB433C" w:rsidRDefault="004C4D4C" w:rsidP="00523373">
      <w:pPr>
        <w:ind w:left="360"/>
        <w:contextualSpacing/>
      </w:pPr>
      <w:r w:rsidRPr="00831A1B">
        <w:t xml:space="preserve">The Centers for Disease Control and Prevention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w:t>
      </w:r>
      <w:r w:rsidRPr="00FB433C">
        <w:t>healthy life for all people</w:t>
      </w:r>
      <w:r w:rsidR="00523373" w:rsidRPr="00FB433C">
        <w:t xml:space="preserve">. </w:t>
      </w:r>
      <w:r w:rsidRPr="00FB433C">
        <w:t xml:space="preserve"> </w:t>
      </w:r>
      <w:r w:rsidR="00523373" w:rsidRPr="00FB433C">
        <w:t>CDC’s authority to collect this information is provided by the Public Health Service Act, 42 USC 241, Research and Investigation (</w:t>
      </w:r>
      <w:r w:rsidR="00523373" w:rsidRPr="00FB433C">
        <w:rPr>
          <w:b/>
        </w:rPr>
        <w:t>Attachment 1</w:t>
      </w:r>
      <w:r w:rsidR="00523373" w:rsidRPr="00FB433C">
        <w:t xml:space="preserve">).   </w:t>
      </w:r>
    </w:p>
    <w:p w14:paraId="0FA42100" w14:textId="6A2AAF5D" w:rsidR="00B34ABC" w:rsidRPr="003C47EF" w:rsidRDefault="00523373" w:rsidP="00523373">
      <w:pPr>
        <w:ind w:left="360"/>
        <w:contextualSpacing/>
      </w:pPr>
      <w:r w:rsidRPr="00831A1B">
        <w:t xml:space="preserve"> </w:t>
      </w:r>
      <w:bookmarkEnd w:id="2"/>
      <w:bookmarkEnd w:id="3"/>
    </w:p>
    <w:p w14:paraId="3FDA0611" w14:textId="7E184998" w:rsidR="00B12F51" w:rsidRPr="00E519C3" w:rsidRDefault="00B937F5" w:rsidP="00B937F5">
      <w:pPr>
        <w:pStyle w:val="Heading4"/>
        <w:numPr>
          <w:ilvl w:val="0"/>
          <w:numId w:val="0"/>
        </w:numPr>
        <w:ind w:left="-990"/>
      </w:pPr>
      <w:r>
        <w:t xml:space="preserve">                     </w:t>
      </w:r>
      <w:bookmarkStart w:id="7" w:name="_Toc492543247"/>
      <w:r>
        <w:t xml:space="preserve">A2. </w:t>
      </w:r>
      <w:r w:rsidR="00B12F51" w:rsidRPr="00E519C3">
        <w:t>Purpose and Use of the Information Collection</w:t>
      </w:r>
      <w:bookmarkEnd w:id="7"/>
    </w:p>
    <w:p w14:paraId="31245670" w14:textId="01B56FC6" w:rsidR="00DE55BF" w:rsidRDefault="00E519C3" w:rsidP="00EA2E80">
      <w:pPr>
        <w:ind w:left="360"/>
      </w:pPr>
      <w:r w:rsidRPr="00747BA9">
        <w:t>The purpose of th</w:t>
      </w:r>
      <w:r>
        <w:t>is</w:t>
      </w:r>
      <w:r w:rsidRPr="00747BA9">
        <w:t xml:space="preserve"> data collection is</w:t>
      </w:r>
      <w:r w:rsidR="00374724">
        <w:t xml:space="preserve"> to</w:t>
      </w:r>
      <w:r w:rsidR="00DE55BF">
        <w:t>:</w:t>
      </w:r>
    </w:p>
    <w:p w14:paraId="54A772B0" w14:textId="77777777" w:rsidR="000E7E10" w:rsidRPr="00C545F8" w:rsidRDefault="000E7E10" w:rsidP="000E7E10">
      <w:pPr>
        <w:pStyle w:val="ListParagraph"/>
        <w:numPr>
          <w:ilvl w:val="0"/>
          <w:numId w:val="39"/>
        </w:numPr>
        <w:tabs>
          <w:tab w:val="clear" w:pos="9360"/>
        </w:tabs>
        <w:spacing w:after="200"/>
      </w:pPr>
      <w:r>
        <w:t xml:space="preserve">Describe </w:t>
      </w:r>
      <w:r w:rsidRPr="00C545F8">
        <w:t>the facilitators and barriers to implementation of the 6|18 Initiative interventions selected by the participating state.</w:t>
      </w:r>
    </w:p>
    <w:p w14:paraId="36E79F35" w14:textId="77777777" w:rsidR="000E7E10" w:rsidRPr="00C545F8" w:rsidRDefault="000E7E10" w:rsidP="000E7E10">
      <w:pPr>
        <w:pStyle w:val="ListParagraph"/>
        <w:numPr>
          <w:ilvl w:val="0"/>
          <w:numId w:val="39"/>
        </w:numPr>
        <w:tabs>
          <w:tab w:val="clear" w:pos="9360"/>
        </w:tabs>
        <w:spacing w:after="200"/>
      </w:pPr>
      <w:r w:rsidRPr="00C545F8">
        <w:t>Describe how collaborative activities between the health care and public health sectors informed changes to Medicaid payment policy and increased utilization of evidence-based preventive services.</w:t>
      </w:r>
    </w:p>
    <w:p w14:paraId="7103876F" w14:textId="77777777" w:rsidR="000E7E10" w:rsidRDefault="000E7E10" w:rsidP="000E7E10">
      <w:pPr>
        <w:pStyle w:val="ListParagraph"/>
        <w:numPr>
          <w:ilvl w:val="0"/>
          <w:numId w:val="39"/>
        </w:numPr>
        <w:tabs>
          <w:tab w:val="clear" w:pos="9360"/>
        </w:tabs>
        <w:spacing w:after="200"/>
      </w:pPr>
      <w:r w:rsidRPr="00C545F8">
        <w:t>Describe how participation in CDC’s 6|18 Initiative informed changes to (or accelerated progress towards) Medicaid payment policy and increased utilization of evidence-based preventive services.</w:t>
      </w:r>
    </w:p>
    <w:p w14:paraId="17293753" w14:textId="6B92924D" w:rsidR="000E7E10" w:rsidRDefault="000E7E10" w:rsidP="000E7E10">
      <w:pPr>
        <w:pStyle w:val="ListParagraph"/>
        <w:numPr>
          <w:ilvl w:val="0"/>
          <w:numId w:val="39"/>
        </w:numPr>
        <w:tabs>
          <w:tab w:val="clear" w:pos="9360"/>
        </w:tabs>
        <w:spacing w:after="200"/>
      </w:pPr>
      <w:r w:rsidRPr="00C545F8">
        <w:t xml:space="preserve">Describe how state-level factors (e.g., organizational state-level infrastructure, federal investments in improving the delivery of state-level health care) facilitated, or posed barriers to, implementing changes to Medicaid payment policy and increasing utilization of evidence-based preventive services.  </w:t>
      </w:r>
    </w:p>
    <w:p w14:paraId="1145B8DE" w14:textId="77777777" w:rsidR="00CC5F64" w:rsidRDefault="00CC5F64" w:rsidP="00C87D78">
      <w:pPr>
        <w:ind w:left="0"/>
      </w:pPr>
    </w:p>
    <w:p w14:paraId="1B6D0688" w14:textId="77777777" w:rsidR="00CC5F64" w:rsidRDefault="00CC5F64" w:rsidP="00CC5F64">
      <w:pPr>
        <w:pStyle w:val="ListParagraph"/>
        <w:tabs>
          <w:tab w:val="clear" w:pos="9360"/>
        </w:tabs>
        <w:spacing w:after="200"/>
        <w:ind w:left="360"/>
      </w:pPr>
      <w:r w:rsidRPr="004762AC">
        <w:t>CDC will use the</w:t>
      </w:r>
      <w:r w:rsidRPr="001575D8">
        <w:rPr>
          <w:b/>
        </w:rPr>
        <w:t xml:space="preserve"> </w:t>
      </w:r>
      <w:r>
        <w:t>d</w:t>
      </w:r>
      <w:r w:rsidRPr="00747BA9">
        <w:t>ata</w:t>
      </w:r>
      <w:r>
        <w:t xml:space="preserve"> to:</w:t>
      </w:r>
    </w:p>
    <w:p w14:paraId="74B719DD" w14:textId="3A4DA293" w:rsidR="00CC5F64" w:rsidRDefault="00CC5F64" w:rsidP="00CC5F64">
      <w:pPr>
        <w:pStyle w:val="ListParagraph"/>
        <w:numPr>
          <w:ilvl w:val="0"/>
          <w:numId w:val="40"/>
        </w:numPr>
        <w:tabs>
          <w:tab w:val="clear" w:pos="9360"/>
        </w:tabs>
        <w:spacing w:after="200"/>
      </w:pPr>
      <w:r>
        <w:t>Describe, disseminate, and scale best practices to participating and non-participating states</w:t>
      </w:r>
      <w:r w:rsidR="00A54D05">
        <w:t>.</w:t>
      </w:r>
      <w:r w:rsidR="00A54D05" w:rsidRPr="00A54D05">
        <w:t xml:space="preserve"> </w:t>
      </w:r>
      <w:r w:rsidR="00A54D05">
        <w:t>State teams who are participating in the 6|18 Initiative can use t</w:t>
      </w:r>
      <w:r w:rsidR="00A54D05" w:rsidRPr="00747BA9">
        <w:t>he data</w:t>
      </w:r>
      <w:r w:rsidR="00A54D05">
        <w:t xml:space="preserve"> to highlight their progress when engaging with their own stakeholders.</w:t>
      </w:r>
    </w:p>
    <w:p w14:paraId="3E7252CA" w14:textId="205482DA" w:rsidR="00CC5F64" w:rsidRDefault="00CC5F64" w:rsidP="00CC5F64">
      <w:pPr>
        <w:pStyle w:val="ListParagraph"/>
        <w:numPr>
          <w:ilvl w:val="0"/>
          <w:numId w:val="40"/>
        </w:numPr>
        <w:tabs>
          <w:tab w:val="clear" w:pos="9360"/>
        </w:tabs>
        <w:spacing w:after="200"/>
      </w:pPr>
      <w:r>
        <w:t xml:space="preserve">For program improvement of the CDC’s 6|18 Initiative.  </w:t>
      </w:r>
    </w:p>
    <w:p w14:paraId="7CDF90CC" w14:textId="77777777" w:rsidR="009E73D5" w:rsidRPr="00030A3F" w:rsidRDefault="009E73D5" w:rsidP="00EA2E80">
      <w:pPr>
        <w:ind w:left="360"/>
      </w:pPr>
    </w:p>
    <w:p w14:paraId="678E9C21" w14:textId="2A3E1832" w:rsidR="00B47055" w:rsidRPr="00B47055" w:rsidRDefault="00B937F5" w:rsidP="00B937F5">
      <w:pPr>
        <w:pStyle w:val="Heading4"/>
        <w:numPr>
          <w:ilvl w:val="0"/>
          <w:numId w:val="0"/>
        </w:numPr>
        <w:ind w:left="-990"/>
      </w:pPr>
      <w:r>
        <w:t xml:space="preserve">                  </w:t>
      </w:r>
      <w:bookmarkStart w:id="8" w:name="_Toc492543248"/>
      <w:r>
        <w:t xml:space="preserve">A3. </w:t>
      </w:r>
      <w:r w:rsidR="00B47055" w:rsidRPr="00B47055">
        <w:t>Use of Improved Information Technology and Burden Reduction</w:t>
      </w:r>
      <w:bookmarkEnd w:id="8"/>
    </w:p>
    <w:p w14:paraId="65089A5E" w14:textId="207E02B5" w:rsidR="00692DEB" w:rsidRPr="00711BFA" w:rsidRDefault="00692DEB" w:rsidP="00EA2E80">
      <w:pPr>
        <w:ind w:left="360"/>
      </w:pPr>
      <w:r w:rsidRPr="00711BFA">
        <w:t xml:space="preserve">Data will be collected via </w:t>
      </w:r>
      <w:r w:rsidR="007C34EB">
        <w:t>phone or in-person interview</w:t>
      </w:r>
      <w:r w:rsidRPr="00711BFA">
        <w:t>.</w:t>
      </w:r>
      <w:r w:rsidR="007C34EB">
        <w:t xml:space="preserve"> </w:t>
      </w:r>
      <w:r w:rsidRPr="00711BFA">
        <w:t xml:space="preserve"> This method was chosen to reduce the overall burden on respondents</w:t>
      </w:r>
      <w:r w:rsidR="006E32EF">
        <w:t>, since preparation and information gathering time will be minimal</w:t>
      </w:r>
      <w:r w:rsidRPr="00711BFA">
        <w:t xml:space="preserve">. </w:t>
      </w:r>
      <w:r w:rsidRPr="006F0460">
        <w:t>The information collection instrument</w:t>
      </w:r>
      <w:r w:rsidR="00E46C95">
        <w:t>s</w:t>
      </w:r>
      <w:r w:rsidRPr="006F0460">
        <w:t xml:space="preserve"> </w:t>
      </w:r>
      <w:r w:rsidR="00E46C95">
        <w:t>were</w:t>
      </w:r>
      <w:r w:rsidRPr="00711BFA">
        <w:t xml:space="preserve"> designed to collect the minimum information necessary for the purposes of this project</w:t>
      </w:r>
      <w:r w:rsidR="00EA76DE">
        <w:t>:</w:t>
      </w:r>
      <w:r w:rsidRPr="00711BFA">
        <w:t xml:space="preserve"> </w:t>
      </w:r>
      <w:r w:rsidR="00442D29">
        <w:t>questions are limited to information that is not available elsewhere</w:t>
      </w:r>
      <w:r w:rsidR="006E5617">
        <w:t>.  I</w:t>
      </w:r>
      <w:r w:rsidR="007C34EB">
        <w:t>nterview</w:t>
      </w:r>
      <w:r w:rsidR="009244A9">
        <w:t xml:space="preserve"> length will be capped </w:t>
      </w:r>
      <w:r w:rsidR="00442D29">
        <w:t>a</w:t>
      </w:r>
      <w:r w:rsidR="009244A9">
        <w:t>t</w:t>
      </w:r>
      <w:r w:rsidR="006E5016">
        <w:t xml:space="preserve"> one hour</w:t>
      </w:r>
      <w:r w:rsidR="00AD5084">
        <w:t>.</w:t>
      </w:r>
    </w:p>
    <w:p w14:paraId="7C51FA1B" w14:textId="77777777" w:rsidR="00C017EF" w:rsidRDefault="00C017EF" w:rsidP="007D6163">
      <w:pPr>
        <w:pStyle w:val="ListParagraph"/>
      </w:pPr>
    </w:p>
    <w:p w14:paraId="188AF747" w14:textId="77777777" w:rsidR="00B34ABC" w:rsidRDefault="00B34ABC" w:rsidP="007D6163">
      <w:pPr>
        <w:pStyle w:val="ListParagraph"/>
      </w:pPr>
    </w:p>
    <w:p w14:paraId="09EAD5ED" w14:textId="5EFCFEED" w:rsidR="00B47055" w:rsidRPr="00B47055" w:rsidRDefault="00B937F5" w:rsidP="00B937F5">
      <w:pPr>
        <w:pStyle w:val="Heading4"/>
        <w:numPr>
          <w:ilvl w:val="0"/>
          <w:numId w:val="0"/>
        </w:numPr>
        <w:ind w:left="-990"/>
      </w:pPr>
      <w:r>
        <w:t xml:space="preserve">                 </w:t>
      </w:r>
      <w:bookmarkStart w:id="9" w:name="_Toc492543249"/>
      <w:r>
        <w:t xml:space="preserve">A4. </w:t>
      </w:r>
      <w:r w:rsidR="00B47055" w:rsidRPr="00B47055">
        <w:t>Efforts to Identify Duplication and Use of Similar Information</w:t>
      </w:r>
      <w:bookmarkEnd w:id="9"/>
    </w:p>
    <w:p w14:paraId="3DB913F8" w14:textId="3D74BDC5" w:rsidR="00D02688" w:rsidRDefault="00D02688" w:rsidP="00EA2E80">
      <w:pPr>
        <w:ind w:left="360"/>
        <w:rPr>
          <w:rFonts w:ascii="Cambria" w:hAnsi="Cambria"/>
        </w:rPr>
      </w:pPr>
      <w:r w:rsidRPr="00D02688">
        <w:rPr>
          <w:rFonts w:ascii="Cambria" w:hAnsi="Cambria"/>
        </w:rPr>
        <w:t xml:space="preserve">The 6|18 Initiative is a CDC initiative that provides partners with rigorous evidence about six specific high-burden health conditions and associated preventive interventions to inform their decisions to have the greatest health and </w:t>
      </w:r>
      <w:r w:rsidR="00AA1D62">
        <w:rPr>
          <w:rFonts w:ascii="Cambria" w:hAnsi="Cambria"/>
        </w:rPr>
        <w:t xml:space="preserve">potential </w:t>
      </w:r>
      <w:r w:rsidRPr="00D02688">
        <w:rPr>
          <w:rFonts w:ascii="Cambria" w:hAnsi="Cambria"/>
        </w:rPr>
        <w:t xml:space="preserve">cost impact. </w:t>
      </w:r>
      <w:r>
        <w:rPr>
          <w:rFonts w:ascii="Cambria" w:hAnsi="Cambria"/>
        </w:rPr>
        <w:t>We are not aware of</w:t>
      </w:r>
      <w:r w:rsidRPr="002E1480">
        <w:rPr>
          <w:rFonts w:ascii="Cambria" w:hAnsi="Cambria"/>
        </w:rPr>
        <w:t xml:space="preserve"> </w:t>
      </w:r>
      <w:r>
        <w:rPr>
          <w:rFonts w:ascii="Cambria" w:hAnsi="Cambria"/>
        </w:rPr>
        <w:t xml:space="preserve">any other ventures to gather information regarding </w:t>
      </w:r>
      <w:r w:rsidR="00272829">
        <w:rPr>
          <w:rFonts w:ascii="Cambria" w:hAnsi="Cambria"/>
        </w:rPr>
        <w:t xml:space="preserve">state interdisciplinary collaborations between </w:t>
      </w:r>
      <w:r w:rsidR="00D33A6A">
        <w:rPr>
          <w:rFonts w:ascii="Cambria" w:hAnsi="Cambria"/>
        </w:rPr>
        <w:t xml:space="preserve">State </w:t>
      </w:r>
      <w:r w:rsidR="00272829">
        <w:rPr>
          <w:rFonts w:ascii="Cambria" w:hAnsi="Cambria"/>
        </w:rPr>
        <w:t xml:space="preserve">Public Health </w:t>
      </w:r>
      <w:r w:rsidR="001253DB" w:rsidRPr="00881D78">
        <w:rPr>
          <w:rFonts w:ascii="Cambria" w:hAnsi="Cambria"/>
        </w:rPr>
        <w:t xml:space="preserve">and </w:t>
      </w:r>
      <w:r w:rsidR="00D33A6A">
        <w:rPr>
          <w:rFonts w:ascii="Cambria" w:hAnsi="Cambria"/>
        </w:rPr>
        <w:t xml:space="preserve">State </w:t>
      </w:r>
      <w:r w:rsidR="00272829" w:rsidRPr="00881D78">
        <w:rPr>
          <w:rFonts w:ascii="Cambria" w:hAnsi="Cambria"/>
        </w:rPr>
        <w:t>Medicaid</w:t>
      </w:r>
      <w:r w:rsidR="00D33A6A">
        <w:rPr>
          <w:rFonts w:ascii="Cambria" w:hAnsi="Cambria"/>
        </w:rPr>
        <w:t xml:space="preserve">.  </w:t>
      </w:r>
    </w:p>
    <w:p w14:paraId="7CDBCBAA" w14:textId="45A97B17" w:rsidR="00A67092" w:rsidRDefault="00A67092" w:rsidP="00EA2E80">
      <w:pPr>
        <w:ind w:left="360"/>
        <w:rPr>
          <w:rFonts w:ascii="Cambria" w:hAnsi="Cambria"/>
        </w:rPr>
      </w:pPr>
    </w:p>
    <w:p w14:paraId="11E3EC23" w14:textId="18168237" w:rsidR="00A67092" w:rsidRDefault="00AD5084" w:rsidP="00A67092">
      <w:pPr>
        <w:ind w:left="360"/>
        <w:rPr>
          <w:rFonts w:ascii="Cambria" w:hAnsi="Cambria"/>
        </w:rPr>
      </w:pPr>
      <w:r>
        <w:rPr>
          <w:rFonts w:ascii="Cambria" w:hAnsi="Cambria"/>
        </w:rPr>
        <w:t>The Center for Health Care Strategies (</w:t>
      </w:r>
      <w:r w:rsidR="00A67092">
        <w:rPr>
          <w:rFonts w:ascii="Cambria" w:hAnsi="Cambria"/>
        </w:rPr>
        <w:t>CHCS</w:t>
      </w:r>
      <w:r>
        <w:rPr>
          <w:rFonts w:ascii="Cambria" w:hAnsi="Cambria"/>
        </w:rPr>
        <w:t>)</w:t>
      </w:r>
      <w:r w:rsidR="00A67092">
        <w:rPr>
          <w:rFonts w:ascii="Cambria" w:hAnsi="Cambria"/>
        </w:rPr>
        <w:t xml:space="preserve"> and 6|18 program staff hold ongoing monthly or bi-monthly </w:t>
      </w:r>
      <w:r w:rsidR="004F3AE2">
        <w:rPr>
          <w:rFonts w:ascii="Cambria" w:hAnsi="Cambria"/>
        </w:rPr>
        <w:t>technical assistance (</w:t>
      </w:r>
      <w:r w:rsidR="00A67092">
        <w:rPr>
          <w:rFonts w:ascii="Cambria" w:hAnsi="Cambria"/>
        </w:rPr>
        <w:t>TA</w:t>
      </w:r>
      <w:r w:rsidR="004F3AE2">
        <w:rPr>
          <w:rFonts w:ascii="Cambria" w:hAnsi="Cambria"/>
        </w:rPr>
        <w:t>)</w:t>
      </w:r>
      <w:r w:rsidR="00A67092">
        <w:rPr>
          <w:rFonts w:ascii="Cambria" w:hAnsi="Cambria"/>
        </w:rPr>
        <w:t xml:space="preserve"> calls with participating states.  The topics discussed are driven by state needs.  The 6|18 Case Study team may use ad hoc notes from the TA calls as background to understand state context and to inform interview preparation.  However, because of the ad hoc nature of the state calls, they are not a systematic or in-depth inquiry into the topics of this proposed data collection.  Therefore, this proposed data collection does not represent a duplication of effort.</w:t>
      </w:r>
    </w:p>
    <w:p w14:paraId="0BC19B66" w14:textId="77777777" w:rsidR="00DC423B" w:rsidRDefault="00DC423B" w:rsidP="00EA2E80">
      <w:pPr>
        <w:ind w:left="360"/>
        <w:rPr>
          <w:rFonts w:ascii="Cambria" w:hAnsi="Cambria"/>
        </w:rPr>
      </w:pPr>
    </w:p>
    <w:p w14:paraId="56FF5A76" w14:textId="21E78084" w:rsidR="005030C4" w:rsidRDefault="005030C4" w:rsidP="005030C4">
      <w:pPr>
        <w:ind w:left="360"/>
      </w:pPr>
      <w:r w:rsidRPr="00B00973">
        <w:t xml:space="preserve">CDC discussed the proposed data collection </w:t>
      </w:r>
      <w:r>
        <w:t xml:space="preserve">instruments </w:t>
      </w:r>
      <w:r w:rsidRPr="00B00973">
        <w:t>with colleagues</w:t>
      </w:r>
      <w:r>
        <w:t xml:space="preserve"> from programs within the CDC, </w:t>
      </w:r>
      <w:r w:rsidRPr="00EB66F2">
        <w:t xml:space="preserve">to ensure that the collection requests under individual ICs </w:t>
      </w:r>
      <w:r>
        <w:t xml:space="preserve">do not duplicate efforts of </w:t>
      </w:r>
      <w:r w:rsidRPr="00EB66F2">
        <w:t xml:space="preserve">collections </w:t>
      </w:r>
      <w:r>
        <w:t xml:space="preserve">from </w:t>
      </w:r>
      <w:r w:rsidRPr="00EB66F2">
        <w:t xml:space="preserve">other </w:t>
      </w:r>
      <w:r>
        <w:t xml:space="preserve">CDC programs. </w:t>
      </w:r>
      <w:r w:rsidRPr="00297AED">
        <w:t xml:space="preserve"> </w:t>
      </w:r>
      <w:r w:rsidR="00A67092">
        <w:t>P</w:t>
      </w:r>
      <w:r w:rsidR="00A67092" w:rsidRPr="00297AED">
        <w:t xml:space="preserve">rogram staff </w:t>
      </w:r>
      <w:r w:rsidR="00A67092">
        <w:t xml:space="preserve">from the </w:t>
      </w:r>
      <w:r w:rsidRPr="00297AED">
        <w:t xml:space="preserve">6|18 Initiative consulted in October 2016 - </w:t>
      </w:r>
      <w:r w:rsidR="009352D9">
        <w:t>September</w:t>
      </w:r>
      <w:r w:rsidR="009352D9" w:rsidRPr="00297AED">
        <w:t xml:space="preserve"> </w:t>
      </w:r>
      <w:r w:rsidRPr="00297AED">
        <w:t xml:space="preserve">2017 with: CDC </w:t>
      </w:r>
      <w:r>
        <w:t>program</w:t>
      </w:r>
      <w:r w:rsidRPr="00297AED">
        <w:t xml:space="preserve"> staff </w:t>
      </w:r>
      <w:r w:rsidRPr="00EB66F2">
        <w:t>(Asthma—National Center for Environmental Health, Division of Reproductive Health, Office for Smoking and Health</w:t>
      </w:r>
      <w:r>
        <w:t>, Division of Heart Disease and Stroke Prevention, Healthcare Associated Infections—</w:t>
      </w:r>
      <w:r w:rsidRPr="005030C4">
        <w:t>Division of Healthcare Quality Promotion</w:t>
      </w:r>
      <w:r>
        <w:t>, and Division of Diabetes Translation</w:t>
      </w:r>
      <w:r w:rsidRPr="00EB66F2">
        <w:t>)</w:t>
      </w:r>
      <w:r w:rsidRPr="00297AED">
        <w:t xml:space="preserve">. </w:t>
      </w:r>
      <w:r w:rsidR="0045388F">
        <w:t xml:space="preserve"> Contact information for CDC division staff consulted is listed below.</w:t>
      </w:r>
    </w:p>
    <w:p w14:paraId="2C2A3224" w14:textId="77777777" w:rsidR="005030C4" w:rsidRDefault="005030C4" w:rsidP="005030C4">
      <w:pPr>
        <w:ind w:left="360"/>
        <w:rPr>
          <w:rFonts w:ascii="Cambria" w:hAnsi="Cambria"/>
        </w:rPr>
      </w:pPr>
    </w:p>
    <w:p w14:paraId="1D735BB8" w14:textId="3675D351" w:rsidR="00DC423B" w:rsidRDefault="001F32CB" w:rsidP="00CE7332">
      <w:pPr>
        <w:ind w:left="360"/>
        <w:rPr>
          <w:rFonts w:ascii="Cambria" w:hAnsi="Cambria"/>
        </w:rPr>
      </w:pPr>
      <w:r>
        <w:rPr>
          <w:rFonts w:ascii="Cambria" w:hAnsi="Cambria"/>
        </w:rPr>
        <w:t>In August 2017</w:t>
      </w:r>
      <w:r w:rsidR="00DC423B">
        <w:rPr>
          <w:rFonts w:ascii="Cambria" w:hAnsi="Cambria"/>
        </w:rPr>
        <w:t xml:space="preserve">, </w:t>
      </w:r>
      <w:r w:rsidR="004A7C07">
        <w:rPr>
          <w:rFonts w:ascii="Cambria" w:hAnsi="Cambria"/>
        </w:rPr>
        <w:t xml:space="preserve">CDC shared </w:t>
      </w:r>
      <w:r w:rsidR="00DC423B">
        <w:rPr>
          <w:rFonts w:ascii="Cambria" w:hAnsi="Cambria"/>
        </w:rPr>
        <w:t xml:space="preserve">the draft supporting statements and information collection instrument </w:t>
      </w:r>
      <w:r w:rsidR="004A7C07">
        <w:rPr>
          <w:rFonts w:ascii="Cambria" w:hAnsi="Cambria"/>
        </w:rPr>
        <w:t xml:space="preserve">with </w:t>
      </w:r>
      <w:r w:rsidR="006C1D17">
        <w:rPr>
          <w:rFonts w:ascii="Cambria" w:hAnsi="Cambria"/>
        </w:rPr>
        <w:t>the Centers for Medicare and Medicaid Services (</w:t>
      </w:r>
      <w:r w:rsidR="004A7C07">
        <w:rPr>
          <w:rFonts w:ascii="Cambria" w:hAnsi="Cambria"/>
        </w:rPr>
        <w:t>CMS</w:t>
      </w:r>
      <w:r w:rsidR="006C1D17">
        <w:rPr>
          <w:rFonts w:ascii="Cambria" w:hAnsi="Cambria"/>
        </w:rPr>
        <w:t>)</w:t>
      </w:r>
      <w:r w:rsidR="004A7C07">
        <w:rPr>
          <w:rFonts w:ascii="Cambria" w:hAnsi="Cambria"/>
        </w:rPr>
        <w:t xml:space="preserve"> </w:t>
      </w:r>
      <w:r w:rsidR="00DC423B">
        <w:rPr>
          <w:rFonts w:ascii="Cambria" w:hAnsi="Cambria"/>
        </w:rPr>
        <w:t>for</w:t>
      </w:r>
      <w:r w:rsidR="004A7C07">
        <w:rPr>
          <w:rFonts w:ascii="Cambria" w:hAnsi="Cambria"/>
        </w:rPr>
        <w:t xml:space="preserve"> their</w:t>
      </w:r>
      <w:r w:rsidR="00DC423B">
        <w:rPr>
          <w:rFonts w:ascii="Cambria" w:hAnsi="Cambria"/>
        </w:rPr>
        <w:t xml:space="preserve"> review, since they have been strong partners in the 6|18 Initiative, and this information collection may be of interest to them.  </w:t>
      </w:r>
      <w:r w:rsidR="00BA15C7">
        <w:rPr>
          <w:rFonts w:ascii="Cambria" w:hAnsi="Cambria"/>
        </w:rPr>
        <w:t>CMS staff confirmed that this proposed data collection does not duplicate existing CMS data collection.</w:t>
      </w:r>
      <w:r w:rsidR="0054662B">
        <w:rPr>
          <w:rFonts w:ascii="Cambria" w:hAnsi="Cambria"/>
        </w:rPr>
        <w:t xml:space="preserve">  No changes to the information collection plan were requested during </w:t>
      </w:r>
      <w:r w:rsidR="00E751A6">
        <w:rPr>
          <w:rFonts w:ascii="Cambria" w:hAnsi="Cambria"/>
        </w:rPr>
        <w:t xml:space="preserve">final </w:t>
      </w:r>
      <w:r w:rsidR="0054662B">
        <w:rPr>
          <w:rFonts w:ascii="Cambria" w:hAnsi="Cambria"/>
        </w:rPr>
        <w:t xml:space="preserve">CMS review. </w:t>
      </w:r>
      <w:r w:rsidR="00BA15C7">
        <w:rPr>
          <w:rFonts w:ascii="Cambria" w:hAnsi="Cambria"/>
        </w:rPr>
        <w:t xml:space="preserve">  </w:t>
      </w:r>
      <w:r w:rsidR="00F173F5">
        <w:rPr>
          <w:rFonts w:ascii="Cambria" w:hAnsi="Cambria"/>
        </w:rPr>
        <w:t xml:space="preserve">Contact information for CDC’s primary point of contact in CMS is listed in Table </w:t>
      </w:r>
      <w:r w:rsidR="00EA0D1A">
        <w:rPr>
          <w:rFonts w:ascii="Cambria" w:hAnsi="Cambria"/>
        </w:rPr>
        <w:t>A</w:t>
      </w:r>
      <w:r w:rsidR="00136E39">
        <w:rPr>
          <w:rFonts w:ascii="Cambria" w:hAnsi="Cambria"/>
        </w:rPr>
        <w:t>4-a</w:t>
      </w:r>
      <w:r w:rsidR="00F173F5">
        <w:rPr>
          <w:rFonts w:ascii="Cambria" w:hAnsi="Cambria"/>
        </w:rPr>
        <w:t>.</w:t>
      </w:r>
    </w:p>
    <w:p w14:paraId="44E3C637" w14:textId="371878C7" w:rsidR="00A67092" w:rsidRDefault="00A67092" w:rsidP="00CE7332">
      <w:pPr>
        <w:ind w:left="360"/>
        <w:rPr>
          <w:rFonts w:ascii="Cambria" w:hAnsi="Cambria"/>
        </w:rPr>
      </w:pPr>
    </w:p>
    <w:p w14:paraId="1B0C72E2" w14:textId="4FE10A77" w:rsidR="00F173F5" w:rsidRDefault="00F173F5" w:rsidP="00F173F5">
      <w:pPr>
        <w:tabs>
          <w:tab w:val="left" w:pos="720"/>
        </w:tabs>
        <w:rPr>
          <w:rFonts w:ascii="Times New Roman" w:hAnsi="Times New Roman" w:cs="Times New Roman"/>
          <w:b/>
          <w:sz w:val="24"/>
          <w:szCs w:val="24"/>
        </w:rPr>
      </w:pPr>
      <w:r w:rsidRPr="00CE270E">
        <w:rPr>
          <w:rFonts w:ascii="Times New Roman" w:hAnsi="Times New Roman" w:cs="Times New Roman"/>
          <w:b/>
          <w:sz w:val="24"/>
          <w:szCs w:val="24"/>
        </w:rPr>
        <w:t xml:space="preserve">Table </w:t>
      </w:r>
      <w:r w:rsidR="00283139">
        <w:rPr>
          <w:rFonts w:ascii="Times New Roman" w:hAnsi="Times New Roman" w:cs="Times New Roman"/>
          <w:b/>
          <w:sz w:val="24"/>
          <w:szCs w:val="24"/>
        </w:rPr>
        <w:t>A</w:t>
      </w:r>
      <w:r>
        <w:rPr>
          <w:rFonts w:ascii="Times New Roman" w:hAnsi="Times New Roman" w:cs="Times New Roman"/>
          <w:b/>
          <w:sz w:val="24"/>
          <w:szCs w:val="24"/>
        </w:rPr>
        <w:t>4</w:t>
      </w:r>
      <w:r w:rsidRPr="00CE270E">
        <w:rPr>
          <w:rFonts w:ascii="Times New Roman" w:hAnsi="Times New Roman" w:cs="Times New Roman"/>
          <w:b/>
          <w:sz w:val="24"/>
          <w:szCs w:val="24"/>
        </w:rPr>
        <w:t xml:space="preserve">-a. </w:t>
      </w:r>
      <w:r w:rsidR="006C3B01" w:rsidRPr="00CE270E">
        <w:rPr>
          <w:rFonts w:ascii="Times New Roman" w:hAnsi="Times New Roman" w:cs="Times New Roman"/>
          <w:b/>
          <w:sz w:val="24"/>
          <w:szCs w:val="24"/>
        </w:rPr>
        <w:t xml:space="preserve">Staff within the Agency and </w:t>
      </w:r>
      <w:r w:rsidR="006C3B01">
        <w:rPr>
          <w:rFonts w:ascii="Times New Roman" w:hAnsi="Times New Roman" w:cs="Times New Roman"/>
          <w:b/>
          <w:sz w:val="24"/>
          <w:szCs w:val="24"/>
        </w:rPr>
        <w:t>in Another Federal Agency (CMS</w:t>
      </w:r>
      <w:r w:rsidR="002C5666">
        <w:rPr>
          <w:rFonts w:ascii="Times New Roman" w:hAnsi="Times New Roman" w:cs="Times New Roman"/>
          <w:b/>
          <w:sz w:val="24"/>
          <w:szCs w:val="24"/>
        </w:rPr>
        <w:t xml:space="preserve">) </w:t>
      </w:r>
      <w:r w:rsidR="002C5666" w:rsidRPr="00CE270E">
        <w:rPr>
          <w:rFonts w:ascii="Times New Roman" w:hAnsi="Times New Roman" w:cs="Times New Roman"/>
          <w:b/>
          <w:sz w:val="24"/>
          <w:szCs w:val="24"/>
        </w:rPr>
        <w:t>Consulting</w:t>
      </w:r>
      <w:r w:rsidR="006C3B01" w:rsidRPr="00CE270E">
        <w:rPr>
          <w:rFonts w:ascii="Times New Roman" w:hAnsi="Times New Roman" w:cs="Times New Roman"/>
          <w:b/>
          <w:sz w:val="24"/>
          <w:szCs w:val="24"/>
        </w:rPr>
        <w:t xml:space="preserve"> on Data Collection Plan and Instrument Development</w:t>
      </w:r>
      <w:r>
        <w:rPr>
          <w:rFonts w:ascii="Times New Roman" w:hAnsi="Times New Roman" w:cs="Times New Roman"/>
          <w:b/>
          <w:sz w:val="24"/>
          <w:szCs w:val="24"/>
        </w:rPr>
        <w:t xml:space="preserve"> </w:t>
      </w:r>
    </w:p>
    <w:tbl>
      <w:tblPr>
        <w:tblStyle w:val="TableGrid"/>
        <w:tblW w:w="9576" w:type="dxa"/>
        <w:tblInd w:w="828" w:type="dxa"/>
        <w:tblLook w:val="04A0" w:firstRow="1" w:lastRow="0" w:firstColumn="1" w:lastColumn="0" w:noHBand="0" w:noVBand="1"/>
      </w:tblPr>
      <w:tblGrid>
        <w:gridCol w:w="5333"/>
        <w:gridCol w:w="4243"/>
      </w:tblGrid>
      <w:tr w:rsidR="006C3B01" w:rsidRPr="00E12DDE" w14:paraId="3E630565" w14:textId="77777777" w:rsidTr="006C3B01">
        <w:tc>
          <w:tcPr>
            <w:tcW w:w="5333" w:type="dxa"/>
            <w:hideMark/>
          </w:tcPr>
          <w:p w14:paraId="00E58CEC" w14:textId="77777777" w:rsidR="006C3B01" w:rsidRPr="00E12DDE" w:rsidRDefault="006C3B01" w:rsidP="004C0443">
            <w:pPr>
              <w:tabs>
                <w:tab w:val="left" w:pos="450"/>
              </w:tabs>
              <w:ind w:left="0"/>
              <w:rPr>
                <w:rFonts w:ascii="Times New Roman" w:hAnsi="Times New Roman" w:cs="Times New Roman"/>
                <w:sz w:val="24"/>
                <w:szCs w:val="24"/>
                <w:u w:val="single"/>
              </w:rPr>
            </w:pPr>
            <w:r w:rsidRPr="00E12DDE">
              <w:rPr>
                <w:rFonts w:ascii="Times New Roman" w:hAnsi="Times New Roman" w:cs="Times New Roman"/>
                <w:sz w:val="24"/>
                <w:szCs w:val="24"/>
                <w:u w:val="single"/>
              </w:rPr>
              <w:t>Staff from CDC</w:t>
            </w:r>
          </w:p>
        </w:tc>
        <w:tc>
          <w:tcPr>
            <w:tcW w:w="4243" w:type="dxa"/>
          </w:tcPr>
          <w:p w14:paraId="015BEB6A" w14:textId="77777777" w:rsidR="006C3B01" w:rsidRPr="00E12DDE" w:rsidRDefault="006C3B01" w:rsidP="004C0443">
            <w:pPr>
              <w:tabs>
                <w:tab w:val="left" w:pos="450"/>
              </w:tabs>
              <w:rPr>
                <w:rFonts w:ascii="Times New Roman" w:hAnsi="Times New Roman" w:cs="Times New Roman"/>
                <w:sz w:val="24"/>
                <w:szCs w:val="24"/>
                <w:u w:val="single"/>
              </w:rPr>
            </w:pPr>
          </w:p>
        </w:tc>
      </w:tr>
      <w:tr w:rsidR="00CB0DD6" w:rsidRPr="00E12DDE" w14:paraId="30A3C9DE" w14:textId="77777777" w:rsidTr="006C3B01">
        <w:tc>
          <w:tcPr>
            <w:tcW w:w="5333" w:type="dxa"/>
          </w:tcPr>
          <w:p w14:paraId="65815B4B" w14:textId="77777777" w:rsidR="00CB0DD6" w:rsidRPr="00CB0DD6" w:rsidRDefault="00CB0DD6" w:rsidP="0087239A">
            <w:pPr>
              <w:tabs>
                <w:tab w:val="left" w:pos="450"/>
              </w:tabs>
              <w:ind w:left="0"/>
              <w:rPr>
                <w:rFonts w:ascii="Times New Roman" w:hAnsi="Times New Roman" w:cs="Times New Roman"/>
                <w:i/>
                <w:sz w:val="24"/>
                <w:szCs w:val="24"/>
              </w:rPr>
            </w:pPr>
            <w:r w:rsidRPr="00CB0DD6">
              <w:rPr>
                <w:rFonts w:ascii="Times New Roman" w:hAnsi="Times New Roman" w:cs="Times New Roman"/>
                <w:i/>
                <w:sz w:val="24"/>
                <w:szCs w:val="24"/>
              </w:rPr>
              <w:t>Office Of Health System Collaboration</w:t>
            </w:r>
          </w:p>
          <w:p w14:paraId="2CCFDC89" w14:textId="4AEEC16C" w:rsidR="00CB0DD6" w:rsidRPr="00E12DDE" w:rsidRDefault="00CB0DD6" w:rsidP="0087239A">
            <w:pPr>
              <w:tabs>
                <w:tab w:val="left" w:pos="450"/>
              </w:tabs>
              <w:ind w:left="0"/>
              <w:rPr>
                <w:rFonts w:ascii="Times New Roman" w:hAnsi="Times New Roman" w:cs="Times New Roman"/>
                <w:sz w:val="24"/>
                <w:szCs w:val="24"/>
                <w:u w:val="single"/>
              </w:rPr>
            </w:pPr>
            <w:r w:rsidRPr="00CB0DD6">
              <w:rPr>
                <w:rFonts w:ascii="Times New Roman" w:hAnsi="Times New Roman" w:cs="Times New Roman"/>
                <w:i/>
                <w:sz w:val="24"/>
                <w:szCs w:val="24"/>
              </w:rPr>
              <w:t>CDC/OD/OADP</w:t>
            </w:r>
          </w:p>
        </w:tc>
        <w:tc>
          <w:tcPr>
            <w:tcW w:w="4243" w:type="dxa"/>
          </w:tcPr>
          <w:p w14:paraId="3D4C3BED" w14:textId="77777777" w:rsidR="00CB0DD6" w:rsidRPr="00E12DDE" w:rsidRDefault="00CB0DD6" w:rsidP="004C0443">
            <w:pPr>
              <w:tabs>
                <w:tab w:val="left" w:pos="450"/>
              </w:tabs>
              <w:rPr>
                <w:rFonts w:ascii="Times New Roman" w:hAnsi="Times New Roman" w:cs="Times New Roman"/>
                <w:sz w:val="24"/>
                <w:szCs w:val="24"/>
                <w:u w:val="single"/>
              </w:rPr>
            </w:pPr>
          </w:p>
        </w:tc>
      </w:tr>
      <w:tr w:rsidR="006C3B01" w:rsidRPr="00CE270E" w14:paraId="64A82735" w14:textId="77777777" w:rsidTr="006C3B01">
        <w:tc>
          <w:tcPr>
            <w:tcW w:w="5333" w:type="dxa"/>
          </w:tcPr>
          <w:p w14:paraId="77D2C864"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Naomi Chen-Bowers</w:t>
            </w:r>
          </w:p>
          <w:p w14:paraId="6C5EADF8"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Lead Evaluator, 6|18 Initiative</w:t>
            </w:r>
          </w:p>
          <w:p w14:paraId="6E817590" w14:textId="14ADD6E4" w:rsidR="006C3B01" w:rsidRDefault="006C3B01" w:rsidP="00CB0DD6">
            <w:pPr>
              <w:tabs>
                <w:tab w:val="left" w:pos="450"/>
              </w:tabs>
              <w:ind w:left="360"/>
              <w:rPr>
                <w:rFonts w:ascii="Times New Roman" w:hAnsi="Times New Roman" w:cs="Times New Roman"/>
                <w:sz w:val="24"/>
                <w:szCs w:val="24"/>
              </w:rPr>
            </w:pPr>
            <w:r>
              <w:rPr>
                <w:rFonts w:ascii="Times New Roman" w:hAnsi="Times New Roman" w:cs="Times New Roman"/>
                <w:sz w:val="24"/>
                <w:szCs w:val="24"/>
              </w:rPr>
              <w:t>Senior Service Fellow</w:t>
            </w:r>
            <w:r w:rsidR="00CB0DD6">
              <w:rPr>
                <w:rFonts w:ascii="Times New Roman" w:hAnsi="Times New Roman" w:cs="Times New Roman"/>
                <w:sz w:val="24"/>
                <w:szCs w:val="24"/>
              </w:rPr>
              <w:t>, Behavioral Scientist</w:t>
            </w:r>
          </w:p>
        </w:tc>
        <w:tc>
          <w:tcPr>
            <w:tcW w:w="4243" w:type="dxa"/>
          </w:tcPr>
          <w:p w14:paraId="77881450" w14:textId="77777777" w:rsidR="006C3B01" w:rsidRPr="00CE270E" w:rsidRDefault="006C3B01" w:rsidP="004C0443">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(770) 488-</w:t>
            </w:r>
            <w:r>
              <w:rPr>
                <w:rFonts w:ascii="Times New Roman" w:hAnsi="Times New Roman" w:cs="Times New Roman"/>
                <w:sz w:val="24"/>
                <w:szCs w:val="24"/>
              </w:rPr>
              <w:t>6036</w:t>
            </w:r>
            <w:r w:rsidRPr="00CE270E">
              <w:rPr>
                <w:rFonts w:ascii="Times New Roman" w:hAnsi="Times New Roman" w:cs="Times New Roman"/>
                <w:sz w:val="24"/>
                <w:szCs w:val="24"/>
              </w:rPr>
              <w:t xml:space="preserve">  </w:t>
            </w:r>
          </w:p>
          <w:p w14:paraId="3A803CC5" w14:textId="77777777" w:rsidR="006C3B01" w:rsidRPr="00CE270E" w:rsidRDefault="006C3B01" w:rsidP="004C0443">
            <w:pPr>
              <w:tabs>
                <w:tab w:val="left" w:pos="450"/>
              </w:tabs>
              <w:rPr>
                <w:rFonts w:ascii="Times New Roman" w:hAnsi="Times New Roman" w:cs="Times New Roman"/>
                <w:sz w:val="24"/>
                <w:szCs w:val="24"/>
              </w:rPr>
            </w:pPr>
            <w:r w:rsidRPr="00CE270E">
              <w:rPr>
                <w:rFonts w:ascii="Times New Roman" w:hAnsi="Times New Roman" w:cs="Times New Roman"/>
                <w:sz w:val="24"/>
                <w:szCs w:val="24"/>
              </w:rPr>
              <w:t xml:space="preserve">Email: </w:t>
            </w:r>
            <w:r>
              <w:rPr>
                <w:rFonts w:ascii="Times New Roman" w:hAnsi="Times New Roman" w:cs="Times New Roman"/>
                <w:sz w:val="24"/>
                <w:szCs w:val="24"/>
              </w:rPr>
              <w:t>jtv4</w:t>
            </w:r>
            <w:r w:rsidRPr="00CE270E">
              <w:rPr>
                <w:rFonts w:ascii="Times New Roman" w:hAnsi="Times New Roman" w:cs="Times New Roman"/>
                <w:sz w:val="24"/>
                <w:szCs w:val="24"/>
              </w:rPr>
              <w:t>@cdc.gov</w:t>
            </w:r>
          </w:p>
        </w:tc>
      </w:tr>
      <w:tr w:rsidR="006C3B01" w:rsidRPr="00CE270E" w14:paraId="71B3013E" w14:textId="77777777" w:rsidTr="006C3B01">
        <w:tc>
          <w:tcPr>
            <w:tcW w:w="5333" w:type="dxa"/>
          </w:tcPr>
          <w:p w14:paraId="21F50DB3"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Laura Seeff</w:t>
            </w:r>
          </w:p>
          <w:p w14:paraId="64E779F0" w14:textId="3238E2AF" w:rsidR="006C3B01" w:rsidRDefault="00CB0DD6" w:rsidP="00CB0DD6">
            <w:pPr>
              <w:tabs>
                <w:tab w:val="left" w:pos="450"/>
              </w:tabs>
              <w:ind w:left="360"/>
              <w:rPr>
                <w:rFonts w:ascii="Times New Roman" w:hAnsi="Times New Roman" w:cs="Times New Roman"/>
                <w:sz w:val="24"/>
                <w:szCs w:val="24"/>
              </w:rPr>
            </w:pPr>
            <w:r>
              <w:rPr>
                <w:rFonts w:ascii="Times New Roman" w:hAnsi="Times New Roman" w:cs="Times New Roman"/>
                <w:sz w:val="24"/>
                <w:szCs w:val="24"/>
              </w:rPr>
              <w:t>Medical Director</w:t>
            </w:r>
          </w:p>
        </w:tc>
        <w:tc>
          <w:tcPr>
            <w:tcW w:w="4243" w:type="dxa"/>
          </w:tcPr>
          <w:p w14:paraId="1F3DE187" w14:textId="77777777" w:rsidR="006C3B01"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(404) </w:t>
            </w:r>
            <w:r w:rsidRPr="00E42726">
              <w:rPr>
                <w:rFonts w:ascii="Times New Roman" w:hAnsi="Times New Roman" w:cs="Times New Roman"/>
                <w:sz w:val="24"/>
                <w:szCs w:val="24"/>
              </w:rPr>
              <w:t>639-7063</w:t>
            </w:r>
          </w:p>
          <w:p w14:paraId="2401BCC1" w14:textId="77777777" w:rsidR="006C3B01" w:rsidRPr="00CE270E"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E42726">
              <w:rPr>
                <w:rFonts w:ascii="Times New Roman" w:hAnsi="Times New Roman" w:cs="Times New Roman"/>
                <w:sz w:val="24"/>
                <w:szCs w:val="24"/>
              </w:rPr>
              <w:t>lvs3@cdc.gov</w:t>
            </w:r>
          </w:p>
        </w:tc>
      </w:tr>
      <w:tr w:rsidR="006C3B01" w:rsidRPr="00CE270E" w14:paraId="6A8A6AD8" w14:textId="77777777" w:rsidTr="006C3B01">
        <w:tc>
          <w:tcPr>
            <w:tcW w:w="5333" w:type="dxa"/>
          </w:tcPr>
          <w:p w14:paraId="7B438C26"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Melanie Ross</w:t>
            </w:r>
          </w:p>
          <w:p w14:paraId="406CD160" w14:textId="4EF4E094" w:rsidR="006C3B01" w:rsidRDefault="006C3B01" w:rsidP="00CB0DD6">
            <w:pPr>
              <w:tabs>
                <w:tab w:val="left" w:pos="450"/>
              </w:tabs>
              <w:ind w:left="360"/>
              <w:rPr>
                <w:rFonts w:ascii="Times New Roman" w:hAnsi="Times New Roman" w:cs="Times New Roman"/>
                <w:sz w:val="24"/>
                <w:szCs w:val="24"/>
              </w:rPr>
            </w:pPr>
            <w:r w:rsidRPr="00023D53">
              <w:rPr>
                <w:rFonts w:ascii="Times New Roman" w:hAnsi="Times New Roman" w:cs="Times New Roman"/>
                <w:sz w:val="24"/>
                <w:szCs w:val="24"/>
              </w:rPr>
              <w:t>Public Health Specialist</w:t>
            </w:r>
          </w:p>
        </w:tc>
        <w:tc>
          <w:tcPr>
            <w:tcW w:w="4243" w:type="dxa"/>
          </w:tcPr>
          <w:p w14:paraId="29A935DB" w14:textId="77777777" w:rsidR="006C3B01"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(404) </w:t>
            </w:r>
            <w:r w:rsidRPr="00023D53">
              <w:rPr>
                <w:rFonts w:ascii="Times New Roman" w:hAnsi="Times New Roman" w:cs="Times New Roman"/>
                <w:sz w:val="24"/>
                <w:szCs w:val="24"/>
              </w:rPr>
              <w:t>639-8840</w:t>
            </w:r>
          </w:p>
          <w:p w14:paraId="5B83CE33" w14:textId="77777777" w:rsidR="006C3B01" w:rsidRPr="00CE270E"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023D53">
              <w:rPr>
                <w:rFonts w:ascii="Times New Roman" w:hAnsi="Times New Roman" w:cs="Times New Roman"/>
                <w:sz w:val="24"/>
                <w:szCs w:val="24"/>
              </w:rPr>
              <w:t>bge7@cdc.gov</w:t>
            </w:r>
          </w:p>
        </w:tc>
      </w:tr>
      <w:tr w:rsidR="006C3B01" w:rsidRPr="00CE270E" w14:paraId="7AB0C00B" w14:textId="77777777" w:rsidTr="006C3B01">
        <w:tc>
          <w:tcPr>
            <w:tcW w:w="5333" w:type="dxa"/>
          </w:tcPr>
          <w:p w14:paraId="5B31C505"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Kristin Brusuelas</w:t>
            </w:r>
          </w:p>
          <w:p w14:paraId="12716424" w14:textId="1220F042" w:rsidR="006C3B01" w:rsidRDefault="006C3B01" w:rsidP="00CB0DD6">
            <w:pPr>
              <w:tabs>
                <w:tab w:val="left" w:pos="450"/>
              </w:tabs>
              <w:ind w:left="360"/>
              <w:rPr>
                <w:rFonts w:ascii="Times New Roman" w:hAnsi="Times New Roman" w:cs="Times New Roman"/>
                <w:sz w:val="24"/>
                <w:szCs w:val="24"/>
              </w:rPr>
            </w:pPr>
            <w:r w:rsidRPr="000E47B1">
              <w:rPr>
                <w:rFonts w:ascii="Times New Roman" w:hAnsi="Times New Roman" w:cs="Times New Roman"/>
                <w:sz w:val="24"/>
                <w:szCs w:val="24"/>
              </w:rPr>
              <w:t>Public Health Analyst</w:t>
            </w:r>
          </w:p>
        </w:tc>
        <w:tc>
          <w:tcPr>
            <w:tcW w:w="4243" w:type="dxa"/>
          </w:tcPr>
          <w:p w14:paraId="231B7FF6" w14:textId="77777777" w:rsidR="006C3B01"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(404) </w:t>
            </w:r>
            <w:r w:rsidRPr="000E47B1">
              <w:rPr>
                <w:rFonts w:ascii="Times New Roman" w:hAnsi="Times New Roman" w:cs="Times New Roman"/>
                <w:sz w:val="24"/>
                <w:szCs w:val="24"/>
              </w:rPr>
              <w:t>498-6545</w:t>
            </w:r>
          </w:p>
          <w:p w14:paraId="7108D3C2" w14:textId="77777777" w:rsidR="006C3B01" w:rsidRPr="00CE270E"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0E47B1">
              <w:rPr>
                <w:rFonts w:ascii="Times New Roman" w:hAnsi="Times New Roman" w:cs="Times New Roman"/>
                <w:sz w:val="24"/>
                <w:szCs w:val="24"/>
              </w:rPr>
              <w:t>kmb0@cdc.gov</w:t>
            </w:r>
          </w:p>
        </w:tc>
      </w:tr>
      <w:tr w:rsidR="00CB0DD6" w:rsidRPr="00CE270E" w14:paraId="077AB0F1" w14:textId="77777777" w:rsidTr="006C3B01">
        <w:tc>
          <w:tcPr>
            <w:tcW w:w="5333" w:type="dxa"/>
          </w:tcPr>
          <w:p w14:paraId="16916517" w14:textId="77777777" w:rsidR="00CB0DD6" w:rsidRPr="00CB0DD6" w:rsidRDefault="00CB0DD6" w:rsidP="0087239A">
            <w:pPr>
              <w:tabs>
                <w:tab w:val="left" w:pos="450"/>
              </w:tabs>
              <w:ind w:left="0"/>
              <w:rPr>
                <w:rFonts w:ascii="Times New Roman" w:hAnsi="Times New Roman" w:cs="Times New Roman"/>
                <w:i/>
                <w:sz w:val="24"/>
                <w:szCs w:val="24"/>
              </w:rPr>
            </w:pPr>
            <w:r w:rsidRPr="00CB0DD6">
              <w:rPr>
                <w:rFonts w:ascii="Times New Roman" w:hAnsi="Times New Roman" w:cs="Times New Roman"/>
                <w:i/>
                <w:sz w:val="24"/>
                <w:szCs w:val="24"/>
              </w:rPr>
              <w:t>Office On Smoking And Health</w:t>
            </w:r>
          </w:p>
          <w:p w14:paraId="70BB5314" w14:textId="62DFD9C0" w:rsidR="00CB0DD6" w:rsidRDefault="00CB0DD6" w:rsidP="0087239A">
            <w:pPr>
              <w:tabs>
                <w:tab w:val="left" w:pos="450"/>
              </w:tabs>
              <w:ind w:left="0"/>
              <w:rPr>
                <w:rFonts w:ascii="Times New Roman" w:hAnsi="Times New Roman" w:cs="Times New Roman"/>
                <w:sz w:val="24"/>
                <w:szCs w:val="24"/>
              </w:rPr>
            </w:pPr>
            <w:r w:rsidRPr="00CB0DD6">
              <w:rPr>
                <w:rFonts w:ascii="Times New Roman" w:hAnsi="Times New Roman" w:cs="Times New Roman"/>
                <w:i/>
                <w:sz w:val="24"/>
                <w:szCs w:val="24"/>
              </w:rPr>
              <w:t>CDC/ONDIEH/NCCDPHP</w:t>
            </w:r>
          </w:p>
        </w:tc>
        <w:tc>
          <w:tcPr>
            <w:tcW w:w="4243" w:type="dxa"/>
          </w:tcPr>
          <w:p w14:paraId="5D6F075F" w14:textId="77777777" w:rsidR="00CB0DD6" w:rsidRDefault="00CB0DD6" w:rsidP="004C0443">
            <w:pPr>
              <w:tabs>
                <w:tab w:val="left" w:pos="450"/>
              </w:tabs>
              <w:rPr>
                <w:rFonts w:ascii="Times New Roman" w:hAnsi="Times New Roman" w:cs="Times New Roman"/>
                <w:sz w:val="24"/>
                <w:szCs w:val="24"/>
              </w:rPr>
            </w:pPr>
          </w:p>
        </w:tc>
      </w:tr>
      <w:tr w:rsidR="006C3B01" w:rsidRPr="00CE270E" w14:paraId="5D56C80C" w14:textId="77777777" w:rsidTr="006C3B01">
        <w:tc>
          <w:tcPr>
            <w:tcW w:w="5333" w:type="dxa"/>
          </w:tcPr>
          <w:p w14:paraId="69C46EE3"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Stephen (Steve) Babb</w:t>
            </w:r>
          </w:p>
          <w:p w14:paraId="63BED402" w14:textId="40B19602" w:rsidR="006C3B01" w:rsidRDefault="006C3B01" w:rsidP="00CB0DD6">
            <w:pPr>
              <w:tabs>
                <w:tab w:val="left" w:pos="450"/>
              </w:tabs>
              <w:ind w:left="360"/>
              <w:rPr>
                <w:rFonts w:ascii="Times New Roman" w:hAnsi="Times New Roman" w:cs="Times New Roman"/>
                <w:sz w:val="24"/>
                <w:szCs w:val="24"/>
              </w:rPr>
            </w:pPr>
            <w:r>
              <w:rPr>
                <w:rFonts w:ascii="Times New Roman" w:hAnsi="Times New Roman" w:cs="Times New Roman"/>
                <w:sz w:val="24"/>
                <w:szCs w:val="24"/>
              </w:rPr>
              <w:t>Public Health Analyst</w:t>
            </w:r>
          </w:p>
        </w:tc>
        <w:tc>
          <w:tcPr>
            <w:tcW w:w="4243" w:type="dxa"/>
          </w:tcPr>
          <w:p w14:paraId="2AD82A58" w14:textId="77777777" w:rsidR="006C3B01"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(770) </w:t>
            </w:r>
            <w:r w:rsidRPr="000E47B1">
              <w:rPr>
                <w:rFonts w:ascii="Times New Roman" w:hAnsi="Times New Roman" w:cs="Times New Roman"/>
                <w:sz w:val="24"/>
                <w:szCs w:val="24"/>
              </w:rPr>
              <w:t>488-1172</w:t>
            </w:r>
          </w:p>
          <w:p w14:paraId="41DD2EBC" w14:textId="77777777" w:rsidR="006C3B01" w:rsidRPr="00CE270E"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0E47B1">
              <w:rPr>
                <w:rFonts w:ascii="Times New Roman" w:hAnsi="Times New Roman" w:cs="Times New Roman"/>
                <w:sz w:val="24"/>
                <w:szCs w:val="24"/>
              </w:rPr>
              <w:t>zur4@cdc.gov</w:t>
            </w:r>
          </w:p>
        </w:tc>
      </w:tr>
      <w:tr w:rsidR="00CB0DD6" w:rsidRPr="00CE270E" w14:paraId="0ADC837A" w14:textId="77777777" w:rsidTr="006C3B01">
        <w:tc>
          <w:tcPr>
            <w:tcW w:w="5333" w:type="dxa"/>
          </w:tcPr>
          <w:p w14:paraId="68A7DF45" w14:textId="77777777" w:rsidR="00CB0DD6" w:rsidRPr="00CB0DD6" w:rsidRDefault="00CB0DD6" w:rsidP="0087239A">
            <w:pPr>
              <w:tabs>
                <w:tab w:val="left" w:pos="450"/>
              </w:tabs>
              <w:ind w:left="0"/>
              <w:rPr>
                <w:rFonts w:ascii="Times New Roman" w:hAnsi="Times New Roman" w:cs="Times New Roman"/>
                <w:i/>
                <w:sz w:val="24"/>
                <w:szCs w:val="24"/>
              </w:rPr>
            </w:pPr>
            <w:r w:rsidRPr="00CB0DD6">
              <w:rPr>
                <w:rFonts w:ascii="Times New Roman" w:hAnsi="Times New Roman" w:cs="Times New Roman"/>
                <w:i/>
                <w:sz w:val="24"/>
                <w:szCs w:val="24"/>
              </w:rPr>
              <w:t>Division of Reproductive Health</w:t>
            </w:r>
          </w:p>
          <w:p w14:paraId="28BDE698" w14:textId="0B2D4059" w:rsidR="00CB0DD6" w:rsidRDefault="00CB0DD6" w:rsidP="0087239A">
            <w:pPr>
              <w:tabs>
                <w:tab w:val="left" w:pos="450"/>
              </w:tabs>
              <w:ind w:left="0"/>
              <w:rPr>
                <w:rFonts w:ascii="Times New Roman" w:hAnsi="Times New Roman" w:cs="Times New Roman"/>
                <w:sz w:val="24"/>
                <w:szCs w:val="24"/>
              </w:rPr>
            </w:pPr>
            <w:r w:rsidRPr="00CB0DD6">
              <w:rPr>
                <w:rFonts w:ascii="Times New Roman" w:hAnsi="Times New Roman" w:cs="Times New Roman"/>
                <w:i/>
                <w:sz w:val="24"/>
                <w:szCs w:val="24"/>
              </w:rPr>
              <w:t>CDC/ONDIEH/NCCDPHP</w:t>
            </w:r>
          </w:p>
        </w:tc>
        <w:tc>
          <w:tcPr>
            <w:tcW w:w="4243" w:type="dxa"/>
          </w:tcPr>
          <w:p w14:paraId="18442F6F" w14:textId="77777777" w:rsidR="00CB0DD6" w:rsidRDefault="00CB0DD6" w:rsidP="004C0443">
            <w:pPr>
              <w:tabs>
                <w:tab w:val="left" w:pos="450"/>
              </w:tabs>
              <w:rPr>
                <w:rFonts w:ascii="Times New Roman" w:hAnsi="Times New Roman" w:cs="Times New Roman"/>
                <w:sz w:val="24"/>
                <w:szCs w:val="24"/>
              </w:rPr>
            </w:pPr>
          </w:p>
        </w:tc>
      </w:tr>
      <w:tr w:rsidR="006C3B01" w:rsidRPr="00CE270E" w14:paraId="751096F4" w14:textId="77777777" w:rsidTr="006C3B01">
        <w:tc>
          <w:tcPr>
            <w:tcW w:w="5333" w:type="dxa"/>
          </w:tcPr>
          <w:p w14:paraId="2DFF0E2C" w14:textId="77777777" w:rsidR="006C3B01" w:rsidRDefault="006C3B01" w:rsidP="004C0443">
            <w:pPr>
              <w:tabs>
                <w:tab w:val="left" w:pos="450"/>
              </w:tabs>
              <w:ind w:left="360"/>
              <w:rPr>
                <w:rFonts w:ascii="Times New Roman" w:hAnsi="Times New Roman" w:cs="Times New Roman"/>
                <w:sz w:val="24"/>
                <w:szCs w:val="24"/>
              </w:rPr>
            </w:pPr>
            <w:r>
              <w:rPr>
                <w:rFonts w:ascii="Times New Roman" w:hAnsi="Times New Roman" w:cs="Times New Roman"/>
                <w:sz w:val="24"/>
                <w:szCs w:val="24"/>
              </w:rPr>
              <w:t>Shanna Cox</w:t>
            </w:r>
          </w:p>
          <w:p w14:paraId="06E7B080" w14:textId="620A477C" w:rsidR="006C3B01" w:rsidRDefault="006C3B01" w:rsidP="00CB0DD6">
            <w:pPr>
              <w:tabs>
                <w:tab w:val="left" w:pos="450"/>
              </w:tabs>
              <w:ind w:left="360"/>
              <w:rPr>
                <w:rFonts w:ascii="Times New Roman" w:hAnsi="Times New Roman" w:cs="Times New Roman"/>
                <w:sz w:val="24"/>
                <w:szCs w:val="24"/>
              </w:rPr>
            </w:pPr>
            <w:r w:rsidRPr="00F961AF">
              <w:rPr>
                <w:rFonts w:ascii="Times New Roman" w:hAnsi="Times New Roman" w:cs="Times New Roman"/>
                <w:sz w:val="24"/>
                <w:szCs w:val="24"/>
              </w:rPr>
              <w:t>Associate Director For Science</w:t>
            </w:r>
          </w:p>
        </w:tc>
        <w:tc>
          <w:tcPr>
            <w:tcW w:w="4243" w:type="dxa"/>
          </w:tcPr>
          <w:p w14:paraId="016AC937" w14:textId="77777777" w:rsidR="006C3B01"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(770) </w:t>
            </w:r>
            <w:r w:rsidRPr="00F961AF">
              <w:rPr>
                <w:rFonts w:ascii="Times New Roman" w:hAnsi="Times New Roman" w:cs="Times New Roman"/>
                <w:sz w:val="24"/>
                <w:szCs w:val="24"/>
              </w:rPr>
              <w:t>488-6477</w:t>
            </w:r>
          </w:p>
          <w:p w14:paraId="78B5E49F" w14:textId="77777777" w:rsidR="006C3B01" w:rsidRPr="00CE270E"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F961AF">
              <w:rPr>
                <w:rFonts w:ascii="Times New Roman" w:hAnsi="Times New Roman" w:cs="Times New Roman"/>
                <w:sz w:val="24"/>
                <w:szCs w:val="24"/>
              </w:rPr>
              <w:t>cio8@cdc.gov</w:t>
            </w:r>
          </w:p>
        </w:tc>
      </w:tr>
      <w:tr w:rsidR="00CB0DD6" w:rsidRPr="00CE270E" w14:paraId="09292BC6" w14:textId="77777777" w:rsidTr="006C3B01">
        <w:tc>
          <w:tcPr>
            <w:tcW w:w="5333" w:type="dxa"/>
          </w:tcPr>
          <w:p w14:paraId="0C3AA2B0" w14:textId="0778E509" w:rsidR="00CB0DD6" w:rsidRPr="00CB0DD6" w:rsidRDefault="00CB0DD6" w:rsidP="0087239A">
            <w:pPr>
              <w:tabs>
                <w:tab w:val="left" w:pos="450"/>
              </w:tabs>
              <w:ind w:left="0"/>
              <w:rPr>
                <w:rFonts w:ascii="Times New Roman" w:hAnsi="Times New Roman" w:cs="Times New Roman"/>
                <w:i/>
                <w:sz w:val="24"/>
                <w:szCs w:val="24"/>
              </w:rPr>
            </w:pPr>
            <w:r>
              <w:rPr>
                <w:rFonts w:ascii="Times New Roman" w:hAnsi="Times New Roman" w:cs="Times New Roman"/>
                <w:i/>
                <w:sz w:val="24"/>
                <w:szCs w:val="24"/>
              </w:rPr>
              <w:t xml:space="preserve">Asthma -- </w:t>
            </w:r>
            <w:r w:rsidRPr="00CB0DD6">
              <w:rPr>
                <w:rFonts w:ascii="Times New Roman" w:hAnsi="Times New Roman" w:cs="Times New Roman"/>
                <w:i/>
                <w:sz w:val="24"/>
                <w:szCs w:val="24"/>
              </w:rPr>
              <w:t>Division of Environmental Hazards &amp; Health Effects</w:t>
            </w:r>
          </w:p>
          <w:p w14:paraId="2466338B" w14:textId="407FF222" w:rsidR="00CB0DD6" w:rsidRDefault="00CB0DD6" w:rsidP="0087239A">
            <w:pPr>
              <w:tabs>
                <w:tab w:val="left" w:pos="450"/>
              </w:tabs>
              <w:ind w:left="0"/>
              <w:rPr>
                <w:rFonts w:ascii="Times New Roman" w:hAnsi="Times New Roman" w:cs="Times New Roman"/>
                <w:sz w:val="24"/>
                <w:szCs w:val="24"/>
              </w:rPr>
            </w:pPr>
            <w:r w:rsidRPr="00CB0DD6">
              <w:rPr>
                <w:rFonts w:ascii="Times New Roman" w:hAnsi="Times New Roman" w:cs="Times New Roman"/>
                <w:i/>
                <w:sz w:val="24"/>
                <w:szCs w:val="24"/>
              </w:rPr>
              <w:t>CDC/ONDIEH/NCEH</w:t>
            </w:r>
          </w:p>
        </w:tc>
        <w:tc>
          <w:tcPr>
            <w:tcW w:w="4243" w:type="dxa"/>
          </w:tcPr>
          <w:p w14:paraId="7FD428AB" w14:textId="77777777" w:rsidR="00CB0DD6" w:rsidRDefault="00CB0DD6" w:rsidP="004C0443">
            <w:pPr>
              <w:tabs>
                <w:tab w:val="left" w:pos="450"/>
              </w:tabs>
              <w:rPr>
                <w:rFonts w:ascii="Times New Roman" w:hAnsi="Times New Roman" w:cs="Times New Roman"/>
                <w:sz w:val="24"/>
                <w:szCs w:val="24"/>
              </w:rPr>
            </w:pPr>
          </w:p>
        </w:tc>
      </w:tr>
      <w:tr w:rsidR="006C3B01" w:rsidRPr="00CE270E" w14:paraId="4F8ACD3D" w14:textId="77777777" w:rsidTr="006C3B01">
        <w:tc>
          <w:tcPr>
            <w:tcW w:w="5333" w:type="dxa"/>
          </w:tcPr>
          <w:p w14:paraId="11E546D7" w14:textId="77777777" w:rsidR="00AF28C0" w:rsidRDefault="00AF28C0" w:rsidP="00CB0DD6">
            <w:pPr>
              <w:tabs>
                <w:tab w:val="left" w:pos="450"/>
              </w:tabs>
              <w:ind w:left="360"/>
              <w:rPr>
                <w:rFonts w:ascii="Times New Roman" w:hAnsi="Times New Roman" w:cs="Times New Roman"/>
                <w:sz w:val="24"/>
                <w:szCs w:val="24"/>
              </w:rPr>
            </w:pPr>
            <w:r w:rsidRPr="00AF28C0">
              <w:rPr>
                <w:rFonts w:ascii="Times New Roman" w:hAnsi="Times New Roman" w:cs="Times New Roman"/>
                <w:sz w:val="24"/>
                <w:szCs w:val="24"/>
              </w:rPr>
              <w:t>Joy Hsu</w:t>
            </w:r>
          </w:p>
          <w:p w14:paraId="30E63B32" w14:textId="77D4F37A" w:rsidR="006C3B01" w:rsidRDefault="006C3B01" w:rsidP="00AF28C0">
            <w:pPr>
              <w:tabs>
                <w:tab w:val="left" w:pos="450"/>
              </w:tabs>
              <w:ind w:left="360"/>
              <w:rPr>
                <w:rFonts w:ascii="Times New Roman" w:hAnsi="Times New Roman" w:cs="Times New Roman"/>
                <w:sz w:val="24"/>
                <w:szCs w:val="24"/>
              </w:rPr>
            </w:pPr>
            <w:r w:rsidRPr="00773694">
              <w:rPr>
                <w:rFonts w:ascii="Times New Roman" w:hAnsi="Times New Roman" w:cs="Times New Roman"/>
                <w:sz w:val="24"/>
                <w:szCs w:val="24"/>
              </w:rPr>
              <w:t xml:space="preserve">Medical </w:t>
            </w:r>
            <w:r w:rsidR="00AF28C0">
              <w:rPr>
                <w:rFonts w:ascii="Times New Roman" w:hAnsi="Times New Roman" w:cs="Times New Roman"/>
                <w:sz w:val="24"/>
                <w:szCs w:val="24"/>
              </w:rPr>
              <w:t>Officer</w:t>
            </w:r>
          </w:p>
        </w:tc>
        <w:tc>
          <w:tcPr>
            <w:tcW w:w="4243" w:type="dxa"/>
          </w:tcPr>
          <w:p w14:paraId="0B79ABE2" w14:textId="7E16444A" w:rsidR="006C3B01" w:rsidRDefault="006C3B01" w:rsidP="004C0443">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(770) </w:t>
            </w:r>
            <w:r w:rsidRPr="00773694">
              <w:rPr>
                <w:rFonts w:ascii="Times New Roman" w:hAnsi="Times New Roman" w:cs="Times New Roman"/>
                <w:sz w:val="24"/>
                <w:szCs w:val="24"/>
              </w:rPr>
              <w:t>488-</w:t>
            </w:r>
            <w:r w:rsidR="00AF28C0" w:rsidRPr="00AF28C0">
              <w:rPr>
                <w:rFonts w:ascii="Times New Roman" w:hAnsi="Times New Roman" w:cs="Times New Roman"/>
                <w:sz w:val="24"/>
                <w:szCs w:val="24"/>
              </w:rPr>
              <w:t>0788</w:t>
            </w:r>
          </w:p>
          <w:p w14:paraId="55C3B1DA" w14:textId="3B9F6CC8" w:rsidR="006C3B01" w:rsidRPr="00CE270E" w:rsidRDefault="006C3B01" w:rsidP="00AF28C0">
            <w:pPr>
              <w:tabs>
                <w:tab w:val="left" w:pos="450"/>
              </w:tabs>
              <w:rPr>
                <w:rFonts w:ascii="Times New Roman" w:hAnsi="Times New Roman" w:cs="Times New Roman"/>
                <w:sz w:val="24"/>
                <w:szCs w:val="24"/>
              </w:rPr>
            </w:pPr>
            <w:r>
              <w:rPr>
                <w:rFonts w:ascii="Times New Roman" w:hAnsi="Times New Roman" w:cs="Times New Roman"/>
                <w:sz w:val="24"/>
                <w:szCs w:val="24"/>
              </w:rPr>
              <w:t>Email:</w:t>
            </w:r>
            <w:r w:rsidR="00AF28C0">
              <w:rPr>
                <w:rFonts w:ascii="Times New Roman" w:hAnsi="Times New Roman" w:cs="Times New Roman"/>
                <w:sz w:val="24"/>
                <w:szCs w:val="24"/>
              </w:rPr>
              <w:t xml:space="preserve"> </w:t>
            </w:r>
            <w:r w:rsidR="00AF28C0" w:rsidRPr="00AF28C0">
              <w:rPr>
                <w:rFonts w:ascii="Times New Roman" w:hAnsi="Times New Roman" w:cs="Times New Roman"/>
                <w:sz w:val="24"/>
                <w:szCs w:val="24"/>
              </w:rPr>
              <w:t>xdd6@cdc.gov</w:t>
            </w:r>
          </w:p>
        </w:tc>
      </w:tr>
      <w:tr w:rsidR="00AF28C0" w:rsidRPr="00CE270E" w14:paraId="58789821" w14:textId="77777777" w:rsidTr="006C3B01">
        <w:tc>
          <w:tcPr>
            <w:tcW w:w="5333" w:type="dxa"/>
          </w:tcPr>
          <w:p w14:paraId="0B8019A3" w14:textId="77777777" w:rsidR="00AF28C0" w:rsidRDefault="00AF28C0" w:rsidP="00CB0DD6">
            <w:pPr>
              <w:tabs>
                <w:tab w:val="left" w:pos="450"/>
              </w:tabs>
              <w:ind w:left="360"/>
              <w:rPr>
                <w:rFonts w:ascii="Times New Roman" w:hAnsi="Times New Roman" w:cs="Times New Roman"/>
                <w:sz w:val="24"/>
                <w:szCs w:val="24"/>
              </w:rPr>
            </w:pPr>
            <w:r>
              <w:rPr>
                <w:rFonts w:ascii="Times New Roman" w:hAnsi="Times New Roman" w:cs="Times New Roman"/>
                <w:sz w:val="24"/>
                <w:szCs w:val="24"/>
              </w:rPr>
              <w:t>Maureen Wilce</w:t>
            </w:r>
          </w:p>
          <w:p w14:paraId="38D82EB0" w14:textId="4024C9DC" w:rsidR="00AF28C0" w:rsidRPr="00AF28C0" w:rsidRDefault="00AF28C0" w:rsidP="00CB0DD6">
            <w:pPr>
              <w:tabs>
                <w:tab w:val="left" w:pos="450"/>
              </w:tabs>
              <w:ind w:left="360"/>
              <w:rPr>
                <w:rFonts w:ascii="Times New Roman" w:hAnsi="Times New Roman" w:cs="Times New Roman"/>
                <w:sz w:val="24"/>
                <w:szCs w:val="24"/>
              </w:rPr>
            </w:pPr>
            <w:r w:rsidRPr="00AF28C0">
              <w:rPr>
                <w:rFonts w:ascii="Times New Roman" w:hAnsi="Times New Roman" w:cs="Times New Roman"/>
                <w:sz w:val="24"/>
                <w:szCs w:val="24"/>
              </w:rPr>
              <w:t>Health Scientist</w:t>
            </w:r>
          </w:p>
        </w:tc>
        <w:tc>
          <w:tcPr>
            <w:tcW w:w="4243" w:type="dxa"/>
          </w:tcPr>
          <w:p w14:paraId="1E9679E4" w14:textId="5357ADB2" w:rsidR="00AF28C0" w:rsidRPr="00AF28C0" w:rsidRDefault="00AF28C0" w:rsidP="00AF28C0">
            <w:pPr>
              <w:tabs>
                <w:tab w:val="left" w:pos="450"/>
              </w:tabs>
              <w:rPr>
                <w:rFonts w:ascii="Times New Roman" w:hAnsi="Times New Roman" w:cs="Times New Roman"/>
                <w:sz w:val="24"/>
                <w:szCs w:val="24"/>
              </w:rPr>
            </w:pPr>
            <w:r w:rsidRPr="00AF28C0">
              <w:rPr>
                <w:rFonts w:ascii="Times New Roman" w:hAnsi="Times New Roman" w:cs="Times New Roman"/>
                <w:sz w:val="24"/>
                <w:szCs w:val="24"/>
              </w:rPr>
              <w:t>Phone: (770) 488-</w:t>
            </w:r>
            <w:r>
              <w:t xml:space="preserve"> </w:t>
            </w:r>
            <w:r w:rsidRPr="00AF28C0">
              <w:rPr>
                <w:rFonts w:ascii="Times New Roman" w:hAnsi="Times New Roman" w:cs="Times New Roman"/>
                <w:sz w:val="24"/>
                <w:szCs w:val="24"/>
              </w:rPr>
              <w:t>3721</w:t>
            </w:r>
          </w:p>
          <w:p w14:paraId="5883EF1A" w14:textId="346FC9FB" w:rsidR="00AF28C0" w:rsidRDefault="00AF28C0" w:rsidP="00AF28C0">
            <w:pPr>
              <w:tabs>
                <w:tab w:val="left" w:pos="450"/>
              </w:tabs>
              <w:rPr>
                <w:rFonts w:ascii="Times New Roman" w:hAnsi="Times New Roman" w:cs="Times New Roman"/>
                <w:sz w:val="24"/>
                <w:szCs w:val="24"/>
              </w:rPr>
            </w:pPr>
            <w:r w:rsidRPr="00AF28C0">
              <w:rPr>
                <w:rFonts w:ascii="Times New Roman" w:hAnsi="Times New Roman" w:cs="Times New Roman"/>
                <w:sz w:val="24"/>
                <w:szCs w:val="24"/>
              </w:rPr>
              <w:t>Email:</w:t>
            </w:r>
            <w:r>
              <w:rPr>
                <w:rFonts w:ascii="Times New Roman" w:hAnsi="Times New Roman" w:cs="Times New Roman"/>
                <w:sz w:val="24"/>
                <w:szCs w:val="24"/>
              </w:rPr>
              <w:t xml:space="preserve"> </w:t>
            </w:r>
            <w:r w:rsidRPr="00AF28C0">
              <w:rPr>
                <w:rFonts w:ascii="Times New Roman" w:hAnsi="Times New Roman" w:cs="Times New Roman"/>
                <w:sz w:val="24"/>
                <w:szCs w:val="24"/>
              </w:rPr>
              <w:t>muw9@cdc.gov</w:t>
            </w:r>
          </w:p>
        </w:tc>
      </w:tr>
      <w:tr w:rsidR="001556E1" w:rsidRPr="00CE270E" w14:paraId="768F56C2" w14:textId="77777777" w:rsidTr="006C3B01">
        <w:tc>
          <w:tcPr>
            <w:tcW w:w="5333" w:type="dxa"/>
          </w:tcPr>
          <w:p w14:paraId="1A8D829B" w14:textId="77777777" w:rsidR="001556E1" w:rsidRDefault="001556E1" w:rsidP="001556E1">
            <w:pPr>
              <w:tabs>
                <w:tab w:val="left" w:pos="450"/>
              </w:tabs>
              <w:ind w:left="0"/>
              <w:rPr>
                <w:rFonts w:ascii="Times New Roman" w:hAnsi="Times New Roman" w:cs="Times New Roman"/>
                <w:i/>
                <w:sz w:val="24"/>
                <w:szCs w:val="24"/>
              </w:rPr>
            </w:pPr>
            <w:r w:rsidRPr="001556E1">
              <w:rPr>
                <w:rFonts w:ascii="Times New Roman" w:hAnsi="Times New Roman" w:cs="Times New Roman"/>
                <w:i/>
                <w:sz w:val="24"/>
                <w:szCs w:val="24"/>
              </w:rPr>
              <w:t xml:space="preserve">Division Of Diabetes Translation </w:t>
            </w:r>
          </w:p>
          <w:p w14:paraId="2BE6BEE1" w14:textId="6AA56FC8" w:rsidR="001556E1" w:rsidRDefault="001556E1" w:rsidP="001556E1">
            <w:pPr>
              <w:tabs>
                <w:tab w:val="left" w:pos="450"/>
              </w:tabs>
              <w:ind w:left="0"/>
              <w:rPr>
                <w:rFonts w:ascii="Times New Roman" w:hAnsi="Times New Roman" w:cs="Times New Roman"/>
                <w:sz w:val="24"/>
                <w:szCs w:val="24"/>
              </w:rPr>
            </w:pPr>
            <w:r>
              <w:rPr>
                <w:rFonts w:ascii="Times New Roman" w:hAnsi="Times New Roman" w:cs="Times New Roman"/>
                <w:i/>
                <w:sz w:val="24"/>
                <w:szCs w:val="24"/>
              </w:rPr>
              <w:t>CDC/ONDIEH/</w:t>
            </w:r>
            <w:r w:rsidRPr="00CB0DD6">
              <w:rPr>
                <w:rFonts w:ascii="Times New Roman" w:hAnsi="Times New Roman" w:cs="Times New Roman"/>
                <w:i/>
                <w:sz w:val="24"/>
                <w:szCs w:val="24"/>
              </w:rPr>
              <w:t>NCCDPHP</w:t>
            </w:r>
          </w:p>
        </w:tc>
        <w:tc>
          <w:tcPr>
            <w:tcW w:w="4243" w:type="dxa"/>
          </w:tcPr>
          <w:p w14:paraId="4E35872B" w14:textId="77777777" w:rsidR="001556E1" w:rsidRPr="00AF28C0" w:rsidRDefault="001556E1" w:rsidP="00AF28C0">
            <w:pPr>
              <w:tabs>
                <w:tab w:val="left" w:pos="450"/>
              </w:tabs>
              <w:rPr>
                <w:rFonts w:ascii="Times New Roman" w:hAnsi="Times New Roman" w:cs="Times New Roman"/>
                <w:sz w:val="24"/>
                <w:szCs w:val="24"/>
              </w:rPr>
            </w:pPr>
          </w:p>
        </w:tc>
      </w:tr>
      <w:tr w:rsidR="001556E1" w:rsidRPr="00CE270E" w14:paraId="56006BE9" w14:textId="77777777" w:rsidTr="006C3B01">
        <w:tc>
          <w:tcPr>
            <w:tcW w:w="5333" w:type="dxa"/>
          </w:tcPr>
          <w:p w14:paraId="78DB5EA9" w14:textId="77777777" w:rsidR="001556E1" w:rsidRDefault="00E77651" w:rsidP="00CB0DD6">
            <w:pPr>
              <w:tabs>
                <w:tab w:val="left" w:pos="450"/>
              </w:tabs>
              <w:ind w:left="360"/>
              <w:rPr>
                <w:rFonts w:ascii="Times New Roman" w:hAnsi="Times New Roman" w:cs="Times New Roman"/>
                <w:sz w:val="24"/>
                <w:szCs w:val="24"/>
              </w:rPr>
            </w:pPr>
            <w:r>
              <w:rPr>
                <w:rFonts w:ascii="Times New Roman" w:hAnsi="Times New Roman" w:cs="Times New Roman"/>
                <w:sz w:val="24"/>
                <w:szCs w:val="24"/>
              </w:rPr>
              <w:t>Patricia (Pat) Schumacher</w:t>
            </w:r>
          </w:p>
          <w:p w14:paraId="4B8986E7" w14:textId="347911BA" w:rsidR="00E77651" w:rsidRDefault="00E77651" w:rsidP="00CB0DD6">
            <w:pPr>
              <w:tabs>
                <w:tab w:val="left" w:pos="450"/>
              </w:tabs>
              <w:ind w:left="360"/>
              <w:rPr>
                <w:rFonts w:ascii="Times New Roman" w:hAnsi="Times New Roman" w:cs="Times New Roman"/>
                <w:sz w:val="24"/>
                <w:szCs w:val="24"/>
              </w:rPr>
            </w:pPr>
            <w:r w:rsidRPr="00E77651">
              <w:rPr>
                <w:rFonts w:ascii="Times New Roman" w:hAnsi="Times New Roman" w:cs="Times New Roman"/>
                <w:sz w:val="24"/>
                <w:szCs w:val="24"/>
              </w:rPr>
              <w:t>Senior Team Lead</w:t>
            </w:r>
          </w:p>
        </w:tc>
        <w:tc>
          <w:tcPr>
            <w:tcW w:w="4243" w:type="dxa"/>
          </w:tcPr>
          <w:p w14:paraId="44244FFE" w14:textId="6AC7F226" w:rsidR="00E77651" w:rsidRPr="00AF28C0" w:rsidRDefault="00E77651" w:rsidP="00E77651">
            <w:pPr>
              <w:tabs>
                <w:tab w:val="left" w:pos="450"/>
              </w:tabs>
              <w:rPr>
                <w:rFonts w:ascii="Times New Roman" w:hAnsi="Times New Roman" w:cs="Times New Roman"/>
                <w:sz w:val="24"/>
                <w:szCs w:val="24"/>
              </w:rPr>
            </w:pPr>
            <w:r w:rsidRPr="00AF28C0">
              <w:rPr>
                <w:rFonts w:ascii="Times New Roman" w:hAnsi="Times New Roman" w:cs="Times New Roman"/>
                <w:sz w:val="24"/>
                <w:szCs w:val="24"/>
              </w:rPr>
              <w:t>Phone: (770) 488-</w:t>
            </w:r>
            <w:r>
              <w:t xml:space="preserve"> </w:t>
            </w:r>
            <w:r w:rsidRPr="00E77651">
              <w:rPr>
                <w:rFonts w:ascii="Times New Roman" w:hAnsi="Times New Roman" w:cs="Times New Roman"/>
                <w:sz w:val="24"/>
                <w:szCs w:val="24"/>
              </w:rPr>
              <w:t>5968</w:t>
            </w:r>
          </w:p>
          <w:p w14:paraId="76091891" w14:textId="5C18D353" w:rsidR="001556E1" w:rsidRPr="00AF28C0" w:rsidRDefault="00E77651" w:rsidP="00E77651">
            <w:pPr>
              <w:tabs>
                <w:tab w:val="left" w:pos="450"/>
              </w:tabs>
              <w:rPr>
                <w:rFonts w:ascii="Times New Roman" w:hAnsi="Times New Roman" w:cs="Times New Roman"/>
                <w:sz w:val="24"/>
                <w:szCs w:val="24"/>
              </w:rPr>
            </w:pPr>
            <w:r w:rsidRPr="00AF28C0">
              <w:rPr>
                <w:rFonts w:ascii="Times New Roman" w:hAnsi="Times New Roman" w:cs="Times New Roman"/>
                <w:sz w:val="24"/>
                <w:szCs w:val="24"/>
              </w:rPr>
              <w:t>Email:</w:t>
            </w:r>
            <w:r>
              <w:rPr>
                <w:rFonts w:ascii="Times New Roman" w:hAnsi="Times New Roman" w:cs="Times New Roman"/>
                <w:sz w:val="24"/>
                <w:szCs w:val="24"/>
              </w:rPr>
              <w:t xml:space="preserve"> </w:t>
            </w:r>
            <w:r w:rsidRPr="00E77651">
              <w:rPr>
                <w:rFonts w:ascii="Times New Roman" w:hAnsi="Times New Roman" w:cs="Times New Roman"/>
                <w:sz w:val="24"/>
                <w:szCs w:val="24"/>
              </w:rPr>
              <w:t>prs5@cdc.gov</w:t>
            </w:r>
          </w:p>
        </w:tc>
      </w:tr>
      <w:tr w:rsidR="00E77651" w:rsidRPr="00CE270E" w14:paraId="520844F1" w14:textId="77777777" w:rsidTr="006C3B01">
        <w:tc>
          <w:tcPr>
            <w:tcW w:w="5333" w:type="dxa"/>
          </w:tcPr>
          <w:p w14:paraId="42923F40" w14:textId="77777777" w:rsidR="00E77651" w:rsidRDefault="00E77651" w:rsidP="00E77651">
            <w:pPr>
              <w:tabs>
                <w:tab w:val="left" w:pos="450"/>
              </w:tabs>
              <w:ind w:left="0"/>
              <w:rPr>
                <w:rFonts w:ascii="Times New Roman" w:hAnsi="Times New Roman" w:cs="Times New Roman"/>
                <w:i/>
                <w:sz w:val="24"/>
                <w:szCs w:val="24"/>
              </w:rPr>
            </w:pPr>
            <w:r w:rsidRPr="00E77651">
              <w:rPr>
                <w:rFonts w:ascii="Times New Roman" w:hAnsi="Times New Roman" w:cs="Times New Roman"/>
                <w:i/>
                <w:sz w:val="24"/>
                <w:szCs w:val="24"/>
              </w:rPr>
              <w:t xml:space="preserve">Division Of Heart Disease And Stroke Prevention </w:t>
            </w:r>
          </w:p>
          <w:p w14:paraId="303DC7F6" w14:textId="3CBD3B21" w:rsidR="00E77651" w:rsidRDefault="00E77651" w:rsidP="00E77651">
            <w:pPr>
              <w:tabs>
                <w:tab w:val="left" w:pos="450"/>
              </w:tabs>
              <w:ind w:left="0"/>
              <w:rPr>
                <w:rFonts w:ascii="Times New Roman" w:hAnsi="Times New Roman" w:cs="Times New Roman"/>
                <w:sz w:val="24"/>
                <w:szCs w:val="24"/>
              </w:rPr>
            </w:pPr>
            <w:r>
              <w:rPr>
                <w:rFonts w:ascii="Times New Roman" w:hAnsi="Times New Roman" w:cs="Times New Roman"/>
                <w:i/>
                <w:sz w:val="24"/>
                <w:szCs w:val="24"/>
              </w:rPr>
              <w:t>CDC/ONDIEH/</w:t>
            </w:r>
            <w:r w:rsidRPr="00CB0DD6">
              <w:rPr>
                <w:rFonts w:ascii="Times New Roman" w:hAnsi="Times New Roman" w:cs="Times New Roman"/>
                <w:i/>
                <w:sz w:val="24"/>
                <w:szCs w:val="24"/>
              </w:rPr>
              <w:t>NCCDPHP</w:t>
            </w:r>
          </w:p>
        </w:tc>
        <w:tc>
          <w:tcPr>
            <w:tcW w:w="4243" w:type="dxa"/>
          </w:tcPr>
          <w:p w14:paraId="4D2CFD8F" w14:textId="77777777" w:rsidR="00E77651" w:rsidRPr="00AF28C0" w:rsidRDefault="00E77651" w:rsidP="00E77651">
            <w:pPr>
              <w:tabs>
                <w:tab w:val="left" w:pos="450"/>
              </w:tabs>
              <w:rPr>
                <w:rFonts w:ascii="Times New Roman" w:hAnsi="Times New Roman" w:cs="Times New Roman"/>
                <w:sz w:val="24"/>
                <w:szCs w:val="24"/>
              </w:rPr>
            </w:pPr>
          </w:p>
        </w:tc>
      </w:tr>
      <w:tr w:rsidR="001556E1" w:rsidRPr="00CE270E" w14:paraId="16408FBE" w14:textId="77777777" w:rsidTr="006C3B01">
        <w:tc>
          <w:tcPr>
            <w:tcW w:w="5333" w:type="dxa"/>
          </w:tcPr>
          <w:p w14:paraId="58F7262A" w14:textId="77777777" w:rsidR="00CF51D2" w:rsidRDefault="00CF51D2" w:rsidP="00E77651">
            <w:pPr>
              <w:tabs>
                <w:tab w:val="left" w:pos="450"/>
              </w:tabs>
              <w:ind w:left="360"/>
              <w:rPr>
                <w:rFonts w:ascii="Times New Roman" w:hAnsi="Times New Roman" w:cs="Times New Roman"/>
                <w:sz w:val="24"/>
                <w:szCs w:val="24"/>
              </w:rPr>
            </w:pPr>
            <w:r w:rsidRPr="00CF51D2">
              <w:rPr>
                <w:rFonts w:ascii="Times New Roman" w:hAnsi="Times New Roman" w:cs="Times New Roman"/>
                <w:sz w:val="24"/>
                <w:szCs w:val="24"/>
              </w:rPr>
              <w:t>Rebekah Buckley</w:t>
            </w:r>
          </w:p>
          <w:p w14:paraId="3B1450E7" w14:textId="7965DA8D" w:rsidR="00E77651" w:rsidRDefault="00CF51D2" w:rsidP="00E77651">
            <w:pPr>
              <w:tabs>
                <w:tab w:val="left" w:pos="450"/>
              </w:tabs>
              <w:ind w:left="360"/>
              <w:rPr>
                <w:rFonts w:ascii="Times New Roman" w:hAnsi="Times New Roman" w:cs="Times New Roman"/>
                <w:sz w:val="24"/>
                <w:szCs w:val="24"/>
              </w:rPr>
            </w:pPr>
            <w:r w:rsidRPr="00CF51D2">
              <w:rPr>
                <w:rFonts w:ascii="Times New Roman" w:hAnsi="Times New Roman" w:cs="Times New Roman"/>
                <w:sz w:val="24"/>
                <w:szCs w:val="24"/>
              </w:rPr>
              <w:t xml:space="preserve">Deputy Branch Chief </w:t>
            </w:r>
          </w:p>
        </w:tc>
        <w:tc>
          <w:tcPr>
            <w:tcW w:w="4243" w:type="dxa"/>
          </w:tcPr>
          <w:p w14:paraId="7423269D" w14:textId="04CACBC1" w:rsidR="00BB7D16" w:rsidRDefault="00BB7D16" w:rsidP="00E77651">
            <w:pPr>
              <w:tabs>
                <w:tab w:val="left" w:pos="450"/>
              </w:tabs>
              <w:rPr>
                <w:rFonts w:ascii="Times New Roman" w:hAnsi="Times New Roman" w:cs="Times New Roman"/>
                <w:sz w:val="24"/>
                <w:szCs w:val="24"/>
              </w:rPr>
            </w:pPr>
            <w:r>
              <w:rPr>
                <w:rFonts w:ascii="Times New Roman" w:hAnsi="Times New Roman" w:cs="Times New Roman"/>
                <w:sz w:val="24"/>
                <w:szCs w:val="24"/>
              </w:rPr>
              <w:t>Phone: (</w:t>
            </w:r>
            <w:r w:rsidRPr="00BB7D16">
              <w:rPr>
                <w:rFonts w:ascii="Times New Roman" w:hAnsi="Times New Roman" w:cs="Times New Roman"/>
                <w:sz w:val="24"/>
                <w:szCs w:val="24"/>
              </w:rPr>
              <w:t>770</w:t>
            </w:r>
            <w:r>
              <w:rPr>
                <w:rFonts w:ascii="Times New Roman" w:hAnsi="Times New Roman" w:cs="Times New Roman"/>
                <w:sz w:val="24"/>
                <w:szCs w:val="24"/>
              </w:rPr>
              <w:t xml:space="preserve">) </w:t>
            </w:r>
            <w:r w:rsidRPr="00BB7D16">
              <w:rPr>
                <w:rFonts w:ascii="Times New Roman" w:hAnsi="Times New Roman" w:cs="Times New Roman"/>
                <w:sz w:val="24"/>
                <w:szCs w:val="24"/>
              </w:rPr>
              <w:t>488-6215</w:t>
            </w:r>
          </w:p>
          <w:p w14:paraId="157074E1" w14:textId="18580EAF" w:rsidR="00E77651" w:rsidRPr="00AF28C0" w:rsidRDefault="00BB7D16" w:rsidP="00E77651">
            <w:pPr>
              <w:tabs>
                <w:tab w:val="left" w:pos="450"/>
              </w:tabs>
              <w:rPr>
                <w:rFonts w:ascii="Times New Roman" w:hAnsi="Times New Roman" w:cs="Times New Roman"/>
                <w:sz w:val="24"/>
                <w:szCs w:val="24"/>
              </w:rPr>
            </w:pPr>
            <w:r>
              <w:rPr>
                <w:rFonts w:ascii="Times New Roman" w:hAnsi="Times New Roman" w:cs="Times New Roman"/>
                <w:sz w:val="24"/>
                <w:szCs w:val="24"/>
              </w:rPr>
              <w:t>E</w:t>
            </w:r>
            <w:r w:rsidRPr="00BB7D16">
              <w:rPr>
                <w:rFonts w:ascii="Times New Roman" w:hAnsi="Times New Roman" w:cs="Times New Roman"/>
                <w:sz w:val="24"/>
                <w:szCs w:val="24"/>
              </w:rPr>
              <w:t>mail:</w:t>
            </w:r>
            <w:r>
              <w:rPr>
                <w:rFonts w:ascii="Times New Roman" w:hAnsi="Times New Roman" w:cs="Times New Roman"/>
                <w:sz w:val="24"/>
                <w:szCs w:val="24"/>
              </w:rPr>
              <w:t xml:space="preserve"> </w:t>
            </w:r>
            <w:r w:rsidRPr="00BB7D16">
              <w:rPr>
                <w:rFonts w:ascii="Times New Roman" w:hAnsi="Times New Roman" w:cs="Times New Roman"/>
                <w:sz w:val="24"/>
                <w:szCs w:val="24"/>
              </w:rPr>
              <w:t>eut9@cdc.gov</w:t>
            </w:r>
          </w:p>
        </w:tc>
      </w:tr>
      <w:tr w:rsidR="00CF51D2" w:rsidRPr="00CE270E" w14:paraId="5E959447" w14:textId="77777777" w:rsidTr="006C3B01">
        <w:tc>
          <w:tcPr>
            <w:tcW w:w="5333" w:type="dxa"/>
          </w:tcPr>
          <w:p w14:paraId="0D794825" w14:textId="77777777" w:rsidR="00CF51D2" w:rsidRDefault="00CF51D2" w:rsidP="00CF51D2">
            <w:pPr>
              <w:tabs>
                <w:tab w:val="left" w:pos="450"/>
              </w:tabs>
              <w:ind w:left="360"/>
              <w:rPr>
                <w:rFonts w:ascii="Times New Roman" w:hAnsi="Times New Roman" w:cs="Times New Roman"/>
                <w:sz w:val="24"/>
                <w:szCs w:val="24"/>
              </w:rPr>
            </w:pPr>
            <w:r>
              <w:rPr>
                <w:rFonts w:ascii="Times New Roman" w:hAnsi="Times New Roman" w:cs="Times New Roman"/>
                <w:sz w:val="24"/>
                <w:szCs w:val="24"/>
              </w:rPr>
              <w:t>Haley Stolp</w:t>
            </w:r>
          </w:p>
          <w:p w14:paraId="1BF5D9FD" w14:textId="1BCC2FFC" w:rsidR="00CF51D2" w:rsidRPr="00E77651" w:rsidDel="00CF51D2" w:rsidRDefault="00CF51D2">
            <w:pPr>
              <w:tabs>
                <w:tab w:val="left" w:pos="450"/>
              </w:tabs>
              <w:ind w:left="360"/>
              <w:rPr>
                <w:rFonts w:ascii="Times New Roman" w:hAnsi="Times New Roman" w:cs="Times New Roman"/>
                <w:sz w:val="24"/>
                <w:szCs w:val="24"/>
              </w:rPr>
            </w:pPr>
            <w:r w:rsidRPr="00E77651">
              <w:rPr>
                <w:rFonts w:ascii="Times New Roman" w:hAnsi="Times New Roman" w:cs="Times New Roman"/>
                <w:sz w:val="24"/>
                <w:szCs w:val="24"/>
              </w:rPr>
              <w:t xml:space="preserve">Public Health </w:t>
            </w:r>
            <w:r w:rsidR="00BB7D16">
              <w:rPr>
                <w:rFonts w:ascii="Times New Roman" w:hAnsi="Times New Roman" w:cs="Times New Roman"/>
                <w:sz w:val="24"/>
                <w:szCs w:val="24"/>
              </w:rPr>
              <w:t>Specialist</w:t>
            </w:r>
          </w:p>
        </w:tc>
        <w:tc>
          <w:tcPr>
            <w:tcW w:w="4243" w:type="dxa"/>
          </w:tcPr>
          <w:p w14:paraId="77F5F90C" w14:textId="7731C3CA" w:rsidR="00CF51D2" w:rsidRDefault="00CF51D2" w:rsidP="00CF51D2">
            <w:pPr>
              <w:tabs>
                <w:tab w:val="left" w:pos="450"/>
              </w:tabs>
              <w:rPr>
                <w:rFonts w:ascii="Times New Roman" w:hAnsi="Times New Roman" w:cs="Times New Roman"/>
                <w:sz w:val="24"/>
                <w:szCs w:val="24"/>
              </w:rPr>
            </w:pPr>
            <w:r w:rsidRPr="00AF28C0">
              <w:rPr>
                <w:rFonts w:ascii="Times New Roman" w:hAnsi="Times New Roman" w:cs="Times New Roman"/>
                <w:sz w:val="24"/>
                <w:szCs w:val="24"/>
              </w:rPr>
              <w:t>Phone:</w:t>
            </w:r>
            <w:r>
              <w:t xml:space="preserve"> </w:t>
            </w:r>
            <w:r w:rsidRPr="00CF51D2">
              <w:t>(770) 488-7442</w:t>
            </w:r>
          </w:p>
          <w:p w14:paraId="41B88365" w14:textId="74B89C4C" w:rsidR="00CF51D2" w:rsidRPr="00AF28C0" w:rsidRDefault="00CF51D2">
            <w:pPr>
              <w:tabs>
                <w:tab w:val="left" w:pos="450"/>
              </w:tabs>
              <w:rPr>
                <w:rFonts w:ascii="Times New Roman" w:hAnsi="Times New Roman" w:cs="Times New Roman"/>
                <w:sz w:val="24"/>
                <w:szCs w:val="24"/>
              </w:rPr>
            </w:pPr>
            <w:r w:rsidRPr="00AF28C0">
              <w:rPr>
                <w:rFonts w:ascii="Times New Roman" w:hAnsi="Times New Roman" w:cs="Times New Roman"/>
                <w:sz w:val="24"/>
                <w:szCs w:val="24"/>
              </w:rPr>
              <w:t>Email:</w:t>
            </w:r>
            <w:r>
              <w:rPr>
                <w:rFonts w:ascii="Times New Roman" w:hAnsi="Times New Roman" w:cs="Times New Roman"/>
                <w:sz w:val="24"/>
                <w:szCs w:val="24"/>
              </w:rPr>
              <w:t xml:space="preserve"> v</w:t>
            </w:r>
            <w:r w:rsidRPr="00CF51D2">
              <w:rPr>
                <w:rFonts w:ascii="Times New Roman" w:hAnsi="Times New Roman" w:cs="Times New Roman"/>
                <w:sz w:val="24"/>
                <w:szCs w:val="24"/>
              </w:rPr>
              <w:t>ul4@cdc.gov</w:t>
            </w:r>
          </w:p>
        </w:tc>
      </w:tr>
      <w:tr w:rsidR="0050324F" w:rsidRPr="00CE270E" w14:paraId="4A8E3716" w14:textId="77777777" w:rsidTr="00754567">
        <w:tc>
          <w:tcPr>
            <w:tcW w:w="5333" w:type="dxa"/>
          </w:tcPr>
          <w:p w14:paraId="4E8EADD8" w14:textId="492FBAE6" w:rsidR="0050324F" w:rsidRDefault="0050324F">
            <w:pPr>
              <w:tabs>
                <w:tab w:val="left" w:pos="450"/>
              </w:tabs>
              <w:ind w:left="0"/>
              <w:rPr>
                <w:rFonts w:ascii="Times New Roman" w:hAnsi="Times New Roman" w:cs="Times New Roman"/>
                <w:sz w:val="24"/>
                <w:szCs w:val="24"/>
              </w:rPr>
            </w:pPr>
            <w:r w:rsidRPr="0050324F">
              <w:rPr>
                <w:rFonts w:ascii="Times New Roman" w:hAnsi="Times New Roman" w:cs="Times New Roman"/>
                <w:i/>
                <w:sz w:val="24"/>
                <w:szCs w:val="24"/>
              </w:rPr>
              <w:t>Division Of Healthcare Quality Promotion</w:t>
            </w:r>
            <w:r>
              <w:rPr>
                <w:rFonts w:ascii="Times New Roman" w:hAnsi="Times New Roman" w:cs="Times New Roman"/>
                <w:i/>
                <w:sz w:val="24"/>
                <w:szCs w:val="24"/>
              </w:rPr>
              <w:t xml:space="preserve"> CDC/OID/NCEZID</w:t>
            </w:r>
          </w:p>
        </w:tc>
        <w:tc>
          <w:tcPr>
            <w:tcW w:w="4243" w:type="dxa"/>
          </w:tcPr>
          <w:p w14:paraId="52B02527" w14:textId="77777777" w:rsidR="0050324F" w:rsidRPr="00AF28C0" w:rsidRDefault="0050324F" w:rsidP="00754567">
            <w:pPr>
              <w:tabs>
                <w:tab w:val="left" w:pos="450"/>
              </w:tabs>
              <w:rPr>
                <w:rFonts w:ascii="Times New Roman" w:hAnsi="Times New Roman" w:cs="Times New Roman"/>
                <w:sz w:val="24"/>
                <w:szCs w:val="24"/>
              </w:rPr>
            </w:pPr>
          </w:p>
        </w:tc>
      </w:tr>
      <w:tr w:rsidR="0050324F" w:rsidRPr="00CE270E" w14:paraId="5D11E0C8" w14:textId="77777777" w:rsidTr="00754567">
        <w:tc>
          <w:tcPr>
            <w:tcW w:w="5333" w:type="dxa"/>
          </w:tcPr>
          <w:p w14:paraId="47DCA453" w14:textId="6F7BB3F5" w:rsidR="005E0785" w:rsidRDefault="005E0785" w:rsidP="00754567">
            <w:pPr>
              <w:tabs>
                <w:tab w:val="left" w:pos="450"/>
              </w:tabs>
              <w:ind w:left="360"/>
              <w:rPr>
                <w:rFonts w:ascii="Times New Roman" w:hAnsi="Times New Roman" w:cs="Times New Roman"/>
                <w:sz w:val="24"/>
                <w:szCs w:val="24"/>
              </w:rPr>
            </w:pPr>
            <w:r w:rsidRPr="005E0785">
              <w:rPr>
                <w:rFonts w:ascii="Times New Roman" w:hAnsi="Times New Roman" w:cs="Times New Roman"/>
                <w:sz w:val="24"/>
                <w:szCs w:val="24"/>
              </w:rPr>
              <w:t>Katherine Fleming-Dutra</w:t>
            </w:r>
          </w:p>
          <w:p w14:paraId="697B5E24" w14:textId="4E76653F" w:rsidR="0050324F" w:rsidRDefault="005E0785" w:rsidP="00754567">
            <w:pPr>
              <w:tabs>
                <w:tab w:val="left" w:pos="450"/>
              </w:tabs>
              <w:ind w:left="360"/>
              <w:rPr>
                <w:rFonts w:ascii="Times New Roman" w:hAnsi="Times New Roman" w:cs="Times New Roman"/>
                <w:sz w:val="24"/>
                <w:szCs w:val="24"/>
              </w:rPr>
            </w:pPr>
            <w:r w:rsidRPr="005E0785">
              <w:rPr>
                <w:rFonts w:ascii="Times New Roman" w:hAnsi="Times New Roman" w:cs="Times New Roman"/>
                <w:sz w:val="24"/>
                <w:szCs w:val="24"/>
              </w:rPr>
              <w:t>Medical Officer</w:t>
            </w:r>
          </w:p>
        </w:tc>
        <w:tc>
          <w:tcPr>
            <w:tcW w:w="4243" w:type="dxa"/>
          </w:tcPr>
          <w:p w14:paraId="3CD770FB" w14:textId="17C0D2E3" w:rsidR="0050324F" w:rsidRDefault="0050324F" w:rsidP="00754567">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w:t>
            </w:r>
            <w:r w:rsidR="005E0785">
              <w:rPr>
                <w:rFonts w:ascii="Times New Roman" w:hAnsi="Times New Roman" w:cs="Times New Roman"/>
                <w:sz w:val="24"/>
                <w:szCs w:val="24"/>
              </w:rPr>
              <w:t>(</w:t>
            </w:r>
            <w:r w:rsidR="005E0785" w:rsidRPr="005E0785">
              <w:rPr>
                <w:rFonts w:ascii="Times New Roman" w:hAnsi="Times New Roman" w:cs="Times New Roman"/>
                <w:sz w:val="24"/>
                <w:szCs w:val="24"/>
              </w:rPr>
              <w:t>404</w:t>
            </w:r>
            <w:r w:rsidR="005E0785">
              <w:rPr>
                <w:rFonts w:ascii="Times New Roman" w:hAnsi="Times New Roman" w:cs="Times New Roman"/>
                <w:sz w:val="24"/>
                <w:szCs w:val="24"/>
              </w:rPr>
              <w:t xml:space="preserve">) </w:t>
            </w:r>
            <w:r w:rsidR="005E0785" w:rsidRPr="005E0785">
              <w:rPr>
                <w:rFonts w:ascii="Times New Roman" w:hAnsi="Times New Roman" w:cs="Times New Roman"/>
                <w:sz w:val="24"/>
                <w:szCs w:val="24"/>
              </w:rPr>
              <w:t>639-4243</w:t>
            </w:r>
          </w:p>
          <w:p w14:paraId="30162839" w14:textId="7F130EF4" w:rsidR="0050324F" w:rsidRPr="00AF28C0" w:rsidRDefault="0050324F" w:rsidP="00D96D72">
            <w:pPr>
              <w:tabs>
                <w:tab w:val="left" w:pos="450"/>
              </w:tabs>
              <w:rPr>
                <w:rFonts w:ascii="Times New Roman" w:hAnsi="Times New Roman" w:cs="Times New Roman"/>
                <w:sz w:val="24"/>
                <w:szCs w:val="24"/>
              </w:rPr>
            </w:pPr>
            <w:r>
              <w:rPr>
                <w:rFonts w:ascii="Times New Roman" w:hAnsi="Times New Roman" w:cs="Times New Roman"/>
                <w:sz w:val="24"/>
                <w:szCs w:val="24"/>
              </w:rPr>
              <w:t>E</w:t>
            </w:r>
            <w:r w:rsidRPr="00BB7D16">
              <w:rPr>
                <w:rFonts w:ascii="Times New Roman" w:hAnsi="Times New Roman" w:cs="Times New Roman"/>
                <w:sz w:val="24"/>
                <w:szCs w:val="24"/>
              </w:rPr>
              <w:t>mail:</w:t>
            </w:r>
            <w:r w:rsidR="005E0785">
              <w:rPr>
                <w:rFonts w:ascii="Times New Roman" w:hAnsi="Times New Roman" w:cs="Times New Roman"/>
                <w:sz w:val="24"/>
                <w:szCs w:val="24"/>
              </w:rPr>
              <w:t xml:space="preserve"> </w:t>
            </w:r>
            <w:r w:rsidR="005E0785" w:rsidRPr="005E0785">
              <w:rPr>
                <w:rFonts w:ascii="Times New Roman" w:hAnsi="Times New Roman" w:cs="Times New Roman"/>
                <w:sz w:val="24"/>
                <w:szCs w:val="24"/>
              </w:rPr>
              <w:t>ftu2@cdc.gov</w:t>
            </w:r>
          </w:p>
        </w:tc>
      </w:tr>
      <w:tr w:rsidR="00CF51D2" w:rsidRPr="00E12DDE" w14:paraId="66D1BF94" w14:textId="77777777" w:rsidTr="006C3B01">
        <w:tc>
          <w:tcPr>
            <w:tcW w:w="5333" w:type="dxa"/>
            <w:hideMark/>
          </w:tcPr>
          <w:p w14:paraId="07872CF7" w14:textId="77777777" w:rsidR="00CF51D2" w:rsidRPr="00E12DDE" w:rsidRDefault="00CF51D2" w:rsidP="00CF51D2">
            <w:pPr>
              <w:tabs>
                <w:tab w:val="left" w:pos="450"/>
              </w:tabs>
              <w:ind w:left="0"/>
              <w:rPr>
                <w:rFonts w:ascii="Times New Roman" w:hAnsi="Times New Roman" w:cs="Times New Roman"/>
                <w:sz w:val="24"/>
                <w:szCs w:val="24"/>
                <w:u w:val="single"/>
              </w:rPr>
            </w:pPr>
            <w:r w:rsidRPr="00E12DDE">
              <w:rPr>
                <w:rFonts w:ascii="Times New Roman" w:hAnsi="Times New Roman" w:cs="Times New Roman"/>
                <w:sz w:val="24"/>
                <w:szCs w:val="24"/>
                <w:u w:val="single"/>
              </w:rPr>
              <w:t>Staff from CMS</w:t>
            </w:r>
          </w:p>
        </w:tc>
        <w:tc>
          <w:tcPr>
            <w:tcW w:w="4243" w:type="dxa"/>
          </w:tcPr>
          <w:p w14:paraId="67D4B933" w14:textId="77777777" w:rsidR="00CF51D2" w:rsidRPr="00E12DDE" w:rsidRDefault="00CF51D2" w:rsidP="00CF51D2">
            <w:pPr>
              <w:tabs>
                <w:tab w:val="left" w:pos="450"/>
              </w:tabs>
              <w:rPr>
                <w:rFonts w:ascii="Times New Roman" w:hAnsi="Times New Roman" w:cs="Times New Roman"/>
                <w:sz w:val="24"/>
                <w:szCs w:val="24"/>
                <w:u w:val="single"/>
              </w:rPr>
            </w:pPr>
          </w:p>
        </w:tc>
      </w:tr>
      <w:tr w:rsidR="00CF51D2" w:rsidRPr="00CE270E" w14:paraId="07790096" w14:textId="77777777" w:rsidTr="006C3B01">
        <w:tc>
          <w:tcPr>
            <w:tcW w:w="5333" w:type="dxa"/>
            <w:hideMark/>
          </w:tcPr>
          <w:p w14:paraId="17AF79BE" w14:textId="77777777" w:rsidR="00CF51D2" w:rsidRDefault="00CF51D2" w:rsidP="00CF51D2">
            <w:pPr>
              <w:tabs>
                <w:tab w:val="left" w:pos="450"/>
              </w:tabs>
              <w:ind w:left="360"/>
              <w:rPr>
                <w:rFonts w:ascii="Times New Roman" w:hAnsi="Times New Roman" w:cs="Times New Roman"/>
                <w:sz w:val="24"/>
                <w:szCs w:val="24"/>
              </w:rPr>
            </w:pPr>
            <w:r>
              <w:rPr>
                <w:rFonts w:ascii="Times New Roman" w:hAnsi="Times New Roman" w:cs="Times New Roman"/>
                <w:sz w:val="24"/>
                <w:szCs w:val="24"/>
              </w:rPr>
              <w:t>Deidra Stockmann</w:t>
            </w:r>
          </w:p>
          <w:p w14:paraId="41DE33DB" w14:textId="77777777" w:rsidR="00CF51D2" w:rsidRPr="00CE270E" w:rsidRDefault="00CF51D2" w:rsidP="00CF51D2">
            <w:pPr>
              <w:tabs>
                <w:tab w:val="left" w:pos="450"/>
              </w:tabs>
              <w:ind w:left="360"/>
              <w:rPr>
                <w:rFonts w:ascii="Times New Roman" w:hAnsi="Times New Roman" w:cs="Times New Roman"/>
                <w:sz w:val="24"/>
                <w:szCs w:val="24"/>
              </w:rPr>
            </w:pPr>
            <w:r w:rsidRPr="00CE270E">
              <w:rPr>
                <w:rFonts w:ascii="Times New Roman" w:hAnsi="Times New Roman" w:cs="Times New Roman"/>
                <w:sz w:val="24"/>
                <w:szCs w:val="24"/>
              </w:rPr>
              <w:t xml:space="preserve">Health </w:t>
            </w:r>
            <w:r>
              <w:rPr>
                <w:rFonts w:ascii="Times New Roman" w:hAnsi="Times New Roman" w:cs="Times New Roman"/>
                <w:sz w:val="24"/>
                <w:szCs w:val="24"/>
              </w:rPr>
              <w:t>Insurance Specialist</w:t>
            </w:r>
          </w:p>
          <w:p w14:paraId="04783D7E" w14:textId="77777777" w:rsidR="00CF51D2" w:rsidRDefault="00CF51D2" w:rsidP="00CF51D2">
            <w:pPr>
              <w:tabs>
                <w:tab w:val="left" w:pos="450"/>
              </w:tabs>
              <w:ind w:left="360"/>
              <w:rPr>
                <w:rFonts w:ascii="Times New Roman" w:hAnsi="Times New Roman" w:cs="Times New Roman"/>
                <w:sz w:val="24"/>
                <w:szCs w:val="24"/>
              </w:rPr>
            </w:pPr>
            <w:r w:rsidRPr="00AF67F4">
              <w:rPr>
                <w:rFonts w:ascii="Times New Roman" w:hAnsi="Times New Roman" w:cs="Times New Roman"/>
                <w:sz w:val="24"/>
                <w:szCs w:val="24"/>
              </w:rPr>
              <w:t>Division of Quality and Health Outcomes</w:t>
            </w:r>
          </w:p>
          <w:p w14:paraId="13DBB197" w14:textId="77777777" w:rsidR="00CF51D2" w:rsidRPr="00CE270E" w:rsidRDefault="00CF51D2" w:rsidP="00CF51D2">
            <w:pPr>
              <w:tabs>
                <w:tab w:val="left" w:pos="450"/>
              </w:tabs>
              <w:ind w:left="360"/>
              <w:rPr>
                <w:rFonts w:ascii="Times New Roman" w:hAnsi="Times New Roman" w:cs="Times New Roman"/>
                <w:sz w:val="24"/>
                <w:szCs w:val="24"/>
              </w:rPr>
            </w:pPr>
            <w:r w:rsidRPr="00AF67F4">
              <w:rPr>
                <w:rFonts w:ascii="Times New Roman" w:hAnsi="Times New Roman" w:cs="Times New Roman"/>
                <w:sz w:val="24"/>
                <w:szCs w:val="24"/>
              </w:rPr>
              <w:t xml:space="preserve">Center for Medicaid and CHIP Services </w:t>
            </w:r>
          </w:p>
        </w:tc>
        <w:tc>
          <w:tcPr>
            <w:tcW w:w="4243" w:type="dxa"/>
            <w:hideMark/>
          </w:tcPr>
          <w:p w14:paraId="6E38A4C7" w14:textId="77777777" w:rsidR="00CF51D2" w:rsidRPr="00CE270E" w:rsidRDefault="00CF51D2" w:rsidP="00CF51D2">
            <w:pPr>
              <w:tabs>
                <w:tab w:val="left" w:pos="450"/>
              </w:tabs>
              <w:rPr>
                <w:rFonts w:ascii="Times New Roman" w:hAnsi="Times New Roman" w:cs="Times New Roman"/>
                <w:sz w:val="24"/>
                <w:szCs w:val="24"/>
              </w:rPr>
            </w:pPr>
            <w:r w:rsidRPr="00CE270E">
              <w:rPr>
                <w:rFonts w:ascii="Times New Roman" w:hAnsi="Times New Roman" w:cs="Times New Roman"/>
                <w:sz w:val="24"/>
                <w:szCs w:val="24"/>
              </w:rPr>
              <w:t>Phone: (</w:t>
            </w:r>
            <w:r>
              <w:rPr>
                <w:rFonts w:ascii="Times New Roman" w:hAnsi="Times New Roman" w:cs="Times New Roman"/>
                <w:sz w:val="24"/>
                <w:szCs w:val="24"/>
              </w:rPr>
              <w:t>410</w:t>
            </w:r>
            <w:r w:rsidRPr="00CE270E">
              <w:rPr>
                <w:rFonts w:ascii="Times New Roman" w:hAnsi="Times New Roman" w:cs="Times New Roman"/>
                <w:sz w:val="24"/>
                <w:szCs w:val="24"/>
              </w:rPr>
              <w:t xml:space="preserve">) </w:t>
            </w:r>
            <w:r>
              <w:rPr>
                <w:rFonts w:ascii="Times New Roman" w:hAnsi="Times New Roman" w:cs="Times New Roman"/>
                <w:sz w:val="24"/>
                <w:szCs w:val="24"/>
              </w:rPr>
              <w:t>78</w:t>
            </w:r>
            <w:r w:rsidRPr="00CE270E">
              <w:rPr>
                <w:rFonts w:ascii="Times New Roman" w:hAnsi="Times New Roman" w:cs="Times New Roman"/>
                <w:sz w:val="24"/>
                <w:szCs w:val="24"/>
              </w:rPr>
              <w:t>6-</w:t>
            </w:r>
            <w:r>
              <w:rPr>
                <w:rFonts w:ascii="Times New Roman" w:hAnsi="Times New Roman" w:cs="Times New Roman"/>
                <w:sz w:val="24"/>
                <w:szCs w:val="24"/>
              </w:rPr>
              <w:t>2433</w:t>
            </w:r>
          </w:p>
          <w:p w14:paraId="0E16459B" w14:textId="77777777" w:rsidR="00CF51D2" w:rsidRPr="00CE270E" w:rsidRDefault="00CF51D2" w:rsidP="00CF51D2">
            <w:pPr>
              <w:tabs>
                <w:tab w:val="left" w:pos="450"/>
              </w:tabs>
              <w:rPr>
                <w:rFonts w:ascii="Times New Roman" w:hAnsi="Times New Roman" w:cs="Times New Roman"/>
                <w:sz w:val="24"/>
                <w:szCs w:val="24"/>
              </w:rPr>
            </w:pPr>
            <w:r w:rsidRPr="00CE270E">
              <w:rPr>
                <w:rFonts w:ascii="Times New Roman" w:hAnsi="Times New Roman" w:cs="Times New Roman"/>
                <w:sz w:val="24"/>
                <w:szCs w:val="24"/>
              </w:rPr>
              <w:t xml:space="preserve">Email: </w:t>
            </w:r>
            <w:r w:rsidRPr="001C6147">
              <w:rPr>
                <w:rFonts w:ascii="Times New Roman" w:hAnsi="Times New Roman" w:cs="Times New Roman"/>
                <w:sz w:val="24"/>
                <w:szCs w:val="24"/>
              </w:rPr>
              <w:t>deirdra.stockmann@cms.hhs.gov</w:t>
            </w:r>
          </w:p>
        </w:tc>
      </w:tr>
    </w:tbl>
    <w:p w14:paraId="07784F50" w14:textId="77777777" w:rsidR="00272829" w:rsidRDefault="00272829" w:rsidP="00EA2E80">
      <w:pPr>
        <w:ind w:left="360"/>
        <w:rPr>
          <w:rFonts w:ascii="Cambria" w:hAnsi="Cambria"/>
        </w:rPr>
      </w:pPr>
    </w:p>
    <w:p w14:paraId="111DA038" w14:textId="1B91484E" w:rsidR="00B12F51" w:rsidRDefault="00DC423B" w:rsidP="00852A87">
      <w:pPr>
        <w:ind w:left="360"/>
        <w:rPr>
          <w:rFonts w:ascii="Cambria" w:hAnsi="Cambria"/>
        </w:rPr>
      </w:pPr>
      <w:r>
        <w:rPr>
          <w:rFonts w:ascii="Cambria" w:hAnsi="Cambria"/>
        </w:rPr>
        <w:t>Additionally, d</w:t>
      </w:r>
      <w:r w:rsidR="00272829">
        <w:rPr>
          <w:rFonts w:ascii="Cambria" w:hAnsi="Cambria"/>
        </w:rPr>
        <w:t xml:space="preserve">uring the </w:t>
      </w:r>
      <w:r w:rsidR="00D02688">
        <w:rPr>
          <w:rFonts w:ascii="Cambria" w:hAnsi="Cambria"/>
        </w:rPr>
        <w:t>develop</w:t>
      </w:r>
      <w:r w:rsidR="00272829">
        <w:rPr>
          <w:rFonts w:ascii="Cambria" w:hAnsi="Cambria"/>
        </w:rPr>
        <w:t>ment</w:t>
      </w:r>
      <w:r w:rsidR="00D02688">
        <w:rPr>
          <w:rFonts w:ascii="Cambria" w:hAnsi="Cambria"/>
        </w:rPr>
        <w:t xml:space="preserve"> </w:t>
      </w:r>
      <w:r w:rsidR="00DF34E8">
        <w:rPr>
          <w:rFonts w:ascii="Cambria" w:hAnsi="Cambria"/>
        </w:rPr>
        <w:t xml:space="preserve">of </w:t>
      </w:r>
      <w:r w:rsidR="00D02688">
        <w:rPr>
          <w:rFonts w:ascii="Cambria" w:hAnsi="Cambria"/>
        </w:rPr>
        <w:t>this</w:t>
      </w:r>
      <w:r w:rsidR="00D02688" w:rsidRPr="002E1480">
        <w:rPr>
          <w:rFonts w:ascii="Cambria" w:hAnsi="Cambria"/>
        </w:rPr>
        <w:t xml:space="preserve"> information collection, </w:t>
      </w:r>
      <w:r w:rsidR="00272829">
        <w:rPr>
          <w:rFonts w:ascii="Cambria" w:hAnsi="Cambria"/>
        </w:rPr>
        <w:t xml:space="preserve">a CDC fellow </w:t>
      </w:r>
      <w:r w:rsidR="00D02688">
        <w:rPr>
          <w:rFonts w:ascii="Cambria" w:hAnsi="Cambria"/>
        </w:rPr>
        <w:t xml:space="preserve">conducted literature searches and consulted with </w:t>
      </w:r>
      <w:r w:rsidR="00272829">
        <w:rPr>
          <w:rFonts w:ascii="Cambria" w:hAnsi="Cambria"/>
        </w:rPr>
        <w:t xml:space="preserve">Center for Health Care Strategies </w:t>
      </w:r>
      <w:r w:rsidR="00272829" w:rsidRPr="00FC24EA">
        <w:rPr>
          <w:rFonts w:ascii="Cambria" w:hAnsi="Cambria"/>
        </w:rPr>
        <w:t>and the Association of State and Territorial Health Officials</w:t>
      </w:r>
      <w:r w:rsidR="00D02688">
        <w:rPr>
          <w:rFonts w:ascii="Cambria" w:hAnsi="Cambria"/>
        </w:rPr>
        <w:t xml:space="preserve"> </w:t>
      </w:r>
      <w:r w:rsidR="00D02688" w:rsidRPr="002E1480">
        <w:rPr>
          <w:rFonts w:ascii="Cambria" w:hAnsi="Cambria"/>
        </w:rPr>
        <w:t xml:space="preserve">to confirm that </w:t>
      </w:r>
      <w:r w:rsidR="00D02688">
        <w:rPr>
          <w:rFonts w:ascii="Cambria" w:hAnsi="Cambria"/>
        </w:rPr>
        <w:t>this effort is not duplicative.</w:t>
      </w:r>
      <w:r w:rsidR="00272829">
        <w:rPr>
          <w:rFonts w:ascii="Cambria" w:hAnsi="Cambria"/>
        </w:rPr>
        <w:t xml:space="preserve"> </w:t>
      </w:r>
      <w:r w:rsidR="00852A87">
        <w:rPr>
          <w:rFonts w:ascii="Cambria" w:hAnsi="Cambria"/>
        </w:rPr>
        <w:t>The importance of p</w:t>
      </w:r>
      <w:r w:rsidR="00272829">
        <w:rPr>
          <w:rFonts w:ascii="Cambria" w:hAnsi="Cambria"/>
        </w:rPr>
        <w:t>opulation health</w:t>
      </w:r>
      <w:r w:rsidR="00272829" w:rsidRPr="00272829">
        <w:rPr>
          <w:rFonts w:ascii="Cambria" w:hAnsi="Cambria"/>
        </w:rPr>
        <w:t xml:space="preserve"> </w:t>
      </w:r>
      <w:r w:rsidR="00272829">
        <w:rPr>
          <w:rFonts w:ascii="Cambria" w:hAnsi="Cambria"/>
        </w:rPr>
        <w:t xml:space="preserve">and interdisciplinary collaboration </w:t>
      </w:r>
      <w:r w:rsidR="00852A87">
        <w:rPr>
          <w:rFonts w:ascii="Cambria" w:hAnsi="Cambria"/>
        </w:rPr>
        <w:t xml:space="preserve">has only recently become widely acknowledged; therefore, information regarding state </w:t>
      </w:r>
      <w:r w:rsidR="0091444C">
        <w:rPr>
          <w:rFonts w:ascii="Cambria" w:hAnsi="Cambria"/>
        </w:rPr>
        <w:t xml:space="preserve">programs addressing these principles </w:t>
      </w:r>
      <w:r w:rsidR="00852A87">
        <w:rPr>
          <w:rFonts w:ascii="Cambria" w:hAnsi="Cambria"/>
        </w:rPr>
        <w:t xml:space="preserve">is scarce. </w:t>
      </w:r>
      <w:r w:rsidR="00272829" w:rsidRPr="002E1480">
        <w:rPr>
          <w:rFonts w:ascii="Cambria" w:hAnsi="Cambria"/>
        </w:rPr>
        <w:t>The information that will be gathered through this information collection is not available from other data sources or through other means.</w:t>
      </w:r>
    </w:p>
    <w:p w14:paraId="2B1C227A" w14:textId="66D2B6D0" w:rsidR="00F173F5" w:rsidRDefault="00F173F5" w:rsidP="00852A87">
      <w:pPr>
        <w:ind w:left="360"/>
        <w:rPr>
          <w:rFonts w:ascii="Cambria" w:hAnsi="Cambria"/>
        </w:rPr>
      </w:pPr>
    </w:p>
    <w:p w14:paraId="3CBC2C52" w14:textId="77777777" w:rsidR="00770C5F" w:rsidRDefault="00770C5F" w:rsidP="00852A87">
      <w:pPr>
        <w:ind w:left="360"/>
        <w:rPr>
          <w:rFonts w:ascii="Cambria" w:hAnsi="Cambria"/>
        </w:rPr>
      </w:pPr>
    </w:p>
    <w:p w14:paraId="44711024" w14:textId="07BCDFBC" w:rsidR="00B12F51" w:rsidRPr="00B47055" w:rsidRDefault="00B937F5" w:rsidP="00B937F5">
      <w:pPr>
        <w:pStyle w:val="Heading4"/>
        <w:numPr>
          <w:ilvl w:val="0"/>
          <w:numId w:val="0"/>
        </w:numPr>
        <w:ind w:left="-990"/>
      </w:pPr>
      <w:r>
        <w:t xml:space="preserve">                   </w:t>
      </w:r>
      <w:bookmarkStart w:id="10" w:name="_Toc492543250"/>
      <w:r>
        <w:t xml:space="preserve">A5. </w:t>
      </w:r>
      <w:r w:rsidR="00B47055" w:rsidRPr="00B47055">
        <w:t>Impact on Small Businesses or Other Small Entities</w:t>
      </w:r>
      <w:bookmarkEnd w:id="10"/>
    </w:p>
    <w:p w14:paraId="37825041" w14:textId="3FA91C56" w:rsidR="00441CC3" w:rsidRDefault="00D26A64" w:rsidP="00EA2E80">
      <w:pPr>
        <w:ind w:left="360"/>
      </w:pPr>
      <w:r>
        <w:t>N</w:t>
      </w:r>
      <w:r w:rsidR="00AF2252">
        <w:t xml:space="preserve">o small businesses will be involved in this </w:t>
      </w:r>
      <w:r w:rsidR="00157413">
        <w:t>information collection</w:t>
      </w:r>
      <w:r>
        <w:t>.</w:t>
      </w:r>
    </w:p>
    <w:p w14:paraId="7735CF3A" w14:textId="6F0A00D5" w:rsidR="00B34ABC" w:rsidRDefault="00B34ABC" w:rsidP="005D6F14"/>
    <w:p w14:paraId="6DCECB0F" w14:textId="77777777" w:rsidR="00770C5F" w:rsidRPr="00D95FBF" w:rsidRDefault="00770C5F" w:rsidP="005D6F14"/>
    <w:p w14:paraId="4457DEC2" w14:textId="3BDBC368" w:rsidR="00B12F51" w:rsidRPr="00906AA3" w:rsidRDefault="00A22E99" w:rsidP="00A22E99">
      <w:pPr>
        <w:pStyle w:val="Heading4"/>
        <w:numPr>
          <w:ilvl w:val="0"/>
          <w:numId w:val="0"/>
        </w:numPr>
        <w:ind w:left="-990"/>
      </w:pPr>
      <w:r w:rsidRPr="00FA2F29">
        <w:t xml:space="preserve">                  </w:t>
      </w:r>
      <w:bookmarkStart w:id="11" w:name="_Toc492543251"/>
      <w:r w:rsidRPr="00FA2F29">
        <w:t xml:space="preserve">A6. </w:t>
      </w:r>
      <w:r w:rsidR="00B47055" w:rsidRPr="00906AA3">
        <w:t>Consequences of Collecting the Information Less Frequently</w:t>
      </w:r>
      <w:bookmarkEnd w:id="11"/>
      <w:r w:rsidR="00B47055" w:rsidRPr="00906AA3">
        <w:t xml:space="preserve"> </w:t>
      </w:r>
      <w:r w:rsidR="00D95FBF" w:rsidRPr="00906AA3">
        <w:t xml:space="preserve">   </w:t>
      </w:r>
    </w:p>
    <w:p w14:paraId="3B1BE199" w14:textId="701C5CF5" w:rsidR="005756D2" w:rsidRDefault="000058E0" w:rsidP="0053522E">
      <w:pPr>
        <w:ind w:left="36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1F99F36D" w14:textId="77777777" w:rsidR="0053522E" w:rsidRDefault="0053522E" w:rsidP="0053522E">
      <w:pPr>
        <w:ind w:left="360"/>
      </w:pPr>
    </w:p>
    <w:p w14:paraId="4E889475" w14:textId="77777777" w:rsidR="00974FB3" w:rsidRDefault="00974FB3" w:rsidP="00815A50">
      <w:pPr>
        <w:pStyle w:val="ListParagraph"/>
        <w:numPr>
          <w:ilvl w:val="0"/>
          <w:numId w:val="6"/>
        </w:numPr>
        <w:tabs>
          <w:tab w:val="clear" w:pos="9360"/>
        </w:tabs>
        <w:spacing w:after="200"/>
      </w:pPr>
      <w:r>
        <w:t xml:space="preserve">Describe the collaboration between the </w:t>
      </w:r>
      <w:r w:rsidRPr="00993621">
        <w:t xml:space="preserve">health care and public health sectors </w:t>
      </w:r>
      <w:r>
        <w:t>as they partner</w:t>
      </w:r>
      <w:r w:rsidRPr="00993621">
        <w:t xml:space="preserve"> </w:t>
      </w:r>
      <w:r>
        <w:t xml:space="preserve">with a </w:t>
      </w:r>
      <w:r w:rsidRPr="00993621">
        <w:t>shared focus across a spectrum of prevention interventions</w:t>
      </w:r>
      <w:r>
        <w:t>.</w:t>
      </w:r>
    </w:p>
    <w:p w14:paraId="68B42EF5" w14:textId="4D22B1C7" w:rsidR="00974FB3" w:rsidRDefault="00974FB3" w:rsidP="00815A50">
      <w:pPr>
        <w:pStyle w:val="ListParagraph"/>
        <w:numPr>
          <w:ilvl w:val="0"/>
          <w:numId w:val="6"/>
        </w:numPr>
        <w:tabs>
          <w:tab w:val="clear" w:pos="9360"/>
        </w:tabs>
        <w:spacing w:after="200"/>
      </w:pPr>
      <w:r>
        <w:t>Describe the specific contribution of the 6|18 Initiative to the cross-sector health care-public health collaboration</w:t>
      </w:r>
    </w:p>
    <w:p w14:paraId="637A60C4" w14:textId="77777777" w:rsidR="00974FB3" w:rsidRDefault="00974FB3" w:rsidP="00815A50">
      <w:pPr>
        <w:pStyle w:val="ListParagraph"/>
        <w:numPr>
          <w:ilvl w:val="0"/>
          <w:numId w:val="6"/>
        </w:numPr>
        <w:tabs>
          <w:tab w:val="clear" w:pos="9360"/>
        </w:tabs>
        <w:spacing w:after="200"/>
      </w:pPr>
      <w:r>
        <w:t>Describe how contextual factors (e.g., delivery system reform efforts) facilitated, or posed barriers to the cross-sector collaboration</w:t>
      </w:r>
    </w:p>
    <w:p w14:paraId="597EBEC8" w14:textId="37DEE4BC" w:rsidR="008C59E7" w:rsidRPr="00EC36F1" w:rsidRDefault="00A77868" w:rsidP="00815A50">
      <w:pPr>
        <w:pStyle w:val="ListParagraph"/>
        <w:numPr>
          <w:ilvl w:val="0"/>
          <w:numId w:val="6"/>
        </w:numPr>
        <w:tabs>
          <w:tab w:val="clear" w:pos="9360"/>
        </w:tabs>
        <w:spacing w:line="240" w:lineRule="auto"/>
      </w:pPr>
      <w:r>
        <w:t>Promote</w:t>
      </w:r>
      <w:r w:rsidR="00D72A91" w:rsidRPr="00EC36F1">
        <w:t xml:space="preserve"> best practices </w:t>
      </w:r>
      <w:r w:rsidR="005756D2" w:rsidRPr="00EC36F1">
        <w:t xml:space="preserve">for </w:t>
      </w:r>
      <w:r w:rsidR="00974FB3">
        <w:t>collaboration between S</w:t>
      </w:r>
      <w:r w:rsidR="00974FB3" w:rsidRPr="00EC36F1">
        <w:t xml:space="preserve">tate </w:t>
      </w:r>
      <w:r w:rsidR="00974FB3">
        <w:t xml:space="preserve">Health Departments </w:t>
      </w:r>
      <w:r w:rsidR="001253DB">
        <w:t xml:space="preserve">and </w:t>
      </w:r>
      <w:r w:rsidR="00974FB3">
        <w:t xml:space="preserve">State </w:t>
      </w:r>
      <w:r w:rsidR="00974FB3" w:rsidRPr="00EC36F1">
        <w:t xml:space="preserve">Medicaid </w:t>
      </w:r>
      <w:r w:rsidR="00974FB3">
        <w:t>Agencies</w:t>
      </w:r>
      <w:r w:rsidR="006B5BC6">
        <w:t>.</w:t>
      </w:r>
    </w:p>
    <w:p w14:paraId="6DB7E902" w14:textId="4D79ED83" w:rsidR="00670112" w:rsidRDefault="00A77868" w:rsidP="00815A50">
      <w:pPr>
        <w:pStyle w:val="ListParagraph"/>
        <w:numPr>
          <w:ilvl w:val="0"/>
          <w:numId w:val="6"/>
        </w:numPr>
        <w:tabs>
          <w:tab w:val="clear" w:pos="9360"/>
        </w:tabs>
        <w:spacing w:line="240" w:lineRule="auto"/>
      </w:pPr>
      <w:r>
        <w:t>Disseminate</w:t>
      </w:r>
      <w:r w:rsidR="00670112">
        <w:t xml:space="preserve"> lessons learned from </w:t>
      </w:r>
      <w:r w:rsidR="006B5BC6">
        <w:t xml:space="preserve">the cross-sector collaboration </w:t>
      </w:r>
      <w:r w:rsidR="00670112">
        <w:t xml:space="preserve">key stakeholders that </w:t>
      </w:r>
      <w:r w:rsidR="00D63229">
        <w:t>can support state agencies who are doing similar work</w:t>
      </w:r>
    </w:p>
    <w:p w14:paraId="7FF2B2F2" w14:textId="3368C980" w:rsidR="00C45314" w:rsidRDefault="00C45314" w:rsidP="000058E0">
      <w:pPr>
        <w:pStyle w:val="ListParagraph"/>
        <w:rPr>
          <w:lang w:eastAsia="zh-CN"/>
        </w:rPr>
      </w:pPr>
    </w:p>
    <w:p w14:paraId="7873744D" w14:textId="77777777" w:rsidR="00AF3D04" w:rsidRPr="00AF3D04" w:rsidRDefault="00AF3D04" w:rsidP="000058E0">
      <w:pPr>
        <w:pStyle w:val="ListParagraph"/>
        <w:rPr>
          <w:color w:val="7030A0"/>
          <w:lang w:eastAsia="zh-CN"/>
        </w:rPr>
      </w:pPr>
    </w:p>
    <w:p w14:paraId="2980F38E" w14:textId="6808D859" w:rsidR="00B12F51" w:rsidRPr="00B47055" w:rsidRDefault="00A22E99" w:rsidP="00A22E99">
      <w:pPr>
        <w:pStyle w:val="Heading4"/>
        <w:numPr>
          <w:ilvl w:val="0"/>
          <w:numId w:val="0"/>
        </w:numPr>
        <w:ind w:left="-990"/>
      </w:pPr>
      <w:r>
        <w:t xml:space="preserve">                </w:t>
      </w:r>
      <w:bookmarkStart w:id="12" w:name="_Toc492543252"/>
      <w:r>
        <w:t xml:space="preserve">A7. </w:t>
      </w:r>
      <w:r w:rsidR="00B47055" w:rsidRPr="00B47055">
        <w:t>Special Circumstances Relating to the Guidelines of 5 CFR 1320.5</w:t>
      </w:r>
      <w:bookmarkEnd w:id="12"/>
    </w:p>
    <w:p w14:paraId="50FE3D75" w14:textId="63F9240F" w:rsidR="00C45314" w:rsidRDefault="00A809AA" w:rsidP="00293E3C">
      <w:pPr>
        <w:ind w:left="36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4BB5D1F1" w14:textId="76BBDFEC" w:rsidR="00C45314" w:rsidRDefault="00C45314" w:rsidP="00293E3C">
      <w:pPr>
        <w:ind w:left="0"/>
      </w:pPr>
    </w:p>
    <w:p w14:paraId="5DFD6D44" w14:textId="77777777" w:rsidR="00B34ABC" w:rsidRDefault="00B34ABC" w:rsidP="00293E3C">
      <w:pPr>
        <w:ind w:left="0"/>
      </w:pPr>
    </w:p>
    <w:p w14:paraId="033BB20C" w14:textId="659FA8F4" w:rsidR="00B12F51" w:rsidRPr="0088467A" w:rsidRDefault="00A22E99" w:rsidP="004866DC">
      <w:pPr>
        <w:pStyle w:val="Heading4"/>
        <w:numPr>
          <w:ilvl w:val="0"/>
          <w:numId w:val="0"/>
        </w:numPr>
        <w:ind w:left="-270"/>
      </w:pPr>
      <w:bookmarkStart w:id="13" w:name="_Toc492543253"/>
      <w:r>
        <w:t xml:space="preserve">A8. </w:t>
      </w:r>
      <w:r w:rsidR="0088467A" w:rsidRPr="0088467A">
        <w:t>Comments in Response to the Federal Register Notice and Efforts to Consult Outside the Agency</w:t>
      </w:r>
      <w:bookmarkEnd w:id="13"/>
    </w:p>
    <w:p w14:paraId="64F0C048" w14:textId="26C8716D" w:rsidR="00FA2FCB" w:rsidRDefault="00FA2FCB" w:rsidP="006D5E23">
      <w:pPr>
        <w:ind w:left="360"/>
        <w:rPr>
          <w:b/>
        </w:rPr>
      </w:pPr>
      <w:r w:rsidRPr="00632D5D">
        <w:rPr>
          <w:b/>
        </w:rPr>
        <w:t>Federal Register Notice</w:t>
      </w:r>
    </w:p>
    <w:p w14:paraId="72B4279B" w14:textId="77777777" w:rsidR="00FA2FCB" w:rsidRPr="00632D5D" w:rsidRDefault="00FA2FCB" w:rsidP="006D5E23">
      <w:pPr>
        <w:ind w:left="360"/>
        <w:rPr>
          <w:b/>
        </w:rPr>
      </w:pPr>
    </w:p>
    <w:p w14:paraId="242A2B43" w14:textId="62407562" w:rsidR="00A809AA" w:rsidRPr="00A809AA" w:rsidRDefault="006D5E23" w:rsidP="006D5E23">
      <w:pPr>
        <w:ind w:left="360"/>
      </w:pPr>
      <w:r>
        <w:t xml:space="preserve">This </w:t>
      </w:r>
      <w:r w:rsidR="000143B2">
        <w:t xml:space="preserve">is a new </w:t>
      </w:r>
      <w:r>
        <w:t xml:space="preserve">information collection. </w:t>
      </w:r>
      <w:r w:rsidRPr="00A809AA">
        <w:t xml:space="preserve">A 60-day Federal Register Notice was published in the </w:t>
      </w:r>
      <w:r w:rsidRPr="00F20F90">
        <w:t xml:space="preserve">Federal Register on </w:t>
      </w:r>
      <w:r w:rsidR="00BC196B">
        <w:t>October 13, 2017</w:t>
      </w:r>
      <w:r w:rsidRPr="00F20F90">
        <w:t xml:space="preserve">, Vol. </w:t>
      </w:r>
      <w:r w:rsidR="00DE1D3E">
        <w:t>82</w:t>
      </w:r>
      <w:r w:rsidRPr="00F20F90">
        <w:t xml:space="preserve">, No. </w:t>
      </w:r>
      <w:r w:rsidR="00DE1D3E">
        <w:t>197</w:t>
      </w:r>
      <w:r w:rsidR="00F074AC">
        <w:t>; page</w:t>
      </w:r>
      <w:r w:rsidRPr="00F20F90">
        <w:t xml:space="preserve"> </w:t>
      </w:r>
      <w:r w:rsidR="009741B1">
        <w:t>47738</w:t>
      </w:r>
      <w:r w:rsidR="005F01A3" w:rsidRPr="00F20F90">
        <w:t xml:space="preserve"> (</w:t>
      </w:r>
      <w:r w:rsidR="005F01A3" w:rsidRPr="00F20F90">
        <w:rPr>
          <w:b/>
        </w:rPr>
        <w:t xml:space="preserve">Attachment </w:t>
      </w:r>
      <w:r w:rsidR="00C35C44">
        <w:rPr>
          <w:b/>
        </w:rPr>
        <w:t>2 – 60-Day FRN</w:t>
      </w:r>
      <w:r w:rsidR="005F01A3" w:rsidRPr="00F20F90">
        <w:t>)</w:t>
      </w:r>
      <w:r w:rsidRPr="00F20F90">
        <w:t xml:space="preserve">.  </w:t>
      </w:r>
      <w:r w:rsidR="00DE1D3E">
        <w:t>No</w:t>
      </w:r>
      <w:r w:rsidR="00AF3D04" w:rsidRPr="00F20F90">
        <w:t xml:space="preserve"> public comments were received</w:t>
      </w:r>
      <w:r w:rsidR="00DE1D3E">
        <w:t>.</w:t>
      </w:r>
    </w:p>
    <w:p w14:paraId="00CA65F7" w14:textId="77777777" w:rsidR="00A809AA" w:rsidRPr="00A809AA" w:rsidRDefault="00A809AA" w:rsidP="00692DEB">
      <w:pPr>
        <w:ind w:left="0"/>
      </w:pPr>
    </w:p>
    <w:p w14:paraId="279E44EE" w14:textId="14D4E4E9" w:rsidR="00B22278" w:rsidRPr="00632D5D" w:rsidRDefault="00B22278" w:rsidP="00632D5D">
      <w:pPr>
        <w:ind w:left="0" w:firstLine="360"/>
        <w:rPr>
          <w:b/>
        </w:rPr>
      </w:pPr>
      <w:r w:rsidRPr="00632D5D">
        <w:rPr>
          <w:b/>
        </w:rPr>
        <w:t>Other Consultations</w:t>
      </w:r>
    </w:p>
    <w:p w14:paraId="12A56AE1" w14:textId="77777777" w:rsidR="00FA2FCB" w:rsidRDefault="00FA2FCB" w:rsidP="00C017EF">
      <w:pPr>
        <w:ind w:left="360"/>
      </w:pPr>
    </w:p>
    <w:p w14:paraId="48834B88" w14:textId="1D95B09E" w:rsidR="003F180E" w:rsidRDefault="00705541" w:rsidP="00C017EF">
      <w:pPr>
        <w:ind w:left="360"/>
      </w:pPr>
      <w:r w:rsidRPr="00705541">
        <w:t xml:space="preserve">CDC developed the data collection plan in collaboration with </w:t>
      </w:r>
      <w:r>
        <w:t>staff at George Washington University (co-operative agreement sub-contractor), and subject matter experts at CDC</w:t>
      </w:r>
      <w:r w:rsidR="003F180E">
        <w:t xml:space="preserve">. Consultation will continue throughout the implementation process.  </w:t>
      </w:r>
    </w:p>
    <w:p w14:paraId="1851F2B3" w14:textId="77777777" w:rsidR="00B00973" w:rsidRDefault="00B00973" w:rsidP="00C017EF">
      <w:pPr>
        <w:ind w:left="360"/>
      </w:pPr>
    </w:p>
    <w:p w14:paraId="6FB656D2" w14:textId="3D744B99" w:rsidR="00A809AA" w:rsidRDefault="00B00973" w:rsidP="00C017EF">
      <w:pPr>
        <w:ind w:left="360"/>
      </w:pPr>
      <w:r w:rsidRPr="00B00973">
        <w:t xml:space="preserve">CDC also discussed the proposed data collection </w:t>
      </w:r>
      <w:r>
        <w:t xml:space="preserve">instruments </w:t>
      </w:r>
      <w:r w:rsidRPr="00B00973">
        <w:t>with colleagues</w:t>
      </w:r>
      <w:r w:rsidR="00F20F90">
        <w:t xml:space="preserve"> from</w:t>
      </w:r>
      <w:r w:rsidRPr="00B00973">
        <w:t xml:space="preserve"> state public health departments</w:t>
      </w:r>
      <w:r>
        <w:t xml:space="preserve"> and state Medicaid agencies</w:t>
      </w:r>
      <w:r w:rsidRPr="00B00973">
        <w:t xml:space="preserve"> that are actively </w:t>
      </w:r>
      <w:r>
        <w:t xml:space="preserve">involved in 6|18 or related activities, </w:t>
      </w:r>
      <w:r w:rsidRPr="00B00973">
        <w:t xml:space="preserve">with the intent of creating synergies with the data being collected and reducing any duplication of effort as well as accessing expertise in the field of </w:t>
      </w:r>
      <w:r w:rsidR="00AE6E39">
        <w:t>public health-health care</w:t>
      </w:r>
      <w:r>
        <w:t xml:space="preserve"> partnerships to improve population health</w:t>
      </w:r>
      <w:r w:rsidRPr="00B00973">
        <w:t>.</w:t>
      </w:r>
      <w:r>
        <w:t xml:space="preserve">  </w:t>
      </w:r>
      <w:r w:rsidR="00867D4C" w:rsidRPr="00297AED">
        <w:t xml:space="preserve">6|18 Initiative program </w:t>
      </w:r>
      <w:r w:rsidR="00194098" w:rsidRPr="00297AED">
        <w:t>staff consulted</w:t>
      </w:r>
      <w:r w:rsidR="00867D4C" w:rsidRPr="00297AED">
        <w:t xml:space="preserve"> </w:t>
      </w:r>
      <w:r w:rsidR="0090024C" w:rsidRPr="00297AED">
        <w:t xml:space="preserve">in October 2016 - </w:t>
      </w:r>
      <w:r w:rsidR="00194098">
        <w:t>June</w:t>
      </w:r>
      <w:r w:rsidR="0090024C" w:rsidRPr="00297AED">
        <w:t xml:space="preserve"> 2017 </w:t>
      </w:r>
      <w:r w:rsidR="00867D4C" w:rsidRPr="00297AED">
        <w:t xml:space="preserve">with </w:t>
      </w:r>
      <w:r w:rsidR="00C162CA">
        <w:t xml:space="preserve">Year 1 </w:t>
      </w:r>
      <w:r w:rsidR="00867D4C" w:rsidRPr="00297AED">
        <w:t xml:space="preserve">6|18 states who </w:t>
      </w:r>
      <w:r w:rsidR="00587903">
        <w:t>voluntarily provided feedback</w:t>
      </w:r>
      <w:r w:rsidR="00867D4C" w:rsidRPr="00297AED">
        <w:t xml:space="preserve"> (</w:t>
      </w:r>
      <w:r w:rsidR="00867D4C" w:rsidRPr="00EB66F2">
        <w:t>MI,</w:t>
      </w:r>
      <w:r w:rsidR="00587903">
        <w:t xml:space="preserve"> </w:t>
      </w:r>
      <w:r w:rsidR="00587903" w:rsidRPr="00EB66F2">
        <w:t xml:space="preserve">RI, </w:t>
      </w:r>
      <w:r w:rsidR="00867D4C" w:rsidRPr="00EB66F2">
        <w:t>SC)</w:t>
      </w:r>
      <w:r w:rsidR="00867D4C" w:rsidRPr="00297AED">
        <w:t xml:space="preserve">. </w:t>
      </w:r>
    </w:p>
    <w:p w14:paraId="2BFF866D" w14:textId="77777777" w:rsidR="008D6EC6" w:rsidRDefault="008D6EC6" w:rsidP="00C017EF">
      <w:pPr>
        <w:ind w:left="360"/>
      </w:pPr>
    </w:p>
    <w:p w14:paraId="4EE3624B" w14:textId="77777777" w:rsidR="00222B2B" w:rsidRDefault="00222B2B" w:rsidP="006D1E66">
      <w:pPr>
        <w:tabs>
          <w:tab w:val="left" w:pos="720"/>
        </w:tabs>
        <w:rPr>
          <w:rFonts w:ascii="Times New Roman" w:hAnsi="Times New Roman" w:cs="Times New Roman"/>
          <w:b/>
          <w:sz w:val="24"/>
          <w:szCs w:val="24"/>
        </w:rPr>
      </w:pPr>
    </w:p>
    <w:p w14:paraId="138712E3" w14:textId="43264294" w:rsidR="006D1E66" w:rsidRPr="00CE270E" w:rsidRDefault="006D1E66" w:rsidP="006D1E66">
      <w:pPr>
        <w:tabs>
          <w:tab w:val="left" w:pos="720"/>
        </w:tabs>
        <w:rPr>
          <w:rFonts w:ascii="Times New Roman" w:hAnsi="Times New Roman" w:cs="Times New Roman"/>
          <w:b/>
          <w:sz w:val="24"/>
          <w:szCs w:val="24"/>
        </w:rPr>
      </w:pPr>
      <w:r w:rsidRPr="00CE270E">
        <w:rPr>
          <w:rFonts w:ascii="Times New Roman" w:hAnsi="Times New Roman" w:cs="Times New Roman"/>
          <w:b/>
          <w:sz w:val="24"/>
          <w:szCs w:val="24"/>
        </w:rPr>
        <w:t xml:space="preserve">Table </w:t>
      </w:r>
      <w:r w:rsidR="00283139">
        <w:rPr>
          <w:rFonts w:ascii="Times New Roman" w:hAnsi="Times New Roman" w:cs="Times New Roman"/>
          <w:b/>
          <w:sz w:val="24"/>
          <w:szCs w:val="24"/>
        </w:rPr>
        <w:t>A</w:t>
      </w:r>
      <w:r w:rsidRPr="00CE270E">
        <w:rPr>
          <w:rFonts w:ascii="Times New Roman" w:hAnsi="Times New Roman" w:cs="Times New Roman"/>
          <w:b/>
          <w:sz w:val="24"/>
          <w:szCs w:val="24"/>
        </w:rPr>
        <w:t>8-a. Consultants outside the Agency Consulting on Data Collection Plan and Instrument Development</w:t>
      </w:r>
    </w:p>
    <w:tbl>
      <w:tblPr>
        <w:tblStyle w:val="TableGrid"/>
        <w:tblW w:w="9576" w:type="dxa"/>
        <w:tblInd w:w="828" w:type="dxa"/>
        <w:tblLook w:val="04A0" w:firstRow="1" w:lastRow="0" w:firstColumn="1" w:lastColumn="0" w:noHBand="0" w:noVBand="1"/>
      </w:tblPr>
      <w:tblGrid>
        <w:gridCol w:w="5333"/>
        <w:gridCol w:w="4243"/>
      </w:tblGrid>
      <w:tr w:rsidR="00E760B9" w:rsidRPr="00E12DDE" w14:paraId="4F0873BA" w14:textId="77777777" w:rsidTr="00C64E35">
        <w:tc>
          <w:tcPr>
            <w:tcW w:w="533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17EE6404" w14:textId="1BD5F60F" w:rsidR="00E760B9" w:rsidRPr="00E12DDE" w:rsidRDefault="00752ED4" w:rsidP="00E760B9">
            <w:pPr>
              <w:tabs>
                <w:tab w:val="left" w:pos="450"/>
              </w:tabs>
              <w:ind w:left="0"/>
              <w:rPr>
                <w:rFonts w:ascii="Times New Roman" w:hAnsi="Times New Roman" w:cs="Times New Roman"/>
                <w:sz w:val="24"/>
                <w:szCs w:val="24"/>
                <w:u w:val="single"/>
              </w:rPr>
            </w:pPr>
            <w:r>
              <w:rPr>
                <w:rFonts w:ascii="Times New Roman" w:hAnsi="Times New Roman" w:cs="Times New Roman"/>
                <w:sz w:val="24"/>
                <w:szCs w:val="24"/>
                <w:u w:val="single"/>
              </w:rPr>
              <w:t>Staff from 6|18 State Teams</w:t>
            </w:r>
          </w:p>
        </w:tc>
        <w:tc>
          <w:tcPr>
            <w:tcW w:w="4243"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2F7FA5CD" w14:textId="77777777" w:rsidR="00E760B9" w:rsidRPr="00E12DDE" w:rsidRDefault="00E760B9" w:rsidP="00E760B9">
            <w:pPr>
              <w:tabs>
                <w:tab w:val="left" w:pos="450"/>
              </w:tabs>
              <w:rPr>
                <w:rFonts w:ascii="Times New Roman" w:hAnsi="Times New Roman" w:cs="Times New Roman"/>
                <w:sz w:val="24"/>
                <w:szCs w:val="24"/>
                <w:u w:val="single"/>
              </w:rPr>
            </w:pPr>
          </w:p>
        </w:tc>
      </w:tr>
      <w:tr w:rsidR="00096DB3" w:rsidRPr="00E12DDE" w14:paraId="184F7F22" w14:textId="77777777" w:rsidTr="00B34581">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76849" w14:textId="77777777" w:rsidR="00096DB3" w:rsidRDefault="00096DB3" w:rsidP="00E760B9">
            <w:pPr>
              <w:tabs>
                <w:tab w:val="left" w:pos="450"/>
              </w:tabs>
              <w:ind w:left="0"/>
              <w:rPr>
                <w:rFonts w:ascii="Times New Roman" w:hAnsi="Times New Roman" w:cs="Times New Roman"/>
                <w:sz w:val="24"/>
                <w:szCs w:val="24"/>
              </w:rPr>
            </w:pPr>
            <w:r>
              <w:rPr>
                <w:rFonts w:ascii="Times New Roman" w:hAnsi="Times New Roman" w:cs="Times New Roman"/>
                <w:sz w:val="24"/>
                <w:szCs w:val="24"/>
              </w:rPr>
              <w:t>Sophia Hines</w:t>
            </w:r>
          </w:p>
          <w:p w14:paraId="182AA845" w14:textId="77777777" w:rsidR="00096DB3" w:rsidRDefault="001C0C93" w:rsidP="00E760B9">
            <w:pPr>
              <w:tabs>
                <w:tab w:val="left" w:pos="450"/>
              </w:tabs>
              <w:ind w:left="0"/>
              <w:rPr>
                <w:rFonts w:ascii="Times New Roman" w:hAnsi="Times New Roman" w:cs="Times New Roman"/>
                <w:sz w:val="24"/>
                <w:szCs w:val="24"/>
              </w:rPr>
            </w:pPr>
            <w:r>
              <w:rPr>
                <w:rFonts w:ascii="Times New Roman" w:hAnsi="Times New Roman" w:cs="Times New Roman"/>
                <w:sz w:val="24"/>
                <w:szCs w:val="24"/>
              </w:rPr>
              <w:t>Public Health Consultant</w:t>
            </w:r>
          </w:p>
          <w:p w14:paraId="1197F0A6" w14:textId="2CB7B898" w:rsidR="001C0C93" w:rsidRDefault="001C0C93" w:rsidP="00E760B9">
            <w:pPr>
              <w:tabs>
                <w:tab w:val="left" w:pos="450"/>
              </w:tabs>
              <w:ind w:left="0"/>
              <w:rPr>
                <w:rFonts w:ascii="Times New Roman" w:hAnsi="Times New Roman" w:cs="Times New Roman"/>
                <w:sz w:val="24"/>
                <w:szCs w:val="24"/>
              </w:rPr>
            </w:pPr>
            <w:r>
              <w:rPr>
                <w:rFonts w:ascii="Times New Roman" w:hAnsi="Times New Roman" w:cs="Times New Roman"/>
                <w:sz w:val="24"/>
                <w:szCs w:val="24"/>
              </w:rPr>
              <w:t xml:space="preserve">Michigan Department of </w:t>
            </w:r>
            <w:r w:rsidRPr="00C64E35">
              <w:rPr>
                <w:rFonts w:ascii="Times New Roman" w:hAnsi="Times New Roman" w:cs="Times New Roman"/>
                <w:sz w:val="24"/>
                <w:szCs w:val="24"/>
              </w:rPr>
              <w:t>Health and Human Services</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9D6A" w14:textId="636F2E68" w:rsidR="00096DB3" w:rsidRDefault="00096DB3" w:rsidP="00096DB3">
            <w:pPr>
              <w:tabs>
                <w:tab w:val="left" w:pos="450"/>
              </w:tabs>
              <w:ind w:left="0"/>
              <w:rPr>
                <w:rFonts w:ascii="Times New Roman" w:hAnsi="Times New Roman" w:cs="Times New Roman"/>
                <w:sz w:val="24"/>
                <w:szCs w:val="24"/>
              </w:rPr>
            </w:pPr>
            <w:r>
              <w:rPr>
                <w:rFonts w:ascii="Times New Roman" w:hAnsi="Times New Roman" w:cs="Times New Roman"/>
                <w:sz w:val="24"/>
                <w:szCs w:val="24"/>
              </w:rPr>
              <w:t xml:space="preserve">Phone: </w:t>
            </w:r>
            <w:r w:rsidR="001C0C93" w:rsidRPr="001C0C93">
              <w:rPr>
                <w:rFonts w:ascii="Times New Roman" w:hAnsi="Times New Roman" w:cs="Times New Roman"/>
                <w:sz w:val="24"/>
                <w:szCs w:val="24"/>
              </w:rPr>
              <w:t>(517) 335-6965</w:t>
            </w:r>
          </w:p>
          <w:p w14:paraId="0CF7C50F" w14:textId="0D527BA2" w:rsidR="00096DB3" w:rsidRPr="000860FE" w:rsidRDefault="00096DB3" w:rsidP="00096DB3">
            <w:pPr>
              <w:tabs>
                <w:tab w:val="left" w:pos="450"/>
              </w:tabs>
              <w:ind w:left="0"/>
              <w:rPr>
                <w:rFonts w:ascii="Times New Roman" w:hAnsi="Times New Roman" w:cs="Times New Roman"/>
                <w:sz w:val="24"/>
                <w:szCs w:val="24"/>
              </w:rPr>
            </w:pPr>
            <w:r>
              <w:rPr>
                <w:rFonts w:ascii="Times New Roman" w:hAnsi="Times New Roman" w:cs="Times New Roman"/>
                <w:sz w:val="24"/>
                <w:szCs w:val="24"/>
              </w:rPr>
              <w:t>Email: HinesS3@michigan.gov</w:t>
            </w:r>
          </w:p>
        </w:tc>
      </w:tr>
      <w:tr w:rsidR="00752ED4" w:rsidRPr="00E12DDE" w14:paraId="154CBD3F" w14:textId="77777777" w:rsidTr="00B34581">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B4E75" w14:textId="03CE982A" w:rsidR="00752ED4" w:rsidRDefault="00442B98" w:rsidP="00E760B9">
            <w:pPr>
              <w:tabs>
                <w:tab w:val="left" w:pos="450"/>
              </w:tabs>
              <w:ind w:left="0"/>
              <w:rPr>
                <w:rFonts w:ascii="Times New Roman" w:hAnsi="Times New Roman" w:cs="Times New Roman"/>
                <w:sz w:val="24"/>
                <w:szCs w:val="24"/>
              </w:rPr>
            </w:pPr>
            <w:r>
              <w:rPr>
                <w:rFonts w:ascii="Times New Roman" w:hAnsi="Times New Roman" w:cs="Times New Roman"/>
                <w:sz w:val="24"/>
                <w:szCs w:val="24"/>
              </w:rPr>
              <w:t xml:space="preserve">Julian </w:t>
            </w:r>
            <w:r w:rsidR="00C64E35">
              <w:rPr>
                <w:rFonts w:ascii="Times New Roman" w:hAnsi="Times New Roman" w:cs="Times New Roman"/>
                <w:sz w:val="24"/>
                <w:szCs w:val="24"/>
              </w:rPr>
              <w:t>Rodriguez-Drix</w:t>
            </w:r>
          </w:p>
          <w:p w14:paraId="1D7DB7E4" w14:textId="77777777" w:rsidR="00C64E35" w:rsidRDefault="00C64E35" w:rsidP="00E760B9">
            <w:pPr>
              <w:tabs>
                <w:tab w:val="left" w:pos="450"/>
              </w:tabs>
              <w:ind w:left="0"/>
            </w:pPr>
            <w:r>
              <w:rPr>
                <w:rFonts w:ascii="Times New Roman" w:hAnsi="Times New Roman" w:cs="Times New Roman"/>
                <w:sz w:val="24"/>
                <w:szCs w:val="24"/>
              </w:rPr>
              <w:t xml:space="preserve">Asthma </w:t>
            </w:r>
            <w:r w:rsidRPr="00C64E35">
              <w:rPr>
                <w:rFonts w:ascii="Times New Roman" w:hAnsi="Times New Roman" w:cs="Times New Roman"/>
                <w:sz w:val="24"/>
                <w:szCs w:val="24"/>
              </w:rPr>
              <w:t>Program Manager</w:t>
            </w:r>
            <w:r>
              <w:t xml:space="preserve"> </w:t>
            </w:r>
          </w:p>
          <w:p w14:paraId="27B03490" w14:textId="5766CAC4" w:rsidR="00C64E35" w:rsidRDefault="00C64E35" w:rsidP="00E760B9">
            <w:pPr>
              <w:tabs>
                <w:tab w:val="left" w:pos="450"/>
              </w:tabs>
              <w:ind w:left="0"/>
              <w:rPr>
                <w:rFonts w:ascii="Times New Roman" w:hAnsi="Times New Roman" w:cs="Times New Roman"/>
                <w:sz w:val="24"/>
                <w:szCs w:val="24"/>
              </w:rPr>
            </w:pPr>
            <w:r w:rsidRPr="00C64E35">
              <w:rPr>
                <w:rFonts w:ascii="Times New Roman" w:hAnsi="Times New Roman" w:cs="Times New Roman"/>
                <w:sz w:val="24"/>
                <w:szCs w:val="24"/>
              </w:rPr>
              <w:t>Division of Community, Health &amp; Equity</w:t>
            </w:r>
          </w:p>
          <w:p w14:paraId="69622F2A" w14:textId="46DD42A6" w:rsidR="00442B98" w:rsidRPr="00E12DDE" w:rsidRDefault="00C64E35" w:rsidP="00442B98">
            <w:pPr>
              <w:tabs>
                <w:tab w:val="left" w:pos="450"/>
              </w:tabs>
              <w:ind w:left="0"/>
              <w:rPr>
                <w:rFonts w:ascii="Times New Roman" w:hAnsi="Times New Roman" w:cs="Times New Roman"/>
                <w:sz w:val="24"/>
                <w:szCs w:val="24"/>
                <w:u w:val="single"/>
              </w:rPr>
            </w:pPr>
            <w:r>
              <w:rPr>
                <w:rFonts w:ascii="Times New Roman" w:hAnsi="Times New Roman" w:cs="Times New Roman"/>
                <w:sz w:val="24"/>
                <w:szCs w:val="24"/>
              </w:rPr>
              <w:t>Rhode Island Department of Health</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6A765" w14:textId="021E5E6B" w:rsidR="00752ED4" w:rsidRPr="000860FE" w:rsidRDefault="00752ED4" w:rsidP="00C64E35">
            <w:pPr>
              <w:tabs>
                <w:tab w:val="left" w:pos="450"/>
              </w:tabs>
              <w:ind w:left="0"/>
              <w:rPr>
                <w:rFonts w:ascii="Times New Roman" w:hAnsi="Times New Roman" w:cs="Times New Roman"/>
                <w:sz w:val="24"/>
                <w:szCs w:val="24"/>
              </w:rPr>
            </w:pPr>
            <w:r w:rsidRPr="000860FE">
              <w:rPr>
                <w:rFonts w:ascii="Times New Roman" w:hAnsi="Times New Roman" w:cs="Times New Roman"/>
                <w:sz w:val="24"/>
                <w:szCs w:val="24"/>
              </w:rPr>
              <w:t>Phone:</w:t>
            </w:r>
            <w:r>
              <w:rPr>
                <w:rFonts w:ascii="Times New Roman" w:hAnsi="Times New Roman" w:cs="Times New Roman"/>
                <w:sz w:val="24"/>
                <w:szCs w:val="24"/>
              </w:rPr>
              <w:t xml:space="preserve"> </w:t>
            </w:r>
            <w:r w:rsidR="00C64E35">
              <w:rPr>
                <w:rFonts w:ascii="Times New Roman" w:hAnsi="Times New Roman" w:cs="Times New Roman"/>
                <w:sz w:val="24"/>
                <w:szCs w:val="24"/>
              </w:rPr>
              <w:t>(</w:t>
            </w:r>
            <w:r w:rsidR="00C64E35" w:rsidRPr="00C64E35">
              <w:rPr>
                <w:rFonts w:ascii="Times New Roman" w:hAnsi="Times New Roman" w:cs="Times New Roman"/>
                <w:sz w:val="24"/>
                <w:szCs w:val="24"/>
              </w:rPr>
              <w:t>401</w:t>
            </w:r>
            <w:r w:rsidR="00C64E35">
              <w:rPr>
                <w:rFonts w:ascii="Times New Roman" w:hAnsi="Times New Roman" w:cs="Times New Roman"/>
                <w:sz w:val="24"/>
                <w:szCs w:val="24"/>
              </w:rPr>
              <w:t xml:space="preserve">) </w:t>
            </w:r>
            <w:r w:rsidR="00C64E35" w:rsidRPr="00C64E35">
              <w:rPr>
                <w:rFonts w:ascii="Times New Roman" w:hAnsi="Times New Roman" w:cs="Times New Roman"/>
                <w:sz w:val="24"/>
                <w:szCs w:val="24"/>
              </w:rPr>
              <w:t>222-7742</w:t>
            </w:r>
          </w:p>
          <w:p w14:paraId="76B83EC3" w14:textId="40E6577E" w:rsidR="00752ED4" w:rsidRPr="00E12DDE" w:rsidRDefault="00752ED4" w:rsidP="00C64E35">
            <w:pPr>
              <w:tabs>
                <w:tab w:val="left" w:pos="450"/>
              </w:tabs>
              <w:ind w:left="0"/>
              <w:rPr>
                <w:rFonts w:ascii="Times New Roman" w:hAnsi="Times New Roman" w:cs="Times New Roman"/>
                <w:sz w:val="24"/>
                <w:szCs w:val="24"/>
                <w:u w:val="single"/>
              </w:rPr>
            </w:pPr>
            <w:r w:rsidRPr="000860FE">
              <w:rPr>
                <w:rFonts w:ascii="Times New Roman" w:hAnsi="Times New Roman" w:cs="Times New Roman"/>
                <w:sz w:val="24"/>
                <w:szCs w:val="24"/>
              </w:rPr>
              <w:t>Email:</w:t>
            </w:r>
            <w:r w:rsidR="00C64E35">
              <w:rPr>
                <w:rFonts w:ascii="Times New Roman" w:hAnsi="Times New Roman" w:cs="Times New Roman"/>
                <w:sz w:val="24"/>
                <w:szCs w:val="24"/>
              </w:rPr>
              <w:t xml:space="preserve"> Julian.Drix@health.ri.gov</w:t>
            </w:r>
          </w:p>
        </w:tc>
      </w:tr>
      <w:tr w:rsidR="00442B98" w:rsidRPr="00E12DDE" w14:paraId="015DF510" w14:textId="77777777" w:rsidTr="00B34581">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99EB1" w14:textId="77777777" w:rsidR="00442B98" w:rsidRDefault="00442B98" w:rsidP="00E760B9">
            <w:pPr>
              <w:tabs>
                <w:tab w:val="left" w:pos="450"/>
              </w:tabs>
              <w:ind w:left="0"/>
              <w:rPr>
                <w:rFonts w:ascii="Times New Roman" w:hAnsi="Times New Roman" w:cs="Times New Roman"/>
                <w:sz w:val="24"/>
                <w:szCs w:val="24"/>
              </w:rPr>
            </w:pPr>
            <w:r>
              <w:rPr>
                <w:rFonts w:ascii="Times New Roman" w:hAnsi="Times New Roman" w:cs="Times New Roman"/>
                <w:sz w:val="24"/>
                <w:szCs w:val="24"/>
              </w:rPr>
              <w:t>Christina Galardi</w:t>
            </w:r>
          </w:p>
          <w:p w14:paraId="49356D9C" w14:textId="2D587AE4" w:rsidR="00442B98" w:rsidRDefault="00C64E35" w:rsidP="00442B98">
            <w:pPr>
              <w:tabs>
                <w:tab w:val="left" w:pos="450"/>
              </w:tabs>
              <w:ind w:left="0"/>
              <w:rPr>
                <w:rFonts w:ascii="Times New Roman" w:hAnsi="Times New Roman" w:cs="Times New Roman"/>
                <w:sz w:val="24"/>
                <w:szCs w:val="24"/>
              </w:rPr>
            </w:pPr>
            <w:r>
              <w:rPr>
                <w:rFonts w:ascii="Times New Roman" w:hAnsi="Times New Roman" w:cs="Times New Roman"/>
                <w:sz w:val="24"/>
                <w:szCs w:val="24"/>
              </w:rPr>
              <w:t>Project Manager</w:t>
            </w:r>
          </w:p>
          <w:p w14:paraId="40516842" w14:textId="6A014C92" w:rsidR="00442B98" w:rsidRDefault="00C64E35" w:rsidP="00442B98">
            <w:pPr>
              <w:tabs>
                <w:tab w:val="left" w:pos="450"/>
              </w:tabs>
              <w:ind w:left="0"/>
              <w:rPr>
                <w:rFonts w:ascii="Times New Roman" w:hAnsi="Times New Roman" w:cs="Times New Roman"/>
                <w:sz w:val="24"/>
                <w:szCs w:val="24"/>
              </w:rPr>
            </w:pPr>
            <w:r w:rsidRPr="00C64E35">
              <w:rPr>
                <w:rFonts w:ascii="Times New Roman" w:hAnsi="Times New Roman" w:cs="Times New Roman"/>
                <w:sz w:val="24"/>
                <w:szCs w:val="24"/>
              </w:rPr>
              <w:t>South Carolina Department of Health and Human Services</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A7D0" w14:textId="438E0033" w:rsidR="005048B0" w:rsidRPr="000860FE" w:rsidRDefault="005048B0" w:rsidP="00C64E35">
            <w:pPr>
              <w:tabs>
                <w:tab w:val="left" w:pos="450"/>
              </w:tabs>
              <w:ind w:left="0"/>
              <w:rPr>
                <w:rFonts w:ascii="Times New Roman" w:hAnsi="Times New Roman" w:cs="Times New Roman"/>
                <w:sz w:val="24"/>
                <w:szCs w:val="24"/>
              </w:rPr>
            </w:pPr>
            <w:r w:rsidRPr="000860FE">
              <w:rPr>
                <w:rFonts w:ascii="Times New Roman" w:hAnsi="Times New Roman" w:cs="Times New Roman"/>
                <w:sz w:val="24"/>
                <w:szCs w:val="24"/>
              </w:rPr>
              <w:t>Phone:</w:t>
            </w:r>
            <w:r>
              <w:rPr>
                <w:rFonts w:ascii="Times New Roman" w:hAnsi="Times New Roman" w:cs="Times New Roman"/>
                <w:sz w:val="24"/>
                <w:szCs w:val="24"/>
              </w:rPr>
              <w:t xml:space="preserve"> </w:t>
            </w:r>
            <w:r w:rsidR="00826517">
              <w:rPr>
                <w:rFonts w:ascii="Times New Roman" w:hAnsi="Times New Roman" w:cs="Times New Roman"/>
                <w:sz w:val="24"/>
                <w:szCs w:val="24"/>
              </w:rPr>
              <w:t>(</w:t>
            </w:r>
            <w:r w:rsidR="00826517" w:rsidRPr="00826517">
              <w:rPr>
                <w:rFonts w:ascii="Times New Roman" w:hAnsi="Times New Roman" w:cs="Times New Roman"/>
                <w:sz w:val="24"/>
                <w:szCs w:val="24"/>
              </w:rPr>
              <w:t>803</w:t>
            </w:r>
            <w:r w:rsidR="00826517">
              <w:rPr>
                <w:rFonts w:ascii="Times New Roman" w:hAnsi="Times New Roman" w:cs="Times New Roman"/>
                <w:sz w:val="24"/>
                <w:szCs w:val="24"/>
              </w:rPr>
              <w:t xml:space="preserve">) </w:t>
            </w:r>
            <w:r w:rsidR="00826517" w:rsidRPr="00826517">
              <w:rPr>
                <w:rFonts w:ascii="Times New Roman" w:hAnsi="Times New Roman" w:cs="Times New Roman"/>
                <w:sz w:val="24"/>
                <w:szCs w:val="24"/>
              </w:rPr>
              <w:t>462-4962</w:t>
            </w:r>
          </w:p>
          <w:p w14:paraId="0E197303" w14:textId="3649BEAD" w:rsidR="00442B98" w:rsidRPr="000860FE" w:rsidRDefault="005048B0" w:rsidP="00826517">
            <w:pPr>
              <w:tabs>
                <w:tab w:val="left" w:pos="450"/>
              </w:tabs>
              <w:ind w:left="0"/>
              <w:rPr>
                <w:rFonts w:ascii="Times New Roman" w:hAnsi="Times New Roman" w:cs="Times New Roman"/>
                <w:sz w:val="24"/>
                <w:szCs w:val="24"/>
              </w:rPr>
            </w:pPr>
            <w:r w:rsidRPr="000860FE">
              <w:rPr>
                <w:rFonts w:ascii="Times New Roman" w:hAnsi="Times New Roman" w:cs="Times New Roman"/>
                <w:sz w:val="24"/>
                <w:szCs w:val="24"/>
              </w:rPr>
              <w:t>Email:</w:t>
            </w:r>
            <w:r w:rsidR="00826517">
              <w:rPr>
                <w:rFonts w:ascii="Times New Roman" w:hAnsi="Times New Roman" w:cs="Times New Roman"/>
                <w:sz w:val="24"/>
                <w:szCs w:val="24"/>
              </w:rPr>
              <w:t xml:space="preserve"> </w:t>
            </w:r>
            <w:r w:rsidR="00826517" w:rsidRPr="00826517">
              <w:rPr>
                <w:rFonts w:ascii="Times New Roman" w:hAnsi="Times New Roman" w:cs="Times New Roman"/>
                <w:sz w:val="24"/>
                <w:szCs w:val="24"/>
              </w:rPr>
              <w:t>Christina.Galardi@scdhhs.gov</w:t>
            </w:r>
          </w:p>
        </w:tc>
      </w:tr>
      <w:tr w:rsidR="00752ED4" w:rsidRPr="00E12DDE" w14:paraId="6585EB42" w14:textId="77777777" w:rsidTr="00C64E35">
        <w:tc>
          <w:tcPr>
            <w:tcW w:w="533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5CA5C2CE" w14:textId="77777777" w:rsidR="00752ED4" w:rsidRPr="00E760B9" w:rsidRDefault="00752ED4" w:rsidP="00752ED4">
            <w:pPr>
              <w:tabs>
                <w:tab w:val="left" w:pos="450"/>
              </w:tabs>
              <w:ind w:left="0"/>
              <w:rPr>
                <w:rFonts w:ascii="Times New Roman" w:hAnsi="Times New Roman" w:cs="Times New Roman"/>
                <w:sz w:val="24"/>
                <w:szCs w:val="24"/>
                <w:u w:val="single"/>
              </w:rPr>
            </w:pPr>
            <w:r w:rsidRPr="00E12DDE">
              <w:rPr>
                <w:rFonts w:ascii="Times New Roman" w:hAnsi="Times New Roman" w:cs="Times New Roman"/>
                <w:sz w:val="24"/>
                <w:szCs w:val="24"/>
                <w:u w:val="single"/>
              </w:rPr>
              <w:t xml:space="preserve">Staff from </w:t>
            </w:r>
            <w:r w:rsidRPr="00E760B9">
              <w:rPr>
                <w:rFonts w:ascii="Times New Roman" w:hAnsi="Times New Roman" w:cs="Times New Roman"/>
                <w:sz w:val="24"/>
                <w:szCs w:val="24"/>
                <w:u w:val="single"/>
              </w:rPr>
              <w:t>George Washington University (GWU)</w:t>
            </w:r>
          </w:p>
          <w:p w14:paraId="5E2F4182" w14:textId="77777777" w:rsidR="00752ED4" w:rsidRPr="00E760B9" w:rsidRDefault="00752ED4" w:rsidP="00752ED4">
            <w:pPr>
              <w:tabs>
                <w:tab w:val="left" w:pos="450"/>
              </w:tabs>
              <w:ind w:left="0"/>
              <w:rPr>
                <w:rFonts w:ascii="Times New Roman" w:hAnsi="Times New Roman" w:cs="Times New Roman"/>
                <w:sz w:val="24"/>
                <w:szCs w:val="24"/>
              </w:rPr>
            </w:pPr>
            <w:r w:rsidRPr="00E760B9">
              <w:rPr>
                <w:rFonts w:ascii="Times New Roman" w:hAnsi="Times New Roman" w:cs="Times New Roman"/>
                <w:sz w:val="24"/>
                <w:szCs w:val="24"/>
              </w:rPr>
              <w:t xml:space="preserve">Milken Institute School of Public Health </w:t>
            </w:r>
          </w:p>
          <w:p w14:paraId="2D128D39" w14:textId="55F10EE9" w:rsidR="00752ED4" w:rsidRPr="00E12DDE" w:rsidRDefault="00752ED4" w:rsidP="00752ED4">
            <w:pPr>
              <w:tabs>
                <w:tab w:val="left" w:pos="450"/>
              </w:tabs>
              <w:ind w:left="0"/>
              <w:rPr>
                <w:rFonts w:ascii="Times New Roman" w:hAnsi="Times New Roman" w:cs="Times New Roman"/>
                <w:sz w:val="24"/>
                <w:szCs w:val="24"/>
                <w:u w:val="single"/>
              </w:rPr>
            </w:pPr>
            <w:r w:rsidRPr="00E760B9">
              <w:rPr>
                <w:rFonts w:ascii="Times New Roman" w:hAnsi="Times New Roman" w:cs="Times New Roman"/>
                <w:sz w:val="24"/>
                <w:szCs w:val="24"/>
              </w:rPr>
              <w:t>Dept. of Health Policy and Management</w:t>
            </w:r>
          </w:p>
        </w:tc>
        <w:tc>
          <w:tcPr>
            <w:tcW w:w="4243"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3BC090F5" w14:textId="77777777" w:rsidR="00752ED4" w:rsidRPr="00E12DDE" w:rsidRDefault="00752ED4" w:rsidP="00E760B9">
            <w:pPr>
              <w:tabs>
                <w:tab w:val="left" w:pos="450"/>
              </w:tabs>
              <w:rPr>
                <w:rFonts w:ascii="Times New Roman" w:hAnsi="Times New Roman" w:cs="Times New Roman"/>
                <w:sz w:val="24"/>
                <w:szCs w:val="24"/>
                <w:u w:val="single"/>
              </w:rPr>
            </w:pPr>
          </w:p>
        </w:tc>
      </w:tr>
      <w:tr w:rsidR="00E760B9" w:rsidRPr="00E12DDE" w14:paraId="22153D3E" w14:textId="77777777" w:rsidTr="00B34581">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813CC" w14:textId="77777777" w:rsidR="00E760B9" w:rsidRDefault="00E760B9" w:rsidP="00C64E35">
            <w:pPr>
              <w:tabs>
                <w:tab w:val="left" w:pos="450"/>
              </w:tabs>
              <w:ind w:left="0"/>
              <w:rPr>
                <w:rFonts w:ascii="Times New Roman" w:hAnsi="Times New Roman" w:cs="Times New Roman"/>
                <w:sz w:val="24"/>
                <w:szCs w:val="24"/>
              </w:rPr>
            </w:pPr>
            <w:r w:rsidRPr="00B34581">
              <w:rPr>
                <w:rFonts w:ascii="Times New Roman" w:hAnsi="Times New Roman" w:cs="Times New Roman"/>
                <w:sz w:val="24"/>
                <w:szCs w:val="24"/>
              </w:rPr>
              <w:t>Leighton Ku</w:t>
            </w:r>
          </w:p>
          <w:p w14:paraId="044C1F1A" w14:textId="68A99AA5" w:rsidR="00E760B9" w:rsidRPr="00C55242" w:rsidRDefault="00E760B9" w:rsidP="00C64E35">
            <w:pPr>
              <w:tabs>
                <w:tab w:val="left" w:pos="450"/>
              </w:tabs>
              <w:ind w:left="0"/>
              <w:rPr>
                <w:rFonts w:ascii="Times New Roman" w:hAnsi="Times New Roman" w:cs="Times New Roman"/>
                <w:sz w:val="24"/>
                <w:szCs w:val="24"/>
              </w:rPr>
            </w:pPr>
            <w:r>
              <w:rPr>
                <w:rFonts w:ascii="Times New Roman" w:hAnsi="Times New Roman" w:cs="Times New Roman"/>
                <w:sz w:val="24"/>
                <w:szCs w:val="24"/>
              </w:rPr>
              <w:t>Professor</w:t>
            </w:r>
          </w:p>
          <w:p w14:paraId="04E06863" w14:textId="70A15204" w:rsidR="00E760B9" w:rsidRPr="00E760B9" w:rsidRDefault="00E760B9" w:rsidP="00C64E35">
            <w:pPr>
              <w:tabs>
                <w:tab w:val="left" w:pos="450"/>
              </w:tabs>
              <w:ind w:left="0"/>
              <w:rPr>
                <w:rFonts w:ascii="Times New Roman" w:hAnsi="Times New Roman" w:cs="Times New Roman"/>
                <w:sz w:val="24"/>
                <w:szCs w:val="24"/>
              </w:rPr>
            </w:pPr>
            <w:r w:rsidRPr="00C55242">
              <w:rPr>
                <w:rFonts w:ascii="Times New Roman" w:hAnsi="Times New Roman" w:cs="Times New Roman"/>
                <w:sz w:val="24"/>
                <w:szCs w:val="24"/>
              </w:rPr>
              <w:t>Director, Center for Health Pol</w:t>
            </w:r>
            <w:r>
              <w:rPr>
                <w:rFonts w:ascii="Times New Roman" w:hAnsi="Times New Roman" w:cs="Times New Roman"/>
                <w:sz w:val="24"/>
                <w:szCs w:val="24"/>
              </w:rPr>
              <w:t>icy Research</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0809D" w14:textId="77777777" w:rsidR="00E760B9" w:rsidRDefault="00E760B9" w:rsidP="00C64E35">
            <w:pPr>
              <w:tabs>
                <w:tab w:val="left" w:pos="450"/>
              </w:tabs>
              <w:ind w:left="0"/>
              <w:rPr>
                <w:rFonts w:ascii="Times New Roman" w:hAnsi="Times New Roman" w:cs="Times New Roman"/>
                <w:sz w:val="24"/>
                <w:szCs w:val="24"/>
              </w:rPr>
            </w:pPr>
            <w:r>
              <w:rPr>
                <w:rFonts w:ascii="Times New Roman" w:hAnsi="Times New Roman" w:cs="Times New Roman"/>
                <w:sz w:val="24"/>
                <w:szCs w:val="24"/>
              </w:rPr>
              <w:t>Phone: (</w:t>
            </w:r>
            <w:r w:rsidRPr="00C55242">
              <w:rPr>
                <w:rFonts w:ascii="Times New Roman" w:hAnsi="Times New Roman" w:cs="Times New Roman"/>
                <w:sz w:val="24"/>
                <w:szCs w:val="24"/>
              </w:rPr>
              <w:t>202</w:t>
            </w:r>
            <w:r>
              <w:rPr>
                <w:rFonts w:ascii="Times New Roman" w:hAnsi="Times New Roman" w:cs="Times New Roman"/>
                <w:sz w:val="24"/>
                <w:szCs w:val="24"/>
              </w:rPr>
              <w:t xml:space="preserve">) </w:t>
            </w:r>
            <w:r w:rsidRPr="00C55242">
              <w:rPr>
                <w:rFonts w:ascii="Times New Roman" w:hAnsi="Times New Roman" w:cs="Times New Roman"/>
                <w:sz w:val="24"/>
                <w:szCs w:val="24"/>
              </w:rPr>
              <w:t>994-4143</w:t>
            </w:r>
          </w:p>
          <w:p w14:paraId="30114873" w14:textId="32F2C29B" w:rsidR="00E760B9" w:rsidRPr="00E12DDE" w:rsidRDefault="00E760B9" w:rsidP="00C64E35">
            <w:pPr>
              <w:tabs>
                <w:tab w:val="left" w:pos="450"/>
              </w:tabs>
              <w:ind w:left="0"/>
              <w:rPr>
                <w:rFonts w:ascii="Times New Roman" w:hAnsi="Times New Roman" w:cs="Times New Roman"/>
                <w:sz w:val="24"/>
                <w:szCs w:val="24"/>
                <w:u w:val="single"/>
              </w:rPr>
            </w:pPr>
            <w:r>
              <w:rPr>
                <w:rFonts w:ascii="Times New Roman" w:hAnsi="Times New Roman" w:cs="Times New Roman"/>
                <w:sz w:val="24"/>
                <w:szCs w:val="24"/>
              </w:rPr>
              <w:t xml:space="preserve">Email: </w:t>
            </w:r>
            <w:r w:rsidRPr="00C55242">
              <w:rPr>
                <w:rFonts w:ascii="Times New Roman" w:hAnsi="Times New Roman" w:cs="Times New Roman"/>
                <w:sz w:val="24"/>
                <w:szCs w:val="24"/>
              </w:rPr>
              <w:t>lku@gwu.edu</w:t>
            </w:r>
          </w:p>
        </w:tc>
      </w:tr>
      <w:tr w:rsidR="00E760B9" w:rsidRPr="00E12DDE" w14:paraId="434D27E8" w14:textId="77777777" w:rsidTr="00B34581">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0774C" w14:textId="77777777" w:rsidR="00E760B9" w:rsidRDefault="00E760B9" w:rsidP="00C64E35">
            <w:pPr>
              <w:tabs>
                <w:tab w:val="left" w:pos="450"/>
              </w:tabs>
              <w:ind w:left="0"/>
              <w:rPr>
                <w:rFonts w:ascii="Times New Roman" w:hAnsi="Times New Roman" w:cs="Times New Roman"/>
                <w:sz w:val="24"/>
                <w:szCs w:val="24"/>
              </w:rPr>
            </w:pPr>
            <w:r w:rsidRPr="00B34581">
              <w:rPr>
                <w:rFonts w:ascii="Times New Roman" w:hAnsi="Times New Roman" w:cs="Times New Roman"/>
                <w:sz w:val="24"/>
                <w:szCs w:val="24"/>
              </w:rPr>
              <w:t>Erin Brantley</w:t>
            </w:r>
          </w:p>
          <w:p w14:paraId="32F58BDC" w14:textId="2653FFFF" w:rsidR="00E760B9" w:rsidRPr="00E760B9" w:rsidRDefault="00E760B9" w:rsidP="00C64E35">
            <w:pPr>
              <w:tabs>
                <w:tab w:val="left" w:pos="450"/>
              </w:tabs>
              <w:ind w:left="0"/>
              <w:rPr>
                <w:rFonts w:ascii="Times New Roman" w:hAnsi="Times New Roman" w:cs="Times New Roman"/>
                <w:sz w:val="24"/>
                <w:szCs w:val="24"/>
              </w:rPr>
            </w:pPr>
            <w:r>
              <w:rPr>
                <w:rFonts w:ascii="Times New Roman" w:hAnsi="Times New Roman" w:cs="Times New Roman"/>
                <w:sz w:val="24"/>
                <w:szCs w:val="24"/>
              </w:rPr>
              <w:t>Senior Research Associate</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FB9" w14:textId="77777777" w:rsidR="00E760B9" w:rsidRDefault="00E760B9" w:rsidP="00C64E35">
            <w:pPr>
              <w:tabs>
                <w:tab w:val="left" w:pos="450"/>
              </w:tabs>
              <w:ind w:left="0"/>
              <w:rPr>
                <w:rFonts w:ascii="Times New Roman" w:hAnsi="Times New Roman" w:cs="Times New Roman"/>
                <w:sz w:val="24"/>
                <w:szCs w:val="24"/>
              </w:rPr>
            </w:pPr>
            <w:r>
              <w:rPr>
                <w:rFonts w:ascii="Times New Roman" w:hAnsi="Times New Roman" w:cs="Times New Roman"/>
                <w:sz w:val="24"/>
                <w:szCs w:val="24"/>
              </w:rPr>
              <w:t>Phone: (</w:t>
            </w:r>
            <w:r w:rsidRPr="00C55242">
              <w:rPr>
                <w:rFonts w:ascii="Times New Roman" w:hAnsi="Times New Roman" w:cs="Times New Roman"/>
                <w:sz w:val="24"/>
                <w:szCs w:val="24"/>
              </w:rPr>
              <w:t>202</w:t>
            </w:r>
            <w:r>
              <w:rPr>
                <w:rFonts w:ascii="Times New Roman" w:hAnsi="Times New Roman" w:cs="Times New Roman"/>
                <w:sz w:val="24"/>
                <w:szCs w:val="24"/>
              </w:rPr>
              <w:t xml:space="preserve">) </w:t>
            </w:r>
            <w:r w:rsidRPr="00C55242">
              <w:rPr>
                <w:rFonts w:ascii="Times New Roman" w:hAnsi="Times New Roman" w:cs="Times New Roman"/>
                <w:sz w:val="24"/>
                <w:szCs w:val="24"/>
              </w:rPr>
              <w:t>994-8606</w:t>
            </w:r>
          </w:p>
          <w:p w14:paraId="11033677" w14:textId="5684DAD9" w:rsidR="00E760B9" w:rsidRPr="00E12DDE" w:rsidRDefault="00E760B9" w:rsidP="00C64E35">
            <w:pPr>
              <w:tabs>
                <w:tab w:val="left" w:pos="450"/>
              </w:tabs>
              <w:ind w:left="0"/>
              <w:rPr>
                <w:rFonts w:ascii="Times New Roman" w:hAnsi="Times New Roman" w:cs="Times New Roman"/>
                <w:sz w:val="24"/>
                <w:szCs w:val="24"/>
                <w:u w:val="single"/>
              </w:rPr>
            </w:pPr>
            <w:r>
              <w:rPr>
                <w:rFonts w:ascii="Times New Roman" w:hAnsi="Times New Roman" w:cs="Times New Roman"/>
                <w:sz w:val="24"/>
                <w:szCs w:val="24"/>
              </w:rPr>
              <w:t xml:space="preserve">Email: </w:t>
            </w:r>
            <w:r w:rsidRPr="00C55242">
              <w:rPr>
                <w:rFonts w:ascii="Times New Roman" w:hAnsi="Times New Roman" w:cs="Times New Roman"/>
                <w:sz w:val="24"/>
                <w:szCs w:val="24"/>
              </w:rPr>
              <w:t>ebrantley@email.gwu.edu</w:t>
            </w:r>
          </w:p>
        </w:tc>
      </w:tr>
    </w:tbl>
    <w:p w14:paraId="403A36CA" w14:textId="31A0EF29" w:rsidR="006D1E66" w:rsidRDefault="006D1E66" w:rsidP="008D6EC6">
      <w:pPr>
        <w:ind w:left="360"/>
      </w:pPr>
    </w:p>
    <w:p w14:paraId="1454C7F1" w14:textId="77777777" w:rsidR="006D1E66" w:rsidRDefault="006D1E66" w:rsidP="008D6EC6">
      <w:pPr>
        <w:ind w:left="360"/>
      </w:pPr>
    </w:p>
    <w:p w14:paraId="0FB69465" w14:textId="0C722BC3" w:rsidR="00B12F51" w:rsidRPr="0088467A" w:rsidRDefault="00A22E99" w:rsidP="00A22E99">
      <w:pPr>
        <w:pStyle w:val="Heading4"/>
        <w:numPr>
          <w:ilvl w:val="0"/>
          <w:numId w:val="0"/>
        </w:numPr>
        <w:ind w:left="-990"/>
      </w:pPr>
      <w:r>
        <w:t xml:space="preserve">              </w:t>
      </w:r>
      <w:bookmarkStart w:id="14" w:name="_Toc492543254"/>
      <w:r>
        <w:t xml:space="preserve">A9. </w:t>
      </w:r>
      <w:r w:rsidR="0088467A" w:rsidRPr="0088467A">
        <w:t>Explanation of Any Payment or Gift to Respondents</w:t>
      </w:r>
      <w:bookmarkEnd w:id="14"/>
    </w:p>
    <w:p w14:paraId="6A67A9AD" w14:textId="77777777" w:rsidR="00F52BCC" w:rsidRDefault="00A809AA" w:rsidP="00C017EF">
      <w:pPr>
        <w:ind w:left="360"/>
      </w:pPr>
      <w:r>
        <w:t>CDC will not provide p</w:t>
      </w:r>
      <w:r w:rsidR="00D26A64">
        <w:t>ayments or gifts to respondents.</w:t>
      </w:r>
    </w:p>
    <w:p w14:paraId="25E53A86" w14:textId="77777777" w:rsidR="00F52BCC" w:rsidRDefault="00F52BCC" w:rsidP="005D6F14"/>
    <w:p w14:paraId="0ADF5CB1" w14:textId="77777777" w:rsidR="00B34ABC" w:rsidRDefault="00B34ABC" w:rsidP="005D6F14"/>
    <w:p w14:paraId="6602F700" w14:textId="58A15E5F" w:rsidR="00B12F51" w:rsidRPr="00D16E78" w:rsidRDefault="00A22E99" w:rsidP="00A22E99">
      <w:pPr>
        <w:pStyle w:val="Heading4"/>
        <w:numPr>
          <w:ilvl w:val="0"/>
          <w:numId w:val="0"/>
        </w:numPr>
        <w:ind w:left="-990"/>
      </w:pPr>
      <w:r>
        <w:t xml:space="preserve">             </w:t>
      </w:r>
      <w:bookmarkStart w:id="15" w:name="_Toc492543255"/>
      <w:r>
        <w:t xml:space="preserve">A10. </w:t>
      </w:r>
      <w:r w:rsidR="0088467A">
        <w:t xml:space="preserve"> </w:t>
      </w:r>
      <w:r w:rsidR="009D5927" w:rsidRPr="009D5927">
        <w:t>Protection of the Privacy and Confidentiality of Information Provided by Respondents</w:t>
      </w:r>
      <w:bookmarkEnd w:id="15"/>
    </w:p>
    <w:p w14:paraId="57FB6590" w14:textId="5B673BB0" w:rsidR="002F15C9" w:rsidRPr="00212518" w:rsidRDefault="002F15C9" w:rsidP="00171957">
      <w:pPr>
        <w:jc w:val="both"/>
        <w:rPr>
          <w:rFonts w:ascii="Times New Roman" w:hAnsi="Times New Roman"/>
        </w:rPr>
      </w:pPr>
      <w:r w:rsidRPr="00212518">
        <w:t xml:space="preserve">Information collection for the 6|18 Initiative Case Studies is for the purpose of assessing 6|18 participating </w:t>
      </w:r>
      <w:r w:rsidR="00F672F6">
        <w:t>states</w:t>
      </w:r>
      <w:r w:rsidRPr="00212518">
        <w:t xml:space="preserve">’ </w:t>
      </w:r>
      <w:r w:rsidRPr="00AC05C7">
        <w:t>functioning and activities</w:t>
      </w:r>
      <w:r w:rsidRPr="00212518">
        <w:t xml:space="preserve"> at the organizational level. </w:t>
      </w:r>
    </w:p>
    <w:p w14:paraId="4C08771D" w14:textId="77777777" w:rsidR="002F15C9" w:rsidRPr="00212518" w:rsidRDefault="002F15C9" w:rsidP="00171957">
      <w:pPr>
        <w:autoSpaceDE w:val="0"/>
        <w:autoSpaceDN w:val="0"/>
        <w:adjustRightInd w:val="0"/>
        <w:rPr>
          <w:u w:val="single"/>
        </w:rPr>
      </w:pPr>
    </w:p>
    <w:p w14:paraId="05E4953A" w14:textId="77777777" w:rsidR="001C0C08" w:rsidRPr="00632D5D" w:rsidRDefault="002F15C9" w:rsidP="00171957">
      <w:pPr>
        <w:autoSpaceDE w:val="0"/>
        <w:autoSpaceDN w:val="0"/>
        <w:adjustRightInd w:val="0"/>
        <w:rPr>
          <w:b/>
        </w:rPr>
      </w:pPr>
      <w:r w:rsidRPr="00632D5D">
        <w:rPr>
          <w:b/>
        </w:rPr>
        <w:t>Privacy Impact Assessment</w:t>
      </w:r>
    </w:p>
    <w:p w14:paraId="2BB4E37B" w14:textId="77777777" w:rsidR="001C0C08" w:rsidRDefault="001C0C08" w:rsidP="00171957">
      <w:pPr>
        <w:autoSpaceDE w:val="0"/>
        <w:autoSpaceDN w:val="0"/>
        <w:adjustRightInd w:val="0"/>
        <w:rPr>
          <w:u w:val="single"/>
        </w:rPr>
      </w:pPr>
    </w:p>
    <w:p w14:paraId="6AB19FDE" w14:textId="5FD62AA2" w:rsidR="00DB63BF" w:rsidRPr="0054662B" w:rsidRDefault="001B7C2C" w:rsidP="00313EB7">
      <w:pPr>
        <w:autoSpaceDE w:val="0"/>
        <w:autoSpaceDN w:val="0"/>
        <w:adjustRightInd w:val="0"/>
        <w:rPr>
          <w:rFonts w:ascii="Times New Roman" w:hAnsi="Times New Roman"/>
          <w:sz w:val="24"/>
          <w:szCs w:val="24"/>
        </w:rPr>
      </w:pPr>
      <w:r>
        <w:t xml:space="preserve">All participants, i.e., </w:t>
      </w:r>
      <w:r w:rsidR="00212518">
        <w:t>State Public Health Department and State Medicaid Agency</w:t>
      </w:r>
      <w:r w:rsidR="00212518" w:rsidRPr="00040611">
        <w:t xml:space="preserve"> </w:t>
      </w:r>
      <w:r w:rsidR="002C5666">
        <w:t>staff</w:t>
      </w:r>
      <w:r>
        <w:t>,</w:t>
      </w:r>
      <w:r w:rsidR="00212518">
        <w:t xml:space="preserve"> </w:t>
      </w:r>
      <w:r w:rsidR="00212518" w:rsidRPr="00040611">
        <w:t>will be speaking from their official roles</w:t>
      </w:r>
      <w:r w:rsidR="00212518">
        <w:t xml:space="preserve">.  </w:t>
      </w:r>
      <w:r>
        <w:t>I</w:t>
      </w:r>
      <w:r w:rsidRPr="001B7C2C">
        <w:t>nformation in identifiable form (IIF)</w:t>
      </w:r>
      <w:r>
        <w:t xml:space="preserve"> that is collected</w:t>
      </w:r>
      <w:r w:rsidRPr="001B7C2C">
        <w:t xml:space="preserve"> will only include business contact information for each </w:t>
      </w:r>
      <w:r w:rsidR="00313EB7" w:rsidRPr="001B7C2C">
        <w:t>respondent</w:t>
      </w:r>
      <w:r w:rsidR="00313EB7">
        <w:t xml:space="preserve"> </w:t>
      </w:r>
      <w:r w:rsidR="00313EB7" w:rsidRPr="001B7C2C">
        <w:t>(</w:t>
      </w:r>
      <w:r w:rsidR="002F15C9" w:rsidRPr="00212518">
        <w:rPr>
          <w:rFonts w:ascii="Times New Roman" w:hAnsi="Times New Roman"/>
          <w:sz w:val="24"/>
          <w:szCs w:val="24"/>
        </w:rPr>
        <w:t>i.e., name,</w:t>
      </w:r>
      <w:r>
        <w:rPr>
          <w:rFonts w:ascii="Times New Roman" w:hAnsi="Times New Roman"/>
          <w:sz w:val="24"/>
          <w:szCs w:val="24"/>
        </w:rPr>
        <w:t xml:space="preserve"> office/work</w:t>
      </w:r>
      <w:r w:rsidR="002F15C9" w:rsidRPr="00212518">
        <w:rPr>
          <w:rFonts w:ascii="Times New Roman" w:hAnsi="Times New Roman"/>
          <w:sz w:val="24"/>
          <w:szCs w:val="24"/>
        </w:rPr>
        <w:t xml:space="preserve"> telephone number, and </w:t>
      </w:r>
      <w:r>
        <w:rPr>
          <w:rFonts w:ascii="Times New Roman" w:hAnsi="Times New Roman"/>
          <w:sz w:val="24"/>
          <w:szCs w:val="24"/>
        </w:rPr>
        <w:t>office/work</w:t>
      </w:r>
      <w:r w:rsidRPr="00212518">
        <w:rPr>
          <w:rFonts w:ascii="Times New Roman" w:hAnsi="Times New Roman"/>
          <w:sz w:val="24"/>
          <w:szCs w:val="24"/>
        </w:rPr>
        <w:t xml:space="preserve"> </w:t>
      </w:r>
      <w:r w:rsidR="002F15C9" w:rsidRPr="00212518">
        <w:rPr>
          <w:rFonts w:ascii="Times New Roman" w:hAnsi="Times New Roman"/>
          <w:sz w:val="24"/>
          <w:szCs w:val="24"/>
        </w:rPr>
        <w:t>email address).</w:t>
      </w:r>
      <w:r>
        <w:rPr>
          <w:rFonts w:ascii="Times New Roman" w:hAnsi="Times New Roman"/>
          <w:sz w:val="24"/>
          <w:szCs w:val="24"/>
        </w:rPr>
        <w:t xml:space="preserve">  T</w:t>
      </w:r>
      <w:r w:rsidRPr="001B7C2C">
        <w:rPr>
          <w:rFonts w:ascii="Times New Roman" w:hAnsi="Times New Roman"/>
          <w:sz w:val="24"/>
          <w:szCs w:val="24"/>
        </w:rPr>
        <w:t xml:space="preserve">he interview questions do not collect </w:t>
      </w:r>
      <w:r>
        <w:rPr>
          <w:rFonts w:ascii="Times New Roman" w:hAnsi="Times New Roman"/>
          <w:sz w:val="24"/>
          <w:szCs w:val="24"/>
        </w:rPr>
        <w:t>Personally Identifiable Information (</w:t>
      </w:r>
      <w:r w:rsidRPr="001B7C2C">
        <w:rPr>
          <w:rFonts w:ascii="Times New Roman" w:hAnsi="Times New Roman"/>
          <w:sz w:val="24"/>
          <w:szCs w:val="24"/>
        </w:rPr>
        <w:t>PII</w:t>
      </w:r>
      <w:r>
        <w:rPr>
          <w:rFonts w:ascii="Times New Roman" w:hAnsi="Times New Roman"/>
          <w:sz w:val="24"/>
          <w:szCs w:val="24"/>
        </w:rPr>
        <w:t>)</w:t>
      </w:r>
      <w:r w:rsidRPr="001B7C2C">
        <w:rPr>
          <w:rFonts w:ascii="Times New Roman" w:hAnsi="Times New Roman"/>
          <w:sz w:val="24"/>
          <w:szCs w:val="24"/>
        </w:rPr>
        <w:t>.</w:t>
      </w:r>
      <w:r w:rsidR="00313EB7">
        <w:rPr>
          <w:rFonts w:ascii="Times New Roman" w:hAnsi="Times New Roman"/>
          <w:sz w:val="24"/>
          <w:szCs w:val="24"/>
        </w:rPr>
        <w:t xml:space="preserve"> </w:t>
      </w:r>
      <w:r w:rsidR="002F15C9" w:rsidRPr="00212518">
        <w:rPr>
          <w:rFonts w:ascii="Times New Roman" w:hAnsi="Times New Roman"/>
          <w:sz w:val="24"/>
          <w:szCs w:val="24"/>
        </w:rPr>
        <w:t xml:space="preserve"> The information to be obtained through </w:t>
      </w:r>
      <w:r w:rsidR="00FD692F">
        <w:rPr>
          <w:rFonts w:ascii="Times New Roman" w:hAnsi="Times New Roman"/>
          <w:sz w:val="24"/>
          <w:szCs w:val="24"/>
        </w:rPr>
        <w:t>interviews</w:t>
      </w:r>
      <w:r w:rsidR="00BA114F">
        <w:rPr>
          <w:rFonts w:ascii="Times New Roman" w:hAnsi="Times New Roman"/>
          <w:sz w:val="24"/>
          <w:szCs w:val="24"/>
        </w:rPr>
        <w:t xml:space="preserve"> </w:t>
      </w:r>
      <w:r w:rsidR="002F15C9" w:rsidRPr="00212518">
        <w:rPr>
          <w:rFonts w:ascii="Times New Roman" w:hAnsi="Times New Roman"/>
          <w:sz w:val="24"/>
          <w:szCs w:val="24"/>
        </w:rPr>
        <w:t>concerns organizational activities rather than personal matters and is not considered highly sensitive. During interviews, respondents will be asked to identify their organization, role, and perceptions about activities cond</w:t>
      </w:r>
      <w:r w:rsidR="006A039E">
        <w:rPr>
          <w:rFonts w:ascii="Times New Roman" w:hAnsi="Times New Roman"/>
          <w:sz w:val="24"/>
          <w:szCs w:val="24"/>
        </w:rPr>
        <w:t>ucted within their organization</w:t>
      </w:r>
      <w:r w:rsidR="002F15C9" w:rsidRPr="00212518">
        <w:rPr>
          <w:rFonts w:ascii="Times New Roman" w:hAnsi="Times New Roman"/>
          <w:sz w:val="24"/>
          <w:szCs w:val="24"/>
        </w:rPr>
        <w:t>. The information collected will focus on respondents’ thoughts and experiences related to programmatic partnerships</w:t>
      </w:r>
      <w:r w:rsidR="00212518" w:rsidRPr="00212518">
        <w:rPr>
          <w:rFonts w:ascii="Times New Roman" w:hAnsi="Times New Roman"/>
          <w:sz w:val="24"/>
          <w:szCs w:val="24"/>
        </w:rPr>
        <w:t>, the contribution of the 6|18 Initiative, and contextual factors that were barriers or facilitators to activities.</w:t>
      </w:r>
      <w:r w:rsidR="002F15C9" w:rsidRPr="00212518">
        <w:rPr>
          <w:rFonts w:ascii="Times New Roman" w:hAnsi="Times New Roman"/>
          <w:sz w:val="24"/>
          <w:szCs w:val="24"/>
        </w:rPr>
        <w:t xml:space="preserve"> </w:t>
      </w:r>
      <w:r w:rsidR="00BA114F" w:rsidRPr="00632D5D">
        <w:rPr>
          <w:sz w:val="24"/>
          <w:szCs w:val="24"/>
        </w:rPr>
        <w:t>A</w:t>
      </w:r>
      <w:r w:rsidR="00DB63BF" w:rsidRPr="00632D5D">
        <w:rPr>
          <w:sz w:val="24"/>
          <w:szCs w:val="24"/>
        </w:rPr>
        <w:t>ll information</w:t>
      </w:r>
      <w:r w:rsidR="00BA114F" w:rsidRPr="00632D5D">
        <w:rPr>
          <w:sz w:val="24"/>
          <w:szCs w:val="24"/>
        </w:rPr>
        <w:t>, including IIF,</w:t>
      </w:r>
      <w:r w:rsidR="00DB63BF" w:rsidRPr="00632D5D">
        <w:rPr>
          <w:sz w:val="24"/>
          <w:szCs w:val="24"/>
        </w:rPr>
        <w:t xml:space="preserve"> will be kept on secure, password protected servers accessible only to project team members.  </w:t>
      </w:r>
      <w:r w:rsidR="004E35E6" w:rsidRPr="00632D5D">
        <w:rPr>
          <w:sz w:val="24"/>
          <w:szCs w:val="24"/>
        </w:rPr>
        <w:t>As part of the consent process</w:t>
      </w:r>
      <w:r w:rsidR="00053E7E" w:rsidRPr="00632D5D">
        <w:rPr>
          <w:sz w:val="24"/>
          <w:szCs w:val="24"/>
        </w:rPr>
        <w:t>, which includes an</w:t>
      </w:r>
      <w:r w:rsidR="004E35E6" w:rsidRPr="00632D5D">
        <w:rPr>
          <w:sz w:val="24"/>
          <w:szCs w:val="24"/>
        </w:rPr>
        <w:t xml:space="preserve"> advance notice email</w:t>
      </w:r>
      <w:r w:rsidR="00C32940" w:rsidRPr="00632D5D">
        <w:rPr>
          <w:sz w:val="24"/>
          <w:szCs w:val="24"/>
        </w:rPr>
        <w:t xml:space="preserve"> (</w:t>
      </w:r>
      <w:r w:rsidR="00C35C44" w:rsidRPr="00632D5D">
        <w:rPr>
          <w:b/>
          <w:sz w:val="24"/>
          <w:szCs w:val="24"/>
        </w:rPr>
        <w:t>Attachment 4 – Advance Notice Email</w:t>
      </w:r>
      <w:r w:rsidR="00C32940" w:rsidRPr="00632D5D">
        <w:rPr>
          <w:sz w:val="24"/>
          <w:szCs w:val="24"/>
        </w:rPr>
        <w:t>)</w:t>
      </w:r>
      <w:r w:rsidR="004E35E6" w:rsidRPr="00632D5D">
        <w:rPr>
          <w:sz w:val="24"/>
          <w:szCs w:val="24"/>
        </w:rPr>
        <w:t xml:space="preserve"> and </w:t>
      </w:r>
      <w:r w:rsidR="00053E7E" w:rsidRPr="00632D5D">
        <w:rPr>
          <w:sz w:val="24"/>
          <w:szCs w:val="24"/>
        </w:rPr>
        <w:t xml:space="preserve">an </w:t>
      </w:r>
      <w:r w:rsidR="006255FE" w:rsidRPr="00632D5D">
        <w:rPr>
          <w:sz w:val="24"/>
          <w:szCs w:val="24"/>
        </w:rPr>
        <w:t xml:space="preserve">opportunity to ask any questions </w:t>
      </w:r>
      <w:r w:rsidR="00C32940" w:rsidRPr="00632D5D">
        <w:rPr>
          <w:sz w:val="24"/>
          <w:szCs w:val="24"/>
        </w:rPr>
        <w:t xml:space="preserve">at the beginning of the </w:t>
      </w:r>
      <w:r w:rsidR="004E35E6" w:rsidRPr="00632D5D">
        <w:rPr>
          <w:sz w:val="24"/>
          <w:szCs w:val="24"/>
        </w:rPr>
        <w:t xml:space="preserve">interview </w:t>
      </w:r>
      <w:r w:rsidR="00C32940" w:rsidRPr="00632D5D">
        <w:rPr>
          <w:sz w:val="24"/>
          <w:szCs w:val="24"/>
        </w:rPr>
        <w:t>(</w:t>
      </w:r>
      <w:r w:rsidR="00C35C44" w:rsidRPr="00632D5D">
        <w:rPr>
          <w:b/>
          <w:sz w:val="24"/>
          <w:szCs w:val="24"/>
        </w:rPr>
        <w:t>Attachment 3 – Interview Guide</w:t>
      </w:r>
      <w:r w:rsidR="004E35E6" w:rsidRPr="00632D5D">
        <w:rPr>
          <w:sz w:val="24"/>
          <w:szCs w:val="24"/>
        </w:rPr>
        <w:t>), we will make respondents aware of the intended use of the findings (e.g., manuscripts and</w:t>
      </w:r>
      <w:r w:rsidR="00506DE6" w:rsidRPr="00632D5D">
        <w:rPr>
          <w:sz w:val="24"/>
          <w:szCs w:val="24"/>
        </w:rPr>
        <w:t xml:space="preserve"> </w:t>
      </w:r>
      <w:r w:rsidR="004E35E6" w:rsidRPr="00632D5D">
        <w:rPr>
          <w:sz w:val="24"/>
          <w:szCs w:val="24"/>
        </w:rPr>
        <w:t>in-depth case studies</w:t>
      </w:r>
      <w:r w:rsidR="00770C5F" w:rsidRPr="00632D5D">
        <w:rPr>
          <w:sz w:val="24"/>
          <w:szCs w:val="24"/>
        </w:rPr>
        <w:t xml:space="preserve"> to share lessons learned with the field</w:t>
      </w:r>
      <w:r w:rsidR="004E35E6" w:rsidRPr="00632D5D">
        <w:rPr>
          <w:sz w:val="24"/>
          <w:szCs w:val="24"/>
        </w:rPr>
        <w:t>)</w:t>
      </w:r>
      <w:r w:rsidR="00DB63BF" w:rsidRPr="00632D5D">
        <w:rPr>
          <w:sz w:val="24"/>
          <w:szCs w:val="24"/>
        </w:rPr>
        <w:t>.</w:t>
      </w:r>
      <w:r w:rsidR="004E35E6" w:rsidRPr="00632D5D">
        <w:rPr>
          <w:sz w:val="24"/>
          <w:szCs w:val="24"/>
        </w:rPr>
        <w:t xml:space="preserve">  Respondents will be given an opportunity to review products before they are shared publicly.</w:t>
      </w:r>
    </w:p>
    <w:p w14:paraId="381FF2A7" w14:textId="77777777" w:rsidR="00402FD0" w:rsidRDefault="00402FD0" w:rsidP="001C0C08">
      <w:pPr>
        <w:tabs>
          <w:tab w:val="left" w:pos="810"/>
        </w:tabs>
        <w:rPr>
          <w:rFonts w:ascii="Times New Roman" w:hAnsi="Times New Roman"/>
          <w:sz w:val="24"/>
          <w:szCs w:val="24"/>
        </w:rPr>
      </w:pPr>
    </w:p>
    <w:p w14:paraId="1951543C" w14:textId="28800F6C" w:rsidR="00117142" w:rsidRPr="006255FE" w:rsidRDefault="0063563E" w:rsidP="001C0C08">
      <w:pPr>
        <w:tabs>
          <w:tab w:val="left" w:pos="810"/>
        </w:tabs>
        <w:rPr>
          <w:rFonts w:cs="Times New Roman"/>
        </w:rPr>
      </w:pPr>
      <w:r>
        <w:t>Interview r</w:t>
      </w:r>
      <w:r w:rsidR="00117142" w:rsidRPr="006255FE">
        <w:t xml:space="preserve">esponses will be linked to respondents’ </w:t>
      </w:r>
      <w:r w:rsidR="00D45030" w:rsidRPr="006255FE">
        <w:t>organizations</w:t>
      </w:r>
      <w:r w:rsidR="00117142" w:rsidRPr="006255FE">
        <w:t xml:space="preserve"> and roles to ensure that </w:t>
      </w:r>
      <w:r w:rsidR="00D45030" w:rsidRPr="006255FE">
        <w:t xml:space="preserve">interview </w:t>
      </w:r>
      <w:r w:rsidR="00117142" w:rsidRPr="006255FE">
        <w:t xml:space="preserve">findings can be </w:t>
      </w:r>
      <w:r w:rsidR="00D45030" w:rsidRPr="006255FE">
        <w:t>grouped by organization, to generate in-depth organizational case study profiles</w:t>
      </w:r>
      <w:r w:rsidR="00117142" w:rsidRPr="006255FE">
        <w:t xml:space="preserve">. </w:t>
      </w:r>
      <w:r w:rsidR="00D45030" w:rsidRPr="006255FE">
        <w:t>GWU</w:t>
      </w:r>
      <w:r w:rsidR="00117142" w:rsidRPr="006255FE">
        <w:t xml:space="preserve">, the data collection </w:t>
      </w:r>
      <w:r w:rsidR="00D45030" w:rsidRPr="006255FE">
        <w:t>sub-</w:t>
      </w:r>
      <w:r w:rsidR="00117142" w:rsidRPr="006255FE">
        <w:t xml:space="preserve">contractor, will have access to IIF for program leadership and staff recruited for participation. </w:t>
      </w:r>
      <w:r w:rsidR="00117142" w:rsidRPr="006255FE">
        <w:rPr>
          <w:rFonts w:cs="Times New Roman"/>
        </w:rPr>
        <w:t>No other personal identifiers will be collected.</w:t>
      </w:r>
      <w:r w:rsidR="00402FD0" w:rsidRPr="006255FE">
        <w:rPr>
          <w:rFonts w:cs="Times New Roman"/>
        </w:rPr>
        <w:t xml:space="preserve">  </w:t>
      </w:r>
      <w:r w:rsidR="00117142" w:rsidRPr="006255FE">
        <w:rPr>
          <w:rFonts w:cs="Times New Roman"/>
        </w:rPr>
        <w:t xml:space="preserve">All data files will be stored in a secure electronic folder on a password-protected </w:t>
      </w:r>
      <w:r w:rsidR="00D45030" w:rsidRPr="006255FE">
        <w:rPr>
          <w:rFonts w:cs="Times New Roman"/>
        </w:rPr>
        <w:t>CDC external-facing server</w:t>
      </w:r>
      <w:r w:rsidR="00117142" w:rsidRPr="006255FE">
        <w:rPr>
          <w:rFonts w:cs="Times New Roman"/>
        </w:rPr>
        <w:t xml:space="preserve"> that is only accessible by authorized project staff.  </w:t>
      </w:r>
    </w:p>
    <w:p w14:paraId="60195053" w14:textId="77777777" w:rsidR="00117142" w:rsidRPr="00117142" w:rsidRDefault="00117142" w:rsidP="00117142">
      <w:pPr>
        <w:pStyle w:val="bodytextCharCharChar"/>
        <w:spacing w:after="0"/>
        <w:ind w:firstLine="0"/>
        <w:rPr>
          <w:color w:val="7030A0"/>
        </w:rPr>
      </w:pPr>
    </w:p>
    <w:p w14:paraId="15FA4DD6" w14:textId="2E82B887" w:rsidR="00FA2FCB" w:rsidRPr="00FB5652" w:rsidRDefault="00FA2FCB" w:rsidP="00FA2FCB">
      <w:pPr>
        <w:numPr>
          <w:ilvl w:val="0"/>
          <w:numId w:val="25"/>
        </w:numPr>
        <w:tabs>
          <w:tab w:val="clear" w:pos="9360"/>
          <w:tab w:val="num" w:pos="540"/>
        </w:tabs>
        <w:spacing w:line="240" w:lineRule="auto"/>
        <w:ind w:hanging="945"/>
        <w:rPr>
          <w:b/>
          <w:bCs/>
        </w:rPr>
      </w:pPr>
      <w:r>
        <w:rPr>
          <w:b/>
          <w:bCs/>
        </w:rPr>
        <w:t>Privacy Act Determination</w:t>
      </w:r>
    </w:p>
    <w:p w14:paraId="07EBD9AA" w14:textId="77777777" w:rsidR="00117142" w:rsidRPr="00117142" w:rsidRDefault="00117142" w:rsidP="00117142">
      <w:pPr>
        <w:rPr>
          <w:color w:val="7030A0"/>
          <w:lang w:val="tr-TR"/>
        </w:rPr>
      </w:pPr>
    </w:p>
    <w:p w14:paraId="7E0A0B99" w14:textId="77795A13" w:rsidR="00117142" w:rsidRPr="00117142" w:rsidRDefault="00117142" w:rsidP="00117142">
      <w:pPr>
        <w:rPr>
          <w:color w:val="7030A0"/>
        </w:rPr>
      </w:pPr>
      <w:r w:rsidRPr="00D72AD5">
        <w:t xml:space="preserve">CDC has reviewed this Information Collection Request and has determined that the Privacy Act does not apply to the identifiable staff-level information collected in the </w:t>
      </w:r>
      <w:r w:rsidR="00D72AD5">
        <w:t>6|18 Case Study interview guide</w:t>
      </w:r>
      <w:r w:rsidRPr="00D72AD5">
        <w:t xml:space="preserve"> (</w:t>
      </w:r>
      <w:r w:rsidR="00C35C44">
        <w:rPr>
          <w:b/>
        </w:rPr>
        <w:t>Attachment 3 – Interview Guide</w:t>
      </w:r>
      <w:r w:rsidRPr="00D72AD5">
        <w:t xml:space="preserve">). </w:t>
      </w:r>
      <w:r w:rsidRPr="00A92023">
        <w:t xml:space="preserve">Respondents </w:t>
      </w:r>
      <w:r w:rsidR="00D72AD5" w:rsidRPr="00A92023">
        <w:t xml:space="preserve">will be speaking from their roles as officials or staff of </w:t>
      </w:r>
      <w:r w:rsidRPr="00A92023">
        <w:t>state health departments</w:t>
      </w:r>
      <w:r w:rsidR="00D72AD5" w:rsidRPr="00A92023">
        <w:t xml:space="preserve">, </w:t>
      </w:r>
      <w:r w:rsidR="003A7340" w:rsidRPr="00A92023">
        <w:t xml:space="preserve">and </w:t>
      </w:r>
      <w:r w:rsidR="003A7340">
        <w:t>state Medicaid agencies</w:t>
      </w:r>
      <w:r w:rsidRPr="00A92023">
        <w:t>.</w:t>
      </w:r>
      <w:r w:rsidR="00D72AD5" w:rsidRPr="00A92023">
        <w:t xml:space="preserve"> </w:t>
      </w:r>
      <w:r w:rsidRPr="00A92023">
        <w:t xml:space="preserve"> Respondents will not supply personal information.</w:t>
      </w:r>
      <w:r w:rsidRPr="00117142">
        <w:rPr>
          <w:color w:val="7030A0"/>
        </w:rPr>
        <w:t xml:space="preserve"> </w:t>
      </w:r>
      <w:r w:rsidR="00A92023" w:rsidRPr="00A92023">
        <w:t>GWU</w:t>
      </w:r>
      <w:r w:rsidRPr="00A92023">
        <w:t xml:space="preserve"> and the CDC evaluation team staff have consulted with CDC’s Office of the Chief Information Security Officer to review the data acquisition, storage, and processing procedures to ensure that they comply with government data privacy and security procedures.</w:t>
      </w:r>
    </w:p>
    <w:p w14:paraId="626BD94D" w14:textId="77777777" w:rsidR="00117142" w:rsidRPr="00117142" w:rsidRDefault="00117142" w:rsidP="00117142">
      <w:pPr>
        <w:rPr>
          <w:rFonts w:eastAsia="Times New Roman"/>
          <w:bCs/>
          <w:color w:val="7030A0"/>
        </w:rPr>
      </w:pPr>
    </w:p>
    <w:p w14:paraId="5E7C4E64" w14:textId="77777777" w:rsidR="00117142" w:rsidRPr="00FB5652" w:rsidRDefault="00117142" w:rsidP="00117142">
      <w:pPr>
        <w:numPr>
          <w:ilvl w:val="0"/>
          <w:numId w:val="25"/>
        </w:numPr>
        <w:tabs>
          <w:tab w:val="clear" w:pos="9360"/>
          <w:tab w:val="num" w:pos="540"/>
        </w:tabs>
        <w:spacing w:line="240" w:lineRule="auto"/>
        <w:ind w:hanging="945"/>
        <w:rPr>
          <w:b/>
          <w:bCs/>
        </w:rPr>
      </w:pPr>
      <w:r w:rsidRPr="00FB5652">
        <w:rPr>
          <w:b/>
          <w:bCs/>
        </w:rPr>
        <w:t>Safeguards</w:t>
      </w:r>
    </w:p>
    <w:p w14:paraId="61D82FFD" w14:textId="77777777" w:rsidR="00117142" w:rsidRPr="00117142" w:rsidRDefault="00117142" w:rsidP="00117142">
      <w:pPr>
        <w:rPr>
          <w:bCs/>
          <w:color w:val="7030A0"/>
        </w:rPr>
      </w:pPr>
    </w:p>
    <w:p w14:paraId="358CAAC8" w14:textId="208A5E70" w:rsidR="00117142" w:rsidRPr="00117142" w:rsidRDefault="00117142" w:rsidP="001C0C08">
      <w:pPr>
        <w:rPr>
          <w:color w:val="7030A0"/>
          <w:highlight w:val="yellow"/>
        </w:rPr>
      </w:pPr>
      <w:r w:rsidRPr="0010773C">
        <w:t xml:space="preserve">The personal contact information for respondents will not be used for analysis or reporting purposes. </w:t>
      </w:r>
      <w:r w:rsidR="005830FF">
        <w:t xml:space="preserve"> </w:t>
      </w:r>
      <w:r w:rsidR="0038086A" w:rsidRPr="0038086A">
        <w:t xml:space="preserve">Although contact information is obtained for each </w:t>
      </w:r>
      <w:r w:rsidR="00197A62">
        <w:t>participant</w:t>
      </w:r>
      <w:r w:rsidR="0038086A" w:rsidRPr="0038086A">
        <w:t xml:space="preserve">, the contact person provides information about the organization, not personal information.  </w:t>
      </w:r>
      <w:r w:rsidRPr="00677D7E">
        <w:t>Study information and data, including cont</w:t>
      </w:r>
      <w:r w:rsidR="00BC58AD">
        <w:t>act information for respondents</w:t>
      </w:r>
      <w:r w:rsidRPr="00677D7E">
        <w:t xml:space="preserve"> and </w:t>
      </w:r>
      <w:r w:rsidR="0063563E">
        <w:t>interview</w:t>
      </w:r>
      <w:r w:rsidRPr="00677D7E">
        <w:t xml:space="preserve"> responses, will be destroyed within 3 years of the project end date. All electronic data files (e.g. </w:t>
      </w:r>
      <w:r w:rsidR="00677D7E" w:rsidRPr="00677D7E">
        <w:t>audio recordings</w:t>
      </w:r>
      <w:r w:rsidRPr="00677D7E">
        <w:t xml:space="preserve">) will be stored at </w:t>
      </w:r>
      <w:r w:rsidR="00677D7E" w:rsidRPr="00677D7E">
        <w:t>CDC on an external-facing system on CDC’s servers.</w:t>
      </w:r>
      <w:r w:rsidR="003D047B">
        <w:t xml:space="preserve">  Only CDC and GWU staff</w:t>
      </w:r>
      <w:r w:rsidR="00677D7E" w:rsidRPr="00677D7E">
        <w:t xml:space="preserve"> </w:t>
      </w:r>
      <w:r w:rsidR="003D047B">
        <w:t>who have been authorized by the CDC Project Offi</w:t>
      </w:r>
      <w:r w:rsidR="003D047B" w:rsidRPr="003D047B">
        <w:t xml:space="preserve">cial can access the external-facing system. </w:t>
      </w:r>
    </w:p>
    <w:p w14:paraId="7080929F" w14:textId="77777777" w:rsidR="00117142" w:rsidRPr="00117142" w:rsidRDefault="00117142" w:rsidP="00117142">
      <w:pPr>
        <w:jc w:val="both"/>
        <w:rPr>
          <w:color w:val="7030A0"/>
        </w:rPr>
      </w:pPr>
    </w:p>
    <w:p w14:paraId="0F85C10C" w14:textId="77777777" w:rsidR="00117142" w:rsidRPr="00D02782" w:rsidRDefault="00117142" w:rsidP="00117142">
      <w:pPr>
        <w:numPr>
          <w:ilvl w:val="0"/>
          <w:numId w:val="25"/>
        </w:numPr>
        <w:tabs>
          <w:tab w:val="clear" w:pos="9360"/>
          <w:tab w:val="num" w:pos="540"/>
        </w:tabs>
        <w:spacing w:line="240" w:lineRule="auto"/>
        <w:ind w:hanging="945"/>
        <w:rPr>
          <w:b/>
          <w:bCs/>
        </w:rPr>
      </w:pPr>
      <w:r w:rsidRPr="00D02782">
        <w:rPr>
          <w:b/>
          <w:bCs/>
        </w:rPr>
        <w:t>Consent</w:t>
      </w:r>
    </w:p>
    <w:p w14:paraId="194B9066" w14:textId="77777777" w:rsidR="00117142" w:rsidRPr="00117142" w:rsidRDefault="00117142" w:rsidP="00117142">
      <w:pPr>
        <w:rPr>
          <w:bCs/>
          <w:color w:val="7030A0"/>
        </w:rPr>
      </w:pPr>
    </w:p>
    <w:p w14:paraId="02EF64E3" w14:textId="0D5DD480" w:rsidR="00117142" w:rsidRDefault="005D1E2F" w:rsidP="00117142">
      <w:pPr>
        <w:rPr>
          <w:bCs/>
        </w:rPr>
      </w:pPr>
      <w:r>
        <w:rPr>
          <w:bCs/>
        </w:rPr>
        <w:t>As part of the advance notice</w:t>
      </w:r>
      <w:r w:rsidR="006255FE">
        <w:rPr>
          <w:bCs/>
        </w:rPr>
        <w:t xml:space="preserve"> email</w:t>
      </w:r>
      <w:r>
        <w:rPr>
          <w:bCs/>
        </w:rPr>
        <w:t xml:space="preserve"> </w:t>
      </w:r>
      <w:r w:rsidR="00727F44">
        <w:t>(</w:t>
      </w:r>
      <w:r w:rsidR="00C35C44">
        <w:rPr>
          <w:b/>
        </w:rPr>
        <w:t>Attachment 4 – Advance Notice Email</w:t>
      </w:r>
      <w:r w:rsidR="00727F44">
        <w:t xml:space="preserve">) </w:t>
      </w:r>
      <w:r w:rsidR="006255FE">
        <w:t xml:space="preserve">and </w:t>
      </w:r>
      <w:r w:rsidR="006255FE" w:rsidRPr="00D02782">
        <w:rPr>
          <w:bCs/>
        </w:rPr>
        <w:t>at the beginning of the interview</w:t>
      </w:r>
      <w:r w:rsidR="006255FE">
        <w:t xml:space="preserve"> </w:t>
      </w:r>
      <w:r w:rsidR="00727F44">
        <w:t>(</w:t>
      </w:r>
      <w:r w:rsidR="00C35C44">
        <w:rPr>
          <w:b/>
        </w:rPr>
        <w:t>Attachment 3 – Interview Guide</w:t>
      </w:r>
      <w:r w:rsidR="00727F44">
        <w:t>)</w:t>
      </w:r>
      <w:r w:rsidR="00D02782" w:rsidRPr="00D02782">
        <w:rPr>
          <w:bCs/>
        </w:rPr>
        <w:t xml:space="preserve">, </w:t>
      </w:r>
      <w:r>
        <w:rPr>
          <w:bCs/>
        </w:rPr>
        <w:t>CDC</w:t>
      </w:r>
      <w:r w:rsidR="00D02782" w:rsidRPr="00D02782">
        <w:rPr>
          <w:bCs/>
        </w:rPr>
        <w:t xml:space="preserve"> will </w:t>
      </w:r>
      <w:r w:rsidR="00D02782">
        <w:rPr>
          <w:bCs/>
        </w:rPr>
        <w:t xml:space="preserve">share the goals of the </w:t>
      </w:r>
      <w:r w:rsidR="00D02782" w:rsidRPr="00D02782">
        <w:rPr>
          <w:bCs/>
        </w:rPr>
        <w:t xml:space="preserve">interview, and ask for </w:t>
      </w:r>
      <w:r w:rsidR="00D02782" w:rsidRPr="00214F26">
        <w:rPr>
          <w:bCs/>
        </w:rPr>
        <w:t xml:space="preserve">verbal consent to conduct and record the interview.  </w:t>
      </w:r>
      <w:r w:rsidR="00C473F9" w:rsidRPr="00214F26">
        <w:rPr>
          <w:bCs/>
        </w:rPr>
        <w:t>Participating in</w:t>
      </w:r>
      <w:r w:rsidR="00C473F9">
        <w:rPr>
          <w:bCs/>
        </w:rPr>
        <w:t xml:space="preserve"> the interview will be considered consent by the participant.  </w:t>
      </w:r>
      <w:r w:rsidR="00D02782" w:rsidRPr="00D02782">
        <w:rPr>
          <w:bCs/>
        </w:rPr>
        <w:t xml:space="preserve">In cases where a participant(s) decline(s) to be recorded, we will rely on the notes taken during the interview.  </w:t>
      </w:r>
      <w:r w:rsidR="00117142" w:rsidRPr="001F0EAB">
        <w:rPr>
          <w:bCs/>
        </w:rPr>
        <w:t>The consent statement</w:t>
      </w:r>
      <w:r w:rsidR="00D02782">
        <w:rPr>
          <w:bCs/>
        </w:rPr>
        <w:t xml:space="preserve"> at the beginning of the </w:t>
      </w:r>
      <w:r w:rsidR="003315C0">
        <w:rPr>
          <w:bCs/>
        </w:rPr>
        <w:t>interview</w:t>
      </w:r>
      <w:r w:rsidR="00117142" w:rsidRPr="001F0EAB">
        <w:rPr>
          <w:bCs/>
        </w:rPr>
        <w:t xml:space="preserve"> informs participants that their participation in the </w:t>
      </w:r>
      <w:r w:rsidR="0063563E">
        <w:rPr>
          <w:bCs/>
        </w:rPr>
        <w:t>interview</w:t>
      </w:r>
      <w:r w:rsidR="00117142" w:rsidRPr="001F0EAB">
        <w:rPr>
          <w:bCs/>
        </w:rPr>
        <w:t xml:space="preserve"> is voluntary, and they can choose not to answer individual questions, </w:t>
      </w:r>
      <w:r w:rsidR="003315C0">
        <w:rPr>
          <w:bCs/>
        </w:rPr>
        <w:t xml:space="preserve">to </w:t>
      </w:r>
      <w:r w:rsidR="00117142" w:rsidRPr="001F0EAB">
        <w:rPr>
          <w:bCs/>
        </w:rPr>
        <w:t xml:space="preserve">end the </w:t>
      </w:r>
      <w:r w:rsidR="00FA2FE5">
        <w:rPr>
          <w:bCs/>
        </w:rPr>
        <w:t xml:space="preserve">interview </w:t>
      </w:r>
      <w:r w:rsidR="00117142" w:rsidRPr="001F0EAB">
        <w:rPr>
          <w:bCs/>
        </w:rPr>
        <w:t xml:space="preserve">at any time, or </w:t>
      </w:r>
      <w:r w:rsidR="003315C0">
        <w:rPr>
          <w:bCs/>
        </w:rPr>
        <w:t xml:space="preserve">to </w:t>
      </w:r>
      <w:r w:rsidR="00117142" w:rsidRPr="001F0EAB">
        <w:rPr>
          <w:bCs/>
        </w:rPr>
        <w:t xml:space="preserve">decline participation without penalty. Whether or not </w:t>
      </w:r>
      <w:r w:rsidR="00F672F6">
        <w:rPr>
          <w:bCs/>
        </w:rPr>
        <w:t>states</w:t>
      </w:r>
      <w:r w:rsidR="008606C4">
        <w:rPr>
          <w:bCs/>
        </w:rPr>
        <w:t xml:space="preserve"> or </w:t>
      </w:r>
      <w:r w:rsidR="00117142" w:rsidRPr="001F0EAB">
        <w:rPr>
          <w:bCs/>
        </w:rPr>
        <w:t xml:space="preserve">individuals choose to participate will not impact current or future </w:t>
      </w:r>
      <w:r w:rsidR="00BE0667">
        <w:rPr>
          <w:bCs/>
        </w:rPr>
        <w:t>participation in 6|18</w:t>
      </w:r>
      <w:r w:rsidR="00117142" w:rsidRPr="001F0EAB">
        <w:rPr>
          <w:bCs/>
        </w:rPr>
        <w:t xml:space="preserve">.  </w:t>
      </w:r>
    </w:p>
    <w:p w14:paraId="4F80EA4E" w14:textId="39DBC9FD" w:rsidR="006255FE" w:rsidRDefault="006255FE" w:rsidP="00117142">
      <w:pPr>
        <w:rPr>
          <w:bCs/>
        </w:rPr>
      </w:pPr>
    </w:p>
    <w:p w14:paraId="10147A20" w14:textId="77777777" w:rsidR="00117142" w:rsidRPr="003315C0" w:rsidRDefault="00117142" w:rsidP="00117142">
      <w:pPr>
        <w:numPr>
          <w:ilvl w:val="0"/>
          <w:numId w:val="25"/>
        </w:numPr>
        <w:tabs>
          <w:tab w:val="clear" w:pos="9360"/>
          <w:tab w:val="num" w:pos="540"/>
        </w:tabs>
        <w:spacing w:line="240" w:lineRule="auto"/>
        <w:ind w:hanging="945"/>
        <w:rPr>
          <w:b/>
          <w:bCs/>
        </w:rPr>
      </w:pPr>
      <w:r w:rsidRPr="003315C0">
        <w:rPr>
          <w:b/>
          <w:bCs/>
        </w:rPr>
        <w:t>Nature of Participation</w:t>
      </w:r>
    </w:p>
    <w:p w14:paraId="7C9DE328" w14:textId="77777777" w:rsidR="00117142" w:rsidRPr="00117142" w:rsidRDefault="00117142" w:rsidP="00117142">
      <w:pPr>
        <w:rPr>
          <w:bCs/>
          <w:color w:val="7030A0"/>
        </w:rPr>
      </w:pPr>
    </w:p>
    <w:p w14:paraId="502064F3" w14:textId="4954AFA3" w:rsidR="00117142" w:rsidRPr="003315C0" w:rsidRDefault="00117142" w:rsidP="00117142">
      <w:r w:rsidRPr="003315C0">
        <w:rPr>
          <w:bCs/>
        </w:rPr>
        <w:t xml:space="preserve">As previously stated, </w:t>
      </w:r>
      <w:r w:rsidRPr="003315C0">
        <w:t xml:space="preserve">organizations </w:t>
      </w:r>
      <w:r w:rsidR="003315C0" w:rsidRPr="003315C0">
        <w:t>who are</w:t>
      </w:r>
      <w:r w:rsidRPr="003315C0">
        <w:t xml:space="preserve"> </w:t>
      </w:r>
      <w:r w:rsidR="00270B29">
        <w:t xml:space="preserve">actively </w:t>
      </w:r>
      <w:r w:rsidR="003315C0" w:rsidRPr="003315C0">
        <w:t>participating in the 6|18 Initiative</w:t>
      </w:r>
      <w:r w:rsidRPr="003315C0">
        <w:t xml:space="preserve"> will be recruited to participate in this information collection. Participation in the </w:t>
      </w:r>
      <w:r w:rsidR="0063563E">
        <w:t>interview</w:t>
      </w:r>
      <w:r w:rsidRPr="003315C0">
        <w:t xml:space="preserve"> is voluntary for all participants; respondents who decline participation will not face penalty of any kind. </w:t>
      </w:r>
    </w:p>
    <w:p w14:paraId="3ADFA896" w14:textId="77777777" w:rsidR="00117142" w:rsidRPr="003315C0" w:rsidRDefault="00117142" w:rsidP="002A3765">
      <w:pPr>
        <w:ind w:left="0"/>
      </w:pPr>
    </w:p>
    <w:p w14:paraId="0A9CA1A5" w14:textId="54B69788" w:rsidR="0054662B" w:rsidRPr="00D475CC" w:rsidRDefault="00A22E99" w:rsidP="00632D5D">
      <w:pPr>
        <w:pStyle w:val="Heading4"/>
        <w:numPr>
          <w:ilvl w:val="0"/>
          <w:numId w:val="0"/>
        </w:numPr>
        <w:ind w:left="-990"/>
      </w:pPr>
      <w:r>
        <w:t xml:space="preserve">            </w:t>
      </w:r>
      <w:bookmarkStart w:id="16" w:name="_Toc492543256"/>
      <w:r>
        <w:t xml:space="preserve">A11. </w:t>
      </w:r>
      <w:r w:rsidR="009D5927" w:rsidRPr="009D5927">
        <w:t>Institutional Review Board (IRB) and Justification for Sensitive Questions</w:t>
      </w:r>
      <w:bookmarkEnd w:id="16"/>
    </w:p>
    <w:p w14:paraId="329E3B82" w14:textId="2A158BEE" w:rsidR="00F52BCC" w:rsidRPr="00632D5D" w:rsidRDefault="0054662B" w:rsidP="00632D5D">
      <w:pPr>
        <w:tabs>
          <w:tab w:val="left" w:pos="810"/>
        </w:tabs>
        <w:rPr>
          <w:sz w:val="24"/>
          <w:szCs w:val="24"/>
        </w:rPr>
      </w:pPr>
      <w:r w:rsidRPr="005A1419">
        <w:rPr>
          <w:sz w:val="24"/>
          <w:szCs w:val="24"/>
        </w:rPr>
        <w:t>Respondents are 6|18 Initiative participants.  The information collection does not involve research with human subje</w:t>
      </w:r>
      <w:r w:rsidR="005A1419" w:rsidRPr="005A1419">
        <w:rPr>
          <w:sz w:val="24"/>
          <w:szCs w:val="24"/>
        </w:rPr>
        <w:t xml:space="preserve">cts and </w:t>
      </w:r>
      <w:r w:rsidRPr="005A1419">
        <w:rPr>
          <w:sz w:val="24"/>
          <w:szCs w:val="24"/>
        </w:rPr>
        <w:t xml:space="preserve">does not require IRB approval.  </w:t>
      </w:r>
      <w:r w:rsidR="003C31C9" w:rsidRPr="00632D5D">
        <w:rPr>
          <w:sz w:val="24"/>
          <w:szCs w:val="24"/>
        </w:rPr>
        <w:t>No information will be collected</w:t>
      </w:r>
      <w:r w:rsidR="00616090" w:rsidRPr="00632D5D">
        <w:rPr>
          <w:sz w:val="24"/>
          <w:szCs w:val="24"/>
        </w:rPr>
        <w:t xml:space="preserve"> that are of personal or sensitive nature</w:t>
      </w:r>
      <w:r w:rsidR="00D26A64" w:rsidRPr="00632D5D">
        <w:rPr>
          <w:sz w:val="24"/>
          <w:szCs w:val="24"/>
        </w:rPr>
        <w:t>.</w:t>
      </w:r>
      <w:r w:rsidRPr="00632D5D">
        <w:rPr>
          <w:sz w:val="24"/>
          <w:szCs w:val="24"/>
        </w:rPr>
        <w:t xml:space="preserve">  </w:t>
      </w:r>
    </w:p>
    <w:p w14:paraId="7B5DCA48" w14:textId="77777777" w:rsidR="00616090" w:rsidRDefault="00616090" w:rsidP="005D6F14"/>
    <w:p w14:paraId="003A4656" w14:textId="77777777" w:rsidR="00B34ABC" w:rsidRPr="0088467A" w:rsidRDefault="00B34ABC" w:rsidP="005D6F14"/>
    <w:p w14:paraId="5826271D" w14:textId="24099222" w:rsidR="00B64BFA" w:rsidRPr="001A19DD" w:rsidRDefault="0073477F" w:rsidP="0073477F">
      <w:pPr>
        <w:pStyle w:val="Heading4"/>
        <w:numPr>
          <w:ilvl w:val="0"/>
          <w:numId w:val="0"/>
        </w:numPr>
        <w:ind w:left="-990"/>
      </w:pPr>
      <w:r>
        <w:t xml:space="preserve">           </w:t>
      </w:r>
      <w:bookmarkStart w:id="17" w:name="_Toc492543257"/>
      <w:r>
        <w:t xml:space="preserve">A12. </w:t>
      </w:r>
      <w:r w:rsidR="0088467A" w:rsidRPr="001A19DD">
        <w:t>Estimates of Annualized Burden Hours and Costs</w:t>
      </w:r>
      <w:bookmarkEnd w:id="17"/>
    </w:p>
    <w:p w14:paraId="1167F0C8" w14:textId="41905E74" w:rsidR="00FD5CFF" w:rsidRDefault="00FD5CFF" w:rsidP="00764B07">
      <w:pPr>
        <w:ind w:left="360"/>
      </w:pPr>
      <w:r>
        <w:t xml:space="preserve">Respondents will be drawn from 17 states participating in the CDC-funded 6|18 initiative.  Interviews will be requested with 4-7 individuals per state who serve in the following roles:  the </w:t>
      </w:r>
      <w:r w:rsidR="005A1419">
        <w:t xml:space="preserve">State </w:t>
      </w:r>
      <w:r>
        <w:t xml:space="preserve">Public Health Director (1), </w:t>
      </w:r>
      <w:r w:rsidR="005A1419">
        <w:t xml:space="preserve">State </w:t>
      </w:r>
      <w:r>
        <w:t xml:space="preserve">Public Health Manager (1-4), </w:t>
      </w:r>
      <w:r w:rsidR="005A1419">
        <w:t xml:space="preserve">State </w:t>
      </w:r>
      <w:r>
        <w:t xml:space="preserve">Medicaid Director (1), and </w:t>
      </w:r>
      <w:r w:rsidR="005A1419">
        <w:t xml:space="preserve">State </w:t>
      </w:r>
      <w:r>
        <w:t>Medicaid Manager (1).  All interviews are based on the same Interview Guide (see Attachment 3) and are expected to last one hour.  The estimated burden of 1 hour and 15 minutes (75 minutes) includes time for the respondent to prepare for the interview.</w:t>
      </w:r>
    </w:p>
    <w:p w14:paraId="40742093" w14:textId="77777777" w:rsidR="00FD5CFF" w:rsidRDefault="00FD5CFF" w:rsidP="00764B07">
      <w:pPr>
        <w:ind w:left="360"/>
      </w:pPr>
    </w:p>
    <w:p w14:paraId="4A9F1DB3" w14:textId="1CAB5AA7" w:rsidR="00D071A6" w:rsidRDefault="00FD5CFF" w:rsidP="00764B07">
      <w:pPr>
        <w:ind w:left="360"/>
        <w:rPr>
          <w:color w:val="000000"/>
        </w:rPr>
      </w:pPr>
      <w:r>
        <w:t>Up to 82 respondents will participate in interviews over a 3-year clearance period</w:t>
      </w:r>
      <w:r w:rsidR="00122ACE">
        <w:t xml:space="preserve">. When stratified by role and annualized, the estimated </w:t>
      </w:r>
      <w:r>
        <w:t xml:space="preserve">annualized </w:t>
      </w:r>
      <w:r w:rsidR="00122ACE">
        <w:t>number of respondents is</w:t>
      </w:r>
      <w:r>
        <w:t xml:space="preserve"> 29 per year.  The burden table displays the estimated annualized</w:t>
      </w:r>
      <w:r w:rsidR="00781D87">
        <w:t xml:space="preserve"> number of respondents, by role, and estimated annualized burden hours.  </w:t>
      </w:r>
      <w:r w:rsidR="00B77530">
        <w:t xml:space="preserve">The total estimated annualized burden is 38 hours.  </w:t>
      </w:r>
      <w:r w:rsidR="00781D87">
        <w:t>Total burden is slightly overestimated due to annualization and rounding.</w:t>
      </w:r>
    </w:p>
    <w:p w14:paraId="3991B716" w14:textId="01547393" w:rsidR="00D728A5" w:rsidRDefault="00D728A5" w:rsidP="00C017EF">
      <w:pPr>
        <w:ind w:left="360"/>
        <w:rPr>
          <w:color w:val="000000"/>
        </w:rPr>
      </w:pPr>
    </w:p>
    <w:p w14:paraId="1FE28879" w14:textId="77777777" w:rsidR="00F05B78" w:rsidRDefault="00F05B78" w:rsidP="00C017EF">
      <w:pPr>
        <w:ind w:left="360"/>
        <w:rPr>
          <w:color w:val="000000"/>
        </w:rPr>
      </w:pPr>
    </w:p>
    <w:p w14:paraId="3D0B06CE" w14:textId="694CF817" w:rsidR="007D3DCC" w:rsidRDefault="007D3DCC" w:rsidP="00C017EF">
      <w:pPr>
        <w:ind w:left="360"/>
        <w:rPr>
          <w:b/>
          <w:color w:val="000000"/>
        </w:rPr>
      </w:pPr>
      <w:r w:rsidRPr="007D3DCC">
        <w:rPr>
          <w:b/>
          <w:color w:val="000000"/>
        </w:rPr>
        <w:t xml:space="preserve">Table </w:t>
      </w:r>
      <w:r w:rsidR="00283139">
        <w:rPr>
          <w:b/>
          <w:color w:val="000000"/>
        </w:rPr>
        <w:t>A</w:t>
      </w:r>
      <w:r w:rsidR="00136E39">
        <w:rPr>
          <w:b/>
          <w:color w:val="000000"/>
        </w:rPr>
        <w:t>12-a</w:t>
      </w:r>
      <w:r>
        <w:rPr>
          <w:b/>
          <w:color w:val="000000"/>
        </w:rPr>
        <w:t xml:space="preserve">.  </w:t>
      </w:r>
      <w:r w:rsidR="003C2B36">
        <w:rPr>
          <w:b/>
          <w:color w:val="000000"/>
        </w:rPr>
        <w:t xml:space="preserve">Estimated Annualized </w:t>
      </w:r>
      <w:r>
        <w:rPr>
          <w:b/>
          <w:color w:val="000000"/>
        </w:rPr>
        <w:t xml:space="preserve">Burden </w:t>
      </w:r>
      <w:r w:rsidR="003C2B36">
        <w:rPr>
          <w:b/>
          <w:color w:val="000000"/>
        </w:rPr>
        <w:t>H</w:t>
      </w:r>
      <w:r w:rsidR="005E18A2">
        <w:rPr>
          <w:b/>
          <w:color w:val="000000"/>
        </w:rPr>
        <w:t>our</w:t>
      </w:r>
      <w:r w:rsidR="003C2B36">
        <w:rPr>
          <w:b/>
          <w:color w:val="000000"/>
        </w:rPr>
        <w:t>s</w:t>
      </w:r>
      <w:r w:rsidR="005E18A2">
        <w:rPr>
          <w:b/>
          <w:color w:val="000000"/>
        </w:rPr>
        <w:t xml:space="preserve"> </w:t>
      </w:r>
    </w:p>
    <w:p w14:paraId="39973247" w14:textId="77777777" w:rsidR="00663F17" w:rsidRDefault="00663F17" w:rsidP="00C017EF">
      <w:pPr>
        <w:ind w:left="360"/>
        <w:rPr>
          <w:b/>
          <w:color w:val="000000"/>
        </w:rPr>
      </w:pPr>
    </w:p>
    <w:tbl>
      <w:tblPr>
        <w:tblStyle w:val="TableGrid"/>
        <w:tblW w:w="9463" w:type="dxa"/>
        <w:jc w:val="center"/>
        <w:tblLayout w:type="fixed"/>
        <w:tblLook w:val="04A0" w:firstRow="1" w:lastRow="0" w:firstColumn="1" w:lastColumn="0" w:noHBand="0" w:noVBand="1"/>
      </w:tblPr>
      <w:tblGrid>
        <w:gridCol w:w="1885"/>
        <w:gridCol w:w="1283"/>
        <w:gridCol w:w="1620"/>
        <w:gridCol w:w="1710"/>
        <w:gridCol w:w="1890"/>
        <w:gridCol w:w="1075"/>
      </w:tblGrid>
      <w:tr w:rsidR="00663F17" w:rsidRPr="008602FC" w14:paraId="547F3CAB" w14:textId="77777777" w:rsidTr="00632D5D">
        <w:trPr>
          <w:jc w:val="center"/>
        </w:trPr>
        <w:tc>
          <w:tcPr>
            <w:tcW w:w="1885" w:type="dxa"/>
            <w:vAlign w:val="center"/>
          </w:tcPr>
          <w:p w14:paraId="03DC7DB2" w14:textId="77777777" w:rsidR="00663F17" w:rsidRPr="008602FC" w:rsidRDefault="00663F17" w:rsidP="00BC196B">
            <w:pPr>
              <w:ind w:left="0"/>
              <w:rPr>
                <w:b/>
              </w:rPr>
            </w:pPr>
            <w:r w:rsidRPr="008602FC">
              <w:rPr>
                <w:b/>
              </w:rPr>
              <w:t>Type of Respondent</w:t>
            </w:r>
          </w:p>
        </w:tc>
        <w:tc>
          <w:tcPr>
            <w:tcW w:w="1283" w:type="dxa"/>
            <w:shd w:val="clear" w:color="auto" w:fill="auto"/>
            <w:vAlign w:val="center"/>
          </w:tcPr>
          <w:p w14:paraId="3CCED0DC" w14:textId="77777777" w:rsidR="00663F17" w:rsidRPr="008602FC" w:rsidRDefault="00663F17" w:rsidP="00BC196B">
            <w:pPr>
              <w:ind w:left="0"/>
              <w:rPr>
                <w:b/>
              </w:rPr>
            </w:pPr>
            <w:r w:rsidRPr="008602FC">
              <w:rPr>
                <w:b/>
              </w:rPr>
              <w:t>Form name</w:t>
            </w:r>
            <w:r w:rsidRPr="008602FC" w:rsidDel="0079339E">
              <w:rPr>
                <w:b/>
              </w:rPr>
              <w:t xml:space="preserve"> </w:t>
            </w:r>
          </w:p>
        </w:tc>
        <w:tc>
          <w:tcPr>
            <w:tcW w:w="1620" w:type="dxa"/>
            <w:shd w:val="clear" w:color="auto" w:fill="auto"/>
            <w:vAlign w:val="center"/>
          </w:tcPr>
          <w:p w14:paraId="652F4E6D" w14:textId="77777777" w:rsidR="00663F17" w:rsidRPr="008602FC" w:rsidRDefault="00663F17" w:rsidP="00BC196B">
            <w:pPr>
              <w:ind w:left="0"/>
              <w:rPr>
                <w:b/>
              </w:rPr>
            </w:pPr>
            <w:r w:rsidRPr="008602FC">
              <w:rPr>
                <w:b/>
              </w:rPr>
              <w:t>No. of Respondents</w:t>
            </w:r>
            <w:r w:rsidRPr="008602FC" w:rsidDel="0079339E">
              <w:rPr>
                <w:b/>
              </w:rPr>
              <w:t xml:space="preserve"> </w:t>
            </w:r>
          </w:p>
        </w:tc>
        <w:tc>
          <w:tcPr>
            <w:tcW w:w="1710" w:type="dxa"/>
            <w:vAlign w:val="center"/>
          </w:tcPr>
          <w:p w14:paraId="62E0A8E0" w14:textId="77777777" w:rsidR="00663F17" w:rsidRPr="008602FC" w:rsidRDefault="00663F17" w:rsidP="00BC196B">
            <w:pPr>
              <w:ind w:left="0"/>
              <w:rPr>
                <w:b/>
              </w:rPr>
            </w:pPr>
            <w:r w:rsidRPr="008602FC">
              <w:rPr>
                <w:b/>
              </w:rPr>
              <w:t>No. of Responses per Respondent</w:t>
            </w:r>
          </w:p>
        </w:tc>
        <w:tc>
          <w:tcPr>
            <w:tcW w:w="1890" w:type="dxa"/>
            <w:shd w:val="clear" w:color="auto" w:fill="auto"/>
            <w:vAlign w:val="center"/>
          </w:tcPr>
          <w:p w14:paraId="5FBB8E30" w14:textId="77777777" w:rsidR="00663F17" w:rsidRPr="008602FC" w:rsidRDefault="00663F17" w:rsidP="00BC196B">
            <w:pPr>
              <w:ind w:left="0"/>
              <w:rPr>
                <w:b/>
              </w:rPr>
            </w:pPr>
            <w:r w:rsidRPr="008602FC">
              <w:rPr>
                <w:b/>
              </w:rPr>
              <w:t xml:space="preserve">Average Burden per Response </w:t>
            </w:r>
          </w:p>
          <w:p w14:paraId="394AA819" w14:textId="77777777" w:rsidR="00663F17" w:rsidRPr="008602FC" w:rsidRDefault="00663F17" w:rsidP="00BC196B">
            <w:pPr>
              <w:ind w:left="0"/>
              <w:rPr>
                <w:b/>
              </w:rPr>
            </w:pPr>
            <w:r w:rsidRPr="008602FC">
              <w:rPr>
                <w:b/>
              </w:rPr>
              <w:t>(in hours)</w:t>
            </w:r>
          </w:p>
        </w:tc>
        <w:tc>
          <w:tcPr>
            <w:tcW w:w="1075" w:type="dxa"/>
            <w:shd w:val="clear" w:color="auto" w:fill="auto"/>
            <w:vAlign w:val="center"/>
          </w:tcPr>
          <w:p w14:paraId="001F86B3" w14:textId="77777777" w:rsidR="00663F17" w:rsidRPr="008602FC" w:rsidRDefault="00663F17" w:rsidP="00BC196B">
            <w:pPr>
              <w:ind w:left="0"/>
              <w:rPr>
                <w:b/>
              </w:rPr>
            </w:pPr>
            <w:r w:rsidRPr="008602FC">
              <w:rPr>
                <w:b/>
              </w:rPr>
              <w:t>Total Burden Hours</w:t>
            </w:r>
          </w:p>
        </w:tc>
      </w:tr>
      <w:tr w:rsidR="00663F17" w:rsidRPr="008602FC" w14:paraId="40C04478" w14:textId="77777777" w:rsidTr="00632D5D">
        <w:trPr>
          <w:jc w:val="center"/>
        </w:trPr>
        <w:tc>
          <w:tcPr>
            <w:tcW w:w="1885" w:type="dxa"/>
            <w:vAlign w:val="center"/>
          </w:tcPr>
          <w:p w14:paraId="30B12036" w14:textId="0AEF3FF8" w:rsidR="00663F17" w:rsidRPr="00632D5D" w:rsidRDefault="005A1419" w:rsidP="00BC196B">
            <w:pPr>
              <w:ind w:left="0"/>
            </w:pPr>
            <w:r w:rsidRPr="00632D5D">
              <w:t xml:space="preserve">State </w:t>
            </w:r>
            <w:r w:rsidR="00663F17" w:rsidRPr="00632D5D">
              <w:t>Public Health Director</w:t>
            </w:r>
          </w:p>
        </w:tc>
        <w:tc>
          <w:tcPr>
            <w:tcW w:w="1283" w:type="dxa"/>
            <w:shd w:val="clear" w:color="auto" w:fill="auto"/>
            <w:vAlign w:val="center"/>
          </w:tcPr>
          <w:p w14:paraId="162D81F3" w14:textId="7147CD72" w:rsidR="00663F17" w:rsidRPr="00632D5D" w:rsidRDefault="00663F17" w:rsidP="00BC196B">
            <w:pPr>
              <w:ind w:left="0"/>
            </w:pPr>
            <w:r w:rsidRPr="00632D5D">
              <w:t>Interview Guide</w:t>
            </w:r>
          </w:p>
        </w:tc>
        <w:tc>
          <w:tcPr>
            <w:tcW w:w="1620" w:type="dxa"/>
            <w:shd w:val="clear" w:color="auto" w:fill="auto"/>
            <w:vAlign w:val="center"/>
          </w:tcPr>
          <w:p w14:paraId="6ADF01F2" w14:textId="67468BC2" w:rsidR="00663F17" w:rsidRPr="00632D5D" w:rsidRDefault="00663F17" w:rsidP="00632D5D">
            <w:pPr>
              <w:ind w:left="0"/>
              <w:jc w:val="center"/>
            </w:pPr>
            <w:r w:rsidRPr="00632D5D">
              <w:t>6</w:t>
            </w:r>
          </w:p>
        </w:tc>
        <w:tc>
          <w:tcPr>
            <w:tcW w:w="1710" w:type="dxa"/>
            <w:vAlign w:val="center"/>
          </w:tcPr>
          <w:p w14:paraId="085A8360" w14:textId="1D59BAFE" w:rsidR="00663F17" w:rsidRPr="00632D5D" w:rsidRDefault="00663F17" w:rsidP="00632D5D">
            <w:pPr>
              <w:ind w:left="0"/>
              <w:jc w:val="center"/>
            </w:pPr>
            <w:r w:rsidRPr="00632D5D">
              <w:t>1</w:t>
            </w:r>
          </w:p>
        </w:tc>
        <w:tc>
          <w:tcPr>
            <w:tcW w:w="1890" w:type="dxa"/>
            <w:shd w:val="clear" w:color="auto" w:fill="auto"/>
            <w:vAlign w:val="center"/>
          </w:tcPr>
          <w:p w14:paraId="136EA111" w14:textId="4BDBF8CA" w:rsidR="00663F17" w:rsidRPr="00632D5D" w:rsidRDefault="00663F17" w:rsidP="00632D5D">
            <w:pPr>
              <w:ind w:left="0"/>
              <w:jc w:val="center"/>
            </w:pPr>
            <w:r w:rsidRPr="00632D5D">
              <w:t>75/60</w:t>
            </w:r>
          </w:p>
        </w:tc>
        <w:tc>
          <w:tcPr>
            <w:tcW w:w="1075" w:type="dxa"/>
            <w:shd w:val="clear" w:color="auto" w:fill="auto"/>
            <w:vAlign w:val="center"/>
          </w:tcPr>
          <w:p w14:paraId="1625BC94" w14:textId="711CAD8B" w:rsidR="00663F17" w:rsidRPr="00632D5D" w:rsidRDefault="003A6607" w:rsidP="00632D5D">
            <w:pPr>
              <w:ind w:left="0"/>
              <w:jc w:val="center"/>
            </w:pPr>
            <w:r w:rsidRPr="00632D5D">
              <w:t>8</w:t>
            </w:r>
          </w:p>
        </w:tc>
      </w:tr>
      <w:tr w:rsidR="00663F17" w:rsidRPr="008602FC" w14:paraId="305D66C3" w14:textId="77777777" w:rsidTr="00632D5D">
        <w:trPr>
          <w:jc w:val="center"/>
        </w:trPr>
        <w:tc>
          <w:tcPr>
            <w:tcW w:w="1885" w:type="dxa"/>
            <w:vAlign w:val="center"/>
          </w:tcPr>
          <w:p w14:paraId="56C0027F" w14:textId="145639E5" w:rsidR="00663F17" w:rsidRPr="00632D5D" w:rsidRDefault="005A1419" w:rsidP="00BC196B">
            <w:pPr>
              <w:ind w:left="0"/>
            </w:pPr>
            <w:r w:rsidRPr="00632D5D">
              <w:t xml:space="preserve">State </w:t>
            </w:r>
            <w:r w:rsidR="00663F17" w:rsidRPr="00632D5D">
              <w:t>Public Health Manager</w:t>
            </w:r>
          </w:p>
        </w:tc>
        <w:tc>
          <w:tcPr>
            <w:tcW w:w="1283" w:type="dxa"/>
            <w:shd w:val="clear" w:color="auto" w:fill="auto"/>
            <w:vAlign w:val="center"/>
          </w:tcPr>
          <w:p w14:paraId="1F2CB228" w14:textId="59F69C5E" w:rsidR="00663F17" w:rsidRPr="00632D5D" w:rsidRDefault="00663F17" w:rsidP="00BC196B">
            <w:pPr>
              <w:ind w:left="0"/>
            </w:pPr>
            <w:r w:rsidRPr="00632D5D">
              <w:t>Interview Guide</w:t>
            </w:r>
          </w:p>
        </w:tc>
        <w:tc>
          <w:tcPr>
            <w:tcW w:w="1620" w:type="dxa"/>
            <w:shd w:val="clear" w:color="auto" w:fill="auto"/>
            <w:vAlign w:val="center"/>
          </w:tcPr>
          <w:p w14:paraId="10BB7137" w14:textId="6E7EA934" w:rsidR="00663F17" w:rsidRPr="00632D5D" w:rsidRDefault="00663F17" w:rsidP="00632D5D">
            <w:pPr>
              <w:ind w:left="0"/>
              <w:jc w:val="center"/>
            </w:pPr>
            <w:r w:rsidRPr="00632D5D">
              <w:t>11</w:t>
            </w:r>
          </w:p>
        </w:tc>
        <w:tc>
          <w:tcPr>
            <w:tcW w:w="1710" w:type="dxa"/>
            <w:vAlign w:val="center"/>
          </w:tcPr>
          <w:p w14:paraId="01F305CE" w14:textId="7BF11BA4" w:rsidR="00663F17" w:rsidRPr="00632D5D" w:rsidRDefault="00663F17" w:rsidP="00632D5D">
            <w:pPr>
              <w:ind w:left="0"/>
              <w:jc w:val="center"/>
            </w:pPr>
            <w:r w:rsidRPr="00632D5D">
              <w:t>1</w:t>
            </w:r>
          </w:p>
        </w:tc>
        <w:tc>
          <w:tcPr>
            <w:tcW w:w="1890" w:type="dxa"/>
            <w:shd w:val="clear" w:color="auto" w:fill="auto"/>
            <w:vAlign w:val="center"/>
          </w:tcPr>
          <w:p w14:paraId="63325380" w14:textId="5E6936A7" w:rsidR="00663F17" w:rsidRPr="00632D5D" w:rsidRDefault="00663F17" w:rsidP="00632D5D">
            <w:pPr>
              <w:ind w:left="0"/>
              <w:jc w:val="center"/>
            </w:pPr>
            <w:r w:rsidRPr="00632D5D">
              <w:t>75/60</w:t>
            </w:r>
          </w:p>
        </w:tc>
        <w:tc>
          <w:tcPr>
            <w:tcW w:w="1075" w:type="dxa"/>
            <w:shd w:val="clear" w:color="auto" w:fill="auto"/>
            <w:vAlign w:val="center"/>
          </w:tcPr>
          <w:p w14:paraId="1CBA4107" w14:textId="1F28183D" w:rsidR="00663F17" w:rsidRPr="00632D5D" w:rsidRDefault="00781D87" w:rsidP="00632D5D">
            <w:pPr>
              <w:ind w:left="0"/>
              <w:jc w:val="center"/>
            </w:pPr>
            <w:r w:rsidRPr="00632D5D">
              <w:t>14</w:t>
            </w:r>
          </w:p>
        </w:tc>
      </w:tr>
      <w:tr w:rsidR="00663F17" w:rsidRPr="008602FC" w14:paraId="0A2E90C0" w14:textId="77777777" w:rsidTr="00632D5D">
        <w:trPr>
          <w:jc w:val="center"/>
        </w:trPr>
        <w:tc>
          <w:tcPr>
            <w:tcW w:w="1885" w:type="dxa"/>
            <w:vAlign w:val="center"/>
          </w:tcPr>
          <w:p w14:paraId="2470DDD7" w14:textId="32E4A183" w:rsidR="00663F17" w:rsidRPr="00632D5D" w:rsidRDefault="005A1419" w:rsidP="00BC196B">
            <w:pPr>
              <w:ind w:left="0"/>
            </w:pPr>
            <w:r w:rsidRPr="00632D5D">
              <w:t xml:space="preserve">State </w:t>
            </w:r>
            <w:r w:rsidR="00663F17" w:rsidRPr="00632D5D">
              <w:t>Medicaid Director</w:t>
            </w:r>
          </w:p>
        </w:tc>
        <w:tc>
          <w:tcPr>
            <w:tcW w:w="1283" w:type="dxa"/>
            <w:shd w:val="clear" w:color="auto" w:fill="auto"/>
            <w:vAlign w:val="center"/>
          </w:tcPr>
          <w:p w14:paraId="18FB53FB" w14:textId="0D22B46D" w:rsidR="00663F17" w:rsidRPr="00632D5D" w:rsidRDefault="00663F17" w:rsidP="00BC196B">
            <w:pPr>
              <w:ind w:left="0"/>
            </w:pPr>
            <w:r w:rsidRPr="00632D5D">
              <w:t>Interview Guide</w:t>
            </w:r>
          </w:p>
        </w:tc>
        <w:tc>
          <w:tcPr>
            <w:tcW w:w="1620" w:type="dxa"/>
            <w:shd w:val="clear" w:color="auto" w:fill="auto"/>
            <w:vAlign w:val="center"/>
          </w:tcPr>
          <w:p w14:paraId="7CD1739C" w14:textId="6041BAA6" w:rsidR="00663F17" w:rsidRPr="00632D5D" w:rsidRDefault="00663F17" w:rsidP="00632D5D">
            <w:pPr>
              <w:ind w:left="0"/>
              <w:jc w:val="center"/>
            </w:pPr>
            <w:r w:rsidRPr="00632D5D">
              <w:t>6</w:t>
            </w:r>
          </w:p>
        </w:tc>
        <w:tc>
          <w:tcPr>
            <w:tcW w:w="1710" w:type="dxa"/>
            <w:vAlign w:val="center"/>
          </w:tcPr>
          <w:p w14:paraId="0A4D270E" w14:textId="0DE7EE25" w:rsidR="00663F17" w:rsidRPr="00632D5D" w:rsidRDefault="00663F17" w:rsidP="00632D5D">
            <w:pPr>
              <w:ind w:left="0"/>
              <w:jc w:val="center"/>
            </w:pPr>
            <w:r w:rsidRPr="00632D5D">
              <w:t>1</w:t>
            </w:r>
          </w:p>
        </w:tc>
        <w:tc>
          <w:tcPr>
            <w:tcW w:w="1890" w:type="dxa"/>
            <w:shd w:val="clear" w:color="auto" w:fill="auto"/>
            <w:vAlign w:val="center"/>
          </w:tcPr>
          <w:p w14:paraId="4CDFEF78" w14:textId="15D83D39" w:rsidR="00663F17" w:rsidRPr="00632D5D" w:rsidRDefault="00663F17" w:rsidP="00632D5D">
            <w:pPr>
              <w:ind w:left="0"/>
              <w:jc w:val="center"/>
            </w:pPr>
            <w:r w:rsidRPr="00632D5D">
              <w:t>75/60</w:t>
            </w:r>
          </w:p>
        </w:tc>
        <w:tc>
          <w:tcPr>
            <w:tcW w:w="1075" w:type="dxa"/>
            <w:shd w:val="clear" w:color="auto" w:fill="auto"/>
            <w:vAlign w:val="center"/>
          </w:tcPr>
          <w:p w14:paraId="45F2AEF4" w14:textId="6D545BAF" w:rsidR="00663F17" w:rsidRPr="00632D5D" w:rsidRDefault="003A6607" w:rsidP="00632D5D">
            <w:pPr>
              <w:ind w:left="0"/>
              <w:jc w:val="center"/>
            </w:pPr>
            <w:r w:rsidRPr="00632D5D">
              <w:t>8</w:t>
            </w:r>
          </w:p>
        </w:tc>
      </w:tr>
      <w:tr w:rsidR="00663F17" w:rsidRPr="008602FC" w14:paraId="109762EE" w14:textId="77777777" w:rsidTr="00632D5D">
        <w:trPr>
          <w:jc w:val="center"/>
        </w:trPr>
        <w:tc>
          <w:tcPr>
            <w:tcW w:w="1885" w:type="dxa"/>
            <w:vAlign w:val="center"/>
          </w:tcPr>
          <w:p w14:paraId="0EDC0D52" w14:textId="5C7E116E" w:rsidR="00663F17" w:rsidRPr="00632D5D" w:rsidRDefault="005A1419" w:rsidP="00BC196B">
            <w:pPr>
              <w:ind w:left="0"/>
            </w:pPr>
            <w:r w:rsidRPr="00632D5D">
              <w:t xml:space="preserve">State </w:t>
            </w:r>
            <w:r w:rsidR="00663F17" w:rsidRPr="00632D5D">
              <w:t>Medicaid Manager</w:t>
            </w:r>
          </w:p>
        </w:tc>
        <w:tc>
          <w:tcPr>
            <w:tcW w:w="1283" w:type="dxa"/>
            <w:shd w:val="clear" w:color="auto" w:fill="auto"/>
            <w:vAlign w:val="center"/>
          </w:tcPr>
          <w:p w14:paraId="2AF7BBD0" w14:textId="1C712091" w:rsidR="00663F17" w:rsidRPr="00632D5D" w:rsidRDefault="00663F17" w:rsidP="00BC196B">
            <w:pPr>
              <w:ind w:left="0"/>
            </w:pPr>
            <w:r w:rsidRPr="00632D5D">
              <w:t>Interview Guide</w:t>
            </w:r>
          </w:p>
        </w:tc>
        <w:tc>
          <w:tcPr>
            <w:tcW w:w="1620" w:type="dxa"/>
            <w:shd w:val="clear" w:color="auto" w:fill="auto"/>
            <w:vAlign w:val="center"/>
          </w:tcPr>
          <w:p w14:paraId="7CECD6CD" w14:textId="1120967E" w:rsidR="00663F17" w:rsidRPr="00632D5D" w:rsidRDefault="00663F17" w:rsidP="00632D5D">
            <w:pPr>
              <w:ind w:left="0"/>
              <w:jc w:val="center"/>
            </w:pPr>
            <w:r w:rsidRPr="00632D5D">
              <w:t>6</w:t>
            </w:r>
          </w:p>
        </w:tc>
        <w:tc>
          <w:tcPr>
            <w:tcW w:w="1710" w:type="dxa"/>
            <w:vAlign w:val="center"/>
          </w:tcPr>
          <w:p w14:paraId="24F9782D" w14:textId="1BD9E997" w:rsidR="00663F17" w:rsidRPr="00632D5D" w:rsidRDefault="00663F17" w:rsidP="00632D5D">
            <w:pPr>
              <w:ind w:left="0"/>
              <w:jc w:val="center"/>
            </w:pPr>
            <w:r w:rsidRPr="00632D5D">
              <w:t>1</w:t>
            </w:r>
          </w:p>
        </w:tc>
        <w:tc>
          <w:tcPr>
            <w:tcW w:w="1890" w:type="dxa"/>
            <w:shd w:val="clear" w:color="auto" w:fill="auto"/>
            <w:vAlign w:val="center"/>
          </w:tcPr>
          <w:p w14:paraId="11841A03" w14:textId="317DB7A6" w:rsidR="00663F17" w:rsidRPr="00632D5D" w:rsidRDefault="00663F17" w:rsidP="00632D5D">
            <w:pPr>
              <w:ind w:left="0"/>
              <w:jc w:val="center"/>
            </w:pPr>
            <w:r w:rsidRPr="00632D5D">
              <w:t>75/60</w:t>
            </w:r>
          </w:p>
        </w:tc>
        <w:tc>
          <w:tcPr>
            <w:tcW w:w="1075" w:type="dxa"/>
            <w:shd w:val="clear" w:color="auto" w:fill="auto"/>
            <w:vAlign w:val="center"/>
          </w:tcPr>
          <w:p w14:paraId="13E69965" w14:textId="43CCB41B" w:rsidR="00663F17" w:rsidRPr="00632D5D" w:rsidRDefault="003A6607" w:rsidP="00632D5D">
            <w:pPr>
              <w:ind w:left="0"/>
              <w:jc w:val="center"/>
            </w:pPr>
            <w:r w:rsidRPr="00632D5D">
              <w:t>8</w:t>
            </w:r>
          </w:p>
        </w:tc>
      </w:tr>
      <w:tr w:rsidR="00663F17" w:rsidRPr="008602FC" w14:paraId="6FF99D71" w14:textId="77777777" w:rsidTr="00632D5D">
        <w:trPr>
          <w:jc w:val="center"/>
        </w:trPr>
        <w:tc>
          <w:tcPr>
            <w:tcW w:w="1885" w:type="dxa"/>
            <w:tcBorders>
              <w:bottom w:val="single" w:sz="4" w:space="0" w:color="auto"/>
            </w:tcBorders>
            <w:vAlign w:val="center"/>
          </w:tcPr>
          <w:p w14:paraId="1DD93DC2" w14:textId="77777777" w:rsidR="00663F17" w:rsidRPr="00632D5D" w:rsidRDefault="00663F17" w:rsidP="00BC196B">
            <w:pPr>
              <w:ind w:left="0"/>
            </w:pPr>
          </w:p>
        </w:tc>
        <w:tc>
          <w:tcPr>
            <w:tcW w:w="1283" w:type="dxa"/>
            <w:tcBorders>
              <w:bottom w:val="single" w:sz="4" w:space="0" w:color="auto"/>
            </w:tcBorders>
            <w:shd w:val="clear" w:color="auto" w:fill="auto"/>
            <w:vAlign w:val="center"/>
          </w:tcPr>
          <w:p w14:paraId="3222FC5E" w14:textId="77777777" w:rsidR="00663F17" w:rsidRPr="00632D5D" w:rsidRDefault="00663F17" w:rsidP="00BC196B">
            <w:pPr>
              <w:ind w:left="0"/>
            </w:pPr>
          </w:p>
        </w:tc>
        <w:tc>
          <w:tcPr>
            <w:tcW w:w="1620" w:type="dxa"/>
            <w:tcBorders>
              <w:bottom w:val="single" w:sz="4" w:space="0" w:color="auto"/>
            </w:tcBorders>
            <w:shd w:val="clear" w:color="auto" w:fill="auto"/>
            <w:vAlign w:val="center"/>
          </w:tcPr>
          <w:p w14:paraId="0338612B" w14:textId="043E9CC0" w:rsidR="00663F17" w:rsidRPr="00632D5D" w:rsidRDefault="00122ACE" w:rsidP="00197A62">
            <w:pPr>
              <w:ind w:left="0"/>
              <w:jc w:val="center"/>
            </w:pPr>
            <w:r>
              <w:t>29</w:t>
            </w:r>
          </w:p>
        </w:tc>
        <w:tc>
          <w:tcPr>
            <w:tcW w:w="1710" w:type="dxa"/>
            <w:tcBorders>
              <w:bottom w:val="single" w:sz="4" w:space="0" w:color="auto"/>
            </w:tcBorders>
            <w:vAlign w:val="center"/>
          </w:tcPr>
          <w:p w14:paraId="24F458E2" w14:textId="77777777" w:rsidR="00663F17" w:rsidRPr="00632D5D" w:rsidRDefault="00663F17" w:rsidP="00BC196B">
            <w:pPr>
              <w:ind w:left="0"/>
            </w:pPr>
          </w:p>
        </w:tc>
        <w:tc>
          <w:tcPr>
            <w:tcW w:w="1890" w:type="dxa"/>
            <w:tcBorders>
              <w:bottom w:val="single" w:sz="4" w:space="0" w:color="auto"/>
            </w:tcBorders>
            <w:shd w:val="clear" w:color="auto" w:fill="auto"/>
            <w:vAlign w:val="center"/>
          </w:tcPr>
          <w:p w14:paraId="4D029AAA" w14:textId="7E2E4490" w:rsidR="00663F17" w:rsidRPr="00632D5D" w:rsidRDefault="00781D87" w:rsidP="00632D5D">
            <w:pPr>
              <w:ind w:left="0"/>
              <w:jc w:val="right"/>
            </w:pPr>
            <w:r w:rsidRPr="00632D5D">
              <w:t>Total</w:t>
            </w:r>
          </w:p>
        </w:tc>
        <w:tc>
          <w:tcPr>
            <w:tcW w:w="1075" w:type="dxa"/>
            <w:tcBorders>
              <w:bottom w:val="single" w:sz="4" w:space="0" w:color="auto"/>
            </w:tcBorders>
            <w:shd w:val="clear" w:color="auto" w:fill="auto"/>
            <w:vAlign w:val="center"/>
          </w:tcPr>
          <w:p w14:paraId="77F43DF3" w14:textId="55ED991A" w:rsidR="00663F17" w:rsidRPr="00632D5D" w:rsidRDefault="00781D87" w:rsidP="00632D5D">
            <w:pPr>
              <w:ind w:left="0"/>
              <w:jc w:val="center"/>
            </w:pPr>
            <w:r w:rsidRPr="00632D5D">
              <w:t>38</w:t>
            </w:r>
          </w:p>
        </w:tc>
      </w:tr>
    </w:tbl>
    <w:p w14:paraId="228C39A1" w14:textId="0E44EFC0" w:rsidR="009527B4" w:rsidRDefault="009527B4" w:rsidP="00C017EF">
      <w:pPr>
        <w:ind w:left="360"/>
        <w:rPr>
          <w:b/>
          <w:color w:val="000000"/>
        </w:rPr>
      </w:pPr>
    </w:p>
    <w:p w14:paraId="7BF01198" w14:textId="77777777" w:rsidR="00E87ED2" w:rsidRDefault="00E87ED2" w:rsidP="00C017EF">
      <w:pPr>
        <w:ind w:left="360"/>
        <w:rPr>
          <w:b/>
          <w:color w:val="000000"/>
        </w:rPr>
      </w:pPr>
    </w:p>
    <w:p w14:paraId="339C9C1F" w14:textId="4363D59C" w:rsidR="004A7EBB" w:rsidRDefault="004A7EBB" w:rsidP="004A7EBB">
      <w:pPr>
        <w:ind w:left="360"/>
      </w:pPr>
      <w:r w:rsidRPr="000D2AD6">
        <w:t>Estimates for the average hourly wage for respondents</w:t>
      </w:r>
      <w:r>
        <w:t xml:space="preserve"> </w:t>
      </w:r>
      <w:r w:rsidRPr="000D2AD6">
        <w:t>are based on the</w:t>
      </w:r>
      <w:r>
        <w:t xml:space="preserve"> mean hourly wages reported in the</w:t>
      </w:r>
      <w:r w:rsidRPr="000D2AD6">
        <w:t xml:space="preserve"> </w:t>
      </w:r>
      <w:r>
        <w:t xml:space="preserve">May 2016 National Occupational Employment and Wage Estimates: United States, from the </w:t>
      </w:r>
      <w:r w:rsidRPr="000D2AD6">
        <w:t>Department of Labor (DOL) Bureau of Labor Statistics</w:t>
      </w:r>
      <w:r>
        <w:t xml:space="preserve">, </w:t>
      </w:r>
      <w:hyperlink r:id="rId15" w:history="1">
        <w:r w:rsidRPr="009F25E0">
          <w:rPr>
            <w:rStyle w:val="Hyperlink"/>
          </w:rPr>
          <w:t>https://www.bls.gov/oes/current/oes_nat.htm</w:t>
        </w:r>
      </w:hyperlink>
      <w:r>
        <w:rPr>
          <w:rStyle w:val="Hyperlink"/>
        </w:rPr>
        <w:t xml:space="preserve"> </w:t>
      </w:r>
      <w:r w:rsidRPr="00E70765">
        <w:rPr>
          <w:rStyle w:val="Hyperlink"/>
          <w:color w:val="auto"/>
          <w:u w:val="none"/>
        </w:rPr>
        <w:t xml:space="preserve">(last accessed </w:t>
      </w:r>
      <w:r>
        <w:rPr>
          <w:rStyle w:val="Hyperlink"/>
          <w:color w:val="auto"/>
          <w:u w:val="none"/>
        </w:rPr>
        <w:t>September 8</w:t>
      </w:r>
      <w:r w:rsidRPr="00E70765">
        <w:rPr>
          <w:rStyle w:val="Hyperlink"/>
          <w:color w:val="auto"/>
          <w:u w:val="none"/>
        </w:rPr>
        <w:t>, 2017)</w:t>
      </w:r>
      <w:r w:rsidRPr="000D2AD6">
        <w:t>.  Based</w:t>
      </w:r>
      <w:r>
        <w:t xml:space="preserve"> on</w:t>
      </w:r>
      <w:r w:rsidRPr="000D2AD6">
        <w:t xml:space="preserve"> </w:t>
      </w:r>
      <w:r>
        <w:t>DOL</w:t>
      </w:r>
      <w:r w:rsidRPr="000D2AD6">
        <w:t xml:space="preserve"> data, </w:t>
      </w:r>
      <w:r>
        <w:t xml:space="preserve">an average hourly wage of </w:t>
      </w:r>
      <w:r w:rsidRPr="00E52245">
        <w:t>$</w:t>
      </w:r>
      <w:r>
        <w:t>93.44</w:t>
      </w:r>
      <w:r w:rsidRPr="00E52245">
        <w:t xml:space="preserve"> </w:t>
      </w:r>
      <w:r>
        <w:t xml:space="preserve">for </w:t>
      </w:r>
      <w:r w:rsidRPr="000D2AD6">
        <w:t xml:space="preserve">occupational </w:t>
      </w:r>
      <w:r w:rsidRPr="00214F26">
        <w:t>employment for</w:t>
      </w:r>
      <w:r w:rsidRPr="00214F26">
        <w:rPr>
          <w:color w:val="0070C0"/>
        </w:rPr>
        <w:t xml:space="preserve"> </w:t>
      </w:r>
      <w:r w:rsidRPr="00214F26">
        <w:t>Chief Executives is estimated for all director-level respondents. Based on DOL data, an average hourly wage of $52.58 for occupational employment for Medical and Health Services M</w:t>
      </w:r>
      <w:r>
        <w:t xml:space="preserve">anagers is estimated for all </w:t>
      </w:r>
      <w:r w:rsidRPr="00214F26">
        <w:t xml:space="preserve">manager-level respondents. Table </w:t>
      </w:r>
      <w:r>
        <w:t>A</w:t>
      </w:r>
      <w:r w:rsidRPr="00214F26">
        <w:t>12-</w:t>
      </w:r>
      <w:r>
        <w:t>b</w:t>
      </w:r>
      <w:r w:rsidRPr="00214F26">
        <w:t xml:space="preserve"> shows</w:t>
      </w:r>
      <w:r w:rsidRPr="000D2AD6">
        <w:t xml:space="preserve"> estimated burden and cost information.</w:t>
      </w:r>
      <w:r w:rsidR="00C2155C">
        <w:t xml:space="preserve">  The total estimated annualized burden cost is $2,518.</w:t>
      </w:r>
    </w:p>
    <w:p w14:paraId="32743052" w14:textId="77777777" w:rsidR="004A7EBB" w:rsidRDefault="004A7EBB" w:rsidP="00C017EF">
      <w:pPr>
        <w:ind w:left="360"/>
      </w:pPr>
    </w:p>
    <w:p w14:paraId="41DC88AD" w14:textId="77777777" w:rsidR="00594683" w:rsidRDefault="00594683" w:rsidP="00C017EF">
      <w:pPr>
        <w:ind w:left="360"/>
      </w:pPr>
    </w:p>
    <w:p w14:paraId="05FC2793" w14:textId="404F2676" w:rsidR="00003C79" w:rsidRDefault="00003C79" w:rsidP="00003C79">
      <w:pPr>
        <w:pStyle w:val="ListParagraph"/>
        <w:ind w:left="360"/>
      </w:pPr>
      <w:r w:rsidRPr="008E0683">
        <w:rPr>
          <w:b/>
          <w:u w:val="single"/>
        </w:rPr>
        <w:t xml:space="preserve">Table </w:t>
      </w:r>
      <w:r>
        <w:rPr>
          <w:b/>
          <w:u w:val="single"/>
        </w:rPr>
        <w:t>A12-b</w:t>
      </w:r>
      <w:r w:rsidRPr="008E0683">
        <w:rPr>
          <w:b/>
        </w:rPr>
        <w:t>:</w:t>
      </w:r>
      <w:r w:rsidRPr="003C31C9">
        <w:t xml:space="preserve"> </w:t>
      </w:r>
      <w:r>
        <w:t>Estimated</w:t>
      </w:r>
      <w:r w:rsidRPr="003C31C9">
        <w:t xml:space="preserve"> </w:t>
      </w:r>
      <w:r>
        <w:t>A</w:t>
      </w:r>
      <w:r w:rsidRPr="003C31C9">
        <w:t xml:space="preserve">nnualized </w:t>
      </w:r>
      <w:r>
        <w:t>Burden Cost</w:t>
      </w:r>
    </w:p>
    <w:p w14:paraId="6D296A34" w14:textId="77777777" w:rsidR="004B753B" w:rsidRDefault="004B753B" w:rsidP="00003C79">
      <w:pPr>
        <w:pStyle w:val="ListParagraph"/>
        <w:ind w:left="360"/>
      </w:pPr>
    </w:p>
    <w:tbl>
      <w:tblPr>
        <w:tblStyle w:val="TableGrid"/>
        <w:tblW w:w="10538" w:type="dxa"/>
        <w:jc w:val="center"/>
        <w:tblLayout w:type="fixed"/>
        <w:tblLook w:val="04A0" w:firstRow="1" w:lastRow="0" w:firstColumn="1" w:lastColumn="0" w:noHBand="0" w:noVBand="1"/>
      </w:tblPr>
      <w:tblGrid>
        <w:gridCol w:w="1885"/>
        <w:gridCol w:w="1283"/>
        <w:gridCol w:w="1620"/>
        <w:gridCol w:w="1710"/>
        <w:gridCol w:w="1890"/>
        <w:gridCol w:w="1075"/>
        <w:gridCol w:w="1075"/>
      </w:tblGrid>
      <w:tr w:rsidR="004B753B" w:rsidRPr="008602FC" w14:paraId="4D2E96EA" w14:textId="7EEE996F" w:rsidTr="00632D5D">
        <w:trPr>
          <w:jc w:val="center"/>
        </w:trPr>
        <w:tc>
          <w:tcPr>
            <w:tcW w:w="1885" w:type="dxa"/>
            <w:vAlign w:val="center"/>
          </w:tcPr>
          <w:p w14:paraId="413B35CF" w14:textId="77777777" w:rsidR="004B753B" w:rsidRPr="008602FC" w:rsidRDefault="004B753B" w:rsidP="00BC196B">
            <w:pPr>
              <w:ind w:left="0"/>
              <w:rPr>
                <w:b/>
              </w:rPr>
            </w:pPr>
            <w:r w:rsidRPr="008602FC">
              <w:rPr>
                <w:b/>
              </w:rPr>
              <w:t>Type of Respondent</w:t>
            </w:r>
          </w:p>
        </w:tc>
        <w:tc>
          <w:tcPr>
            <w:tcW w:w="1283" w:type="dxa"/>
            <w:shd w:val="clear" w:color="auto" w:fill="auto"/>
            <w:vAlign w:val="center"/>
          </w:tcPr>
          <w:p w14:paraId="178C2B5C" w14:textId="77777777" w:rsidR="004B753B" w:rsidRPr="008602FC" w:rsidRDefault="004B753B" w:rsidP="00BC196B">
            <w:pPr>
              <w:ind w:left="0"/>
              <w:rPr>
                <w:b/>
              </w:rPr>
            </w:pPr>
            <w:r w:rsidRPr="008602FC">
              <w:rPr>
                <w:b/>
              </w:rPr>
              <w:t>Form name</w:t>
            </w:r>
            <w:r w:rsidRPr="008602FC" w:rsidDel="0079339E">
              <w:rPr>
                <w:b/>
              </w:rPr>
              <w:t xml:space="preserve"> </w:t>
            </w:r>
          </w:p>
        </w:tc>
        <w:tc>
          <w:tcPr>
            <w:tcW w:w="1620" w:type="dxa"/>
            <w:shd w:val="clear" w:color="auto" w:fill="auto"/>
            <w:vAlign w:val="center"/>
          </w:tcPr>
          <w:p w14:paraId="776814C7" w14:textId="77777777" w:rsidR="004B753B" w:rsidRPr="008602FC" w:rsidRDefault="004B753B" w:rsidP="00BC196B">
            <w:pPr>
              <w:ind w:left="0"/>
              <w:rPr>
                <w:b/>
              </w:rPr>
            </w:pPr>
            <w:r w:rsidRPr="008602FC">
              <w:rPr>
                <w:b/>
              </w:rPr>
              <w:t>No. of Respondents</w:t>
            </w:r>
            <w:r w:rsidRPr="008602FC" w:rsidDel="0079339E">
              <w:rPr>
                <w:b/>
              </w:rPr>
              <w:t xml:space="preserve"> </w:t>
            </w:r>
          </w:p>
        </w:tc>
        <w:tc>
          <w:tcPr>
            <w:tcW w:w="1710" w:type="dxa"/>
            <w:vAlign w:val="center"/>
          </w:tcPr>
          <w:p w14:paraId="6EF20483" w14:textId="77777777" w:rsidR="004B753B" w:rsidRPr="008602FC" w:rsidRDefault="004B753B" w:rsidP="00BC196B">
            <w:pPr>
              <w:ind w:left="0"/>
              <w:rPr>
                <w:b/>
              </w:rPr>
            </w:pPr>
            <w:r w:rsidRPr="008602FC">
              <w:rPr>
                <w:b/>
              </w:rPr>
              <w:t>No. of Responses per Respondent</w:t>
            </w:r>
          </w:p>
        </w:tc>
        <w:tc>
          <w:tcPr>
            <w:tcW w:w="1890" w:type="dxa"/>
            <w:shd w:val="clear" w:color="auto" w:fill="auto"/>
            <w:vAlign w:val="center"/>
          </w:tcPr>
          <w:p w14:paraId="55A3F6EC" w14:textId="77777777" w:rsidR="004B753B" w:rsidRPr="008602FC" w:rsidRDefault="004B753B" w:rsidP="00BC196B">
            <w:pPr>
              <w:ind w:left="0"/>
              <w:rPr>
                <w:b/>
              </w:rPr>
            </w:pPr>
            <w:r w:rsidRPr="008602FC">
              <w:rPr>
                <w:b/>
              </w:rPr>
              <w:t xml:space="preserve">Average Burden per Response </w:t>
            </w:r>
          </w:p>
          <w:p w14:paraId="0E4493C7" w14:textId="77777777" w:rsidR="004B753B" w:rsidRPr="008602FC" w:rsidRDefault="004B753B" w:rsidP="00BC196B">
            <w:pPr>
              <w:ind w:left="0"/>
              <w:rPr>
                <w:b/>
              </w:rPr>
            </w:pPr>
            <w:r w:rsidRPr="008602FC">
              <w:rPr>
                <w:b/>
              </w:rPr>
              <w:t>(in hours)</w:t>
            </w:r>
          </w:p>
        </w:tc>
        <w:tc>
          <w:tcPr>
            <w:tcW w:w="1075" w:type="dxa"/>
            <w:shd w:val="clear" w:color="auto" w:fill="auto"/>
            <w:vAlign w:val="center"/>
          </w:tcPr>
          <w:p w14:paraId="77E5FD2D" w14:textId="169BD4DF" w:rsidR="004B753B" w:rsidRPr="008602FC" w:rsidRDefault="004B753B" w:rsidP="00BC196B">
            <w:pPr>
              <w:ind w:left="0"/>
              <w:rPr>
                <w:b/>
              </w:rPr>
            </w:pPr>
            <w:r>
              <w:rPr>
                <w:b/>
              </w:rPr>
              <w:t>Average Hourly Wage</w:t>
            </w:r>
          </w:p>
        </w:tc>
        <w:tc>
          <w:tcPr>
            <w:tcW w:w="1075" w:type="dxa"/>
            <w:vAlign w:val="center"/>
          </w:tcPr>
          <w:p w14:paraId="22812339" w14:textId="17FEEDAA" w:rsidR="004B753B" w:rsidRPr="008602FC" w:rsidRDefault="004B753B" w:rsidP="00BC196B">
            <w:pPr>
              <w:ind w:left="0"/>
              <w:rPr>
                <w:b/>
              </w:rPr>
            </w:pPr>
            <w:r>
              <w:rPr>
                <w:b/>
              </w:rPr>
              <w:t>Total Cost</w:t>
            </w:r>
          </w:p>
        </w:tc>
      </w:tr>
      <w:tr w:rsidR="004B753B" w:rsidRPr="008602FC" w14:paraId="11E636A3" w14:textId="4F310AC3" w:rsidTr="00632D5D">
        <w:trPr>
          <w:jc w:val="center"/>
        </w:trPr>
        <w:tc>
          <w:tcPr>
            <w:tcW w:w="1885" w:type="dxa"/>
            <w:vAlign w:val="center"/>
          </w:tcPr>
          <w:p w14:paraId="0F607AAF" w14:textId="77777777" w:rsidR="004B753B" w:rsidRPr="00632D5D" w:rsidRDefault="004B753B" w:rsidP="00BC196B">
            <w:pPr>
              <w:ind w:left="0"/>
            </w:pPr>
            <w:r w:rsidRPr="00632D5D">
              <w:t>State Public Health Director</w:t>
            </w:r>
          </w:p>
        </w:tc>
        <w:tc>
          <w:tcPr>
            <w:tcW w:w="1283" w:type="dxa"/>
            <w:shd w:val="clear" w:color="auto" w:fill="auto"/>
            <w:vAlign w:val="center"/>
          </w:tcPr>
          <w:p w14:paraId="034F3FBA" w14:textId="77777777" w:rsidR="004B753B" w:rsidRPr="00632D5D" w:rsidRDefault="004B753B" w:rsidP="00BC196B">
            <w:pPr>
              <w:ind w:left="0"/>
            </w:pPr>
            <w:r w:rsidRPr="00632D5D">
              <w:t>Interview Guide</w:t>
            </w:r>
          </w:p>
        </w:tc>
        <w:tc>
          <w:tcPr>
            <w:tcW w:w="1620" w:type="dxa"/>
            <w:shd w:val="clear" w:color="auto" w:fill="auto"/>
            <w:vAlign w:val="center"/>
          </w:tcPr>
          <w:p w14:paraId="124C863C" w14:textId="77777777" w:rsidR="004B753B" w:rsidRPr="00632D5D" w:rsidRDefault="004B753B" w:rsidP="00BC196B">
            <w:pPr>
              <w:ind w:left="0"/>
              <w:jc w:val="center"/>
            </w:pPr>
            <w:r w:rsidRPr="00632D5D">
              <w:t>6</w:t>
            </w:r>
          </w:p>
        </w:tc>
        <w:tc>
          <w:tcPr>
            <w:tcW w:w="1710" w:type="dxa"/>
            <w:vAlign w:val="center"/>
          </w:tcPr>
          <w:p w14:paraId="1CC6601A" w14:textId="77777777" w:rsidR="004B753B" w:rsidRPr="00632D5D" w:rsidRDefault="004B753B" w:rsidP="00BC196B">
            <w:pPr>
              <w:ind w:left="0"/>
              <w:jc w:val="center"/>
            </w:pPr>
            <w:r w:rsidRPr="00632D5D">
              <w:t>1</w:t>
            </w:r>
          </w:p>
        </w:tc>
        <w:tc>
          <w:tcPr>
            <w:tcW w:w="1890" w:type="dxa"/>
            <w:shd w:val="clear" w:color="auto" w:fill="auto"/>
            <w:vAlign w:val="center"/>
          </w:tcPr>
          <w:p w14:paraId="016187B0" w14:textId="77777777" w:rsidR="004B753B" w:rsidRPr="00632D5D" w:rsidRDefault="004B753B" w:rsidP="00BC196B">
            <w:pPr>
              <w:ind w:left="0"/>
              <w:jc w:val="center"/>
            </w:pPr>
            <w:r w:rsidRPr="00632D5D">
              <w:t>75/60</w:t>
            </w:r>
          </w:p>
        </w:tc>
        <w:tc>
          <w:tcPr>
            <w:tcW w:w="1075" w:type="dxa"/>
            <w:shd w:val="clear" w:color="auto" w:fill="auto"/>
            <w:vAlign w:val="center"/>
          </w:tcPr>
          <w:p w14:paraId="159F0DEF" w14:textId="018233DC" w:rsidR="004B753B" w:rsidRPr="00632D5D" w:rsidRDefault="004B753B" w:rsidP="00BC196B">
            <w:pPr>
              <w:ind w:left="0"/>
              <w:jc w:val="center"/>
            </w:pPr>
            <w:r w:rsidRPr="00632D5D">
              <w:t>$93.44</w:t>
            </w:r>
          </w:p>
        </w:tc>
        <w:tc>
          <w:tcPr>
            <w:tcW w:w="1075" w:type="dxa"/>
            <w:vAlign w:val="center"/>
          </w:tcPr>
          <w:p w14:paraId="2776B881" w14:textId="31AFA2E5" w:rsidR="004B753B" w:rsidRPr="00632D5D" w:rsidRDefault="009A5C1A" w:rsidP="00BC196B">
            <w:pPr>
              <w:ind w:left="0"/>
              <w:jc w:val="center"/>
            </w:pPr>
            <w:r w:rsidRPr="00632D5D">
              <w:t>$701</w:t>
            </w:r>
          </w:p>
        </w:tc>
      </w:tr>
      <w:tr w:rsidR="004B753B" w:rsidRPr="008602FC" w14:paraId="0B6BA598" w14:textId="1090E24A" w:rsidTr="00632D5D">
        <w:trPr>
          <w:jc w:val="center"/>
        </w:trPr>
        <w:tc>
          <w:tcPr>
            <w:tcW w:w="1885" w:type="dxa"/>
            <w:vAlign w:val="center"/>
          </w:tcPr>
          <w:p w14:paraId="47CABBA8" w14:textId="77777777" w:rsidR="004B753B" w:rsidRPr="00632D5D" w:rsidRDefault="004B753B" w:rsidP="00BC196B">
            <w:pPr>
              <w:ind w:left="0"/>
            </w:pPr>
            <w:r w:rsidRPr="00632D5D">
              <w:t>State Public Health Manager</w:t>
            </w:r>
          </w:p>
        </w:tc>
        <w:tc>
          <w:tcPr>
            <w:tcW w:w="1283" w:type="dxa"/>
            <w:shd w:val="clear" w:color="auto" w:fill="auto"/>
            <w:vAlign w:val="center"/>
          </w:tcPr>
          <w:p w14:paraId="478DF336" w14:textId="77777777" w:rsidR="004B753B" w:rsidRPr="00632D5D" w:rsidRDefault="004B753B" w:rsidP="00BC196B">
            <w:pPr>
              <w:ind w:left="0"/>
            </w:pPr>
            <w:r w:rsidRPr="00632D5D">
              <w:t>Interview Guide</w:t>
            </w:r>
          </w:p>
        </w:tc>
        <w:tc>
          <w:tcPr>
            <w:tcW w:w="1620" w:type="dxa"/>
            <w:shd w:val="clear" w:color="auto" w:fill="auto"/>
            <w:vAlign w:val="center"/>
          </w:tcPr>
          <w:p w14:paraId="2BB8323D" w14:textId="77777777" w:rsidR="004B753B" w:rsidRPr="00632D5D" w:rsidRDefault="004B753B" w:rsidP="00BC196B">
            <w:pPr>
              <w:ind w:left="0"/>
              <w:jc w:val="center"/>
            </w:pPr>
            <w:r w:rsidRPr="00632D5D">
              <w:t>11</w:t>
            </w:r>
          </w:p>
        </w:tc>
        <w:tc>
          <w:tcPr>
            <w:tcW w:w="1710" w:type="dxa"/>
            <w:vAlign w:val="center"/>
          </w:tcPr>
          <w:p w14:paraId="546C1CE9" w14:textId="77777777" w:rsidR="004B753B" w:rsidRPr="00632D5D" w:rsidRDefault="004B753B" w:rsidP="00BC196B">
            <w:pPr>
              <w:ind w:left="0"/>
              <w:jc w:val="center"/>
            </w:pPr>
            <w:r w:rsidRPr="00632D5D">
              <w:t>1</w:t>
            </w:r>
          </w:p>
        </w:tc>
        <w:tc>
          <w:tcPr>
            <w:tcW w:w="1890" w:type="dxa"/>
            <w:shd w:val="clear" w:color="auto" w:fill="auto"/>
            <w:vAlign w:val="center"/>
          </w:tcPr>
          <w:p w14:paraId="529DECD0" w14:textId="77777777" w:rsidR="004B753B" w:rsidRPr="00632D5D" w:rsidRDefault="004B753B" w:rsidP="00BC196B">
            <w:pPr>
              <w:ind w:left="0"/>
              <w:jc w:val="center"/>
            </w:pPr>
            <w:r w:rsidRPr="00632D5D">
              <w:t>75/60</w:t>
            </w:r>
          </w:p>
        </w:tc>
        <w:tc>
          <w:tcPr>
            <w:tcW w:w="1075" w:type="dxa"/>
            <w:shd w:val="clear" w:color="auto" w:fill="auto"/>
            <w:vAlign w:val="center"/>
          </w:tcPr>
          <w:p w14:paraId="0F92BD0F" w14:textId="0EED9CBD" w:rsidR="004B753B" w:rsidRPr="00632D5D" w:rsidRDefault="004B753B" w:rsidP="00BC196B">
            <w:pPr>
              <w:ind w:left="0"/>
              <w:jc w:val="center"/>
            </w:pPr>
            <w:r w:rsidRPr="00632D5D">
              <w:t>$52.48</w:t>
            </w:r>
          </w:p>
        </w:tc>
        <w:tc>
          <w:tcPr>
            <w:tcW w:w="1075" w:type="dxa"/>
            <w:vAlign w:val="center"/>
          </w:tcPr>
          <w:p w14:paraId="2145F7EB" w14:textId="729293F9" w:rsidR="004B753B" w:rsidRPr="00632D5D" w:rsidRDefault="009A5C1A" w:rsidP="00BC196B">
            <w:pPr>
              <w:ind w:left="0"/>
              <w:jc w:val="center"/>
            </w:pPr>
            <w:r w:rsidRPr="00632D5D">
              <w:t>$722</w:t>
            </w:r>
          </w:p>
        </w:tc>
      </w:tr>
      <w:tr w:rsidR="004B753B" w:rsidRPr="008602FC" w14:paraId="3D483DEE" w14:textId="1444AD58" w:rsidTr="00632D5D">
        <w:trPr>
          <w:jc w:val="center"/>
        </w:trPr>
        <w:tc>
          <w:tcPr>
            <w:tcW w:w="1885" w:type="dxa"/>
            <w:vAlign w:val="center"/>
          </w:tcPr>
          <w:p w14:paraId="3BBC7416" w14:textId="77777777" w:rsidR="004B753B" w:rsidRPr="00632D5D" w:rsidRDefault="004B753B" w:rsidP="00BC196B">
            <w:pPr>
              <w:ind w:left="0"/>
            </w:pPr>
            <w:r w:rsidRPr="00632D5D">
              <w:t>State Medicaid Director</w:t>
            </w:r>
          </w:p>
        </w:tc>
        <w:tc>
          <w:tcPr>
            <w:tcW w:w="1283" w:type="dxa"/>
            <w:shd w:val="clear" w:color="auto" w:fill="auto"/>
            <w:vAlign w:val="center"/>
          </w:tcPr>
          <w:p w14:paraId="47BE4EDA" w14:textId="77777777" w:rsidR="004B753B" w:rsidRPr="00632D5D" w:rsidRDefault="004B753B" w:rsidP="00BC196B">
            <w:pPr>
              <w:ind w:left="0"/>
            </w:pPr>
            <w:r w:rsidRPr="00632D5D">
              <w:t>Interview Guide</w:t>
            </w:r>
          </w:p>
        </w:tc>
        <w:tc>
          <w:tcPr>
            <w:tcW w:w="1620" w:type="dxa"/>
            <w:shd w:val="clear" w:color="auto" w:fill="auto"/>
            <w:vAlign w:val="center"/>
          </w:tcPr>
          <w:p w14:paraId="6AE3D962" w14:textId="77777777" w:rsidR="004B753B" w:rsidRPr="00632D5D" w:rsidRDefault="004B753B" w:rsidP="00BC196B">
            <w:pPr>
              <w:ind w:left="0"/>
              <w:jc w:val="center"/>
            </w:pPr>
            <w:r w:rsidRPr="00632D5D">
              <w:t>6</w:t>
            </w:r>
          </w:p>
        </w:tc>
        <w:tc>
          <w:tcPr>
            <w:tcW w:w="1710" w:type="dxa"/>
            <w:vAlign w:val="center"/>
          </w:tcPr>
          <w:p w14:paraId="42177CC9" w14:textId="77777777" w:rsidR="004B753B" w:rsidRPr="00632D5D" w:rsidRDefault="004B753B" w:rsidP="00BC196B">
            <w:pPr>
              <w:ind w:left="0"/>
              <w:jc w:val="center"/>
            </w:pPr>
            <w:r w:rsidRPr="00632D5D">
              <w:t>1</w:t>
            </w:r>
          </w:p>
        </w:tc>
        <w:tc>
          <w:tcPr>
            <w:tcW w:w="1890" w:type="dxa"/>
            <w:shd w:val="clear" w:color="auto" w:fill="auto"/>
            <w:vAlign w:val="center"/>
          </w:tcPr>
          <w:p w14:paraId="1A1B1259" w14:textId="77777777" w:rsidR="004B753B" w:rsidRPr="00632D5D" w:rsidRDefault="004B753B" w:rsidP="00BC196B">
            <w:pPr>
              <w:ind w:left="0"/>
              <w:jc w:val="center"/>
            </w:pPr>
            <w:r w:rsidRPr="00632D5D">
              <w:t>75/60</w:t>
            </w:r>
          </w:p>
        </w:tc>
        <w:tc>
          <w:tcPr>
            <w:tcW w:w="1075" w:type="dxa"/>
            <w:shd w:val="clear" w:color="auto" w:fill="auto"/>
            <w:vAlign w:val="center"/>
          </w:tcPr>
          <w:p w14:paraId="1B9BA651" w14:textId="1AE95047" w:rsidR="004B753B" w:rsidRPr="00632D5D" w:rsidRDefault="004B753B" w:rsidP="00BC196B">
            <w:pPr>
              <w:ind w:left="0"/>
              <w:jc w:val="center"/>
            </w:pPr>
            <w:r w:rsidRPr="00632D5D">
              <w:t>$93.44</w:t>
            </w:r>
          </w:p>
        </w:tc>
        <w:tc>
          <w:tcPr>
            <w:tcW w:w="1075" w:type="dxa"/>
            <w:vAlign w:val="center"/>
          </w:tcPr>
          <w:p w14:paraId="29BABA93" w14:textId="3C485AA9" w:rsidR="004B753B" w:rsidRPr="00632D5D" w:rsidRDefault="009A5C1A" w:rsidP="00BC196B">
            <w:pPr>
              <w:ind w:left="0"/>
              <w:jc w:val="center"/>
            </w:pPr>
            <w:r w:rsidRPr="00632D5D">
              <w:t>$701</w:t>
            </w:r>
          </w:p>
        </w:tc>
      </w:tr>
      <w:tr w:rsidR="004B753B" w:rsidRPr="008602FC" w14:paraId="7378838F" w14:textId="7B945651" w:rsidTr="00632D5D">
        <w:trPr>
          <w:jc w:val="center"/>
        </w:trPr>
        <w:tc>
          <w:tcPr>
            <w:tcW w:w="1885" w:type="dxa"/>
            <w:vAlign w:val="center"/>
          </w:tcPr>
          <w:p w14:paraId="177C9866" w14:textId="77777777" w:rsidR="004B753B" w:rsidRPr="00632D5D" w:rsidRDefault="004B753B" w:rsidP="00BC196B">
            <w:pPr>
              <w:ind w:left="0"/>
            </w:pPr>
            <w:r w:rsidRPr="00632D5D">
              <w:t>State Medicaid Manager</w:t>
            </w:r>
          </w:p>
        </w:tc>
        <w:tc>
          <w:tcPr>
            <w:tcW w:w="1283" w:type="dxa"/>
            <w:shd w:val="clear" w:color="auto" w:fill="auto"/>
            <w:vAlign w:val="center"/>
          </w:tcPr>
          <w:p w14:paraId="21EF38BB" w14:textId="77777777" w:rsidR="004B753B" w:rsidRPr="00632D5D" w:rsidRDefault="004B753B" w:rsidP="00BC196B">
            <w:pPr>
              <w:ind w:left="0"/>
            </w:pPr>
            <w:r w:rsidRPr="00632D5D">
              <w:t>Interview Guide</w:t>
            </w:r>
          </w:p>
        </w:tc>
        <w:tc>
          <w:tcPr>
            <w:tcW w:w="1620" w:type="dxa"/>
            <w:shd w:val="clear" w:color="auto" w:fill="auto"/>
            <w:vAlign w:val="center"/>
          </w:tcPr>
          <w:p w14:paraId="71600FD5" w14:textId="77777777" w:rsidR="004B753B" w:rsidRPr="00632D5D" w:rsidRDefault="004B753B" w:rsidP="00BC196B">
            <w:pPr>
              <w:ind w:left="0"/>
              <w:jc w:val="center"/>
            </w:pPr>
            <w:r w:rsidRPr="00632D5D">
              <w:t>6</w:t>
            </w:r>
          </w:p>
        </w:tc>
        <w:tc>
          <w:tcPr>
            <w:tcW w:w="1710" w:type="dxa"/>
            <w:vAlign w:val="center"/>
          </w:tcPr>
          <w:p w14:paraId="0D4C5D89" w14:textId="77777777" w:rsidR="004B753B" w:rsidRPr="00632D5D" w:rsidRDefault="004B753B" w:rsidP="00BC196B">
            <w:pPr>
              <w:ind w:left="0"/>
              <w:jc w:val="center"/>
            </w:pPr>
            <w:r w:rsidRPr="00632D5D">
              <w:t>1</w:t>
            </w:r>
          </w:p>
        </w:tc>
        <w:tc>
          <w:tcPr>
            <w:tcW w:w="1890" w:type="dxa"/>
            <w:shd w:val="clear" w:color="auto" w:fill="auto"/>
            <w:vAlign w:val="center"/>
          </w:tcPr>
          <w:p w14:paraId="45AD0DB0" w14:textId="77777777" w:rsidR="004B753B" w:rsidRPr="00632D5D" w:rsidRDefault="004B753B" w:rsidP="00BC196B">
            <w:pPr>
              <w:ind w:left="0"/>
              <w:jc w:val="center"/>
            </w:pPr>
            <w:r w:rsidRPr="00632D5D">
              <w:t>75/60</w:t>
            </w:r>
          </w:p>
        </w:tc>
        <w:tc>
          <w:tcPr>
            <w:tcW w:w="1075" w:type="dxa"/>
            <w:shd w:val="clear" w:color="auto" w:fill="auto"/>
            <w:vAlign w:val="center"/>
          </w:tcPr>
          <w:p w14:paraId="1AF2E644" w14:textId="5816CD69" w:rsidR="004B753B" w:rsidRPr="00632D5D" w:rsidRDefault="004B753B" w:rsidP="00BC196B">
            <w:pPr>
              <w:ind w:left="0"/>
              <w:jc w:val="center"/>
            </w:pPr>
            <w:r w:rsidRPr="00632D5D">
              <w:t>$52.48</w:t>
            </w:r>
          </w:p>
        </w:tc>
        <w:tc>
          <w:tcPr>
            <w:tcW w:w="1075" w:type="dxa"/>
            <w:vAlign w:val="center"/>
          </w:tcPr>
          <w:p w14:paraId="04C0551E" w14:textId="422E067C" w:rsidR="004B753B" w:rsidRPr="00632D5D" w:rsidRDefault="009A5C1A" w:rsidP="00BC196B">
            <w:pPr>
              <w:ind w:left="0"/>
              <w:jc w:val="center"/>
            </w:pPr>
            <w:r w:rsidRPr="00632D5D">
              <w:t>$394</w:t>
            </w:r>
          </w:p>
        </w:tc>
      </w:tr>
      <w:tr w:rsidR="004B753B" w:rsidRPr="008602FC" w14:paraId="445B6638" w14:textId="77777777" w:rsidTr="004B753B">
        <w:trPr>
          <w:jc w:val="center"/>
        </w:trPr>
        <w:tc>
          <w:tcPr>
            <w:tcW w:w="1885" w:type="dxa"/>
            <w:vAlign w:val="center"/>
          </w:tcPr>
          <w:p w14:paraId="68930227" w14:textId="77777777" w:rsidR="004B753B" w:rsidRPr="00632D5D" w:rsidRDefault="004B753B" w:rsidP="00BC196B">
            <w:pPr>
              <w:ind w:left="0"/>
            </w:pPr>
          </w:p>
        </w:tc>
        <w:tc>
          <w:tcPr>
            <w:tcW w:w="1283" w:type="dxa"/>
            <w:shd w:val="clear" w:color="auto" w:fill="auto"/>
            <w:vAlign w:val="center"/>
          </w:tcPr>
          <w:p w14:paraId="6AC68867" w14:textId="77777777" w:rsidR="004B753B" w:rsidRPr="00632D5D" w:rsidRDefault="004B753B" w:rsidP="00BC196B">
            <w:pPr>
              <w:ind w:left="0"/>
            </w:pPr>
          </w:p>
        </w:tc>
        <w:tc>
          <w:tcPr>
            <w:tcW w:w="1620" w:type="dxa"/>
            <w:shd w:val="clear" w:color="auto" w:fill="auto"/>
            <w:vAlign w:val="center"/>
          </w:tcPr>
          <w:p w14:paraId="5D6BC962" w14:textId="77777777" w:rsidR="004B753B" w:rsidRPr="00632D5D" w:rsidRDefault="004B753B" w:rsidP="00BC196B">
            <w:pPr>
              <w:ind w:left="0"/>
              <w:jc w:val="center"/>
            </w:pPr>
          </w:p>
        </w:tc>
        <w:tc>
          <w:tcPr>
            <w:tcW w:w="1710" w:type="dxa"/>
            <w:vAlign w:val="center"/>
          </w:tcPr>
          <w:p w14:paraId="0B199915" w14:textId="77777777" w:rsidR="004B753B" w:rsidRPr="00632D5D" w:rsidRDefault="004B753B" w:rsidP="00BC196B">
            <w:pPr>
              <w:ind w:left="0"/>
              <w:jc w:val="center"/>
            </w:pPr>
          </w:p>
        </w:tc>
        <w:tc>
          <w:tcPr>
            <w:tcW w:w="1890" w:type="dxa"/>
            <w:shd w:val="clear" w:color="auto" w:fill="auto"/>
            <w:vAlign w:val="center"/>
          </w:tcPr>
          <w:p w14:paraId="7012845B" w14:textId="77777777" w:rsidR="004B753B" w:rsidRPr="00632D5D" w:rsidRDefault="004B753B" w:rsidP="00BC196B">
            <w:pPr>
              <w:ind w:left="0"/>
              <w:jc w:val="center"/>
            </w:pPr>
          </w:p>
        </w:tc>
        <w:tc>
          <w:tcPr>
            <w:tcW w:w="1075" w:type="dxa"/>
            <w:shd w:val="clear" w:color="auto" w:fill="auto"/>
            <w:vAlign w:val="center"/>
          </w:tcPr>
          <w:p w14:paraId="116C8D13" w14:textId="6BEFDAF2" w:rsidR="004B753B" w:rsidRPr="00632D5D" w:rsidRDefault="004B753B" w:rsidP="00632D5D">
            <w:pPr>
              <w:ind w:left="0"/>
              <w:jc w:val="right"/>
            </w:pPr>
            <w:r w:rsidRPr="00632D5D">
              <w:t>Total</w:t>
            </w:r>
          </w:p>
        </w:tc>
        <w:tc>
          <w:tcPr>
            <w:tcW w:w="1075" w:type="dxa"/>
            <w:vAlign w:val="center"/>
          </w:tcPr>
          <w:p w14:paraId="0C6CC8AE" w14:textId="7C8E5193" w:rsidR="004B753B" w:rsidRPr="00632D5D" w:rsidRDefault="009A5C1A" w:rsidP="00BC196B">
            <w:pPr>
              <w:ind w:left="0"/>
              <w:jc w:val="center"/>
            </w:pPr>
            <w:r w:rsidRPr="00632D5D">
              <w:t>$2,518</w:t>
            </w:r>
          </w:p>
        </w:tc>
      </w:tr>
    </w:tbl>
    <w:p w14:paraId="1308CF7F" w14:textId="068DB342" w:rsidR="00003C79" w:rsidRDefault="00003C79" w:rsidP="00003C79">
      <w:pPr>
        <w:pStyle w:val="ListParagraph"/>
        <w:ind w:left="360"/>
      </w:pPr>
    </w:p>
    <w:p w14:paraId="5CF58597" w14:textId="77777777" w:rsidR="00003C79" w:rsidRDefault="00003C79" w:rsidP="00441CC3">
      <w:pPr>
        <w:ind w:left="0"/>
      </w:pPr>
    </w:p>
    <w:p w14:paraId="3EC580A5" w14:textId="63CD213D" w:rsidR="00B12F51" w:rsidRPr="0088467A" w:rsidRDefault="0073477F" w:rsidP="0073477F">
      <w:pPr>
        <w:pStyle w:val="Heading4"/>
        <w:numPr>
          <w:ilvl w:val="0"/>
          <w:numId w:val="0"/>
        </w:numPr>
        <w:ind w:left="-990"/>
      </w:pPr>
      <w:r>
        <w:t xml:space="preserve">              </w:t>
      </w:r>
      <w:bookmarkStart w:id="18" w:name="_Toc492543258"/>
      <w:r>
        <w:t xml:space="preserve">A13. </w:t>
      </w:r>
      <w:r w:rsidR="0088467A" w:rsidRPr="0088467A">
        <w:t>Estimates of Other Total Annual Cost Burden to Respondents or Record Keepers</w:t>
      </w:r>
      <w:bookmarkEnd w:id="18"/>
    </w:p>
    <w:p w14:paraId="7DD8899E" w14:textId="015465B2" w:rsidR="00B34ABC" w:rsidRDefault="003C31C9" w:rsidP="00A35DF1">
      <w:pPr>
        <w:ind w:left="36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3C0F40FA" w14:textId="77777777" w:rsidR="007E791C" w:rsidRDefault="007E791C" w:rsidP="00A35DF1">
      <w:pPr>
        <w:ind w:left="360"/>
      </w:pPr>
    </w:p>
    <w:p w14:paraId="72D857A4" w14:textId="268DEE1B" w:rsidR="00B12F51" w:rsidRPr="0088467A" w:rsidRDefault="0073477F" w:rsidP="0073477F">
      <w:pPr>
        <w:pStyle w:val="Heading4"/>
        <w:numPr>
          <w:ilvl w:val="0"/>
          <w:numId w:val="0"/>
        </w:numPr>
        <w:ind w:left="-990"/>
      </w:pPr>
      <w:r>
        <w:t xml:space="preserve">             </w:t>
      </w:r>
      <w:bookmarkStart w:id="19" w:name="_Toc492543259"/>
      <w:r>
        <w:t xml:space="preserve">A14. </w:t>
      </w:r>
      <w:r w:rsidR="0088467A" w:rsidRPr="0088467A">
        <w:t>Annualized Cost to the Government</w:t>
      </w:r>
      <w:bookmarkEnd w:id="19"/>
      <w:r w:rsidR="00D75750">
        <w:t xml:space="preserve"> </w:t>
      </w:r>
    </w:p>
    <w:p w14:paraId="284028D2" w14:textId="2FC0DCCD" w:rsidR="009160E0" w:rsidRPr="00EA2E80" w:rsidRDefault="009160E0" w:rsidP="009160E0">
      <w:pPr>
        <w:ind w:left="0"/>
        <w:rPr>
          <w:rFonts w:cs="Arial"/>
        </w:rPr>
      </w:pPr>
      <w:r w:rsidRPr="000E58F5">
        <w:rPr>
          <w:rFonts w:cs="Arial"/>
        </w:rPr>
        <w:t xml:space="preserve">There are no equipment or overhead costs.  The only cost to the federal government would be the salary of CDC staff and </w:t>
      </w:r>
      <w:r w:rsidR="00603AE9">
        <w:rPr>
          <w:rFonts w:cs="Arial"/>
        </w:rPr>
        <w:t>sub-</w:t>
      </w:r>
      <w:r w:rsidRPr="000E58F5">
        <w:rPr>
          <w:rFonts w:cs="Arial"/>
        </w:rPr>
        <w:t>contractors.</w:t>
      </w:r>
      <w:r>
        <w:rPr>
          <w:rFonts w:cs="Arial"/>
        </w:rPr>
        <w:t xml:space="preserve">  Partners, specifically staff of the </w:t>
      </w:r>
      <w:r>
        <w:t>George Washington University (co-operative agreement sub-contractor),</w:t>
      </w:r>
      <w:r>
        <w:rPr>
          <w:rFonts w:cs="Arial"/>
        </w:rPr>
        <w:t xml:space="preserve"> will </w:t>
      </w:r>
      <w:r w:rsidRPr="000E58F5">
        <w:rPr>
          <w:rFonts w:cs="Arial"/>
        </w:rPr>
        <w:t xml:space="preserve">support </w:t>
      </w:r>
      <w:r>
        <w:rPr>
          <w:rFonts w:cs="Arial"/>
        </w:rPr>
        <w:t xml:space="preserve">the </w:t>
      </w:r>
      <w:r w:rsidRPr="000E58F5">
        <w:rPr>
          <w:rFonts w:cs="Arial"/>
        </w:rPr>
        <w:t xml:space="preserve">development </w:t>
      </w:r>
      <w:r>
        <w:rPr>
          <w:rFonts w:cs="Arial"/>
        </w:rPr>
        <w:t xml:space="preserve">and implementation </w:t>
      </w:r>
      <w:r w:rsidRPr="000E58F5">
        <w:rPr>
          <w:rFonts w:cs="Arial"/>
        </w:rPr>
        <w:t>of the assessment tool</w:t>
      </w:r>
      <w:r>
        <w:rPr>
          <w:rFonts w:cs="Arial"/>
        </w:rPr>
        <w:t>s</w:t>
      </w:r>
      <w:r w:rsidRPr="000E58F5">
        <w:rPr>
          <w:rFonts w:cs="Arial"/>
        </w:rPr>
        <w:t xml:space="preserve">, data collection, and data analysis. The total estimated cost to the federal government </w:t>
      </w:r>
      <w:r w:rsidRPr="00B24147">
        <w:rPr>
          <w:rFonts w:cs="Arial"/>
        </w:rPr>
        <w:t xml:space="preserve">is </w:t>
      </w:r>
      <w:r w:rsidR="00B24147" w:rsidRPr="00AB4FAF">
        <w:rPr>
          <w:rFonts w:ascii="Times New Roman" w:eastAsia="Times New Roman" w:hAnsi="Times New Roman" w:cs="Times New Roman"/>
        </w:rPr>
        <w:t>$</w:t>
      </w:r>
      <w:r w:rsidR="00122ACE">
        <w:rPr>
          <w:rFonts w:ascii="Times New Roman" w:eastAsia="Times New Roman" w:hAnsi="Times New Roman" w:cs="Times New Roman"/>
        </w:rPr>
        <w:t>111</w:t>
      </w:r>
      <w:r w:rsidR="00B24147" w:rsidRPr="00AB4FAF">
        <w:rPr>
          <w:rFonts w:ascii="Times New Roman" w:eastAsia="Times New Roman" w:hAnsi="Times New Roman" w:cs="Times New Roman"/>
        </w:rPr>
        <w:t>,011.50</w:t>
      </w:r>
      <w:r w:rsidRPr="000E58F5">
        <w:rPr>
          <w:rFonts w:cs="Arial"/>
        </w:rPr>
        <w:t>.</w:t>
      </w:r>
      <w:r>
        <w:rPr>
          <w:rFonts w:cs="Arial"/>
        </w:rPr>
        <w:t xml:space="preserve"> </w:t>
      </w:r>
      <w:r w:rsidR="00603AE9">
        <w:rPr>
          <w:rFonts w:cs="Arial"/>
        </w:rPr>
        <w:t>The paragraphs</w:t>
      </w:r>
      <w:r w:rsidR="00AD7ADB">
        <w:rPr>
          <w:rFonts w:cs="Arial"/>
        </w:rPr>
        <w:t xml:space="preserve"> and </w:t>
      </w:r>
      <w:r w:rsidR="00AD7ADB" w:rsidRPr="000E58F5">
        <w:rPr>
          <w:rFonts w:cs="Arial"/>
        </w:rPr>
        <w:t xml:space="preserve">Table </w:t>
      </w:r>
      <w:r w:rsidR="00EA0D1A">
        <w:rPr>
          <w:rFonts w:cs="Arial"/>
        </w:rPr>
        <w:t>A</w:t>
      </w:r>
      <w:r w:rsidR="00CE36D0">
        <w:rPr>
          <w:rFonts w:cs="Arial"/>
        </w:rPr>
        <w:t>1</w:t>
      </w:r>
      <w:r w:rsidR="00AD7ADB" w:rsidRPr="000E58F5">
        <w:rPr>
          <w:rFonts w:cs="Arial"/>
        </w:rPr>
        <w:t>4</w:t>
      </w:r>
      <w:r w:rsidR="00CE36D0">
        <w:rPr>
          <w:rFonts w:cs="Arial"/>
        </w:rPr>
        <w:t>-a</w:t>
      </w:r>
      <w:r w:rsidR="00AD7ADB">
        <w:rPr>
          <w:rFonts w:cs="Arial"/>
        </w:rPr>
        <w:t xml:space="preserve"> </w:t>
      </w:r>
      <w:r w:rsidR="00603AE9">
        <w:rPr>
          <w:rFonts w:cs="Arial"/>
        </w:rPr>
        <w:t>below describe</w:t>
      </w:r>
      <w:r w:rsidRPr="000E58F5">
        <w:rPr>
          <w:rFonts w:cs="Arial"/>
        </w:rPr>
        <w:t xml:space="preserve"> </w:t>
      </w:r>
      <w:r w:rsidR="00AD7ADB">
        <w:rPr>
          <w:rFonts w:cs="Arial"/>
        </w:rPr>
        <w:t xml:space="preserve">and summarize </w:t>
      </w:r>
      <w:r w:rsidRPr="000E58F5">
        <w:rPr>
          <w:rFonts w:cs="Arial"/>
        </w:rPr>
        <w:t>how this cost estimate was calculated.</w:t>
      </w:r>
      <w:r w:rsidR="00603AE9" w:rsidRPr="00603AE9">
        <w:rPr>
          <w:rFonts w:cs="Arial"/>
        </w:rPr>
        <w:t xml:space="preserve"> </w:t>
      </w:r>
    </w:p>
    <w:p w14:paraId="5E65C3EA" w14:textId="77777777" w:rsidR="009160E0" w:rsidRDefault="009160E0" w:rsidP="009160E0">
      <w:pPr>
        <w:tabs>
          <w:tab w:val="clear" w:pos="9360"/>
        </w:tabs>
        <w:spacing w:line="240" w:lineRule="auto"/>
        <w:ind w:left="0"/>
        <w:rPr>
          <w:rFonts w:ascii="Times New Roman" w:eastAsia="Times New Roman" w:hAnsi="Times New Roman" w:cs="Times New Roman"/>
          <w:b/>
          <w:color w:val="7030A0"/>
          <w:sz w:val="24"/>
          <w:szCs w:val="24"/>
        </w:rPr>
      </w:pPr>
    </w:p>
    <w:p w14:paraId="76E04C65" w14:textId="578B2B09" w:rsidR="009160E0" w:rsidRPr="00052764" w:rsidRDefault="009160E0" w:rsidP="009160E0">
      <w:pPr>
        <w:tabs>
          <w:tab w:val="clear" w:pos="9360"/>
        </w:tabs>
        <w:spacing w:line="240" w:lineRule="auto"/>
        <w:ind w:left="0"/>
        <w:rPr>
          <w:rFonts w:ascii="Times New Roman" w:eastAsia="Times New Roman" w:hAnsi="Times New Roman" w:cs="Times New Roman"/>
          <w:sz w:val="24"/>
          <w:szCs w:val="24"/>
        </w:rPr>
      </w:pPr>
      <w:r w:rsidRPr="00052764">
        <w:rPr>
          <w:rFonts w:ascii="Times New Roman" w:eastAsia="Times New Roman" w:hAnsi="Times New Roman" w:cs="Times New Roman"/>
          <w:b/>
          <w:sz w:val="24"/>
          <w:szCs w:val="24"/>
        </w:rPr>
        <w:t>Government personnel</w:t>
      </w:r>
      <w:r w:rsidRPr="00052764">
        <w:rPr>
          <w:rFonts w:ascii="Times New Roman" w:eastAsia="Times New Roman" w:hAnsi="Times New Roman" w:cs="Times New Roman"/>
          <w:sz w:val="24"/>
          <w:szCs w:val="24"/>
        </w:rPr>
        <w:t xml:space="preserve"> – Governmental costs for this project include personnel costs for federal staff involved in providing oversight and guidance for the planning and design of the 6|18 Case Studies, refinement of the semi-structured Interview Guide, development of OMB materials, collection and analysis of the data, reporting</w:t>
      </w:r>
      <w:r w:rsidR="00DA547D">
        <w:rPr>
          <w:rFonts w:ascii="Times New Roman" w:eastAsia="Times New Roman" w:hAnsi="Times New Roman" w:cs="Times New Roman"/>
          <w:sz w:val="24"/>
          <w:szCs w:val="24"/>
        </w:rPr>
        <w:t>,</w:t>
      </w:r>
      <w:r w:rsidR="00DA547D" w:rsidRPr="00DA547D">
        <w:rPr>
          <w:rFonts w:ascii="Times New Roman" w:eastAsia="Times New Roman" w:hAnsi="Times New Roman" w:cs="Times New Roman"/>
          <w:sz w:val="24"/>
          <w:szCs w:val="24"/>
        </w:rPr>
        <w:t xml:space="preserve"> </w:t>
      </w:r>
      <w:r w:rsidR="00DA547D" w:rsidRPr="00052764">
        <w:rPr>
          <w:rFonts w:ascii="Times New Roman" w:eastAsia="Times New Roman" w:hAnsi="Times New Roman" w:cs="Times New Roman"/>
          <w:sz w:val="24"/>
          <w:szCs w:val="24"/>
        </w:rPr>
        <w:t>and</w:t>
      </w:r>
      <w:r w:rsidR="00DA547D">
        <w:rPr>
          <w:rFonts w:ascii="Times New Roman" w:eastAsia="Times New Roman" w:hAnsi="Times New Roman" w:cs="Times New Roman"/>
          <w:sz w:val="24"/>
          <w:szCs w:val="24"/>
        </w:rPr>
        <w:t xml:space="preserve"> dissemination</w:t>
      </w:r>
      <w:r w:rsidRPr="00052764">
        <w:rPr>
          <w:rFonts w:ascii="Times New Roman" w:eastAsia="Times New Roman" w:hAnsi="Times New Roman" w:cs="Times New Roman"/>
          <w:sz w:val="24"/>
          <w:szCs w:val="24"/>
        </w:rPr>
        <w:t xml:space="preserve">. These activities involve approximately </w:t>
      </w:r>
      <w:r w:rsidR="007462C7">
        <w:rPr>
          <w:rFonts w:ascii="Times New Roman" w:eastAsia="Times New Roman" w:hAnsi="Times New Roman" w:cs="Times New Roman"/>
          <w:sz w:val="24"/>
          <w:szCs w:val="24"/>
        </w:rPr>
        <w:t>50</w:t>
      </w:r>
      <w:r w:rsidRPr="00052764">
        <w:rPr>
          <w:rFonts w:ascii="Times New Roman" w:eastAsia="Times New Roman" w:hAnsi="Times New Roman" w:cs="Times New Roman"/>
          <w:sz w:val="24"/>
          <w:szCs w:val="24"/>
        </w:rPr>
        <w:t xml:space="preserve"> percent of </w:t>
      </w:r>
      <w:r w:rsidR="00C41623" w:rsidRPr="00C41623">
        <w:rPr>
          <w:rFonts w:ascii="Times New Roman" w:eastAsia="Times New Roman" w:hAnsi="Times New Roman" w:cs="Times New Roman"/>
          <w:sz w:val="24"/>
          <w:szCs w:val="24"/>
        </w:rPr>
        <w:t>one</w:t>
      </w:r>
      <w:r w:rsidRPr="00C41623">
        <w:rPr>
          <w:rFonts w:ascii="Times New Roman" w:eastAsia="Times New Roman" w:hAnsi="Times New Roman" w:cs="Times New Roman"/>
          <w:sz w:val="24"/>
          <w:szCs w:val="24"/>
        </w:rPr>
        <w:t xml:space="preserve"> GS-1</w:t>
      </w:r>
      <w:r w:rsidR="00C41623" w:rsidRPr="00C41623">
        <w:rPr>
          <w:rFonts w:ascii="Times New Roman" w:eastAsia="Times New Roman" w:hAnsi="Times New Roman" w:cs="Times New Roman"/>
          <w:sz w:val="24"/>
          <w:szCs w:val="24"/>
        </w:rPr>
        <w:t>3</w:t>
      </w:r>
      <w:r w:rsidRPr="00C41623">
        <w:rPr>
          <w:rFonts w:ascii="Times New Roman" w:eastAsia="Times New Roman" w:hAnsi="Times New Roman" w:cs="Times New Roman"/>
          <w:sz w:val="24"/>
          <w:szCs w:val="24"/>
        </w:rPr>
        <w:t xml:space="preserve"> </w:t>
      </w:r>
      <w:r w:rsidR="00C41623" w:rsidRPr="00C41623">
        <w:rPr>
          <w:rFonts w:ascii="Times New Roman" w:eastAsia="Times New Roman" w:hAnsi="Times New Roman" w:cs="Times New Roman"/>
          <w:sz w:val="24"/>
          <w:szCs w:val="24"/>
        </w:rPr>
        <w:t>behavioral scientist</w:t>
      </w:r>
      <w:r w:rsidRPr="00052764">
        <w:rPr>
          <w:rFonts w:ascii="Times New Roman" w:eastAsia="Times New Roman" w:hAnsi="Times New Roman" w:cs="Times New Roman"/>
          <w:sz w:val="24"/>
          <w:szCs w:val="24"/>
        </w:rPr>
        <w:t xml:space="preserve">. Assuming a </w:t>
      </w:r>
      <w:r w:rsidRPr="00C41623">
        <w:rPr>
          <w:rFonts w:ascii="Times New Roman" w:eastAsia="Times New Roman" w:hAnsi="Times New Roman" w:cs="Times New Roman"/>
          <w:sz w:val="24"/>
          <w:szCs w:val="24"/>
        </w:rPr>
        <w:t>$</w:t>
      </w:r>
      <w:r w:rsidR="00C41623" w:rsidRPr="00C41623">
        <w:rPr>
          <w:rFonts w:ascii="Times New Roman" w:eastAsia="Times New Roman" w:hAnsi="Times New Roman" w:cs="Times New Roman"/>
          <w:sz w:val="24"/>
          <w:szCs w:val="24"/>
        </w:rPr>
        <w:t>90</w:t>
      </w:r>
      <w:r w:rsidR="00C41623">
        <w:rPr>
          <w:rFonts w:ascii="Times New Roman" w:eastAsia="Times New Roman" w:hAnsi="Times New Roman" w:cs="Times New Roman"/>
          <w:sz w:val="24"/>
          <w:szCs w:val="24"/>
        </w:rPr>
        <w:t>,</w:t>
      </w:r>
      <w:r w:rsidR="00C41623" w:rsidRPr="00C41623">
        <w:rPr>
          <w:rFonts w:ascii="Times New Roman" w:eastAsia="Times New Roman" w:hAnsi="Times New Roman" w:cs="Times New Roman"/>
          <w:sz w:val="24"/>
          <w:szCs w:val="24"/>
        </w:rPr>
        <w:t>023</w:t>
      </w:r>
      <w:r w:rsidRPr="00052764">
        <w:rPr>
          <w:rFonts w:ascii="Times New Roman" w:eastAsia="Times New Roman" w:hAnsi="Times New Roman" w:cs="Times New Roman"/>
          <w:sz w:val="24"/>
          <w:szCs w:val="24"/>
        </w:rPr>
        <w:t xml:space="preserve"> annual salary for </w:t>
      </w:r>
      <w:r w:rsidR="00C41623">
        <w:rPr>
          <w:rFonts w:ascii="Times New Roman" w:eastAsia="Times New Roman" w:hAnsi="Times New Roman" w:cs="Times New Roman"/>
          <w:sz w:val="24"/>
          <w:szCs w:val="24"/>
        </w:rPr>
        <w:t>behavioral scientists</w:t>
      </w:r>
      <w:r w:rsidRPr="00052764">
        <w:rPr>
          <w:rFonts w:ascii="Times New Roman" w:eastAsia="Times New Roman" w:hAnsi="Times New Roman" w:cs="Times New Roman"/>
          <w:sz w:val="24"/>
          <w:szCs w:val="24"/>
        </w:rPr>
        <w:t xml:space="preserve">, the total estimated annualized cost to the Federal Government is </w:t>
      </w:r>
      <w:r w:rsidRPr="007462C7">
        <w:rPr>
          <w:rFonts w:ascii="Times New Roman" w:eastAsia="Times New Roman" w:hAnsi="Times New Roman" w:cs="Times New Roman"/>
          <w:sz w:val="24"/>
          <w:szCs w:val="24"/>
        </w:rPr>
        <w:t>$</w:t>
      </w:r>
      <w:r w:rsidR="007462C7" w:rsidRPr="007462C7">
        <w:rPr>
          <w:rFonts w:ascii="Times New Roman" w:eastAsia="Times New Roman" w:hAnsi="Times New Roman" w:cs="Times New Roman"/>
          <w:sz w:val="24"/>
          <w:szCs w:val="24"/>
        </w:rPr>
        <w:t>45,011.50</w:t>
      </w:r>
      <w:r w:rsidRPr="007462C7">
        <w:rPr>
          <w:rFonts w:ascii="Times New Roman" w:eastAsia="Times New Roman" w:hAnsi="Times New Roman" w:cs="Times New Roman"/>
          <w:sz w:val="24"/>
          <w:szCs w:val="24"/>
        </w:rPr>
        <w:t>.</w:t>
      </w:r>
    </w:p>
    <w:p w14:paraId="15DFB0E3" w14:textId="77777777" w:rsidR="009160E0" w:rsidRPr="00052764" w:rsidRDefault="009160E0" w:rsidP="009160E0">
      <w:pPr>
        <w:tabs>
          <w:tab w:val="clear" w:pos="9360"/>
        </w:tabs>
        <w:spacing w:line="240" w:lineRule="auto"/>
        <w:ind w:left="0"/>
        <w:rPr>
          <w:rFonts w:ascii="Times New Roman" w:eastAsia="Times New Roman" w:hAnsi="Times New Roman" w:cs="Times New Roman"/>
          <w:sz w:val="24"/>
          <w:szCs w:val="24"/>
        </w:rPr>
      </w:pPr>
    </w:p>
    <w:p w14:paraId="4191A10C" w14:textId="4712F97D" w:rsidR="009160E0" w:rsidRPr="00052764" w:rsidRDefault="009160E0" w:rsidP="009160E0">
      <w:pPr>
        <w:tabs>
          <w:tab w:val="clear" w:pos="9360"/>
        </w:tabs>
        <w:spacing w:line="240" w:lineRule="auto"/>
        <w:ind w:left="0"/>
        <w:rPr>
          <w:rFonts w:ascii="Times New Roman" w:eastAsia="Times New Roman" w:hAnsi="Times New Roman" w:cs="Times New Roman"/>
          <w:sz w:val="24"/>
          <w:szCs w:val="24"/>
        </w:rPr>
      </w:pPr>
      <w:r w:rsidRPr="00052764">
        <w:rPr>
          <w:rFonts w:ascii="Times New Roman" w:eastAsia="Times New Roman" w:hAnsi="Times New Roman" w:cs="Times New Roman"/>
          <w:b/>
          <w:sz w:val="24"/>
          <w:szCs w:val="24"/>
        </w:rPr>
        <w:t>Contracted data collection</w:t>
      </w:r>
      <w:r w:rsidRPr="00052764">
        <w:rPr>
          <w:rFonts w:ascii="Times New Roman" w:eastAsia="Times New Roman" w:hAnsi="Times New Roman" w:cs="Times New Roman"/>
          <w:sz w:val="24"/>
          <w:szCs w:val="24"/>
        </w:rPr>
        <w:t xml:space="preserve"> –The project design and data collection is being conducted under a </w:t>
      </w:r>
      <w:r w:rsidR="007462C7">
        <w:rPr>
          <w:rFonts w:ascii="Times New Roman" w:eastAsia="Times New Roman" w:hAnsi="Times New Roman" w:cs="Times New Roman"/>
          <w:sz w:val="24"/>
          <w:szCs w:val="24"/>
        </w:rPr>
        <w:t>sub-</w:t>
      </w:r>
      <w:r w:rsidRPr="00052764">
        <w:rPr>
          <w:rFonts w:ascii="Times New Roman" w:eastAsia="Times New Roman" w:hAnsi="Times New Roman" w:cs="Times New Roman"/>
          <w:sz w:val="24"/>
          <w:szCs w:val="24"/>
        </w:rPr>
        <w:t xml:space="preserve">contract with CDC’s co-operative agreement data collection sub-contractor, George Washington University (GWU). </w:t>
      </w:r>
      <w:r w:rsidR="000337E6">
        <w:rPr>
          <w:rFonts w:ascii="Times New Roman" w:eastAsia="Times New Roman" w:hAnsi="Times New Roman" w:cs="Times New Roman"/>
          <w:sz w:val="24"/>
          <w:szCs w:val="24"/>
        </w:rPr>
        <w:t xml:space="preserve"> GWU is a sub-contractor to ChangeLab, CDC’s co-operative agreement grantee.  </w:t>
      </w:r>
      <w:r w:rsidRPr="00052764">
        <w:rPr>
          <w:rFonts w:ascii="Times New Roman" w:eastAsia="Times New Roman" w:hAnsi="Times New Roman" w:cs="Times New Roman"/>
          <w:sz w:val="24"/>
          <w:szCs w:val="24"/>
        </w:rPr>
        <w:t xml:space="preserve">Approximately </w:t>
      </w:r>
      <w:r w:rsidRPr="00AB4FAF">
        <w:rPr>
          <w:rFonts w:ascii="Times New Roman" w:eastAsia="Times New Roman" w:hAnsi="Times New Roman" w:cs="Times New Roman"/>
          <w:sz w:val="24"/>
          <w:szCs w:val="24"/>
        </w:rPr>
        <w:t>$</w:t>
      </w:r>
      <w:r w:rsidR="00EC6B73">
        <w:rPr>
          <w:rFonts w:ascii="Times New Roman" w:eastAsia="Times New Roman" w:hAnsi="Times New Roman" w:cs="Times New Roman"/>
          <w:sz w:val="24"/>
          <w:szCs w:val="24"/>
        </w:rPr>
        <w:t>66</w:t>
      </w:r>
      <w:r w:rsidR="00E92521" w:rsidRPr="00AB4FAF">
        <w:rPr>
          <w:rFonts w:ascii="Times New Roman" w:eastAsia="Times New Roman" w:hAnsi="Times New Roman" w:cs="Times New Roman"/>
          <w:sz w:val="24"/>
          <w:szCs w:val="24"/>
        </w:rPr>
        <w:t>,000</w:t>
      </w:r>
      <w:r w:rsidR="00E92521">
        <w:rPr>
          <w:rFonts w:ascii="Times New Roman" w:eastAsia="Times New Roman" w:hAnsi="Times New Roman" w:cs="Times New Roman"/>
          <w:sz w:val="24"/>
          <w:szCs w:val="24"/>
        </w:rPr>
        <w:t xml:space="preserve"> per year</w:t>
      </w:r>
      <w:r w:rsidRPr="00052764">
        <w:rPr>
          <w:rFonts w:ascii="Times New Roman" w:eastAsia="Times New Roman" w:hAnsi="Times New Roman" w:cs="Times New Roman"/>
          <w:sz w:val="24"/>
          <w:szCs w:val="24"/>
        </w:rPr>
        <w:t xml:space="preserve"> of GWU’s current </w:t>
      </w:r>
      <w:r w:rsidR="00904E70">
        <w:rPr>
          <w:rFonts w:ascii="Times New Roman" w:eastAsia="Times New Roman" w:hAnsi="Times New Roman" w:cs="Times New Roman"/>
          <w:sz w:val="24"/>
          <w:szCs w:val="24"/>
        </w:rPr>
        <w:t>sub-</w:t>
      </w:r>
      <w:r w:rsidRPr="00052764">
        <w:rPr>
          <w:rFonts w:ascii="Times New Roman" w:eastAsia="Times New Roman" w:hAnsi="Times New Roman" w:cs="Times New Roman"/>
          <w:sz w:val="24"/>
          <w:szCs w:val="24"/>
        </w:rPr>
        <w:t>contract</w:t>
      </w:r>
      <w:r w:rsidR="005E4B4C">
        <w:rPr>
          <w:rFonts w:ascii="Times New Roman" w:eastAsia="Times New Roman" w:hAnsi="Times New Roman" w:cs="Times New Roman"/>
          <w:sz w:val="24"/>
          <w:szCs w:val="24"/>
        </w:rPr>
        <w:t xml:space="preserve"> </w:t>
      </w:r>
      <w:r w:rsidR="008373EA">
        <w:rPr>
          <w:rFonts w:ascii="Times New Roman" w:eastAsia="Times New Roman" w:hAnsi="Times New Roman" w:cs="Times New Roman"/>
          <w:sz w:val="24"/>
          <w:szCs w:val="24"/>
        </w:rPr>
        <w:t>with</w:t>
      </w:r>
      <w:r w:rsidRPr="00052764">
        <w:rPr>
          <w:rFonts w:ascii="Times New Roman" w:eastAsia="Times New Roman" w:hAnsi="Times New Roman" w:cs="Times New Roman"/>
          <w:sz w:val="24"/>
          <w:szCs w:val="24"/>
        </w:rPr>
        <w:t xml:space="preserve"> CDC is dedicated for this information request to plan, implement, and analyze the data collection.  </w:t>
      </w:r>
    </w:p>
    <w:p w14:paraId="0ADC2620" w14:textId="77777777" w:rsidR="009160E0" w:rsidRPr="00201CCF" w:rsidRDefault="009160E0" w:rsidP="009160E0">
      <w:pPr>
        <w:tabs>
          <w:tab w:val="clear" w:pos="9360"/>
        </w:tabs>
        <w:spacing w:line="240" w:lineRule="auto"/>
        <w:ind w:left="0"/>
        <w:rPr>
          <w:rFonts w:ascii="Times New Roman" w:eastAsia="Times New Roman" w:hAnsi="Times New Roman" w:cs="Times New Roman"/>
          <w:color w:val="7030A0"/>
          <w:sz w:val="24"/>
          <w:szCs w:val="24"/>
        </w:rPr>
      </w:pPr>
    </w:p>
    <w:p w14:paraId="3AAF4828" w14:textId="77777777" w:rsidR="009160E0" w:rsidRPr="00201CCF" w:rsidRDefault="009160E0" w:rsidP="009160E0">
      <w:pPr>
        <w:tabs>
          <w:tab w:val="clear" w:pos="9360"/>
        </w:tabs>
        <w:spacing w:line="240" w:lineRule="auto"/>
        <w:ind w:left="0"/>
        <w:rPr>
          <w:rFonts w:ascii="Times New Roman" w:eastAsia="Times New Roman" w:hAnsi="Times New Roman" w:cs="Times New Roman"/>
          <w:color w:val="7030A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980"/>
      </w:tblGrid>
      <w:tr w:rsidR="009160E0" w:rsidRPr="00201CCF" w14:paraId="6FA2FB80" w14:textId="77777777" w:rsidTr="007462C7">
        <w:tc>
          <w:tcPr>
            <w:tcW w:w="9350" w:type="dxa"/>
            <w:gridSpan w:val="2"/>
            <w:tcBorders>
              <w:top w:val="single" w:sz="4" w:space="0" w:color="auto"/>
              <w:left w:val="single" w:sz="4" w:space="0" w:color="auto"/>
              <w:bottom w:val="single" w:sz="4" w:space="0" w:color="auto"/>
              <w:right w:val="single" w:sz="4" w:space="0" w:color="auto"/>
            </w:tcBorders>
            <w:hideMark/>
          </w:tcPr>
          <w:p w14:paraId="716FF8A6" w14:textId="5889D609" w:rsidR="009160E0" w:rsidRPr="007462C7" w:rsidRDefault="009160E0" w:rsidP="00283139">
            <w:pPr>
              <w:tabs>
                <w:tab w:val="clear" w:pos="9360"/>
              </w:tabs>
              <w:spacing w:line="240" w:lineRule="auto"/>
              <w:ind w:left="0"/>
              <w:rPr>
                <w:rFonts w:ascii="Times New Roman" w:eastAsia="Times New Roman" w:hAnsi="Times New Roman" w:cs="Times New Roman"/>
                <w:b/>
                <w:sz w:val="24"/>
                <w:szCs w:val="24"/>
              </w:rPr>
            </w:pPr>
            <w:r w:rsidRPr="007462C7">
              <w:rPr>
                <w:rFonts w:ascii="Times New Roman" w:eastAsia="Times New Roman" w:hAnsi="Times New Roman" w:cs="Times New Roman"/>
                <w:b/>
                <w:sz w:val="24"/>
                <w:szCs w:val="24"/>
              </w:rPr>
              <w:t xml:space="preserve">Table </w:t>
            </w:r>
            <w:r w:rsidR="00283139">
              <w:rPr>
                <w:rFonts w:ascii="Times New Roman" w:eastAsia="Times New Roman" w:hAnsi="Times New Roman" w:cs="Times New Roman"/>
                <w:b/>
                <w:sz w:val="24"/>
                <w:szCs w:val="24"/>
              </w:rPr>
              <w:t>A</w:t>
            </w:r>
            <w:r w:rsidRPr="007462C7">
              <w:rPr>
                <w:rFonts w:ascii="Times New Roman" w:eastAsia="Times New Roman" w:hAnsi="Times New Roman" w:cs="Times New Roman"/>
                <w:b/>
                <w:sz w:val="24"/>
                <w:szCs w:val="24"/>
              </w:rPr>
              <w:t>14-</w:t>
            </w:r>
            <w:r w:rsidR="00136E39">
              <w:rPr>
                <w:rFonts w:ascii="Times New Roman" w:eastAsia="Times New Roman" w:hAnsi="Times New Roman" w:cs="Times New Roman"/>
                <w:b/>
                <w:sz w:val="24"/>
                <w:szCs w:val="24"/>
              </w:rPr>
              <w:t>a</w:t>
            </w:r>
            <w:r w:rsidRPr="007462C7">
              <w:rPr>
                <w:rFonts w:ascii="Times New Roman" w:eastAsia="Times New Roman" w:hAnsi="Times New Roman" w:cs="Times New Roman"/>
                <w:b/>
                <w:sz w:val="24"/>
                <w:szCs w:val="24"/>
              </w:rPr>
              <w:t>.  Estimated Annualized Cost to the Federal Government</w:t>
            </w:r>
          </w:p>
        </w:tc>
      </w:tr>
      <w:tr w:rsidR="009160E0" w:rsidRPr="00B502E4" w14:paraId="33DD7803" w14:textId="77777777" w:rsidTr="00795B4F">
        <w:tc>
          <w:tcPr>
            <w:tcW w:w="7488" w:type="dxa"/>
            <w:tcBorders>
              <w:top w:val="single" w:sz="4" w:space="0" w:color="auto"/>
              <w:left w:val="single" w:sz="4" w:space="0" w:color="auto"/>
              <w:bottom w:val="single" w:sz="4" w:space="0" w:color="auto"/>
              <w:right w:val="single" w:sz="4" w:space="0" w:color="auto"/>
            </w:tcBorders>
            <w:hideMark/>
          </w:tcPr>
          <w:p w14:paraId="5A975FCD" w14:textId="2DA6325F" w:rsidR="009160E0" w:rsidRPr="00B502E4" w:rsidRDefault="00B502E4" w:rsidP="00B502E4">
            <w:pPr>
              <w:tabs>
                <w:tab w:val="clear" w:pos="9360"/>
              </w:tabs>
              <w:spacing w:line="240" w:lineRule="auto"/>
              <w:ind w:left="0"/>
              <w:rPr>
                <w:rFonts w:ascii="Times New Roman" w:eastAsia="Times New Roman" w:hAnsi="Times New Roman" w:cs="Times New Roman"/>
                <w:b/>
                <w:sz w:val="24"/>
                <w:szCs w:val="24"/>
                <w:u w:val="single"/>
              </w:rPr>
            </w:pPr>
            <w:r w:rsidRPr="00B502E4">
              <w:rPr>
                <w:rFonts w:ascii="Times New Roman" w:eastAsia="Times New Roman" w:hAnsi="Times New Roman" w:cs="Times New Roman"/>
                <w:b/>
                <w:sz w:val="24"/>
                <w:szCs w:val="24"/>
                <w:u w:val="single"/>
              </w:rPr>
              <w:t>Activity/Personnel</w:t>
            </w:r>
            <w:r w:rsidR="009160E0" w:rsidRPr="00B502E4">
              <w:rPr>
                <w:rFonts w:ascii="Times New Roman" w:eastAsia="Times New Roman" w:hAnsi="Times New Roman" w:cs="Times New Roman"/>
                <w:b/>
                <w:sz w:val="24"/>
                <w:szCs w:val="24"/>
                <w:u w:val="single"/>
              </w:rPr>
              <w:t>:</w:t>
            </w:r>
          </w:p>
        </w:tc>
        <w:tc>
          <w:tcPr>
            <w:tcW w:w="1980" w:type="dxa"/>
            <w:tcBorders>
              <w:top w:val="single" w:sz="4" w:space="0" w:color="auto"/>
              <w:left w:val="single" w:sz="4" w:space="0" w:color="auto"/>
              <w:bottom w:val="single" w:sz="4" w:space="0" w:color="auto"/>
              <w:right w:val="single" w:sz="4" w:space="0" w:color="auto"/>
            </w:tcBorders>
          </w:tcPr>
          <w:p w14:paraId="7C431083" w14:textId="5BE733E9" w:rsidR="009160E0" w:rsidRPr="00B502E4" w:rsidRDefault="00B502E4" w:rsidP="00B502E4">
            <w:pPr>
              <w:tabs>
                <w:tab w:val="clear" w:pos="9360"/>
              </w:tabs>
              <w:spacing w:line="240" w:lineRule="auto"/>
              <w:ind w:left="0"/>
              <w:jc w:val="center"/>
              <w:rPr>
                <w:rFonts w:ascii="Times New Roman" w:eastAsia="Times New Roman" w:hAnsi="Times New Roman" w:cs="Times New Roman"/>
                <w:b/>
                <w:color w:val="7030A0"/>
                <w:sz w:val="24"/>
                <w:szCs w:val="24"/>
                <w:u w:val="single"/>
              </w:rPr>
            </w:pPr>
            <w:r w:rsidRPr="00850783">
              <w:rPr>
                <w:rFonts w:ascii="Times New Roman" w:eastAsia="Times New Roman" w:hAnsi="Times New Roman" w:cs="Times New Roman"/>
                <w:b/>
                <w:sz w:val="24"/>
                <w:szCs w:val="24"/>
                <w:u w:val="single"/>
              </w:rPr>
              <w:t>Cost</w:t>
            </w:r>
          </w:p>
        </w:tc>
      </w:tr>
      <w:tr w:rsidR="009160E0" w:rsidRPr="00201CCF" w14:paraId="1702E12E" w14:textId="77777777" w:rsidTr="00795B4F">
        <w:tc>
          <w:tcPr>
            <w:tcW w:w="7488" w:type="dxa"/>
            <w:tcBorders>
              <w:top w:val="single" w:sz="4" w:space="0" w:color="auto"/>
              <w:left w:val="single" w:sz="4" w:space="0" w:color="auto"/>
              <w:bottom w:val="single" w:sz="4" w:space="0" w:color="auto"/>
              <w:right w:val="single" w:sz="4" w:space="0" w:color="auto"/>
            </w:tcBorders>
            <w:hideMark/>
          </w:tcPr>
          <w:p w14:paraId="0722B4CE" w14:textId="597EF184" w:rsidR="0094498C" w:rsidRPr="0094498C" w:rsidRDefault="0094498C" w:rsidP="007462C7">
            <w:pPr>
              <w:tabs>
                <w:tab w:val="clear" w:pos="9360"/>
              </w:tabs>
              <w:spacing w:line="240" w:lineRule="auto"/>
              <w:ind w:left="0"/>
              <w:rPr>
                <w:rFonts w:ascii="Times New Roman" w:eastAsia="Times New Roman" w:hAnsi="Times New Roman" w:cs="Times New Roman"/>
                <w:b/>
                <w:sz w:val="24"/>
                <w:szCs w:val="24"/>
              </w:rPr>
            </w:pPr>
            <w:r w:rsidRPr="0094498C">
              <w:rPr>
                <w:rFonts w:ascii="Times New Roman" w:eastAsia="Times New Roman" w:hAnsi="Times New Roman" w:cs="Times New Roman"/>
                <w:b/>
                <w:sz w:val="24"/>
                <w:szCs w:val="24"/>
              </w:rPr>
              <w:t>CDC Personnel</w:t>
            </w:r>
          </w:p>
          <w:p w14:paraId="76043502" w14:textId="77777777" w:rsidR="0094498C" w:rsidRDefault="009160E0" w:rsidP="007462C7">
            <w:pPr>
              <w:tabs>
                <w:tab w:val="clear" w:pos="9360"/>
              </w:tabs>
              <w:spacing w:line="240" w:lineRule="auto"/>
              <w:ind w:left="0"/>
              <w:rPr>
                <w:rFonts w:ascii="Times New Roman" w:eastAsia="Times New Roman" w:hAnsi="Times New Roman" w:cs="Times New Roman"/>
                <w:sz w:val="24"/>
                <w:szCs w:val="24"/>
              </w:rPr>
            </w:pPr>
            <w:r w:rsidRPr="007462C7">
              <w:rPr>
                <w:rFonts w:ascii="Times New Roman" w:eastAsia="Times New Roman" w:hAnsi="Times New Roman" w:cs="Times New Roman"/>
                <w:sz w:val="24"/>
                <w:szCs w:val="24"/>
              </w:rPr>
              <w:t>5</w:t>
            </w:r>
            <w:r w:rsidR="007462C7" w:rsidRPr="007462C7">
              <w:rPr>
                <w:rFonts w:ascii="Times New Roman" w:eastAsia="Times New Roman" w:hAnsi="Times New Roman" w:cs="Times New Roman"/>
                <w:sz w:val="24"/>
                <w:szCs w:val="24"/>
              </w:rPr>
              <w:t>0</w:t>
            </w:r>
            <w:r w:rsidRPr="007462C7">
              <w:rPr>
                <w:rFonts w:ascii="Times New Roman" w:eastAsia="Times New Roman" w:hAnsi="Times New Roman" w:cs="Times New Roman"/>
                <w:sz w:val="24"/>
                <w:szCs w:val="24"/>
              </w:rPr>
              <w:t xml:space="preserve">% </w:t>
            </w:r>
            <w:r w:rsidR="007462C7" w:rsidRPr="007462C7">
              <w:rPr>
                <w:rFonts w:ascii="Times New Roman" w:eastAsia="Times New Roman" w:hAnsi="Times New Roman" w:cs="Times New Roman"/>
                <w:sz w:val="24"/>
                <w:szCs w:val="24"/>
              </w:rPr>
              <w:t>Behavioral Scientist’s</w:t>
            </w:r>
            <w:r w:rsidRPr="007462C7">
              <w:rPr>
                <w:rFonts w:ascii="Times New Roman" w:eastAsia="Times New Roman" w:hAnsi="Times New Roman" w:cs="Times New Roman"/>
                <w:sz w:val="24"/>
                <w:szCs w:val="24"/>
              </w:rPr>
              <w:t xml:space="preserve"> time </w:t>
            </w:r>
          </w:p>
          <w:p w14:paraId="5251DFD5" w14:textId="0E8CB282" w:rsidR="009160E0" w:rsidRPr="007462C7" w:rsidRDefault="0094498C" w:rsidP="00A858CE">
            <w:pPr>
              <w:tabs>
                <w:tab w:val="clear" w:pos="9360"/>
              </w:tabs>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160E0" w:rsidRPr="007462C7">
              <w:rPr>
                <w:rFonts w:ascii="Times New Roman" w:eastAsia="Times New Roman" w:hAnsi="Times New Roman" w:cs="Times New Roman"/>
                <w:sz w:val="24"/>
                <w:szCs w:val="24"/>
              </w:rPr>
              <w:t>roject planning, management,</w:t>
            </w:r>
            <w:r w:rsidR="00A858CE">
              <w:rPr>
                <w:rFonts w:ascii="Times New Roman" w:eastAsia="Times New Roman" w:hAnsi="Times New Roman" w:cs="Times New Roman"/>
                <w:sz w:val="24"/>
                <w:szCs w:val="24"/>
              </w:rPr>
              <w:t xml:space="preserve"> </w:t>
            </w:r>
            <w:r w:rsidR="009160E0" w:rsidRPr="007462C7">
              <w:rPr>
                <w:rFonts w:ascii="Times New Roman" w:eastAsia="Times New Roman" w:hAnsi="Times New Roman" w:cs="Times New Roman"/>
                <w:sz w:val="24"/>
                <w:szCs w:val="24"/>
              </w:rPr>
              <w:t xml:space="preserve">OMB review, </w:t>
            </w:r>
            <w:r>
              <w:rPr>
                <w:rFonts w:ascii="Times New Roman" w:eastAsia="Times New Roman" w:hAnsi="Times New Roman" w:cs="Times New Roman"/>
                <w:sz w:val="24"/>
                <w:szCs w:val="24"/>
              </w:rPr>
              <w:t xml:space="preserve">conducting </w:t>
            </w:r>
            <w:r w:rsidR="00C4030C">
              <w:rPr>
                <w:rFonts w:ascii="Times New Roman" w:eastAsia="Times New Roman" w:hAnsi="Times New Roman" w:cs="Times New Roman"/>
                <w:sz w:val="24"/>
                <w:szCs w:val="24"/>
              </w:rPr>
              <w:t>interviews</w:t>
            </w:r>
            <w:r>
              <w:rPr>
                <w:rFonts w:ascii="Times New Roman" w:eastAsia="Times New Roman" w:hAnsi="Times New Roman" w:cs="Times New Roman"/>
                <w:sz w:val="24"/>
                <w:szCs w:val="24"/>
              </w:rPr>
              <w:t xml:space="preserve">, collecting and </w:t>
            </w:r>
            <w:r w:rsidR="009160E0" w:rsidRPr="007462C7">
              <w:rPr>
                <w:rFonts w:ascii="Times New Roman" w:eastAsia="Times New Roman" w:hAnsi="Times New Roman" w:cs="Times New Roman"/>
                <w:sz w:val="24"/>
                <w:szCs w:val="24"/>
              </w:rPr>
              <w:t>analy</w:t>
            </w:r>
            <w:r>
              <w:rPr>
                <w:rFonts w:ascii="Times New Roman" w:eastAsia="Times New Roman" w:hAnsi="Times New Roman" w:cs="Times New Roman"/>
                <w:sz w:val="24"/>
                <w:szCs w:val="24"/>
              </w:rPr>
              <w:t>zing</w:t>
            </w:r>
            <w:r w:rsidR="009160E0" w:rsidRPr="007462C7">
              <w:rPr>
                <w:rFonts w:ascii="Times New Roman" w:eastAsia="Times New Roman" w:hAnsi="Times New Roman" w:cs="Times New Roman"/>
                <w:sz w:val="24"/>
                <w:szCs w:val="24"/>
              </w:rPr>
              <w:t xml:space="preserve"> findings, report writing</w:t>
            </w:r>
            <w:r w:rsidR="00A858CE">
              <w:rPr>
                <w:rFonts w:ascii="Times New Roman" w:eastAsia="Times New Roman" w:hAnsi="Times New Roman" w:cs="Times New Roman"/>
                <w:sz w:val="24"/>
                <w:szCs w:val="24"/>
              </w:rPr>
              <w:t>,</w:t>
            </w:r>
            <w:r w:rsidR="00A858CE" w:rsidRPr="007462C7">
              <w:rPr>
                <w:rFonts w:ascii="Times New Roman" w:eastAsia="Times New Roman" w:hAnsi="Times New Roman" w:cs="Times New Roman"/>
                <w:sz w:val="24"/>
                <w:szCs w:val="24"/>
              </w:rPr>
              <w:t xml:space="preserve"> and</w:t>
            </w:r>
            <w:r w:rsidR="00A858CE">
              <w:rPr>
                <w:rFonts w:ascii="Times New Roman" w:eastAsia="Times New Roman" w:hAnsi="Times New Roman" w:cs="Times New Roman"/>
                <w:sz w:val="24"/>
                <w:szCs w:val="24"/>
              </w:rPr>
              <w:t xml:space="preserve"> approving contract deliverables</w:t>
            </w:r>
          </w:p>
        </w:tc>
        <w:tc>
          <w:tcPr>
            <w:tcW w:w="1980" w:type="dxa"/>
            <w:tcBorders>
              <w:top w:val="single" w:sz="4" w:space="0" w:color="auto"/>
              <w:left w:val="single" w:sz="4" w:space="0" w:color="auto"/>
              <w:bottom w:val="single" w:sz="4" w:space="0" w:color="auto"/>
              <w:right w:val="single" w:sz="4" w:space="0" w:color="auto"/>
            </w:tcBorders>
            <w:hideMark/>
          </w:tcPr>
          <w:p w14:paraId="2A04D8EE" w14:textId="2D211661" w:rsidR="009160E0" w:rsidRPr="00201CCF" w:rsidRDefault="009160E0" w:rsidP="00795B4F">
            <w:pPr>
              <w:tabs>
                <w:tab w:val="clear" w:pos="9360"/>
              </w:tabs>
              <w:spacing w:line="240" w:lineRule="auto"/>
              <w:ind w:left="0"/>
              <w:jc w:val="right"/>
              <w:rPr>
                <w:rFonts w:ascii="Times New Roman" w:eastAsia="Times New Roman" w:hAnsi="Times New Roman" w:cs="Times New Roman"/>
                <w:color w:val="7030A0"/>
                <w:sz w:val="24"/>
                <w:szCs w:val="24"/>
              </w:rPr>
            </w:pPr>
            <w:r w:rsidRPr="007462C7">
              <w:rPr>
                <w:rFonts w:ascii="Times New Roman" w:eastAsia="Times New Roman" w:hAnsi="Times New Roman" w:cs="Times New Roman"/>
                <w:color w:val="7030A0"/>
                <w:sz w:val="24"/>
                <w:szCs w:val="24"/>
              </w:rPr>
              <w:t>$</w:t>
            </w:r>
            <w:r w:rsidR="007462C7" w:rsidRPr="007462C7">
              <w:rPr>
                <w:rFonts w:ascii="Times New Roman" w:eastAsia="Times New Roman" w:hAnsi="Times New Roman" w:cs="Times New Roman"/>
                <w:sz w:val="24"/>
                <w:szCs w:val="24"/>
              </w:rPr>
              <w:t>45,011.50</w:t>
            </w:r>
          </w:p>
        </w:tc>
      </w:tr>
      <w:tr w:rsidR="009160E0" w:rsidRPr="00201CCF" w14:paraId="3CC583DA" w14:textId="77777777" w:rsidTr="00795B4F">
        <w:tc>
          <w:tcPr>
            <w:tcW w:w="7488" w:type="dxa"/>
            <w:tcBorders>
              <w:top w:val="single" w:sz="4" w:space="0" w:color="auto"/>
              <w:left w:val="single" w:sz="4" w:space="0" w:color="auto"/>
              <w:bottom w:val="single" w:sz="4" w:space="0" w:color="auto"/>
              <w:right w:val="single" w:sz="4" w:space="0" w:color="auto"/>
            </w:tcBorders>
            <w:hideMark/>
          </w:tcPr>
          <w:p w14:paraId="5AE3B767" w14:textId="77777777" w:rsidR="009160E0" w:rsidRDefault="009160E0" w:rsidP="00795B4F">
            <w:pPr>
              <w:tabs>
                <w:tab w:val="clear" w:pos="9360"/>
              </w:tabs>
              <w:spacing w:line="240" w:lineRule="auto"/>
              <w:ind w:left="0"/>
              <w:rPr>
                <w:rFonts w:ascii="Times New Roman" w:eastAsia="Times New Roman" w:hAnsi="Times New Roman" w:cs="Times New Roman"/>
                <w:sz w:val="24"/>
                <w:szCs w:val="24"/>
              </w:rPr>
            </w:pPr>
            <w:r w:rsidRPr="0094498C">
              <w:rPr>
                <w:rFonts w:ascii="Times New Roman" w:eastAsia="Times New Roman" w:hAnsi="Times New Roman" w:cs="Times New Roman"/>
                <w:b/>
                <w:sz w:val="24"/>
                <w:szCs w:val="24"/>
              </w:rPr>
              <w:t>Contractor</w:t>
            </w:r>
          </w:p>
          <w:p w14:paraId="25F6B8FD" w14:textId="5FB43010" w:rsidR="0094498C" w:rsidRPr="007462C7" w:rsidRDefault="0094498C" w:rsidP="00795B4F">
            <w:pPr>
              <w:tabs>
                <w:tab w:val="clear" w:pos="9360"/>
              </w:tabs>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462C7">
              <w:rPr>
                <w:rFonts w:ascii="Times New Roman" w:eastAsia="Times New Roman" w:hAnsi="Times New Roman" w:cs="Times New Roman"/>
                <w:sz w:val="24"/>
                <w:szCs w:val="24"/>
              </w:rPr>
              <w:t xml:space="preserve">roject planning, management, OMB review, </w:t>
            </w:r>
            <w:r>
              <w:rPr>
                <w:rFonts w:ascii="Times New Roman" w:eastAsia="Times New Roman" w:hAnsi="Times New Roman" w:cs="Times New Roman"/>
                <w:sz w:val="24"/>
                <w:szCs w:val="24"/>
              </w:rPr>
              <w:t xml:space="preserve">scheduling and conducting </w:t>
            </w:r>
            <w:r w:rsidR="00C4030C">
              <w:rPr>
                <w:rFonts w:ascii="Times New Roman" w:eastAsia="Times New Roman" w:hAnsi="Times New Roman" w:cs="Times New Roman"/>
                <w:sz w:val="24"/>
                <w:szCs w:val="24"/>
              </w:rPr>
              <w:t>interview</w:t>
            </w:r>
            <w:r>
              <w:rPr>
                <w:rFonts w:ascii="Times New Roman" w:eastAsia="Times New Roman" w:hAnsi="Times New Roman" w:cs="Times New Roman"/>
                <w:sz w:val="24"/>
                <w:szCs w:val="24"/>
              </w:rPr>
              <w:t xml:space="preserve">s, collecting and </w:t>
            </w:r>
            <w:r w:rsidRPr="007462C7">
              <w:rPr>
                <w:rFonts w:ascii="Times New Roman" w:eastAsia="Times New Roman" w:hAnsi="Times New Roman" w:cs="Times New Roman"/>
                <w:sz w:val="24"/>
                <w:szCs w:val="24"/>
              </w:rPr>
              <w:t>analy</w:t>
            </w:r>
            <w:r>
              <w:rPr>
                <w:rFonts w:ascii="Times New Roman" w:eastAsia="Times New Roman" w:hAnsi="Times New Roman" w:cs="Times New Roman"/>
                <w:sz w:val="24"/>
                <w:szCs w:val="24"/>
              </w:rPr>
              <w:t>zing</w:t>
            </w:r>
            <w:r w:rsidRPr="007462C7">
              <w:rPr>
                <w:rFonts w:ascii="Times New Roman" w:eastAsia="Times New Roman" w:hAnsi="Times New Roman" w:cs="Times New Roman"/>
                <w:sz w:val="24"/>
                <w:szCs w:val="24"/>
              </w:rPr>
              <w:t xml:space="preserve"> findings, and report writing</w:t>
            </w:r>
          </w:p>
        </w:tc>
        <w:tc>
          <w:tcPr>
            <w:tcW w:w="1980" w:type="dxa"/>
            <w:tcBorders>
              <w:top w:val="single" w:sz="4" w:space="0" w:color="auto"/>
              <w:left w:val="single" w:sz="4" w:space="0" w:color="auto"/>
              <w:bottom w:val="single" w:sz="4" w:space="0" w:color="auto"/>
              <w:right w:val="single" w:sz="4" w:space="0" w:color="auto"/>
            </w:tcBorders>
            <w:hideMark/>
          </w:tcPr>
          <w:p w14:paraId="0523782A" w14:textId="56BD52D3" w:rsidR="009160E0" w:rsidRPr="00AB4FAF" w:rsidRDefault="009160E0" w:rsidP="00EC6B73">
            <w:pPr>
              <w:tabs>
                <w:tab w:val="clear" w:pos="9360"/>
              </w:tabs>
              <w:spacing w:line="240" w:lineRule="auto"/>
              <w:ind w:left="0"/>
              <w:jc w:val="right"/>
              <w:rPr>
                <w:rFonts w:ascii="Times New Roman" w:eastAsia="Times New Roman" w:hAnsi="Times New Roman" w:cs="Times New Roman"/>
                <w:sz w:val="24"/>
                <w:szCs w:val="24"/>
              </w:rPr>
            </w:pPr>
            <w:r w:rsidRPr="00AB4FAF">
              <w:rPr>
                <w:rFonts w:ascii="Times New Roman" w:eastAsia="Times New Roman" w:hAnsi="Times New Roman" w:cs="Times New Roman"/>
                <w:sz w:val="24"/>
                <w:szCs w:val="24"/>
              </w:rPr>
              <w:t>$</w:t>
            </w:r>
            <w:r w:rsidR="00EC6B73">
              <w:rPr>
                <w:rFonts w:ascii="Times New Roman" w:eastAsia="Times New Roman" w:hAnsi="Times New Roman" w:cs="Times New Roman"/>
                <w:sz w:val="24"/>
                <w:szCs w:val="24"/>
              </w:rPr>
              <w:t>66</w:t>
            </w:r>
            <w:r w:rsidRPr="00AB4FAF">
              <w:rPr>
                <w:rFonts w:ascii="Times New Roman" w:eastAsia="Times New Roman" w:hAnsi="Times New Roman" w:cs="Times New Roman"/>
                <w:sz w:val="24"/>
                <w:szCs w:val="24"/>
              </w:rPr>
              <w:t xml:space="preserve">,000.00 </w:t>
            </w:r>
          </w:p>
        </w:tc>
      </w:tr>
      <w:tr w:rsidR="00CF00B2" w:rsidRPr="00201CCF" w14:paraId="1697AD91" w14:textId="77777777" w:rsidTr="00795B4F">
        <w:tc>
          <w:tcPr>
            <w:tcW w:w="7488" w:type="dxa"/>
            <w:tcBorders>
              <w:top w:val="single" w:sz="4" w:space="0" w:color="auto"/>
              <w:left w:val="single" w:sz="4" w:space="0" w:color="auto"/>
              <w:bottom w:val="single" w:sz="4" w:space="0" w:color="auto"/>
              <w:right w:val="single" w:sz="4" w:space="0" w:color="auto"/>
            </w:tcBorders>
          </w:tcPr>
          <w:p w14:paraId="24109944" w14:textId="77777777" w:rsidR="00CF00B2" w:rsidRPr="0094498C" w:rsidRDefault="00CF00B2" w:rsidP="00795B4F">
            <w:pPr>
              <w:tabs>
                <w:tab w:val="clear" w:pos="9360"/>
              </w:tabs>
              <w:spacing w:line="240" w:lineRule="auto"/>
              <w:ind w:left="0"/>
              <w:rPr>
                <w:rFonts w:ascii="Times New Roman" w:eastAsia="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BD49CFF" w14:textId="77777777" w:rsidR="00CF00B2" w:rsidRPr="00AB4FAF" w:rsidRDefault="00CF00B2" w:rsidP="00795B4F">
            <w:pPr>
              <w:tabs>
                <w:tab w:val="clear" w:pos="9360"/>
              </w:tabs>
              <w:spacing w:line="240" w:lineRule="auto"/>
              <w:ind w:left="0"/>
              <w:jc w:val="right"/>
              <w:rPr>
                <w:rFonts w:ascii="Times New Roman" w:eastAsia="Times New Roman" w:hAnsi="Times New Roman" w:cs="Times New Roman"/>
                <w:sz w:val="24"/>
                <w:szCs w:val="24"/>
              </w:rPr>
            </w:pPr>
          </w:p>
        </w:tc>
      </w:tr>
      <w:tr w:rsidR="009160E0" w:rsidRPr="00201CCF" w14:paraId="31A11A2D" w14:textId="77777777" w:rsidTr="007462C7">
        <w:tc>
          <w:tcPr>
            <w:tcW w:w="7382" w:type="dxa"/>
            <w:tcBorders>
              <w:top w:val="single" w:sz="4" w:space="0" w:color="auto"/>
              <w:left w:val="single" w:sz="4" w:space="0" w:color="auto"/>
              <w:bottom w:val="single" w:sz="4" w:space="0" w:color="auto"/>
              <w:right w:val="single" w:sz="4" w:space="0" w:color="auto"/>
            </w:tcBorders>
            <w:hideMark/>
          </w:tcPr>
          <w:p w14:paraId="00601C90" w14:textId="77777777" w:rsidR="009160E0" w:rsidRPr="00AD7ADB" w:rsidRDefault="009160E0" w:rsidP="00795B4F">
            <w:pPr>
              <w:tabs>
                <w:tab w:val="clear" w:pos="9360"/>
              </w:tabs>
              <w:spacing w:line="240" w:lineRule="auto"/>
              <w:ind w:left="0"/>
              <w:jc w:val="right"/>
              <w:rPr>
                <w:rFonts w:ascii="Times New Roman" w:eastAsia="Times New Roman" w:hAnsi="Times New Roman" w:cs="Times New Roman"/>
                <w:b/>
                <w:sz w:val="24"/>
                <w:szCs w:val="24"/>
              </w:rPr>
            </w:pPr>
            <w:r w:rsidRPr="00AD7ADB">
              <w:rPr>
                <w:rFonts w:ascii="Times New Roman" w:eastAsia="Times New Roman" w:hAnsi="Times New Roman" w:cs="Times New Roman"/>
                <w:b/>
                <w:sz w:val="24"/>
                <w:szCs w:val="24"/>
              </w:rPr>
              <w:t>Total estimated cost</w:t>
            </w:r>
          </w:p>
        </w:tc>
        <w:tc>
          <w:tcPr>
            <w:tcW w:w="1968" w:type="dxa"/>
            <w:tcBorders>
              <w:top w:val="single" w:sz="4" w:space="0" w:color="auto"/>
              <w:left w:val="single" w:sz="4" w:space="0" w:color="auto"/>
              <w:bottom w:val="single" w:sz="4" w:space="0" w:color="auto"/>
              <w:right w:val="single" w:sz="4" w:space="0" w:color="auto"/>
            </w:tcBorders>
            <w:hideMark/>
          </w:tcPr>
          <w:p w14:paraId="0234760A" w14:textId="1CA0353B" w:rsidR="009160E0" w:rsidRPr="00AB4FAF" w:rsidRDefault="009160E0" w:rsidP="00B15078">
            <w:pPr>
              <w:tabs>
                <w:tab w:val="clear" w:pos="9360"/>
              </w:tabs>
              <w:spacing w:line="240" w:lineRule="auto"/>
              <w:ind w:left="0"/>
              <w:jc w:val="right"/>
              <w:rPr>
                <w:rFonts w:ascii="Times New Roman" w:eastAsia="Times New Roman" w:hAnsi="Times New Roman" w:cs="Times New Roman"/>
                <w:sz w:val="24"/>
                <w:szCs w:val="24"/>
              </w:rPr>
            </w:pPr>
            <w:r w:rsidRPr="00AB4FAF">
              <w:rPr>
                <w:rFonts w:ascii="Times New Roman" w:eastAsia="Times New Roman" w:hAnsi="Times New Roman" w:cs="Times New Roman"/>
                <w:sz w:val="24"/>
                <w:szCs w:val="24"/>
              </w:rPr>
              <w:t>$</w:t>
            </w:r>
            <w:r w:rsidR="00B15078">
              <w:rPr>
                <w:rFonts w:ascii="Times New Roman" w:eastAsia="Times New Roman" w:hAnsi="Times New Roman" w:cs="Times New Roman"/>
                <w:sz w:val="24"/>
                <w:szCs w:val="24"/>
              </w:rPr>
              <w:t>111</w:t>
            </w:r>
            <w:r w:rsidRPr="00AB4FAF">
              <w:rPr>
                <w:rFonts w:ascii="Times New Roman" w:eastAsia="Times New Roman" w:hAnsi="Times New Roman" w:cs="Times New Roman"/>
                <w:sz w:val="24"/>
                <w:szCs w:val="24"/>
              </w:rPr>
              <w:t>,</w:t>
            </w:r>
            <w:r w:rsidR="00CF00B2" w:rsidRPr="00AB4FAF">
              <w:rPr>
                <w:rFonts w:ascii="Times New Roman" w:eastAsia="Times New Roman" w:hAnsi="Times New Roman" w:cs="Times New Roman"/>
                <w:sz w:val="24"/>
                <w:szCs w:val="24"/>
              </w:rPr>
              <w:t>011</w:t>
            </w:r>
            <w:r w:rsidRPr="00AB4FAF">
              <w:rPr>
                <w:rFonts w:ascii="Times New Roman" w:eastAsia="Times New Roman" w:hAnsi="Times New Roman" w:cs="Times New Roman"/>
                <w:sz w:val="24"/>
                <w:szCs w:val="24"/>
              </w:rPr>
              <w:t>.</w:t>
            </w:r>
            <w:r w:rsidR="00CF00B2" w:rsidRPr="00AB4FAF">
              <w:rPr>
                <w:rFonts w:ascii="Times New Roman" w:eastAsia="Times New Roman" w:hAnsi="Times New Roman" w:cs="Times New Roman"/>
                <w:sz w:val="24"/>
                <w:szCs w:val="24"/>
              </w:rPr>
              <w:t>5</w:t>
            </w:r>
            <w:r w:rsidRPr="00AB4FAF">
              <w:rPr>
                <w:rFonts w:ascii="Times New Roman" w:eastAsia="Times New Roman" w:hAnsi="Times New Roman" w:cs="Times New Roman"/>
                <w:sz w:val="24"/>
                <w:szCs w:val="24"/>
              </w:rPr>
              <w:t xml:space="preserve">0 </w:t>
            </w:r>
          </w:p>
        </w:tc>
      </w:tr>
    </w:tbl>
    <w:p w14:paraId="5705940F" w14:textId="77777777" w:rsidR="00692DEB" w:rsidRDefault="00692DEB" w:rsidP="00692DEB">
      <w:pPr>
        <w:ind w:left="0"/>
      </w:pPr>
    </w:p>
    <w:p w14:paraId="6B841002" w14:textId="77777777" w:rsidR="00B34ABC" w:rsidRDefault="00B34ABC" w:rsidP="00441CC3">
      <w:pPr>
        <w:ind w:left="0"/>
      </w:pPr>
    </w:p>
    <w:p w14:paraId="24FC7845" w14:textId="1258A1E3" w:rsidR="00B12F51" w:rsidRPr="003C47EF" w:rsidRDefault="0073477F" w:rsidP="0073477F">
      <w:pPr>
        <w:pStyle w:val="Heading4"/>
        <w:numPr>
          <w:ilvl w:val="0"/>
          <w:numId w:val="0"/>
        </w:numPr>
        <w:ind w:left="-990"/>
      </w:pPr>
      <w:r>
        <w:t xml:space="preserve">              </w:t>
      </w:r>
      <w:bookmarkStart w:id="20" w:name="_Toc492543260"/>
      <w:r>
        <w:t xml:space="preserve">A15. </w:t>
      </w:r>
      <w:r w:rsidR="00D75750" w:rsidRPr="003C47EF">
        <w:t>Explanation for Program Changes or Adjustments</w:t>
      </w:r>
      <w:bookmarkEnd w:id="20"/>
    </w:p>
    <w:p w14:paraId="049EB49B" w14:textId="77777777" w:rsidR="00F52BCC" w:rsidRPr="003C47EF" w:rsidRDefault="003C7C5D" w:rsidP="00C017EF">
      <w:pPr>
        <w:ind w:left="360"/>
      </w:pPr>
      <w:r w:rsidRPr="003C47EF">
        <w:t xml:space="preserve">This is a new </w:t>
      </w:r>
      <w:r w:rsidR="00157413" w:rsidRPr="003C47EF">
        <w:t>information collection</w:t>
      </w:r>
      <w:r w:rsidRPr="003C47EF">
        <w:t>.</w:t>
      </w:r>
    </w:p>
    <w:p w14:paraId="57834100" w14:textId="77777777" w:rsidR="00F52BCC" w:rsidRDefault="00F52BCC" w:rsidP="005D6F14"/>
    <w:p w14:paraId="6A84C042" w14:textId="77777777" w:rsidR="00B34ABC" w:rsidRPr="003C47EF" w:rsidRDefault="00B34ABC" w:rsidP="005D6F14"/>
    <w:p w14:paraId="61617AA9" w14:textId="5E48846C" w:rsidR="00B12F51" w:rsidRDefault="0073477F" w:rsidP="0073477F">
      <w:pPr>
        <w:pStyle w:val="Heading4"/>
        <w:numPr>
          <w:ilvl w:val="0"/>
          <w:numId w:val="0"/>
        </w:numPr>
        <w:ind w:left="-990"/>
      </w:pPr>
      <w:r>
        <w:t xml:space="preserve">              </w:t>
      </w:r>
      <w:bookmarkStart w:id="21" w:name="_Toc492543261"/>
      <w:r>
        <w:t xml:space="preserve">A16. </w:t>
      </w:r>
      <w:r w:rsidR="00616090" w:rsidRPr="003C47EF">
        <w:t>Plan</w:t>
      </w:r>
      <w:r w:rsidR="00D75750" w:rsidRPr="003C47EF">
        <w:t>s for Tabulation and Publication and Project Time Schedule</w:t>
      </w:r>
      <w:bookmarkEnd w:id="21"/>
    </w:p>
    <w:p w14:paraId="59D5A72D" w14:textId="5BC71947" w:rsidR="00E63C4A" w:rsidRDefault="00E63C4A" w:rsidP="00E63C4A">
      <w:pPr>
        <w:ind w:left="0"/>
      </w:pPr>
      <w:r w:rsidRPr="00E63C4A">
        <w:t xml:space="preserve">CDC will develop a variety of reports and publications to ensure dissemination of the case study findings to the sites and other key stakeholders.  </w:t>
      </w:r>
      <w:r w:rsidRPr="006F3418">
        <w:t xml:space="preserve">These reports include case study reports intended for practitioners hoping to replicate these efforts.  CDC will also oversee the development of several manuscripts over the course of the evaluation.  The topics to be addressed and publications to be targeted will be developed once case study findings are available to ensure that they focus on the issues most salient to the sites and program stakeholders at that time.  </w:t>
      </w:r>
    </w:p>
    <w:p w14:paraId="0021A9DD" w14:textId="191383F4" w:rsidR="00DE23FE" w:rsidRDefault="00DE23FE" w:rsidP="00E63C4A">
      <w:pPr>
        <w:ind w:left="0"/>
      </w:pPr>
    </w:p>
    <w:p w14:paraId="15C61AAF" w14:textId="02D9C411" w:rsidR="00E63C4A" w:rsidRDefault="000D29A8" w:rsidP="000D29A8">
      <w:pPr>
        <w:ind w:left="0"/>
      </w:pPr>
      <w:r>
        <w:t>After</w:t>
      </w:r>
      <w:r w:rsidRPr="00B40A94">
        <w:t xml:space="preserve"> data </w:t>
      </w:r>
      <w:r>
        <w:t>are</w:t>
      </w:r>
      <w:r w:rsidRPr="00B40A94">
        <w:t xml:space="preserve"> </w:t>
      </w:r>
      <w:r>
        <w:t>collected</w:t>
      </w:r>
      <w:r w:rsidRPr="00B40A94">
        <w:t xml:space="preserve">, </w:t>
      </w:r>
      <w:r>
        <w:t xml:space="preserve">notes will be cleaned. Research staff will compose an initial case memo detailing what we have learned from the interviews around each of our four specific aims. This memo will be provided to the state for confirmation and any corrections. Data from the interviews and documents analysis will be triangulated to identify the key descriptive and explanatory themes for each case. Our analysis for specific aim </w:t>
      </w:r>
      <w:r w:rsidR="000B2D9E">
        <w:t>2</w:t>
      </w:r>
      <w:r w:rsidRPr="000B2D9E">
        <w:t xml:space="preserve">, </w:t>
      </w:r>
      <w:r w:rsidR="000B2D9E" w:rsidRPr="000B2D9E">
        <w:t>the results of</w:t>
      </w:r>
      <w:r w:rsidRPr="000B2D9E">
        <w:t xml:space="preserve"> collaboration between public health and health care sectors</w:t>
      </w:r>
      <w:r>
        <w:t xml:space="preserve">, will be descriptive. We will develop an initial descriptive framework to document this collaboration prior to data collection but will adapt our framework based on the interviews.  The framework would be an </w:t>
      </w:r>
      <w:r w:rsidRPr="00877DBC">
        <w:t>outline of the sections w</w:t>
      </w:r>
      <w:r>
        <w:t>e anticipate presenting in a case study</w:t>
      </w:r>
      <w:r w:rsidRPr="00877DBC">
        <w:t xml:space="preserve"> </w:t>
      </w:r>
      <w:r>
        <w:t>(e</w:t>
      </w:r>
      <w:r w:rsidRPr="00877DBC">
        <w:t>.g., complementary capacities, shared mission</w:t>
      </w:r>
      <w:r>
        <w:t xml:space="preserve">). </w:t>
      </w:r>
      <w:r w:rsidRPr="00877DBC">
        <w:t xml:space="preserve"> </w:t>
      </w:r>
      <w:r>
        <w:t xml:space="preserve">For </w:t>
      </w:r>
      <w:r w:rsidRPr="000B2D9E">
        <w:t xml:space="preserve">specific aims </w:t>
      </w:r>
      <w:r w:rsidR="000B2D9E" w:rsidRPr="000B2D9E">
        <w:t>1, 3</w:t>
      </w:r>
      <w:r w:rsidRPr="000B2D9E">
        <w:t xml:space="preserve"> and </w:t>
      </w:r>
      <w:r w:rsidR="000B2D9E" w:rsidRPr="000B2D9E">
        <w:t>4</w:t>
      </w:r>
      <w:r w:rsidRPr="000B2D9E">
        <w:t>, identifying the role of 6|18 and key contextual barriers and facilitators</w:t>
      </w:r>
      <w:r>
        <w:t>, we will use a combination of inductive and deductive thematic analysis. We list a number of expected themes as probes in the interview guide (deductive) and will also include additional factors described by participants (inductive).</w:t>
      </w:r>
    </w:p>
    <w:p w14:paraId="7743767F" w14:textId="55E4A05B" w:rsidR="008C1D99" w:rsidRDefault="008C1D99" w:rsidP="000D29A8">
      <w:pPr>
        <w:ind w:left="0"/>
      </w:pPr>
    </w:p>
    <w:p w14:paraId="2F889719" w14:textId="501B02A1" w:rsidR="005B1D67" w:rsidRPr="002B6B83" w:rsidRDefault="005B1D67" w:rsidP="005B1D67">
      <w:pPr>
        <w:ind w:left="0"/>
        <w:contextualSpacing/>
      </w:pPr>
      <w:r>
        <w:t>The interview guide questions and probes were influenced by frameworks</w:t>
      </w:r>
      <w:r w:rsidR="00167191">
        <w:t xml:space="preserve"> and resources</w:t>
      </w:r>
      <w:r>
        <w:t xml:space="preserve"> such as the Wilder collaboration factors inventory (Mattesich et al. 2001), the </w:t>
      </w:r>
      <w:r w:rsidRPr="002B6B83">
        <w:t>National Implementation Science Network</w:t>
      </w:r>
      <w:r>
        <w:t xml:space="preserve"> (NIRN) Hexagon Tool (Blase et al. 2013), the NIRN Implementation Drivers framework (Fixen et al., 2013)</w:t>
      </w:r>
      <w:r w:rsidR="00167191">
        <w:t>, and Klein and Knight’s list of challenges to innovation implementation (2005)</w:t>
      </w:r>
      <w:r>
        <w:t>.</w:t>
      </w:r>
    </w:p>
    <w:p w14:paraId="3EE89D33" w14:textId="77777777" w:rsidR="005B1D67" w:rsidRDefault="005B1D67" w:rsidP="000D29A8">
      <w:pPr>
        <w:ind w:left="0"/>
      </w:pPr>
    </w:p>
    <w:p w14:paraId="696EEB1D" w14:textId="0A5538AF" w:rsidR="008C1D99" w:rsidRPr="00E63C4A" w:rsidRDefault="008C1D99" w:rsidP="000D29A8">
      <w:pPr>
        <w:ind w:left="0"/>
      </w:pPr>
      <w:r>
        <w:t xml:space="preserve">Below, we have listed our anticipated timeline.  </w:t>
      </w:r>
      <w:r w:rsidR="00656220">
        <w:t xml:space="preserve">In order to formally recruit states and schedule the initial set of interviews beginning in April/May 2018, we will need to obtain OMB approval in February/March 2018.  </w:t>
      </w:r>
      <w:r>
        <w:t xml:space="preserve">However, we are requesting a three-year data collection period </w:t>
      </w:r>
      <w:r w:rsidRPr="008C1D99">
        <w:t>to allow time for unanticipated delays; and to accommodate state team schedules, busy seasons, and holidays</w:t>
      </w:r>
      <w:r>
        <w:t>.</w:t>
      </w:r>
    </w:p>
    <w:p w14:paraId="05D46F5D" w14:textId="28E41123" w:rsidR="000933A4" w:rsidRDefault="000933A4">
      <w:pPr>
        <w:tabs>
          <w:tab w:val="clear" w:pos="9360"/>
        </w:tabs>
        <w:spacing w:after="200"/>
        <w:ind w:left="0"/>
        <w:rPr>
          <w:rFonts w:ascii="Times New Roman" w:eastAsia="Times New Roman" w:hAnsi="Times New Roman" w:cs="Times New Roman"/>
          <w:b/>
          <w:sz w:val="24"/>
          <w:szCs w:val="20"/>
        </w:rPr>
      </w:pPr>
    </w:p>
    <w:p w14:paraId="09E69DC2" w14:textId="03B07D89" w:rsidR="00E63C4A" w:rsidRDefault="007762F8" w:rsidP="00E63C4A">
      <w:pPr>
        <w:pStyle w:val="TableTitle"/>
        <w:spacing w:before="0" w:after="0"/>
      </w:pPr>
      <w:r>
        <w:t xml:space="preserve">Table </w:t>
      </w:r>
      <w:r w:rsidR="00283139">
        <w:t>A</w:t>
      </w:r>
      <w:r w:rsidR="00E63C4A">
        <w:t>16-</w:t>
      </w:r>
      <w:r>
        <w:t>a.</w:t>
      </w:r>
      <w:r w:rsidR="008C3810">
        <w:t xml:space="preserve"> </w:t>
      </w:r>
      <w:r w:rsidR="00E63C4A">
        <w:t>Project Time Schedule</w:t>
      </w:r>
    </w:p>
    <w:p w14:paraId="6F3ED58B" w14:textId="77777777" w:rsidR="00E63C4A" w:rsidRDefault="00E63C4A" w:rsidP="00E63C4A"/>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4212"/>
      </w:tblGrid>
      <w:tr w:rsidR="00E63C4A" w14:paraId="397337F4" w14:textId="77777777" w:rsidTr="00295868">
        <w:tc>
          <w:tcPr>
            <w:tcW w:w="5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32CEE" w14:textId="77777777" w:rsidR="00E63C4A" w:rsidRDefault="00E63C4A" w:rsidP="00A33561">
            <w:pPr>
              <w:ind w:left="0"/>
              <w:jc w:val="center"/>
              <w:rPr>
                <w:b/>
              </w:rPr>
            </w:pPr>
            <w:r>
              <w:rPr>
                <w:b/>
              </w:rPr>
              <w:t>Task</w:t>
            </w:r>
          </w:p>
        </w:tc>
        <w:tc>
          <w:tcPr>
            <w:tcW w:w="4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F94FB" w14:textId="77777777" w:rsidR="00E63C4A" w:rsidRDefault="00E63C4A" w:rsidP="00A33561">
            <w:pPr>
              <w:ind w:left="0"/>
              <w:jc w:val="center"/>
              <w:rPr>
                <w:b/>
              </w:rPr>
            </w:pPr>
            <w:r>
              <w:rPr>
                <w:b/>
              </w:rPr>
              <w:t>Time Schedule</w:t>
            </w:r>
          </w:p>
        </w:tc>
      </w:tr>
      <w:tr w:rsidR="0091166B" w14:paraId="75C54816" w14:textId="77777777" w:rsidTr="00295868">
        <w:tc>
          <w:tcPr>
            <w:tcW w:w="5251" w:type="dxa"/>
            <w:tcBorders>
              <w:top w:val="single" w:sz="4" w:space="0" w:color="auto"/>
              <w:left w:val="single" w:sz="4" w:space="0" w:color="auto"/>
              <w:bottom w:val="single" w:sz="4" w:space="0" w:color="auto"/>
              <w:right w:val="single" w:sz="4" w:space="0" w:color="auto"/>
            </w:tcBorders>
            <w:vAlign w:val="center"/>
          </w:tcPr>
          <w:p w14:paraId="13750EC8" w14:textId="1F273A47" w:rsidR="0091166B" w:rsidRDefault="00917A84" w:rsidP="00A33561">
            <w:pPr>
              <w:ind w:left="0"/>
            </w:pPr>
            <w:r>
              <w:t xml:space="preserve">Advance notice calls made, and emails sent, to states </w:t>
            </w:r>
          </w:p>
        </w:tc>
        <w:tc>
          <w:tcPr>
            <w:tcW w:w="4212" w:type="dxa"/>
            <w:tcBorders>
              <w:top w:val="single" w:sz="4" w:space="0" w:color="auto"/>
              <w:left w:val="single" w:sz="4" w:space="0" w:color="auto"/>
              <w:bottom w:val="single" w:sz="4" w:space="0" w:color="auto"/>
              <w:right w:val="single" w:sz="4" w:space="0" w:color="auto"/>
            </w:tcBorders>
            <w:vAlign w:val="center"/>
          </w:tcPr>
          <w:p w14:paraId="0CC4D252" w14:textId="68C226A7" w:rsidR="0091166B" w:rsidRDefault="0024674B" w:rsidP="008C1D99">
            <w:pPr>
              <w:ind w:left="0"/>
            </w:pPr>
            <w:r>
              <w:t>April</w:t>
            </w:r>
            <w:r w:rsidR="00892F35">
              <w:t xml:space="preserve"> 2018 –</w:t>
            </w:r>
            <w:r w:rsidR="002423BE">
              <w:t xml:space="preserve"> </w:t>
            </w:r>
            <w:r w:rsidR="008C1D99">
              <w:t>August</w:t>
            </w:r>
            <w:r w:rsidR="002423BE">
              <w:t xml:space="preserve"> </w:t>
            </w:r>
            <w:r w:rsidR="00892F35">
              <w:t>2018</w:t>
            </w:r>
          </w:p>
        </w:tc>
      </w:tr>
      <w:tr w:rsidR="0091166B" w14:paraId="4698998D" w14:textId="77777777" w:rsidTr="00295868">
        <w:tc>
          <w:tcPr>
            <w:tcW w:w="5251" w:type="dxa"/>
            <w:tcBorders>
              <w:top w:val="single" w:sz="4" w:space="0" w:color="auto"/>
              <w:left w:val="single" w:sz="4" w:space="0" w:color="auto"/>
              <w:bottom w:val="single" w:sz="4" w:space="0" w:color="auto"/>
              <w:right w:val="single" w:sz="4" w:space="0" w:color="auto"/>
            </w:tcBorders>
            <w:vAlign w:val="center"/>
            <w:hideMark/>
          </w:tcPr>
          <w:p w14:paraId="160953BD" w14:textId="62BE41E2" w:rsidR="0091166B" w:rsidRDefault="0091166B" w:rsidP="00A33561">
            <w:pPr>
              <w:ind w:left="0"/>
            </w:pPr>
            <w:r>
              <w:t xml:space="preserve">Schedule </w:t>
            </w:r>
            <w:r w:rsidR="00C4030C">
              <w:t>Interview</w:t>
            </w:r>
            <w:r>
              <w:t>s</w:t>
            </w:r>
          </w:p>
        </w:tc>
        <w:tc>
          <w:tcPr>
            <w:tcW w:w="4212" w:type="dxa"/>
            <w:tcBorders>
              <w:top w:val="single" w:sz="4" w:space="0" w:color="auto"/>
              <w:left w:val="single" w:sz="4" w:space="0" w:color="auto"/>
              <w:bottom w:val="single" w:sz="4" w:space="0" w:color="auto"/>
              <w:right w:val="single" w:sz="4" w:space="0" w:color="auto"/>
            </w:tcBorders>
            <w:vAlign w:val="center"/>
          </w:tcPr>
          <w:p w14:paraId="6CF6794E" w14:textId="229F8AF5" w:rsidR="0091166B" w:rsidRDefault="0024674B" w:rsidP="00A33561">
            <w:pPr>
              <w:ind w:left="0"/>
            </w:pPr>
            <w:r>
              <w:t>April</w:t>
            </w:r>
            <w:r w:rsidR="002423BE">
              <w:t xml:space="preserve"> </w:t>
            </w:r>
            <w:r w:rsidR="0091166B">
              <w:t>201</w:t>
            </w:r>
            <w:r w:rsidR="00563469">
              <w:t>8</w:t>
            </w:r>
            <w:r w:rsidR="0091166B">
              <w:t xml:space="preserve"> – </w:t>
            </w:r>
            <w:r>
              <w:t>August</w:t>
            </w:r>
            <w:r w:rsidR="00563469">
              <w:t xml:space="preserve"> 2018</w:t>
            </w:r>
          </w:p>
        </w:tc>
      </w:tr>
      <w:tr w:rsidR="0091166B" w14:paraId="3FCE90BE" w14:textId="77777777" w:rsidTr="00295868">
        <w:tc>
          <w:tcPr>
            <w:tcW w:w="5251" w:type="dxa"/>
            <w:tcBorders>
              <w:top w:val="single" w:sz="4" w:space="0" w:color="auto"/>
              <w:left w:val="single" w:sz="4" w:space="0" w:color="auto"/>
              <w:bottom w:val="single" w:sz="4" w:space="0" w:color="auto"/>
              <w:right w:val="single" w:sz="4" w:space="0" w:color="auto"/>
            </w:tcBorders>
            <w:vAlign w:val="center"/>
            <w:hideMark/>
          </w:tcPr>
          <w:p w14:paraId="67478592" w14:textId="6904ECA7" w:rsidR="0091166B" w:rsidRDefault="00917A84" w:rsidP="00512634">
            <w:pPr>
              <w:tabs>
                <w:tab w:val="left" w:pos="0"/>
              </w:tabs>
              <w:ind w:left="0"/>
            </w:pPr>
            <w:r>
              <w:t xml:space="preserve">Information collection: </w:t>
            </w:r>
            <w:r w:rsidR="00C34C42">
              <w:t>Conduct</w:t>
            </w:r>
            <w:r w:rsidR="0091166B">
              <w:t xml:space="preserve"> </w:t>
            </w:r>
            <w:r w:rsidR="008C1D99">
              <w:t>i</w:t>
            </w:r>
            <w:r w:rsidR="00C4030C">
              <w:t>nterview</w:t>
            </w:r>
            <w:r>
              <w:t>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1C87A0C1" w14:textId="4BFE4078" w:rsidR="0024674B" w:rsidRDefault="008C1D99" w:rsidP="00A33561">
            <w:pPr>
              <w:ind w:left="0"/>
            </w:pPr>
            <w:r>
              <w:t>Year 1 states: May</w:t>
            </w:r>
            <w:r w:rsidR="0024674B">
              <w:t xml:space="preserve"> 2018 – </w:t>
            </w:r>
            <w:r>
              <w:t>November</w:t>
            </w:r>
            <w:r w:rsidR="0024674B">
              <w:t xml:space="preserve"> 2018</w:t>
            </w:r>
          </w:p>
          <w:p w14:paraId="3DDC1997" w14:textId="330A37BE" w:rsidR="0091166B" w:rsidRDefault="0024674B" w:rsidP="008C1D99">
            <w:pPr>
              <w:ind w:left="0"/>
            </w:pPr>
            <w:r>
              <w:t xml:space="preserve">Year 2 states: </w:t>
            </w:r>
            <w:r w:rsidR="008C1D99">
              <w:t>July</w:t>
            </w:r>
            <w:r>
              <w:t xml:space="preserve"> </w:t>
            </w:r>
            <w:r w:rsidR="0091166B">
              <w:t>201</w:t>
            </w:r>
            <w:r w:rsidR="00563469">
              <w:t>8</w:t>
            </w:r>
            <w:r w:rsidR="0091166B">
              <w:t xml:space="preserve"> –</w:t>
            </w:r>
            <w:r w:rsidR="008C1D99">
              <w:t xml:space="preserve"> April 2019</w:t>
            </w:r>
          </w:p>
        </w:tc>
      </w:tr>
      <w:tr w:rsidR="00563469" w14:paraId="2D61E329" w14:textId="77777777" w:rsidTr="00295868">
        <w:tc>
          <w:tcPr>
            <w:tcW w:w="5251" w:type="dxa"/>
            <w:tcBorders>
              <w:top w:val="single" w:sz="4" w:space="0" w:color="auto"/>
              <w:left w:val="single" w:sz="4" w:space="0" w:color="auto"/>
              <w:bottom w:val="single" w:sz="4" w:space="0" w:color="auto"/>
              <w:right w:val="single" w:sz="4" w:space="0" w:color="auto"/>
            </w:tcBorders>
            <w:vAlign w:val="center"/>
          </w:tcPr>
          <w:p w14:paraId="0AEDD844" w14:textId="70E1647F" w:rsidR="00563469" w:rsidRDefault="00EA3BD9" w:rsidP="00A33561">
            <w:pPr>
              <w:tabs>
                <w:tab w:val="left" w:pos="0"/>
              </w:tabs>
              <w:ind w:left="0"/>
            </w:pPr>
            <w:r>
              <w:t>Analyses; d</w:t>
            </w:r>
            <w:r w:rsidR="00563469">
              <w:t>raft manuscript and in-depth case studies</w:t>
            </w:r>
          </w:p>
        </w:tc>
        <w:tc>
          <w:tcPr>
            <w:tcW w:w="4212" w:type="dxa"/>
            <w:tcBorders>
              <w:top w:val="single" w:sz="4" w:space="0" w:color="auto"/>
              <w:left w:val="single" w:sz="4" w:space="0" w:color="auto"/>
              <w:bottom w:val="single" w:sz="4" w:space="0" w:color="auto"/>
              <w:right w:val="single" w:sz="4" w:space="0" w:color="auto"/>
            </w:tcBorders>
            <w:vAlign w:val="center"/>
          </w:tcPr>
          <w:p w14:paraId="618E5BBA" w14:textId="506C3B54" w:rsidR="00563469" w:rsidRDefault="0024674B" w:rsidP="00A33561">
            <w:pPr>
              <w:ind w:left="0"/>
            </w:pPr>
            <w:r>
              <w:t>April</w:t>
            </w:r>
            <w:r w:rsidR="002423BE">
              <w:t xml:space="preserve"> </w:t>
            </w:r>
            <w:r w:rsidR="002C6EE4">
              <w:t>2019</w:t>
            </w:r>
            <w:r w:rsidR="008C1D99">
              <w:t xml:space="preserve"> – September 2019</w:t>
            </w:r>
          </w:p>
        </w:tc>
      </w:tr>
      <w:tr w:rsidR="00EA3BD9" w14:paraId="553EC9CA" w14:textId="77777777" w:rsidTr="00295868">
        <w:tc>
          <w:tcPr>
            <w:tcW w:w="5251" w:type="dxa"/>
            <w:tcBorders>
              <w:top w:val="single" w:sz="4" w:space="0" w:color="auto"/>
              <w:left w:val="single" w:sz="4" w:space="0" w:color="auto"/>
              <w:bottom w:val="single" w:sz="4" w:space="0" w:color="auto"/>
              <w:right w:val="single" w:sz="4" w:space="0" w:color="auto"/>
            </w:tcBorders>
            <w:vAlign w:val="center"/>
          </w:tcPr>
          <w:p w14:paraId="48DA0AAC" w14:textId="3C23BCFF" w:rsidR="00EA3BD9" w:rsidRDefault="00EA3BD9" w:rsidP="00A33561">
            <w:pPr>
              <w:tabs>
                <w:tab w:val="left" w:pos="0"/>
              </w:tabs>
              <w:ind w:left="0"/>
            </w:pPr>
            <w:r>
              <w:t>Submission for publication</w:t>
            </w:r>
          </w:p>
        </w:tc>
        <w:tc>
          <w:tcPr>
            <w:tcW w:w="4212" w:type="dxa"/>
            <w:tcBorders>
              <w:top w:val="single" w:sz="4" w:space="0" w:color="auto"/>
              <w:left w:val="single" w:sz="4" w:space="0" w:color="auto"/>
              <w:bottom w:val="single" w:sz="4" w:space="0" w:color="auto"/>
              <w:right w:val="single" w:sz="4" w:space="0" w:color="auto"/>
            </w:tcBorders>
            <w:vAlign w:val="center"/>
          </w:tcPr>
          <w:p w14:paraId="6FD83A3B" w14:textId="0A408493" w:rsidR="00EA3BD9" w:rsidRDefault="008C1D99" w:rsidP="008C1D99">
            <w:pPr>
              <w:ind w:left="0"/>
            </w:pPr>
            <w:r>
              <w:t xml:space="preserve">November </w:t>
            </w:r>
            <w:r w:rsidR="00EA3BD9">
              <w:t>2019</w:t>
            </w:r>
            <w:r>
              <w:t xml:space="preserve"> – February 2020</w:t>
            </w:r>
          </w:p>
        </w:tc>
      </w:tr>
    </w:tbl>
    <w:p w14:paraId="1352D35F" w14:textId="77777777" w:rsidR="00E63C4A" w:rsidRDefault="00E63C4A" w:rsidP="00E63C4A">
      <w:pPr>
        <w:pStyle w:val="TableTitle"/>
        <w:spacing w:before="0" w:after="0"/>
      </w:pPr>
    </w:p>
    <w:p w14:paraId="33B708E6" w14:textId="267930E9" w:rsidR="00E63C4A" w:rsidRDefault="00E63C4A" w:rsidP="004C5EFE">
      <w:r>
        <w:t xml:space="preserve">Target dates for data collection and analysis will be adjusted if OMB approval is not received by </w:t>
      </w:r>
      <w:r w:rsidR="005479D5">
        <w:t>April 9</w:t>
      </w:r>
      <w:r>
        <w:t xml:space="preserve">, 2018.  </w:t>
      </w:r>
    </w:p>
    <w:p w14:paraId="5CF0D5A2" w14:textId="77777777" w:rsidR="00E63C4A" w:rsidRDefault="00E63C4A" w:rsidP="00C017EF">
      <w:pPr>
        <w:ind w:left="360"/>
        <w:rPr>
          <w:rFonts w:cs="Arial"/>
          <w:b/>
        </w:rPr>
      </w:pPr>
    </w:p>
    <w:p w14:paraId="6F08FC66" w14:textId="77777777" w:rsidR="00B34ABC" w:rsidRDefault="00B34ABC" w:rsidP="005D6F14"/>
    <w:p w14:paraId="7C6AA861" w14:textId="51EDC136" w:rsidR="00B12F51" w:rsidRPr="00D75750" w:rsidRDefault="0073477F" w:rsidP="0073477F">
      <w:pPr>
        <w:pStyle w:val="Heading4"/>
        <w:numPr>
          <w:ilvl w:val="0"/>
          <w:numId w:val="0"/>
        </w:numPr>
        <w:ind w:left="-990"/>
      </w:pPr>
      <w:r>
        <w:t xml:space="preserve">                </w:t>
      </w:r>
      <w:bookmarkStart w:id="22" w:name="_Toc492543262"/>
      <w:r>
        <w:t xml:space="preserve">A17. </w:t>
      </w:r>
      <w:r w:rsidR="00D75750" w:rsidRPr="00D75750">
        <w:t xml:space="preserve">Reason(s) Display of OMB Expiration </w:t>
      </w:r>
      <w:r w:rsidR="00D75750">
        <w:t xml:space="preserve">Date </w:t>
      </w:r>
      <w:r w:rsidR="00D75750" w:rsidRPr="00D75750">
        <w:t>is Inappropriate</w:t>
      </w:r>
      <w:bookmarkEnd w:id="22"/>
    </w:p>
    <w:p w14:paraId="22CA87ED" w14:textId="77777777" w:rsidR="00F52BCC" w:rsidRDefault="00180D45" w:rsidP="00C017EF">
      <w:pPr>
        <w:ind w:left="360"/>
      </w:pPr>
      <w:r>
        <w:t>We are requesting no exemption.</w:t>
      </w:r>
    </w:p>
    <w:p w14:paraId="53F042D3" w14:textId="77777777" w:rsidR="00B34ABC" w:rsidRDefault="00B34ABC" w:rsidP="00C017EF">
      <w:pPr>
        <w:ind w:left="360"/>
      </w:pPr>
    </w:p>
    <w:p w14:paraId="4ECD5E25" w14:textId="77777777" w:rsidR="00F52BCC" w:rsidRDefault="00F52BCC" w:rsidP="005D6F14"/>
    <w:p w14:paraId="37A1A37C" w14:textId="662281C3" w:rsidR="00B12F51" w:rsidRPr="00D26A64" w:rsidRDefault="0073477F" w:rsidP="0073477F">
      <w:pPr>
        <w:pStyle w:val="Heading4"/>
        <w:numPr>
          <w:ilvl w:val="0"/>
          <w:numId w:val="0"/>
        </w:numPr>
        <w:ind w:left="-990"/>
      </w:pPr>
      <w:r>
        <w:t xml:space="preserve">               </w:t>
      </w:r>
      <w:bookmarkStart w:id="23" w:name="_Toc492543263"/>
      <w:r>
        <w:t xml:space="preserve">A18. </w:t>
      </w:r>
      <w:r w:rsidR="00B12F51" w:rsidRPr="00D26A64">
        <w:t>Exceptions to Certification for Paperwork Reduction Act Submissions</w:t>
      </w:r>
      <w:bookmarkEnd w:id="23"/>
    </w:p>
    <w:p w14:paraId="4F09910E" w14:textId="77777777" w:rsidR="00F52BCC" w:rsidRDefault="0031279F" w:rsidP="00C017EF">
      <w:pPr>
        <w:ind w:left="360"/>
      </w:pPr>
      <w:r>
        <w:t>There are no exceptions to the certification.</w:t>
      </w:r>
      <w:r w:rsidR="00180D45">
        <w:t xml:space="preserve">  These activities comply with the requirements in 5 CFR 1320.9.</w:t>
      </w:r>
    </w:p>
    <w:p w14:paraId="76C6657F" w14:textId="77777777" w:rsidR="00D1343B" w:rsidRDefault="00D1343B" w:rsidP="008C59E7">
      <w:pPr>
        <w:ind w:left="0"/>
      </w:pPr>
    </w:p>
    <w:p w14:paraId="41BEEBB8" w14:textId="77777777" w:rsidR="002B6B83" w:rsidRDefault="002B6B83" w:rsidP="008C59E7">
      <w:pPr>
        <w:ind w:left="0"/>
      </w:pPr>
    </w:p>
    <w:p w14:paraId="3670A1AB" w14:textId="25B1C98D" w:rsidR="00CC7188" w:rsidRDefault="00CC7188" w:rsidP="005D6F14"/>
    <w:p w14:paraId="7840ACEB" w14:textId="77777777" w:rsidR="004500E0" w:rsidRDefault="004500E0" w:rsidP="004500E0">
      <w:pPr>
        <w:ind w:left="0"/>
      </w:pPr>
      <w:r w:rsidRPr="004500E0">
        <w:rPr>
          <w:b/>
          <w:u w:val="single"/>
        </w:rPr>
        <w:t>References</w:t>
      </w:r>
      <w:r>
        <w:t>:</w:t>
      </w:r>
    </w:p>
    <w:p w14:paraId="64369D8B" w14:textId="77777777" w:rsidR="004500E0" w:rsidRDefault="004500E0" w:rsidP="004500E0">
      <w:pPr>
        <w:pStyle w:val="ListParagraph"/>
        <w:numPr>
          <w:ilvl w:val="0"/>
          <w:numId w:val="43"/>
        </w:numPr>
      </w:pPr>
      <w:r>
        <w:t xml:space="preserve">Blase K, Kiser L, Van Dyke M. "The hexagon tool: Exploring context." Chapel Hill, NC: National Implementation Science Network (2013). </w:t>
      </w:r>
    </w:p>
    <w:p w14:paraId="1E46C62C" w14:textId="0D740BF7" w:rsidR="004500E0" w:rsidRDefault="004500E0" w:rsidP="004500E0">
      <w:pPr>
        <w:pStyle w:val="ListParagraph"/>
        <w:numPr>
          <w:ilvl w:val="0"/>
          <w:numId w:val="43"/>
        </w:numPr>
      </w:pPr>
      <w:r>
        <w:t xml:space="preserve">Fixsen D, Blase K, Naoom S, Duda M. "Implementation drivers: Assessing best practices." Chapel Hill, NC: National Implementation Science Network (2013). </w:t>
      </w:r>
    </w:p>
    <w:p w14:paraId="37FBC68B" w14:textId="0A96BDA3" w:rsidR="00656FEF" w:rsidRDefault="00656FEF" w:rsidP="00656FEF">
      <w:pPr>
        <w:pStyle w:val="ListParagraph"/>
        <w:numPr>
          <w:ilvl w:val="0"/>
          <w:numId w:val="43"/>
        </w:numPr>
      </w:pPr>
      <w:r w:rsidRPr="00656FEF">
        <w:t>Klein KJ, Knight AP. Innovation implementation: Overcoming the challenge. Current directions in psychological science. 2005 Oct;14(5):243-6.</w:t>
      </w:r>
    </w:p>
    <w:p w14:paraId="308DEC6F" w14:textId="1C2D564F" w:rsidR="004500E0" w:rsidRDefault="004500E0" w:rsidP="004500E0">
      <w:pPr>
        <w:pStyle w:val="ListParagraph"/>
        <w:numPr>
          <w:ilvl w:val="0"/>
          <w:numId w:val="43"/>
        </w:numPr>
      </w:pPr>
      <w:r>
        <w:t>Mattessich P, Murray-Close M, Monsey B. "Wilder collaboration factors inventory." St. Paul, MN: Wilder Research (2001).</w:t>
      </w:r>
    </w:p>
    <w:sectPr w:rsidR="004500E0"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7A75E" w14:textId="77777777" w:rsidR="00BC196B" w:rsidRDefault="00BC196B" w:rsidP="007D6163">
      <w:r>
        <w:separator/>
      </w:r>
    </w:p>
    <w:p w14:paraId="14FC9239" w14:textId="77777777" w:rsidR="00BC196B" w:rsidRDefault="00BC196B" w:rsidP="007D6163"/>
  </w:endnote>
  <w:endnote w:type="continuationSeparator" w:id="0">
    <w:p w14:paraId="7C2BA14F" w14:textId="77777777" w:rsidR="00BC196B" w:rsidRDefault="00BC196B" w:rsidP="007D6163">
      <w:r>
        <w:continuationSeparator/>
      </w:r>
    </w:p>
    <w:p w14:paraId="30D842D2" w14:textId="77777777" w:rsidR="00BC196B" w:rsidRDefault="00BC196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2A61F23B" w14:textId="6FD2F40E" w:rsidR="00BC196B" w:rsidRDefault="00BC19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74AC">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74AC">
              <w:rPr>
                <w:b/>
                <w:bCs/>
                <w:noProof/>
              </w:rPr>
              <w:t>17</w:t>
            </w:r>
            <w:r>
              <w:rPr>
                <w:b/>
                <w:bCs/>
                <w:sz w:val="24"/>
                <w:szCs w:val="24"/>
              </w:rPr>
              <w:fldChar w:fldCharType="end"/>
            </w:r>
          </w:p>
        </w:sdtContent>
      </w:sdt>
    </w:sdtContent>
  </w:sdt>
  <w:p w14:paraId="0A96859F" w14:textId="77777777" w:rsidR="00BC196B" w:rsidRDefault="00BC196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EAF69" w14:textId="77777777" w:rsidR="00BC196B" w:rsidRDefault="00BC196B" w:rsidP="007D6163">
      <w:r>
        <w:separator/>
      </w:r>
    </w:p>
    <w:p w14:paraId="77BC12BA" w14:textId="77777777" w:rsidR="00BC196B" w:rsidRDefault="00BC196B" w:rsidP="007D6163"/>
  </w:footnote>
  <w:footnote w:type="continuationSeparator" w:id="0">
    <w:p w14:paraId="5325ED48" w14:textId="77777777" w:rsidR="00BC196B" w:rsidRDefault="00BC196B" w:rsidP="007D6163">
      <w:r>
        <w:continuationSeparator/>
      </w:r>
    </w:p>
    <w:p w14:paraId="710CBC2B" w14:textId="77777777" w:rsidR="00BC196B" w:rsidRDefault="00BC196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7899A" w14:textId="77777777" w:rsidR="00BC196B" w:rsidRPr="00716F94" w:rsidRDefault="00BC196B" w:rsidP="007D6163">
    <w:pPr>
      <w:pStyle w:val="Header"/>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FF8"/>
    <w:multiLevelType w:val="hybridMultilevel"/>
    <w:tmpl w:val="841CBDFE"/>
    <w:lvl w:ilvl="0" w:tplc="F572B4E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22082"/>
    <w:multiLevelType w:val="hybridMultilevel"/>
    <w:tmpl w:val="D8B2A8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6127D"/>
    <w:multiLevelType w:val="hybridMultilevel"/>
    <w:tmpl w:val="DCF68A3C"/>
    <w:lvl w:ilvl="0" w:tplc="E57C4BB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0D20F0"/>
    <w:multiLevelType w:val="hybridMultilevel"/>
    <w:tmpl w:val="10B40EEC"/>
    <w:lvl w:ilvl="0" w:tplc="1F4AA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370BF"/>
    <w:multiLevelType w:val="hybridMultilevel"/>
    <w:tmpl w:val="062CFFB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6529A"/>
    <w:multiLevelType w:val="hybridMultilevel"/>
    <w:tmpl w:val="3DE29290"/>
    <w:lvl w:ilvl="0" w:tplc="5420DD58">
      <w:start w:val="1"/>
      <w:numFmt w:val="upperLetter"/>
      <w:lvlText w:val="%1."/>
      <w:lvlJc w:val="left"/>
      <w:pPr>
        <w:tabs>
          <w:tab w:val="num" w:pos="945"/>
        </w:tabs>
        <w:ind w:left="945" w:hanging="58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5D00857"/>
    <w:multiLevelType w:val="multilevel"/>
    <w:tmpl w:val="4364B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110659"/>
    <w:multiLevelType w:val="hybridMultilevel"/>
    <w:tmpl w:val="97BCA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831C2B"/>
    <w:multiLevelType w:val="hybridMultilevel"/>
    <w:tmpl w:val="81623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FA58F7"/>
    <w:multiLevelType w:val="hybridMultilevel"/>
    <w:tmpl w:val="965A8E40"/>
    <w:lvl w:ilvl="0" w:tplc="53566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FC2253"/>
    <w:multiLevelType w:val="hybridMultilevel"/>
    <w:tmpl w:val="222EC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091E3E"/>
    <w:multiLevelType w:val="hybridMultilevel"/>
    <w:tmpl w:val="5642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E4F82"/>
    <w:multiLevelType w:val="hybridMultilevel"/>
    <w:tmpl w:val="F9D63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51754F"/>
    <w:multiLevelType w:val="hybridMultilevel"/>
    <w:tmpl w:val="8478991A"/>
    <w:lvl w:ilvl="0" w:tplc="FE0235FC">
      <w:numFmt w:val="bullet"/>
      <w:lvlText w:val="-"/>
      <w:lvlJc w:val="left"/>
      <w:pPr>
        <w:ind w:left="645" w:hanging="360"/>
      </w:pPr>
      <w:rPr>
        <w:rFonts w:ascii="Times New Roman" w:eastAsia="Times New Roma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start w:val="1"/>
      <w:numFmt w:val="bullet"/>
      <w:lvlText w:val="o"/>
      <w:lvlJc w:val="left"/>
      <w:pPr>
        <w:ind w:left="3525" w:hanging="360"/>
      </w:pPr>
      <w:rPr>
        <w:rFonts w:ascii="Courier New" w:hAnsi="Courier New" w:cs="Courier New" w:hint="default"/>
      </w:rPr>
    </w:lvl>
    <w:lvl w:ilvl="5" w:tplc="04090005">
      <w:start w:val="1"/>
      <w:numFmt w:val="bullet"/>
      <w:lvlText w:val=""/>
      <w:lvlJc w:val="left"/>
      <w:pPr>
        <w:ind w:left="4245" w:hanging="360"/>
      </w:pPr>
      <w:rPr>
        <w:rFonts w:ascii="Wingdings" w:hAnsi="Wingdings" w:hint="default"/>
      </w:rPr>
    </w:lvl>
    <w:lvl w:ilvl="6" w:tplc="04090001">
      <w:start w:val="1"/>
      <w:numFmt w:val="bullet"/>
      <w:lvlText w:val=""/>
      <w:lvlJc w:val="left"/>
      <w:pPr>
        <w:ind w:left="4965" w:hanging="360"/>
      </w:pPr>
      <w:rPr>
        <w:rFonts w:ascii="Symbol" w:hAnsi="Symbol" w:hint="default"/>
      </w:rPr>
    </w:lvl>
    <w:lvl w:ilvl="7" w:tplc="04090003">
      <w:start w:val="1"/>
      <w:numFmt w:val="bullet"/>
      <w:lvlText w:val="o"/>
      <w:lvlJc w:val="left"/>
      <w:pPr>
        <w:ind w:left="5685" w:hanging="360"/>
      </w:pPr>
      <w:rPr>
        <w:rFonts w:ascii="Courier New" w:hAnsi="Courier New" w:cs="Courier New" w:hint="default"/>
      </w:rPr>
    </w:lvl>
    <w:lvl w:ilvl="8" w:tplc="04090005">
      <w:start w:val="1"/>
      <w:numFmt w:val="bullet"/>
      <w:lvlText w:val=""/>
      <w:lvlJc w:val="left"/>
      <w:pPr>
        <w:ind w:left="6405" w:hanging="360"/>
      </w:pPr>
      <w:rPr>
        <w:rFonts w:ascii="Wingdings" w:hAnsi="Wingdings" w:hint="default"/>
      </w:rPr>
    </w:lvl>
  </w:abstractNum>
  <w:abstractNum w:abstractNumId="14">
    <w:nsid w:val="2EAF3879"/>
    <w:multiLevelType w:val="hybridMultilevel"/>
    <w:tmpl w:val="2F2AB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F465E02"/>
    <w:multiLevelType w:val="hybridMultilevel"/>
    <w:tmpl w:val="974494B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DF022C"/>
    <w:multiLevelType w:val="hybridMultilevel"/>
    <w:tmpl w:val="F39A1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54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393C654E"/>
    <w:multiLevelType w:val="hybridMultilevel"/>
    <w:tmpl w:val="652E0AE6"/>
    <w:lvl w:ilvl="0" w:tplc="480ED39A">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473BEC"/>
    <w:multiLevelType w:val="hybridMultilevel"/>
    <w:tmpl w:val="B4744188"/>
    <w:lvl w:ilvl="0" w:tplc="0CA8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B81665"/>
    <w:multiLevelType w:val="hybridMultilevel"/>
    <w:tmpl w:val="FF644F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55069"/>
    <w:multiLevelType w:val="hybridMultilevel"/>
    <w:tmpl w:val="63E23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65FD9"/>
    <w:multiLevelType w:val="hybridMultilevel"/>
    <w:tmpl w:val="3F38BFE6"/>
    <w:lvl w:ilvl="0" w:tplc="DF9887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5C4D18"/>
    <w:multiLevelType w:val="hybridMultilevel"/>
    <w:tmpl w:val="97BCA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BA752F2"/>
    <w:multiLevelType w:val="hybridMultilevel"/>
    <w:tmpl w:val="4E1035EC"/>
    <w:lvl w:ilvl="0" w:tplc="86C25D14">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6A387C"/>
    <w:multiLevelType w:val="hybridMultilevel"/>
    <w:tmpl w:val="8168EB12"/>
    <w:lvl w:ilvl="0" w:tplc="07665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15707AC"/>
    <w:multiLevelType w:val="hybridMultilevel"/>
    <w:tmpl w:val="541E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00106"/>
    <w:multiLevelType w:val="hybridMultilevel"/>
    <w:tmpl w:val="06A4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07AE0"/>
    <w:multiLevelType w:val="hybridMultilevel"/>
    <w:tmpl w:val="FFBC9188"/>
    <w:lvl w:ilvl="0" w:tplc="67E05A92">
      <w:start w:val="2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88690A"/>
    <w:multiLevelType w:val="hybridMultilevel"/>
    <w:tmpl w:val="3CD066A0"/>
    <w:lvl w:ilvl="0" w:tplc="2304D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22661E"/>
    <w:multiLevelType w:val="hybridMultilevel"/>
    <w:tmpl w:val="4554FAA8"/>
    <w:lvl w:ilvl="0" w:tplc="29BEA458">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9"/>
  </w:num>
  <w:num w:numId="3">
    <w:abstractNumId w:val="32"/>
  </w:num>
  <w:num w:numId="4">
    <w:abstractNumId w:val="16"/>
  </w:num>
  <w:num w:numId="5">
    <w:abstractNumId w:val="27"/>
  </w:num>
  <w:num w:numId="6">
    <w:abstractNumId w:val="1"/>
  </w:num>
  <w:num w:numId="7">
    <w:abstractNumId w:val="19"/>
  </w:num>
  <w:num w:numId="8">
    <w:abstractNumId w:val="14"/>
  </w:num>
  <w:num w:numId="9">
    <w:abstractNumId w:val="8"/>
  </w:num>
  <w:num w:numId="10">
    <w:abstractNumId w:val="11"/>
  </w:num>
  <w:num w:numId="11">
    <w:abstractNumId w:val="21"/>
  </w:num>
  <w:num w:numId="12">
    <w:abstractNumId w:val="3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0"/>
  </w:num>
  <w:num w:numId="28">
    <w:abstractNumId w:val="23"/>
  </w:num>
  <w:num w:numId="29">
    <w:abstractNumId w:val="0"/>
  </w:num>
  <w:num w:numId="30">
    <w:abstractNumId w:val="34"/>
  </w:num>
  <w:num w:numId="31">
    <w:abstractNumId w:val="33"/>
  </w:num>
  <w:num w:numId="32">
    <w:abstractNumId w:val="9"/>
  </w:num>
  <w:num w:numId="33">
    <w:abstractNumId w:val="3"/>
  </w:num>
  <w:num w:numId="34">
    <w:abstractNumId w:val="22"/>
  </w:num>
  <w:num w:numId="35">
    <w:abstractNumId w:val="24"/>
  </w:num>
  <w:num w:numId="36">
    <w:abstractNumId w:val="15"/>
  </w:num>
  <w:num w:numId="37">
    <w:abstractNumId w:val="17"/>
  </w:num>
  <w:num w:numId="38">
    <w:abstractNumId w:val="25"/>
  </w:num>
  <w:num w:numId="39">
    <w:abstractNumId w:val="7"/>
  </w:num>
  <w:num w:numId="40">
    <w:abstractNumId w:val="28"/>
  </w:num>
  <w:num w:numId="41">
    <w:abstractNumId w:val="10"/>
  </w:num>
  <w:num w:numId="42">
    <w:abstractNumId w:val="12"/>
  </w:num>
  <w:num w:numId="43">
    <w:abstractNumId w:val="30"/>
  </w:num>
  <w:num w:numId="4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4A"/>
    <w:rsid w:val="00003C79"/>
    <w:rsid w:val="000058E0"/>
    <w:rsid w:val="00005EE7"/>
    <w:rsid w:val="000100BB"/>
    <w:rsid w:val="00011A98"/>
    <w:rsid w:val="00011F8D"/>
    <w:rsid w:val="000130B4"/>
    <w:rsid w:val="00014361"/>
    <w:rsid w:val="000143B2"/>
    <w:rsid w:val="00014579"/>
    <w:rsid w:val="000225C3"/>
    <w:rsid w:val="00023D53"/>
    <w:rsid w:val="000242B3"/>
    <w:rsid w:val="00025662"/>
    <w:rsid w:val="000272A7"/>
    <w:rsid w:val="00030A3F"/>
    <w:rsid w:val="00031977"/>
    <w:rsid w:val="00032FE5"/>
    <w:rsid w:val="000337E6"/>
    <w:rsid w:val="00034887"/>
    <w:rsid w:val="000349EB"/>
    <w:rsid w:val="00034BB4"/>
    <w:rsid w:val="00034C1C"/>
    <w:rsid w:val="00034D64"/>
    <w:rsid w:val="00034E93"/>
    <w:rsid w:val="0003529C"/>
    <w:rsid w:val="00035756"/>
    <w:rsid w:val="000366B8"/>
    <w:rsid w:val="0003680F"/>
    <w:rsid w:val="0004008B"/>
    <w:rsid w:val="00040611"/>
    <w:rsid w:val="0004271B"/>
    <w:rsid w:val="00042B8B"/>
    <w:rsid w:val="0004305C"/>
    <w:rsid w:val="0004716F"/>
    <w:rsid w:val="000474FB"/>
    <w:rsid w:val="00052764"/>
    <w:rsid w:val="00052E8A"/>
    <w:rsid w:val="00053A92"/>
    <w:rsid w:val="00053E7E"/>
    <w:rsid w:val="00054839"/>
    <w:rsid w:val="00055DAE"/>
    <w:rsid w:val="00057F36"/>
    <w:rsid w:val="00060B1A"/>
    <w:rsid w:val="00063978"/>
    <w:rsid w:val="00072BE0"/>
    <w:rsid w:val="00072C7A"/>
    <w:rsid w:val="00074B36"/>
    <w:rsid w:val="000752BB"/>
    <w:rsid w:val="00084C74"/>
    <w:rsid w:val="00084E56"/>
    <w:rsid w:val="000860FE"/>
    <w:rsid w:val="00086F83"/>
    <w:rsid w:val="000872E6"/>
    <w:rsid w:val="00092569"/>
    <w:rsid w:val="000933A4"/>
    <w:rsid w:val="000937AE"/>
    <w:rsid w:val="00096DB3"/>
    <w:rsid w:val="00097505"/>
    <w:rsid w:val="000A0F4C"/>
    <w:rsid w:val="000A1A79"/>
    <w:rsid w:val="000A1F30"/>
    <w:rsid w:val="000A2CE3"/>
    <w:rsid w:val="000A2D0C"/>
    <w:rsid w:val="000A3003"/>
    <w:rsid w:val="000A71DF"/>
    <w:rsid w:val="000B0962"/>
    <w:rsid w:val="000B1984"/>
    <w:rsid w:val="000B2CBC"/>
    <w:rsid w:val="000B2D9E"/>
    <w:rsid w:val="000B677A"/>
    <w:rsid w:val="000C01F6"/>
    <w:rsid w:val="000C0B06"/>
    <w:rsid w:val="000C6072"/>
    <w:rsid w:val="000C66DF"/>
    <w:rsid w:val="000D015C"/>
    <w:rsid w:val="000D11FC"/>
    <w:rsid w:val="000D158D"/>
    <w:rsid w:val="000D18EA"/>
    <w:rsid w:val="000D29A8"/>
    <w:rsid w:val="000D29BF"/>
    <w:rsid w:val="000D2AA3"/>
    <w:rsid w:val="000D2AD6"/>
    <w:rsid w:val="000D34C5"/>
    <w:rsid w:val="000D65FC"/>
    <w:rsid w:val="000E18CA"/>
    <w:rsid w:val="000E47B1"/>
    <w:rsid w:val="000E6577"/>
    <w:rsid w:val="000E65DA"/>
    <w:rsid w:val="000E6E0F"/>
    <w:rsid w:val="000E6E7D"/>
    <w:rsid w:val="000E7A19"/>
    <w:rsid w:val="000E7E10"/>
    <w:rsid w:val="000F0D86"/>
    <w:rsid w:val="000F0EE4"/>
    <w:rsid w:val="000F22D4"/>
    <w:rsid w:val="000F72EA"/>
    <w:rsid w:val="00104A1B"/>
    <w:rsid w:val="0010773C"/>
    <w:rsid w:val="00113B15"/>
    <w:rsid w:val="00113F75"/>
    <w:rsid w:val="00114DCB"/>
    <w:rsid w:val="00117142"/>
    <w:rsid w:val="001177DD"/>
    <w:rsid w:val="0012014F"/>
    <w:rsid w:val="0012194A"/>
    <w:rsid w:val="001223FC"/>
    <w:rsid w:val="00122ACE"/>
    <w:rsid w:val="0012382A"/>
    <w:rsid w:val="00123A34"/>
    <w:rsid w:val="001253DB"/>
    <w:rsid w:val="00126B9E"/>
    <w:rsid w:val="00135334"/>
    <w:rsid w:val="001365FC"/>
    <w:rsid w:val="00136623"/>
    <w:rsid w:val="00136709"/>
    <w:rsid w:val="00136E39"/>
    <w:rsid w:val="00136FAA"/>
    <w:rsid w:val="00137A17"/>
    <w:rsid w:val="00140F51"/>
    <w:rsid w:val="001412D4"/>
    <w:rsid w:val="00143B07"/>
    <w:rsid w:val="00144F64"/>
    <w:rsid w:val="00145CE6"/>
    <w:rsid w:val="00145D62"/>
    <w:rsid w:val="00150ECD"/>
    <w:rsid w:val="00151567"/>
    <w:rsid w:val="001528D2"/>
    <w:rsid w:val="001539E6"/>
    <w:rsid w:val="00154530"/>
    <w:rsid w:val="001556E1"/>
    <w:rsid w:val="00156C66"/>
    <w:rsid w:val="00157413"/>
    <w:rsid w:val="001575D8"/>
    <w:rsid w:val="00163E17"/>
    <w:rsid w:val="00166F9E"/>
    <w:rsid w:val="00167191"/>
    <w:rsid w:val="00167880"/>
    <w:rsid w:val="00171957"/>
    <w:rsid w:val="0017212A"/>
    <w:rsid w:val="0017453A"/>
    <w:rsid w:val="00174A1D"/>
    <w:rsid w:val="00176B67"/>
    <w:rsid w:val="0017700E"/>
    <w:rsid w:val="001774A2"/>
    <w:rsid w:val="00180D45"/>
    <w:rsid w:val="00182568"/>
    <w:rsid w:val="00182CCD"/>
    <w:rsid w:val="001833F1"/>
    <w:rsid w:val="0018579D"/>
    <w:rsid w:val="001863A9"/>
    <w:rsid w:val="00187227"/>
    <w:rsid w:val="00187870"/>
    <w:rsid w:val="00187D5A"/>
    <w:rsid w:val="00187FFC"/>
    <w:rsid w:val="0019076E"/>
    <w:rsid w:val="00190FFB"/>
    <w:rsid w:val="0019164D"/>
    <w:rsid w:val="0019236F"/>
    <w:rsid w:val="00193395"/>
    <w:rsid w:val="00194098"/>
    <w:rsid w:val="00196723"/>
    <w:rsid w:val="001972D7"/>
    <w:rsid w:val="00197A62"/>
    <w:rsid w:val="001A036E"/>
    <w:rsid w:val="001A19DD"/>
    <w:rsid w:val="001A28F6"/>
    <w:rsid w:val="001A3A19"/>
    <w:rsid w:val="001A3EFE"/>
    <w:rsid w:val="001A5419"/>
    <w:rsid w:val="001B0494"/>
    <w:rsid w:val="001B0B3E"/>
    <w:rsid w:val="001B18F4"/>
    <w:rsid w:val="001B2831"/>
    <w:rsid w:val="001B3ED6"/>
    <w:rsid w:val="001B4065"/>
    <w:rsid w:val="001B5910"/>
    <w:rsid w:val="001B6596"/>
    <w:rsid w:val="001B6DA8"/>
    <w:rsid w:val="001B70B4"/>
    <w:rsid w:val="001B7C2C"/>
    <w:rsid w:val="001C03AA"/>
    <w:rsid w:val="001C0493"/>
    <w:rsid w:val="001C0C08"/>
    <w:rsid w:val="001C0C93"/>
    <w:rsid w:val="001C28AD"/>
    <w:rsid w:val="001C4A84"/>
    <w:rsid w:val="001C4A8D"/>
    <w:rsid w:val="001C6147"/>
    <w:rsid w:val="001C6241"/>
    <w:rsid w:val="001D1937"/>
    <w:rsid w:val="001D6133"/>
    <w:rsid w:val="001D6F5B"/>
    <w:rsid w:val="001D7FCB"/>
    <w:rsid w:val="001E2B99"/>
    <w:rsid w:val="001E69B6"/>
    <w:rsid w:val="001E7537"/>
    <w:rsid w:val="001E7D35"/>
    <w:rsid w:val="001F0EAB"/>
    <w:rsid w:val="001F32CB"/>
    <w:rsid w:val="001F339B"/>
    <w:rsid w:val="001F4225"/>
    <w:rsid w:val="001F47FA"/>
    <w:rsid w:val="001F4DBB"/>
    <w:rsid w:val="00201CCF"/>
    <w:rsid w:val="00201D73"/>
    <w:rsid w:val="00202D07"/>
    <w:rsid w:val="0020312D"/>
    <w:rsid w:val="00206CE0"/>
    <w:rsid w:val="00206E33"/>
    <w:rsid w:val="0020764F"/>
    <w:rsid w:val="002102A5"/>
    <w:rsid w:val="00210519"/>
    <w:rsid w:val="002111F6"/>
    <w:rsid w:val="00212518"/>
    <w:rsid w:val="00213638"/>
    <w:rsid w:val="0021417B"/>
    <w:rsid w:val="00214F26"/>
    <w:rsid w:val="00217E4B"/>
    <w:rsid w:val="0022034F"/>
    <w:rsid w:val="002213AB"/>
    <w:rsid w:val="00222B2B"/>
    <w:rsid w:val="00224719"/>
    <w:rsid w:val="00225516"/>
    <w:rsid w:val="002263FF"/>
    <w:rsid w:val="00227259"/>
    <w:rsid w:val="00235F5C"/>
    <w:rsid w:val="00237A62"/>
    <w:rsid w:val="002404C1"/>
    <w:rsid w:val="00240E17"/>
    <w:rsid w:val="00241B17"/>
    <w:rsid w:val="00241C81"/>
    <w:rsid w:val="00241DD2"/>
    <w:rsid w:val="002422C6"/>
    <w:rsid w:val="002423BE"/>
    <w:rsid w:val="0024274E"/>
    <w:rsid w:val="00244557"/>
    <w:rsid w:val="0024674B"/>
    <w:rsid w:val="00247012"/>
    <w:rsid w:val="00247F13"/>
    <w:rsid w:val="002570E1"/>
    <w:rsid w:val="00257A1C"/>
    <w:rsid w:val="00261186"/>
    <w:rsid w:val="0026153F"/>
    <w:rsid w:val="00266025"/>
    <w:rsid w:val="00270B29"/>
    <w:rsid w:val="0027234C"/>
    <w:rsid w:val="002725F3"/>
    <w:rsid w:val="00272829"/>
    <w:rsid w:val="00273950"/>
    <w:rsid w:val="0027447D"/>
    <w:rsid w:val="00275A11"/>
    <w:rsid w:val="002779D9"/>
    <w:rsid w:val="002816FF"/>
    <w:rsid w:val="00281795"/>
    <w:rsid w:val="00281A62"/>
    <w:rsid w:val="00281ACB"/>
    <w:rsid w:val="00281B95"/>
    <w:rsid w:val="00283139"/>
    <w:rsid w:val="00283743"/>
    <w:rsid w:val="002850E3"/>
    <w:rsid w:val="00287E2F"/>
    <w:rsid w:val="0029058D"/>
    <w:rsid w:val="0029140A"/>
    <w:rsid w:val="00291AF7"/>
    <w:rsid w:val="0029286A"/>
    <w:rsid w:val="00292BB7"/>
    <w:rsid w:val="00293A81"/>
    <w:rsid w:val="00293BCD"/>
    <w:rsid w:val="00293E3C"/>
    <w:rsid w:val="00295868"/>
    <w:rsid w:val="00297AED"/>
    <w:rsid w:val="002A09F6"/>
    <w:rsid w:val="002A18ED"/>
    <w:rsid w:val="002A1948"/>
    <w:rsid w:val="002A1FEA"/>
    <w:rsid w:val="002A3765"/>
    <w:rsid w:val="002A5108"/>
    <w:rsid w:val="002A5B48"/>
    <w:rsid w:val="002B1B8F"/>
    <w:rsid w:val="002B1DD7"/>
    <w:rsid w:val="002B344D"/>
    <w:rsid w:val="002B64A9"/>
    <w:rsid w:val="002B6B83"/>
    <w:rsid w:val="002B73EF"/>
    <w:rsid w:val="002B786A"/>
    <w:rsid w:val="002C0877"/>
    <w:rsid w:val="002C2AE2"/>
    <w:rsid w:val="002C5666"/>
    <w:rsid w:val="002C6EE4"/>
    <w:rsid w:val="002D0DCE"/>
    <w:rsid w:val="002D1D39"/>
    <w:rsid w:val="002D3C8B"/>
    <w:rsid w:val="002D4160"/>
    <w:rsid w:val="002E1662"/>
    <w:rsid w:val="002E175C"/>
    <w:rsid w:val="002E2B10"/>
    <w:rsid w:val="002E3579"/>
    <w:rsid w:val="002E3E03"/>
    <w:rsid w:val="002E5ED2"/>
    <w:rsid w:val="002E6025"/>
    <w:rsid w:val="002E7186"/>
    <w:rsid w:val="002E73B0"/>
    <w:rsid w:val="002F0DF5"/>
    <w:rsid w:val="002F1502"/>
    <w:rsid w:val="002F15C9"/>
    <w:rsid w:val="002F2069"/>
    <w:rsid w:val="002F5BB7"/>
    <w:rsid w:val="002F71A2"/>
    <w:rsid w:val="002F7992"/>
    <w:rsid w:val="002F7C0C"/>
    <w:rsid w:val="00300E4D"/>
    <w:rsid w:val="00300F58"/>
    <w:rsid w:val="003041AD"/>
    <w:rsid w:val="00306239"/>
    <w:rsid w:val="00307841"/>
    <w:rsid w:val="00311503"/>
    <w:rsid w:val="0031279F"/>
    <w:rsid w:val="00313EB7"/>
    <w:rsid w:val="00316F00"/>
    <w:rsid w:val="00320D0E"/>
    <w:rsid w:val="0032114B"/>
    <w:rsid w:val="00321B51"/>
    <w:rsid w:val="003251ED"/>
    <w:rsid w:val="0032543F"/>
    <w:rsid w:val="00325512"/>
    <w:rsid w:val="00330D38"/>
    <w:rsid w:val="003315C0"/>
    <w:rsid w:val="00332E3C"/>
    <w:rsid w:val="00336D96"/>
    <w:rsid w:val="00344F07"/>
    <w:rsid w:val="003469C8"/>
    <w:rsid w:val="00350C8C"/>
    <w:rsid w:val="00351403"/>
    <w:rsid w:val="00355EA4"/>
    <w:rsid w:val="003632A8"/>
    <w:rsid w:val="003635BE"/>
    <w:rsid w:val="00363EBB"/>
    <w:rsid w:val="00364CC9"/>
    <w:rsid w:val="00365045"/>
    <w:rsid w:val="00366B5E"/>
    <w:rsid w:val="00370449"/>
    <w:rsid w:val="00371275"/>
    <w:rsid w:val="003714C2"/>
    <w:rsid w:val="003720B0"/>
    <w:rsid w:val="00372A07"/>
    <w:rsid w:val="00372CB8"/>
    <w:rsid w:val="003732E6"/>
    <w:rsid w:val="003745A4"/>
    <w:rsid w:val="00374724"/>
    <w:rsid w:val="0038086A"/>
    <w:rsid w:val="00381E83"/>
    <w:rsid w:val="00381EAF"/>
    <w:rsid w:val="00382B61"/>
    <w:rsid w:val="00385BB5"/>
    <w:rsid w:val="003860A5"/>
    <w:rsid w:val="00386605"/>
    <w:rsid w:val="00386BC2"/>
    <w:rsid w:val="00387AF3"/>
    <w:rsid w:val="0039228E"/>
    <w:rsid w:val="00392B6A"/>
    <w:rsid w:val="00396233"/>
    <w:rsid w:val="00396A2D"/>
    <w:rsid w:val="003A49AD"/>
    <w:rsid w:val="003A6128"/>
    <w:rsid w:val="003A6607"/>
    <w:rsid w:val="003A7340"/>
    <w:rsid w:val="003B0645"/>
    <w:rsid w:val="003B125E"/>
    <w:rsid w:val="003B1BCA"/>
    <w:rsid w:val="003B1BE3"/>
    <w:rsid w:val="003B2200"/>
    <w:rsid w:val="003B2AE6"/>
    <w:rsid w:val="003B2CEE"/>
    <w:rsid w:val="003B40AD"/>
    <w:rsid w:val="003B7D40"/>
    <w:rsid w:val="003C0247"/>
    <w:rsid w:val="003C1E0B"/>
    <w:rsid w:val="003C2B36"/>
    <w:rsid w:val="003C31C9"/>
    <w:rsid w:val="003C47EF"/>
    <w:rsid w:val="003C4961"/>
    <w:rsid w:val="003C7C5D"/>
    <w:rsid w:val="003D047B"/>
    <w:rsid w:val="003D0AD2"/>
    <w:rsid w:val="003D3A30"/>
    <w:rsid w:val="003D46EF"/>
    <w:rsid w:val="003D583C"/>
    <w:rsid w:val="003E05AD"/>
    <w:rsid w:val="003E264E"/>
    <w:rsid w:val="003E2760"/>
    <w:rsid w:val="003F180E"/>
    <w:rsid w:val="003F2978"/>
    <w:rsid w:val="003F2B0D"/>
    <w:rsid w:val="003F4BB8"/>
    <w:rsid w:val="003F5913"/>
    <w:rsid w:val="004024D6"/>
    <w:rsid w:val="004024F8"/>
    <w:rsid w:val="00402FD0"/>
    <w:rsid w:val="00403FFB"/>
    <w:rsid w:val="00405696"/>
    <w:rsid w:val="00406621"/>
    <w:rsid w:val="0041159A"/>
    <w:rsid w:val="00413FF3"/>
    <w:rsid w:val="00414ED1"/>
    <w:rsid w:val="00415DA5"/>
    <w:rsid w:val="00421745"/>
    <w:rsid w:val="004226DA"/>
    <w:rsid w:val="004255B5"/>
    <w:rsid w:val="00425ADE"/>
    <w:rsid w:val="00425B42"/>
    <w:rsid w:val="0042783F"/>
    <w:rsid w:val="004305A8"/>
    <w:rsid w:val="0043229B"/>
    <w:rsid w:val="00433B61"/>
    <w:rsid w:val="0043479C"/>
    <w:rsid w:val="004353D5"/>
    <w:rsid w:val="00436471"/>
    <w:rsid w:val="00437F4B"/>
    <w:rsid w:val="0044056F"/>
    <w:rsid w:val="00440B42"/>
    <w:rsid w:val="00441CC3"/>
    <w:rsid w:val="0044214C"/>
    <w:rsid w:val="00442B98"/>
    <w:rsid w:val="00442D29"/>
    <w:rsid w:val="00443CA0"/>
    <w:rsid w:val="004445B4"/>
    <w:rsid w:val="0044537F"/>
    <w:rsid w:val="004466A5"/>
    <w:rsid w:val="004500E0"/>
    <w:rsid w:val="00450E14"/>
    <w:rsid w:val="004514FD"/>
    <w:rsid w:val="00453575"/>
    <w:rsid w:val="0045388F"/>
    <w:rsid w:val="00454867"/>
    <w:rsid w:val="00456D91"/>
    <w:rsid w:val="00462C65"/>
    <w:rsid w:val="004653DE"/>
    <w:rsid w:val="004674E7"/>
    <w:rsid w:val="00467B14"/>
    <w:rsid w:val="00467D07"/>
    <w:rsid w:val="004709BF"/>
    <w:rsid w:val="004716C6"/>
    <w:rsid w:val="00471B22"/>
    <w:rsid w:val="004729A4"/>
    <w:rsid w:val="00474C65"/>
    <w:rsid w:val="00474EDA"/>
    <w:rsid w:val="00476123"/>
    <w:rsid w:val="004762AC"/>
    <w:rsid w:val="004804AA"/>
    <w:rsid w:val="00481D80"/>
    <w:rsid w:val="004824FA"/>
    <w:rsid w:val="00484011"/>
    <w:rsid w:val="004841F1"/>
    <w:rsid w:val="00485DFE"/>
    <w:rsid w:val="004866DC"/>
    <w:rsid w:val="00486B08"/>
    <w:rsid w:val="00487937"/>
    <w:rsid w:val="0049493C"/>
    <w:rsid w:val="004A1E3A"/>
    <w:rsid w:val="004A3F4A"/>
    <w:rsid w:val="004A42C5"/>
    <w:rsid w:val="004A7C07"/>
    <w:rsid w:val="004A7EBB"/>
    <w:rsid w:val="004B0739"/>
    <w:rsid w:val="004B1165"/>
    <w:rsid w:val="004B46D6"/>
    <w:rsid w:val="004B753B"/>
    <w:rsid w:val="004C0443"/>
    <w:rsid w:val="004C0BF6"/>
    <w:rsid w:val="004C3F0D"/>
    <w:rsid w:val="004C4464"/>
    <w:rsid w:val="004C4AEA"/>
    <w:rsid w:val="004C4D4C"/>
    <w:rsid w:val="004C5EFE"/>
    <w:rsid w:val="004D0430"/>
    <w:rsid w:val="004D17E6"/>
    <w:rsid w:val="004D1DAA"/>
    <w:rsid w:val="004D3FFF"/>
    <w:rsid w:val="004D4EB1"/>
    <w:rsid w:val="004D5CDE"/>
    <w:rsid w:val="004E003C"/>
    <w:rsid w:val="004E16EB"/>
    <w:rsid w:val="004E262E"/>
    <w:rsid w:val="004E35E6"/>
    <w:rsid w:val="004E6665"/>
    <w:rsid w:val="004E6EF3"/>
    <w:rsid w:val="004F3AE2"/>
    <w:rsid w:val="004F634E"/>
    <w:rsid w:val="004F67A8"/>
    <w:rsid w:val="004F69B9"/>
    <w:rsid w:val="004F7BA8"/>
    <w:rsid w:val="005030C4"/>
    <w:rsid w:val="0050324F"/>
    <w:rsid w:val="005048B0"/>
    <w:rsid w:val="0050533B"/>
    <w:rsid w:val="005053DE"/>
    <w:rsid w:val="005063E6"/>
    <w:rsid w:val="00506796"/>
    <w:rsid w:val="00506DE6"/>
    <w:rsid w:val="005070F6"/>
    <w:rsid w:val="005104A9"/>
    <w:rsid w:val="005115FA"/>
    <w:rsid w:val="00512634"/>
    <w:rsid w:val="0051407D"/>
    <w:rsid w:val="0051582C"/>
    <w:rsid w:val="00516B44"/>
    <w:rsid w:val="00516F76"/>
    <w:rsid w:val="0052195E"/>
    <w:rsid w:val="00522A50"/>
    <w:rsid w:val="00523373"/>
    <w:rsid w:val="00525E61"/>
    <w:rsid w:val="00527225"/>
    <w:rsid w:val="005301E7"/>
    <w:rsid w:val="00531E88"/>
    <w:rsid w:val="00532203"/>
    <w:rsid w:val="00532588"/>
    <w:rsid w:val="00532874"/>
    <w:rsid w:val="0053522E"/>
    <w:rsid w:val="0053557D"/>
    <w:rsid w:val="005368AD"/>
    <w:rsid w:val="00537B80"/>
    <w:rsid w:val="005410E3"/>
    <w:rsid w:val="00541E73"/>
    <w:rsid w:val="005463B1"/>
    <w:rsid w:val="005463DE"/>
    <w:rsid w:val="0054662B"/>
    <w:rsid w:val="00546DC2"/>
    <w:rsid w:val="005479D5"/>
    <w:rsid w:val="00553F54"/>
    <w:rsid w:val="005542E8"/>
    <w:rsid w:val="0055598B"/>
    <w:rsid w:val="00556630"/>
    <w:rsid w:val="0055686D"/>
    <w:rsid w:val="005572CB"/>
    <w:rsid w:val="00560C9B"/>
    <w:rsid w:val="00563469"/>
    <w:rsid w:val="00564855"/>
    <w:rsid w:val="00567D86"/>
    <w:rsid w:val="005720DD"/>
    <w:rsid w:val="00574614"/>
    <w:rsid w:val="005756D2"/>
    <w:rsid w:val="00577439"/>
    <w:rsid w:val="005800EE"/>
    <w:rsid w:val="00580222"/>
    <w:rsid w:val="00580A38"/>
    <w:rsid w:val="00580A4D"/>
    <w:rsid w:val="005830FF"/>
    <w:rsid w:val="00584B02"/>
    <w:rsid w:val="00584B0B"/>
    <w:rsid w:val="005869D6"/>
    <w:rsid w:val="00587139"/>
    <w:rsid w:val="00587581"/>
    <w:rsid w:val="00587903"/>
    <w:rsid w:val="00587C72"/>
    <w:rsid w:val="00590D43"/>
    <w:rsid w:val="00592DC1"/>
    <w:rsid w:val="00592FED"/>
    <w:rsid w:val="0059331E"/>
    <w:rsid w:val="005938D3"/>
    <w:rsid w:val="00594619"/>
    <w:rsid w:val="00594683"/>
    <w:rsid w:val="00595889"/>
    <w:rsid w:val="00597D16"/>
    <w:rsid w:val="005A0BD1"/>
    <w:rsid w:val="005A1419"/>
    <w:rsid w:val="005A2DC1"/>
    <w:rsid w:val="005A33F6"/>
    <w:rsid w:val="005A35B9"/>
    <w:rsid w:val="005A35F8"/>
    <w:rsid w:val="005A4B15"/>
    <w:rsid w:val="005A59E5"/>
    <w:rsid w:val="005B1D67"/>
    <w:rsid w:val="005B4C26"/>
    <w:rsid w:val="005B6C1A"/>
    <w:rsid w:val="005B7440"/>
    <w:rsid w:val="005C0D5E"/>
    <w:rsid w:val="005C21EA"/>
    <w:rsid w:val="005C2ACF"/>
    <w:rsid w:val="005C2BEA"/>
    <w:rsid w:val="005C6895"/>
    <w:rsid w:val="005C6D19"/>
    <w:rsid w:val="005D1862"/>
    <w:rsid w:val="005D1E2F"/>
    <w:rsid w:val="005D56AB"/>
    <w:rsid w:val="005D699F"/>
    <w:rsid w:val="005D6C11"/>
    <w:rsid w:val="005D6F14"/>
    <w:rsid w:val="005E0785"/>
    <w:rsid w:val="005E18A2"/>
    <w:rsid w:val="005E2150"/>
    <w:rsid w:val="005E2995"/>
    <w:rsid w:val="005E3F06"/>
    <w:rsid w:val="005E4B4C"/>
    <w:rsid w:val="005E59A2"/>
    <w:rsid w:val="005E60BC"/>
    <w:rsid w:val="005E7CF1"/>
    <w:rsid w:val="005F01A3"/>
    <w:rsid w:val="005F3075"/>
    <w:rsid w:val="005F311D"/>
    <w:rsid w:val="005F3B08"/>
    <w:rsid w:val="005F3FEF"/>
    <w:rsid w:val="005F4170"/>
    <w:rsid w:val="005F6867"/>
    <w:rsid w:val="005F745C"/>
    <w:rsid w:val="00600778"/>
    <w:rsid w:val="00600C4F"/>
    <w:rsid w:val="00601A93"/>
    <w:rsid w:val="0060287B"/>
    <w:rsid w:val="0060324D"/>
    <w:rsid w:val="00603AE9"/>
    <w:rsid w:val="0060608D"/>
    <w:rsid w:val="006063EF"/>
    <w:rsid w:val="00607209"/>
    <w:rsid w:val="00607F7C"/>
    <w:rsid w:val="006102DA"/>
    <w:rsid w:val="00610FBA"/>
    <w:rsid w:val="00611925"/>
    <w:rsid w:val="006142DB"/>
    <w:rsid w:val="00616090"/>
    <w:rsid w:val="00620A6B"/>
    <w:rsid w:val="006222FA"/>
    <w:rsid w:val="0062278A"/>
    <w:rsid w:val="0062341C"/>
    <w:rsid w:val="00623E79"/>
    <w:rsid w:val="006247DD"/>
    <w:rsid w:val="006255FE"/>
    <w:rsid w:val="00625609"/>
    <w:rsid w:val="00626973"/>
    <w:rsid w:val="006315A3"/>
    <w:rsid w:val="00632D5D"/>
    <w:rsid w:val="0063563E"/>
    <w:rsid w:val="006362F5"/>
    <w:rsid w:val="00640643"/>
    <w:rsid w:val="00641781"/>
    <w:rsid w:val="00641D0C"/>
    <w:rsid w:val="00646AD8"/>
    <w:rsid w:val="006470CC"/>
    <w:rsid w:val="006476BE"/>
    <w:rsid w:val="0065046C"/>
    <w:rsid w:val="006532E5"/>
    <w:rsid w:val="00656220"/>
    <w:rsid w:val="00656D65"/>
    <w:rsid w:val="00656FEF"/>
    <w:rsid w:val="006579A2"/>
    <w:rsid w:val="006632AE"/>
    <w:rsid w:val="00663AE0"/>
    <w:rsid w:val="00663F17"/>
    <w:rsid w:val="00664264"/>
    <w:rsid w:val="006657A1"/>
    <w:rsid w:val="00667C89"/>
    <w:rsid w:val="00670112"/>
    <w:rsid w:val="0067093C"/>
    <w:rsid w:val="006711EE"/>
    <w:rsid w:val="00674694"/>
    <w:rsid w:val="00674D43"/>
    <w:rsid w:val="00675E7A"/>
    <w:rsid w:val="00675F00"/>
    <w:rsid w:val="00676873"/>
    <w:rsid w:val="00677D7E"/>
    <w:rsid w:val="006809BB"/>
    <w:rsid w:val="006809FD"/>
    <w:rsid w:val="00685C9A"/>
    <w:rsid w:val="00687830"/>
    <w:rsid w:val="00691478"/>
    <w:rsid w:val="00691D1F"/>
    <w:rsid w:val="0069294A"/>
    <w:rsid w:val="00692DEB"/>
    <w:rsid w:val="00693386"/>
    <w:rsid w:val="00694C32"/>
    <w:rsid w:val="00697BAE"/>
    <w:rsid w:val="006A039E"/>
    <w:rsid w:val="006A0DA2"/>
    <w:rsid w:val="006A3898"/>
    <w:rsid w:val="006A3996"/>
    <w:rsid w:val="006A6234"/>
    <w:rsid w:val="006B082C"/>
    <w:rsid w:val="006B4DDC"/>
    <w:rsid w:val="006B51BD"/>
    <w:rsid w:val="006B5BC6"/>
    <w:rsid w:val="006B5E55"/>
    <w:rsid w:val="006B7130"/>
    <w:rsid w:val="006C1AEB"/>
    <w:rsid w:val="006C1D17"/>
    <w:rsid w:val="006C1DE6"/>
    <w:rsid w:val="006C2F5B"/>
    <w:rsid w:val="006C34E2"/>
    <w:rsid w:val="006C3B01"/>
    <w:rsid w:val="006C4DA7"/>
    <w:rsid w:val="006C544A"/>
    <w:rsid w:val="006D168A"/>
    <w:rsid w:val="006D1CB9"/>
    <w:rsid w:val="006D1E66"/>
    <w:rsid w:val="006D2377"/>
    <w:rsid w:val="006D25A1"/>
    <w:rsid w:val="006D2EB0"/>
    <w:rsid w:val="006D5CC3"/>
    <w:rsid w:val="006D5E23"/>
    <w:rsid w:val="006E069B"/>
    <w:rsid w:val="006E14E9"/>
    <w:rsid w:val="006E32EF"/>
    <w:rsid w:val="006E423C"/>
    <w:rsid w:val="006E4300"/>
    <w:rsid w:val="006E5016"/>
    <w:rsid w:val="006E54D6"/>
    <w:rsid w:val="006E5617"/>
    <w:rsid w:val="006E6669"/>
    <w:rsid w:val="006F051C"/>
    <w:rsid w:val="006F09A2"/>
    <w:rsid w:val="006F1855"/>
    <w:rsid w:val="006F3418"/>
    <w:rsid w:val="006F36C6"/>
    <w:rsid w:val="006F6856"/>
    <w:rsid w:val="006F7749"/>
    <w:rsid w:val="0070044B"/>
    <w:rsid w:val="00700A25"/>
    <w:rsid w:val="00704509"/>
    <w:rsid w:val="00704E7F"/>
    <w:rsid w:val="00705541"/>
    <w:rsid w:val="00713412"/>
    <w:rsid w:val="007145D0"/>
    <w:rsid w:val="00715CD8"/>
    <w:rsid w:val="00716F94"/>
    <w:rsid w:val="00720C28"/>
    <w:rsid w:val="00721180"/>
    <w:rsid w:val="00727E23"/>
    <w:rsid w:val="00727F44"/>
    <w:rsid w:val="00730A99"/>
    <w:rsid w:val="00731047"/>
    <w:rsid w:val="00731F63"/>
    <w:rsid w:val="00732951"/>
    <w:rsid w:val="00733441"/>
    <w:rsid w:val="007338BC"/>
    <w:rsid w:val="0073477F"/>
    <w:rsid w:val="00734C92"/>
    <w:rsid w:val="0074074C"/>
    <w:rsid w:val="00743327"/>
    <w:rsid w:val="0074356C"/>
    <w:rsid w:val="00745CA1"/>
    <w:rsid w:val="007462C7"/>
    <w:rsid w:val="00747752"/>
    <w:rsid w:val="00747BA9"/>
    <w:rsid w:val="00750315"/>
    <w:rsid w:val="0075188E"/>
    <w:rsid w:val="00752ED4"/>
    <w:rsid w:val="007541A2"/>
    <w:rsid w:val="00754567"/>
    <w:rsid w:val="00754C4C"/>
    <w:rsid w:val="00754D96"/>
    <w:rsid w:val="0075502B"/>
    <w:rsid w:val="00757B0A"/>
    <w:rsid w:val="0076001C"/>
    <w:rsid w:val="00760E12"/>
    <w:rsid w:val="00761734"/>
    <w:rsid w:val="0076344F"/>
    <w:rsid w:val="00763CF3"/>
    <w:rsid w:val="007643A9"/>
    <w:rsid w:val="00764B07"/>
    <w:rsid w:val="0076563B"/>
    <w:rsid w:val="00770861"/>
    <w:rsid w:val="00770BDF"/>
    <w:rsid w:val="00770C5F"/>
    <w:rsid w:val="00771AD9"/>
    <w:rsid w:val="00772293"/>
    <w:rsid w:val="00773694"/>
    <w:rsid w:val="007744AF"/>
    <w:rsid w:val="00774689"/>
    <w:rsid w:val="007748FA"/>
    <w:rsid w:val="007762F8"/>
    <w:rsid w:val="00776981"/>
    <w:rsid w:val="00780FEC"/>
    <w:rsid w:val="00781AE3"/>
    <w:rsid w:val="00781D87"/>
    <w:rsid w:val="00783C75"/>
    <w:rsid w:val="00784619"/>
    <w:rsid w:val="00784735"/>
    <w:rsid w:val="007861BB"/>
    <w:rsid w:val="0078627B"/>
    <w:rsid w:val="0078765B"/>
    <w:rsid w:val="00790AC2"/>
    <w:rsid w:val="007921F1"/>
    <w:rsid w:val="0079339E"/>
    <w:rsid w:val="00794E32"/>
    <w:rsid w:val="00794E43"/>
    <w:rsid w:val="00795B4F"/>
    <w:rsid w:val="0079770F"/>
    <w:rsid w:val="007A0422"/>
    <w:rsid w:val="007A0D73"/>
    <w:rsid w:val="007A5848"/>
    <w:rsid w:val="007B21F0"/>
    <w:rsid w:val="007B305A"/>
    <w:rsid w:val="007B5180"/>
    <w:rsid w:val="007B5CAB"/>
    <w:rsid w:val="007B7474"/>
    <w:rsid w:val="007C25AB"/>
    <w:rsid w:val="007C2A38"/>
    <w:rsid w:val="007C32C5"/>
    <w:rsid w:val="007C34EB"/>
    <w:rsid w:val="007C3FEA"/>
    <w:rsid w:val="007C502E"/>
    <w:rsid w:val="007C68D3"/>
    <w:rsid w:val="007C6D49"/>
    <w:rsid w:val="007D0E8A"/>
    <w:rsid w:val="007D1F2D"/>
    <w:rsid w:val="007D313F"/>
    <w:rsid w:val="007D3DCC"/>
    <w:rsid w:val="007D3F8B"/>
    <w:rsid w:val="007D4539"/>
    <w:rsid w:val="007D60F4"/>
    <w:rsid w:val="007D6163"/>
    <w:rsid w:val="007D7153"/>
    <w:rsid w:val="007E575D"/>
    <w:rsid w:val="007E57CD"/>
    <w:rsid w:val="007E6AEF"/>
    <w:rsid w:val="007E791C"/>
    <w:rsid w:val="007F249F"/>
    <w:rsid w:val="007F2EC5"/>
    <w:rsid w:val="007F399B"/>
    <w:rsid w:val="007F5776"/>
    <w:rsid w:val="007F709D"/>
    <w:rsid w:val="00800346"/>
    <w:rsid w:val="00800C3C"/>
    <w:rsid w:val="0080231B"/>
    <w:rsid w:val="00803546"/>
    <w:rsid w:val="00804760"/>
    <w:rsid w:val="00806F62"/>
    <w:rsid w:val="008113A4"/>
    <w:rsid w:val="00815A50"/>
    <w:rsid w:val="00815C7D"/>
    <w:rsid w:val="00817941"/>
    <w:rsid w:val="008229E4"/>
    <w:rsid w:val="00823547"/>
    <w:rsid w:val="0082558D"/>
    <w:rsid w:val="008261AB"/>
    <w:rsid w:val="00826517"/>
    <w:rsid w:val="008269AB"/>
    <w:rsid w:val="00827A04"/>
    <w:rsid w:val="00830372"/>
    <w:rsid w:val="00830765"/>
    <w:rsid w:val="00831E6C"/>
    <w:rsid w:val="00834C91"/>
    <w:rsid w:val="00835975"/>
    <w:rsid w:val="00835CA7"/>
    <w:rsid w:val="00835EB0"/>
    <w:rsid w:val="008370D4"/>
    <w:rsid w:val="008373EA"/>
    <w:rsid w:val="00841009"/>
    <w:rsid w:val="008414AD"/>
    <w:rsid w:val="008428D9"/>
    <w:rsid w:val="00842C6A"/>
    <w:rsid w:val="008474F1"/>
    <w:rsid w:val="00847F7D"/>
    <w:rsid w:val="00850783"/>
    <w:rsid w:val="00852A87"/>
    <w:rsid w:val="00853623"/>
    <w:rsid w:val="00855E8E"/>
    <w:rsid w:val="00856CDB"/>
    <w:rsid w:val="00856E4C"/>
    <w:rsid w:val="008571C6"/>
    <w:rsid w:val="008578F0"/>
    <w:rsid w:val="008602FC"/>
    <w:rsid w:val="008606C4"/>
    <w:rsid w:val="00861637"/>
    <w:rsid w:val="008634DD"/>
    <w:rsid w:val="00863B89"/>
    <w:rsid w:val="00863C51"/>
    <w:rsid w:val="008641E5"/>
    <w:rsid w:val="008651F7"/>
    <w:rsid w:val="008661BB"/>
    <w:rsid w:val="008665C4"/>
    <w:rsid w:val="00867D4C"/>
    <w:rsid w:val="008705AC"/>
    <w:rsid w:val="008715E7"/>
    <w:rsid w:val="0087239A"/>
    <w:rsid w:val="00876C9A"/>
    <w:rsid w:val="00876EB0"/>
    <w:rsid w:val="00877554"/>
    <w:rsid w:val="008806C6"/>
    <w:rsid w:val="008811D0"/>
    <w:rsid w:val="008817E7"/>
    <w:rsid w:val="00881D78"/>
    <w:rsid w:val="00883C3D"/>
    <w:rsid w:val="00884323"/>
    <w:rsid w:val="0088467A"/>
    <w:rsid w:val="008846D9"/>
    <w:rsid w:val="00884C1B"/>
    <w:rsid w:val="00884DB9"/>
    <w:rsid w:val="008868FE"/>
    <w:rsid w:val="00886EF9"/>
    <w:rsid w:val="008874A8"/>
    <w:rsid w:val="00892F35"/>
    <w:rsid w:val="00896001"/>
    <w:rsid w:val="008A2B62"/>
    <w:rsid w:val="008A2F93"/>
    <w:rsid w:val="008A64EB"/>
    <w:rsid w:val="008A7037"/>
    <w:rsid w:val="008B0E55"/>
    <w:rsid w:val="008B44CF"/>
    <w:rsid w:val="008B47F2"/>
    <w:rsid w:val="008B659B"/>
    <w:rsid w:val="008C0AAD"/>
    <w:rsid w:val="008C12B2"/>
    <w:rsid w:val="008C14CD"/>
    <w:rsid w:val="008C1D99"/>
    <w:rsid w:val="008C3711"/>
    <w:rsid w:val="008C3810"/>
    <w:rsid w:val="008C408E"/>
    <w:rsid w:val="008C59E7"/>
    <w:rsid w:val="008C67D2"/>
    <w:rsid w:val="008C7B86"/>
    <w:rsid w:val="008C7E29"/>
    <w:rsid w:val="008D072B"/>
    <w:rsid w:val="008D2499"/>
    <w:rsid w:val="008D4BE8"/>
    <w:rsid w:val="008D5E36"/>
    <w:rsid w:val="008D6EC6"/>
    <w:rsid w:val="008E0524"/>
    <w:rsid w:val="008E0683"/>
    <w:rsid w:val="008E27A2"/>
    <w:rsid w:val="008E3D8D"/>
    <w:rsid w:val="008E487F"/>
    <w:rsid w:val="008E613F"/>
    <w:rsid w:val="008E672B"/>
    <w:rsid w:val="008E6F23"/>
    <w:rsid w:val="008E7F2F"/>
    <w:rsid w:val="008F15EC"/>
    <w:rsid w:val="008F4327"/>
    <w:rsid w:val="008F64AE"/>
    <w:rsid w:val="0090024C"/>
    <w:rsid w:val="00902DD9"/>
    <w:rsid w:val="00904E70"/>
    <w:rsid w:val="00905284"/>
    <w:rsid w:val="00906AA3"/>
    <w:rsid w:val="00911486"/>
    <w:rsid w:val="0091166B"/>
    <w:rsid w:val="009129CA"/>
    <w:rsid w:val="00912BEE"/>
    <w:rsid w:val="0091444C"/>
    <w:rsid w:val="009160E0"/>
    <w:rsid w:val="00916A71"/>
    <w:rsid w:val="00917265"/>
    <w:rsid w:val="00917A84"/>
    <w:rsid w:val="009206B6"/>
    <w:rsid w:val="00921932"/>
    <w:rsid w:val="00921B84"/>
    <w:rsid w:val="009244A9"/>
    <w:rsid w:val="009252DC"/>
    <w:rsid w:val="009252F5"/>
    <w:rsid w:val="009263C1"/>
    <w:rsid w:val="00927B2B"/>
    <w:rsid w:val="00933A72"/>
    <w:rsid w:val="009352D9"/>
    <w:rsid w:val="00936C8A"/>
    <w:rsid w:val="00937737"/>
    <w:rsid w:val="00941298"/>
    <w:rsid w:val="00941B4F"/>
    <w:rsid w:val="0094228D"/>
    <w:rsid w:val="00942554"/>
    <w:rsid w:val="00942B5E"/>
    <w:rsid w:val="0094498C"/>
    <w:rsid w:val="00944CD3"/>
    <w:rsid w:val="0094610A"/>
    <w:rsid w:val="00947823"/>
    <w:rsid w:val="009518C0"/>
    <w:rsid w:val="009527B4"/>
    <w:rsid w:val="00954C7B"/>
    <w:rsid w:val="00963B2F"/>
    <w:rsid w:val="00963CE3"/>
    <w:rsid w:val="00964F18"/>
    <w:rsid w:val="00965D68"/>
    <w:rsid w:val="009661ED"/>
    <w:rsid w:val="00967236"/>
    <w:rsid w:val="00967AD2"/>
    <w:rsid w:val="00971176"/>
    <w:rsid w:val="00972B15"/>
    <w:rsid w:val="009739E7"/>
    <w:rsid w:val="009741B1"/>
    <w:rsid w:val="00974424"/>
    <w:rsid w:val="00974FB3"/>
    <w:rsid w:val="00975BB4"/>
    <w:rsid w:val="00981CC3"/>
    <w:rsid w:val="0098287B"/>
    <w:rsid w:val="00983A56"/>
    <w:rsid w:val="00984A85"/>
    <w:rsid w:val="00987F76"/>
    <w:rsid w:val="009927EC"/>
    <w:rsid w:val="00993088"/>
    <w:rsid w:val="00993621"/>
    <w:rsid w:val="009961EA"/>
    <w:rsid w:val="0099664F"/>
    <w:rsid w:val="00996DBA"/>
    <w:rsid w:val="00997A88"/>
    <w:rsid w:val="00997D5D"/>
    <w:rsid w:val="009A03E1"/>
    <w:rsid w:val="009A0447"/>
    <w:rsid w:val="009A21A6"/>
    <w:rsid w:val="009A2CE5"/>
    <w:rsid w:val="009A4B59"/>
    <w:rsid w:val="009A5C1A"/>
    <w:rsid w:val="009A79E7"/>
    <w:rsid w:val="009A7B02"/>
    <w:rsid w:val="009B187F"/>
    <w:rsid w:val="009B25DD"/>
    <w:rsid w:val="009B4709"/>
    <w:rsid w:val="009B4A51"/>
    <w:rsid w:val="009B580F"/>
    <w:rsid w:val="009C21D0"/>
    <w:rsid w:val="009C28B1"/>
    <w:rsid w:val="009C3337"/>
    <w:rsid w:val="009C61AD"/>
    <w:rsid w:val="009C6697"/>
    <w:rsid w:val="009C66CA"/>
    <w:rsid w:val="009C6846"/>
    <w:rsid w:val="009C7381"/>
    <w:rsid w:val="009D373D"/>
    <w:rsid w:val="009D436B"/>
    <w:rsid w:val="009D5927"/>
    <w:rsid w:val="009D7B2C"/>
    <w:rsid w:val="009E0801"/>
    <w:rsid w:val="009E1D05"/>
    <w:rsid w:val="009E490B"/>
    <w:rsid w:val="009E6C86"/>
    <w:rsid w:val="009E73D5"/>
    <w:rsid w:val="009F0CBC"/>
    <w:rsid w:val="009F0EE6"/>
    <w:rsid w:val="009F252F"/>
    <w:rsid w:val="009F3774"/>
    <w:rsid w:val="009F7380"/>
    <w:rsid w:val="009F7679"/>
    <w:rsid w:val="009F7DE0"/>
    <w:rsid w:val="00A05973"/>
    <w:rsid w:val="00A06ACB"/>
    <w:rsid w:val="00A06BCB"/>
    <w:rsid w:val="00A110B3"/>
    <w:rsid w:val="00A11B0C"/>
    <w:rsid w:val="00A143FC"/>
    <w:rsid w:val="00A1667A"/>
    <w:rsid w:val="00A2014E"/>
    <w:rsid w:val="00A211BF"/>
    <w:rsid w:val="00A21A23"/>
    <w:rsid w:val="00A22E99"/>
    <w:rsid w:val="00A26C7E"/>
    <w:rsid w:val="00A30C2F"/>
    <w:rsid w:val="00A33561"/>
    <w:rsid w:val="00A3396D"/>
    <w:rsid w:val="00A33B35"/>
    <w:rsid w:val="00A33E90"/>
    <w:rsid w:val="00A34718"/>
    <w:rsid w:val="00A35B5F"/>
    <w:rsid w:val="00A35DF1"/>
    <w:rsid w:val="00A36419"/>
    <w:rsid w:val="00A36CF4"/>
    <w:rsid w:val="00A4362F"/>
    <w:rsid w:val="00A437AF"/>
    <w:rsid w:val="00A44056"/>
    <w:rsid w:val="00A44921"/>
    <w:rsid w:val="00A44AD9"/>
    <w:rsid w:val="00A51210"/>
    <w:rsid w:val="00A534FA"/>
    <w:rsid w:val="00A54D05"/>
    <w:rsid w:val="00A56B10"/>
    <w:rsid w:val="00A578C2"/>
    <w:rsid w:val="00A624D7"/>
    <w:rsid w:val="00A65E78"/>
    <w:rsid w:val="00A67092"/>
    <w:rsid w:val="00A70941"/>
    <w:rsid w:val="00A71B83"/>
    <w:rsid w:val="00A72652"/>
    <w:rsid w:val="00A73EEC"/>
    <w:rsid w:val="00A74AC0"/>
    <w:rsid w:val="00A75D1C"/>
    <w:rsid w:val="00A76133"/>
    <w:rsid w:val="00A771B4"/>
    <w:rsid w:val="00A77868"/>
    <w:rsid w:val="00A809AA"/>
    <w:rsid w:val="00A837CC"/>
    <w:rsid w:val="00A838EB"/>
    <w:rsid w:val="00A84044"/>
    <w:rsid w:val="00A849B3"/>
    <w:rsid w:val="00A8510D"/>
    <w:rsid w:val="00A85839"/>
    <w:rsid w:val="00A858CE"/>
    <w:rsid w:val="00A86AF3"/>
    <w:rsid w:val="00A8708D"/>
    <w:rsid w:val="00A903F7"/>
    <w:rsid w:val="00A908A6"/>
    <w:rsid w:val="00A90AFF"/>
    <w:rsid w:val="00A90BDC"/>
    <w:rsid w:val="00A92023"/>
    <w:rsid w:val="00A9327A"/>
    <w:rsid w:val="00A945A8"/>
    <w:rsid w:val="00A95477"/>
    <w:rsid w:val="00A9751A"/>
    <w:rsid w:val="00A975A9"/>
    <w:rsid w:val="00A97EFB"/>
    <w:rsid w:val="00AA17AF"/>
    <w:rsid w:val="00AA1C38"/>
    <w:rsid w:val="00AA1D62"/>
    <w:rsid w:val="00AA3192"/>
    <w:rsid w:val="00AA472C"/>
    <w:rsid w:val="00AA6F01"/>
    <w:rsid w:val="00AA7429"/>
    <w:rsid w:val="00AB0486"/>
    <w:rsid w:val="00AB251E"/>
    <w:rsid w:val="00AB35F4"/>
    <w:rsid w:val="00AB3608"/>
    <w:rsid w:val="00AB4757"/>
    <w:rsid w:val="00AB4FAF"/>
    <w:rsid w:val="00AB6377"/>
    <w:rsid w:val="00AC05C7"/>
    <w:rsid w:val="00AC1272"/>
    <w:rsid w:val="00AC1F8E"/>
    <w:rsid w:val="00AC28D0"/>
    <w:rsid w:val="00AC448E"/>
    <w:rsid w:val="00AC5C48"/>
    <w:rsid w:val="00AC63E3"/>
    <w:rsid w:val="00AC6B2F"/>
    <w:rsid w:val="00AD0A4C"/>
    <w:rsid w:val="00AD3F08"/>
    <w:rsid w:val="00AD5084"/>
    <w:rsid w:val="00AD7007"/>
    <w:rsid w:val="00AD7ADB"/>
    <w:rsid w:val="00AE0237"/>
    <w:rsid w:val="00AE0AE8"/>
    <w:rsid w:val="00AE4984"/>
    <w:rsid w:val="00AE52B9"/>
    <w:rsid w:val="00AE6E39"/>
    <w:rsid w:val="00AF0CF4"/>
    <w:rsid w:val="00AF2252"/>
    <w:rsid w:val="00AF28C0"/>
    <w:rsid w:val="00AF3D04"/>
    <w:rsid w:val="00AF67AF"/>
    <w:rsid w:val="00AF67F4"/>
    <w:rsid w:val="00B00973"/>
    <w:rsid w:val="00B0098C"/>
    <w:rsid w:val="00B00B12"/>
    <w:rsid w:val="00B02E25"/>
    <w:rsid w:val="00B04725"/>
    <w:rsid w:val="00B04A46"/>
    <w:rsid w:val="00B04DB7"/>
    <w:rsid w:val="00B10CEB"/>
    <w:rsid w:val="00B1129F"/>
    <w:rsid w:val="00B11D61"/>
    <w:rsid w:val="00B12F51"/>
    <w:rsid w:val="00B135A4"/>
    <w:rsid w:val="00B14CA7"/>
    <w:rsid w:val="00B15078"/>
    <w:rsid w:val="00B15384"/>
    <w:rsid w:val="00B1718E"/>
    <w:rsid w:val="00B17DEA"/>
    <w:rsid w:val="00B2096D"/>
    <w:rsid w:val="00B20D49"/>
    <w:rsid w:val="00B22278"/>
    <w:rsid w:val="00B24147"/>
    <w:rsid w:val="00B2506A"/>
    <w:rsid w:val="00B26765"/>
    <w:rsid w:val="00B2751E"/>
    <w:rsid w:val="00B34029"/>
    <w:rsid w:val="00B34375"/>
    <w:rsid w:val="00B34581"/>
    <w:rsid w:val="00B3498D"/>
    <w:rsid w:val="00B34ABC"/>
    <w:rsid w:val="00B35868"/>
    <w:rsid w:val="00B3639B"/>
    <w:rsid w:val="00B3650C"/>
    <w:rsid w:val="00B37DF3"/>
    <w:rsid w:val="00B37E0E"/>
    <w:rsid w:val="00B4008B"/>
    <w:rsid w:val="00B43AFE"/>
    <w:rsid w:val="00B45B1E"/>
    <w:rsid w:val="00B47055"/>
    <w:rsid w:val="00B476C4"/>
    <w:rsid w:val="00B4770B"/>
    <w:rsid w:val="00B502E4"/>
    <w:rsid w:val="00B61FC6"/>
    <w:rsid w:val="00B62737"/>
    <w:rsid w:val="00B631A3"/>
    <w:rsid w:val="00B63CF3"/>
    <w:rsid w:val="00B64BFA"/>
    <w:rsid w:val="00B6754E"/>
    <w:rsid w:val="00B71E63"/>
    <w:rsid w:val="00B73116"/>
    <w:rsid w:val="00B75CC2"/>
    <w:rsid w:val="00B7693A"/>
    <w:rsid w:val="00B77530"/>
    <w:rsid w:val="00B83212"/>
    <w:rsid w:val="00B85DE4"/>
    <w:rsid w:val="00B87AAD"/>
    <w:rsid w:val="00B90102"/>
    <w:rsid w:val="00B91A31"/>
    <w:rsid w:val="00B92CFE"/>
    <w:rsid w:val="00B937F5"/>
    <w:rsid w:val="00B94C57"/>
    <w:rsid w:val="00B97848"/>
    <w:rsid w:val="00BA114F"/>
    <w:rsid w:val="00BA1339"/>
    <w:rsid w:val="00BA15C7"/>
    <w:rsid w:val="00BA18A4"/>
    <w:rsid w:val="00BA1C41"/>
    <w:rsid w:val="00BA3C90"/>
    <w:rsid w:val="00BA4AB6"/>
    <w:rsid w:val="00BA50D9"/>
    <w:rsid w:val="00BA6C28"/>
    <w:rsid w:val="00BA6DB4"/>
    <w:rsid w:val="00BA745C"/>
    <w:rsid w:val="00BB03C2"/>
    <w:rsid w:val="00BB090C"/>
    <w:rsid w:val="00BB4434"/>
    <w:rsid w:val="00BB4DD7"/>
    <w:rsid w:val="00BB5541"/>
    <w:rsid w:val="00BB7D16"/>
    <w:rsid w:val="00BC17C7"/>
    <w:rsid w:val="00BC196B"/>
    <w:rsid w:val="00BC364C"/>
    <w:rsid w:val="00BC3F3C"/>
    <w:rsid w:val="00BC5304"/>
    <w:rsid w:val="00BC58AD"/>
    <w:rsid w:val="00BC5BB2"/>
    <w:rsid w:val="00BC5E56"/>
    <w:rsid w:val="00BD025A"/>
    <w:rsid w:val="00BD3B60"/>
    <w:rsid w:val="00BD3EA2"/>
    <w:rsid w:val="00BD56AF"/>
    <w:rsid w:val="00BD5BCD"/>
    <w:rsid w:val="00BD6256"/>
    <w:rsid w:val="00BD65EF"/>
    <w:rsid w:val="00BD6FD5"/>
    <w:rsid w:val="00BE0667"/>
    <w:rsid w:val="00BE1771"/>
    <w:rsid w:val="00BE237E"/>
    <w:rsid w:val="00BE4E86"/>
    <w:rsid w:val="00BE738E"/>
    <w:rsid w:val="00BF02D2"/>
    <w:rsid w:val="00BF11A1"/>
    <w:rsid w:val="00BF2633"/>
    <w:rsid w:val="00BF38B6"/>
    <w:rsid w:val="00BF3F54"/>
    <w:rsid w:val="00C00697"/>
    <w:rsid w:val="00C017EF"/>
    <w:rsid w:val="00C0376C"/>
    <w:rsid w:val="00C03FB9"/>
    <w:rsid w:val="00C06C9E"/>
    <w:rsid w:val="00C06D77"/>
    <w:rsid w:val="00C14BA6"/>
    <w:rsid w:val="00C162CA"/>
    <w:rsid w:val="00C1643C"/>
    <w:rsid w:val="00C2155C"/>
    <w:rsid w:val="00C217F7"/>
    <w:rsid w:val="00C240D0"/>
    <w:rsid w:val="00C24502"/>
    <w:rsid w:val="00C24526"/>
    <w:rsid w:val="00C25CF4"/>
    <w:rsid w:val="00C3249E"/>
    <w:rsid w:val="00C32940"/>
    <w:rsid w:val="00C3423C"/>
    <w:rsid w:val="00C3485C"/>
    <w:rsid w:val="00C34C42"/>
    <w:rsid w:val="00C350AF"/>
    <w:rsid w:val="00C35888"/>
    <w:rsid w:val="00C35C44"/>
    <w:rsid w:val="00C4030C"/>
    <w:rsid w:val="00C4039D"/>
    <w:rsid w:val="00C4088C"/>
    <w:rsid w:val="00C41623"/>
    <w:rsid w:val="00C4478B"/>
    <w:rsid w:val="00C45314"/>
    <w:rsid w:val="00C46FE1"/>
    <w:rsid w:val="00C473F9"/>
    <w:rsid w:val="00C503B3"/>
    <w:rsid w:val="00C50CD8"/>
    <w:rsid w:val="00C52386"/>
    <w:rsid w:val="00C52955"/>
    <w:rsid w:val="00C5437B"/>
    <w:rsid w:val="00C544A4"/>
    <w:rsid w:val="00C545F8"/>
    <w:rsid w:val="00C55242"/>
    <w:rsid w:val="00C562EC"/>
    <w:rsid w:val="00C57115"/>
    <w:rsid w:val="00C601E6"/>
    <w:rsid w:val="00C618CF"/>
    <w:rsid w:val="00C619F8"/>
    <w:rsid w:val="00C62F88"/>
    <w:rsid w:val="00C64E35"/>
    <w:rsid w:val="00C66B65"/>
    <w:rsid w:val="00C704AB"/>
    <w:rsid w:val="00C74077"/>
    <w:rsid w:val="00C7459D"/>
    <w:rsid w:val="00C749BB"/>
    <w:rsid w:val="00C75E51"/>
    <w:rsid w:val="00C7604B"/>
    <w:rsid w:val="00C7607A"/>
    <w:rsid w:val="00C768E5"/>
    <w:rsid w:val="00C807DD"/>
    <w:rsid w:val="00C82916"/>
    <w:rsid w:val="00C8588F"/>
    <w:rsid w:val="00C85E75"/>
    <w:rsid w:val="00C87D78"/>
    <w:rsid w:val="00C9042C"/>
    <w:rsid w:val="00C918F4"/>
    <w:rsid w:val="00C943EB"/>
    <w:rsid w:val="00CA0EB1"/>
    <w:rsid w:val="00CA2004"/>
    <w:rsid w:val="00CA29B9"/>
    <w:rsid w:val="00CA2F97"/>
    <w:rsid w:val="00CA32FE"/>
    <w:rsid w:val="00CA4518"/>
    <w:rsid w:val="00CA5840"/>
    <w:rsid w:val="00CA59FB"/>
    <w:rsid w:val="00CA5B99"/>
    <w:rsid w:val="00CA7741"/>
    <w:rsid w:val="00CA7E24"/>
    <w:rsid w:val="00CB0933"/>
    <w:rsid w:val="00CB0DD6"/>
    <w:rsid w:val="00CB334D"/>
    <w:rsid w:val="00CB56D5"/>
    <w:rsid w:val="00CB6242"/>
    <w:rsid w:val="00CB7417"/>
    <w:rsid w:val="00CB7A1D"/>
    <w:rsid w:val="00CC3EFA"/>
    <w:rsid w:val="00CC4737"/>
    <w:rsid w:val="00CC4CDF"/>
    <w:rsid w:val="00CC4DAB"/>
    <w:rsid w:val="00CC5F64"/>
    <w:rsid w:val="00CC7188"/>
    <w:rsid w:val="00CC76CD"/>
    <w:rsid w:val="00CD098B"/>
    <w:rsid w:val="00CD0EBB"/>
    <w:rsid w:val="00CD120A"/>
    <w:rsid w:val="00CD1EA8"/>
    <w:rsid w:val="00CD285E"/>
    <w:rsid w:val="00CD3569"/>
    <w:rsid w:val="00CD399B"/>
    <w:rsid w:val="00CD3AF6"/>
    <w:rsid w:val="00CD6277"/>
    <w:rsid w:val="00CD6E30"/>
    <w:rsid w:val="00CE36D0"/>
    <w:rsid w:val="00CE458E"/>
    <w:rsid w:val="00CE4B57"/>
    <w:rsid w:val="00CE5A9A"/>
    <w:rsid w:val="00CE639E"/>
    <w:rsid w:val="00CE65C4"/>
    <w:rsid w:val="00CE7332"/>
    <w:rsid w:val="00CF0069"/>
    <w:rsid w:val="00CF00B2"/>
    <w:rsid w:val="00CF1227"/>
    <w:rsid w:val="00CF1BD0"/>
    <w:rsid w:val="00CF2A64"/>
    <w:rsid w:val="00CF3DC0"/>
    <w:rsid w:val="00CF51D2"/>
    <w:rsid w:val="00CF5ABD"/>
    <w:rsid w:val="00CF63CE"/>
    <w:rsid w:val="00D00947"/>
    <w:rsid w:val="00D02688"/>
    <w:rsid w:val="00D02782"/>
    <w:rsid w:val="00D04741"/>
    <w:rsid w:val="00D067C1"/>
    <w:rsid w:val="00D06816"/>
    <w:rsid w:val="00D071A6"/>
    <w:rsid w:val="00D12A6F"/>
    <w:rsid w:val="00D1343B"/>
    <w:rsid w:val="00D13B13"/>
    <w:rsid w:val="00D15831"/>
    <w:rsid w:val="00D16E78"/>
    <w:rsid w:val="00D1766C"/>
    <w:rsid w:val="00D17AFF"/>
    <w:rsid w:val="00D201D3"/>
    <w:rsid w:val="00D210DE"/>
    <w:rsid w:val="00D267D5"/>
    <w:rsid w:val="00D26A64"/>
    <w:rsid w:val="00D302EB"/>
    <w:rsid w:val="00D3096F"/>
    <w:rsid w:val="00D30AA5"/>
    <w:rsid w:val="00D312C4"/>
    <w:rsid w:val="00D31720"/>
    <w:rsid w:val="00D33A6A"/>
    <w:rsid w:val="00D340AB"/>
    <w:rsid w:val="00D35931"/>
    <w:rsid w:val="00D3788E"/>
    <w:rsid w:val="00D40EEA"/>
    <w:rsid w:val="00D44CF6"/>
    <w:rsid w:val="00D45030"/>
    <w:rsid w:val="00D461EF"/>
    <w:rsid w:val="00D47DCB"/>
    <w:rsid w:val="00D51854"/>
    <w:rsid w:val="00D52B9A"/>
    <w:rsid w:val="00D531CE"/>
    <w:rsid w:val="00D5367E"/>
    <w:rsid w:val="00D53B1E"/>
    <w:rsid w:val="00D5409C"/>
    <w:rsid w:val="00D5422D"/>
    <w:rsid w:val="00D55C1D"/>
    <w:rsid w:val="00D57E5C"/>
    <w:rsid w:val="00D6105F"/>
    <w:rsid w:val="00D61AD2"/>
    <w:rsid w:val="00D63229"/>
    <w:rsid w:val="00D65A88"/>
    <w:rsid w:val="00D65B95"/>
    <w:rsid w:val="00D67CFA"/>
    <w:rsid w:val="00D67F62"/>
    <w:rsid w:val="00D71B9B"/>
    <w:rsid w:val="00D71C1C"/>
    <w:rsid w:val="00D728A5"/>
    <w:rsid w:val="00D72A91"/>
    <w:rsid w:val="00D72AD5"/>
    <w:rsid w:val="00D746F0"/>
    <w:rsid w:val="00D7568A"/>
    <w:rsid w:val="00D75750"/>
    <w:rsid w:val="00D75B32"/>
    <w:rsid w:val="00D775DF"/>
    <w:rsid w:val="00D82D19"/>
    <w:rsid w:val="00D84EF0"/>
    <w:rsid w:val="00D850EB"/>
    <w:rsid w:val="00D85956"/>
    <w:rsid w:val="00D861ED"/>
    <w:rsid w:val="00D87309"/>
    <w:rsid w:val="00D873E0"/>
    <w:rsid w:val="00D902C0"/>
    <w:rsid w:val="00D907E7"/>
    <w:rsid w:val="00D92E05"/>
    <w:rsid w:val="00D941E3"/>
    <w:rsid w:val="00D94F8B"/>
    <w:rsid w:val="00D951BF"/>
    <w:rsid w:val="00D9593A"/>
    <w:rsid w:val="00D95FBF"/>
    <w:rsid w:val="00D963D8"/>
    <w:rsid w:val="00D96D72"/>
    <w:rsid w:val="00DA019E"/>
    <w:rsid w:val="00DA1EE2"/>
    <w:rsid w:val="00DA547D"/>
    <w:rsid w:val="00DA5988"/>
    <w:rsid w:val="00DB234B"/>
    <w:rsid w:val="00DB290F"/>
    <w:rsid w:val="00DB3E60"/>
    <w:rsid w:val="00DB4FCA"/>
    <w:rsid w:val="00DB5735"/>
    <w:rsid w:val="00DB6396"/>
    <w:rsid w:val="00DB63BF"/>
    <w:rsid w:val="00DB7F78"/>
    <w:rsid w:val="00DC0184"/>
    <w:rsid w:val="00DC0641"/>
    <w:rsid w:val="00DC317C"/>
    <w:rsid w:val="00DC423B"/>
    <w:rsid w:val="00DC4928"/>
    <w:rsid w:val="00DC4FF2"/>
    <w:rsid w:val="00DC5FDC"/>
    <w:rsid w:val="00DC66A8"/>
    <w:rsid w:val="00DC79CC"/>
    <w:rsid w:val="00DD0CFC"/>
    <w:rsid w:val="00DD3A88"/>
    <w:rsid w:val="00DD4B9D"/>
    <w:rsid w:val="00DD60BE"/>
    <w:rsid w:val="00DD7BF0"/>
    <w:rsid w:val="00DE064B"/>
    <w:rsid w:val="00DE1B6A"/>
    <w:rsid w:val="00DE1D3E"/>
    <w:rsid w:val="00DE23FE"/>
    <w:rsid w:val="00DE2A94"/>
    <w:rsid w:val="00DE400E"/>
    <w:rsid w:val="00DE55BF"/>
    <w:rsid w:val="00DE791C"/>
    <w:rsid w:val="00DF0069"/>
    <w:rsid w:val="00DF34E8"/>
    <w:rsid w:val="00DF3C28"/>
    <w:rsid w:val="00DF43EB"/>
    <w:rsid w:val="00E014C7"/>
    <w:rsid w:val="00E0303A"/>
    <w:rsid w:val="00E10D39"/>
    <w:rsid w:val="00E12633"/>
    <w:rsid w:val="00E12DDE"/>
    <w:rsid w:val="00E134F4"/>
    <w:rsid w:val="00E162E0"/>
    <w:rsid w:val="00E16E49"/>
    <w:rsid w:val="00E2033F"/>
    <w:rsid w:val="00E2083F"/>
    <w:rsid w:val="00E20D75"/>
    <w:rsid w:val="00E23516"/>
    <w:rsid w:val="00E23568"/>
    <w:rsid w:val="00E245B5"/>
    <w:rsid w:val="00E24ADF"/>
    <w:rsid w:val="00E251E1"/>
    <w:rsid w:val="00E27AC2"/>
    <w:rsid w:val="00E33E1B"/>
    <w:rsid w:val="00E34D3E"/>
    <w:rsid w:val="00E36A9D"/>
    <w:rsid w:val="00E41E0D"/>
    <w:rsid w:val="00E42726"/>
    <w:rsid w:val="00E432C8"/>
    <w:rsid w:val="00E44F20"/>
    <w:rsid w:val="00E46C95"/>
    <w:rsid w:val="00E519C3"/>
    <w:rsid w:val="00E52245"/>
    <w:rsid w:val="00E545E5"/>
    <w:rsid w:val="00E54DD7"/>
    <w:rsid w:val="00E55A55"/>
    <w:rsid w:val="00E57579"/>
    <w:rsid w:val="00E60174"/>
    <w:rsid w:val="00E61A25"/>
    <w:rsid w:val="00E62BD2"/>
    <w:rsid w:val="00E63C4A"/>
    <w:rsid w:val="00E647FB"/>
    <w:rsid w:val="00E64849"/>
    <w:rsid w:val="00E65E38"/>
    <w:rsid w:val="00E6693B"/>
    <w:rsid w:val="00E66EE5"/>
    <w:rsid w:val="00E67409"/>
    <w:rsid w:val="00E6756D"/>
    <w:rsid w:val="00E71C4E"/>
    <w:rsid w:val="00E720E9"/>
    <w:rsid w:val="00E74312"/>
    <w:rsid w:val="00E751A6"/>
    <w:rsid w:val="00E760B9"/>
    <w:rsid w:val="00E7654E"/>
    <w:rsid w:val="00E77651"/>
    <w:rsid w:val="00E816D9"/>
    <w:rsid w:val="00E81C5E"/>
    <w:rsid w:val="00E83B3C"/>
    <w:rsid w:val="00E867C5"/>
    <w:rsid w:val="00E86DC3"/>
    <w:rsid w:val="00E8736B"/>
    <w:rsid w:val="00E87ED2"/>
    <w:rsid w:val="00E90275"/>
    <w:rsid w:val="00E92521"/>
    <w:rsid w:val="00E925D4"/>
    <w:rsid w:val="00E9465D"/>
    <w:rsid w:val="00E95562"/>
    <w:rsid w:val="00E97226"/>
    <w:rsid w:val="00EA0D1A"/>
    <w:rsid w:val="00EA245C"/>
    <w:rsid w:val="00EA260E"/>
    <w:rsid w:val="00EA2B44"/>
    <w:rsid w:val="00EA2E80"/>
    <w:rsid w:val="00EA33EF"/>
    <w:rsid w:val="00EA3BD9"/>
    <w:rsid w:val="00EA6C3B"/>
    <w:rsid w:val="00EA76DE"/>
    <w:rsid w:val="00EB4A59"/>
    <w:rsid w:val="00EB66F2"/>
    <w:rsid w:val="00EB7CE2"/>
    <w:rsid w:val="00EC3057"/>
    <w:rsid w:val="00EC36F1"/>
    <w:rsid w:val="00EC4C32"/>
    <w:rsid w:val="00EC4FFD"/>
    <w:rsid w:val="00EC58F5"/>
    <w:rsid w:val="00EC5EFC"/>
    <w:rsid w:val="00EC6B73"/>
    <w:rsid w:val="00ED1E08"/>
    <w:rsid w:val="00ED4E72"/>
    <w:rsid w:val="00ED56C2"/>
    <w:rsid w:val="00ED57D1"/>
    <w:rsid w:val="00ED5A8C"/>
    <w:rsid w:val="00ED6DF6"/>
    <w:rsid w:val="00ED6F31"/>
    <w:rsid w:val="00EE079F"/>
    <w:rsid w:val="00EE25E5"/>
    <w:rsid w:val="00EE388C"/>
    <w:rsid w:val="00EE45A6"/>
    <w:rsid w:val="00EE65D7"/>
    <w:rsid w:val="00EE7E7C"/>
    <w:rsid w:val="00EF33CD"/>
    <w:rsid w:val="00EF4949"/>
    <w:rsid w:val="00EF508E"/>
    <w:rsid w:val="00EF5B95"/>
    <w:rsid w:val="00EF75F9"/>
    <w:rsid w:val="00F05B78"/>
    <w:rsid w:val="00F06E38"/>
    <w:rsid w:val="00F074AC"/>
    <w:rsid w:val="00F106E8"/>
    <w:rsid w:val="00F10BBB"/>
    <w:rsid w:val="00F12924"/>
    <w:rsid w:val="00F12CC0"/>
    <w:rsid w:val="00F173F5"/>
    <w:rsid w:val="00F177C9"/>
    <w:rsid w:val="00F17EA8"/>
    <w:rsid w:val="00F20C9B"/>
    <w:rsid w:val="00F20F90"/>
    <w:rsid w:val="00F23A39"/>
    <w:rsid w:val="00F23AEF"/>
    <w:rsid w:val="00F24882"/>
    <w:rsid w:val="00F300CB"/>
    <w:rsid w:val="00F30A61"/>
    <w:rsid w:val="00F31310"/>
    <w:rsid w:val="00F3155B"/>
    <w:rsid w:val="00F32645"/>
    <w:rsid w:val="00F34BE0"/>
    <w:rsid w:val="00F35DB7"/>
    <w:rsid w:val="00F42C3A"/>
    <w:rsid w:val="00F42D8F"/>
    <w:rsid w:val="00F45451"/>
    <w:rsid w:val="00F4659E"/>
    <w:rsid w:val="00F474F3"/>
    <w:rsid w:val="00F50CA0"/>
    <w:rsid w:val="00F51D66"/>
    <w:rsid w:val="00F52BCC"/>
    <w:rsid w:val="00F5313F"/>
    <w:rsid w:val="00F533BD"/>
    <w:rsid w:val="00F546D7"/>
    <w:rsid w:val="00F54E89"/>
    <w:rsid w:val="00F62E33"/>
    <w:rsid w:val="00F63E79"/>
    <w:rsid w:val="00F672F6"/>
    <w:rsid w:val="00F71824"/>
    <w:rsid w:val="00F72796"/>
    <w:rsid w:val="00F7790F"/>
    <w:rsid w:val="00F77A99"/>
    <w:rsid w:val="00F801C4"/>
    <w:rsid w:val="00F81135"/>
    <w:rsid w:val="00F814B5"/>
    <w:rsid w:val="00F81A48"/>
    <w:rsid w:val="00F840AB"/>
    <w:rsid w:val="00F85ADC"/>
    <w:rsid w:val="00F961AF"/>
    <w:rsid w:val="00FA0B0E"/>
    <w:rsid w:val="00FA2F29"/>
    <w:rsid w:val="00FA2FCB"/>
    <w:rsid w:val="00FA2FE5"/>
    <w:rsid w:val="00FA532F"/>
    <w:rsid w:val="00FA5D52"/>
    <w:rsid w:val="00FB222D"/>
    <w:rsid w:val="00FB30B0"/>
    <w:rsid w:val="00FB4045"/>
    <w:rsid w:val="00FB433C"/>
    <w:rsid w:val="00FB5652"/>
    <w:rsid w:val="00FB62BC"/>
    <w:rsid w:val="00FB64D6"/>
    <w:rsid w:val="00FB6DC9"/>
    <w:rsid w:val="00FC0DAC"/>
    <w:rsid w:val="00FC24EA"/>
    <w:rsid w:val="00FC2CE7"/>
    <w:rsid w:val="00FC5F28"/>
    <w:rsid w:val="00FD17C9"/>
    <w:rsid w:val="00FD17D3"/>
    <w:rsid w:val="00FD1B35"/>
    <w:rsid w:val="00FD2A5B"/>
    <w:rsid w:val="00FD38E9"/>
    <w:rsid w:val="00FD5CFF"/>
    <w:rsid w:val="00FD692F"/>
    <w:rsid w:val="00FD731A"/>
    <w:rsid w:val="00FD79E6"/>
    <w:rsid w:val="00FE04C8"/>
    <w:rsid w:val="00FE0BD3"/>
    <w:rsid w:val="00FE4C98"/>
    <w:rsid w:val="00FE6A5C"/>
    <w:rsid w:val="00FE74FB"/>
    <w:rsid w:val="00FF1C11"/>
    <w:rsid w:val="00FF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CB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B15384"/>
    <w:pPr>
      <w:spacing w:line="240" w:lineRule="auto"/>
    </w:pPr>
    <w:rPr>
      <w:sz w:val="20"/>
      <w:szCs w:val="20"/>
    </w:rPr>
  </w:style>
  <w:style w:type="character" w:customStyle="1" w:styleId="EndnoteTextChar">
    <w:name w:val="Endnote Text Char"/>
    <w:basedOn w:val="DefaultParagraphFont"/>
    <w:link w:val="EndnoteText"/>
    <w:uiPriority w:val="99"/>
    <w:semiHidden/>
    <w:rsid w:val="00B15384"/>
    <w:rPr>
      <w:rFonts w:asciiTheme="majorHAnsi" w:hAnsiTheme="majorHAnsi"/>
      <w:sz w:val="20"/>
      <w:szCs w:val="20"/>
    </w:rPr>
  </w:style>
  <w:style w:type="character" w:styleId="EndnoteReference">
    <w:name w:val="endnote reference"/>
    <w:basedOn w:val="DefaultParagraphFont"/>
    <w:uiPriority w:val="99"/>
    <w:semiHidden/>
    <w:unhideWhenUsed/>
    <w:rsid w:val="00B15384"/>
    <w:rPr>
      <w:vertAlign w:val="superscript"/>
    </w:rPr>
  </w:style>
  <w:style w:type="paragraph" w:styleId="FootnoteText">
    <w:name w:val="footnote text"/>
    <w:basedOn w:val="Normal"/>
    <w:link w:val="FootnoteTextChar"/>
    <w:uiPriority w:val="99"/>
    <w:semiHidden/>
    <w:unhideWhenUsed/>
    <w:rsid w:val="00D3788E"/>
    <w:pPr>
      <w:spacing w:line="240" w:lineRule="auto"/>
    </w:pPr>
    <w:rPr>
      <w:sz w:val="20"/>
      <w:szCs w:val="20"/>
    </w:rPr>
  </w:style>
  <w:style w:type="character" w:customStyle="1" w:styleId="FootnoteTextChar">
    <w:name w:val="Footnote Text Char"/>
    <w:basedOn w:val="DefaultParagraphFont"/>
    <w:link w:val="FootnoteText"/>
    <w:uiPriority w:val="99"/>
    <w:semiHidden/>
    <w:rsid w:val="00D3788E"/>
    <w:rPr>
      <w:rFonts w:asciiTheme="majorHAnsi" w:hAnsiTheme="majorHAnsi"/>
      <w:sz w:val="20"/>
      <w:szCs w:val="20"/>
    </w:rPr>
  </w:style>
  <w:style w:type="character" w:styleId="FootnoteReference">
    <w:name w:val="footnote reference"/>
    <w:basedOn w:val="DefaultParagraphFont"/>
    <w:uiPriority w:val="99"/>
    <w:semiHidden/>
    <w:unhideWhenUsed/>
    <w:rsid w:val="00D3788E"/>
    <w:rPr>
      <w:vertAlign w:val="superscript"/>
    </w:rPr>
  </w:style>
  <w:style w:type="paragraph" w:customStyle="1" w:styleId="TableTitle">
    <w:name w:val="Table Title"/>
    <w:basedOn w:val="Normal"/>
    <w:uiPriority w:val="99"/>
    <w:rsid w:val="00E63C4A"/>
    <w:pPr>
      <w:keepNext/>
      <w:keepLines/>
      <w:tabs>
        <w:tab w:val="clear" w:pos="9360"/>
      </w:tabs>
      <w:spacing w:before="240" w:after="240" w:line="240" w:lineRule="auto"/>
      <w:ind w:left="0"/>
      <w:jc w:val="center"/>
    </w:pPr>
    <w:rPr>
      <w:rFonts w:ascii="Times New Roman" w:eastAsia="Times New Roman" w:hAnsi="Times New Roman" w:cs="Times New Roman"/>
      <w:b/>
      <w:sz w:val="24"/>
      <w:szCs w:val="20"/>
    </w:rPr>
  </w:style>
  <w:style w:type="paragraph" w:customStyle="1" w:styleId="bodytextCharCharChar">
    <w:name w:val="body text Char Char Char"/>
    <w:aliases w:val="bt Char Char Char,body tx Char Char Char,indent Char Char Char,flush Char Char Char"/>
    <w:basedOn w:val="Normal"/>
    <w:uiPriority w:val="99"/>
    <w:rsid w:val="00117142"/>
    <w:pPr>
      <w:tabs>
        <w:tab w:val="clear" w:pos="9360"/>
      </w:tabs>
      <w:spacing w:after="240" w:line="240" w:lineRule="auto"/>
      <w:ind w:left="0" w:firstLine="720"/>
    </w:pPr>
    <w:rPr>
      <w:rFonts w:ascii="Times New Roman" w:eastAsia="Times New Roman" w:hAnsi="Times New Roman" w:cs="Times New Roman"/>
      <w:sz w:val="24"/>
      <w:szCs w:val="24"/>
    </w:rPr>
  </w:style>
  <w:style w:type="paragraph" w:styleId="NoSpacing">
    <w:name w:val="No Spacing"/>
    <w:uiPriority w:val="1"/>
    <w:qFormat/>
    <w:rsid w:val="00AD7007"/>
    <w:pPr>
      <w:tabs>
        <w:tab w:val="right" w:pos="9360"/>
      </w:tabs>
      <w:spacing w:after="0" w:line="240" w:lineRule="auto"/>
      <w:ind w:left="7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B15384"/>
    <w:pPr>
      <w:spacing w:line="240" w:lineRule="auto"/>
    </w:pPr>
    <w:rPr>
      <w:sz w:val="20"/>
      <w:szCs w:val="20"/>
    </w:rPr>
  </w:style>
  <w:style w:type="character" w:customStyle="1" w:styleId="EndnoteTextChar">
    <w:name w:val="Endnote Text Char"/>
    <w:basedOn w:val="DefaultParagraphFont"/>
    <w:link w:val="EndnoteText"/>
    <w:uiPriority w:val="99"/>
    <w:semiHidden/>
    <w:rsid w:val="00B15384"/>
    <w:rPr>
      <w:rFonts w:asciiTheme="majorHAnsi" w:hAnsiTheme="majorHAnsi"/>
      <w:sz w:val="20"/>
      <w:szCs w:val="20"/>
    </w:rPr>
  </w:style>
  <w:style w:type="character" w:styleId="EndnoteReference">
    <w:name w:val="endnote reference"/>
    <w:basedOn w:val="DefaultParagraphFont"/>
    <w:uiPriority w:val="99"/>
    <w:semiHidden/>
    <w:unhideWhenUsed/>
    <w:rsid w:val="00B15384"/>
    <w:rPr>
      <w:vertAlign w:val="superscript"/>
    </w:rPr>
  </w:style>
  <w:style w:type="paragraph" w:styleId="FootnoteText">
    <w:name w:val="footnote text"/>
    <w:basedOn w:val="Normal"/>
    <w:link w:val="FootnoteTextChar"/>
    <w:uiPriority w:val="99"/>
    <w:semiHidden/>
    <w:unhideWhenUsed/>
    <w:rsid w:val="00D3788E"/>
    <w:pPr>
      <w:spacing w:line="240" w:lineRule="auto"/>
    </w:pPr>
    <w:rPr>
      <w:sz w:val="20"/>
      <w:szCs w:val="20"/>
    </w:rPr>
  </w:style>
  <w:style w:type="character" w:customStyle="1" w:styleId="FootnoteTextChar">
    <w:name w:val="Footnote Text Char"/>
    <w:basedOn w:val="DefaultParagraphFont"/>
    <w:link w:val="FootnoteText"/>
    <w:uiPriority w:val="99"/>
    <w:semiHidden/>
    <w:rsid w:val="00D3788E"/>
    <w:rPr>
      <w:rFonts w:asciiTheme="majorHAnsi" w:hAnsiTheme="majorHAnsi"/>
      <w:sz w:val="20"/>
      <w:szCs w:val="20"/>
    </w:rPr>
  </w:style>
  <w:style w:type="character" w:styleId="FootnoteReference">
    <w:name w:val="footnote reference"/>
    <w:basedOn w:val="DefaultParagraphFont"/>
    <w:uiPriority w:val="99"/>
    <w:semiHidden/>
    <w:unhideWhenUsed/>
    <w:rsid w:val="00D3788E"/>
    <w:rPr>
      <w:vertAlign w:val="superscript"/>
    </w:rPr>
  </w:style>
  <w:style w:type="paragraph" w:customStyle="1" w:styleId="TableTitle">
    <w:name w:val="Table Title"/>
    <w:basedOn w:val="Normal"/>
    <w:uiPriority w:val="99"/>
    <w:rsid w:val="00E63C4A"/>
    <w:pPr>
      <w:keepNext/>
      <w:keepLines/>
      <w:tabs>
        <w:tab w:val="clear" w:pos="9360"/>
      </w:tabs>
      <w:spacing w:before="240" w:after="240" w:line="240" w:lineRule="auto"/>
      <w:ind w:left="0"/>
      <w:jc w:val="center"/>
    </w:pPr>
    <w:rPr>
      <w:rFonts w:ascii="Times New Roman" w:eastAsia="Times New Roman" w:hAnsi="Times New Roman" w:cs="Times New Roman"/>
      <w:b/>
      <w:sz w:val="24"/>
      <w:szCs w:val="20"/>
    </w:rPr>
  </w:style>
  <w:style w:type="paragraph" w:customStyle="1" w:styleId="bodytextCharCharChar">
    <w:name w:val="body text Char Char Char"/>
    <w:aliases w:val="bt Char Char Char,body tx Char Char Char,indent Char Char Char,flush Char Char Char"/>
    <w:basedOn w:val="Normal"/>
    <w:uiPriority w:val="99"/>
    <w:rsid w:val="00117142"/>
    <w:pPr>
      <w:tabs>
        <w:tab w:val="clear" w:pos="9360"/>
      </w:tabs>
      <w:spacing w:after="240" w:line="240" w:lineRule="auto"/>
      <w:ind w:left="0" w:firstLine="720"/>
    </w:pPr>
    <w:rPr>
      <w:rFonts w:ascii="Times New Roman" w:eastAsia="Times New Roman" w:hAnsi="Times New Roman" w:cs="Times New Roman"/>
      <w:sz w:val="24"/>
      <w:szCs w:val="24"/>
    </w:rPr>
  </w:style>
  <w:style w:type="paragraph" w:styleId="NoSpacing">
    <w:name w:val="No Spacing"/>
    <w:uiPriority w:val="1"/>
    <w:qFormat/>
    <w:rsid w:val="00AD7007"/>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3143">
      <w:bodyDiv w:val="1"/>
      <w:marLeft w:val="0"/>
      <w:marRight w:val="0"/>
      <w:marTop w:val="0"/>
      <w:marBottom w:val="0"/>
      <w:divBdr>
        <w:top w:val="none" w:sz="0" w:space="0" w:color="auto"/>
        <w:left w:val="none" w:sz="0" w:space="0" w:color="auto"/>
        <w:bottom w:val="none" w:sz="0" w:space="0" w:color="auto"/>
        <w:right w:val="none" w:sz="0" w:space="0" w:color="auto"/>
      </w:divBdr>
    </w:div>
    <w:div w:id="316807110">
      <w:bodyDiv w:val="1"/>
      <w:marLeft w:val="0"/>
      <w:marRight w:val="0"/>
      <w:marTop w:val="0"/>
      <w:marBottom w:val="0"/>
      <w:divBdr>
        <w:top w:val="none" w:sz="0" w:space="0" w:color="auto"/>
        <w:left w:val="none" w:sz="0" w:space="0" w:color="auto"/>
        <w:bottom w:val="none" w:sz="0" w:space="0" w:color="auto"/>
        <w:right w:val="none" w:sz="0" w:space="0" w:color="auto"/>
      </w:divBdr>
    </w:div>
    <w:div w:id="894312307">
      <w:bodyDiv w:val="1"/>
      <w:marLeft w:val="0"/>
      <w:marRight w:val="0"/>
      <w:marTop w:val="0"/>
      <w:marBottom w:val="0"/>
      <w:divBdr>
        <w:top w:val="none" w:sz="0" w:space="0" w:color="auto"/>
        <w:left w:val="none" w:sz="0" w:space="0" w:color="auto"/>
        <w:bottom w:val="none" w:sz="0" w:space="0" w:color="auto"/>
        <w:right w:val="none" w:sz="0" w:space="0" w:color="auto"/>
      </w:divBdr>
    </w:div>
    <w:div w:id="1012099831">
      <w:bodyDiv w:val="1"/>
      <w:marLeft w:val="0"/>
      <w:marRight w:val="0"/>
      <w:marTop w:val="0"/>
      <w:marBottom w:val="0"/>
      <w:divBdr>
        <w:top w:val="none" w:sz="0" w:space="0" w:color="auto"/>
        <w:left w:val="none" w:sz="0" w:space="0" w:color="auto"/>
        <w:bottom w:val="none" w:sz="0" w:space="0" w:color="auto"/>
        <w:right w:val="none" w:sz="0" w:space="0" w:color="auto"/>
      </w:divBdr>
    </w:div>
    <w:div w:id="1015426876">
      <w:bodyDiv w:val="1"/>
      <w:marLeft w:val="0"/>
      <w:marRight w:val="0"/>
      <w:marTop w:val="0"/>
      <w:marBottom w:val="0"/>
      <w:divBdr>
        <w:top w:val="none" w:sz="0" w:space="0" w:color="auto"/>
        <w:left w:val="none" w:sz="0" w:space="0" w:color="auto"/>
        <w:bottom w:val="none" w:sz="0" w:space="0" w:color="auto"/>
        <w:right w:val="none" w:sz="0" w:space="0" w:color="auto"/>
      </w:divBdr>
    </w:div>
    <w:div w:id="108287796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7668926">
      <w:bodyDiv w:val="1"/>
      <w:marLeft w:val="0"/>
      <w:marRight w:val="0"/>
      <w:marTop w:val="0"/>
      <w:marBottom w:val="0"/>
      <w:divBdr>
        <w:top w:val="none" w:sz="0" w:space="0" w:color="auto"/>
        <w:left w:val="none" w:sz="0" w:space="0" w:color="auto"/>
        <w:bottom w:val="none" w:sz="0" w:space="0" w:color="auto"/>
        <w:right w:val="none" w:sz="0" w:space="0" w:color="auto"/>
      </w:divBdr>
    </w:div>
    <w:div w:id="1707171739">
      <w:bodyDiv w:val="1"/>
      <w:marLeft w:val="0"/>
      <w:marRight w:val="0"/>
      <w:marTop w:val="0"/>
      <w:marBottom w:val="0"/>
      <w:divBdr>
        <w:top w:val="none" w:sz="0" w:space="0" w:color="auto"/>
        <w:left w:val="none" w:sz="0" w:space="0" w:color="auto"/>
        <w:bottom w:val="none" w:sz="0" w:space="0" w:color="auto"/>
        <w:right w:val="none" w:sz="0" w:space="0" w:color="auto"/>
      </w:divBdr>
      <w:divsChild>
        <w:div w:id="1973242658">
          <w:marLeft w:val="0"/>
          <w:marRight w:val="0"/>
          <w:marTop w:val="0"/>
          <w:marBottom w:val="0"/>
          <w:divBdr>
            <w:top w:val="single" w:sz="36" w:space="0" w:color="075290"/>
            <w:left w:val="none" w:sz="0" w:space="0" w:color="auto"/>
            <w:bottom w:val="none" w:sz="0" w:space="0" w:color="auto"/>
            <w:right w:val="none" w:sz="0" w:space="0" w:color="auto"/>
          </w:divBdr>
          <w:divsChild>
            <w:div w:id="891309615">
              <w:marLeft w:val="0"/>
              <w:marRight w:val="0"/>
              <w:marTop w:val="0"/>
              <w:marBottom w:val="0"/>
              <w:divBdr>
                <w:top w:val="none" w:sz="0" w:space="0" w:color="auto"/>
                <w:left w:val="none" w:sz="0" w:space="0" w:color="auto"/>
                <w:bottom w:val="none" w:sz="0" w:space="0" w:color="auto"/>
                <w:right w:val="none" w:sz="0" w:space="0" w:color="auto"/>
              </w:divBdr>
              <w:divsChild>
                <w:div w:id="119151459">
                  <w:marLeft w:val="0"/>
                  <w:marRight w:val="0"/>
                  <w:marTop w:val="150"/>
                  <w:marBottom w:val="0"/>
                  <w:divBdr>
                    <w:top w:val="none" w:sz="0" w:space="0" w:color="auto"/>
                    <w:left w:val="none" w:sz="0" w:space="0" w:color="auto"/>
                    <w:bottom w:val="none" w:sz="0" w:space="0" w:color="auto"/>
                    <w:right w:val="none" w:sz="0" w:space="0" w:color="auto"/>
                  </w:divBdr>
                  <w:divsChild>
                    <w:div w:id="654452782">
                      <w:marLeft w:val="-150"/>
                      <w:marRight w:val="0"/>
                      <w:marTop w:val="0"/>
                      <w:marBottom w:val="0"/>
                      <w:divBdr>
                        <w:top w:val="none" w:sz="0" w:space="0" w:color="auto"/>
                        <w:left w:val="none" w:sz="0" w:space="0" w:color="auto"/>
                        <w:bottom w:val="none" w:sz="0" w:space="0" w:color="auto"/>
                        <w:right w:val="none" w:sz="0" w:space="0" w:color="auto"/>
                      </w:divBdr>
                      <w:divsChild>
                        <w:div w:id="578826354">
                          <w:marLeft w:val="0"/>
                          <w:marRight w:val="0"/>
                          <w:marTop w:val="0"/>
                          <w:marBottom w:val="0"/>
                          <w:divBdr>
                            <w:top w:val="none" w:sz="0" w:space="0" w:color="auto"/>
                            <w:left w:val="none" w:sz="0" w:space="0" w:color="auto"/>
                            <w:bottom w:val="none" w:sz="0" w:space="0" w:color="auto"/>
                            <w:right w:val="none" w:sz="0" w:space="0" w:color="auto"/>
                          </w:divBdr>
                          <w:divsChild>
                            <w:div w:id="1684091004">
                              <w:marLeft w:val="0"/>
                              <w:marRight w:val="0"/>
                              <w:marTop w:val="0"/>
                              <w:marBottom w:val="0"/>
                              <w:divBdr>
                                <w:top w:val="none" w:sz="0" w:space="0" w:color="auto"/>
                                <w:left w:val="none" w:sz="0" w:space="0" w:color="auto"/>
                                <w:bottom w:val="none" w:sz="0" w:space="0" w:color="auto"/>
                                <w:right w:val="none" w:sz="0" w:space="0" w:color="auto"/>
                              </w:divBdr>
                              <w:divsChild>
                                <w:div w:id="1266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03904164">
      <w:bodyDiv w:val="1"/>
      <w:marLeft w:val="0"/>
      <w:marRight w:val="0"/>
      <w:marTop w:val="0"/>
      <w:marBottom w:val="0"/>
      <w:divBdr>
        <w:top w:val="none" w:sz="0" w:space="0" w:color="auto"/>
        <w:left w:val="none" w:sz="0" w:space="0" w:color="auto"/>
        <w:bottom w:val="none" w:sz="0" w:space="0" w:color="auto"/>
        <w:right w:val="none" w:sz="0" w:space="0" w:color="auto"/>
      </w:divBdr>
    </w:div>
    <w:div w:id="1961645132">
      <w:bodyDiv w:val="1"/>
      <w:marLeft w:val="0"/>
      <w:marRight w:val="0"/>
      <w:marTop w:val="0"/>
      <w:marBottom w:val="0"/>
      <w:divBdr>
        <w:top w:val="none" w:sz="0" w:space="0" w:color="auto"/>
        <w:left w:val="none" w:sz="0" w:space="0" w:color="auto"/>
        <w:bottom w:val="none" w:sz="0" w:space="0" w:color="auto"/>
        <w:right w:val="none" w:sz="0" w:space="0" w:color="auto"/>
      </w:divBdr>
    </w:div>
    <w:div w:id="20795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c.gov/sixeight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https://esp.cdc.gov/sites/ostlts/pip/osc/_layouts/15/DocIdRedir.aspx?ID=OSTLTSDOC-726-178</Url>
      <Description>OSTLTSDOC-726-178</Description>
    </_dlc_DocIdUrl>
    <_dlc_DocId xmlns="b5c0ca00-073d-4463-9985-b654f14791fe">OSTLTSDOC-726-178</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C4E4-8352-4367-84EF-22513A0E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CEEC7-B1B0-47F4-998E-DE08BDAFA588}">
  <ds:schemaRefs>
    <ds:schemaRef ds:uri="http://schemas.microsoft.com/office/2006/metadata/customXsn"/>
  </ds:schemaRefs>
</ds:datastoreItem>
</file>

<file path=customXml/itemProps3.xml><?xml version="1.0" encoding="utf-8"?>
<ds:datastoreItem xmlns:ds="http://schemas.openxmlformats.org/officeDocument/2006/customXml" ds:itemID="{6143294B-986D-402B-AE59-A85197565E83}">
  <ds:schemaRefs>
    <ds:schemaRef ds:uri="http://purl.org/dc/elements/1.1/"/>
    <ds:schemaRef ds:uri="http://schemas.microsoft.com/office/2006/metadata/properties"/>
    <ds:schemaRef ds:uri="15b1c282-9287-45cb-9b41-eae3a76919a0"/>
    <ds:schemaRef ds:uri="ce849d94-b00b-4457-8fdf-7e9e81e05b5e"/>
    <ds:schemaRef ds:uri="http://purl.org/dc/terms/"/>
    <ds:schemaRef ds:uri="bd99c180-279b-44c3-9486-dd050336677e"/>
    <ds:schemaRef ds:uri="http://schemas.microsoft.com/office/2006/documentManagement/types"/>
    <ds:schemaRef ds:uri="b5c0ca00-073d-4463-9985-b654f14791f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6154D2B-84A7-4BBD-BDD3-EDDDEE96BACF}">
  <ds:schemaRefs>
    <ds:schemaRef ds:uri="http://schemas.microsoft.com/sharepoint/v3/contenttype/forms"/>
  </ds:schemaRefs>
</ds:datastoreItem>
</file>

<file path=customXml/itemProps5.xml><?xml version="1.0" encoding="utf-8"?>
<ds:datastoreItem xmlns:ds="http://schemas.openxmlformats.org/officeDocument/2006/customXml" ds:itemID="{CDA6B01F-E275-4CAC-97B2-27F3C941FA08}">
  <ds:schemaRefs>
    <ds:schemaRef ds:uri="http://schemas.microsoft.com/sharepoint/events"/>
  </ds:schemaRefs>
</ds:datastoreItem>
</file>

<file path=customXml/itemProps6.xml><?xml version="1.0" encoding="utf-8"?>
<ds:datastoreItem xmlns:ds="http://schemas.openxmlformats.org/officeDocument/2006/customXml" ds:itemID="{DAB58395-A2A9-4938-8B54-174B914B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khx2</dc:creator>
  <cp:keywords/>
  <dc:description/>
  <cp:lastModifiedBy>SYSTEM</cp:lastModifiedBy>
  <cp:revision>2</cp:revision>
  <cp:lastPrinted>2017-06-28T19:32:00Z</cp:lastPrinted>
  <dcterms:created xsi:type="dcterms:W3CDTF">2018-02-06T14:17:00Z</dcterms:created>
  <dcterms:modified xsi:type="dcterms:W3CDTF">2018-02-06T14:17:00Z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9fb38e69-767e-46b5-b351-ecfd12f7a0e1</vt:lpwstr>
  </property>
</Properties>
</file>