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AC5F4" w14:textId="08C91D1D" w:rsidR="004976CC" w:rsidRDefault="00E51918" w:rsidP="004976CC">
      <w:pPr>
        <w:jc w:val="right"/>
        <w:rPr>
          <w:b/>
        </w:rPr>
      </w:pPr>
      <w:bookmarkStart w:id="0" w:name="_GoBack"/>
      <w:bookmarkEnd w:id="0"/>
      <w:r>
        <w:rPr>
          <w:b/>
        </w:rPr>
        <w:t>December</w:t>
      </w:r>
      <w:r w:rsidR="004976CC">
        <w:rPr>
          <w:b/>
        </w:rPr>
        <w:t xml:space="preserve"> 2017</w:t>
      </w:r>
    </w:p>
    <w:p w14:paraId="4D911044" w14:textId="77777777" w:rsidR="00217DD7" w:rsidRDefault="00217DD7" w:rsidP="00217DD7">
      <w:pPr>
        <w:jc w:val="center"/>
        <w:rPr>
          <w:b/>
        </w:rPr>
      </w:pPr>
      <w:r w:rsidRPr="000331A2">
        <w:rPr>
          <w:b/>
        </w:rPr>
        <w:t>Supporting Statement</w:t>
      </w:r>
    </w:p>
    <w:p w14:paraId="75A1B5F5" w14:textId="23C17F37" w:rsidR="004976CC" w:rsidRDefault="004976CC" w:rsidP="004976CC">
      <w:pPr>
        <w:jc w:val="center"/>
        <w:rPr>
          <w:b/>
        </w:rPr>
      </w:pPr>
      <w:r>
        <w:rPr>
          <w:b/>
        </w:rPr>
        <w:t>OMB NO. 0579-0419</w:t>
      </w:r>
    </w:p>
    <w:p w14:paraId="00635421" w14:textId="77777777" w:rsidR="004976CC" w:rsidRDefault="00217DD7" w:rsidP="004976CC">
      <w:pPr>
        <w:jc w:val="center"/>
        <w:rPr>
          <w:b/>
        </w:rPr>
      </w:pPr>
      <w:r>
        <w:rPr>
          <w:b/>
        </w:rPr>
        <w:t>Imp</w:t>
      </w:r>
      <w:r w:rsidR="004976CC">
        <w:rPr>
          <w:b/>
        </w:rPr>
        <w:t>ortation of Mangoes from Jamaica</w:t>
      </w:r>
    </w:p>
    <w:p w14:paraId="4D911047" w14:textId="77777777" w:rsidR="00217DD7" w:rsidRPr="000331A2" w:rsidRDefault="00217DD7" w:rsidP="00217DD7">
      <w:pPr>
        <w:jc w:val="center"/>
        <w:rPr>
          <w:b/>
        </w:rPr>
      </w:pPr>
    </w:p>
    <w:p w14:paraId="4D911048" w14:textId="77777777" w:rsidR="00217DD7" w:rsidRDefault="00217DD7" w:rsidP="00217DD7">
      <w:pPr>
        <w:rPr>
          <w:b/>
        </w:rPr>
      </w:pPr>
      <w:r w:rsidRPr="00570C9D">
        <w:rPr>
          <w:b/>
        </w:rPr>
        <w:t>A.  Justification</w:t>
      </w:r>
    </w:p>
    <w:p w14:paraId="4D911049" w14:textId="77777777" w:rsidR="00217DD7" w:rsidRDefault="00217DD7" w:rsidP="00217DD7">
      <w:pPr>
        <w:rPr>
          <w:b/>
        </w:rPr>
      </w:pPr>
    </w:p>
    <w:p w14:paraId="4D91104A" w14:textId="77777777" w:rsidR="00217DD7" w:rsidRDefault="00217DD7" w:rsidP="00217DD7">
      <w:r>
        <w:rPr>
          <w:b/>
        </w:rPr>
        <w:t>1.  Explain the circumstances that make the collection of information necessary.  Identify any legal or administrative requirements that necessitate the collection.</w:t>
      </w:r>
    </w:p>
    <w:p w14:paraId="4D91104B" w14:textId="77777777" w:rsidR="00217DD7" w:rsidRDefault="00217DD7" w:rsidP="00217DD7"/>
    <w:p w14:paraId="4D91104C" w14:textId="77777777" w:rsidR="00217DD7" w:rsidRDefault="00217DD7" w:rsidP="00217DD7">
      <w:r>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imported pests when eradication is feasible.  The Plant Protection Act authorizes the Department to carry out its mission.</w:t>
      </w:r>
    </w:p>
    <w:p w14:paraId="4D91104D" w14:textId="77777777" w:rsidR="00217DD7" w:rsidRDefault="00217DD7" w:rsidP="00217DD7"/>
    <w:p w14:paraId="4D91104E" w14:textId="77777777" w:rsidR="00217DD7" w:rsidRDefault="00217DD7" w:rsidP="00217DD7">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4D91104F" w14:textId="77777777" w:rsidR="00217DD7" w:rsidRDefault="00217DD7" w:rsidP="00217DD7"/>
    <w:p w14:paraId="4D911053" w14:textId="2D83D320" w:rsidR="00217DD7" w:rsidRDefault="00217DD7" w:rsidP="00217DD7">
      <w:r>
        <w:t>The regulations in “Subpart-Fruits and Vegetables” (7 CFR 319.56 through 319.56-</w:t>
      </w:r>
      <w:r w:rsidR="008E421F">
        <w:t>7</w:t>
      </w:r>
      <w:r w:rsidR="00D42BA4">
        <w:t>7</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35473829" w14:textId="77777777" w:rsidR="00CA08B4" w:rsidRDefault="00CA08B4" w:rsidP="00217DD7"/>
    <w:p w14:paraId="11966E36" w14:textId="77777777" w:rsidR="00CA08B4" w:rsidRPr="00CA08B4" w:rsidRDefault="00CA08B4" w:rsidP="00CA08B4">
      <w:r w:rsidRPr="00CA08B4">
        <w:t xml:space="preserve">In accordance with § 319.56-71, mangoes may be imported from Jamaica into the continental United States under certain conditions to prevent the introduction of plant pests into the United States.  As a condition of entry, mangoes have to be produced in accordance with a systems approach employing a combination of mitigation measures for </w:t>
      </w:r>
      <w:r w:rsidRPr="00CA08B4">
        <w:rPr>
          <w:i/>
        </w:rPr>
        <w:t>Phomopsis mangiferae</w:t>
      </w:r>
      <w:r w:rsidRPr="00CA08B4">
        <w:t xml:space="preserve"> and </w:t>
      </w:r>
      <w:r w:rsidRPr="00CA08B4">
        <w:rPr>
          <w:i/>
        </w:rPr>
        <w:t>Xanthomonas campestris</w:t>
      </w:r>
      <w:r w:rsidRPr="00CA08B4">
        <w:t xml:space="preserve"> pv. </w:t>
      </w:r>
      <w:r w:rsidRPr="00CA08B4">
        <w:rPr>
          <w:i/>
        </w:rPr>
        <w:t>mangiferaeindicae</w:t>
      </w:r>
      <w:r w:rsidRPr="00CA08B4">
        <w:t xml:space="preserve"> and be inspected prior to export from Jamaica and found free of these pests and diseases.  Mangoes must be accompanied by a phytosanitary certificate with an additional declaration that the conditions for importation have been met.  These regulations also require the use of certain information collection activities that include operational workplans, production site registrations, pest detection investigations and reinstatement, heat treatment facility certifications, heat treatment monitoring and inspections, trust fund agreements, inspections, and emergency action notifications.    </w:t>
      </w:r>
    </w:p>
    <w:p w14:paraId="084245F4" w14:textId="77777777" w:rsidR="00CA08B4" w:rsidRDefault="00CA08B4" w:rsidP="00217DD7"/>
    <w:p w14:paraId="4D911054" w14:textId="74D71077" w:rsidR="00217DD7" w:rsidRDefault="00217DD7" w:rsidP="00217DD7">
      <w:r>
        <w:t>APHIS i</w:t>
      </w:r>
      <w:r w:rsidR="008E421F">
        <w:t xml:space="preserve">s asking OMB to approve its use </w:t>
      </w:r>
      <w:r w:rsidR="004E48CA">
        <w:t xml:space="preserve">of these information collection activities </w:t>
      </w:r>
      <w:r w:rsidR="00CA08B4">
        <w:t>for an additional three years,</w:t>
      </w:r>
      <w:r>
        <w:t xml:space="preserve"> associated with its efforts to prevent the spread of fruit flies and other plant pests from entering into the United States.</w:t>
      </w:r>
    </w:p>
    <w:p w14:paraId="4D911055" w14:textId="77777777" w:rsidR="00217DD7" w:rsidRDefault="00217DD7" w:rsidP="00217DD7"/>
    <w:p w14:paraId="4D911056" w14:textId="77777777" w:rsidR="00217DD7" w:rsidRDefault="00217DD7" w:rsidP="00217DD7">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4D911057" w14:textId="77777777" w:rsidR="00217DD7" w:rsidRDefault="00217DD7" w:rsidP="00217DD7">
      <w:pPr>
        <w:rPr>
          <w:b/>
        </w:rPr>
      </w:pPr>
    </w:p>
    <w:p w14:paraId="1EBC15C8" w14:textId="2B659728" w:rsidR="004976CC" w:rsidRPr="00C014DB" w:rsidRDefault="004976CC" w:rsidP="004976CC">
      <w:pPr>
        <w:rPr>
          <w:b/>
        </w:rPr>
      </w:pPr>
      <w:r w:rsidRPr="00C014DB">
        <w:lastRenderedPageBreak/>
        <w:t xml:space="preserve">APHIS uses the following information collections to support the </w:t>
      </w:r>
      <w:r>
        <w:t>importation of mangoes from Jamaica</w:t>
      </w:r>
      <w:r w:rsidRPr="00C014DB">
        <w:t>:</w:t>
      </w:r>
    </w:p>
    <w:p w14:paraId="53746E94" w14:textId="77777777" w:rsidR="004976CC" w:rsidRDefault="004976CC" w:rsidP="00217DD7">
      <w:pPr>
        <w:rPr>
          <w:b/>
        </w:rPr>
      </w:pPr>
    </w:p>
    <w:p w14:paraId="0B370D30" w14:textId="34CF6163" w:rsidR="00D15461" w:rsidRDefault="00D15461" w:rsidP="004672CA">
      <w:pPr>
        <w:rPr>
          <w:b/>
          <w:u w:val="single"/>
        </w:rPr>
      </w:pPr>
      <w:r>
        <w:rPr>
          <w:b/>
          <w:u w:val="single"/>
        </w:rPr>
        <w:t>7</w:t>
      </w:r>
      <w:r w:rsidR="004E48CA">
        <w:rPr>
          <w:b/>
          <w:u w:val="single"/>
        </w:rPr>
        <w:t xml:space="preserve"> </w:t>
      </w:r>
      <w:r>
        <w:rPr>
          <w:b/>
          <w:u w:val="single"/>
        </w:rPr>
        <w:t>CFR 319.56.71</w:t>
      </w:r>
      <w:r w:rsidR="008E421F">
        <w:rPr>
          <w:b/>
          <w:u w:val="single"/>
        </w:rPr>
        <w:t xml:space="preserve">(a)(1) </w:t>
      </w:r>
      <w:r w:rsidR="004E48CA">
        <w:rPr>
          <w:b/>
          <w:u w:val="single"/>
        </w:rPr>
        <w:t>-</w:t>
      </w:r>
      <w:r w:rsidR="008E421F">
        <w:rPr>
          <w:b/>
          <w:u w:val="single"/>
        </w:rPr>
        <w:t xml:space="preserve"> </w:t>
      </w:r>
      <w:r w:rsidR="00217DD7">
        <w:rPr>
          <w:b/>
          <w:u w:val="single"/>
        </w:rPr>
        <w:t>Operational Workplan</w:t>
      </w:r>
      <w:r w:rsidR="008E421F">
        <w:rPr>
          <w:b/>
          <w:u w:val="single"/>
        </w:rPr>
        <w:t xml:space="preserve"> (NPPO)</w:t>
      </w:r>
    </w:p>
    <w:p w14:paraId="4D911058" w14:textId="5A01A87A" w:rsidR="004672CA" w:rsidRDefault="004672CA" w:rsidP="004672CA">
      <w:r>
        <w:t>The national plant protection organization (NPPO) of Jamaica must provide an operational workplan to APHIS that details the activities that the NPPO of Jamaica will, subject to APHIS’ approval of the workplan, carry out to meet the requirements</w:t>
      </w:r>
      <w:r w:rsidR="00420C46">
        <w:t xml:space="preserve"> of the mitigations. </w:t>
      </w:r>
      <w:r>
        <w:t xml:space="preserve">  </w:t>
      </w:r>
    </w:p>
    <w:p w14:paraId="4D911059" w14:textId="77777777" w:rsidR="004672CA" w:rsidRDefault="004672CA" w:rsidP="004672CA"/>
    <w:p w14:paraId="4C7A4DC3" w14:textId="545DFD68" w:rsidR="00D15461" w:rsidRDefault="00D15461" w:rsidP="00217DD7">
      <w:pPr>
        <w:rPr>
          <w:b/>
          <w:u w:val="single"/>
        </w:rPr>
      </w:pPr>
      <w:r>
        <w:rPr>
          <w:b/>
          <w:u w:val="single"/>
        </w:rPr>
        <w:t>7</w:t>
      </w:r>
      <w:r w:rsidR="004E48CA">
        <w:rPr>
          <w:b/>
          <w:u w:val="single"/>
        </w:rPr>
        <w:t xml:space="preserve"> </w:t>
      </w:r>
      <w:r>
        <w:rPr>
          <w:b/>
          <w:u w:val="single"/>
        </w:rPr>
        <w:t>CFR 319.56.71</w:t>
      </w:r>
      <w:r w:rsidR="008E421F">
        <w:rPr>
          <w:b/>
          <w:u w:val="single"/>
        </w:rPr>
        <w:t xml:space="preserve">(a)(2) </w:t>
      </w:r>
      <w:r w:rsidR="004E48CA">
        <w:rPr>
          <w:b/>
          <w:u w:val="single"/>
        </w:rPr>
        <w:t xml:space="preserve">- </w:t>
      </w:r>
      <w:r w:rsidR="00217DD7" w:rsidRPr="006851D7">
        <w:rPr>
          <w:b/>
          <w:u w:val="single"/>
        </w:rPr>
        <w:t>Production Site Registration</w:t>
      </w:r>
      <w:r w:rsidR="008E421F">
        <w:rPr>
          <w:b/>
          <w:u w:val="single"/>
        </w:rPr>
        <w:t xml:space="preserve"> (</w:t>
      </w:r>
      <w:r w:rsidR="004976CC">
        <w:rPr>
          <w:b/>
          <w:u w:val="single"/>
        </w:rPr>
        <w:t>B</w:t>
      </w:r>
      <w:r w:rsidR="002631EE">
        <w:rPr>
          <w:b/>
          <w:u w:val="single"/>
        </w:rPr>
        <w:t>usiness)</w:t>
      </w:r>
      <w:r w:rsidR="008E421F">
        <w:rPr>
          <w:b/>
          <w:u w:val="single"/>
        </w:rPr>
        <w:t xml:space="preserve"> (NPPO)</w:t>
      </w:r>
    </w:p>
    <w:p w14:paraId="216159AB" w14:textId="0B05FFC5" w:rsidR="008E421F" w:rsidRDefault="008E421F" w:rsidP="00217DD7">
      <w:r w:rsidRPr="008E421F">
        <w:t xml:space="preserve">The mangoes must be grown at places of production that are registered with the NPPO of Jamaica and that meet the specifications detailed in the workplan. </w:t>
      </w:r>
    </w:p>
    <w:p w14:paraId="24579DD1" w14:textId="77777777" w:rsidR="008E421F" w:rsidRDefault="008E421F" w:rsidP="00217DD7"/>
    <w:p w14:paraId="134969E1" w14:textId="36D2E9BE" w:rsidR="00D15461" w:rsidRDefault="008E421F" w:rsidP="00D15461">
      <w:r w:rsidRPr="008E421F">
        <w:rPr>
          <w:b/>
          <w:u w:val="single"/>
        </w:rPr>
        <w:t>7</w:t>
      </w:r>
      <w:r w:rsidR="004E48CA">
        <w:rPr>
          <w:b/>
          <w:u w:val="single"/>
        </w:rPr>
        <w:t xml:space="preserve"> </w:t>
      </w:r>
      <w:r w:rsidRPr="008E421F">
        <w:rPr>
          <w:b/>
          <w:u w:val="single"/>
        </w:rPr>
        <w:t xml:space="preserve">CFR 319.56.71 (a)(2) </w:t>
      </w:r>
      <w:r w:rsidR="004E48CA">
        <w:rPr>
          <w:b/>
          <w:u w:val="single"/>
        </w:rPr>
        <w:t xml:space="preserve">- </w:t>
      </w:r>
      <w:r w:rsidRPr="008E421F">
        <w:rPr>
          <w:b/>
          <w:u w:val="single"/>
        </w:rPr>
        <w:t>Pest Detection Investigation (</w:t>
      </w:r>
      <w:r w:rsidR="00D15461">
        <w:rPr>
          <w:b/>
          <w:u w:val="single"/>
        </w:rPr>
        <w:t>B</w:t>
      </w:r>
      <w:r w:rsidR="002631EE">
        <w:rPr>
          <w:b/>
          <w:u w:val="single"/>
        </w:rPr>
        <w:t>usiness)</w:t>
      </w:r>
      <w:r w:rsidRPr="008E421F">
        <w:rPr>
          <w:b/>
          <w:u w:val="single"/>
        </w:rPr>
        <w:t xml:space="preserve"> (NPPO)</w:t>
      </w:r>
    </w:p>
    <w:p w14:paraId="4D91105A" w14:textId="026F95C4" w:rsidR="00217DD7" w:rsidRDefault="008E421F" w:rsidP="00D15461">
      <w:r w:rsidRPr="008E421F">
        <w:t>If a pest or disease is detected at the port of entry in the United States, the consignment of mangoes would be prohibited entry into the United States and further shipments from the place of production where the mangoes were grown will be prohibited until an investigation is conducted and APHIS and the NPPO of Jamaica agree that the risk has been mitigated.</w:t>
      </w:r>
      <w:r w:rsidR="004672CA" w:rsidRPr="008E421F">
        <w:t xml:space="preserve"> </w:t>
      </w:r>
    </w:p>
    <w:p w14:paraId="26099475" w14:textId="77777777" w:rsidR="00D15461" w:rsidRPr="004976CC" w:rsidRDefault="00D15461" w:rsidP="00D15461">
      <w:pPr>
        <w:rPr>
          <w:i/>
        </w:rPr>
      </w:pPr>
    </w:p>
    <w:p w14:paraId="5C203F40" w14:textId="6BE2994C" w:rsidR="00D15461" w:rsidRDefault="003C47C0" w:rsidP="00D15461">
      <w:pPr>
        <w:outlineLvl w:val="1"/>
        <w:rPr>
          <w:rFonts w:ascii="Arial" w:hAnsi="Arial" w:cs="Arial"/>
          <w:sz w:val="20"/>
          <w:szCs w:val="20"/>
        </w:rPr>
      </w:pPr>
      <w:r>
        <w:rPr>
          <w:b/>
          <w:bCs/>
          <w:u w:val="single"/>
        </w:rPr>
        <w:t>7</w:t>
      </w:r>
      <w:r w:rsidR="004E48CA">
        <w:rPr>
          <w:b/>
          <w:bCs/>
          <w:u w:val="single"/>
        </w:rPr>
        <w:t xml:space="preserve"> </w:t>
      </w:r>
      <w:r>
        <w:rPr>
          <w:b/>
          <w:bCs/>
          <w:u w:val="single"/>
        </w:rPr>
        <w:t xml:space="preserve">CFR </w:t>
      </w:r>
      <w:r w:rsidR="00D15461">
        <w:rPr>
          <w:b/>
          <w:bCs/>
          <w:u w:val="single"/>
        </w:rPr>
        <w:t>305.8</w:t>
      </w:r>
      <w:r w:rsidRPr="003C47C0">
        <w:rPr>
          <w:b/>
          <w:u w:val="single"/>
        </w:rPr>
        <w:t xml:space="preserve">(a) </w:t>
      </w:r>
      <w:r w:rsidR="004E48CA">
        <w:rPr>
          <w:b/>
          <w:u w:val="single"/>
        </w:rPr>
        <w:t xml:space="preserve">- </w:t>
      </w:r>
      <w:r w:rsidR="0053757D">
        <w:rPr>
          <w:b/>
          <w:u w:val="single"/>
        </w:rPr>
        <w:t xml:space="preserve">Heat Treatment </w:t>
      </w:r>
      <w:r w:rsidR="0053757D">
        <w:rPr>
          <w:b/>
          <w:iCs/>
          <w:u w:val="single"/>
        </w:rPr>
        <w:t>Certified F</w:t>
      </w:r>
      <w:r w:rsidRPr="003C47C0">
        <w:rPr>
          <w:b/>
          <w:iCs/>
          <w:u w:val="single"/>
        </w:rPr>
        <w:t>acility</w:t>
      </w:r>
      <w:r w:rsidR="0053757D">
        <w:rPr>
          <w:b/>
          <w:iCs/>
          <w:u w:val="single"/>
        </w:rPr>
        <w:t xml:space="preserve"> (B</w:t>
      </w:r>
      <w:r>
        <w:rPr>
          <w:b/>
          <w:iCs/>
          <w:u w:val="single"/>
        </w:rPr>
        <w:t>usiness)</w:t>
      </w:r>
    </w:p>
    <w:p w14:paraId="1306B9D1" w14:textId="5C27641F" w:rsidR="00D15461" w:rsidRDefault="003C47C0" w:rsidP="00D15461">
      <w:pPr>
        <w:outlineLvl w:val="1"/>
      </w:pPr>
      <w:r w:rsidRPr="00770DF2">
        <w:t xml:space="preserve">The </w:t>
      </w:r>
      <w:r w:rsidR="009426D2">
        <w:t xml:space="preserve">heat </w:t>
      </w:r>
      <w:r w:rsidRPr="00770DF2">
        <w:t xml:space="preserve">treatment facility must be certified by APHIS. Recertification is required annually, or as often as APHIS directs, depending upon treatments performed, commodities handled, and operations conducted at the facility. </w:t>
      </w:r>
    </w:p>
    <w:p w14:paraId="58911C4D" w14:textId="77777777" w:rsidR="00D15461" w:rsidRPr="00770DF2" w:rsidRDefault="00D15461" w:rsidP="00D15461">
      <w:pPr>
        <w:outlineLvl w:val="1"/>
      </w:pPr>
    </w:p>
    <w:p w14:paraId="0163E385" w14:textId="1C53CBC5" w:rsidR="00D15461" w:rsidRDefault="003C47C0" w:rsidP="00D15461">
      <w:pPr>
        <w:rPr>
          <w:i/>
          <w:iCs/>
        </w:rPr>
      </w:pPr>
      <w:r w:rsidRPr="003C47C0">
        <w:t xml:space="preserve"> </w:t>
      </w:r>
      <w:r w:rsidR="00D15461">
        <w:rPr>
          <w:b/>
          <w:bCs/>
          <w:u w:val="single"/>
        </w:rPr>
        <w:t>7</w:t>
      </w:r>
      <w:r w:rsidR="004E48CA">
        <w:rPr>
          <w:b/>
          <w:bCs/>
          <w:u w:val="single"/>
        </w:rPr>
        <w:t xml:space="preserve"> </w:t>
      </w:r>
      <w:r w:rsidR="00D15461">
        <w:rPr>
          <w:b/>
          <w:bCs/>
          <w:u w:val="single"/>
        </w:rPr>
        <w:t>CFR 305.8</w:t>
      </w:r>
      <w:r w:rsidR="004E48CA">
        <w:rPr>
          <w:b/>
          <w:u w:val="single"/>
        </w:rPr>
        <w:t xml:space="preserve">(b) - </w:t>
      </w:r>
      <w:r w:rsidR="0053757D">
        <w:rPr>
          <w:b/>
          <w:u w:val="single"/>
        </w:rPr>
        <w:t xml:space="preserve">Heat Treatment </w:t>
      </w:r>
      <w:r w:rsidRPr="003C47C0">
        <w:rPr>
          <w:b/>
          <w:iCs/>
          <w:u w:val="single"/>
        </w:rPr>
        <w:t>Monitoring</w:t>
      </w:r>
      <w:r>
        <w:rPr>
          <w:b/>
          <w:iCs/>
          <w:u w:val="single"/>
        </w:rPr>
        <w:t xml:space="preserve"> </w:t>
      </w:r>
      <w:r w:rsidR="0053757D">
        <w:rPr>
          <w:b/>
          <w:iCs/>
          <w:u w:val="single"/>
        </w:rPr>
        <w:t>and Inspections</w:t>
      </w:r>
      <w:r w:rsidR="009426D2">
        <w:rPr>
          <w:b/>
          <w:iCs/>
          <w:u w:val="single"/>
        </w:rPr>
        <w:t xml:space="preserve"> </w:t>
      </w:r>
      <w:r w:rsidR="00D15461">
        <w:rPr>
          <w:b/>
          <w:iCs/>
          <w:u w:val="single"/>
        </w:rPr>
        <w:t>(B</w:t>
      </w:r>
      <w:r>
        <w:rPr>
          <w:b/>
          <w:iCs/>
          <w:u w:val="single"/>
        </w:rPr>
        <w:t>usiness) (NPPO)</w:t>
      </w:r>
    </w:p>
    <w:p w14:paraId="37BD5945" w14:textId="701C1F4F" w:rsidR="003C47C0" w:rsidRDefault="009426D2" w:rsidP="00D15461">
      <w:r>
        <w:t>Heat t</w:t>
      </w:r>
      <w:r w:rsidR="003C47C0" w:rsidRPr="003C47C0">
        <w:t>reatment must be monitored by an official authorized by APHIS to ensure proper administration of the treatment. An official authorized by APHIS approves, adjusts, or rejects the treatment</w:t>
      </w:r>
      <w:r w:rsidR="003C47C0" w:rsidRPr="009426D2">
        <w:t>.</w:t>
      </w:r>
      <w:r w:rsidRPr="009426D2">
        <w:t xml:space="preserve">  Workplans must allow officials of the NPPO and APHIS to inspect the facility to monitor compliance with APHIS regulations</w:t>
      </w:r>
    </w:p>
    <w:p w14:paraId="656D6D3C" w14:textId="77777777" w:rsidR="003C47C0" w:rsidRPr="003C47C0" w:rsidRDefault="003C47C0" w:rsidP="003C47C0"/>
    <w:p w14:paraId="0E161D2A" w14:textId="148C160A" w:rsidR="00D15461" w:rsidRDefault="00784AF6" w:rsidP="003C47C0">
      <w:r w:rsidRPr="00784AF6">
        <w:rPr>
          <w:b/>
          <w:u w:val="single"/>
        </w:rPr>
        <w:t>7</w:t>
      </w:r>
      <w:r w:rsidR="004E48CA">
        <w:rPr>
          <w:b/>
          <w:u w:val="single"/>
        </w:rPr>
        <w:t xml:space="preserve"> </w:t>
      </w:r>
      <w:r w:rsidRPr="00784AF6">
        <w:rPr>
          <w:b/>
          <w:u w:val="single"/>
        </w:rPr>
        <w:t>CFR 305.8</w:t>
      </w:r>
      <w:r w:rsidR="0053757D">
        <w:rPr>
          <w:b/>
          <w:u w:val="single"/>
        </w:rPr>
        <w:t>(d)</w:t>
      </w:r>
      <w:r w:rsidR="004E48CA">
        <w:rPr>
          <w:b/>
          <w:u w:val="single"/>
        </w:rPr>
        <w:t xml:space="preserve"> -</w:t>
      </w:r>
      <w:r w:rsidR="0053757D">
        <w:rPr>
          <w:b/>
          <w:u w:val="single"/>
        </w:rPr>
        <w:t xml:space="preserve"> Trust F</w:t>
      </w:r>
      <w:r w:rsidR="003C47C0" w:rsidRPr="00784AF6">
        <w:rPr>
          <w:b/>
          <w:u w:val="single"/>
        </w:rPr>
        <w:t>und</w:t>
      </w:r>
      <w:r w:rsidR="00F7264D">
        <w:rPr>
          <w:b/>
          <w:u w:val="single"/>
        </w:rPr>
        <w:t xml:space="preserve"> </w:t>
      </w:r>
      <w:r w:rsidR="0053757D">
        <w:rPr>
          <w:b/>
          <w:u w:val="single"/>
        </w:rPr>
        <w:t>A</w:t>
      </w:r>
      <w:r w:rsidR="00420C46">
        <w:rPr>
          <w:b/>
          <w:u w:val="single"/>
        </w:rPr>
        <w:t xml:space="preserve">greement </w:t>
      </w:r>
      <w:r w:rsidR="00F7264D">
        <w:rPr>
          <w:b/>
          <w:u w:val="single"/>
        </w:rPr>
        <w:t>(NPPO)</w:t>
      </w:r>
    </w:p>
    <w:p w14:paraId="58E2698A" w14:textId="01699E95" w:rsidR="003C47C0" w:rsidRPr="003C47C0" w:rsidRDefault="003C47C0" w:rsidP="003C47C0">
      <w:r w:rsidRPr="003C47C0">
        <w:t>Facilities located outside the United States must operate in accordance with a workplan. The workplan must be signed by a representative of the heat treatment facilities located outside the United States, the national plant protection organization of the country of origin (NPPO), and APHIS. The workplan must contain requirements for equipment, temperature, water quality, circulation, and other measures to ensure that heat treatments are administered properly. Workplans for facilities outside the United States must include trust fund agreement information regarding payment of the salaries and expenses of APHIS employees on site. Workplans must allow officials of the NPPO and APHIS to inspect the facility to monitor compliance with APHIS regulations.</w:t>
      </w:r>
    </w:p>
    <w:p w14:paraId="3A261328" w14:textId="77777777" w:rsidR="003C47C0" w:rsidRDefault="003C47C0" w:rsidP="00217DD7"/>
    <w:p w14:paraId="4D91105C" w14:textId="47789703" w:rsidR="004672CA" w:rsidRDefault="00F7264D" w:rsidP="004672CA">
      <w:r>
        <w:rPr>
          <w:b/>
          <w:u w:val="single"/>
        </w:rPr>
        <w:t>7</w:t>
      </w:r>
      <w:r w:rsidR="004E48CA">
        <w:rPr>
          <w:b/>
          <w:u w:val="single"/>
        </w:rPr>
        <w:t xml:space="preserve"> </w:t>
      </w:r>
      <w:r>
        <w:rPr>
          <w:b/>
          <w:u w:val="single"/>
        </w:rPr>
        <w:t>CFR 319.56.71(f)</w:t>
      </w:r>
      <w:r w:rsidR="004E48CA">
        <w:rPr>
          <w:b/>
          <w:u w:val="single"/>
        </w:rPr>
        <w:t xml:space="preserve"> -</w:t>
      </w:r>
      <w:r w:rsidR="00217DD7" w:rsidRPr="006851D7">
        <w:rPr>
          <w:b/>
          <w:u w:val="single"/>
        </w:rPr>
        <w:t>Phytosanitary Certificate (foreign) w/additional Declaration</w:t>
      </w:r>
      <w:r>
        <w:rPr>
          <w:b/>
          <w:u w:val="single"/>
        </w:rPr>
        <w:t xml:space="preserve"> (NPPO)</w:t>
      </w:r>
      <w:r w:rsidR="00217DD7">
        <w:rPr>
          <w:b/>
          <w:u w:val="single"/>
        </w:rPr>
        <w:t xml:space="preserve"> </w:t>
      </w:r>
      <w:r w:rsidR="004672CA" w:rsidRPr="00B33E4B">
        <w:t xml:space="preserve">Each consignment of fruit must be inspected by APHIS and the NPPO of </w:t>
      </w:r>
      <w:r w:rsidR="004672CA">
        <w:t>Jamaica</w:t>
      </w:r>
      <w:r w:rsidR="004672CA" w:rsidRPr="00B33E4B">
        <w:t xml:space="preserve"> and accompanied by a phytosanitary certificate issued by the NPPO of </w:t>
      </w:r>
      <w:r w:rsidR="004672CA">
        <w:t>Jamaica</w:t>
      </w:r>
      <w:r w:rsidR="004672CA" w:rsidRPr="00B33E4B">
        <w:t xml:space="preserve"> with two additional declarations confirming that:</w:t>
      </w:r>
    </w:p>
    <w:p w14:paraId="4D91105D" w14:textId="77777777" w:rsidR="004672CA" w:rsidRPr="00B33E4B" w:rsidRDefault="004672CA" w:rsidP="004672CA"/>
    <w:p w14:paraId="4D91105E" w14:textId="77777777" w:rsidR="004672CA" w:rsidRDefault="004672CA" w:rsidP="004672CA">
      <w:pPr>
        <w:rPr>
          <w:iCs/>
        </w:rPr>
      </w:pPr>
      <w:r w:rsidRPr="00B33E4B">
        <w:t xml:space="preserve">(1) The mangoes were subjected to </w:t>
      </w:r>
      <w:r>
        <w:t>treatments in accordance with 7 CFR part 305 to mitigate the risk of</w:t>
      </w:r>
      <w:r w:rsidRPr="00B33E4B">
        <w:rPr>
          <w:u w:val="single"/>
        </w:rPr>
        <w:t xml:space="preserve"> </w:t>
      </w:r>
      <w:r>
        <w:rPr>
          <w:u w:val="single"/>
        </w:rPr>
        <w:t>Anastrepha</w:t>
      </w:r>
      <w:r>
        <w:t xml:space="preserve"> spp. fruit fly,</w:t>
      </w:r>
      <w:r w:rsidRPr="00B33E4B">
        <w:t xml:space="preserve"> and</w:t>
      </w:r>
      <w:r>
        <w:t xml:space="preserve"> </w:t>
      </w:r>
      <w:r w:rsidRPr="00B33E4B">
        <w:t xml:space="preserve">(2) The mangoes were inspected </w:t>
      </w:r>
      <w:r>
        <w:t>prior to export from Jamaica</w:t>
      </w:r>
      <w:r w:rsidRPr="00B33E4B">
        <w:t xml:space="preserve"> and found free of </w:t>
      </w:r>
      <w:r>
        <w:rPr>
          <w:iCs/>
          <w:u w:val="single"/>
        </w:rPr>
        <w:t>P</w:t>
      </w:r>
      <w:r>
        <w:rPr>
          <w:iCs/>
        </w:rPr>
        <w:t>.</w:t>
      </w:r>
      <w:r w:rsidRPr="00B33E4B">
        <w:rPr>
          <w:i/>
          <w:iCs/>
        </w:rPr>
        <w:t xml:space="preserve"> </w:t>
      </w:r>
      <w:r w:rsidRPr="00B33E4B">
        <w:rPr>
          <w:iCs/>
          <w:u w:val="single"/>
        </w:rPr>
        <w:t>mangiferae</w:t>
      </w:r>
      <w:r>
        <w:rPr>
          <w:iCs/>
        </w:rPr>
        <w:t xml:space="preserve"> </w:t>
      </w:r>
      <w:r w:rsidRPr="00B33E4B">
        <w:t xml:space="preserve">and </w:t>
      </w:r>
      <w:r w:rsidRPr="00B33E4B">
        <w:rPr>
          <w:iCs/>
          <w:u w:val="single"/>
        </w:rPr>
        <w:t>X</w:t>
      </w:r>
      <w:r>
        <w:rPr>
          <w:iCs/>
        </w:rPr>
        <w:t>.</w:t>
      </w:r>
      <w:r w:rsidRPr="00B33E4B">
        <w:rPr>
          <w:i/>
          <w:iCs/>
        </w:rPr>
        <w:t xml:space="preserve"> </w:t>
      </w:r>
      <w:r w:rsidRPr="00B33E4B">
        <w:rPr>
          <w:iCs/>
          <w:u w:val="single"/>
        </w:rPr>
        <w:t>campestris</w:t>
      </w:r>
      <w:r w:rsidRPr="00B33E4B">
        <w:t xml:space="preserve"> pv. </w:t>
      </w:r>
      <w:r w:rsidRPr="00B33E4B">
        <w:rPr>
          <w:iCs/>
          <w:u w:val="single"/>
        </w:rPr>
        <w:t>mangiferaeindicae</w:t>
      </w:r>
      <w:r w:rsidRPr="00B33E4B">
        <w:rPr>
          <w:iCs/>
        </w:rPr>
        <w:t>.</w:t>
      </w:r>
    </w:p>
    <w:p w14:paraId="67223101" w14:textId="77777777" w:rsidR="005D5A74" w:rsidRDefault="005D5A74" w:rsidP="004672CA">
      <w:pPr>
        <w:rPr>
          <w:iCs/>
        </w:rPr>
      </w:pPr>
    </w:p>
    <w:p w14:paraId="425A354A" w14:textId="77777777" w:rsidR="00D15461" w:rsidRDefault="002631EE" w:rsidP="00217DD7">
      <w:pPr>
        <w:rPr>
          <w:b/>
          <w:iCs/>
          <w:u w:val="single"/>
        </w:rPr>
      </w:pPr>
      <w:r>
        <w:rPr>
          <w:b/>
          <w:u w:val="single"/>
        </w:rPr>
        <w:t xml:space="preserve">7CFR </w:t>
      </w:r>
      <w:r w:rsidR="00EC5972" w:rsidRPr="00EC5972">
        <w:rPr>
          <w:b/>
          <w:u w:val="single"/>
        </w:rPr>
        <w:t xml:space="preserve">319.56.71(d) </w:t>
      </w:r>
      <w:r w:rsidR="00EC5972" w:rsidRPr="00EC5972">
        <w:rPr>
          <w:b/>
          <w:iCs/>
          <w:u w:val="single"/>
        </w:rPr>
        <w:t>Inspection</w:t>
      </w:r>
      <w:r w:rsidR="00D15461">
        <w:rPr>
          <w:b/>
          <w:iCs/>
          <w:u w:val="single"/>
        </w:rPr>
        <w:t xml:space="preserve"> (business) (NPPO)</w:t>
      </w:r>
    </w:p>
    <w:p w14:paraId="4D91105F" w14:textId="5389C412" w:rsidR="00217DD7" w:rsidRDefault="00EC5972" w:rsidP="00217DD7">
      <w:pPr>
        <w:rPr>
          <w:i/>
          <w:iCs/>
        </w:rPr>
      </w:pPr>
      <w:r w:rsidRPr="00EC5972">
        <w:t xml:space="preserve">The mangoes must be inspected by the NPPO of Jamaica and found free of </w:t>
      </w:r>
      <w:r w:rsidRPr="00EC5972">
        <w:rPr>
          <w:i/>
          <w:iCs/>
        </w:rPr>
        <w:t>Coccus moestus</w:t>
      </w:r>
      <w:r w:rsidR="00D15461">
        <w:rPr>
          <w:i/>
          <w:iCs/>
        </w:rPr>
        <w:t>.</w:t>
      </w:r>
    </w:p>
    <w:p w14:paraId="17837849" w14:textId="091516B8" w:rsidR="002631EE" w:rsidRDefault="002631EE" w:rsidP="00217DD7">
      <w:pPr>
        <w:rPr>
          <w:i/>
          <w:iCs/>
        </w:rPr>
      </w:pPr>
    </w:p>
    <w:p w14:paraId="2B9C6156" w14:textId="77777777" w:rsidR="00D15461" w:rsidRDefault="00D15461" w:rsidP="002631EE">
      <w:pPr>
        <w:rPr>
          <w:b/>
          <w:u w:val="single"/>
        </w:rPr>
      </w:pPr>
      <w:r>
        <w:rPr>
          <w:b/>
          <w:u w:val="single"/>
        </w:rPr>
        <w:t>7CFR 319.56.71</w:t>
      </w:r>
      <w:r w:rsidR="002631EE" w:rsidRPr="008E421F">
        <w:rPr>
          <w:b/>
          <w:u w:val="single"/>
        </w:rPr>
        <w:t xml:space="preserve">(a)(2) </w:t>
      </w:r>
      <w:r w:rsidR="002631EE">
        <w:rPr>
          <w:b/>
          <w:u w:val="single"/>
        </w:rPr>
        <w:t>Emergency Action Notification</w:t>
      </w:r>
      <w:r>
        <w:rPr>
          <w:b/>
          <w:u w:val="single"/>
        </w:rPr>
        <w:t xml:space="preserve"> (PPQ Form 523)</w:t>
      </w:r>
    </w:p>
    <w:p w14:paraId="65BAE8A5" w14:textId="294EEA93" w:rsidR="002631EE" w:rsidRPr="00AD3418" w:rsidRDefault="002631EE" w:rsidP="002631EE">
      <w:pPr>
        <w:rPr>
          <w:noProof/>
        </w:rPr>
      </w:pPr>
      <w:r w:rsidRPr="008E421F">
        <w:t>If a pest or disease is detected at the port of entry in the United States, the consignment of mangoes would be prohibited entry into the United States</w:t>
      </w:r>
      <w:r>
        <w:t xml:space="preserve">. </w:t>
      </w:r>
      <w:r w:rsidRPr="00AD3418">
        <w:rPr>
          <w:noProof/>
        </w:rPr>
        <w:t xml:space="preserve">The EAN system tracks the issuance of Emergency Actin Notifications.  PPQ Form 523 is generated by DHS and PPQ officers throughout the country when an actionable violation is detected related to prohibited pests and agricultural products found in cargo, market places or domestic sites. A copy of the form is given to the importer of the impacted commodity. </w:t>
      </w:r>
    </w:p>
    <w:p w14:paraId="1C1FBFFD" w14:textId="7046C32F" w:rsidR="002631EE" w:rsidRPr="00D15461" w:rsidRDefault="002631EE" w:rsidP="00217DD7">
      <w:pPr>
        <w:rPr>
          <w:iCs/>
        </w:rPr>
      </w:pPr>
    </w:p>
    <w:p w14:paraId="3B830865" w14:textId="2B877A57" w:rsidR="00D42BA4" w:rsidRDefault="00D42BA4" w:rsidP="00217DD7"/>
    <w:p w14:paraId="4D911061" w14:textId="77777777" w:rsidR="00217DD7" w:rsidRDefault="00217DD7" w:rsidP="00217DD7">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4D911062" w14:textId="77777777" w:rsidR="00217DD7" w:rsidRDefault="00217DD7" w:rsidP="00217DD7">
      <w:pPr>
        <w:rPr>
          <w:b/>
        </w:rPr>
      </w:pPr>
    </w:p>
    <w:p w14:paraId="260F16DE" w14:textId="77777777" w:rsidR="004E48CA" w:rsidRPr="004E48CA" w:rsidRDefault="004E48CA" w:rsidP="004E48CA">
      <w:pPr>
        <w:rPr>
          <w:rFonts w:cs="Courier New"/>
        </w:rPr>
      </w:pPr>
      <w:r w:rsidRPr="004E48CA">
        <w:rPr>
          <w:rFonts w:cs="Courier New"/>
        </w:rPr>
        <w:t xml:space="preserve">For trade partners who have fully automated systems, we will be accepting computer extracts of electronic health certification health certification data. These certificates are included in the governmentwide utilization of the International Trade Data System (ITDS) via the Automated Commercial Environment (ACE) to improve business operations and further Agency missions.  </w:t>
      </w:r>
    </w:p>
    <w:p w14:paraId="188AB451" w14:textId="26A62B25" w:rsidR="001A218F" w:rsidRDefault="001A218F" w:rsidP="00217DD7">
      <w:pPr>
        <w:pStyle w:val="DefaultText"/>
        <w:rPr>
          <w:rStyle w:val="InitialStyle"/>
          <w:rFonts w:ascii="Times New Roman" w:hAnsi="Times New Roman"/>
          <w:szCs w:val="24"/>
        </w:rPr>
      </w:pPr>
    </w:p>
    <w:p w14:paraId="2EC71610" w14:textId="3E6B671F" w:rsidR="001A218F" w:rsidRPr="00F754AF" w:rsidRDefault="004E48CA" w:rsidP="00217DD7">
      <w:pPr>
        <w:pStyle w:val="DefaultText"/>
        <w:rPr>
          <w:rStyle w:val="InitialStyle"/>
          <w:rFonts w:ascii="Times New Roman" w:hAnsi="Times New Roman"/>
          <w:szCs w:val="24"/>
        </w:rPr>
      </w:pPr>
      <w:r>
        <w:rPr>
          <w:rStyle w:val="InitialStyle"/>
          <w:rFonts w:ascii="Times New Roman" w:hAnsi="Times New Roman"/>
          <w:szCs w:val="24"/>
        </w:rPr>
        <w:t xml:space="preserve">The </w:t>
      </w:r>
      <w:r w:rsidR="001A218F">
        <w:rPr>
          <w:rStyle w:val="InitialStyle"/>
          <w:rFonts w:ascii="Times New Roman" w:hAnsi="Times New Roman"/>
          <w:szCs w:val="24"/>
        </w:rPr>
        <w:t xml:space="preserve">PPQ Form 523 is generated from the Agricultural Quarantine Activity System (AQAS).  </w:t>
      </w:r>
    </w:p>
    <w:p w14:paraId="4D911064" w14:textId="77777777" w:rsidR="00217DD7" w:rsidRDefault="00217DD7" w:rsidP="00217DD7"/>
    <w:p w14:paraId="2BED01D1" w14:textId="77777777" w:rsidR="004E48CA" w:rsidRDefault="004E48CA" w:rsidP="00217DD7"/>
    <w:p w14:paraId="4D911065" w14:textId="77777777" w:rsidR="00217DD7" w:rsidRDefault="00217DD7" w:rsidP="00217DD7">
      <w:pPr>
        <w:rPr>
          <w:b/>
        </w:rPr>
      </w:pPr>
      <w:r w:rsidRPr="000B6718">
        <w:rPr>
          <w:b/>
        </w:rPr>
        <w:t>4.  Describe efforts to identify duplication.  Show specifically why any similar information already available cannot be used or modified for use of the purpose described in item 2 above.</w:t>
      </w:r>
    </w:p>
    <w:p w14:paraId="4D911066" w14:textId="77777777" w:rsidR="00217DD7" w:rsidRDefault="00217DD7" w:rsidP="00217DD7">
      <w:pPr>
        <w:rPr>
          <w:b/>
        </w:rPr>
      </w:pPr>
    </w:p>
    <w:p w14:paraId="4D911067" w14:textId="77777777" w:rsidR="00217DD7" w:rsidRPr="00F51A92" w:rsidRDefault="00217DD7" w:rsidP="00217DD7">
      <w:r>
        <w:t>The information APHIS collects is exclusive to its mission of preventing the spread of plant pests and is not available from any other source.</w:t>
      </w:r>
    </w:p>
    <w:p w14:paraId="4D911068" w14:textId="77777777" w:rsidR="00217DD7" w:rsidRDefault="00217DD7" w:rsidP="00217DD7">
      <w:pPr>
        <w:rPr>
          <w:b/>
        </w:rPr>
      </w:pPr>
    </w:p>
    <w:p w14:paraId="4D911069" w14:textId="77777777" w:rsidR="00217DD7" w:rsidRPr="00892FC6" w:rsidRDefault="00217DD7" w:rsidP="00217DD7">
      <w:pPr>
        <w:rPr>
          <w:b/>
        </w:rPr>
      </w:pPr>
      <w:r w:rsidRPr="00892FC6">
        <w:rPr>
          <w:b/>
        </w:rPr>
        <w:t>5.  If the collection of information impacts small businesses or other small entities, describe any methods used to minimize burden.</w:t>
      </w:r>
    </w:p>
    <w:p w14:paraId="4D91106A" w14:textId="77777777" w:rsidR="00217DD7" w:rsidRPr="00892FC6" w:rsidRDefault="00217DD7" w:rsidP="00217DD7">
      <w:pPr>
        <w:rPr>
          <w:b/>
        </w:rPr>
      </w:pPr>
    </w:p>
    <w:p w14:paraId="4D91106B" w14:textId="48B2AC0A" w:rsidR="00217DD7" w:rsidRDefault="00217DD7" w:rsidP="00217DD7">
      <w:r>
        <w:t xml:space="preserve">The information APHIS collects is the minimum needed to protect the United States from destructive plant pests while increasing the number and variety of fruits and vegetables that can be </w:t>
      </w:r>
      <w:r w:rsidR="00D15461">
        <w:t xml:space="preserve">imported from other countries. </w:t>
      </w:r>
      <w:r w:rsidRPr="004E48CA">
        <w:t>APHIS has determined 100% of the respondents are small entities.</w:t>
      </w:r>
    </w:p>
    <w:p w14:paraId="4D91106C" w14:textId="77777777" w:rsidR="00217DD7" w:rsidRDefault="00217DD7" w:rsidP="00217DD7"/>
    <w:p w14:paraId="4D91106D" w14:textId="77777777" w:rsidR="00217DD7" w:rsidRDefault="00217DD7" w:rsidP="00217DD7">
      <w:pPr>
        <w:rPr>
          <w:b/>
        </w:rPr>
      </w:pPr>
      <w:r w:rsidRPr="00892FC6">
        <w:rPr>
          <w:b/>
        </w:rPr>
        <w:t>6.  Describe the consequences to Federal program or policy activities if the collection is not conducted or is conducted less frequently, as well as any technical or legal obstacles to reducing burden.</w:t>
      </w:r>
    </w:p>
    <w:p w14:paraId="4D91106E" w14:textId="77777777" w:rsidR="00217DD7" w:rsidRDefault="00217DD7" w:rsidP="00217DD7">
      <w:pPr>
        <w:pStyle w:val="DefaultText"/>
        <w:rPr>
          <w:rStyle w:val="InitialStyle"/>
          <w:rFonts w:ascii="Times New Roman" w:hAnsi="Times New Roman"/>
        </w:rPr>
      </w:pPr>
    </w:p>
    <w:p w14:paraId="4D91106F" w14:textId="77777777" w:rsidR="00217DD7" w:rsidRDefault="00217DD7" w:rsidP="00217DD7">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e that</w:t>
      </w:r>
      <w:r w:rsidR="004672CA">
        <w:rPr>
          <w:rStyle w:val="InitialStyle"/>
          <w:rFonts w:ascii="Times New Roman" w:hAnsi="Times New Roman"/>
        </w:rPr>
        <w:t xml:space="preserve"> mangoes</w:t>
      </w:r>
      <w:r>
        <w:rPr>
          <w:rStyle w:val="InitialStyle"/>
          <w:rFonts w:ascii="Times New Roman" w:hAnsi="Times New Roman"/>
        </w:rPr>
        <w:t xml:space="preserve"> from </w:t>
      </w:r>
      <w:r w:rsidR="004672CA">
        <w:rPr>
          <w:rStyle w:val="InitialStyle"/>
          <w:rFonts w:ascii="Times New Roman" w:hAnsi="Times New Roman"/>
        </w:rPr>
        <w:t>Jamaica</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4D911070" w14:textId="77777777" w:rsidR="00217DD7" w:rsidRDefault="00217DD7" w:rsidP="00217DD7"/>
    <w:p w14:paraId="4D911071" w14:textId="77777777" w:rsidR="00217DD7" w:rsidRPr="00C840DA" w:rsidRDefault="00217DD7" w:rsidP="00217DD7"/>
    <w:p w14:paraId="4D911072" w14:textId="77777777" w:rsidR="00217DD7" w:rsidRDefault="00217DD7" w:rsidP="00217DD7">
      <w:pPr>
        <w:rPr>
          <w:b/>
        </w:rPr>
      </w:pPr>
      <w:r w:rsidRPr="009264A5">
        <w:rPr>
          <w:b/>
        </w:rPr>
        <w:t>7.  Explain any special circumstances that require the collection to be conducted in a manner inconsistent with the general information collection guidelines in 5 CFR 1320.5.</w:t>
      </w:r>
    </w:p>
    <w:p w14:paraId="4D911074" w14:textId="77777777" w:rsidR="00217DD7" w:rsidRDefault="00217DD7" w:rsidP="00217DD7">
      <w:pPr>
        <w:pStyle w:val="300"/>
        <w:rPr>
          <w:sz w:val="24"/>
          <w:szCs w:val="24"/>
        </w:rPr>
      </w:pPr>
    </w:p>
    <w:p w14:paraId="4D911076" w14:textId="1A0E5CC3" w:rsidR="00217DD7" w:rsidRPr="00D15461" w:rsidRDefault="00217DD7" w:rsidP="00D1546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4D911078" w14:textId="12C22BA5" w:rsidR="00217DD7" w:rsidRPr="00D15461" w:rsidRDefault="00217DD7" w:rsidP="00D1546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4D91107A" w14:textId="754E0674" w:rsidR="00217DD7" w:rsidRPr="00D15461" w:rsidRDefault="00217DD7" w:rsidP="00D1546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4D91107C" w14:textId="21AA7299" w:rsidR="00217DD7" w:rsidRPr="00D15461" w:rsidRDefault="00217DD7" w:rsidP="00D1546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4D91107E" w14:textId="438121AB" w:rsidR="00217DD7" w:rsidRPr="00D15461" w:rsidRDefault="00217DD7" w:rsidP="00D1546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D911080" w14:textId="3B17A986" w:rsidR="00217DD7" w:rsidRPr="00D15461" w:rsidRDefault="00217DD7" w:rsidP="00D1546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4D911082" w14:textId="69EF276F" w:rsidR="00217DD7" w:rsidRPr="00D15461" w:rsidRDefault="00217DD7" w:rsidP="00D1546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4D911083" w14:textId="77777777" w:rsidR="00217DD7" w:rsidRPr="00D15461" w:rsidRDefault="00217DD7" w:rsidP="00217DD7">
      <w:pPr>
        <w:numPr>
          <w:ilvl w:val="0"/>
          <w:numId w:val="8"/>
        </w:numPr>
        <w:tabs>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16C8ADE9" w14:textId="77777777" w:rsidR="00D15461" w:rsidRPr="005C04DA" w:rsidRDefault="00D15461" w:rsidP="00D15461">
      <w:pPr>
        <w:spacing w:after="80"/>
        <w:rPr>
          <w:rFonts w:ascii="CG Times" w:hAnsi="CG Times"/>
        </w:rPr>
      </w:pPr>
    </w:p>
    <w:p w14:paraId="4D911084" w14:textId="77777777" w:rsidR="00217DD7" w:rsidRDefault="00217DD7" w:rsidP="00217DD7">
      <w:r>
        <w:t>No special circumstances exist that would require this collection to be conducted in a manner inconsistent with the general information collection guidelines in 5 CFR 1320.5.</w:t>
      </w:r>
    </w:p>
    <w:p w14:paraId="2BC47C4B" w14:textId="77777777" w:rsidR="00D15461" w:rsidRDefault="00D15461" w:rsidP="00217DD7"/>
    <w:p w14:paraId="4D911085" w14:textId="77777777" w:rsidR="00217DD7" w:rsidRDefault="00217DD7" w:rsidP="00217DD7"/>
    <w:p w14:paraId="4D911086" w14:textId="77777777" w:rsidR="00217DD7" w:rsidRPr="001321BE" w:rsidRDefault="00217DD7" w:rsidP="00217DD7">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4D911087" w14:textId="77777777" w:rsidR="00217DD7" w:rsidRDefault="00217DD7" w:rsidP="00217DD7"/>
    <w:p w14:paraId="4D911088" w14:textId="0D5F9920" w:rsidR="00217DD7" w:rsidRDefault="00217DD7" w:rsidP="00217DD7">
      <w:r>
        <w:t>The following individuals were consulted</w:t>
      </w:r>
      <w:r w:rsidR="00297955">
        <w:t xml:space="preserve"> in APHIS’ decision to import mangoes from Jamaica</w:t>
      </w:r>
      <w:r>
        <w:t>:</w:t>
      </w:r>
    </w:p>
    <w:p w14:paraId="4D911089" w14:textId="77777777" w:rsidR="004672CA" w:rsidRDefault="004672CA" w:rsidP="00217DD7"/>
    <w:p w14:paraId="4D91108A" w14:textId="09E807E5" w:rsidR="004672CA" w:rsidRPr="004672CA" w:rsidRDefault="004672CA" w:rsidP="004672CA">
      <w:r w:rsidRPr="004672CA">
        <w:t>M</w:t>
      </w:r>
      <w:r w:rsidR="00784AF6">
        <w:t>r. Jarrold McIneis</w:t>
      </w:r>
    </w:p>
    <w:p w14:paraId="4D91108B" w14:textId="11D3467A" w:rsidR="004672CA" w:rsidRPr="004672CA" w:rsidRDefault="004672CA" w:rsidP="004672CA">
      <w:r w:rsidRPr="004672CA">
        <w:t xml:space="preserve">Chief Plant Quarantine </w:t>
      </w:r>
    </w:p>
    <w:p w14:paraId="21CB010A" w14:textId="77777777" w:rsidR="00770DF2" w:rsidRDefault="004672CA" w:rsidP="004672CA">
      <w:r w:rsidRPr="004672CA">
        <w:t xml:space="preserve">Ministry of Agriculture </w:t>
      </w:r>
    </w:p>
    <w:p w14:paraId="4D91108C" w14:textId="03F3979B" w:rsidR="004672CA" w:rsidRPr="004672CA" w:rsidRDefault="004672CA" w:rsidP="004672CA">
      <w:r w:rsidRPr="004672CA">
        <w:t>193 Old Hope Road</w:t>
      </w:r>
    </w:p>
    <w:p w14:paraId="4D91108D" w14:textId="77777777" w:rsidR="004672CA" w:rsidRPr="004672CA" w:rsidRDefault="004672CA" w:rsidP="004672CA">
      <w:r w:rsidRPr="004672CA">
        <w:t>Kingston 6</w:t>
      </w:r>
    </w:p>
    <w:p w14:paraId="4D91108E" w14:textId="2B8CCAD3" w:rsidR="004672CA" w:rsidRPr="004672CA" w:rsidRDefault="004672CA" w:rsidP="004672CA">
      <w:r w:rsidRPr="004672CA">
        <w:t>Telephone:</w:t>
      </w:r>
      <w:r w:rsidR="00BD3321">
        <w:t xml:space="preserve"> </w:t>
      </w:r>
      <w:r w:rsidRPr="004672CA">
        <w:t xml:space="preserve">+1-876-977-0637 </w:t>
      </w:r>
    </w:p>
    <w:p w14:paraId="7E4CD0C0" w14:textId="14AD413D" w:rsidR="00770DF2" w:rsidRDefault="00770DF2" w:rsidP="004672CA"/>
    <w:p w14:paraId="3C44D1B5" w14:textId="436F6299" w:rsidR="00770DF2" w:rsidRDefault="00770DF2" w:rsidP="004672CA">
      <w:r>
        <w:t>Marshall Ovete</w:t>
      </w:r>
    </w:p>
    <w:p w14:paraId="1D16F477" w14:textId="7BAFAEC9" w:rsidR="00770DF2" w:rsidRDefault="00770DF2" w:rsidP="004672CA">
      <w:r>
        <w:t>Jamaican Producers Group, LTD</w:t>
      </w:r>
    </w:p>
    <w:p w14:paraId="18909AE1" w14:textId="77777777" w:rsidR="00770DF2" w:rsidRDefault="00770DF2" w:rsidP="004672CA">
      <w:r>
        <w:t>6a Oxford Road,</w:t>
      </w:r>
    </w:p>
    <w:p w14:paraId="6F9D2C0C" w14:textId="515C49A6" w:rsidR="00770DF2" w:rsidRDefault="00770DF2" w:rsidP="004672CA">
      <w:r>
        <w:t>Kingston 5</w:t>
      </w:r>
    </w:p>
    <w:p w14:paraId="3441C624" w14:textId="5F992C58" w:rsidR="00770DF2" w:rsidRDefault="00770DF2" w:rsidP="004672CA">
      <w:r>
        <w:t>926-3503-7</w:t>
      </w:r>
    </w:p>
    <w:p w14:paraId="5C825386" w14:textId="38CA1999" w:rsidR="00770DF2" w:rsidRPr="00420C46" w:rsidRDefault="003B2684" w:rsidP="004672CA">
      <w:hyperlink r:id="rId10" w:history="1">
        <w:r w:rsidR="00770DF2" w:rsidRPr="00420C46">
          <w:t>headoffice@jpjamaica.com</w:t>
        </w:r>
      </w:hyperlink>
    </w:p>
    <w:p w14:paraId="4D91109B" w14:textId="77777777" w:rsidR="00217DD7" w:rsidRDefault="00217DD7" w:rsidP="00217DD7"/>
    <w:p w14:paraId="4D91109C" w14:textId="535464B7" w:rsidR="004672CA" w:rsidRDefault="00770DF2" w:rsidP="004672CA">
      <w:r>
        <w:t xml:space="preserve">National </w:t>
      </w:r>
      <w:r w:rsidR="004672CA">
        <w:t>Mango Board</w:t>
      </w:r>
    </w:p>
    <w:p w14:paraId="043BCD95" w14:textId="77777777" w:rsidR="00770DF2" w:rsidRDefault="00770DF2" w:rsidP="004672CA">
      <w:r>
        <w:t>Amy Mercado</w:t>
      </w:r>
    </w:p>
    <w:p w14:paraId="4D91109F" w14:textId="5F608750" w:rsidR="004672CA" w:rsidRPr="007B274E" w:rsidRDefault="00770DF2" w:rsidP="004672CA">
      <w:r>
        <w:t xml:space="preserve">Director of Operations </w:t>
      </w:r>
    </w:p>
    <w:p w14:paraId="4D9110A4" w14:textId="181597B2" w:rsidR="004672CA" w:rsidRDefault="00770DF2" w:rsidP="00770DF2">
      <w:r>
        <w:t>3101 Maguire Blvd, Suite 111</w:t>
      </w:r>
      <w:r>
        <w:br/>
        <w:t>Orlando, FL 32803</w:t>
      </w:r>
      <w:r>
        <w:br/>
        <w:t>407-629-7318</w:t>
      </w:r>
      <w:r>
        <w:br/>
        <w:t>(877) MANGOS-1</w:t>
      </w:r>
      <w:r w:rsidRPr="007B274E">
        <w:t xml:space="preserve"> </w:t>
      </w:r>
    </w:p>
    <w:p w14:paraId="4D9110A5" w14:textId="77777777" w:rsidR="004672CA" w:rsidRDefault="004672CA" w:rsidP="004672CA">
      <w:pPr>
        <w:rPr>
          <w:rFonts w:ascii="Comic Sans MS" w:hAnsi="Comic Sans MS"/>
        </w:rPr>
      </w:pPr>
    </w:p>
    <w:p w14:paraId="56D66FD8" w14:textId="4221F3A5" w:rsidR="00D15461" w:rsidRPr="00E51918" w:rsidRDefault="00BD3321" w:rsidP="00D15461">
      <w:pPr>
        <w:pStyle w:val="DefaultText"/>
        <w:rPr>
          <w:szCs w:val="24"/>
        </w:rPr>
      </w:pPr>
      <w:r w:rsidRPr="00E51918">
        <w:rPr>
          <w:szCs w:val="24"/>
        </w:rPr>
        <w:t>On Friday, October 13, 2017, pages 47690-47691</w:t>
      </w:r>
      <w:r w:rsidR="00D15461" w:rsidRPr="00E51918">
        <w:rPr>
          <w:szCs w:val="24"/>
        </w:rPr>
        <w:t>, Volume 82, APHIS published in the Federal Register a 60-day notice seeking public comments on its plans to request a 3-year renewal of this collection of information.</w:t>
      </w:r>
      <w:r w:rsidRPr="00E51918">
        <w:rPr>
          <w:szCs w:val="24"/>
        </w:rPr>
        <w:t xml:space="preserve"> No comments were received during this time. </w:t>
      </w:r>
    </w:p>
    <w:p w14:paraId="4D9110A7" w14:textId="77777777" w:rsidR="00217DD7" w:rsidRDefault="00217DD7" w:rsidP="00217DD7">
      <w:pPr>
        <w:autoSpaceDE w:val="0"/>
        <w:autoSpaceDN w:val="0"/>
        <w:rPr>
          <w:rFonts w:ascii="Comic Sans MS" w:hAnsi="Comic Sans MS"/>
        </w:rPr>
      </w:pPr>
    </w:p>
    <w:p w14:paraId="209B3FA6" w14:textId="77777777" w:rsidR="00D15461" w:rsidRDefault="00D15461" w:rsidP="00217DD7">
      <w:pPr>
        <w:autoSpaceDE w:val="0"/>
        <w:autoSpaceDN w:val="0"/>
      </w:pPr>
    </w:p>
    <w:p w14:paraId="4D9110A8" w14:textId="77777777" w:rsidR="00217DD7" w:rsidRDefault="00217DD7" w:rsidP="00217DD7">
      <w:pPr>
        <w:autoSpaceDE w:val="0"/>
        <w:autoSpaceDN w:val="0"/>
        <w:adjustRightInd w:val="0"/>
        <w:rPr>
          <w:b/>
        </w:rPr>
      </w:pPr>
      <w:r w:rsidRPr="00BF15C7">
        <w:rPr>
          <w:rStyle w:val="InitialStyle"/>
          <w:rFonts w:ascii="Times New Roman" w:hAnsi="Times New Roman"/>
        </w:rPr>
        <w:t> </w:t>
      </w:r>
      <w:r w:rsidRPr="00CE174E">
        <w:rPr>
          <w:b/>
        </w:rPr>
        <w:t>9.  Explain any decision to provide any payment or gift to respondents, other than reenumeration of contractors or grantees.</w:t>
      </w:r>
    </w:p>
    <w:p w14:paraId="4D9110A9" w14:textId="77777777" w:rsidR="00217DD7" w:rsidRDefault="00217DD7" w:rsidP="00217DD7">
      <w:pPr>
        <w:rPr>
          <w:b/>
        </w:rPr>
      </w:pPr>
    </w:p>
    <w:p w14:paraId="4D9110AA" w14:textId="77777777" w:rsidR="00217DD7" w:rsidRDefault="00217DD7" w:rsidP="00217DD7">
      <w:r>
        <w:t>This information collection activity involves no payments or gifts to respondents.</w:t>
      </w:r>
    </w:p>
    <w:p w14:paraId="4D9110AB" w14:textId="77777777" w:rsidR="00217DD7" w:rsidRDefault="00217DD7" w:rsidP="00217DD7"/>
    <w:p w14:paraId="5BF6F731" w14:textId="77777777" w:rsidR="00BD3321" w:rsidRDefault="00BD3321" w:rsidP="00217DD7"/>
    <w:p w14:paraId="4D9110AC" w14:textId="77777777" w:rsidR="00217DD7" w:rsidRPr="00CE174E" w:rsidRDefault="00217DD7" w:rsidP="00217DD7">
      <w:pPr>
        <w:rPr>
          <w:b/>
        </w:rPr>
      </w:pPr>
      <w:r w:rsidRPr="00CE174E">
        <w:rPr>
          <w:b/>
        </w:rPr>
        <w:t>10.  Describe any assurance of confidentiality provided to respondents and the basis for the assurance in statute, regulation, or agency policy.</w:t>
      </w:r>
    </w:p>
    <w:p w14:paraId="4D9110AD" w14:textId="77777777" w:rsidR="00217DD7" w:rsidRPr="00CE174E" w:rsidRDefault="00217DD7" w:rsidP="00217DD7"/>
    <w:p w14:paraId="4D9110AE" w14:textId="77777777" w:rsidR="00217DD7" w:rsidRDefault="00217DD7" w:rsidP="00217DD7">
      <w:r>
        <w:t>No additional assurance of confidentiality is provided with this information collection.  However, the confidentiality of information is protected under 5 U.S.C. 552a.</w:t>
      </w:r>
    </w:p>
    <w:p w14:paraId="4D9110AF" w14:textId="77777777" w:rsidR="00217DD7" w:rsidRDefault="00217DD7" w:rsidP="00217DD7"/>
    <w:p w14:paraId="2C75E958" w14:textId="77777777" w:rsidR="00BD3321" w:rsidRDefault="00BD3321" w:rsidP="00217DD7"/>
    <w:p w14:paraId="4D9110B0" w14:textId="77777777" w:rsidR="00217DD7" w:rsidRDefault="00217DD7" w:rsidP="00217DD7">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9110B1" w14:textId="77777777" w:rsidR="00217DD7" w:rsidRDefault="00217DD7" w:rsidP="00217DD7">
      <w:pPr>
        <w:rPr>
          <w:b/>
        </w:rPr>
      </w:pPr>
    </w:p>
    <w:p w14:paraId="4D9110B2" w14:textId="77777777" w:rsidR="00217DD7" w:rsidRDefault="00217DD7" w:rsidP="00217DD7">
      <w:r>
        <w:t>This information collection activity asks no questions of personal or sensitive nature.</w:t>
      </w:r>
    </w:p>
    <w:p w14:paraId="4D9110B3" w14:textId="77777777" w:rsidR="00217DD7" w:rsidRDefault="00217DD7" w:rsidP="00217DD7"/>
    <w:p w14:paraId="7EE599EB" w14:textId="77777777" w:rsidR="00D15461" w:rsidRDefault="00D15461" w:rsidP="00217DD7"/>
    <w:p w14:paraId="4D9110B4" w14:textId="77777777" w:rsidR="00217DD7" w:rsidRDefault="00217DD7" w:rsidP="00217DD7">
      <w:r w:rsidRPr="00AE1E01">
        <w:rPr>
          <w:b/>
        </w:rPr>
        <w:t>12.  Provide estimates of hour burden of the collection of information.  Indicate the number of respondents, frequency of response, annual hour burden, and an explanation of how the burden was estimated</w:t>
      </w:r>
      <w:r>
        <w:t>.</w:t>
      </w:r>
    </w:p>
    <w:p w14:paraId="4D9110B5" w14:textId="77777777" w:rsidR="00217DD7" w:rsidRDefault="00217DD7" w:rsidP="00217DD7"/>
    <w:p w14:paraId="4D9110B6" w14:textId="302EF37D" w:rsidR="00217DD7" w:rsidRPr="002006A2" w:rsidRDefault="00217DD7" w:rsidP="002006A2">
      <w:pPr>
        <w:pStyle w:val="ListParagraph"/>
        <w:numPr>
          <w:ilvl w:val="0"/>
          <w:numId w:val="8"/>
        </w:numPr>
        <w:ind w:left="180" w:hanging="180"/>
        <w:rPr>
          <w:b/>
        </w:rPr>
      </w:pPr>
      <w:r w:rsidRPr="002006A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D9110B7" w14:textId="77777777" w:rsidR="00217DD7" w:rsidRDefault="00217DD7" w:rsidP="00217DD7">
      <w:pPr>
        <w:rPr>
          <w:b/>
        </w:rPr>
      </w:pPr>
    </w:p>
    <w:p w14:paraId="4D9110B8" w14:textId="4D423D56" w:rsidR="00217DD7" w:rsidRDefault="00217DD7" w:rsidP="00217DD7">
      <w:r w:rsidRPr="00B60257">
        <w:t>See APHIS Form 71 for hour burden estimates.</w:t>
      </w:r>
      <w:r w:rsidR="00BD3321">
        <w:t xml:space="preserve"> Burden estimates were developed from discussions with Jamaican National Plant Protection Organization. </w:t>
      </w:r>
    </w:p>
    <w:p w14:paraId="4D9110B9" w14:textId="77777777" w:rsidR="00217DD7" w:rsidRDefault="00217DD7" w:rsidP="00217DD7"/>
    <w:p w14:paraId="4D9110BA" w14:textId="448CA268" w:rsidR="00217DD7" w:rsidRPr="002006A2" w:rsidRDefault="00217DD7" w:rsidP="002006A2">
      <w:pPr>
        <w:pStyle w:val="ListParagraph"/>
        <w:numPr>
          <w:ilvl w:val="0"/>
          <w:numId w:val="8"/>
        </w:numPr>
        <w:ind w:left="270" w:hanging="180"/>
        <w:rPr>
          <w:b/>
        </w:rPr>
      </w:pPr>
      <w:r w:rsidRPr="002006A2">
        <w:rPr>
          <w:b/>
        </w:rPr>
        <w:t xml:space="preserve">Provide estimates of annualized cost to respondents for the hour burdens for collections of information, identifying and using appropriate wage rate categories.  </w:t>
      </w:r>
    </w:p>
    <w:p w14:paraId="4D9110BB" w14:textId="77777777" w:rsidR="00217DD7" w:rsidRDefault="00217DD7" w:rsidP="00217DD7">
      <w:pPr>
        <w:rPr>
          <w:b/>
        </w:rPr>
      </w:pPr>
      <w:r>
        <w:rPr>
          <w:b/>
        </w:rPr>
        <w:t xml:space="preserve"> </w:t>
      </w:r>
    </w:p>
    <w:p w14:paraId="4D9110BC" w14:textId="1DDE23F6" w:rsidR="00217DD7" w:rsidRDefault="00217DD7" w:rsidP="00217DD7">
      <w:r w:rsidRPr="00B60257">
        <w:t xml:space="preserve">APHIS estimates the total annualized </w:t>
      </w:r>
      <w:r w:rsidR="002006A2" w:rsidRPr="00B60257">
        <w:t>cost to the respondents to be $</w:t>
      </w:r>
      <w:r w:rsidR="00990DC9" w:rsidRPr="00B60257">
        <w:t>11,2</w:t>
      </w:r>
      <w:r w:rsidR="00C17725" w:rsidRPr="00B60257">
        <w:t>94.15</w:t>
      </w:r>
      <w:r w:rsidR="002006A2" w:rsidRPr="00B60257">
        <w:t xml:space="preserve">. </w:t>
      </w:r>
      <w:r w:rsidR="00BD3321" w:rsidRPr="00B60257">
        <w:t>APHIS arrived</w:t>
      </w:r>
      <w:r w:rsidRPr="00B60257">
        <w:t xml:space="preserve"> at this figure by multiplying the total burden hours (</w:t>
      </w:r>
      <w:r w:rsidR="00990DC9" w:rsidRPr="00B60257">
        <w:t>42</w:t>
      </w:r>
      <w:r w:rsidR="00C17725" w:rsidRPr="00B60257">
        <w:t>7</w:t>
      </w:r>
      <w:r w:rsidRPr="00B60257">
        <w:t>) by the estimated average hourly wage of the above respondents ($2</w:t>
      </w:r>
      <w:r w:rsidR="00990DC9" w:rsidRPr="00B60257">
        <w:t>6.45</w:t>
      </w:r>
      <w:r w:rsidRPr="00B60257">
        <w:t>)</w:t>
      </w:r>
      <w:r w:rsidR="00B60257">
        <w:t xml:space="preserve">. </w:t>
      </w:r>
      <w:r>
        <w:t xml:space="preserve">  </w:t>
      </w:r>
    </w:p>
    <w:p w14:paraId="4D9110BD" w14:textId="77777777" w:rsidR="00217DD7" w:rsidRDefault="00217DD7" w:rsidP="00217DD7"/>
    <w:p w14:paraId="4D9110BE" w14:textId="77777777" w:rsidR="00217DD7" w:rsidRDefault="00217DD7" w:rsidP="00217DD7">
      <w:pPr>
        <w:rPr>
          <w:b/>
        </w:rPr>
      </w:pPr>
    </w:p>
    <w:p w14:paraId="4D9110BF" w14:textId="77777777" w:rsidR="00217DD7" w:rsidRDefault="00217DD7" w:rsidP="00217DD7">
      <w:pPr>
        <w:rPr>
          <w:b/>
        </w:rPr>
      </w:pPr>
      <w:r w:rsidRPr="00D95F4A">
        <w:rPr>
          <w:b/>
        </w:rPr>
        <w:t>13.  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4D9110C0" w14:textId="77777777" w:rsidR="00217DD7" w:rsidRDefault="00217DD7" w:rsidP="00217DD7">
      <w:pPr>
        <w:rPr>
          <w:b/>
        </w:rPr>
      </w:pPr>
    </w:p>
    <w:p w14:paraId="4D9110C1" w14:textId="77777777" w:rsidR="00217DD7" w:rsidRDefault="00217DD7" w:rsidP="00217DD7">
      <w:r>
        <w:t>There is zero annual cost burden associated with the capital and start-up cost, maintenance costs, and purchase of services in connection with this program.</w:t>
      </w:r>
    </w:p>
    <w:p w14:paraId="4D9110C2" w14:textId="77777777" w:rsidR="00217DD7" w:rsidRDefault="00217DD7" w:rsidP="00217DD7"/>
    <w:p w14:paraId="02867EA6" w14:textId="77777777" w:rsidR="002006A2" w:rsidRDefault="002006A2" w:rsidP="00217DD7"/>
    <w:p w14:paraId="4D9110C3" w14:textId="77777777" w:rsidR="00217DD7" w:rsidRPr="00D95F4A" w:rsidRDefault="00217DD7" w:rsidP="00217DD7">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4D9110C4" w14:textId="77777777" w:rsidR="00217DD7" w:rsidRPr="00D95F4A" w:rsidRDefault="00217DD7" w:rsidP="00217DD7"/>
    <w:p w14:paraId="4D9110C6" w14:textId="6A7DFC3B" w:rsidR="00217DD7" w:rsidRDefault="00217DD7" w:rsidP="00217DD7">
      <w:r>
        <w:t xml:space="preserve">The </w:t>
      </w:r>
      <w:r w:rsidR="002006A2">
        <w:t>annualized cost to</w:t>
      </w:r>
      <w:r>
        <w:t xml:space="preserve"> the Federal Government is </w:t>
      </w:r>
      <w:r w:rsidR="002006A2">
        <w:t xml:space="preserve">estimated at </w:t>
      </w:r>
      <w:r>
        <w:t>$</w:t>
      </w:r>
      <w:r w:rsidR="00990DC9">
        <w:t>13,6</w:t>
      </w:r>
      <w:r w:rsidR="002631EE">
        <w:t>4</w:t>
      </w:r>
      <w:r w:rsidR="00B60257">
        <w:t>9</w:t>
      </w:r>
      <w:r>
        <w:t>.</w:t>
      </w:r>
      <w:r w:rsidR="002006A2">
        <w:t xml:space="preserve"> </w:t>
      </w:r>
      <w:r>
        <w:t>(See APHIS Form 79</w:t>
      </w:r>
      <w:r w:rsidR="002006A2">
        <w:t>.)</w:t>
      </w:r>
    </w:p>
    <w:p w14:paraId="71D85A3B" w14:textId="77777777" w:rsidR="002006A2" w:rsidRDefault="002006A2" w:rsidP="00217DD7"/>
    <w:p w14:paraId="4D9110C7" w14:textId="77777777" w:rsidR="00217DD7" w:rsidRDefault="00217DD7" w:rsidP="00217DD7"/>
    <w:p w14:paraId="4D9110C8" w14:textId="77777777" w:rsidR="00217DD7" w:rsidRDefault="00217DD7" w:rsidP="00217DD7">
      <w:pPr>
        <w:rPr>
          <w:b/>
        </w:rPr>
      </w:pPr>
      <w:r w:rsidRPr="00D95F4A">
        <w:rPr>
          <w:b/>
        </w:rPr>
        <w:t>15.  Explain the reasons for any program changes or adjustments reported in Items 13 or 14 of the OMB 83-1.</w:t>
      </w:r>
    </w:p>
    <w:p w14:paraId="5A057AB1" w14:textId="77777777" w:rsidR="008E421F" w:rsidRDefault="008E421F" w:rsidP="00217DD7">
      <w:pPr>
        <w:rPr>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
        <w:gridCol w:w="1433"/>
        <w:gridCol w:w="1253"/>
        <w:gridCol w:w="1253"/>
        <w:gridCol w:w="1254"/>
        <w:gridCol w:w="1274"/>
        <w:gridCol w:w="1254"/>
        <w:gridCol w:w="1252"/>
        <w:gridCol w:w="413"/>
      </w:tblGrid>
      <w:tr w:rsidR="00766043" w:rsidRPr="00156C3D" w14:paraId="02BF8F2E" w14:textId="77777777" w:rsidTr="0045072C">
        <w:trPr>
          <w:tblCellSpacing w:w="15" w:type="dxa"/>
        </w:trPr>
        <w:tc>
          <w:tcPr>
            <w:tcW w:w="4968" w:type="pct"/>
            <w:gridSpan w:val="9"/>
            <w:hideMark/>
          </w:tcPr>
          <w:p w14:paraId="71486E62" w14:textId="77777777" w:rsidR="00766043" w:rsidRPr="004E48CA" w:rsidRDefault="00766043" w:rsidP="0045072C">
            <w:pPr>
              <w:rPr>
                <w:b/>
                <w:color w:val="000000"/>
              </w:rPr>
            </w:pPr>
            <w:r w:rsidRPr="004E48CA">
              <w:rPr>
                <w:b/>
                <w:color w:val="000000"/>
              </w:rPr>
              <w:t>ICR Summary of Burden:</w:t>
            </w:r>
          </w:p>
        </w:tc>
      </w:tr>
      <w:tr w:rsidR="00766043" w:rsidRPr="00156C3D" w14:paraId="1F5AC683" w14:textId="77777777" w:rsidTr="0045072C">
        <w:trPr>
          <w:tblCellSpacing w:w="15" w:type="dxa"/>
        </w:trPr>
        <w:tc>
          <w:tcPr>
            <w:tcW w:w="4968" w:type="pct"/>
            <w:gridSpan w:val="9"/>
          </w:tcPr>
          <w:p w14:paraId="09E488A5" w14:textId="77777777" w:rsidR="00766043" w:rsidRPr="00156C3D" w:rsidRDefault="00766043" w:rsidP="0045072C">
            <w:pPr>
              <w:rPr>
                <w:color w:val="000000"/>
              </w:rPr>
            </w:pPr>
          </w:p>
        </w:tc>
      </w:tr>
      <w:tr w:rsidR="00766043" w:rsidRPr="00156C3D" w14:paraId="05D2669C" w14:textId="77777777" w:rsidTr="0045072C">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Before w:w="11" w:type="pct"/>
          <w:wAfter w:w="70" w:type="pct"/>
        </w:trPr>
        <w:tc>
          <w:tcPr>
            <w:tcW w:w="762" w:type="pct"/>
            <w:tcBorders>
              <w:top w:val="outset" w:sz="6" w:space="0" w:color="auto"/>
              <w:left w:val="outset" w:sz="6" w:space="0" w:color="auto"/>
              <w:bottom w:val="outset" w:sz="6" w:space="0" w:color="auto"/>
              <w:right w:val="outset" w:sz="6" w:space="0" w:color="auto"/>
            </w:tcBorders>
            <w:vAlign w:val="center"/>
            <w:hideMark/>
          </w:tcPr>
          <w:p w14:paraId="787E4C45" w14:textId="77777777" w:rsidR="00766043" w:rsidRPr="00156C3D" w:rsidRDefault="00766043" w:rsidP="0045072C">
            <w:pPr>
              <w:jc w:val="center"/>
              <w:rPr>
                <w:b/>
                <w:bCs/>
              </w:rPr>
            </w:pPr>
            <w:r w:rsidRPr="00156C3D">
              <w:rPr>
                <w:b/>
                <w:bCs/>
              </w:rPr>
              <w:t> </w:t>
            </w:r>
          </w:p>
        </w:tc>
        <w:tc>
          <w:tcPr>
            <w:tcW w:w="665" w:type="pct"/>
            <w:tcBorders>
              <w:top w:val="outset" w:sz="6" w:space="0" w:color="auto"/>
              <w:left w:val="outset" w:sz="6" w:space="0" w:color="auto"/>
              <w:bottom w:val="outset" w:sz="6" w:space="0" w:color="auto"/>
              <w:right w:val="outset" w:sz="6" w:space="0" w:color="auto"/>
            </w:tcBorders>
            <w:vAlign w:val="center"/>
            <w:hideMark/>
          </w:tcPr>
          <w:p w14:paraId="2040E8F8" w14:textId="77777777" w:rsidR="00766043" w:rsidRPr="00156C3D" w:rsidRDefault="00766043" w:rsidP="0045072C">
            <w:pPr>
              <w:jc w:val="center"/>
              <w:rPr>
                <w:b/>
                <w:bCs/>
              </w:rPr>
            </w:pPr>
            <w:r w:rsidRPr="00156C3D">
              <w:rPr>
                <w:b/>
                <w:bCs/>
              </w:rPr>
              <w:t>Requested</w:t>
            </w:r>
          </w:p>
        </w:tc>
        <w:tc>
          <w:tcPr>
            <w:tcW w:w="665" w:type="pct"/>
            <w:tcBorders>
              <w:top w:val="outset" w:sz="6" w:space="0" w:color="auto"/>
              <w:left w:val="outset" w:sz="6" w:space="0" w:color="auto"/>
              <w:bottom w:val="outset" w:sz="6" w:space="0" w:color="auto"/>
              <w:right w:val="outset" w:sz="6" w:space="0" w:color="auto"/>
            </w:tcBorders>
            <w:vAlign w:val="center"/>
            <w:hideMark/>
          </w:tcPr>
          <w:p w14:paraId="7536318E" w14:textId="77777777" w:rsidR="00766043" w:rsidRPr="00156C3D" w:rsidRDefault="00766043" w:rsidP="0045072C">
            <w:pPr>
              <w:jc w:val="center"/>
              <w:rPr>
                <w:b/>
                <w:bCs/>
              </w:rPr>
            </w:pPr>
            <w:r w:rsidRPr="00156C3D">
              <w:rPr>
                <w:b/>
                <w:bCs/>
              </w:rPr>
              <w:t>Program Change Due to New Statute</w:t>
            </w:r>
          </w:p>
        </w:tc>
        <w:tc>
          <w:tcPr>
            <w:tcW w:w="665" w:type="pct"/>
            <w:tcBorders>
              <w:top w:val="outset" w:sz="6" w:space="0" w:color="auto"/>
              <w:left w:val="outset" w:sz="6" w:space="0" w:color="auto"/>
              <w:bottom w:val="outset" w:sz="6" w:space="0" w:color="auto"/>
              <w:right w:val="outset" w:sz="6" w:space="0" w:color="auto"/>
            </w:tcBorders>
            <w:vAlign w:val="center"/>
            <w:hideMark/>
          </w:tcPr>
          <w:p w14:paraId="3B180F05" w14:textId="77777777" w:rsidR="00766043" w:rsidRPr="00156C3D" w:rsidRDefault="00766043" w:rsidP="0045072C">
            <w:pPr>
              <w:jc w:val="center"/>
              <w:rPr>
                <w:b/>
                <w:bCs/>
              </w:rPr>
            </w:pPr>
            <w:r w:rsidRPr="00156C3D">
              <w:rPr>
                <w:b/>
                <w:bCs/>
              </w:rPr>
              <w:t>Program Change Due to Agency Discretion</w:t>
            </w:r>
          </w:p>
        </w:tc>
        <w:tc>
          <w:tcPr>
            <w:tcW w:w="671" w:type="pct"/>
            <w:tcBorders>
              <w:top w:val="outset" w:sz="6" w:space="0" w:color="auto"/>
              <w:left w:val="outset" w:sz="6" w:space="0" w:color="auto"/>
              <w:bottom w:val="outset" w:sz="6" w:space="0" w:color="auto"/>
              <w:right w:val="outset" w:sz="6" w:space="0" w:color="auto"/>
            </w:tcBorders>
            <w:vAlign w:val="center"/>
            <w:hideMark/>
          </w:tcPr>
          <w:p w14:paraId="2505052A" w14:textId="77777777" w:rsidR="00766043" w:rsidRPr="00156C3D" w:rsidRDefault="00766043" w:rsidP="0045072C">
            <w:pPr>
              <w:jc w:val="center"/>
              <w:rPr>
                <w:b/>
                <w:bCs/>
              </w:rPr>
            </w:pPr>
            <w:r w:rsidRPr="00156C3D">
              <w:rPr>
                <w:b/>
                <w:bCs/>
              </w:rPr>
              <w:t>Change Due to Adjustment in Agency Estimate</w:t>
            </w:r>
          </w:p>
        </w:tc>
        <w:tc>
          <w:tcPr>
            <w:tcW w:w="665" w:type="pct"/>
            <w:tcBorders>
              <w:top w:val="outset" w:sz="6" w:space="0" w:color="auto"/>
              <w:left w:val="outset" w:sz="6" w:space="0" w:color="auto"/>
              <w:bottom w:val="outset" w:sz="6" w:space="0" w:color="auto"/>
              <w:right w:val="outset" w:sz="6" w:space="0" w:color="auto"/>
            </w:tcBorders>
            <w:vAlign w:val="center"/>
            <w:hideMark/>
          </w:tcPr>
          <w:p w14:paraId="4CA3E7A3" w14:textId="77777777" w:rsidR="00766043" w:rsidRPr="00156C3D" w:rsidRDefault="00766043" w:rsidP="0045072C">
            <w:pPr>
              <w:jc w:val="center"/>
              <w:rPr>
                <w:b/>
                <w:bCs/>
              </w:rPr>
            </w:pPr>
            <w:r w:rsidRPr="00156C3D">
              <w:rPr>
                <w:b/>
                <w:bCs/>
              </w:rPr>
              <w:t>Change Due to Potential Violation of the PRA</w:t>
            </w:r>
          </w:p>
        </w:tc>
        <w:tc>
          <w:tcPr>
            <w:tcW w:w="664" w:type="pct"/>
            <w:tcBorders>
              <w:top w:val="outset" w:sz="6" w:space="0" w:color="auto"/>
              <w:left w:val="outset" w:sz="6" w:space="0" w:color="auto"/>
              <w:bottom w:val="outset" w:sz="6" w:space="0" w:color="auto"/>
              <w:right w:val="outset" w:sz="6" w:space="0" w:color="auto"/>
            </w:tcBorders>
            <w:vAlign w:val="center"/>
            <w:hideMark/>
          </w:tcPr>
          <w:p w14:paraId="46FA27B7" w14:textId="77777777" w:rsidR="00766043" w:rsidRPr="00156C3D" w:rsidRDefault="00766043" w:rsidP="0045072C">
            <w:pPr>
              <w:jc w:val="center"/>
              <w:rPr>
                <w:b/>
                <w:bCs/>
              </w:rPr>
            </w:pPr>
            <w:r w:rsidRPr="00156C3D">
              <w:rPr>
                <w:b/>
                <w:bCs/>
              </w:rPr>
              <w:t>Previously Approved</w:t>
            </w:r>
          </w:p>
        </w:tc>
      </w:tr>
      <w:tr w:rsidR="00766043" w:rsidRPr="00156C3D" w14:paraId="6F6B61B7" w14:textId="77777777" w:rsidTr="0045072C">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Before w:w="11" w:type="pct"/>
          <w:wAfter w:w="70" w:type="pct"/>
        </w:trPr>
        <w:tc>
          <w:tcPr>
            <w:tcW w:w="0" w:type="auto"/>
            <w:tcBorders>
              <w:top w:val="outset" w:sz="6" w:space="0" w:color="auto"/>
              <w:left w:val="outset" w:sz="6" w:space="0" w:color="auto"/>
              <w:bottom w:val="outset" w:sz="6" w:space="0" w:color="auto"/>
              <w:right w:val="outset" w:sz="6" w:space="0" w:color="auto"/>
            </w:tcBorders>
            <w:hideMark/>
          </w:tcPr>
          <w:p w14:paraId="73B71AF4" w14:textId="77777777" w:rsidR="00766043" w:rsidRPr="00156C3D" w:rsidRDefault="00766043" w:rsidP="0045072C">
            <w:r w:rsidRPr="00156C3D">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5291E9E4" w14:textId="264D0FD6" w:rsidR="00766043" w:rsidRPr="00156C3D" w:rsidRDefault="0038083B" w:rsidP="0045072C">
            <w:r>
              <w:t>398</w:t>
            </w:r>
          </w:p>
        </w:tc>
        <w:tc>
          <w:tcPr>
            <w:tcW w:w="0" w:type="auto"/>
            <w:tcBorders>
              <w:top w:val="outset" w:sz="6" w:space="0" w:color="auto"/>
              <w:left w:val="outset" w:sz="6" w:space="0" w:color="auto"/>
              <w:bottom w:val="outset" w:sz="6" w:space="0" w:color="auto"/>
              <w:right w:val="outset" w:sz="6" w:space="0" w:color="auto"/>
            </w:tcBorders>
            <w:hideMark/>
          </w:tcPr>
          <w:p w14:paraId="42C6B55B" w14:textId="28D888D1" w:rsidR="00766043" w:rsidRPr="00156C3D" w:rsidRDefault="00766043" w:rsidP="0045072C">
            <w:r>
              <w:t xml:space="preserve">  </w:t>
            </w:r>
            <w:r w:rsidR="0038083B">
              <w:t>0</w:t>
            </w:r>
          </w:p>
        </w:tc>
        <w:tc>
          <w:tcPr>
            <w:tcW w:w="0" w:type="auto"/>
            <w:tcBorders>
              <w:top w:val="outset" w:sz="6" w:space="0" w:color="auto"/>
              <w:left w:val="outset" w:sz="6" w:space="0" w:color="auto"/>
              <w:bottom w:val="outset" w:sz="6" w:space="0" w:color="auto"/>
              <w:right w:val="outset" w:sz="6" w:space="0" w:color="auto"/>
            </w:tcBorders>
            <w:hideMark/>
          </w:tcPr>
          <w:p w14:paraId="5C28429E" w14:textId="2535F416" w:rsidR="00766043" w:rsidRPr="00156C3D" w:rsidRDefault="00E15974" w:rsidP="0045072C">
            <w:r>
              <w:t>+324</w:t>
            </w:r>
          </w:p>
        </w:tc>
        <w:tc>
          <w:tcPr>
            <w:tcW w:w="0" w:type="auto"/>
            <w:tcBorders>
              <w:top w:val="outset" w:sz="6" w:space="0" w:color="auto"/>
              <w:left w:val="outset" w:sz="6" w:space="0" w:color="auto"/>
              <w:bottom w:val="outset" w:sz="6" w:space="0" w:color="auto"/>
              <w:right w:val="outset" w:sz="6" w:space="0" w:color="auto"/>
            </w:tcBorders>
            <w:hideMark/>
          </w:tcPr>
          <w:p w14:paraId="0F908A15" w14:textId="40F0EB4F" w:rsidR="00766043" w:rsidRPr="004E48CA" w:rsidRDefault="00E15974" w:rsidP="0045072C">
            <w:r>
              <w:t>0</w:t>
            </w:r>
          </w:p>
        </w:tc>
        <w:tc>
          <w:tcPr>
            <w:tcW w:w="0" w:type="auto"/>
            <w:tcBorders>
              <w:top w:val="outset" w:sz="6" w:space="0" w:color="auto"/>
              <w:left w:val="outset" w:sz="6" w:space="0" w:color="auto"/>
              <w:bottom w:val="outset" w:sz="6" w:space="0" w:color="auto"/>
              <w:right w:val="outset" w:sz="6" w:space="0" w:color="auto"/>
            </w:tcBorders>
            <w:hideMark/>
          </w:tcPr>
          <w:p w14:paraId="370E0393" w14:textId="77777777" w:rsidR="00766043" w:rsidRPr="00156C3D" w:rsidRDefault="00766043" w:rsidP="0045072C">
            <w:r w:rsidRPr="00156C3D">
              <w:t>  0</w:t>
            </w:r>
          </w:p>
        </w:tc>
        <w:tc>
          <w:tcPr>
            <w:tcW w:w="0" w:type="auto"/>
            <w:tcBorders>
              <w:top w:val="outset" w:sz="6" w:space="0" w:color="auto"/>
              <w:left w:val="outset" w:sz="6" w:space="0" w:color="auto"/>
              <w:bottom w:val="outset" w:sz="6" w:space="0" w:color="auto"/>
              <w:right w:val="outset" w:sz="6" w:space="0" w:color="auto"/>
            </w:tcBorders>
            <w:hideMark/>
          </w:tcPr>
          <w:p w14:paraId="2FABDDDE" w14:textId="73051D97" w:rsidR="00766043" w:rsidRPr="00156C3D" w:rsidRDefault="0038083B" w:rsidP="0045072C">
            <w:r>
              <w:t>74</w:t>
            </w:r>
          </w:p>
        </w:tc>
      </w:tr>
      <w:tr w:rsidR="00766043" w:rsidRPr="00156C3D" w14:paraId="6480F3C2" w14:textId="77777777" w:rsidTr="0045072C">
        <w:tblPrEx>
          <w:tblCellSpacing w:w="0" w:type="nil"/>
          <w:tblBorders>
            <w:top w:val="single" w:sz="6" w:space="0" w:color="C5DBEC"/>
            <w:left w:val="single" w:sz="6" w:space="0" w:color="C5DBEC"/>
            <w:bottom w:val="single" w:sz="6" w:space="0" w:color="C5DBEC"/>
            <w:right w:val="single" w:sz="6" w:space="0" w:color="C5DBEC"/>
          </w:tblBorders>
        </w:tblPrEx>
        <w:trPr>
          <w:gridBefore w:val="1"/>
          <w:gridAfter w:val="1"/>
          <w:wBefore w:w="11" w:type="pct"/>
          <w:wAfter w:w="70" w:type="pct"/>
        </w:trPr>
        <w:tc>
          <w:tcPr>
            <w:tcW w:w="0" w:type="auto"/>
            <w:tcBorders>
              <w:top w:val="outset" w:sz="6" w:space="0" w:color="auto"/>
              <w:left w:val="outset" w:sz="6" w:space="0" w:color="auto"/>
              <w:bottom w:val="outset" w:sz="6" w:space="0" w:color="auto"/>
              <w:right w:val="outset" w:sz="6" w:space="0" w:color="auto"/>
            </w:tcBorders>
            <w:hideMark/>
          </w:tcPr>
          <w:p w14:paraId="0590A20B" w14:textId="77777777" w:rsidR="00766043" w:rsidRPr="00156C3D" w:rsidRDefault="00766043" w:rsidP="0045072C">
            <w:r w:rsidRPr="00156C3D">
              <w:t>Annual Time Burden (Hr)</w:t>
            </w:r>
          </w:p>
        </w:tc>
        <w:tc>
          <w:tcPr>
            <w:tcW w:w="0" w:type="auto"/>
            <w:tcBorders>
              <w:top w:val="outset" w:sz="6" w:space="0" w:color="auto"/>
              <w:left w:val="outset" w:sz="6" w:space="0" w:color="auto"/>
              <w:bottom w:val="outset" w:sz="6" w:space="0" w:color="auto"/>
              <w:right w:val="outset" w:sz="6" w:space="0" w:color="auto"/>
            </w:tcBorders>
            <w:hideMark/>
          </w:tcPr>
          <w:p w14:paraId="18A53D84" w14:textId="4866BFCA" w:rsidR="00766043" w:rsidRPr="00156C3D" w:rsidRDefault="0038083B" w:rsidP="0045072C">
            <w:r>
              <w:t>427</w:t>
            </w:r>
          </w:p>
        </w:tc>
        <w:tc>
          <w:tcPr>
            <w:tcW w:w="0" w:type="auto"/>
            <w:tcBorders>
              <w:top w:val="outset" w:sz="6" w:space="0" w:color="auto"/>
              <w:left w:val="outset" w:sz="6" w:space="0" w:color="auto"/>
              <w:bottom w:val="outset" w:sz="6" w:space="0" w:color="auto"/>
              <w:right w:val="outset" w:sz="6" w:space="0" w:color="auto"/>
            </w:tcBorders>
            <w:hideMark/>
          </w:tcPr>
          <w:p w14:paraId="1635A94D" w14:textId="16058B00" w:rsidR="00766043" w:rsidRPr="00156C3D" w:rsidRDefault="00766043" w:rsidP="0045072C">
            <w:r>
              <w:t xml:space="preserve">  </w:t>
            </w:r>
            <w:r w:rsidR="0038083B">
              <w:t>0</w:t>
            </w:r>
          </w:p>
        </w:tc>
        <w:tc>
          <w:tcPr>
            <w:tcW w:w="0" w:type="auto"/>
            <w:tcBorders>
              <w:top w:val="outset" w:sz="6" w:space="0" w:color="auto"/>
              <w:left w:val="outset" w:sz="6" w:space="0" w:color="auto"/>
              <w:bottom w:val="outset" w:sz="6" w:space="0" w:color="auto"/>
              <w:right w:val="outset" w:sz="6" w:space="0" w:color="auto"/>
            </w:tcBorders>
            <w:hideMark/>
          </w:tcPr>
          <w:p w14:paraId="23ACB93B" w14:textId="6C53D5B5" w:rsidR="00766043" w:rsidRPr="00156C3D" w:rsidRDefault="00E15974" w:rsidP="0045072C">
            <w:r>
              <w:t>+310</w:t>
            </w:r>
          </w:p>
        </w:tc>
        <w:tc>
          <w:tcPr>
            <w:tcW w:w="0" w:type="auto"/>
            <w:tcBorders>
              <w:top w:val="outset" w:sz="6" w:space="0" w:color="auto"/>
              <w:left w:val="outset" w:sz="6" w:space="0" w:color="auto"/>
              <w:bottom w:val="outset" w:sz="6" w:space="0" w:color="auto"/>
              <w:right w:val="outset" w:sz="6" w:space="0" w:color="auto"/>
            </w:tcBorders>
            <w:hideMark/>
          </w:tcPr>
          <w:p w14:paraId="344AC023" w14:textId="06A13D19" w:rsidR="00766043" w:rsidRPr="004E48CA" w:rsidRDefault="00766043" w:rsidP="0045072C">
            <w:r w:rsidRPr="004E48CA">
              <w:t> </w:t>
            </w:r>
            <w:r w:rsidR="00E15974">
              <w:t>0</w:t>
            </w:r>
          </w:p>
        </w:tc>
        <w:tc>
          <w:tcPr>
            <w:tcW w:w="0" w:type="auto"/>
            <w:tcBorders>
              <w:top w:val="outset" w:sz="6" w:space="0" w:color="auto"/>
              <w:left w:val="outset" w:sz="6" w:space="0" w:color="auto"/>
              <w:bottom w:val="outset" w:sz="6" w:space="0" w:color="auto"/>
              <w:right w:val="outset" w:sz="6" w:space="0" w:color="auto"/>
            </w:tcBorders>
            <w:hideMark/>
          </w:tcPr>
          <w:p w14:paraId="32B9BEEE" w14:textId="77777777" w:rsidR="00766043" w:rsidRPr="00156C3D" w:rsidRDefault="00766043" w:rsidP="0045072C">
            <w:r w:rsidRPr="00156C3D">
              <w:t>  0</w:t>
            </w:r>
          </w:p>
        </w:tc>
        <w:tc>
          <w:tcPr>
            <w:tcW w:w="0" w:type="auto"/>
            <w:tcBorders>
              <w:top w:val="outset" w:sz="6" w:space="0" w:color="auto"/>
              <w:left w:val="outset" w:sz="6" w:space="0" w:color="auto"/>
              <w:bottom w:val="outset" w:sz="6" w:space="0" w:color="auto"/>
              <w:right w:val="outset" w:sz="6" w:space="0" w:color="auto"/>
            </w:tcBorders>
            <w:hideMark/>
          </w:tcPr>
          <w:p w14:paraId="1ADE7D7D" w14:textId="75654075" w:rsidR="00766043" w:rsidRPr="00156C3D" w:rsidRDefault="0038083B" w:rsidP="0045072C">
            <w:r>
              <w:t>117</w:t>
            </w:r>
          </w:p>
        </w:tc>
      </w:tr>
    </w:tbl>
    <w:p w14:paraId="66AF61D1" w14:textId="77777777" w:rsidR="00766043" w:rsidRPr="00D95F4A" w:rsidRDefault="00766043" w:rsidP="00217DD7">
      <w:pPr>
        <w:rPr>
          <w:b/>
        </w:rPr>
      </w:pPr>
    </w:p>
    <w:p w14:paraId="7E532AF1" w14:textId="77777777" w:rsidR="004E48CA" w:rsidRDefault="00B60257" w:rsidP="00217DD7">
      <w:r w:rsidRPr="004E48CA">
        <w:t xml:space="preserve">Overall there is an increase of 324 responses and increase of 310 total burden hours due to adjustments. </w:t>
      </w:r>
    </w:p>
    <w:p w14:paraId="2E6A05CB" w14:textId="77777777" w:rsidR="004E48CA" w:rsidRDefault="004E48CA" w:rsidP="00217DD7"/>
    <w:p w14:paraId="6FD88044" w14:textId="15A593E3" w:rsidR="004E48CA" w:rsidRPr="004E48CA" w:rsidRDefault="00E15974" w:rsidP="00217DD7">
      <w:r>
        <w:t>This program change</w:t>
      </w:r>
      <w:r w:rsidR="00B60257" w:rsidRPr="004E48CA">
        <w:t xml:space="preserve"> is a result from several burden </w:t>
      </w:r>
      <w:r w:rsidR="004E48CA">
        <w:t>activities</w:t>
      </w:r>
      <w:r w:rsidR="00B60257" w:rsidRPr="004E48CA">
        <w:t xml:space="preserve"> being erroneously left off of the previous and first inform</w:t>
      </w:r>
      <w:r w:rsidR="004E48CA">
        <w:t xml:space="preserve">ation collection. Specifically </w:t>
      </w:r>
      <w:r w:rsidR="00B60257" w:rsidRPr="004E48CA">
        <w:t>those burden activities included p</w:t>
      </w:r>
      <w:r w:rsidR="008E421F" w:rsidRPr="004E48CA">
        <w:t>est detection investigat</w:t>
      </w:r>
      <w:r>
        <w:t>ions,</w:t>
      </w:r>
      <w:r w:rsidR="008E421F" w:rsidRPr="004E48CA">
        <w:t xml:space="preserve"> </w:t>
      </w:r>
      <w:r>
        <w:t xml:space="preserve">heat treatment requirements, </w:t>
      </w:r>
      <w:r w:rsidR="00B60257" w:rsidRPr="004E48CA">
        <w:t>and</w:t>
      </w:r>
      <w:r w:rsidR="00990DC9" w:rsidRPr="004E48CA">
        <w:t xml:space="preserve"> </w:t>
      </w:r>
      <w:r w:rsidR="00EC5972" w:rsidRPr="004E48CA">
        <w:t xml:space="preserve">trust fund </w:t>
      </w:r>
      <w:r>
        <w:t>agreements</w:t>
      </w:r>
      <w:r w:rsidR="004E48CA" w:rsidRPr="004E48CA">
        <w:t>.</w:t>
      </w:r>
    </w:p>
    <w:p w14:paraId="06D77878" w14:textId="77777777" w:rsidR="004E48CA" w:rsidRPr="004E48CA" w:rsidRDefault="004E48CA" w:rsidP="00217DD7"/>
    <w:p w14:paraId="4D9110CA" w14:textId="1335498C" w:rsidR="00217DD7" w:rsidRPr="004E48CA" w:rsidRDefault="00990DC9" w:rsidP="00217DD7">
      <w:r w:rsidRPr="004E48CA">
        <w:t xml:space="preserve">This </w:t>
      </w:r>
      <w:r w:rsidR="00B60257" w:rsidRPr="004E48CA">
        <w:t>has resulted in an increase of</w:t>
      </w:r>
      <w:r w:rsidRPr="004E48CA">
        <w:t xml:space="preserve"> total burden hours from 117 to 42</w:t>
      </w:r>
      <w:r w:rsidR="00C17725" w:rsidRPr="004E48CA">
        <w:t>7</w:t>
      </w:r>
      <w:r w:rsidR="00B60257" w:rsidRPr="004E48CA">
        <w:t xml:space="preserve"> and an increase in a</w:t>
      </w:r>
      <w:r w:rsidRPr="004E48CA">
        <w:t xml:space="preserve">nnual responses increased from </w:t>
      </w:r>
      <w:r w:rsidR="002631EE" w:rsidRPr="004E48CA">
        <w:t>74</w:t>
      </w:r>
      <w:r w:rsidR="0038083B" w:rsidRPr="004E48CA">
        <w:t xml:space="preserve"> </w:t>
      </w:r>
      <w:r w:rsidRPr="004E48CA">
        <w:t>to 39</w:t>
      </w:r>
      <w:r w:rsidR="00C17725" w:rsidRPr="004E48CA">
        <w:t>8</w:t>
      </w:r>
      <w:r w:rsidRPr="004E48CA">
        <w:t xml:space="preserve">. </w:t>
      </w:r>
    </w:p>
    <w:p w14:paraId="02891BDB" w14:textId="77777777" w:rsidR="008E421F" w:rsidRDefault="008E421F" w:rsidP="00217DD7"/>
    <w:p w14:paraId="186596B5" w14:textId="77777777" w:rsidR="0038083B" w:rsidRDefault="0038083B" w:rsidP="00217DD7"/>
    <w:p w14:paraId="4D9110CB" w14:textId="77777777" w:rsidR="00217DD7" w:rsidRDefault="00217DD7" w:rsidP="00217DD7">
      <w:r>
        <w:rPr>
          <w:b/>
        </w:rPr>
        <w:t>1</w:t>
      </w:r>
      <w:r w:rsidRPr="00D95F4A">
        <w:rPr>
          <w:b/>
        </w:rPr>
        <w:t>6.  For collections of information whose results are planned to be published, outline plans for tabulation and publication</w:t>
      </w:r>
      <w:r>
        <w:t>.</w:t>
      </w:r>
    </w:p>
    <w:p w14:paraId="4D9110CC" w14:textId="77777777" w:rsidR="00217DD7" w:rsidRDefault="00217DD7" w:rsidP="00217DD7"/>
    <w:p w14:paraId="4D9110CD" w14:textId="77777777" w:rsidR="00217DD7" w:rsidRDefault="00217DD7" w:rsidP="00217DD7">
      <w:r>
        <w:t>APHIS has no plans to tabulate or publish the information it collects.</w:t>
      </w:r>
    </w:p>
    <w:p w14:paraId="4D9110CE" w14:textId="77777777" w:rsidR="00217DD7" w:rsidRDefault="00217DD7" w:rsidP="00217DD7"/>
    <w:p w14:paraId="602564E6" w14:textId="77777777" w:rsidR="0038083B" w:rsidRDefault="0038083B" w:rsidP="00217DD7"/>
    <w:p w14:paraId="4D9110CF" w14:textId="77777777" w:rsidR="00217DD7" w:rsidRPr="00F60BC6" w:rsidRDefault="00217DD7" w:rsidP="00217DD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4D9110D0" w14:textId="77777777" w:rsidR="00217DD7" w:rsidRDefault="00217DD7" w:rsidP="00217DD7"/>
    <w:p w14:paraId="7E1140E6" w14:textId="294800DB" w:rsidR="000F5907" w:rsidRDefault="000F5907" w:rsidP="000F5907">
      <w:r w:rsidRPr="004E48CA">
        <w:t xml:space="preserve">The PPQ 523 form is used in multiple </w:t>
      </w:r>
      <w:r w:rsidR="00FF555C">
        <w:t xml:space="preserve">information </w:t>
      </w:r>
      <w:r w:rsidRPr="004E48CA">
        <w:t xml:space="preserve">collections; therefore, it is not practical to include an OMB expiration date because of the various expiration dates for each </w:t>
      </w:r>
      <w:r w:rsidR="00FF555C">
        <w:t xml:space="preserve">information </w:t>
      </w:r>
      <w:r w:rsidRPr="004E48CA">
        <w:t xml:space="preserve">collection. APHIS is seeking approval to not display </w:t>
      </w:r>
      <w:r w:rsidR="00FF555C">
        <w:t>the OMB expiration date on this form</w:t>
      </w:r>
      <w:r w:rsidRPr="004E48CA">
        <w:t>.</w:t>
      </w:r>
    </w:p>
    <w:p w14:paraId="4D9110D2" w14:textId="77777777" w:rsidR="00217DD7" w:rsidRDefault="00217DD7" w:rsidP="00217DD7"/>
    <w:p w14:paraId="159CAB3E" w14:textId="77777777" w:rsidR="0038083B" w:rsidRDefault="0038083B" w:rsidP="00217DD7"/>
    <w:p w14:paraId="4D9110D3" w14:textId="77777777" w:rsidR="00217DD7" w:rsidRDefault="00217DD7" w:rsidP="00217DD7">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4D9110D4" w14:textId="77777777" w:rsidR="00217DD7" w:rsidRDefault="00217DD7" w:rsidP="00217DD7">
      <w:pPr>
        <w:rPr>
          <w:b/>
        </w:rPr>
      </w:pPr>
    </w:p>
    <w:p w14:paraId="4D9110D5" w14:textId="77777777" w:rsidR="00217DD7" w:rsidRDefault="00217DD7" w:rsidP="00217DD7">
      <w:r>
        <w:t>APHIS is able to certify compliance with all the provisions under the act.</w:t>
      </w:r>
    </w:p>
    <w:p w14:paraId="4D9110D6" w14:textId="77777777" w:rsidR="00217DD7" w:rsidRDefault="00217DD7" w:rsidP="00217DD7"/>
    <w:p w14:paraId="36621B47" w14:textId="77777777" w:rsidR="0038083B" w:rsidRDefault="0038083B" w:rsidP="00217DD7"/>
    <w:p w14:paraId="4D9110D7" w14:textId="77777777" w:rsidR="00217DD7" w:rsidRPr="00F60BC6" w:rsidRDefault="00217DD7" w:rsidP="00217DD7">
      <w:pPr>
        <w:rPr>
          <w:b/>
        </w:rPr>
      </w:pPr>
      <w:r w:rsidRPr="00F60BC6">
        <w:rPr>
          <w:b/>
        </w:rPr>
        <w:t>B.  Collections of Information Employing Statistical Methods.</w:t>
      </w:r>
    </w:p>
    <w:p w14:paraId="4D9110D8" w14:textId="77777777" w:rsidR="00217DD7" w:rsidRDefault="00217DD7" w:rsidP="00217DD7"/>
    <w:p w14:paraId="4D9110D9" w14:textId="77777777" w:rsidR="00217DD7" w:rsidRPr="00F60BC6" w:rsidRDefault="00217DD7" w:rsidP="00217DD7">
      <w:r>
        <w:t>Statistical methods are not used in this information collection.</w:t>
      </w:r>
    </w:p>
    <w:p w14:paraId="4D9110FA" w14:textId="5FAAE1E3" w:rsidR="00CE5D89" w:rsidRDefault="00217DD7" w:rsidP="00217DD7">
      <w:r>
        <w:t>APHIS</w:t>
      </w:r>
      <w:r w:rsidR="0038083B">
        <w:t xml:space="preserve"> due to the rounding of figures.</w:t>
      </w:r>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D7"/>
    <w:rsid w:val="000D3569"/>
    <w:rsid w:val="000F5907"/>
    <w:rsid w:val="00146553"/>
    <w:rsid w:val="001A218F"/>
    <w:rsid w:val="001A4BA7"/>
    <w:rsid w:val="002006A2"/>
    <w:rsid w:val="00217DD7"/>
    <w:rsid w:val="002631EE"/>
    <w:rsid w:val="00297955"/>
    <w:rsid w:val="003164F6"/>
    <w:rsid w:val="003274B8"/>
    <w:rsid w:val="00340E8F"/>
    <w:rsid w:val="00365F0C"/>
    <w:rsid w:val="0038083B"/>
    <w:rsid w:val="003B2684"/>
    <w:rsid w:val="003C47C0"/>
    <w:rsid w:val="003D4DE2"/>
    <w:rsid w:val="00420C46"/>
    <w:rsid w:val="004672CA"/>
    <w:rsid w:val="004974FE"/>
    <w:rsid w:val="004976CC"/>
    <w:rsid w:val="004E48CA"/>
    <w:rsid w:val="0053757D"/>
    <w:rsid w:val="00543070"/>
    <w:rsid w:val="005B33D5"/>
    <w:rsid w:val="005D5A74"/>
    <w:rsid w:val="00724B18"/>
    <w:rsid w:val="00744C17"/>
    <w:rsid w:val="00766043"/>
    <w:rsid w:val="00770DF2"/>
    <w:rsid w:val="007760B5"/>
    <w:rsid w:val="00784AF6"/>
    <w:rsid w:val="007B274E"/>
    <w:rsid w:val="008C5D88"/>
    <w:rsid w:val="008E421F"/>
    <w:rsid w:val="009426D2"/>
    <w:rsid w:val="00990DC9"/>
    <w:rsid w:val="00AF42FA"/>
    <w:rsid w:val="00B16713"/>
    <w:rsid w:val="00B4218F"/>
    <w:rsid w:val="00B60257"/>
    <w:rsid w:val="00BD3321"/>
    <w:rsid w:val="00C17725"/>
    <w:rsid w:val="00CA08B4"/>
    <w:rsid w:val="00CF7631"/>
    <w:rsid w:val="00D15461"/>
    <w:rsid w:val="00D42BA4"/>
    <w:rsid w:val="00E15974"/>
    <w:rsid w:val="00E460AE"/>
    <w:rsid w:val="00E51918"/>
    <w:rsid w:val="00EC5972"/>
    <w:rsid w:val="00F50565"/>
    <w:rsid w:val="00F7264D"/>
    <w:rsid w:val="00FF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paragraph" w:styleId="Heading2">
    <w:name w:val="heading 2"/>
    <w:basedOn w:val="Normal"/>
    <w:link w:val="Heading2Char"/>
    <w:uiPriority w:val="9"/>
    <w:qFormat/>
    <w:rsid w:val="003C47C0"/>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4672CA"/>
    <w:pPr>
      <w:spacing w:before="100" w:beforeAutospacing="1" w:after="100" w:afterAutospacing="1"/>
      <w:ind w:firstLine="480"/>
    </w:pPr>
  </w:style>
  <w:style w:type="character" w:customStyle="1" w:styleId="Heading2Char">
    <w:name w:val="Heading 2 Char"/>
    <w:basedOn w:val="DefaultParagraphFont"/>
    <w:link w:val="Heading2"/>
    <w:uiPriority w:val="9"/>
    <w:rsid w:val="003C47C0"/>
    <w:rPr>
      <w:rFonts w:eastAsia="Times New Roman" w:cs="Times New Roman"/>
      <w:b/>
      <w:bCs/>
      <w:sz w:val="20"/>
      <w:szCs w:val="20"/>
    </w:rPr>
  </w:style>
  <w:style w:type="paragraph" w:styleId="ListParagraph">
    <w:name w:val="List Paragraph"/>
    <w:basedOn w:val="Normal"/>
    <w:uiPriority w:val="34"/>
    <w:qFormat/>
    <w:rsid w:val="005D5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paragraph" w:styleId="Heading2">
    <w:name w:val="heading 2"/>
    <w:basedOn w:val="Normal"/>
    <w:link w:val="Heading2Char"/>
    <w:uiPriority w:val="9"/>
    <w:qFormat/>
    <w:rsid w:val="003C47C0"/>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4672CA"/>
    <w:pPr>
      <w:spacing w:before="100" w:beforeAutospacing="1" w:after="100" w:afterAutospacing="1"/>
      <w:ind w:firstLine="480"/>
    </w:pPr>
  </w:style>
  <w:style w:type="character" w:customStyle="1" w:styleId="Heading2Char">
    <w:name w:val="Heading 2 Char"/>
    <w:basedOn w:val="DefaultParagraphFont"/>
    <w:link w:val="Heading2"/>
    <w:uiPriority w:val="9"/>
    <w:rsid w:val="003C47C0"/>
    <w:rPr>
      <w:rFonts w:eastAsia="Times New Roman" w:cs="Times New Roman"/>
      <w:b/>
      <w:bCs/>
      <w:sz w:val="20"/>
      <w:szCs w:val="20"/>
    </w:rPr>
  </w:style>
  <w:style w:type="paragraph" w:styleId="ListParagraph">
    <w:name w:val="List Paragraph"/>
    <w:basedOn w:val="Normal"/>
    <w:uiPriority w:val="34"/>
    <w:qFormat/>
    <w:rsid w:val="005D5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7152">
      <w:bodyDiv w:val="1"/>
      <w:marLeft w:val="0"/>
      <w:marRight w:val="0"/>
      <w:marTop w:val="0"/>
      <w:marBottom w:val="0"/>
      <w:divBdr>
        <w:top w:val="none" w:sz="0" w:space="0" w:color="auto"/>
        <w:left w:val="none" w:sz="0" w:space="0" w:color="auto"/>
        <w:bottom w:val="none" w:sz="0" w:space="0" w:color="auto"/>
        <w:right w:val="none" w:sz="0" w:space="0" w:color="auto"/>
      </w:divBdr>
    </w:div>
    <w:div w:id="195196025">
      <w:bodyDiv w:val="1"/>
      <w:marLeft w:val="0"/>
      <w:marRight w:val="0"/>
      <w:marTop w:val="0"/>
      <w:marBottom w:val="0"/>
      <w:divBdr>
        <w:top w:val="none" w:sz="0" w:space="0" w:color="auto"/>
        <w:left w:val="none" w:sz="0" w:space="0" w:color="auto"/>
        <w:bottom w:val="none" w:sz="0" w:space="0" w:color="auto"/>
        <w:right w:val="none" w:sz="0" w:space="0" w:color="auto"/>
      </w:divBdr>
      <w:divsChild>
        <w:div w:id="1497572028">
          <w:marLeft w:val="0"/>
          <w:marRight w:val="0"/>
          <w:marTop w:val="0"/>
          <w:marBottom w:val="0"/>
          <w:divBdr>
            <w:top w:val="none" w:sz="0" w:space="0" w:color="auto"/>
            <w:left w:val="none" w:sz="0" w:space="0" w:color="auto"/>
            <w:bottom w:val="none" w:sz="0" w:space="0" w:color="auto"/>
            <w:right w:val="none" w:sz="0" w:space="0" w:color="auto"/>
          </w:divBdr>
          <w:divsChild>
            <w:div w:id="487019718">
              <w:marLeft w:val="0"/>
              <w:marRight w:val="0"/>
              <w:marTop w:val="0"/>
              <w:marBottom w:val="0"/>
              <w:divBdr>
                <w:top w:val="none" w:sz="0" w:space="0" w:color="auto"/>
                <w:left w:val="none" w:sz="0" w:space="0" w:color="auto"/>
                <w:bottom w:val="none" w:sz="0" w:space="0" w:color="auto"/>
                <w:right w:val="none" w:sz="0" w:space="0" w:color="auto"/>
              </w:divBdr>
              <w:divsChild>
                <w:div w:id="98986304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8170">
      <w:bodyDiv w:val="1"/>
      <w:marLeft w:val="0"/>
      <w:marRight w:val="0"/>
      <w:marTop w:val="30"/>
      <w:marBottom w:val="750"/>
      <w:divBdr>
        <w:top w:val="none" w:sz="0" w:space="0" w:color="auto"/>
        <w:left w:val="none" w:sz="0" w:space="0" w:color="auto"/>
        <w:bottom w:val="none" w:sz="0" w:space="0" w:color="auto"/>
        <w:right w:val="none" w:sz="0" w:space="0" w:color="auto"/>
      </w:divBdr>
      <w:divsChild>
        <w:div w:id="175733058">
          <w:marLeft w:val="0"/>
          <w:marRight w:val="0"/>
          <w:marTop w:val="0"/>
          <w:marBottom w:val="0"/>
          <w:divBdr>
            <w:top w:val="none" w:sz="0" w:space="0" w:color="auto"/>
            <w:left w:val="none" w:sz="0" w:space="0" w:color="auto"/>
            <w:bottom w:val="none" w:sz="0" w:space="0" w:color="auto"/>
            <w:right w:val="none" w:sz="0" w:space="0" w:color="auto"/>
          </w:divBdr>
        </w:div>
      </w:divsChild>
    </w:div>
    <w:div w:id="430392037">
      <w:bodyDiv w:val="1"/>
      <w:marLeft w:val="0"/>
      <w:marRight w:val="0"/>
      <w:marTop w:val="30"/>
      <w:marBottom w:val="750"/>
      <w:divBdr>
        <w:top w:val="none" w:sz="0" w:space="0" w:color="auto"/>
        <w:left w:val="none" w:sz="0" w:space="0" w:color="auto"/>
        <w:bottom w:val="none" w:sz="0" w:space="0" w:color="auto"/>
        <w:right w:val="none" w:sz="0" w:space="0" w:color="auto"/>
      </w:divBdr>
      <w:divsChild>
        <w:div w:id="333186474">
          <w:marLeft w:val="0"/>
          <w:marRight w:val="0"/>
          <w:marTop w:val="0"/>
          <w:marBottom w:val="0"/>
          <w:divBdr>
            <w:top w:val="none" w:sz="0" w:space="0" w:color="auto"/>
            <w:left w:val="none" w:sz="0" w:space="0" w:color="auto"/>
            <w:bottom w:val="none" w:sz="0" w:space="0" w:color="auto"/>
            <w:right w:val="none" w:sz="0" w:space="0" w:color="auto"/>
          </w:divBdr>
        </w:div>
      </w:divsChild>
    </w:div>
    <w:div w:id="609582338">
      <w:bodyDiv w:val="1"/>
      <w:marLeft w:val="0"/>
      <w:marRight w:val="0"/>
      <w:marTop w:val="30"/>
      <w:marBottom w:val="750"/>
      <w:divBdr>
        <w:top w:val="none" w:sz="0" w:space="0" w:color="auto"/>
        <w:left w:val="none" w:sz="0" w:space="0" w:color="auto"/>
        <w:bottom w:val="none" w:sz="0" w:space="0" w:color="auto"/>
        <w:right w:val="none" w:sz="0" w:space="0" w:color="auto"/>
      </w:divBdr>
      <w:divsChild>
        <w:div w:id="1476410688">
          <w:marLeft w:val="0"/>
          <w:marRight w:val="0"/>
          <w:marTop w:val="0"/>
          <w:marBottom w:val="0"/>
          <w:divBdr>
            <w:top w:val="none" w:sz="0" w:space="0" w:color="auto"/>
            <w:left w:val="none" w:sz="0" w:space="0" w:color="auto"/>
            <w:bottom w:val="none" w:sz="0" w:space="0" w:color="auto"/>
            <w:right w:val="none" w:sz="0" w:space="0" w:color="auto"/>
          </w:divBdr>
        </w:div>
      </w:divsChild>
    </w:div>
    <w:div w:id="1453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eadoffice@jpjamaica.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Jamaican Mangoes</Project_x0020_Name>
    <OMB_x0020_control_x0020__x0023_ xmlns="7e5b9ae7-a347-4d92-9f74-fe480936de16" xsi:nil="true"/>
    <APHIS_x0020_docket_x0020__x0023_ xmlns="7e5b9ae7-a347-4d92-9f74-fe480936de16">2013-0018</APHIS_x0020_docket_x0020__x0023_>
    <Content_x0020_Type xmlns="7e5b9ae7-a347-4d92-9f74-fe480936de16">New</Content_x0020_Type>
    <Document_x0020_type xmlns="7e5b9ae7-a347-4d92-9f74-fe480936de16">Supporting Statement</Document_x0020_type>
    <Prject_x0020_Type xmlns="7e5b9ae7-a347-4d92-9f74-fe480936de16">Imports- Q56 and Q37</Prject_x0020_Type>
    <_dlc_DocId xmlns="30fd08c8-6eec-448f-b918-567415d0039b">A7UXA6N55WET-2455-304</_dlc_DocId>
    <_dlc_DocIdUrl xmlns="30fd08c8-6eec-448f-b918-567415d0039b">
      <Url>https://ems-team.usda.gov/sites/aphis-ppq-policy/php/PCC/Paperwork%20Burden/_layouts/15/DocIdRedir.aspx?ID=A7UXA6N55WET-2455-304</Url>
      <Description>A7UXA6N55WET-2455-304</Description>
    </_dlc_DocIdUrl>
  </documentManagement>
</p:properties>
</file>

<file path=customXml/itemProps1.xml><?xml version="1.0" encoding="utf-8"?>
<ds:datastoreItem xmlns:ds="http://schemas.openxmlformats.org/officeDocument/2006/customXml" ds:itemID="{B1237965-356C-4EEE-8258-BA04F326E049}">
  <ds:schemaRefs>
    <ds:schemaRef ds:uri="http://schemas.microsoft.com/sharepoint/v3/contenttype/forms"/>
  </ds:schemaRefs>
</ds:datastoreItem>
</file>

<file path=customXml/itemProps2.xml><?xml version="1.0" encoding="utf-8"?>
<ds:datastoreItem xmlns:ds="http://schemas.openxmlformats.org/officeDocument/2006/customXml" ds:itemID="{2E630F3E-2214-4262-8EB0-0833909C7522}">
  <ds:schemaRefs>
    <ds:schemaRef ds:uri="http://schemas.microsoft.com/sharepoint/events"/>
  </ds:schemaRefs>
</ds:datastoreItem>
</file>

<file path=customXml/itemProps3.xml><?xml version="1.0" encoding="utf-8"?>
<ds:datastoreItem xmlns:ds="http://schemas.openxmlformats.org/officeDocument/2006/customXml" ds:itemID="{45EA5B04-9376-483A-A3DF-6FBDE8A8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42A8C-B293-4D11-B8BF-4E7811419DE4}">
  <ds:schemaRefs>
    <ds:schemaRef ds:uri="http://purl.org/dc/elements/1.1/"/>
    <ds:schemaRef ds:uri="http://schemas.microsoft.com/office/2006/metadata/propertie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SYSTEM</cp:lastModifiedBy>
  <cp:revision>2</cp:revision>
  <dcterms:created xsi:type="dcterms:W3CDTF">2017-12-13T20:34:00Z</dcterms:created>
  <dcterms:modified xsi:type="dcterms:W3CDTF">2017-12-13T20:34:00Z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cd67ea1e-7104-4a86-b86f-664560d1d5d2</vt:lpwstr>
  </property>
</Properties>
</file>