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6E2F" w14:textId="6D8C8A76" w:rsidR="003865D1" w:rsidRPr="006976FC" w:rsidRDefault="00D0298B" w:rsidP="006976FC">
      <w:pPr>
        <w:pStyle w:val="NoSpacing"/>
        <w:jc w:val="center"/>
        <w:rPr>
          <w:rFonts w:ascii="Times New Roman" w:hAnsi="Times New Roman" w:cs="Times New Roman"/>
          <w:b/>
          <w:color w:val="000000" w:themeColor="text1"/>
          <w:sz w:val="24"/>
          <w:szCs w:val="24"/>
        </w:rPr>
      </w:pPr>
      <w:bookmarkStart w:id="0" w:name="_Hlk512251197"/>
      <w:bookmarkStart w:id="1" w:name="_GoBack"/>
      <w:bookmarkEnd w:id="1"/>
      <w:r w:rsidRPr="006976FC">
        <w:rPr>
          <w:rFonts w:ascii="Times New Roman" w:hAnsi="Times New Roman" w:cs="Times New Roman"/>
          <w:b/>
          <w:color w:val="000000" w:themeColor="text1"/>
          <w:sz w:val="24"/>
          <w:szCs w:val="24"/>
        </w:rPr>
        <w:t xml:space="preserve">Supporting Statement </w:t>
      </w:r>
      <w:r w:rsidR="002B7877" w:rsidRPr="006976FC">
        <w:rPr>
          <w:rFonts w:ascii="Times New Roman" w:hAnsi="Times New Roman" w:cs="Times New Roman"/>
          <w:b/>
          <w:color w:val="000000" w:themeColor="text1"/>
          <w:sz w:val="24"/>
          <w:szCs w:val="24"/>
        </w:rPr>
        <w:t>f</w:t>
      </w:r>
      <w:r w:rsidRPr="006976FC">
        <w:rPr>
          <w:rFonts w:ascii="Times New Roman" w:hAnsi="Times New Roman" w:cs="Times New Roman"/>
          <w:b/>
          <w:color w:val="000000" w:themeColor="text1"/>
          <w:sz w:val="24"/>
          <w:szCs w:val="24"/>
        </w:rPr>
        <w:t>or Paperwork Reduction Act Submission</w:t>
      </w:r>
    </w:p>
    <w:p w14:paraId="5A9BFE47" w14:textId="3A58E01A" w:rsidR="000151C9" w:rsidRPr="006976FC" w:rsidRDefault="00D0298B" w:rsidP="006976FC">
      <w:pPr>
        <w:pStyle w:val="NoSpacing"/>
        <w:jc w:val="center"/>
        <w:rPr>
          <w:rFonts w:ascii="Times New Roman" w:hAnsi="Times New Roman" w:cs="Times New Roman"/>
          <w:b/>
          <w:color w:val="000000" w:themeColor="text1"/>
          <w:sz w:val="24"/>
          <w:szCs w:val="24"/>
        </w:rPr>
      </w:pPr>
      <w:r w:rsidRPr="006976FC">
        <w:rPr>
          <w:rFonts w:ascii="Times New Roman" w:hAnsi="Times New Roman" w:cs="Times New Roman"/>
          <w:b/>
          <w:color w:val="000000" w:themeColor="text1"/>
          <w:sz w:val="24"/>
          <w:szCs w:val="24"/>
        </w:rPr>
        <w:t xml:space="preserve">Department </w:t>
      </w:r>
      <w:r w:rsidR="002B7877" w:rsidRPr="006976FC">
        <w:rPr>
          <w:rFonts w:ascii="Times New Roman" w:hAnsi="Times New Roman" w:cs="Times New Roman"/>
          <w:b/>
          <w:color w:val="000000" w:themeColor="text1"/>
          <w:sz w:val="24"/>
          <w:szCs w:val="24"/>
        </w:rPr>
        <w:t>o</w:t>
      </w:r>
      <w:r w:rsidRPr="006976FC">
        <w:rPr>
          <w:rFonts w:ascii="Times New Roman" w:hAnsi="Times New Roman" w:cs="Times New Roman"/>
          <w:b/>
          <w:color w:val="000000" w:themeColor="text1"/>
          <w:sz w:val="24"/>
          <w:szCs w:val="24"/>
        </w:rPr>
        <w:t xml:space="preserve">f Housing </w:t>
      </w:r>
      <w:r w:rsidR="00FC6E11">
        <w:rPr>
          <w:rFonts w:ascii="Times New Roman" w:hAnsi="Times New Roman" w:cs="Times New Roman"/>
          <w:b/>
          <w:color w:val="000000" w:themeColor="text1"/>
          <w:sz w:val="24"/>
          <w:szCs w:val="24"/>
        </w:rPr>
        <w:t>a</w:t>
      </w:r>
      <w:r w:rsidRPr="006976FC">
        <w:rPr>
          <w:rFonts w:ascii="Times New Roman" w:hAnsi="Times New Roman" w:cs="Times New Roman"/>
          <w:b/>
          <w:color w:val="000000" w:themeColor="text1"/>
          <w:sz w:val="24"/>
          <w:szCs w:val="24"/>
        </w:rPr>
        <w:t>nd Urban Development</w:t>
      </w:r>
    </w:p>
    <w:p w14:paraId="2D76D7A4" w14:textId="77777777" w:rsidR="00D0298B" w:rsidRPr="006976FC" w:rsidRDefault="00D0298B" w:rsidP="006976FC">
      <w:pPr>
        <w:pStyle w:val="NoSpacing"/>
        <w:jc w:val="center"/>
        <w:rPr>
          <w:rFonts w:ascii="Times New Roman" w:hAnsi="Times New Roman" w:cs="Times New Roman"/>
          <w:b/>
          <w:color w:val="000000" w:themeColor="text1"/>
          <w:sz w:val="24"/>
          <w:szCs w:val="24"/>
        </w:rPr>
      </w:pPr>
      <w:r w:rsidRPr="006976FC">
        <w:rPr>
          <w:rFonts w:ascii="Times New Roman" w:hAnsi="Times New Roman" w:cs="Times New Roman"/>
          <w:b/>
          <w:color w:val="000000" w:themeColor="text1"/>
          <w:sz w:val="24"/>
          <w:szCs w:val="24"/>
        </w:rPr>
        <w:t>Evaluation of the Office of Public and Indian Housing’s (PIH) Energy Performance Contracting (EPC) Program</w:t>
      </w:r>
    </w:p>
    <w:p w14:paraId="433B6CFE" w14:textId="77777777" w:rsidR="003865D1" w:rsidRPr="006976FC" w:rsidRDefault="003865D1" w:rsidP="00D976F3">
      <w:pPr>
        <w:tabs>
          <w:tab w:val="center" w:pos="4680"/>
        </w:tabs>
        <w:suppressAutoHyphens/>
        <w:spacing w:after="0" w:line="480" w:lineRule="auto"/>
        <w:jc w:val="center"/>
        <w:rPr>
          <w:rFonts w:ascii="Times New Roman" w:hAnsi="Times New Roman" w:cs="Times New Roman"/>
          <w:b/>
          <w:color w:val="000000" w:themeColor="text1"/>
          <w:sz w:val="24"/>
          <w:szCs w:val="24"/>
        </w:rPr>
      </w:pPr>
    </w:p>
    <w:p w14:paraId="352E2C4F" w14:textId="77777777" w:rsidR="003865D1" w:rsidRPr="006976FC" w:rsidRDefault="003865D1" w:rsidP="006976FC">
      <w:pPr>
        <w:tabs>
          <w:tab w:val="left" w:pos="-720"/>
        </w:tabs>
        <w:suppressAutoHyphens/>
        <w:spacing w:after="0" w:line="480" w:lineRule="auto"/>
        <w:rPr>
          <w:rFonts w:ascii="Times New Roman" w:hAnsi="Times New Roman" w:cs="Times New Roman"/>
          <w:color w:val="000000" w:themeColor="text1"/>
          <w:sz w:val="24"/>
          <w:szCs w:val="24"/>
        </w:rPr>
      </w:pPr>
    </w:p>
    <w:p w14:paraId="4766922A" w14:textId="77777777" w:rsidR="003865D1" w:rsidRPr="006976FC" w:rsidRDefault="003865D1" w:rsidP="002B780F">
      <w:pPr>
        <w:tabs>
          <w:tab w:val="left" w:pos="-720"/>
        </w:tabs>
        <w:suppressAutoHyphens/>
        <w:spacing w:after="0" w:line="480" w:lineRule="auto"/>
        <w:rPr>
          <w:rFonts w:ascii="Times New Roman" w:hAnsi="Times New Roman" w:cs="Times New Roman"/>
          <w:color w:val="000000" w:themeColor="text1"/>
          <w:sz w:val="24"/>
          <w:szCs w:val="24"/>
        </w:rPr>
      </w:pPr>
      <w:r w:rsidRPr="006976FC">
        <w:rPr>
          <w:rFonts w:ascii="Times New Roman" w:hAnsi="Times New Roman" w:cs="Times New Roman"/>
          <w:b/>
          <w:color w:val="000000" w:themeColor="text1"/>
          <w:sz w:val="24"/>
          <w:szCs w:val="24"/>
        </w:rPr>
        <w:t xml:space="preserve">PART </w:t>
      </w:r>
      <w:r w:rsidR="00AD1993" w:rsidRPr="006976FC">
        <w:rPr>
          <w:rFonts w:ascii="Times New Roman" w:hAnsi="Times New Roman" w:cs="Times New Roman"/>
          <w:b/>
          <w:color w:val="000000" w:themeColor="text1"/>
          <w:sz w:val="24"/>
          <w:szCs w:val="24"/>
        </w:rPr>
        <w:t xml:space="preserve">A.  </w:t>
      </w:r>
      <w:r w:rsidR="00342862" w:rsidRPr="006976FC">
        <w:rPr>
          <w:rFonts w:ascii="Times New Roman" w:hAnsi="Times New Roman" w:cs="Times New Roman"/>
          <w:b/>
          <w:color w:val="000000" w:themeColor="text1"/>
          <w:sz w:val="24"/>
          <w:szCs w:val="24"/>
        </w:rPr>
        <w:t>Justification</w:t>
      </w:r>
    </w:p>
    <w:bookmarkEnd w:id="0"/>
    <w:p w14:paraId="7EF84DB5" w14:textId="0EC03029" w:rsidR="002B7877" w:rsidRPr="00512216" w:rsidRDefault="00DD20F4" w:rsidP="006976FC">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Explain the circumstances that make the collection of </w:t>
      </w:r>
      <w:r w:rsidR="0039391A" w:rsidRPr="006976FC">
        <w:rPr>
          <w:rFonts w:ascii="Times New Roman" w:hAnsi="Times New Roman" w:cs="Times New Roman"/>
          <w:color w:val="000000" w:themeColor="text1"/>
          <w:sz w:val="24"/>
          <w:szCs w:val="24"/>
        </w:rPr>
        <w:t xml:space="preserve">information necessary. Identify </w:t>
      </w:r>
      <w:r w:rsidRPr="006976FC">
        <w:rPr>
          <w:rFonts w:ascii="Times New Roman" w:hAnsi="Times New Roman" w:cs="Times New Roman"/>
          <w:color w:val="000000" w:themeColor="text1"/>
          <w:sz w:val="24"/>
          <w:szCs w:val="24"/>
        </w:rPr>
        <w:t>any legal or administrative requirements that necessitate the collection. Attach a copy</w:t>
      </w:r>
      <w:r w:rsidR="002B7877" w:rsidRPr="00512216">
        <w:rPr>
          <w:rFonts w:ascii="Times New Roman" w:hAnsi="Times New Roman" w:cs="Times New Roman"/>
          <w:color w:val="000000" w:themeColor="text1"/>
          <w:sz w:val="24"/>
          <w:szCs w:val="24"/>
        </w:rPr>
        <w:t xml:space="preserve"> </w:t>
      </w:r>
      <w:r w:rsidRPr="006976FC">
        <w:rPr>
          <w:rFonts w:ascii="Times New Roman" w:hAnsi="Times New Roman" w:cs="Times New Roman"/>
          <w:color w:val="000000" w:themeColor="text1"/>
          <w:sz w:val="24"/>
          <w:szCs w:val="24"/>
        </w:rPr>
        <w:t>of the appropriate section of each statute and regulation mandating or authorizing the collection of information.</w:t>
      </w:r>
    </w:p>
    <w:p w14:paraId="16CA22ED" w14:textId="77777777" w:rsidR="002B7877" w:rsidRPr="00512216" w:rsidRDefault="002B7877" w:rsidP="006976FC">
      <w:pPr>
        <w:pStyle w:val="ListParagraph"/>
        <w:tabs>
          <w:tab w:val="left" w:pos="-720"/>
        </w:tabs>
        <w:suppressAutoHyphens/>
        <w:spacing w:after="0" w:line="240" w:lineRule="auto"/>
        <w:rPr>
          <w:rFonts w:ascii="Times New Roman" w:hAnsi="Times New Roman" w:cs="Times New Roman"/>
          <w:color w:val="000000" w:themeColor="text1"/>
          <w:sz w:val="24"/>
          <w:szCs w:val="24"/>
        </w:rPr>
      </w:pPr>
    </w:p>
    <w:p w14:paraId="4B841D3D" w14:textId="7A280933" w:rsidR="00CA4F5C" w:rsidRDefault="002B7877" w:rsidP="008840E0">
      <w:pPr>
        <w:pStyle w:val="ListParagraph"/>
        <w:tabs>
          <w:tab w:val="left" w:pos="-720"/>
        </w:tabs>
        <w:suppressAutoHyphens/>
        <w:spacing w:after="0" w:line="240" w:lineRule="auto"/>
        <w:ind w:left="0"/>
        <w:rPr>
          <w:rFonts w:ascii="Times New Roman" w:hAnsi="Times New Roman" w:cs="Times New Roman"/>
          <w:color w:val="000000" w:themeColor="text1"/>
          <w:sz w:val="24"/>
          <w:szCs w:val="24"/>
        </w:rPr>
      </w:pPr>
      <w:r w:rsidRPr="00512216">
        <w:rPr>
          <w:rFonts w:ascii="Times New Roman" w:hAnsi="Times New Roman" w:cs="Times New Roman"/>
          <w:color w:val="000000" w:themeColor="text1"/>
          <w:sz w:val="24"/>
          <w:szCs w:val="24"/>
        </w:rPr>
        <w:t>T</w:t>
      </w:r>
      <w:r w:rsidR="003865D1" w:rsidRPr="006976FC">
        <w:rPr>
          <w:rFonts w:ascii="Times New Roman" w:hAnsi="Times New Roman" w:cs="Times New Roman"/>
          <w:color w:val="000000" w:themeColor="text1"/>
          <w:sz w:val="24"/>
          <w:szCs w:val="24"/>
        </w:rPr>
        <w:t xml:space="preserve">he information is being collected to explore and document the effectiveness and value of </w:t>
      </w:r>
      <w:r w:rsidR="0043459D">
        <w:rPr>
          <w:rFonts w:ascii="Times New Roman" w:hAnsi="Times New Roman" w:cs="Times New Roman"/>
          <w:color w:val="000000" w:themeColor="text1"/>
          <w:sz w:val="24"/>
          <w:szCs w:val="24"/>
        </w:rPr>
        <w:t xml:space="preserve">Department of </w:t>
      </w:r>
      <w:r w:rsidR="003865D1" w:rsidRPr="006976FC">
        <w:rPr>
          <w:rFonts w:ascii="Times New Roman" w:hAnsi="Times New Roman" w:cs="Times New Roman"/>
          <w:color w:val="000000" w:themeColor="text1"/>
          <w:sz w:val="24"/>
          <w:szCs w:val="24"/>
        </w:rPr>
        <w:t>H</w:t>
      </w:r>
      <w:r w:rsidR="0043459D">
        <w:rPr>
          <w:rFonts w:ascii="Times New Roman" w:hAnsi="Times New Roman" w:cs="Times New Roman"/>
          <w:color w:val="000000" w:themeColor="text1"/>
          <w:sz w:val="24"/>
          <w:szCs w:val="24"/>
        </w:rPr>
        <w:t>ousing and Urban Development</w:t>
      </w:r>
      <w:r w:rsidR="001775D5">
        <w:rPr>
          <w:rFonts w:ascii="Times New Roman" w:hAnsi="Times New Roman" w:cs="Times New Roman"/>
          <w:color w:val="000000" w:themeColor="text1"/>
          <w:sz w:val="24"/>
          <w:szCs w:val="24"/>
        </w:rPr>
        <w:t xml:space="preserve"> </w:t>
      </w:r>
      <w:r w:rsidR="0043459D">
        <w:rPr>
          <w:rFonts w:ascii="Times New Roman" w:hAnsi="Times New Roman" w:cs="Times New Roman"/>
          <w:color w:val="000000" w:themeColor="text1"/>
          <w:sz w:val="24"/>
          <w:szCs w:val="24"/>
        </w:rPr>
        <w:t xml:space="preserve">(HUD) </w:t>
      </w:r>
      <w:r w:rsidR="003865D1" w:rsidRPr="006976FC">
        <w:rPr>
          <w:rFonts w:ascii="Times New Roman" w:hAnsi="Times New Roman" w:cs="Times New Roman"/>
          <w:color w:val="000000" w:themeColor="text1"/>
          <w:sz w:val="24"/>
          <w:szCs w:val="24"/>
        </w:rPr>
        <w:t>Energy Performance Contracting (EPC) program</w:t>
      </w:r>
      <w:r w:rsidR="00DD20F4" w:rsidRPr="006976FC">
        <w:rPr>
          <w:rFonts w:ascii="Times New Roman" w:hAnsi="Times New Roman" w:cs="Times New Roman"/>
          <w:color w:val="000000" w:themeColor="text1"/>
          <w:sz w:val="24"/>
          <w:szCs w:val="24"/>
        </w:rPr>
        <w:t xml:space="preserve">. </w:t>
      </w:r>
      <w:r w:rsidR="003865D1" w:rsidRPr="006976FC">
        <w:rPr>
          <w:rFonts w:ascii="Times New Roman" w:hAnsi="Times New Roman" w:cs="Times New Roman"/>
          <w:color w:val="000000" w:themeColor="text1"/>
          <w:sz w:val="24"/>
          <w:szCs w:val="24"/>
        </w:rPr>
        <w:t xml:space="preserve">EPCs are an innovative financing technique designed to provide Public Housing Authorities (PHAs) with cost-effective energy improvements that are installed with little or no up-front expenditures, wherein the costs of the improvements are typically borne by the performance contractor and repaid using a portion of the cost savings resulting from the improvements. </w:t>
      </w:r>
      <w:r w:rsidR="00BE2721" w:rsidRPr="006976FC">
        <w:rPr>
          <w:rFonts w:ascii="Times New Roman" w:hAnsi="Times New Roman" w:cs="Times New Roman"/>
          <w:color w:val="000000" w:themeColor="text1"/>
          <w:sz w:val="24"/>
          <w:szCs w:val="24"/>
        </w:rPr>
        <w:t xml:space="preserve">Since this type of financing began in the 1980s, </w:t>
      </w:r>
      <w:r w:rsidR="003865D1" w:rsidRPr="006976FC">
        <w:rPr>
          <w:rFonts w:ascii="Times New Roman" w:hAnsi="Times New Roman" w:cs="Times New Roman"/>
          <w:color w:val="000000" w:themeColor="text1"/>
          <w:sz w:val="24"/>
          <w:szCs w:val="24"/>
        </w:rPr>
        <w:t xml:space="preserve">HUD has approved approximately 315 EPCs, </w:t>
      </w:r>
      <w:r w:rsidR="00BE2721" w:rsidRPr="006976FC">
        <w:rPr>
          <w:rFonts w:ascii="Times New Roman" w:hAnsi="Times New Roman" w:cs="Times New Roman"/>
          <w:color w:val="000000" w:themeColor="text1"/>
          <w:sz w:val="24"/>
          <w:szCs w:val="24"/>
        </w:rPr>
        <w:t xml:space="preserve">totaling </w:t>
      </w:r>
      <w:r w:rsidR="003865D1" w:rsidRPr="006976FC">
        <w:rPr>
          <w:rFonts w:ascii="Times New Roman" w:hAnsi="Times New Roman" w:cs="Times New Roman"/>
          <w:color w:val="000000" w:themeColor="text1"/>
          <w:sz w:val="24"/>
          <w:szCs w:val="24"/>
        </w:rPr>
        <w:t xml:space="preserve">nearly $1.5 billion in investments. EPCs have been executed in all ten HUD </w:t>
      </w:r>
      <w:r w:rsidR="00BE2721" w:rsidRPr="006976FC">
        <w:rPr>
          <w:rFonts w:ascii="Times New Roman" w:hAnsi="Times New Roman" w:cs="Times New Roman"/>
          <w:color w:val="000000" w:themeColor="text1"/>
          <w:sz w:val="24"/>
          <w:szCs w:val="24"/>
        </w:rPr>
        <w:t xml:space="preserve">regions </w:t>
      </w:r>
      <w:r w:rsidR="003865D1" w:rsidRPr="006976FC">
        <w:rPr>
          <w:rFonts w:ascii="Times New Roman" w:hAnsi="Times New Roman" w:cs="Times New Roman"/>
          <w:color w:val="000000" w:themeColor="text1"/>
          <w:sz w:val="24"/>
          <w:szCs w:val="24"/>
        </w:rPr>
        <w:t xml:space="preserve">and in </w:t>
      </w:r>
      <w:r w:rsidR="007E5BE7">
        <w:rPr>
          <w:rFonts w:ascii="Times New Roman" w:hAnsi="Times New Roman" w:cs="Times New Roman"/>
          <w:color w:val="000000" w:themeColor="text1"/>
          <w:sz w:val="24"/>
          <w:szCs w:val="24"/>
        </w:rPr>
        <w:t>very-small</w:t>
      </w:r>
      <w:r w:rsidR="003865D1" w:rsidRPr="006976FC">
        <w:rPr>
          <w:rFonts w:ascii="Times New Roman" w:hAnsi="Times New Roman" w:cs="Times New Roman"/>
          <w:color w:val="000000" w:themeColor="text1"/>
          <w:sz w:val="24"/>
          <w:szCs w:val="24"/>
        </w:rPr>
        <w:t xml:space="preserve"> (less than 250 units) to very large (more than 6,599 units) PHAs; </w:t>
      </w:r>
      <w:r w:rsidRPr="006976FC">
        <w:rPr>
          <w:rFonts w:ascii="Times New Roman" w:hAnsi="Times New Roman" w:cs="Times New Roman"/>
          <w:color w:val="000000" w:themeColor="text1"/>
          <w:sz w:val="24"/>
          <w:szCs w:val="24"/>
        </w:rPr>
        <w:t>however,</w:t>
      </w:r>
      <w:r w:rsidR="003865D1" w:rsidRPr="006976FC">
        <w:rPr>
          <w:rFonts w:ascii="Times New Roman" w:hAnsi="Times New Roman" w:cs="Times New Roman"/>
          <w:color w:val="000000" w:themeColor="text1"/>
          <w:sz w:val="24"/>
          <w:szCs w:val="24"/>
        </w:rPr>
        <w:t xml:space="preserve"> to date; no substantive review of the program’s performance has been conducted.</w:t>
      </w:r>
    </w:p>
    <w:p w14:paraId="2AD6B436" w14:textId="77777777" w:rsidR="00CA4F5C" w:rsidRDefault="00CA4F5C" w:rsidP="008840E0">
      <w:pPr>
        <w:pStyle w:val="ListParagraph"/>
        <w:tabs>
          <w:tab w:val="left" w:pos="-720"/>
        </w:tabs>
        <w:suppressAutoHyphens/>
        <w:spacing w:after="0" w:line="240" w:lineRule="auto"/>
        <w:ind w:left="0"/>
        <w:rPr>
          <w:rFonts w:ascii="Times New Roman" w:hAnsi="Times New Roman" w:cs="Times New Roman"/>
          <w:color w:val="000000" w:themeColor="text1"/>
          <w:sz w:val="24"/>
          <w:szCs w:val="24"/>
        </w:rPr>
      </w:pPr>
    </w:p>
    <w:p w14:paraId="7033CB5A" w14:textId="34079C3A" w:rsidR="007E614F" w:rsidRDefault="00CA4F5C" w:rsidP="008840E0">
      <w:pPr>
        <w:pStyle w:val="ListParagraph"/>
        <w:tabs>
          <w:tab w:val="left" w:pos="-720"/>
        </w:tabs>
        <w:suppressAutoHyphens/>
        <w:spacing w:after="0" w:line="240" w:lineRule="auto"/>
        <w:ind w:left="0"/>
        <w:rPr>
          <w:rFonts w:ascii="Times New Roman" w:hAnsi="Times New Roman" w:cs="Times New Roman"/>
          <w:color w:val="000000" w:themeColor="text1"/>
          <w:sz w:val="24"/>
          <w:szCs w:val="24"/>
        </w:rPr>
      </w:pPr>
      <w:r w:rsidRPr="00CA4F5C">
        <w:rPr>
          <w:rFonts w:ascii="Times New Roman" w:hAnsi="Times New Roman" w:cs="Times New Roman"/>
          <w:color w:val="000000" w:themeColor="text1"/>
          <w:sz w:val="24"/>
          <w:szCs w:val="24"/>
        </w:rPr>
        <w:t>Statutory Regulation 44 USC § 3508</w:t>
      </w:r>
      <w:r w:rsidR="00E54387">
        <w:rPr>
          <w:rStyle w:val="FootnoteReference"/>
          <w:rFonts w:ascii="Times New Roman" w:hAnsi="Times New Roman" w:cs="Times New Roman"/>
          <w:color w:val="000000" w:themeColor="text1"/>
          <w:sz w:val="24"/>
          <w:szCs w:val="24"/>
        </w:rPr>
        <w:footnoteReference w:id="1"/>
      </w:r>
      <w:r w:rsidRPr="00CA4F5C">
        <w:rPr>
          <w:rFonts w:ascii="Times New Roman" w:hAnsi="Times New Roman" w:cs="Times New Roman"/>
          <w:color w:val="000000" w:themeColor="text1"/>
          <w:sz w:val="24"/>
          <w:szCs w:val="24"/>
        </w:rPr>
        <w:t xml:space="preserve"> gives HUD the authority to</w:t>
      </w:r>
      <w:r w:rsidR="00E54387">
        <w:rPr>
          <w:rFonts w:ascii="Times New Roman" w:hAnsi="Times New Roman" w:cs="Times New Roman"/>
          <w:color w:val="000000" w:themeColor="text1"/>
          <w:sz w:val="24"/>
          <w:szCs w:val="24"/>
        </w:rPr>
        <w:t xml:space="preserve"> collect</w:t>
      </w:r>
      <w:r w:rsidRPr="00CA4F5C">
        <w:rPr>
          <w:rFonts w:ascii="Times New Roman" w:hAnsi="Times New Roman" w:cs="Times New Roman"/>
          <w:color w:val="000000" w:themeColor="text1"/>
          <w:sz w:val="24"/>
          <w:szCs w:val="24"/>
        </w:rPr>
        <w:t xml:space="preserve"> information necessary for the proper performance of the functions of the agency. This data collection will provide HUD with data needed to accurately measure the burden </w:t>
      </w:r>
      <w:r w:rsidR="00E54387">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utility </w:t>
      </w:r>
      <w:r w:rsidR="007E5BE7">
        <w:rPr>
          <w:rFonts w:ascii="Times New Roman" w:hAnsi="Times New Roman" w:cs="Times New Roman"/>
          <w:color w:val="000000" w:themeColor="text1"/>
          <w:sz w:val="24"/>
          <w:szCs w:val="24"/>
        </w:rPr>
        <w:t>costs</w:t>
      </w:r>
      <w:r w:rsidR="00E54387">
        <w:rPr>
          <w:rFonts w:ascii="Times New Roman" w:hAnsi="Times New Roman" w:cs="Times New Roman"/>
          <w:color w:val="000000" w:themeColor="text1"/>
          <w:sz w:val="24"/>
          <w:szCs w:val="24"/>
        </w:rPr>
        <w:t xml:space="preserve"> </w:t>
      </w:r>
      <w:r w:rsidRPr="00CA4F5C">
        <w:rPr>
          <w:rFonts w:ascii="Times New Roman" w:hAnsi="Times New Roman" w:cs="Times New Roman"/>
          <w:color w:val="000000" w:themeColor="text1"/>
          <w:sz w:val="24"/>
          <w:szCs w:val="24"/>
        </w:rPr>
        <w:t xml:space="preserve">on </w:t>
      </w:r>
      <w:r w:rsidR="00E54387">
        <w:rPr>
          <w:rFonts w:ascii="Times New Roman" w:hAnsi="Times New Roman" w:cs="Times New Roman"/>
          <w:color w:val="000000" w:themeColor="text1"/>
          <w:sz w:val="24"/>
          <w:szCs w:val="24"/>
        </w:rPr>
        <w:t>PHA</w:t>
      </w:r>
      <w:r>
        <w:rPr>
          <w:rFonts w:ascii="Times New Roman" w:hAnsi="Times New Roman" w:cs="Times New Roman"/>
          <w:color w:val="000000" w:themeColor="text1"/>
          <w:sz w:val="24"/>
          <w:szCs w:val="24"/>
        </w:rPr>
        <w:t>s</w:t>
      </w:r>
      <w:r w:rsidRPr="00CA4F5C">
        <w:rPr>
          <w:rFonts w:ascii="Times New Roman" w:hAnsi="Times New Roman" w:cs="Times New Roman"/>
          <w:color w:val="000000" w:themeColor="text1"/>
          <w:sz w:val="24"/>
          <w:szCs w:val="24"/>
        </w:rPr>
        <w:t xml:space="preserve">. Additionally, the data will </w:t>
      </w:r>
      <w:r w:rsidR="00E54387">
        <w:rPr>
          <w:rFonts w:ascii="Times New Roman" w:hAnsi="Times New Roman" w:cs="Times New Roman"/>
          <w:color w:val="000000" w:themeColor="text1"/>
          <w:sz w:val="24"/>
          <w:szCs w:val="24"/>
        </w:rPr>
        <w:t xml:space="preserve">assist in accessing an innovative </w:t>
      </w:r>
      <w:r>
        <w:rPr>
          <w:rFonts w:ascii="Times New Roman" w:hAnsi="Times New Roman" w:cs="Times New Roman"/>
          <w:color w:val="000000" w:themeColor="text1"/>
          <w:sz w:val="24"/>
          <w:szCs w:val="24"/>
        </w:rPr>
        <w:t xml:space="preserve">financing mechanism that </w:t>
      </w:r>
      <w:r w:rsidRPr="00CA4F5C">
        <w:rPr>
          <w:rFonts w:ascii="Times New Roman" w:hAnsi="Times New Roman" w:cs="Times New Roman"/>
          <w:color w:val="000000" w:themeColor="text1"/>
          <w:sz w:val="24"/>
          <w:szCs w:val="24"/>
        </w:rPr>
        <w:t xml:space="preserve">HUD can undertake to reduce </w:t>
      </w:r>
      <w:r>
        <w:rPr>
          <w:rFonts w:ascii="Times New Roman" w:hAnsi="Times New Roman" w:cs="Times New Roman"/>
          <w:color w:val="000000" w:themeColor="text1"/>
          <w:sz w:val="24"/>
          <w:szCs w:val="24"/>
        </w:rPr>
        <w:t>PHA expenditures</w:t>
      </w:r>
      <w:r w:rsidRPr="00CA4F5C">
        <w:rPr>
          <w:rFonts w:ascii="Times New Roman" w:hAnsi="Times New Roman" w:cs="Times New Roman"/>
          <w:color w:val="000000" w:themeColor="text1"/>
          <w:sz w:val="24"/>
          <w:szCs w:val="24"/>
        </w:rPr>
        <w:t>.</w:t>
      </w:r>
      <w:r w:rsidR="003865D1" w:rsidRPr="006976FC">
        <w:rPr>
          <w:rFonts w:ascii="Times New Roman" w:hAnsi="Times New Roman" w:cs="Times New Roman"/>
          <w:color w:val="000000" w:themeColor="text1"/>
          <w:sz w:val="24"/>
          <w:szCs w:val="24"/>
        </w:rPr>
        <w:t xml:space="preserve"> </w:t>
      </w:r>
    </w:p>
    <w:p w14:paraId="78A56167" w14:textId="7B96A6D9" w:rsidR="00CA4F5C" w:rsidRDefault="00CA4F5C" w:rsidP="008840E0">
      <w:pPr>
        <w:pStyle w:val="ListParagraph"/>
        <w:tabs>
          <w:tab w:val="left" w:pos="-720"/>
        </w:tabs>
        <w:suppressAutoHyphens/>
        <w:spacing w:after="0" w:line="240" w:lineRule="auto"/>
        <w:ind w:left="0"/>
        <w:rPr>
          <w:rFonts w:ascii="Times New Roman" w:hAnsi="Times New Roman" w:cs="Times New Roman"/>
          <w:color w:val="000000" w:themeColor="text1"/>
          <w:sz w:val="24"/>
          <w:szCs w:val="24"/>
        </w:rPr>
      </w:pPr>
    </w:p>
    <w:p w14:paraId="5EB8019E" w14:textId="77777777" w:rsidR="00E54387" w:rsidRDefault="00CA4F5C" w:rsidP="00CA4F5C">
      <w:pPr>
        <w:pStyle w:val="ListParagraph"/>
        <w:tabs>
          <w:tab w:val="left" w:pos="-720"/>
        </w:tabs>
        <w:suppressAutoHyphens/>
        <w:spacing w:after="0" w:line="240" w:lineRule="auto"/>
        <w:ind w:left="864" w:right="864"/>
        <w:rPr>
          <w:rFonts w:ascii="Times New Roman" w:hAnsi="Times New Roman" w:cs="Times New Roman"/>
          <w:i/>
          <w:color w:val="000000" w:themeColor="text1"/>
        </w:rPr>
      </w:pPr>
      <w:r w:rsidRPr="00CA4F5C">
        <w:rPr>
          <w:rFonts w:ascii="Times New Roman" w:hAnsi="Times New Roman" w:cs="Times New Roman"/>
          <w:i/>
          <w:color w:val="000000" w:themeColor="text1"/>
        </w:rPr>
        <w:t xml:space="preserve">44 USC § 3508. Determination of necessity for information; hearing </w:t>
      </w:r>
    </w:p>
    <w:p w14:paraId="5B4436B1" w14:textId="77777777" w:rsidR="00E54387" w:rsidRDefault="00E54387" w:rsidP="00CA4F5C">
      <w:pPr>
        <w:pStyle w:val="ListParagraph"/>
        <w:tabs>
          <w:tab w:val="left" w:pos="-720"/>
        </w:tabs>
        <w:suppressAutoHyphens/>
        <w:spacing w:after="0" w:line="240" w:lineRule="auto"/>
        <w:ind w:left="864" w:right="864"/>
        <w:rPr>
          <w:rFonts w:ascii="Times New Roman" w:hAnsi="Times New Roman" w:cs="Times New Roman"/>
          <w:i/>
          <w:color w:val="000000" w:themeColor="text1"/>
        </w:rPr>
      </w:pPr>
    </w:p>
    <w:p w14:paraId="471D34D2" w14:textId="77777777" w:rsidR="00C15ADA" w:rsidRDefault="00CA4F5C"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r w:rsidRPr="007E5BE7">
        <w:rPr>
          <w:rFonts w:ascii="Times New Roman" w:hAnsi="Times New Roman" w:cs="Times New Roman"/>
          <w:color w:val="000000" w:themeColor="text1"/>
        </w:rPr>
        <w:t xml:space="preserve">Before approving a proposed collection of information, the Director shall determine whether the collection of information by the agency is necessary for the proper performance of the functions of the agency, including whether the information shall have practical utility. Before making a determination, the Director may give the agency and other interested persons an opportunity to be heard or to submit statements in writing. To the extent, if any, that the Director determines that the collection of information by an agency is unnecessary for any reason, the agency may not engage in the collection of information. </w:t>
      </w:r>
    </w:p>
    <w:p w14:paraId="41B48A1F" w14:textId="77777777" w:rsidR="00C15ADA" w:rsidRDefault="00C15ADA"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p>
    <w:p w14:paraId="626C1725" w14:textId="77777777" w:rsidR="00C15ADA" w:rsidRDefault="00CA4F5C"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r w:rsidRPr="007E5BE7">
        <w:rPr>
          <w:rFonts w:ascii="Times New Roman" w:hAnsi="Times New Roman" w:cs="Times New Roman"/>
          <w:color w:val="000000" w:themeColor="text1"/>
        </w:rPr>
        <w:t xml:space="preserve">(Added Pub. L. 104–13, §2, May 22, 1995, 109 Stat. 179.) </w:t>
      </w:r>
    </w:p>
    <w:p w14:paraId="6DEFDE86" w14:textId="77777777" w:rsidR="00C15ADA" w:rsidRDefault="00C15ADA"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p>
    <w:p w14:paraId="69CDBD31" w14:textId="77777777" w:rsidR="00C15ADA" w:rsidRPr="007E5BE7" w:rsidRDefault="00CA4F5C" w:rsidP="00CA4F5C">
      <w:pPr>
        <w:pStyle w:val="ListParagraph"/>
        <w:tabs>
          <w:tab w:val="left" w:pos="-720"/>
        </w:tabs>
        <w:suppressAutoHyphens/>
        <w:spacing w:after="0" w:line="240" w:lineRule="auto"/>
        <w:ind w:left="864" w:right="864"/>
        <w:rPr>
          <w:rFonts w:ascii="Times New Roman" w:hAnsi="Times New Roman" w:cs="Times New Roman"/>
          <w:i/>
          <w:color w:val="000000" w:themeColor="text1"/>
        </w:rPr>
      </w:pPr>
      <w:r w:rsidRPr="0090635D">
        <w:rPr>
          <w:rFonts w:ascii="Times New Roman" w:hAnsi="Times New Roman" w:cs="Times New Roman"/>
          <w:i/>
          <w:color w:val="000000" w:themeColor="text1"/>
        </w:rPr>
        <w:t xml:space="preserve">PRIOR PROVISIONS </w:t>
      </w:r>
    </w:p>
    <w:p w14:paraId="6C912334" w14:textId="77777777" w:rsidR="00C15ADA" w:rsidRDefault="00C15ADA"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p>
    <w:p w14:paraId="5D8BCB8A" w14:textId="14DFE642" w:rsidR="00CA4F5C" w:rsidRPr="007E5BE7" w:rsidRDefault="00CA4F5C" w:rsidP="00CA4F5C">
      <w:pPr>
        <w:pStyle w:val="ListParagraph"/>
        <w:tabs>
          <w:tab w:val="left" w:pos="-720"/>
        </w:tabs>
        <w:suppressAutoHyphens/>
        <w:spacing w:after="0" w:line="240" w:lineRule="auto"/>
        <w:ind w:left="864" w:right="864"/>
        <w:rPr>
          <w:rFonts w:ascii="Times New Roman" w:hAnsi="Times New Roman" w:cs="Times New Roman"/>
          <w:color w:val="000000" w:themeColor="text1"/>
        </w:rPr>
      </w:pPr>
      <w:r w:rsidRPr="007E5BE7">
        <w:rPr>
          <w:rFonts w:ascii="Times New Roman" w:hAnsi="Times New Roman" w:cs="Times New Roman"/>
          <w:color w:val="000000" w:themeColor="text1"/>
        </w:rPr>
        <w:t>A prior section 3508, added Pub. L. 96–511, §2(a), Dec. 11, 1980, 94 Stat. 2821, related to determination of whether collection of information is necessary for proper performance of functions of agency prior to the general amendment of this chapter by Pub. L. 104–13. Another prior section 3508, Pub. L. 90–620, Oct. 22, 1968, 82 Stat. 1304, related to unlawful disclosure of information, penalties, and release of information to other agencies, prior to the general amendment of this chapter by Pub. L. 96–511. See section 3510(b) of this title.</w:t>
      </w:r>
    </w:p>
    <w:p w14:paraId="0E0D25CC" w14:textId="5AAA5E47" w:rsidR="003865D1" w:rsidRPr="006976FC" w:rsidRDefault="003865D1" w:rsidP="002B780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296FBE61" w14:textId="44806E0C" w:rsidR="00DD20F4" w:rsidRPr="006976FC" w:rsidRDefault="00DD20F4" w:rsidP="003334B5">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Indicate how, by whom, and for what purpose the information is to be used. Except for a new collection, indicate the actual use the agency has made of the information received from the current collection.</w:t>
      </w:r>
    </w:p>
    <w:p w14:paraId="3EE75CB7" w14:textId="77777777" w:rsidR="007E614F" w:rsidRPr="006976FC" w:rsidRDefault="007E614F" w:rsidP="007E614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4CDCAB47" w14:textId="024217E9" w:rsidR="003865D1" w:rsidRPr="006976FC" w:rsidRDefault="0000383A" w:rsidP="008840E0">
      <w:pPr>
        <w:tabs>
          <w:tab w:val="left" w:pos="-720"/>
        </w:tabs>
        <w:suppressAutoHyphens/>
        <w:spacing w:after="0" w:line="240" w:lineRule="auto"/>
        <w:rPr>
          <w:rFonts w:ascii="Times New Roman" w:hAnsi="Times New Roman" w:cs="Times New Roman"/>
          <w:color w:val="000000" w:themeColor="text1"/>
          <w:sz w:val="24"/>
          <w:szCs w:val="24"/>
        </w:rPr>
      </w:pPr>
      <w:bookmarkStart w:id="2" w:name="_Hlk521331350"/>
      <w:r w:rsidRPr="006976FC">
        <w:rPr>
          <w:rFonts w:ascii="Times New Roman" w:hAnsi="Times New Roman" w:cs="Times New Roman"/>
          <w:color w:val="000000" w:themeColor="text1"/>
          <w:sz w:val="24"/>
          <w:szCs w:val="24"/>
        </w:rPr>
        <w:t xml:space="preserve">The </w:t>
      </w:r>
      <w:r w:rsidR="00B61FE0" w:rsidRPr="006976FC">
        <w:rPr>
          <w:rFonts w:ascii="Times New Roman" w:hAnsi="Times New Roman" w:cs="Times New Roman"/>
          <w:color w:val="000000" w:themeColor="text1"/>
          <w:sz w:val="24"/>
          <w:szCs w:val="24"/>
        </w:rPr>
        <w:t xml:space="preserve">data collection is part of </w:t>
      </w:r>
      <w:r w:rsidR="004650CC">
        <w:rPr>
          <w:rFonts w:ascii="Times New Roman" w:hAnsi="Times New Roman" w:cs="Times New Roman"/>
          <w:color w:val="000000" w:themeColor="text1"/>
          <w:sz w:val="24"/>
          <w:szCs w:val="24"/>
        </w:rPr>
        <w:t xml:space="preserve">an evaluation </w:t>
      </w:r>
      <w:r w:rsidRPr="006976FC">
        <w:rPr>
          <w:rFonts w:ascii="Times New Roman" w:hAnsi="Times New Roman" w:cs="Times New Roman"/>
          <w:color w:val="000000" w:themeColor="text1"/>
          <w:sz w:val="24"/>
          <w:szCs w:val="24"/>
        </w:rPr>
        <w:t>being conducted on behalf of HUD’s Office of Policy Development</w:t>
      </w:r>
      <w:r w:rsidR="004650CC">
        <w:rPr>
          <w:rFonts w:ascii="Times New Roman" w:hAnsi="Times New Roman" w:cs="Times New Roman"/>
          <w:color w:val="000000" w:themeColor="text1"/>
          <w:sz w:val="24"/>
          <w:szCs w:val="24"/>
        </w:rPr>
        <w:t xml:space="preserve"> and Research</w:t>
      </w:r>
      <w:r w:rsidRPr="006976FC">
        <w:rPr>
          <w:rFonts w:ascii="Times New Roman" w:hAnsi="Times New Roman" w:cs="Times New Roman"/>
          <w:color w:val="000000" w:themeColor="text1"/>
          <w:sz w:val="24"/>
          <w:szCs w:val="24"/>
        </w:rPr>
        <w:t xml:space="preserve"> </w:t>
      </w:r>
      <w:r w:rsidR="006F39AD">
        <w:rPr>
          <w:rFonts w:ascii="Times New Roman" w:hAnsi="Times New Roman" w:cs="Times New Roman"/>
          <w:color w:val="000000" w:themeColor="text1"/>
          <w:sz w:val="24"/>
          <w:szCs w:val="24"/>
        </w:rPr>
        <w:t xml:space="preserve">(PD&amp;R) </w:t>
      </w:r>
      <w:r w:rsidRPr="006976FC">
        <w:rPr>
          <w:rFonts w:ascii="Times New Roman" w:hAnsi="Times New Roman" w:cs="Times New Roman"/>
          <w:color w:val="000000" w:themeColor="text1"/>
          <w:sz w:val="24"/>
          <w:szCs w:val="24"/>
        </w:rPr>
        <w:t xml:space="preserve">to examine the effectiveness of Energy Performance Contracts (EPCs) </w:t>
      </w:r>
      <w:r w:rsidR="004650CC">
        <w:rPr>
          <w:rFonts w:ascii="Times New Roman" w:hAnsi="Times New Roman" w:cs="Times New Roman"/>
          <w:color w:val="000000" w:themeColor="text1"/>
          <w:sz w:val="24"/>
          <w:szCs w:val="24"/>
        </w:rPr>
        <w:t>used</w:t>
      </w:r>
      <w:r w:rsidR="004650CC" w:rsidRPr="006976FC">
        <w:rPr>
          <w:rFonts w:ascii="Times New Roman" w:hAnsi="Times New Roman" w:cs="Times New Roman"/>
          <w:color w:val="000000" w:themeColor="text1"/>
          <w:sz w:val="24"/>
          <w:szCs w:val="24"/>
        </w:rPr>
        <w:t xml:space="preserve"> </w:t>
      </w:r>
      <w:r w:rsidRPr="006976FC">
        <w:rPr>
          <w:rFonts w:ascii="Times New Roman" w:hAnsi="Times New Roman" w:cs="Times New Roman"/>
          <w:color w:val="000000" w:themeColor="text1"/>
          <w:sz w:val="24"/>
          <w:szCs w:val="24"/>
        </w:rPr>
        <w:t>by Public Housing Authorities (PHAs) to improve the energy efficiency of the properties in their Asset Management Projects (AMPs).</w:t>
      </w:r>
      <w:r w:rsidR="00B61FE0" w:rsidRPr="006976FC">
        <w:rPr>
          <w:rFonts w:ascii="Times New Roman" w:hAnsi="Times New Roman" w:cs="Times New Roman"/>
          <w:color w:val="000000" w:themeColor="text1"/>
          <w:sz w:val="24"/>
          <w:szCs w:val="24"/>
        </w:rPr>
        <w:t xml:space="preserve"> The study will consist of research activities such as surveying public housing staff, interview</w:t>
      </w:r>
      <w:r w:rsidR="00D6745F" w:rsidRPr="006976FC">
        <w:rPr>
          <w:rFonts w:ascii="Times New Roman" w:hAnsi="Times New Roman" w:cs="Times New Roman"/>
          <w:color w:val="000000" w:themeColor="text1"/>
          <w:sz w:val="24"/>
          <w:szCs w:val="24"/>
        </w:rPr>
        <w:t>ing</w:t>
      </w:r>
      <w:r w:rsidR="00B61FE0" w:rsidRPr="006976FC">
        <w:rPr>
          <w:rFonts w:ascii="Times New Roman" w:hAnsi="Times New Roman" w:cs="Times New Roman"/>
          <w:color w:val="000000" w:themeColor="text1"/>
          <w:sz w:val="24"/>
          <w:szCs w:val="24"/>
        </w:rPr>
        <w:t xml:space="preserve"> a subset of the study’s PHAs and reporting of findings, with policy analysis </w:t>
      </w:r>
      <w:r w:rsidR="00D6745F" w:rsidRPr="006976FC">
        <w:rPr>
          <w:rFonts w:ascii="Times New Roman" w:hAnsi="Times New Roman" w:cs="Times New Roman"/>
          <w:color w:val="000000" w:themeColor="text1"/>
          <w:sz w:val="24"/>
          <w:szCs w:val="24"/>
        </w:rPr>
        <w:t>and</w:t>
      </w:r>
      <w:r w:rsidR="00BE2721" w:rsidRPr="006976FC">
        <w:rPr>
          <w:rFonts w:ascii="Times New Roman" w:hAnsi="Times New Roman" w:cs="Times New Roman"/>
          <w:color w:val="000000" w:themeColor="text1"/>
          <w:sz w:val="24"/>
          <w:szCs w:val="24"/>
        </w:rPr>
        <w:t xml:space="preserve"> </w:t>
      </w:r>
      <w:r w:rsidR="00B61FE0" w:rsidRPr="006976FC">
        <w:rPr>
          <w:rFonts w:ascii="Times New Roman" w:hAnsi="Times New Roman" w:cs="Times New Roman"/>
          <w:color w:val="000000" w:themeColor="text1"/>
          <w:sz w:val="24"/>
          <w:szCs w:val="24"/>
        </w:rPr>
        <w:t xml:space="preserve">recommendations. </w:t>
      </w:r>
      <w:r w:rsidRPr="006976FC">
        <w:rPr>
          <w:rFonts w:ascii="Times New Roman" w:hAnsi="Times New Roman" w:cs="Times New Roman"/>
          <w:color w:val="000000" w:themeColor="text1"/>
          <w:sz w:val="24"/>
          <w:szCs w:val="24"/>
        </w:rPr>
        <w:t xml:space="preserve">The </w:t>
      </w:r>
      <w:r w:rsidR="00B61FE0" w:rsidRPr="006976FC">
        <w:rPr>
          <w:rFonts w:ascii="Times New Roman" w:hAnsi="Times New Roman" w:cs="Times New Roman"/>
          <w:color w:val="000000" w:themeColor="text1"/>
          <w:sz w:val="24"/>
          <w:szCs w:val="24"/>
        </w:rPr>
        <w:t>survey intends</w:t>
      </w:r>
      <w:r w:rsidRPr="006976FC">
        <w:rPr>
          <w:rFonts w:ascii="Times New Roman" w:hAnsi="Times New Roman" w:cs="Times New Roman"/>
          <w:color w:val="000000" w:themeColor="text1"/>
          <w:sz w:val="24"/>
          <w:szCs w:val="24"/>
        </w:rPr>
        <w:t xml:space="preserve"> to collect information from PHAs that have conducted EPCs as well as PHAs that have not</w:t>
      </w:r>
      <w:r w:rsidR="00D6745F" w:rsidRPr="006976FC">
        <w:rPr>
          <w:rFonts w:ascii="Times New Roman" w:hAnsi="Times New Roman" w:cs="Times New Roman"/>
          <w:color w:val="000000" w:themeColor="text1"/>
          <w:sz w:val="24"/>
          <w:szCs w:val="24"/>
        </w:rPr>
        <w:t>,</w:t>
      </w:r>
      <w:r w:rsidRPr="006976FC">
        <w:rPr>
          <w:rFonts w:ascii="Times New Roman" w:hAnsi="Times New Roman" w:cs="Times New Roman"/>
          <w:color w:val="000000" w:themeColor="text1"/>
          <w:sz w:val="24"/>
          <w:szCs w:val="24"/>
        </w:rPr>
        <w:t xml:space="preserve"> in order to compare the impacts of EPCs on their utility, financial and physical conditions. </w:t>
      </w:r>
      <w:r w:rsidR="00882AFF">
        <w:rPr>
          <w:rFonts w:ascii="Times New Roman" w:hAnsi="Times New Roman" w:cs="Times New Roman"/>
          <w:color w:val="000000" w:themeColor="text1"/>
          <w:sz w:val="24"/>
          <w:szCs w:val="24"/>
        </w:rPr>
        <w:t xml:space="preserve">The </w:t>
      </w:r>
      <w:r w:rsidR="00C16E04">
        <w:rPr>
          <w:rFonts w:ascii="Times New Roman" w:hAnsi="Times New Roman" w:cs="Times New Roman"/>
          <w:color w:val="000000" w:themeColor="text1"/>
          <w:sz w:val="24"/>
          <w:szCs w:val="24"/>
        </w:rPr>
        <w:t>study will break the survey sample into three groups: those that have executed E</w:t>
      </w:r>
      <w:r w:rsidR="004650CC">
        <w:rPr>
          <w:rFonts w:ascii="Times New Roman" w:hAnsi="Times New Roman" w:cs="Times New Roman"/>
          <w:color w:val="000000" w:themeColor="text1"/>
          <w:sz w:val="24"/>
          <w:szCs w:val="24"/>
        </w:rPr>
        <w:t>PC</w:t>
      </w:r>
      <w:r w:rsidR="00C16E04">
        <w:rPr>
          <w:rFonts w:ascii="Times New Roman" w:hAnsi="Times New Roman" w:cs="Times New Roman"/>
          <w:color w:val="000000" w:themeColor="text1"/>
          <w:sz w:val="24"/>
          <w:szCs w:val="24"/>
        </w:rPr>
        <w:t xml:space="preserve">s (group 1), those </w:t>
      </w:r>
      <w:r w:rsidR="004650CC">
        <w:rPr>
          <w:rFonts w:ascii="Times New Roman" w:hAnsi="Times New Roman" w:cs="Times New Roman"/>
          <w:color w:val="000000" w:themeColor="text1"/>
          <w:sz w:val="24"/>
          <w:szCs w:val="24"/>
        </w:rPr>
        <w:t xml:space="preserve">that </w:t>
      </w:r>
      <w:r w:rsidR="00C16E04">
        <w:rPr>
          <w:rFonts w:ascii="Times New Roman" w:hAnsi="Times New Roman" w:cs="Times New Roman"/>
          <w:color w:val="000000" w:themeColor="text1"/>
          <w:sz w:val="24"/>
          <w:szCs w:val="24"/>
        </w:rPr>
        <w:t xml:space="preserve">began the HUD EPC process but did not complete it (group 2), and those who have never initiated an EPC (group 3).  The proposed sample design approach </w:t>
      </w:r>
      <w:r w:rsidR="004650CC">
        <w:rPr>
          <w:rFonts w:ascii="Times New Roman" w:hAnsi="Times New Roman" w:cs="Times New Roman"/>
          <w:color w:val="000000" w:themeColor="text1"/>
          <w:sz w:val="24"/>
          <w:szCs w:val="24"/>
        </w:rPr>
        <w:t xml:space="preserve">stratifies the </w:t>
      </w:r>
      <w:r w:rsidR="00C16E04">
        <w:rPr>
          <w:rFonts w:ascii="Times New Roman" w:hAnsi="Times New Roman" w:cs="Times New Roman"/>
          <w:color w:val="000000" w:themeColor="text1"/>
          <w:sz w:val="24"/>
          <w:szCs w:val="24"/>
        </w:rPr>
        <w:t xml:space="preserve">group 1 and group 3 </w:t>
      </w:r>
      <w:r w:rsidR="004650CC">
        <w:rPr>
          <w:rFonts w:ascii="Times New Roman" w:hAnsi="Times New Roman" w:cs="Times New Roman"/>
          <w:color w:val="000000" w:themeColor="text1"/>
          <w:sz w:val="24"/>
          <w:szCs w:val="24"/>
        </w:rPr>
        <w:t xml:space="preserve">PHAs </w:t>
      </w:r>
      <w:r w:rsidR="00C16E04">
        <w:rPr>
          <w:rFonts w:ascii="Times New Roman" w:hAnsi="Times New Roman" w:cs="Times New Roman"/>
          <w:color w:val="000000" w:themeColor="text1"/>
          <w:sz w:val="24"/>
          <w:szCs w:val="24"/>
        </w:rPr>
        <w:t xml:space="preserve">by size and HUD region.  </w:t>
      </w:r>
      <w:r w:rsidR="00C66205">
        <w:rPr>
          <w:rFonts w:ascii="Times New Roman" w:hAnsi="Times New Roman" w:cs="Times New Roman"/>
          <w:color w:val="000000" w:themeColor="text1"/>
          <w:sz w:val="24"/>
          <w:szCs w:val="24"/>
        </w:rPr>
        <w:t xml:space="preserve">PHAs in group 2 will not be stratified because of </w:t>
      </w:r>
      <w:r w:rsidR="00AD0255">
        <w:rPr>
          <w:rFonts w:ascii="Times New Roman" w:hAnsi="Times New Roman" w:cs="Times New Roman"/>
          <w:color w:val="000000" w:themeColor="text1"/>
          <w:sz w:val="24"/>
          <w:szCs w:val="24"/>
        </w:rPr>
        <w:t xml:space="preserve">the </w:t>
      </w:r>
      <w:r w:rsidR="00C66205">
        <w:rPr>
          <w:rFonts w:ascii="Times New Roman" w:hAnsi="Times New Roman" w:cs="Times New Roman"/>
          <w:color w:val="000000" w:themeColor="text1"/>
          <w:sz w:val="24"/>
          <w:szCs w:val="24"/>
        </w:rPr>
        <w:t>small population size</w:t>
      </w:r>
      <w:r w:rsidR="00AD0255">
        <w:rPr>
          <w:rFonts w:ascii="Times New Roman" w:hAnsi="Times New Roman" w:cs="Times New Roman"/>
          <w:color w:val="000000" w:themeColor="text1"/>
          <w:sz w:val="24"/>
          <w:szCs w:val="24"/>
        </w:rPr>
        <w:t xml:space="preserve">, but will be used to examine </w:t>
      </w:r>
      <w:r w:rsidRPr="006976FC">
        <w:rPr>
          <w:rFonts w:ascii="Times New Roman" w:hAnsi="Times New Roman" w:cs="Times New Roman"/>
          <w:color w:val="000000" w:themeColor="text1"/>
          <w:sz w:val="24"/>
          <w:szCs w:val="24"/>
        </w:rPr>
        <w:t>PHA experiences with and perception of HUD’s EPC process.</w:t>
      </w:r>
      <w:r w:rsidR="00861C87">
        <w:rPr>
          <w:rFonts w:ascii="Times New Roman" w:hAnsi="Times New Roman" w:cs="Times New Roman"/>
          <w:color w:val="000000" w:themeColor="text1"/>
          <w:sz w:val="24"/>
          <w:szCs w:val="24"/>
        </w:rPr>
        <w:t xml:space="preserve"> </w:t>
      </w:r>
      <w:r w:rsidR="00DD20F4" w:rsidRPr="006976FC">
        <w:rPr>
          <w:rFonts w:ascii="Times New Roman" w:hAnsi="Times New Roman" w:cs="Times New Roman"/>
          <w:color w:val="000000" w:themeColor="text1"/>
          <w:sz w:val="24"/>
          <w:szCs w:val="24"/>
        </w:rPr>
        <w:t xml:space="preserve"> </w:t>
      </w:r>
      <w:r w:rsidR="00AD0255">
        <w:rPr>
          <w:rFonts w:ascii="Times New Roman" w:hAnsi="Times New Roman" w:cs="Times New Roman"/>
          <w:color w:val="000000" w:themeColor="text1"/>
          <w:sz w:val="24"/>
          <w:szCs w:val="24"/>
        </w:rPr>
        <w:t xml:space="preserve">The econometric analysis will use PHA characteristics drawn from administrative and survey data to control for confounding factors such as PHA propensity to undertake an EPC.  </w:t>
      </w:r>
      <w:r w:rsidR="00DD20F4" w:rsidRPr="006976FC">
        <w:rPr>
          <w:rFonts w:ascii="Times New Roman" w:hAnsi="Times New Roman" w:cs="Times New Roman"/>
          <w:color w:val="000000" w:themeColor="text1"/>
          <w:sz w:val="24"/>
          <w:szCs w:val="24"/>
        </w:rPr>
        <w:t xml:space="preserve">Moreover, the study </w:t>
      </w:r>
      <w:r w:rsidR="00335DEF" w:rsidRPr="006976FC">
        <w:rPr>
          <w:rFonts w:ascii="Times New Roman" w:hAnsi="Times New Roman" w:cs="Times New Roman"/>
          <w:color w:val="000000" w:themeColor="text1"/>
          <w:sz w:val="24"/>
          <w:szCs w:val="24"/>
        </w:rPr>
        <w:t>contains an option</w:t>
      </w:r>
      <w:r w:rsidR="00DD20F4" w:rsidRPr="006976FC">
        <w:rPr>
          <w:rFonts w:ascii="Times New Roman" w:hAnsi="Times New Roman" w:cs="Times New Roman"/>
          <w:color w:val="000000" w:themeColor="text1"/>
          <w:sz w:val="24"/>
          <w:szCs w:val="24"/>
        </w:rPr>
        <w:t xml:space="preserve"> to evaluate the effectiveness of the EPC program for </w:t>
      </w:r>
      <w:r w:rsidR="007E5BE7">
        <w:rPr>
          <w:rFonts w:ascii="Times New Roman" w:hAnsi="Times New Roman" w:cs="Times New Roman"/>
          <w:color w:val="000000" w:themeColor="text1"/>
          <w:sz w:val="24"/>
          <w:szCs w:val="24"/>
        </w:rPr>
        <w:t>very-small</w:t>
      </w:r>
      <w:r w:rsidR="00DD20F4" w:rsidRPr="006976FC">
        <w:rPr>
          <w:rFonts w:ascii="Times New Roman" w:hAnsi="Times New Roman" w:cs="Times New Roman"/>
          <w:color w:val="000000" w:themeColor="text1"/>
          <w:sz w:val="24"/>
          <w:szCs w:val="24"/>
        </w:rPr>
        <w:t>-</w:t>
      </w:r>
      <w:r w:rsidR="00861C87">
        <w:rPr>
          <w:rFonts w:ascii="Times New Roman" w:hAnsi="Times New Roman" w:cs="Times New Roman"/>
          <w:color w:val="000000" w:themeColor="text1"/>
          <w:sz w:val="24"/>
          <w:szCs w:val="24"/>
        </w:rPr>
        <w:t xml:space="preserve"> </w:t>
      </w:r>
      <w:r w:rsidR="00DD20F4" w:rsidRPr="006976FC">
        <w:rPr>
          <w:rFonts w:ascii="Times New Roman" w:hAnsi="Times New Roman" w:cs="Times New Roman"/>
          <w:color w:val="000000" w:themeColor="text1"/>
          <w:sz w:val="24"/>
          <w:szCs w:val="24"/>
        </w:rPr>
        <w:t>to small-sized PHAs in improving the conditions of their housing.</w:t>
      </w:r>
      <w:r w:rsidR="00B0551C" w:rsidRPr="006976FC">
        <w:rPr>
          <w:rFonts w:ascii="Times New Roman" w:hAnsi="Times New Roman" w:cs="Times New Roman"/>
          <w:color w:val="000000" w:themeColor="text1"/>
          <w:sz w:val="24"/>
          <w:szCs w:val="24"/>
        </w:rPr>
        <w:t xml:space="preserve"> The </w:t>
      </w:r>
      <w:r w:rsidR="00B61FE0" w:rsidRPr="006976FC">
        <w:rPr>
          <w:rFonts w:ascii="Times New Roman" w:hAnsi="Times New Roman" w:cs="Times New Roman"/>
          <w:color w:val="000000" w:themeColor="text1"/>
          <w:sz w:val="24"/>
          <w:szCs w:val="24"/>
        </w:rPr>
        <w:t xml:space="preserve">findings and analysis from </w:t>
      </w:r>
      <w:r w:rsidR="00335DEF" w:rsidRPr="006976FC">
        <w:rPr>
          <w:rFonts w:ascii="Times New Roman" w:hAnsi="Times New Roman" w:cs="Times New Roman"/>
          <w:color w:val="000000" w:themeColor="text1"/>
          <w:sz w:val="24"/>
          <w:szCs w:val="24"/>
        </w:rPr>
        <w:t>all</w:t>
      </w:r>
      <w:r w:rsidR="00916F90">
        <w:rPr>
          <w:rFonts w:ascii="Times New Roman" w:hAnsi="Times New Roman" w:cs="Times New Roman"/>
          <w:color w:val="000000" w:themeColor="text1"/>
          <w:sz w:val="24"/>
          <w:szCs w:val="24"/>
        </w:rPr>
        <w:t xml:space="preserve"> </w:t>
      </w:r>
      <w:r w:rsidR="00335DEF" w:rsidRPr="006976FC">
        <w:rPr>
          <w:rFonts w:ascii="Times New Roman" w:hAnsi="Times New Roman" w:cs="Times New Roman"/>
          <w:color w:val="000000" w:themeColor="text1"/>
          <w:sz w:val="24"/>
          <w:szCs w:val="24"/>
        </w:rPr>
        <w:t xml:space="preserve">of </w:t>
      </w:r>
      <w:r w:rsidR="00B61FE0" w:rsidRPr="006976FC">
        <w:rPr>
          <w:rFonts w:ascii="Times New Roman" w:hAnsi="Times New Roman" w:cs="Times New Roman"/>
          <w:color w:val="000000" w:themeColor="text1"/>
          <w:sz w:val="24"/>
          <w:szCs w:val="24"/>
        </w:rPr>
        <w:t xml:space="preserve">the </w:t>
      </w:r>
      <w:r w:rsidR="00B0551C" w:rsidRPr="006976FC">
        <w:rPr>
          <w:rFonts w:ascii="Times New Roman" w:hAnsi="Times New Roman" w:cs="Times New Roman"/>
          <w:color w:val="000000" w:themeColor="text1"/>
          <w:sz w:val="24"/>
          <w:szCs w:val="24"/>
        </w:rPr>
        <w:t>information collected will be used</w:t>
      </w:r>
      <w:r w:rsidR="00B61FE0" w:rsidRPr="006976FC">
        <w:rPr>
          <w:rFonts w:ascii="Times New Roman" w:hAnsi="Times New Roman" w:cs="Times New Roman"/>
          <w:color w:val="000000" w:themeColor="text1"/>
          <w:sz w:val="24"/>
          <w:szCs w:val="24"/>
        </w:rPr>
        <w:t xml:space="preserve"> </w:t>
      </w:r>
      <w:r w:rsidR="00D6745F" w:rsidRPr="006976FC">
        <w:rPr>
          <w:rFonts w:ascii="Times New Roman" w:hAnsi="Times New Roman" w:cs="Times New Roman"/>
          <w:color w:val="000000" w:themeColor="text1"/>
          <w:sz w:val="24"/>
          <w:szCs w:val="24"/>
        </w:rPr>
        <w:t xml:space="preserve">to </w:t>
      </w:r>
      <w:r w:rsidR="00B61FE0" w:rsidRPr="006976FC">
        <w:rPr>
          <w:rFonts w:ascii="Times New Roman" w:hAnsi="Times New Roman" w:cs="Times New Roman"/>
          <w:color w:val="000000" w:themeColor="text1"/>
          <w:sz w:val="24"/>
          <w:szCs w:val="24"/>
        </w:rPr>
        <w:t>make policy decisions and improvements to the EPC program.</w:t>
      </w:r>
    </w:p>
    <w:bookmarkEnd w:id="2"/>
    <w:p w14:paraId="48A3919E" w14:textId="77777777" w:rsidR="00A012AF" w:rsidRPr="006976FC" w:rsidRDefault="00A012AF" w:rsidP="002B780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5D5D5424" w14:textId="045F8A71" w:rsidR="00DD20F4" w:rsidRPr="006976FC" w:rsidRDefault="00DD20F4" w:rsidP="003334B5">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Describe whether, and to what extent, the collection of information involves the use of automated, electronic, mechanical, or other technological collection techniques or</w:t>
      </w:r>
      <w:r w:rsidR="002B7877" w:rsidRPr="00512216">
        <w:rPr>
          <w:rFonts w:ascii="Times New Roman" w:hAnsi="Times New Roman" w:cs="Times New Roman"/>
          <w:color w:val="000000" w:themeColor="text1"/>
          <w:sz w:val="24"/>
          <w:szCs w:val="24"/>
        </w:rPr>
        <w:t xml:space="preserve"> </w:t>
      </w:r>
      <w:r w:rsidRPr="006976FC">
        <w:rPr>
          <w:rFonts w:ascii="Times New Roman" w:hAnsi="Times New Roman" w:cs="Times New Roman"/>
          <w:color w:val="000000" w:themeColor="text1"/>
          <w:sz w:val="24"/>
          <w:szCs w:val="24"/>
        </w:rPr>
        <w:t>other forms of information technology, e.g., permitting electronic submission of responses, and the basis for the decision for adopting this means of collection. Also describe any consideration of using information technology to reduce burden.</w:t>
      </w:r>
    </w:p>
    <w:p w14:paraId="6071CCF5" w14:textId="77777777" w:rsidR="007E614F" w:rsidRPr="006976FC" w:rsidRDefault="007E614F" w:rsidP="007E614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493E83BC" w14:textId="152D3808" w:rsidR="003C08E0" w:rsidRDefault="00A012AF" w:rsidP="008840E0">
      <w:p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The proposed data collection instrument is </w:t>
      </w:r>
      <w:r w:rsidR="000D7EC3" w:rsidRPr="006976FC">
        <w:rPr>
          <w:rFonts w:ascii="Times New Roman" w:hAnsi="Times New Roman" w:cs="Times New Roman"/>
          <w:color w:val="000000" w:themeColor="text1"/>
          <w:sz w:val="24"/>
          <w:szCs w:val="24"/>
        </w:rPr>
        <w:t>a</w:t>
      </w:r>
      <w:r w:rsidRPr="006976FC">
        <w:rPr>
          <w:rFonts w:ascii="Times New Roman" w:hAnsi="Times New Roman" w:cs="Times New Roman"/>
          <w:color w:val="000000" w:themeColor="text1"/>
          <w:sz w:val="24"/>
          <w:szCs w:val="24"/>
        </w:rPr>
        <w:t xml:space="preserve"> web-based survey that will be </w:t>
      </w:r>
      <w:r w:rsidR="00D6745F" w:rsidRPr="006976FC">
        <w:rPr>
          <w:rFonts w:ascii="Times New Roman" w:hAnsi="Times New Roman" w:cs="Times New Roman"/>
          <w:color w:val="000000" w:themeColor="text1"/>
          <w:sz w:val="24"/>
          <w:szCs w:val="24"/>
        </w:rPr>
        <w:t>enhanced</w:t>
      </w:r>
      <w:r w:rsidR="00BA5613" w:rsidRPr="006976FC">
        <w:rPr>
          <w:rFonts w:ascii="Times New Roman" w:hAnsi="Times New Roman" w:cs="Times New Roman"/>
          <w:color w:val="000000" w:themeColor="text1"/>
          <w:sz w:val="24"/>
          <w:szCs w:val="24"/>
        </w:rPr>
        <w:t xml:space="preserve"> </w:t>
      </w:r>
      <w:r w:rsidRPr="006976FC">
        <w:rPr>
          <w:rFonts w:ascii="Times New Roman" w:hAnsi="Times New Roman" w:cs="Times New Roman"/>
          <w:color w:val="000000" w:themeColor="text1"/>
          <w:sz w:val="24"/>
          <w:szCs w:val="24"/>
        </w:rPr>
        <w:t xml:space="preserve">by follow-up telephone interviews to a subset of the study’s participants. The web-based survey will be sent to </w:t>
      </w:r>
      <w:r w:rsidR="00B61FE0" w:rsidRPr="006976FC">
        <w:rPr>
          <w:rFonts w:ascii="Times New Roman" w:hAnsi="Times New Roman" w:cs="Times New Roman"/>
          <w:color w:val="000000" w:themeColor="text1"/>
          <w:sz w:val="24"/>
          <w:szCs w:val="24"/>
        </w:rPr>
        <w:t xml:space="preserve">public housing staff </w:t>
      </w:r>
      <w:r w:rsidR="000D7EC3" w:rsidRPr="006976FC">
        <w:rPr>
          <w:rFonts w:ascii="Times New Roman" w:hAnsi="Times New Roman" w:cs="Times New Roman"/>
          <w:color w:val="000000" w:themeColor="text1"/>
          <w:sz w:val="24"/>
          <w:szCs w:val="24"/>
        </w:rPr>
        <w:t xml:space="preserve">via customized e-mails. </w:t>
      </w:r>
      <w:r w:rsidR="003C08E0">
        <w:rPr>
          <w:rFonts w:ascii="Times New Roman" w:hAnsi="Times New Roman" w:cs="Times New Roman"/>
          <w:color w:val="000000" w:themeColor="text1"/>
          <w:sz w:val="24"/>
          <w:szCs w:val="24"/>
        </w:rPr>
        <w:t>Web-based</w:t>
      </w:r>
      <w:r w:rsidR="00D6745F" w:rsidRPr="006976FC">
        <w:rPr>
          <w:rFonts w:ascii="Times New Roman" w:hAnsi="Times New Roman" w:cs="Times New Roman"/>
          <w:color w:val="000000" w:themeColor="text1"/>
          <w:sz w:val="24"/>
          <w:szCs w:val="24"/>
        </w:rPr>
        <w:t xml:space="preserve"> </w:t>
      </w:r>
      <w:r w:rsidR="003C08E0">
        <w:rPr>
          <w:rFonts w:ascii="Times New Roman" w:hAnsi="Times New Roman" w:cs="Times New Roman"/>
          <w:color w:val="000000" w:themeColor="text1"/>
          <w:sz w:val="24"/>
          <w:szCs w:val="24"/>
        </w:rPr>
        <w:t xml:space="preserve">surveys </w:t>
      </w:r>
      <w:r w:rsidR="00542BE4">
        <w:rPr>
          <w:rFonts w:ascii="Times New Roman" w:hAnsi="Times New Roman" w:cs="Times New Roman"/>
          <w:color w:val="000000" w:themeColor="text1"/>
          <w:sz w:val="24"/>
          <w:szCs w:val="24"/>
        </w:rPr>
        <w:t xml:space="preserve">can </w:t>
      </w:r>
      <w:r w:rsidR="003C08E0">
        <w:rPr>
          <w:rFonts w:ascii="Times New Roman" w:hAnsi="Times New Roman" w:cs="Times New Roman"/>
          <w:color w:val="000000" w:themeColor="text1"/>
          <w:sz w:val="24"/>
          <w:szCs w:val="24"/>
        </w:rPr>
        <w:t xml:space="preserve">allow respondents to automatically skip questions that are irrelevant to them. Additionally, this web survey will enable respondents to stop the survey at any point and resume </w:t>
      </w:r>
      <w:r w:rsidR="00542BE4">
        <w:rPr>
          <w:rFonts w:ascii="Times New Roman" w:hAnsi="Times New Roman" w:cs="Times New Roman"/>
          <w:color w:val="000000" w:themeColor="text1"/>
          <w:sz w:val="24"/>
          <w:szCs w:val="24"/>
        </w:rPr>
        <w:t xml:space="preserve">later </w:t>
      </w:r>
      <w:r w:rsidR="003C08E0">
        <w:rPr>
          <w:rFonts w:ascii="Times New Roman" w:hAnsi="Times New Roman" w:cs="Times New Roman"/>
          <w:color w:val="000000" w:themeColor="text1"/>
          <w:sz w:val="24"/>
          <w:szCs w:val="24"/>
        </w:rPr>
        <w:t>from where they stopped, without losing any information they had previously entered.</w:t>
      </w:r>
      <w:r w:rsidR="003C08E0" w:rsidRPr="003C08E0">
        <w:rPr>
          <w:rFonts w:ascii="Times New Roman" w:hAnsi="Times New Roman" w:cs="Times New Roman"/>
          <w:color w:val="000000" w:themeColor="text1"/>
          <w:sz w:val="24"/>
          <w:szCs w:val="24"/>
        </w:rPr>
        <w:t xml:space="preserve"> </w:t>
      </w:r>
      <w:r w:rsidR="00ED6FF2">
        <w:rPr>
          <w:rFonts w:ascii="Times New Roman" w:hAnsi="Times New Roman" w:cs="Times New Roman"/>
          <w:color w:val="000000" w:themeColor="text1"/>
          <w:sz w:val="24"/>
          <w:szCs w:val="24"/>
        </w:rPr>
        <w:t xml:space="preserve">Completing and submitting an online survey eliminates the need to physically return the survey </w:t>
      </w:r>
      <w:r w:rsidR="000E08CC">
        <w:rPr>
          <w:rFonts w:ascii="Times New Roman" w:hAnsi="Times New Roman" w:cs="Times New Roman"/>
          <w:color w:val="000000" w:themeColor="text1"/>
          <w:sz w:val="24"/>
          <w:szCs w:val="24"/>
        </w:rPr>
        <w:t>like paper surveys</w:t>
      </w:r>
      <w:r w:rsidR="00ED6FF2">
        <w:rPr>
          <w:rFonts w:ascii="Times New Roman" w:hAnsi="Times New Roman" w:cs="Times New Roman"/>
          <w:color w:val="000000" w:themeColor="text1"/>
          <w:sz w:val="24"/>
          <w:szCs w:val="24"/>
        </w:rPr>
        <w:t xml:space="preserve">. All these factors </w:t>
      </w:r>
      <w:r w:rsidR="00ED6FF2">
        <w:rPr>
          <w:rFonts w:ascii="Times New Roman" w:hAnsi="Times New Roman" w:cs="Times New Roman"/>
          <w:color w:val="000000" w:themeColor="text1"/>
          <w:sz w:val="24"/>
          <w:szCs w:val="24"/>
        </w:rPr>
        <w:lastRenderedPageBreak/>
        <w:t>significantly reduce</w:t>
      </w:r>
      <w:r w:rsidR="003C08E0">
        <w:rPr>
          <w:rFonts w:ascii="Times New Roman" w:hAnsi="Times New Roman" w:cs="Times New Roman"/>
          <w:color w:val="000000" w:themeColor="text1"/>
          <w:sz w:val="24"/>
          <w:szCs w:val="24"/>
        </w:rPr>
        <w:t xml:space="preserve"> </w:t>
      </w:r>
      <w:r w:rsidR="00542BE4">
        <w:rPr>
          <w:rFonts w:ascii="Times New Roman" w:hAnsi="Times New Roman" w:cs="Times New Roman"/>
          <w:color w:val="000000" w:themeColor="text1"/>
          <w:sz w:val="24"/>
          <w:szCs w:val="24"/>
        </w:rPr>
        <w:t xml:space="preserve">the </w:t>
      </w:r>
      <w:r w:rsidR="003C08E0">
        <w:rPr>
          <w:rFonts w:ascii="Times New Roman" w:hAnsi="Times New Roman" w:cs="Times New Roman"/>
          <w:color w:val="000000" w:themeColor="text1"/>
          <w:sz w:val="24"/>
          <w:szCs w:val="24"/>
        </w:rPr>
        <w:t>burden on the respondent.</w:t>
      </w:r>
      <w:r w:rsidR="001775D5">
        <w:rPr>
          <w:rFonts w:ascii="Times New Roman" w:hAnsi="Times New Roman" w:cs="Times New Roman"/>
          <w:color w:val="000000" w:themeColor="text1"/>
          <w:sz w:val="24"/>
          <w:szCs w:val="24"/>
        </w:rPr>
        <w:t xml:space="preserve"> </w:t>
      </w:r>
      <w:r w:rsidR="003C08E0" w:rsidRPr="00B60C0F">
        <w:rPr>
          <w:rFonts w:ascii="Times New Roman" w:hAnsi="Times New Roman" w:cs="Times New Roman"/>
          <w:color w:val="000000" w:themeColor="text1"/>
          <w:sz w:val="24"/>
          <w:szCs w:val="24"/>
        </w:rPr>
        <w:t>Selected respondents will be contacted by telephone for a more in-depth interview after the web survey period has ended.</w:t>
      </w:r>
      <w:r w:rsidR="00ED6FF2">
        <w:rPr>
          <w:rFonts w:ascii="Times New Roman" w:hAnsi="Times New Roman" w:cs="Times New Roman"/>
          <w:color w:val="000000" w:themeColor="text1"/>
          <w:sz w:val="24"/>
          <w:szCs w:val="24"/>
        </w:rPr>
        <w:t xml:space="preserve"> </w:t>
      </w:r>
    </w:p>
    <w:p w14:paraId="7E509D5B" w14:textId="77777777" w:rsidR="003C08E0" w:rsidRPr="00B60C0F" w:rsidRDefault="003C08E0" w:rsidP="003C08E0">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7A4475D6" w14:textId="11F69C9D" w:rsidR="00DD20F4" w:rsidRPr="006976FC" w:rsidRDefault="00DD20F4" w:rsidP="006976FC">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Describe efforts to identify duplication. Show specifica</w:t>
      </w:r>
      <w:r w:rsidR="0039391A" w:rsidRPr="006976FC">
        <w:rPr>
          <w:rFonts w:ascii="Times New Roman" w:hAnsi="Times New Roman" w:cs="Times New Roman"/>
          <w:color w:val="000000" w:themeColor="text1"/>
          <w:sz w:val="24"/>
          <w:szCs w:val="24"/>
        </w:rPr>
        <w:t xml:space="preserve">lly why any similar information </w:t>
      </w:r>
      <w:r w:rsidRPr="006976FC">
        <w:rPr>
          <w:rFonts w:ascii="Times New Roman" w:hAnsi="Times New Roman" w:cs="Times New Roman"/>
          <w:color w:val="000000" w:themeColor="text1"/>
          <w:sz w:val="24"/>
          <w:szCs w:val="24"/>
        </w:rPr>
        <w:t>already available cannot be used or modified for use for the purposes described in item 2 above.</w:t>
      </w:r>
    </w:p>
    <w:p w14:paraId="2F697D24" w14:textId="77777777" w:rsidR="007E614F" w:rsidRPr="006976FC" w:rsidRDefault="007E614F" w:rsidP="007E614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7CF2A537" w14:textId="02CB42E2" w:rsidR="00A17070" w:rsidRPr="006976FC" w:rsidRDefault="007A425F" w:rsidP="008840E0">
      <w:p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This collection will not duplicate any other information collection</w:t>
      </w:r>
      <w:r w:rsidR="00761CBC" w:rsidRPr="006976FC">
        <w:rPr>
          <w:rFonts w:ascii="Times New Roman" w:hAnsi="Times New Roman" w:cs="Times New Roman"/>
          <w:color w:val="000000" w:themeColor="text1"/>
          <w:sz w:val="24"/>
          <w:szCs w:val="24"/>
        </w:rPr>
        <w:t>.</w:t>
      </w:r>
      <w:r w:rsidR="00F63201" w:rsidRPr="006976FC">
        <w:rPr>
          <w:rFonts w:ascii="Times New Roman" w:hAnsi="Times New Roman" w:cs="Times New Roman"/>
          <w:color w:val="000000" w:themeColor="text1"/>
          <w:sz w:val="24"/>
          <w:szCs w:val="24"/>
        </w:rPr>
        <w:t xml:space="preserve"> </w:t>
      </w:r>
      <w:r w:rsidR="00E25798" w:rsidRPr="006976FC">
        <w:rPr>
          <w:rFonts w:ascii="Times New Roman" w:hAnsi="Times New Roman" w:cs="Times New Roman"/>
          <w:color w:val="000000" w:themeColor="text1"/>
          <w:sz w:val="24"/>
          <w:szCs w:val="24"/>
        </w:rPr>
        <w:t xml:space="preserve">The </w:t>
      </w:r>
      <w:r w:rsidR="00DC0365" w:rsidRPr="006976FC">
        <w:rPr>
          <w:rFonts w:ascii="Times New Roman" w:hAnsi="Times New Roman" w:cs="Times New Roman"/>
          <w:color w:val="000000" w:themeColor="text1"/>
          <w:sz w:val="24"/>
          <w:szCs w:val="24"/>
        </w:rPr>
        <w:t xml:space="preserve">key </w:t>
      </w:r>
      <w:r w:rsidR="00E25798" w:rsidRPr="006976FC">
        <w:rPr>
          <w:rFonts w:ascii="Times New Roman" w:hAnsi="Times New Roman" w:cs="Times New Roman"/>
          <w:color w:val="000000" w:themeColor="text1"/>
          <w:sz w:val="24"/>
          <w:szCs w:val="24"/>
        </w:rPr>
        <w:t xml:space="preserve">objective of this </w:t>
      </w:r>
      <w:r w:rsidR="00DC0365" w:rsidRPr="006976FC">
        <w:rPr>
          <w:rFonts w:ascii="Times New Roman" w:hAnsi="Times New Roman" w:cs="Times New Roman"/>
          <w:color w:val="000000" w:themeColor="text1"/>
          <w:sz w:val="24"/>
          <w:szCs w:val="24"/>
        </w:rPr>
        <w:t>survey</w:t>
      </w:r>
      <w:r w:rsidR="00E25798" w:rsidRPr="006976FC">
        <w:rPr>
          <w:rFonts w:ascii="Times New Roman" w:hAnsi="Times New Roman" w:cs="Times New Roman"/>
          <w:color w:val="000000" w:themeColor="text1"/>
          <w:sz w:val="24"/>
          <w:szCs w:val="24"/>
        </w:rPr>
        <w:t xml:space="preserve"> </w:t>
      </w:r>
      <w:r w:rsidR="00F63201" w:rsidRPr="006976FC">
        <w:rPr>
          <w:rFonts w:ascii="Times New Roman" w:hAnsi="Times New Roman" w:cs="Times New Roman"/>
          <w:color w:val="000000" w:themeColor="text1"/>
          <w:sz w:val="24"/>
          <w:szCs w:val="24"/>
        </w:rPr>
        <w:t>is</w:t>
      </w:r>
      <w:r w:rsidR="00E25798" w:rsidRPr="006976FC">
        <w:rPr>
          <w:rFonts w:ascii="Times New Roman" w:hAnsi="Times New Roman" w:cs="Times New Roman"/>
          <w:color w:val="000000" w:themeColor="text1"/>
          <w:sz w:val="24"/>
          <w:szCs w:val="24"/>
        </w:rPr>
        <w:t xml:space="preserve"> </w:t>
      </w:r>
      <w:r w:rsidR="00DC0365" w:rsidRPr="006976FC">
        <w:rPr>
          <w:rFonts w:ascii="Times New Roman" w:hAnsi="Times New Roman" w:cs="Times New Roman"/>
          <w:color w:val="000000" w:themeColor="text1"/>
          <w:sz w:val="24"/>
          <w:szCs w:val="24"/>
        </w:rPr>
        <w:t xml:space="preserve">to </w:t>
      </w:r>
      <w:r w:rsidR="00F63201" w:rsidRPr="006976FC">
        <w:rPr>
          <w:rFonts w:ascii="Times New Roman" w:hAnsi="Times New Roman" w:cs="Times New Roman"/>
          <w:color w:val="000000" w:themeColor="text1"/>
          <w:sz w:val="24"/>
          <w:szCs w:val="24"/>
        </w:rPr>
        <w:t>measure perceptions, attitudes and behaviors of public housing authorities (PHAs) that</w:t>
      </w:r>
      <w:r w:rsidR="003A4A20" w:rsidRPr="006976FC">
        <w:rPr>
          <w:rFonts w:ascii="Times New Roman" w:hAnsi="Times New Roman" w:cs="Times New Roman"/>
          <w:color w:val="000000" w:themeColor="text1"/>
          <w:sz w:val="24"/>
          <w:szCs w:val="24"/>
        </w:rPr>
        <w:t xml:space="preserve"> have</w:t>
      </w:r>
      <w:r w:rsidR="00A17070" w:rsidRPr="006976FC">
        <w:rPr>
          <w:rFonts w:ascii="Times New Roman" w:hAnsi="Times New Roman" w:cs="Times New Roman"/>
          <w:color w:val="000000" w:themeColor="text1"/>
          <w:sz w:val="24"/>
          <w:szCs w:val="24"/>
        </w:rPr>
        <w:t>:</w:t>
      </w:r>
    </w:p>
    <w:p w14:paraId="03B938B4" w14:textId="77777777" w:rsidR="00A17070" w:rsidRPr="006976FC" w:rsidRDefault="00F63201" w:rsidP="007043B8">
      <w:pPr>
        <w:pStyle w:val="ListParagraph"/>
        <w:numPr>
          <w:ilvl w:val="0"/>
          <w:numId w:val="15"/>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executed an EPC, </w:t>
      </w:r>
    </w:p>
    <w:p w14:paraId="73C0FF78" w14:textId="77777777" w:rsidR="00A17070" w:rsidRPr="006976FC" w:rsidRDefault="00F63201" w:rsidP="007043B8">
      <w:pPr>
        <w:pStyle w:val="ListParagraph"/>
        <w:numPr>
          <w:ilvl w:val="0"/>
          <w:numId w:val="15"/>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never been involved with an EPC</w:t>
      </w:r>
      <w:r w:rsidR="00A17070" w:rsidRPr="006976FC">
        <w:rPr>
          <w:rFonts w:ascii="Times New Roman" w:hAnsi="Times New Roman" w:cs="Times New Roman"/>
          <w:color w:val="000000" w:themeColor="text1"/>
          <w:sz w:val="24"/>
          <w:szCs w:val="24"/>
        </w:rPr>
        <w:t>,</w:t>
      </w:r>
    </w:p>
    <w:p w14:paraId="4E1593A2" w14:textId="77777777" w:rsidR="00A17070" w:rsidRPr="006976FC" w:rsidRDefault="00F63201" w:rsidP="007043B8">
      <w:pPr>
        <w:pStyle w:val="ListParagraph"/>
        <w:numPr>
          <w:ilvl w:val="0"/>
          <w:numId w:val="15"/>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begun but </w:t>
      </w:r>
      <w:r w:rsidR="003A4A20" w:rsidRPr="006976FC">
        <w:rPr>
          <w:rFonts w:ascii="Times New Roman" w:hAnsi="Times New Roman" w:cs="Times New Roman"/>
          <w:color w:val="000000" w:themeColor="text1"/>
          <w:sz w:val="24"/>
          <w:szCs w:val="24"/>
        </w:rPr>
        <w:t xml:space="preserve">did </w:t>
      </w:r>
      <w:r w:rsidRPr="006976FC">
        <w:rPr>
          <w:rFonts w:ascii="Times New Roman" w:hAnsi="Times New Roman" w:cs="Times New Roman"/>
          <w:color w:val="000000" w:themeColor="text1"/>
          <w:sz w:val="24"/>
          <w:szCs w:val="24"/>
        </w:rPr>
        <w:t>not complete the EPC application process</w:t>
      </w:r>
      <w:r w:rsidR="00E25798" w:rsidRPr="006976FC">
        <w:rPr>
          <w:rFonts w:ascii="Times New Roman" w:hAnsi="Times New Roman" w:cs="Times New Roman"/>
          <w:color w:val="000000" w:themeColor="text1"/>
          <w:sz w:val="24"/>
          <w:szCs w:val="24"/>
        </w:rPr>
        <w:t xml:space="preserve">. </w:t>
      </w:r>
    </w:p>
    <w:p w14:paraId="2CCD7D34" w14:textId="77777777" w:rsidR="00A17070" w:rsidRPr="006976FC" w:rsidRDefault="00A17070" w:rsidP="007043B8">
      <w:pPr>
        <w:tabs>
          <w:tab w:val="left" w:pos="-720"/>
        </w:tabs>
        <w:suppressAutoHyphens/>
        <w:spacing w:after="0" w:line="240" w:lineRule="auto"/>
        <w:ind w:left="360"/>
        <w:rPr>
          <w:rFonts w:ascii="Times New Roman" w:hAnsi="Times New Roman" w:cs="Times New Roman"/>
          <w:color w:val="000000" w:themeColor="text1"/>
          <w:sz w:val="24"/>
          <w:szCs w:val="24"/>
        </w:rPr>
      </w:pPr>
    </w:p>
    <w:p w14:paraId="6248F514" w14:textId="77777777" w:rsidR="007A425F" w:rsidRPr="006976FC" w:rsidRDefault="003A4A20" w:rsidP="008840E0">
      <w:p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The </w:t>
      </w:r>
      <w:r w:rsidR="00F63201" w:rsidRPr="006976FC">
        <w:rPr>
          <w:rFonts w:ascii="Times New Roman" w:hAnsi="Times New Roman" w:cs="Times New Roman"/>
          <w:color w:val="000000" w:themeColor="text1"/>
          <w:sz w:val="24"/>
          <w:szCs w:val="24"/>
        </w:rPr>
        <w:t xml:space="preserve">data </w:t>
      </w:r>
      <w:r w:rsidRPr="006976FC">
        <w:rPr>
          <w:rFonts w:ascii="Times New Roman" w:hAnsi="Times New Roman" w:cs="Times New Roman"/>
          <w:color w:val="000000" w:themeColor="text1"/>
          <w:sz w:val="24"/>
          <w:szCs w:val="24"/>
        </w:rPr>
        <w:t>being collected is</w:t>
      </w:r>
      <w:r w:rsidR="00F63201" w:rsidRPr="006976FC">
        <w:rPr>
          <w:rFonts w:ascii="Times New Roman" w:hAnsi="Times New Roman" w:cs="Times New Roman"/>
          <w:color w:val="000000" w:themeColor="text1"/>
          <w:sz w:val="24"/>
          <w:szCs w:val="24"/>
        </w:rPr>
        <w:t xml:space="preserve"> critical to evaluation of the effectiveness of the EPC program and </w:t>
      </w:r>
      <w:r w:rsidRPr="006976FC">
        <w:rPr>
          <w:rFonts w:ascii="Times New Roman" w:hAnsi="Times New Roman" w:cs="Times New Roman"/>
          <w:color w:val="000000" w:themeColor="text1"/>
          <w:sz w:val="24"/>
          <w:szCs w:val="24"/>
        </w:rPr>
        <w:t>is</w:t>
      </w:r>
      <w:r w:rsidR="00F63201" w:rsidRPr="006976FC">
        <w:rPr>
          <w:rFonts w:ascii="Times New Roman" w:hAnsi="Times New Roman" w:cs="Times New Roman"/>
          <w:color w:val="000000" w:themeColor="text1"/>
          <w:sz w:val="24"/>
          <w:szCs w:val="24"/>
        </w:rPr>
        <w:t xml:space="preserve"> not available in existing administrative databases</w:t>
      </w:r>
      <w:r w:rsidRPr="006976FC">
        <w:rPr>
          <w:rFonts w:ascii="Times New Roman" w:hAnsi="Times New Roman" w:cs="Times New Roman"/>
          <w:color w:val="000000" w:themeColor="text1"/>
          <w:sz w:val="24"/>
          <w:szCs w:val="24"/>
        </w:rPr>
        <w:t>.</w:t>
      </w:r>
    </w:p>
    <w:p w14:paraId="23EEDB28" w14:textId="77777777" w:rsidR="007A425F" w:rsidRPr="006976FC" w:rsidRDefault="007A425F" w:rsidP="002B780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1D5A4DAC" w14:textId="6813BCDD" w:rsidR="00DD20F4" w:rsidRPr="006976FC" w:rsidRDefault="00DD20F4" w:rsidP="006976FC">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If the collection of information impacts small businesses or other small entities, describe any methods used to minimize burden.</w:t>
      </w:r>
    </w:p>
    <w:p w14:paraId="2C62858B" w14:textId="77777777" w:rsidR="00A23882" w:rsidRPr="006976FC" w:rsidRDefault="00A23882" w:rsidP="00A23882">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5AA9F8F7" w14:textId="2D9C9EBB" w:rsidR="00D80268" w:rsidRPr="006976FC" w:rsidRDefault="009643D5" w:rsidP="009643D5">
      <w:pPr>
        <w:tabs>
          <w:tab w:val="left" w:pos="-720"/>
        </w:tabs>
        <w:suppressAutoHyphens/>
        <w:spacing w:after="0" w:line="240" w:lineRule="auto"/>
        <w:rPr>
          <w:rFonts w:ascii="Times New Roman" w:hAnsi="Times New Roman" w:cs="Times New Roman"/>
          <w:color w:val="000000" w:themeColor="text1"/>
          <w:sz w:val="24"/>
          <w:szCs w:val="24"/>
        </w:rPr>
      </w:pPr>
      <w:r w:rsidRPr="009643D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web </w:t>
      </w:r>
      <w:r w:rsidRPr="009643D5">
        <w:rPr>
          <w:rFonts w:ascii="Times New Roman" w:hAnsi="Times New Roman" w:cs="Times New Roman"/>
          <w:color w:val="000000" w:themeColor="text1"/>
          <w:sz w:val="24"/>
          <w:szCs w:val="24"/>
        </w:rPr>
        <w:t xml:space="preserve">survey will collect data from </w:t>
      </w:r>
      <w:r>
        <w:rPr>
          <w:rFonts w:ascii="Times New Roman" w:hAnsi="Times New Roman" w:cs="Times New Roman"/>
          <w:color w:val="000000" w:themeColor="text1"/>
          <w:sz w:val="24"/>
          <w:szCs w:val="24"/>
        </w:rPr>
        <w:t xml:space="preserve">PHAs </w:t>
      </w:r>
      <w:r w:rsidRPr="009643D5">
        <w:rPr>
          <w:rFonts w:ascii="Times New Roman" w:hAnsi="Times New Roman" w:cs="Times New Roman"/>
          <w:color w:val="000000" w:themeColor="text1"/>
          <w:sz w:val="24"/>
          <w:szCs w:val="24"/>
        </w:rPr>
        <w:t xml:space="preserve">that may vary in size. To minimize burden on small entities, the questionnaire will be available in a web version and respondents may access it at their convenience. Additionally, the instrument will be available in hard-copy form to those who prefer and request this mode. The expectation is that the organization staff best suited to respond to the survey will be program directors and others with administrative responsibilities. </w:t>
      </w:r>
      <w:r w:rsidR="008840E0">
        <w:rPr>
          <w:rFonts w:ascii="Times New Roman" w:hAnsi="Times New Roman" w:cs="Times New Roman"/>
          <w:color w:val="000000" w:themeColor="text1"/>
          <w:sz w:val="24"/>
          <w:szCs w:val="24"/>
        </w:rPr>
        <w:t>For all web survey respondents, the questionnaire will consist of branching options that are designed to minimize respondent time and automatically route respondents to relevant questions.</w:t>
      </w:r>
    </w:p>
    <w:p w14:paraId="45C102E8" w14:textId="77777777" w:rsidR="00A17070" w:rsidRPr="006976FC" w:rsidRDefault="00A17070" w:rsidP="007E614F">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18995CB2" w14:textId="5CCDBB0D" w:rsidR="00DD20F4" w:rsidRPr="006976FC" w:rsidRDefault="00DD20F4" w:rsidP="006976FC">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Describe the consequence to Federal program or policy activities if the collection is not</w:t>
      </w:r>
      <w:r w:rsidR="0039391A" w:rsidRPr="006976FC">
        <w:rPr>
          <w:rFonts w:ascii="Times New Roman" w:hAnsi="Times New Roman" w:cs="Times New Roman"/>
          <w:color w:val="000000" w:themeColor="text1"/>
          <w:sz w:val="24"/>
          <w:szCs w:val="24"/>
        </w:rPr>
        <w:t xml:space="preserve"> </w:t>
      </w:r>
      <w:r w:rsidRPr="006976FC">
        <w:rPr>
          <w:rFonts w:ascii="Times New Roman" w:hAnsi="Times New Roman" w:cs="Times New Roman"/>
          <w:color w:val="000000" w:themeColor="text1"/>
          <w:sz w:val="24"/>
          <w:szCs w:val="24"/>
        </w:rPr>
        <w:t>conducted or is conducted less frequently, as well as any technical or legal obstacles to reducing the burden.</w:t>
      </w:r>
    </w:p>
    <w:p w14:paraId="4E85C70B" w14:textId="77777777" w:rsidR="004623D0" w:rsidRPr="006976FC" w:rsidRDefault="004623D0" w:rsidP="008840E0">
      <w:pPr>
        <w:tabs>
          <w:tab w:val="left" w:pos="-720"/>
        </w:tabs>
        <w:suppressAutoHyphens/>
        <w:spacing w:after="0" w:line="240" w:lineRule="auto"/>
        <w:rPr>
          <w:rFonts w:ascii="Times New Roman" w:hAnsi="Times New Roman" w:cs="Times New Roman"/>
          <w:color w:val="000000" w:themeColor="text1"/>
          <w:sz w:val="24"/>
          <w:szCs w:val="24"/>
        </w:rPr>
      </w:pPr>
    </w:p>
    <w:p w14:paraId="7D31DB8A" w14:textId="001957A5" w:rsidR="0023780A" w:rsidRPr="006976FC" w:rsidRDefault="0026225D" w:rsidP="008840E0">
      <w:pPr>
        <w:tabs>
          <w:tab w:val="left" w:pos="-720"/>
        </w:tabs>
        <w:suppressAutoHyphens/>
        <w:spacing w:after="0" w:line="240" w:lineRule="auto"/>
        <w:rPr>
          <w:rFonts w:ascii="Times New Roman" w:hAnsi="Times New Roman" w:cs="Times New Roman"/>
          <w:color w:val="000000" w:themeColor="text1"/>
          <w:sz w:val="24"/>
          <w:szCs w:val="24"/>
        </w:rPr>
      </w:pPr>
      <w:bookmarkStart w:id="3" w:name="_Hlk521331505"/>
      <w:r>
        <w:rPr>
          <w:rFonts w:ascii="Times New Roman" w:hAnsi="Times New Roman" w:cs="Times New Roman"/>
          <w:sz w:val="24"/>
          <w:szCs w:val="24"/>
        </w:rPr>
        <w:t xml:space="preserve">The sample survey in this study requiring the 30-day PRA notice will assess the effectiveness of the </w:t>
      </w:r>
      <w:r w:rsidR="00422656">
        <w:rPr>
          <w:rFonts w:ascii="Times New Roman" w:hAnsi="Times New Roman" w:cs="Times New Roman"/>
          <w:sz w:val="24"/>
          <w:szCs w:val="24"/>
        </w:rPr>
        <w:t>Office of Public and Indian Housing</w:t>
      </w:r>
      <w:r w:rsidR="00F7366E">
        <w:rPr>
          <w:rFonts w:ascii="Times New Roman" w:hAnsi="Times New Roman" w:cs="Times New Roman"/>
          <w:sz w:val="24"/>
          <w:szCs w:val="24"/>
        </w:rPr>
        <w:t>’s</w:t>
      </w:r>
      <w:r w:rsidR="00422656">
        <w:rPr>
          <w:rFonts w:ascii="Times New Roman" w:hAnsi="Times New Roman" w:cs="Times New Roman"/>
          <w:sz w:val="24"/>
          <w:szCs w:val="24"/>
        </w:rPr>
        <w:t xml:space="preserve"> (</w:t>
      </w:r>
      <w:r>
        <w:rPr>
          <w:rFonts w:ascii="Times New Roman" w:hAnsi="Times New Roman" w:cs="Times New Roman"/>
          <w:sz w:val="24"/>
          <w:szCs w:val="24"/>
        </w:rPr>
        <w:t>PIH</w:t>
      </w:r>
      <w:r w:rsidR="00422656">
        <w:rPr>
          <w:rFonts w:ascii="Times New Roman" w:hAnsi="Times New Roman" w:cs="Times New Roman"/>
          <w:sz w:val="24"/>
          <w:szCs w:val="24"/>
        </w:rPr>
        <w:t>)</w:t>
      </w:r>
      <w:r>
        <w:rPr>
          <w:rFonts w:ascii="Times New Roman" w:hAnsi="Times New Roman" w:cs="Times New Roman"/>
          <w:sz w:val="24"/>
          <w:szCs w:val="24"/>
        </w:rPr>
        <w:t xml:space="preserve"> EPC program</w:t>
      </w:r>
      <w:r w:rsidR="006F39AD">
        <w:rPr>
          <w:rFonts w:ascii="Times New Roman" w:hAnsi="Times New Roman" w:cs="Times New Roman"/>
          <w:sz w:val="24"/>
          <w:szCs w:val="24"/>
        </w:rPr>
        <w:t xml:space="preserve">.  HUD’s Office of Policy Development and Research (PD&amp;R) will be </w:t>
      </w:r>
      <w:r>
        <w:rPr>
          <w:rFonts w:ascii="Times New Roman" w:hAnsi="Times New Roman" w:cs="Times New Roman"/>
          <w:sz w:val="24"/>
          <w:szCs w:val="24"/>
        </w:rPr>
        <w:t xml:space="preserve">examining trends in utility consumption and the financial and physical condition of a representative sample of PHAs that have implemented EPCS compared to those that have not.  </w:t>
      </w:r>
      <w:r w:rsidR="006F39AD">
        <w:rPr>
          <w:rFonts w:ascii="Times New Roman" w:hAnsi="Times New Roman" w:cs="Times New Roman"/>
          <w:sz w:val="24"/>
          <w:szCs w:val="24"/>
        </w:rPr>
        <w:t xml:space="preserve">PD&amp;R conducts </w:t>
      </w:r>
      <w:r w:rsidR="0080005E">
        <w:rPr>
          <w:rFonts w:ascii="Times New Roman" w:hAnsi="Times New Roman" w:cs="Times New Roman"/>
          <w:sz w:val="24"/>
          <w:szCs w:val="24"/>
        </w:rPr>
        <w:t xml:space="preserve">independent, </w:t>
      </w:r>
      <w:r w:rsidR="006F39AD">
        <w:rPr>
          <w:rFonts w:ascii="Times New Roman" w:hAnsi="Times New Roman" w:cs="Times New Roman"/>
          <w:sz w:val="24"/>
          <w:szCs w:val="24"/>
        </w:rPr>
        <w:t>reliable</w:t>
      </w:r>
      <w:r w:rsidR="0080005E">
        <w:rPr>
          <w:rFonts w:ascii="Times New Roman" w:hAnsi="Times New Roman" w:cs="Times New Roman"/>
          <w:sz w:val="24"/>
          <w:szCs w:val="24"/>
        </w:rPr>
        <w:t>,</w:t>
      </w:r>
      <w:r w:rsidR="006F39AD">
        <w:rPr>
          <w:rFonts w:ascii="Times New Roman" w:hAnsi="Times New Roman" w:cs="Times New Roman"/>
          <w:sz w:val="24"/>
          <w:szCs w:val="24"/>
        </w:rPr>
        <w:t xml:space="preserve"> and objective research and data analysis to help inform </w:t>
      </w:r>
      <w:r w:rsidR="00CC3118">
        <w:rPr>
          <w:rFonts w:ascii="Times New Roman" w:hAnsi="Times New Roman" w:cs="Times New Roman"/>
          <w:sz w:val="24"/>
          <w:szCs w:val="24"/>
        </w:rPr>
        <w:t xml:space="preserve">policy decisions related to </w:t>
      </w:r>
      <w:r w:rsidR="006F39AD">
        <w:rPr>
          <w:rFonts w:ascii="Times New Roman" w:hAnsi="Times New Roman" w:cs="Times New Roman"/>
          <w:sz w:val="24"/>
          <w:szCs w:val="24"/>
        </w:rPr>
        <w:t>housing and community development issues</w:t>
      </w:r>
      <w:r w:rsidR="00CC3118">
        <w:rPr>
          <w:rFonts w:ascii="Times New Roman" w:hAnsi="Times New Roman" w:cs="Times New Roman"/>
          <w:sz w:val="24"/>
          <w:szCs w:val="24"/>
        </w:rPr>
        <w:t xml:space="preserve">.  </w:t>
      </w:r>
      <w:r w:rsidR="00AD0255">
        <w:rPr>
          <w:rFonts w:ascii="Times New Roman" w:hAnsi="Times New Roman" w:cs="Times New Roman"/>
          <w:sz w:val="24"/>
          <w:szCs w:val="24"/>
        </w:rPr>
        <w:t xml:space="preserve">This study was procured </w:t>
      </w:r>
      <w:r w:rsidR="00861C87">
        <w:rPr>
          <w:rFonts w:ascii="Times New Roman" w:hAnsi="Times New Roman" w:cs="Times New Roman"/>
          <w:sz w:val="24"/>
          <w:szCs w:val="24"/>
        </w:rPr>
        <w:t xml:space="preserve">by </w:t>
      </w:r>
      <w:r w:rsidR="00AD0255">
        <w:rPr>
          <w:rFonts w:ascii="Times New Roman" w:hAnsi="Times New Roman" w:cs="Times New Roman"/>
          <w:sz w:val="24"/>
          <w:szCs w:val="24"/>
        </w:rPr>
        <w:t xml:space="preserve">PD&amp;R without program office resources, consistent with the six core principles of PD&amp;R’s evaluation </w:t>
      </w:r>
      <w:r w:rsidR="0080005E">
        <w:rPr>
          <w:rFonts w:ascii="Times New Roman" w:hAnsi="Times New Roman" w:cs="Times New Roman"/>
          <w:sz w:val="24"/>
          <w:szCs w:val="24"/>
        </w:rPr>
        <w:t>policy</w:t>
      </w:r>
      <w:r w:rsidR="00AD0255">
        <w:rPr>
          <w:rFonts w:ascii="Times New Roman" w:hAnsi="Times New Roman" w:cs="Times New Roman"/>
          <w:sz w:val="24"/>
          <w:szCs w:val="24"/>
        </w:rPr>
        <w:t>:</w:t>
      </w:r>
      <w:r w:rsidR="0080005E">
        <w:rPr>
          <w:rFonts w:ascii="Times New Roman" w:hAnsi="Times New Roman" w:cs="Times New Roman"/>
          <w:sz w:val="24"/>
          <w:szCs w:val="24"/>
        </w:rPr>
        <w:t xml:space="preserve"> rigor, relevance, transparency, independence, ethics, and technical innovation.</w:t>
      </w:r>
      <w:r w:rsidR="007E7617">
        <w:rPr>
          <w:rFonts w:ascii="Times New Roman" w:hAnsi="Times New Roman" w:cs="Times New Roman"/>
          <w:sz w:val="24"/>
          <w:szCs w:val="24"/>
        </w:rPr>
        <w:t xml:space="preserve"> </w:t>
      </w:r>
      <w:r w:rsidR="0080005E">
        <w:rPr>
          <w:rFonts w:ascii="Times New Roman" w:hAnsi="Times New Roman" w:cs="Times New Roman"/>
          <w:sz w:val="24"/>
          <w:szCs w:val="24"/>
        </w:rPr>
        <w:t xml:space="preserve"> </w:t>
      </w:r>
      <w:r>
        <w:rPr>
          <w:rFonts w:ascii="Times New Roman" w:hAnsi="Times New Roman" w:cs="Times New Roman"/>
          <w:sz w:val="24"/>
          <w:szCs w:val="24"/>
        </w:rPr>
        <w:t xml:space="preserve">The proposed sample survey of the PHAs will expand the data analysis to multiple sizes of housing authorities that have or have not used an EPC.  PIH supports this study because it is the first independent evaluation that has ever been carried out on this long-standing </w:t>
      </w:r>
      <w:r w:rsidR="00801FED">
        <w:rPr>
          <w:rFonts w:ascii="Times New Roman" w:hAnsi="Times New Roman" w:cs="Times New Roman"/>
          <w:sz w:val="24"/>
          <w:szCs w:val="24"/>
        </w:rPr>
        <w:t>program and</w:t>
      </w:r>
      <w:r>
        <w:rPr>
          <w:rFonts w:ascii="Times New Roman" w:hAnsi="Times New Roman" w:cs="Times New Roman"/>
          <w:sz w:val="24"/>
          <w:szCs w:val="24"/>
        </w:rPr>
        <w:t xml:space="preserve"> provides independent evidence the Department will use to make informed decisions on policy matters related to capital expenditures and utility payments to housing authorities.  Without the survey results the research report will provide evidence from only nine case studies from which the Department cannot make substantial evidence-based decisions related to this program. </w:t>
      </w:r>
    </w:p>
    <w:bookmarkEnd w:id="3"/>
    <w:p w14:paraId="77AD0A96" w14:textId="77777777" w:rsidR="005E0856" w:rsidRDefault="005E0856" w:rsidP="00A23882">
      <w:pPr>
        <w:tabs>
          <w:tab w:val="left" w:pos="-720"/>
        </w:tabs>
        <w:suppressAutoHyphens/>
        <w:spacing w:after="0" w:line="240" w:lineRule="auto"/>
        <w:ind w:left="720" w:hanging="720"/>
        <w:rPr>
          <w:rFonts w:ascii="Times New Roman" w:hAnsi="Times New Roman" w:cs="Times New Roman"/>
          <w:color w:val="000000" w:themeColor="text1"/>
          <w:sz w:val="24"/>
          <w:szCs w:val="24"/>
        </w:rPr>
      </w:pPr>
    </w:p>
    <w:p w14:paraId="447C1EF1" w14:textId="5B8DCF31" w:rsidR="00DD20F4" w:rsidRPr="006976FC" w:rsidRDefault="00DD20F4" w:rsidP="006976FC">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Explain any special circumstances that would cause an informatio</w:t>
      </w:r>
      <w:r w:rsidR="0039391A" w:rsidRPr="006976FC">
        <w:rPr>
          <w:rFonts w:ascii="Times New Roman" w:hAnsi="Times New Roman" w:cs="Times New Roman"/>
          <w:color w:val="000000" w:themeColor="text1"/>
          <w:sz w:val="24"/>
          <w:szCs w:val="24"/>
        </w:rPr>
        <w:t xml:space="preserve">n collection to be conducted in </w:t>
      </w:r>
      <w:r w:rsidRPr="006976FC">
        <w:rPr>
          <w:rFonts w:ascii="Times New Roman" w:hAnsi="Times New Roman" w:cs="Times New Roman"/>
          <w:color w:val="000000" w:themeColor="text1"/>
          <w:sz w:val="24"/>
          <w:szCs w:val="24"/>
        </w:rPr>
        <w:t>a manner:</w:t>
      </w:r>
    </w:p>
    <w:p w14:paraId="68BBE687" w14:textId="77777777" w:rsidR="0026392F" w:rsidRPr="006976FC" w:rsidRDefault="00DD20F4" w:rsidP="002B780F">
      <w:pPr>
        <w:pStyle w:val="Default"/>
        <w:numPr>
          <w:ilvl w:val="0"/>
          <w:numId w:val="8"/>
        </w:numPr>
        <w:spacing w:line="286" w:lineRule="atLeast"/>
        <w:ind w:right="1822"/>
        <w:rPr>
          <w:color w:val="000000" w:themeColor="text1"/>
        </w:rPr>
      </w:pPr>
      <w:r w:rsidRPr="006976FC">
        <w:rPr>
          <w:color w:val="000000" w:themeColor="text1"/>
        </w:rPr>
        <w:t>Requiring respondents to report information to the agency more often than quarterly;</w:t>
      </w:r>
    </w:p>
    <w:p w14:paraId="0B87C73A" w14:textId="77777777" w:rsidR="0026392F" w:rsidRPr="006976FC" w:rsidRDefault="00DD20F4" w:rsidP="002B780F">
      <w:pPr>
        <w:pStyle w:val="Default"/>
        <w:numPr>
          <w:ilvl w:val="0"/>
          <w:numId w:val="8"/>
        </w:numPr>
        <w:spacing w:line="286" w:lineRule="atLeast"/>
        <w:ind w:right="1822"/>
        <w:rPr>
          <w:color w:val="000000" w:themeColor="text1"/>
        </w:rPr>
      </w:pPr>
      <w:r w:rsidRPr="006976FC">
        <w:rPr>
          <w:color w:val="000000" w:themeColor="text1"/>
        </w:rPr>
        <w:t xml:space="preserve">Requiring respondents to prepare a written response to a collection of information in fewer than 30 days after receipt of it; </w:t>
      </w:r>
    </w:p>
    <w:p w14:paraId="72F2AB0C" w14:textId="77777777" w:rsidR="0026392F" w:rsidRPr="006976FC" w:rsidRDefault="00DD20F4" w:rsidP="002B780F">
      <w:pPr>
        <w:pStyle w:val="Default"/>
        <w:numPr>
          <w:ilvl w:val="0"/>
          <w:numId w:val="8"/>
        </w:numPr>
        <w:spacing w:line="286" w:lineRule="atLeast"/>
        <w:ind w:right="1822"/>
        <w:rPr>
          <w:color w:val="000000" w:themeColor="text1"/>
        </w:rPr>
      </w:pPr>
      <w:r w:rsidRPr="006976FC">
        <w:rPr>
          <w:color w:val="000000" w:themeColor="text1"/>
        </w:rPr>
        <w:t xml:space="preserve">Requiring respondents to submit more than an original and two copies of any document; </w:t>
      </w:r>
    </w:p>
    <w:p w14:paraId="6298E74A" w14:textId="77777777" w:rsidR="0026392F" w:rsidRPr="006976FC" w:rsidRDefault="00DD20F4" w:rsidP="002B780F">
      <w:pPr>
        <w:pStyle w:val="Default"/>
        <w:numPr>
          <w:ilvl w:val="0"/>
          <w:numId w:val="8"/>
        </w:numPr>
        <w:spacing w:line="286" w:lineRule="atLeast"/>
        <w:ind w:right="1822"/>
        <w:rPr>
          <w:color w:val="000000" w:themeColor="text1"/>
        </w:rPr>
      </w:pPr>
      <w:r w:rsidRPr="006976FC">
        <w:rPr>
          <w:color w:val="000000" w:themeColor="text1"/>
        </w:rPr>
        <w:t xml:space="preserve">Requiring respondents to retain records, other than health, medical, government contract, grant-in-aid, or tax records, for more than 3 years; </w:t>
      </w:r>
    </w:p>
    <w:p w14:paraId="57C52B74" w14:textId="2A0E0BE6" w:rsidR="00BA4D7A" w:rsidRDefault="00DD20F4" w:rsidP="002B780F">
      <w:pPr>
        <w:pStyle w:val="Default"/>
        <w:numPr>
          <w:ilvl w:val="0"/>
          <w:numId w:val="8"/>
        </w:numPr>
        <w:spacing w:line="286" w:lineRule="atLeast"/>
        <w:ind w:right="1822"/>
        <w:rPr>
          <w:color w:val="000000" w:themeColor="text1"/>
        </w:rPr>
      </w:pPr>
      <w:r w:rsidRPr="006976FC">
        <w:rPr>
          <w:color w:val="000000" w:themeColor="text1"/>
        </w:rPr>
        <w:t xml:space="preserve">In connection with a statistical survey, that is not designed to produce valid and reliable results that can be generalized to the universe of study; </w:t>
      </w:r>
    </w:p>
    <w:p w14:paraId="1EEDEC82" w14:textId="7F8CCDEE" w:rsidR="00DD20F4" w:rsidRPr="006976FC" w:rsidRDefault="00DD20F4" w:rsidP="002B780F">
      <w:pPr>
        <w:pStyle w:val="Default"/>
        <w:numPr>
          <w:ilvl w:val="0"/>
          <w:numId w:val="8"/>
        </w:numPr>
        <w:spacing w:line="286" w:lineRule="atLeast"/>
        <w:ind w:right="1822"/>
        <w:rPr>
          <w:color w:val="000000" w:themeColor="text1"/>
        </w:rPr>
      </w:pPr>
      <w:r w:rsidRPr="006976FC">
        <w:rPr>
          <w:color w:val="000000" w:themeColor="text1"/>
        </w:rPr>
        <w:t xml:space="preserve">Requiring the use of a statistical data classification that has not been reviewed and approved by OMB; </w:t>
      </w:r>
    </w:p>
    <w:p w14:paraId="2896FCE9" w14:textId="77777777" w:rsidR="0026392F" w:rsidRPr="006976FC" w:rsidRDefault="00DD20F4" w:rsidP="002B780F">
      <w:pPr>
        <w:pStyle w:val="CM54"/>
        <w:numPr>
          <w:ilvl w:val="0"/>
          <w:numId w:val="8"/>
        </w:numPr>
        <w:rPr>
          <w:color w:val="000000" w:themeColor="text1"/>
        </w:rPr>
      </w:pPr>
      <w:r w:rsidRPr="006976FC">
        <w:rPr>
          <w:color w:val="000000" w:themeColor="text1"/>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14:paraId="43714DA3" w14:textId="6A527319" w:rsidR="00DD20F4" w:rsidRPr="006976FC" w:rsidRDefault="00DD20F4" w:rsidP="003334B5">
      <w:pPr>
        <w:pStyle w:val="CM54"/>
        <w:numPr>
          <w:ilvl w:val="0"/>
          <w:numId w:val="8"/>
        </w:numPr>
        <w:rPr>
          <w:color w:val="000000" w:themeColor="text1"/>
        </w:rPr>
      </w:pPr>
      <w:r w:rsidRPr="006976FC">
        <w:rPr>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p w14:paraId="6CBC3BA1" w14:textId="77777777" w:rsidR="0023780A" w:rsidRPr="006976FC" w:rsidRDefault="0023780A" w:rsidP="007E614F">
      <w:pPr>
        <w:pStyle w:val="Default"/>
        <w:rPr>
          <w:color w:val="000000" w:themeColor="text1"/>
        </w:rPr>
      </w:pPr>
    </w:p>
    <w:p w14:paraId="0C489264" w14:textId="77777777" w:rsidR="007B2901" w:rsidRPr="006976FC" w:rsidRDefault="007B2901" w:rsidP="007B2901">
      <w:pPr>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The proposed data collection activities are consistent with the guidelines set forth in 5 CFR 1320 (Controlling Paperwork Burdens on the Public). There are no special circumstances that require deviation from these guidelines. </w:t>
      </w:r>
    </w:p>
    <w:p w14:paraId="5724C664"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respondents to report information to the agency more often than quarterly;</w:t>
      </w:r>
    </w:p>
    <w:p w14:paraId="38DBCFC8"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respondents to prepare a written response to a collection of information in fewer than 30 days after receipt of it;</w:t>
      </w:r>
    </w:p>
    <w:p w14:paraId="63BF033F"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respondents to submit more than an original and two copies of any document;</w:t>
      </w:r>
    </w:p>
    <w:p w14:paraId="31EC6EB1"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respondents to retain records, other than health, medical, government contract, grant-in-aid, or tax records, for more than three years;</w:t>
      </w:r>
    </w:p>
    <w:p w14:paraId="565F37DE"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in connection with a statistical survey, that is not designed to produce valid and reliable results that can be generalized to the universe of study;</w:t>
      </w:r>
    </w:p>
    <w:p w14:paraId="1DEF2900"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the use of a statistical data classification that has not been reviewed and approved by OMB;</w:t>
      </w:r>
    </w:p>
    <w:p w14:paraId="7B04A74F"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937862" w14:textId="77777777" w:rsidR="007B2901" w:rsidRPr="006976FC" w:rsidRDefault="007B2901" w:rsidP="007B2901">
      <w:pPr>
        <w:pStyle w:val="ListParagraph"/>
        <w:numPr>
          <w:ilvl w:val="0"/>
          <w:numId w:val="16"/>
        </w:num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6976FC">
        <w:rPr>
          <w:rFonts w:ascii="Times New Roman" w:hAnsi="Times New Roman" w:cs="Times New Roman"/>
          <w:color w:val="000000" w:themeColor="text1"/>
          <w:sz w:val="24"/>
          <w:szCs w:val="24"/>
        </w:rPr>
        <w:t>Under this ICR, HUD will not conduct any data collection</w:t>
      </w:r>
      <w:r w:rsidRPr="006976FC">
        <w:rPr>
          <w:rFonts w:ascii="Times New Roman" w:eastAsiaTheme="minorHAnsi" w:hAnsi="Times New Roman" w:cs="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p>
    <w:p w14:paraId="407E3D04" w14:textId="77777777" w:rsidR="007B2901" w:rsidRPr="006976FC" w:rsidRDefault="007B2901" w:rsidP="007E614F">
      <w:pPr>
        <w:pStyle w:val="Default"/>
        <w:rPr>
          <w:color w:val="000000" w:themeColor="text1"/>
        </w:rPr>
      </w:pPr>
    </w:p>
    <w:p w14:paraId="45F78E35" w14:textId="77777777" w:rsidR="0023780A" w:rsidRPr="006976FC" w:rsidRDefault="0023780A" w:rsidP="007E614F">
      <w:pPr>
        <w:pStyle w:val="Default"/>
        <w:rPr>
          <w:color w:val="000000" w:themeColor="text1"/>
        </w:rPr>
      </w:pPr>
      <w:r w:rsidRPr="006976FC">
        <w:rPr>
          <w:color w:val="000000" w:themeColor="text1"/>
        </w:rPr>
        <w:t>This data collection in</w:t>
      </w:r>
      <w:r w:rsidR="003A4A20" w:rsidRPr="006976FC">
        <w:rPr>
          <w:color w:val="000000" w:themeColor="text1"/>
        </w:rPr>
        <w:t>volves</w:t>
      </w:r>
      <w:r w:rsidRPr="006976FC">
        <w:rPr>
          <w:color w:val="000000" w:themeColor="text1"/>
        </w:rPr>
        <w:t xml:space="preserve"> a voluntary survey. Respondents will be told at the onset of both the web survey and the telephone interviews that the collected data will be kept strictly confidential and that </w:t>
      </w:r>
      <w:r w:rsidR="003A4A20" w:rsidRPr="006976FC">
        <w:rPr>
          <w:color w:val="000000" w:themeColor="text1"/>
        </w:rPr>
        <w:t xml:space="preserve">the results will be aggregated for </w:t>
      </w:r>
      <w:r w:rsidR="003A3406" w:rsidRPr="006976FC">
        <w:rPr>
          <w:color w:val="000000" w:themeColor="text1"/>
        </w:rPr>
        <w:t>analyses</w:t>
      </w:r>
      <w:r w:rsidR="003A4A20" w:rsidRPr="006976FC">
        <w:rPr>
          <w:color w:val="000000" w:themeColor="text1"/>
        </w:rPr>
        <w:t xml:space="preserve">.  </w:t>
      </w:r>
    </w:p>
    <w:p w14:paraId="2AE0DF51" w14:textId="77777777" w:rsidR="005E0856" w:rsidRPr="006976FC" w:rsidRDefault="005E0856" w:rsidP="002B780F">
      <w:pPr>
        <w:pStyle w:val="Default"/>
        <w:rPr>
          <w:color w:val="000000" w:themeColor="text1"/>
        </w:rPr>
      </w:pPr>
    </w:p>
    <w:p w14:paraId="0FE3FAF3" w14:textId="681DCA16" w:rsidR="0026392F" w:rsidRPr="006976FC" w:rsidRDefault="005E0856" w:rsidP="006976FC">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26392F" w:rsidRPr="006976FC">
        <w:rPr>
          <w:rFonts w:ascii="Times New Roman" w:hAnsi="Times New Roman" w:cs="Times New Roman"/>
          <w:color w:val="000000" w:themeColor="text1"/>
          <w:sz w:val="24"/>
          <w:szCs w:val="24"/>
        </w:rPr>
        <w:t>f applicable, provide a copy and identify the date and page number of publication in the Federal Register of the agency's notice, required by 5 CFR 1320.8(d), soliciting comments on the information collection prior to submission to OMB.</w:t>
      </w:r>
      <w:r w:rsidR="00C3540D" w:rsidRPr="006976FC">
        <w:rPr>
          <w:rFonts w:ascii="Times New Roman" w:hAnsi="Times New Roman" w:cs="Times New Roman"/>
          <w:color w:val="000000" w:themeColor="text1"/>
          <w:sz w:val="24"/>
          <w:szCs w:val="24"/>
        </w:rPr>
        <w:t xml:space="preserve">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81EEB8F" w14:textId="77777777" w:rsidR="0026392F" w:rsidRPr="006976FC" w:rsidRDefault="0026392F" w:rsidP="002B780F">
      <w:pPr>
        <w:autoSpaceDE w:val="0"/>
        <w:autoSpaceDN w:val="0"/>
        <w:adjustRightInd w:val="0"/>
        <w:spacing w:after="0" w:line="240" w:lineRule="auto"/>
        <w:rPr>
          <w:rFonts w:ascii="Times New Roman" w:hAnsi="Times New Roman" w:cs="Times New Roman"/>
          <w:color w:val="000000" w:themeColor="text1"/>
          <w:sz w:val="24"/>
          <w:szCs w:val="24"/>
        </w:rPr>
      </w:pPr>
    </w:p>
    <w:p w14:paraId="153F9808" w14:textId="77777777" w:rsidR="0026392F" w:rsidRPr="006976FC" w:rsidRDefault="0058372F" w:rsidP="00CA42D0">
      <w:pPr>
        <w:pStyle w:val="Default"/>
        <w:rPr>
          <w:color w:val="000000" w:themeColor="text1"/>
        </w:rPr>
      </w:pPr>
      <w:r w:rsidRPr="006976FC">
        <w:rPr>
          <w:color w:val="000000" w:themeColor="text1"/>
        </w:rPr>
        <w:t>HUD published a 60-day Notice in the Federal Register requesting public comments</w:t>
      </w:r>
      <w:r w:rsidR="007014AE" w:rsidRPr="006976FC">
        <w:rPr>
          <w:color w:val="000000" w:themeColor="text1"/>
        </w:rPr>
        <w:t xml:space="preserve"> on 07/22/2016, pages: 47813-47814 (2 pages)</w:t>
      </w:r>
      <w:r w:rsidR="0055603D" w:rsidRPr="006976FC">
        <w:rPr>
          <w:color w:val="000000" w:themeColor="text1"/>
        </w:rPr>
        <w:t>, document number: 2016-17391</w:t>
      </w:r>
      <w:r w:rsidRPr="006976FC">
        <w:rPr>
          <w:color w:val="000000" w:themeColor="text1"/>
        </w:rPr>
        <w:t>. No comments were received during this 60-day Notice period.</w:t>
      </w:r>
    </w:p>
    <w:p w14:paraId="43B81E88" w14:textId="77777777" w:rsidR="0026392F" w:rsidRPr="006976FC" w:rsidRDefault="0026392F" w:rsidP="002B780F">
      <w:pPr>
        <w:pStyle w:val="Default"/>
        <w:rPr>
          <w:color w:val="000000" w:themeColor="text1"/>
        </w:rPr>
      </w:pPr>
    </w:p>
    <w:p w14:paraId="09782705" w14:textId="4AA8D58F" w:rsidR="0026392F" w:rsidRPr="006976FC" w:rsidRDefault="0026392F" w:rsidP="006976FC">
      <w:pPr>
        <w:pStyle w:val="Default"/>
        <w:numPr>
          <w:ilvl w:val="0"/>
          <w:numId w:val="17"/>
        </w:numPr>
        <w:rPr>
          <w:color w:val="000000" w:themeColor="text1"/>
        </w:rPr>
      </w:pPr>
      <w:r w:rsidRPr="006976FC">
        <w:rPr>
          <w:color w:val="000000" w:themeColor="text1"/>
        </w:rPr>
        <w:t>Explain any decision to provide any payment or gift to respondents, other than remuneration of contractors or grantees.</w:t>
      </w:r>
    </w:p>
    <w:p w14:paraId="617D9599" w14:textId="77777777" w:rsidR="0058372F" w:rsidRPr="006976FC" w:rsidRDefault="0058372F" w:rsidP="002B780F">
      <w:pPr>
        <w:pStyle w:val="Default"/>
        <w:rPr>
          <w:color w:val="000000" w:themeColor="text1"/>
        </w:rPr>
      </w:pPr>
    </w:p>
    <w:p w14:paraId="29E103EC" w14:textId="77777777" w:rsidR="0058372F" w:rsidRPr="006976FC" w:rsidRDefault="0058372F" w:rsidP="002B780F">
      <w:pPr>
        <w:pStyle w:val="Default"/>
        <w:rPr>
          <w:color w:val="000000" w:themeColor="text1"/>
        </w:rPr>
      </w:pPr>
      <w:r w:rsidRPr="006976FC">
        <w:rPr>
          <w:color w:val="000000" w:themeColor="text1"/>
        </w:rPr>
        <w:t>HUD will not provide any payments or gifts to respondents for participation in the survey.</w:t>
      </w:r>
    </w:p>
    <w:p w14:paraId="38603972" w14:textId="77777777" w:rsidR="0026392F" w:rsidRPr="006976FC" w:rsidRDefault="0026392F" w:rsidP="002B780F">
      <w:pPr>
        <w:pStyle w:val="Default"/>
        <w:rPr>
          <w:color w:val="000000" w:themeColor="text1"/>
        </w:rPr>
      </w:pPr>
    </w:p>
    <w:p w14:paraId="5E88938B" w14:textId="39D417C2" w:rsidR="0026392F" w:rsidRPr="006976FC" w:rsidRDefault="0026392F" w:rsidP="006976FC">
      <w:pPr>
        <w:pStyle w:val="Default"/>
        <w:numPr>
          <w:ilvl w:val="0"/>
          <w:numId w:val="17"/>
        </w:numPr>
        <w:rPr>
          <w:color w:val="000000" w:themeColor="text1"/>
        </w:rPr>
      </w:pPr>
      <w:r w:rsidRPr="006976FC">
        <w:rPr>
          <w:color w:val="000000" w:themeColor="text1"/>
        </w:rPr>
        <w:t>Describe any assurance of confidentiality provided to respondents and the basis for the assurance in statute, regulation, or agency policy.</w:t>
      </w:r>
    </w:p>
    <w:p w14:paraId="38912020" w14:textId="77777777" w:rsidR="0058372F" w:rsidRPr="006976FC" w:rsidRDefault="0058372F" w:rsidP="002B780F">
      <w:pPr>
        <w:pStyle w:val="Default"/>
        <w:rPr>
          <w:color w:val="000000" w:themeColor="text1"/>
        </w:rPr>
      </w:pPr>
    </w:p>
    <w:p w14:paraId="1426FCC9" w14:textId="7C7D566B" w:rsidR="003B6F1E" w:rsidRDefault="003B6F1E" w:rsidP="003B6F1E">
      <w:pPr>
        <w:pStyle w:val="Default"/>
        <w:rPr>
          <w:color w:val="000000" w:themeColor="text1"/>
        </w:rPr>
      </w:pPr>
      <w:r w:rsidRPr="003B6F1E">
        <w:rPr>
          <w:color w:val="000000" w:themeColor="text1"/>
        </w:rPr>
        <w:t>The information collection will fully comply with all aspects of the Privacy Act (1974). Survey respondents will be told</w:t>
      </w:r>
      <w:r w:rsidR="00C03537">
        <w:rPr>
          <w:color w:val="000000" w:themeColor="text1"/>
        </w:rPr>
        <w:t>, at the onset of both the web survey and telephone interviews,</w:t>
      </w:r>
      <w:r w:rsidRPr="003B6F1E">
        <w:rPr>
          <w:color w:val="000000" w:themeColor="text1"/>
        </w:rPr>
        <w:t xml:space="preserve"> the purposes for which the information is collected, and that any identifiable information about them will not be used or disclosed for any other purpose, except under such circumstances as may be required by law. Respondents will be given this assurance during recruitment, which will also provide assurance that the information being gathered </w:t>
      </w:r>
      <w:r w:rsidR="00C03537">
        <w:rPr>
          <w:color w:val="000000" w:themeColor="text1"/>
        </w:rPr>
        <w:t xml:space="preserve">will be kept strictly confidential and </w:t>
      </w:r>
      <w:r w:rsidRPr="003B6F1E">
        <w:rPr>
          <w:color w:val="000000" w:themeColor="text1"/>
        </w:rPr>
        <w:t>is for research purposes only. Respondents will be informed that participation is voluntary, that they may refuse to answer any question, and that they may stop their participation at any time.</w:t>
      </w:r>
    </w:p>
    <w:p w14:paraId="429F6254" w14:textId="4667B8BD" w:rsidR="003B6F1E" w:rsidRPr="003B6F1E" w:rsidRDefault="003B6F1E" w:rsidP="003B6F1E">
      <w:pPr>
        <w:pStyle w:val="Default"/>
        <w:rPr>
          <w:color w:val="000000" w:themeColor="text1"/>
        </w:rPr>
      </w:pPr>
      <w:r w:rsidRPr="003B6F1E">
        <w:rPr>
          <w:color w:val="000000" w:themeColor="text1"/>
        </w:rPr>
        <w:t xml:space="preserve"> </w:t>
      </w:r>
    </w:p>
    <w:p w14:paraId="778BFDEA" w14:textId="7408F851" w:rsidR="003B6F1E" w:rsidRDefault="003B6F1E" w:rsidP="003B6F1E">
      <w:pPr>
        <w:pStyle w:val="Default"/>
        <w:rPr>
          <w:color w:val="000000" w:themeColor="text1"/>
        </w:rPr>
      </w:pPr>
      <w:r w:rsidRPr="003B6F1E">
        <w:rPr>
          <w:color w:val="000000" w:themeColor="text1"/>
        </w:rPr>
        <w:t>We will be requesting name, position, email, and phone number from individuals who complete the survey. This information will only be used to contact respondents should there be a need to follow</w:t>
      </w:r>
      <w:r>
        <w:rPr>
          <w:color w:val="000000" w:themeColor="text1"/>
        </w:rPr>
        <w:t>-</w:t>
      </w:r>
      <w:r w:rsidRPr="003B6F1E">
        <w:rPr>
          <w:color w:val="000000" w:themeColor="text1"/>
        </w:rPr>
        <w:t>up on survey responses. Names will not be linked to comments or responses in data provided to HUD. Data will be reported in aggregate form in all reports. The contractor will safeguard all data, and only authorized users will have access to them. Information gathered for this study will be made available only to researchers authorized to work on the study.</w:t>
      </w:r>
    </w:p>
    <w:p w14:paraId="1AA71404" w14:textId="77777777" w:rsidR="003B6F1E" w:rsidRPr="003B6F1E" w:rsidRDefault="003B6F1E" w:rsidP="003B6F1E">
      <w:pPr>
        <w:pStyle w:val="Default"/>
        <w:rPr>
          <w:color w:val="000000" w:themeColor="text1"/>
        </w:rPr>
      </w:pPr>
    </w:p>
    <w:p w14:paraId="5098EC33" w14:textId="1CCAB66C" w:rsidR="003B6F1E" w:rsidRPr="003B6F1E" w:rsidRDefault="003B6F1E" w:rsidP="003B6F1E">
      <w:pPr>
        <w:pStyle w:val="Default"/>
        <w:rPr>
          <w:color w:val="000000" w:themeColor="text1"/>
        </w:rPr>
      </w:pPr>
      <w:r w:rsidRPr="003B6F1E">
        <w:rPr>
          <w:color w:val="000000" w:themeColor="text1"/>
        </w:rPr>
        <w:t>The contractor has a secure server for online data collection, utilizing its existing and continuously tested web 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w:t>
      </w:r>
      <w:r>
        <w:rPr>
          <w:color w:val="000000" w:themeColor="text1"/>
        </w:rPr>
        <w:t>.</w:t>
      </w:r>
    </w:p>
    <w:p w14:paraId="1B84C908" w14:textId="77777777" w:rsidR="003B6F1E" w:rsidRDefault="003B6F1E" w:rsidP="003B6F1E">
      <w:pPr>
        <w:pStyle w:val="Default"/>
        <w:rPr>
          <w:color w:val="000000" w:themeColor="text1"/>
        </w:rPr>
      </w:pPr>
    </w:p>
    <w:p w14:paraId="15AA337A" w14:textId="16B792BB" w:rsidR="003B6F1E" w:rsidRPr="003B6F1E" w:rsidRDefault="003B6F1E" w:rsidP="003B6F1E">
      <w:pPr>
        <w:pStyle w:val="Default"/>
        <w:rPr>
          <w:color w:val="000000" w:themeColor="text1"/>
        </w:rPr>
      </w:pPr>
      <w:r w:rsidRPr="003B6F1E">
        <w:rPr>
          <w:color w:val="000000" w:themeColor="text1"/>
        </w:rPr>
        <w:t>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14:paraId="1C4E851E" w14:textId="77777777" w:rsidR="003B6F1E" w:rsidRDefault="003B6F1E" w:rsidP="003B6F1E">
      <w:pPr>
        <w:pStyle w:val="Default"/>
        <w:rPr>
          <w:color w:val="000000" w:themeColor="text1"/>
        </w:rPr>
      </w:pPr>
    </w:p>
    <w:p w14:paraId="43908CE1" w14:textId="5020FB1E" w:rsidR="003B6F1E" w:rsidRDefault="003B6F1E" w:rsidP="003B6F1E">
      <w:pPr>
        <w:pStyle w:val="Default"/>
        <w:rPr>
          <w:color w:val="000000" w:themeColor="text1"/>
        </w:rPr>
      </w:pPr>
      <w:r w:rsidRPr="003B6F1E">
        <w:rPr>
          <w:color w:val="000000" w:themeColor="text1"/>
        </w:rPr>
        <w:t>The contractor has established data security plans for handling all data during all phases of survey execution and data processing for the surveys it conducts. The contractor’s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14:paraId="7D445BA6" w14:textId="77777777" w:rsidR="0023780A" w:rsidRPr="006976FC" w:rsidRDefault="0023780A" w:rsidP="007E614F">
      <w:pPr>
        <w:pStyle w:val="Default"/>
        <w:rPr>
          <w:color w:val="000000" w:themeColor="text1"/>
        </w:rPr>
      </w:pPr>
    </w:p>
    <w:p w14:paraId="57518026" w14:textId="04D477CB" w:rsidR="0026392F" w:rsidRPr="006976FC" w:rsidRDefault="0026392F" w:rsidP="003334B5">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Provide additional justification for any questions of a sensitive nature, such as sexual behavior and attitudes, religious beliefs, and other matters that are commonly considered private</w:t>
      </w:r>
      <w:r w:rsidR="00D1302C" w:rsidRPr="006976FC">
        <w:rPr>
          <w:rFonts w:ascii="Times New Roman" w:hAnsi="Times New Roman" w:cs="Times New Roman"/>
          <w:color w:val="000000" w:themeColor="text1"/>
          <w:sz w:val="24"/>
          <w:szCs w:val="24"/>
        </w:rPr>
        <w:t>. This justification should include the reasons why the agency considers the questions</w:t>
      </w:r>
      <w:r w:rsidR="000E7ABF" w:rsidRPr="00512216">
        <w:rPr>
          <w:rFonts w:ascii="Times New Roman" w:hAnsi="Times New Roman" w:cs="Times New Roman"/>
          <w:color w:val="000000" w:themeColor="text1"/>
          <w:sz w:val="24"/>
          <w:szCs w:val="24"/>
        </w:rPr>
        <w:t xml:space="preserve"> </w:t>
      </w:r>
      <w:r w:rsidR="00D1302C" w:rsidRPr="006976FC">
        <w:rPr>
          <w:rFonts w:ascii="Times New Roman" w:hAnsi="Times New Roman" w:cs="Times New Roman"/>
          <w:color w:val="000000" w:themeColor="text1"/>
          <w:sz w:val="24"/>
          <w:szCs w:val="24"/>
        </w:rPr>
        <w:t>necessary, the specific uses to be made of the information, the explanation to be given to persons from whom the information is requested, and any steps to be taken to obtain</w:t>
      </w:r>
      <w:r w:rsidR="000E7ABF" w:rsidRPr="00512216">
        <w:rPr>
          <w:rFonts w:ascii="Times New Roman" w:hAnsi="Times New Roman" w:cs="Times New Roman"/>
          <w:color w:val="000000" w:themeColor="text1"/>
          <w:sz w:val="24"/>
          <w:szCs w:val="24"/>
        </w:rPr>
        <w:t xml:space="preserve"> </w:t>
      </w:r>
      <w:r w:rsidR="00D1302C" w:rsidRPr="006976FC">
        <w:rPr>
          <w:rFonts w:ascii="Times New Roman" w:hAnsi="Times New Roman" w:cs="Times New Roman"/>
          <w:color w:val="000000" w:themeColor="text1"/>
          <w:sz w:val="24"/>
          <w:szCs w:val="24"/>
        </w:rPr>
        <w:t>their consent.</w:t>
      </w:r>
    </w:p>
    <w:p w14:paraId="6CAE13E2" w14:textId="77777777" w:rsidR="00117554" w:rsidRPr="006976FC" w:rsidRDefault="00117554" w:rsidP="002B780F">
      <w:pPr>
        <w:autoSpaceDE w:val="0"/>
        <w:autoSpaceDN w:val="0"/>
        <w:adjustRightInd w:val="0"/>
        <w:spacing w:after="0" w:line="240" w:lineRule="auto"/>
        <w:rPr>
          <w:rFonts w:ascii="Times New Roman" w:hAnsi="Times New Roman" w:cs="Times New Roman"/>
          <w:color w:val="000000" w:themeColor="text1"/>
          <w:sz w:val="24"/>
          <w:szCs w:val="24"/>
        </w:rPr>
      </w:pPr>
    </w:p>
    <w:p w14:paraId="6D3DBC63" w14:textId="77777777" w:rsidR="00117554" w:rsidRPr="006976FC" w:rsidRDefault="00117554" w:rsidP="002B780F">
      <w:pPr>
        <w:pStyle w:val="Default"/>
        <w:rPr>
          <w:color w:val="000000" w:themeColor="text1"/>
        </w:rPr>
      </w:pPr>
      <w:r w:rsidRPr="006976FC">
        <w:rPr>
          <w:color w:val="000000" w:themeColor="text1"/>
        </w:rPr>
        <w:t xml:space="preserve">This study </w:t>
      </w:r>
      <w:r w:rsidR="0058372F" w:rsidRPr="006976FC">
        <w:rPr>
          <w:color w:val="000000" w:themeColor="text1"/>
        </w:rPr>
        <w:t>will</w:t>
      </w:r>
      <w:r w:rsidRPr="006976FC">
        <w:rPr>
          <w:color w:val="000000" w:themeColor="text1"/>
        </w:rPr>
        <w:t xml:space="preserve"> not collect any information of a sensitive nature or any other </w:t>
      </w:r>
      <w:r w:rsidR="00A17070" w:rsidRPr="006976FC">
        <w:rPr>
          <w:color w:val="000000" w:themeColor="text1"/>
        </w:rPr>
        <w:t xml:space="preserve">information considered as </w:t>
      </w:r>
      <w:r w:rsidRPr="006976FC">
        <w:rPr>
          <w:color w:val="000000" w:themeColor="text1"/>
        </w:rPr>
        <w:t xml:space="preserve">private. </w:t>
      </w:r>
    </w:p>
    <w:p w14:paraId="2E75D434" w14:textId="77777777" w:rsidR="00D1302C" w:rsidRPr="006976FC" w:rsidRDefault="00D1302C" w:rsidP="002B780F">
      <w:pPr>
        <w:autoSpaceDE w:val="0"/>
        <w:autoSpaceDN w:val="0"/>
        <w:adjustRightInd w:val="0"/>
        <w:spacing w:after="0" w:line="240" w:lineRule="auto"/>
        <w:rPr>
          <w:rFonts w:ascii="Times New Roman" w:hAnsi="Times New Roman" w:cs="Times New Roman"/>
          <w:color w:val="000000" w:themeColor="text1"/>
          <w:sz w:val="24"/>
          <w:szCs w:val="24"/>
        </w:rPr>
      </w:pPr>
    </w:p>
    <w:p w14:paraId="795A9DF0" w14:textId="0D03A1D6" w:rsidR="0026392F" w:rsidRDefault="0026392F" w:rsidP="00596DEA">
      <w:pPr>
        <w:pStyle w:val="ListParagraph"/>
        <w:numPr>
          <w:ilvl w:val="0"/>
          <w:numId w:val="17"/>
        </w:numPr>
        <w:tabs>
          <w:tab w:val="left" w:pos="-720"/>
        </w:tabs>
        <w:suppressAutoHyphens/>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Provide estimates of the hour burden of the collection of information. The statement should:</w:t>
      </w:r>
    </w:p>
    <w:p w14:paraId="5F6439C0" w14:textId="77777777" w:rsidR="00C92F69" w:rsidRPr="006976FC" w:rsidRDefault="00C92F69" w:rsidP="00C92F69">
      <w:pPr>
        <w:pStyle w:val="ListParagraph"/>
        <w:tabs>
          <w:tab w:val="left" w:pos="-720"/>
        </w:tabs>
        <w:suppressAutoHyphens/>
        <w:spacing w:after="0" w:line="240" w:lineRule="auto"/>
        <w:rPr>
          <w:rFonts w:ascii="Times New Roman" w:hAnsi="Times New Roman" w:cs="Times New Roman"/>
          <w:color w:val="000000" w:themeColor="text1"/>
          <w:sz w:val="24"/>
          <w:szCs w:val="24"/>
        </w:rPr>
      </w:pPr>
    </w:p>
    <w:p w14:paraId="05465BDC" w14:textId="758AE6AE" w:rsidR="00596DEA" w:rsidRDefault="0026392F" w:rsidP="002B780F">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5722D2C" w14:textId="6EBAB109" w:rsidR="00596DEA" w:rsidRDefault="00596DEA" w:rsidP="00596DE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0B268F06" w14:textId="1106F015" w:rsidR="00596DEA" w:rsidRDefault="00596DEA" w:rsidP="008840E0">
      <w:pPr>
        <w:pStyle w:val="ListParagraph"/>
        <w:autoSpaceDE w:val="0"/>
        <w:autoSpaceDN w:val="0"/>
        <w:adjustRightInd w:val="0"/>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See table below.</w:t>
      </w:r>
    </w:p>
    <w:p w14:paraId="4F8CFC5F" w14:textId="77777777" w:rsidR="00596DEA" w:rsidRDefault="00596DEA" w:rsidP="008840E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2469F23B" w14:textId="0F66E056" w:rsidR="0026392F" w:rsidRDefault="00826C19" w:rsidP="002B780F">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If this request for approval covers more than one form, provide separate hour burden estimates for each form and aggregate the hour burdens in Item 13 of </w:t>
      </w:r>
      <w:r w:rsidRPr="00C92F69">
        <w:rPr>
          <w:rFonts w:ascii="Times New Roman" w:hAnsi="Times New Roman" w:cs="Times New Roman"/>
          <w:color w:val="000000" w:themeColor="text1"/>
          <w:sz w:val="23"/>
          <w:szCs w:val="23"/>
        </w:rPr>
        <w:t>OMB Form 83-I.</w:t>
      </w:r>
    </w:p>
    <w:p w14:paraId="5A31F0E2" w14:textId="4084967B" w:rsidR="00596DEA" w:rsidRDefault="00596DEA" w:rsidP="00596DEA">
      <w:pPr>
        <w:autoSpaceDE w:val="0"/>
        <w:autoSpaceDN w:val="0"/>
        <w:adjustRightInd w:val="0"/>
        <w:spacing w:after="0" w:line="240" w:lineRule="auto"/>
        <w:ind w:left="360"/>
        <w:rPr>
          <w:rFonts w:ascii="Times New Roman" w:hAnsi="Times New Roman" w:cs="Times New Roman"/>
          <w:color w:val="000000" w:themeColor="text1"/>
          <w:sz w:val="24"/>
          <w:szCs w:val="24"/>
        </w:rPr>
      </w:pPr>
    </w:p>
    <w:p w14:paraId="398DCEB1" w14:textId="27D356BD" w:rsidR="00596DEA" w:rsidRPr="008840E0" w:rsidRDefault="00A60896" w:rsidP="008840E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During the option period, which </w:t>
      </w:r>
      <w:r w:rsidR="007E5BE7">
        <w:rPr>
          <w:rFonts w:ascii="Times New Roman" w:hAnsi="Times New Roman" w:cs="Times New Roman"/>
          <w:color w:val="000000" w:themeColor="text1"/>
          <w:sz w:val="24"/>
          <w:szCs w:val="24"/>
        </w:rPr>
        <w:t>will focus</w:t>
      </w:r>
      <w:r>
        <w:rPr>
          <w:rFonts w:ascii="Times New Roman" w:hAnsi="Times New Roman" w:cs="Times New Roman"/>
          <w:color w:val="000000" w:themeColor="text1"/>
          <w:sz w:val="24"/>
          <w:szCs w:val="24"/>
        </w:rPr>
        <w:t xml:space="preserve"> on small to very</w:t>
      </w:r>
      <w:r w:rsidR="007E5B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small PHAS, there will be an overlap with the sample that was survey</w:t>
      </w:r>
      <w:r w:rsidR="00B21FF9">
        <w:rPr>
          <w:rFonts w:ascii="Times New Roman" w:hAnsi="Times New Roman" w:cs="Times New Roman"/>
          <w:color w:val="000000" w:themeColor="text1"/>
          <w:sz w:val="24"/>
          <w:szCs w:val="24"/>
        </w:rPr>
        <w:t>ed</w:t>
      </w:r>
      <w:r>
        <w:rPr>
          <w:rFonts w:ascii="Times New Roman" w:hAnsi="Times New Roman" w:cs="Times New Roman"/>
          <w:color w:val="000000" w:themeColor="text1"/>
          <w:sz w:val="24"/>
          <w:szCs w:val="24"/>
        </w:rPr>
        <w:t xml:space="preserve"> during the base period. To eliminate the event of resurveying a small or </w:t>
      </w:r>
      <w:r w:rsidR="007E5BE7">
        <w:rPr>
          <w:rFonts w:ascii="Times New Roman" w:hAnsi="Times New Roman" w:cs="Times New Roman"/>
          <w:color w:val="000000" w:themeColor="text1"/>
          <w:sz w:val="24"/>
          <w:szCs w:val="24"/>
        </w:rPr>
        <w:t>very-small</w:t>
      </w:r>
      <w:r>
        <w:rPr>
          <w:rFonts w:ascii="Times New Roman" w:hAnsi="Times New Roman" w:cs="Times New Roman"/>
          <w:color w:val="000000" w:themeColor="text1"/>
          <w:sz w:val="24"/>
          <w:szCs w:val="24"/>
        </w:rPr>
        <w:t xml:space="preserve"> PHA and to reduce burden, data collected from the first survey will be used in the analyses of small and </w:t>
      </w:r>
      <w:r w:rsidR="007E5BE7">
        <w:rPr>
          <w:rFonts w:ascii="Times New Roman" w:hAnsi="Times New Roman" w:cs="Times New Roman"/>
          <w:color w:val="000000" w:themeColor="text1"/>
          <w:sz w:val="24"/>
          <w:szCs w:val="24"/>
        </w:rPr>
        <w:t>very-small</w:t>
      </w:r>
      <w:r>
        <w:rPr>
          <w:rFonts w:ascii="Times New Roman" w:hAnsi="Times New Roman" w:cs="Times New Roman"/>
          <w:color w:val="000000" w:themeColor="text1"/>
          <w:sz w:val="24"/>
          <w:szCs w:val="24"/>
        </w:rPr>
        <w:t xml:space="preserve"> PHAs.</w:t>
      </w:r>
    </w:p>
    <w:p w14:paraId="1443677B" w14:textId="77777777" w:rsidR="00596DEA" w:rsidRPr="006976FC" w:rsidRDefault="00596DEA" w:rsidP="008840E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7F24A86C" w14:textId="13232533" w:rsidR="007301DF" w:rsidRDefault="0026392F" w:rsidP="002B780F">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w:t>
      </w:r>
      <w:r w:rsidR="00C92F69">
        <w:rPr>
          <w:rFonts w:ascii="Times New Roman" w:hAnsi="Times New Roman" w:cs="Times New Roman"/>
          <w:color w:val="000000" w:themeColor="text1"/>
          <w:sz w:val="24"/>
          <w:szCs w:val="24"/>
        </w:rPr>
        <w:t>I</w:t>
      </w:r>
      <w:r w:rsidRPr="006976FC">
        <w:rPr>
          <w:rFonts w:ascii="Times New Roman" w:hAnsi="Times New Roman" w:cs="Times New Roman"/>
          <w:color w:val="000000" w:themeColor="text1"/>
          <w:sz w:val="24"/>
          <w:szCs w:val="24"/>
        </w:rPr>
        <w:t>tem 13.</w:t>
      </w:r>
    </w:p>
    <w:p w14:paraId="6F660560" w14:textId="77777777" w:rsidR="00596DEA" w:rsidRPr="008840E0" w:rsidRDefault="00596DEA" w:rsidP="008840E0">
      <w:pPr>
        <w:pStyle w:val="ListParagraph"/>
        <w:rPr>
          <w:rFonts w:ascii="Times New Roman" w:hAnsi="Times New Roman" w:cs="Times New Roman"/>
          <w:color w:val="000000" w:themeColor="text1"/>
          <w:sz w:val="24"/>
          <w:szCs w:val="24"/>
        </w:rPr>
      </w:pPr>
    </w:p>
    <w:p w14:paraId="1A314663" w14:textId="63B72B22" w:rsidR="00596DEA" w:rsidRDefault="00CB46E1" w:rsidP="00CA4F5C">
      <w:pPr>
        <w:pStyle w:val="ListParagraph"/>
        <w:autoSpaceDE w:val="0"/>
        <w:autoSpaceDN w:val="0"/>
        <w:adjustRightInd w:val="0"/>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collection period</w:t>
      </w:r>
      <w:r w:rsidR="00801FED">
        <w:rPr>
          <w:rFonts w:ascii="Times New Roman" w:hAnsi="Times New Roman" w:cs="Times New Roman"/>
          <w:color w:val="000000" w:themeColor="text1"/>
          <w:sz w:val="24"/>
          <w:szCs w:val="24"/>
        </w:rPr>
        <w:t xml:space="preserve"> (i.e., base and option)</w:t>
      </w:r>
      <w:r>
        <w:rPr>
          <w:rFonts w:ascii="Times New Roman" w:hAnsi="Times New Roman" w:cs="Times New Roman"/>
          <w:color w:val="000000" w:themeColor="text1"/>
          <w:sz w:val="24"/>
          <w:szCs w:val="24"/>
        </w:rPr>
        <w:t>, the data collected will only be a one-time effort</w:t>
      </w:r>
      <w:r w:rsidR="00B21F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21FF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hus, the annualized costs are the same as the costs displayed below.</w:t>
      </w:r>
    </w:p>
    <w:p w14:paraId="04FEA1C1" w14:textId="77777777" w:rsidR="003579DE" w:rsidRPr="006976FC" w:rsidRDefault="003579DE" w:rsidP="00CA4F5C">
      <w:pPr>
        <w:pStyle w:val="ListParagraph"/>
        <w:autoSpaceDE w:val="0"/>
        <w:autoSpaceDN w:val="0"/>
        <w:adjustRightInd w:val="0"/>
        <w:spacing w:after="0" w:line="240" w:lineRule="auto"/>
        <w:ind w:left="0"/>
        <w:rPr>
          <w:rFonts w:ascii="Times New Roman" w:hAnsi="Times New Roman" w:cs="Times New Roman"/>
          <w:color w:val="000000" w:themeColor="text1"/>
          <w:sz w:val="24"/>
          <w:szCs w:val="24"/>
        </w:rPr>
      </w:pPr>
    </w:p>
    <w:p w14:paraId="57B33150" w14:textId="67593750" w:rsidR="0024178E" w:rsidRPr="004F032E" w:rsidRDefault="0024178E" w:rsidP="0024178E">
      <w:pPr>
        <w:pStyle w:val="ListParagraph"/>
        <w:spacing w:after="0"/>
        <w:ind w:left="360"/>
        <w:rPr>
          <w:b/>
        </w:rPr>
      </w:pPr>
      <w:r w:rsidRPr="004F032E">
        <w:rPr>
          <w:b/>
        </w:rPr>
        <w:t xml:space="preserve">Table </w:t>
      </w:r>
      <w:r>
        <w:rPr>
          <w:b/>
        </w:rPr>
        <w:t>1</w:t>
      </w:r>
      <w:r w:rsidRPr="004F032E">
        <w:rPr>
          <w:b/>
        </w:rPr>
        <w:t xml:space="preserve">: Burden Estimates for </w:t>
      </w:r>
      <w:r>
        <w:rPr>
          <w:b/>
        </w:rPr>
        <w:t>Evaluation of EPC Program</w:t>
      </w:r>
      <w:r w:rsidRPr="004F032E">
        <w:rPr>
          <w:b/>
        </w:rPr>
        <w:t xml:space="preserve"> Data Collection Efforts</w:t>
      </w:r>
    </w:p>
    <w:tbl>
      <w:tblPr>
        <w:tblW w:w="10260" w:type="dxa"/>
        <w:tblInd w:w="-185" w:type="dxa"/>
        <w:tblCellMar>
          <w:left w:w="0" w:type="dxa"/>
          <w:right w:w="0" w:type="dxa"/>
        </w:tblCellMar>
        <w:tblLook w:val="04A0" w:firstRow="1" w:lastRow="0" w:firstColumn="1" w:lastColumn="0" w:noHBand="0" w:noVBand="1"/>
      </w:tblPr>
      <w:tblGrid>
        <w:gridCol w:w="1252"/>
        <w:gridCol w:w="893"/>
        <w:gridCol w:w="1436"/>
        <w:gridCol w:w="1251"/>
        <w:gridCol w:w="1221"/>
        <w:gridCol w:w="1178"/>
        <w:gridCol w:w="947"/>
        <w:gridCol w:w="1118"/>
        <w:gridCol w:w="964"/>
      </w:tblGrid>
      <w:tr w:rsidR="00B742E2" w:rsidRPr="00B21FF9" w14:paraId="72B8F077" w14:textId="77777777" w:rsidTr="006976FC">
        <w:trPr>
          <w:trHeight w:val="554"/>
        </w:trPr>
        <w:tc>
          <w:tcPr>
            <w:tcW w:w="1252" w:type="dxa"/>
            <w:tcBorders>
              <w:top w:val="single" w:sz="4" w:space="0" w:color="auto"/>
              <w:left w:val="single" w:sz="4" w:space="0" w:color="auto"/>
              <w:bottom w:val="single" w:sz="4" w:space="0" w:color="auto"/>
              <w:right w:val="single" w:sz="4" w:space="0" w:color="auto"/>
            </w:tcBorders>
          </w:tcPr>
          <w:p w14:paraId="0B6F91BC" w14:textId="766B387B"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Information Collection</w:t>
            </w:r>
          </w:p>
        </w:tc>
        <w:tc>
          <w:tcPr>
            <w:tcW w:w="893" w:type="dxa"/>
            <w:tcBorders>
              <w:top w:val="single" w:sz="4" w:space="0" w:color="auto"/>
              <w:left w:val="single" w:sz="4" w:space="0" w:color="auto"/>
              <w:bottom w:val="single" w:sz="4" w:space="0" w:color="auto"/>
              <w:right w:val="single" w:sz="4" w:space="0" w:color="auto"/>
            </w:tcBorders>
          </w:tcPr>
          <w:p w14:paraId="6EB18DB6" w14:textId="512B768B"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676EE"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Number of Respondents</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D4D06"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Frequency of Response</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09A5F" w14:textId="77777777" w:rsidR="00B742E2" w:rsidRPr="00A615C9" w:rsidRDefault="00B742E2" w:rsidP="00A615C9">
            <w:pPr>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Responses</w:t>
            </w:r>
          </w:p>
          <w:p w14:paraId="0E0F1B63"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Per Annum</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A5584"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Burden Hour Per Response</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F9DC4"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Annual Burden Hours</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448F0" w14:textId="72689C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Hourly Cost Per Response</w:t>
            </w:r>
            <w:r w:rsidR="00A60896" w:rsidRPr="00A615C9">
              <w:rPr>
                <w:rStyle w:val="FootnoteReference"/>
                <w:rFonts w:ascii="Times New Roman" w:hAnsi="Times New Roman"/>
                <w:b/>
                <w:bCs/>
                <w:color w:val="000000"/>
                <w:sz w:val="18"/>
                <w:szCs w:val="18"/>
              </w:rPr>
              <w:footnoteReference w:id="2"/>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E5C5" w14:textId="77777777" w:rsidR="00B742E2" w:rsidRPr="00A615C9" w:rsidRDefault="00B742E2" w:rsidP="00A615C9">
            <w:pPr>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Annual Cost</w:t>
            </w:r>
          </w:p>
          <w:p w14:paraId="36519474"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p>
        </w:tc>
      </w:tr>
      <w:tr w:rsidR="003334B5" w:rsidRPr="00B21FF9" w14:paraId="2BCCDEC8" w14:textId="77777777" w:rsidTr="006976FC">
        <w:trPr>
          <w:trHeight w:val="133"/>
        </w:trPr>
        <w:tc>
          <w:tcPr>
            <w:tcW w:w="1252" w:type="dxa"/>
            <w:tcBorders>
              <w:top w:val="single" w:sz="4" w:space="0" w:color="auto"/>
              <w:left w:val="single" w:sz="4" w:space="0" w:color="auto"/>
              <w:right w:val="single" w:sz="4" w:space="0" w:color="auto"/>
            </w:tcBorders>
          </w:tcPr>
          <w:p w14:paraId="10FD0287" w14:textId="5EBFD1D8" w:rsidR="003334B5" w:rsidRPr="00A615C9" w:rsidRDefault="003334B5" w:rsidP="003334B5">
            <w:pPr>
              <w:overflowPunct w:val="0"/>
              <w:autoSpaceDE w:val="0"/>
              <w:autoSpaceDN w:val="0"/>
              <w:spacing w:after="0"/>
              <w:jc w:val="center"/>
              <w:rPr>
                <w:rFonts w:ascii="Times New Roman" w:hAnsi="Times New Roman"/>
                <w:color w:val="000000"/>
                <w:sz w:val="18"/>
                <w:szCs w:val="18"/>
              </w:rPr>
            </w:pPr>
          </w:p>
        </w:tc>
        <w:tc>
          <w:tcPr>
            <w:tcW w:w="893" w:type="dxa"/>
            <w:tcBorders>
              <w:top w:val="single" w:sz="4" w:space="0" w:color="auto"/>
              <w:left w:val="single" w:sz="4" w:space="0" w:color="auto"/>
              <w:bottom w:val="single" w:sz="4" w:space="0" w:color="auto"/>
              <w:right w:val="single" w:sz="4" w:space="0" w:color="auto"/>
            </w:tcBorders>
            <w:hideMark/>
          </w:tcPr>
          <w:p w14:paraId="6E69C0DB" w14:textId="5236879A"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Web</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87FDA" w14:textId="6C3A019E"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299</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DB66C" w14:textId="37FCB899"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1A1C" w14:textId="6F823478"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299</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28BF2"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0.33</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FB2B5" w14:textId="78B90866"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98.67</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7A3E5" w14:textId="6D8423FE"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$34.79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74F60" w14:textId="0165B9B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$3,432.73</w:t>
            </w:r>
          </w:p>
        </w:tc>
      </w:tr>
      <w:tr w:rsidR="003334B5" w:rsidRPr="00B21FF9" w14:paraId="374042CD" w14:textId="77777777" w:rsidTr="006976FC">
        <w:trPr>
          <w:trHeight w:val="207"/>
        </w:trPr>
        <w:tc>
          <w:tcPr>
            <w:tcW w:w="1252" w:type="dxa"/>
            <w:tcBorders>
              <w:left w:val="single" w:sz="4" w:space="0" w:color="auto"/>
              <w:right w:val="single" w:sz="4" w:space="0" w:color="auto"/>
            </w:tcBorders>
          </w:tcPr>
          <w:p w14:paraId="7AD90D79" w14:textId="005BEAA6"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Base Period</w:t>
            </w:r>
          </w:p>
        </w:tc>
        <w:tc>
          <w:tcPr>
            <w:tcW w:w="893" w:type="dxa"/>
            <w:tcBorders>
              <w:top w:val="single" w:sz="4" w:space="0" w:color="auto"/>
              <w:left w:val="single" w:sz="4" w:space="0" w:color="auto"/>
              <w:bottom w:val="single" w:sz="4" w:space="0" w:color="auto"/>
              <w:right w:val="single" w:sz="4" w:space="0" w:color="auto"/>
            </w:tcBorders>
            <w:hideMark/>
          </w:tcPr>
          <w:p w14:paraId="19166345" w14:textId="5556B7E1"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 xml:space="preserve">Telephone </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B146D" w14:textId="36256A02"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w:t>
            </w:r>
            <w:r>
              <w:rPr>
                <w:rFonts w:ascii="Times New Roman" w:hAnsi="Times New Roman"/>
                <w:color w:val="000000"/>
                <w:sz w:val="18"/>
                <w:szCs w:val="18"/>
              </w:rPr>
              <w:t>.00</w:t>
            </w:r>
            <w:r w:rsidRPr="00A615C9">
              <w:rPr>
                <w:rFonts w:ascii="Times New Roman" w:hAnsi="Times New Roman"/>
                <w:color w:val="000000"/>
                <w:sz w:val="18"/>
                <w:szCs w:val="18"/>
              </w:rPr>
              <w:t xml:space="preserve"> </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B6293" w14:textId="7A3E02C2"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19E75" w14:textId="04EF0DA8"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w:t>
            </w:r>
            <w:r>
              <w:rPr>
                <w:rFonts w:ascii="Times New Roman" w:hAnsi="Times New Roman"/>
                <w:color w:val="000000"/>
                <w:sz w:val="18"/>
                <w:szCs w:val="18"/>
              </w:rPr>
              <w:t>.00</w:t>
            </w:r>
            <w:r w:rsidRPr="00A615C9">
              <w:rPr>
                <w:rFonts w:ascii="Times New Roman" w:hAnsi="Times New Roman"/>
                <w:color w:val="000000"/>
                <w:sz w:val="18"/>
                <w:szCs w:val="18"/>
              </w:rPr>
              <w:t xml:space="preserve"> </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8CE7D" w14:textId="7D7C1F2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65F0A" w14:textId="7180804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28.00</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8BD01" w14:textId="36917CDD"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$34.79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795F2" w14:textId="067001A8"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$974.12</w:t>
            </w:r>
          </w:p>
        </w:tc>
      </w:tr>
      <w:tr w:rsidR="003334B5" w:rsidRPr="00B21FF9" w14:paraId="4ACBD6A7" w14:textId="77777777" w:rsidTr="006976FC">
        <w:trPr>
          <w:trHeight w:val="349"/>
        </w:trPr>
        <w:tc>
          <w:tcPr>
            <w:tcW w:w="1252" w:type="dxa"/>
            <w:tcBorders>
              <w:left w:val="single" w:sz="4" w:space="0" w:color="auto"/>
              <w:bottom w:val="single" w:sz="4" w:space="0" w:color="auto"/>
              <w:right w:val="single" w:sz="4" w:space="0" w:color="auto"/>
            </w:tcBorders>
          </w:tcPr>
          <w:p w14:paraId="7A41A7E9" w14:textId="77777777" w:rsidR="003334B5" w:rsidRPr="00A615C9" w:rsidRDefault="003334B5" w:rsidP="003334B5">
            <w:pPr>
              <w:overflowPunct w:val="0"/>
              <w:autoSpaceDE w:val="0"/>
              <w:autoSpaceDN w:val="0"/>
              <w:spacing w:after="0"/>
              <w:jc w:val="center"/>
              <w:rPr>
                <w:rFonts w:ascii="Times New Roman" w:hAnsi="Times New Roman"/>
                <w:b/>
                <w:color w:val="000000"/>
                <w:sz w:val="18"/>
                <w:szCs w:val="18"/>
              </w:rPr>
            </w:pPr>
          </w:p>
        </w:tc>
        <w:tc>
          <w:tcPr>
            <w:tcW w:w="893" w:type="dxa"/>
            <w:tcBorders>
              <w:top w:val="single" w:sz="4" w:space="0" w:color="auto"/>
              <w:left w:val="single" w:sz="4" w:space="0" w:color="auto"/>
              <w:bottom w:val="single" w:sz="4" w:space="0" w:color="auto"/>
              <w:right w:val="single" w:sz="4" w:space="0" w:color="auto"/>
            </w:tcBorders>
          </w:tcPr>
          <w:p w14:paraId="1BEE9AF5" w14:textId="73E6D9E2" w:rsidR="003334B5" w:rsidRPr="00A615C9" w:rsidRDefault="003334B5" w:rsidP="003334B5">
            <w:pPr>
              <w:overflowPunct w:val="0"/>
              <w:autoSpaceDE w:val="0"/>
              <w:autoSpaceDN w:val="0"/>
              <w:spacing w:after="0"/>
              <w:jc w:val="center"/>
              <w:rPr>
                <w:rFonts w:ascii="Times New Roman" w:hAnsi="Times New Roman"/>
                <w:b/>
                <w:color w:val="000000"/>
                <w:sz w:val="18"/>
                <w:szCs w:val="18"/>
              </w:rPr>
            </w:pPr>
            <w:r w:rsidRPr="00A615C9">
              <w:rPr>
                <w:rFonts w:ascii="Times New Roman" w:hAnsi="Times New Roman"/>
                <w:b/>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B6326" w14:textId="5460A245" w:rsidR="003334B5" w:rsidRPr="00BE5BD0" w:rsidRDefault="003334B5" w:rsidP="003334B5">
            <w:pPr>
              <w:overflowPunct w:val="0"/>
              <w:autoSpaceDE w:val="0"/>
              <w:autoSpaceDN w:val="0"/>
              <w:spacing w:after="0"/>
              <w:jc w:val="right"/>
              <w:rPr>
                <w:rFonts w:ascii="Times New Roman" w:hAnsi="Times New Roman"/>
                <w:b/>
                <w:color w:val="000000"/>
                <w:sz w:val="18"/>
                <w:szCs w:val="18"/>
              </w:rPr>
            </w:pPr>
            <w:r w:rsidRPr="00BE5BD0">
              <w:rPr>
                <w:rFonts w:ascii="Times New Roman" w:hAnsi="Times New Roman"/>
                <w:b/>
                <w:bCs/>
                <w:color w:val="000000"/>
                <w:sz w:val="18"/>
                <w:szCs w:val="18"/>
              </w:rPr>
              <w:t>327</w:t>
            </w:r>
            <w:r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780D8"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C8B8" w14:textId="61EBA8CA"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BE5BD0">
              <w:rPr>
                <w:rFonts w:ascii="Times New Roman" w:hAnsi="Times New Roman"/>
                <w:b/>
                <w:bCs/>
                <w:color w:val="000000"/>
                <w:sz w:val="18"/>
                <w:szCs w:val="18"/>
              </w:rPr>
              <w:t>327</w:t>
            </w:r>
            <w:r w:rsidRPr="00BE5BD0">
              <w:rPr>
                <w:rFonts w:ascii="Times New Roman" w:hAnsi="Times New Roman"/>
                <w:b/>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F040D"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2BF5" w14:textId="11FC4108"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126.67</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2298D" w14:textId="15578FD3"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$34.79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0CE02" w14:textId="5B3542CE"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$4,406.85</w:t>
            </w:r>
          </w:p>
        </w:tc>
      </w:tr>
      <w:tr w:rsidR="003334B5" w:rsidRPr="00B21FF9" w14:paraId="150C457E" w14:textId="77777777" w:rsidTr="006976FC">
        <w:trPr>
          <w:trHeight w:val="673"/>
        </w:trPr>
        <w:tc>
          <w:tcPr>
            <w:tcW w:w="1252" w:type="dxa"/>
            <w:tcBorders>
              <w:top w:val="single" w:sz="4" w:space="0" w:color="auto"/>
              <w:left w:val="single" w:sz="4" w:space="0" w:color="auto"/>
              <w:right w:val="single" w:sz="4" w:space="0" w:color="auto"/>
            </w:tcBorders>
          </w:tcPr>
          <w:p w14:paraId="2830EBAF" w14:textId="2AD26A85" w:rsidR="003334B5" w:rsidRPr="00A615C9" w:rsidRDefault="003334B5" w:rsidP="003334B5">
            <w:pPr>
              <w:overflowPunct w:val="0"/>
              <w:autoSpaceDE w:val="0"/>
              <w:autoSpaceDN w:val="0"/>
              <w:spacing w:after="0"/>
              <w:jc w:val="center"/>
              <w:rPr>
                <w:rFonts w:ascii="Times New Roman" w:hAnsi="Times New Roman"/>
                <w:color w:val="000000"/>
                <w:sz w:val="18"/>
                <w:szCs w:val="18"/>
              </w:rPr>
            </w:pPr>
          </w:p>
        </w:tc>
        <w:tc>
          <w:tcPr>
            <w:tcW w:w="893" w:type="dxa"/>
            <w:tcBorders>
              <w:top w:val="single" w:sz="4" w:space="0" w:color="auto"/>
              <w:left w:val="single" w:sz="4" w:space="0" w:color="auto"/>
              <w:bottom w:val="single" w:sz="4" w:space="0" w:color="auto"/>
              <w:right w:val="single" w:sz="4" w:space="0" w:color="auto"/>
            </w:tcBorders>
            <w:hideMark/>
          </w:tcPr>
          <w:p w14:paraId="7F76855F" w14:textId="43D39CBE" w:rsidR="003334B5" w:rsidRPr="00A615C9" w:rsidRDefault="003334B5" w:rsidP="003334B5">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color w:val="000000"/>
                <w:sz w:val="18"/>
                <w:szCs w:val="18"/>
              </w:rPr>
              <w:t>Web</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79237" w14:textId="1A3E1F37" w:rsidR="003334B5" w:rsidRPr="00A615C9" w:rsidRDefault="003334B5"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color w:val="000000"/>
                <w:sz w:val="18"/>
                <w:szCs w:val="18"/>
              </w:rPr>
              <w:t>136</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0EF78" w14:textId="2EBF416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F9DDF" w14:textId="1A3F6FA4"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136</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839B2" w14:textId="2BAB4F28" w:rsidR="003334B5" w:rsidRPr="00A615C9" w:rsidRDefault="003334B5" w:rsidP="003334B5">
            <w:pPr>
              <w:spacing w:after="0"/>
              <w:jc w:val="right"/>
              <w:rPr>
                <w:rFonts w:ascii="Times New Roman" w:hAnsi="Times New Roman"/>
                <w:color w:val="000000"/>
                <w:sz w:val="18"/>
                <w:szCs w:val="18"/>
              </w:rPr>
            </w:pPr>
            <w:r w:rsidRPr="00A615C9">
              <w:rPr>
                <w:rFonts w:ascii="Times New Roman" w:hAnsi="Times New Roman"/>
                <w:color w:val="000000"/>
                <w:sz w:val="18"/>
                <w:szCs w:val="18"/>
              </w:rPr>
              <w:t>0.33</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A38A8" w14:textId="2550B8AC" w:rsidR="003334B5" w:rsidRPr="00A615C9" w:rsidRDefault="003334B5" w:rsidP="003334B5">
            <w:pPr>
              <w:overflowPunct w:val="0"/>
              <w:autoSpaceDE w:val="0"/>
              <w:autoSpaceDN w:val="0"/>
              <w:spacing w:after="0"/>
              <w:jc w:val="right"/>
              <w:rPr>
                <w:rFonts w:ascii="Times New Roman" w:eastAsiaTheme="minorHAnsi" w:hAnsi="Times New Roman"/>
                <w:b/>
                <w:bCs/>
                <w:color w:val="000000"/>
                <w:sz w:val="18"/>
                <w:szCs w:val="18"/>
              </w:rPr>
            </w:pPr>
            <w:r w:rsidRPr="00A615C9">
              <w:rPr>
                <w:rFonts w:ascii="Times New Roman" w:hAnsi="Times New Roman"/>
                <w:color w:val="000000"/>
                <w:sz w:val="18"/>
                <w:szCs w:val="18"/>
              </w:rPr>
              <w:t>44.88</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C5A72" w14:textId="24C95E2D" w:rsidR="003334B5" w:rsidRPr="00A615C9" w:rsidRDefault="003334B5" w:rsidP="003334B5">
            <w:pPr>
              <w:spacing w:after="0"/>
              <w:jc w:val="right"/>
              <w:rPr>
                <w:rFonts w:ascii="Times New Roman" w:hAnsi="Times New Roman"/>
                <w:b/>
                <w:bCs/>
                <w:color w:val="000000"/>
                <w:sz w:val="18"/>
                <w:szCs w:val="18"/>
              </w:rPr>
            </w:pPr>
            <w:r w:rsidRPr="00A615C9">
              <w:rPr>
                <w:rFonts w:ascii="Times New Roman" w:hAnsi="Times New Roman"/>
                <w:color w:val="000000"/>
                <w:sz w:val="18"/>
                <w:szCs w:val="18"/>
              </w:rPr>
              <w:t xml:space="preserve">  $34.79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6CA50" w14:textId="5C2EA6F5" w:rsidR="003334B5" w:rsidRPr="00A615C9" w:rsidRDefault="003334B5" w:rsidP="003334B5">
            <w:pPr>
              <w:overflowPunct w:val="0"/>
              <w:autoSpaceDE w:val="0"/>
              <w:autoSpaceDN w:val="0"/>
              <w:spacing w:after="0"/>
              <w:jc w:val="right"/>
              <w:rPr>
                <w:rFonts w:ascii="Times New Roman" w:eastAsiaTheme="minorHAnsi" w:hAnsi="Times New Roman"/>
                <w:b/>
                <w:bCs/>
                <w:color w:val="000000"/>
                <w:sz w:val="18"/>
                <w:szCs w:val="18"/>
              </w:rPr>
            </w:pPr>
            <w:r w:rsidRPr="00A615C9">
              <w:rPr>
                <w:rFonts w:ascii="Times New Roman" w:hAnsi="Times New Roman"/>
                <w:color w:val="000000"/>
                <w:sz w:val="18"/>
                <w:szCs w:val="18"/>
              </w:rPr>
              <w:t>$1,561.38</w:t>
            </w:r>
          </w:p>
        </w:tc>
      </w:tr>
      <w:tr w:rsidR="003334B5" w:rsidRPr="00B21FF9" w14:paraId="60601C17" w14:textId="77777777" w:rsidTr="006976FC">
        <w:trPr>
          <w:trHeight w:val="329"/>
        </w:trPr>
        <w:tc>
          <w:tcPr>
            <w:tcW w:w="1252" w:type="dxa"/>
            <w:tcBorders>
              <w:left w:val="single" w:sz="4" w:space="0" w:color="auto"/>
              <w:right w:val="single" w:sz="4" w:space="0" w:color="auto"/>
            </w:tcBorders>
          </w:tcPr>
          <w:p w14:paraId="41EEED62" w14:textId="7BD60C1F"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Option Period</w:t>
            </w:r>
          </w:p>
        </w:tc>
        <w:tc>
          <w:tcPr>
            <w:tcW w:w="893" w:type="dxa"/>
            <w:tcBorders>
              <w:top w:val="single" w:sz="4" w:space="0" w:color="auto"/>
              <w:left w:val="single" w:sz="4" w:space="0" w:color="auto"/>
              <w:bottom w:val="single" w:sz="4" w:space="0" w:color="auto"/>
              <w:right w:val="single" w:sz="4" w:space="0" w:color="auto"/>
            </w:tcBorders>
          </w:tcPr>
          <w:p w14:paraId="380122BF" w14:textId="77CE5710"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 xml:space="preserve">Telephone </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EDC12" w14:textId="5C4034E8"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D5A7B" w14:textId="18A28B1B"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50683" w14:textId="45DB8F1B"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7A3A8" w14:textId="3D18DA5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5C98" w14:textId="1DC4112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2F0AA" w14:textId="04C7F134"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$34.79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75B22" w14:textId="057D1676"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$626.22</w:t>
            </w:r>
          </w:p>
        </w:tc>
      </w:tr>
      <w:tr w:rsidR="00B742E2" w:rsidRPr="00B21FF9" w14:paraId="3A3F1C24" w14:textId="77777777" w:rsidTr="006976FC">
        <w:trPr>
          <w:trHeight w:val="207"/>
        </w:trPr>
        <w:tc>
          <w:tcPr>
            <w:tcW w:w="1252" w:type="dxa"/>
            <w:tcBorders>
              <w:left w:val="single" w:sz="4" w:space="0" w:color="auto"/>
              <w:bottom w:val="single" w:sz="4" w:space="0" w:color="auto"/>
              <w:right w:val="single" w:sz="4" w:space="0" w:color="auto"/>
            </w:tcBorders>
          </w:tcPr>
          <w:p w14:paraId="082ACD89" w14:textId="77777777"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p>
        </w:tc>
        <w:tc>
          <w:tcPr>
            <w:tcW w:w="893" w:type="dxa"/>
            <w:tcBorders>
              <w:top w:val="single" w:sz="4" w:space="0" w:color="auto"/>
              <w:left w:val="single" w:sz="4" w:space="0" w:color="auto"/>
              <w:bottom w:val="single" w:sz="4" w:space="0" w:color="auto"/>
              <w:right w:val="single" w:sz="4" w:space="0" w:color="auto"/>
            </w:tcBorders>
          </w:tcPr>
          <w:p w14:paraId="5F642818" w14:textId="0615AA16" w:rsidR="00B742E2" w:rsidRPr="00A615C9" w:rsidRDefault="00B742E2" w:rsidP="00A615C9">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b/>
                <w:bCs/>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3025A" w14:textId="263A7D67" w:rsidR="00B742E2" w:rsidRPr="00BE5BD0" w:rsidRDefault="00B742E2" w:rsidP="003334B5">
            <w:pPr>
              <w:overflowPunct w:val="0"/>
              <w:autoSpaceDE w:val="0"/>
              <w:autoSpaceDN w:val="0"/>
              <w:spacing w:after="0"/>
              <w:jc w:val="right"/>
              <w:rPr>
                <w:rFonts w:ascii="Times New Roman" w:hAnsi="Times New Roman"/>
                <w:b/>
                <w:color w:val="000000"/>
                <w:sz w:val="18"/>
                <w:szCs w:val="18"/>
              </w:rPr>
            </w:pPr>
            <w:r w:rsidRPr="00BE5BD0">
              <w:rPr>
                <w:rFonts w:ascii="Times New Roman" w:hAnsi="Times New Roman"/>
                <w:b/>
                <w:bCs/>
                <w:color w:val="000000"/>
                <w:sz w:val="18"/>
                <w:szCs w:val="18"/>
              </w:rPr>
              <w:t>154</w:t>
            </w:r>
            <w:r w:rsidR="00D21EEC"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E042D" w14:textId="0BAAE249" w:rsidR="00B742E2" w:rsidRPr="00A615C9" w:rsidRDefault="00B742E2" w:rsidP="003334B5">
            <w:pPr>
              <w:overflowPunct w:val="0"/>
              <w:autoSpaceDE w:val="0"/>
              <w:autoSpaceDN w:val="0"/>
              <w:spacing w:after="0"/>
              <w:jc w:val="right"/>
              <w:rPr>
                <w:rFonts w:ascii="Times New Roman" w:hAnsi="Times New Roman"/>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2DEC7" w14:textId="55327477" w:rsidR="00B742E2" w:rsidRPr="00A615C9" w:rsidRDefault="00B742E2" w:rsidP="003334B5">
            <w:pPr>
              <w:overflowPunct w:val="0"/>
              <w:autoSpaceDE w:val="0"/>
              <w:autoSpaceDN w:val="0"/>
              <w:spacing w:after="0"/>
              <w:jc w:val="right"/>
              <w:rPr>
                <w:rFonts w:ascii="Times New Roman" w:hAnsi="Times New Roman"/>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96D7B" w14:textId="3E36BE61" w:rsidR="00B742E2" w:rsidRPr="00A615C9" w:rsidRDefault="00B742E2" w:rsidP="003334B5">
            <w:pPr>
              <w:overflowPunct w:val="0"/>
              <w:autoSpaceDE w:val="0"/>
              <w:autoSpaceDN w:val="0"/>
              <w:spacing w:after="0"/>
              <w:jc w:val="right"/>
              <w:rPr>
                <w:rFonts w:ascii="Times New Roman" w:hAnsi="Times New Roman"/>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9E4D3" w14:textId="2AD353AF" w:rsidR="00B742E2" w:rsidRPr="00A615C9" w:rsidRDefault="00A60896"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62.88</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1DAA" w14:textId="083E1780" w:rsidR="00B742E2" w:rsidRPr="00A615C9" w:rsidRDefault="00B742E2"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w:t>
            </w:r>
            <w:r w:rsidR="00703EE6" w:rsidRPr="00A615C9">
              <w:rPr>
                <w:rFonts w:ascii="Times New Roman" w:hAnsi="Times New Roman"/>
                <w:color w:val="000000"/>
                <w:sz w:val="18"/>
                <w:szCs w:val="18"/>
              </w:rPr>
              <w:t>34</w:t>
            </w:r>
            <w:r w:rsidRPr="00A615C9">
              <w:rPr>
                <w:rFonts w:ascii="Times New Roman" w:hAnsi="Times New Roman"/>
                <w:color w:val="000000"/>
                <w:sz w:val="18"/>
                <w:szCs w:val="18"/>
              </w:rPr>
              <w:t>.79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AC046" w14:textId="51184272" w:rsidR="00B742E2" w:rsidRPr="00A615C9" w:rsidRDefault="00B742E2"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$2</w:t>
            </w:r>
            <w:r w:rsidR="00703EE6" w:rsidRPr="00A615C9">
              <w:rPr>
                <w:rFonts w:ascii="Times New Roman" w:hAnsi="Times New Roman"/>
                <w:b/>
                <w:bCs/>
                <w:color w:val="000000"/>
                <w:sz w:val="18"/>
                <w:szCs w:val="18"/>
              </w:rPr>
              <w:t>,187.60</w:t>
            </w:r>
          </w:p>
        </w:tc>
      </w:tr>
      <w:tr w:rsidR="00B742E2" w:rsidRPr="00B21FF9" w14:paraId="00467425" w14:textId="77777777" w:rsidTr="00B742E2">
        <w:trPr>
          <w:trHeight w:val="212"/>
        </w:trPr>
        <w:tc>
          <w:tcPr>
            <w:tcW w:w="2145" w:type="dxa"/>
            <w:gridSpan w:val="2"/>
            <w:tcBorders>
              <w:top w:val="single" w:sz="4" w:space="0" w:color="auto"/>
              <w:left w:val="single" w:sz="4" w:space="0" w:color="auto"/>
              <w:bottom w:val="single" w:sz="4" w:space="0" w:color="auto"/>
              <w:right w:val="single" w:sz="4" w:space="0" w:color="auto"/>
            </w:tcBorders>
            <w:hideMark/>
          </w:tcPr>
          <w:p w14:paraId="22275B56" w14:textId="6D1BB571" w:rsidR="00B742E2" w:rsidRPr="00A615C9" w:rsidRDefault="00B742E2"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7A5F1" w14:textId="2CE99915" w:rsidR="00B742E2" w:rsidRPr="00BE5BD0" w:rsidRDefault="00B742E2" w:rsidP="003334B5">
            <w:pPr>
              <w:overflowPunct w:val="0"/>
              <w:autoSpaceDE w:val="0"/>
              <w:autoSpaceDN w:val="0"/>
              <w:spacing w:after="0"/>
              <w:jc w:val="right"/>
              <w:rPr>
                <w:rFonts w:ascii="Times New Roman" w:hAnsi="Times New Roman"/>
                <w:b/>
                <w:bCs/>
                <w:color w:val="000000"/>
                <w:sz w:val="18"/>
                <w:szCs w:val="18"/>
              </w:rPr>
            </w:pPr>
            <w:r w:rsidRPr="00BE5BD0">
              <w:rPr>
                <w:rFonts w:ascii="Times New Roman" w:hAnsi="Times New Roman"/>
                <w:b/>
                <w:bCs/>
                <w:color w:val="000000"/>
                <w:sz w:val="18"/>
                <w:szCs w:val="18"/>
              </w:rPr>
              <w:t>481</w:t>
            </w:r>
            <w:r w:rsidR="00D21EEC"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F522" w14:textId="77777777" w:rsidR="00B742E2" w:rsidRPr="00A615C9" w:rsidRDefault="00B742E2" w:rsidP="003334B5">
            <w:pPr>
              <w:overflowPunct w:val="0"/>
              <w:autoSpaceDE w:val="0"/>
              <w:autoSpaceDN w:val="0"/>
              <w:spacing w:after="0"/>
              <w:jc w:val="right"/>
              <w:rPr>
                <w:rFonts w:ascii="Times New Roman" w:hAnsi="Times New Roman"/>
                <w:b/>
                <w:bCs/>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C004" w14:textId="77777777" w:rsidR="00B742E2" w:rsidRPr="00A615C9" w:rsidRDefault="00B742E2" w:rsidP="003334B5">
            <w:pPr>
              <w:overflowPunct w:val="0"/>
              <w:autoSpaceDE w:val="0"/>
              <w:autoSpaceDN w:val="0"/>
              <w:spacing w:after="0"/>
              <w:jc w:val="right"/>
              <w:rPr>
                <w:rFonts w:ascii="Times New Roman" w:hAnsi="Times New Roman"/>
                <w:b/>
                <w:bCs/>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828CD" w14:textId="77777777" w:rsidR="00B742E2" w:rsidRPr="00A615C9" w:rsidRDefault="00B742E2" w:rsidP="003334B5">
            <w:pPr>
              <w:overflowPunct w:val="0"/>
              <w:autoSpaceDE w:val="0"/>
              <w:autoSpaceDN w:val="0"/>
              <w:spacing w:after="0"/>
              <w:jc w:val="right"/>
              <w:rPr>
                <w:rFonts w:ascii="Times New Roman" w:hAnsi="Times New Roman"/>
                <w:b/>
                <w:bCs/>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22805" w14:textId="2AB9EB0E" w:rsidR="00B742E2" w:rsidRPr="00A615C9" w:rsidRDefault="00A60896"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b/>
                <w:bCs/>
                <w:color w:val="000000"/>
                <w:sz w:val="18"/>
                <w:szCs w:val="18"/>
              </w:rPr>
              <w:t>189.55</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64911" w14:textId="397B312F" w:rsidR="00B742E2" w:rsidRPr="00A615C9" w:rsidRDefault="00B742E2"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color w:val="000000"/>
                <w:sz w:val="18"/>
                <w:szCs w:val="18"/>
              </w:rPr>
              <w:t>$</w:t>
            </w:r>
            <w:r w:rsidR="00703EE6" w:rsidRPr="00A615C9">
              <w:rPr>
                <w:rFonts w:ascii="Times New Roman" w:hAnsi="Times New Roman"/>
                <w:color w:val="000000"/>
                <w:sz w:val="18"/>
                <w:szCs w:val="18"/>
              </w:rPr>
              <w:t>34</w:t>
            </w:r>
            <w:r w:rsidRPr="00A615C9">
              <w:rPr>
                <w:rFonts w:ascii="Times New Roman" w:hAnsi="Times New Roman"/>
                <w:color w:val="000000"/>
                <w:sz w:val="18"/>
                <w:szCs w:val="18"/>
              </w:rPr>
              <w:t>.79</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DF7C0" w14:textId="461A9B49" w:rsidR="00B742E2" w:rsidRPr="00A615C9" w:rsidRDefault="00B742E2"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b/>
                <w:bCs/>
                <w:color w:val="000000"/>
                <w:sz w:val="18"/>
                <w:szCs w:val="18"/>
              </w:rPr>
              <w:t>$6,</w:t>
            </w:r>
            <w:r w:rsidR="00703EE6" w:rsidRPr="00A615C9">
              <w:rPr>
                <w:rFonts w:ascii="Times New Roman" w:hAnsi="Times New Roman"/>
                <w:b/>
                <w:bCs/>
                <w:color w:val="000000"/>
                <w:sz w:val="18"/>
                <w:szCs w:val="18"/>
              </w:rPr>
              <w:t>594.45</w:t>
            </w:r>
          </w:p>
        </w:tc>
      </w:tr>
    </w:tbl>
    <w:p w14:paraId="400E71B0" w14:textId="77777777" w:rsidR="00CD6641" w:rsidRPr="006976FC" w:rsidRDefault="00CD6641" w:rsidP="006976FC">
      <w:pPr>
        <w:pStyle w:val="Default"/>
      </w:pPr>
    </w:p>
    <w:p w14:paraId="052C4728" w14:textId="62C9C05D" w:rsidR="0026392F" w:rsidRPr="006976FC" w:rsidRDefault="0026392F" w:rsidP="006976FC">
      <w:pPr>
        <w:pStyle w:val="CM56"/>
        <w:numPr>
          <w:ilvl w:val="0"/>
          <w:numId w:val="17"/>
        </w:numPr>
        <w:spacing w:after="267" w:line="276" w:lineRule="atLeast"/>
        <w:ind w:right="247"/>
        <w:rPr>
          <w:color w:val="000000" w:themeColor="text1"/>
        </w:rPr>
      </w:pPr>
      <w:r w:rsidRPr="006976FC">
        <w:rPr>
          <w:bCs/>
          <w:color w:val="000000" w:themeColor="text1"/>
        </w:rPr>
        <w:t xml:space="preserve">Provide an estimate for the total annual cost burden to respondents or record-keepers resulting from the collection of information. </w:t>
      </w:r>
      <w:r w:rsidRPr="006976FC">
        <w:rPr>
          <w:color w:val="000000" w:themeColor="text1"/>
        </w:rPr>
        <w:t>Do NOT include the labor cost (wage equivalent) of the burden-hours described in item 12 above. The information required here corresponds to that in item 14 on the 83-I (cost to the public).</w:t>
      </w:r>
    </w:p>
    <w:p w14:paraId="0EB27152" w14:textId="77777777" w:rsidR="00117554" w:rsidRPr="006976FC" w:rsidRDefault="0058372F" w:rsidP="002B780F">
      <w:pPr>
        <w:spacing w:after="0" w:line="240" w:lineRule="auto"/>
        <w:rPr>
          <w:rFonts w:ascii="Times New Roman" w:hAnsi="Times New Roman" w:cs="Times New Roman"/>
          <w:color w:val="000000" w:themeColor="text1"/>
          <w:sz w:val="24"/>
          <w:szCs w:val="24"/>
        </w:rPr>
      </w:pPr>
      <w:r w:rsidRPr="006976FC">
        <w:rPr>
          <w:rFonts w:ascii="Times New Roman" w:hAnsi="Times New Roman" w:cs="Times New Roman"/>
          <w:color w:val="000000" w:themeColor="text1"/>
          <w:sz w:val="24"/>
          <w:szCs w:val="24"/>
        </w:rPr>
        <w:t>There will be</w:t>
      </w:r>
      <w:r w:rsidR="00117554" w:rsidRPr="006976FC">
        <w:rPr>
          <w:rFonts w:ascii="Times New Roman" w:hAnsi="Times New Roman" w:cs="Times New Roman"/>
          <w:color w:val="000000" w:themeColor="text1"/>
          <w:sz w:val="24"/>
          <w:szCs w:val="24"/>
        </w:rPr>
        <w:t xml:space="preserve"> no cost burden to respondents associated with this collection.</w:t>
      </w:r>
    </w:p>
    <w:p w14:paraId="6EB21B92" w14:textId="77777777" w:rsidR="00117554" w:rsidRPr="006976FC" w:rsidRDefault="00117554" w:rsidP="002B780F">
      <w:pPr>
        <w:pStyle w:val="Default"/>
        <w:rPr>
          <w:color w:val="000000" w:themeColor="text1"/>
        </w:rPr>
      </w:pPr>
    </w:p>
    <w:p w14:paraId="2B67A182" w14:textId="154518B2" w:rsidR="008F7FF7" w:rsidRDefault="00E21724" w:rsidP="006976FC">
      <w:pPr>
        <w:pStyle w:val="CM56"/>
        <w:numPr>
          <w:ilvl w:val="0"/>
          <w:numId w:val="17"/>
        </w:numPr>
        <w:spacing w:after="267" w:line="276" w:lineRule="atLeast"/>
        <w:ind w:right="247"/>
        <w:rPr>
          <w:color w:val="000000" w:themeColor="text1"/>
        </w:rPr>
      </w:pPr>
      <w:r w:rsidRPr="006976FC">
        <w:rPr>
          <w:color w:val="000000" w:themeColor="text1"/>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6D1293A" w14:textId="28027020" w:rsidR="00797591" w:rsidRDefault="00797591" w:rsidP="00797591">
      <w:pPr>
        <w:pStyle w:val="Default"/>
      </w:pPr>
    </w:p>
    <w:p w14:paraId="0094541F" w14:textId="556BCA3B" w:rsidR="00BA767E" w:rsidRDefault="00BA767E" w:rsidP="00797591">
      <w:pPr>
        <w:pStyle w:val="Default"/>
      </w:pPr>
    </w:p>
    <w:p w14:paraId="233A1047" w14:textId="77777777" w:rsidR="00BA767E" w:rsidRDefault="00BA767E" w:rsidP="00797591">
      <w:pPr>
        <w:pStyle w:val="Default"/>
      </w:pPr>
    </w:p>
    <w:p w14:paraId="0C656437" w14:textId="77777777" w:rsidR="00797591" w:rsidRPr="00797591" w:rsidRDefault="00797591" w:rsidP="00797591">
      <w:pPr>
        <w:pStyle w:val="Default"/>
      </w:pPr>
    </w:p>
    <w:p w14:paraId="39E63C15" w14:textId="27FD37CC" w:rsidR="00CB46E1" w:rsidRPr="00CA4F5C" w:rsidRDefault="00CB46E1" w:rsidP="00CA4F5C">
      <w:pPr>
        <w:spacing w:after="0"/>
        <w:ind w:left="360"/>
        <w:rPr>
          <w:b/>
        </w:rPr>
      </w:pPr>
      <w:r w:rsidRPr="00CA4F5C">
        <w:rPr>
          <w:b/>
        </w:rPr>
        <w:t xml:space="preserve">Table </w:t>
      </w:r>
      <w:r>
        <w:rPr>
          <w:b/>
        </w:rPr>
        <w:t>2</w:t>
      </w:r>
      <w:r w:rsidRPr="00CA4F5C">
        <w:rPr>
          <w:b/>
        </w:rPr>
        <w:t xml:space="preserve">: </w:t>
      </w:r>
      <w:r>
        <w:rPr>
          <w:b/>
        </w:rPr>
        <w:t>Annualized Cost Estimate to the Federal Government</w:t>
      </w:r>
    </w:p>
    <w:tbl>
      <w:tblPr>
        <w:tblW w:w="10260" w:type="dxa"/>
        <w:tblInd w:w="-185" w:type="dxa"/>
        <w:tblCellMar>
          <w:left w:w="0" w:type="dxa"/>
          <w:right w:w="0" w:type="dxa"/>
        </w:tblCellMar>
        <w:tblLook w:val="04A0" w:firstRow="1" w:lastRow="0" w:firstColumn="1" w:lastColumn="0" w:noHBand="0" w:noVBand="1"/>
      </w:tblPr>
      <w:tblGrid>
        <w:gridCol w:w="1252"/>
        <w:gridCol w:w="893"/>
        <w:gridCol w:w="1436"/>
        <w:gridCol w:w="1251"/>
        <w:gridCol w:w="1221"/>
        <w:gridCol w:w="1178"/>
        <w:gridCol w:w="947"/>
        <w:gridCol w:w="1118"/>
        <w:gridCol w:w="964"/>
      </w:tblGrid>
      <w:tr w:rsidR="0024178E" w:rsidRPr="00B21FF9" w14:paraId="6C509E6B" w14:textId="77777777" w:rsidTr="00E54387">
        <w:trPr>
          <w:trHeight w:val="554"/>
        </w:trPr>
        <w:tc>
          <w:tcPr>
            <w:tcW w:w="1252" w:type="dxa"/>
            <w:tcBorders>
              <w:top w:val="single" w:sz="4" w:space="0" w:color="auto"/>
              <w:left w:val="single" w:sz="4" w:space="0" w:color="auto"/>
              <w:bottom w:val="single" w:sz="4" w:space="0" w:color="auto"/>
              <w:right w:val="single" w:sz="4" w:space="0" w:color="auto"/>
            </w:tcBorders>
          </w:tcPr>
          <w:p w14:paraId="531F877C"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Information Collection</w:t>
            </w:r>
          </w:p>
        </w:tc>
        <w:tc>
          <w:tcPr>
            <w:tcW w:w="893" w:type="dxa"/>
            <w:tcBorders>
              <w:top w:val="single" w:sz="4" w:space="0" w:color="auto"/>
              <w:left w:val="single" w:sz="4" w:space="0" w:color="auto"/>
              <w:bottom w:val="single" w:sz="4" w:space="0" w:color="auto"/>
              <w:right w:val="single" w:sz="4" w:space="0" w:color="auto"/>
            </w:tcBorders>
          </w:tcPr>
          <w:p w14:paraId="7B9D84AC"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B883"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Number of Respondents</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E6783"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Frequency of Response</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5D1F9" w14:textId="77777777" w:rsidR="0024178E" w:rsidRPr="00A615C9" w:rsidRDefault="0024178E" w:rsidP="00A615C9">
            <w:pPr>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Responses</w:t>
            </w:r>
          </w:p>
          <w:p w14:paraId="74D51EF0"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Per Annum</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0C317"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Burden Hour Per Response</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92465"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Annual Burden Hours</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604C5" w14:textId="1286F8E3"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Hourly Cost Per Response</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1B763" w14:textId="77777777" w:rsidR="0024178E" w:rsidRPr="00A615C9" w:rsidRDefault="0024178E" w:rsidP="00A615C9">
            <w:pPr>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Annual Cost</w:t>
            </w:r>
          </w:p>
          <w:p w14:paraId="7E24FED1"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p>
        </w:tc>
      </w:tr>
      <w:tr w:rsidR="003334B5" w:rsidRPr="00B21FF9" w14:paraId="18D29729" w14:textId="77777777" w:rsidTr="00E54387">
        <w:trPr>
          <w:trHeight w:val="133"/>
        </w:trPr>
        <w:tc>
          <w:tcPr>
            <w:tcW w:w="1252" w:type="dxa"/>
            <w:tcBorders>
              <w:top w:val="single" w:sz="4" w:space="0" w:color="auto"/>
              <w:left w:val="single" w:sz="4" w:space="0" w:color="auto"/>
              <w:right w:val="single" w:sz="4" w:space="0" w:color="auto"/>
            </w:tcBorders>
          </w:tcPr>
          <w:p w14:paraId="6BDA70DF"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p>
        </w:tc>
        <w:tc>
          <w:tcPr>
            <w:tcW w:w="893" w:type="dxa"/>
            <w:tcBorders>
              <w:top w:val="single" w:sz="4" w:space="0" w:color="auto"/>
              <w:left w:val="single" w:sz="4" w:space="0" w:color="auto"/>
              <w:bottom w:val="single" w:sz="4" w:space="0" w:color="auto"/>
              <w:right w:val="single" w:sz="4" w:space="0" w:color="auto"/>
            </w:tcBorders>
            <w:hideMark/>
          </w:tcPr>
          <w:p w14:paraId="3628FA8C"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Web</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0971D" w14:textId="05D3EEDA"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299</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20D99" w14:textId="2164BF90"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08D28" w14:textId="32FFF44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299</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42AEC"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0.33</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F6F15"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98.67</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5602D" w14:textId="4F8C3D9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79F9A" w14:textId="2387BD5E"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$5,195.96</w:t>
            </w:r>
          </w:p>
        </w:tc>
      </w:tr>
      <w:tr w:rsidR="003334B5" w:rsidRPr="00B21FF9" w14:paraId="509BB02D" w14:textId="77777777" w:rsidTr="00E54387">
        <w:trPr>
          <w:trHeight w:val="207"/>
        </w:trPr>
        <w:tc>
          <w:tcPr>
            <w:tcW w:w="1252" w:type="dxa"/>
            <w:tcBorders>
              <w:left w:val="single" w:sz="4" w:space="0" w:color="auto"/>
              <w:right w:val="single" w:sz="4" w:space="0" w:color="auto"/>
            </w:tcBorders>
          </w:tcPr>
          <w:p w14:paraId="61FDCCEB"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Base Period</w:t>
            </w:r>
          </w:p>
        </w:tc>
        <w:tc>
          <w:tcPr>
            <w:tcW w:w="893" w:type="dxa"/>
            <w:tcBorders>
              <w:top w:val="single" w:sz="4" w:space="0" w:color="auto"/>
              <w:left w:val="single" w:sz="4" w:space="0" w:color="auto"/>
              <w:bottom w:val="single" w:sz="4" w:space="0" w:color="auto"/>
              <w:right w:val="single" w:sz="4" w:space="0" w:color="auto"/>
            </w:tcBorders>
            <w:hideMark/>
          </w:tcPr>
          <w:p w14:paraId="60AB4915"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 xml:space="preserve">Telephone </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F922F" w14:textId="50B99FC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w:t>
            </w:r>
            <w:r>
              <w:rPr>
                <w:rFonts w:ascii="Times New Roman" w:hAnsi="Times New Roman"/>
                <w:color w:val="000000"/>
                <w:sz w:val="18"/>
                <w:szCs w:val="18"/>
              </w:rPr>
              <w:t>.00</w:t>
            </w:r>
            <w:r w:rsidRPr="00A615C9">
              <w:rPr>
                <w:rFonts w:ascii="Times New Roman" w:hAnsi="Times New Roman"/>
                <w:color w:val="000000"/>
                <w:sz w:val="18"/>
                <w:szCs w:val="18"/>
              </w:rPr>
              <w:t xml:space="preserve"> </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7C99A" w14:textId="3115C743"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DD916" w14:textId="298538A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w:t>
            </w:r>
            <w:r>
              <w:rPr>
                <w:rFonts w:ascii="Times New Roman" w:hAnsi="Times New Roman"/>
                <w:color w:val="000000"/>
                <w:sz w:val="18"/>
                <w:szCs w:val="18"/>
              </w:rPr>
              <w:t>.00</w:t>
            </w:r>
            <w:r w:rsidRPr="00A615C9">
              <w:rPr>
                <w:rFonts w:ascii="Times New Roman" w:hAnsi="Times New Roman"/>
                <w:color w:val="000000"/>
                <w:sz w:val="18"/>
                <w:szCs w:val="18"/>
              </w:rPr>
              <w:t xml:space="preserve"> </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DE70C" w14:textId="3AB5F47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5B132"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28.00</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B8BFB" w14:textId="6935C356"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5D43A" w14:textId="5CAA579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$1,474.48</w:t>
            </w:r>
          </w:p>
        </w:tc>
      </w:tr>
      <w:tr w:rsidR="003334B5" w:rsidRPr="00B21FF9" w14:paraId="357F5832" w14:textId="77777777" w:rsidTr="00E54387">
        <w:trPr>
          <w:trHeight w:val="349"/>
        </w:trPr>
        <w:tc>
          <w:tcPr>
            <w:tcW w:w="1252" w:type="dxa"/>
            <w:tcBorders>
              <w:left w:val="single" w:sz="4" w:space="0" w:color="auto"/>
              <w:bottom w:val="single" w:sz="4" w:space="0" w:color="auto"/>
              <w:right w:val="single" w:sz="4" w:space="0" w:color="auto"/>
            </w:tcBorders>
          </w:tcPr>
          <w:p w14:paraId="7FC298F8" w14:textId="77777777" w:rsidR="003334B5" w:rsidRPr="00A615C9" w:rsidRDefault="003334B5" w:rsidP="003334B5">
            <w:pPr>
              <w:overflowPunct w:val="0"/>
              <w:autoSpaceDE w:val="0"/>
              <w:autoSpaceDN w:val="0"/>
              <w:spacing w:after="0"/>
              <w:jc w:val="center"/>
              <w:rPr>
                <w:rFonts w:ascii="Times New Roman" w:hAnsi="Times New Roman"/>
                <w:b/>
                <w:color w:val="000000"/>
                <w:sz w:val="18"/>
                <w:szCs w:val="18"/>
              </w:rPr>
            </w:pPr>
          </w:p>
        </w:tc>
        <w:tc>
          <w:tcPr>
            <w:tcW w:w="893" w:type="dxa"/>
            <w:tcBorders>
              <w:top w:val="single" w:sz="4" w:space="0" w:color="auto"/>
              <w:left w:val="single" w:sz="4" w:space="0" w:color="auto"/>
              <w:bottom w:val="single" w:sz="4" w:space="0" w:color="auto"/>
              <w:right w:val="single" w:sz="4" w:space="0" w:color="auto"/>
            </w:tcBorders>
          </w:tcPr>
          <w:p w14:paraId="67734E23" w14:textId="77777777" w:rsidR="003334B5" w:rsidRPr="00A615C9" w:rsidRDefault="003334B5" w:rsidP="003334B5">
            <w:pPr>
              <w:overflowPunct w:val="0"/>
              <w:autoSpaceDE w:val="0"/>
              <w:autoSpaceDN w:val="0"/>
              <w:spacing w:after="0"/>
              <w:jc w:val="center"/>
              <w:rPr>
                <w:rFonts w:ascii="Times New Roman" w:hAnsi="Times New Roman"/>
                <w:b/>
                <w:color w:val="000000"/>
                <w:sz w:val="18"/>
                <w:szCs w:val="18"/>
              </w:rPr>
            </w:pPr>
            <w:r w:rsidRPr="00A615C9">
              <w:rPr>
                <w:rFonts w:ascii="Times New Roman" w:hAnsi="Times New Roman"/>
                <w:b/>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9238" w14:textId="7C34BB96"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327</w:t>
            </w:r>
            <w:r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51B3"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A1452" w14:textId="76DA36D3"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327</w:t>
            </w:r>
            <w:r w:rsidRPr="00BE5BD0">
              <w:rPr>
                <w:rFonts w:ascii="Times New Roman" w:hAnsi="Times New Roman"/>
                <w:b/>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A74E5"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32644" w14:textId="7777777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126.67</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FFDEE" w14:textId="2E6BC98C"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7DC8" w14:textId="5866FFD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$6,670.44</w:t>
            </w:r>
          </w:p>
        </w:tc>
      </w:tr>
      <w:tr w:rsidR="003334B5" w:rsidRPr="00B21FF9" w14:paraId="4EC28F49" w14:textId="77777777" w:rsidTr="00E54387">
        <w:trPr>
          <w:trHeight w:val="673"/>
        </w:trPr>
        <w:tc>
          <w:tcPr>
            <w:tcW w:w="1252" w:type="dxa"/>
            <w:tcBorders>
              <w:top w:val="single" w:sz="4" w:space="0" w:color="auto"/>
              <w:left w:val="single" w:sz="4" w:space="0" w:color="auto"/>
              <w:right w:val="single" w:sz="4" w:space="0" w:color="auto"/>
            </w:tcBorders>
          </w:tcPr>
          <w:p w14:paraId="71673746"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p>
        </w:tc>
        <w:tc>
          <w:tcPr>
            <w:tcW w:w="893" w:type="dxa"/>
            <w:tcBorders>
              <w:top w:val="single" w:sz="4" w:space="0" w:color="auto"/>
              <w:left w:val="single" w:sz="4" w:space="0" w:color="auto"/>
              <w:bottom w:val="single" w:sz="4" w:space="0" w:color="auto"/>
              <w:right w:val="single" w:sz="4" w:space="0" w:color="auto"/>
            </w:tcBorders>
            <w:hideMark/>
          </w:tcPr>
          <w:p w14:paraId="1FC072B7" w14:textId="77777777" w:rsidR="003334B5" w:rsidRPr="00A615C9" w:rsidRDefault="003334B5" w:rsidP="003334B5">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color w:val="000000"/>
                <w:sz w:val="18"/>
                <w:szCs w:val="18"/>
              </w:rPr>
              <w:t>Web</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D9ABE" w14:textId="0E0D5F35" w:rsidR="003334B5" w:rsidRPr="00A615C9" w:rsidRDefault="003334B5"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color w:val="000000"/>
                <w:sz w:val="18"/>
                <w:szCs w:val="18"/>
              </w:rPr>
              <w:t>136</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30B6" w14:textId="2B8A27EA"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766BF" w14:textId="4FC16707"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136</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D82CF" w14:textId="5BA6E7FC" w:rsidR="003334B5" w:rsidRPr="00A615C9" w:rsidRDefault="003334B5" w:rsidP="003334B5">
            <w:pPr>
              <w:spacing w:after="0"/>
              <w:jc w:val="right"/>
              <w:rPr>
                <w:rFonts w:ascii="Times New Roman" w:hAnsi="Times New Roman"/>
                <w:color w:val="000000"/>
                <w:sz w:val="18"/>
                <w:szCs w:val="18"/>
              </w:rPr>
            </w:pPr>
            <w:r w:rsidRPr="00A615C9">
              <w:rPr>
                <w:rFonts w:ascii="Times New Roman" w:hAnsi="Times New Roman"/>
                <w:color w:val="000000"/>
                <w:sz w:val="18"/>
                <w:szCs w:val="18"/>
              </w:rPr>
              <w:t>0.33</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003C2" w14:textId="77777777" w:rsidR="003334B5" w:rsidRPr="00A615C9" w:rsidRDefault="003334B5" w:rsidP="003334B5">
            <w:pPr>
              <w:overflowPunct w:val="0"/>
              <w:autoSpaceDE w:val="0"/>
              <w:autoSpaceDN w:val="0"/>
              <w:spacing w:after="0"/>
              <w:jc w:val="right"/>
              <w:rPr>
                <w:rFonts w:ascii="Times New Roman" w:eastAsiaTheme="minorHAnsi" w:hAnsi="Times New Roman"/>
                <w:b/>
                <w:bCs/>
                <w:color w:val="000000"/>
                <w:sz w:val="18"/>
                <w:szCs w:val="18"/>
              </w:rPr>
            </w:pPr>
            <w:r w:rsidRPr="00A615C9">
              <w:rPr>
                <w:rFonts w:ascii="Times New Roman" w:hAnsi="Times New Roman"/>
                <w:color w:val="000000"/>
                <w:sz w:val="18"/>
                <w:szCs w:val="18"/>
              </w:rPr>
              <w:t>44.88</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D0B08" w14:textId="43EFC4CB" w:rsidR="003334B5" w:rsidRPr="00A615C9" w:rsidRDefault="003334B5" w:rsidP="003334B5">
            <w:pPr>
              <w:spacing w:after="0"/>
              <w:jc w:val="right"/>
              <w:rPr>
                <w:rFonts w:ascii="Times New Roman" w:hAnsi="Times New Roman"/>
                <w:b/>
                <w:bCs/>
                <w:color w:val="000000"/>
                <w:sz w:val="18"/>
                <w:szCs w:val="18"/>
              </w:rPr>
            </w:pPr>
            <w:r w:rsidRPr="00A615C9">
              <w:rPr>
                <w:rFonts w:ascii="Times New Roman" w:hAnsi="Times New Roman"/>
                <w:color w:val="000000"/>
                <w:sz w:val="18"/>
                <w:szCs w:val="18"/>
              </w:rPr>
              <w:t xml:space="preserve">  $52.66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D1EC7" w14:textId="33C9E6C9" w:rsidR="003334B5" w:rsidRPr="00A615C9" w:rsidRDefault="003334B5" w:rsidP="003334B5">
            <w:pPr>
              <w:overflowPunct w:val="0"/>
              <w:autoSpaceDE w:val="0"/>
              <w:autoSpaceDN w:val="0"/>
              <w:spacing w:after="0"/>
              <w:jc w:val="right"/>
              <w:rPr>
                <w:rFonts w:ascii="Times New Roman" w:eastAsiaTheme="minorHAnsi" w:hAnsi="Times New Roman"/>
                <w:b/>
                <w:bCs/>
                <w:color w:val="000000"/>
                <w:sz w:val="18"/>
                <w:szCs w:val="18"/>
              </w:rPr>
            </w:pPr>
            <w:r w:rsidRPr="00A615C9">
              <w:rPr>
                <w:rFonts w:ascii="Times New Roman" w:hAnsi="Times New Roman"/>
                <w:color w:val="000000"/>
                <w:sz w:val="18"/>
                <w:szCs w:val="18"/>
              </w:rPr>
              <w:t>$2,363.38</w:t>
            </w:r>
          </w:p>
        </w:tc>
      </w:tr>
      <w:tr w:rsidR="003334B5" w:rsidRPr="00B21FF9" w14:paraId="641E8D87" w14:textId="77777777" w:rsidTr="00E54387">
        <w:trPr>
          <w:trHeight w:val="329"/>
        </w:trPr>
        <w:tc>
          <w:tcPr>
            <w:tcW w:w="1252" w:type="dxa"/>
            <w:tcBorders>
              <w:left w:val="single" w:sz="4" w:space="0" w:color="auto"/>
              <w:right w:val="single" w:sz="4" w:space="0" w:color="auto"/>
            </w:tcBorders>
          </w:tcPr>
          <w:p w14:paraId="18FFB8F1"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Option Period</w:t>
            </w:r>
          </w:p>
        </w:tc>
        <w:tc>
          <w:tcPr>
            <w:tcW w:w="893" w:type="dxa"/>
            <w:tcBorders>
              <w:top w:val="single" w:sz="4" w:space="0" w:color="auto"/>
              <w:left w:val="single" w:sz="4" w:space="0" w:color="auto"/>
              <w:bottom w:val="single" w:sz="4" w:space="0" w:color="auto"/>
              <w:right w:val="single" w:sz="4" w:space="0" w:color="auto"/>
            </w:tcBorders>
          </w:tcPr>
          <w:p w14:paraId="2566ABBA" w14:textId="77777777" w:rsidR="003334B5" w:rsidRPr="00A615C9" w:rsidRDefault="003334B5" w:rsidP="003334B5">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color w:val="000000"/>
                <w:sz w:val="18"/>
                <w:szCs w:val="18"/>
              </w:rPr>
              <w:t xml:space="preserve">Telephone </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BE8E" w14:textId="320A3585"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526F" w14:textId="6E29F5ED"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481C" w14:textId="41E2FABF"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4791" w14:textId="71718C91"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w:t>
            </w:r>
            <w:r>
              <w:rPr>
                <w:rFonts w:ascii="Times New Roman" w:hAnsi="Times New Roman"/>
                <w:color w:val="000000"/>
                <w:sz w:val="18"/>
                <w:szCs w:val="18"/>
              </w:rPr>
              <w:t>.00</w:t>
            </w: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6702" w14:textId="2C2A8E1D"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18</w:t>
            </w:r>
            <w:r>
              <w:rPr>
                <w:rFonts w:ascii="Times New Roman" w:hAnsi="Times New Roman"/>
                <w:color w:val="000000"/>
                <w:sz w:val="18"/>
                <w:szCs w:val="18"/>
              </w:rPr>
              <w:t>.00</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98FB1" w14:textId="4BC01A0B"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A5C94" w14:textId="44C069E5" w:rsidR="003334B5" w:rsidRPr="00A615C9" w:rsidRDefault="003334B5"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$947.88</w:t>
            </w:r>
          </w:p>
        </w:tc>
      </w:tr>
      <w:tr w:rsidR="0024178E" w:rsidRPr="00B21FF9" w14:paraId="5B2D9207" w14:textId="77777777" w:rsidTr="00E54387">
        <w:trPr>
          <w:trHeight w:val="207"/>
        </w:trPr>
        <w:tc>
          <w:tcPr>
            <w:tcW w:w="1252" w:type="dxa"/>
            <w:tcBorders>
              <w:left w:val="single" w:sz="4" w:space="0" w:color="auto"/>
              <w:bottom w:val="single" w:sz="4" w:space="0" w:color="auto"/>
              <w:right w:val="single" w:sz="4" w:space="0" w:color="auto"/>
            </w:tcBorders>
          </w:tcPr>
          <w:p w14:paraId="0328663D"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p>
        </w:tc>
        <w:tc>
          <w:tcPr>
            <w:tcW w:w="893" w:type="dxa"/>
            <w:tcBorders>
              <w:top w:val="single" w:sz="4" w:space="0" w:color="auto"/>
              <w:left w:val="single" w:sz="4" w:space="0" w:color="auto"/>
              <w:bottom w:val="single" w:sz="4" w:space="0" w:color="auto"/>
              <w:right w:val="single" w:sz="4" w:space="0" w:color="auto"/>
            </w:tcBorders>
          </w:tcPr>
          <w:p w14:paraId="3FE6DEBE" w14:textId="77777777" w:rsidR="0024178E" w:rsidRPr="00A615C9" w:rsidRDefault="0024178E" w:rsidP="00A615C9">
            <w:pPr>
              <w:overflowPunct w:val="0"/>
              <w:autoSpaceDE w:val="0"/>
              <w:autoSpaceDN w:val="0"/>
              <w:spacing w:after="0"/>
              <w:jc w:val="center"/>
              <w:rPr>
                <w:rFonts w:ascii="Times New Roman" w:hAnsi="Times New Roman"/>
                <w:color w:val="000000"/>
                <w:sz w:val="18"/>
                <w:szCs w:val="18"/>
              </w:rPr>
            </w:pPr>
            <w:r w:rsidRPr="00A615C9">
              <w:rPr>
                <w:rFonts w:ascii="Times New Roman" w:hAnsi="Times New Roman"/>
                <w:b/>
                <w:bCs/>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BFBCA" w14:textId="4CB3EACF" w:rsidR="0024178E" w:rsidRPr="00A615C9" w:rsidRDefault="0024178E"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154</w:t>
            </w:r>
            <w:r w:rsidR="00D21EEC"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739EA" w14:textId="77777777" w:rsidR="0024178E" w:rsidRPr="00A615C9" w:rsidRDefault="0024178E" w:rsidP="003334B5">
            <w:pPr>
              <w:overflowPunct w:val="0"/>
              <w:autoSpaceDE w:val="0"/>
              <w:autoSpaceDN w:val="0"/>
              <w:spacing w:after="0"/>
              <w:jc w:val="right"/>
              <w:rPr>
                <w:rFonts w:ascii="Times New Roman" w:hAnsi="Times New Roman"/>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B56D" w14:textId="77777777" w:rsidR="0024178E" w:rsidRPr="00A615C9" w:rsidRDefault="0024178E" w:rsidP="003334B5">
            <w:pPr>
              <w:overflowPunct w:val="0"/>
              <w:autoSpaceDE w:val="0"/>
              <w:autoSpaceDN w:val="0"/>
              <w:spacing w:after="0"/>
              <w:jc w:val="right"/>
              <w:rPr>
                <w:rFonts w:ascii="Times New Roman" w:hAnsi="Times New Roman"/>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F442" w14:textId="77777777" w:rsidR="0024178E" w:rsidRPr="00A615C9" w:rsidRDefault="0024178E" w:rsidP="003334B5">
            <w:pPr>
              <w:overflowPunct w:val="0"/>
              <w:autoSpaceDE w:val="0"/>
              <w:autoSpaceDN w:val="0"/>
              <w:spacing w:after="0"/>
              <w:jc w:val="right"/>
              <w:rPr>
                <w:rFonts w:ascii="Times New Roman" w:hAnsi="Times New Roman"/>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63C3" w14:textId="77777777" w:rsidR="0024178E" w:rsidRPr="00A615C9" w:rsidRDefault="0024178E"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62.88</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1D3C" w14:textId="61D90D01" w:rsidR="0024178E" w:rsidRPr="00A615C9" w:rsidRDefault="0024178E"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E6822" w14:textId="5D85C22F" w:rsidR="0024178E" w:rsidRPr="00A615C9" w:rsidRDefault="0024178E" w:rsidP="003334B5">
            <w:pPr>
              <w:overflowPunct w:val="0"/>
              <w:autoSpaceDE w:val="0"/>
              <w:autoSpaceDN w:val="0"/>
              <w:spacing w:after="0"/>
              <w:jc w:val="right"/>
              <w:rPr>
                <w:rFonts w:ascii="Times New Roman" w:hAnsi="Times New Roman"/>
                <w:color w:val="000000"/>
                <w:sz w:val="18"/>
                <w:szCs w:val="18"/>
              </w:rPr>
            </w:pPr>
            <w:r w:rsidRPr="00A615C9">
              <w:rPr>
                <w:rFonts w:ascii="Times New Roman" w:hAnsi="Times New Roman"/>
                <w:b/>
                <w:bCs/>
                <w:color w:val="000000"/>
                <w:sz w:val="18"/>
                <w:szCs w:val="18"/>
              </w:rPr>
              <w:t>$</w:t>
            </w:r>
            <w:r w:rsidR="00CB46E1" w:rsidRPr="00A615C9">
              <w:rPr>
                <w:rFonts w:ascii="Times New Roman" w:hAnsi="Times New Roman"/>
                <w:b/>
                <w:bCs/>
                <w:color w:val="000000"/>
                <w:sz w:val="18"/>
                <w:szCs w:val="18"/>
              </w:rPr>
              <w:t>3,311.26</w:t>
            </w:r>
          </w:p>
        </w:tc>
      </w:tr>
      <w:tr w:rsidR="0024178E" w:rsidRPr="00B21FF9" w14:paraId="4EBAF7EF" w14:textId="77777777" w:rsidTr="00E54387">
        <w:trPr>
          <w:trHeight w:val="212"/>
        </w:trPr>
        <w:tc>
          <w:tcPr>
            <w:tcW w:w="2145" w:type="dxa"/>
            <w:gridSpan w:val="2"/>
            <w:tcBorders>
              <w:top w:val="single" w:sz="4" w:space="0" w:color="auto"/>
              <w:left w:val="single" w:sz="4" w:space="0" w:color="auto"/>
              <w:bottom w:val="single" w:sz="4" w:space="0" w:color="auto"/>
              <w:right w:val="single" w:sz="4" w:space="0" w:color="auto"/>
            </w:tcBorders>
            <w:hideMark/>
          </w:tcPr>
          <w:p w14:paraId="7E4800CA" w14:textId="77777777" w:rsidR="0024178E" w:rsidRPr="00A615C9" w:rsidRDefault="0024178E" w:rsidP="00A615C9">
            <w:pPr>
              <w:overflowPunct w:val="0"/>
              <w:autoSpaceDE w:val="0"/>
              <w:autoSpaceDN w:val="0"/>
              <w:spacing w:after="0"/>
              <w:jc w:val="center"/>
              <w:rPr>
                <w:rFonts w:ascii="Times New Roman" w:hAnsi="Times New Roman"/>
                <w:b/>
                <w:bCs/>
                <w:color w:val="000000"/>
                <w:sz w:val="18"/>
                <w:szCs w:val="18"/>
              </w:rPr>
            </w:pPr>
            <w:r w:rsidRPr="00A615C9">
              <w:rPr>
                <w:rFonts w:ascii="Times New Roman" w:hAnsi="Times New Roman"/>
                <w:b/>
                <w:bCs/>
                <w:color w:val="000000"/>
                <w:sz w:val="18"/>
                <w:szCs w:val="18"/>
              </w:rPr>
              <w:t>Total</w:t>
            </w:r>
          </w:p>
        </w:tc>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334F4" w14:textId="2D43E995"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b/>
                <w:bCs/>
                <w:color w:val="000000"/>
                <w:sz w:val="18"/>
                <w:szCs w:val="18"/>
              </w:rPr>
              <w:t>481</w:t>
            </w:r>
            <w:r w:rsidR="00D21EEC" w:rsidRPr="00BE5BD0">
              <w:rPr>
                <w:rFonts w:ascii="Times New Roman" w:hAnsi="Times New Roman"/>
                <w:b/>
                <w:color w:val="000000"/>
                <w:sz w:val="18"/>
                <w:szCs w:val="18"/>
              </w:rPr>
              <w:t>.00</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39F3" w14:textId="77777777"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2F9CB" w14:textId="77777777"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5A468" w14:textId="77777777"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p>
        </w:tc>
        <w:tc>
          <w:tcPr>
            <w:tcW w:w="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10472" w14:textId="77777777"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b/>
                <w:bCs/>
                <w:color w:val="000000"/>
                <w:sz w:val="18"/>
                <w:szCs w:val="18"/>
              </w:rPr>
              <w:t>189.55</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5B03" w14:textId="3F7826AB"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color w:val="000000"/>
                <w:sz w:val="18"/>
                <w:szCs w:val="18"/>
              </w:rPr>
              <w:t>$52.66</w:t>
            </w:r>
          </w:p>
        </w:tc>
        <w:tc>
          <w:tcPr>
            <w:tcW w:w="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45483" w14:textId="2F33DCC9" w:rsidR="0024178E" w:rsidRPr="00A615C9" w:rsidRDefault="0024178E" w:rsidP="003334B5">
            <w:pPr>
              <w:overflowPunct w:val="0"/>
              <w:autoSpaceDE w:val="0"/>
              <w:autoSpaceDN w:val="0"/>
              <w:spacing w:after="0"/>
              <w:jc w:val="right"/>
              <w:rPr>
                <w:rFonts w:ascii="Times New Roman" w:hAnsi="Times New Roman"/>
                <w:b/>
                <w:bCs/>
                <w:color w:val="000000"/>
                <w:sz w:val="18"/>
                <w:szCs w:val="18"/>
              </w:rPr>
            </w:pPr>
            <w:r w:rsidRPr="00A615C9">
              <w:rPr>
                <w:rFonts w:ascii="Times New Roman" w:hAnsi="Times New Roman"/>
                <w:b/>
                <w:bCs/>
                <w:color w:val="000000"/>
                <w:sz w:val="18"/>
                <w:szCs w:val="18"/>
              </w:rPr>
              <w:t>$</w:t>
            </w:r>
            <w:r w:rsidR="00CB46E1" w:rsidRPr="00A615C9">
              <w:rPr>
                <w:rFonts w:ascii="Times New Roman" w:hAnsi="Times New Roman"/>
                <w:b/>
                <w:bCs/>
                <w:color w:val="000000"/>
                <w:sz w:val="18"/>
                <w:szCs w:val="18"/>
              </w:rPr>
              <w:t>9,981.70</w:t>
            </w:r>
          </w:p>
        </w:tc>
      </w:tr>
    </w:tbl>
    <w:p w14:paraId="78064E9E" w14:textId="77777777" w:rsidR="00844014" w:rsidRDefault="00844014" w:rsidP="002B780F">
      <w:pPr>
        <w:pStyle w:val="Default"/>
        <w:rPr>
          <w:color w:val="000000" w:themeColor="text1"/>
        </w:rPr>
      </w:pPr>
    </w:p>
    <w:p w14:paraId="3797CDA4" w14:textId="6A36A34C" w:rsidR="00117554" w:rsidRDefault="0024178E" w:rsidP="002B780F">
      <w:pPr>
        <w:pStyle w:val="Default"/>
        <w:rPr>
          <w:color w:val="000000" w:themeColor="text1"/>
        </w:rPr>
      </w:pPr>
      <w:r w:rsidRPr="0024178E">
        <w:rPr>
          <w:color w:val="000000" w:themeColor="text1"/>
        </w:rPr>
        <w:t xml:space="preserve">The methodology used to calculate this cost is the same as described above for Table </w:t>
      </w:r>
      <w:r>
        <w:rPr>
          <w:color w:val="000000" w:themeColor="text1"/>
        </w:rPr>
        <w:t>1</w:t>
      </w:r>
      <w:r w:rsidRPr="0024178E">
        <w:rPr>
          <w:color w:val="000000" w:themeColor="text1"/>
        </w:rPr>
        <w:t>. However, these annualized costs were estimated using a pay equivalent to Washington, DC GS13</w:t>
      </w:r>
      <w:r>
        <w:rPr>
          <w:color w:val="000000" w:themeColor="text1"/>
        </w:rPr>
        <w:t>, Step 5</w:t>
      </w:r>
      <w:r w:rsidRPr="0024178E">
        <w:rPr>
          <w:color w:val="000000" w:themeColor="text1"/>
        </w:rPr>
        <w:t xml:space="preserve"> FY201</w:t>
      </w:r>
      <w:r>
        <w:rPr>
          <w:color w:val="000000" w:themeColor="text1"/>
        </w:rPr>
        <w:t>8</w:t>
      </w:r>
      <w:r w:rsidRPr="0024178E">
        <w:rPr>
          <w:color w:val="000000" w:themeColor="text1"/>
        </w:rPr>
        <w:t xml:space="preserve"> rate of $</w:t>
      </w:r>
      <w:r>
        <w:rPr>
          <w:color w:val="000000" w:themeColor="text1"/>
        </w:rPr>
        <w:t>52.66</w:t>
      </w:r>
      <w:r w:rsidRPr="0024178E">
        <w:rPr>
          <w:color w:val="000000" w:themeColor="text1"/>
        </w:rPr>
        <w:t xml:space="preserve">/hr. </w:t>
      </w:r>
      <w:r w:rsidR="008F7FF7">
        <w:rPr>
          <w:color w:val="000000" w:themeColor="text1"/>
        </w:rPr>
        <w:t xml:space="preserve">We have estimated that the cost to the federal government for the fielding of the survey and collecting the data is estimated at </w:t>
      </w:r>
      <w:r w:rsidR="00CB46E1">
        <w:rPr>
          <w:color w:val="000000" w:themeColor="text1"/>
        </w:rPr>
        <w:t xml:space="preserve">approx. 190 </w:t>
      </w:r>
      <w:r w:rsidR="008F7FF7">
        <w:rPr>
          <w:color w:val="000000" w:themeColor="text1"/>
        </w:rPr>
        <w:t>hours and $</w:t>
      </w:r>
      <w:r w:rsidR="002670EC">
        <w:rPr>
          <w:color w:val="000000" w:themeColor="text1"/>
        </w:rPr>
        <w:t>9,982</w:t>
      </w:r>
      <w:r w:rsidR="008F7FF7">
        <w:rPr>
          <w:color w:val="000000" w:themeColor="text1"/>
        </w:rPr>
        <w:t xml:space="preserve">. </w:t>
      </w:r>
    </w:p>
    <w:p w14:paraId="46F0791E" w14:textId="77777777" w:rsidR="008F7FF7" w:rsidRPr="006976FC" w:rsidRDefault="008F7FF7" w:rsidP="002B780F">
      <w:pPr>
        <w:pStyle w:val="Default"/>
        <w:rPr>
          <w:color w:val="000000" w:themeColor="text1"/>
        </w:rPr>
      </w:pPr>
    </w:p>
    <w:p w14:paraId="55B8CC57" w14:textId="67A7467F" w:rsidR="0026392F" w:rsidRPr="006976FC" w:rsidRDefault="0039391A" w:rsidP="006976FC">
      <w:pPr>
        <w:pStyle w:val="CM56"/>
        <w:numPr>
          <w:ilvl w:val="0"/>
          <w:numId w:val="17"/>
        </w:numPr>
        <w:spacing w:after="267" w:line="276" w:lineRule="atLeast"/>
        <w:ind w:right="247"/>
        <w:rPr>
          <w:color w:val="000000" w:themeColor="text1"/>
        </w:rPr>
      </w:pPr>
      <w:r w:rsidRPr="006976FC">
        <w:rPr>
          <w:color w:val="000000" w:themeColor="text1"/>
        </w:rPr>
        <w:t>Explain the reasons for any program changes or adjustments reported in Items 13 or 14 of the OMB Form 83-I.</w:t>
      </w:r>
    </w:p>
    <w:p w14:paraId="2D84158D" w14:textId="77777777" w:rsidR="00170ED5" w:rsidRPr="006976FC" w:rsidRDefault="00170ED5" w:rsidP="00D77983">
      <w:pPr>
        <w:pStyle w:val="Default"/>
        <w:rPr>
          <w:color w:val="000000" w:themeColor="text1"/>
        </w:rPr>
      </w:pPr>
      <w:r w:rsidRPr="006976FC">
        <w:rPr>
          <w:color w:val="000000" w:themeColor="text1"/>
        </w:rPr>
        <w:t>There are no program changes or adjustments reported in items 13 or 14 as this is a new request for information.</w:t>
      </w:r>
    </w:p>
    <w:p w14:paraId="3F3B83EF" w14:textId="77777777" w:rsidR="00170ED5" w:rsidRPr="006976FC" w:rsidRDefault="00170ED5" w:rsidP="00D77983">
      <w:pPr>
        <w:pStyle w:val="Default"/>
        <w:rPr>
          <w:color w:val="000000" w:themeColor="text1"/>
        </w:rPr>
      </w:pPr>
    </w:p>
    <w:p w14:paraId="69414D20" w14:textId="73A0A0BA" w:rsidR="0026392F" w:rsidRPr="006976FC" w:rsidRDefault="0039391A" w:rsidP="006976FC">
      <w:pPr>
        <w:pStyle w:val="CM56"/>
        <w:numPr>
          <w:ilvl w:val="0"/>
          <w:numId w:val="17"/>
        </w:numPr>
        <w:spacing w:after="267" w:line="276" w:lineRule="atLeast"/>
        <w:ind w:right="247"/>
        <w:rPr>
          <w:color w:val="000000" w:themeColor="text1"/>
        </w:rPr>
      </w:pPr>
      <w:r w:rsidRPr="006976FC">
        <w:rPr>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94184A" w14:textId="77777777" w:rsidR="00B21FF9" w:rsidRPr="006976FC" w:rsidRDefault="00B21FF9" w:rsidP="002670EC">
      <w:pPr>
        <w:pStyle w:val="Default"/>
        <w:rPr>
          <w:color w:val="000000" w:themeColor="text1"/>
        </w:rPr>
      </w:pPr>
      <w:r w:rsidRPr="006976FC">
        <w:rPr>
          <w:color w:val="000000" w:themeColor="text1"/>
        </w:rPr>
        <w:t xml:space="preserve">No information that can be used to identify an individual will be published. Statistical results published will be analyzed at an aggregate level. </w:t>
      </w:r>
    </w:p>
    <w:p w14:paraId="63748EA5" w14:textId="77777777" w:rsidR="00B21FF9" w:rsidRPr="006976FC" w:rsidRDefault="00B21FF9" w:rsidP="002670EC">
      <w:pPr>
        <w:pStyle w:val="Default"/>
        <w:rPr>
          <w:color w:val="000000" w:themeColor="text1"/>
        </w:rPr>
      </w:pPr>
    </w:p>
    <w:p w14:paraId="74FA8302" w14:textId="7867696A" w:rsidR="00131957" w:rsidRDefault="00131957" w:rsidP="002B780F">
      <w:pPr>
        <w:pStyle w:val="Default"/>
        <w:rPr>
          <w:color w:val="000000" w:themeColor="text1"/>
        </w:rPr>
      </w:pPr>
      <w:r>
        <w:rPr>
          <w:color w:val="000000" w:themeColor="text1"/>
        </w:rPr>
        <w:t>For Base Period, the final report of the Evaluation of the EPC Program is expected to be provided to the public during</w:t>
      </w:r>
      <w:r w:rsidR="00FC79F7">
        <w:rPr>
          <w:color w:val="000000" w:themeColor="text1"/>
        </w:rPr>
        <w:t xml:space="preserve"> Spring</w:t>
      </w:r>
      <w:r>
        <w:rPr>
          <w:color w:val="000000" w:themeColor="text1"/>
        </w:rPr>
        <w:t xml:space="preserve"> 2019. As indicated above, this data collection effort applies to the evaluation of PHAs that have conducted EPCs as well as PHAs that have not.</w:t>
      </w:r>
    </w:p>
    <w:p w14:paraId="324403E4" w14:textId="76560962" w:rsidR="0090635D" w:rsidRDefault="0090635D" w:rsidP="002B780F">
      <w:pPr>
        <w:pStyle w:val="Default"/>
        <w:rPr>
          <w:color w:val="000000" w:themeColor="text1"/>
        </w:rPr>
      </w:pPr>
    </w:p>
    <w:p w14:paraId="0FFE2D60" w14:textId="77777777" w:rsidR="0090635D" w:rsidRDefault="0090635D" w:rsidP="002B780F">
      <w:pPr>
        <w:pStyle w:val="Default"/>
        <w:rPr>
          <w:color w:val="000000" w:themeColor="text1"/>
        </w:rPr>
      </w:pPr>
      <w:r>
        <w:rPr>
          <w:color w:val="000000" w:themeColor="text1"/>
        </w:rPr>
        <w:t>Estimated dates for:</w:t>
      </w:r>
    </w:p>
    <w:p w14:paraId="5DB2E059" w14:textId="32C507C3" w:rsidR="0090635D" w:rsidRDefault="0090635D" w:rsidP="0090635D">
      <w:pPr>
        <w:pStyle w:val="Default"/>
        <w:numPr>
          <w:ilvl w:val="0"/>
          <w:numId w:val="11"/>
        </w:numPr>
        <w:rPr>
          <w:color w:val="000000" w:themeColor="text1"/>
        </w:rPr>
      </w:pPr>
      <w:r>
        <w:rPr>
          <w:color w:val="000000" w:themeColor="text1"/>
        </w:rPr>
        <w:t>Beginning and ending of information collection: Jun. 2018 – Sept. 2018</w:t>
      </w:r>
    </w:p>
    <w:p w14:paraId="4E902A0F" w14:textId="31CA3706" w:rsidR="0090635D" w:rsidRDefault="0090635D" w:rsidP="0090635D">
      <w:pPr>
        <w:pStyle w:val="Default"/>
        <w:numPr>
          <w:ilvl w:val="0"/>
          <w:numId w:val="11"/>
        </w:numPr>
        <w:rPr>
          <w:color w:val="000000" w:themeColor="text1"/>
        </w:rPr>
      </w:pPr>
      <w:r>
        <w:rPr>
          <w:color w:val="000000" w:themeColor="text1"/>
        </w:rPr>
        <w:t>Report Completion: Feb. 2019</w:t>
      </w:r>
    </w:p>
    <w:p w14:paraId="35ADAE0F" w14:textId="5D8FA3C0" w:rsidR="0090635D" w:rsidRDefault="0090635D" w:rsidP="0090635D">
      <w:pPr>
        <w:pStyle w:val="Default"/>
        <w:numPr>
          <w:ilvl w:val="0"/>
          <w:numId w:val="11"/>
        </w:numPr>
        <w:rPr>
          <w:color w:val="000000" w:themeColor="text1"/>
        </w:rPr>
      </w:pPr>
      <w:r>
        <w:rPr>
          <w:color w:val="000000" w:themeColor="text1"/>
        </w:rPr>
        <w:t>Publication Dates: Jun. 2019</w:t>
      </w:r>
    </w:p>
    <w:p w14:paraId="6A89EB6B" w14:textId="2CED6ADB" w:rsidR="0090635D" w:rsidRDefault="0090635D" w:rsidP="002670EC">
      <w:pPr>
        <w:pStyle w:val="Default"/>
        <w:numPr>
          <w:ilvl w:val="0"/>
          <w:numId w:val="11"/>
        </w:numPr>
        <w:rPr>
          <w:color w:val="000000" w:themeColor="text1"/>
        </w:rPr>
      </w:pPr>
      <w:r>
        <w:rPr>
          <w:color w:val="000000" w:themeColor="text1"/>
        </w:rPr>
        <w:t>Other Actions: See Table 3</w:t>
      </w:r>
    </w:p>
    <w:p w14:paraId="2B291FD6" w14:textId="058F46BE" w:rsidR="003579DE" w:rsidRDefault="003579DE" w:rsidP="003579DE">
      <w:pPr>
        <w:pStyle w:val="Default"/>
        <w:rPr>
          <w:color w:val="000000" w:themeColor="text1"/>
        </w:rPr>
      </w:pPr>
    </w:p>
    <w:p w14:paraId="64999D6B" w14:textId="74390D20" w:rsidR="00BA767E" w:rsidRDefault="00BA767E" w:rsidP="003579DE">
      <w:pPr>
        <w:pStyle w:val="Default"/>
        <w:rPr>
          <w:color w:val="000000" w:themeColor="text1"/>
        </w:rPr>
      </w:pPr>
    </w:p>
    <w:p w14:paraId="4BB97D1C" w14:textId="26017803" w:rsidR="00BA767E" w:rsidRDefault="00BA767E" w:rsidP="003579DE">
      <w:pPr>
        <w:pStyle w:val="Default"/>
        <w:rPr>
          <w:color w:val="000000" w:themeColor="text1"/>
        </w:rPr>
      </w:pPr>
    </w:p>
    <w:p w14:paraId="2165C097" w14:textId="77777777" w:rsidR="00BA767E" w:rsidRDefault="00BA767E" w:rsidP="003579DE">
      <w:pPr>
        <w:pStyle w:val="Default"/>
        <w:rPr>
          <w:color w:val="000000" w:themeColor="text1"/>
        </w:rPr>
      </w:pPr>
    </w:p>
    <w:p w14:paraId="4D81B2D4" w14:textId="07C271CB" w:rsidR="00131957" w:rsidRDefault="00131957" w:rsidP="002B780F">
      <w:pPr>
        <w:pStyle w:val="Default"/>
        <w:rPr>
          <w:color w:val="000000" w:themeColor="text1"/>
        </w:rPr>
      </w:pPr>
      <w:r>
        <w:rPr>
          <w:color w:val="000000" w:themeColor="text1"/>
        </w:rPr>
        <w:t>Table 3 below displays the timeline for the completion of the Base Period EPC study:</w:t>
      </w:r>
    </w:p>
    <w:p w14:paraId="53C9296F" w14:textId="130DDB46" w:rsidR="00131957" w:rsidRDefault="00131957" w:rsidP="002B780F">
      <w:pPr>
        <w:pStyle w:val="Default"/>
        <w:rPr>
          <w:color w:val="000000" w:themeColor="text1"/>
        </w:rPr>
      </w:pPr>
    </w:p>
    <w:p w14:paraId="15A1C574" w14:textId="77777777" w:rsidR="003334B5" w:rsidRDefault="003334B5" w:rsidP="002B780F">
      <w:pPr>
        <w:pStyle w:val="Default"/>
        <w:rPr>
          <w:color w:val="000000" w:themeColor="text1"/>
        </w:rPr>
      </w:pPr>
    </w:p>
    <w:p w14:paraId="3DF4D980" w14:textId="2BCA1894" w:rsidR="0090635D" w:rsidRPr="002670EC" w:rsidRDefault="0090635D" w:rsidP="002670EC">
      <w:pPr>
        <w:pStyle w:val="Default"/>
        <w:ind w:left="360"/>
        <w:rPr>
          <w:b/>
          <w:color w:val="000000" w:themeColor="text1"/>
          <w:sz w:val="22"/>
          <w:szCs w:val="22"/>
        </w:rPr>
      </w:pPr>
      <w:r w:rsidRPr="002670EC">
        <w:rPr>
          <w:b/>
          <w:color w:val="000000" w:themeColor="text1"/>
          <w:sz w:val="22"/>
          <w:szCs w:val="22"/>
        </w:rPr>
        <w:t xml:space="preserve">Table 3: </w:t>
      </w:r>
      <w:r w:rsidR="00B21FF9">
        <w:rPr>
          <w:b/>
          <w:color w:val="000000" w:themeColor="text1"/>
          <w:sz w:val="22"/>
          <w:szCs w:val="22"/>
        </w:rPr>
        <w:t>Timeline for Base Period Tasks</w:t>
      </w:r>
    </w:p>
    <w:tbl>
      <w:tblPr>
        <w:tblW w:w="811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310"/>
        <w:gridCol w:w="1453"/>
      </w:tblGrid>
      <w:tr w:rsidR="00375BDD" w:rsidRPr="003334B5" w14:paraId="7B36E935" w14:textId="77777777" w:rsidTr="00C92F69">
        <w:trPr>
          <w:trHeight w:val="300"/>
        </w:trPr>
        <w:tc>
          <w:tcPr>
            <w:tcW w:w="1350" w:type="dxa"/>
            <w:shd w:val="clear" w:color="auto" w:fill="auto"/>
            <w:noWrap/>
            <w:vAlign w:val="bottom"/>
          </w:tcPr>
          <w:p w14:paraId="59233DB7" w14:textId="34EF7D6E" w:rsidR="00375BDD" w:rsidRPr="003334B5" w:rsidRDefault="00375BDD" w:rsidP="00375BDD">
            <w:pPr>
              <w:spacing w:after="0" w:line="240" w:lineRule="auto"/>
              <w:jc w:val="center"/>
              <w:rPr>
                <w:rFonts w:ascii="Times New Roman" w:hAnsi="Times New Roman" w:cs="Times New Roman"/>
                <w:b/>
                <w:color w:val="000000"/>
                <w:sz w:val="24"/>
                <w:szCs w:val="24"/>
              </w:rPr>
            </w:pPr>
            <w:r w:rsidRPr="003334B5">
              <w:rPr>
                <w:rFonts w:ascii="Times New Roman" w:hAnsi="Times New Roman" w:cs="Times New Roman"/>
                <w:b/>
                <w:color w:val="000000"/>
                <w:sz w:val="24"/>
                <w:szCs w:val="24"/>
              </w:rPr>
              <w:t>Task Number</w:t>
            </w:r>
          </w:p>
        </w:tc>
        <w:tc>
          <w:tcPr>
            <w:tcW w:w="5310" w:type="dxa"/>
            <w:shd w:val="clear" w:color="auto" w:fill="auto"/>
            <w:noWrap/>
            <w:vAlign w:val="bottom"/>
          </w:tcPr>
          <w:p w14:paraId="38038E31" w14:textId="74CCFF56" w:rsidR="00375BDD" w:rsidRPr="003334B5" w:rsidRDefault="00375BDD" w:rsidP="00375BDD">
            <w:pPr>
              <w:spacing w:after="0" w:line="240" w:lineRule="auto"/>
              <w:rPr>
                <w:rFonts w:ascii="Times New Roman" w:hAnsi="Times New Roman" w:cs="Times New Roman"/>
                <w:b/>
                <w:color w:val="000000"/>
                <w:sz w:val="24"/>
                <w:szCs w:val="24"/>
              </w:rPr>
            </w:pPr>
            <w:r w:rsidRPr="003334B5">
              <w:rPr>
                <w:rFonts w:ascii="Times New Roman" w:hAnsi="Times New Roman" w:cs="Times New Roman"/>
                <w:b/>
                <w:color w:val="000000"/>
                <w:sz w:val="24"/>
                <w:szCs w:val="24"/>
              </w:rPr>
              <w:t>Task Name</w:t>
            </w:r>
          </w:p>
        </w:tc>
        <w:tc>
          <w:tcPr>
            <w:tcW w:w="1453" w:type="dxa"/>
            <w:shd w:val="clear" w:color="auto" w:fill="auto"/>
            <w:noWrap/>
            <w:vAlign w:val="bottom"/>
          </w:tcPr>
          <w:p w14:paraId="7B72B92D" w14:textId="61CA2EBB" w:rsidR="00375BDD" w:rsidRPr="003334B5" w:rsidRDefault="00375BDD" w:rsidP="00375BDD">
            <w:pPr>
              <w:spacing w:after="0" w:line="240" w:lineRule="auto"/>
              <w:jc w:val="center"/>
              <w:rPr>
                <w:rFonts w:ascii="Times New Roman" w:hAnsi="Times New Roman" w:cs="Times New Roman"/>
                <w:b/>
                <w:color w:val="000000"/>
                <w:sz w:val="24"/>
                <w:szCs w:val="24"/>
              </w:rPr>
            </w:pPr>
            <w:r w:rsidRPr="003334B5">
              <w:rPr>
                <w:rFonts w:ascii="Times New Roman" w:hAnsi="Times New Roman" w:cs="Times New Roman"/>
                <w:b/>
                <w:color w:val="000000"/>
                <w:sz w:val="24"/>
                <w:szCs w:val="24"/>
              </w:rPr>
              <w:t>Date</w:t>
            </w:r>
          </w:p>
        </w:tc>
      </w:tr>
      <w:tr w:rsidR="00375BDD" w:rsidRPr="003334B5" w14:paraId="2AC15F5E" w14:textId="77777777" w:rsidTr="00C92F69">
        <w:trPr>
          <w:trHeight w:val="300"/>
        </w:trPr>
        <w:tc>
          <w:tcPr>
            <w:tcW w:w="1350" w:type="dxa"/>
            <w:shd w:val="clear" w:color="auto" w:fill="auto"/>
            <w:noWrap/>
            <w:vAlign w:val="bottom"/>
            <w:hideMark/>
          </w:tcPr>
          <w:p w14:paraId="1FAB9DEF"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w:t>
            </w:r>
          </w:p>
        </w:tc>
        <w:tc>
          <w:tcPr>
            <w:tcW w:w="5310" w:type="dxa"/>
            <w:shd w:val="clear" w:color="auto" w:fill="auto"/>
            <w:noWrap/>
            <w:vAlign w:val="bottom"/>
            <w:hideMark/>
          </w:tcPr>
          <w:p w14:paraId="15D6AF8C" w14:textId="7C1ABA97" w:rsidR="00131957" w:rsidRPr="003334B5" w:rsidRDefault="00131957"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 xml:space="preserve">Attend </w:t>
            </w:r>
            <w:r w:rsidR="00375BDD" w:rsidRPr="003334B5">
              <w:rPr>
                <w:rFonts w:ascii="Times New Roman" w:hAnsi="Times New Roman" w:cs="Times New Roman"/>
                <w:color w:val="000000"/>
                <w:sz w:val="24"/>
                <w:szCs w:val="24"/>
              </w:rPr>
              <w:t>Orientation</w:t>
            </w:r>
            <w:r w:rsidRPr="003334B5">
              <w:rPr>
                <w:rFonts w:ascii="Times New Roman" w:hAnsi="Times New Roman" w:cs="Times New Roman"/>
                <w:color w:val="000000"/>
                <w:sz w:val="24"/>
                <w:szCs w:val="24"/>
              </w:rPr>
              <w:t xml:space="preserve"> Meeting</w:t>
            </w:r>
          </w:p>
        </w:tc>
        <w:tc>
          <w:tcPr>
            <w:tcW w:w="1453" w:type="dxa"/>
            <w:shd w:val="clear" w:color="auto" w:fill="auto"/>
            <w:noWrap/>
            <w:vAlign w:val="bottom"/>
            <w:hideMark/>
          </w:tcPr>
          <w:p w14:paraId="6819398A" w14:textId="1E815665"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3/23/2017</w:t>
            </w:r>
            <w:r w:rsidR="00131957" w:rsidRPr="003334B5">
              <w:rPr>
                <w:rFonts w:ascii="Times New Roman" w:hAnsi="Times New Roman" w:cs="Times New Roman"/>
                <w:color w:val="000000"/>
                <w:sz w:val="24"/>
                <w:szCs w:val="24"/>
              </w:rPr>
              <w:t>*</w:t>
            </w:r>
          </w:p>
        </w:tc>
      </w:tr>
      <w:tr w:rsidR="00375BDD" w:rsidRPr="003334B5" w14:paraId="1DA16B5B" w14:textId="77777777" w:rsidTr="00C92F69">
        <w:trPr>
          <w:trHeight w:val="300"/>
        </w:trPr>
        <w:tc>
          <w:tcPr>
            <w:tcW w:w="1350" w:type="dxa"/>
            <w:shd w:val="clear" w:color="auto" w:fill="auto"/>
            <w:noWrap/>
            <w:vAlign w:val="bottom"/>
            <w:hideMark/>
          </w:tcPr>
          <w:p w14:paraId="577452C4"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2</w:t>
            </w:r>
          </w:p>
        </w:tc>
        <w:tc>
          <w:tcPr>
            <w:tcW w:w="5310" w:type="dxa"/>
            <w:shd w:val="clear" w:color="auto" w:fill="auto"/>
            <w:noWrap/>
            <w:vAlign w:val="bottom"/>
            <w:hideMark/>
          </w:tcPr>
          <w:p w14:paraId="24981D32" w14:textId="315CD0C3" w:rsidR="00131957" w:rsidRPr="003334B5" w:rsidRDefault="00C65ACA"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Submit</w:t>
            </w:r>
            <w:r w:rsidR="00131957" w:rsidRPr="003334B5">
              <w:rPr>
                <w:rFonts w:ascii="Times New Roman" w:hAnsi="Times New Roman" w:cs="Times New Roman"/>
                <w:color w:val="000000"/>
                <w:sz w:val="24"/>
                <w:szCs w:val="24"/>
              </w:rPr>
              <w:t xml:space="preserve"> </w:t>
            </w:r>
            <w:r w:rsidR="00CA4F5C" w:rsidRPr="003334B5">
              <w:rPr>
                <w:rFonts w:ascii="Times New Roman" w:hAnsi="Times New Roman" w:cs="Times New Roman"/>
                <w:color w:val="000000"/>
                <w:sz w:val="24"/>
                <w:szCs w:val="24"/>
              </w:rPr>
              <w:t>Management Work Plan</w:t>
            </w:r>
          </w:p>
        </w:tc>
        <w:tc>
          <w:tcPr>
            <w:tcW w:w="1453" w:type="dxa"/>
            <w:shd w:val="clear" w:color="auto" w:fill="auto"/>
            <w:noWrap/>
            <w:vAlign w:val="bottom"/>
            <w:hideMark/>
          </w:tcPr>
          <w:p w14:paraId="7AA4C188" w14:textId="0D533126"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4/9/2017</w:t>
            </w:r>
            <w:r w:rsidR="00131957" w:rsidRPr="003334B5">
              <w:rPr>
                <w:rFonts w:ascii="Times New Roman" w:hAnsi="Times New Roman" w:cs="Times New Roman"/>
                <w:color w:val="000000"/>
                <w:sz w:val="24"/>
                <w:szCs w:val="24"/>
              </w:rPr>
              <w:t>*</w:t>
            </w:r>
          </w:p>
        </w:tc>
      </w:tr>
      <w:tr w:rsidR="00375BDD" w:rsidRPr="003334B5" w14:paraId="6BBDDAA1" w14:textId="77777777" w:rsidTr="00C92F69">
        <w:trPr>
          <w:trHeight w:val="300"/>
        </w:trPr>
        <w:tc>
          <w:tcPr>
            <w:tcW w:w="1350" w:type="dxa"/>
            <w:shd w:val="clear" w:color="auto" w:fill="auto"/>
            <w:noWrap/>
            <w:vAlign w:val="bottom"/>
            <w:hideMark/>
          </w:tcPr>
          <w:p w14:paraId="54A039BB"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3</w:t>
            </w:r>
          </w:p>
        </w:tc>
        <w:tc>
          <w:tcPr>
            <w:tcW w:w="5310" w:type="dxa"/>
            <w:shd w:val="clear" w:color="auto" w:fill="auto"/>
            <w:noWrap/>
            <w:vAlign w:val="bottom"/>
            <w:hideMark/>
          </w:tcPr>
          <w:p w14:paraId="21D39334" w14:textId="5B1DD629" w:rsidR="00131957" w:rsidRPr="003334B5" w:rsidRDefault="00C65ACA"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Submit Research Design/Data Collection and Analysis Plan</w:t>
            </w:r>
          </w:p>
        </w:tc>
        <w:tc>
          <w:tcPr>
            <w:tcW w:w="1453" w:type="dxa"/>
            <w:shd w:val="clear" w:color="auto" w:fill="auto"/>
            <w:noWrap/>
            <w:vAlign w:val="bottom"/>
            <w:hideMark/>
          </w:tcPr>
          <w:p w14:paraId="4CC2E451" w14:textId="19CCE55C"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11/27/2017</w:t>
            </w:r>
            <w:r w:rsidR="00131957" w:rsidRPr="003334B5">
              <w:rPr>
                <w:rFonts w:ascii="Times New Roman" w:hAnsi="Times New Roman" w:cs="Times New Roman"/>
                <w:color w:val="000000"/>
                <w:sz w:val="24"/>
                <w:szCs w:val="24"/>
              </w:rPr>
              <w:t>*</w:t>
            </w:r>
          </w:p>
        </w:tc>
      </w:tr>
      <w:tr w:rsidR="00375BDD" w:rsidRPr="003334B5" w14:paraId="4AD0F619" w14:textId="77777777" w:rsidTr="00C92F69">
        <w:trPr>
          <w:trHeight w:val="300"/>
        </w:trPr>
        <w:tc>
          <w:tcPr>
            <w:tcW w:w="1350" w:type="dxa"/>
            <w:shd w:val="clear" w:color="auto" w:fill="auto"/>
            <w:noWrap/>
            <w:vAlign w:val="bottom"/>
            <w:hideMark/>
          </w:tcPr>
          <w:p w14:paraId="6D793F35"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4</w:t>
            </w:r>
          </w:p>
        </w:tc>
        <w:tc>
          <w:tcPr>
            <w:tcW w:w="5310" w:type="dxa"/>
            <w:shd w:val="clear" w:color="auto" w:fill="auto"/>
            <w:noWrap/>
            <w:vAlign w:val="bottom"/>
            <w:hideMark/>
          </w:tcPr>
          <w:p w14:paraId="5F7AC3AC" w14:textId="55FEA01A" w:rsidR="00131957" w:rsidRPr="003334B5" w:rsidRDefault="00C65ACA"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Develop Survey</w:t>
            </w:r>
          </w:p>
        </w:tc>
        <w:tc>
          <w:tcPr>
            <w:tcW w:w="1453" w:type="dxa"/>
            <w:shd w:val="clear" w:color="auto" w:fill="auto"/>
            <w:noWrap/>
            <w:vAlign w:val="bottom"/>
            <w:hideMark/>
          </w:tcPr>
          <w:p w14:paraId="03B17B39" w14:textId="38782DB9"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8/24/2017</w:t>
            </w:r>
            <w:r w:rsidR="00131957" w:rsidRPr="003334B5">
              <w:rPr>
                <w:rFonts w:ascii="Times New Roman" w:hAnsi="Times New Roman" w:cs="Times New Roman"/>
                <w:color w:val="000000"/>
                <w:sz w:val="24"/>
                <w:szCs w:val="24"/>
              </w:rPr>
              <w:t>*</w:t>
            </w:r>
          </w:p>
        </w:tc>
      </w:tr>
      <w:tr w:rsidR="00375BDD" w:rsidRPr="003334B5" w14:paraId="7E77F80D" w14:textId="77777777" w:rsidTr="00C92F69">
        <w:trPr>
          <w:trHeight w:val="300"/>
        </w:trPr>
        <w:tc>
          <w:tcPr>
            <w:tcW w:w="1350" w:type="dxa"/>
            <w:shd w:val="clear" w:color="auto" w:fill="auto"/>
            <w:noWrap/>
            <w:vAlign w:val="bottom"/>
            <w:hideMark/>
          </w:tcPr>
          <w:p w14:paraId="4D7E065B"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5</w:t>
            </w:r>
          </w:p>
        </w:tc>
        <w:tc>
          <w:tcPr>
            <w:tcW w:w="5310" w:type="dxa"/>
            <w:shd w:val="clear" w:color="auto" w:fill="auto"/>
            <w:noWrap/>
            <w:vAlign w:val="bottom"/>
            <w:hideMark/>
          </w:tcPr>
          <w:p w14:paraId="76C6B2C3" w14:textId="0B5A0A48" w:rsidR="00131957" w:rsidRPr="003334B5" w:rsidRDefault="00C65ACA"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Develop OMB Clearance Package</w:t>
            </w:r>
          </w:p>
        </w:tc>
        <w:tc>
          <w:tcPr>
            <w:tcW w:w="1453" w:type="dxa"/>
            <w:shd w:val="clear" w:color="auto" w:fill="auto"/>
            <w:noWrap/>
            <w:vAlign w:val="bottom"/>
            <w:hideMark/>
          </w:tcPr>
          <w:p w14:paraId="3FC4DDA6" w14:textId="2273E2B5"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11/7/2017</w:t>
            </w:r>
            <w:r w:rsidR="00131957" w:rsidRPr="003334B5">
              <w:rPr>
                <w:rFonts w:ascii="Times New Roman" w:hAnsi="Times New Roman" w:cs="Times New Roman"/>
                <w:color w:val="000000"/>
                <w:sz w:val="24"/>
                <w:szCs w:val="24"/>
              </w:rPr>
              <w:t>*</w:t>
            </w:r>
          </w:p>
        </w:tc>
      </w:tr>
      <w:tr w:rsidR="00375BDD" w:rsidRPr="003334B5" w14:paraId="20431414" w14:textId="77777777" w:rsidTr="00C92F69">
        <w:trPr>
          <w:trHeight w:val="300"/>
        </w:trPr>
        <w:tc>
          <w:tcPr>
            <w:tcW w:w="1350" w:type="dxa"/>
            <w:shd w:val="clear" w:color="auto" w:fill="auto"/>
            <w:noWrap/>
            <w:vAlign w:val="bottom"/>
            <w:hideMark/>
          </w:tcPr>
          <w:p w14:paraId="5B740741"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6</w:t>
            </w:r>
          </w:p>
        </w:tc>
        <w:tc>
          <w:tcPr>
            <w:tcW w:w="5310" w:type="dxa"/>
            <w:shd w:val="clear" w:color="auto" w:fill="auto"/>
            <w:noWrap/>
            <w:vAlign w:val="bottom"/>
            <w:hideMark/>
          </w:tcPr>
          <w:p w14:paraId="0D471E42" w14:textId="64D1C7C4"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Select Participants</w:t>
            </w:r>
          </w:p>
        </w:tc>
        <w:tc>
          <w:tcPr>
            <w:tcW w:w="1453" w:type="dxa"/>
            <w:shd w:val="clear" w:color="auto" w:fill="auto"/>
            <w:noWrap/>
            <w:vAlign w:val="bottom"/>
            <w:hideMark/>
          </w:tcPr>
          <w:p w14:paraId="7C60950D" w14:textId="5559A4A3"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9/1/2017</w:t>
            </w:r>
            <w:r w:rsidR="00131957" w:rsidRPr="003334B5">
              <w:rPr>
                <w:rFonts w:ascii="Times New Roman" w:hAnsi="Times New Roman" w:cs="Times New Roman"/>
                <w:color w:val="000000"/>
                <w:sz w:val="24"/>
                <w:szCs w:val="24"/>
              </w:rPr>
              <w:t>*</w:t>
            </w:r>
          </w:p>
        </w:tc>
      </w:tr>
      <w:tr w:rsidR="00375BDD" w:rsidRPr="003334B5" w14:paraId="30C9ED21" w14:textId="77777777" w:rsidTr="00C92F69">
        <w:trPr>
          <w:trHeight w:val="300"/>
        </w:trPr>
        <w:tc>
          <w:tcPr>
            <w:tcW w:w="1350" w:type="dxa"/>
            <w:shd w:val="clear" w:color="auto" w:fill="auto"/>
            <w:noWrap/>
            <w:vAlign w:val="bottom"/>
            <w:hideMark/>
          </w:tcPr>
          <w:p w14:paraId="4865FC96"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7</w:t>
            </w:r>
          </w:p>
        </w:tc>
        <w:tc>
          <w:tcPr>
            <w:tcW w:w="5310" w:type="dxa"/>
            <w:shd w:val="clear" w:color="auto" w:fill="auto"/>
            <w:noWrap/>
            <w:vAlign w:val="bottom"/>
            <w:hideMark/>
          </w:tcPr>
          <w:p w14:paraId="0B97DE9D" w14:textId="50855DBF"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Submit Interim Report</w:t>
            </w:r>
          </w:p>
        </w:tc>
        <w:tc>
          <w:tcPr>
            <w:tcW w:w="1453" w:type="dxa"/>
            <w:shd w:val="clear" w:color="auto" w:fill="auto"/>
            <w:noWrap/>
            <w:vAlign w:val="bottom"/>
            <w:hideMark/>
          </w:tcPr>
          <w:p w14:paraId="5C43D186" w14:textId="6B0DEA43" w:rsidR="00131957" w:rsidRPr="003334B5" w:rsidRDefault="00C65ACA"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1/10/2018*</w:t>
            </w:r>
          </w:p>
        </w:tc>
      </w:tr>
      <w:tr w:rsidR="00375BDD" w:rsidRPr="003334B5" w14:paraId="6D38BCFE" w14:textId="77777777" w:rsidTr="00C92F69">
        <w:trPr>
          <w:trHeight w:val="300"/>
        </w:trPr>
        <w:tc>
          <w:tcPr>
            <w:tcW w:w="1350" w:type="dxa"/>
            <w:shd w:val="clear" w:color="auto" w:fill="auto"/>
            <w:noWrap/>
            <w:vAlign w:val="bottom"/>
            <w:hideMark/>
          </w:tcPr>
          <w:p w14:paraId="4D9AD099"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8</w:t>
            </w:r>
          </w:p>
        </w:tc>
        <w:tc>
          <w:tcPr>
            <w:tcW w:w="5310" w:type="dxa"/>
            <w:shd w:val="clear" w:color="auto" w:fill="auto"/>
            <w:noWrap/>
            <w:vAlign w:val="bottom"/>
            <w:hideMark/>
          </w:tcPr>
          <w:p w14:paraId="47414D9B" w14:textId="7452A60E"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Implement Survey</w:t>
            </w:r>
          </w:p>
        </w:tc>
        <w:tc>
          <w:tcPr>
            <w:tcW w:w="1453" w:type="dxa"/>
            <w:shd w:val="clear" w:color="auto" w:fill="auto"/>
            <w:noWrap/>
            <w:vAlign w:val="bottom"/>
            <w:hideMark/>
          </w:tcPr>
          <w:p w14:paraId="2F4B0CD9" w14:textId="116C84D9" w:rsidR="00131957" w:rsidRPr="003334B5" w:rsidRDefault="00BF6249"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Summer 2018</w:t>
            </w:r>
          </w:p>
        </w:tc>
      </w:tr>
      <w:tr w:rsidR="00375BDD" w:rsidRPr="003334B5" w14:paraId="26006773" w14:textId="77777777" w:rsidTr="00C92F69">
        <w:trPr>
          <w:trHeight w:val="300"/>
        </w:trPr>
        <w:tc>
          <w:tcPr>
            <w:tcW w:w="1350" w:type="dxa"/>
            <w:shd w:val="clear" w:color="auto" w:fill="auto"/>
            <w:noWrap/>
            <w:vAlign w:val="bottom"/>
            <w:hideMark/>
          </w:tcPr>
          <w:p w14:paraId="34B74626"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9</w:t>
            </w:r>
          </w:p>
        </w:tc>
        <w:tc>
          <w:tcPr>
            <w:tcW w:w="5310" w:type="dxa"/>
            <w:shd w:val="clear" w:color="auto" w:fill="auto"/>
            <w:noWrap/>
            <w:vAlign w:val="bottom"/>
            <w:hideMark/>
          </w:tcPr>
          <w:p w14:paraId="760AEC9A" w14:textId="0D130332"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Analysis Collected Data</w:t>
            </w:r>
          </w:p>
        </w:tc>
        <w:tc>
          <w:tcPr>
            <w:tcW w:w="1453" w:type="dxa"/>
            <w:shd w:val="clear" w:color="auto" w:fill="auto"/>
            <w:noWrap/>
            <w:vAlign w:val="bottom"/>
            <w:hideMark/>
          </w:tcPr>
          <w:p w14:paraId="1C23D71E" w14:textId="4D783F76" w:rsidR="00131957" w:rsidRPr="003334B5" w:rsidRDefault="00BF6249"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Fall 2018</w:t>
            </w:r>
          </w:p>
        </w:tc>
      </w:tr>
      <w:tr w:rsidR="00375BDD" w:rsidRPr="003334B5" w14:paraId="245CBE5B" w14:textId="77777777" w:rsidTr="00C92F69">
        <w:trPr>
          <w:trHeight w:val="300"/>
        </w:trPr>
        <w:tc>
          <w:tcPr>
            <w:tcW w:w="1350" w:type="dxa"/>
            <w:shd w:val="clear" w:color="auto" w:fill="auto"/>
            <w:noWrap/>
            <w:vAlign w:val="bottom"/>
            <w:hideMark/>
          </w:tcPr>
          <w:p w14:paraId="788D808A"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10</w:t>
            </w:r>
          </w:p>
        </w:tc>
        <w:tc>
          <w:tcPr>
            <w:tcW w:w="5310" w:type="dxa"/>
            <w:shd w:val="clear" w:color="auto" w:fill="auto"/>
            <w:noWrap/>
            <w:vAlign w:val="bottom"/>
            <w:hideMark/>
          </w:tcPr>
          <w:p w14:paraId="67891F33" w14:textId="02319DBB"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Submit Final Report</w:t>
            </w:r>
          </w:p>
        </w:tc>
        <w:tc>
          <w:tcPr>
            <w:tcW w:w="1453" w:type="dxa"/>
            <w:shd w:val="clear" w:color="auto" w:fill="auto"/>
            <w:noWrap/>
            <w:vAlign w:val="bottom"/>
            <w:hideMark/>
          </w:tcPr>
          <w:p w14:paraId="127EC51E" w14:textId="79CB5AD1" w:rsidR="00131957" w:rsidRPr="003334B5" w:rsidRDefault="0090635D"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Feb.</w:t>
            </w:r>
            <w:r w:rsidR="00BF6249" w:rsidRPr="003334B5">
              <w:rPr>
                <w:rFonts w:ascii="Times New Roman" w:hAnsi="Times New Roman" w:cs="Times New Roman"/>
                <w:color w:val="000000"/>
                <w:sz w:val="24"/>
                <w:szCs w:val="24"/>
              </w:rPr>
              <w:t xml:space="preserve"> 2019</w:t>
            </w:r>
          </w:p>
        </w:tc>
      </w:tr>
      <w:tr w:rsidR="00375BDD" w:rsidRPr="003334B5" w14:paraId="0293125B" w14:textId="77777777" w:rsidTr="00C92F69">
        <w:trPr>
          <w:trHeight w:val="300"/>
        </w:trPr>
        <w:tc>
          <w:tcPr>
            <w:tcW w:w="1350" w:type="dxa"/>
            <w:shd w:val="clear" w:color="auto" w:fill="auto"/>
            <w:noWrap/>
            <w:vAlign w:val="bottom"/>
            <w:hideMark/>
          </w:tcPr>
          <w:p w14:paraId="14FF7437" w14:textId="77777777" w:rsidR="00131957" w:rsidRPr="003334B5" w:rsidRDefault="00131957"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11</w:t>
            </w:r>
          </w:p>
        </w:tc>
        <w:tc>
          <w:tcPr>
            <w:tcW w:w="5310" w:type="dxa"/>
            <w:shd w:val="clear" w:color="auto" w:fill="auto"/>
            <w:noWrap/>
            <w:vAlign w:val="bottom"/>
            <w:hideMark/>
          </w:tcPr>
          <w:p w14:paraId="271A1C94" w14:textId="05FC2189" w:rsidR="00131957" w:rsidRPr="003334B5" w:rsidRDefault="00375BDD" w:rsidP="00CA4F5C">
            <w:pPr>
              <w:spacing w:after="0" w:line="240" w:lineRule="auto"/>
              <w:rPr>
                <w:rFonts w:ascii="Times New Roman" w:hAnsi="Times New Roman" w:cs="Times New Roman"/>
                <w:color w:val="000000"/>
                <w:sz w:val="24"/>
                <w:szCs w:val="24"/>
              </w:rPr>
            </w:pPr>
            <w:r w:rsidRPr="003334B5">
              <w:rPr>
                <w:rFonts w:ascii="Times New Roman" w:hAnsi="Times New Roman" w:cs="Times New Roman"/>
                <w:color w:val="000000"/>
                <w:sz w:val="24"/>
                <w:szCs w:val="24"/>
              </w:rPr>
              <w:t>Submit Data Files and Data Documentation</w:t>
            </w:r>
          </w:p>
        </w:tc>
        <w:tc>
          <w:tcPr>
            <w:tcW w:w="1453" w:type="dxa"/>
            <w:shd w:val="clear" w:color="auto" w:fill="auto"/>
            <w:noWrap/>
            <w:vAlign w:val="bottom"/>
            <w:hideMark/>
          </w:tcPr>
          <w:p w14:paraId="2FC70EE4" w14:textId="2A32C2C9" w:rsidR="00131957" w:rsidRPr="003334B5" w:rsidRDefault="0090635D" w:rsidP="00CA4F5C">
            <w:pPr>
              <w:spacing w:after="0" w:line="240" w:lineRule="auto"/>
              <w:jc w:val="center"/>
              <w:rPr>
                <w:rFonts w:ascii="Times New Roman" w:hAnsi="Times New Roman" w:cs="Times New Roman"/>
                <w:color w:val="000000"/>
                <w:sz w:val="24"/>
                <w:szCs w:val="24"/>
              </w:rPr>
            </w:pPr>
            <w:r w:rsidRPr="003334B5">
              <w:rPr>
                <w:rFonts w:ascii="Times New Roman" w:hAnsi="Times New Roman" w:cs="Times New Roman"/>
                <w:color w:val="000000"/>
                <w:sz w:val="24"/>
                <w:szCs w:val="24"/>
              </w:rPr>
              <w:t>Feb.</w:t>
            </w:r>
            <w:r w:rsidR="00BF6249" w:rsidRPr="003334B5">
              <w:rPr>
                <w:rFonts w:ascii="Times New Roman" w:hAnsi="Times New Roman" w:cs="Times New Roman"/>
                <w:color w:val="000000"/>
                <w:sz w:val="24"/>
                <w:szCs w:val="24"/>
              </w:rPr>
              <w:t xml:space="preserve"> 2019</w:t>
            </w:r>
          </w:p>
        </w:tc>
      </w:tr>
    </w:tbl>
    <w:p w14:paraId="15B6BD89" w14:textId="77777777" w:rsidR="00131957" w:rsidRPr="00C81DB8" w:rsidRDefault="00131957" w:rsidP="00131957">
      <w:pPr>
        <w:pStyle w:val="ListParagraph"/>
        <w:ind w:left="360"/>
        <w:rPr>
          <w:rFonts w:eastAsia="Times New Roman" w:cs="Arial"/>
          <w:sz w:val="20"/>
          <w:szCs w:val="20"/>
        </w:rPr>
      </w:pPr>
      <w:r w:rsidRPr="00C81DB8">
        <w:rPr>
          <w:rFonts w:eastAsia="Times New Roman" w:cs="Arial"/>
          <w:sz w:val="20"/>
          <w:szCs w:val="20"/>
        </w:rPr>
        <w:t>*Completed</w:t>
      </w:r>
    </w:p>
    <w:p w14:paraId="6F7A42F1" w14:textId="4755B7F4" w:rsidR="0039391A" w:rsidRPr="006976FC" w:rsidRDefault="0039391A" w:rsidP="006976FC">
      <w:pPr>
        <w:pStyle w:val="CM56"/>
        <w:numPr>
          <w:ilvl w:val="0"/>
          <w:numId w:val="17"/>
        </w:numPr>
        <w:spacing w:after="267" w:line="276" w:lineRule="atLeast"/>
        <w:ind w:right="247"/>
        <w:rPr>
          <w:color w:val="000000" w:themeColor="text1"/>
        </w:rPr>
      </w:pPr>
      <w:r w:rsidRPr="006976FC">
        <w:rPr>
          <w:color w:val="000000" w:themeColor="text1"/>
        </w:rPr>
        <w:t>If seeking approval to not display the expiration date for OMB approval of the information collection, explain the reasons that display would be inappropriate.</w:t>
      </w:r>
    </w:p>
    <w:p w14:paraId="406707F2" w14:textId="77777777" w:rsidR="0064191E" w:rsidRPr="006976FC" w:rsidRDefault="0064191E" w:rsidP="002B780F">
      <w:pPr>
        <w:pStyle w:val="Default"/>
        <w:rPr>
          <w:color w:val="000000" w:themeColor="text1"/>
        </w:rPr>
      </w:pPr>
      <w:r w:rsidRPr="006976FC">
        <w:rPr>
          <w:color w:val="000000" w:themeColor="text1"/>
        </w:rPr>
        <w:t xml:space="preserve">HUD will display the </w:t>
      </w:r>
      <w:r w:rsidR="00A17070" w:rsidRPr="006976FC">
        <w:rPr>
          <w:color w:val="000000" w:themeColor="text1"/>
        </w:rPr>
        <w:t xml:space="preserve">OMB approved </w:t>
      </w:r>
      <w:r w:rsidRPr="006976FC">
        <w:rPr>
          <w:color w:val="000000" w:themeColor="text1"/>
        </w:rPr>
        <w:t>expiration date on the survey collection instruments and will provide it over the phone to respondents.</w:t>
      </w:r>
    </w:p>
    <w:p w14:paraId="4BA89413" w14:textId="77777777" w:rsidR="0064191E" w:rsidRPr="006976FC" w:rsidRDefault="0064191E" w:rsidP="002B780F">
      <w:pPr>
        <w:pStyle w:val="Default"/>
        <w:rPr>
          <w:color w:val="000000" w:themeColor="text1"/>
        </w:rPr>
      </w:pPr>
    </w:p>
    <w:p w14:paraId="1D45697B" w14:textId="2821CFBC" w:rsidR="0039391A" w:rsidRPr="006976FC" w:rsidRDefault="0039391A" w:rsidP="006976FC">
      <w:pPr>
        <w:pStyle w:val="CM56"/>
        <w:numPr>
          <w:ilvl w:val="0"/>
          <w:numId w:val="17"/>
        </w:numPr>
        <w:spacing w:after="267" w:line="276" w:lineRule="atLeast"/>
        <w:ind w:right="247"/>
        <w:rPr>
          <w:color w:val="000000" w:themeColor="text1"/>
        </w:rPr>
      </w:pPr>
      <w:r w:rsidRPr="006976FC">
        <w:rPr>
          <w:color w:val="000000" w:themeColor="text1"/>
        </w:rPr>
        <w:t>Explain each exception to the certification statement identified in Item 19, "Certification for Paperwork Reduction Act Submissions," of OMB Form 83-I.</w:t>
      </w:r>
    </w:p>
    <w:p w14:paraId="64BDDFC6" w14:textId="796EEC62" w:rsidR="001A44D9" w:rsidRDefault="0064191E" w:rsidP="00BA767E">
      <w:pPr>
        <w:pStyle w:val="Default"/>
        <w:rPr>
          <w:b/>
          <w:color w:val="000000" w:themeColor="text1"/>
        </w:rPr>
      </w:pPr>
      <w:r w:rsidRPr="006976FC">
        <w:rPr>
          <w:color w:val="000000" w:themeColor="text1"/>
        </w:rPr>
        <w:t>HUD is not requesting any exceptions to the certification statement identified.</w:t>
      </w:r>
    </w:p>
    <w:sectPr w:rsidR="001A44D9" w:rsidSect="0083383C">
      <w:headerReference w:type="default" r:id="rId9"/>
      <w:endnotePr>
        <w:numFmt w:val="decimal"/>
      </w:endnotePr>
      <w:pgSz w:w="12240" w:h="15840"/>
      <w:pgMar w:top="1296" w:right="1440" w:bottom="1296"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496C5" w14:textId="77777777" w:rsidR="00231840" w:rsidRDefault="00231840">
      <w:pPr>
        <w:spacing w:line="20" w:lineRule="exact"/>
      </w:pPr>
    </w:p>
  </w:endnote>
  <w:endnote w:type="continuationSeparator" w:id="0">
    <w:p w14:paraId="66C1140E" w14:textId="77777777" w:rsidR="00231840" w:rsidRDefault="00231840">
      <w:r>
        <w:t xml:space="preserve"> </w:t>
      </w:r>
    </w:p>
  </w:endnote>
  <w:endnote w:type="continuationNotice" w:id="1">
    <w:p w14:paraId="51A11D53" w14:textId="77777777" w:rsidR="00231840" w:rsidRDefault="002318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BB6D7" w14:textId="77777777" w:rsidR="00231840" w:rsidRDefault="00231840">
      <w:r>
        <w:separator/>
      </w:r>
    </w:p>
  </w:footnote>
  <w:footnote w:type="continuationSeparator" w:id="0">
    <w:p w14:paraId="68877E83" w14:textId="77777777" w:rsidR="00231840" w:rsidRDefault="00231840">
      <w:r>
        <w:continuationSeparator/>
      </w:r>
    </w:p>
  </w:footnote>
  <w:footnote w:id="1">
    <w:p w14:paraId="6C74AB71" w14:textId="2B65FF73" w:rsidR="00BE5BD0" w:rsidRPr="00E54387" w:rsidRDefault="00BE5BD0" w:rsidP="00E54387">
      <w:pPr>
        <w:pStyle w:val="FootnoteText"/>
        <w:spacing w:after="0" w:line="240" w:lineRule="auto"/>
        <w:rPr>
          <w:sz w:val="18"/>
          <w:szCs w:val="18"/>
        </w:rPr>
      </w:pPr>
      <w:r w:rsidRPr="00E54387">
        <w:rPr>
          <w:rStyle w:val="FootnoteReference"/>
          <w:sz w:val="18"/>
          <w:szCs w:val="18"/>
        </w:rPr>
        <w:footnoteRef/>
      </w:r>
      <w:r w:rsidRPr="00E54387">
        <w:rPr>
          <w:sz w:val="18"/>
          <w:szCs w:val="18"/>
        </w:rPr>
        <w:t xml:space="preserve"> Statutory Regulation 44 USC § 3508 can be found at: </w:t>
      </w:r>
      <w:hyperlink r:id="rId1" w:history="1">
        <w:r w:rsidRPr="008E2D3B">
          <w:rPr>
            <w:rStyle w:val="Hyperlink"/>
            <w:sz w:val="18"/>
            <w:szCs w:val="18"/>
          </w:rPr>
          <w:t>https://www.gpo.gov/fdsys/pkg/USCODE-2008-title44/pdf/USCODE-2008-title44-chap35-subchapI-sec3508.pdf</w:t>
        </w:r>
      </w:hyperlink>
      <w:r w:rsidRPr="00E54387">
        <w:rPr>
          <w:sz w:val="18"/>
          <w:szCs w:val="18"/>
        </w:rPr>
        <w:t>.</w:t>
      </w:r>
    </w:p>
  </w:footnote>
  <w:footnote w:id="2">
    <w:p w14:paraId="57423BAE" w14:textId="1CC9127C" w:rsidR="00BE5BD0" w:rsidRPr="008840E0" w:rsidRDefault="00BE5BD0" w:rsidP="008840E0">
      <w:pPr>
        <w:pStyle w:val="FootnoteText"/>
        <w:spacing w:after="0" w:line="240" w:lineRule="auto"/>
        <w:rPr>
          <w:sz w:val="18"/>
          <w:szCs w:val="18"/>
        </w:rPr>
      </w:pPr>
      <w:r w:rsidRPr="008840E0">
        <w:rPr>
          <w:rStyle w:val="FootnoteReference"/>
          <w:sz w:val="18"/>
          <w:szCs w:val="18"/>
        </w:rPr>
        <w:footnoteRef/>
      </w:r>
      <w:r w:rsidRPr="008840E0">
        <w:rPr>
          <w:sz w:val="18"/>
          <w:szCs w:val="18"/>
        </w:rPr>
        <w:t xml:space="preserve"> The Bureau of Labor Statistics National Compensation Survey reported estimates that in 2017, the average property manager made about $34.79/hour (see </w:t>
      </w:r>
      <w:hyperlink r:id="rId2" w:history="1">
        <w:r w:rsidRPr="008840E0">
          <w:rPr>
            <w:rStyle w:val="Hyperlink"/>
            <w:sz w:val="18"/>
            <w:szCs w:val="18"/>
          </w:rPr>
          <w:t>https://www.bls.gov/oes/current/oes_nat.htm</w:t>
        </w:r>
      </w:hyperlink>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E260" w14:textId="77777777" w:rsidR="00BE5BD0" w:rsidRDefault="00BE5BD0">
    <w:pPr>
      <w:suppressAutoHyphens/>
    </w:pPr>
    <w:r>
      <w:rPr>
        <w:noProof/>
      </w:rPr>
      <mc:AlternateContent>
        <mc:Choice Requires="wps">
          <w:drawing>
            <wp:anchor distT="0" distB="0" distL="114300" distR="114300" simplePos="0" relativeHeight="251657728" behindDoc="0" locked="0" layoutInCell="0" allowOverlap="1" wp14:anchorId="2FE122BE" wp14:editId="6AFEA2AB">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B37D8C" w14:textId="78F4C10D" w:rsidR="00BE5BD0" w:rsidRPr="00D976F3" w:rsidRDefault="00BE5BD0">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5D254F">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45B37D8C" w14:textId="78F4C10D" w:rsidR="00BE5BD0" w:rsidRPr="00D976F3" w:rsidRDefault="00BE5BD0">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5D254F">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468A55D1" w14:textId="77777777" w:rsidR="00BE5BD0" w:rsidRDefault="00BE5BD0">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6666FC"/>
    <w:multiLevelType w:val="hybridMultilevel"/>
    <w:tmpl w:val="2D5E27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F95433"/>
    <w:multiLevelType w:val="hybridMultilevel"/>
    <w:tmpl w:val="E340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57A4"/>
    <w:multiLevelType w:val="hybridMultilevel"/>
    <w:tmpl w:val="D8D6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D32A2"/>
    <w:multiLevelType w:val="hybridMultilevel"/>
    <w:tmpl w:val="A530B35A"/>
    <w:lvl w:ilvl="0" w:tplc="C78CBEB0">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1252"/>
    <w:multiLevelType w:val="hybridMultilevel"/>
    <w:tmpl w:val="8D44E28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2C13011D"/>
    <w:multiLevelType w:val="hybridMultilevel"/>
    <w:tmpl w:val="BB2CFE3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316AD"/>
    <w:multiLevelType w:val="hybridMultilevel"/>
    <w:tmpl w:val="2EE0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64DE7"/>
    <w:multiLevelType w:val="hybridMultilevel"/>
    <w:tmpl w:val="A62C7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54D79"/>
    <w:multiLevelType w:val="hybridMultilevel"/>
    <w:tmpl w:val="D95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59C65A61"/>
    <w:multiLevelType w:val="hybridMultilevel"/>
    <w:tmpl w:val="F0D4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5515E"/>
    <w:multiLevelType w:val="hybridMultilevel"/>
    <w:tmpl w:val="ED102606"/>
    <w:lvl w:ilvl="0" w:tplc="38A45D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74C53"/>
    <w:multiLevelType w:val="hybridMultilevel"/>
    <w:tmpl w:val="924CCFB6"/>
    <w:lvl w:ilvl="0" w:tplc="FD52DA8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7">
    <w:nsid w:val="78145FFE"/>
    <w:multiLevelType w:val="hybridMultilevel"/>
    <w:tmpl w:val="4A3E8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4"/>
  </w:num>
  <w:num w:numId="4">
    <w:abstractNumId w:val="14"/>
  </w:num>
  <w:num w:numId="5">
    <w:abstractNumId w:val="2"/>
  </w:num>
  <w:num w:numId="6">
    <w:abstractNumId w:val="7"/>
  </w:num>
  <w:num w:numId="7">
    <w:abstractNumId w:val="12"/>
  </w:num>
  <w:num w:numId="8">
    <w:abstractNumId w:val="9"/>
  </w:num>
  <w:num w:numId="9">
    <w:abstractNumId w:val="6"/>
  </w:num>
  <w:num w:numId="10">
    <w:abstractNumId w:val="0"/>
  </w:num>
  <w:num w:numId="11">
    <w:abstractNumId w:val="17"/>
  </w:num>
  <w:num w:numId="12">
    <w:abstractNumId w:val="10"/>
  </w:num>
  <w:num w:numId="13">
    <w:abstractNumId w:val="5"/>
  </w:num>
  <w:num w:numId="14">
    <w:abstractNumId w:val="1"/>
  </w:num>
  <w:num w:numId="15">
    <w:abstractNumId w:val="8"/>
  </w:num>
  <w:num w:numId="16">
    <w:abstractNumId w:val="3"/>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383A"/>
    <w:rsid w:val="00007D90"/>
    <w:rsid w:val="0001093D"/>
    <w:rsid w:val="00010DEC"/>
    <w:rsid w:val="00012325"/>
    <w:rsid w:val="00013BD4"/>
    <w:rsid w:val="000151C9"/>
    <w:rsid w:val="00017BA6"/>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362"/>
    <w:rsid w:val="00050ABE"/>
    <w:rsid w:val="0005504F"/>
    <w:rsid w:val="00055248"/>
    <w:rsid w:val="000615FA"/>
    <w:rsid w:val="0006277E"/>
    <w:rsid w:val="00067903"/>
    <w:rsid w:val="00071D66"/>
    <w:rsid w:val="000721F6"/>
    <w:rsid w:val="00072B12"/>
    <w:rsid w:val="00074D27"/>
    <w:rsid w:val="00076DD5"/>
    <w:rsid w:val="00081F57"/>
    <w:rsid w:val="000827D3"/>
    <w:rsid w:val="00082A25"/>
    <w:rsid w:val="00083003"/>
    <w:rsid w:val="000836B7"/>
    <w:rsid w:val="00086DA1"/>
    <w:rsid w:val="00087D15"/>
    <w:rsid w:val="00092A19"/>
    <w:rsid w:val="0009505B"/>
    <w:rsid w:val="00095C71"/>
    <w:rsid w:val="00097FBF"/>
    <w:rsid w:val="000A2AE0"/>
    <w:rsid w:val="000A2C0B"/>
    <w:rsid w:val="000A2F9F"/>
    <w:rsid w:val="000A50C8"/>
    <w:rsid w:val="000A59B1"/>
    <w:rsid w:val="000B1DB5"/>
    <w:rsid w:val="000B50C3"/>
    <w:rsid w:val="000B6260"/>
    <w:rsid w:val="000C07E0"/>
    <w:rsid w:val="000C11CF"/>
    <w:rsid w:val="000C1D42"/>
    <w:rsid w:val="000C2C2D"/>
    <w:rsid w:val="000C6DC2"/>
    <w:rsid w:val="000C71E6"/>
    <w:rsid w:val="000C7CE0"/>
    <w:rsid w:val="000D32FC"/>
    <w:rsid w:val="000D4075"/>
    <w:rsid w:val="000D69CD"/>
    <w:rsid w:val="000D7525"/>
    <w:rsid w:val="000D7EC3"/>
    <w:rsid w:val="000E08CC"/>
    <w:rsid w:val="000E6940"/>
    <w:rsid w:val="000E7ABF"/>
    <w:rsid w:val="000E7AEB"/>
    <w:rsid w:val="000F6A3A"/>
    <w:rsid w:val="000F75F3"/>
    <w:rsid w:val="00101E95"/>
    <w:rsid w:val="00102D23"/>
    <w:rsid w:val="00104A16"/>
    <w:rsid w:val="0010798C"/>
    <w:rsid w:val="0011350B"/>
    <w:rsid w:val="00117554"/>
    <w:rsid w:val="00122966"/>
    <w:rsid w:val="00122C6B"/>
    <w:rsid w:val="00122E52"/>
    <w:rsid w:val="00124603"/>
    <w:rsid w:val="00125F8E"/>
    <w:rsid w:val="001266A9"/>
    <w:rsid w:val="001272EA"/>
    <w:rsid w:val="001311D8"/>
    <w:rsid w:val="00131957"/>
    <w:rsid w:val="00132766"/>
    <w:rsid w:val="00135918"/>
    <w:rsid w:val="00135B05"/>
    <w:rsid w:val="0014020C"/>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0ED5"/>
    <w:rsid w:val="00173EF9"/>
    <w:rsid w:val="00175878"/>
    <w:rsid w:val="0017593F"/>
    <w:rsid w:val="001775D5"/>
    <w:rsid w:val="00180646"/>
    <w:rsid w:val="00180BF9"/>
    <w:rsid w:val="0018356B"/>
    <w:rsid w:val="00183CAE"/>
    <w:rsid w:val="00183E0E"/>
    <w:rsid w:val="001857AD"/>
    <w:rsid w:val="00187FD3"/>
    <w:rsid w:val="00191451"/>
    <w:rsid w:val="001961E1"/>
    <w:rsid w:val="001A061A"/>
    <w:rsid w:val="001A0BBA"/>
    <w:rsid w:val="001A273B"/>
    <w:rsid w:val="001A44D9"/>
    <w:rsid w:val="001A5F87"/>
    <w:rsid w:val="001B51F0"/>
    <w:rsid w:val="001C130C"/>
    <w:rsid w:val="001C4BCC"/>
    <w:rsid w:val="001C728F"/>
    <w:rsid w:val="001D77F1"/>
    <w:rsid w:val="001E0E9B"/>
    <w:rsid w:val="001E1F33"/>
    <w:rsid w:val="001E2B15"/>
    <w:rsid w:val="001E3489"/>
    <w:rsid w:val="001E6448"/>
    <w:rsid w:val="001E686B"/>
    <w:rsid w:val="001E6EDE"/>
    <w:rsid w:val="001E7518"/>
    <w:rsid w:val="001E7DC7"/>
    <w:rsid w:val="001E7DD8"/>
    <w:rsid w:val="001F0E25"/>
    <w:rsid w:val="001F16B8"/>
    <w:rsid w:val="001F3C6A"/>
    <w:rsid w:val="001F4828"/>
    <w:rsid w:val="001F6AF8"/>
    <w:rsid w:val="001F733E"/>
    <w:rsid w:val="00202AFB"/>
    <w:rsid w:val="00203105"/>
    <w:rsid w:val="002060B6"/>
    <w:rsid w:val="00210239"/>
    <w:rsid w:val="00210F0D"/>
    <w:rsid w:val="00213AB8"/>
    <w:rsid w:val="0021547C"/>
    <w:rsid w:val="002176E9"/>
    <w:rsid w:val="002266CE"/>
    <w:rsid w:val="002306ED"/>
    <w:rsid w:val="00231826"/>
    <w:rsid w:val="00231840"/>
    <w:rsid w:val="00231F63"/>
    <w:rsid w:val="00236B8E"/>
    <w:rsid w:val="0023780A"/>
    <w:rsid w:val="002408FB"/>
    <w:rsid w:val="0024178E"/>
    <w:rsid w:val="002422BF"/>
    <w:rsid w:val="0024296B"/>
    <w:rsid w:val="00243918"/>
    <w:rsid w:val="0024548D"/>
    <w:rsid w:val="002473D4"/>
    <w:rsid w:val="002520FC"/>
    <w:rsid w:val="002533A0"/>
    <w:rsid w:val="00257602"/>
    <w:rsid w:val="0026225D"/>
    <w:rsid w:val="0026392F"/>
    <w:rsid w:val="00264BE9"/>
    <w:rsid w:val="002670EC"/>
    <w:rsid w:val="00271350"/>
    <w:rsid w:val="00272056"/>
    <w:rsid w:val="0027312A"/>
    <w:rsid w:val="002735B4"/>
    <w:rsid w:val="00282FB2"/>
    <w:rsid w:val="002845B1"/>
    <w:rsid w:val="00284795"/>
    <w:rsid w:val="002865D0"/>
    <w:rsid w:val="00286DAF"/>
    <w:rsid w:val="00292441"/>
    <w:rsid w:val="00292B35"/>
    <w:rsid w:val="0029350D"/>
    <w:rsid w:val="00295065"/>
    <w:rsid w:val="002A4F4B"/>
    <w:rsid w:val="002A6238"/>
    <w:rsid w:val="002A67F3"/>
    <w:rsid w:val="002B1181"/>
    <w:rsid w:val="002B151B"/>
    <w:rsid w:val="002B1566"/>
    <w:rsid w:val="002B26DD"/>
    <w:rsid w:val="002B4119"/>
    <w:rsid w:val="002B780F"/>
    <w:rsid w:val="002B7877"/>
    <w:rsid w:val="002B7BC9"/>
    <w:rsid w:val="002C0412"/>
    <w:rsid w:val="002C07DA"/>
    <w:rsid w:val="002C2249"/>
    <w:rsid w:val="002C2C56"/>
    <w:rsid w:val="002C4227"/>
    <w:rsid w:val="002D0262"/>
    <w:rsid w:val="002D08C8"/>
    <w:rsid w:val="002D0C2A"/>
    <w:rsid w:val="002D0D06"/>
    <w:rsid w:val="002D13AD"/>
    <w:rsid w:val="002D44E3"/>
    <w:rsid w:val="002D4F1A"/>
    <w:rsid w:val="002D5634"/>
    <w:rsid w:val="002D5C3E"/>
    <w:rsid w:val="002E0035"/>
    <w:rsid w:val="002E2551"/>
    <w:rsid w:val="002E28BE"/>
    <w:rsid w:val="002E2ABA"/>
    <w:rsid w:val="002E371E"/>
    <w:rsid w:val="002E4DCF"/>
    <w:rsid w:val="002E5E50"/>
    <w:rsid w:val="002E6210"/>
    <w:rsid w:val="002E7ECB"/>
    <w:rsid w:val="002F06BD"/>
    <w:rsid w:val="002F281D"/>
    <w:rsid w:val="002F2949"/>
    <w:rsid w:val="002F3D29"/>
    <w:rsid w:val="002F6946"/>
    <w:rsid w:val="002F6DF2"/>
    <w:rsid w:val="00302035"/>
    <w:rsid w:val="00305816"/>
    <w:rsid w:val="0031219C"/>
    <w:rsid w:val="00312691"/>
    <w:rsid w:val="0031318E"/>
    <w:rsid w:val="003156EF"/>
    <w:rsid w:val="003164AC"/>
    <w:rsid w:val="00317E75"/>
    <w:rsid w:val="003203D8"/>
    <w:rsid w:val="003228E1"/>
    <w:rsid w:val="00324970"/>
    <w:rsid w:val="003334B5"/>
    <w:rsid w:val="00334743"/>
    <w:rsid w:val="00335655"/>
    <w:rsid w:val="00335DEF"/>
    <w:rsid w:val="00336A75"/>
    <w:rsid w:val="00336B43"/>
    <w:rsid w:val="0033733F"/>
    <w:rsid w:val="00340B74"/>
    <w:rsid w:val="00342862"/>
    <w:rsid w:val="00342E0F"/>
    <w:rsid w:val="00343328"/>
    <w:rsid w:val="00344BAF"/>
    <w:rsid w:val="00352090"/>
    <w:rsid w:val="00352F2F"/>
    <w:rsid w:val="00353AE6"/>
    <w:rsid w:val="003579DE"/>
    <w:rsid w:val="00360A1C"/>
    <w:rsid w:val="003624AE"/>
    <w:rsid w:val="00362C25"/>
    <w:rsid w:val="00363194"/>
    <w:rsid w:val="00365A24"/>
    <w:rsid w:val="00365D0B"/>
    <w:rsid w:val="00366627"/>
    <w:rsid w:val="00367375"/>
    <w:rsid w:val="00371B2A"/>
    <w:rsid w:val="00372588"/>
    <w:rsid w:val="003731D9"/>
    <w:rsid w:val="00374865"/>
    <w:rsid w:val="00374D55"/>
    <w:rsid w:val="00374E24"/>
    <w:rsid w:val="00375BDD"/>
    <w:rsid w:val="00380FE0"/>
    <w:rsid w:val="0038271B"/>
    <w:rsid w:val="0038280A"/>
    <w:rsid w:val="003829F0"/>
    <w:rsid w:val="003865D1"/>
    <w:rsid w:val="003870AD"/>
    <w:rsid w:val="00392015"/>
    <w:rsid w:val="0039391A"/>
    <w:rsid w:val="00395D22"/>
    <w:rsid w:val="00395DDF"/>
    <w:rsid w:val="0039628E"/>
    <w:rsid w:val="00396D28"/>
    <w:rsid w:val="003A1F45"/>
    <w:rsid w:val="003A2EE2"/>
    <w:rsid w:val="003A3406"/>
    <w:rsid w:val="003A3707"/>
    <w:rsid w:val="003A44C7"/>
    <w:rsid w:val="003A4523"/>
    <w:rsid w:val="003A477D"/>
    <w:rsid w:val="003A4A20"/>
    <w:rsid w:val="003A6160"/>
    <w:rsid w:val="003A62BB"/>
    <w:rsid w:val="003B2D67"/>
    <w:rsid w:val="003B4127"/>
    <w:rsid w:val="003B53E5"/>
    <w:rsid w:val="003B56D9"/>
    <w:rsid w:val="003B5D93"/>
    <w:rsid w:val="003B6F1E"/>
    <w:rsid w:val="003B6F27"/>
    <w:rsid w:val="003B7995"/>
    <w:rsid w:val="003B7B63"/>
    <w:rsid w:val="003C08E0"/>
    <w:rsid w:val="003C13A7"/>
    <w:rsid w:val="003C2491"/>
    <w:rsid w:val="003C3168"/>
    <w:rsid w:val="003C6CB0"/>
    <w:rsid w:val="003C6E10"/>
    <w:rsid w:val="003C7848"/>
    <w:rsid w:val="003D073A"/>
    <w:rsid w:val="003D1754"/>
    <w:rsid w:val="003D46AC"/>
    <w:rsid w:val="003D71EB"/>
    <w:rsid w:val="003D75F1"/>
    <w:rsid w:val="003E076A"/>
    <w:rsid w:val="003E1F14"/>
    <w:rsid w:val="003E459C"/>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2AFC"/>
    <w:rsid w:val="00413377"/>
    <w:rsid w:val="00413381"/>
    <w:rsid w:val="0041448D"/>
    <w:rsid w:val="004152D8"/>
    <w:rsid w:val="00415448"/>
    <w:rsid w:val="00415A9B"/>
    <w:rsid w:val="00416237"/>
    <w:rsid w:val="004167FC"/>
    <w:rsid w:val="0042009F"/>
    <w:rsid w:val="0042166D"/>
    <w:rsid w:val="00421A5D"/>
    <w:rsid w:val="00422656"/>
    <w:rsid w:val="00422B00"/>
    <w:rsid w:val="00425CFC"/>
    <w:rsid w:val="00426C33"/>
    <w:rsid w:val="004277B9"/>
    <w:rsid w:val="00427985"/>
    <w:rsid w:val="00430CFC"/>
    <w:rsid w:val="00432C06"/>
    <w:rsid w:val="00432C8C"/>
    <w:rsid w:val="0043317B"/>
    <w:rsid w:val="0043459D"/>
    <w:rsid w:val="00434A33"/>
    <w:rsid w:val="00435074"/>
    <w:rsid w:val="00441191"/>
    <w:rsid w:val="0044262E"/>
    <w:rsid w:val="00442A16"/>
    <w:rsid w:val="00443E84"/>
    <w:rsid w:val="00445437"/>
    <w:rsid w:val="00445B7B"/>
    <w:rsid w:val="0044642A"/>
    <w:rsid w:val="00447E23"/>
    <w:rsid w:val="004507DC"/>
    <w:rsid w:val="00454196"/>
    <w:rsid w:val="004545C2"/>
    <w:rsid w:val="00456CC6"/>
    <w:rsid w:val="00461A40"/>
    <w:rsid w:val="004622B8"/>
    <w:rsid w:val="004623D0"/>
    <w:rsid w:val="004650CC"/>
    <w:rsid w:val="0046546D"/>
    <w:rsid w:val="004661F5"/>
    <w:rsid w:val="00466F6C"/>
    <w:rsid w:val="00466FBC"/>
    <w:rsid w:val="00467B80"/>
    <w:rsid w:val="004741D2"/>
    <w:rsid w:val="00475216"/>
    <w:rsid w:val="00475251"/>
    <w:rsid w:val="00476AFF"/>
    <w:rsid w:val="00480527"/>
    <w:rsid w:val="00482281"/>
    <w:rsid w:val="004822E5"/>
    <w:rsid w:val="004831C1"/>
    <w:rsid w:val="00483B47"/>
    <w:rsid w:val="00484020"/>
    <w:rsid w:val="00484D7C"/>
    <w:rsid w:val="00487B1F"/>
    <w:rsid w:val="0049072F"/>
    <w:rsid w:val="00491335"/>
    <w:rsid w:val="004938E6"/>
    <w:rsid w:val="00493D40"/>
    <w:rsid w:val="00494EC0"/>
    <w:rsid w:val="004A33A0"/>
    <w:rsid w:val="004A5619"/>
    <w:rsid w:val="004A68C0"/>
    <w:rsid w:val="004A6DFC"/>
    <w:rsid w:val="004A7087"/>
    <w:rsid w:val="004B1C81"/>
    <w:rsid w:val="004B2B04"/>
    <w:rsid w:val="004B357D"/>
    <w:rsid w:val="004B4612"/>
    <w:rsid w:val="004B5625"/>
    <w:rsid w:val="004B5FDA"/>
    <w:rsid w:val="004B63E9"/>
    <w:rsid w:val="004C0033"/>
    <w:rsid w:val="004C1097"/>
    <w:rsid w:val="004C37E4"/>
    <w:rsid w:val="004C38DA"/>
    <w:rsid w:val="004C3FAB"/>
    <w:rsid w:val="004C5EA7"/>
    <w:rsid w:val="004C64FA"/>
    <w:rsid w:val="004D4756"/>
    <w:rsid w:val="004D5525"/>
    <w:rsid w:val="004D7E8D"/>
    <w:rsid w:val="004E0BCC"/>
    <w:rsid w:val="004E4984"/>
    <w:rsid w:val="004E4CD3"/>
    <w:rsid w:val="004E61FC"/>
    <w:rsid w:val="004F02AE"/>
    <w:rsid w:val="004F0457"/>
    <w:rsid w:val="004F7851"/>
    <w:rsid w:val="00500F6E"/>
    <w:rsid w:val="00502AC3"/>
    <w:rsid w:val="005033C9"/>
    <w:rsid w:val="005047C4"/>
    <w:rsid w:val="00506C56"/>
    <w:rsid w:val="00507994"/>
    <w:rsid w:val="005119CB"/>
    <w:rsid w:val="00511AEA"/>
    <w:rsid w:val="00512216"/>
    <w:rsid w:val="005123C6"/>
    <w:rsid w:val="00512724"/>
    <w:rsid w:val="00513B4D"/>
    <w:rsid w:val="005204CB"/>
    <w:rsid w:val="00521947"/>
    <w:rsid w:val="00523A03"/>
    <w:rsid w:val="00533505"/>
    <w:rsid w:val="00533690"/>
    <w:rsid w:val="00533A1E"/>
    <w:rsid w:val="00533D76"/>
    <w:rsid w:val="00541CF0"/>
    <w:rsid w:val="00542109"/>
    <w:rsid w:val="00542375"/>
    <w:rsid w:val="00542BE4"/>
    <w:rsid w:val="00542DAD"/>
    <w:rsid w:val="00544EEE"/>
    <w:rsid w:val="00545A65"/>
    <w:rsid w:val="00546EC4"/>
    <w:rsid w:val="00546F2E"/>
    <w:rsid w:val="00552160"/>
    <w:rsid w:val="005525A0"/>
    <w:rsid w:val="005540D7"/>
    <w:rsid w:val="005543BF"/>
    <w:rsid w:val="00555D6A"/>
    <w:rsid w:val="0055603D"/>
    <w:rsid w:val="00560CE6"/>
    <w:rsid w:val="00566BA0"/>
    <w:rsid w:val="00567701"/>
    <w:rsid w:val="00570AAF"/>
    <w:rsid w:val="00571529"/>
    <w:rsid w:val="005730A8"/>
    <w:rsid w:val="005762D9"/>
    <w:rsid w:val="00580586"/>
    <w:rsid w:val="0058079E"/>
    <w:rsid w:val="005808F1"/>
    <w:rsid w:val="0058372F"/>
    <w:rsid w:val="00584D8A"/>
    <w:rsid w:val="00591283"/>
    <w:rsid w:val="00592023"/>
    <w:rsid w:val="00595610"/>
    <w:rsid w:val="00595EBA"/>
    <w:rsid w:val="005963FB"/>
    <w:rsid w:val="00596DEA"/>
    <w:rsid w:val="005A0A10"/>
    <w:rsid w:val="005A1671"/>
    <w:rsid w:val="005A21AE"/>
    <w:rsid w:val="005A5568"/>
    <w:rsid w:val="005A55C3"/>
    <w:rsid w:val="005A762F"/>
    <w:rsid w:val="005A79A8"/>
    <w:rsid w:val="005B4D4C"/>
    <w:rsid w:val="005B59D4"/>
    <w:rsid w:val="005B6662"/>
    <w:rsid w:val="005B7495"/>
    <w:rsid w:val="005C178F"/>
    <w:rsid w:val="005C25E9"/>
    <w:rsid w:val="005C3732"/>
    <w:rsid w:val="005C44E9"/>
    <w:rsid w:val="005C56EE"/>
    <w:rsid w:val="005C613C"/>
    <w:rsid w:val="005C6E41"/>
    <w:rsid w:val="005D173A"/>
    <w:rsid w:val="005D254F"/>
    <w:rsid w:val="005D2EF8"/>
    <w:rsid w:val="005D46B9"/>
    <w:rsid w:val="005D5C7F"/>
    <w:rsid w:val="005D6A8A"/>
    <w:rsid w:val="005D6C40"/>
    <w:rsid w:val="005D7210"/>
    <w:rsid w:val="005D78F9"/>
    <w:rsid w:val="005E0856"/>
    <w:rsid w:val="005E1175"/>
    <w:rsid w:val="005E184F"/>
    <w:rsid w:val="005E69B8"/>
    <w:rsid w:val="005E7811"/>
    <w:rsid w:val="005F13B2"/>
    <w:rsid w:val="005F246A"/>
    <w:rsid w:val="005F564C"/>
    <w:rsid w:val="005F5F30"/>
    <w:rsid w:val="005F7562"/>
    <w:rsid w:val="005F7707"/>
    <w:rsid w:val="006002CE"/>
    <w:rsid w:val="00601B40"/>
    <w:rsid w:val="00603639"/>
    <w:rsid w:val="00604335"/>
    <w:rsid w:val="00604BED"/>
    <w:rsid w:val="0060519F"/>
    <w:rsid w:val="00606E74"/>
    <w:rsid w:val="006070D0"/>
    <w:rsid w:val="00607578"/>
    <w:rsid w:val="00611B8F"/>
    <w:rsid w:val="006138DB"/>
    <w:rsid w:val="0061650E"/>
    <w:rsid w:val="00616B52"/>
    <w:rsid w:val="00617112"/>
    <w:rsid w:val="00622C46"/>
    <w:rsid w:val="00624970"/>
    <w:rsid w:val="006249E5"/>
    <w:rsid w:val="00626247"/>
    <w:rsid w:val="00630F29"/>
    <w:rsid w:val="006314EC"/>
    <w:rsid w:val="00636307"/>
    <w:rsid w:val="0064081D"/>
    <w:rsid w:val="0064191E"/>
    <w:rsid w:val="00641AB5"/>
    <w:rsid w:val="00643836"/>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072"/>
    <w:rsid w:val="0068083C"/>
    <w:rsid w:val="00683485"/>
    <w:rsid w:val="006835BB"/>
    <w:rsid w:val="00683EF1"/>
    <w:rsid w:val="00683F7D"/>
    <w:rsid w:val="00685E0C"/>
    <w:rsid w:val="006862F4"/>
    <w:rsid w:val="00686606"/>
    <w:rsid w:val="00690F22"/>
    <w:rsid w:val="0069266A"/>
    <w:rsid w:val="006976FC"/>
    <w:rsid w:val="006A0560"/>
    <w:rsid w:val="006A10C7"/>
    <w:rsid w:val="006A1198"/>
    <w:rsid w:val="006A1C04"/>
    <w:rsid w:val="006A3A0D"/>
    <w:rsid w:val="006A4B3F"/>
    <w:rsid w:val="006A647E"/>
    <w:rsid w:val="006A68A5"/>
    <w:rsid w:val="006B0482"/>
    <w:rsid w:val="006B12D6"/>
    <w:rsid w:val="006B2BAC"/>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0B06"/>
    <w:rsid w:val="006F2E45"/>
    <w:rsid w:val="006F39AD"/>
    <w:rsid w:val="006F4F24"/>
    <w:rsid w:val="006F6307"/>
    <w:rsid w:val="00700288"/>
    <w:rsid w:val="007003B8"/>
    <w:rsid w:val="007014AE"/>
    <w:rsid w:val="00701B55"/>
    <w:rsid w:val="00703EE6"/>
    <w:rsid w:val="007043B8"/>
    <w:rsid w:val="0071266F"/>
    <w:rsid w:val="00715271"/>
    <w:rsid w:val="0071659A"/>
    <w:rsid w:val="007169EA"/>
    <w:rsid w:val="00721AF8"/>
    <w:rsid w:val="00722026"/>
    <w:rsid w:val="00722D6C"/>
    <w:rsid w:val="00723B80"/>
    <w:rsid w:val="00724AA9"/>
    <w:rsid w:val="00726579"/>
    <w:rsid w:val="00726659"/>
    <w:rsid w:val="00727B74"/>
    <w:rsid w:val="00727EE4"/>
    <w:rsid w:val="007301DF"/>
    <w:rsid w:val="0073137C"/>
    <w:rsid w:val="00734C3E"/>
    <w:rsid w:val="00737E97"/>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1CBC"/>
    <w:rsid w:val="007624D3"/>
    <w:rsid w:val="00762955"/>
    <w:rsid w:val="0076336D"/>
    <w:rsid w:val="0076568E"/>
    <w:rsid w:val="007663F9"/>
    <w:rsid w:val="007713EB"/>
    <w:rsid w:val="0077200E"/>
    <w:rsid w:val="007731C9"/>
    <w:rsid w:val="00775C3B"/>
    <w:rsid w:val="00781C86"/>
    <w:rsid w:val="00781DEE"/>
    <w:rsid w:val="00785E98"/>
    <w:rsid w:val="00787B59"/>
    <w:rsid w:val="00791043"/>
    <w:rsid w:val="0079139C"/>
    <w:rsid w:val="007919F9"/>
    <w:rsid w:val="00796E13"/>
    <w:rsid w:val="00797591"/>
    <w:rsid w:val="00797F4A"/>
    <w:rsid w:val="007A2DB6"/>
    <w:rsid w:val="007A414D"/>
    <w:rsid w:val="007A425F"/>
    <w:rsid w:val="007A63CA"/>
    <w:rsid w:val="007A76C3"/>
    <w:rsid w:val="007B0A1C"/>
    <w:rsid w:val="007B2901"/>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E5BE7"/>
    <w:rsid w:val="007E614F"/>
    <w:rsid w:val="007E6C81"/>
    <w:rsid w:val="007E7617"/>
    <w:rsid w:val="007F0A6F"/>
    <w:rsid w:val="007F1B76"/>
    <w:rsid w:val="007F1DA0"/>
    <w:rsid w:val="007F406C"/>
    <w:rsid w:val="007F4134"/>
    <w:rsid w:val="007F7ADC"/>
    <w:rsid w:val="0080005E"/>
    <w:rsid w:val="00800F1B"/>
    <w:rsid w:val="00801FED"/>
    <w:rsid w:val="00803943"/>
    <w:rsid w:val="00810131"/>
    <w:rsid w:val="00810433"/>
    <w:rsid w:val="00810BB5"/>
    <w:rsid w:val="00811C19"/>
    <w:rsid w:val="0081204C"/>
    <w:rsid w:val="008152A7"/>
    <w:rsid w:val="00821B34"/>
    <w:rsid w:val="00823F13"/>
    <w:rsid w:val="00825775"/>
    <w:rsid w:val="00826B23"/>
    <w:rsid w:val="00826C19"/>
    <w:rsid w:val="008305B6"/>
    <w:rsid w:val="00830EAA"/>
    <w:rsid w:val="008312A0"/>
    <w:rsid w:val="00832151"/>
    <w:rsid w:val="00833363"/>
    <w:rsid w:val="0083383C"/>
    <w:rsid w:val="008343EB"/>
    <w:rsid w:val="00835B3B"/>
    <w:rsid w:val="008378DC"/>
    <w:rsid w:val="00837E31"/>
    <w:rsid w:val="00844014"/>
    <w:rsid w:val="008468A7"/>
    <w:rsid w:val="008504A2"/>
    <w:rsid w:val="008507BB"/>
    <w:rsid w:val="00850852"/>
    <w:rsid w:val="00853DEA"/>
    <w:rsid w:val="00853FB6"/>
    <w:rsid w:val="00857DDE"/>
    <w:rsid w:val="00860D65"/>
    <w:rsid w:val="00861C87"/>
    <w:rsid w:val="00862FDA"/>
    <w:rsid w:val="00863189"/>
    <w:rsid w:val="00865170"/>
    <w:rsid w:val="00865F91"/>
    <w:rsid w:val="00874A34"/>
    <w:rsid w:val="00875592"/>
    <w:rsid w:val="00880A15"/>
    <w:rsid w:val="00881041"/>
    <w:rsid w:val="00881156"/>
    <w:rsid w:val="008813CF"/>
    <w:rsid w:val="008827F7"/>
    <w:rsid w:val="00882AFF"/>
    <w:rsid w:val="008840E0"/>
    <w:rsid w:val="00886066"/>
    <w:rsid w:val="00887FE5"/>
    <w:rsid w:val="00890BF9"/>
    <w:rsid w:val="008929FB"/>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34B5"/>
    <w:rsid w:val="008E59FD"/>
    <w:rsid w:val="008E5A54"/>
    <w:rsid w:val="008E6E27"/>
    <w:rsid w:val="008F00A9"/>
    <w:rsid w:val="008F1F5D"/>
    <w:rsid w:val="008F2F0C"/>
    <w:rsid w:val="008F322E"/>
    <w:rsid w:val="008F3953"/>
    <w:rsid w:val="008F5E55"/>
    <w:rsid w:val="008F7FF7"/>
    <w:rsid w:val="009014C9"/>
    <w:rsid w:val="00901EE3"/>
    <w:rsid w:val="00902B1D"/>
    <w:rsid w:val="00905257"/>
    <w:rsid w:val="0090635D"/>
    <w:rsid w:val="00906B05"/>
    <w:rsid w:val="00906F55"/>
    <w:rsid w:val="00910BBA"/>
    <w:rsid w:val="009114FA"/>
    <w:rsid w:val="009141F4"/>
    <w:rsid w:val="00915486"/>
    <w:rsid w:val="00916F90"/>
    <w:rsid w:val="00917100"/>
    <w:rsid w:val="009228BD"/>
    <w:rsid w:val="00923D7A"/>
    <w:rsid w:val="009242C9"/>
    <w:rsid w:val="0092478C"/>
    <w:rsid w:val="00924FA3"/>
    <w:rsid w:val="009273C0"/>
    <w:rsid w:val="00931D22"/>
    <w:rsid w:val="00932485"/>
    <w:rsid w:val="00933FB6"/>
    <w:rsid w:val="00935390"/>
    <w:rsid w:val="0093687D"/>
    <w:rsid w:val="0094020D"/>
    <w:rsid w:val="009403B7"/>
    <w:rsid w:val="009411DE"/>
    <w:rsid w:val="00942B20"/>
    <w:rsid w:val="009430BF"/>
    <w:rsid w:val="00945848"/>
    <w:rsid w:val="00946A11"/>
    <w:rsid w:val="00956557"/>
    <w:rsid w:val="00957BD5"/>
    <w:rsid w:val="00961DAE"/>
    <w:rsid w:val="0096423E"/>
    <w:rsid w:val="009643D5"/>
    <w:rsid w:val="0097204E"/>
    <w:rsid w:val="00973B32"/>
    <w:rsid w:val="00980006"/>
    <w:rsid w:val="00990333"/>
    <w:rsid w:val="00991E0B"/>
    <w:rsid w:val="00994B57"/>
    <w:rsid w:val="0099643C"/>
    <w:rsid w:val="00996AD1"/>
    <w:rsid w:val="00997B9C"/>
    <w:rsid w:val="009A307A"/>
    <w:rsid w:val="009A37E8"/>
    <w:rsid w:val="009A4813"/>
    <w:rsid w:val="009A496F"/>
    <w:rsid w:val="009A5E93"/>
    <w:rsid w:val="009A618B"/>
    <w:rsid w:val="009A6204"/>
    <w:rsid w:val="009A6477"/>
    <w:rsid w:val="009B074A"/>
    <w:rsid w:val="009B1241"/>
    <w:rsid w:val="009B5610"/>
    <w:rsid w:val="009B5735"/>
    <w:rsid w:val="009B692B"/>
    <w:rsid w:val="009C08C8"/>
    <w:rsid w:val="009C1E4A"/>
    <w:rsid w:val="009C5F1B"/>
    <w:rsid w:val="009C67AB"/>
    <w:rsid w:val="009D0E5E"/>
    <w:rsid w:val="009D12C4"/>
    <w:rsid w:val="009D185D"/>
    <w:rsid w:val="009D7C43"/>
    <w:rsid w:val="009D7D8B"/>
    <w:rsid w:val="009E0990"/>
    <w:rsid w:val="009E2B77"/>
    <w:rsid w:val="009E5EBC"/>
    <w:rsid w:val="009E66C4"/>
    <w:rsid w:val="009E70B1"/>
    <w:rsid w:val="009F13CB"/>
    <w:rsid w:val="009F1DF1"/>
    <w:rsid w:val="009F2037"/>
    <w:rsid w:val="009F4DCA"/>
    <w:rsid w:val="009F5621"/>
    <w:rsid w:val="009F5892"/>
    <w:rsid w:val="009F648C"/>
    <w:rsid w:val="009F71D3"/>
    <w:rsid w:val="00A012A6"/>
    <w:rsid w:val="00A012AF"/>
    <w:rsid w:val="00A013CE"/>
    <w:rsid w:val="00A01B82"/>
    <w:rsid w:val="00A02CEA"/>
    <w:rsid w:val="00A05767"/>
    <w:rsid w:val="00A127A1"/>
    <w:rsid w:val="00A1320D"/>
    <w:rsid w:val="00A1496E"/>
    <w:rsid w:val="00A14B1F"/>
    <w:rsid w:val="00A17070"/>
    <w:rsid w:val="00A2239F"/>
    <w:rsid w:val="00A23882"/>
    <w:rsid w:val="00A32DCC"/>
    <w:rsid w:val="00A3594D"/>
    <w:rsid w:val="00A36137"/>
    <w:rsid w:val="00A403D2"/>
    <w:rsid w:val="00A40F20"/>
    <w:rsid w:val="00A4264D"/>
    <w:rsid w:val="00A44970"/>
    <w:rsid w:val="00A46EF2"/>
    <w:rsid w:val="00A47A4E"/>
    <w:rsid w:val="00A47D27"/>
    <w:rsid w:val="00A50F64"/>
    <w:rsid w:val="00A54E5D"/>
    <w:rsid w:val="00A54F75"/>
    <w:rsid w:val="00A60896"/>
    <w:rsid w:val="00A615C9"/>
    <w:rsid w:val="00A64637"/>
    <w:rsid w:val="00A67A1E"/>
    <w:rsid w:val="00A702B0"/>
    <w:rsid w:val="00A7531A"/>
    <w:rsid w:val="00A757A7"/>
    <w:rsid w:val="00A76CC6"/>
    <w:rsid w:val="00A77C43"/>
    <w:rsid w:val="00A80FF2"/>
    <w:rsid w:val="00A825C5"/>
    <w:rsid w:val="00A8521E"/>
    <w:rsid w:val="00A91484"/>
    <w:rsid w:val="00A91D48"/>
    <w:rsid w:val="00A93DDC"/>
    <w:rsid w:val="00A9491B"/>
    <w:rsid w:val="00A95F0D"/>
    <w:rsid w:val="00A968E9"/>
    <w:rsid w:val="00A96AA7"/>
    <w:rsid w:val="00A96C72"/>
    <w:rsid w:val="00A96F6A"/>
    <w:rsid w:val="00A97A9D"/>
    <w:rsid w:val="00AA1BB7"/>
    <w:rsid w:val="00AA544B"/>
    <w:rsid w:val="00AA5E30"/>
    <w:rsid w:val="00AA6A29"/>
    <w:rsid w:val="00AB0D70"/>
    <w:rsid w:val="00AB16AD"/>
    <w:rsid w:val="00AB315E"/>
    <w:rsid w:val="00AB360C"/>
    <w:rsid w:val="00AB420B"/>
    <w:rsid w:val="00AB78B5"/>
    <w:rsid w:val="00AB79E1"/>
    <w:rsid w:val="00AB7B1D"/>
    <w:rsid w:val="00AB7E6C"/>
    <w:rsid w:val="00AC087C"/>
    <w:rsid w:val="00AC2DBA"/>
    <w:rsid w:val="00AC5C21"/>
    <w:rsid w:val="00AC5D9F"/>
    <w:rsid w:val="00AC6E67"/>
    <w:rsid w:val="00AD0255"/>
    <w:rsid w:val="00AD1993"/>
    <w:rsid w:val="00AD1E19"/>
    <w:rsid w:val="00AD1E73"/>
    <w:rsid w:val="00AD250E"/>
    <w:rsid w:val="00AD57ED"/>
    <w:rsid w:val="00AD5896"/>
    <w:rsid w:val="00AE0772"/>
    <w:rsid w:val="00AE26B0"/>
    <w:rsid w:val="00AE276A"/>
    <w:rsid w:val="00AE3BF1"/>
    <w:rsid w:val="00AE7956"/>
    <w:rsid w:val="00AE7A82"/>
    <w:rsid w:val="00AF0823"/>
    <w:rsid w:val="00AF1B8A"/>
    <w:rsid w:val="00AF2341"/>
    <w:rsid w:val="00AF2359"/>
    <w:rsid w:val="00AF4086"/>
    <w:rsid w:val="00AF57FF"/>
    <w:rsid w:val="00AF6D19"/>
    <w:rsid w:val="00B0091F"/>
    <w:rsid w:val="00B00F99"/>
    <w:rsid w:val="00B0133C"/>
    <w:rsid w:val="00B046AA"/>
    <w:rsid w:val="00B051C2"/>
    <w:rsid w:val="00B0551C"/>
    <w:rsid w:val="00B06FB4"/>
    <w:rsid w:val="00B10318"/>
    <w:rsid w:val="00B1193B"/>
    <w:rsid w:val="00B12254"/>
    <w:rsid w:val="00B126A5"/>
    <w:rsid w:val="00B136BB"/>
    <w:rsid w:val="00B147D3"/>
    <w:rsid w:val="00B14A34"/>
    <w:rsid w:val="00B17B30"/>
    <w:rsid w:val="00B21FF9"/>
    <w:rsid w:val="00B2264E"/>
    <w:rsid w:val="00B249F9"/>
    <w:rsid w:val="00B26C8D"/>
    <w:rsid w:val="00B273AE"/>
    <w:rsid w:val="00B31C8E"/>
    <w:rsid w:val="00B32883"/>
    <w:rsid w:val="00B32EBC"/>
    <w:rsid w:val="00B345D7"/>
    <w:rsid w:val="00B35BE7"/>
    <w:rsid w:val="00B36B29"/>
    <w:rsid w:val="00B36BA9"/>
    <w:rsid w:val="00B37204"/>
    <w:rsid w:val="00B372AA"/>
    <w:rsid w:val="00B41968"/>
    <w:rsid w:val="00B41CD2"/>
    <w:rsid w:val="00B42FFC"/>
    <w:rsid w:val="00B46616"/>
    <w:rsid w:val="00B47372"/>
    <w:rsid w:val="00B50EDA"/>
    <w:rsid w:val="00B515E0"/>
    <w:rsid w:val="00B51851"/>
    <w:rsid w:val="00B52DEF"/>
    <w:rsid w:val="00B57CBC"/>
    <w:rsid w:val="00B61FE0"/>
    <w:rsid w:val="00B6298B"/>
    <w:rsid w:val="00B739F7"/>
    <w:rsid w:val="00B74087"/>
    <w:rsid w:val="00B742E2"/>
    <w:rsid w:val="00B74515"/>
    <w:rsid w:val="00B74FE1"/>
    <w:rsid w:val="00B75095"/>
    <w:rsid w:val="00B753C9"/>
    <w:rsid w:val="00B83C7E"/>
    <w:rsid w:val="00B8493F"/>
    <w:rsid w:val="00B85903"/>
    <w:rsid w:val="00B87ECA"/>
    <w:rsid w:val="00B91DFC"/>
    <w:rsid w:val="00B94C09"/>
    <w:rsid w:val="00B95479"/>
    <w:rsid w:val="00B955DA"/>
    <w:rsid w:val="00B95BEC"/>
    <w:rsid w:val="00B96924"/>
    <w:rsid w:val="00B96B49"/>
    <w:rsid w:val="00BA190F"/>
    <w:rsid w:val="00BA43DA"/>
    <w:rsid w:val="00BA45BD"/>
    <w:rsid w:val="00BA4D7A"/>
    <w:rsid w:val="00BA55A2"/>
    <w:rsid w:val="00BA5613"/>
    <w:rsid w:val="00BA69C5"/>
    <w:rsid w:val="00BA767E"/>
    <w:rsid w:val="00BB0538"/>
    <w:rsid w:val="00BB0944"/>
    <w:rsid w:val="00BB1592"/>
    <w:rsid w:val="00BB24D9"/>
    <w:rsid w:val="00BB51CF"/>
    <w:rsid w:val="00BB7F2E"/>
    <w:rsid w:val="00BC226E"/>
    <w:rsid w:val="00BC2635"/>
    <w:rsid w:val="00BC2B17"/>
    <w:rsid w:val="00BC3542"/>
    <w:rsid w:val="00BC3EE8"/>
    <w:rsid w:val="00BC578D"/>
    <w:rsid w:val="00BC6C10"/>
    <w:rsid w:val="00BC6F51"/>
    <w:rsid w:val="00BD0663"/>
    <w:rsid w:val="00BD1137"/>
    <w:rsid w:val="00BD1717"/>
    <w:rsid w:val="00BD2871"/>
    <w:rsid w:val="00BD51CF"/>
    <w:rsid w:val="00BD66C4"/>
    <w:rsid w:val="00BE0DA5"/>
    <w:rsid w:val="00BE18A0"/>
    <w:rsid w:val="00BE1B06"/>
    <w:rsid w:val="00BE2159"/>
    <w:rsid w:val="00BE2721"/>
    <w:rsid w:val="00BE30F8"/>
    <w:rsid w:val="00BE5BD0"/>
    <w:rsid w:val="00BE67FB"/>
    <w:rsid w:val="00BE7DDF"/>
    <w:rsid w:val="00BF2629"/>
    <w:rsid w:val="00BF297F"/>
    <w:rsid w:val="00BF3C05"/>
    <w:rsid w:val="00BF6249"/>
    <w:rsid w:val="00BF721A"/>
    <w:rsid w:val="00C00083"/>
    <w:rsid w:val="00C0120C"/>
    <w:rsid w:val="00C0157D"/>
    <w:rsid w:val="00C01B0C"/>
    <w:rsid w:val="00C030C7"/>
    <w:rsid w:val="00C03375"/>
    <w:rsid w:val="00C03537"/>
    <w:rsid w:val="00C0450C"/>
    <w:rsid w:val="00C105F1"/>
    <w:rsid w:val="00C10DC7"/>
    <w:rsid w:val="00C12120"/>
    <w:rsid w:val="00C12C73"/>
    <w:rsid w:val="00C12D94"/>
    <w:rsid w:val="00C135C0"/>
    <w:rsid w:val="00C13CE4"/>
    <w:rsid w:val="00C14100"/>
    <w:rsid w:val="00C15718"/>
    <w:rsid w:val="00C15ADA"/>
    <w:rsid w:val="00C16E04"/>
    <w:rsid w:val="00C200C2"/>
    <w:rsid w:val="00C20259"/>
    <w:rsid w:val="00C21D3B"/>
    <w:rsid w:val="00C26C4A"/>
    <w:rsid w:val="00C26DED"/>
    <w:rsid w:val="00C30551"/>
    <w:rsid w:val="00C30F74"/>
    <w:rsid w:val="00C3540D"/>
    <w:rsid w:val="00C42810"/>
    <w:rsid w:val="00C442A8"/>
    <w:rsid w:val="00C46530"/>
    <w:rsid w:val="00C47241"/>
    <w:rsid w:val="00C47B5E"/>
    <w:rsid w:val="00C50093"/>
    <w:rsid w:val="00C51D7B"/>
    <w:rsid w:val="00C53D9E"/>
    <w:rsid w:val="00C54987"/>
    <w:rsid w:val="00C5539B"/>
    <w:rsid w:val="00C60574"/>
    <w:rsid w:val="00C60ED3"/>
    <w:rsid w:val="00C630BF"/>
    <w:rsid w:val="00C63A44"/>
    <w:rsid w:val="00C65ACA"/>
    <w:rsid w:val="00C66205"/>
    <w:rsid w:val="00C673AD"/>
    <w:rsid w:val="00C70A47"/>
    <w:rsid w:val="00C72326"/>
    <w:rsid w:val="00C75164"/>
    <w:rsid w:val="00C763E3"/>
    <w:rsid w:val="00C76618"/>
    <w:rsid w:val="00C76F1B"/>
    <w:rsid w:val="00C87784"/>
    <w:rsid w:val="00C91AD7"/>
    <w:rsid w:val="00C92F69"/>
    <w:rsid w:val="00C93224"/>
    <w:rsid w:val="00C95117"/>
    <w:rsid w:val="00CA1672"/>
    <w:rsid w:val="00CA1814"/>
    <w:rsid w:val="00CA396C"/>
    <w:rsid w:val="00CA404F"/>
    <w:rsid w:val="00CA42D0"/>
    <w:rsid w:val="00CA4F5C"/>
    <w:rsid w:val="00CA58D1"/>
    <w:rsid w:val="00CA76F6"/>
    <w:rsid w:val="00CB08AC"/>
    <w:rsid w:val="00CB0C38"/>
    <w:rsid w:val="00CB1C1C"/>
    <w:rsid w:val="00CB2F16"/>
    <w:rsid w:val="00CB46E1"/>
    <w:rsid w:val="00CB4A4C"/>
    <w:rsid w:val="00CB5AED"/>
    <w:rsid w:val="00CC0330"/>
    <w:rsid w:val="00CC26A5"/>
    <w:rsid w:val="00CC3118"/>
    <w:rsid w:val="00CC560D"/>
    <w:rsid w:val="00CC65A2"/>
    <w:rsid w:val="00CC67FC"/>
    <w:rsid w:val="00CC7E36"/>
    <w:rsid w:val="00CD1905"/>
    <w:rsid w:val="00CD29BA"/>
    <w:rsid w:val="00CD35D9"/>
    <w:rsid w:val="00CD5A0C"/>
    <w:rsid w:val="00CD5B2F"/>
    <w:rsid w:val="00CD6641"/>
    <w:rsid w:val="00CE241F"/>
    <w:rsid w:val="00CE3749"/>
    <w:rsid w:val="00CE43E8"/>
    <w:rsid w:val="00CE4609"/>
    <w:rsid w:val="00CE5703"/>
    <w:rsid w:val="00CE7C39"/>
    <w:rsid w:val="00CF05F7"/>
    <w:rsid w:val="00CF0E52"/>
    <w:rsid w:val="00CF57E4"/>
    <w:rsid w:val="00D003CD"/>
    <w:rsid w:val="00D00D2C"/>
    <w:rsid w:val="00D01D97"/>
    <w:rsid w:val="00D0298B"/>
    <w:rsid w:val="00D03D38"/>
    <w:rsid w:val="00D04A21"/>
    <w:rsid w:val="00D04A68"/>
    <w:rsid w:val="00D06359"/>
    <w:rsid w:val="00D067F8"/>
    <w:rsid w:val="00D06CA1"/>
    <w:rsid w:val="00D101CF"/>
    <w:rsid w:val="00D1145B"/>
    <w:rsid w:val="00D11E2F"/>
    <w:rsid w:val="00D1302C"/>
    <w:rsid w:val="00D13342"/>
    <w:rsid w:val="00D13831"/>
    <w:rsid w:val="00D158D3"/>
    <w:rsid w:val="00D21EEC"/>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6D38"/>
    <w:rsid w:val="00D47AD1"/>
    <w:rsid w:val="00D5028E"/>
    <w:rsid w:val="00D50A44"/>
    <w:rsid w:val="00D53C78"/>
    <w:rsid w:val="00D53CFA"/>
    <w:rsid w:val="00D602DE"/>
    <w:rsid w:val="00D60DCD"/>
    <w:rsid w:val="00D62010"/>
    <w:rsid w:val="00D659A2"/>
    <w:rsid w:val="00D6663B"/>
    <w:rsid w:val="00D666C3"/>
    <w:rsid w:val="00D673A4"/>
    <w:rsid w:val="00D6745F"/>
    <w:rsid w:val="00D67BCF"/>
    <w:rsid w:val="00D70B83"/>
    <w:rsid w:val="00D7292C"/>
    <w:rsid w:val="00D751C7"/>
    <w:rsid w:val="00D753B2"/>
    <w:rsid w:val="00D75993"/>
    <w:rsid w:val="00D75D62"/>
    <w:rsid w:val="00D76A2F"/>
    <w:rsid w:val="00D77983"/>
    <w:rsid w:val="00D80268"/>
    <w:rsid w:val="00D80A5A"/>
    <w:rsid w:val="00D81DB9"/>
    <w:rsid w:val="00D82EBF"/>
    <w:rsid w:val="00D85EA9"/>
    <w:rsid w:val="00D8741C"/>
    <w:rsid w:val="00D90F92"/>
    <w:rsid w:val="00D910D9"/>
    <w:rsid w:val="00D92EED"/>
    <w:rsid w:val="00D96CD8"/>
    <w:rsid w:val="00D976F3"/>
    <w:rsid w:val="00D97BC0"/>
    <w:rsid w:val="00D97F99"/>
    <w:rsid w:val="00D97FB4"/>
    <w:rsid w:val="00DA1822"/>
    <w:rsid w:val="00DA2EDD"/>
    <w:rsid w:val="00DA390F"/>
    <w:rsid w:val="00DA6C93"/>
    <w:rsid w:val="00DB07AB"/>
    <w:rsid w:val="00DB394E"/>
    <w:rsid w:val="00DB41EC"/>
    <w:rsid w:val="00DB5E28"/>
    <w:rsid w:val="00DB5F1D"/>
    <w:rsid w:val="00DB725A"/>
    <w:rsid w:val="00DB7830"/>
    <w:rsid w:val="00DC0365"/>
    <w:rsid w:val="00DC29EC"/>
    <w:rsid w:val="00DC31E7"/>
    <w:rsid w:val="00DC7C3B"/>
    <w:rsid w:val="00DD17F6"/>
    <w:rsid w:val="00DD20F4"/>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0FB"/>
    <w:rsid w:val="00DF36AB"/>
    <w:rsid w:val="00DF3917"/>
    <w:rsid w:val="00DF4662"/>
    <w:rsid w:val="00DF6832"/>
    <w:rsid w:val="00DF7CA9"/>
    <w:rsid w:val="00E00AFD"/>
    <w:rsid w:val="00E00B29"/>
    <w:rsid w:val="00E01D5D"/>
    <w:rsid w:val="00E02FB2"/>
    <w:rsid w:val="00E0443A"/>
    <w:rsid w:val="00E0456D"/>
    <w:rsid w:val="00E05013"/>
    <w:rsid w:val="00E05939"/>
    <w:rsid w:val="00E05D93"/>
    <w:rsid w:val="00E0798A"/>
    <w:rsid w:val="00E07E05"/>
    <w:rsid w:val="00E11902"/>
    <w:rsid w:val="00E121EF"/>
    <w:rsid w:val="00E15148"/>
    <w:rsid w:val="00E16656"/>
    <w:rsid w:val="00E17601"/>
    <w:rsid w:val="00E21724"/>
    <w:rsid w:val="00E25798"/>
    <w:rsid w:val="00E26B03"/>
    <w:rsid w:val="00E27CD4"/>
    <w:rsid w:val="00E3225B"/>
    <w:rsid w:val="00E323BE"/>
    <w:rsid w:val="00E3306A"/>
    <w:rsid w:val="00E35F5A"/>
    <w:rsid w:val="00E36D64"/>
    <w:rsid w:val="00E36E8E"/>
    <w:rsid w:val="00E37B36"/>
    <w:rsid w:val="00E4041C"/>
    <w:rsid w:val="00E457E8"/>
    <w:rsid w:val="00E46A65"/>
    <w:rsid w:val="00E524E5"/>
    <w:rsid w:val="00E5434E"/>
    <w:rsid w:val="00E54387"/>
    <w:rsid w:val="00E56122"/>
    <w:rsid w:val="00E5620F"/>
    <w:rsid w:val="00E600A6"/>
    <w:rsid w:val="00E601BB"/>
    <w:rsid w:val="00E603FF"/>
    <w:rsid w:val="00E624B7"/>
    <w:rsid w:val="00E62A0A"/>
    <w:rsid w:val="00E62D0F"/>
    <w:rsid w:val="00E63178"/>
    <w:rsid w:val="00E63F8C"/>
    <w:rsid w:val="00E66F12"/>
    <w:rsid w:val="00E677FD"/>
    <w:rsid w:val="00E678AE"/>
    <w:rsid w:val="00E7047D"/>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5774"/>
    <w:rsid w:val="00EA676A"/>
    <w:rsid w:val="00EA7A95"/>
    <w:rsid w:val="00EA7E8F"/>
    <w:rsid w:val="00EB212A"/>
    <w:rsid w:val="00EB3A1E"/>
    <w:rsid w:val="00EB598D"/>
    <w:rsid w:val="00EB717F"/>
    <w:rsid w:val="00EC123C"/>
    <w:rsid w:val="00EC267C"/>
    <w:rsid w:val="00EC2CB1"/>
    <w:rsid w:val="00EC7B19"/>
    <w:rsid w:val="00ED0229"/>
    <w:rsid w:val="00ED2CE1"/>
    <w:rsid w:val="00ED3DD9"/>
    <w:rsid w:val="00ED4A6F"/>
    <w:rsid w:val="00ED6441"/>
    <w:rsid w:val="00ED6FF2"/>
    <w:rsid w:val="00EE26BA"/>
    <w:rsid w:val="00EE4BA8"/>
    <w:rsid w:val="00EE5D1E"/>
    <w:rsid w:val="00EE63AF"/>
    <w:rsid w:val="00EE75DD"/>
    <w:rsid w:val="00EF0823"/>
    <w:rsid w:val="00EF11A8"/>
    <w:rsid w:val="00EF1536"/>
    <w:rsid w:val="00EF168F"/>
    <w:rsid w:val="00EF1B11"/>
    <w:rsid w:val="00EF24A7"/>
    <w:rsid w:val="00F00B4B"/>
    <w:rsid w:val="00F01427"/>
    <w:rsid w:val="00F01AB6"/>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28B5"/>
    <w:rsid w:val="00F4556E"/>
    <w:rsid w:val="00F45E1D"/>
    <w:rsid w:val="00F46759"/>
    <w:rsid w:val="00F532EC"/>
    <w:rsid w:val="00F600E1"/>
    <w:rsid w:val="00F63201"/>
    <w:rsid w:val="00F70C89"/>
    <w:rsid w:val="00F71BEE"/>
    <w:rsid w:val="00F72BBC"/>
    <w:rsid w:val="00F72CA5"/>
    <w:rsid w:val="00F72D2E"/>
    <w:rsid w:val="00F7366E"/>
    <w:rsid w:val="00F75C51"/>
    <w:rsid w:val="00F80B45"/>
    <w:rsid w:val="00F82C05"/>
    <w:rsid w:val="00F83D8A"/>
    <w:rsid w:val="00F86077"/>
    <w:rsid w:val="00F87BB2"/>
    <w:rsid w:val="00F87C9B"/>
    <w:rsid w:val="00F901A2"/>
    <w:rsid w:val="00F90A40"/>
    <w:rsid w:val="00F92F79"/>
    <w:rsid w:val="00F93A98"/>
    <w:rsid w:val="00F976D7"/>
    <w:rsid w:val="00FA0E81"/>
    <w:rsid w:val="00FA16DF"/>
    <w:rsid w:val="00FA1FE8"/>
    <w:rsid w:val="00FB0D43"/>
    <w:rsid w:val="00FB30C3"/>
    <w:rsid w:val="00FB375F"/>
    <w:rsid w:val="00FB4052"/>
    <w:rsid w:val="00FB60E3"/>
    <w:rsid w:val="00FC36B2"/>
    <w:rsid w:val="00FC372A"/>
    <w:rsid w:val="00FC62B6"/>
    <w:rsid w:val="00FC6E11"/>
    <w:rsid w:val="00FC79F7"/>
    <w:rsid w:val="00FD62C4"/>
    <w:rsid w:val="00FE0702"/>
    <w:rsid w:val="00FE1E50"/>
    <w:rsid w:val="00FE477C"/>
    <w:rsid w:val="00FF0491"/>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8F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link w:val="ListParagraphChar"/>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BodyTextIndent3">
    <w:name w:val="Body Text Indent 3"/>
    <w:basedOn w:val="Normal"/>
    <w:link w:val="BodyTextIndent3Char"/>
    <w:rsid w:val="000A50C8"/>
    <w:pPr>
      <w:spacing w:after="120"/>
      <w:ind w:left="360"/>
    </w:pPr>
    <w:rPr>
      <w:sz w:val="16"/>
      <w:szCs w:val="16"/>
    </w:rPr>
  </w:style>
  <w:style w:type="character" w:customStyle="1" w:styleId="BodyTextIndent3Char">
    <w:name w:val="Body Text Indent 3 Char"/>
    <w:basedOn w:val="DefaultParagraphFont"/>
    <w:link w:val="BodyTextIndent3"/>
    <w:rsid w:val="000A50C8"/>
    <w:rPr>
      <w:sz w:val="16"/>
      <w:szCs w:val="16"/>
    </w:rPr>
  </w:style>
  <w:style w:type="character" w:styleId="CommentReference">
    <w:name w:val="annotation reference"/>
    <w:basedOn w:val="DefaultParagraphFont"/>
    <w:uiPriority w:val="99"/>
    <w:semiHidden/>
    <w:unhideWhenUsed/>
    <w:rsid w:val="000F6A3A"/>
    <w:rPr>
      <w:sz w:val="16"/>
      <w:szCs w:val="16"/>
    </w:rPr>
  </w:style>
  <w:style w:type="paragraph" w:styleId="CommentText">
    <w:name w:val="annotation text"/>
    <w:basedOn w:val="Normal"/>
    <w:link w:val="CommentTextChar"/>
    <w:uiPriority w:val="99"/>
    <w:unhideWhenUsed/>
    <w:rsid w:val="000F6A3A"/>
    <w:pPr>
      <w:spacing w:line="240" w:lineRule="auto"/>
    </w:pPr>
    <w:rPr>
      <w:sz w:val="20"/>
      <w:szCs w:val="20"/>
    </w:rPr>
  </w:style>
  <w:style w:type="character" w:customStyle="1" w:styleId="CommentTextChar">
    <w:name w:val="Comment Text Char"/>
    <w:basedOn w:val="DefaultParagraphFont"/>
    <w:link w:val="CommentText"/>
    <w:uiPriority w:val="99"/>
    <w:rsid w:val="000F6A3A"/>
    <w:rPr>
      <w:sz w:val="20"/>
      <w:szCs w:val="20"/>
    </w:rPr>
  </w:style>
  <w:style w:type="paragraph" w:styleId="CommentSubject">
    <w:name w:val="annotation subject"/>
    <w:basedOn w:val="CommentText"/>
    <w:next w:val="CommentText"/>
    <w:link w:val="CommentSubjectChar"/>
    <w:semiHidden/>
    <w:unhideWhenUsed/>
    <w:rsid w:val="000F6A3A"/>
    <w:rPr>
      <w:b/>
      <w:bCs/>
    </w:rPr>
  </w:style>
  <w:style w:type="character" w:customStyle="1" w:styleId="CommentSubjectChar">
    <w:name w:val="Comment Subject Char"/>
    <w:basedOn w:val="CommentTextChar"/>
    <w:link w:val="CommentSubject"/>
    <w:semiHidden/>
    <w:rsid w:val="000F6A3A"/>
    <w:rPr>
      <w:b/>
      <w:bCs/>
      <w:sz w:val="20"/>
      <w:szCs w:val="20"/>
    </w:rPr>
  </w:style>
  <w:style w:type="paragraph" w:customStyle="1" w:styleId="CaptionTable">
    <w:name w:val="Caption_Table"/>
    <w:basedOn w:val="Normal"/>
    <w:rsid w:val="00887FE5"/>
    <w:pPr>
      <w:keepNext/>
      <w:spacing w:after="80" w:line="240" w:lineRule="auto"/>
      <w:jc w:val="center"/>
    </w:pPr>
    <w:rPr>
      <w:rFonts w:ascii="Times New Roman" w:eastAsia="Times New Roman" w:hAnsi="Times New Roman" w:cs="Times New Roman"/>
      <w:i/>
      <w:sz w:val="24"/>
      <w:szCs w:val="24"/>
    </w:rPr>
  </w:style>
  <w:style w:type="paragraph" w:customStyle="1" w:styleId="Default">
    <w:name w:val="Default"/>
    <w:rsid w:val="00DD20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4">
    <w:name w:val="CM54"/>
    <w:basedOn w:val="Default"/>
    <w:next w:val="Default"/>
    <w:uiPriority w:val="99"/>
    <w:rsid w:val="00DD20F4"/>
    <w:pPr>
      <w:spacing w:line="276" w:lineRule="atLeast"/>
    </w:pPr>
    <w:rPr>
      <w:color w:val="auto"/>
    </w:rPr>
  </w:style>
  <w:style w:type="paragraph" w:customStyle="1" w:styleId="CM56">
    <w:name w:val="CM56"/>
    <w:basedOn w:val="Default"/>
    <w:next w:val="Default"/>
    <w:uiPriority w:val="99"/>
    <w:rsid w:val="0026392F"/>
    <w:rPr>
      <w:color w:val="auto"/>
    </w:rPr>
  </w:style>
  <w:style w:type="paragraph" w:styleId="Revision">
    <w:name w:val="Revision"/>
    <w:hidden/>
    <w:uiPriority w:val="99"/>
    <w:semiHidden/>
    <w:rsid w:val="00C50093"/>
    <w:pPr>
      <w:spacing w:after="0" w:line="240" w:lineRule="auto"/>
    </w:pPr>
  </w:style>
  <w:style w:type="table" w:styleId="TableGrid">
    <w:name w:val="Table Grid"/>
    <w:basedOn w:val="TableNormal"/>
    <w:uiPriority w:val="59"/>
    <w:rsid w:val="003A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3EE6"/>
    <w:rPr>
      <w:color w:val="808080"/>
      <w:shd w:val="clear" w:color="auto" w:fill="E6E6E6"/>
    </w:rPr>
  </w:style>
  <w:style w:type="character" w:customStyle="1" w:styleId="ListParagraphChar">
    <w:name w:val="List Paragraph Char"/>
    <w:link w:val="ListParagraph"/>
    <w:uiPriority w:val="34"/>
    <w:rsid w:val="00241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link w:val="ListParagraphChar"/>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BodyTextIndent3">
    <w:name w:val="Body Text Indent 3"/>
    <w:basedOn w:val="Normal"/>
    <w:link w:val="BodyTextIndent3Char"/>
    <w:rsid w:val="000A50C8"/>
    <w:pPr>
      <w:spacing w:after="120"/>
      <w:ind w:left="360"/>
    </w:pPr>
    <w:rPr>
      <w:sz w:val="16"/>
      <w:szCs w:val="16"/>
    </w:rPr>
  </w:style>
  <w:style w:type="character" w:customStyle="1" w:styleId="BodyTextIndent3Char">
    <w:name w:val="Body Text Indent 3 Char"/>
    <w:basedOn w:val="DefaultParagraphFont"/>
    <w:link w:val="BodyTextIndent3"/>
    <w:rsid w:val="000A50C8"/>
    <w:rPr>
      <w:sz w:val="16"/>
      <w:szCs w:val="16"/>
    </w:rPr>
  </w:style>
  <w:style w:type="character" w:styleId="CommentReference">
    <w:name w:val="annotation reference"/>
    <w:basedOn w:val="DefaultParagraphFont"/>
    <w:uiPriority w:val="99"/>
    <w:semiHidden/>
    <w:unhideWhenUsed/>
    <w:rsid w:val="000F6A3A"/>
    <w:rPr>
      <w:sz w:val="16"/>
      <w:szCs w:val="16"/>
    </w:rPr>
  </w:style>
  <w:style w:type="paragraph" w:styleId="CommentText">
    <w:name w:val="annotation text"/>
    <w:basedOn w:val="Normal"/>
    <w:link w:val="CommentTextChar"/>
    <w:uiPriority w:val="99"/>
    <w:unhideWhenUsed/>
    <w:rsid w:val="000F6A3A"/>
    <w:pPr>
      <w:spacing w:line="240" w:lineRule="auto"/>
    </w:pPr>
    <w:rPr>
      <w:sz w:val="20"/>
      <w:szCs w:val="20"/>
    </w:rPr>
  </w:style>
  <w:style w:type="character" w:customStyle="1" w:styleId="CommentTextChar">
    <w:name w:val="Comment Text Char"/>
    <w:basedOn w:val="DefaultParagraphFont"/>
    <w:link w:val="CommentText"/>
    <w:uiPriority w:val="99"/>
    <w:rsid w:val="000F6A3A"/>
    <w:rPr>
      <w:sz w:val="20"/>
      <w:szCs w:val="20"/>
    </w:rPr>
  </w:style>
  <w:style w:type="paragraph" w:styleId="CommentSubject">
    <w:name w:val="annotation subject"/>
    <w:basedOn w:val="CommentText"/>
    <w:next w:val="CommentText"/>
    <w:link w:val="CommentSubjectChar"/>
    <w:semiHidden/>
    <w:unhideWhenUsed/>
    <w:rsid w:val="000F6A3A"/>
    <w:rPr>
      <w:b/>
      <w:bCs/>
    </w:rPr>
  </w:style>
  <w:style w:type="character" w:customStyle="1" w:styleId="CommentSubjectChar">
    <w:name w:val="Comment Subject Char"/>
    <w:basedOn w:val="CommentTextChar"/>
    <w:link w:val="CommentSubject"/>
    <w:semiHidden/>
    <w:rsid w:val="000F6A3A"/>
    <w:rPr>
      <w:b/>
      <w:bCs/>
      <w:sz w:val="20"/>
      <w:szCs w:val="20"/>
    </w:rPr>
  </w:style>
  <w:style w:type="paragraph" w:customStyle="1" w:styleId="CaptionTable">
    <w:name w:val="Caption_Table"/>
    <w:basedOn w:val="Normal"/>
    <w:rsid w:val="00887FE5"/>
    <w:pPr>
      <w:keepNext/>
      <w:spacing w:after="80" w:line="240" w:lineRule="auto"/>
      <w:jc w:val="center"/>
    </w:pPr>
    <w:rPr>
      <w:rFonts w:ascii="Times New Roman" w:eastAsia="Times New Roman" w:hAnsi="Times New Roman" w:cs="Times New Roman"/>
      <w:i/>
      <w:sz w:val="24"/>
      <w:szCs w:val="24"/>
    </w:rPr>
  </w:style>
  <w:style w:type="paragraph" w:customStyle="1" w:styleId="Default">
    <w:name w:val="Default"/>
    <w:rsid w:val="00DD20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4">
    <w:name w:val="CM54"/>
    <w:basedOn w:val="Default"/>
    <w:next w:val="Default"/>
    <w:uiPriority w:val="99"/>
    <w:rsid w:val="00DD20F4"/>
    <w:pPr>
      <w:spacing w:line="276" w:lineRule="atLeast"/>
    </w:pPr>
    <w:rPr>
      <w:color w:val="auto"/>
    </w:rPr>
  </w:style>
  <w:style w:type="paragraph" w:customStyle="1" w:styleId="CM56">
    <w:name w:val="CM56"/>
    <w:basedOn w:val="Default"/>
    <w:next w:val="Default"/>
    <w:uiPriority w:val="99"/>
    <w:rsid w:val="0026392F"/>
    <w:rPr>
      <w:color w:val="auto"/>
    </w:rPr>
  </w:style>
  <w:style w:type="paragraph" w:styleId="Revision">
    <w:name w:val="Revision"/>
    <w:hidden/>
    <w:uiPriority w:val="99"/>
    <w:semiHidden/>
    <w:rsid w:val="00C50093"/>
    <w:pPr>
      <w:spacing w:after="0" w:line="240" w:lineRule="auto"/>
    </w:pPr>
  </w:style>
  <w:style w:type="table" w:styleId="TableGrid">
    <w:name w:val="Table Grid"/>
    <w:basedOn w:val="TableNormal"/>
    <w:uiPriority w:val="59"/>
    <w:rsid w:val="003A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3EE6"/>
    <w:rPr>
      <w:color w:val="808080"/>
      <w:shd w:val="clear" w:color="auto" w:fill="E6E6E6"/>
    </w:rPr>
  </w:style>
  <w:style w:type="character" w:customStyle="1" w:styleId="ListParagraphChar">
    <w:name w:val="List Paragraph Char"/>
    <w:link w:val="ListParagraph"/>
    <w:uiPriority w:val="34"/>
    <w:rsid w:val="0024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426343499">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gpo.gov/fdsys/pkg/USCODE-2008-title44/pdf/USCODE-2008-title44-chap35-subchapI-sec3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46EE-FE1F-404A-8096-208B2FFE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24487</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Michael J. Early</dc:creator>
  <cp:lastModifiedBy>SYSTEM</cp:lastModifiedBy>
  <cp:revision>2</cp:revision>
  <cp:lastPrinted>2018-04-09T20:38:00Z</cp:lastPrinted>
  <dcterms:created xsi:type="dcterms:W3CDTF">2018-08-07T16:06:00Z</dcterms:created>
  <dcterms:modified xsi:type="dcterms:W3CDTF">2018-08-07T16:06:00Z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