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p w:rsidR="00621951" w:rsidP="0034440D" w:rsidRDefault="00A22375" w14:paraId="41268EB1" w14:textId="4BF1F0B6">
      <w:pPr>
        <w:jc w:val="center"/>
      </w:pPr>
      <w:r>
        <w:rPr>
          <w:b/>
          <w:noProof/>
        </w:rPr>
        <mc:AlternateContent>
          <mc:Choice Requires="wps">
            <w:drawing>
              <wp:anchor distT="0" distB="0" distL="114300" distR="114300" simplePos="0" relativeHeight="251658240" behindDoc="0" locked="0" layoutInCell="0" allowOverlap="1" wp14:editId="11318643" wp14:anchorId="71BA3FE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8AC7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DC0536">
        <w:t>Industry Beta-Testing of Chemical Data Reporting (CDR) Electronic Reporting Tool</w:t>
      </w:r>
    </w:p>
    <w:bookmarkEnd w:id="0"/>
    <w:p w:rsidR="006E1C13" w:rsidP="000C06EF" w:rsidRDefault="006E1C13" w14:paraId="4E1EE570" w14:textId="77777777"/>
    <w:p w:rsidRPr="006E1C13" w:rsidR="006E1C13" w:rsidP="000C06EF" w:rsidRDefault="006E1C13" w14:paraId="633CE90B" w14:textId="426467D6">
      <w:pPr>
        <w:rPr>
          <w:i/>
        </w:rPr>
      </w:pPr>
      <w:r w:rsidRPr="006E1C13">
        <w:rPr>
          <w:i/>
        </w:rPr>
        <w:t xml:space="preserve">Draft: Slide for instructions for Beta Testing </w:t>
      </w:r>
    </w:p>
    <w:p w:rsidRPr="006E1C13" w:rsidR="006E1C13" w:rsidP="000C06EF" w:rsidRDefault="006E1C13" w14:paraId="5C303232" w14:textId="40028BAB"/>
    <w:p w:rsidRPr="006E1C13" w:rsidR="006E1C13" w:rsidP="006E1C13" w:rsidRDefault="006E1C13" w14:paraId="3CB5015A" w14:textId="31343714">
      <w:pPr>
        <w:jc w:val="center"/>
      </w:pPr>
      <w:r w:rsidRPr="006E1C13">
        <w:t xml:space="preserve">Testing Resources: </w:t>
      </w:r>
    </w:p>
    <w:p w:rsidRPr="006E1C13" w:rsidR="006E1C13" w:rsidP="000C06EF" w:rsidRDefault="006E1C13" w14:paraId="69EAD875" w14:textId="717EE91A"/>
    <w:p w:rsidRPr="006E1C13" w:rsidR="006E1C13" w:rsidP="006E1C13" w:rsidRDefault="006E1C13" w14:paraId="20178A7D" w14:textId="77777777">
      <w:pPr>
        <w:pStyle w:val="ListParagraph"/>
        <w:numPr>
          <w:ilvl w:val="0"/>
          <w:numId w:val="19"/>
        </w:numPr>
      </w:pPr>
      <w:r w:rsidRPr="006E1C13">
        <w:t>How to access CDR on our Test environment</w:t>
      </w:r>
    </w:p>
    <w:p w:rsidRPr="006E1C13" w:rsidR="006E1C13" w:rsidP="006E1C13" w:rsidRDefault="006E1C13" w14:paraId="4228B2E7" w14:textId="77777777">
      <w:pPr>
        <w:pStyle w:val="ListParagraph"/>
        <w:numPr>
          <w:ilvl w:val="3"/>
          <w:numId w:val="19"/>
        </w:numPr>
      </w:pPr>
      <w:r w:rsidRPr="006E1C13">
        <w:t>Navigate to: https://test.epacdx.net/</w:t>
      </w:r>
    </w:p>
    <w:p w:rsidRPr="006E1C13" w:rsidR="006E1C13" w:rsidP="006E1C13" w:rsidRDefault="006E1C13" w14:paraId="2E642B6D" w14:textId="77777777">
      <w:pPr>
        <w:pStyle w:val="ListParagraph"/>
        <w:numPr>
          <w:ilvl w:val="3"/>
          <w:numId w:val="19"/>
        </w:numPr>
      </w:pPr>
      <w:r w:rsidRPr="006E1C13">
        <w:t>Enter User ID and Password</w:t>
      </w:r>
    </w:p>
    <w:p w:rsidRPr="006E1C13" w:rsidR="006E1C13" w:rsidP="006E1C13" w:rsidRDefault="006E1C13" w14:paraId="53E2B077" w14:textId="77777777">
      <w:pPr>
        <w:pStyle w:val="ListParagraph"/>
        <w:numPr>
          <w:ilvl w:val="3"/>
          <w:numId w:val="19"/>
        </w:numPr>
      </w:pPr>
      <w:r w:rsidRPr="006E1C13">
        <w:t>Select CSPP “Primary Authorized Official” or “Secondary Authorized Official”</w:t>
      </w:r>
    </w:p>
    <w:p w:rsidRPr="006E1C13" w:rsidR="006E1C13" w:rsidP="006E1C13" w:rsidRDefault="006E1C13" w14:paraId="3A98A417" w14:textId="77777777">
      <w:pPr>
        <w:pStyle w:val="ListParagraph"/>
        <w:numPr>
          <w:ilvl w:val="3"/>
          <w:numId w:val="19"/>
        </w:numPr>
      </w:pPr>
      <w:r w:rsidRPr="006E1C13">
        <w:t>Select “TSCA Chemical Data Reporting (CDR)”</w:t>
      </w:r>
    </w:p>
    <w:p w:rsidRPr="006E1C13" w:rsidR="006E1C13" w:rsidP="006E1C13" w:rsidRDefault="006E1C13" w14:paraId="0CDBDE8D" w14:textId="77777777">
      <w:pPr>
        <w:pStyle w:val="ListParagraph"/>
        <w:numPr>
          <w:ilvl w:val="3"/>
          <w:numId w:val="19"/>
        </w:numPr>
      </w:pPr>
      <w:r w:rsidRPr="006E1C13">
        <w:t>Click “OK”</w:t>
      </w:r>
    </w:p>
    <w:p w:rsidRPr="006E1C13" w:rsidR="006E1C13" w:rsidP="006E1C13" w:rsidRDefault="006E1C13" w14:paraId="69F572AE" w14:textId="77777777">
      <w:pPr>
        <w:pStyle w:val="ListParagraph"/>
        <w:numPr>
          <w:ilvl w:val="0"/>
          <w:numId w:val="19"/>
        </w:numPr>
      </w:pPr>
      <w:r w:rsidRPr="006E1C13">
        <w:t xml:space="preserve"> Testing Contacts</w:t>
      </w:r>
    </w:p>
    <w:p w:rsidRPr="006E1C13" w:rsidR="006E1C13" w:rsidP="006E1C13" w:rsidRDefault="006E1C13" w14:paraId="083D648A" w14:textId="514156A3">
      <w:pPr>
        <w:pStyle w:val="ListParagraph"/>
        <w:numPr>
          <w:ilvl w:val="2"/>
          <w:numId w:val="19"/>
        </w:numPr>
      </w:pPr>
      <w:r w:rsidRPr="006E1C13">
        <w:t>Please contact Chris,</w:t>
      </w:r>
      <w:r w:rsidR="00812FEA">
        <w:t xml:space="preserve"> </w:t>
      </w:r>
      <w:r w:rsidRPr="006E1C13">
        <w:t>with any testing questions or to report bugs/issues.</w:t>
      </w:r>
    </w:p>
    <w:p w:rsidRPr="006E1C13" w:rsidR="006E1C13" w:rsidP="006E1C13" w:rsidRDefault="006E1C13" w14:paraId="3646C81E" w14:textId="77777777">
      <w:pPr>
        <w:pStyle w:val="ListParagraph"/>
        <w:numPr>
          <w:ilvl w:val="2"/>
          <w:numId w:val="19"/>
        </w:numPr>
      </w:pPr>
      <w:r w:rsidRPr="006E1C13">
        <w:t>Chris Gorder</w:t>
      </w:r>
    </w:p>
    <w:p w:rsidRPr="006E1C13" w:rsidR="006E1C13" w:rsidP="006E1C13" w:rsidRDefault="006E1C13" w14:paraId="5477F366" w14:textId="77777777">
      <w:pPr>
        <w:pStyle w:val="ListParagraph"/>
        <w:numPr>
          <w:ilvl w:val="3"/>
          <w:numId w:val="19"/>
        </w:numPr>
      </w:pPr>
      <w:r w:rsidRPr="006E1C13">
        <w:t>Phone: 202-564-0170</w:t>
      </w:r>
    </w:p>
    <w:p w:rsidRPr="006E1C13" w:rsidR="006E1C13" w:rsidP="006E1C13" w:rsidRDefault="006E1C13" w14:paraId="18C17B5B" w14:textId="77777777">
      <w:pPr>
        <w:pStyle w:val="ListParagraph"/>
        <w:numPr>
          <w:ilvl w:val="3"/>
          <w:numId w:val="19"/>
        </w:numPr>
      </w:pPr>
      <w:r w:rsidRPr="006E1C13">
        <w:t>Email: gorder.chris@epa.gov</w:t>
      </w:r>
    </w:p>
    <w:p w:rsidR="006E1C13" w:rsidP="006E1C13" w:rsidRDefault="006E1C13" w14:paraId="3F0865DF" w14:textId="543F5649"/>
    <w:tbl>
      <w:tblPr>
        <w:tblW w:w="8624" w:type="dxa"/>
        <w:tblInd w:w="357" w:type="dxa"/>
        <w:tblCellMar>
          <w:left w:w="0" w:type="dxa"/>
          <w:right w:w="0" w:type="dxa"/>
        </w:tblCellMar>
        <w:tblLook w:val="0420" w:firstRow="1" w:lastRow="0" w:firstColumn="0" w:lastColumn="0" w:noHBand="0" w:noVBand="1"/>
      </w:tblPr>
      <w:tblGrid>
        <w:gridCol w:w="2946"/>
        <w:gridCol w:w="5678"/>
      </w:tblGrid>
      <w:tr w:rsidRPr="006E1C13" w:rsidR="006E1C13" w:rsidTr="006E1C13" w14:paraId="583CB31E" w14:textId="77777777">
        <w:trPr>
          <w:trHeight w:val="457"/>
        </w:trPr>
        <w:tc>
          <w:tcPr>
            <w:tcW w:w="2946" w:type="dxa"/>
            <w:tcBorders>
              <w:top w:val="single" w:color="FFFFFF" w:sz="8" w:space="0"/>
              <w:left w:val="single" w:color="FFFFFF" w:sz="8" w:space="0"/>
              <w:bottom w:val="single" w:color="FFFFFF" w:sz="24" w:space="0"/>
              <w:right w:val="single" w:color="FFFFFF" w:sz="8" w:space="0"/>
            </w:tcBorders>
            <w:shd w:val="clear" w:color="auto" w:fill="E31937"/>
            <w:tcMar>
              <w:top w:w="72" w:type="dxa"/>
              <w:left w:w="144" w:type="dxa"/>
              <w:bottom w:w="72" w:type="dxa"/>
              <w:right w:w="144" w:type="dxa"/>
            </w:tcMar>
            <w:hideMark/>
          </w:tcPr>
          <w:p w:rsidRPr="006E1C13" w:rsidR="006E1C13" w:rsidP="006E1C13" w:rsidRDefault="006E1C13" w14:paraId="4AB79AC3" w14:textId="77777777">
            <w:pPr>
              <w:rPr>
                <w:rFonts w:ascii="Arial" w:hAnsi="Arial" w:cs="Arial"/>
                <w:sz w:val="36"/>
                <w:szCs w:val="36"/>
              </w:rPr>
            </w:pPr>
            <w:r w:rsidRPr="006E1C13">
              <w:rPr>
                <w:rFonts w:ascii="Arial" w:hAnsi="Arial" w:cs="Arial"/>
                <w:b/>
                <w:bCs/>
                <w:color w:val="FFFFFF" w:themeColor="light1"/>
                <w:kern w:val="24"/>
                <w:sz w:val="32"/>
                <w:szCs w:val="32"/>
              </w:rPr>
              <w:t>Issue Classification</w:t>
            </w:r>
          </w:p>
        </w:tc>
        <w:tc>
          <w:tcPr>
            <w:tcW w:w="5678" w:type="dxa"/>
            <w:tcBorders>
              <w:top w:val="single" w:color="FFFFFF" w:sz="8" w:space="0"/>
              <w:left w:val="single" w:color="FFFFFF" w:sz="8" w:space="0"/>
              <w:bottom w:val="single" w:color="FFFFFF" w:sz="24" w:space="0"/>
              <w:right w:val="single" w:color="FFFFFF" w:sz="8" w:space="0"/>
            </w:tcBorders>
            <w:shd w:val="clear" w:color="auto" w:fill="E31937"/>
            <w:tcMar>
              <w:top w:w="72" w:type="dxa"/>
              <w:left w:w="144" w:type="dxa"/>
              <w:bottom w:w="72" w:type="dxa"/>
              <w:right w:w="144" w:type="dxa"/>
            </w:tcMar>
            <w:hideMark/>
          </w:tcPr>
          <w:p w:rsidRPr="006E1C13" w:rsidR="006E1C13" w:rsidP="006E1C13" w:rsidRDefault="006E1C13" w14:paraId="00B91A90" w14:textId="77777777">
            <w:pPr>
              <w:rPr>
                <w:rFonts w:ascii="Arial" w:hAnsi="Arial" w:cs="Arial"/>
                <w:sz w:val="36"/>
                <w:szCs w:val="36"/>
              </w:rPr>
            </w:pPr>
            <w:r w:rsidRPr="006E1C13">
              <w:rPr>
                <w:rFonts w:ascii="Arial" w:hAnsi="Arial" w:cs="Arial"/>
                <w:b/>
                <w:bCs/>
                <w:color w:val="FFFFFF" w:themeColor="light1"/>
                <w:kern w:val="24"/>
                <w:sz w:val="32"/>
                <w:szCs w:val="32"/>
              </w:rPr>
              <w:t xml:space="preserve">Description </w:t>
            </w:r>
          </w:p>
        </w:tc>
      </w:tr>
      <w:tr w:rsidRPr="006E1C13" w:rsidR="006E1C13" w:rsidTr="006E1C13" w14:paraId="763096B6" w14:textId="77777777">
        <w:trPr>
          <w:trHeight w:val="563"/>
        </w:trPr>
        <w:tc>
          <w:tcPr>
            <w:tcW w:w="2946" w:type="dxa"/>
            <w:tcBorders>
              <w:top w:val="single" w:color="FFFFFF" w:sz="24"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BB07791" w14:textId="77777777">
            <w:pPr>
              <w:rPr>
                <w:rFonts w:ascii="Arial" w:hAnsi="Arial" w:cs="Arial"/>
                <w:sz w:val="36"/>
                <w:szCs w:val="36"/>
              </w:rPr>
            </w:pPr>
            <w:r w:rsidRPr="006E1C13">
              <w:rPr>
                <w:rFonts w:ascii="Arial" w:hAnsi="Arial" w:cs="Arial"/>
                <w:color w:val="000000" w:themeColor="dark1"/>
                <w:kern w:val="24"/>
                <w:sz w:val="28"/>
                <w:szCs w:val="28"/>
              </w:rPr>
              <w:t>Bug</w:t>
            </w:r>
          </w:p>
        </w:tc>
        <w:tc>
          <w:tcPr>
            <w:tcW w:w="5678" w:type="dxa"/>
            <w:tcBorders>
              <w:top w:val="single" w:color="FFFFFF" w:sz="24"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BE7C9AC"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Functionality that is either missing or not working according to design specifications.</w:t>
            </w:r>
          </w:p>
        </w:tc>
      </w:tr>
      <w:tr w:rsidRPr="006E1C13" w:rsidR="006E1C13" w:rsidTr="006E1C13" w14:paraId="4A94168D" w14:textId="77777777">
        <w:trPr>
          <w:trHeight w:val="749"/>
        </w:trPr>
        <w:tc>
          <w:tcPr>
            <w:tcW w:w="2946"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4112AC0B" w14:textId="77777777">
            <w:pPr>
              <w:rPr>
                <w:rFonts w:ascii="Arial" w:hAnsi="Arial" w:cs="Arial"/>
                <w:sz w:val="36"/>
                <w:szCs w:val="36"/>
              </w:rPr>
            </w:pPr>
            <w:r w:rsidRPr="006E1C13">
              <w:rPr>
                <w:rFonts w:ascii="Arial" w:hAnsi="Arial" w:cs="Arial"/>
                <w:color w:val="000000" w:themeColor="dark1"/>
                <w:kern w:val="24"/>
                <w:sz w:val="28"/>
                <w:szCs w:val="28"/>
              </w:rPr>
              <w:t xml:space="preserve">Enhancement </w:t>
            </w:r>
          </w:p>
        </w:tc>
        <w:tc>
          <w:tcPr>
            <w:tcW w:w="5678"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045EF971"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Application behavior that the user believes are implied in the design, yet no specification exists.</w:t>
            </w:r>
          </w:p>
        </w:tc>
      </w:tr>
      <w:tr w:rsidRPr="006E1C13" w:rsidR="006E1C13" w:rsidTr="006E1C13" w14:paraId="0AD8169B" w14:textId="77777777">
        <w:trPr>
          <w:trHeight w:val="457"/>
        </w:trPr>
        <w:tc>
          <w:tcPr>
            <w:tcW w:w="2946" w:type="dxa"/>
            <w:tcBorders>
              <w:top w:val="single" w:color="FFFFFF" w:sz="8"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2E320966" w14:textId="77777777">
            <w:pPr>
              <w:rPr>
                <w:rFonts w:ascii="Arial" w:hAnsi="Arial" w:cs="Arial"/>
                <w:sz w:val="36"/>
                <w:szCs w:val="36"/>
              </w:rPr>
            </w:pPr>
            <w:r w:rsidRPr="006E1C13">
              <w:rPr>
                <w:rFonts w:ascii="Arial" w:hAnsi="Arial" w:cs="Arial"/>
                <w:color w:val="000000" w:themeColor="dark1"/>
                <w:kern w:val="24"/>
                <w:sz w:val="28"/>
                <w:szCs w:val="28"/>
              </w:rPr>
              <w:t>New Feature</w:t>
            </w:r>
          </w:p>
        </w:tc>
        <w:tc>
          <w:tcPr>
            <w:tcW w:w="5678" w:type="dxa"/>
            <w:tcBorders>
              <w:top w:val="single" w:color="FFFFFF" w:sz="8" w:space="0"/>
              <w:left w:val="single" w:color="FFFFFF" w:sz="8" w:space="0"/>
              <w:bottom w:val="single" w:color="FFFFFF" w:sz="8" w:space="0"/>
              <w:right w:val="single" w:color="FFFFFF" w:sz="8" w:space="0"/>
            </w:tcBorders>
            <w:shd w:val="clear" w:color="auto" w:fill="F4CCCE"/>
            <w:tcMar>
              <w:top w:w="72" w:type="dxa"/>
              <w:left w:w="144" w:type="dxa"/>
              <w:bottom w:w="72" w:type="dxa"/>
              <w:right w:w="144" w:type="dxa"/>
            </w:tcMar>
            <w:hideMark/>
          </w:tcPr>
          <w:p w:rsidRPr="006E1C13" w:rsidR="006E1C13" w:rsidP="006E1C13" w:rsidRDefault="006E1C13" w14:paraId="509F504A"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 request for new application functionality.</w:t>
            </w:r>
          </w:p>
        </w:tc>
      </w:tr>
      <w:tr w:rsidRPr="006E1C13" w:rsidR="006E1C13" w:rsidTr="006E1C13" w14:paraId="547C426C" w14:textId="77777777">
        <w:trPr>
          <w:trHeight w:val="563"/>
        </w:trPr>
        <w:tc>
          <w:tcPr>
            <w:tcW w:w="2946"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1EE7E51E" w14:textId="77777777">
            <w:pPr>
              <w:rPr>
                <w:rFonts w:ascii="Arial" w:hAnsi="Arial" w:cs="Arial"/>
                <w:sz w:val="36"/>
                <w:szCs w:val="36"/>
              </w:rPr>
            </w:pPr>
            <w:r w:rsidRPr="006E1C13">
              <w:rPr>
                <w:rFonts w:ascii="Arial" w:hAnsi="Arial" w:cs="Arial"/>
                <w:color w:val="000000" w:themeColor="dark1"/>
                <w:kern w:val="24"/>
                <w:sz w:val="28"/>
                <w:szCs w:val="28"/>
              </w:rPr>
              <w:t>Improvement</w:t>
            </w:r>
          </w:p>
        </w:tc>
        <w:tc>
          <w:tcPr>
            <w:tcW w:w="5678" w:type="dxa"/>
            <w:tcBorders>
              <w:top w:val="single" w:color="FFFFFF" w:sz="8" w:space="0"/>
              <w:left w:val="single" w:color="FFFFFF" w:sz="8" w:space="0"/>
              <w:bottom w:val="single" w:color="FFFFFF" w:sz="8" w:space="0"/>
              <w:right w:val="single" w:color="FFFFFF" w:sz="8" w:space="0"/>
            </w:tcBorders>
            <w:shd w:val="clear" w:color="auto" w:fill="FAE7E8"/>
            <w:tcMar>
              <w:top w:w="72" w:type="dxa"/>
              <w:left w:w="144" w:type="dxa"/>
              <w:bottom w:w="72" w:type="dxa"/>
              <w:right w:w="144" w:type="dxa"/>
            </w:tcMar>
            <w:hideMark/>
          </w:tcPr>
          <w:p w:rsidRPr="006E1C13" w:rsidR="006E1C13" w:rsidP="006E1C13" w:rsidRDefault="006E1C13" w14:paraId="414D7B34" w14:textId="77777777">
            <w:pPr>
              <w:rPr>
                <w:rFonts w:ascii="Arial" w:hAnsi="Arial" w:cs="Arial"/>
                <w:sz w:val="36"/>
                <w:szCs w:val="36"/>
              </w:rPr>
            </w:pPr>
            <w:r w:rsidRPr="006E1C13">
              <w:rPr>
                <w:rFonts w:hAnsi="Arial" w:asciiTheme="minorHAnsi" w:eastAsiaTheme="minorEastAsia" w:cstheme="minorBidi"/>
                <w:color w:val="000000" w:themeColor="dark1"/>
                <w:kern w:val="24"/>
                <w:sz w:val="28"/>
                <w:szCs w:val="28"/>
              </w:rPr>
              <w:t>An improvement or change to an existing feature.</w:t>
            </w:r>
          </w:p>
        </w:tc>
      </w:tr>
    </w:tbl>
    <w:p w:rsidR="006E1C13" w:rsidP="006E1C13" w:rsidRDefault="006E1C13" w14:paraId="1CDE0032" w14:textId="70C3FE0D"/>
    <w:p w:rsidR="001A3E3C" w:rsidP="001A3E3C" w:rsidRDefault="001A3E3C" w14:paraId="6A60C9AD" w14:textId="77777777">
      <w:pPr>
        <w:pStyle w:val="Heading2"/>
        <w:tabs>
          <w:tab w:val="left" w:pos="900"/>
        </w:tabs>
        <w:ind w:right="-180"/>
        <w:jc w:val="left"/>
        <w:rPr>
          <w:rFonts w:asciiTheme="minorHAnsi" w:hAnsiTheme="minorHAnsi" w:cstheme="minorBidi"/>
          <w:sz w:val="22"/>
          <w:szCs w:val="22"/>
        </w:rPr>
      </w:pPr>
      <w:r w:rsidRPr="003549A1">
        <w:t>Paperwork Reduction Act Notice:</w:t>
      </w:r>
      <w:r>
        <w:t xml:space="preserve"> This collection of information is approved by OMB under the Paperwork Reduction Act, 44 U.S.C. 3501 et seq. (OMB Control </w:t>
      </w:r>
      <w:r w:rsidRPr="003549A1">
        <w:rPr>
          <w:color w:val="000000" w:themeColor="text1"/>
        </w:rPr>
        <w:t xml:space="preserve">No. 2010-0042). Responses to this collection of information are voluntary. An agency may not </w:t>
      </w:r>
      <w:r>
        <w:t xml:space="preserve">conduct or sponsor, and a person is not required to respond to, a collection of information unless it displays a currently valid OMB control number. The public reporting and recordkeeping burden for this collection of information is estimated to be </w:t>
      </w:r>
      <w:r w:rsidRPr="003549A1">
        <w:rPr>
          <w:color w:val="000000" w:themeColor="text1"/>
        </w:rPr>
        <w:t xml:space="preserve">10 </w:t>
      </w:r>
      <w:r>
        <w:t xml:space="preserve">hours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w:t>
      </w:r>
      <w:r>
        <w:lastRenderedPageBreak/>
        <w:t>20460.  Include the OMB control number in any correspondence.  Do not send the completed form to this address.</w:t>
      </w:r>
    </w:p>
    <w:p w:rsidRPr="006E1C13" w:rsidR="001A3E3C" w:rsidP="006E1C13" w:rsidRDefault="001A3E3C" w14:paraId="29F62CF0" w14:textId="77777777"/>
    <w:p w:rsidRPr="006E1C13" w:rsidR="006E1C13" w:rsidP="000C06EF" w:rsidRDefault="006E1C13" w14:paraId="2CC17A2A" w14:textId="77777777"/>
    <w:sectPr w:rsidRPr="006E1C13" w:rsidR="006E1C13"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9538" w14:textId="77777777" w:rsidR="0014353D" w:rsidRDefault="0014353D">
      <w:r>
        <w:separator/>
      </w:r>
    </w:p>
  </w:endnote>
  <w:endnote w:type="continuationSeparator" w:id="0">
    <w:p w14:paraId="0DECEFC9" w14:textId="77777777" w:rsidR="0014353D" w:rsidRDefault="0014353D">
      <w:r>
        <w:continuationSeparator/>
      </w:r>
    </w:p>
  </w:endnote>
  <w:endnote w:type="continuationNotice" w:id="1">
    <w:p w14:paraId="0320B61F" w14:textId="77777777" w:rsidR="0014353D" w:rsidRDefault="0014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0E21" w14:textId="77777777" w:rsidR="00053E65" w:rsidRDefault="00053E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049E9" w14:textId="77777777" w:rsidR="0014353D" w:rsidRDefault="0014353D">
      <w:r>
        <w:separator/>
      </w:r>
    </w:p>
  </w:footnote>
  <w:footnote w:type="continuationSeparator" w:id="0">
    <w:p w14:paraId="34B379A1" w14:textId="77777777" w:rsidR="0014353D" w:rsidRDefault="0014353D">
      <w:r>
        <w:continuationSeparator/>
      </w:r>
    </w:p>
  </w:footnote>
  <w:footnote w:type="continuationNotice" w:id="1">
    <w:p w14:paraId="1D9B32EA" w14:textId="77777777" w:rsidR="0014353D" w:rsidRDefault="00143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FB88" w14:textId="77777777" w:rsidR="00053E65" w:rsidRDefault="0005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D581AA7"/>
    <w:multiLevelType w:val="hybridMultilevel"/>
    <w:tmpl w:val="492A5D76"/>
    <w:lvl w:ilvl="0" w:tplc="FD1A9162">
      <w:start w:val="1"/>
      <w:numFmt w:val="bullet"/>
      <w:lvlText w:val="•"/>
      <w:lvlJc w:val="left"/>
      <w:pPr>
        <w:tabs>
          <w:tab w:val="num" w:pos="720"/>
        </w:tabs>
        <w:ind w:left="720" w:hanging="360"/>
      </w:pPr>
      <w:rPr>
        <w:rFonts w:ascii="Arial" w:hAnsi="Arial" w:hint="default"/>
      </w:rPr>
    </w:lvl>
    <w:lvl w:ilvl="1" w:tplc="E62CAFE6">
      <w:start w:val="1"/>
      <w:numFmt w:val="bullet"/>
      <w:lvlText w:val="•"/>
      <w:lvlJc w:val="left"/>
      <w:pPr>
        <w:tabs>
          <w:tab w:val="num" w:pos="1440"/>
        </w:tabs>
        <w:ind w:left="1440" w:hanging="360"/>
      </w:pPr>
      <w:rPr>
        <w:rFonts w:ascii="Arial" w:hAnsi="Arial" w:hint="default"/>
      </w:rPr>
    </w:lvl>
    <w:lvl w:ilvl="2" w:tplc="9C362F80">
      <w:start w:val="186"/>
      <w:numFmt w:val="bullet"/>
      <w:lvlText w:val="•"/>
      <w:lvlJc w:val="left"/>
      <w:pPr>
        <w:tabs>
          <w:tab w:val="num" w:pos="2160"/>
        </w:tabs>
        <w:ind w:left="2160" w:hanging="360"/>
      </w:pPr>
      <w:rPr>
        <w:rFonts w:ascii="Arial" w:hAnsi="Arial" w:hint="default"/>
      </w:rPr>
    </w:lvl>
    <w:lvl w:ilvl="3" w:tplc="C18A66B6">
      <w:start w:val="186"/>
      <w:numFmt w:val="bullet"/>
      <w:lvlText w:val="•"/>
      <w:lvlJc w:val="left"/>
      <w:pPr>
        <w:tabs>
          <w:tab w:val="num" w:pos="2880"/>
        </w:tabs>
        <w:ind w:left="2880" w:hanging="360"/>
      </w:pPr>
      <w:rPr>
        <w:rFonts w:ascii="Arial" w:hAnsi="Arial" w:hint="default"/>
      </w:rPr>
    </w:lvl>
    <w:lvl w:ilvl="4" w:tplc="C48CC2BE" w:tentative="1">
      <w:start w:val="1"/>
      <w:numFmt w:val="bullet"/>
      <w:lvlText w:val="•"/>
      <w:lvlJc w:val="left"/>
      <w:pPr>
        <w:tabs>
          <w:tab w:val="num" w:pos="3600"/>
        </w:tabs>
        <w:ind w:left="3600" w:hanging="360"/>
      </w:pPr>
      <w:rPr>
        <w:rFonts w:ascii="Arial" w:hAnsi="Arial" w:hint="default"/>
      </w:rPr>
    </w:lvl>
    <w:lvl w:ilvl="5" w:tplc="86E0D7C0" w:tentative="1">
      <w:start w:val="1"/>
      <w:numFmt w:val="bullet"/>
      <w:lvlText w:val="•"/>
      <w:lvlJc w:val="left"/>
      <w:pPr>
        <w:tabs>
          <w:tab w:val="num" w:pos="4320"/>
        </w:tabs>
        <w:ind w:left="4320" w:hanging="360"/>
      </w:pPr>
      <w:rPr>
        <w:rFonts w:ascii="Arial" w:hAnsi="Arial" w:hint="default"/>
      </w:rPr>
    </w:lvl>
    <w:lvl w:ilvl="6" w:tplc="738C2690" w:tentative="1">
      <w:start w:val="1"/>
      <w:numFmt w:val="bullet"/>
      <w:lvlText w:val="•"/>
      <w:lvlJc w:val="left"/>
      <w:pPr>
        <w:tabs>
          <w:tab w:val="num" w:pos="5040"/>
        </w:tabs>
        <w:ind w:left="5040" w:hanging="360"/>
      </w:pPr>
      <w:rPr>
        <w:rFonts w:ascii="Arial" w:hAnsi="Arial" w:hint="default"/>
      </w:rPr>
    </w:lvl>
    <w:lvl w:ilvl="7" w:tplc="EF202920" w:tentative="1">
      <w:start w:val="1"/>
      <w:numFmt w:val="bullet"/>
      <w:lvlText w:val="•"/>
      <w:lvlJc w:val="left"/>
      <w:pPr>
        <w:tabs>
          <w:tab w:val="num" w:pos="5760"/>
        </w:tabs>
        <w:ind w:left="5760" w:hanging="360"/>
      </w:pPr>
      <w:rPr>
        <w:rFonts w:ascii="Arial" w:hAnsi="Arial" w:hint="default"/>
      </w:rPr>
    </w:lvl>
    <w:lvl w:ilvl="8" w:tplc="0E680B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ECE"/>
    <w:rsid w:val="00014574"/>
    <w:rsid w:val="00023A57"/>
    <w:rsid w:val="000475F1"/>
    <w:rsid w:val="00047A64"/>
    <w:rsid w:val="00053E65"/>
    <w:rsid w:val="0005506C"/>
    <w:rsid w:val="00067329"/>
    <w:rsid w:val="000744CF"/>
    <w:rsid w:val="000B2838"/>
    <w:rsid w:val="000C06EF"/>
    <w:rsid w:val="000D44CA"/>
    <w:rsid w:val="000E200B"/>
    <w:rsid w:val="000F68BE"/>
    <w:rsid w:val="00133A4A"/>
    <w:rsid w:val="0014353D"/>
    <w:rsid w:val="001445EE"/>
    <w:rsid w:val="00190BC2"/>
    <w:rsid w:val="001927A4"/>
    <w:rsid w:val="00193A51"/>
    <w:rsid w:val="00194AC6"/>
    <w:rsid w:val="001A23B0"/>
    <w:rsid w:val="001A25CC"/>
    <w:rsid w:val="001A3E3C"/>
    <w:rsid w:val="001B0AAA"/>
    <w:rsid w:val="001B50E4"/>
    <w:rsid w:val="001C39F7"/>
    <w:rsid w:val="001C3A03"/>
    <w:rsid w:val="001D037E"/>
    <w:rsid w:val="002100BE"/>
    <w:rsid w:val="00237B48"/>
    <w:rsid w:val="00240F00"/>
    <w:rsid w:val="0024521E"/>
    <w:rsid w:val="00261780"/>
    <w:rsid w:val="00263C3D"/>
    <w:rsid w:val="00273C4F"/>
    <w:rsid w:val="00274D0B"/>
    <w:rsid w:val="00287220"/>
    <w:rsid w:val="002A0D44"/>
    <w:rsid w:val="002B3C95"/>
    <w:rsid w:val="002D0B92"/>
    <w:rsid w:val="002D17E4"/>
    <w:rsid w:val="00342899"/>
    <w:rsid w:val="0034440D"/>
    <w:rsid w:val="003549A1"/>
    <w:rsid w:val="00385E2A"/>
    <w:rsid w:val="003A4CF6"/>
    <w:rsid w:val="003B63F1"/>
    <w:rsid w:val="003D5BBE"/>
    <w:rsid w:val="003E3C61"/>
    <w:rsid w:val="003F1C5B"/>
    <w:rsid w:val="00404508"/>
    <w:rsid w:val="00415B10"/>
    <w:rsid w:val="00431CA9"/>
    <w:rsid w:val="00434E33"/>
    <w:rsid w:val="00441434"/>
    <w:rsid w:val="0044475D"/>
    <w:rsid w:val="0045264C"/>
    <w:rsid w:val="0045386C"/>
    <w:rsid w:val="004551E2"/>
    <w:rsid w:val="0047323D"/>
    <w:rsid w:val="004876EC"/>
    <w:rsid w:val="004A3833"/>
    <w:rsid w:val="004A68EE"/>
    <w:rsid w:val="004C55CF"/>
    <w:rsid w:val="004C6BC3"/>
    <w:rsid w:val="004D6E14"/>
    <w:rsid w:val="004E62CE"/>
    <w:rsid w:val="005009B0"/>
    <w:rsid w:val="00532239"/>
    <w:rsid w:val="005468A2"/>
    <w:rsid w:val="00592DFA"/>
    <w:rsid w:val="005A1006"/>
    <w:rsid w:val="005E714A"/>
    <w:rsid w:val="005F7628"/>
    <w:rsid w:val="006140A0"/>
    <w:rsid w:val="00621951"/>
    <w:rsid w:val="00636621"/>
    <w:rsid w:val="00642B49"/>
    <w:rsid w:val="00655063"/>
    <w:rsid w:val="006708CF"/>
    <w:rsid w:val="00672FFF"/>
    <w:rsid w:val="00681DF4"/>
    <w:rsid w:val="006832D9"/>
    <w:rsid w:val="0069403B"/>
    <w:rsid w:val="006A22DF"/>
    <w:rsid w:val="006B13AE"/>
    <w:rsid w:val="006E1C13"/>
    <w:rsid w:val="006E5CEF"/>
    <w:rsid w:val="006F3DDE"/>
    <w:rsid w:val="00704678"/>
    <w:rsid w:val="007238DA"/>
    <w:rsid w:val="007376A8"/>
    <w:rsid w:val="007425E7"/>
    <w:rsid w:val="00794068"/>
    <w:rsid w:val="007A2216"/>
    <w:rsid w:val="007C2AF7"/>
    <w:rsid w:val="007F3031"/>
    <w:rsid w:val="007F785C"/>
    <w:rsid w:val="0080131B"/>
    <w:rsid w:val="00802607"/>
    <w:rsid w:val="008101A5"/>
    <w:rsid w:val="00812FEA"/>
    <w:rsid w:val="00822664"/>
    <w:rsid w:val="00843796"/>
    <w:rsid w:val="008936D9"/>
    <w:rsid w:val="00895229"/>
    <w:rsid w:val="008B5D28"/>
    <w:rsid w:val="008B7F89"/>
    <w:rsid w:val="008C58C4"/>
    <w:rsid w:val="008D65DC"/>
    <w:rsid w:val="008F0203"/>
    <w:rsid w:val="008F50D4"/>
    <w:rsid w:val="0091345E"/>
    <w:rsid w:val="009143E6"/>
    <w:rsid w:val="009239AA"/>
    <w:rsid w:val="009259D8"/>
    <w:rsid w:val="00935ADA"/>
    <w:rsid w:val="00946B6C"/>
    <w:rsid w:val="00955A71"/>
    <w:rsid w:val="00957FCE"/>
    <w:rsid w:val="0096108F"/>
    <w:rsid w:val="00976CE6"/>
    <w:rsid w:val="00997A1E"/>
    <w:rsid w:val="009C13B9"/>
    <w:rsid w:val="009D01A2"/>
    <w:rsid w:val="009D3085"/>
    <w:rsid w:val="009F5923"/>
    <w:rsid w:val="00A06215"/>
    <w:rsid w:val="00A22375"/>
    <w:rsid w:val="00A403BB"/>
    <w:rsid w:val="00A674DF"/>
    <w:rsid w:val="00A70B40"/>
    <w:rsid w:val="00A83AA6"/>
    <w:rsid w:val="00AC5158"/>
    <w:rsid w:val="00AC5F12"/>
    <w:rsid w:val="00AE1809"/>
    <w:rsid w:val="00AE28FC"/>
    <w:rsid w:val="00AE42E8"/>
    <w:rsid w:val="00B01EB7"/>
    <w:rsid w:val="00B26921"/>
    <w:rsid w:val="00B80D76"/>
    <w:rsid w:val="00BA2105"/>
    <w:rsid w:val="00BA7E06"/>
    <w:rsid w:val="00BB43B5"/>
    <w:rsid w:val="00BB6219"/>
    <w:rsid w:val="00BC63EE"/>
    <w:rsid w:val="00BD21E0"/>
    <w:rsid w:val="00BD290F"/>
    <w:rsid w:val="00BF33DC"/>
    <w:rsid w:val="00BF42B7"/>
    <w:rsid w:val="00C14CC4"/>
    <w:rsid w:val="00C33C52"/>
    <w:rsid w:val="00C40D8B"/>
    <w:rsid w:val="00C4752B"/>
    <w:rsid w:val="00C8047E"/>
    <w:rsid w:val="00C8407A"/>
    <w:rsid w:val="00C8441F"/>
    <w:rsid w:val="00C8488C"/>
    <w:rsid w:val="00C86E91"/>
    <w:rsid w:val="00C9034E"/>
    <w:rsid w:val="00CA2650"/>
    <w:rsid w:val="00CB1078"/>
    <w:rsid w:val="00CB281F"/>
    <w:rsid w:val="00CB4826"/>
    <w:rsid w:val="00CC07E0"/>
    <w:rsid w:val="00CC16CD"/>
    <w:rsid w:val="00CC6FAF"/>
    <w:rsid w:val="00CE3118"/>
    <w:rsid w:val="00D04FDD"/>
    <w:rsid w:val="00D161AF"/>
    <w:rsid w:val="00D24698"/>
    <w:rsid w:val="00D6383F"/>
    <w:rsid w:val="00D838AD"/>
    <w:rsid w:val="00D91810"/>
    <w:rsid w:val="00DA1618"/>
    <w:rsid w:val="00DB59D0"/>
    <w:rsid w:val="00DB65D2"/>
    <w:rsid w:val="00DC0536"/>
    <w:rsid w:val="00DC33D3"/>
    <w:rsid w:val="00DF72D6"/>
    <w:rsid w:val="00E17712"/>
    <w:rsid w:val="00E26329"/>
    <w:rsid w:val="00E40B50"/>
    <w:rsid w:val="00E45D0D"/>
    <w:rsid w:val="00E50293"/>
    <w:rsid w:val="00E57AA4"/>
    <w:rsid w:val="00E62CE2"/>
    <w:rsid w:val="00E65FFC"/>
    <w:rsid w:val="00E80951"/>
    <w:rsid w:val="00E86CC6"/>
    <w:rsid w:val="00E97E15"/>
    <w:rsid w:val="00EB56B3"/>
    <w:rsid w:val="00ED2677"/>
    <w:rsid w:val="00ED6492"/>
    <w:rsid w:val="00EF016A"/>
    <w:rsid w:val="00EF2095"/>
    <w:rsid w:val="00F06866"/>
    <w:rsid w:val="00F15956"/>
    <w:rsid w:val="00F24CFC"/>
    <w:rsid w:val="00F3170F"/>
    <w:rsid w:val="00F36B1A"/>
    <w:rsid w:val="00F501EC"/>
    <w:rsid w:val="00F976B0"/>
    <w:rsid w:val="00FA13D4"/>
    <w:rsid w:val="00FA6DE7"/>
    <w:rsid w:val="00FC0A8E"/>
    <w:rsid w:val="00FD773E"/>
    <w:rsid w:val="00FE2FA6"/>
    <w:rsid w:val="00FE3DF2"/>
    <w:rsid w:val="00FF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63E54"/>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6E1C13"/>
    <w:rPr>
      <w:color w:val="0000FF" w:themeColor="hyperlink"/>
      <w:u w:val="single"/>
    </w:rPr>
  </w:style>
  <w:style w:type="character" w:styleId="UnresolvedMention">
    <w:name w:val="Unresolved Mention"/>
    <w:basedOn w:val="DefaultParagraphFont"/>
    <w:uiPriority w:val="99"/>
    <w:semiHidden/>
    <w:unhideWhenUsed/>
    <w:rsid w:val="006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28811">
      <w:bodyDiv w:val="1"/>
      <w:marLeft w:val="0"/>
      <w:marRight w:val="0"/>
      <w:marTop w:val="0"/>
      <w:marBottom w:val="0"/>
      <w:divBdr>
        <w:top w:val="none" w:sz="0" w:space="0" w:color="auto"/>
        <w:left w:val="none" w:sz="0" w:space="0" w:color="auto"/>
        <w:bottom w:val="none" w:sz="0" w:space="0" w:color="auto"/>
        <w:right w:val="none" w:sz="0" w:space="0" w:color="auto"/>
      </w:divBdr>
      <w:divsChild>
        <w:div w:id="1496533792">
          <w:marLeft w:val="547"/>
          <w:marRight w:val="0"/>
          <w:marTop w:val="100"/>
          <w:marBottom w:val="0"/>
          <w:divBdr>
            <w:top w:val="none" w:sz="0" w:space="0" w:color="auto"/>
            <w:left w:val="none" w:sz="0" w:space="0" w:color="auto"/>
            <w:bottom w:val="none" w:sz="0" w:space="0" w:color="auto"/>
            <w:right w:val="none" w:sz="0" w:space="0" w:color="auto"/>
          </w:divBdr>
        </w:div>
        <w:div w:id="1721242887">
          <w:marLeft w:val="1282"/>
          <w:marRight w:val="0"/>
          <w:marTop w:val="100"/>
          <w:marBottom w:val="0"/>
          <w:divBdr>
            <w:top w:val="none" w:sz="0" w:space="0" w:color="auto"/>
            <w:left w:val="none" w:sz="0" w:space="0" w:color="auto"/>
            <w:bottom w:val="none" w:sz="0" w:space="0" w:color="auto"/>
            <w:right w:val="none" w:sz="0" w:space="0" w:color="auto"/>
          </w:divBdr>
        </w:div>
        <w:div w:id="615060264">
          <w:marLeft w:val="1282"/>
          <w:marRight w:val="0"/>
          <w:marTop w:val="100"/>
          <w:marBottom w:val="0"/>
          <w:divBdr>
            <w:top w:val="none" w:sz="0" w:space="0" w:color="auto"/>
            <w:left w:val="none" w:sz="0" w:space="0" w:color="auto"/>
            <w:bottom w:val="none" w:sz="0" w:space="0" w:color="auto"/>
            <w:right w:val="none" w:sz="0" w:space="0" w:color="auto"/>
          </w:divBdr>
        </w:div>
        <w:div w:id="789594140">
          <w:marLeft w:val="1282"/>
          <w:marRight w:val="0"/>
          <w:marTop w:val="100"/>
          <w:marBottom w:val="0"/>
          <w:divBdr>
            <w:top w:val="none" w:sz="0" w:space="0" w:color="auto"/>
            <w:left w:val="none" w:sz="0" w:space="0" w:color="auto"/>
            <w:bottom w:val="none" w:sz="0" w:space="0" w:color="auto"/>
            <w:right w:val="none" w:sz="0" w:space="0" w:color="auto"/>
          </w:divBdr>
        </w:div>
        <w:div w:id="424574722">
          <w:marLeft w:val="1282"/>
          <w:marRight w:val="0"/>
          <w:marTop w:val="100"/>
          <w:marBottom w:val="0"/>
          <w:divBdr>
            <w:top w:val="none" w:sz="0" w:space="0" w:color="auto"/>
            <w:left w:val="none" w:sz="0" w:space="0" w:color="auto"/>
            <w:bottom w:val="none" w:sz="0" w:space="0" w:color="auto"/>
            <w:right w:val="none" w:sz="0" w:space="0" w:color="auto"/>
          </w:divBdr>
        </w:div>
        <w:div w:id="310335763">
          <w:marLeft w:val="1282"/>
          <w:marRight w:val="0"/>
          <w:marTop w:val="100"/>
          <w:marBottom w:val="0"/>
          <w:divBdr>
            <w:top w:val="none" w:sz="0" w:space="0" w:color="auto"/>
            <w:left w:val="none" w:sz="0" w:space="0" w:color="auto"/>
            <w:bottom w:val="none" w:sz="0" w:space="0" w:color="auto"/>
            <w:right w:val="none" w:sz="0" w:space="0" w:color="auto"/>
          </w:divBdr>
        </w:div>
        <w:div w:id="168521397">
          <w:marLeft w:val="547"/>
          <w:marRight w:val="0"/>
          <w:marTop w:val="100"/>
          <w:marBottom w:val="0"/>
          <w:divBdr>
            <w:top w:val="none" w:sz="0" w:space="0" w:color="auto"/>
            <w:left w:val="none" w:sz="0" w:space="0" w:color="auto"/>
            <w:bottom w:val="none" w:sz="0" w:space="0" w:color="auto"/>
            <w:right w:val="none" w:sz="0" w:space="0" w:color="auto"/>
          </w:divBdr>
        </w:div>
        <w:div w:id="1268388806">
          <w:marLeft w:val="1382"/>
          <w:marRight w:val="0"/>
          <w:marTop w:val="100"/>
          <w:marBottom w:val="0"/>
          <w:divBdr>
            <w:top w:val="none" w:sz="0" w:space="0" w:color="auto"/>
            <w:left w:val="none" w:sz="0" w:space="0" w:color="auto"/>
            <w:bottom w:val="none" w:sz="0" w:space="0" w:color="auto"/>
            <w:right w:val="none" w:sz="0" w:space="0" w:color="auto"/>
          </w:divBdr>
        </w:div>
        <w:div w:id="1314338287">
          <w:marLeft w:val="1382"/>
          <w:marRight w:val="0"/>
          <w:marTop w:val="100"/>
          <w:marBottom w:val="0"/>
          <w:divBdr>
            <w:top w:val="none" w:sz="0" w:space="0" w:color="auto"/>
            <w:left w:val="none" w:sz="0" w:space="0" w:color="auto"/>
            <w:bottom w:val="none" w:sz="0" w:space="0" w:color="auto"/>
            <w:right w:val="none" w:sz="0" w:space="0" w:color="auto"/>
          </w:divBdr>
        </w:div>
        <w:div w:id="1399742829">
          <w:marLeft w:val="1814"/>
          <w:marRight w:val="0"/>
          <w:marTop w:val="100"/>
          <w:marBottom w:val="0"/>
          <w:divBdr>
            <w:top w:val="none" w:sz="0" w:space="0" w:color="auto"/>
            <w:left w:val="none" w:sz="0" w:space="0" w:color="auto"/>
            <w:bottom w:val="none" w:sz="0" w:space="0" w:color="auto"/>
            <w:right w:val="none" w:sz="0" w:space="0" w:color="auto"/>
          </w:divBdr>
        </w:div>
        <w:div w:id="1776291605">
          <w:marLeft w:val="1814"/>
          <w:marRight w:val="0"/>
          <w:marTop w:val="100"/>
          <w:marBottom w:val="0"/>
          <w:divBdr>
            <w:top w:val="none" w:sz="0" w:space="0" w:color="auto"/>
            <w:left w:val="none" w:sz="0" w:space="0" w:color="auto"/>
            <w:bottom w:val="none" w:sz="0" w:space="0" w:color="auto"/>
            <w:right w:val="none" w:sz="0" w:space="0" w:color="auto"/>
          </w:divBdr>
        </w:div>
        <w:div w:id="470096661">
          <w:marLeft w:val="1382"/>
          <w:marRight w:val="0"/>
          <w:marTop w:val="100"/>
          <w:marBottom w:val="0"/>
          <w:divBdr>
            <w:top w:val="none" w:sz="0" w:space="0" w:color="auto"/>
            <w:left w:val="none" w:sz="0" w:space="0" w:color="auto"/>
            <w:bottom w:val="none" w:sz="0" w:space="0" w:color="auto"/>
            <w:right w:val="none" w:sz="0" w:space="0" w:color="auto"/>
          </w:divBdr>
        </w:div>
        <w:div w:id="1234390173">
          <w:marLeft w:val="1814"/>
          <w:marRight w:val="0"/>
          <w:marTop w:val="100"/>
          <w:marBottom w:val="0"/>
          <w:divBdr>
            <w:top w:val="none" w:sz="0" w:space="0" w:color="auto"/>
            <w:left w:val="none" w:sz="0" w:space="0" w:color="auto"/>
            <w:bottom w:val="none" w:sz="0" w:space="0" w:color="auto"/>
            <w:right w:val="none" w:sz="0" w:space="0" w:color="auto"/>
          </w:divBdr>
        </w:div>
        <w:div w:id="134101519">
          <w:marLeft w:val="1814"/>
          <w:marRight w:val="0"/>
          <w:marTop w:val="100"/>
          <w:marBottom w:val="0"/>
          <w:divBdr>
            <w:top w:val="none" w:sz="0" w:space="0" w:color="auto"/>
            <w:left w:val="none" w:sz="0" w:space="0" w:color="auto"/>
            <w:bottom w:val="none" w:sz="0" w:space="0" w:color="auto"/>
            <w:right w:val="none" w:sz="0" w:space="0" w:color="auto"/>
          </w:divBdr>
        </w:div>
        <w:div w:id="286743560">
          <w:marLeft w:val="1382"/>
          <w:marRight w:val="0"/>
          <w:marTop w:val="100"/>
          <w:marBottom w:val="0"/>
          <w:divBdr>
            <w:top w:val="none" w:sz="0" w:space="0" w:color="auto"/>
            <w:left w:val="none" w:sz="0" w:space="0" w:color="auto"/>
            <w:bottom w:val="none" w:sz="0" w:space="0" w:color="auto"/>
            <w:right w:val="none" w:sz="0" w:space="0" w:color="auto"/>
          </w:divBdr>
        </w:div>
        <w:div w:id="497814325">
          <w:marLeft w:val="1814"/>
          <w:marRight w:val="0"/>
          <w:marTop w:val="100"/>
          <w:marBottom w:val="0"/>
          <w:divBdr>
            <w:top w:val="none" w:sz="0" w:space="0" w:color="auto"/>
            <w:left w:val="none" w:sz="0" w:space="0" w:color="auto"/>
            <w:bottom w:val="none" w:sz="0" w:space="0" w:color="auto"/>
            <w:right w:val="none" w:sz="0" w:space="0" w:color="auto"/>
          </w:divBdr>
        </w:div>
        <w:div w:id="2072387923">
          <w:marLeft w:val="1814"/>
          <w:marRight w:val="0"/>
          <w:marTop w:val="100"/>
          <w:marBottom w:val="0"/>
          <w:divBdr>
            <w:top w:val="none" w:sz="0" w:space="0" w:color="auto"/>
            <w:left w:val="none" w:sz="0" w:space="0" w:color="auto"/>
            <w:bottom w:val="none" w:sz="0" w:space="0" w:color="auto"/>
            <w:right w:val="none" w:sz="0" w:space="0" w:color="auto"/>
          </w:divBdr>
        </w:div>
      </w:divsChild>
    </w:div>
    <w:div w:id="476528756">
      <w:bodyDiv w:val="1"/>
      <w:marLeft w:val="0"/>
      <w:marRight w:val="0"/>
      <w:marTop w:val="0"/>
      <w:marBottom w:val="0"/>
      <w:divBdr>
        <w:top w:val="none" w:sz="0" w:space="0" w:color="auto"/>
        <w:left w:val="none" w:sz="0" w:space="0" w:color="auto"/>
        <w:bottom w:val="none" w:sz="0" w:space="0" w:color="auto"/>
        <w:right w:val="none" w:sz="0" w:space="0" w:color="auto"/>
      </w:divBdr>
    </w:div>
    <w:div w:id="791901541">
      <w:bodyDiv w:val="1"/>
      <w:marLeft w:val="0"/>
      <w:marRight w:val="0"/>
      <w:marTop w:val="0"/>
      <w:marBottom w:val="0"/>
      <w:divBdr>
        <w:top w:val="none" w:sz="0" w:space="0" w:color="auto"/>
        <w:left w:val="none" w:sz="0" w:space="0" w:color="auto"/>
        <w:bottom w:val="none" w:sz="0" w:space="0" w:color="auto"/>
        <w:right w:val="none" w:sz="0" w:space="0" w:color="auto"/>
      </w:divBdr>
      <w:divsChild>
        <w:div w:id="1303583159">
          <w:marLeft w:val="547"/>
          <w:marRight w:val="0"/>
          <w:marTop w:val="100"/>
          <w:marBottom w:val="0"/>
          <w:divBdr>
            <w:top w:val="none" w:sz="0" w:space="0" w:color="auto"/>
            <w:left w:val="none" w:sz="0" w:space="0" w:color="auto"/>
            <w:bottom w:val="none" w:sz="0" w:space="0" w:color="auto"/>
            <w:right w:val="none" w:sz="0" w:space="0" w:color="auto"/>
          </w:divBdr>
        </w:div>
        <w:div w:id="429811972">
          <w:marLeft w:val="1282"/>
          <w:marRight w:val="0"/>
          <w:marTop w:val="100"/>
          <w:marBottom w:val="0"/>
          <w:divBdr>
            <w:top w:val="none" w:sz="0" w:space="0" w:color="auto"/>
            <w:left w:val="none" w:sz="0" w:space="0" w:color="auto"/>
            <w:bottom w:val="none" w:sz="0" w:space="0" w:color="auto"/>
            <w:right w:val="none" w:sz="0" w:space="0" w:color="auto"/>
          </w:divBdr>
        </w:div>
        <w:div w:id="1040938130">
          <w:marLeft w:val="1282"/>
          <w:marRight w:val="0"/>
          <w:marTop w:val="100"/>
          <w:marBottom w:val="0"/>
          <w:divBdr>
            <w:top w:val="none" w:sz="0" w:space="0" w:color="auto"/>
            <w:left w:val="none" w:sz="0" w:space="0" w:color="auto"/>
            <w:bottom w:val="none" w:sz="0" w:space="0" w:color="auto"/>
            <w:right w:val="none" w:sz="0" w:space="0" w:color="auto"/>
          </w:divBdr>
        </w:div>
        <w:div w:id="1971402941">
          <w:marLeft w:val="1282"/>
          <w:marRight w:val="0"/>
          <w:marTop w:val="100"/>
          <w:marBottom w:val="0"/>
          <w:divBdr>
            <w:top w:val="none" w:sz="0" w:space="0" w:color="auto"/>
            <w:left w:val="none" w:sz="0" w:space="0" w:color="auto"/>
            <w:bottom w:val="none" w:sz="0" w:space="0" w:color="auto"/>
            <w:right w:val="none" w:sz="0" w:space="0" w:color="auto"/>
          </w:divBdr>
        </w:div>
        <w:div w:id="1937134470">
          <w:marLeft w:val="1282"/>
          <w:marRight w:val="0"/>
          <w:marTop w:val="100"/>
          <w:marBottom w:val="0"/>
          <w:divBdr>
            <w:top w:val="none" w:sz="0" w:space="0" w:color="auto"/>
            <w:left w:val="none" w:sz="0" w:space="0" w:color="auto"/>
            <w:bottom w:val="none" w:sz="0" w:space="0" w:color="auto"/>
            <w:right w:val="none" w:sz="0" w:space="0" w:color="auto"/>
          </w:divBdr>
        </w:div>
        <w:div w:id="1374815200">
          <w:marLeft w:val="1282"/>
          <w:marRight w:val="0"/>
          <w:marTop w:val="100"/>
          <w:marBottom w:val="0"/>
          <w:divBdr>
            <w:top w:val="none" w:sz="0" w:space="0" w:color="auto"/>
            <w:left w:val="none" w:sz="0" w:space="0" w:color="auto"/>
            <w:bottom w:val="none" w:sz="0" w:space="0" w:color="auto"/>
            <w:right w:val="none" w:sz="0" w:space="0" w:color="auto"/>
          </w:divBdr>
        </w:div>
        <w:div w:id="702902139">
          <w:marLeft w:val="547"/>
          <w:marRight w:val="0"/>
          <w:marTop w:val="100"/>
          <w:marBottom w:val="0"/>
          <w:divBdr>
            <w:top w:val="none" w:sz="0" w:space="0" w:color="auto"/>
            <w:left w:val="none" w:sz="0" w:space="0" w:color="auto"/>
            <w:bottom w:val="none" w:sz="0" w:space="0" w:color="auto"/>
            <w:right w:val="none" w:sz="0" w:space="0" w:color="auto"/>
          </w:divBdr>
        </w:div>
        <w:div w:id="295648670">
          <w:marLeft w:val="1382"/>
          <w:marRight w:val="0"/>
          <w:marTop w:val="100"/>
          <w:marBottom w:val="0"/>
          <w:divBdr>
            <w:top w:val="none" w:sz="0" w:space="0" w:color="auto"/>
            <w:left w:val="none" w:sz="0" w:space="0" w:color="auto"/>
            <w:bottom w:val="none" w:sz="0" w:space="0" w:color="auto"/>
            <w:right w:val="none" w:sz="0" w:space="0" w:color="auto"/>
          </w:divBdr>
        </w:div>
        <w:div w:id="352538211">
          <w:marLeft w:val="1382"/>
          <w:marRight w:val="0"/>
          <w:marTop w:val="100"/>
          <w:marBottom w:val="0"/>
          <w:divBdr>
            <w:top w:val="none" w:sz="0" w:space="0" w:color="auto"/>
            <w:left w:val="none" w:sz="0" w:space="0" w:color="auto"/>
            <w:bottom w:val="none" w:sz="0" w:space="0" w:color="auto"/>
            <w:right w:val="none" w:sz="0" w:space="0" w:color="auto"/>
          </w:divBdr>
        </w:div>
        <w:div w:id="2017733264">
          <w:marLeft w:val="1814"/>
          <w:marRight w:val="0"/>
          <w:marTop w:val="100"/>
          <w:marBottom w:val="0"/>
          <w:divBdr>
            <w:top w:val="none" w:sz="0" w:space="0" w:color="auto"/>
            <w:left w:val="none" w:sz="0" w:space="0" w:color="auto"/>
            <w:bottom w:val="none" w:sz="0" w:space="0" w:color="auto"/>
            <w:right w:val="none" w:sz="0" w:space="0" w:color="auto"/>
          </w:divBdr>
        </w:div>
        <w:div w:id="1651402383">
          <w:marLeft w:val="1814"/>
          <w:marRight w:val="0"/>
          <w:marTop w:val="100"/>
          <w:marBottom w:val="0"/>
          <w:divBdr>
            <w:top w:val="none" w:sz="0" w:space="0" w:color="auto"/>
            <w:left w:val="none" w:sz="0" w:space="0" w:color="auto"/>
            <w:bottom w:val="none" w:sz="0" w:space="0" w:color="auto"/>
            <w:right w:val="none" w:sz="0" w:space="0" w:color="auto"/>
          </w:divBdr>
        </w:div>
        <w:div w:id="2070379216">
          <w:marLeft w:val="1382"/>
          <w:marRight w:val="0"/>
          <w:marTop w:val="100"/>
          <w:marBottom w:val="0"/>
          <w:divBdr>
            <w:top w:val="none" w:sz="0" w:space="0" w:color="auto"/>
            <w:left w:val="none" w:sz="0" w:space="0" w:color="auto"/>
            <w:bottom w:val="none" w:sz="0" w:space="0" w:color="auto"/>
            <w:right w:val="none" w:sz="0" w:space="0" w:color="auto"/>
          </w:divBdr>
        </w:div>
        <w:div w:id="327632842">
          <w:marLeft w:val="1814"/>
          <w:marRight w:val="0"/>
          <w:marTop w:val="100"/>
          <w:marBottom w:val="0"/>
          <w:divBdr>
            <w:top w:val="none" w:sz="0" w:space="0" w:color="auto"/>
            <w:left w:val="none" w:sz="0" w:space="0" w:color="auto"/>
            <w:bottom w:val="none" w:sz="0" w:space="0" w:color="auto"/>
            <w:right w:val="none" w:sz="0" w:space="0" w:color="auto"/>
          </w:divBdr>
        </w:div>
        <w:div w:id="1671105435">
          <w:marLeft w:val="1814"/>
          <w:marRight w:val="0"/>
          <w:marTop w:val="100"/>
          <w:marBottom w:val="0"/>
          <w:divBdr>
            <w:top w:val="none" w:sz="0" w:space="0" w:color="auto"/>
            <w:left w:val="none" w:sz="0" w:space="0" w:color="auto"/>
            <w:bottom w:val="none" w:sz="0" w:space="0" w:color="auto"/>
            <w:right w:val="none" w:sz="0" w:space="0" w:color="auto"/>
          </w:divBdr>
        </w:div>
        <w:div w:id="1193420576">
          <w:marLeft w:val="1382"/>
          <w:marRight w:val="0"/>
          <w:marTop w:val="100"/>
          <w:marBottom w:val="0"/>
          <w:divBdr>
            <w:top w:val="none" w:sz="0" w:space="0" w:color="auto"/>
            <w:left w:val="none" w:sz="0" w:space="0" w:color="auto"/>
            <w:bottom w:val="none" w:sz="0" w:space="0" w:color="auto"/>
            <w:right w:val="none" w:sz="0" w:space="0" w:color="auto"/>
          </w:divBdr>
        </w:div>
        <w:div w:id="55518840">
          <w:marLeft w:val="1814"/>
          <w:marRight w:val="0"/>
          <w:marTop w:val="100"/>
          <w:marBottom w:val="0"/>
          <w:divBdr>
            <w:top w:val="none" w:sz="0" w:space="0" w:color="auto"/>
            <w:left w:val="none" w:sz="0" w:space="0" w:color="auto"/>
            <w:bottom w:val="none" w:sz="0" w:space="0" w:color="auto"/>
            <w:right w:val="none" w:sz="0" w:space="0" w:color="auto"/>
          </w:divBdr>
        </w:div>
        <w:div w:id="459762073">
          <w:marLeft w:val="1814"/>
          <w:marRight w:val="0"/>
          <w:marTop w:val="100"/>
          <w:marBottom w:val="0"/>
          <w:divBdr>
            <w:top w:val="none" w:sz="0" w:space="0" w:color="auto"/>
            <w:left w:val="none" w:sz="0" w:space="0" w:color="auto"/>
            <w:bottom w:val="none" w:sz="0" w:space="0" w:color="auto"/>
            <w:right w:val="none" w:sz="0" w:space="0" w:color="auto"/>
          </w:divBdr>
        </w:div>
      </w:divsChild>
    </w:div>
    <w:div w:id="843975716">
      <w:bodyDiv w:val="1"/>
      <w:marLeft w:val="0"/>
      <w:marRight w:val="0"/>
      <w:marTop w:val="0"/>
      <w:marBottom w:val="0"/>
      <w:divBdr>
        <w:top w:val="none" w:sz="0" w:space="0" w:color="auto"/>
        <w:left w:val="none" w:sz="0" w:space="0" w:color="auto"/>
        <w:bottom w:val="none" w:sz="0" w:space="0" w:color="auto"/>
        <w:right w:val="none" w:sz="0" w:space="0" w:color="auto"/>
      </w:divBdr>
      <w:divsChild>
        <w:div w:id="1683049944">
          <w:marLeft w:val="547"/>
          <w:marRight w:val="0"/>
          <w:marTop w:val="100"/>
          <w:marBottom w:val="0"/>
          <w:divBdr>
            <w:top w:val="none" w:sz="0" w:space="0" w:color="auto"/>
            <w:left w:val="none" w:sz="0" w:space="0" w:color="auto"/>
            <w:bottom w:val="none" w:sz="0" w:space="0" w:color="auto"/>
            <w:right w:val="none" w:sz="0" w:space="0" w:color="auto"/>
          </w:divBdr>
        </w:div>
        <w:div w:id="4671536">
          <w:marLeft w:val="1282"/>
          <w:marRight w:val="0"/>
          <w:marTop w:val="100"/>
          <w:marBottom w:val="0"/>
          <w:divBdr>
            <w:top w:val="none" w:sz="0" w:space="0" w:color="auto"/>
            <w:left w:val="none" w:sz="0" w:space="0" w:color="auto"/>
            <w:bottom w:val="none" w:sz="0" w:space="0" w:color="auto"/>
            <w:right w:val="none" w:sz="0" w:space="0" w:color="auto"/>
          </w:divBdr>
        </w:div>
        <w:div w:id="609892213">
          <w:marLeft w:val="1282"/>
          <w:marRight w:val="0"/>
          <w:marTop w:val="100"/>
          <w:marBottom w:val="0"/>
          <w:divBdr>
            <w:top w:val="none" w:sz="0" w:space="0" w:color="auto"/>
            <w:left w:val="none" w:sz="0" w:space="0" w:color="auto"/>
            <w:bottom w:val="none" w:sz="0" w:space="0" w:color="auto"/>
            <w:right w:val="none" w:sz="0" w:space="0" w:color="auto"/>
          </w:divBdr>
        </w:div>
        <w:div w:id="680813315">
          <w:marLeft w:val="1282"/>
          <w:marRight w:val="0"/>
          <w:marTop w:val="100"/>
          <w:marBottom w:val="0"/>
          <w:divBdr>
            <w:top w:val="none" w:sz="0" w:space="0" w:color="auto"/>
            <w:left w:val="none" w:sz="0" w:space="0" w:color="auto"/>
            <w:bottom w:val="none" w:sz="0" w:space="0" w:color="auto"/>
            <w:right w:val="none" w:sz="0" w:space="0" w:color="auto"/>
          </w:divBdr>
        </w:div>
        <w:div w:id="1601375948">
          <w:marLeft w:val="1282"/>
          <w:marRight w:val="0"/>
          <w:marTop w:val="100"/>
          <w:marBottom w:val="0"/>
          <w:divBdr>
            <w:top w:val="none" w:sz="0" w:space="0" w:color="auto"/>
            <w:left w:val="none" w:sz="0" w:space="0" w:color="auto"/>
            <w:bottom w:val="none" w:sz="0" w:space="0" w:color="auto"/>
            <w:right w:val="none" w:sz="0" w:space="0" w:color="auto"/>
          </w:divBdr>
        </w:div>
        <w:div w:id="1419208186">
          <w:marLeft w:val="1282"/>
          <w:marRight w:val="0"/>
          <w:marTop w:val="100"/>
          <w:marBottom w:val="0"/>
          <w:divBdr>
            <w:top w:val="none" w:sz="0" w:space="0" w:color="auto"/>
            <w:left w:val="none" w:sz="0" w:space="0" w:color="auto"/>
            <w:bottom w:val="none" w:sz="0" w:space="0" w:color="auto"/>
            <w:right w:val="none" w:sz="0" w:space="0" w:color="auto"/>
          </w:divBdr>
        </w:div>
        <w:div w:id="136843869">
          <w:marLeft w:val="547"/>
          <w:marRight w:val="0"/>
          <w:marTop w:val="100"/>
          <w:marBottom w:val="0"/>
          <w:divBdr>
            <w:top w:val="none" w:sz="0" w:space="0" w:color="auto"/>
            <w:left w:val="none" w:sz="0" w:space="0" w:color="auto"/>
            <w:bottom w:val="none" w:sz="0" w:space="0" w:color="auto"/>
            <w:right w:val="none" w:sz="0" w:space="0" w:color="auto"/>
          </w:divBdr>
        </w:div>
        <w:div w:id="1018509884">
          <w:marLeft w:val="1382"/>
          <w:marRight w:val="0"/>
          <w:marTop w:val="100"/>
          <w:marBottom w:val="0"/>
          <w:divBdr>
            <w:top w:val="none" w:sz="0" w:space="0" w:color="auto"/>
            <w:left w:val="none" w:sz="0" w:space="0" w:color="auto"/>
            <w:bottom w:val="none" w:sz="0" w:space="0" w:color="auto"/>
            <w:right w:val="none" w:sz="0" w:space="0" w:color="auto"/>
          </w:divBdr>
        </w:div>
        <w:div w:id="1430198671">
          <w:marLeft w:val="1382"/>
          <w:marRight w:val="0"/>
          <w:marTop w:val="100"/>
          <w:marBottom w:val="0"/>
          <w:divBdr>
            <w:top w:val="none" w:sz="0" w:space="0" w:color="auto"/>
            <w:left w:val="none" w:sz="0" w:space="0" w:color="auto"/>
            <w:bottom w:val="none" w:sz="0" w:space="0" w:color="auto"/>
            <w:right w:val="none" w:sz="0" w:space="0" w:color="auto"/>
          </w:divBdr>
        </w:div>
        <w:div w:id="1938253282">
          <w:marLeft w:val="1814"/>
          <w:marRight w:val="0"/>
          <w:marTop w:val="100"/>
          <w:marBottom w:val="0"/>
          <w:divBdr>
            <w:top w:val="none" w:sz="0" w:space="0" w:color="auto"/>
            <w:left w:val="none" w:sz="0" w:space="0" w:color="auto"/>
            <w:bottom w:val="none" w:sz="0" w:space="0" w:color="auto"/>
            <w:right w:val="none" w:sz="0" w:space="0" w:color="auto"/>
          </w:divBdr>
        </w:div>
        <w:div w:id="668292990">
          <w:marLeft w:val="1814"/>
          <w:marRight w:val="0"/>
          <w:marTop w:val="100"/>
          <w:marBottom w:val="0"/>
          <w:divBdr>
            <w:top w:val="none" w:sz="0" w:space="0" w:color="auto"/>
            <w:left w:val="none" w:sz="0" w:space="0" w:color="auto"/>
            <w:bottom w:val="none" w:sz="0" w:space="0" w:color="auto"/>
            <w:right w:val="none" w:sz="0" w:space="0" w:color="auto"/>
          </w:divBdr>
        </w:div>
        <w:div w:id="773549724">
          <w:marLeft w:val="1382"/>
          <w:marRight w:val="0"/>
          <w:marTop w:val="100"/>
          <w:marBottom w:val="0"/>
          <w:divBdr>
            <w:top w:val="none" w:sz="0" w:space="0" w:color="auto"/>
            <w:left w:val="none" w:sz="0" w:space="0" w:color="auto"/>
            <w:bottom w:val="none" w:sz="0" w:space="0" w:color="auto"/>
            <w:right w:val="none" w:sz="0" w:space="0" w:color="auto"/>
          </w:divBdr>
        </w:div>
        <w:div w:id="1665275235">
          <w:marLeft w:val="1814"/>
          <w:marRight w:val="0"/>
          <w:marTop w:val="100"/>
          <w:marBottom w:val="0"/>
          <w:divBdr>
            <w:top w:val="none" w:sz="0" w:space="0" w:color="auto"/>
            <w:left w:val="none" w:sz="0" w:space="0" w:color="auto"/>
            <w:bottom w:val="none" w:sz="0" w:space="0" w:color="auto"/>
            <w:right w:val="none" w:sz="0" w:space="0" w:color="auto"/>
          </w:divBdr>
        </w:div>
        <w:div w:id="1769275867">
          <w:marLeft w:val="1814"/>
          <w:marRight w:val="0"/>
          <w:marTop w:val="100"/>
          <w:marBottom w:val="0"/>
          <w:divBdr>
            <w:top w:val="none" w:sz="0" w:space="0" w:color="auto"/>
            <w:left w:val="none" w:sz="0" w:space="0" w:color="auto"/>
            <w:bottom w:val="none" w:sz="0" w:space="0" w:color="auto"/>
            <w:right w:val="none" w:sz="0" w:space="0" w:color="auto"/>
          </w:divBdr>
        </w:div>
        <w:div w:id="1103963974">
          <w:marLeft w:val="1382"/>
          <w:marRight w:val="0"/>
          <w:marTop w:val="100"/>
          <w:marBottom w:val="0"/>
          <w:divBdr>
            <w:top w:val="none" w:sz="0" w:space="0" w:color="auto"/>
            <w:left w:val="none" w:sz="0" w:space="0" w:color="auto"/>
            <w:bottom w:val="none" w:sz="0" w:space="0" w:color="auto"/>
            <w:right w:val="none" w:sz="0" w:space="0" w:color="auto"/>
          </w:divBdr>
        </w:div>
        <w:div w:id="1221937282">
          <w:marLeft w:val="1814"/>
          <w:marRight w:val="0"/>
          <w:marTop w:val="100"/>
          <w:marBottom w:val="0"/>
          <w:divBdr>
            <w:top w:val="none" w:sz="0" w:space="0" w:color="auto"/>
            <w:left w:val="none" w:sz="0" w:space="0" w:color="auto"/>
            <w:bottom w:val="none" w:sz="0" w:space="0" w:color="auto"/>
            <w:right w:val="none" w:sz="0" w:space="0" w:color="auto"/>
          </w:divBdr>
        </w:div>
        <w:div w:id="1393699954">
          <w:marLeft w:val="1814"/>
          <w:marRight w:val="0"/>
          <w:marTop w:val="100"/>
          <w:marBottom w:val="0"/>
          <w:divBdr>
            <w:top w:val="none" w:sz="0" w:space="0" w:color="auto"/>
            <w:left w:val="none" w:sz="0" w:space="0" w:color="auto"/>
            <w:bottom w:val="none" w:sz="0" w:space="0" w:color="auto"/>
            <w:right w:val="none" w:sz="0" w:space="0" w:color="auto"/>
          </w:divBdr>
        </w:div>
      </w:divsChild>
    </w:div>
    <w:div w:id="1205605321">
      <w:bodyDiv w:val="1"/>
      <w:marLeft w:val="0"/>
      <w:marRight w:val="0"/>
      <w:marTop w:val="0"/>
      <w:marBottom w:val="0"/>
      <w:divBdr>
        <w:top w:val="none" w:sz="0" w:space="0" w:color="auto"/>
        <w:left w:val="none" w:sz="0" w:space="0" w:color="auto"/>
        <w:bottom w:val="none" w:sz="0" w:space="0" w:color="auto"/>
        <w:right w:val="none" w:sz="0" w:space="0" w:color="auto"/>
      </w:divBdr>
    </w:div>
    <w:div w:id="14702432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2020-01-16T23:24:05+00:00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0671A-DE29-4E0E-8645-961FF21CA08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1CB6B520-CC2C-4D81-8F29-9573736B5317}">
  <ds:schemaRefs>
    <ds:schemaRef ds:uri="Microsoft.SharePoint.Taxonomy.ContentTypeSync"/>
  </ds:schemaRefs>
</ds:datastoreItem>
</file>

<file path=customXml/itemProps3.xml><?xml version="1.0" encoding="utf-8"?>
<ds:datastoreItem xmlns:ds="http://schemas.openxmlformats.org/officeDocument/2006/customXml" ds:itemID="{74A74A01-C77A-42E8-BBF4-0104A22D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77787-295C-4EC8-A870-3384307F1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Kerwin, Courtney</cp:lastModifiedBy>
  <cp:revision>2</cp:revision>
  <cp:lastPrinted>2020-03-03T21:34:00Z</cp:lastPrinted>
  <dcterms:created xsi:type="dcterms:W3CDTF">2020-03-24T22:28:00Z</dcterms:created>
  <dcterms:modified xsi:type="dcterms:W3CDTF">2020-03-24T22:28:00Z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ies>
</file>