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47F65" w14:textId="4E39C34E" w:rsidR="00CE2FDC" w:rsidRDefault="00CE2FDC" w:rsidP="00C0004B">
      <w:pPr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  <w:u w:val="single"/>
        </w:rPr>
        <w:t>Appendix</w:t>
      </w:r>
      <w:r w:rsidR="006D7329">
        <w:rPr>
          <w:rFonts w:ascii="Garamond" w:hAnsi="Garamond"/>
          <w:b/>
          <w:sz w:val="24"/>
          <w:szCs w:val="24"/>
          <w:u w:val="single"/>
        </w:rPr>
        <w:t xml:space="preserve"> B</w:t>
      </w:r>
      <w:r w:rsidR="00C0004B">
        <w:rPr>
          <w:rFonts w:ascii="Garamond" w:hAnsi="Garamond"/>
          <w:b/>
          <w:sz w:val="24"/>
          <w:szCs w:val="24"/>
          <w:u w:val="single"/>
        </w:rPr>
        <w:t xml:space="preserve"> – </w:t>
      </w:r>
      <w:r>
        <w:rPr>
          <w:rFonts w:ascii="Garamond" w:hAnsi="Garamond"/>
          <w:b/>
          <w:sz w:val="24"/>
          <w:szCs w:val="24"/>
          <w:u w:val="single"/>
        </w:rPr>
        <w:t>Project Description</w:t>
      </w:r>
    </w:p>
    <w:p w14:paraId="2D482EE4" w14:textId="77777777" w:rsidR="00CE2FDC" w:rsidRPr="00437A6E" w:rsidRDefault="00CE2FDC" w:rsidP="00CE2FDC">
      <w:pPr>
        <w:rPr>
          <w:rFonts w:ascii="Garamond" w:hAnsi="Garamond"/>
          <w:b/>
          <w:sz w:val="24"/>
          <w:szCs w:val="24"/>
          <w:u w:val="single"/>
        </w:rPr>
      </w:pPr>
    </w:p>
    <w:p w14:paraId="453BBB91" w14:textId="77777777" w:rsidR="00CE2FDC" w:rsidRDefault="00CE2FDC" w:rsidP="00CE2FDC">
      <w:pPr>
        <w:spacing w:after="300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F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amily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L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evel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A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ssessment and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S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tate of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H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 xml:space="preserve">ome 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pacing w:val="5"/>
          <w:kern w:val="28"/>
          <w:sz w:val="32"/>
          <w:szCs w:val="32"/>
          <w:lang w:eastAsia="ja-JP"/>
        </w:rPr>
        <w:t>V</w:t>
      </w:r>
      <w:r w:rsidRPr="00C82C77">
        <w:rPr>
          <w:rFonts w:asciiTheme="majorHAnsi" w:eastAsiaTheme="majorEastAsia" w:hAnsiTheme="majorHAnsi" w:cstheme="majorBidi"/>
          <w:b/>
          <w:color w:val="000000" w:themeColor="text1"/>
          <w:spacing w:val="5"/>
          <w:kern w:val="28"/>
          <w:sz w:val="32"/>
          <w:szCs w:val="52"/>
          <w:lang w:eastAsia="ja-JP"/>
        </w:rPr>
        <w:t>isiting (FLASH-V)</w:t>
      </w:r>
    </w:p>
    <w:p w14:paraId="1F97823E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The Maternal, Infant, and Early Childhood Home Visiting program (MIECHV), supports the well-being of each state's most vulnerable parents and children.</w:t>
      </w:r>
    </w:p>
    <w:p w14:paraId="126C52D4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However, the program has limited resources and cannot serve all eligible families.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In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order to support service delivery and program planning, we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hope to better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understand how communities and local programs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decide which families are offered services and which families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actually receive home visiting services.  Currently, little is known about these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decision-making processes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.</w:t>
      </w:r>
    </w:p>
    <w:p w14:paraId="60B23B5F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The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FLASH-V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project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will help the field better understand how families are selected for these services and to what extent the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selection processes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use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evidence on how home visiting affects different families.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309C99BC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The Administration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for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Children and Families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(ACF)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,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Office of Planning, Research, and Evaluation,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in collaboration with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the Health Resources and Services Administration (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HRSA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)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, 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>leads the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 FLASH-V project.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02C27C32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We will do the study in two stages</w:t>
      </w:r>
    </w:p>
    <w:p w14:paraId="7A2334CC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In the first stage, FLASH-V will:</w:t>
      </w:r>
    </w:p>
    <w:p w14:paraId="33AD5D84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examine the available literature on family risk factors </w:t>
      </w:r>
      <w:r>
        <w:rPr>
          <w:rFonts w:asciiTheme="majorHAnsi" w:eastAsia="Times New Roman" w:hAnsiTheme="majorHAnsi" w:cs="Times New Roman"/>
          <w:sz w:val="24"/>
          <w:szCs w:val="20"/>
        </w:rPr>
        <w:t>that are associated with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the effectiveness of home visiting</w:t>
      </w:r>
    </w:p>
    <w:p w14:paraId="1CE94E9F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scan training and technical assistance materials that local implementing agencies may use for deciding who</w:t>
      </w:r>
      <w:r>
        <w:rPr>
          <w:rFonts w:asciiTheme="majorHAnsi" w:eastAsia="Times New Roman" w:hAnsiTheme="majorHAnsi" w:cs="Times New Roman"/>
          <w:sz w:val="24"/>
          <w:szCs w:val="20"/>
        </w:rPr>
        <w:t>m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to enroll</w:t>
      </w:r>
    </w:p>
    <w:p w14:paraId="3D79F00C" w14:textId="77777777" w:rsidR="00CE2FDC" w:rsidRPr="00C82C77" w:rsidRDefault="00CE2FDC" w:rsidP="00CE2FDC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collect and analyze descriptive information </w:t>
      </w:r>
      <w:r>
        <w:rPr>
          <w:rFonts w:asciiTheme="majorHAnsi" w:eastAsia="Times New Roman" w:hAnsiTheme="majorHAnsi" w:cs="Times New Roman"/>
          <w:sz w:val="24"/>
          <w:szCs w:val="20"/>
        </w:rPr>
        <w:t>about recruitment and enrollment decision-making processes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at </w:t>
      </w:r>
      <w:r>
        <w:rPr>
          <w:rFonts w:asciiTheme="majorHAnsi" w:eastAsia="Times New Roman" w:hAnsiTheme="majorHAnsi" w:cs="Times New Roman"/>
          <w:sz w:val="24"/>
          <w:szCs w:val="20"/>
        </w:rPr>
        <w:t xml:space="preserve">the </w:t>
      </w:r>
      <w:r w:rsidRPr="00C82C77">
        <w:rPr>
          <w:rFonts w:asciiTheme="majorHAnsi" w:eastAsia="Times New Roman" w:hAnsiTheme="majorHAnsi" w:cs="Times New Roman"/>
          <w:sz w:val="24"/>
          <w:szCs w:val="20"/>
        </w:rPr>
        <w:t>national, state, and local level</w:t>
      </w:r>
    </w:p>
    <w:p w14:paraId="09FABE60" w14:textId="77777777" w:rsidR="00CE2FDC" w:rsidRPr="008A340C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In the second stage, FLASH-V will collect and analyze information about referrals and enrollment into home visiting services from </w:t>
      </w: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management information systems and survey data.</w:t>
      </w:r>
    </w:p>
    <w:p w14:paraId="73661D52" w14:textId="7F280645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We will select </w:t>
      </w:r>
      <w:r w:rsidR="00DE0745"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up to 30</w:t>
      </w: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agencies for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the study</w:t>
      </w:r>
    </w:p>
    <w:p w14:paraId="2F7FD8B0" w14:textId="77777777" w:rsidR="00CE2FDC" w:rsidRPr="00C82C77" w:rsidRDefault="00CE2FDC" w:rsidP="00CE2FDC">
      <w:pPr>
        <w:spacing w:after="120"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These agencies will be either:</w:t>
      </w:r>
    </w:p>
    <w:p w14:paraId="56A8A231" w14:textId="77777777" w:rsidR="00CE2FDC" w:rsidRPr="00C82C77" w:rsidRDefault="00CE2FDC" w:rsidP="00CE2FDC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centralized intake agencies that refer families to MIECHV programs, or</w:t>
      </w:r>
    </w:p>
    <w:p w14:paraId="1E630BDE" w14:textId="77777777" w:rsidR="00CE2FDC" w:rsidRPr="00C82C77" w:rsidRDefault="00CE2FDC" w:rsidP="00CE2FDC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MIECHV-funded local implementing agencies that </w:t>
      </w:r>
      <w:r>
        <w:rPr>
          <w:rFonts w:asciiTheme="majorHAnsi" w:eastAsia="Times New Roman" w:hAnsiTheme="majorHAnsi" w:cs="Times New Roman"/>
          <w:sz w:val="24"/>
          <w:szCs w:val="20"/>
        </w:rPr>
        <w:t>typically receive more referrals than they have capacity to serve</w:t>
      </w:r>
    </w:p>
    <w:p w14:paraId="58CB03DC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lastRenderedPageBreak/>
        <w:t>We will conduct semi-structured interviews with people from these agencies.</w:t>
      </w:r>
    </w:p>
    <w:p w14:paraId="7F60024F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The study will help decision makers, agencies, and families</w:t>
      </w:r>
    </w:p>
    <w:p w14:paraId="2145866A" w14:textId="77777777" w:rsidR="00CE2FDC" w:rsidRPr="00C82C77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30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Decision makers can use the information we get from this study, together with results from the national evaluat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ion of MIECHV, to help </w:t>
      </w: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>target services to those who need them most and can benefit most.</w:t>
      </w:r>
    </w:p>
    <w:p w14:paraId="034251C6" w14:textId="77777777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The burden on participants is low</w:t>
      </w:r>
    </w:p>
    <w:p w14:paraId="2247D46D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We will ask participants for:</w:t>
      </w:r>
    </w:p>
    <w:p w14:paraId="38AD159E" w14:textId="77777777" w:rsidR="00CE2FDC" w:rsidRPr="00C82C77" w:rsidRDefault="00CE2FDC" w:rsidP="00CE2FDC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one interview lasting about an hour</w:t>
      </w:r>
    </w:p>
    <w:p w14:paraId="63232BD5" w14:textId="77777777" w:rsidR="00CE2FDC" w:rsidRPr="00C82C77" w:rsidRDefault="00CE2FDC" w:rsidP="00CE2FDC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spacing w:after="12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>copies of their referral forms, screening forms, enrollment criteria, and recruitment materials</w:t>
      </w:r>
    </w:p>
    <w:p w14:paraId="575577A0" w14:textId="77777777" w:rsidR="00CE2FDC" w:rsidRPr="008A340C" w:rsidRDefault="00CE2FDC" w:rsidP="00CE2F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C82C77">
        <w:rPr>
          <w:rFonts w:asciiTheme="majorHAnsi" w:eastAsiaTheme="minorEastAsia" w:hAnsiTheme="majorHAnsi"/>
          <w:sz w:val="24"/>
          <w:szCs w:val="24"/>
          <w:lang w:eastAsia="ja-JP"/>
        </w:rPr>
        <w:t xml:space="preserve">We may </w:t>
      </w: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invite some of these people to take part in the second stage of the study.</w:t>
      </w:r>
    </w:p>
    <w:p w14:paraId="485622CB" w14:textId="4FB06D43" w:rsidR="00DE0745" w:rsidRPr="008A340C" w:rsidRDefault="00DE0745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8A340C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Your participation is voluntary and information will be kept private.</w:t>
      </w:r>
    </w:p>
    <w:p w14:paraId="39106533" w14:textId="7185EDC8" w:rsidR="00DE0745" w:rsidRPr="00DE0745" w:rsidRDefault="00DE0745" w:rsidP="00CE2FDC">
      <w:pPr>
        <w:keepNext/>
        <w:keepLines/>
        <w:spacing w:before="240" w:line="276" w:lineRule="auto"/>
        <w:outlineLvl w:val="0"/>
        <w:rPr>
          <w:rFonts w:asciiTheme="majorHAnsi" w:eastAsiaTheme="minorEastAsia" w:hAnsiTheme="majorHAnsi"/>
          <w:sz w:val="24"/>
          <w:szCs w:val="24"/>
          <w:lang w:eastAsia="ja-JP"/>
        </w:rPr>
      </w:pPr>
      <w:r w:rsidRPr="008A340C">
        <w:rPr>
          <w:rFonts w:asciiTheme="majorHAnsi" w:eastAsiaTheme="minorEastAsia" w:hAnsiTheme="majorHAnsi"/>
          <w:sz w:val="24"/>
          <w:szCs w:val="24"/>
          <w:lang w:eastAsia="ja-JP"/>
        </w:rPr>
        <w:t>Your participation in this study is voluntary and you may end your participation at any time. Privacy will be maintained to the degree permitted by the technology used.</w:t>
      </w:r>
      <w:r>
        <w:rPr>
          <w:rFonts w:asciiTheme="majorHAnsi" w:eastAsiaTheme="minorEastAsia" w:hAnsiTheme="majorHAnsi"/>
          <w:sz w:val="24"/>
          <w:szCs w:val="24"/>
          <w:lang w:eastAsia="ja-JP"/>
        </w:rPr>
        <w:t xml:space="preserve"> </w:t>
      </w:r>
    </w:p>
    <w:p w14:paraId="04DB0886" w14:textId="3D85929B" w:rsidR="00CE2FDC" w:rsidRPr="00C82C77" w:rsidRDefault="00CE2FDC" w:rsidP="00CE2FDC">
      <w:pPr>
        <w:keepNext/>
        <w:keepLines/>
        <w:spacing w:before="240" w:line="276" w:lineRule="auto"/>
        <w:outlineLvl w:val="0"/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</w:pP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James Bell Associates and MDRC are </w:t>
      </w:r>
      <w:r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>conducting</w:t>
      </w:r>
      <w:r w:rsidRPr="00C82C77">
        <w:rPr>
          <w:rFonts w:asciiTheme="majorHAnsi" w:eastAsiaTheme="majorEastAsia" w:hAnsiTheme="majorHAnsi" w:cstheme="majorBidi"/>
          <w:b/>
          <w:bCs/>
          <w:color w:val="8496B0" w:themeColor="text2" w:themeTint="99"/>
          <w:sz w:val="28"/>
          <w:szCs w:val="32"/>
          <w:lang w:eastAsia="ja-JP"/>
        </w:rPr>
        <w:t xml:space="preserve"> this study</w:t>
      </w:r>
    </w:p>
    <w:p w14:paraId="61E2B686" w14:textId="77777777" w:rsidR="00CE2FDC" w:rsidRPr="00C82C77" w:rsidRDefault="00CE2FDC" w:rsidP="00CE2FDC">
      <w:pPr>
        <w:spacing w:line="276" w:lineRule="auto"/>
        <w:rPr>
          <w:rFonts w:asciiTheme="majorHAnsi" w:hAnsiTheme="majorHAnsi"/>
          <w:sz w:val="24"/>
        </w:rPr>
      </w:pPr>
      <w:r w:rsidRPr="00C82C77">
        <w:rPr>
          <w:rFonts w:asciiTheme="majorHAnsi" w:hAnsiTheme="majorHAnsi"/>
          <w:sz w:val="24"/>
        </w:rPr>
        <w:t>For more information:</w:t>
      </w:r>
    </w:p>
    <w:p w14:paraId="51811536" w14:textId="77777777" w:rsidR="00CE2FDC" w:rsidRPr="00C82C77" w:rsidRDefault="00CE2FDC" w:rsidP="00CE2FDC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after="0" w:line="276" w:lineRule="auto"/>
        <w:contextualSpacing w:val="0"/>
        <w:rPr>
          <w:rFonts w:asciiTheme="majorHAnsi" w:eastAsia="Times New Roman" w:hAnsiTheme="majorHAnsi" w:cs="Times New Roman"/>
          <w:sz w:val="24"/>
          <w:szCs w:val="20"/>
        </w:rPr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Project Lead: Melanie Estarziau – </w:t>
      </w:r>
      <w:hyperlink r:id="rId9" w:history="1">
        <w:r w:rsidRPr="004120BE">
          <w:rPr>
            <w:rStyle w:val="Hyperlink"/>
            <w:rFonts w:asciiTheme="majorHAnsi" w:eastAsia="Times New Roman" w:hAnsiTheme="majorHAnsi" w:cs="Times New Roman"/>
            <w:sz w:val="24"/>
            <w:szCs w:val="20"/>
          </w:rPr>
          <w:t>Estarziau@jbassoc.com</w:t>
        </w:r>
      </w:hyperlink>
    </w:p>
    <w:p w14:paraId="3BA1B213" w14:textId="1463797D" w:rsidR="00CE2FDC" w:rsidRPr="00DE0745" w:rsidRDefault="00CE2FDC" w:rsidP="003A13D3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spacing w:after="300" w:line="276" w:lineRule="auto"/>
        <w:contextualSpacing w:val="0"/>
      </w:pPr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Federal Project Officer: Laura Nerenberg – </w:t>
      </w:r>
      <w:hyperlink r:id="rId10" w:history="1">
        <w:r w:rsidRPr="00C82C77">
          <w:rPr>
            <w:rFonts w:asciiTheme="majorHAnsi" w:eastAsia="Times New Roman" w:hAnsiTheme="majorHAnsi" w:cs="Times New Roman"/>
            <w:color w:val="0563C1" w:themeColor="hyperlink"/>
            <w:sz w:val="24"/>
            <w:szCs w:val="20"/>
            <w:u w:val="single"/>
          </w:rPr>
          <w:t>Laura.Nerenberg@acf.hhs.gov</w:t>
        </w:r>
      </w:hyperlink>
      <w:r w:rsidRPr="00C82C77">
        <w:rPr>
          <w:rFonts w:asciiTheme="majorHAnsi" w:eastAsia="Times New Roman" w:hAnsiTheme="majorHAnsi" w:cs="Times New Roman"/>
          <w:sz w:val="24"/>
          <w:szCs w:val="20"/>
        </w:rPr>
        <w:t xml:space="preserve"> </w:t>
      </w:r>
    </w:p>
    <w:p w14:paraId="638FEC79" w14:textId="151519F1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35093808" w14:textId="0CB9E4A3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40E2B693" w14:textId="5482FD98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4F1A632F" w14:textId="0D541A36" w:rsidR="00DE0745" w:rsidRDefault="00DE0745" w:rsidP="00DE0745">
      <w:pPr>
        <w:tabs>
          <w:tab w:val="left" w:pos="720"/>
          <w:tab w:val="left" w:pos="1440"/>
        </w:tabs>
        <w:spacing w:after="300" w:line="276" w:lineRule="auto"/>
      </w:pPr>
    </w:p>
    <w:p w14:paraId="58E8337D" w14:textId="47387B6A" w:rsidR="00DE0745" w:rsidRDefault="002621B7" w:rsidP="00DE0745">
      <w:pPr>
        <w:tabs>
          <w:tab w:val="left" w:pos="720"/>
          <w:tab w:val="left" w:pos="1440"/>
        </w:tabs>
        <w:spacing w:after="30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BB82D" wp14:editId="6D3DD7C2">
                <wp:simplePos x="0" y="0"/>
                <wp:positionH relativeFrom="column">
                  <wp:posOffset>-152400</wp:posOffset>
                </wp:positionH>
                <wp:positionV relativeFrom="paragraph">
                  <wp:posOffset>612140</wp:posOffset>
                </wp:positionV>
                <wp:extent cx="5962650" cy="74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63A2" w14:textId="5938F8A3" w:rsidR="002621B7" w:rsidRPr="002621B7" w:rsidRDefault="002621B7" w:rsidP="002621B7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pacing w:after="300" w:line="276" w:lineRule="auto"/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A340C"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                      </w:r>
                            <w:r w:rsidRPr="002621B7">
                              <w:rPr>
                                <w:rFonts w:asciiTheme="majorHAnsi" w:eastAsiaTheme="minorEastAsia" w:hAnsiTheme="majorHAnsi"/>
                                <w:i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8A104C3" w14:textId="703BC1EC" w:rsidR="002621B7" w:rsidRDefault="002621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48.2pt;width:469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">
                <v:textbox>
                  <w:txbxContent>
                    <w:p w14:paraId="3F8B63A2" w14:textId="5938F8A3" w:rsidR="002621B7" w:rsidRPr="002621B7" w:rsidRDefault="002621B7" w:rsidP="002621B7">
                      <w:pPr>
                        <w:tabs>
                          <w:tab w:val="left" w:pos="720"/>
                          <w:tab w:val="left" w:pos="1440"/>
                        </w:tabs>
                        <w:spacing w:after="300" w:line="276" w:lineRule="auto"/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</w:pPr>
                      <w:r w:rsidRPr="008A340C"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                </w:r>
                      <w:r w:rsidRPr="002621B7">
                        <w:rPr>
                          <w:rFonts w:asciiTheme="majorHAnsi" w:eastAsiaTheme="minorEastAsia" w:hAnsiTheme="majorHAnsi"/>
                          <w:i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</w:p>
                    <w:p w14:paraId="38A104C3" w14:textId="703BC1EC" w:rsidR="002621B7" w:rsidRDefault="002621B7"/>
                  </w:txbxContent>
                </v:textbox>
                <w10:wrap type="square"/>
              </v:shape>
            </w:pict>
          </mc:Fallback>
        </mc:AlternateContent>
      </w:r>
    </w:p>
    <w:sectPr w:rsidR="00DE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B8059B"/>
    <w:multiLevelType w:val="hybridMultilevel"/>
    <w:tmpl w:val="FFB8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C95"/>
    <w:multiLevelType w:val="hybridMultilevel"/>
    <w:tmpl w:val="DDC8C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D13CD"/>
    <w:multiLevelType w:val="hybridMultilevel"/>
    <w:tmpl w:val="C318FB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C66"/>
    <w:multiLevelType w:val="hybridMultilevel"/>
    <w:tmpl w:val="D2F6D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B2E76"/>
    <w:multiLevelType w:val="hybridMultilevel"/>
    <w:tmpl w:val="56B4C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983"/>
    <w:multiLevelType w:val="hybridMultilevel"/>
    <w:tmpl w:val="7A38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12ECA"/>
    <w:multiLevelType w:val="hybridMultilevel"/>
    <w:tmpl w:val="1534D7E6"/>
    <w:lvl w:ilvl="0" w:tplc="155E3B7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E51850"/>
    <w:multiLevelType w:val="hybridMultilevel"/>
    <w:tmpl w:val="C162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E72D4"/>
    <w:multiLevelType w:val="hybridMultilevel"/>
    <w:tmpl w:val="6E541FEE"/>
    <w:lvl w:ilvl="0" w:tplc="6C52F0A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E5701"/>
    <w:multiLevelType w:val="hybridMultilevel"/>
    <w:tmpl w:val="FE021C16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C137EC"/>
    <w:multiLevelType w:val="hybridMultilevel"/>
    <w:tmpl w:val="06D0D9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83AFB2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E4FC5"/>
    <w:multiLevelType w:val="hybridMultilevel"/>
    <w:tmpl w:val="0EAA0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B2727D"/>
    <w:multiLevelType w:val="hybridMultilevel"/>
    <w:tmpl w:val="C78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7C"/>
    <w:rsid w:val="001112A6"/>
    <w:rsid w:val="00115F8E"/>
    <w:rsid w:val="00207C97"/>
    <w:rsid w:val="002621B7"/>
    <w:rsid w:val="00292670"/>
    <w:rsid w:val="0036428E"/>
    <w:rsid w:val="003719F5"/>
    <w:rsid w:val="003A13D3"/>
    <w:rsid w:val="003A67B3"/>
    <w:rsid w:val="00496CD6"/>
    <w:rsid w:val="004E6C8A"/>
    <w:rsid w:val="00554EFF"/>
    <w:rsid w:val="005E6768"/>
    <w:rsid w:val="00637D0C"/>
    <w:rsid w:val="006D7329"/>
    <w:rsid w:val="006F66F1"/>
    <w:rsid w:val="00786382"/>
    <w:rsid w:val="007960B5"/>
    <w:rsid w:val="007E6C5B"/>
    <w:rsid w:val="007F68A8"/>
    <w:rsid w:val="00884AA3"/>
    <w:rsid w:val="0089224D"/>
    <w:rsid w:val="008961F8"/>
    <w:rsid w:val="008A340C"/>
    <w:rsid w:val="009F58AA"/>
    <w:rsid w:val="00A51A45"/>
    <w:rsid w:val="00B8287C"/>
    <w:rsid w:val="00BF101C"/>
    <w:rsid w:val="00BF4253"/>
    <w:rsid w:val="00C0004B"/>
    <w:rsid w:val="00CE2FDC"/>
    <w:rsid w:val="00D3021F"/>
    <w:rsid w:val="00DA59B1"/>
    <w:rsid w:val="00DE0745"/>
    <w:rsid w:val="00E8191D"/>
    <w:rsid w:val="00EA5752"/>
    <w:rsid w:val="00F60A28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2F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2FDC"/>
  </w:style>
  <w:style w:type="paragraph" w:customStyle="1" w:styleId="Default">
    <w:name w:val="Default"/>
    <w:rsid w:val="00CE2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F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2F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2FDC"/>
  </w:style>
  <w:style w:type="paragraph" w:customStyle="1" w:styleId="Default">
    <w:name w:val="Default"/>
    <w:rsid w:val="00CE2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F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aura.Nerenberg@acf.hh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starziau@jb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Active_x0020_Project xmlns="1c60471c-f084-4315-a5eb-9455db01c743">true</Active_x0020_Project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Date_x0020_and_x0020_Time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18" ma:contentTypeDescription="Create a new document." ma:contentTypeScope="" ma:versionID="88a4ccc0fa2c463071670b517b51493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ae632c6067ad5ca2367acbe194179c69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Active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Project" ma:index="20" nillable="true" ma:displayName="Active Project" ma:default="1" ma:description="Column to indicate inactive project folders" ma:internalName="Active_x0020_Project">
      <xsd:simpleType>
        <xsd:restriction base="dms:Boolean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5F5AF-D52F-4A10-BAD2-DA0E076F1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8BC4D-E84F-47BD-8378-B30108E70AE9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4439003-668a-4940-aa31-a697c9d9a1af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1c60471c-f084-4315-a5eb-9455db01c743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E4C6C5-4092-43F2-B3C1-002E4A7BD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Joraanstad</dc:creator>
  <cp:lastModifiedBy>SYSTEM</cp:lastModifiedBy>
  <cp:revision>2</cp:revision>
  <dcterms:created xsi:type="dcterms:W3CDTF">2018-01-12T13:38:00Z</dcterms:created>
  <dcterms:modified xsi:type="dcterms:W3CDTF">2018-01-12T13:38:00Z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