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EB1ED" w14:textId="2CBC2F85" w:rsidR="00762D0D" w:rsidRDefault="00762D0D">
      <w:pPr>
        <w:spacing w:after="0" w:line="240" w:lineRule="auto"/>
        <w:jc w:val="center"/>
        <w:rPr>
          <w:b/>
          <w:sz w:val="24"/>
          <w:szCs w:val="24"/>
        </w:rPr>
      </w:pPr>
      <w:bookmarkStart w:id="0" w:name="_GoBack"/>
      <w:bookmarkEnd w:id="0"/>
      <w:r>
        <w:rPr>
          <w:b/>
          <w:sz w:val="24"/>
          <w:szCs w:val="24"/>
        </w:rPr>
        <w:t xml:space="preserve">Supporting Statement </w:t>
      </w:r>
      <w:r w:rsidR="00AE1AE1">
        <w:rPr>
          <w:b/>
          <w:sz w:val="24"/>
          <w:szCs w:val="24"/>
        </w:rPr>
        <w:t xml:space="preserve">A </w:t>
      </w:r>
      <w:r>
        <w:rPr>
          <w:b/>
          <w:sz w:val="24"/>
          <w:szCs w:val="24"/>
        </w:rPr>
        <w:t xml:space="preserve">for Paperwork Reduction Act Generic Information Collection Submissions for </w:t>
      </w:r>
    </w:p>
    <w:p w14:paraId="325C8C4B" w14:textId="77777777" w:rsidR="007B683D" w:rsidRDefault="007B683D">
      <w:pPr>
        <w:spacing w:after="0" w:line="240" w:lineRule="auto"/>
        <w:jc w:val="center"/>
        <w:rPr>
          <w:b/>
          <w:sz w:val="24"/>
          <w:szCs w:val="24"/>
        </w:rPr>
      </w:pPr>
    </w:p>
    <w:p w14:paraId="237EDFC1" w14:textId="77777777"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14:paraId="555AC607" w14:textId="77777777" w:rsidR="007B683D" w:rsidRDefault="007B683D">
      <w:pPr>
        <w:spacing w:after="0" w:line="240" w:lineRule="auto"/>
        <w:jc w:val="center"/>
        <w:outlineLvl w:val="0"/>
        <w:rPr>
          <w:b/>
          <w:sz w:val="24"/>
          <w:szCs w:val="24"/>
        </w:rPr>
      </w:pPr>
    </w:p>
    <w:p w14:paraId="166BEF5C" w14:textId="77777777" w:rsidR="007B683D" w:rsidRDefault="007B683D">
      <w:pPr>
        <w:spacing w:after="0" w:line="240" w:lineRule="auto"/>
        <w:jc w:val="center"/>
        <w:outlineLvl w:val="0"/>
        <w:rPr>
          <w:b/>
          <w:sz w:val="24"/>
          <w:szCs w:val="24"/>
        </w:rPr>
      </w:pPr>
      <w:r>
        <w:rPr>
          <w:b/>
          <w:sz w:val="24"/>
          <w:szCs w:val="24"/>
        </w:rPr>
        <w:t>OMB Control No. 0920-1071</w:t>
      </w:r>
    </w:p>
    <w:p w14:paraId="45CA56B7" w14:textId="77777777" w:rsidR="007B683D" w:rsidRDefault="007B683D">
      <w:pPr>
        <w:spacing w:after="0" w:line="240" w:lineRule="auto"/>
        <w:jc w:val="center"/>
        <w:outlineLvl w:val="0"/>
        <w:rPr>
          <w:b/>
          <w:sz w:val="24"/>
          <w:szCs w:val="24"/>
        </w:rPr>
      </w:pPr>
      <w:r>
        <w:rPr>
          <w:b/>
          <w:sz w:val="24"/>
          <w:szCs w:val="24"/>
        </w:rPr>
        <w:t xml:space="preserve">Expiration Date: </w:t>
      </w:r>
      <w:r w:rsidR="00811E7B">
        <w:rPr>
          <w:b/>
          <w:sz w:val="24"/>
          <w:szCs w:val="24"/>
        </w:rPr>
        <w:t>06/30/2018</w:t>
      </w:r>
    </w:p>
    <w:p w14:paraId="7E6D9074" w14:textId="77777777" w:rsidR="00762D0D" w:rsidRDefault="00762D0D">
      <w:pPr>
        <w:spacing w:after="0" w:line="240" w:lineRule="auto"/>
        <w:rPr>
          <w:b/>
        </w:rPr>
      </w:pPr>
    </w:p>
    <w:p w14:paraId="4C4BBA82" w14:textId="77777777" w:rsidR="007B683D" w:rsidRDefault="007B683D">
      <w:pPr>
        <w:spacing w:after="0" w:line="240" w:lineRule="auto"/>
        <w:rPr>
          <w:b/>
        </w:rPr>
      </w:pPr>
    </w:p>
    <w:p w14:paraId="103EFD8C" w14:textId="77777777" w:rsidR="007B683D" w:rsidRPr="007B683D" w:rsidRDefault="007B683D">
      <w:pPr>
        <w:spacing w:after="0" w:line="240" w:lineRule="auto"/>
        <w:rPr>
          <w:b/>
        </w:rPr>
      </w:pPr>
    </w:p>
    <w:p w14:paraId="5B91A20C" w14:textId="7295E07D" w:rsidR="00307D7A" w:rsidRPr="007B683D" w:rsidRDefault="007B683D" w:rsidP="007B683D">
      <w:pPr>
        <w:spacing w:after="0" w:line="240" w:lineRule="auto"/>
        <w:jc w:val="center"/>
        <w:rPr>
          <w:b/>
        </w:rPr>
      </w:pPr>
      <w:r w:rsidRPr="007B683D">
        <w:rPr>
          <w:b/>
        </w:rPr>
        <w:t>Extension</w:t>
      </w:r>
      <w:r w:rsidR="00CB0BB8">
        <w:rPr>
          <w:b/>
        </w:rPr>
        <w:t xml:space="preserve"> ICR</w:t>
      </w:r>
    </w:p>
    <w:p w14:paraId="7D029D6B" w14:textId="77777777" w:rsidR="00307D7A" w:rsidRDefault="00307D7A">
      <w:pPr>
        <w:spacing w:after="0" w:line="240" w:lineRule="auto"/>
      </w:pPr>
    </w:p>
    <w:p w14:paraId="685E03C3" w14:textId="77777777" w:rsidR="007B683D" w:rsidRDefault="007B683D">
      <w:pPr>
        <w:spacing w:after="0" w:line="240" w:lineRule="auto"/>
      </w:pPr>
    </w:p>
    <w:p w14:paraId="79C32D46" w14:textId="77777777" w:rsidR="007B683D" w:rsidRDefault="007B683D">
      <w:pPr>
        <w:spacing w:after="0" w:line="240" w:lineRule="auto"/>
      </w:pPr>
    </w:p>
    <w:p w14:paraId="4FACC3AD" w14:textId="77777777" w:rsidR="00307D7A" w:rsidRDefault="00307D7A">
      <w:pPr>
        <w:spacing w:after="0" w:line="240" w:lineRule="auto"/>
      </w:pPr>
      <w:r>
        <w:t>National Center for Emerging and Zoonotic Infectious Diseases</w:t>
      </w:r>
    </w:p>
    <w:p w14:paraId="3BCDD8EA" w14:textId="77777777" w:rsidR="00797E9A" w:rsidRDefault="00797E9A">
      <w:pPr>
        <w:spacing w:after="0" w:line="240" w:lineRule="auto"/>
      </w:pPr>
    </w:p>
    <w:p w14:paraId="31DB9765" w14:textId="3A24163B" w:rsidR="00307D7A" w:rsidRDefault="0010356D">
      <w:pPr>
        <w:spacing w:after="0" w:line="240" w:lineRule="auto"/>
      </w:pPr>
      <w:r>
        <w:t>November</w:t>
      </w:r>
      <w:r w:rsidR="00797E9A">
        <w:t xml:space="preserve"> </w:t>
      </w:r>
      <w:r w:rsidR="00A7129D">
        <w:t>7</w:t>
      </w:r>
      <w:r w:rsidR="00797E9A">
        <w:t>, 2017</w:t>
      </w:r>
    </w:p>
    <w:p w14:paraId="504BC579" w14:textId="77777777" w:rsidR="00307D7A" w:rsidRDefault="00307D7A">
      <w:pPr>
        <w:spacing w:after="0" w:line="240" w:lineRule="auto"/>
      </w:pPr>
    </w:p>
    <w:p w14:paraId="05E38D40" w14:textId="77777777" w:rsidR="00307D7A" w:rsidRDefault="007B683D">
      <w:pPr>
        <w:spacing w:after="0" w:line="240" w:lineRule="auto"/>
      </w:pPr>
      <w:r>
        <w:t>Lee Samuel</w:t>
      </w:r>
    </w:p>
    <w:p w14:paraId="05AE7F02" w14:textId="77777777" w:rsidR="00307D7A" w:rsidRDefault="00307D7A">
      <w:pPr>
        <w:spacing w:after="0" w:line="240" w:lineRule="auto"/>
      </w:pPr>
      <w:r>
        <w:t>CDC/NCEZID</w:t>
      </w:r>
    </w:p>
    <w:p w14:paraId="124B3065" w14:textId="77777777" w:rsidR="00307D7A" w:rsidRDefault="00307D7A">
      <w:pPr>
        <w:spacing w:after="0" w:line="240" w:lineRule="auto"/>
      </w:pPr>
      <w:r>
        <w:t>1600 Clifton Rd, C-12</w:t>
      </w:r>
    </w:p>
    <w:p w14:paraId="698C3CCD" w14:textId="77777777" w:rsidR="00307D7A" w:rsidRDefault="00307D7A">
      <w:pPr>
        <w:spacing w:after="0" w:line="240" w:lineRule="auto"/>
      </w:pPr>
      <w:r>
        <w:t>Atlanta GA 30333</w:t>
      </w:r>
    </w:p>
    <w:p w14:paraId="44056175" w14:textId="77777777" w:rsidR="00307D7A" w:rsidRDefault="00CC3044">
      <w:pPr>
        <w:spacing w:after="0" w:line="240" w:lineRule="auto"/>
      </w:pPr>
      <w:hyperlink r:id="rId13" w:history="1">
        <w:r w:rsidR="007B683D" w:rsidRPr="00BC24A1">
          <w:rPr>
            <w:rStyle w:val="Hyperlink"/>
          </w:rPr>
          <w:t>llj3@cdc.gov</w:t>
        </w:r>
      </w:hyperlink>
    </w:p>
    <w:p w14:paraId="1D78AF4E" w14:textId="77777777" w:rsidR="00307D7A" w:rsidRDefault="00307D7A">
      <w:pPr>
        <w:spacing w:after="0" w:line="240" w:lineRule="auto"/>
      </w:pPr>
      <w:r>
        <w:t>404-</w:t>
      </w:r>
      <w:r w:rsidR="007B683D">
        <w:t>718</w:t>
      </w:r>
      <w:r>
        <w:t>-1</w:t>
      </w:r>
      <w:r w:rsidR="007B683D">
        <w:t>616</w:t>
      </w:r>
    </w:p>
    <w:p w14:paraId="39EA0918" w14:textId="77777777" w:rsidR="00307D7A" w:rsidRDefault="00307D7A">
      <w:pPr>
        <w:spacing w:after="0" w:line="240" w:lineRule="auto"/>
      </w:pPr>
    </w:p>
    <w:p w14:paraId="626BBBAD" w14:textId="77777777" w:rsidR="00307D7A" w:rsidRDefault="00307D7A">
      <w:pPr>
        <w:spacing w:after="0" w:line="240" w:lineRule="auto"/>
      </w:pPr>
    </w:p>
    <w:p w14:paraId="5A0BD382" w14:textId="77777777" w:rsidR="00307D7A" w:rsidRDefault="00307D7A">
      <w:pPr>
        <w:spacing w:after="0" w:line="240" w:lineRule="auto"/>
      </w:pPr>
    </w:p>
    <w:p w14:paraId="12BDFF24" w14:textId="77777777" w:rsidR="00307D7A" w:rsidRDefault="00307D7A">
      <w:pPr>
        <w:spacing w:after="0" w:line="240" w:lineRule="auto"/>
      </w:pPr>
    </w:p>
    <w:p w14:paraId="1DF1C48C" w14:textId="77777777" w:rsidR="00307D7A" w:rsidRDefault="00307D7A">
      <w:pPr>
        <w:spacing w:after="0" w:line="240" w:lineRule="auto"/>
      </w:pPr>
    </w:p>
    <w:p w14:paraId="5F0DF8BD" w14:textId="77777777" w:rsidR="00307D7A" w:rsidRDefault="00307D7A">
      <w:pPr>
        <w:spacing w:after="0" w:line="240" w:lineRule="auto"/>
      </w:pPr>
    </w:p>
    <w:p w14:paraId="360C483F" w14:textId="77777777" w:rsidR="00307D7A" w:rsidRDefault="00307D7A">
      <w:pPr>
        <w:spacing w:after="0" w:line="240" w:lineRule="auto"/>
      </w:pPr>
    </w:p>
    <w:p w14:paraId="103C6DB5" w14:textId="77777777" w:rsidR="00307D7A" w:rsidRDefault="00307D7A">
      <w:pPr>
        <w:spacing w:after="0" w:line="240" w:lineRule="auto"/>
      </w:pPr>
    </w:p>
    <w:p w14:paraId="794983E7" w14:textId="77777777" w:rsidR="00307D7A" w:rsidRDefault="00307D7A">
      <w:pPr>
        <w:spacing w:after="0" w:line="240" w:lineRule="auto"/>
      </w:pPr>
    </w:p>
    <w:p w14:paraId="14563C3E" w14:textId="77777777" w:rsidR="00307D7A" w:rsidRDefault="00307D7A">
      <w:pPr>
        <w:spacing w:after="0" w:line="240" w:lineRule="auto"/>
      </w:pPr>
      <w:r>
        <w:br w:type="page"/>
      </w:r>
    </w:p>
    <w:p w14:paraId="4B51CBCC" w14:textId="78F8806D" w:rsidR="00762D0D" w:rsidRDefault="00B54830">
      <w:pPr>
        <w:pStyle w:val="ListParagraph"/>
        <w:numPr>
          <w:ilvl w:val="0"/>
          <w:numId w:val="1"/>
        </w:numPr>
        <w:spacing w:after="0" w:line="240" w:lineRule="auto"/>
        <w:ind w:left="0"/>
        <w:rPr>
          <w:b/>
        </w:rPr>
      </w:pPr>
      <w:r w:rsidRPr="00B54830">
        <w:rPr>
          <w:b/>
          <w:noProof/>
        </w:rPr>
        <w:lastRenderedPageBreak/>
        <mc:AlternateContent>
          <mc:Choice Requires="wps">
            <w:drawing>
              <wp:anchor distT="45720" distB="45720" distL="114300" distR="114300" simplePos="0" relativeHeight="251657728" behindDoc="0" locked="0" layoutInCell="1" allowOverlap="1" wp14:anchorId="2CEA28CE" wp14:editId="6D829FBA">
                <wp:simplePos x="0" y="0"/>
                <wp:positionH relativeFrom="column">
                  <wp:posOffset>0</wp:posOffset>
                </wp:positionH>
                <wp:positionV relativeFrom="paragraph">
                  <wp:posOffset>352425</wp:posOffset>
                </wp:positionV>
                <wp:extent cx="5924550" cy="12763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rgbClr val="FFFFFF"/>
                        </a:solidFill>
                        <a:ln w="9525">
                          <a:solidFill>
                            <a:srgbClr val="000000"/>
                          </a:solidFill>
                          <a:miter lim="800000"/>
                          <a:headEnd/>
                          <a:tailEnd/>
                        </a:ln>
                      </wps:spPr>
                      <wps:txbx>
                        <w:txbxContent>
                          <w:p w14:paraId="2586BE57" w14:textId="31060992"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Goal of the study: </w:t>
                            </w:r>
                            <w:r w:rsidRPr="00B54830">
                              <w:rPr>
                                <w:rFonts w:asciiTheme="minorHAnsi" w:hAnsiTheme="minorHAnsi"/>
                                <w:sz w:val="22"/>
                              </w:rPr>
                              <w:t>To enable the CDC to garner customer and stakeholder feedback in an efficient, timely manner, in accordance with our commitment to improving service delivery.</w:t>
                            </w:r>
                          </w:p>
                          <w:p w14:paraId="3D40DCB5" w14:textId="5391B70A"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Intended use of the resulting data: </w:t>
                            </w:r>
                            <w:r w:rsidRPr="00B54830">
                              <w:rPr>
                                <w:rFonts w:asciiTheme="minorHAnsi" w:hAnsiTheme="minorHAnsi"/>
                                <w:sz w:val="22"/>
                              </w:rPr>
                              <w:t>To improve agency programs.</w:t>
                            </w:r>
                            <w:r>
                              <w:rPr>
                                <w:rFonts w:asciiTheme="minorHAnsi" w:hAnsiTheme="minorHAnsi"/>
                                <w:b/>
                                <w:sz w:val="22"/>
                              </w:rPr>
                              <w:t xml:space="preserve"> </w:t>
                            </w:r>
                          </w:p>
                          <w:p w14:paraId="7C5FE211" w14:textId="02FF1246"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Methods to be used to collect: </w:t>
                            </w:r>
                            <w:r w:rsidRPr="00B54830">
                              <w:rPr>
                                <w:rFonts w:asciiTheme="minorHAnsi" w:hAnsiTheme="minorHAnsi"/>
                                <w:sz w:val="22"/>
                              </w:rPr>
                              <w:t>Routine customer feedback via online surveys, in-person surveys, focus groups, usability testing, and customer comment cards.</w:t>
                            </w:r>
                          </w:p>
                          <w:p w14:paraId="0570AFF9" w14:textId="309FE86D"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The subpopulation to be studied: </w:t>
                            </w:r>
                            <w:r w:rsidRPr="00B54830">
                              <w:rPr>
                                <w:rFonts w:asciiTheme="minorHAnsi" w:hAnsiTheme="minorHAnsi"/>
                                <w:sz w:val="22"/>
                              </w:rPr>
                              <w:t>Will vary for each gen-IC</w:t>
                            </w:r>
                          </w:p>
                          <w:p w14:paraId="6B8772D7" w14:textId="3873D849" w:rsidR="00B54830" w:rsidRDefault="00B54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75pt;width:466.5pt;height:10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">
                <v:textbox>
                  <w:txbxContent>
                    <w:p w14:paraId="2586BE57" w14:textId="31060992"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Goal of the study: </w:t>
                      </w:r>
                      <w:r w:rsidRPr="00B54830">
                        <w:rPr>
                          <w:rFonts w:asciiTheme="minorHAnsi" w:hAnsiTheme="minorHAnsi"/>
                          <w:sz w:val="22"/>
                        </w:rPr>
                        <w:t>To enable the CDC to garner customer and stakeholder feedback in an efficient, timely manner, in accordance with our commitment to improving service delivery.</w:t>
                      </w:r>
                    </w:p>
                    <w:p w14:paraId="3D40DCB5" w14:textId="5391B70A"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Intended use of the resulting data: </w:t>
                      </w:r>
                      <w:r w:rsidRPr="00B54830">
                        <w:rPr>
                          <w:rFonts w:asciiTheme="minorHAnsi" w:hAnsiTheme="minorHAnsi"/>
                          <w:sz w:val="22"/>
                        </w:rPr>
                        <w:t>To improve agency programs.</w:t>
                      </w:r>
                      <w:r>
                        <w:rPr>
                          <w:rFonts w:asciiTheme="minorHAnsi" w:hAnsiTheme="minorHAnsi"/>
                          <w:b/>
                          <w:sz w:val="22"/>
                        </w:rPr>
                        <w:t xml:space="preserve"> </w:t>
                      </w:r>
                    </w:p>
                    <w:p w14:paraId="7C5FE211" w14:textId="02FF1246"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Methods to be used to collect: </w:t>
                      </w:r>
                      <w:r w:rsidRPr="00B54830">
                        <w:rPr>
                          <w:rFonts w:asciiTheme="minorHAnsi" w:hAnsiTheme="minorHAnsi"/>
                          <w:sz w:val="22"/>
                        </w:rPr>
                        <w:t>Routine customer feedback via online surveys, in-person surveys, focus groups, usability testing, and customer comment cards.</w:t>
                      </w:r>
                    </w:p>
                    <w:p w14:paraId="0570AFF9" w14:textId="309FE86D" w:rsidR="00B54830" w:rsidRPr="00B54830" w:rsidRDefault="00B54830" w:rsidP="00B54830">
                      <w:pPr>
                        <w:pStyle w:val="Bullets"/>
                        <w:rPr>
                          <w:rFonts w:asciiTheme="minorHAnsi" w:hAnsiTheme="minorHAnsi"/>
                          <w:b/>
                          <w:sz w:val="22"/>
                        </w:rPr>
                      </w:pPr>
                      <w:r w:rsidRPr="00B54830">
                        <w:rPr>
                          <w:rFonts w:asciiTheme="minorHAnsi" w:hAnsiTheme="minorHAnsi"/>
                          <w:b/>
                          <w:sz w:val="22"/>
                        </w:rPr>
                        <w:t xml:space="preserve">The subpopulation to be studied: </w:t>
                      </w:r>
                      <w:r w:rsidRPr="00B54830">
                        <w:rPr>
                          <w:rFonts w:asciiTheme="minorHAnsi" w:hAnsiTheme="minorHAnsi"/>
                          <w:sz w:val="22"/>
                        </w:rPr>
                        <w:t>Will vary for each gen-IC</w:t>
                      </w:r>
                    </w:p>
                    <w:p w14:paraId="6B8772D7" w14:textId="3873D849" w:rsidR="00B54830" w:rsidRDefault="00B54830"/>
                  </w:txbxContent>
                </v:textbox>
                <w10:wrap type="topAndBottom"/>
              </v:shape>
            </w:pict>
          </mc:Fallback>
        </mc:AlternateContent>
      </w:r>
      <w:r w:rsidR="00762D0D">
        <w:rPr>
          <w:b/>
        </w:rPr>
        <w:t>JUSTIFICATION</w:t>
      </w:r>
    </w:p>
    <w:p w14:paraId="120A036D" w14:textId="5CCE7F5A" w:rsidR="00B54830" w:rsidRPr="00B54830" w:rsidRDefault="00B54830" w:rsidP="00B54830">
      <w:pPr>
        <w:pStyle w:val="ListParagraph"/>
        <w:spacing w:after="0" w:line="240" w:lineRule="auto"/>
        <w:ind w:left="0"/>
        <w:rPr>
          <w:b/>
        </w:rPr>
      </w:pPr>
    </w:p>
    <w:p w14:paraId="67C8143F" w14:textId="17041466" w:rsidR="00762D0D" w:rsidRDefault="00762D0D">
      <w:pPr>
        <w:pStyle w:val="ListParagraph"/>
        <w:numPr>
          <w:ilvl w:val="0"/>
          <w:numId w:val="2"/>
        </w:numPr>
        <w:spacing w:after="0" w:line="240" w:lineRule="auto"/>
        <w:ind w:left="0"/>
        <w:rPr>
          <w:b/>
        </w:rPr>
      </w:pPr>
      <w:r>
        <w:rPr>
          <w:b/>
        </w:rPr>
        <w:t>Circumstances Making the Collection of Information Necessary</w:t>
      </w:r>
    </w:p>
    <w:p w14:paraId="01BDB278" w14:textId="77777777" w:rsidR="00762D0D" w:rsidRDefault="00762D0D">
      <w:pPr>
        <w:pStyle w:val="ListParagraph"/>
        <w:spacing w:after="0" w:line="240" w:lineRule="auto"/>
        <w:ind w:left="0"/>
        <w:rPr>
          <w:b/>
        </w:rPr>
      </w:pPr>
    </w:p>
    <w:p w14:paraId="6C6283AD" w14:textId="100DA908" w:rsidR="00774F9F" w:rsidRDefault="00774F9F">
      <w:pPr>
        <w:spacing w:after="0" w:line="240" w:lineRule="auto"/>
      </w:pPr>
      <w:r w:rsidRPr="00774F9F">
        <w:t>CDC/NCEZID is seeking a three year extension of OMB control No. 0920-1071 to continue collecting routine customer feedback on agency service delivery.</w:t>
      </w:r>
    </w:p>
    <w:p w14:paraId="7BB35F1B" w14:textId="77777777" w:rsidR="00774F9F" w:rsidRDefault="00774F9F">
      <w:pPr>
        <w:spacing w:after="0" w:line="240" w:lineRule="auto"/>
      </w:pPr>
    </w:p>
    <w:p w14:paraId="6574698D" w14:textId="0CCEFC57"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A0608D">
        <w:t>, the</w:t>
      </w:r>
      <w:r w:rsidR="002D48E3">
        <w:t xml:space="preserve"> </w:t>
      </w:r>
      <w:r w:rsidR="003C2C0B">
        <w:t xml:space="preserve">National Center for </w:t>
      </w:r>
      <w:r w:rsidR="002D48E3">
        <w:t>Emerging and Zoonotic Infectious</w:t>
      </w:r>
      <w:r w:rsidR="003C2C0B">
        <w:t xml:space="preserve"> Diseases</w:t>
      </w:r>
      <w:r w:rsidR="0026487B">
        <w:t xml:space="preserve">, </w:t>
      </w:r>
      <w:r w:rsidR="0026487B">
        <w:rPr>
          <w:rFonts w:asciiTheme="minorHAnsi" w:hAnsiTheme="minorHAnsi" w:cs="Courier New"/>
          <w:bCs/>
        </w:rPr>
        <w:t>Centers for Disease Control and Prevention (CDC)</w:t>
      </w:r>
      <w:r w:rsidR="0026487B">
        <w:t xml:space="preserve"> </w:t>
      </w:r>
      <w:r>
        <w:t xml:space="preserve">(hereafter </w:t>
      </w:r>
      <w:r w:rsidR="009A201A">
        <w:t xml:space="preserve">the </w:t>
      </w:r>
      <w:r>
        <w:t>“</w:t>
      </w:r>
      <w:r w:rsidR="003C2C0B">
        <w:t>Agency</w:t>
      </w:r>
      <w: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3E023CC3" w14:textId="77777777" w:rsidR="00762D0D" w:rsidRDefault="00762D0D">
      <w:pPr>
        <w:spacing w:after="0" w:line="240" w:lineRule="auto"/>
        <w:rPr>
          <w:b/>
        </w:rPr>
      </w:pPr>
    </w:p>
    <w:p w14:paraId="76E1DCF4" w14:textId="77777777"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51E66DDB" w14:textId="77777777" w:rsidR="007B683D" w:rsidRDefault="007B683D">
      <w:pPr>
        <w:spacing w:after="0" w:line="240" w:lineRule="auto"/>
      </w:pPr>
    </w:p>
    <w:p w14:paraId="10115615" w14:textId="1D38C54D" w:rsidR="00811E7B" w:rsidRDefault="00811E7B">
      <w:pPr>
        <w:spacing w:after="0" w:line="240" w:lineRule="auto"/>
      </w:pPr>
      <w:r>
        <w:t xml:space="preserve">Since getting approval in June </w:t>
      </w:r>
      <w:r w:rsidR="007B683D">
        <w:t xml:space="preserve">2015, </w:t>
      </w:r>
      <w:r>
        <w:t xml:space="preserve">NCEZID has utilized </w:t>
      </w:r>
      <w:r w:rsidR="007B683D">
        <w:t>0920-1071</w:t>
      </w:r>
      <w:r>
        <w:t xml:space="preserve"> nine times.</w:t>
      </w:r>
      <w:r w:rsidR="00933F37">
        <w:t xml:space="preserve">  The total number of responses was 16,800.  The total number of burden hours was 2,029.  </w:t>
      </w:r>
    </w:p>
    <w:p w14:paraId="04203036" w14:textId="77777777" w:rsidR="00811E7B" w:rsidRDefault="00811E7B">
      <w:pPr>
        <w:spacing w:after="0" w:line="240" w:lineRule="auto"/>
      </w:pPr>
    </w:p>
    <w:tbl>
      <w:tblPr>
        <w:tblStyle w:val="TableGrid"/>
        <w:tblW w:w="0" w:type="auto"/>
        <w:tblLook w:val="04A0" w:firstRow="1" w:lastRow="0" w:firstColumn="1" w:lastColumn="0" w:noHBand="0" w:noVBand="1"/>
      </w:tblPr>
      <w:tblGrid>
        <w:gridCol w:w="6768"/>
        <w:gridCol w:w="1260"/>
        <w:gridCol w:w="1548"/>
      </w:tblGrid>
      <w:tr w:rsidR="00655D36" w14:paraId="0D2CDD5C" w14:textId="77777777" w:rsidTr="00933F37">
        <w:tc>
          <w:tcPr>
            <w:tcW w:w="6768" w:type="dxa"/>
          </w:tcPr>
          <w:p w14:paraId="61E62D28" w14:textId="77777777" w:rsidR="00655D36" w:rsidRPr="00655D36" w:rsidRDefault="00655D36">
            <w:pPr>
              <w:spacing w:after="0" w:line="240" w:lineRule="auto"/>
              <w:rPr>
                <w:b/>
              </w:rPr>
            </w:pPr>
            <w:r w:rsidRPr="00655D36">
              <w:rPr>
                <w:b/>
              </w:rPr>
              <w:t>Project</w:t>
            </w:r>
          </w:p>
        </w:tc>
        <w:tc>
          <w:tcPr>
            <w:tcW w:w="1260" w:type="dxa"/>
          </w:tcPr>
          <w:p w14:paraId="565F3172" w14:textId="77777777" w:rsidR="00655D36" w:rsidRPr="00655D36" w:rsidRDefault="00655D36">
            <w:pPr>
              <w:spacing w:after="0" w:line="240" w:lineRule="auto"/>
              <w:rPr>
                <w:b/>
              </w:rPr>
            </w:pPr>
            <w:r w:rsidRPr="00655D36">
              <w:rPr>
                <w:b/>
              </w:rPr>
              <w:t>Responses</w:t>
            </w:r>
          </w:p>
        </w:tc>
        <w:tc>
          <w:tcPr>
            <w:tcW w:w="1548" w:type="dxa"/>
          </w:tcPr>
          <w:p w14:paraId="1CF8BB0F" w14:textId="77777777" w:rsidR="00655D36" w:rsidRPr="00655D36" w:rsidRDefault="00655D36">
            <w:pPr>
              <w:spacing w:after="0" w:line="240" w:lineRule="auto"/>
              <w:rPr>
                <w:b/>
              </w:rPr>
            </w:pPr>
            <w:r w:rsidRPr="00655D36">
              <w:rPr>
                <w:b/>
              </w:rPr>
              <w:t>Burden Hours</w:t>
            </w:r>
          </w:p>
        </w:tc>
      </w:tr>
      <w:tr w:rsidR="00655D36" w14:paraId="48ABCAAD" w14:textId="77777777" w:rsidTr="00933F37">
        <w:tc>
          <w:tcPr>
            <w:tcW w:w="6768" w:type="dxa"/>
          </w:tcPr>
          <w:p w14:paraId="0D34BAA9" w14:textId="77777777" w:rsidR="00655D36" w:rsidRDefault="00655D36">
            <w:pPr>
              <w:spacing w:after="0" w:line="240" w:lineRule="auto"/>
            </w:pPr>
            <w:r w:rsidRPr="00AC71A4">
              <w:t>Customer Satisfaction Survey for CDC AR Isolate Bank Year 2</w:t>
            </w:r>
          </w:p>
        </w:tc>
        <w:tc>
          <w:tcPr>
            <w:tcW w:w="1260" w:type="dxa"/>
          </w:tcPr>
          <w:p w14:paraId="3AE9ADA0" w14:textId="77777777" w:rsidR="00655D36" w:rsidRDefault="00655D36">
            <w:pPr>
              <w:spacing w:after="0" w:line="240" w:lineRule="auto"/>
            </w:pPr>
            <w:r>
              <w:t>405</w:t>
            </w:r>
          </w:p>
        </w:tc>
        <w:tc>
          <w:tcPr>
            <w:tcW w:w="1548" w:type="dxa"/>
          </w:tcPr>
          <w:p w14:paraId="31B6B0DD" w14:textId="77777777" w:rsidR="00655D36" w:rsidRDefault="00655D36">
            <w:pPr>
              <w:spacing w:after="0" w:line="240" w:lineRule="auto"/>
            </w:pPr>
            <w:r>
              <w:t>67.5</w:t>
            </w:r>
          </w:p>
        </w:tc>
      </w:tr>
      <w:tr w:rsidR="00655D36" w14:paraId="06271C47" w14:textId="77777777" w:rsidTr="00933F37">
        <w:tc>
          <w:tcPr>
            <w:tcW w:w="6768" w:type="dxa"/>
          </w:tcPr>
          <w:p w14:paraId="018B3820" w14:textId="77777777" w:rsidR="00655D36" w:rsidRDefault="00655D36">
            <w:pPr>
              <w:spacing w:after="0" w:line="240" w:lineRule="auto"/>
            </w:pPr>
            <w:r w:rsidRPr="00AC71A4">
              <w:t>Ebola Global Migration Task Force (GMTF) Response After-Action Report (AAR) Survey</w:t>
            </w:r>
          </w:p>
        </w:tc>
        <w:tc>
          <w:tcPr>
            <w:tcW w:w="1260" w:type="dxa"/>
          </w:tcPr>
          <w:p w14:paraId="54F4DEF8" w14:textId="77777777" w:rsidR="00655D36" w:rsidRDefault="00655D36">
            <w:pPr>
              <w:spacing w:after="0" w:line="240" w:lineRule="auto"/>
            </w:pPr>
            <w:r>
              <w:t>220</w:t>
            </w:r>
          </w:p>
        </w:tc>
        <w:tc>
          <w:tcPr>
            <w:tcW w:w="1548" w:type="dxa"/>
          </w:tcPr>
          <w:p w14:paraId="511AA48A" w14:textId="77777777" w:rsidR="00655D36" w:rsidRDefault="00655D36">
            <w:pPr>
              <w:spacing w:after="0" w:line="240" w:lineRule="auto"/>
            </w:pPr>
            <w:r>
              <w:t>73</w:t>
            </w:r>
          </w:p>
        </w:tc>
      </w:tr>
      <w:tr w:rsidR="00655D36" w14:paraId="50A6B175" w14:textId="77777777" w:rsidTr="00933F37">
        <w:tc>
          <w:tcPr>
            <w:tcW w:w="6768" w:type="dxa"/>
          </w:tcPr>
          <w:p w14:paraId="2574709D" w14:textId="77777777" w:rsidR="00655D36" w:rsidRDefault="00655D36">
            <w:pPr>
              <w:spacing w:after="0" w:line="240" w:lineRule="auto"/>
            </w:pPr>
            <w:r w:rsidRPr="00AC71A4">
              <w:t>Assessment of Pilot CDC Zika Text Message Service</w:t>
            </w:r>
          </w:p>
        </w:tc>
        <w:tc>
          <w:tcPr>
            <w:tcW w:w="1260" w:type="dxa"/>
          </w:tcPr>
          <w:p w14:paraId="7F10FFF0" w14:textId="77777777" w:rsidR="00655D36" w:rsidRDefault="00655D36">
            <w:pPr>
              <w:spacing w:after="0" w:line="240" w:lineRule="auto"/>
            </w:pPr>
            <w:r>
              <w:t>1,000</w:t>
            </w:r>
          </w:p>
        </w:tc>
        <w:tc>
          <w:tcPr>
            <w:tcW w:w="1548" w:type="dxa"/>
          </w:tcPr>
          <w:p w14:paraId="4A379046" w14:textId="77777777" w:rsidR="00655D36" w:rsidRDefault="00655D36">
            <w:pPr>
              <w:spacing w:after="0" w:line="240" w:lineRule="auto"/>
            </w:pPr>
            <w:r>
              <w:t>84</w:t>
            </w:r>
          </w:p>
        </w:tc>
      </w:tr>
      <w:tr w:rsidR="00655D36" w14:paraId="0E420B37" w14:textId="77777777" w:rsidTr="00933F37">
        <w:tc>
          <w:tcPr>
            <w:tcW w:w="6768" w:type="dxa"/>
          </w:tcPr>
          <w:p w14:paraId="25F2C227" w14:textId="77777777" w:rsidR="00655D36" w:rsidRDefault="00655D36">
            <w:pPr>
              <w:spacing w:after="0" w:line="240" w:lineRule="auto"/>
            </w:pPr>
            <w:r w:rsidRPr="00AC71A4">
              <w:t>Formative Evaluation of Zika Prevention Kits for Pregnant Women in Puerto Rico</w:t>
            </w:r>
          </w:p>
        </w:tc>
        <w:tc>
          <w:tcPr>
            <w:tcW w:w="1260" w:type="dxa"/>
          </w:tcPr>
          <w:p w14:paraId="6D0F142D" w14:textId="77777777" w:rsidR="00655D36" w:rsidRDefault="00655D36">
            <w:pPr>
              <w:spacing w:after="0" w:line="240" w:lineRule="auto"/>
            </w:pPr>
            <w:r>
              <w:t>70</w:t>
            </w:r>
          </w:p>
        </w:tc>
        <w:tc>
          <w:tcPr>
            <w:tcW w:w="1548" w:type="dxa"/>
          </w:tcPr>
          <w:p w14:paraId="76860385" w14:textId="77777777" w:rsidR="00655D36" w:rsidRDefault="00655D36">
            <w:pPr>
              <w:spacing w:after="0" w:line="240" w:lineRule="auto"/>
            </w:pPr>
            <w:r>
              <w:t>18</w:t>
            </w:r>
          </w:p>
        </w:tc>
      </w:tr>
      <w:tr w:rsidR="00655D36" w14:paraId="3A9F9387" w14:textId="77777777" w:rsidTr="00933F37">
        <w:tc>
          <w:tcPr>
            <w:tcW w:w="6768" w:type="dxa"/>
          </w:tcPr>
          <w:p w14:paraId="16B5073D" w14:textId="77777777" w:rsidR="00655D36" w:rsidRDefault="00655D36">
            <w:pPr>
              <w:spacing w:after="0" w:line="240" w:lineRule="auto"/>
            </w:pPr>
            <w:r w:rsidRPr="00AC71A4">
              <w:t>Customer Satisfaction Survey for Soliciting Feedback on NICE Network Nursing Infection Prevention and Control In-Person Conference Sessions</w:t>
            </w:r>
          </w:p>
        </w:tc>
        <w:tc>
          <w:tcPr>
            <w:tcW w:w="1260" w:type="dxa"/>
          </w:tcPr>
          <w:p w14:paraId="39E362DD" w14:textId="77777777" w:rsidR="00655D36" w:rsidRDefault="00655D36">
            <w:pPr>
              <w:spacing w:after="0" w:line="240" w:lineRule="auto"/>
            </w:pPr>
            <w:r>
              <w:t>600</w:t>
            </w:r>
          </w:p>
        </w:tc>
        <w:tc>
          <w:tcPr>
            <w:tcW w:w="1548" w:type="dxa"/>
          </w:tcPr>
          <w:p w14:paraId="6354787F" w14:textId="77777777" w:rsidR="00655D36" w:rsidRDefault="00655D36">
            <w:pPr>
              <w:spacing w:after="0" w:line="240" w:lineRule="auto"/>
            </w:pPr>
            <w:r>
              <w:t>50</w:t>
            </w:r>
          </w:p>
        </w:tc>
      </w:tr>
      <w:tr w:rsidR="00655D36" w14:paraId="27195AA1" w14:textId="77777777" w:rsidTr="00933F37">
        <w:tc>
          <w:tcPr>
            <w:tcW w:w="6768" w:type="dxa"/>
          </w:tcPr>
          <w:p w14:paraId="16EB7165" w14:textId="77777777" w:rsidR="00655D36" w:rsidRDefault="00655D36">
            <w:pPr>
              <w:spacing w:after="0" w:line="240" w:lineRule="auto"/>
            </w:pPr>
            <w:r w:rsidRPr="00AC71A4">
              <w:lastRenderedPageBreak/>
              <w:t>Mosquito Bite Prevention Kit Feedback</w:t>
            </w:r>
          </w:p>
        </w:tc>
        <w:tc>
          <w:tcPr>
            <w:tcW w:w="1260" w:type="dxa"/>
          </w:tcPr>
          <w:p w14:paraId="6169F0E1" w14:textId="77777777" w:rsidR="00655D36" w:rsidRDefault="00655D36">
            <w:pPr>
              <w:spacing w:after="0" w:line="240" w:lineRule="auto"/>
            </w:pPr>
            <w:r>
              <w:t>14,000</w:t>
            </w:r>
          </w:p>
        </w:tc>
        <w:tc>
          <w:tcPr>
            <w:tcW w:w="1548" w:type="dxa"/>
          </w:tcPr>
          <w:p w14:paraId="384AC2A1" w14:textId="77777777" w:rsidR="00655D36" w:rsidRDefault="00655D36">
            <w:pPr>
              <w:spacing w:after="0" w:line="240" w:lineRule="auto"/>
            </w:pPr>
            <w:r>
              <w:t>1,634</w:t>
            </w:r>
          </w:p>
        </w:tc>
      </w:tr>
      <w:tr w:rsidR="00655D36" w14:paraId="7CE983B6" w14:textId="77777777" w:rsidTr="00933F37">
        <w:tc>
          <w:tcPr>
            <w:tcW w:w="6768" w:type="dxa"/>
          </w:tcPr>
          <w:p w14:paraId="12B6988D" w14:textId="77777777" w:rsidR="00655D36" w:rsidRDefault="00655D36">
            <w:pPr>
              <w:spacing w:after="0" w:line="240" w:lineRule="auto"/>
            </w:pPr>
            <w:r w:rsidRPr="00AC71A4">
              <w:t>Assessment of "The Refugee Journey to Wellbeing" Exhibit at the 2016 American Society of Tropical Medicine and Hygiene (ASTMH) Conference, Atlanta, GA</w:t>
            </w:r>
          </w:p>
        </w:tc>
        <w:tc>
          <w:tcPr>
            <w:tcW w:w="1260" w:type="dxa"/>
          </w:tcPr>
          <w:p w14:paraId="02070655" w14:textId="77777777" w:rsidR="00655D36" w:rsidRDefault="00655D36">
            <w:pPr>
              <w:spacing w:after="0" w:line="240" w:lineRule="auto"/>
            </w:pPr>
            <w:r>
              <w:t>350</w:t>
            </w:r>
          </w:p>
        </w:tc>
        <w:tc>
          <w:tcPr>
            <w:tcW w:w="1548" w:type="dxa"/>
          </w:tcPr>
          <w:p w14:paraId="628AABB1" w14:textId="77777777" w:rsidR="00655D36" w:rsidRDefault="00655D36">
            <w:pPr>
              <w:spacing w:after="0" w:line="240" w:lineRule="auto"/>
            </w:pPr>
            <w:r>
              <w:t>26.5</w:t>
            </w:r>
          </w:p>
        </w:tc>
      </w:tr>
      <w:tr w:rsidR="00655D36" w14:paraId="4900EAA1" w14:textId="77777777" w:rsidTr="00933F37">
        <w:tc>
          <w:tcPr>
            <w:tcW w:w="6768" w:type="dxa"/>
          </w:tcPr>
          <w:p w14:paraId="256EC8DE" w14:textId="77777777" w:rsidR="00655D36" w:rsidRDefault="00655D36">
            <w:pPr>
              <w:spacing w:after="0" w:line="240" w:lineRule="auto"/>
            </w:pPr>
            <w:r w:rsidRPr="00AC71A4">
              <w:t>Formative Evaluation of CDC Autocidal Gravid Traps in Puerto Rico</w:t>
            </w:r>
          </w:p>
        </w:tc>
        <w:tc>
          <w:tcPr>
            <w:tcW w:w="1260" w:type="dxa"/>
          </w:tcPr>
          <w:p w14:paraId="261CA7EB" w14:textId="77777777" w:rsidR="00655D36" w:rsidRDefault="00655D36">
            <w:pPr>
              <w:spacing w:after="0" w:line="240" w:lineRule="auto"/>
            </w:pPr>
            <w:r>
              <w:t>60</w:t>
            </w:r>
          </w:p>
        </w:tc>
        <w:tc>
          <w:tcPr>
            <w:tcW w:w="1548" w:type="dxa"/>
          </w:tcPr>
          <w:p w14:paraId="3462AFD9" w14:textId="77777777" w:rsidR="00655D36" w:rsidRDefault="00655D36">
            <w:pPr>
              <w:spacing w:after="0" w:line="240" w:lineRule="auto"/>
            </w:pPr>
            <w:r>
              <w:t>60</w:t>
            </w:r>
          </w:p>
        </w:tc>
      </w:tr>
      <w:tr w:rsidR="00655D36" w14:paraId="57C6BB6F" w14:textId="77777777" w:rsidTr="00933F37">
        <w:tc>
          <w:tcPr>
            <w:tcW w:w="6768" w:type="dxa"/>
          </w:tcPr>
          <w:p w14:paraId="4335F150" w14:textId="77777777" w:rsidR="00655D36" w:rsidRDefault="00655D36">
            <w:pPr>
              <w:spacing w:after="0" w:line="240" w:lineRule="auto"/>
            </w:pPr>
            <w:r w:rsidRPr="00AC71A4">
              <w:t>Customer Satisfaction Survey for CDC AR Isolate Bank</w:t>
            </w:r>
          </w:p>
        </w:tc>
        <w:tc>
          <w:tcPr>
            <w:tcW w:w="1260" w:type="dxa"/>
          </w:tcPr>
          <w:p w14:paraId="07776734" w14:textId="77777777" w:rsidR="00655D36" w:rsidRDefault="00655D36">
            <w:pPr>
              <w:spacing w:after="0" w:line="240" w:lineRule="auto"/>
            </w:pPr>
            <w:r>
              <w:t>95</w:t>
            </w:r>
          </w:p>
        </w:tc>
        <w:tc>
          <w:tcPr>
            <w:tcW w:w="1548" w:type="dxa"/>
          </w:tcPr>
          <w:p w14:paraId="0ABEE0E7" w14:textId="77777777" w:rsidR="00655D36" w:rsidRDefault="00655D36">
            <w:pPr>
              <w:spacing w:after="0" w:line="240" w:lineRule="auto"/>
            </w:pPr>
            <w:r>
              <w:t>16</w:t>
            </w:r>
          </w:p>
        </w:tc>
      </w:tr>
      <w:tr w:rsidR="00655D36" w14:paraId="0A3E608D" w14:textId="77777777" w:rsidTr="00933F37">
        <w:tc>
          <w:tcPr>
            <w:tcW w:w="6768" w:type="dxa"/>
          </w:tcPr>
          <w:p w14:paraId="7E117008" w14:textId="77777777" w:rsidR="00655D36" w:rsidRPr="00655D36" w:rsidRDefault="00655D36">
            <w:pPr>
              <w:spacing w:after="0" w:line="240" w:lineRule="auto"/>
              <w:rPr>
                <w:b/>
              </w:rPr>
            </w:pPr>
            <w:r w:rsidRPr="00655D36">
              <w:rPr>
                <w:b/>
              </w:rPr>
              <w:t>TOTAL</w:t>
            </w:r>
          </w:p>
        </w:tc>
        <w:tc>
          <w:tcPr>
            <w:tcW w:w="1260" w:type="dxa"/>
          </w:tcPr>
          <w:p w14:paraId="7E03D385" w14:textId="77777777" w:rsidR="00655D36" w:rsidRPr="00655D36" w:rsidRDefault="00655D36">
            <w:pPr>
              <w:spacing w:after="0" w:line="240" w:lineRule="auto"/>
              <w:rPr>
                <w:b/>
              </w:rPr>
            </w:pPr>
            <w:r w:rsidRPr="00655D36">
              <w:rPr>
                <w:b/>
              </w:rPr>
              <w:t>16,800</w:t>
            </w:r>
          </w:p>
        </w:tc>
        <w:tc>
          <w:tcPr>
            <w:tcW w:w="1548" w:type="dxa"/>
          </w:tcPr>
          <w:p w14:paraId="73D695D1" w14:textId="77777777" w:rsidR="00655D36" w:rsidRPr="00655D36" w:rsidRDefault="00655D36">
            <w:pPr>
              <w:spacing w:after="0" w:line="240" w:lineRule="auto"/>
              <w:rPr>
                <w:b/>
              </w:rPr>
            </w:pPr>
            <w:r w:rsidRPr="00655D36">
              <w:rPr>
                <w:b/>
              </w:rPr>
              <w:t>2,029</w:t>
            </w:r>
          </w:p>
        </w:tc>
      </w:tr>
    </w:tbl>
    <w:p w14:paraId="324799C5" w14:textId="17B0CB40" w:rsidR="00762D0D" w:rsidRDefault="00811E7B">
      <w:pPr>
        <w:spacing w:after="0" w:line="240" w:lineRule="auto"/>
      </w:pPr>
      <w:r>
        <w:t xml:space="preserve"> </w:t>
      </w:r>
    </w:p>
    <w:p w14:paraId="7472211A" w14:textId="5FFC2EFA" w:rsidR="00774F9F" w:rsidRDefault="00774F9F">
      <w:pPr>
        <w:spacing w:after="0" w:line="240" w:lineRule="auto"/>
      </w:pPr>
      <w:r>
        <w:t>Authorizing legislation comes from Section 301 of the PHSA (42 USC 241)</w:t>
      </w:r>
      <w:r w:rsidR="00640E01">
        <w:t xml:space="preserve"> (Attachment A)</w:t>
      </w:r>
      <w:r>
        <w:t xml:space="preserve">. </w:t>
      </w:r>
    </w:p>
    <w:p w14:paraId="0A2C4D9A" w14:textId="77777777" w:rsidR="00774F9F" w:rsidRDefault="00774F9F">
      <w:pPr>
        <w:spacing w:after="0" w:line="240" w:lineRule="auto"/>
      </w:pPr>
    </w:p>
    <w:p w14:paraId="7FE2FAD8" w14:textId="77777777" w:rsidR="00762D0D" w:rsidRDefault="00762D0D">
      <w:pPr>
        <w:pStyle w:val="ListParagraph"/>
        <w:numPr>
          <w:ilvl w:val="0"/>
          <w:numId w:val="2"/>
        </w:numPr>
        <w:spacing w:after="0" w:line="240" w:lineRule="auto"/>
        <w:ind w:left="0"/>
        <w:rPr>
          <w:b/>
        </w:rPr>
      </w:pPr>
      <w:r>
        <w:rPr>
          <w:b/>
        </w:rPr>
        <w:t>Purpose and Use of the Information Collection</w:t>
      </w:r>
    </w:p>
    <w:p w14:paraId="41BE4055" w14:textId="77777777" w:rsidR="00762D0D" w:rsidRDefault="00762D0D">
      <w:pPr>
        <w:spacing w:after="0" w:line="240" w:lineRule="auto"/>
        <w:rPr>
          <w:highlight w:val="yellow"/>
        </w:rPr>
      </w:pPr>
    </w:p>
    <w:p w14:paraId="3AB6CD21" w14:textId="7DC34AA3"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w:t>
      </w:r>
      <w:r w:rsidR="004B026F">
        <w:t>as</w:t>
      </w:r>
      <w:r>
        <w:t xml:space="preserve">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11E83313" w14:textId="77777777" w:rsidR="00762D0D" w:rsidRDefault="00762D0D">
      <w:pPr>
        <w:spacing w:after="0" w:line="240" w:lineRule="auto"/>
      </w:pPr>
    </w:p>
    <w:p w14:paraId="13FC0957" w14:textId="77777777" w:rsidR="00762D0D" w:rsidRDefault="00762D0D">
      <w:pPr>
        <w:spacing w:after="0" w:line="240" w:lineRule="auto"/>
      </w:pPr>
      <w:r>
        <w:t xml:space="preserve">The Agency will only submit a collection for approval under this generic clearance if it meets the following conditions: </w:t>
      </w:r>
    </w:p>
    <w:p w14:paraId="46FF133D" w14:textId="77777777" w:rsidR="00762D0D" w:rsidRDefault="00762D0D">
      <w:pPr>
        <w:spacing w:after="0" w:line="240" w:lineRule="auto"/>
      </w:pPr>
    </w:p>
    <w:p w14:paraId="4291F3AF" w14:textId="77777777"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14:paraId="743E6952" w14:textId="0FB38660" w:rsidR="00762D0D" w:rsidRDefault="00762D0D" w:rsidP="00377B51">
      <w:pPr>
        <w:pStyle w:val="ListParagraph"/>
        <w:numPr>
          <w:ilvl w:val="0"/>
          <w:numId w:val="16"/>
        </w:numPr>
        <w:spacing w:after="0" w:line="240" w:lineRule="auto"/>
      </w:pPr>
      <w:r>
        <w:t>Information gathered will not be used for the purpose of substantially informing influential policy decisions</w:t>
      </w:r>
      <w:r>
        <w:rPr>
          <w:rStyle w:val="FootnoteReference"/>
        </w:rPr>
        <w:footnoteReference w:id="1"/>
      </w:r>
      <w:r>
        <w:t>;</w:t>
      </w:r>
    </w:p>
    <w:p w14:paraId="5FBB07E4" w14:textId="6F12B28C"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14:paraId="252A998F" w14:textId="77777777" w:rsidR="00762D0D" w:rsidRDefault="00762D0D">
      <w:pPr>
        <w:pStyle w:val="ListParagraph"/>
        <w:numPr>
          <w:ilvl w:val="0"/>
          <w:numId w:val="9"/>
        </w:numPr>
        <w:spacing w:after="0" w:line="240" w:lineRule="auto"/>
      </w:pPr>
      <w:r>
        <w:t>The collections are voluntary;</w:t>
      </w:r>
    </w:p>
    <w:p w14:paraId="6E51D3B8" w14:textId="77777777"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543432B4" w14:textId="77777777"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14:paraId="7189FCC7" w14:textId="77777777"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14:paraId="55B352E1" w14:textId="77777777"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14:paraId="5B7F73DA" w14:textId="77777777" w:rsidR="00762D0D" w:rsidRDefault="00762D0D">
      <w:pPr>
        <w:pStyle w:val="ListParagraph"/>
        <w:spacing w:after="0" w:line="240" w:lineRule="auto"/>
        <w:ind w:left="360"/>
      </w:pPr>
    </w:p>
    <w:p w14:paraId="438C6489" w14:textId="77777777" w:rsidR="00762D0D" w:rsidRDefault="00762D0D">
      <w:pPr>
        <w:spacing w:after="0" w:line="240" w:lineRule="auto"/>
      </w:pPr>
      <w:r>
        <w:t xml:space="preserve">If these conditions are not met, the Agency will submit an information collection request to OMB for approval through the normal PRA process. </w:t>
      </w:r>
    </w:p>
    <w:p w14:paraId="7BF9BCA6" w14:textId="77777777" w:rsidR="00762D0D" w:rsidRDefault="00762D0D">
      <w:pPr>
        <w:spacing w:after="0" w:line="240" w:lineRule="auto"/>
      </w:pPr>
    </w:p>
    <w:p w14:paraId="36C72730" w14:textId="0E6406AF" w:rsidR="00762D0D" w:rsidRDefault="00762D0D">
      <w:pPr>
        <w:spacing w:after="0" w:line="240" w:lineRule="auto"/>
      </w:pPr>
      <w:r>
        <w:t xml:space="preserve">To obtain approval for a collection that meets the conditions of this generic clearance, a standardized form </w:t>
      </w:r>
      <w:r w:rsidR="002C625E">
        <w:t xml:space="preserve">(Attachment </w:t>
      </w:r>
      <w:r w:rsidR="00CE0C88">
        <w:t>C</w:t>
      </w:r>
      <w:r w:rsidR="002C625E">
        <w:t xml:space="preserve">) </w:t>
      </w:r>
      <w:r>
        <w:t xml:space="preserve">will be submitted to OMB along with supporting documentation (e.g., a copy of the comment card).  The submission will have automatic approval, unless OMB identifies issues within </w:t>
      </w:r>
      <w:r w:rsidRPr="003A7A16">
        <w:t>5 business days</w:t>
      </w:r>
      <w:r>
        <w:t>.</w:t>
      </w:r>
    </w:p>
    <w:p w14:paraId="11373215" w14:textId="77777777" w:rsidR="00762D0D" w:rsidRDefault="00762D0D">
      <w:pPr>
        <w:spacing w:after="0" w:line="240" w:lineRule="auto"/>
      </w:pPr>
    </w:p>
    <w:p w14:paraId="0D891AB6" w14:textId="77777777" w:rsidR="00762D0D" w:rsidRDefault="00762D0D">
      <w:r>
        <w:t>The types of collections that this generic clearance covers include, but are not limited to:</w:t>
      </w:r>
    </w:p>
    <w:p w14:paraId="5FD26BBE" w14:textId="77777777" w:rsidR="00762D0D" w:rsidRDefault="00762D0D">
      <w:pPr>
        <w:pStyle w:val="ListParagraph"/>
        <w:numPr>
          <w:ilvl w:val="0"/>
          <w:numId w:val="15"/>
        </w:numPr>
      </w:pPr>
      <w:r>
        <w:t>Customer comment cards/complaint forms</w:t>
      </w:r>
    </w:p>
    <w:p w14:paraId="267C37A2" w14:textId="77777777" w:rsidR="00762D0D" w:rsidRDefault="00762D0D">
      <w:pPr>
        <w:pStyle w:val="ListParagraph"/>
        <w:numPr>
          <w:ilvl w:val="0"/>
          <w:numId w:val="15"/>
        </w:numPr>
      </w:pPr>
      <w:r>
        <w:t>Small discussion groups</w:t>
      </w:r>
    </w:p>
    <w:p w14:paraId="066F1301" w14:textId="037C8F4E" w:rsidR="00762D0D" w:rsidRDefault="00762D0D" w:rsidP="00256D0E">
      <w:pPr>
        <w:pStyle w:val="ListParagraph"/>
        <w:numPr>
          <w:ilvl w:val="0"/>
          <w:numId w:val="15"/>
        </w:numPr>
        <w:spacing w:after="0" w:line="240" w:lineRule="auto"/>
      </w:pPr>
      <w:r>
        <w:t>Focus Groups of customers, potential customers, delivery partners, or other stakeholders</w:t>
      </w:r>
    </w:p>
    <w:p w14:paraId="6E38B5F9" w14:textId="77777777"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14:paraId="10A9FC88" w14:textId="77777777" w:rsidR="00762D0D" w:rsidRDefault="00762D0D">
      <w:pPr>
        <w:pStyle w:val="ListParagraph"/>
        <w:numPr>
          <w:ilvl w:val="0"/>
          <w:numId w:val="15"/>
        </w:numPr>
      </w:pPr>
      <w:r>
        <w:t>Qualitative customer satisfaction surveys (e.g., post-transaction surveys; opt-out web surveys)</w:t>
      </w:r>
    </w:p>
    <w:p w14:paraId="6449B69C" w14:textId="77777777" w:rsidR="00762D0D" w:rsidRDefault="00762D0D" w:rsidP="00BF2E89">
      <w:pPr>
        <w:pStyle w:val="ListParagraph"/>
        <w:numPr>
          <w:ilvl w:val="0"/>
          <w:numId w:val="15"/>
        </w:numPr>
      </w:pPr>
      <w:r>
        <w:t>In-person observation testing (e.g., website or software usability tests)</w:t>
      </w:r>
    </w:p>
    <w:p w14:paraId="4DCCAC9C" w14:textId="77777777"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14:paraId="5FA26E15" w14:textId="77777777" w:rsidR="00762D0D" w:rsidRDefault="00762D0D">
      <w:pPr>
        <w:spacing w:after="0" w:line="240" w:lineRule="auto"/>
      </w:pPr>
    </w:p>
    <w:p w14:paraId="756612FD" w14:textId="23536222" w:rsidR="00762D0D" w:rsidRDefault="00BA3A31">
      <w:pPr>
        <w:pStyle w:val="ListParagraph"/>
        <w:numPr>
          <w:ilvl w:val="0"/>
          <w:numId w:val="2"/>
        </w:numPr>
        <w:spacing w:after="0" w:line="240" w:lineRule="auto"/>
        <w:ind w:left="0"/>
        <w:rPr>
          <w:b/>
        </w:rPr>
      </w:pPr>
      <w:r>
        <w:rPr>
          <w:b/>
        </w:rPr>
        <w:t>Use of Improved Information Technology and Burden Reduction</w:t>
      </w:r>
    </w:p>
    <w:p w14:paraId="67F35B4F" w14:textId="77777777" w:rsidR="00762D0D" w:rsidRDefault="00762D0D">
      <w:pPr>
        <w:spacing w:after="0" w:line="240" w:lineRule="auto"/>
        <w:rPr>
          <w:highlight w:val="yellow"/>
        </w:rPr>
      </w:pPr>
    </w:p>
    <w:p w14:paraId="7E02D903" w14:textId="77777777" w:rsidR="00762D0D" w:rsidRDefault="00762D0D">
      <w:pPr>
        <w:spacing w:after="0" w:line="240" w:lineRule="auto"/>
      </w:pPr>
      <w:r>
        <w:t>If appropriate, agencies will collect information electronically and/or use online collaboration tools to reduce burden.</w:t>
      </w:r>
    </w:p>
    <w:p w14:paraId="4E4C36D5" w14:textId="77777777" w:rsidR="00762D0D" w:rsidRDefault="00762D0D">
      <w:pPr>
        <w:spacing w:after="0" w:line="240" w:lineRule="auto"/>
      </w:pPr>
    </w:p>
    <w:p w14:paraId="5CE07533" w14:textId="27623D17" w:rsidR="00762D0D" w:rsidRDefault="00762D0D">
      <w:pPr>
        <w:pStyle w:val="ListParagraph"/>
        <w:numPr>
          <w:ilvl w:val="0"/>
          <w:numId w:val="2"/>
        </w:numPr>
        <w:spacing w:after="0" w:line="240" w:lineRule="auto"/>
        <w:ind w:left="0"/>
        <w:rPr>
          <w:b/>
        </w:rPr>
      </w:pPr>
      <w:r>
        <w:rPr>
          <w:b/>
        </w:rPr>
        <w:t xml:space="preserve"> </w:t>
      </w:r>
      <w:r w:rsidR="00BA3A31">
        <w:rPr>
          <w:b/>
        </w:rPr>
        <w:t xml:space="preserve">Efforts to Identify Duplication and Use of Similar </w:t>
      </w:r>
      <w:r>
        <w:rPr>
          <w:b/>
        </w:rPr>
        <w:t>Information</w:t>
      </w:r>
    </w:p>
    <w:p w14:paraId="29FD0DFB" w14:textId="77777777" w:rsidR="00762D0D" w:rsidRDefault="00762D0D">
      <w:pPr>
        <w:spacing w:after="0" w:line="240" w:lineRule="auto"/>
      </w:pPr>
    </w:p>
    <w:p w14:paraId="6C0E1199" w14:textId="77777777" w:rsidR="00762D0D" w:rsidRDefault="00762D0D">
      <w:pPr>
        <w:spacing w:after="0" w:line="240" w:lineRule="auto"/>
      </w:pPr>
      <w:r>
        <w:t xml:space="preserve">No similar data are gathered or maintained by the Agency or are available from other sources known to </w:t>
      </w:r>
      <w:r w:rsidRPr="002A35E6">
        <w:t>the Agency.</w:t>
      </w:r>
    </w:p>
    <w:p w14:paraId="72C61C5B" w14:textId="77777777" w:rsidR="00762D0D" w:rsidRDefault="00762D0D">
      <w:pPr>
        <w:spacing w:after="0" w:line="240" w:lineRule="auto"/>
      </w:pPr>
    </w:p>
    <w:p w14:paraId="353ABFFA" w14:textId="72C6E22C" w:rsidR="00762D0D" w:rsidRDefault="00762D0D">
      <w:pPr>
        <w:pStyle w:val="ListParagraph"/>
        <w:numPr>
          <w:ilvl w:val="0"/>
          <w:numId w:val="2"/>
        </w:numPr>
        <w:spacing w:after="0" w:line="240" w:lineRule="auto"/>
        <w:ind w:left="0"/>
        <w:rPr>
          <w:b/>
        </w:rPr>
      </w:pPr>
      <w:r>
        <w:rPr>
          <w:b/>
        </w:rPr>
        <w:t xml:space="preserve"> </w:t>
      </w:r>
      <w:r w:rsidR="00BA3A31">
        <w:rPr>
          <w:b/>
        </w:rPr>
        <w:t>Impact on Small Businesses or Other Small Entities</w:t>
      </w:r>
    </w:p>
    <w:p w14:paraId="29E3A979" w14:textId="77777777" w:rsidR="00762D0D" w:rsidRDefault="00762D0D">
      <w:pPr>
        <w:pStyle w:val="ListParagraph"/>
        <w:spacing w:after="0" w:line="240" w:lineRule="auto"/>
        <w:ind w:left="0"/>
        <w:rPr>
          <w:b/>
        </w:rPr>
      </w:pPr>
    </w:p>
    <w:p w14:paraId="1DE93DA8" w14:textId="77777777"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14:paraId="17EF2070" w14:textId="77777777" w:rsidR="00762D0D" w:rsidRDefault="00762D0D">
      <w:pPr>
        <w:spacing w:after="0" w:line="240" w:lineRule="auto"/>
      </w:pPr>
    </w:p>
    <w:p w14:paraId="4BBC2A53" w14:textId="0C7E40E9" w:rsidR="00762D0D" w:rsidRDefault="00762D0D">
      <w:pPr>
        <w:pStyle w:val="ListParagraph"/>
        <w:numPr>
          <w:ilvl w:val="0"/>
          <w:numId w:val="2"/>
        </w:numPr>
        <w:spacing w:after="0" w:line="240" w:lineRule="auto"/>
        <w:ind w:left="0"/>
        <w:rPr>
          <w:b/>
        </w:rPr>
      </w:pPr>
      <w:r>
        <w:rPr>
          <w:b/>
        </w:rPr>
        <w:t xml:space="preserve">Consequences of </w:t>
      </w:r>
      <w:r w:rsidR="00BA3A31">
        <w:rPr>
          <w:b/>
        </w:rPr>
        <w:t>Collecting the Information Less Frequently</w:t>
      </w:r>
      <w:r>
        <w:rPr>
          <w:b/>
        </w:rPr>
        <w:t xml:space="preserve"> </w:t>
      </w:r>
    </w:p>
    <w:p w14:paraId="0CB0907E" w14:textId="77777777" w:rsidR="00762D0D" w:rsidRDefault="00762D0D">
      <w:pPr>
        <w:pStyle w:val="ListParagraph"/>
        <w:spacing w:after="0" w:line="240" w:lineRule="auto"/>
        <w:ind w:left="0"/>
        <w:rPr>
          <w:b/>
        </w:rPr>
      </w:pPr>
    </w:p>
    <w:p w14:paraId="6CA3D92F" w14:textId="77777777" w:rsidR="00762D0D" w:rsidRDefault="00762D0D">
      <w:pPr>
        <w:spacing w:after="0" w:line="240" w:lineRule="auto"/>
      </w:pPr>
      <w:r>
        <w:t>Without these types of feedback, the Agency will not have timely information to adjust its services to meet customer needs.</w:t>
      </w:r>
    </w:p>
    <w:p w14:paraId="133B33CE" w14:textId="77777777" w:rsidR="00762D0D" w:rsidRDefault="00762D0D">
      <w:pPr>
        <w:spacing w:after="0" w:line="240" w:lineRule="auto"/>
      </w:pPr>
    </w:p>
    <w:p w14:paraId="613F2513" w14:textId="25D62723" w:rsidR="00762D0D" w:rsidRDefault="00762D0D">
      <w:pPr>
        <w:pStyle w:val="ListParagraph"/>
        <w:numPr>
          <w:ilvl w:val="0"/>
          <w:numId w:val="2"/>
        </w:numPr>
        <w:spacing w:after="0" w:line="240" w:lineRule="auto"/>
        <w:ind w:left="0"/>
        <w:rPr>
          <w:b/>
        </w:rPr>
      </w:pPr>
      <w:r>
        <w:rPr>
          <w:b/>
        </w:rPr>
        <w:t>Special Circumstances</w:t>
      </w:r>
      <w:r w:rsidR="00BA3A31">
        <w:rPr>
          <w:b/>
        </w:rPr>
        <w:t xml:space="preserve"> Relating to the Guidelines of 5 CFR 1320.5</w:t>
      </w:r>
    </w:p>
    <w:p w14:paraId="4E7E2F6E" w14:textId="77777777" w:rsidR="00762D0D" w:rsidRDefault="00762D0D">
      <w:pPr>
        <w:pStyle w:val="ListParagraph"/>
        <w:spacing w:after="0" w:line="240" w:lineRule="auto"/>
        <w:ind w:left="0"/>
        <w:rPr>
          <w:b/>
        </w:rPr>
      </w:pPr>
    </w:p>
    <w:p w14:paraId="59EE6D85" w14:textId="77777777" w:rsidR="00762D0D" w:rsidRDefault="00762D0D">
      <w:pPr>
        <w:spacing w:after="0" w:line="240" w:lineRule="auto"/>
      </w:pPr>
      <w:r>
        <w:t>There are no special circumstances. The information collected will be voluntary and will not be used for statistical purposes.</w:t>
      </w:r>
    </w:p>
    <w:p w14:paraId="2AEC6A00" w14:textId="77777777" w:rsidR="00762D0D" w:rsidRDefault="00762D0D">
      <w:pPr>
        <w:spacing w:after="0" w:line="240" w:lineRule="auto"/>
      </w:pPr>
    </w:p>
    <w:p w14:paraId="26742C61" w14:textId="24D184FA" w:rsidR="00762D0D" w:rsidRDefault="00BA3A31">
      <w:pPr>
        <w:pStyle w:val="ListParagraph"/>
        <w:numPr>
          <w:ilvl w:val="0"/>
          <w:numId w:val="2"/>
        </w:numPr>
        <w:spacing w:after="0" w:line="240" w:lineRule="auto"/>
        <w:ind w:left="0"/>
        <w:rPr>
          <w:b/>
        </w:rPr>
      </w:pPr>
      <w:r>
        <w:rPr>
          <w:b/>
        </w:rPr>
        <w:t>Comments in Response to the Federal Register Notice and Efforts to Consult Outside the Agency</w:t>
      </w:r>
    </w:p>
    <w:p w14:paraId="51D7594F" w14:textId="77777777" w:rsidR="00762D0D" w:rsidRPr="00873289" w:rsidRDefault="00762D0D">
      <w:pPr>
        <w:pStyle w:val="ListParagraph"/>
        <w:spacing w:after="0" w:line="240" w:lineRule="auto"/>
        <w:ind w:left="0"/>
        <w:rPr>
          <w:rFonts w:asciiTheme="minorHAnsi" w:hAnsiTheme="minorHAnsi"/>
          <w:b/>
        </w:rPr>
      </w:pPr>
    </w:p>
    <w:p w14:paraId="4D89FDE5" w14:textId="6A060355" w:rsidR="00762D0D" w:rsidRPr="00873289" w:rsidRDefault="00312608">
      <w:pPr>
        <w:spacing w:after="0" w:line="240" w:lineRule="auto"/>
        <w:rPr>
          <w:rFonts w:asciiTheme="minorHAnsi" w:hAnsiTheme="minorHAnsi"/>
        </w:rPr>
      </w:pPr>
      <w:r w:rsidRPr="00873289">
        <w:rPr>
          <w:rFonts w:asciiTheme="minorHAnsi" w:hAnsiTheme="minorHAnsi"/>
        </w:rPr>
        <w:t xml:space="preserve">In accordance with 5 CFR 1320.8(d), a 60-day notice for public comment was published in the </w:t>
      </w:r>
      <w:r w:rsidRPr="00873289">
        <w:rPr>
          <w:rFonts w:asciiTheme="minorHAnsi" w:hAnsiTheme="minorHAnsi"/>
          <w:i/>
        </w:rPr>
        <w:t>Federal Register</w:t>
      </w:r>
      <w:r w:rsidR="00F129AD">
        <w:rPr>
          <w:rFonts w:asciiTheme="minorHAnsi" w:hAnsiTheme="minorHAnsi"/>
          <w:i/>
        </w:rPr>
        <w:t xml:space="preserve"> </w:t>
      </w:r>
      <w:r w:rsidR="00F129AD">
        <w:rPr>
          <w:rFonts w:asciiTheme="minorHAnsi" w:hAnsiTheme="minorHAnsi"/>
        </w:rPr>
        <w:t xml:space="preserve">on </w:t>
      </w:r>
      <w:r w:rsidR="00D617AC">
        <w:rPr>
          <w:rFonts w:asciiTheme="minorHAnsi" w:hAnsiTheme="minorHAnsi"/>
        </w:rPr>
        <w:t xml:space="preserve">October 10, 2017 </w:t>
      </w:r>
      <w:r w:rsidR="00F129AD">
        <w:rPr>
          <w:rFonts w:asciiTheme="minorHAnsi" w:hAnsiTheme="minorHAnsi"/>
        </w:rPr>
        <w:t>(volu</w:t>
      </w:r>
      <w:r w:rsidR="0070472A">
        <w:rPr>
          <w:rFonts w:asciiTheme="minorHAnsi" w:hAnsiTheme="minorHAnsi"/>
        </w:rPr>
        <w:t>m</w:t>
      </w:r>
      <w:r w:rsidR="00F129AD">
        <w:rPr>
          <w:rFonts w:asciiTheme="minorHAnsi" w:hAnsiTheme="minorHAnsi"/>
        </w:rPr>
        <w:t xml:space="preserve">e </w:t>
      </w:r>
      <w:r w:rsidR="00D617AC">
        <w:rPr>
          <w:rFonts w:asciiTheme="minorHAnsi" w:hAnsiTheme="minorHAnsi"/>
        </w:rPr>
        <w:t>82</w:t>
      </w:r>
      <w:r w:rsidR="00F129AD">
        <w:rPr>
          <w:rFonts w:asciiTheme="minorHAnsi" w:hAnsiTheme="minorHAnsi"/>
        </w:rPr>
        <w:t xml:space="preserve">, number </w:t>
      </w:r>
      <w:r w:rsidR="00D617AC">
        <w:rPr>
          <w:rFonts w:asciiTheme="minorHAnsi" w:hAnsiTheme="minorHAnsi"/>
        </w:rPr>
        <w:t>194</w:t>
      </w:r>
      <w:r w:rsidR="00F129AD">
        <w:rPr>
          <w:rFonts w:asciiTheme="minorHAnsi" w:hAnsiTheme="minorHAnsi"/>
        </w:rPr>
        <w:t xml:space="preserve">, pages </w:t>
      </w:r>
      <w:r w:rsidR="00D617AC">
        <w:rPr>
          <w:rFonts w:asciiTheme="minorHAnsi" w:hAnsiTheme="minorHAnsi"/>
        </w:rPr>
        <w:t>46994-46996</w:t>
      </w:r>
      <w:r w:rsidR="00F129AD">
        <w:rPr>
          <w:rFonts w:asciiTheme="minorHAnsi" w:hAnsiTheme="minorHAnsi"/>
        </w:rPr>
        <w:t>)</w:t>
      </w:r>
      <w:r w:rsidRPr="00873289">
        <w:rPr>
          <w:rFonts w:asciiTheme="minorHAnsi" w:hAnsiTheme="minorHAnsi"/>
        </w:rPr>
        <w:t xml:space="preserve">.  </w:t>
      </w:r>
      <w:r w:rsidR="0020311F">
        <w:rPr>
          <w:rFonts w:asciiTheme="minorHAnsi" w:hAnsiTheme="minorHAnsi"/>
        </w:rPr>
        <w:t>One non-substantive public comment</w:t>
      </w:r>
      <w:r w:rsidRPr="00873289">
        <w:rPr>
          <w:rFonts w:asciiTheme="minorHAnsi" w:hAnsiTheme="minorHAnsi"/>
        </w:rPr>
        <w:t xml:space="preserve"> w</w:t>
      </w:r>
      <w:r w:rsidR="0020311F">
        <w:rPr>
          <w:rFonts w:asciiTheme="minorHAnsi" w:hAnsiTheme="minorHAnsi"/>
        </w:rPr>
        <w:t>as</w:t>
      </w:r>
      <w:r w:rsidRPr="00873289">
        <w:rPr>
          <w:rFonts w:asciiTheme="minorHAnsi" w:hAnsiTheme="minorHAnsi"/>
        </w:rPr>
        <w:t xml:space="preserve"> received in response to this notice.</w:t>
      </w:r>
    </w:p>
    <w:p w14:paraId="41DE1DFF" w14:textId="77777777" w:rsidR="00762D0D" w:rsidRDefault="00762D0D">
      <w:pPr>
        <w:spacing w:after="0" w:line="240" w:lineRule="auto"/>
      </w:pPr>
    </w:p>
    <w:p w14:paraId="01319762" w14:textId="62FE0295" w:rsidR="00762D0D" w:rsidRDefault="00BA3A31">
      <w:pPr>
        <w:pStyle w:val="ListParagraph"/>
        <w:numPr>
          <w:ilvl w:val="0"/>
          <w:numId w:val="2"/>
        </w:numPr>
        <w:spacing w:after="0" w:line="240" w:lineRule="auto"/>
        <w:ind w:left="0"/>
        <w:rPr>
          <w:b/>
        </w:rPr>
      </w:pPr>
      <w:r>
        <w:rPr>
          <w:b/>
        </w:rPr>
        <w:t xml:space="preserve">Explanation of any </w:t>
      </w:r>
      <w:r w:rsidR="00762D0D">
        <w:rPr>
          <w:b/>
        </w:rPr>
        <w:t>Payment or Gift</w:t>
      </w:r>
      <w:r>
        <w:rPr>
          <w:b/>
        </w:rPr>
        <w:t xml:space="preserve"> to Respondents</w:t>
      </w:r>
    </w:p>
    <w:p w14:paraId="6689329C" w14:textId="77777777" w:rsidR="00762D0D" w:rsidRDefault="00762D0D">
      <w:pPr>
        <w:spacing w:after="0" w:line="240" w:lineRule="auto"/>
      </w:pPr>
    </w:p>
    <w:p w14:paraId="38678ABA" w14:textId="77777777"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14:paraId="7741D0C4" w14:textId="77777777" w:rsidR="00762D0D" w:rsidRDefault="00762D0D">
      <w:pPr>
        <w:spacing w:after="0" w:line="240" w:lineRule="auto"/>
      </w:pPr>
      <w:r>
        <w:t xml:space="preserve"> </w:t>
      </w:r>
    </w:p>
    <w:p w14:paraId="32F2EF2F" w14:textId="77777777"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2CCE9AD8" w14:textId="77777777" w:rsidR="00762D0D" w:rsidRDefault="00762D0D">
      <w:pPr>
        <w:spacing w:after="0" w:line="240" w:lineRule="auto"/>
      </w:pPr>
    </w:p>
    <w:p w14:paraId="0D170FDD" w14:textId="774B9BD1" w:rsidR="00762D0D" w:rsidRPr="00D56A4C" w:rsidRDefault="00762D0D" w:rsidP="0041084D">
      <w:pPr>
        <w:pStyle w:val="ListParagraph"/>
        <w:numPr>
          <w:ilvl w:val="0"/>
          <w:numId w:val="2"/>
        </w:numPr>
        <w:spacing w:after="0" w:line="240" w:lineRule="auto"/>
        <w:ind w:left="0"/>
      </w:pPr>
      <w:r w:rsidRPr="0041084D">
        <w:rPr>
          <w:b/>
        </w:rPr>
        <w:t xml:space="preserve"> </w:t>
      </w:r>
      <w:r w:rsidR="00C42638">
        <w:rPr>
          <w:b/>
        </w:rPr>
        <w:t>Protection of the Privacy and Confidentiality of Information Provided by Respondents</w:t>
      </w:r>
      <w:r w:rsidRPr="0041084D">
        <w:rPr>
          <w:b/>
        </w:rPr>
        <w:t xml:space="preserve"> </w:t>
      </w:r>
    </w:p>
    <w:p w14:paraId="6D2CF7BA" w14:textId="77777777" w:rsidR="00D56A4C" w:rsidRDefault="00D56A4C" w:rsidP="00D56A4C">
      <w:pPr>
        <w:pStyle w:val="ListParagraph"/>
        <w:spacing w:after="0" w:line="240" w:lineRule="auto"/>
        <w:ind w:left="0"/>
      </w:pPr>
    </w:p>
    <w:p w14:paraId="48C83806" w14:textId="2C12841E" w:rsidR="00762D0D" w:rsidRDefault="00762D0D">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441A147F" w14:textId="77777777" w:rsidR="00762D0D" w:rsidRDefault="00762D0D">
      <w:pPr>
        <w:spacing w:after="0" w:line="240" w:lineRule="auto"/>
      </w:pPr>
    </w:p>
    <w:p w14:paraId="57DAA8F0" w14:textId="4A3E1182" w:rsidR="00762D0D" w:rsidRDefault="00BE5768">
      <w:pPr>
        <w:pStyle w:val="ListParagraph"/>
        <w:numPr>
          <w:ilvl w:val="0"/>
          <w:numId w:val="2"/>
        </w:numPr>
        <w:spacing w:after="0" w:line="240" w:lineRule="auto"/>
        <w:ind w:left="0"/>
        <w:rPr>
          <w:b/>
        </w:rPr>
      </w:pPr>
      <w:r>
        <w:rPr>
          <w:b/>
        </w:rPr>
        <w:t>Institutional Review Board (IRB) and Justification for Sensitive Questions</w:t>
      </w:r>
    </w:p>
    <w:p w14:paraId="7A8FE22A" w14:textId="77777777" w:rsidR="00762D0D" w:rsidRDefault="00762D0D">
      <w:pPr>
        <w:pStyle w:val="ListParagraph"/>
        <w:spacing w:after="0" w:line="240" w:lineRule="auto"/>
        <w:ind w:left="0"/>
        <w:rPr>
          <w:b/>
        </w:rPr>
      </w:pPr>
    </w:p>
    <w:p w14:paraId="7CE4636F" w14:textId="77777777" w:rsidR="00762D0D" w:rsidRDefault="00762D0D">
      <w:pPr>
        <w:spacing w:after="0" w:line="240" w:lineRule="auto"/>
      </w:pPr>
      <w:r>
        <w:t>No questions will be asked that are of a personal or sensitive nature.</w:t>
      </w:r>
    </w:p>
    <w:p w14:paraId="60C79507" w14:textId="77777777" w:rsidR="00762D0D" w:rsidRDefault="00762D0D">
      <w:pPr>
        <w:spacing w:after="0" w:line="240" w:lineRule="auto"/>
      </w:pPr>
    </w:p>
    <w:p w14:paraId="051FD14E" w14:textId="1C86B668" w:rsidR="00762D0D" w:rsidRDefault="00BE5768">
      <w:pPr>
        <w:pStyle w:val="ListParagraph"/>
        <w:numPr>
          <w:ilvl w:val="0"/>
          <w:numId w:val="2"/>
        </w:numPr>
        <w:spacing w:after="0" w:line="240" w:lineRule="auto"/>
        <w:ind w:left="0"/>
        <w:rPr>
          <w:b/>
        </w:rPr>
      </w:pPr>
      <w:r>
        <w:rPr>
          <w:b/>
        </w:rPr>
        <w:t xml:space="preserve">Estimates of Annualized </w:t>
      </w:r>
      <w:r w:rsidR="00762D0D">
        <w:rPr>
          <w:b/>
        </w:rPr>
        <w:t xml:space="preserve">Burden </w:t>
      </w:r>
      <w:r>
        <w:rPr>
          <w:b/>
        </w:rPr>
        <w:t>Hours and Costs</w:t>
      </w:r>
    </w:p>
    <w:p w14:paraId="30AD50F6" w14:textId="77777777" w:rsidR="00762D0D" w:rsidRDefault="00762D0D">
      <w:pPr>
        <w:spacing w:after="0" w:line="240" w:lineRule="auto"/>
      </w:pPr>
    </w:p>
    <w:p w14:paraId="0407CCFB" w14:textId="77777777"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C31D6">
        <w:t>3</w:t>
      </w:r>
      <w:r w:rsidR="00F129AD">
        <w:t>,</w:t>
      </w:r>
      <w:r w:rsidR="00CC31D6">
        <w:t>8</w:t>
      </w:r>
      <w:r w:rsidR="00F129AD">
        <w:t>50</w:t>
      </w:r>
      <w:r>
        <w:t>) are based on the number of collections we expect to conduct over the requ</w:t>
      </w:r>
      <w:r w:rsidR="003C2C0B">
        <w:t>ested period for this clearance</w:t>
      </w:r>
      <w:r>
        <w:t>.</w:t>
      </w:r>
    </w:p>
    <w:p w14:paraId="12BAF012" w14:textId="77777777" w:rsidR="00F129AD" w:rsidRDefault="00F129AD" w:rsidP="00F129A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F129AD" w:rsidRPr="004F6929" w14:paraId="49E1822B" w14:textId="77777777" w:rsidTr="00E840DF">
        <w:trPr>
          <w:trHeight w:val="570"/>
        </w:trPr>
        <w:tc>
          <w:tcPr>
            <w:tcW w:w="2880" w:type="dxa"/>
            <w:tcBorders>
              <w:top w:val="single" w:sz="6" w:space="0" w:color="000000"/>
              <w:left w:val="single" w:sz="6" w:space="0" w:color="000000"/>
              <w:bottom w:val="single" w:sz="6" w:space="0" w:color="FFFFFF"/>
              <w:right w:val="single" w:sz="6" w:space="0" w:color="FFFFFF"/>
            </w:tcBorders>
          </w:tcPr>
          <w:p w14:paraId="22375852" w14:textId="77777777" w:rsidR="00F129AD" w:rsidRPr="004F6929" w:rsidRDefault="00F129AD" w:rsidP="00897714">
            <w:pPr>
              <w:spacing w:after="0" w:line="240" w:lineRule="auto"/>
              <w:rPr>
                <w:rFonts w:asciiTheme="minorHAnsi" w:hAnsiTheme="minorHAnsi"/>
              </w:rPr>
            </w:pPr>
          </w:p>
          <w:p w14:paraId="4043F9E9"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0AD73B5C" w14:textId="77777777" w:rsidR="00F129AD" w:rsidRPr="004F6929" w:rsidRDefault="00F129AD" w:rsidP="00897714">
            <w:pPr>
              <w:spacing w:after="0" w:line="240" w:lineRule="auto"/>
              <w:rPr>
                <w:rFonts w:asciiTheme="minorHAnsi" w:hAnsiTheme="minorHAnsi"/>
              </w:rPr>
            </w:pPr>
          </w:p>
          <w:p w14:paraId="7E0CF87B"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No. of Respondents</w:t>
            </w:r>
          </w:p>
        </w:tc>
        <w:tc>
          <w:tcPr>
            <w:tcW w:w="1710" w:type="dxa"/>
            <w:tcBorders>
              <w:top w:val="single" w:sz="6" w:space="0" w:color="000000"/>
              <w:left w:val="single" w:sz="6" w:space="0" w:color="000000"/>
              <w:bottom w:val="single" w:sz="6" w:space="0" w:color="FFFFFF"/>
              <w:right w:val="single" w:sz="6" w:space="0" w:color="FFFFFF"/>
            </w:tcBorders>
          </w:tcPr>
          <w:p w14:paraId="52A59280" w14:textId="77777777" w:rsidR="00F129AD" w:rsidRPr="004F6929" w:rsidRDefault="00F129AD" w:rsidP="00897714">
            <w:pPr>
              <w:spacing w:after="0" w:line="240" w:lineRule="auto"/>
              <w:rPr>
                <w:rFonts w:asciiTheme="minorHAnsi" w:hAnsiTheme="minorHAnsi"/>
              </w:rPr>
            </w:pPr>
          </w:p>
          <w:p w14:paraId="34F2103E"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14:paraId="4565E8E6" w14:textId="77777777" w:rsidR="00F129AD" w:rsidRPr="004F6929" w:rsidRDefault="00F129AD" w:rsidP="00897714">
            <w:pPr>
              <w:spacing w:after="0" w:line="240" w:lineRule="auto"/>
              <w:rPr>
                <w:rFonts w:asciiTheme="minorHAnsi" w:hAnsiTheme="minorHAnsi"/>
              </w:rPr>
            </w:pPr>
          </w:p>
          <w:p w14:paraId="71A4993E"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5297C99F" w14:textId="77777777" w:rsidR="00F129AD" w:rsidRPr="004F6929" w:rsidRDefault="00F129AD" w:rsidP="00897714">
            <w:pPr>
              <w:spacing w:after="0" w:line="240" w:lineRule="auto"/>
              <w:rPr>
                <w:rFonts w:asciiTheme="minorHAnsi" w:hAnsiTheme="minorHAnsi"/>
              </w:rPr>
            </w:pPr>
          </w:p>
          <w:p w14:paraId="241EBA65"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Total Hours</w:t>
            </w:r>
          </w:p>
        </w:tc>
      </w:tr>
      <w:tr w:rsidR="00F129AD" w:rsidRPr="004F6929" w14:paraId="59197A9A" w14:textId="77777777" w:rsidTr="00897714">
        <w:tc>
          <w:tcPr>
            <w:tcW w:w="2880" w:type="dxa"/>
            <w:tcBorders>
              <w:top w:val="single" w:sz="6" w:space="0" w:color="000000"/>
              <w:left w:val="single" w:sz="6" w:space="0" w:color="000000"/>
              <w:bottom w:val="single" w:sz="6" w:space="0" w:color="000000"/>
              <w:right w:val="single" w:sz="6" w:space="0" w:color="FFFFFF"/>
            </w:tcBorders>
          </w:tcPr>
          <w:p w14:paraId="6B4B7E6A" w14:textId="77777777" w:rsidR="00F129AD" w:rsidRPr="004F6929" w:rsidRDefault="00F129AD" w:rsidP="00897714">
            <w:pPr>
              <w:spacing w:after="0" w:line="240" w:lineRule="auto"/>
              <w:rPr>
                <w:rFonts w:asciiTheme="minorHAnsi" w:hAnsiTheme="minorHAnsi"/>
              </w:rPr>
            </w:pPr>
          </w:p>
          <w:p w14:paraId="4A3D9DB2" w14:textId="77777777" w:rsidR="00F129AD" w:rsidRPr="004F6929" w:rsidRDefault="00F129AD" w:rsidP="00897714">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Online Surveys</w:t>
            </w:r>
          </w:p>
        </w:tc>
        <w:tc>
          <w:tcPr>
            <w:tcW w:w="1710" w:type="dxa"/>
            <w:tcBorders>
              <w:top w:val="single" w:sz="6" w:space="0" w:color="000000"/>
              <w:left w:val="single" w:sz="6" w:space="0" w:color="000000"/>
              <w:bottom w:val="single" w:sz="6" w:space="0" w:color="000000"/>
              <w:right w:val="single" w:sz="6" w:space="0" w:color="FFFFFF"/>
            </w:tcBorders>
          </w:tcPr>
          <w:p w14:paraId="38D792CD" w14:textId="77777777" w:rsidR="00F129AD" w:rsidRPr="004F6929" w:rsidRDefault="00F129AD" w:rsidP="00897714">
            <w:pPr>
              <w:tabs>
                <w:tab w:val="left" w:pos="-1080"/>
                <w:tab w:val="left" w:pos="-720"/>
                <w:tab w:val="left" w:pos="0"/>
                <w:tab w:val="left" w:pos="450"/>
                <w:tab w:val="left" w:pos="720"/>
                <w:tab w:val="left" w:pos="2160"/>
              </w:tabs>
              <w:spacing w:after="0" w:line="240" w:lineRule="auto"/>
              <w:rPr>
                <w:rFonts w:asciiTheme="minorHAnsi" w:hAnsiTheme="minorHAnsi"/>
              </w:rPr>
            </w:pPr>
          </w:p>
          <w:p w14:paraId="412793D8" w14:textId="77777777" w:rsidR="00F129AD" w:rsidRPr="004F6929" w:rsidRDefault="00F129AD" w:rsidP="00897714">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1500</w:t>
            </w:r>
          </w:p>
        </w:tc>
        <w:tc>
          <w:tcPr>
            <w:tcW w:w="1710" w:type="dxa"/>
            <w:tcBorders>
              <w:top w:val="single" w:sz="6" w:space="0" w:color="000000"/>
              <w:left w:val="single" w:sz="6" w:space="0" w:color="000000"/>
              <w:bottom w:val="single" w:sz="6" w:space="0" w:color="000000"/>
              <w:right w:val="single" w:sz="6" w:space="0" w:color="FFFFFF"/>
            </w:tcBorders>
          </w:tcPr>
          <w:p w14:paraId="265FA95A" w14:textId="77777777" w:rsidR="00F129AD" w:rsidRPr="004F6929" w:rsidRDefault="00F129AD" w:rsidP="00897714">
            <w:pPr>
              <w:spacing w:after="0" w:line="240" w:lineRule="auto"/>
              <w:rPr>
                <w:rFonts w:asciiTheme="minorHAnsi" w:hAnsiTheme="minorHAnsi"/>
              </w:rPr>
            </w:pPr>
          </w:p>
          <w:p w14:paraId="3EF09A0B" w14:textId="77777777" w:rsidR="00F129AD" w:rsidRPr="004F6929" w:rsidRDefault="00F129AD" w:rsidP="00897714">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1</w:t>
            </w:r>
          </w:p>
        </w:tc>
        <w:tc>
          <w:tcPr>
            <w:tcW w:w="1800" w:type="dxa"/>
            <w:tcBorders>
              <w:top w:val="single" w:sz="6" w:space="0" w:color="000000"/>
              <w:left w:val="single" w:sz="6" w:space="0" w:color="000000"/>
              <w:bottom w:val="single" w:sz="6" w:space="0" w:color="000000"/>
              <w:right w:val="single" w:sz="6" w:space="0" w:color="FFFFFF"/>
            </w:tcBorders>
          </w:tcPr>
          <w:p w14:paraId="2F526240" w14:textId="77777777" w:rsidR="00F129AD" w:rsidRPr="004F6929" w:rsidRDefault="00F129AD" w:rsidP="00897714">
            <w:pPr>
              <w:spacing w:after="0" w:line="240" w:lineRule="auto"/>
              <w:rPr>
                <w:rFonts w:asciiTheme="minorHAnsi" w:hAnsiTheme="minorHAnsi"/>
              </w:rPr>
            </w:pPr>
          </w:p>
          <w:p w14:paraId="06900B51" w14:textId="77777777" w:rsidR="00F129AD" w:rsidRPr="004F6929" w:rsidRDefault="00F129AD" w:rsidP="00897714">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14:paraId="382ECB12" w14:textId="77777777" w:rsidR="004B026F" w:rsidRDefault="004B026F" w:rsidP="004B026F">
            <w:pPr>
              <w:tabs>
                <w:tab w:val="left" w:pos="-1080"/>
                <w:tab w:val="left" w:pos="-720"/>
                <w:tab w:val="left" w:pos="0"/>
                <w:tab w:val="left" w:pos="450"/>
                <w:tab w:val="left" w:pos="720"/>
                <w:tab w:val="left" w:pos="2160"/>
              </w:tabs>
              <w:spacing w:after="0" w:line="240" w:lineRule="auto"/>
              <w:rPr>
                <w:rFonts w:asciiTheme="minorHAnsi" w:hAnsiTheme="minorHAnsi"/>
              </w:rPr>
            </w:pPr>
          </w:p>
          <w:p w14:paraId="5F0EE2A3" w14:textId="6C73F945" w:rsidR="00F129AD" w:rsidRPr="004F6929" w:rsidRDefault="00F129AD" w:rsidP="004B026F">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750</w:t>
            </w:r>
          </w:p>
        </w:tc>
      </w:tr>
      <w:tr w:rsidR="00F129AD" w:rsidRPr="004F6929" w14:paraId="5F7A9314" w14:textId="77777777" w:rsidTr="00897714">
        <w:tc>
          <w:tcPr>
            <w:tcW w:w="2880" w:type="dxa"/>
            <w:tcBorders>
              <w:top w:val="single" w:sz="6" w:space="0" w:color="000000"/>
              <w:left w:val="single" w:sz="6" w:space="0" w:color="000000"/>
              <w:bottom w:val="single" w:sz="6" w:space="0" w:color="000000"/>
              <w:right w:val="single" w:sz="6" w:space="0" w:color="FFFFFF"/>
            </w:tcBorders>
          </w:tcPr>
          <w:p w14:paraId="41815BA8" w14:textId="77777777" w:rsidR="00F129AD" w:rsidRPr="004F6929" w:rsidRDefault="00F129AD" w:rsidP="00897714">
            <w:pPr>
              <w:spacing w:after="0" w:line="240" w:lineRule="auto"/>
              <w:rPr>
                <w:rFonts w:asciiTheme="minorHAnsi" w:hAnsiTheme="minorHAnsi"/>
                <w:highlight w:val="yellow"/>
              </w:rPr>
            </w:pPr>
          </w:p>
          <w:p w14:paraId="1AA62396" w14:textId="77777777" w:rsidR="00F129AD" w:rsidRPr="004F6929" w:rsidRDefault="00F129AD" w:rsidP="00897714">
            <w:pPr>
              <w:spacing w:after="0" w:line="240" w:lineRule="auto"/>
              <w:rPr>
                <w:rFonts w:asciiTheme="minorHAnsi" w:hAnsiTheme="minorHAnsi"/>
                <w:highlight w:val="yellow"/>
              </w:rPr>
            </w:pPr>
            <w:r w:rsidRPr="004F6929">
              <w:rPr>
                <w:rFonts w:asciiTheme="minorHAnsi" w:hAnsiTheme="minorHAnsi"/>
              </w:rPr>
              <w:t>Focus Groups</w:t>
            </w:r>
          </w:p>
        </w:tc>
        <w:tc>
          <w:tcPr>
            <w:tcW w:w="1710" w:type="dxa"/>
            <w:tcBorders>
              <w:top w:val="single" w:sz="6" w:space="0" w:color="000000"/>
              <w:left w:val="single" w:sz="6" w:space="0" w:color="000000"/>
              <w:bottom w:val="single" w:sz="6" w:space="0" w:color="000000"/>
              <w:right w:val="single" w:sz="6" w:space="0" w:color="FFFFFF"/>
            </w:tcBorders>
          </w:tcPr>
          <w:p w14:paraId="72AFE604" w14:textId="77777777" w:rsidR="00F129AD" w:rsidRPr="004F6929" w:rsidRDefault="00F129AD" w:rsidP="00897714">
            <w:pPr>
              <w:spacing w:after="0" w:line="240" w:lineRule="auto"/>
              <w:rPr>
                <w:rFonts w:asciiTheme="minorHAnsi" w:hAnsiTheme="minorHAnsi"/>
              </w:rPr>
            </w:pPr>
          </w:p>
          <w:p w14:paraId="61180DF4"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800</w:t>
            </w:r>
          </w:p>
        </w:tc>
        <w:tc>
          <w:tcPr>
            <w:tcW w:w="1710" w:type="dxa"/>
            <w:tcBorders>
              <w:top w:val="single" w:sz="6" w:space="0" w:color="000000"/>
              <w:left w:val="single" w:sz="6" w:space="0" w:color="000000"/>
              <w:bottom w:val="single" w:sz="6" w:space="0" w:color="000000"/>
              <w:right w:val="single" w:sz="6" w:space="0" w:color="FFFFFF"/>
            </w:tcBorders>
          </w:tcPr>
          <w:p w14:paraId="72DC360F" w14:textId="77777777" w:rsidR="00F129AD" w:rsidRPr="004F6929" w:rsidRDefault="00F129AD" w:rsidP="00897714">
            <w:pPr>
              <w:spacing w:after="0" w:line="240" w:lineRule="auto"/>
              <w:rPr>
                <w:rFonts w:asciiTheme="minorHAnsi" w:hAnsiTheme="minorHAnsi"/>
              </w:rPr>
            </w:pPr>
          </w:p>
          <w:p w14:paraId="0512D749"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w:t>
            </w:r>
          </w:p>
        </w:tc>
        <w:tc>
          <w:tcPr>
            <w:tcW w:w="1800" w:type="dxa"/>
            <w:tcBorders>
              <w:top w:val="single" w:sz="6" w:space="0" w:color="000000"/>
              <w:left w:val="single" w:sz="6" w:space="0" w:color="000000"/>
              <w:bottom w:val="single" w:sz="6" w:space="0" w:color="000000"/>
              <w:right w:val="single" w:sz="6" w:space="0" w:color="FFFFFF"/>
            </w:tcBorders>
          </w:tcPr>
          <w:p w14:paraId="3ED9CC7C" w14:textId="77777777" w:rsidR="00F129AD" w:rsidRPr="004F6929" w:rsidRDefault="00F129AD" w:rsidP="00897714">
            <w:pPr>
              <w:spacing w:after="0" w:line="240" w:lineRule="auto"/>
              <w:rPr>
                <w:rFonts w:asciiTheme="minorHAnsi" w:hAnsiTheme="minorHAnsi"/>
              </w:rPr>
            </w:pPr>
          </w:p>
          <w:p w14:paraId="44867708"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2</w:t>
            </w:r>
          </w:p>
        </w:tc>
        <w:tc>
          <w:tcPr>
            <w:tcW w:w="1260" w:type="dxa"/>
            <w:tcBorders>
              <w:top w:val="single" w:sz="6" w:space="0" w:color="000000"/>
              <w:left w:val="single" w:sz="6" w:space="0" w:color="000000"/>
              <w:bottom w:val="single" w:sz="6" w:space="0" w:color="000000"/>
              <w:right w:val="single" w:sz="6" w:space="0" w:color="000000"/>
            </w:tcBorders>
            <w:vAlign w:val="bottom"/>
          </w:tcPr>
          <w:p w14:paraId="75913A68"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1600</w:t>
            </w:r>
          </w:p>
        </w:tc>
      </w:tr>
      <w:tr w:rsidR="00F129AD" w:rsidRPr="004F6929" w14:paraId="3090CEC3" w14:textId="77777777" w:rsidTr="00897714">
        <w:tc>
          <w:tcPr>
            <w:tcW w:w="2880" w:type="dxa"/>
            <w:tcBorders>
              <w:top w:val="single" w:sz="6" w:space="0" w:color="000000"/>
              <w:left w:val="single" w:sz="6" w:space="0" w:color="000000"/>
              <w:bottom w:val="single" w:sz="6" w:space="0" w:color="000000"/>
              <w:right w:val="single" w:sz="6" w:space="0" w:color="FFFFFF"/>
            </w:tcBorders>
          </w:tcPr>
          <w:p w14:paraId="7C69444C" w14:textId="77777777" w:rsidR="00F129AD" w:rsidRPr="004F6929" w:rsidRDefault="00F129AD" w:rsidP="00897714">
            <w:pPr>
              <w:spacing w:after="0" w:line="240" w:lineRule="auto"/>
              <w:rPr>
                <w:rFonts w:asciiTheme="minorHAnsi" w:hAnsiTheme="minorHAnsi"/>
                <w:highlight w:val="yellow"/>
              </w:rPr>
            </w:pPr>
          </w:p>
          <w:p w14:paraId="6D6E163C" w14:textId="77777777" w:rsidR="00F129AD" w:rsidRPr="004F6929" w:rsidRDefault="00F129AD" w:rsidP="00897714">
            <w:pPr>
              <w:spacing w:after="0" w:line="240" w:lineRule="auto"/>
              <w:rPr>
                <w:rFonts w:asciiTheme="minorHAnsi" w:hAnsiTheme="minorHAnsi"/>
                <w:highlight w:val="yellow"/>
              </w:rPr>
            </w:pPr>
            <w:r w:rsidRPr="004F6929">
              <w:rPr>
                <w:rFonts w:asciiTheme="minorHAnsi" w:hAnsiTheme="minorHAnsi"/>
              </w:rPr>
              <w:t>In-person Surveys</w:t>
            </w:r>
          </w:p>
        </w:tc>
        <w:tc>
          <w:tcPr>
            <w:tcW w:w="1710" w:type="dxa"/>
            <w:tcBorders>
              <w:top w:val="single" w:sz="6" w:space="0" w:color="000000"/>
              <w:left w:val="single" w:sz="6" w:space="0" w:color="000000"/>
              <w:bottom w:val="single" w:sz="6" w:space="0" w:color="000000"/>
              <w:right w:val="single" w:sz="6" w:space="0" w:color="FFFFFF"/>
            </w:tcBorders>
          </w:tcPr>
          <w:p w14:paraId="3357FB1A" w14:textId="77777777" w:rsidR="00F129AD" w:rsidRPr="004F6929" w:rsidRDefault="00F129AD" w:rsidP="00897714">
            <w:pPr>
              <w:spacing w:after="0" w:line="240" w:lineRule="auto"/>
              <w:rPr>
                <w:rFonts w:asciiTheme="minorHAnsi" w:hAnsiTheme="minorHAnsi"/>
                <w:highlight w:val="yellow"/>
              </w:rPr>
            </w:pPr>
          </w:p>
          <w:p w14:paraId="5148DF4C" w14:textId="77777777" w:rsidR="00F129AD" w:rsidRPr="004F6929" w:rsidRDefault="00F129AD" w:rsidP="00897714">
            <w:pPr>
              <w:spacing w:after="0" w:line="240" w:lineRule="auto"/>
              <w:rPr>
                <w:rFonts w:asciiTheme="minorHAnsi" w:hAnsiTheme="minorHAnsi"/>
                <w:highlight w:val="yellow"/>
              </w:rPr>
            </w:pPr>
            <w:r w:rsidRPr="004F6929">
              <w:rPr>
                <w:rFonts w:asciiTheme="minorHAnsi" w:hAnsiTheme="minorHAnsi"/>
              </w:rPr>
              <w:t>1000</w:t>
            </w:r>
          </w:p>
        </w:tc>
        <w:tc>
          <w:tcPr>
            <w:tcW w:w="1710" w:type="dxa"/>
            <w:tcBorders>
              <w:top w:val="single" w:sz="6" w:space="0" w:color="000000"/>
              <w:left w:val="single" w:sz="6" w:space="0" w:color="000000"/>
              <w:bottom w:val="single" w:sz="6" w:space="0" w:color="000000"/>
              <w:right w:val="single" w:sz="6" w:space="0" w:color="FFFFFF"/>
            </w:tcBorders>
          </w:tcPr>
          <w:p w14:paraId="73AB520E" w14:textId="77777777" w:rsidR="00F129AD" w:rsidRPr="004F6929" w:rsidRDefault="00F129AD" w:rsidP="00897714">
            <w:pPr>
              <w:spacing w:after="0" w:line="240" w:lineRule="auto"/>
              <w:rPr>
                <w:rFonts w:asciiTheme="minorHAnsi" w:hAnsiTheme="minorHAnsi"/>
              </w:rPr>
            </w:pPr>
          </w:p>
          <w:p w14:paraId="0E77CF10"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w:t>
            </w:r>
          </w:p>
        </w:tc>
        <w:tc>
          <w:tcPr>
            <w:tcW w:w="1800" w:type="dxa"/>
            <w:tcBorders>
              <w:top w:val="single" w:sz="6" w:space="0" w:color="000000"/>
              <w:left w:val="single" w:sz="6" w:space="0" w:color="000000"/>
              <w:bottom w:val="single" w:sz="6" w:space="0" w:color="000000"/>
              <w:right w:val="single" w:sz="6" w:space="0" w:color="FFFFFF"/>
            </w:tcBorders>
          </w:tcPr>
          <w:p w14:paraId="254F428D" w14:textId="77777777" w:rsidR="00F129AD" w:rsidRPr="004F6929" w:rsidRDefault="00F129AD" w:rsidP="00897714">
            <w:pPr>
              <w:spacing w:after="0" w:line="240" w:lineRule="auto"/>
              <w:rPr>
                <w:rFonts w:asciiTheme="minorHAnsi" w:hAnsiTheme="minorHAnsi"/>
                <w:highlight w:val="yellow"/>
              </w:rPr>
            </w:pPr>
          </w:p>
          <w:p w14:paraId="6CB8D55D" w14:textId="77777777" w:rsidR="00F129AD" w:rsidRPr="004F6929" w:rsidRDefault="00F129AD" w:rsidP="00897714">
            <w:pPr>
              <w:spacing w:after="0" w:line="240" w:lineRule="auto"/>
              <w:rPr>
                <w:rFonts w:asciiTheme="minorHAnsi" w:hAnsiTheme="minorHAnsi"/>
                <w:highlight w:val="yellow"/>
              </w:rPr>
            </w:pPr>
            <w:r w:rsidRPr="004F6929">
              <w:rPr>
                <w:rFonts w:asciiTheme="minorHAnsi" w:hAnsiTheme="minorHAnsi"/>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14:paraId="09DE4F31"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500</w:t>
            </w:r>
          </w:p>
        </w:tc>
      </w:tr>
      <w:tr w:rsidR="00F129AD" w:rsidRPr="004F6929" w14:paraId="17E73850" w14:textId="77777777" w:rsidTr="00897714">
        <w:tc>
          <w:tcPr>
            <w:tcW w:w="2880" w:type="dxa"/>
            <w:tcBorders>
              <w:top w:val="single" w:sz="6" w:space="0" w:color="000000"/>
              <w:left w:val="single" w:sz="6" w:space="0" w:color="000000"/>
              <w:bottom w:val="single" w:sz="6" w:space="0" w:color="000000"/>
              <w:right w:val="single" w:sz="6" w:space="0" w:color="FFFFFF"/>
            </w:tcBorders>
          </w:tcPr>
          <w:p w14:paraId="3E58DF03" w14:textId="77777777" w:rsidR="00F129AD" w:rsidRPr="004F6929" w:rsidRDefault="00F129AD" w:rsidP="00897714">
            <w:pPr>
              <w:spacing w:after="0" w:line="240" w:lineRule="auto"/>
              <w:rPr>
                <w:rFonts w:asciiTheme="minorHAnsi" w:hAnsiTheme="minorHAnsi"/>
              </w:rPr>
            </w:pPr>
          </w:p>
          <w:p w14:paraId="72705D90"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Usability testing</w:t>
            </w:r>
          </w:p>
        </w:tc>
        <w:tc>
          <w:tcPr>
            <w:tcW w:w="1710" w:type="dxa"/>
            <w:tcBorders>
              <w:top w:val="single" w:sz="6" w:space="0" w:color="000000"/>
              <w:left w:val="single" w:sz="6" w:space="0" w:color="000000"/>
              <w:bottom w:val="single" w:sz="6" w:space="0" w:color="000000"/>
              <w:right w:val="single" w:sz="6" w:space="0" w:color="FFFFFF"/>
            </w:tcBorders>
          </w:tcPr>
          <w:p w14:paraId="5BC25798" w14:textId="77777777" w:rsidR="00F129AD" w:rsidRPr="004F6929" w:rsidRDefault="00F129AD" w:rsidP="00897714">
            <w:pPr>
              <w:spacing w:after="0" w:line="240" w:lineRule="auto"/>
              <w:rPr>
                <w:rFonts w:asciiTheme="minorHAnsi" w:hAnsiTheme="minorHAnsi"/>
              </w:rPr>
            </w:pPr>
          </w:p>
          <w:p w14:paraId="49A74CD7"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1500</w:t>
            </w:r>
          </w:p>
        </w:tc>
        <w:tc>
          <w:tcPr>
            <w:tcW w:w="1710" w:type="dxa"/>
            <w:tcBorders>
              <w:top w:val="single" w:sz="6" w:space="0" w:color="000000"/>
              <w:left w:val="single" w:sz="6" w:space="0" w:color="000000"/>
              <w:bottom w:val="single" w:sz="6" w:space="0" w:color="000000"/>
              <w:right w:val="single" w:sz="6" w:space="0" w:color="FFFFFF"/>
            </w:tcBorders>
          </w:tcPr>
          <w:p w14:paraId="323BC027" w14:textId="77777777" w:rsidR="00F129AD" w:rsidRPr="004F6929" w:rsidRDefault="00F129AD" w:rsidP="00897714">
            <w:pPr>
              <w:spacing w:after="0" w:line="240" w:lineRule="auto"/>
              <w:rPr>
                <w:rFonts w:asciiTheme="minorHAnsi" w:hAnsiTheme="minorHAnsi"/>
              </w:rPr>
            </w:pPr>
          </w:p>
          <w:p w14:paraId="39476F29"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w:t>
            </w:r>
          </w:p>
        </w:tc>
        <w:tc>
          <w:tcPr>
            <w:tcW w:w="1800" w:type="dxa"/>
            <w:tcBorders>
              <w:top w:val="single" w:sz="6" w:space="0" w:color="000000"/>
              <w:left w:val="single" w:sz="6" w:space="0" w:color="000000"/>
              <w:bottom w:val="single" w:sz="6" w:space="0" w:color="000000"/>
              <w:right w:val="single" w:sz="6" w:space="0" w:color="FFFFFF"/>
            </w:tcBorders>
          </w:tcPr>
          <w:p w14:paraId="04804D51" w14:textId="77777777" w:rsidR="00F129AD" w:rsidRPr="004F6929" w:rsidRDefault="00F129AD" w:rsidP="00897714">
            <w:pPr>
              <w:spacing w:after="0" w:line="240" w:lineRule="auto"/>
              <w:rPr>
                <w:rFonts w:asciiTheme="minorHAnsi" w:hAnsiTheme="minorHAnsi"/>
              </w:rPr>
            </w:pPr>
          </w:p>
          <w:p w14:paraId="4922D299"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14:paraId="57F61DEF"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750</w:t>
            </w:r>
          </w:p>
        </w:tc>
      </w:tr>
      <w:tr w:rsidR="00F129AD" w:rsidRPr="004F6929" w14:paraId="2E6E3BE0" w14:textId="77777777" w:rsidTr="00897714">
        <w:tc>
          <w:tcPr>
            <w:tcW w:w="2880" w:type="dxa"/>
            <w:tcBorders>
              <w:top w:val="single" w:sz="6" w:space="0" w:color="000000"/>
              <w:left w:val="single" w:sz="6" w:space="0" w:color="000000"/>
              <w:bottom w:val="single" w:sz="6" w:space="0" w:color="000000"/>
              <w:right w:val="single" w:sz="6" w:space="0" w:color="FFFFFF"/>
            </w:tcBorders>
          </w:tcPr>
          <w:p w14:paraId="1C680A6A" w14:textId="77777777" w:rsidR="00F129AD" w:rsidRPr="004F6929" w:rsidRDefault="00F129AD" w:rsidP="00897714">
            <w:pPr>
              <w:spacing w:after="0" w:line="240" w:lineRule="auto"/>
              <w:rPr>
                <w:rFonts w:asciiTheme="minorHAnsi" w:hAnsiTheme="minorHAnsi"/>
              </w:rPr>
            </w:pPr>
          </w:p>
          <w:p w14:paraId="5E644492"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14:paraId="47A77A7E" w14:textId="77777777" w:rsidR="00F129AD" w:rsidRPr="004F6929" w:rsidRDefault="00F129AD" w:rsidP="00897714">
            <w:pPr>
              <w:spacing w:after="0" w:line="240" w:lineRule="auto"/>
              <w:rPr>
                <w:rFonts w:asciiTheme="minorHAnsi" w:hAnsiTheme="minorHAnsi"/>
              </w:rPr>
            </w:pPr>
          </w:p>
          <w:p w14:paraId="7F130B5C"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1000</w:t>
            </w:r>
          </w:p>
        </w:tc>
        <w:tc>
          <w:tcPr>
            <w:tcW w:w="1710" w:type="dxa"/>
            <w:tcBorders>
              <w:top w:val="single" w:sz="6" w:space="0" w:color="000000"/>
              <w:left w:val="single" w:sz="6" w:space="0" w:color="000000"/>
              <w:bottom w:val="single" w:sz="6" w:space="0" w:color="000000"/>
              <w:right w:val="single" w:sz="6" w:space="0" w:color="FFFFFF"/>
            </w:tcBorders>
          </w:tcPr>
          <w:p w14:paraId="18A7D597" w14:textId="77777777" w:rsidR="00F129AD" w:rsidRPr="004F6929" w:rsidRDefault="00F129AD" w:rsidP="00897714">
            <w:pPr>
              <w:spacing w:after="0" w:line="240" w:lineRule="auto"/>
              <w:rPr>
                <w:rFonts w:asciiTheme="minorHAnsi" w:hAnsiTheme="minorHAnsi"/>
              </w:rPr>
            </w:pPr>
          </w:p>
          <w:p w14:paraId="79B9BD6C"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w:t>
            </w:r>
          </w:p>
        </w:tc>
        <w:tc>
          <w:tcPr>
            <w:tcW w:w="1800" w:type="dxa"/>
            <w:tcBorders>
              <w:top w:val="single" w:sz="6" w:space="0" w:color="000000"/>
              <w:left w:val="single" w:sz="6" w:space="0" w:color="000000"/>
              <w:bottom w:val="single" w:sz="6" w:space="0" w:color="000000"/>
              <w:right w:val="single" w:sz="6" w:space="0" w:color="FFFFFF"/>
            </w:tcBorders>
          </w:tcPr>
          <w:p w14:paraId="65A4C195" w14:textId="77777777" w:rsidR="00F129AD" w:rsidRPr="004F6929" w:rsidRDefault="00F129AD" w:rsidP="00897714">
            <w:pPr>
              <w:spacing w:after="0" w:line="240" w:lineRule="auto"/>
              <w:rPr>
                <w:rFonts w:asciiTheme="minorHAnsi" w:hAnsiTheme="minorHAnsi"/>
              </w:rPr>
            </w:pPr>
          </w:p>
          <w:p w14:paraId="7CA359F3" w14:textId="77777777" w:rsidR="00F129AD" w:rsidRPr="004F6929" w:rsidRDefault="00F129AD" w:rsidP="00897714">
            <w:pPr>
              <w:spacing w:after="0" w:line="240" w:lineRule="auto"/>
              <w:rPr>
                <w:rFonts w:asciiTheme="minorHAnsi" w:hAnsiTheme="minorHAnsi"/>
              </w:rPr>
            </w:pPr>
            <w:r w:rsidRPr="004F6929">
              <w:rPr>
                <w:rFonts w:asciiTheme="minorHAnsi" w:hAnsiTheme="minorHAnsi"/>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14:paraId="21BEC3E7" w14:textId="77777777" w:rsidR="00F129AD" w:rsidRPr="004F6929" w:rsidRDefault="00F129AD" w:rsidP="00897714">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250</w:t>
            </w:r>
          </w:p>
        </w:tc>
      </w:tr>
    </w:tbl>
    <w:p w14:paraId="55FBDABD" w14:textId="77777777" w:rsidR="00F129AD" w:rsidRPr="004F6929" w:rsidRDefault="00F129AD" w:rsidP="00F129AD">
      <w:pPr>
        <w:tabs>
          <w:tab w:val="left" w:pos="-1080"/>
          <w:tab w:val="left" w:pos="-720"/>
          <w:tab w:val="left" w:pos="0"/>
          <w:tab w:val="left" w:pos="450"/>
          <w:tab w:val="left" w:pos="720"/>
          <w:tab w:val="left" w:pos="2160"/>
        </w:tabs>
        <w:spacing w:after="0" w:line="240" w:lineRule="auto"/>
        <w:rPr>
          <w:rFonts w:asciiTheme="minorHAnsi" w:hAnsiTheme="minorHAnsi"/>
        </w:rPr>
      </w:pPr>
    </w:p>
    <w:p w14:paraId="3A0360BF" w14:textId="0869B52B" w:rsidR="00F129AD" w:rsidRDefault="00FB70D3" w:rsidP="00F129AD">
      <w:pPr>
        <w:tabs>
          <w:tab w:val="left" w:pos="-1080"/>
          <w:tab w:val="left" w:pos="-720"/>
          <w:tab w:val="left" w:pos="0"/>
          <w:tab w:val="left" w:pos="450"/>
          <w:tab w:val="left" w:pos="720"/>
          <w:tab w:val="left" w:pos="2160"/>
        </w:tabs>
        <w:spacing w:after="0" w:line="240" w:lineRule="auto"/>
        <w:rPr>
          <w:rFonts w:asciiTheme="minorHAnsi" w:hAnsiTheme="minorHAnsi"/>
        </w:rPr>
      </w:pPr>
      <w:r>
        <w:rPr>
          <w:rFonts w:asciiTheme="minorHAnsi" w:hAnsiTheme="minorHAnsi"/>
        </w:rPr>
        <w:t>Estimated annualized burden costs are described in the following table:</w:t>
      </w:r>
    </w:p>
    <w:p w14:paraId="5A57D5D6" w14:textId="4A5BC47D" w:rsidR="00FB70D3" w:rsidRDefault="00FB70D3" w:rsidP="00F129AD">
      <w:pPr>
        <w:tabs>
          <w:tab w:val="left" w:pos="-1080"/>
          <w:tab w:val="left" w:pos="-720"/>
          <w:tab w:val="left" w:pos="0"/>
          <w:tab w:val="left" w:pos="450"/>
          <w:tab w:val="left" w:pos="720"/>
          <w:tab w:val="left" w:pos="2160"/>
        </w:tabs>
        <w:spacing w:after="0" w:line="240" w:lineRule="auto"/>
        <w:rPr>
          <w:rFonts w:asciiTheme="minorHAnsi" w:hAnsiTheme="minorHAnsi"/>
        </w:rPr>
      </w:pPr>
    </w:p>
    <w:tbl>
      <w:tblPr>
        <w:tblW w:w="0" w:type="auto"/>
        <w:tblLayout w:type="fixed"/>
        <w:tblCellMar>
          <w:left w:w="102" w:type="dxa"/>
          <w:right w:w="102" w:type="dxa"/>
        </w:tblCellMar>
        <w:tblLook w:val="0000" w:firstRow="0" w:lastRow="0" w:firstColumn="0" w:lastColumn="0" w:noHBand="0" w:noVBand="0"/>
      </w:tblPr>
      <w:tblGrid>
        <w:gridCol w:w="2880"/>
        <w:gridCol w:w="2164"/>
        <w:gridCol w:w="2164"/>
        <w:gridCol w:w="2164"/>
      </w:tblGrid>
      <w:tr w:rsidR="00FB70D3" w:rsidRPr="004F6929" w14:paraId="29AB780B" w14:textId="77777777" w:rsidTr="00FB70D3">
        <w:trPr>
          <w:trHeight w:val="570"/>
        </w:trPr>
        <w:tc>
          <w:tcPr>
            <w:tcW w:w="2880" w:type="dxa"/>
            <w:tcBorders>
              <w:top w:val="single" w:sz="6" w:space="0" w:color="000000"/>
              <w:left w:val="single" w:sz="6" w:space="0" w:color="000000"/>
              <w:bottom w:val="single" w:sz="6" w:space="0" w:color="FFFFFF"/>
              <w:right w:val="single" w:sz="6" w:space="0" w:color="FFFFFF"/>
            </w:tcBorders>
          </w:tcPr>
          <w:p w14:paraId="6BC4EBFB" w14:textId="77777777" w:rsidR="00FB70D3" w:rsidRPr="004F6929" w:rsidRDefault="00FB70D3" w:rsidP="00D90309">
            <w:pPr>
              <w:spacing w:after="0" w:line="240" w:lineRule="auto"/>
              <w:rPr>
                <w:rFonts w:asciiTheme="minorHAnsi" w:hAnsiTheme="minorHAnsi"/>
              </w:rPr>
            </w:pPr>
          </w:p>
          <w:p w14:paraId="7C9DFAE2" w14:textId="77777777" w:rsidR="00FB70D3" w:rsidRPr="004F6929" w:rsidRDefault="00FB70D3" w:rsidP="00D90309">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Type of Collection</w:t>
            </w:r>
          </w:p>
        </w:tc>
        <w:tc>
          <w:tcPr>
            <w:tcW w:w="2164" w:type="dxa"/>
            <w:tcBorders>
              <w:top w:val="single" w:sz="6" w:space="0" w:color="000000"/>
              <w:left w:val="single" w:sz="6" w:space="0" w:color="000000"/>
              <w:bottom w:val="single" w:sz="6" w:space="0" w:color="FFFFFF"/>
              <w:right w:val="single" w:sz="6" w:space="0" w:color="FFFFFF"/>
            </w:tcBorders>
            <w:vAlign w:val="center"/>
          </w:tcPr>
          <w:p w14:paraId="709467BC" w14:textId="2219AA6E" w:rsidR="00FB70D3" w:rsidRPr="004F6929" w:rsidRDefault="00FB70D3" w:rsidP="00FB70D3">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Total Burden Hours</w:t>
            </w:r>
          </w:p>
        </w:tc>
        <w:tc>
          <w:tcPr>
            <w:tcW w:w="2164" w:type="dxa"/>
            <w:tcBorders>
              <w:top w:val="single" w:sz="6" w:space="0" w:color="000000"/>
              <w:left w:val="single" w:sz="6" w:space="0" w:color="000000"/>
              <w:bottom w:val="single" w:sz="6" w:space="0" w:color="FFFFFF"/>
              <w:right w:val="single" w:sz="4" w:space="0" w:color="auto"/>
            </w:tcBorders>
            <w:vAlign w:val="center"/>
          </w:tcPr>
          <w:p w14:paraId="60BD1762" w14:textId="717E5D1A" w:rsidR="00FB70D3" w:rsidRPr="004F6929" w:rsidRDefault="00FB70D3" w:rsidP="00FB70D3">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Hourly Wage Rate</w:t>
            </w:r>
            <w:r w:rsidR="00F35F74">
              <w:rPr>
                <w:rStyle w:val="FootnoteReference"/>
                <w:rFonts w:asciiTheme="minorHAnsi" w:hAnsiTheme="minorHAnsi"/>
              </w:rPr>
              <w:footnoteReference w:id="2"/>
            </w:r>
          </w:p>
        </w:tc>
        <w:tc>
          <w:tcPr>
            <w:tcW w:w="2164" w:type="dxa"/>
            <w:tcBorders>
              <w:top w:val="single" w:sz="4" w:space="0" w:color="auto"/>
              <w:left w:val="single" w:sz="4" w:space="0" w:color="auto"/>
              <w:bottom w:val="single" w:sz="4" w:space="0" w:color="auto"/>
              <w:right w:val="single" w:sz="4" w:space="0" w:color="auto"/>
            </w:tcBorders>
          </w:tcPr>
          <w:p w14:paraId="45B508E2" w14:textId="5AAE5B1E" w:rsidR="00FB70D3" w:rsidRPr="004F6929" w:rsidRDefault="00FB70D3" w:rsidP="00D90309">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Total Respondent Costs</w:t>
            </w:r>
          </w:p>
        </w:tc>
      </w:tr>
      <w:tr w:rsidR="00FB70D3" w:rsidRPr="004F6929" w14:paraId="721244E1" w14:textId="77777777" w:rsidTr="00FB70D3">
        <w:tc>
          <w:tcPr>
            <w:tcW w:w="2880" w:type="dxa"/>
            <w:tcBorders>
              <w:top w:val="single" w:sz="6" w:space="0" w:color="000000"/>
              <w:left w:val="single" w:sz="6" w:space="0" w:color="000000"/>
              <w:bottom w:val="single" w:sz="6" w:space="0" w:color="000000"/>
              <w:right w:val="single" w:sz="6" w:space="0" w:color="FFFFFF"/>
            </w:tcBorders>
          </w:tcPr>
          <w:p w14:paraId="322906E7" w14:textId="77777777" w:rsidR="00FB70D3" w:rsidRPr="004F6929" w:rsidRDefault="00FB70D3" w:rsidP="00FB70D3">
            <w:pPr>
              <w:spacing w:after="0" w:line="240" w:lineRule="auto"/>
              <w:rPr>
                <w:rFonts w:asciiTheme="minorHAnsi" w:hAnsiTheme="minorHAnsi"/>
              </w:rPr>
            </w:pPr>
          </w:p>
          <w:p w14:paraId="6AFA9BA4" w14:textId="77777777" w:rsidR="00FB70D3" w:rsidRPr="004F6929" w:rsidRDefault="00FB70D3" w:rsidP="00FB70D3">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Online Surveys</w:t>
            </w:r>
          </w:p>
        </w:tc>
        <w:tc>
          <w:tcPr>
            <w:tcW w:w="2164" w:type="dxa"/>
            <w:tcBorders>
              <w:top w:val="single" w:sz="6" w:space="0" w:color="000000"/>
              <w:left w:val="single" w:sz="6" w:space="0" w:color="000000"/>
              <w:bottom w:val="single" w:sz="6" w:space="0" w:color="000000"/>
              <w:right w:val="single" w:sz="6" w:space="0" w:color="FFFFFF"/>
            </w:tcBorders>
            <w:vAlign w:val="bottom"/>
          </w:tcPr>
          <w:p w14:paraId="2F9D1508" w14:textId="4AB7EA98" w:rsidR="00FB70D3" w:rsidRPr="004F6929" w:rsidRDefault="00FB70D3" w:rsidP="00FB70D3">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750</w:t>
            </w:r>
          </w:p>
        </w:tc>
        <w:tc>
          <w:tcPr>
            <w:tcW w:w="2164" w:type="dxa"/>
            <w:tcBorders>
              <w:top w:val="single" w:sz="6" w:space="0" w:color="000000"/>
              <w:left w:val="single" w:sz="6" w:space="0" w:color="000000"/>
              <w:bottom w:val="single" w:sz="6" w:space="0" w:color="000000"/>
              <w:right w:val="single" w:sz="4" w:space="0" w:color="auto"/>
            </w:tcBorders>
            <w:vAlign w:val="bottom"/>
          </w:tcPr>
          <w:p w14:paraId="383C9CE3" w14:textId="77777777" w:rsidR="00FB70D3" w:rsidRPr="00FB70D3" w:rsidRDefault="00FB70D3" w:rsidP="00FB70D3">
            <w:pPr>
              <w:spacing w:after="0" w:line="240" w:lineRule="auto"/>
              <w:rPr>
                <w:rFonts w:asciiTheme="minorHAnsi" w:hAnsiTheme="minorHAnsi"/>
              </w:rPr>
            </w:pPr>
          </w:p>
          <w:p w14:paraId="085B8729" w14:textId="65DDC302" w:rsidR="00FB70D3" w:rsidRPr="00FB70D3" w:rsidRDefault="00FB70D3" w:rsidP="00FB70D3">
            <w:pPr>
              <w:tabs>
                <w:tab w:val="left" w:pos="-1080"/>
                <w:tab w:val="left" w:pos="-720"/>
                <w:tab w:val="left" w:pos="0"/>
                <w:tab w:val="left" w:pos="450"/>
                <w:tab w:val="left" w:pos="720"/>
                <w:tab w:val="left" w:pos="2160"/>
              </w:tabs>
              <w:spacing w:after="0" w:line="240" w:lineRule="auto"/>
              <w:rPr>
                <w:rFonts w:asciiTheme="minorHAnsi" w:hAnsiTheme="minorHAnsi"/>
              </w:rPr>
            </w:pPr>
            <w:r w:rsidRPr="00FB70D3">
              <w:rPr>
                <w:rFonts w:asciiTheme="minorHAnsi" w:hAnsiTheme="minorHAnsi"/>
              </w:rPr>
              <w:t>$23.86</w:t>
            </w:r>
          </w:p>
        </w:tc>
        <w:tc>
          <w:tcPr>
            <w:tcW w:w="2164" w:type="dxa"/>
            <w:tcBorders>
              <w:top w:val="single" w:sz="4" w:space="0" w:color="auto"/>
              <w:left w:val="single" w:sz="4" w:space="0" w:color="auto"/>
              <w:bottom w:val="single" w:sz="4" w:space="0" w:color="auto"/>
              <w:right w:val="single" w:sz="4" w:space="0" w:color="auto"/>
            </w:tcBorders>
            <w:vAlign w:val="bottom"/>
          </w:tcPr>
          <w:p w14:paraId="19745AB6" w14:textId="79F69EDA" w:rsidR="00FB70D3" w:rsidRPr="00FB70D3" w:rsidRDefault="00FB70D3" w:rsidP="00FB70D3">
            <w:pPr>
              <w:tabs>
                <w:tab w:val="left" w:pos="-1080"/>
                <w:tab w:val="left" w:pos="-720"/>
                <w:tab w:val="left" w:pos="0"/>
                <w:tab w:val="left" w:pos="450"/>
                <w:tab w:val="left" w:pos="720"/>
                <w:tab w:val="left" w:pos="2160"/>
              </w:tabs>
              <w:spacing w:after="0" w:line="240" w:lineRule="auto"/>
              <w:rPr>
                <w:rFonts w:asciiTheme="minorHAnsi" w:hAnsiTheme="minorHAnsi"/>
              </w:rPr>
            </w:pPr>
            <w:r w:rsidRPr="00FB70D3">
              <w:rPr>
                <w:rFonts w:asciiTheme="minorHAnsi" w:hAnsiTheme="minorHAnsi"/>
              </w:rPr>
              <w:t>$17,895</w:t>
            </w:r>
          </w:p>
        </w:tc>
      </w:tr>
      <w:tr w:rsidR="00FB70D3" w:rsidRPr="004F6929" w14:paraId="2468D9F6" w14:textId="77777777" w:rsidTr="00FB70D3">
        <w:tc>
          <w:tcPr>
            <w:tcW w:w="2880" w:type="dxa"/>
            <w:tcBorders>
              <w:top w:val="single" w:sz="6" w:space="0" w:color="000000"/>
              <w:left w:val="single" w:sz="6" w:space="0" w:color="000000"/>
              <w:bottom w:val="single" w:sz="6" w:space="0" w:color="000000"/>
              <w:right w:val="single" w:sz="6" w:space="0" w:color="FFFFFF"/>
            </w:tcBorders>
          </w:tcPr>
          <w:p w14:paraId="41E94D25" w14:textId="77777777" w:rsidR="00FB70D3" w:rsidRPr="004F6929" w:rsidRDefault="00FB70D3" w:rsidP="00FB70D3">
            <w:pPr>
              <w:spacing w:after="0" w:line="240" w:lineRule="auto"/>
              <w:rPr>
                <w:rFonts w:asciiTheme="minorHAnsi" w:hAnsiTheme="minorHAnsi"/>
                <w:highlight w:val="yellow"/>
              </w:rPr>
            </w:pPr>
          </w:p>
          <w:p w14:paraId="2E416361" w14:textId="77777777" w:rsidR="00FB70D3" w:rsidRPr="004F6929" w:rsidRDefault="00FB70D3" w:rsidP="00FB70D3">
            <w:pPr>
              <w:spacing w:after="0" w:line="240" w:lineRule="auto"/>
              <w:rPr>
                <w:rFonts w:asciiTheme="minorHAnsi" w:hAnsiTheme="minorHAnsi"/>
                <w:highlight w:val="yellow"/>
              </w:rPr>
            </w:pPr>
            <w:r w:rsidRPr="004F6929">
              <w:rPr>
                <w:rFonts w:asciiTheme="minorHAnsi" w:hAnsiTheme="minorHAnsi"/>
              </w:rPr>
              <w:t>Focus Groups</w:t>
            </w:r>
          </w:p>
        </w:tc>
        <w:tc>
          <w:tcPr>
            <w:tcW w:w="2164" w:type="dxa"/>
            <w:tcBorders>
              <w:top w:val="single" w:sz="6" w:space="0" w:color="000000"/>
              <w:left w:val="single" w:sz="6" w:space="0" w:color="000000"/>
              <w:bottom w:val="single" w:sz="6" w:space="0" w:color="000000"/>
              <w:right w:val="single" w:sz="6" w:space="0" w:color="FFFFFF"/>
            </w:tcBorders>
            <w:vAlign w:val="bottom"/>
          </w:tcPr>
          <w:p w14:paraId="742EDBF8" w14:textId="46C7C260" w:rsidR="00FB70D3" w:rsidRPr="004F6929" w:rsidRDefault="00FB70D3" w:rsidP="00FB70D3">
            <w:pPr>
              <w:spacing w:after="0" w:line="240" w:lineRule="auto"/>
              <w:rPr>
                <w:rFonts w:asciiTheme="minorHAnsi" w:hAnsiTheme="minorHAnsi"/>
              </w:rPr>
            </w:pPr>
            <w:r w:rsidRPr="004F6929">
              <w:rPr>
                <w:rFonts w:asciiTheme="minorHAnsi" w:hAnsiTheme="minorHAnsi"/>
              </w:rPr>
              <w:t>1600</w:t>
            </w:r>
          </w:p>
        </w:tc>
        <w:tc>
          <w:tcPr>
            <w:tcW w:w="2164" w:type="dxa"/>
            <w:tcBorders>
              <w:top w:val="single" w:sz="6" w:space="0" w:color="000000"/>
              <w:left w:val="single" w:sz="6" w:space="0" w:color="000000"/>
              <w:bottom w:val="single" w:sz="6" w:space="0" w:color="000000"/>
              <w:right w:val="single" w:sz="4" w:space="0" w:color="auto"/>
            </w:tcBorders>
            <w:vAlign w:val="bottom"/>
          </w:tcPr>
          <w:p w14:paraId="2BBC7787" w14:textId="77777777" w:rsidR="00FB70D3" w:rsidRPr="00FB70D3" w:rsidRDefault="00FB70D3" w:rsidP="00FB70D3">
            <w:pPr>
              <w:spacing w:after="0" w:line="240" w:lineRule="auto"/>
              <w:rPr>
                <w:rFonts w:asciiTheme="minorHAnsi" w:hAnsiTheme="minorHAnsi"/>
              </w:rPr>
            </w:pPr>
          </w:p>
          <w:p w14:paraId="205A7493" w14:textId="7842405E" w:rsidR="00FB70D3" w:rsidRPr="00FB70D3" w:rsidRDefault="00FB70D3" w:rsidP="00FB70D3">
            <w:pPr>
              <w:spacing w:after="0" w:line="240" w:lineRule="auto"/>
              <w:rPr>
                <w:rFonts w:asciiTheme="minorHAnsi" w:hAnsiTheme="minorHAnsi"/>
              </w:rPr>
            </w:pPr>
            <w:r w:rsidRPr="00FB70D3">
              <w:rPr>
                <w:rFonts w:asciiTheme="minorHAnsi" w:hAnsiTheme="minorHAnsi"/>
              </w:rPr>
              <w:t>$23.86</w:t>
            </w:r>
          </w:p>
        </w:tc>
        <w:tc>
          <w:tcPr>
            <w:tcW w:w="2164" w:type="dxa"/>
            <w:tcBorders>
              <w:top w:val="single" w:sz="4" w:space="0" w:color="auto"/>
              <w:left w:val="single" w:sz="4" w:space="0" w:color="auto"/>
              <w:bottom w:val="single" w:sz="4" w:space="0" w:color="auto"/>
              <w:right w:val="single" w:sz="4" w:space="0" w:color="auto"/>
            </w:tcBorders>
            <w:vAlign w:val="bottom"/>
          </w:tcPr>
          <w:p w14:paraId="59BAC7C7" w14:textId="74337B5D" w:rsidR="00FB70D3" w:rsidRPr="00FB70D3" w:rsidRDefault="00FB70D3" w:rsidP="00FB70D3">
            <w:pPr>
              <w:spacing w:after="0" w:line="240" w:lineRule="auto"/>
              <w:rPr>
                <w:rFonts w:asciiTheme="minorHAnsi" w:hAnsiTheme="minorHAnsi"/>
              </w:rPr>
            </w:pPr>
            <w:r w:rsidRPr="00FB70D3">
              <w:rPr>
                <w:rFonts w:asciiTheme="minorHAnsi" w:hAnsiTheme="minorHAnsi"/>
              </w:rPr>
              <w:t>$38,176</w:t>
            </w:r>
          </w:p>
        </w:tc>
      </w:tr>
      <w:tr w:rsidR="00FB70D3" w:rsidRPr="004F6929" w14:paraId="53BFC464" w14:textId="77777777" w:rsidTr="00FB70D3">
        <w:tc>
          <w:tcPr>
            <w:tcW w:w="2880" w:type="dxa"/>
            <w:tcBorders>
              <w:top w:val="single" w:sz="6" w:space="0" w:color="000000"/>
              <w:left w:val="single" w:sz="6" w:space="0" w:color="000000"/>
              <w:bottom w:val="single" w:sz="6" w:space="0" w:color="000000"/>
              <w:right w:val="single" w:sz="6" w:space="0" w:color="FFFFFF"/>
            </w:tcBorders>
          </w:tcPr>
          <w:p w14:paraId="657E6E3C" w14:textId="77777777" w:rsidR="00FB70D3" w:rsidRPr="004F6929" w:rsidRDefault="00FB70D3" w:rsidP="00FB70D3">
            <w:pPr>
              <w:spacing w:after="0" w:line="240" w:lineRule="auto"/>
              <w:rPr>
                <w:rFonts w:asciiTheme="minorHAnsi" w:hAnsiTheme="minorHAnsi"/>
                <w:highlight w:val="yellow"/>
              </w:rPr>
            </w:pPr>
          </w:p>
          <w:p w14:paraId="3E57D2A8" w14:textId="77777777" w:rsidR="00FB70D3" w:rsidRPr="004F6929" w:rsidRDefault="00FB70D3" w:rsidP="00FB70D3">
            <w:pPr>
              <w:spacing w:after="0" w:line="240" w:lineRule="auto"/>
              <w:rPr>
                <w:rFonts w:asciiTheme="minorHAnsi" w:hAnsiTheme="minorHAnsi"/>
                <w:highlight w:val="yellow"/>
              </w:rPr>
            </w:pPr>
            <w:r w:rsidRPr="004F6929">
              <w:rPr>
                <w:rFonts w:asciiTheme="minorHAnsi" w:hAnsiTheme="minorHAnsi"/>
              </w:rPr>
              <w:t>In-person Surveys</w:t>
            </w:r>
          </w:p>
        </w:tc>
        <w:tc>
          <w:tcPr>
            <w:tcW w:w="2164" w:type="dxa"/>
            <w:tcBorders>
              <w:top w:val="single" w:sz="6" w:space="0" w:color="000000"/>
              <w:left w:val="single" w:sz="6" w:space="0" w:color="000000"/>
              <w:bottom w:val="single" w:sz="6" w:space="0" w:color="000000"/>
              <w:right w:val="single" w:sz="6" w:space="0" w:color="FFFFFF"/>
            </w:tcBorders>
            <w:vAlign w:val="bottom"/>
          </w:tcPr>
          <w:p w14:paraId="13A10F88" w14:textId="48D889BB" w:rsidR="00FB70D3" w:rsidRPr="004F6929" w:rsidRDefault="00FB70D3" w:rsidP="00FB70D3">
            <w:pPr>
              <w:spacing w:after="0" w:line="240" w:lineRule="auto"/>
              <w:rPr>
                <w:rFonts w:asciiTheme="minorHAnsi" w:hAnsiTheme="minorHAnsi"/>
                <w:highlight w:val="yellow"/>
              </w:rPr>
            </w:pPr>
            <w:r w:rsidRPr="004F6929">
              <w:rPr>
                <w:rFonts w:asciiTheme="minorHAnsi" w:hAnsiTheme="minorHAnsi"/>
              </w:rPr>
              <w:t>500</w:t>
            </w:r>
          </w:p>
        </w:tc>
        <w:tc>
          <w:tcPr>
            <w:tcW w:w="2164" w:type="dxa"/>
            <w:tcBorders>
              <w:top w:val="single" w:sz="6" w:space="0" w:color="000000"/>
              <w:left w:val="single" w:sz="6" w:space="0" w:color="000000"/>
              <w:bottom w:val="single" w:sz="6" w:space="0" w:color="000000"/>
              <w:right w:val="single" w:sz="4" w:space="0" w:color="auto"/>
            </w:tcBorders>
            <w:vAlign w:val="bottom"/>
          </w:tcPr>
          <w:p w14:paraId="5ED33247" w14:textId="77777777" w:rsidR="00FB70D3" w:rsidRPr="00FB70D3" w:rsidRDefault="00FB70D3" w:rsidP="00FB70D3">
            <w:pPr>
              <w:spacing w:after="0" w:line="240" w:lineRule="auto"/>
              <w:rPr>
                <w:rFonts w:asciiTheme="minorHAnsi" w:hAnsiTheme="minorHAnsi"/>
              </w:rPr>
            </w:pPr>
          </w:p>
          <w:p w14:paraId="63B8237E" w14:textId="673CA6CE" w:rsidR="00FB70D3" w:rsidRPr="00FB70D3" w:rsidRDefault="00FB70D3" w:rsidP="00FB70D3">
            <w:pPr>
              <w:spacing w:after="0" w:line="240" w:lineRule="auto"/>
              <w:rPr>
                <w:rFonts w:asciiTheme="minorHAnsi" w:hAnsiTheme="minorHAnsi"/>
              </w:rPr>
            </w:pPr>
            <w:r w:rsidRPr="00FB70D3">
              <w:rPr>
                <w:rFonts w:asciiTheme="minorHAnsi" w:hAnsiTheme="minorHAnsi"/>
              </w:rPr>
              <w:t>$23.86</w:t>
            </w:r>
          </w:p>
        </w:tc>
        <w:tc>
          <w:tcPr>
            <w:tcW w:w="2164" w:type="dxa"/>
            <w:tcBorders>
              <w:top w:val="single" w:sz="4" w:space="0" w:color="auto"/>
              <w:left w:val="single" w:sz="4" w:space="0" w:color="auto"/>
              <w:bottom w:val="single" w:sz="4" w:space="0" w:color="auto"/>
              <w:right w:val="single" w:sz="4" w:space="0" w:color="auto"/>
            </w:tcBorders>
            <w:vAlign w:val="bottom"/>
          </w:tcPr>
          <w:p w14:paraId="0997D784" w14:textId="1E1285A2" w:rsidR="00FB70D3" w:rsidRPr="00FB70D3" w:rsidRDefault="00FB70D3" w:rsidP="00FB70D3">
            <w:pPr>
              <w:spacing w:after="0" w:line="240" w:lineRule="auto"/>
              <w:rPr>
                <w:rFonts w:asciiTheme="minorHAnsi" w:hAnsiTheme="minorHAnsi"/>
              </w:rPr>
            </w:pPr>
            <w:r w:rsidRPr="00FB70D3">
              <w:rPr>
                <w:rFonts w:asciiTheme="minorHAnsi" w:hAnsiTheme="minorHAnsi"/>
              </w:rPr>
              <w:t>$11,930</w:t>
            </w:r>
          </w:p>
        </w:tc>
      </w:tr>
      <w:tr w:rsidR="00FB70D3" w:rsidRPr="004F6929" w14:paraId="2A477C63" w14:textId="77777777" w:rsidTr="00FB70D3">
        <w:tc>
          <w:tcPr>
            <w:tcW w:w="2880" w:type="dxa"/>
            <w:tcBorders>
              <w:top w:val="single" w:sz="6" w:space="0" w:color="000000"/>
              <w:left w:val="single" w:sz="6" w:space="0" w:color="000000"/>
              <w:bottom w:val="single" w:sz="6" w:space="0" w:color="000000"/>
              <w:right w:val="single" w:sz="6" w:space="0" w:color="FFFFFF"/>
            </w:tcBorders>
          </w:tcPr>
          <w:p w14:paraId="7EDE091D" w14:textId="77777777" w:rsidR="00FB70D3" w:rsidRPr="004F6929" w:rsidRDefault="00FB70D3" w:rsidP="00FB70D3">
            <w:pPr>
              <w:spacing w:after="0" w:line="240" w:lineRule="auto"/>
              <w:rPr>
                <w:rFonts w:asciiTheme="minorHAnsi" w:hAnsiTheme="minorHAnsi"/>
              </w:rPr>
            </w:pPr>
          </w:p>
          <w:p w14:paraId="2710A71B" w14:textId="77777777" w:rsidR="00FB70D3" w:rsidRPr="004F6929" w:rsidRDefault="00FB70D3" w:rsidP="00FB70D3">
            <w:pPr>
              <w:spacing w:after="0" w:line="240" w:lineRule="auto"/>
              <w:rPr>
                <w:rFonts w:asciiTheme="minorHAnsi" w:hAnsiTheme="minorHAnsi"/>
              </w:rPr>
            </w:pPr>
            <w:r w:rsidRPr="004F6929">
              <w:rPr>
                <w:rFonts w:asciiTheme="minorHAnsi" w:hAnsiTheme="minorHAnsi"/>
              </w:rPr>
              <w:t>Usability testing</w:t>
            </w:r>
          </w:p>
        </w:tc>
        <w:tc>
          <w:tcPr>
            <w:tcW w:w="2164" w:type="dxa"/>
            <w:tcBorders>
              <w:top w:val="single" w:sz="6" w:space="0" w:color="000000"/>
              <w:left w:val="single" w:sz="6" w:space="0" w:color="000000"/>
              <w:bottom w:val="single" w:sz="6" w:space="0" w:color="000000"/>
              <w:right w:val="single" w:sz="6" w:space="0" w:color="FFFFFF"/>
            </w:tcBorders>
            <w:vAlign w:val="bottom"/>
          </w:tcPr>
          <w:p w14:paraId="7FB9A399" w14:textId="51D2BFC1" w:rsidR="00FB70D3" w:rsidRPr="004F6929" w:rsidRDefault="00FB70D3" w:rsidP="00FB70D3">
            <w:pPr>
              <w:spacing w:after="0" w:line="240" w:lineRule="auto"/>
              <w:rPr>
                <w:rFonts w:asciiTheme="minorHAnsi" w:hAnsiTheme="minorHAnsi"/>
              </w:rPr>
            </w:pPr>
            <w:r w:rsidRPr="004F6929">
              <w:rPr>
                <w:rFonts w:asciiTheme="minorHAnsi" w:hAnsiTheme="minorHAnsi"/>
              </w:rPr>
              <w:t>750</w:t>
            </w:r>
          </w:p>
        </w:tc>
        <w:tc>
          <w:tcPr>
            <w:tcW w:w="2164" w:type="dxa"/>
            <w:tcBorders>
              <w:top w:val="single" w:sz="6" w:space="0" w:color="000000"/>
              <w:left w:val="single" w:sz="6" w:space="0" w:color="000000"/>
              <w:bottom w:val="single" w:sz="6" w:space="0" w:color="000000"/>
              <w:right w:val="single" w:sz="4" w:space="0" w:color="auto"/>
            </w:tcBorders>
            <w:vAlign w:val="bottom"/>
          </w:tcPr>
          <w:p w14:paraId="1CD70B6D" w14:textId="77777777" w:rsidR="00FB70D3" w:rsidRPr="004F6929" w:rsidRDefault="00FB70D3" w:rsidP="00FB70D3">
            <w:pPr>
              <w:spacing w:after="0" w:line="240" w:lineRule="auto"/>
              <w:rPr>
                <w:rFonts w:asciiTheme="minorHAnsi" w:hAnsiTheme="minorHAnsi"/>
              </w:rPr>
            </w:pPr>
          </w:p>
          <w:p w14:paraId="3F054A33" w14:textId="00DE260D" w:rsidR="00FB70D3" w:rsidRPr="004F6929" w:rsidRDefault="00FB70D3" w:rsidP="00FB70D3">
            <w:pPr>
              <w:spacing w:after="0" w:line="240" w:lineRule="auto"/>
              <w:rPr>
                <w:rFonts w:asciiTheme="minorHAnsi" w:hAnsiTheme="minorHAnsi"/>
              </w:rPr>
            </w:pPr>
            <w:r>
              <w:rPr>
                <w:rFonts w:asciiTheme="minorHAnsi" w:hAnsiTheme="minorHAnsi"/>
              </w:rPr>
              <w:t>$23.86</w:t>
            </w:r>
          </w:p>
        </w:tc>
        <w:tc>
          <w:tcPr>
            <w:tcW w:w="2164" w:type="dxa"/>
            <w:tcBorders>
              <w:top w:val="single" w:sz="4" w:space="0" w:color="auto"/>
              <w:left w:val="single" w:sz="4" w:space="0" w:color="auto"/>
              <w:bottom w:val="single" w:sz="4" w:space="0" w:color="auto"/>
              <w:right w:val="single" w:sz="4" w:space="0" w:color="auto"/>
            </w:tcBorders>
            <w:vAlign w:val="bottom"/>
          </w:tcPr>
          <w:p w14:paraId="13353CE7" w14:textId="3A2A5C8E" w:rsidR="00FB70D3" w:rsidRPr="004F6929" w:rsidRDefault="00FB70D3" w:rsidP="00FB70D3">
            <w:pPr>
              <w:spacing w:after="0" w:line="240" w:lineRule="auto"/>
              <w:rPr>
                <w:rFonts w:asciiTheme="minorHAnsi" w:hAnsiTheme="minorHAnsi"/>
              </w:rPr>
            </w:pPr>
            <w:r>
              <w:rPr>
                <w:rFonts w:asciiTheme="minorHAnsi" w:hAnsiTheme="minorHAnsi"/>
              </w:rPr>
              <w:t>$17,895</w:t>
            </w:r>
          </w:p>
        </w:tc>
      </w:tr>
      <w:tr w:rsidR="00FB70D3" w:rsidRPr="004F6929" w14:paraId="06CD3839" w14:textId="77777777" w:rsidTr="00FB70D3">
        <w:tc>
          <w:tcPr>
            <w:tcW w:w="2880" w:type="dxa"/>
            <w:tcBorders>
              <w:top w:val="single" w:sz="6" w:space="0" w:color="000000"/>
              <w:left w:val="single" w:sz="6" w:space="0" w:color="000000"/>
              <w:bottom w:val="single" w:sz="6" w:space="0" w:color="000000"/>
              <w:right w:val="single" w:sz="6" w:space="0" w:color="FFFFFF"/>
            </w:tcBorders>
          </w:tcPr>
          <w:p w14:paraId="137BAC5F" w14:textId="77777777" w:rsidR="00FB70D3" w:rsidRPr="004F6929" w:rsidRDefault="00FB70D3" w:rsidP="00FB70D3">
            <w:pPr>
              <w:spacing w:after="0" w:line="240" w:lineRule="auto"/>
              <w:rPr>
                <w:rFonts w:asciiTheme="minorHAnsi" w:hAnsiTheme="minorHAnsi"/>
              </w:rPr>
            </w:pPr>
          </w:p>
          <w:p w14:paraId="0A907A27" w14:textId="77777777" w:rsidR="00FB70D3" w:rsidRPr="004F6929" w:rsidRDefault="00FB70D3" w:rsidP="00FB70D3">
            <w:pPr>
              <w:spacing w:after="0" w:line="240" w:lineRule="auto"/>
              <w:rPr>
                <w:rFonts w:asciiTheme="minorHAnsi" w:hAnsiTheme="minorHAnsi"/>
              </w:rPr>
            </w:pPr>
            <w:r w:rsidRPr="004F6929">
              <w:rPr>
                <w:rFonts w:asciiTheme="minorHAnsi" w:hAnsiTheme="minorHAnsi"/>
              </w:rPr>
              <w:t>Customer comment cards</w:t>
            </w:r>
          </w:p>
        </w:tc>
        <w:tc>
          <w:tcPr>
            <w:tcW w:w="2164" w:type="dxa"/>
            <w:tcBorders>
              <w:top w:val="single" w:sz="6" w:space="0" w:color="000000"/>
              <w:left w:val="single" w:sz="6" w:space="0" w:color="000000"/>
              <w:bottom w:val="single" w:sz="6" w:space="0" w:color="000000"/>
              <w:right w:val="single" w:sz="6" w:space="0" w:color="FFFFFF"/>
            </w:tcBorders>
            <w:vAlign w:val="bottom"/>
          </w:tcPr>
          <w:p w14:paraId="2DB24CDB" w14:textId="04085F74" w:rsidR="00FB70D3" w:rsidRPr="004F6929" w:rsidRDefault="00FB70D3" w:rsidP="00FB70D3">
            <w:pPr>
              <w:spacing w:after="0" w:line="240" w:lineRule="auto"/>
              <w:rPr>
                <w:rFonts w:asciiTheme="minorHAnsi" w:hAnsiTheme="minorHAnsi"/>
              </w:rPr>
            </w:pPr>
            <w:r w:rsidRPr="004F6929">
              <w:rPr>
                <w:rFonts w:asciiTheme="minorHAnsi" w:hAnsiTheme="minorHAnsi"/>
              </w:rPr>
              <w:t>250</w:t>
            </w:r>
          </w:p>
        </w:tc>
        <w:tc>
          <w:tcPr>
            <w:tcW w:w="2164" w:type="dxa"/>
            <w:tcBorders>
              <w:top w:val="single" w:sz="6" w:space="0" w:color="000000"/>
              <w:left w:val="single" w:sz="6" w:space="0" w:color="000000"/>
              <w:bottom w:val="single" w:sz="6" w:space="0" w:color="000000"/>
              <w:right w:val="single" w:sz="4" w:space="0" w:color="auto"/>
            </w:tcBorders>
            <w:vAlign w:val="bottom"/>
          </w:tcPr>
          <w:p w14:paraId="03CEA51E" w14:textId="77777777" w:rsidR="00FB70D3" w:rsidRPr="004F6929" w:rsidRDefault="00FB70D3" w:rsidP="00FB70D3">
            <w:pPr>
              <w:spacing w:after="0" w:line="240" w:lineRule="auto"/>
              <w:rPr>
                <w:rFonts w:asciiTheme="minorHAnsi" w:hAnsiTheme="minorHAnsi"/>
              </w:rPr>
            </w:pPr>
          </w:p>
          <w:p w14:paraId="768E43FC" w14:textId="29A120C1" w:rsidR="00FB70D3" w:rsidRPr="004F6929" w:rsidRDefault="00FB70D3" w:rsidP="00FB70D3">
            <w:pPr>
              <w:spacing w:after="0" w:line="240" w:lineRule="auto"/>
              <w:rPr>
                <w:rFonts w:asciiTheme="minorHAnsi" w:hAnsiTheme="minorHAnsi"/>
              </w:rPr>
            </w:pPr>
            <w:r>
              <w:rPr>
                <w:rFonts w:asciiTheme="minorHAnsi" w:hAnsiTheme="minorHAnsi"/>
              </w:rPr>
              <w:t>$23.86</w:t>
            </w:r>
          </w:p>
        </w:tc>
        <w:tc>
          <w:tcPr>
            <w:tcW w:w="2164" w:type="dxa"/>
            <w:tcBorders>
              <w:top w:val="single" w:sz="4" w:space="0" w:color="auto"/>
              <w:left w:val="single" w:sz="4" w:space="0" w:color="auto"/>
              <w:bottom w:val="single" w:sz="4" w:space="0" w:color="auto"/>
              <w:right w:val="single" w:sz="4" w:space="0" w:color="auto"/>
            </w:tcBorders>
            <w:vAlign w:val="bottom"/>
          </w:tcPr>
          <w:p w14:paraId="206E0139" w14:textId="0641CB93" w:rsidR="00FB70D3" w:rsidRPr="004F6929" w:rsidRDefault="00FB70D3" w:rsidP="00FB70D3">
            <w:pPr>
              <w:spacing w:after="0" w:line="240" w:lineRule="auto"/>
              <w:rPr>
                <w:rFonts w:asciiTheme="minorHAnsi" w:hAnsiTheme="minorHAnsi"/>
              </w:rPr>
            </w:pPr>
            <w:r>
              <w:rPr>
                <w:rFonts w:asciiTheme="minorHAnsi" w:hAnsiTheme="minorHAnsi"/>
              </w:rPr>
              <w:t>$5,965</w:t>
            </w:r>
          </w:p>
        </w:tc>
      </w:tr>
    </w:tbl>
    <w:p w14:paraId="2EA3624B" w14:textId="77777777" w:rsidR="00762D0D" w:rsidRDefault="00762D0D">
      <w:pPr>
        <w:tabs>
          <w:tab w:val="left" w:pos="-1080"/>
          <w:tab w:val="left" w:pos="-720"/>
          <w:tab w:val="left" w:pos="0"/>
          <w:tab w:val="left" w:pos="450"/>
          <w:tab w:val="left" w:pos="720"/>
          <w:tab w:val="left" w:pos="2160"/>
        </w:tabs>
        <w:spacing w:after="0" w:line="240" w:lineRule="auto"/>
      </w:pPr>
    </w:p>
    <w:p w14:paraId="4CFEA818" w14:textId="1B5512CC" w:rsidR="00762D0D" w:rsidRDefault="00BE5768">
      <w:pPr>
        <w:pStyle w:val="ListParagraph"/>
        <w:numPr>
          <w:ilvl w:val="0"/>
          <w:numId w:val="2"/>
        </w:numPr>
        <w:spacing w:after="0" w:line="240" w:lineRule="auto"/>
        <w:ind w:left="0"/>
        <w:rPr>
          <w:b/>
        </w:rPr>
      </w:pPr>
      <w:r>
        <w:rPr>
          <w:b/>
        </w:rPr>
        <w:t>Estimates of Other Total Annual Cost Burden to Respondents or Record Keepers</w:t>
      </w:r>
    </w:p>
    <w:p w14:paraId="60837A2E" w14:textId="77777777" w:rsidR="00762D0D" w:rsidRDefault="00762D0D">
      <w:pPr>
        <w:pStyle w:val="ListParagraph"/>
        <w:spacing w:after="0" w:line="240" w:lineRule="auto"/>
        <w:ind w:left="0"/>
        <w:rPr>
          <w:b/>
        </w:rPr>
      </w:pPr>
    </w:p>
    <w:p w14:paraId="2EF33245" w14:textId="5B11D0A4" w:rsidR="00762D0D" w:rsidRDefault="00762D0D">
      <w:pPr>
        <w:spacing w:after="0" w:line="240" w:lineRule="auto"/>
      </w:pPr>
      <w:r>
        <w:t xml:space="preserve">No </w:t>
      </w:r>
      <w:r w:rsidR="000B5293">
        <w:t xml:space="preserve">other </w:t>
      </w:r>
      <w:r>
        <w:t>costs are anticipated.</w:t>
      </w:r>
    </w:p>
    <w:p w14:paraId="17DDC762" w14:textId="77777777" w:rsidR="00762D0D" w:rsidRDefault="00762D0D">
      <w:pPr>
        <w:spacing w:after="0" w:line="240" w:lineRule="auto"/>
      </w:pPr>
    </w:p>
    <w:p w14:paraId="3236B19A" w14:textId="07E6F6C4" w:rsidR="00762D0D" w:rsidRDefault="00BE5768">
      <w:pPr>
        <w:pStyle w:val="ListParagraph"/>
        <w:numPr>
          <w:ilvl w:val="0"/>
          <w:numId w:val="2"/>
        </w:numPr>
        <w:spacing w:after="0" w:line="240" w:lineRule="auto"/>
        <w:ind w:left="0"/>
        <w:rPr>
          <w:b/>
        </w:rPr>
      </w:pPr>
      <w:r>
        <w:rPr>
          <w:b/>
        </w:rPr>
        <w:t>Annualized Cost to the Government</w:t>
      </w:r>
    </w:p>
    <w:p w14:paraId="774820DB" w14:textId="77777777" w:rsidR="00762D0D" w:rsidRDefault="00762D0D">
      <w:pPr>
        <w:pStyle w:val="ListParagraph"/>
        <w:spacing w:after="0" w:line="240" w:lineRule="auto"/>
        <w:ind w:left="0"/>
        <w:rPr>
          <w:b/>
        </w:rPr>
      </w:pPr>
    </w:p>
    <w:p w14:paraId="25216F71" w14:textId="77777777" w:rsidR="00F129AD" w:rsidRDefault="00762D0D" w:rsidP="00F129AD">
      <w:pPr>
        <w:pStyle w:val="ListParagraph"/>
        <w:spacing w:after="0" w:line="240" w:lineRule="auto"/>
        <w:ind w:left="0"/>
      </w:pPr>
      <w:r>
        <w:t>The anticipated cost to the Federal Government is approximately $</w:t>
      </w:r>
      <w:r w:rsidR="00F129AD">
        <w:t>5</w:t>
      </w:r>
      <w:r w:rsidR="00B66F6A">
        <w:t xml:space="preserve">0,000.00 </w:t>
      </w:r>
      <w:r>
        <w:t xml:space="preserve">annually.  These costs are </w:t>
      </w:r>
      <w:r w:rsidR="00B66F6A">
        <w:t>comprised of</w:t>
      </w:r>
      <w:r w:rsidR="00F129AD" w:rsidRPr="00F129AD">
        <w:t xml:space="preserve"> </w:t>
      </w:r>
      <w:r w:rsidR="00F129AD" w:rsidRPr="00F377D2">
        <w:t>an estimate of applicable costs, such as operational expenses (e.g., equipment, overhead, printing, postage</w:t>
      </w:r>
      <w:r w:rsidR="002E39D9">
        <w:t>,</w:t>
      </w:r>
      <w:r w:rsidR="00F129AD" w:rsidRPr="00F377D2">
        <w:t xml:space="preserve"> and support staff), contractor payments and any other expense that is necessary to collect the information approved under this generic clearance.</w:t>
      </w:r>
    </w:p>
    <w:p w14:paraId="0EBCFB86" w14:textId="77777777" w:rsidR="00762D0D" w:rsidRDefault="00B66F6A">
      <w:pPr>
        <w:pStyle w:val="ListParagraph"/>
        <w:spacing w:after="0" w:line="240" w:lineRule="auto"/>
        <w:ind w:left="0"/>
      </w:pPr>
      <w:r>
        <w:t xml:space="preserve">   </w:t>
      </w:r>
    </w:p>
    <w:p w14:paraId="32301620" w14:textId="5E22A99F" w:rsidR="00762D0D" w:rsidRDefault="00DF2719">
      <w:pPr>
        <w:pStyle w:val="ListParagraph"/>
        <w:numPr>
          <w:ilvl w:val="0"/>
          <w:numId w:val="2"/>
        </w:numPr>
        <w:spacing w:after="0" w:line="240" w:lineRule="auto"/>
        <w:ind w:left="0"/>
        <w:rPr>
          <w:b/>
        </w:rPr>
      </w:pPr>
      <w:r>
        <w:rPr>
          <w:b/>
        </w:rPr>
        <w:t>Explanation for Program Changes or Adjustments</w:t>
      </w:r>
    </w:p>
    <w:p w14:paraId="79CD8F75" w14:textId="77777777" w:rsidR="00762D0D" w:rsidRDefault="00762D0D">
      <w:pPr>
        <w:pStyle w:val="ListParagraph"/>
        <w:spacing w:after="0" w:line="240" w:lineRule="auto"/>
        <w:ind w:left="0"/>
        <w:rPr>
          <w:b/>
        </w:rPr>
      </w:pPr>
    </w:p>
    <w:p w14:paraId="5E05776F" w14:textId="0279C66E" w:rsidR="00762D0D" w:rsidRDefault="00762D0D">
      <w:pPr>
        <w:spacing w:after="0" w:line="240" w:lineRule="auto"/>
      </w:pPr>
      <w:r>
        <w:t>Not applicable.  This is a request for a</w:t>
      </w:r>
      <w:r w:rsidR="00D56A4C">
        <w:t xml:space="preserve">n extension ICR.  The purpose, methods, and estimated burden are unchanged.  </w:t>
      </w:r>
    </w:p>
    <w:p w14:paraId="12C3C7F3" w14:textId="77777777" w:rsidR="00762D0D" w:rsidRDefault="00762D0D">
      <w:pPr>
        <w:spacing w:after="0" w:line="240" w:lineRule="auto"/>
        <w:rPr>
          <w:b/>
        </w:rPr>
      </w:pPr>
    </w:p>
    <w:p w14:paraId="07AC065D" w14:textId="1DF9B376" w:rsidR="00762D0D" w:rsidRDefault="00DF2719">
      <w:pPr>
        <w:pStyle w:val="ListParagraph"/>
        <w:numPr>
          <w:ilvl w:val="0"/>
          <w:numId w:val="2"/>
        </w:numPr>
        <w:spacing w:after="0" w:line="240" w:lineRule="auto"/>
        <w:ind w:left="0"/>
        <w:rPr>
          <w:b/>
        </w:rPr>
      </w:pPr>
      <w:r>
        <w:rPr>
          <w:b/>
        </w:rPr>
        <w:t xml:space="preserve">Plans for </w:t>
      </w:r>
      <w:r w:rsidR="00762D0D">
        <w:rPr>
          <w:b/>
        </w:rPr>
        <w:t xml:space="preserve">Tabulation </w:t>
      </w:r>
      <w:r>
        <w:rPr>
          <w:b/>
        </w:rPr>
        <w:t>and Publication and Project Time Schedule</w:t>
      </w:r>
    </w:p>
    <w:p w14:paraId="6D7CCCEA" w14:textId="77777777" w:rsidR="00762D0D" w:rsidRDefault="00762D0D">
      <w:pPr>
        <w:spacing w:after="0" w:line="240" w:lineRule="auto"/>
      </w:pPr>
    </w:p>
    <w:p w14:paraId="67CE1083" w14:textId="77777777"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675C53D2" w14:textId="77777777" w:rsidR="00762D0D" w:rsidRDefault="00762D0D" w:rsidP="003E339C">
      <w:pPr>
        <w:spacing w:after="0" w:line="240" w:lineRule="auto"/>
      </w:pPr>
    </w:p>
    <w:p w14:paraId="5C087E26" w14:textId="77777777"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rsidR="00CC31D6">
        <w:t>,</w:t>
      </w:r>
      <w:r w:rsidRPr="00BA1806">
        <w:t xml:space="preserve">" and will include specific discussion of the limitation of the </w:t>
      </w:r>
      <w:r>
        <w:t>qualitative</w:t>
      </w:r>
      <w:r w:rsidRPr="00BA1806">
        <w:t xml:space="preserve"> results discussed above.</w:t>
      </w:r>
    </w:p>
    <w:p w14:paraId="3AF5BB76" w14:textId="77777777" w:rsidR="00762D0D" w:rsidRDefault="00762D0D">
      <w:pPr>
        <w:spacing w:after="0" w:line="240" w:lineRule="auto"/>
      </w:pPr>
    </w:p>
    <w:p w14:paraId="00255ED6" w14:textId="4BCFD35C" w:rsidR="00762D0D" w:rsidRDefault="00DF2719">
      <w:pPr>
        <w:pStyle w:val="ListParagraph"/>
        <w:numPr>
          <w:ilvl w:val="0"/>
          <w:numId w:val="2"/>
        </w:numPr>
        <w:spacing w:after="0" w:line="240" w:lineRule="auto"/>
        <w:ind w:left="0"/>
        <w:rPr>
          <w:b/>
        </w:rPr>
      </w:pPr>
      <w:r>
        <w:rPr>
          <w:b/>
        </w:rPr>
        <w:t>Reason(s) Display of OMB Expiration Date is Inappropriate</w:t>
      </w:r>
    </w:p>
    <w:p w14:paraId="34B3D75D" w14:textId="77777777" w:rsidR="00762D0D" w:rsidRDefault="00762D0D">
      <w:pPr>
        <w:pStyle w:val="ListParagraph"/>
        <w:spacing w:after="0" w:line="240" w:lineRule="auto"/>
        <w:ind w:left="0"/>
        <w:rPr>
          <w:b/>
        </w:rPr>
      </w:pPr>
    </w:p>
    <w:p w14:paraId="7259D749" w14:textId="2C015D87" w:rsidR="00762D0D" w:rsidRDefault="00DF2719">
      <w:pPr>
        <w:spacing w:after="0" w:line="240" w:lineRule="auto"/>
      </w:pPr>
      <w:r>
        <w:t>The display of the OMB expiration date is not inappropriate.</w:t>
      </w:r>
    </w:p>
    <w:p w14:paraId="04C57522" w14:textId="77777777" w:rsidR="00762D0D" w:rsidRDefault="00762D0D">
      <w:pPr>
        <w:spacing w:after="0" w:line="240" w:lineRule="auto"/>
      </w:pPr>
    </w:p>
    <w:p w14:paraId="262B59B8" w14:textId="77777777" w:rsidR="00762D0D" w:rsidRDefault="00762D0D">
      <w:pPr>
        <w:pStyle w:val="ListParagraph"/>
        <w:numPr>
          <w:ilvl w:val="0"/>
          <w:numId w:val="2"/>
        </w:numPr>
        <w:spacing w:after="0" w:line="240" w:lineRule="auto"/>
        <w:ind w:left="0"/>
        <w:rPr>
          <w:b/>
        </w:rPr>
      </w:pPr>
      <w:r>
        <w:rPr>
          <w:b/>
        </w:rPr>
        <w:t>Exceptions to Certification for Paperwork Reduction Act Submissions</w:t>
      </w:r>
    </w:p>
    <w:p w14:paraId="681D9C71" w14:textId="77777777" w:rsidR="00762D0D" w:rsidRDefault="00762D0D">
      <w:pPr>
        <w:pStyle w:val="ListParagraph"/>
        <w:spacing w:after="0" w:line="240" w:lineRule="auto"/>
        <w:ind w:left="0"/>
        <w:rPr>
          <w:b/>
        </w:rPr>
      </w:pPr>
    </w:p>
    <w:p w14:paraId="37E4B013" w14:textId="449D8E99" w:rsidR="004B026F" w:rsidRDefault="00DF2719" w:rsidP="0041084D">
      <w:pPr>
        <w:spacing w:after="0" w:line="240" w:lineRule="auto"/>
      </w:pPr>
      <w:r>
        <w:t>There are no exceptions to the certification.</w:t>
      </w:r>
    </w:p>
    <w:p w14:paraId="44684D7C" w14:textId="77777777" w:rsidR="004B026F" w:rsidRDefault="004B026F" w:rsidP="004B026F">
      <w:pPr>
        <w:pStyle w:val="ListParagraph"/>
        <w:spacing w:after="0" w:line="240" w:lineRule="auto"/>
        <w:ind w:left="0"/>
        <w:rPr>
          <w:b/>
        </w:rPr>
      </w:pPr>
    </w:p>
    <w:p w14:paraId="4E6D8E00" w14:textId="2DE463E1" w:rsidR="004B026F" w:rsidRDefault="004B026F" w:rsidP="004B026F">
      <w:pPr>
        <w:pStyle w:val="ListParagraph"/>
        <w:spacing w:after="0" w:line="240" w:lineRule="auto"/>
        <w:ind w:left="0"/>
        <w:rPr>
          <w:b/>
        </w:rPr>
      </w:pPr>
      <w:r>
        <w:rPr>
          <w:b/>
        </w:rPr>
        <w:t>Attachments</w:t>
      </w:r>
    </w:p>
    <w:p w14:paraId="2DD88BE0" w14:textId="45D61210" w:rsidR="004B026F" w:rsidRPr="00CE0C88" w:rsidRDefault="004B026F" w:rsidP="004B026F">
      <w:pPr>
        <w:pStyle w:val="ListParagraph"/>
        <w:numPr>
          <w:ilvl w:val="0"/>
          <w:numId w:val="18"/>
        </w:numPr>
        <w:spacing w:after="0" w:line="240" w:lineRule="auto"/>
      </w:pPr>
      <w:r w:rsidRPr="00CE0C88">
        <w:t>Authorizing legislation</w:t>
      </w:r>
    </w:p>
    <w:p w14:paraId="7C27240E" w14:textId="17789A29" w:rsidR="00CE0C88" w:rsidRDefault="004B026F" w:rsidP="00CE0C88">
      <w:pPr>
        <w:pStyle w:val="ListParagraph"/>
        <w:numPr>
          <w:ilvl w:val="0"/>
          <w:numId w:val="18"/>
        </w:numPr>
        <w:spacing w:after="0" w:line="240" w:lineRule="auto"/>
      </w:pPr>
      <w:r w:rsidRPr="00CE0C88">
        <w:t>60-day notice</w:t>
      </w:r>
    </w:p>
    <w:p w14:paraId="08BECDAC" w14:textId="5110A97E" w:rsidR="0020311F" w:rsidRDefault="0020311F" w:rsidP="0020311F">
      <w:pPr>
        <w:pStyle w:val="ListParagraph"/>
        <w:spacing w:after="0" w:line="240" w:lineRule="auto"/>
        <w:ind w:left="360"/>
      </w:pPr>
      <w:r>
        <w:t>B1. Public comment</w:t>
      </w:r>
    </w:p>
    <w:p w14:paraId="24C605F7" w14:textId="0E6B117B" w:rsidR="00CE0C88" w:rsidRPr="00CE0C88" w:rsidRDefault="00CE0C88" w:rsidP="00CE0C88">
      <w:pPr>
        <w:pStyle w:val="ListParagraph"/>
        <w:numPr>
          <w:ilvl w:val="0"/>
          <w:numId w:val="18"/>
        </w:numPr>
        <w:spacing w:after="0" w:line="240" w:lineRule="auto"/>
      </w:pPr>
      <w:r>
        <w:t>Gen-IC request form</w:t>
      </w:r>
    </w:p>
    <w:p w14:paraId="6B7468A8" w14:textId="77777777" w:rsidR="004B026F" w:rsidRDefault="004B026F" w:rsidP="0041084D">
      <w:pPr>
        <w:spacing w:after="0" w:line="240" w:lineRule="auto"/>
      </w:pPr>
    </w:p>
    <w:p w14:paraId="06BDEB97" w14:textId="77777777" w:rsidR="004B026F" w:rsidRPr="004B026F" w:rsidRDefault="004B026F" w:rsidP="0041084D">
      <w:pPr>
        <w:spacing w:after="0" w:line="240" w:lineRule="auto"/>
      </w:pPr>
    </w:p>
    <w:p w14:paraId="630D3E9D" w14:textId="77777777" w:rsidR="00762D0D" w:rsidRDefault="00762D0D">
      <w:pPr>
        <w:pStyle w:val="BodyTextIndent3"/>
        <w:tabs>
          <w:tab w:val="clear" w:pos="360"/>
        </w:tabs>
        <w:ind w:left="0"/>
        <w:rPr>
          <w:b/>
        </w:rPr>
      </w:pPr>
    </w:p>
    <w:p w14:paraId="0E28073F" w14:textId="77777777" w:rsidR="00762D0D" w:rsidRDefault="00762D0D">
      <w:pPr>
        <w:pStyle w:val="BodyTextIndent3"/>
        <w:tabs>
          <w:tab w:val="clear" w:pos="360"/>
        </w:tabs>
        <w:ind w:left="0"/>
        <w:rPr>
          <w:b/>
        </w:rPr>
      </w:pPr>
    </w:p>
    <w:p w14:paraId="30AAB92E" w14:textId="77777777" w:rsidR="00762D0D" w:rsidRDefault="00762D0D">
      <w:pPr>
        <w:rPr>
          <w:rFonts w:ascii="Tahoma" w:hAnsi="Tahoma"/>
          <w:b/>
          <w:sz w:val="20"/>
          <w:szCs w:val="20"/>
        </w:rPr>
      </w:pPr>
    </w:p>
    <w:p w14:paraId="208EE384" w14:textId="77777777" w:rsidR="00762D0D" w:rsidRDefault="00762D0D">
      <w:pPr>
        <w:spacing w:after="0" w:line="240" w:lineRule="auto"/>
        <w:ind w:left="360"/>
      </w:pPr>
    </w:p>
    <w:sectPr w:rsidR="00762D0D" w:rsidSect="0098209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E6FA" w14:textId="77777777" w:rsidR="00EE4AE0" w:rsidRDefault="00EE4AE0">
      <w:pPr>
        <w:spacing w:after="0" w:line="240" w:lineRule="auto"/>
      </w:pPr>
      <w:r>
        <w:separator/>
      </w:r>
    </w:p>
  </w:endnote>
  <w:endnote w:type="continuationSeparator" w:id="0">
    <w:p w14:paraId="608DC09B" w14:textId="77777777" w:rsidR="00EE4AE0" w:rsidRDefault="00EE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804981"/>
      <w:docPartObj>
        <w:docPartGallery w:val="Page Numbers (Bottom of Page)"/>
        <w:docPartUnique/>
      </w:docPartObj>
    </w:sdtPr>
    <w:sdtEndPr>
      <w:rPr>
        <w:noProof/>
      </w:rPr>
    </w:sdtEndPr>
    <w:sdtContent>
      <w:p w14:paraId="3E5AF6EE" w14:textId="035E64DC" w:rsidR="00EF39C7" w:rsidRDefault="00EF39C7">
        <w:pPr>
          <w:pStyle w:val="Footer"/>
          <w:jc w:val="center"/>
        </w:pPr>
        <w:r>
          <w:fldChar w:fldCharType="begin"/>
        </w:r>
        <w:r>
          <w:instrText xml:space="preserve"> PAGE   \* MERGEFORMAT </w:instrText>
        </w:r>
        <w:r>
          <w:fldChar w:fldCharType="separate"/>
        </w:r>
        <w:r w:rsidR="00CC3044">
          <w:rPr>
            <w:noProof/>
          </w:rPr>
          <w:t>1</w:t>
        </w:r>
        <w:r>
          <w:rPr>
            <w:noProof/>
          </w:rPr>
          <w:fldChar w:fldCharType="end"/>
        </w:r>
      </w:p>
    </w:sdtContent>
  </w:sdt>
  <w:p w14:paraId="612EB313" w14:textId="77777777" w:rsidR="00EF39C7" w:rsidRDefault="00EF3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A0C7" w14:textId="77777777" w:rsidR="00EE4AE0" w:rsidRDefault="00EE4AE0">
      <w:pPr>
        <w:spacing w:after="0" w:line="240" w:lineRule="auto"/>
      </w:pPr>
      <w:r>
        <w:separator/>
      </w:r>
    </w:p>
  </w:footnote>
  <w:footnote w:type="continuationSeparator" w:id="0">
    <w:p w14:paraId="25166FAB" w14:textId="77777777" w:rsidR="00EE4AE0" w:rsidRDefault="00EE4AE0">
      <w:pPr>
        <w:spacing w:after="0" w:line="240" w:lineRule="auto"/>
      </w:pPr>
      <w:r>
        <w:continuationSeparator/>
      </w:r>
    </w:p>
  </w:footnote>
  <w:footnote w:id="1">
    <w:p w14:paraId="3EAA19F6" w14:textId="77777777" w:rsidR="003C2C0B" w:rsidRDefault="003C2C0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17C69B8B" w14:textId="01DF3D1F" w:rsidR="00F35F74" w:rsidRDefault="00F35F74">
      <w:pPr>
        <w:pStyle w:val="FootnoteText"/>
      </w:pPr>
      <w:r>
        <w:rPr>
          <w:rStyle w:val="FootnoteReference"/>
        </w:rPr>
        <w:footnoteRef/>
      </w:r>
      <w:r>
        <w:t xml:space="preserve"> Hourly wage rates are based on the BLS May, 2016 wage estimates available here: </w:t>
      </w:r>
      <w:hyperlink r:id="rId1" w:history="1">
        <w:r w:rsidRPr="00D7593C">
          <w:rPr>
            <w:rStyle w:val="Hyperlink"/>
          </w:rPr>
          <w:t>https://www.bls.gov/oes/current/oes_nat.htm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75F20CC"/>
    <w:multiLevelType w:val="hybridMultilevel"/>
    <w:tmpl w:val="50986C8C"/>
    <w:lvl w:ilvl="0" w:tplc="04090015">
      <w:start w:val="1"/>
      <w:numFmt w:val="upperLetter"/>
      <w:lvlText w:val="%1."/>
      <w:lvlJc w:val="left"/>
      <w:pPr>
        <w:ind w:left="720" w:hanging="360"/>
      </w:pPr>
    </w:lvl>
    <w:lvl w:ilvl="1" w:tplc="9102A5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0B4A9818"/>
    <w:lvl w:ilvl="0" w:tplc="64DEFCD6">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B5293"/>
    <w:rsid w:val="000C0A7E"/>
    <w:rsid w:val="0010356D"/>
    <w:rsid w:val="00120A60"/>
    <w:rsid w:val="0013425B"/>
    <w:rsid w:val="00153E20"/>
    <w:rsid w:val="001628A1"/>
    <w:rsid w:val="00167FB6"/>
    <w:rsid w:val="00172EEC"/>
    <w:rsid w:val="00192882"/>
    <w:rsid w:val="001A1E1C"/>
    <w:rsid w:val="001B43EE"/>
    <w:rsid w:val="001B5644"/>
    <w:rsid w:val="001E44AB"/>
    <w:rsid w:val="001E7A97"/>
    <w:rsid w:val="001F1DA1"/>
    <w:rsid w:val="001F7BC9"/>
    <w:rsid w:val="0020311F"/>
    <w:rsid w:val="00256D0E"/>
    <w:rsid w:val="0026487B"/>
    <w:rsid w:val="0029408A"/>
    <w:rsid w:val="002A35E6"/>
    <w:rsid w:val="002B0B32"/>
    <w:rsid w:val="002C625E"/>
    <w:rsid w:val="002D48E3"/>
    <w:rsid w:val="002E39D9"/>
    <w:rsid w:val="00307D7A"/>
    <w:rsid w:val="00312608"/>
    <w:rsid w:val="00324AF8"/>
    <w:rsid w:val="00336169"/>
    <w:rsid w:val="003726B8"/>
    <w:rsid w:val="00377B51"/>
    <w:rsid w:val="003A2F20"/>
    <w:rsid w:val="003A7A16"/>
    <w:rsid w:val="003C2C0B"/>
    <w:rsid w:val="003E339C"/>
    <w:rsid w:val="003F5F2D"/>
    <w:rsid w:val="00404071"/>
    <w:rsid w:val="0041084D"/>
    <w:rsid w:val="0044553C"/>
    <w:rsid w:val="00460EB1"/>
    <w:rsid w:val="00474C83"/>
    <w:rsid w:val="004970C8"/>
    <w:rsid w:val="004A1CF9"/>
    <w:rsid w:val="004B026F"/>
    <w:rsid w:val="004C392D"/>
    <w:rsid w:val="004F6929"/>
    <w:rsid w:val="00513A34"/>
    <w:rsid w:val="005362FC"/>
    <w:rsid w:val="00562B18"/>
    <w:rsid w:val="00571BDB"/>
    <w:rsid w:val="00572831"/>
    <w:rsid w:val="005A10E3"/>
    <w:rsid w:val="005E5A3B"/>
    <w:rsid w:val="00607287"/>
    <w:rsid w:val="00640E01"/>
    <w:rsid w:val="00655D36"/>
    <w:rsid w:val="006656C5"/>
    <w:rsid w:val="0067270D"/>
    <w:rsid w:val="006B2FF7"/>
    <w:rsid w:val="006C068A"/>
    <w:rsid w:val="00701CF7"/>
    <w:rsid w:val="0070472A"/>
    <w:rsid w:val="0071748D"/>
    <w:rsid w:val="00731D48"/>
    <w:rsid w:val="0074733F"/>
    <w:rsid w:val="00762D0D"/>
    <w:rsid w:val="00774F9F"/>
    <w:rsid w:val="00783842"/>
    <w:rsid w:val="007903D0"/>
    <w:rsid w:val="00797E9A"/>
    <w:rsid w:val="007A268D"/>
    <w:rsid w:val="007B683D"/>
    <w:rsid w:val="007B75EE"/>
    <w:rsid w:val="007C0EE9"/>
    <w:rsid w:val="007E102D"/>
    <w:rsid w:val="00805CCC"/>
    <w:rsid w:val="00811E7B"/>
    <w:rsid w:val="00873289"/>
    <w:rsid w:val="00894356"/>
    <w:rsid w:val="008A6FC5"/>
    <w:rsid w:val="008D173C"/>
    <w:rsid w:val="008E42F3"/>
    <w:rsid w:val="008F21DF"/>
    <w:rsid w:val="00914716"/>
    <w:rsid w:val="00915BDA"/>
    <w:rsid w:val="00933F37"/>
    <w:rsid w:val="00982095"/>
    <w:rsid w:val="009A201A"/>
    <w:rsid w:val="009C6FD5"/>
    <w:rsid w:val="009E720B"/>
    <w:rsid w:val="009E75C8"/>
    <w:rsid w:val="00A0608D"/>
    <w:rsid w:val="00A12AC9"/>
    <w:rsid w:val="00A52F7E"/>
    <w:rsid w:val="00A666FD"/>
    <w:rsid w:val="00A7129D"/>
    <w:rsid w:val="00A816AB"/>
    <w:rsid w:val="00A96367"/>
    <w:rsid w:val="00AA3F96"/>
    <w:rsid w:val="00AB76AD"/>
    <w:rsid w:val="00AC207F"/>
    <w:rsid w:val="00AC2497"/>
    <w:rsid w:val="00AC71A4"/>
    <w:rsid w:val="00AE1AE1"/>
    <w:rsid w:val="00AF55E9"/>
    <w:rsid w:val="00B54830"/>
    <w:rsid w:val="00B66F6A"/>
    <w:rsid w:val="00B82AC5"/>
    <w:rsid w:val="00B9541C"/>
    <w:rsid w:val="00BA1806"/>
    <w:rsid w:val="00BA3A31"/>
    <w:rsid w:val="00BC63CD"/>
    <w:rsid w:val="00BD13BB"/>
    <w:rsid w:val="00BE0599"/>
    <w:rsid w:val="00BE5768"/>
    <w:rsid w:val="00BF2E89"/>
    <w:rsid w:val="00BF7558"/>
    <w:rsid w:val="00C200D1"/>
    <w:rsid w:val="00C42638"/>
    <w:rsid w:val="00C61970"/>
    <w:rsid w:val="00C62FA2"/>
    <w:rsid w:val="00CB0BB8"/>
    <w:rsid w:val="00CC2FDD"/>
    <w:rsid w:val="00CC3044"/>
    <w:rsid w:val="00CC31D6"/>
    <w:rsid w:val="00CE0C88"/>
    <w:rsid w:val="00D30F06"/>
    <w:rsid w:val="00D40CDD"/>
    <w:rsid w:val="00D56A4C"/>
    <w:rsid w:val="00D617AC"/>
    <w:rsid w:val="00D64405"/>
    <w:rsid w:val="00D64AAF"/>
    <w:rsid w:val="00D93FE0"/>
    <w:rsid w:val="00DA3AFF"/>
    <w:rsid w:val="00DD64F5"/>
    <w:rsid w:val="00DE07E7"/>
    <w:rsid w:val="00DF2719"/>
    <w:rsid w:val="00E5649A"/>
    <w:rsid w:val="00E840DF"/>
    <w:rsid w:val="00EB2D61"/>
    <w:rsid w:val="00ED6445"/>
    <w:rsid w:val="00EE4AE0"/>
    <w:rsid w:val="00EF39C7"/>
    <w:rsid w:val="00F129AD"/>
    <w:rsid w:val="00F15BAA"/>
    <w:rsid w:val="00F242F7"/>
    <w:rsid w:val="00F27033"/>
    <w:rsid w:val="00F31E34"/>
    <w:rsid w:val="00F35F74"/>
    <w:rsid w:val="00FA1D10"/>
    <w:rsid w:val="00FB1178"/>
    <w:rsid w:val="00FB70D3"/>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qFormat/>
    <w:locked/>
    <w:rsid w:val="001035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table" w:styleId="TableGrid">
    <w:name w:val="Table Grid"/>
    <w:basedOn w:val="TableNormal"/>
    <w:locked/>
    <w:rsid w:val="00AC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B54830"/>
    <w:rPr>
      <w:rFonts w:ascii="Times New Roman" w:hAnsi="Times New Roman"/>
      <w:sz w:val="24"/>
    </w:rPr>
  </w:style>
  <w:style w:type="paragraph" w:customStyle="1" w:styleId="Bullets">
    <w:name w:val="Bullets"/>
    <w:basedOn w:val="ListParagraph"/>
    <w:link w:val="BulletsChar"/>
    <w:qFormat/>
    <w:rsid w:val="00B54830"/>
    <w:pPr>
      <w:numPr>
        <w:numId w:val="17"/>
      </w:numPr>
      <w:ind w:left="360"/>
    </w:pPr>
    <w:rPr>
      <w:rFonts w:ascii="Times New Roman" w:hAnsi="Times New Roman"/>
      <w:sz w:val="24"/>
    </w:rPr>
  </w:style>
  <w:style w:type="character" w:customStyle="1" w:styleId="Heading1Char">
    <w:name w:val="Heading 1 Char"/>
    <w:basedOn w:val="DefaultParagraphFont"/>
    <w:link w:val="Heading1"/>
    <w:rsid w:val="0010356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0356D"/>
    <w:pPr>
      <w:spacing w:line="259" w:lineRule="auto"/>
      <w:outlineLvl w:val="9"/>
    </w:pPr>
  </w:style>
  <w:style w:type="paragraph" w:styleId="TOC1">
    <w:name w:val="toc 1"/>
    <w:basedOn w:val="Normal"/>
    <w:next w:val="Normal"/>
    <w:autoRedefine/>
    <w:uiPriority w:val="39"/>
    <w:locked/>
    <w:rsid w:val="0010356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qFormat/>
    <w:locked/>
    <w:rsid w:val="001035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table" w:styleId="TableGrid">
    <w:name w:val="Table Grid"/>
    <w:basedOn w:val="TableNormal"/>
    <w:locked/>
    <w:rsid w:val="00AC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B54830"/>
    <w:rPr>
      <w:rFonts w:ascii="Times New Roman" w:hAnsi="Times New Roman"/>
      <w:sz w:val="24"/>
    </w:rPr>
  </w:style>
  <w:style w:type="paragraph" w:customStyle="1" w:styleId="Bullets">
    <w:name w:val="Bullets"/>
    <w:basedOn w:val="ListParagraph"/>
    <w:link w:val="BulletsChar"/>
    <w:qFormat/>
    <w:rsid w:val="00B54830"/>
    <w:pPr>
      <w:numPr>
        <w:numId w:val="17"/>
      </w:numPr>
      <w:ind w:left="360"/>
    </w:pPr>
    <w:rPr>
      <w:rFonts w:ascii="Times New Roman" w:hAnsi="Times New Roman"/>
      <w:sz w:val="24"/>
    </w:rPr>
  </w:style>
  <w:style w:type="character" w:customStyle="1" w:styleId="Heading1Char">
    <w:name w:val="Heading 1 Char"/>
    <w:basedOn w:val="DefaultParagraphFont"/>
    <w:link w:val="Heading1"/>
    <w:rsid w:val="0010356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0356D"/>
    <w:pPr>
      <w:spacing w:line="259" w:lineRule="auto"/>
      <w:outlineLvl w:val="9"/>
    </w:pPr>
  </w:style>
  <w:style w:type="paragraph" w:styleId="TOC1">
    <w:name w:val="toc 1"/>
    <w:basedOn w:val="Normal"/>
    <w:next w:val="Normal"/>
    <w:autoRedefine/>
    <w:uiPriority w:val="39"/>
    <w:locked/>
    <w:rsid w:val="001035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846021404">
      <w:bodyDiv w:val="1"/>
      <w:marLeft w:val="0"/>
      <w:marRight w:val="0"/>
      <w:marTop w:val="0"/>
      <w:marBottom w:val="0"/>
      <w:divBdr>
        <w:top w:val="none" w:sz="0" w:space="0" w:color="auto"/>
        <w:left w:val="none" w:sz="0" w:space="0" w:color="auto"/>
        <w:bottom w:val="none" w:sz="0" w:space="0" w:color="auto"/>
        <w:right w:val="none" w:sz="0" w:space="0" w:color="auto"/>
      </w:divBdr>
    </w:div>
    <w:div w:id="18695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PFY6PPX2AYTS-2589-2310</_dlc_DocId>
    <_dlc_DocIdUrl xmlns="81daf041-c113-401c-bf82-107f5d396711">
      <Url>https://esp.cdc.gov/sites/ncezid/OD/policy/PRA/_layouts/15/DocIdRedir.aspx?ID=PFY6PPX2AYTS-2589-2310</Url>
      <Description>PFY6PPX2AYTS-2589-2310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7F5C-9F55-47B3-80AE-98E9EAEA75F3}">
  <ds:schemaRefs>
    <ds:schemaRef ds:uri="http://schemas.microsoft.com/sharepoint/events"/>
  </ds:schemaRefs>
</ds:datastoreItem>
</file>

<file path=customXml/itemProps2.xml><?xml version="1.0" encoding="utf-8"?>
<ds:datastoreItem xmlns:ds="http://schemas.openxmlformats.org/officeDocument/2006/customXml" ds:itemID="{E6A6968D-D441-4779-B8C7-0D410A5C1977}">
  <ds:schemaRefs>
    <ds:schemaRef ds:uri="http://schemas.microsoft.com/sharepoint/v3/contenttype/forms"/>
  </ds:schemaRefs>
</ds:datastoreItem>
</file>

<file path=customXml/itemProps3.xml><?xml version="1.0" encoding="utf-8"?>
<ds:datastoreItem xmlns:ds="http://schemas.openxmlformats.org/officeDocument/2006/customXml" ds:itemID="{F6016531-8966-430A-9467-F273D478BC9B}">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62350C38-222C-40E3-A8F1-5CBF9D4B9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8173D9-F6CE-46AC-95E4-3EC211FD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2012-08-06T16:24:00Z</cp:lastPrinted>
  <dcterms:created xsi:type="dcterms:W3CDTF">2018-01-08T20:03:00Z</dcterms:created>
  <dcterms:modified xsi:type="dcterms:W3CDTF">2018-01-08T20:03:00Z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05151af1-dcf7-4ddd-a726-fac384aecbff</vt:lpwstr>
  </property>
  <property fmtid="{D5CDD505-2E9C-101B-9397-08002B2CF9AE}" pid="4" name="ContentTypeId">
    <vt:lpwstr>0x01010008E1675BCD6DD14785997454A76BE123</vt:lpwstr>
  </property>
</Properties>
</file>