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D4951" w14:textId="77777777" w:rsidR="00081BDB" w:rsidRDefault="00081BDB" w:rsidP="00B56752">
      <w:pPr>
        <w:autoSpaceDE w:val="0"/>
        <w:autoSpaceDN w:val="0"/>
        <w:adjustRightInd w:val="0"/>
        <w:rPr>
          <w:rFonts w:asciiTheme="minorHAnsi" w:hAnsiTheme="minorHAnsi"/>
          <w:b/>
          <w:bCs/>
          <w:color w:val="FF0000"/>
          <w:sz w:val="22"/>
          <w:szCs w:val="22"/>
        </w:rPr>
      </w:pPr>
      <w:bookmarkStart w:id="0" w:name="_GoBack"/>
      <w:bookmarkEnd w:id="0"/>
    </w:p>
    <w:p w14:paraId="06329D51" w14:textId="77777777" w:rsidR="00913EDB" w:rsidRPr="00913EDB" w:rsidRDefault="00913EDB" w:rsidP="00FB432B">
      <w:pPr>
        <w:autoSpaceDE w:val="0"/>
        <w:autoSpaceDN w:val="0"/>
        <w:adjustRightInd w:val="0"/>
        <w:jc w:val="center"/>
        <w:rPr>
          <w:rFonts w:asciiTheme="minorHAnsi" w:hAnsiTheme="minorHAnsi"/>
          <w:b/>
          <w:bCs/>
          <w:color w:val="FF0000"/>
          <w:sz w:val="22"/>
          <w:szCs w:val="22"/>
        </w:rPr>
      </w:pPr>
    </w:p>
    <w:p w14:paraId="5EC9EDB0" w14:textId="77777777" w:rsidR="00211558" w:rsidRPr="00691454" w:rsidRDefault="00211558" w:rsidP="00FB432B">
      <w:pPr>
        <w:autoSpaceDE w:val="0"/>
        <w:autoSpaceDN w:val="0"/>
        <w:adjustRightInd w:val="0"/>
        <w:ind w:left="720"/>
        <w:jc w:val="center"/>
        <w:rPr>
          <w:b/>
          <w:bCs/>
        </w:rPr>
      </w:pPr>
    </w:p>
    <w:p w14:paraId="03B05ACC" w14:textId="77777777" w:rsidR="00384074" w:rsidRDefault="00384074" w:rsidP="00384074">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1F980021" w14:textId="77777777" w:rsidR="0092047B" w:rsidRPr="00EA366E" w:rsidRDefault="0092047B" w:rsidP="00384074">
      <w:pPr>
        <w:keepNext/>
        <w:keepLines/>
        <w:jc w:val="center"/>
        <w:outlineLvl w:val="6"/>
        <w:rPr>
          <w:rFonts w:asciiTheme="majorHAnsi" w:eastAsiaTheme="majorEastAsia" w:hAnsiTheme="majorHAnsi" w:cstheme="majorBidi"/>
          <w:i/>
          <w:iCs/>
          <w:color w:val="404040" w:themeColor="text1" w:themeTint="BF"/>
          <w:sz w:val="28"/>
          <w:szCs w:val="28"/>
        </w:rPr>
      </w:pPr>
    </w:p>
    <w:p w14:paraId="2549B86C" w14:textId="77777777" w:rsidR="00972DEF" w:rsidRPr="00691454" w:rsidRDefault="00972DEF" w:rsidP="00FB432B">
      <w:pPr>
        <w:pStyle w:val="BalloonText"/>
        <w:jc w:val="center"/>
      </w:pPr>
    </w:p>
    <w:p w14:paraId="5A158F3B" w14:textId="77777777" w:rsidR="00614706" w:rsidRDefault="0092047B" w:rsidP="0029704E">
      <w:pPr>
        <w:autoSpaceDE w:val="0"/>
        <w:autoSpaceDN w:val="0"/>
        <w:adjustRightInd w:val="0"/>
        <w:ind w:left="720"/>
        <w:rPr>
          <w:b/>
          <w:bCs/>
        </w:rPr>
      </w:pPr>
      <w:r>
        <w:rPr>
          <w:b/>
          <w:bCs/>
        </w:rPr>
        <w:t xml:space="preserve">         </w:t>
      </w:r>
    </w:p>
    <w:p w14:paraId="009F4487" w14:textId="77777777" w:rsidR="00614706" w:rsidRDefault="00614706" w:rsidP="0029704E">
      <w:pPr>
        <w:autoSpaceDE w:val="0"/>
        <w:autoSpaceDN w:val="0"/>
        <w:adjustRightInd w:val="0"/>
        <w:ind w:left="720"/>
        <w:rPr>
          <w:b/>
          <w:bCs/>
        </w:rPr>
      </w:pPr>
    </w:p>
    <w:p w14:paraId="28A5AEBD" w14:textId="77777777" w:rsidR="00614706" w:rsidRDefault="00614706" w:rsidP="0029704E">
      <w:pPr>
        <w:autoSpaceDE w:val="0"/>
        <w:autoSpaceDN w:val="0"/>
        <w:adjustRightInd w:val="0"/>
        <w:ind w:left="720"/>
        <w:rPr>
          <w:b/>
          <w:bCs/>
        </w:rPr>
      </w:pPr>
    </w:p>
    <w:p w14:paraId="22D81DCC" w14:textId="77777777" w:rsidR="00614706" w:rsidRDefault="00614706" w:rsidP="0029704E">
      <w:pPr>
        <w:autoSpaceDE w:val="0"/>
        <w:autoSpaceDN w:val="0"/>
        <w:adjustRightInd w:val="0"/>
        <w:ind w:left="720"/>
        <w:rPr>
          <w:b/>
          <w:bCs/>
        </w:rPr>
      </w:pPr>
    </w:p>
    <w:p w14:paraId="72312229" w14:textId="77777777" w:rsidR="00614706" w:rsidRDefault="00614706" w:rsidP="0029704E">
      <w:pPr>
        <w:autoSpaceDE w:val="0"/>
        <w:autoSpaceDN w:val="0"/>
        <w:adjustRightInd w:val="0"/>
        <w:ind w:left="720"/>
        <w:rPr>
          <w:b/>
          <w:bCs/>
        </w:rPr>
      </w:pPr>
    </w:p>
    <w:p w14:paraId="1834D730" w14:textId="57FBCE95" w:rsidR="0092047B" w:rsidRDefault="0092047B" w:rsidP="0029704E">
      <w:pPr>
        <w:autoSpaceDE w:val="0"/>
        <w:autoSpaceDN w:val="0"/>
        <w:adjustRightInd w:val="0"/>
        <w:ind w:left="720"/>
        <w:rPr>
          <w:b/>
          <w:bCs/>
        </w:rPr>
      </w:pPr>
      <w:r>
        <w:rPr>
          <w:b/>
          <w:bCs/>
        </w:rPr>
        <w:t xml:space="preserve">    </w:t>
      </w:r>
      <w:r w:rsidR="0029704E" w:rsidRPr="0029704E">
        <w:rPr>
          <w:b/>
          <w:bCs/>
        </w:rPr>
        <w:t>Evaluation of the SAMHSA Naloxone Education and Distribution Progr</w:t>
      </w:r>
      <w:r w:rsidR="0029704E">
        <w:rPr>
          <w:b/>
          <w:bCs/>
        </w:rPr>
        <w:t>am</w:t>
      </w:r>
    </w:p>
    <w:p w14:paraId="3E2FF8A5" w14:textId="77777777" w:rsidR="0029704E" w:rsidRPr="00691454" w:rsidRDefault="0029704E" w:rsidP="0029704E">
      <w:pPr>
        <w:autoSpaceDE w:val="0"/>
        <w:autoSpaceDN w:val="0"/>
        <w:adjustRightInd w:val="0"/>
        <w:ind w:left="720"/>
        <w:rPr>
          <w:b/>
          <w:bCs/>
        </w:rPr>
      </w:pPr>
    </w:p>
    <w:p w14:paraId="5162B239" w14:textId="77777777" w:rsidR="00972DEF" w:rsidRPr="00691454" w:rsidRDefault="00972DEF" w:rsidP="00FB432B">
      <w:pPr>
        <w:autoSpaceDE w:val="0"/>
        <w:autoSpaceDN w:val="0"/>
        <w:adjustRightInd w:val="0"/>
        <w:jc w:val="center"/>
        <w:rPr>
          <w:b/>
          <w:bCs/>
        </w:rPr>
      </w:pPr>
    </w:p>
    <w:p w14:paraId="525C1E35" w14:textId="77777777" w:rsidR="00972DEF" w:rsidRDefault="00457A05" w:rsidP="00FB432B">
      <w:pPr>
        <w:jc w:val="center"/>
        <w:rPr>
          <w:b/>
        </w:rPr>
      </w:pPr>
      <w:r>
        <w:rPr>
          <w:b/>
        </w:rPr>
        <w:t>OMB# 0920-</w:t>
      </w:r>
      <w:r w:rsidR="00FA32FD">
        <w:rPr>
          <w:b/>
        </w:rPr>
        <w:t>XXX</w:t>
      </w:r>
    </w:p>
    <w:p w14:paraId="32FFA781" w14:textId="77777777" w:rsidR="0092047B" w:rsidRPr="00691454" w:rsidRDefault="0092047B" w:rsidP="00FB432B">
      <w:pPr>
        <w:jc w:val="center"/>
        <w:rPr>
          <w:b/>
        </w:rPr>
      </w:pPr>
    </w:p>
    <w:p w14:paraId="14C9C7F2" w14:textId="77777777" w:rsidR="00972DEF" w:rsidRPr="00691454" w:rsidRDefault="00972DEF" w:rsidP="00FB432B">
      <w:pPr>
        <w:jc w:val="center"/>
      </w:pPr>
    </w:p>
    <w:p w14:paraId="1C085EB7" w14:textId="2404F556" w:rsidR="009901D4" w:rsidRDefault="00E452CE" w:rsidP="00FB432B">
      <w:pPr>
        <w:jc w:val="center"/>
        <w:rPr>
          <w:b/>
        </w:rPr>
      </w:pPr>
      <w:r>
        <w:rPr>
          <w:b/>
        </w:rPr>
        <w:t>March 3, 2017</w:t>
      </w:r>
    </w:p>
    <w:p w14:paraId="0826571E" w14:textId="77777777" w:rsidR="00E2294D" w:rsidRPr="00691454" w:rsidRDefault="00E2294D" w:rsidP="00FB432B">
      <w:pPr>
        <w:jc w:val="center"/>
        <w:rPr>
          <w:b/>
        </w:rPr>
      </w:pPr>
    </w:p>
    <w:p w14:paraId="41E8DC0F" w14:textId="77777777" w:rsidR="009901D4" w:rsidRPr="00691454" w:rsidRDefault="009901D4" w:rsidP="00FB432B">
      <w:pPr>
        <w:jc w:val="center"/>
      </w:pPr>
    </w:p>
    <w:p w14:paraId="1D4F1434" w14:textId="77777777" w:rsidR="009901D4" w:rsidRPr="00691454" w:rsidRDefault="009901D4" w:rsidP="00FB432B">
      <w:pPr>
        <w:jc w:val="center"/>
      </w:pPr>
    </w:p>
    <w:p w14:paraId="7DC6BFD1" w14:textId="77777777" w:rsidR="00972DEF" w:rsidRPr="00691454" w:rsidRDefault="00972DEF" w:rsidP="00FB432B">
      <w:pPr>
        <w:jc w:val="center"/>
      </w:pPr>
    </w:p>
    <w:p w14:paraId="4CB9A638" w14:textId="77777777" w:rsidR="00972DEF" w:rsidRPr="00691454" w:rsidRDefault="00972DEF" w:rsidP="00FB432B">
      <w:pPr>
        <w:jc w:val="center"/>
      </w:pPr>
    </w:p>
    <w:p w14:paraId="092A7E66" w14:textId="77777777" w:rsidR="00972DEF" w:rsidRPr="00691454" w:rsidRDefault="00972DEF" w:rsidP="00A369E1">
      <w:pPr>
        <w:jc w:val="center"/>
      </w:pPr>
    </w:p>
    <w:p w14:paraId="3E3FD08B" w14:textId="77777777" w:rsidR="00972DEF" w:rsidRPr="00691454" w:rsidRDefault="004941DD" w:rsidP="00A369E1">
      <w:pPr>
        <w:jc w:val="center"/>
      </w:pPr>
      <w:r w:rsidRPr="00691454">
        <w:t>Point of Contact</w:t>
      </w:r>
      <w:r w:rsidR="00972DEF" w:rsidRPr="00691454">
        <w:t>:</w:t>
      </w:r>
    </w:p>
    <w:p w14:paraId="313034E5" w14:textId="77777777" w:rsidR="00FB432B" w:rsidRDefault="00554C5E" w:rsidP="00A369E1">
      <w:pPr>
        <w:jc w:val="center"/>
      </w:pPr>
      <w:r>
        <w:t>Sally Thigpen</w:t>
      </w:r>
    </w:p>
    <w:p w14:paraId="216A0B36" w14:textId="77777777" w:rsidR="00972DEF" w:rsidRPr="00691454" w:rsidRDefault="00972DEF" w:rsidP="00A369E1">
      <w:pPr>
        <w:jc w:val="center"/>
      </w:pPr>
      <w:r w:rsidRPr="00691454">
        <w:t>Contact Information:</w:t>
      </w:r>
    </w:p>
    <w:p w14:paraId="7C3CDE2C" w14:textId="77777777" w:rsidR="00972DEF" w:rsidRPr="00691454" w:rsidRDefault="00972DEF" w:rsidP="00A369E1">
      <w:pPr>
        <w:pStyle w:val="E-mailSignature"/>
        <w:jc w:val="center"/>
        <w:rPr>
          <w:noProof/>
        </w:rPr>
      </w:pPr>
      <w:bookmarkStart w:id="1" w:name="_MailAutoSig"/>
      <w:r w:rsidRPr="00691454">
        <w:rPr>
          <w:noProof/>
        </w:rPr>
        <w:t>Centers for Disease Control and Prevention</w:t>
      </w:r>
    </w:p>
    <w:p w14:paraId="462429BB" w14:textId="77777777" w:rsidR="00972DEF" w:rsidRPr="00691454" w:rsidRDefault="00972DEF" w:rsidP="00A369E1">
      <w:pPr>
        <w:pStyle w:val="E-mailSignature"/>
        <w:jc w:val="center"/>
        <w:rPr>
          <w:noProof/>
        </w:rPr>
      </w:pPr>
      <w:r w:rsidRPr="00691454">
        <w:rPr>
          <w:noProof/>
        </w:rPr>
        <w:t>National Center for Injury Prevention and Control</w:t>
      </w:r>
    </w:p>
    <w:p w14:paraId="7461CC90" w14:textId="77777777" w:rsidR="00CF4520" w:rsidRPr="00691454" w:rsidRDefault="00CF4520" w:rsidP="00A369E1">
      <w:pPr>
        <w:pStyle w:val="E-mailSignature"/>
        <w:jc w:val="center"/>
        <w:rPr>
          <w:noProof/>
        </w:rPr>
      </w:pPr>
      <w:r w:rsidRPr="00691454">
        <w:rPr>
          <w:noProof/>
        </w:rPr>
        <w:t>4770 Buford Highway NE  MS F-64</w:t>
      </w:r>
    </w:p>
    <w:p w14:paraId="66F1A426" w14:textId="77777777" w:rsidR="00972DEF" w:rsidRPr="00691454" w:rsidRDefault="00CF4520" w:rsidP="00A369E1">
      <w:pPr>
        <w:pStyle w:val="E-mailSignature"/>
        <w:jc w:val="center"/>
        <w:rPr>
          <w:noProof/>
        </w:rPr>
      </w:pPr>
      <w:r w:rsidRPr="00691454">
        <w:rPr>
          <w:noProof/>
        </w:rPr>
        <w:t>A</w:t>
      </w:r>
      <w:r w:rsidR="00972DEF" w:rsidRPr="00691454">
        <w:rPr>
          <w:noProof/>
        </w:rPr>
        <w:t>tlanta, GA 30341-3724</w:t>
      </w:r>
    </w:p>
    <w:p w14:paraId="5F333F1D" w14:textId="77777777" w:rsidR="00A369E1" w:rsidRDefault="0030186F" w:rsidP="00A369E1">
      <w:pPr>
        <w:pStyle w:val="E-mailSignature"/>
        <w:jc w:val="center"/>
        <w:rPr>
          <w:noProof/>
        </w:rPr>
      </w:pPr>
      <w:r>
        <w:rPr>
          <w:noProof/>
        </w:rPr>
        <w:t>P</w:t>
      </w:r>
      <w:r w:rsidR="00CF4520" w:rsidRPr="00691454">
        <w:rPr>
          <w:noProof/>
        </w:rPr>
        <w:t>hone:</w:t>
      </w:r>
      <w:r w:rsidR="00554C5E">
        <w:rPr>
          <w:noProof/>
        </w:rPr>
        <w:t xml:space="preserve"> 770-488-3892</w:t>
      </w:r>
    </w:p>
    <w:p w14:paraId="4C09184C" w14:textId="77777777" w:rsidR="00A369E1" w:rsidRDefault="0030186F" w:rsidP="00A369E1">
      <w:pPr>
        <w:pStyle w:val="E-mailSignature"/>
        <w:jc w:val="center"/>
        <w:rPr>
          <w:noProof/>
        </w:rPr>
      </w:pPr>
      <w:r>
        <w:rPr>
          <w:noProof/>
        </w:rPr>
        <w:t>F</w:t>
      </w:r>
      <w:r w:rsidR="00972DEF" w:rsidRPr="00691454">
        <w:rPr>
          <w:noProof/>
        </w:rPr>
        <w:t>ax:</w:t>
      </w:r>
      <w:r w:rsidR="00554C5E">
        <w:rPr>
          <w:noProof/>
        </w:rPr>
        <w:t xml:space="preserve"> 770-488-3551</w:t>
      </w:r>
    </w:p>
    <w:p w14:paraId="13F5F082" w14:textId="77777777" w:rsidR="00972DEF" w:rsidRPr="00691454" w:rsidRDefault="0030186F" w:rsidP="00A369E1">
      <w:pPr>
        <w:pStyle w:val="E-mailSignature"/>
        <w:jc w:val="center"/>
        <w:rPr>
          <w:noProof/>
        </w:rPr>
      </w:pPr>
      <w:r>
        <w:rPr>
          <w:noProof/>
        </w:rPr>
        <w:t>E</w:t>
      </w:r>
      <w:r w:rsidR="008A02C8" w:rsidRPr="00691454">
        <w:rPr>
          <w:noProof/>
        </w:rPr>
        <w:t>mail:</w:t>
      </w:r>
      <w:r w:rsidR="00554C5E">
        <w:rPr>
          <w:noProof/>
        </w:rPr>
        <w:t xml:space="preserve"> sti9@cdc.gov</w:t>
      </w:r>
    </w:p>
    <w:bookmarkEnd w:id="1"/>
    <w:p w14:paraId="5D1856FC" w14:textId="77777777" w:rsidR="00972DEF" w:rsidRDefault="00972DEF" w:rsidP="00972DEF">
      <w:pPr>
        <w:jc w:val="center"/>
      </w:pPr>
    </w:p>
    <w:p w14:paraId="09CDDE63" w14:textId="77777777" w:rsidR="00E2294D" w:rsidRDefault="00E2294D" w:rsidP="00972DEF">
      <w:pPr>
        <w:jc w:val="center"/>
      </w:pPr>
    </w:p>
    <w:p w14:paraId="39D93177" w14:textId="77777777" w:rsidR="00A369E1" w:rsidRDefault="00A369E1">
      <w:r>
        <w:br w:type="page"/>
      </w:r>
    </w:p>
    <w:p w14:paraId="7CDAEB17" w14:textId="77777777" w:rsidR="00972DEF" w:rsidRPr="00691454" w:rsidRDefault="00972DEF" w:rsidP="00F63E8B">
      <w:pPr>
        <w:ind w:firstLine="720"/>
        <w:jc w:val="center"/>
        <w:rPr>
          <w:b/>
          <w:bCs/>
          <w:noProof/>
        </w:rPr>
      </w:pPr>
      <w:r w:rsidRPr="00691454">
        <w:rPr>
          <w:b/>
          <w:bCs/>
        </w:rPr>
        <w:lastRenderedPageBreak/>
        <w:t>CONTE</w:t>
      </w:r>
      <w:r w:rsidRPr="00691454">
        <w:rPr>
          <w:b/>
          <w:bCs/>
          <w:noProof/>
        </w:rPr>
        <w:t>NTS</w:t>
      </w:r>
    </w:p>
    <w:p w14:paraId="7579BE73" w14:textId="77777777" w:rsidR="00972DEF" w:rsidRPr="00691454" w:rsidRDefault="00972DEF" w:rsidP="00972DEF">
      <w:pPr>
        <w:pStyle w:val="T0-ChapPgHd"/>
        <w:jc w:val="left"/>
        <w:rPr>
          <w:noProof/>
        </w:rPr>
      </w:pPr>
      <w:r w:rsidRPr="00691454">
        <w:rPr>
          <w:noProof/>
        </w:rPr>
        <w:t>Section</w:t>
      </w:r>
      <w:r w:rsidRPr="00691454">
        <w:rPr>
          <w:noProof/>
        </w:rPr>
        <w:tab/>
        <w:t>Page</w:t>
      </w:r>
    </w:p>
    <w:p w14:paraId="5A8C2D99" w14:textId="77777777" w:rsidR="00972DEF" w:rsidRPr="00691454" w:rsidRDefault="00972DEF" w:rsidP="00972DEF">
      <w:pPr>
        <w:pStyle w:val="T0-ChapPgHd"/>
        <w:jc w:val="left"/>
        <w:rPr>
          <w:noProof/>
        </w:rPr>
      </w:pPr>
    </w:p>
    <w:p w14:paraId="4EBE2F1B" w14:textId="4D3D38E1" w:rsidR="00541D30" w:rsidRPr="00691454" w:rsidRDefault="00972DEF" w:rsidP="00541D30">
      <w:pPr>
        <w:pStyle w:val="TOC1"/>
        <w:rPr>
          <w:noProof/>
        </w:rPr>
      </w:pPr>
      <w:r w:rsidRPr="00691454">
        <w:rPr>
          <w:noProof/>
        </w:rPr>
        <w:t>A.</w:t>
      </w:r>
      <w:r w:rsidRPr="00691454">
        <w:rPr>
          <w:noProof/>
        </w:rPr>
        <w:tab/>
      </w:r>
      <w:r w:rsidR="00541D30">
        <w:rPr>
          <w:noProof/>
        </w:rPr>
        <w:t>Summary table</w:t>
      </w:r>
      <w:r w:rsidR="00541D30" w:rsidRPr="00691454">
        <w:rPr>
          <w:noProof/>
        </w:rPr>
        <w:tab/>
      </w:r>
      <w:r w:rsidR="00541D30" w:rsidRPr="00691454">
        <w:rPr>
          <w:noProof/>
        </w:rPr>
        <w:tab/>
      </w:r>
      <w:r w:rsidR="00A14FCE">
        <w:rPr>
          <w:noProof/>
        </w:rPr>
        <w:t>3</w:t>
      </w:r>
    </w:p>
    <w:p w14:paraId="4188D03E" w14:textId="40BBF2F2" w:rsidR="00972DEF" w:rsidRPr="00691454" w:rsidRDefault="00541D30" w:rsidP="00541D30">
      <w:pPr>
        <w:pStyle w:val="TOC1"/>
        <w:rPr>
          <w:noProof/>
        </w:rPr>
      </w:pPr>
      <w:r>
        <w:rPr>
          <w:noProof/>
        </w:rPr>
        <w:tab/>
      </w:r>
      <w:r w:rsidR="00972DEF" w:rsidRPr="00691454">
        <w:rPr>
          <w:noProof/>
        </w:rPr>
        <w:t>Justification</w:t>
      </w:r>
      <w:r w:rsidR="00972DEF" w:rsidRPr="00691454">
        <w:rPr>
          <w:noProof/>
        </w:rPr>
        <w:tab/>
      </w:r>
      <w:r w:rsidR="00972DEF" w:rsidRPr="00691454">
        <w:rPr>
          <w:noProof/>
        </w:rPr>
        <w:tab/>
      </w:r>
      <w:r w:rsidR="00A14FCE">
        <w:rPr>
          <w:noProof/>
        </w:rPr>
        <w:t>3</w:t>
      </w:r>
    </w:p>
    <w:p w14:paraId="5F3FFF10" w14:textId="0563F447" w:rsidR="00541D30" w:rsidRDefault="00972DEF" w:rsidP="00541D30">
      <w:pPr>
        <w:pStyle w:val="TOC2"/>
        <w:rPr>
          <w:noProof/>
        </w:rPr>
      </w:pPr>
      <w:r w:rsidRPr="00691454">
        <w:rPr>
          <w:noProof/>
        </w:rPr>
        <w:t>A.1.</w:t>
      </w:r>
      <w:r w:rsidRPr="00691454">
        <w:rPr>
          <w:noProof/>
        </w:rPr>
        <w:tab/>
        <w:t>Circumstances Making the Collection of Information Necessary</w:t>
      </w:r>
      <w:r w:rsidRPr="00691454">
        <w:rPr>
          <w:noProof/>
        </w:rPr>
        <w:tab/>
      </w:r>
      <w:r w:rsidR="00A14FCE">
        <w:rPr>
          <w:noProof/>
        </w:rPr>
        <w:t>3</w:t>
      </w:r>
    </w:p>
    <w:p w14:paraId="3528EC8B" w14:textId="669EEA68" w:rsidR="00972DEF" w:rsidRPr="00691454" w:rsidRDefault="00972DEF" w:rsidP="00541D30">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A14FCE">
        <w:rPr>
          <w:noProof/>
        </w:rPr>
        <w:t>5</w:t>
      </w:r>
    </w:p>
    <w:p w14:paraId="7E076144" w14:textId="07941CCE" w:rsidR="00972DEF" w:rsidRPr="00691454" w:rsidRDefault="00972DEF" w:rsidP="00541D30">
      <w:pPr>
        <w:pStyle w:val="TOC2"/>
        <w:rPr>
          <w:noProof/>
        </w:rPr>
      </w:pPr>
      <w:r w:rsidRPr="00691454">
        <w:rPr>
          <w:noProof/>
        </w:rPr>
        <w:t>A.3.</w:t>
      </w:r>
      <w:r w:rsidRPr="00691454">
        <w:rPr>
          <w:noProof/>
        </w:rPr>
        <w:tab/>
        <w:t>Use of Improved Information Technology and Burden Reduction</w:t>
      </w:r>
      <w:r w:rsidRPr="00691454">
        <w:rPr>
          <w:noProof/>
        </w:rPr>
        <w:tab/>
      </w:r>
      <w:r w:rsidR="00302851">
        <w:rPr>
          <w:noProof/>
        </w:rPr>
        <w:t>8</w:t>
      </w:r>
    </w:p>
    <w:p w14:paraId="7C2B668F" w14:textId="2DC1B5A7" w:rsidR="00972DEF" w:rsidRPr="00691454" w:rsidRDefault="00972DEF" w:rsidP="00541D30">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A14FCE">
        <w:rPr>
          <w:noProof/>
        </w:rPr>
        <w:t>8</w:t>
      </w:r>
    </w:p>
    <w:p w14:paraId="280A7BB4" w14:textId="5821C9C6" w:rsidR="00972DEF" w:rsidRPr="00691454" w:rsidRDefault="00972DEF" w:rsidP="00541D30">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302851">
        <w:rPr>
          <w:noProof/>
        </w:rPr>
        <w:t>9</w:t>
      </w:r>
    </w:p>
    <w:p w14:paraId="353876B1" w14:textId="2346A0F3" w:rsidR="00972DEF" w:rsidRPr="00691454" w:rsidRDefault="00972DEF" w:rsidP="00541D30">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302851">
        <w:rPr>
          <w:noProof/>
        </w:rPr>
        <w:t>9</w:t>
      </w:r>
    </w:p>
    <w:p w14:paraId="522E3705" w14:textId="77777777" w:rsidR="00972DEF" w:rsidRPr="00691454" w:rsidRDefault="00972DEF" w:rsidP="00972DEF">
      <w:pPr>
        <w:pStyle w:val="TOC2"/>
        <w:rPr>
          <w:noProof/>
        </w:rPr>
      </w:pPr>
      <w:r w:rsidRPr="00691454">
        <w:rPr>
          <w:noProof/>
        </w:rPr>
        <w:t>A.7.</w:t>
      </w:r>
      <w:r w:rsidRPr="00691454">
        <w:rPr>
          <w:noProof/>
        </w:rPr>
        <w:tab/>
        <w:t xml:space="preserve">Special Circumstances Relating to the Guidelines of </w:t>
      </w:r>
    </w:p>
    <w:p w14:paraId="5201A909" w14:textId="4B167215" w:rsidR="00972DEF" w:rsidRPr="00691454" w:rsidRDefault="00972DEF" w:rsidP="00541D30">
      <w:pPr>
        <w:pStyle w:val="TOC2"/>
        <w:rPr>
          <w:noProof/>
        </w:rPr>
      </w:pPr>
      <w:r w:rsidRPr="00691454">
        <w:rPr>
          <w:noProof/>
        </w:rPr>
        <w:tab/>
        <w:t>5 CFR 1320.5(d)2</w:t>
      </w:r>
      <w:r w:rsidRPr="00691454">
        <w:rPr>
          <w:noProof/>
        </w:rPr>
        <w:tab/>
      </w:r>
      <w:r w:rsidRPr="00691454">
        <w:rPr>
          <w:noProof/>
        </w:rPr>
        <w:tab/>
      </w:r>
      <w:r w:rsidR="00A14FCE">
        <w:rPr>
          <w:noProof/>
        </w:rPr>
        <w:t>9</w:t>
      </w:r>
    </w:p>
    <w:p w14:paraId="24BE9F87" w14:textId="77777777" w:rsidR="00972DEF" w:rsidRPr="00691454" w:rsidRDefault="00972DEF" w:rsidP="00972DEF">
      <w:pPr>
        <w:pStyle w:val="TOC2"/>
        <w:rPr>
          <w:noProof/>
        </w:rPr>
      </w:pPr>
      <w:r w:rsidRPr="00691454">
        <w:rPr>
          <w:noProof/>
        </w:rPr>
        <w:t>A.8.</w:t>
      </w:r>
      <w:r w:rsidRPr="00691454">
        <w:rPr>
          <w:noProof/>
        </w:rPr>
        <w:tab/>
        <w:t xml:space="preserve">Comments in Response to the Federal Register Notice and </w:t>
      </w:r>
    </w:p>
    <w:p w14:paraId="3FFACF0A" w14:textId="679952F5" w:rsidR="00972DEF" w:rsidRPr="00691454" w:rsidRDefault="00972DEF" w:rsidP="00541D30">
      <w:pPr>
        <w:pStyle w:val="TOC2"/>
        <w:rPr>
          <w:noProof/>
        </w:rPr>
      </w:pPr>
      <w:r w:rsidRPr="00691454">
        <w:rPr>
          <w:noProof/>
        </w:rPr>
        <w:tab/>
        <w:t>Efforts to Consult Outside the Agency</w:t>
      </w:r>
      <w:r w:rsidRPr="00691454">
        <w:rPr>
          <w:noProof/>
        </w:rPr>
        <w:tab/>
      </w:r>
      <w:r w:rsidRPr="00691454">
        <w:rPr>
          <w:noProof/>
        </w:rPr>
        <w:tab/>
      </w:r>
      <w:r w:rsidR="00302851">
        <w:rPr>
          <w:noProof/>
        </w:rPr>
        <w:t>10</w:t>
      </w:r>
    </w:p>
    <w:p w14:paraId="13E59A09" w14:textId="67CAED26" w:rsidR="00972DEF" w:rsidRPr="00691454" w:rsidRDefault="00972DEF" w:rsidP="00541D30">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A14FCE">
        <w:rPr>
          <w:noProof/>
        </w:rPr>
        <w:t>9</w:t>
      </w:r>
    </w:p>
    <w:p w14:paraId="6A531838" w14:textId="6EF8AAB6" w:rsidR="00972DEF" w:rsidRPr="00691454" w:rsidRDefault="00972DEF" w:rsidP="00541D30">
      <w:pPr>
        <w:pStyle w:val="TOC2"/>
        <w:rPr>
          <w:noProof/>
        </w:rPr>
      </w:pPr>
      <w:r w:rsidRPr="00691454">
        <w:rPr>
          <w:noProof/>
        </w:rPr>
        <w:t>A.10.</w:t>
      </w:r>
      <w:r w:rsidRPr="00691454">
        <w:rPr>
          <w:noProof/>
        </w:rPr>
        <w:tab/>
      </w:r>
      <w:r w:rsidR="00253F44">
        <w:rPr>
          <w:noProof/>
        </w:rPr>
        <w:t xml:space="preserve">Protection of the   Privacy  and Confidentiality of </w:t>
      </w:r>
      <w:r w:rsidR="00253F44" w:rsidRPr="00253F44">
        <w:rPr>
          <w:noProof/>
        </w:rPr>
        <w:t xml:space="preserve">Information </w:t>
      </w:r>
      <w:r w:rsidR="00253F44">
        <w:rPr>
          <w:noProof/>
        </w:rPr>
        <w:t xml:space="preserve">      Provided </w:t>
      </w:r>
      <w:r w:rsidR="00253F44" w:rsidRPr="00253F44">
        <w:rPr>
          <w:noProof/>
        </w:rPr>
        <w:t xml:space="preserve"> by  Respondents</w:t>
      </w:r>
      <w:r w:rsidRPr="00691454">
        <w:rPr>
          <w:noProof/>
        </w:rPr>
        <w:tab/>
      </w:r>
      <w:r w:rsidRPr="00691454">
        <w:rPr>
          <w:noProof/>
        </w:rPr>
        <w:tab/>
      </w:r>
      <w:r w:rsidR="00C806E9">
        <w:rPr>
          <w:noProof/>
        </w:rPr>
        <w:t>10</w:t>
      </w:r>
    </w:p>
    <w:p w14:paraId="10D50B17" w14:textId="00106231" w:rsidR="00972DEF" w:rsidRPr="00691454" w:rsidRDefault="00972DEF" w:rsidP="00541D30">
      <w:pPr>
        <w:pStyle w:val="TOC2"/>
        <w:rPr>
          <w:noProof/>
        </w:rPr>
      </w:pPr>
      <w:r w:rsidRPr="00691454">
        <w:rPr>
          <w:noProof/>
        </w:rPr>
        <w:t>A.11.</w:t>
      </w:r>
      <w:r w:rsidRPr="00691454">
        <w:rPr>
          <w:noProof/>
        </w:rPr>
        <w:tab/>
      </w:r>
      <w:r w:rsidR="009C1939" w:rsidRPr="009C1939">
        <w:rPr>
          <w:noProof/>
        </w:rPr>
        <w:t xml:space="preserve">Institutional Review Board (IRB) and </w:t>
      </w:r>
      <w:r w:rsidR="009C1939">
        <w:rPr>
          <w:noProof/>
        </w:rPr>
        <w:t xml:space="preserve"> </w:t>
      </w:r>
      <w:r w:rsidR="009C1939" w:rsidRPr="009C1939">
        <w:rPr>
          <w:noProof/>
        </w:rPr>
        <w:t>Justification for Sensitive Questions</w:t>
      </w:r>
      <w:r w:rsidR="008E78B9" w:rsidRPr="00691454">
        <w:rPr>
          <w:noProof/>
        </w:rPr>
        <w:tab/>
      </w:r>
      <w:r w:rsidR="008E78B9" w:rsidRPr="00691454">
        <w:rPr>
          <w:noProof/>
        </w:rPr>
        <w:tab/>
      </w:r>
      <w:r w:rsidR="00C806E9">
        <w:rPr>
          <w:noProof/>
        </w:rPr>
        <w:t>1</w:t>
      </w:r>
      <w:r w:rsidR="00302851">
        <w:rPr>
          <w:noProof/>
        </w:rPr>
        <w:t>1</w:t>
      </w:r>
    </w:p>
    <w:p w14:paraId="581736AA" w14:textId="0F939578" w:rsidR="00972DEF" w:rsidRPr="00691454" w:rsidRDefault="00972DEF" w:rsidP="00541D30">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C806E9">
        <w:rPr>
          <w:noProof/>
        </w:rPr>
        <w:t>1</w:t>
      </w:r>
      <w:r w:rsidR="00302851">
        <w:rPr>
          <w:noProof/>
        </w:rPr>
        <w:t>1</w:t>
      </w:r>
    </w:p>
    <w:p w14:paraId="0D98F246" w14:textId="77777777" w:rsidR="00972DEF" w:rsidRPr="00691454" w:rsidRDefault="00972DEF" w:rsidP="00972DEF">
      <w:pPr>
        <w:pStyle w:val="TOC2"/>
        <w:rPr>
          <w:noProof/>
        </w:rPr>
      </w:pPr>
      <w:r w:rsidRPr="00691454">
        <w:rPr>
          <w:noProof/>
        </w:rPr>
        <w:t>A.13.</w:t>
      </w:r>
      <w:r w:rsidRPr="00691454">
        <w:rPr>
          <w:noProof/>
        </w:rPr>
        <w:tab/>
        <w:t xml:space="preserve">Estimates of Other Total Annual Cost Burden to Respondents </w:t>
      </w:r>
    </w:p>
    <w:p w14:paraId="3F932B17" w14:textId="2BD9E1C1" w:rsidR="00972DEF" w:rsidRPr="00691454" w:rsidRDefault="00972DEF" w:rsidP="00541D30">
      <w:pPr>
        <w:pStyle w:val="TOC2"/>
        <w:rPr>
          <w:noProof/>
        </w:rPr>
      </w:pPr>
      <w:r w:rsidRPr="00691454">
        <w:rPr>
          <w:noProof/>
        </w:rPr>
        <w:tab/>
        <w:t>or Record Keepers</w:t>
      </w:r>
      <w:r w:rsidRPr="00691454">
        <w:rPr>
          <w:noProof/>
        </w:rPr>
        <w:tab/>
      </w:r>
      <w:r w:rsidRPr="00691454">
        <w:rPr>
          <w:noProof/>
        </w:rPr>
        <w:tab/>
      </w:r>
      <w:r w:rsidR="00C806E9">
        <w:rPr>
          <w:noProof/>
        </w:rPr>
        <w:t>1</w:t>
      </w:r>
      <w:r w:rsidR="00302851">
        <w:rPr>
          <w:noProof/>
        </w:rPr>
        <w:t>4</w:t>
      </w:r>
    </w:p>
    <w:p w14:paraId="0BE8EC06" w14:textId="60B68358" w:rsidR="00972DEF" w:rsidRPr="00691454" w:rsidRDefault="00972DEF" w:rsidP="00541D30">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C806E9">
        <w:rPr>
          <w:noProof/>
        </w:rPr>
        <w:t>1</w:t>
      </w:r>
      <w:r w:rsidR="00302851">
        <w:rPr>
          <w:noProof/>
        </w:rPr>
        <w:t>4</w:t>
      </w:r>
    </w:p>
    <w:p w14:paraId="01B34D6B" w14:textId="60517D60" w:rsidR="00972DEF" w:rsidRPr="00691454" w:rsidRDefault="00972DEF" w:rsidP="00541D30">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C806E9">
        <w:rPr>
          <w:noProof/>
        </w:rPr>
        <w:t>13</w:t>
      </w:r>
      <w:r w:rsidR="00302851">
        <w:rPr>
          <w:noProof/>
        </w:rPr>
        <w:t>4</w:t>
      </w:r>
    </w:p>
    <w:p w14:paraId="56ADADEE" w14:textId="6258A405" w:rsidR="00972DEF" w:rsidRPr="00691454" w:rsidRDefault="00972DEF" w:rsidP="00541D30">
      <w:pPr>
        <w:pStyle w:val="TOC2"/>
        <w:rPr>
          <w:noProof/>
        </w:rPr>
      </w:pPr>
      <w:r w:rsidRPr="00691454">
        <w:rPr>
          <w:noProof/>
        </w:rPr>
        <w:t>A.16.</w:t>
      </w:r>
      <w:r w:rsidRPr="00691454">
        <w:rPr>
          <w:noProof/>
        </w:rPr>
        <w:tab/>
        <w:t>Plans for Tabulation</w:t>
      </w:r>
      <w:r w:rsidR="00203955" w:rsidRPr="00691454">
        <w:rPr>
          <w:noProof/>
        </w:rPr>
        <w:t xml:space="preserve"> and </w:t>
      </w:r>
      <w:r w:rsidRPr="00691454">
        <w:rPr>
          <w:noProof/>
        </w:rPr>
        <w:t>Publication and Project Time Schedule</w:t>
      </w:r>
      <w:r w:rsidR="008E78B9" w:rsidRPr="00691454">
        <w:rPr>
          <w:noProof/>
        </w:rPr>
        <w:tab/>
      </w:r>
      <w:r w:rsidR="00C806E9">
        <w:rPr>
          <w:noProof/>
        </w:rPr>
        <w:t>14</w:t>
      </w:r>
    </w:p>
    <w:p w14:paraId="5FF655CF" w14:textId="54D9B39D" w:rsidR="00972DEF" w:rsidRPr="00691454" w:rsidRDefault="00972DEF" w:rsidP="00541D30">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C806E9">
        <w:rPr>
          <w:noProof/>
        </w:rPr>
        <w:t>1</w:t>
      </w:r>
      <w:r w:rsidR="00302851">
        <w:rPr>
          <w:noProof/>
        </w:rPr>
        <w:t>5</w:t>
      </w:r>
    </w:p>
    <w:p w14:paraId="0846C895" w14:textId="77777777" w:rsidR="00972DEF" w:rsidRPr="00691454" w:rsidRDefault="00972DEF" w:rsidP="00972DEF">
      <w:pPr>
        <w:pStyle w:val="TOC2"/>
        <w:rPr>
          <w:noProof/>
        </w:rPr>
      </w:pPr>
      <w:r w:rsidRPr="00691454">
        <w:rPr>
          <w:noProof/>
        </w:rPr>
        <w:t>A.18.</w:t>
      </w:r>
      <w:r w:rsidRPr="00691454">
        <w:rPr>
          <w:noProof/>
        </w:rPr>
        <w:tab/>
        <w:t xml:space="preserve">Exceptions to Certification for Paperwork Reducation Act </w:t>
      </w:r>
    </w:p>
    <w:p w14:paraId="1E89C290" w14:textId="79708C94" w:rsidR="00972DEF" w:rsidRDefault="00972DEF" w:rsidP="00F262C2">
      <w:pPr>
        <w:pStyle w:val="TOC2"/>
        <w:rPr>
          <w:noProof/>
        </w:rPr>
      </w:pPr>
      <w:r w:rsidRPr="00691454">
        <w:rPr>
          <w:noProof/>
        </w:rPr>
        <w:tab/>
        <w:t>Submissions</w:t>
      </w:r>
      <w:r w:rsidRPr="00691454">
        <w:rPr>
          <w:noProof/>
        </w:rPr>
        <w:tab/>
      </w:r>
      <w:r w:rsidRPr="00691454">
        <w:rPr>
          <w:noProof/>
        </w:rPr>
        <w:tab/>
      </w:r>
      <w:r w:rsidR="00C806E9">
        <w:rPr>
          <w:noProof/>
        </w:rPr>
        <w:t>1</w:t>
      </w:r>
      <w:r w:rsidR="0001475A">
        <w:rPr>
          <w:noProof/>
        </w:rPr>
        <w:t>5</w:t>
      </w:r>
    </w:p>
    <w:p w14:paraId="2FEA5756" w14:textId="2206A5A3" w:rsidR="00C806E9" w:rsidRPr="00691454" w:rsidRDefault="00C806E9" w:rsidP="00F262C2">
      <w:pPr>
        <w:pStyle w:val="TOC2"/>
        <w:rPr>
          <w:noProof/>
        </w:rPr>
      </w:pPr>
      <w:r>
        <w:rPr>
          <w:noProof/>
        </w:rPr>
        <w:t xml:space="preserve">References </w:t>
      </w:r>
      <w:r w:rsidRPr="00691454">
        <w:rPr>
          <w:noProof/>
        </w:rPr>
        <w:tab/>
      </w:r>
      <w:r>
        <w:rPr>
          <w:noProof/>
        </w:rPr>
        <w:tab/>
        <w:t>1</w:t>
      </w:r>
      <w:r w:rsidR="0001475A">
        <w:rPr>
          <w:noProof/>
        </w:rPr>
        <w:t>6</w:t>
      </w:r>
    </w:p>
    <w:p w14:paraId="7DD082E8" w14:textId="77777777" w:rsidR="00233FB1" w:rsidRPr="00691454" w:rsidRDefault="00233FB1" w:rsidP="0027160A">
      <w:pPr>
        <w:pStyle w:val="C2-CtrSglSp"/>
        <w:spacing w:after="100" w:afterAutospacing="1"/>
        <w:jc w:val="left"/>
      </w:pPr>
      <w:bookmarkStart w:id="2" w:name="_Hlk482194812"/>
      <w:r w:rsidRPr="00691454">
        <w:t>Attachments</w:t>
      </w:r>
    </w:p>
    <w:p w14:paraId="433B04ED" w14:textId="77777777" w:rsidR="00D80044" w:rsidRPr="00691454" w:rsidRDefault="00813278" w:rsidP="00D80044">
      <w:pPr>
        <w:ind w:firstLine="720"/>
      </w:pPr>
      <w:r w:rsidRPr="00691454">
        <w:t>A</w:t>
      </w:r>
      <w:r w:rsidRPr="00691454">
        <w:tab/>
        <w:t>Authorizing Legislation</w:t>
      </w:r>
      <w:r w:rsidR="00D80044" w:rsidRPr="00691454">
        <w:t>: Public Health Service Act</w:t>
      </w:r>
    </w:p>
    <w:p w14:paraId="4A38E1AC" w14:textId="77777777" w:rsidR="00D80044" w:rsidRPr="00691454" w:rsidRDefault="00D80044" w:rsidP="00691454">
      <w:pPr>
        <w:ind w:firstLine="720"/>
      </w:pPr>
      <w:r w:rsidRPr="00691454">
        <w:t>B</w:t>
      </w:r>
      <w:r w:rsidRPr="00691454">
        <w:tab/>
      </w:r>
      <w:r w:rsidR="00813278" w:rsidRPr="00691454">
        <w:t xml:space="preserve">Published 60-Day </w:t>
      </w:r>
      <w:r w:rsidRPr="00691454">
        <w:t>Federal Register Notice</w:t>
      </w:r>
    </w:p>
    <w:p w14:paraId="03365AB4" w14:textId="3027AD05" w:rsidR="00D80044" w:rsidRPr="00691454" w:rsidRDefault="00D80044" w:rsidP="00FB1045">
      <w:r w:rsidRPr="00691454">
        <w:t xml:space="preserve">      </w:t>
      </w:r>
      <w:r w:rsidR="00691454" w:rsidRPr="00691454">
        <w:tab/>
        <w:t>C</w:t>
      </w:r>
      <w:r w:rsidRPr="00691454">
        <w:tab/>
      </w:r>
      <w:r w:rsidR="002366BA">
        <w:t xml:space="preserve">IRB Documentation </w:t>
      </w:r>
      <w:r w:rsidR="001B7CCB">
        <w:t xml:space="preserve"> </w:t>
      </w:r>
      <w:r w:rsidRPr="00691454">
        <w:tab/>
      </w:r>
      <w:r w:rsidRPr="00691454">
        <w:tab/>
      </w:r>
    </w:p>
    <w:p w14:paraId="57426F59" w14:textId="77777777" w:rsidR="00D80044" w:rsidRDefault="00D80044" w:rsidP="00D80044">
      <w:r w:rsidRPr="00691454">
        <w:t xml:space="preserve">      </w:t>
      </w:r>
      <w:r w:rsidR="00691454" w:rsidRPr="00691454">
        <w:tab/>
      </w:r>
      <w:r w:rsidR="00FB1045">
        <w:t>D</w:t>
      </w:r>
      <w:r w:rsidRPr="00691454">
        <w:tab/>
      </w:r>
      <w:r w:rsidR="001B7CCB">
        <w:t xml:space="preserve">Focus Group Guides </w:t>
      </w:r>
    </w:p>
    <w:p w14:paraId="5547C1AA" w14:textId="77777777" w:rsidR="006E257B" w:rsidRDefault="001B7CCB" w:rsidP="00D80044">
      <w:r>
        <w:tab/>
        <w:t>E</w:t>
      </w:r>
      <w:r>
        <w:tab/>
      </w:r>
      <w:r w:rsidR="00F262C2">
        <w:t>Key Informant Interview Guides</w:t>
      </w:r>
    </w:p>
    <w:p w14:paraId="44021CCB" w14:textId="7A1C4400" w:rsidR="006E257B" w:rsidRDefault="006E257B" w:rsidP="00D80044">
      <w:r>
        <w:tab/>
      </w:r>
      <w:r>
        <w:tab/>
      </w:r>
      <w:r>
        <w:tab/>
        <w:t>E1. Key Informant Interview Guide-Grantee</w:t>
      </w:r>
    </w:p>
    <w:p w14:paraId="24ED3D63" w14:textId="77777777" w:rsidR="006E257B" w:rsidRDefault="006E257B" w:rsidP="00D80044">
      <w:r>
        <w:tab/>
      </w:r>
      <w:r>
        <w:tab/>
      </w:r>
      <w:r>
        <w:tab/>
        <w:t>E2. Key Informant Interview Guide-Partner</w:t>
      </w:r>
    </w:p>
    <w:p w14:paraId="2AB69FDF" w14:textId="17EBE255" w:rsidR="001B7CCB" w:rsidRDefault="006E257B" w:rsidP="00D80044">
      <w:r>
        <w:tab/>
      </w:r>
      <w:r>
        <w:tab/>
      </w:r>
      <w:r>
        <w:tab/>
        <w:t>E3. Key Informant Interview Guide-Layperson</w:t>
      </w:r>
    </w:p>
    <w:p w14:paraId="3B200621" w14:textId="3C045991" w:rsidR="00F262C2" w:rsidRDefault="00F262C2" w:rsidP="00D80044">
      <w:r>
        <w:tab/>
        <w:t>F</w:t>
      </w:r>
      <w:r>
        <w:tab/>
        <w:t>Recruitment</w:t>
      </w:r>
      <w:r w:rsidR="00B92FCF">
        <w:t xml:space="preserve"> Contact</w:t>
      </w:r>
      <w:r>
        <w:t xml:space="preserve"> script</w:t>
      </w:r>
      <w:r w:rsidR="006E257B">
        <w:t>s</w:t>
      </w:r>
      <w:r>
        <w:t xml:space="preserve"> and informed consent</w:t>
      </w:r>
    </w:p>
    <w:p w14:paraId="3ADC914A" w14:textId="321AB8DD" w:rsidR="00D31470" w:rsidRDefault="00D31470" w:rsidP="00D80044">
      <w:r>
        <w:tab/>
        <w:t>G</w:t>
      </w:r>
      <w:r>
        <w:tab/>
        <w:t>Key Informant Selection Tool</w:t>
      </w:r>
    </w:p>
    <w:p w14:paraId="4632C868" w14:textId="7BD20F7D" w:rsidR="00EF3C36" w:rsidRDefault="00EF3C36" w:rsidP="00D80044">
      <w:r>
        <w:tab/>
        <w:t>H</w:t>
      </w:r>
      <w:r>
        <w:tab/>
        <w:t>Memorandum of Understanding – CDC/SAMHSA</w:t>
      </w:r>
    </w:p>
    <w:p w14:paraId="5697EAD7" w14:textId="1F1A4CC0" w:rsidR="001B7CCB" w:rsidRDefault="001B7CCB" w:rsidP="00D80044">
      <w:r>
        <w:lastRenderedPageBreak/>
        <w:tab/>
      </w:r>
    </w:p>
    <w:p w14:paraId="79C18FC5" w14:textId="4ECC6688" w:rsidR="0096191C" w:rsidRDefault="0096191C" w:rsidP="00D80044">
      <w:r>
        <w:rPr>
          <w:noProof/>
        </w:rPr>
        <w:t>SUMMARY TABLE</w:t>
      </w:r>
    </w:p>
    <w:bookmarkEnd w:id="2"/>
    <w:p w14:paraId="1440FF2E" w14:textId="77777777" w:rsidR="00FB1045" w:rsidRDefault="00FB1045" w:rsidP="00812EDE">
      <w:pPr>
        <w:rPr>
          <w:b/>
          <w:bCs/>
        </w:rPr>
      </w:pPr>
    </w:p>
    <w:p w14:paraId="1C8A3B30" w14:textId="7236905F" w:rsidR="00FB1045" w:rsidRDefault="0096191C" w:rsidP="00812EDE">
      <w:pPr>
        <w:rPr>
          <w:b/>
          <w:bCs/>
        </w:rPr>
      </w:pPr>
      <w:r>
        <w:rPr>
          <w:noProof/>
        </w:rPr>
        <mc:AlternateContent>
          <mc:Choice Requires="wps">
            <w:drawing>
              <wp:anchor distT="0" distB="0" distL="114300" distR="114300" simplePos="0" relativeHeight="251659264" behindDoc="0" locked="0" layoutInCell="1" allowOverlap="1" wp14:anchorId="600AA996" wp14:editId="7C3940CC">
                <wp:simplePos x="0" y="0"/>
                <wp:positionH relativeFrom="margin">
                  <wp:align>left</wp:align>
                </wp:positionH>
                <wp:positionV relativeFrom="paragraph">
                  <wp:posOffset>15641</wp:posOffset>
                </wp:positionV>
                <wp:extent cx="6637020" cy="5017168"/>
                <wp:effectExtent l="0" t="0" r="1143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5017168"/>
                        </a:xfrm>
                        <a:prstGeom prst="rect">
                          <a:avLst/>
                        </a:prstGeom>
                        <a:solidFill>
                          <a:srgbClr val="FFFFFF"/>
                        </a:solidFill>
                        <a:ln w="9525">
                          <a:solidFill>
                            <a:srgbClr val="000000"/>
                          </a:solidFill>
                          <a:miter lim="800000"/>
                          <a:headEnd/>
                          <a:tailEnd/>
                        </a:ln>
                      </wps:spPr>
                      <wps:txbx>
                        <w:txbxContent>
                          <w:p w14:paraId="587798B5" w14:textId="77777777" w:rsidR="003563A7" w:rsidRDefault="003563A7" w:rsidP="00931C53">
                            <w:pPr>
                              <w:pStyle w:val="ListParagraph"/>
                              <w:spacing w:after="200" w:line="276" w:lineRule="auto"/>
                              <w:ind w:left="360"/>
                            </w:pPr>
                          </w:p>
                          <w:p w14:paraId="0C4327E4" w14:textId="59890570" w:rsidR="003563A7" w:rsidRPr="005708A7" w:rsidRDefault="003563A7" w:rsidP="003563A7">
                            <w:pPr>
                              <w:pStyle w:val="ListParagraph"/>
                              <w:numPr>
                                <w:ilvl w:val="0"/>
                                <w:numId w:val="6"/>
                              </w:numPr>
                              <w:spacing w:after="200" w:line="276" w:lineRule="auto"/>
                            </w:pPr>
                            <w:r w:rsidRPr="005708A7">
                              <w:t>Goal of the study</w:t>
                            </w:r>
                            <w:r>
                              <w:t xml:space="preserve">: To evaluate </w:t>
                            </w:r>
                            <w:r w:rsidRPr="006000FF">
                              <w:t xml:space="preserve">the Substance Abuse and Mental Health Services </w:t>
                            </w:r>
                            <w:r>
                              <w:t>Administration</w:t>
                            </w:r>
                            <w:r w:rsidRPr="006000FF">
                              <w:t xml:space="preserve"> (SAMHSA) Grants to Prevent Prescription Drug</w:t>
                            </w:r>
                            <w:r>
                              <w:t xml:space="preserve">/Opioid Overdose-Related Deaths (the </w:t>
                            </w:r>
                            <w:r w:rsidRPr="0077072A">
                              <w:t>PDO/naloxone</w:t>
                            </w:r>
                            <w:r w:rsidRPr="004C7B0A">
                              <w:rPr>
                                <w:bCs/>
                              </w:rPr>
                              <w:t xml:space="preserve"> grant)</w:t>
                            </w:r>
                            <w:r>
                              <w:t xml:space="preserve">. </w:t>
                            </w:r>
                            <w:r w:rsidRPr="008E1052">
                              <w:t xml:space="preserve">This evaluation will seek to describe and understand the scope and </w:t>
                            </w:r>
                            <w:r>
                              <w:t>outcomes</w:t>
                            </w:r>
                            <w:r w:rsidRPr="008E1052">
                              <w:t xml:space="preserve"> of th</w:t>
                            </w:r>
                            <w:r>
                              <w:t xml:space="preserve">e SAMHSA </w:t>
                            </w:r>
                            <w:r w:rsidRPr="0077072A">
                              <w:t>PDO/naloxone</w:t>
                            </w:r>
                            <w:r w:rsidRPr="004C7B0A">
                              <w:rPr>
                                <w:bCs/>
                              </w:rPr>
                              <w:t xml:space="preserve"> grant</w:t>
                            </w:r>
                            <w:r>
                              <w:t xml:space="preserve">. </w:t>
                            </w:r>
                            <w:r w:rsidRPr="006000FF">
                              <w:t xml:space="preserve">Through this </w:t>
                            </w:r>
                            <w:r>
                              <w:t>grant</w:t>
                            </w:r>
                            <w:r w:rsidRPr="006000FF">
                              <w:t>, SAMHSA awarded funding to 12 states</w:t>
                            </w:r>
                            <w:r>
                              <w:t xml:space="preserve">. </w:t>
                            </w:r>
                            <w:r w:rsidRPr="006000FF">
                              <w:t>The funding is aimed at reducing the number of prescription drug/opioid overdose</w:t>
                            </w:r>
                            <w:r>
                              <w:t xml:space="preserve"> (PDO)</w:t>
                            </w:r>
                            <w:r w:rsidRPr="006000FF">
                              <w:t xml:space="preserve">-related deaths and adverse events among individuals 18 years of age and older through educating and training first responders and other key community sectors on the prevention of </w:t>
                            </w:r>
                            <w:r>
                              <w:t>PDO</w:t>
                            </w:r>
                            <w:r w:rsidRPr="006000FF">
                              <w:t>-related deaths, including the purchase and distribution of naloxone.</w:t>
                            </w:r>
                            <w:r>
                              <w:t xml:space="preserve"> </w:t>
                            </w:r>
                          </w:p>
                          <w:p w14:paraId="075E0F3A" w14:textId="77777777" w:rsidR="003563A7" w:rsidRPr="005708A7" w:rsidRDefault="003563A7" w:rsidP="00FB1045">
                            <w:pPr>
                              <w:pStyle w:val="ListParagraph"/>
                              <w:ind w:left="360"/>
                            </w:pPr>
                          </w:p>
                          <w:p w14:paraId="3E7ADCCB" w14:textId="63C57C35" w:rsidR="003563A7" w:rsidRPr="005708A7" w:rsidRDefault="003563A7" w:rsidP="00230D62">
                            <w:pPr>
                              <w:pStyle w:val="ListParagraph"/>
                              <w:numPr>
                                <w:ilvl w:val="0"/>
                                <w:numId w:val="6"/>
                              </w:numPr>
                              <w:spacing w:after="200" w:line="276" w:lineRule="auto"/>
                            </w:pPr>
                            <w:r w:rsidRPr="005708A7">
                              <w:t>Intended use of the resulting data</w:t>
                            </w:r>
                            <w:r>
                              <w:t>: By following outcomes over time with qualitative measures, CDC will increase the understanding of the outcomes of the PDO/naloxone grant</w:t>
                            </w:r>
                            <w:r w:rsidDel="00FE2E04">
                              <w:t xml:space="preserve"> </w:t>
                            </w:r>
                            <w:r>
                              <w:t>on overdose fatalities and how program effectiveness may vary among different sub-populations and settings, and will increase knowledge of barriers and facilitators to program implementation.</w:t>
                            </w:r>
                          </w:p>
                          <w:p w14:paraId="0A751E7B" w14:textId="77777777" w:rsidR="003563A7" w:rsidRPr="005708A7" w:rsidRDefault="003563A7" w:rsidP="00FB1045">
                            <w:pPr>
                              <w:pStyle w:val="ListParagraph"/>
                              <w:ind w:left="360"/>
                            </w:pPr>
                          </w:p>
                          <w:p w14:paraId="4A1F1A24" w14:textId="77777777" w:rsidR="003563A7" w:rsidRDefault="003563A7" w:rsidP="00F94868">
                            <w:pPr>
                              <w:pStyle w:val="ListParagraph"/>
                              <w:numPr>
                                <w:ilvl w:val="0"/>
                                <w:numId w:val="6"/>
                              </w:numPr>
                              <w:spacing w:after="200" w:line="276" w:lineRule="auto"/>
                            </w:pPr>
                            <w:r w:rsidRPr="005708A7">
                              <w:t>Methods to be used to collect</w:t>
                            </w:r>
                            <w:r>
                              <w:t>: Key informant interviews and focus groups.</w:t>
                            </w:r>
                          </w:p>
                          <w:p w14:paraId="263ABF88" w14:textId="77777777" w:rsidR="003563A7" w:rsidRPr="005708A7" w:rsidRDefault="003563A7" w:rsidP="00F94868">
                            <w:pPr>
                              <w:pStyle w:val="ListParagraph"/>
                              <w:spacing w:after="200" w:line="276" w:lineRule="auto"/>
                              <w:ind w:left="360"/>
                            </w:pPr>
                          </w:p>
                          <w:p w14:paraId="36D27FD3" w14:textId="17D52331" w:rsidR="003563A7" w:rsidRPr="005708A7" w:rsidRDefault="003563A7" w:rsidP="00230D62">
                            <w:pPr>
                              <w:pStyle w:val="ListParagraph"/>
                              <w:numPr>
                                <w:ilvl w:val="0"/>
                                <w:numId w:val="6"/>
                              </w:numPr>
                              <w:spacing w:after="200" w:line="276" w:lineRule="auto"/>
                            </w:pPr>
                            <w:r w:rsidRPr="005708A7">
                              <w:t>The subpopulation to be studied</w:t>
                            </w:r>
                            <w:r>
                              <w:t>: Participants in the activities enacted by the twelve state grant recipients. This will include state administrators of the grant and other PDO/Naloxone grant stakeholders including advisory council members, first responders, social service providers, and laypersons including end users and their family and friends.</w:t>
                            </w:r>
                          </w:p>
                          <w:p w14:paraId="447E9D11" w14:textId="77777777" w:rsidR="003563A7" w:rsidRPr="005708A7" w:rsidRDefault="003563A7" w:rsidP="00FB1045">
                            <w:pPr>
                              <w:pStyle w:val="ListParagraph"/>
                              <w:ind w:left="360"/>
                            </w:pPr>
                          </w:p>
                          <w:p w14:paraId="485C5FBB" w14:textId="2A3AEC99" w:rsidR="003563A7" w:rsidRDefault="003563A7" w:rsidP="00230D62">
                            <w:pPr>
                              <w:pStyle w:val="ListParagraph"/>
                              <w:numPr>
                                <w:ilvl w:val="0"/>
                                <w:numId w:val="6"/>
                              </w:numPr>
                              <w:spacing w:after="200" w:line="276" w:lineRule="auto"/>
                            </w:pPr>
                            <w:r w:rsidRPr="005708A7">
                              <w:t>How data will be analyzed</w:t>
                            </w:r>
                            <w:r>
                              <w:t xml:space="preserve">: All focus groups and interviews will be analyzed through qualitative content analysis, including utilization of a systematic coding scheme and NVivo software.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5pt;width:522.6pt;height:39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N0jJAIAAEcEAAAOAAAAZHJzL2Uyb0RvYy54bWysU9uO2yAQfa/Uf0C8N3ayua0VZ7XNNlWl&#10;7UXa7QdgjGNUYCiQ2Nuv74C9aXp7qcoDYpjhMHPOzOam14qchPMSTEmnk5wSYTjU0hxK+vlx/2pN&#10;iQ/M1EyBESV9Ep7ebF++2HS2EDNoQdXCEQQxvuhsSdsQbJFlnrdCMz8BKww6G3CaBTTdIasd6xBd&#10;q2yW58usA1dbB1x4j7d3g5NuE37TCB4+No0XgaiSYm4h7S7tVdyz7YYVB8dsK/mYBvuHLDSTBj89&#10;Q92xwMjRyd+gtOQOPDRhwkFn0DSSi1QDVjPNf6nmoWVWpFqQHG/PNPn/B8s/nD45IuuSXuUrSgzT&#10;KNKj6AN5DT2ZRX466wsMe7AYGHq8Rp1Trd7eA//iiYFdy8xB3DoHXStYjflN48vs4umA4yNI1b2H&#10;Gr9hxwAJqG+cjuQhHQTRUaenszYxFY6Xy+XVKp+hi6NvkU9X0+U6/cGK5+fW+fBWgCbxUFKH4id4&#10;drr3IabDiueQ+JsHJeu9VCoZ7lDtlCMnho2yT2tE/ylMGdKV9HoxWwwM/BUiT+tPEFoG7HgldUnX&#10;5yBWRN7emDr1Y2BSDWdMWZmRyMjdwGLoq34UpoL6CSl1MHQ2TiIeWnDfKOmwq0vqvx6ZE5SodwZl&#10;uZ7O53EMkjFfrCKh7tJTXXqY4QhV0kDJcNyFNDqRMAO3KF8jE7FR5yGTMVfs1sT3OFlxHC7tFPVj&#10;/rffAQAA//8DAFBLAwQUAAYACAAAACEAS/Jhj94AAAAHAQAADwAAAGRycy9kb3ducmV2LnhtbEyP&#10;wU7DMBBE70j8g7VIXFDrENq0DdlUCAlEb9AiuLrJNomw18F20/D3uCc4jmY086ZYj0aLgZzvLCPc&#10;ThMQxJWtO24Q3ndPkyUIHxTXSlsmhB/ysC4vLwqV1/bEbzRsQyNiCftcIbQh9LmUvmrJKD+1PXH0&#10;DtYZFaJ0jaydOsVyo2WaJJk0quO40KqeHluqvrZHg7CcvQyffnP3+lFlB70KN4vh+dshXl+ND/cg&#10;Ao3hLwxn/IgOZWTa2yPXXmiEeCQgpHMQZzOZzVMQe4TFKs1AloX8z1/+AgAA//8DAFBLAQItABQA&#10;BgAIAAAAIQC2gziS/gAAAOEBAAATAAAAAAAAAAAAAAAAAAAAAABbQ29udGVudF9UeXBlc10ueG1s&#10;UEsBAi0AFAAGAAgAAAAhADj9If/WAAAAlAEAAAsAAAAAAAAAAAAAAAAALwEAAF9yZWxzLy5yZWxz&#10;UEsBAi0AFAAGAAgAAAAhAIjQ3SMkAgAARwQAAA4AAAAAAAAAAAAAAAAALgIAAGRycy9lMm9Eb2Mu&#10;eG1sUEsBAi0AFAAGAAgAAAAhAEvyYY/eAAAABwEAAA8AAAAAAAAAAAAAAAAAfgQAAGRycy9kb3du&#10;cmV2LnhtbFBLBQYAAAAABAAEAPMAAACJBQAAAAA=&#10;">
                <v:textbox>
                  <w:txbxContent>
                    <w:p w14:paraId="587798B5" w14:textId="77777777" w:rsidR="003563A7" w:rsidRDefault="003563A7" w:rsidP="00931C53">
                      <w:pPr>
                        <w:pStyle w:val="ListParagraph"/>
                        <w:spacing w:after="200" w:line="276" w:lineRule="auto"/>
                        <w:ind w:left="360"/>
                      </w:pPr>
                    </w:p>
                    <w:p w14:paraId="0C4327E4" w14:textId="59890570" w:rsidR="003563A7" w:rsidRPr="005708A7" w:rsidRDefault="003563A7" w:rsidP="003563A7">
                      <w:pPr>
                        <w:pStyle w:val="ListParagraph"/>
                        <w:numPr>
                          <w:ilvl w:val="0"/>
                          <w:numId w:val="6"/>
                        </w:numPr>
                        <w:spacing w:after="200" w:line="276" w:lineRule="auto"/>
                      </w:pPr>
                      <w:r w:rsidRPr="005708A7">
                        <w:t>Goal of the study</w:t>
                      </w:r>
                      <w:r>
                        <w:t xml:space="preserve">: To evaluate </w:t>
                      </w:r>
                      <w:r w:rsidRPr="006000FF">
                        <w:t xml:space="preserve">the Substance Abuse and Mental Health Services </w:t>
                      </w:r>
                      <w:r>
                        <w:t>Administration</w:t>
                      </w:r>
                      <w:r w:rsidRPr="006000FF">
                        <w:t xml:space="preserve"> (SAMHSA) Grants to Prevent Prescription Drug</w:t>
                      </w:r>
                      <w:r>
                        <w:t xml:space="preserve">/Opioid Overdose-Related Deaths (the </w:t>
                      </w:r>
                      <w:r w:rsidRPr="0077072A">
                        <w:t>PDO/naloxone</w:t>
                      </w:r>
                      <w:r w:rsidRPr="004C7B0A">
                        <w:rPr>
                          <w:bCs/>
                        </w:rPr>
                        <w:t xml:space="preserve"> grant)</w:t>
                      </w:r>
                      <w:r>
                        <w:t xml:space="preserve">. </w:t>
                      </w:r>
                      <w:r w:rsidRPr="008E1052">
                        <w:t xml:space="preserve">This evaluation will seek to describe and understand the scope and </w:t>
                      </w:r>
                      <w:r>
                        <w:t>outcomes</w:t>
                      </w:r>
                      <w:r w:rsidRPr="008E1052">
                        <w:t xml:space="preserve"> of th</w:t>
                      </w:r>
                      <w:r>
                        <w:t xml:space="preserve">e SAMHSA </w:t>
                      </w:r>
                      <w:r w:rsidRPr="0077072A">
                        <w:t>PDO/naloxone</w:t>
                      </w:r>
                      <w:r w:rsidRPr="004C7B0A">
                        <w:rPr>
                          <w:bCs/>
                        </w:rPr>
                        <w:t xml:space="preserve"> grant</w:t>
                      </w:r>
                      <w:r>
                        <w:t xml:space="preserve">. </w:t>
                      </w:r>
                      <w:r w:rsidRPr="006000FF">
                        <w:t xml:space="preserve">Through this </w:t>
                      </w:r>
                      <w:r>
                        <w:t>grant</w:t>
                      </w:r>
                      <w:r w:rsidRPr="006000FF">
                        <w:t>, SAMHSA awarded funding to 12 states</w:t>
                      </w:r>
                      <w:r>
                        <w:t xml:space="preserve">. </w:t>
                      </w:r>
                      <w:r w:rsidRPr="006000FF">
                        <w:t>The funding is aimed at reducing the number of prescription drug/opioid overdose</w:t>
                      </w:r>
                      <w:r>
                        <w:t xml:space="preserve"> (PDO)</w:t>
                      </w:r>
                      <w:r w:rsidRPr="006000FF">
                        <w:t xml:space="preserve">-related deaths and adverse events among individuals 18 years of age and older through educating and training first responders and other key community sectors on the prevention of </w:t>
                      </w:r>
                      <w:r>
                        <w:t>PDO</w:t>
                      </w:r>
                      <w:r w:rsidRPr="006000FF">
                        <w:t>-related deaths, including the purchase and distribution of naloxone.</w:t>
                      </w:r>
                      <w:r>
                        <w:t xml:space="preserve"> </w:t>
                      </w:r>
                    </w:p>
                    <w:p w14:paraId="075E0F3A" w14:textId="77777777" w:rsidR="003563A7" w:rsidRPr="005708A7" w:rsidRDefault="003563A7" w:rsidP="00FB1045">
                      <w:pPr>
                        <w:pStyle w:val="ListParagraph"/>
                        <w:ind w:left="360"/>
                      </w:pPr>
                    </w:p>
                    <w:p w14:paraId="3E7ADCCB" w14:textId="63C57C35" w:rsidR="003563A7" w:rsidRPr="005708A7" w:rsidRDefault="003563A7" w:rsidP="00230D62">
                      <w:pPr>
                        <w:pStyle w:val="ListParagraph"/>
                        <w:numPr>
                          <w:ilvl w:val="0"/>
                          <w:numId w:val="6"/>
                        </w:numPr>
                        <w:spacing w:after="200" w:line="276" w:lineRule="auto"/>
                      </w:pPr>
                      <w:r w:rsidRPr="005708A7">
                        <w:t>Intended use of the resulting data</w:t>
                      </w:r>
                      <w:r>
                        <w:t>: By following outcomes over time with qualitative measures, CDC will increase the understanding of the outcomes of the PDO/naloxone grant</w:t>
                      </w:r>
                      <w:r w:rsidDel="00FE2E04">
                        <w:t xml:space="preserve"> </w:t>
                      </w:r>
                      <w:r>
                        <w:t>on overdose fatalities and how program effectiveness may vary among different sub-populations and settings, and will increase knowledge of barriers and facilitators to program implementation.</w:t>
                      </w:r>
                    </w:p>
                    <w:p w14:paraId="0A751E7B" w14:textId="77777777" w:rsidR="003563A7" w:rsidRPr="005708A7" w:rsidRDefault="003563A7" w:rsidP="00FB1045">
                      <w:pPr>
                        <w:pStyle w:val="ListParagraph"/>
                        <w:ind w:left="360"/>
                      </w:pPr>
                    </w:p>
                    <w:p w14:paraId="4A1F1A24" w14:textId="77777777" w:rsidR="003563A7" w:rsidRDefault="003563A7" w:rsidP="00F94868">
                      <w:pPr>
                        <w:pStyle w:val="ListParagraph"/>
                        <w:numPr>
                          <w:ilvl w:val="0"/>
                          <w:numId w:val="6"/>
                        </w:numPr>
                        <w:spacing w:after="200" w:line="276" w:lineRule="auto"/>
                      </w:pPr>
                      <w:r w:rsidRPr="005708A7">
                        <w:t>Methods to be used to collect</w:t>
                      </w:r>
                      <w:r>
                        <w:t>: Key informant interviews and focus groups.</w:t>
                      </w:r>
                    </w:p>
                    <w:p w14:paraId="263ABF88" w14:textId="77777777" w:rsidR="003563A7" w:rsidRPr="005708A7" w:rsidRDefault="003563A7" w:rsidP="00F94868">
                      <w:pPr>
                        <w:pStyle w:val="ListParagraph"/>
                        <w:spacing w:after="200" w:line="276" w:lineRule="auto"/>
                        <w:ind w:left="360"/>
                      </w:pPr>
                    </w:p>
                    <w:p w14:paraId="36D27FD3" w14:textId="17D52331" w:rsidR="003563A7" w:rsidRPr="005708A7" w:rsidRDefault="003563A7" w:rsidP="00230D62">
                      <w:pPr>
                        <w:pStyle w:val="ListParagraph"/>
                        <w:numPr>
                          <w:ilvl w:val="0"/>
                          <w:numId w:val="6"/>
                        </w:numPr>
                        <w:spacing w:after="200" w:line="276" w:lineRule="auto"/>
                      </w:pPr>
                      <w:r w:rsidRPr="005708A7">
                        <w:t>The subpopulation to be studied</w:t>
                      </w:r>
                      <w:r>
                        <w:t>: Participants in the activities enacted by the twelve state grant recipients. This will include state administrators of the grant and other PDO/Naloxone grant stakeholders including advisory council members, first responders, social service providers, and laypersons including end users and their family and friends.</w:t>
                      </w:r>
                    </w:p>
                    <w:p w14:paraId="447E9D11" w14:textId="77777777" w:rsidR="003563A7" w:rsidRPr="005708A7" w:rsidRDefault="003563A7" w:rsidP="00FB1045">
                      <w:pPr>
                        <w:pStyle w:val="ListParagraph"/>
                        <w:ind w:left="360"/>
                      </w:pPr>
                    </w:p>
                    <w:p w14:paraId="485C5FBB" w14:textId="2A3AEC99" w:rsidR="003563A7" w:rsidRDefault="003563A7" w:rsidP="00230D62">
                      <w:pPr>
                        <w:pStyle w:val="ListParagraph"/>
                        <w:numPr>
                          <w:ilvl w:val="0"/>
                          <w:numId w:val="6"/>
                        </w:numPr>
                        <w:spacing w:after="200" w:line="276" w:lineRule="auto"/>
                      </w:pPr>
                      <w:r w:rsidRPr="005708A7">
                        <w:t>How data will be analyzed</w:t>
                      </w:r>
                      <w:r>
                        <w:t xml:space="preserve">: All focus groups and interviews will be analyzed through qualitative content analysis, including utilization of a systematic coding scheme and NVivo software. </w:t>
                      </w:r>
                    </w:p>
                  </w:txbxContent>
                </v:textbox>
                <w10:wrap anchorx="margin"/>
              </v:shape>
            </w:pict>
          </mc:Fallback>
        </mc:AlternateContent>
      </w:r>
    </w:p>
    <w:p w14:paraId="7E0D721B" w14:textId="0C5F3251" w:rsidR="00FB1045" w:rsidRDefault="00FB1045" w:rsidP="00812EDE">
      <w:pPr>
        <w:rPr>
          <w:b/>
          <w:bCs/>
        </w:rPr>
      </w:pPr>
    </w:p>
    <w:p w14:paraId="64DF758F" w14:textId="60FE6AE2" w:rsidR="00FB1045" w:rsidRDefault="00FB1045" w:rsidP="00812EDE">
      <w:pPr>
        <w:rPr>
          <w:b/>
          <w:bCs/>
        </w:rPr>
      </w:pPr>
    </w:p>
    <w:p w14:paraId="6BADE39C" w14:textId="613541ED" w:rsidR="00FB1045" w:rsidRDefault="00FB1045" w:rsidP="00812EDE">
      <w:pPr>
        <w:rPr>
          <w:b/>
          <w:bCs/>
        </w:rPr>
      </w:pPr>
    </w:p>
    <w:p w14:paraId="0901D0C2" w14:textId="77777777" w:rsidR="00FB1045" w:rsidRDefault="00FB1045" w:rsidP="00812EDE">
      <w:pPr>
        <w:rPr>
          <w:b/>
          <w:bCs/>
        </w:rPr>
      </w:pPr>
    </w:p>
    <w:p w14:paraId="25B26A56" w14:textId="5B8E8B14" w:rsidR="00FB1045" w:rsidRDefault="00FB1045" w:rsidP="00812EDE">
      <w:pPr>
        <w:rPr>
          <w:b/>
          <w:bCs/>
        </w:rPr>
      </w:pPr>
    </w:p>
    <w:p w14:paraId="48A62023" w14:textId="77777777" w:rsidR="00FB1045" w:rsidRDefault="00FB1045" w:rsidP="00812EDE">
      <w:pPr>
        <w:rPr>
          <w:b/>
          <w:bCs/>
        </w:rPr>
      </w:pPr>
    </w:p>
    <w:p w14:paraId="282BAFB7" w14:textId="77777777" w:rsidR="00FB1045" w:rsidRDefault="00FB1045" w:rsidP="00812EDE">
      <w:pPr>
        <w:rPr>
          <w:b/>
          <w:bCs/>
        </w:rPr>
      </w:pPr>
    </w:p>
    <w:p w14:paraId="2F00C085" w14:textId="77777777" w:rsidR="00D629FE" w:rsidRDefault="00D629FE" w:rsidP="00812EDE">
      <w:pPr>
        <w:rPr>
          <w:b/>
          <w:bCs/>
        </w:rPr>
      </w:pPr>
    </w:p>
    <w:p w14:paraId="4AE67B44" w14:textId="77777777" w:rsidR="001D7AF7" w:rsidRDefault="001D7AF7" w:rsidP="00812EDE">
      <w:pPr>
        <w:rPr>
          <w:b/>
          <w:bCs/>
        </w:rPr>
      </w:pPr>
    </w:p>
    <w:p w14:paraId="0713CE73" w14:textId="77777777" w:rsidR="001D7AF7" w:rsidRDefault="001D7AF7" w:rsidP="00812EDE">
      <w:pPr>
        <w:rPr>
          <w:b/>
          <w:bCs/>
        </w:rPr>
      </w:pPr>
    </w:p>
    <w:p w14:paraId="1DE3D717" w14:textId="77777777" w:rsidR="008E1052" w:rsidRDefault="008E1052" w:rsidP="00812EDE">
      <w:pPr>
        <w:rPr>
          <w:b/>
          <w:bCs/>
        </w:rPr>
      </w:pPr>
    </w:p>
    <w:p w14:paraId="48BF4181" w14:textId="77777777" w:rsidR="008E1052" w:rsidRDefault="008E1052" w:rsidP="00812EDE">
      <w:pPr>
        <w:rPr>
          <w:b/>
          <w:bCs/>
        </w:rPr>
      </w:pPr>
    </w:p>
    <w:p w14:paraId="6C40DBE2" w14:textId="77777777" w:rsidR="008E1052" w:rsidRDefault="008E1052" w:rsidP="00812EDE">
      <w:pPr>
        <w:rPr>
          <w:b/>
          <w:bCs/>
        </w:rPr>
      </w:pPr>
    </w:p>
    <w:p w14:paraId="0F406E22" w14:textId="77777777" w:rsidR="008E1052" w:rsidRDefault="008E1052" w:rsidP="00812EDE">
      <w:pPr>
        <w:rPr>
          <w:b/>
          <w:bCs/>
        </w:rPr>
      </w:pPr>
    </w:p>
    <w:p w14:paraId="35CDB9BC" w14:textId="77777777" w:rsidR="008E1052" w:rsidRDefault="008E1052" w:rsidP="00812EDE">
      <w:pPr>
        <w:rPr>
          <w:b/>
          <w:bCs/>
        </w:rPr>
      </w:pPr>
    </w:p>
    <w:p w14:paraId="305B41A8" w14:textId="77777777" w:rsidR="006000FF" w:rsidRDefault="006000FF" w:rsidP="00812EDE">
      <w:pPr>
        <w:rPr>
          <w:b/>
          <w:bCs/>
        </w:rPr>
      </w:pPr>
    </w:p>
    <w:p w14:paraId="37F29423" w14:textId="77777777" w:rsidR="006000FF" w:rsidRDefault="006000FF" w:rsidP="00812EDE">
      <w:pPr>
        <w:rPr>
          <w:b/>
          <w:bCs/>
        </w:rPr>
      </w:pPr>
    </w:p>
    <w:p w14:paraId="7029CED7" w14:textId="77777777" w:rsidR="006000FF" w:rsidRDefault="006000FF" w:rsidP="00812EDE">
      <w:pPr>
        <w:rPr>
          <w:b/>
          <w:bCs/>
        </w:rPr>
      </w:pPr>
    </w:p>
    <w:p w14:paraId="0EF0FCEE" w14:textId="77777777" w:rsidR="006000FF" w:rsidRDefault="006000FF" w:rsidP="00812EDE">
      <w:pPr>
        <w:rPr>
          <w:b/>
          <w:bCs/>
        </w:rPr>
      </w:pPr>
    </w:p>
    <w:p w14:paraId="4E23DC73" w14:textId="77777777" w:rsidR="006000FF" w:rsidRDefault="006000FF" w:rsidP="00812EDE">
      <w:pPr>
        <w:rPr>
          <w:b/>
          <w:bCs/>
        </w:rPr>
      </w:pPr>
    </w:p>
    <w:p w14:paraId="50CD0523" w14:textId="77777777" w:rsidR="006000FF" w:rsidRDefault="006000FF" w:rsidP="00812EDE">
      <w:pPr>
        <w:rPr>
          <w:b/>
          <w:bCs/>
        </w:rPr>
      </w:pPr>
    </w:p>
    <w:p w14:paraId="644AF5FD" w14:textId="77777777" w:rsidR="006000FF" w:rsidRDefault="006000FF" w:rsidP="00812EDE">
      <w:pPr>
        <w:rPr>
          <w:b/>
          <w:bCs/>
        </w:rPr>
      </w:pPr>
    </w:p>
    <w:p w14:paraId="2ACBE8CB" w14:textId="77777777" w:rsidR="006000FF" w:rsidRDefault="006000FF" w:rsidP="00812EDE">
      <w:pPr>
        <w:rPr>
          <w:b/>
          <w:bCs/>
        </w:rPr>
      </w:pPr>
    </w:p>
    <w:p w14:paraId="6BAE6D37" w14:textId="6F84C791" w:rsidR="006000FF" w:rsidRDefault="006000FF" w:rsidP="00812EDE">
      <w:pPr>
        <w:rPr>
          <w:b/>
          <w:bCs/>
        </w:rPr>
      </w:pPr>
    </w:p>
    <w:p w14:paraId="53E9056D" w14:textId="4D7A1C57" w:rsidR="0096191C" w:rsidRDefault="0096191C" w:rsidP="00812EDE">
      <w:pPr>
        <w:rPr>
          <w:b/>
          <w:bCs/>
        </w:rPr>
      </w:pPr>
    </w:p>
    <w:p w14:paraId="609E0687" w14:textId="531592F4" w:rsidR="0096191C" w:rsidRDefault="0096191C" w:rsidP="00812EDE">
      <w:pPr>
        <w:rPr>
          <w:b/>
          <w:bCs/>
        </w:rPr>
      </w:pPr>
    </w:p>
    <w:p w14:paraId="7DB3808A" w14:textId="3D40AE9B" w:rsidR="0096191C" w:rsidRDefault="0096191C" w:rsidP="00812EDE">
      <w:pPr>
        <w:rPr>
          <w:b/>
          <w:bCs/>
        </w:rPr>
      </w:pPr>
    </w:p>
    <w:p w14:paraId="75774559" w14:textId="7590C4C3" w:rsidR="0096191C" w:rsidRDefault="0096191C" w:rsidP="00812EDE">
      <w:pPr>
        <w:rPr>
          <w:b/>
          <w:bCs/>
        </w:rPr>
      </w:pPr>
    </w:p>
    <w:p w14:paraId="4DD964CD" w14:textId="2F3DB673" w:rsidR="0096191C" w:rsidRDefault="0096191C" w:rsidP="00812EDE">
      <w:pPr>
        <w:rPr>
          <w:b/>
          <w:bCs/>
        </w:rPr>
      </w:pPr>
    </w:p>
    <w:p w14:paraId="6D8D2AC6" w14:textId="77777777" w:rsidR="0096191C" w:rsidRDefault="0096191C" w:rsidP="00812EDE">
      <w:pPr>
        <w:rPr>
          <w:b/>
          <w:bCs/>
        </w:rPr>
      </w:pPr>
    </w:p>
    <w:p w14:paraId="1C66D181" w14:textId="6BF9DB9F" w:rsidR="00972DEF" w:rsidRPr="004A6462" w:rsidRDefault="00972DEF" w:rsidP="00812EDE">
      <w:pPr>
        <w:rPr>
          <w:b/>
          <w:bCs/>
        </w:rPr>
      </w:pPr>
      <w:r w:rsidRPr="004A6462">
        <w:rPr>
          <w:b/>
          <w:bCs/>
        </w:rPr>
        <w:t xml:space="preserve">A.  JUSTIFICATION </w:t>
      </w:r>
    </w:p>
    <w:p w14:paraId="7E8301AD" w14:textId="7F843D22" w:rsidR="009A7594" w:rsidRPr="004A6462" w:rsidRDefault="009A7594" w:rsidP="00972DEF">
      <w:pPr>
        <w:tabs>
          <w:tab w:val="left" w:pos="360"/>
        </w:tabs>
        <w:autoSpaceDE w:val="0"/>
        <w:autoSpaceDN w:val="0"/>
        <w:adjustRightInd w:val="0"/>
        <w:rPr>
          <w:b/>
          <w:bCs/>
        </w:rPr>
      </w:pPr>
    </w:p>
    <w:p w14:paraId="5BCB7294" w14:textId="4BC92450" w:rsidR="00972DEF" w:rsidRPr="004A6462" w:rsidRDefault="00972DEF" w:rsidP="00972DEF">
      <w:pPr>
        <w:tabs>
          <w:tab w:val="left" w:pos="360"/>
        </w:tabs>
        <w:autoSpaceDE w:val="0"/>
        <w:autoSpaceDN w:val="0"/>
        <w:adjustRightInd w:val="0"/>
        <w:rPr>
          <w:b/>
          <w:bCs/>
        </w:rPr>
      </w:pPr>
      <w:r w:rsidRPr="004A6462">
        <w:rPr>
          <w:b/>
          <w:bCs/>
        </w:rPr>
        <w:t xml:space="preserve">A.1. </w:t>
      </w:r>
      <w:r w:rsidRPr="004A6462">
        <w:rPr>
          <w:b/>
          <w:bCs/>
        </w:rPr>
        <w:tab/>
        <w:t>Circumstances Making the Collection of Information Necessary</w:t>
      </w:r>
    </w:p>
    <w:p w14:paraId="26F76EFC" w14:textId="77777777" w:rsidR="000F67A8" w:rsidRPr="004A6462" w:rsidRDefault="000F67A8" w:rsidP="00972DEF">
      <w:pPr>
        <w:tabs>
          <w:tab w:val="left" w:pos="360"/>
        </w:tabs>
        <w:autoSpaceDE w:val="0"/>
        <w:autoSpaceDN w:val="0"/>
        <w:adjustRightInd w:val="0"/>
        <w:rPr>
          <w:b/>
          <w:bCs/>
        </w:rPr>
      </w:pPr>
    </w:p>
    <w:p w14:paraId="2BF99196" w14:textId="72D1F68D" w:rsidR="004C7B0A" w:rsidRPr="004A6462" w:rsidRDefault="00F676D9" w:rsidP="0074721B">
      <w:pPr>
        <w:pStyle w:val="Brandedbody"/>
        <w:rPr>
          <w:rFonts w:ascii="Times New Roman" w:eastAsia="Times New Roman" w:hAnsi="Times New Roman" w:cs="Times New Roman"/>
          <w:sz w:val="24"/>
          <w:szCs w:val="24"/>
        </w:rPr>
      </w:pPr>
      <w:r w:rsidRPr="004A6462">
        <w:rPr>
          <w:rFonts w:ascii="Times New Roman" w:eastAsia="Times New Roman" w:hAnsi="Times New Roman" w:cs="Times New Roman"/>
          <w:sz w:val="24"/>
          <w:szCs w:val="24"/>
        </w:rPr>
        <w:t>The Centers for Disease Control and Prevention (CDC) requests Office of Management and Budget (OMB) approval for 3 years for this new data collection</w:t>
      </w:r>
      <w:r w:rsidR="00445AA0" w:rsidRPr="004A6462">
        <w:rPr>
          <w:rFonts w:ascii="Times New Roman" w:eastAsia="Times New Roman" w:hAnsi="Times New Roman" w:cs="Times New Roman"/>
          <w:sz w:val="24"/>
          <w:szCs w:val="24"/>
        </w:rPr>
        <w:t xml:space="preserve"> and </w:t>
      </w:r>
      <w:r w:rsidR="00E43674" w:rsidRPr="004A6462">
        <w:rPr>
          <w:rFonts w:ascii="Times New Roman" w:eastAsia="Times New Roman" w:hAnsi="Times New Roman" w:cs="Times New Roman"/>
          <w:sz w:val="24"/>
          <w:szCs w:val="24"/>
        </w:rPr>
        <w:t>expects to request a</w:t>
      </w:r>
      <w:r w:rsidR="0023599F" w:rsidRPr="004A6462">
        <w:rPr>
          <w:rFonts w:ascii="Times New Roman" w:eastAsia="Times New Roman" w:hAnsi="Times New Roman" w:cs="Times New Roman"/>
          <w:sz w:val="24"/>
          <w:szCs w:val="24"/>
        </w:rPr>
        <w:t xml:space="preserve">n extension </w:t>
      </w:r>
      <w:r w:rsidR="00445AA0" w:rsidRPr="004A6462">
        <w:rPr>
          <w:rFonts w:ascii="Times New Roman" w:eastAsia="Times New Roman" w:hAnsi="Times New Roman" w:cs="Times New Roman"/>
          <w:sz w:val="24"/>
          <w:szCs w:val="24"/>
        </w:rPr>
        <w:t xml:space="preserve">for </w:t>
      </w:r>
      <w:r w:rsidR="00E43674" w:rsidRPr="004A6462">
        <w:rPr>
          <w:rFonts w:ascii="Times New Roman" w:eastAsia="Times New Roman" w:hAnsi="Times New Roman" w:cs="Times New Roman"/>
          <w:sz w:val="24"/>
          <w:szCs w:val="24"/>
        </w:rPr>
        <w:t xml:space="preserve">the remaining 2 years of the </w:t>
      </w:r>
      <w:r w:rsidR="00D7394A" w:rsidRPr="004A6462">
        <w:rPr>
          <w:rFonts w:ascii="Times New Roman" w:eastAsia="Times New Roman" w:hAnsi="Times New Roman" w:cs="Times New Roman"/>
          <w:sz w:val="24"/>
          <w:szCs w:val="24"/>
        </w:rPr>
        <w:t xml:space="preserve">5 year </w:t>
      </w:r>
      <w:r w:rsidR="00D7394A" w:rsidRPr="004A6462">
        <w:rPr>
          <w:rFonts w:ascii="Times New Roman" w:hAnsi="Times New Roman" w:cs="Times New Roman"/>
          <w:sz w:val="24"/>
          <w:szCs w:val="24"/>
        </w:rPr>
        <w:t>SAMHSA Grants to Prevent Prescription Drug/Opioid Overdose-Related</w:t>
      </w:r>
      <w:r w:rsidR="006A69A0">
        <w:rPr>
          <w:rFonts w:ascii="Times New Roman" w:hAnsi="Times New Roman" w:cs="Times New Roman"/>
          <w:sz w:val="24"/>
          <w:szCs w:val="24"/>
        </w:rPr>
        <w:t xml:space="preserve"> Deaths</w:t>
      </w:r>
      <w:r w:rsidR="00FB3065" w:rsidRPr="004A6462">
        <w:rPr>
          <w:rFonts w:ascii="Times New Roman" w:hAnsi="Times New Roman" w:cs="Times New Roman"/>
          <w:sz w:val="24"/>
          <w:szCs w:val="24"/>
        </w:rPr>
        <w:t xml:space="preserve"> </w:t>
      </w:r>
      <w:r w:rsidR="0023599F" w:rsidRPr="004A6462">
        <w:rPr>
          <w:rFonts w:ascii="Times New Roman" w:hAnsi="Times New Roman" w:cs="Times New Roman"/>
          <w:sz w:val="24"/>
          <w:szCs w:val="24"/>
        </w:rPr>
        <w:t>(</w:t>
      </w:r>
      <w:r w:rsidR="00FB3065" w:rsidRPr="004A6462">
        <w:rPr>
          <w:rFonts w:ascii="Times New Roman" w:hAnsi="Times New Roman" w:cs="Times New Roman"/>
          <w:sz w:val="24"/>
          <w:szCs w:val="24"/>
        </w:rPr>
        <w:t>PDO/naloxone</w:t>
      </w:r>
      <w:r w:rsidR="00FB3065" w:rsidRPr="004A6462">
        <w:rPr>
          <w:rFonts w:ascii="Times New Roman" w:hAnsi="Times New Roman" w:cs="Times New Roman"/>
          <w:bCs/>
          <w:sz w:val="24"/>
          <w:szCs w:val="24"/>
        </w:rPr>
        <w:t xml:space="preserve"> grant)</w:t>
      </w:r>
      <w:r w:rsidR="00FB3065" w:rsidRPr="004A6462">
        <w:rPr>
          <w:rFonts w:ascii="Times New Roman" w:hAnsi="Times New Roman" w:cs="Times New Roman"/>
          <w:sz w:val="24"/>
          <w:szCs w:val="24"/>
        </w:rPr>
        <w:t xml:space="preserve">. </w:t>
      </w:r>
      <w:r w:rsidR="004C7B0A" w:rsidRPr="004A6462">
        <w:rPr>
          <w:rFonts w:ascii="Times New Roman" w:eastAsia="Times New Roman" w:hAnsi="Times New Roman" w:cs="Times New Roman"/>
          <w:sz w:val="24"/>
          <w:szCs w:val="24"/>
        </w:rPr>
        <w:t>SAMHSA is funding the grant and collecting grantee</w:t>
      </w:r>
      <w:r w:rsidR="00D7394A" w:rsidRPr="004A6462">
        <w:rPr>
          <w:rFonts w:ascii="Times New Roman" w:eastAsia="Times New Roman" w:hAnsi="Times New Roman" w:cs="Times New Roman"/>
          <w:sz w:val="24"/>
          <w:szCs w:val="24"/>
        </w:rPr>
        <w:t xml:space="preserve"> performance and progress data under OMB 0930-0354</w:t>
      </w:r>
      <w:r w:rsidR="00FB3065" w:rsidRPr="004A6462">
        <w:rPr>
          <w:rFonts w:ascii="Times New Roman" w:eastAsia="Times New Roman" w:hAnsi="Times New Roman" w:cs="Times New Roman"/>
          <w:sz w:val="24"/>
          <w:szCs w:val="24"/>
        </w:rPr>
        <w:t xml:space="preserve"> with expiration 7/31/2020</w:t>
      </w:r>
      <w:r w:rsidR="004C7B0A" w:rsidRPr="004A6462">
        <w:rPr>
          <w:rFonts w:ascii="Times New Roman" w:eastAsia="Times New Roman" w:hAnsi="Times New Roman" w:cs="Times New Roman"/>
          <w:sz w:val="24"/>
          <w:szCs w:val="24"/>
        </w:rPr>
        <w:t>. CDC is responsible for conducting an evaluation of the PDO/naloxone grant as described on page 302, paragraph 2 of the Centers for Disease Control and Prevention</w:t>
      </w:r>
      <w:r w:rsidR="006A69A0">
        <w:rPr>
          <w:rFonts w:ascii="Times New Roman" w:eastAsia="Times New Roman" w:hAnsi="Times New Roman" w:cs="Times New Roman"/>
          <w:sz w:val="24"/>
          <w:szCs w:val="24"/>
        </w:rPr>
        <w:t>’s</w:t>
      </w:r>
      <w:r w:rsidR="004C7B0A" w:rsidRPr="004A6462">
        <w:rPr>
          <w:rFonts w:ascii="Times New Roman" w:eastAsia="Times New Roman" w:hAnsi="Times New Roman" w:cs="Times New Roman"/>
          <w:sz w:val="24"/>
          <w:szCs w:val="24"/>
        </w:rPr>
        <w:t xml:space="preserve"> FY 2016 Congressional</w:t>
      </w:r>
      <w:r w:rsidR="00A04DA2" w:rsidRPr="004A6462">
        <w:rPr>
          <w:rFonts w:ascii="Times New Roman" w:eastAsia="Times New Roman" w:hAnsi="Times New Roman" w:cs="Times New Roman"/>
          <w:sz w:val="24"/>
          <w:szCs w:val="24"/>
        </w:rPr>
        <w:t xml:space="preserve"> Justification</w:t>
      </w:r>
      <w:r w:rsidR="0023599F" w:rsidRPr="004A6462">
        <w:rPr>
          <w:rFonts w:ascii="Times New Roman" w:eastAsia="Times New Roman" w:hAnsi="Times New Roman" w:cs="Times New Roman"/>
          <w:sz w:val="24"/>
          <w:szCs w:val="24"/>
        </w:rPr>
        <w:t xml:space="preserve"> </w:t>
      </w:r>
      <w:r w:rsidR="004C7B0A" w:rsidRPr="004A6462">
        <w:rPr>
          <w:rFonts w:ascii="Times New Roman" w:eastAsia="Times New Roman" w:hAnsi="Times New Roman" w:cs="Times New Roman"/>
          <w:sz w:val="24"/>
          <w:szCs w:val="24"/>
        </w:rPr>
        <w:t>(</w:t>
      </w:r>
      <w:hyperlink r:id="rId9" w:history="1">
        <w:r w:rsidR="0023599F" w:rsidRPr="004A6462">
          <w:rPr>
            <w:rStyle w:val="Hyperlink"/>
            <w:rFonts w:ascii="Times New Roman" w:eastAsia="Times New Roman" w:hAnsi="Times New Roman" w:cs="Times New Roman"/>
            <w:sz w:val="24"/>
            <w:szCs w:val="24"/>
          </w:rPr>
          <w:t>https://www.cdc.gov/budget/documents/fy2016/fy-2016-cdc-congressional-justification.pdf</w:t>
        </w:r>
      </w:hyperlink>
      <w:r w:rsidR="004C7B0A" w:rsidRPr="004A6462">
        <w:rPr>
          <w:rFonts w:ascii="Times New Roman" w:eastAsia="Times New Roman" w:hAnsi="Times New Roman" w:cs="Times New Roman"/>
          <w:sz w:val="24"/>
          <w:szCs w:val="24"/>
        </w:rPr>
        <w:t>).</w:t>
      </w:r>
      <w:r w:rsidR="0023599F" w:rsidRPr="004A6462">
        <w:rPr>
          <w:rFonts w:ascii="Times New Roman" w:eastAsia="Times New Roman" w:hAnsi="Times New Roman" w:cs="Times New Roman"/>
          <w:sz w:val="24"/>
          <w:szCs w:val="24"/>
        </w:rPr>
        <w:t xml:space="preserve"> </w:t>
      </w:r>
    </w:p>
    <w:p w14:paraId="7D697D81" w14:textId="66279FBD" w:rsidR="0077072A" w:rsidRPr="004A6462" w:rsidRDefault="00ED59A1" w:rsidP="0074721B">
      <w:pPr>
        <w:pStyle w:val="Brandedbody"/>
        <w:rPr>
          <w:rFonts w:ascii="Times New Roman" w:eastAsia="Times New Roman" w:hAnsi="Times New Roman" w:cs="Times New Roman"/>
          <w:sz w:val="24"/>
          <w:szCs w:val="24"/>
        </w:rPr>
      </w:pPr>
      <w:r w:rsidRPr="004A6462">
        <w:rPr>
          <w:rFonts w:ascii="Times New Roman" w:eastAsia="Times New Roman" w:hAnsi="Times New Roman" w:cs="Times New Roman"/>
          <w:sz w:val="24"/>
          <w:szCs w:val="24"/>
        </w:rPr>
        <w:t>The proposed information collection is authorized by the Public Health Services Act (PHS Act) which provides the legislative means for states to advance public health across the lifespan and to reduce health disparities. Section 301 (a) of the PHS Act, 42 U.S.C. 241 (a), authorizes grants to aid  “other appropriate public authorities, scientific institutions, and scientists in the conduct of, and promote the coordination of, research, investigations, experiments, demonstrations, and studies relating to the cause, diagnosis, treatment, control and prevention of physical and mental diseases and impairments of man”</w:t>
      </w:r>
      <w:r w:rsidR="0074721B" w:rsidRPr="004A6462">
        <w:rPr>
          <w:rFonts w:ascii="Times New Roman" w:eastAsia="Times New Roman" w:hAnsi="Times New Roman" w:cs="Times New Roman"/>
          <w:sz w:val="24"/>
          <w:szCs w:val="24"/>
        </w:rPr>
        <w:t xml:space="preserve"> (</w:t>
      </w:r>
      <w:r w:rsidR="00F25EB5" w:rsidRPr="004A6462">
        <w:rPr>
          <w:rFonts w:ascii="Times New Roman" w:eastAsia="Times New Roman" w:hAnsi="Times New Roman" w:cs="Times New Roman"/>
          <w:sz w:val="24"/>
          <w:szCs w:val="24"/>
        </w:rPr>
        <w:t>Attachment A</w:t>
      </w:r>
      <w:r w:rsidR="00F40AA5" w:rsidRPr="004A6462">
        <w:rPr>
          <w:rFonts w:ascii="Times New Roman" w:eastAsia="Times New Roman" w:hAnsi="Times New Roman" w:cs="Times New Roman"/>
          <w:sz w:val="24"/>
          <w:szCs w:val="24"/>
        </w:rPr>
        <w:t>)</w:t>
      </w:r>
      <w:r w:rsidR="00F25EB5" w:rsidRPr="004A6462">
        <w:rPr>
          <w:rFonts w:ascii="Times New Roman" w:eastAsia="Times New Roman" w:hAnsi="Times New Roman" w:cs="Times New Roman"/>
          <w:sz w:val="24"/>
          <w:szCs w:val="24"/>
        </w:rPr>
        <w:t>.</w:t>
      </w:r>
      <w:r w:rsidR="004C7B0A" w:rsidRPr="004A6462">
        <w:rPr>
          <w:rFonts w:ascii="Times New Roman" w:eastAsia="Times New Roman" w:hAnsi="Times New Roman" w:cs="Times New Roman"/>
          <w:sz w:val="24"/>
          <w:szCs w:val="24"/>
        </w:rPr>
        <w:t xml:space="preserve"> </w:t>
      </w:r>
    </w:p>
    <w:p w14:paraId="080B63BF" w14:textId="77777777" w:rsidR="00ED59A1" w:rsidRPr="004A6462" w:rsidRDefault="00ED59A1" w:rsidP="004B09CD"/>
    <w:p w14:paraId="5E852492" w14:textId="463803C0" w:rsidR="00C83357" w:rsidRPr="004A6462" w:rsidRDefault="004864DE" w:rsidP="00C83357">
      <w:pPr>
        <w:rPr>
          <w:bCs/>
        </w:rPr>
      </w:pPr>
      <w:r w:rsidRPr="004A6462">
        <w:t xml:space="preserve">Overdose deaths involving prescription opioids and heroin have reached </w:t>
      </w:r>
      <w:r w:rsidR="00322B07" w:rsidRPr="004A6462">
        <w:t>crisis</w:t>
      </w:r>
      <w:r w:rsidRPr="004A6462">
        <w:t xml:space="preserve"> levels in the U.S. and continue to rise. </w:t>
      </w:r>
      <w:r w:rsidR="00C83357" w:rsidRPr="004A6462">
        <w:t>In 2015, 591,000 Americans had a heroin use disorder and 2 million Americans had a prescription opioid use disorder (</w:t>
      </w:r>
      <w:r w:rsidR="00CE7C43">
        <w:t>Center for Behavioral Health Statistics and Quality, 2016</w:t>
      </w:r>
      <w:r w:rsidR="00C83357" w:rsidRPr="004A6462">
        <w:t>).  From 2014-2015, overdose deaths from commonly prescribed  opioids, heroin, and non-methadone synthetics increased 3%, 21%, and 72% respectively (Rudd</w:t>
      </w:r>
      <w:r w:rsidR="00C05157" w:rsidRPr="004A6462">
        <w:t>, 2016</w:t>
      </w:r>
      <w:r w:rsidR="00966EF9" w:rsidRPr="004A6462">
        <w:t>A</w:t>
      </w:r>
      <w:r w:rsidR="00C05157" w:rsidRPr="004A6462">
        <w:t>)</w:t>
      </w:r>
      <w:r w:rsidR="00C83357" w:rsidRPr="004A6462">
        <w:t xml:space="preserve">.  </w:t>
      </w:r>
    </w:p>
    <w:p w14:paraId="46CC318F" w14:textId="77777777" w:rsidR="00C83357" w:rsidRPr="004A6462" w:rsidRDefault="00C83357" w:rsidP="00C83357">
      <w:pPr>
        <w:rPr>
          <w:bCs/>
        </w:rPr>
      </w:pPr>
    </w:p>
    <w:p w14:paraId="5D1594AE" w14:textId="6DF4C2BA" w:rsidR="004864DE" w:rsidRPr="004A6462" w:rsidRDefault="00050E05" w:rsidP="00104BC0">
      <w:r w:rsidRPr="004A6462">
        <w:t>In 2014, over 2 million Americans either abused or were dependent on opioids, with 1.9 million Americans having a substance use disorder involving prescription pain relievers and 586,000 having a substance use disorder involving heroin (Substance Abuse and Mental Health Services Administration, 2015). Over only a 1-year period from 2013 to 2014, the death rate from the most commonly prescribed opioid pain relievers (natural and semisynthetic opioids) increased 9%, the death rate from heroin increased 26%, and the death rate from synthetic opioids (illicitly manufactured fentanyl and synthetic opioid pain relievers other than methadone) increased 80% (Rudd, 2016</w:t>
      </w:r>
      <w:r w:rsidR="00966EF9" w:rsidRPr="004A6462">
        <w:t>B</w:t>
      </w:r>
      <w:r w:rsidRPr="004A6462">
        <w:t xml:space="preserve">). These figures translate to </w:t>
      </w:r>
      <w:r w:rsidR="00622D44" w:rsidRPr="004A6462">
        <w:t>115</w:t>
      </w:r>
      <w:r w:rsidRPr="004A6462">
        <w:t xml:space="preserve"> people in the US dying of opioid overdoses every day (Centers for Disease Control and Prevention, 2016).</w:t>
      </w:r>
    </w:p>
    <w:p w14:paraId="1FF5B912" w14:textId="77777777" w:rsidR="00AE4D92" w:rsidRPr="004A6462" w:rsidRDefault="00AE4D92" w:rsidP="00104BC0"/>
    <w:p w14:paraId="30C9A38F" w14:textId="535A8566" w:rsidR="00AE4D92" w:rsidRPr="004A6462" w:rsidRDefault="00AE4D92" w:rsidP="00104BC0">
      <w:r w:rsidRPr="004A6462">
        <w:t xml:space="preserve">To combat the intensifying epidemic of opioid overdose deaths, evidence-based strategies need to be widely disseminated and implemented. Increasing access to naloxone, an opioid antagonist medication, is a </w:t>
      </w:r>
      <w:r w:rsidR="00CC5A60">
        <w:t>compelling</w:t>
      </w:r>
      <w:r w:rsidRPr="004A6462">
        <w:t xml:space="preserve"> strategy because naloxone can reverse the respiratory depressive effects of an opioid overdose and be life-saving if administered in time. Naloxone has been used since the 1970s in hospitals and by emergency medical services (EMS) to reverse opioid overdoses, and studies have shown naloxone to be safe</w:t>
      </w:r>
      <w:r w:rsidR="00CC5A60">
        <w:t xml:space="preserve"> and</w:t>
      </w:r>
      <w:r w:rsidRPr="004A6462">
        <w:t xml:space="preserve"> effective at reducing opioid overdose deaths and cost-effective (Coffin, 2013; Walley, 2013).  </w:t>
      </w:r>
    </w:p>
    <w:p w14:paraId="42946B62" w14:textId="77777777" w:rsidR="00AE4D92" w:rsidRPr="004A6462" w:rsidRDefault="00AE4D92" w:rsidP="00104BC0"/>
    <w:p w14:paraId="52E85E8D" w14:textId="44D9896C" w:rsidR="00D057AF" w:rsidRPr="004A6462" w:rsidRDefault="00AE4D92" w:rsidP="00D057AF">
      <w:r w:rsidRPr="004A6462">
        <w:t xml:space="preserve">To address the </w:t>
      </w:r>
      <w:r w:rsidR="00682EF2" w:rsidRPr="004A6462">
        <w:t>PDO</w:t>
      </w:r>
      <w:r w:rsidRPr="004A6462">
        <w:t xml:space="preserve"> crisis, the federal government has recently allocated funding to improve access to treatment </w:t>
      </w:r>
      <w:r w:rsidR="00322B07" w:rsidRPr="004A6462">
        <w:t xml:space="preserve">and recovery services </w:t>
      </w:r>
      <w:r w:rsidRPr="004A6462">
        <w:t>for opioid use disorders, reduce opioid related deaths, and strengthen drug misuse prevention efforts. One program resulting from the federal government’s efforts to address the opioid crisis is</w:t>
      </w:r>
      <w:r w:rsidR="008E1052" w:rsidRPr="004A6462">
        <w:t xml:space="preserve"> </w:t>
      </w:r>
      <w:r w:rsidR="00932585" w:rsidRPr="004A6462">
        <w:t xml:space="preserve">the </w:t>
      </w:r>
      <w:r w:rsidR="0077072A" w:rsidRPr="004A6462">
        <w:t xml:space="preserve">SAMHSA Grants to Prevent Prescription Drug/Opioid Overdose-Related Deaths (PDO/naloxone grant). Through this program, SAMHSA awarded </w:t>
      </w:r>
      <w:r w:rsidR="009141BA" w:rsidRPr="004A6462">
        <w:t>$10,345,984</w:t>
      </w:r>
      <w:r w:rsidR="0077072A" w:rsidRPr="004A6462">
        <w:t xml:space="preserve"> to 12 states</w:t>
      </w:r>
      <w:r w:rsidR="009141BA" w:rsidRPr="004A6462">
        <w:t xml:space="preserve"> for naloxone education and distribution</w:t>
      </w:r>
      <w:r w:rsidR="0077072A" w:rsidRPr="004A6462">
        <w:t xml:space="preserve">: Alaska, Arkansas, Illinois, Missouri, New Jersey, New Mexico, Oklahoma, South Carolina, Washington, Wisconsin, West Virginia, and Wyoming. The funding is aimed at reducing the number of </w:t>
      </w:r>
      <w:r w:rsidR="00682EF2" w:rsidRPr="004A6462">
        <w:t>PDO</w:t>
      </w:r>
      <w:r w:rsidR="0077072A" w:rsidRPr="004A6462">
        <w:t xml:space="preserve">-related deaths and adverse events among individuals 18 years of age and older through educating and training first responders and other key community sectors on the prevention of </w:t>
      </w:r>
      <w:r w:rsidR="00682EF2" w:rsidRPr="004A6462">
        <w:t>PDO</w:t>
      </w:r>
      <w:r w:rsidR="0077072A" w:rsidRPr="004A6462">
        <w:t xml:space="preserve">-related deaths, including the purchase and distribution of naloxone. </w:t>
      </w:r>
    </w:p>
    <w:p w14:paraId="378019CB" w14:textId="77777777" w:rsidR="00D057AF" w:rsidRPr="004A6462" w:rsidRDefault="00D057AF" w:rsidP="00D057AF"/>
    <w:p w14:paraId="486A6107" w14:textId="260DDF89" w:rsidR="008E1052" w:rsidRPr="004A6462" w:rsidRDefault="00D559E8" w:rsidP="00D057AF">
      <w:r w:rsidRPr="004A6462">
        <w:t xml:space="preserve">Consistent with the critical role that CDC plays in implementing and evaluating public health interventions and in alignment with HHS’s FY 2016 opioid plan, CDC’s Congressional Justification for FY 2016 included a request for funding to evaluate SAMHSA’s proposed </w:t>
      </w:r>
      <w:r w:rsidR="00833161" w:rsidRPr="004A6462">
        <w:t>PDO/</w:t>
      </w:r>
      <w:r w:rsidRPr="004A6462">
        <w:t xml:space="preserve">naloxone </w:t>
      </w:r>
      <w:r w:rsidR="00833161" w:rsidRPr="004A6462">
        <w:t xml:space="preserve">grant </w:t>
      </w:r>
      <w:r w:rsidRPr="004A6462">
        <w:t>program.  Once funds were appropriated, CDC coordinated with HHS and SAMHSA to ensure evaluation plans were complementary and comprehensive.</w:t>
      </w:r>
      <w:r w:rsidR="003B1B05" w:rsidRPr="004A6462">
        <w:t xml:space="preserve"> </w:t>
      </w:r>
      <w:r w:rsidR="00510CA0" w:rsidRPr="004A6462">
        <w:t>Through a memorandum of understanding between CDC and SAMHSA (Attachment</w:t>
      </w:r>
      <w:r w:rsidR="00EF3C36" w:rsidRPr="004A6462">
        <w:t xml:space="preserve"> H</w:t>
      </w:r>
      <w:r w:rsidR="00510CA0" w:rsidRPr="004A6462">
        <w:t xml:space="preserve">), </w:t>
      </w:r>
      <w:r w:rsidR="008E1052" w:rsidRPr="004A6462">
        <w:t xml:space="preserve">CDC, with the support of </w:t>
      </w:r>
      <w:r w:rsidR="00F0139B" w:rsidRPr="004A6462">
        <w:t xml:space="preserve">our contractor </w:t>
      </w:r>
      <w:r w:rsidR="008E1052" w:rsidRPr="004A6462">
        <w:t xml:space="preserve">Battelle, will evaluate </w:t>
      </w:r>
      <w:r w:rsidR="0098312E" w:rsidRPr="004A6462">
        <w:t>the grant program</w:t>
      </w:r>
      <w:r w:rsidR="008E1052" w:rsidRPr="004A6462">
        <w:t>. This evaluation will seek to describe and understand the scope</w:t>
      </w:r>
      <w:r w:rsidR="00657FF3" w:rsidRPr="004A6462">
        <w:t xml:space="preserve"> </w:t>
      </w:r>
      <w:r w:rsidR="007965FC" w:rsidRPr="004A6462">
        <w:t>and</w:t>
      </w:r>
      <w:r w:rsidR="005310F4" w:rsidRPr="004A6462">
        <w:t xml:space="preserve"> outcome</w:t>
      </w:r>
      <w:r w:rsidR="008E1052" w:rsidRPr="004A6462">
        <w:t xml:space="preserve"> of the program on overdose fatalities</w:t>
      </w:r>
      <w:r w:rsidR="00657FF3" w:rsidRPr="004A6462">
        <w:t>. It also seeks to</w:t>
      </w:r>
      <w:r w:rsidR="008E1052" w:rsidRPr="004A6462">
        <w:t xml:space="preserve"> increase the understanding of how program effectiveness may vary among different sub-populations and settings, and increase the knowledge of barriers and facilitators to program implementation. </w:t>
      </w:r>
      <w:r w:rsidR="0077072A" w:rsidRPr="004A6462">
        <w:t xml:space="preserve">This information will be crucial in helping CDC and SAMHSA address the </w:t>
      </w:r>
      <w:r w:rsidR="00682EF2" w:rsidRPr="004A6462">
        <w:t>PDO</w:t>
      </w:r>
      <w:r w:rsidR="0077072A" w:rsidRPr="004A6462">
        <w:t xml:space="preserve"> epidemic and assess the effectiveness of the program on preventing and reducing the number of </w:t>
      </w:r>
      <w:r w:rsidR="00682EF2" w:rsidRPr="004A6462">
        <w:t>PDO-related</w:t>
      </w:r>
      <w:r w:rsidR="0077072A" w:rsidRPr="004A6462">
        <w:t xml:space="preserve"> fatalities and adverse events</w:t>
      </w:r>
      <w:r w:rsidR="00E1243E" w:rsidRPr="004A6462">
        <w:t xml:space="preserve"> so that program improvements can be made and future funding mechanisms can utilize the most effective program elements and address any challenges that were experienced</w:t>
      </w:r>
      <w:r w:rsidR="0077072A" w:rsidRPr="004A6462">
        <w:t xml:space="preserve">. </w:t>
      </w:r>
      <w:r w:rsidR="0077072A" w:rsidRPr="004A6462">
        <w:tab/>
      </w:r>
    </w:p>
    <w:p w14:paraId="3419330B" w14:textId="77777777" w:rsidR="00D057AF" w:rsidRPr="004A6462" w:rsidRDefault="00D057AF" w:rsidP="00D057AF"/>
    <w:p w14:paraId="69A3E131" w14:textId="77777777" w:rsidR="00972DEF" w:rsidRPr="004A6462" w:rsidRDefault="00972DEF" w:rsidP="00F64FA1">
      <w:pPr>
        <w:tabs>
          <w:tab w:val="left" w:pos="360"/>
        </w:tabs>
        <w:autoSpaceDE w:val="0"/>
        <w:autoSpaceDN w:val="0"/>
        <w:adjustRightInd w:val="0"/>
        <w:rPr>
          <w:b/>
          <w:bCs/>
        </w:rPr>
      </w:pPr>
      <w:r w:rsidRPr="004A6462">
        <w:rPr>
          <w:b/>
          <w:bCs/>
        </w:rPr>
        <w:t xml:space="preserve">A.2. </w:t>
      </w:r>
      <w:r w:rsidR="00F64FA1" w:rsidRPr="004A6462">
        <w:rPr>
          <w:b/>
          <w:bCs/>
        </w:rPr>
        <w:t xml:space="preserve">    </w:t>
      </w:r>
      <w:r w:rsidRPr="004A6462">
        <w:rPr>
          <w:b/>
          <w:bCs/>
        </w:rPr>
        <w:t xml:space="preserve">Purpose and Use of Information Collection </w:t>
      </w:r>
    </w:p>
    <w:p w14:paraId="6489AAD6" w14:textId="77777777" w:rsidR="009733DE" w:rsidRPr="004A6462" w:rsidRDefault="009733DE" w:rsidP="00F64FA1">
      <w:pPr>
        <w:tabs>
          <w:tab w:val="left" w:pos="360"/>
        </w:tabs>
        <w:autoSpaceDE w:val="0"/>
        <w:autoSpaceDN w:val="0"/>
        <w:adjustRightInd w:val="0"/>
      </w:pPr>
    </w:p>
    <w:p w14:paraId="2540EA91" w14:textId="7607711E" w:rsidR="00057881" w:rsidRPr="004A6462" w:rsidRDefault="00EC759A" w:rsidP="00F64FA1">
      <w:pPr>
        <w:tabs>
          <w:tab w:val="left" w:pos="360"/>
        </w:tabs>
        <w:autoSpaceDE w:val="0"/>
        <w:autoSpaceDN w:val="0"/>
        <w:adjustRightInd w:val="0"/>
      </w:pPr>
      <w:r w:rsidRPr="004A6462">
        <w:t>The purpose of the</w:t>
      </w:r>
      <w:r w:rsidR="00706425" w:rsidRPr="004A6462">
        <w:t xml:space="preserve"> program</w:t>
      </w:r>
      <w:r w:rsidRPr="004A6462">
        <w:t xml:space="preserve"> </w:t>
      </w:r>
      <w:r w:rsidR="00886C12" w:rsidRPr="004A6462">
        <w:t xml:space="preserve">mixed-methods </w:t>
      </w:r>
      <w:r w:rsidRPr="004A6462">
        <w:t xml:space="preserve">evaluation is to </w:t>
      </w:r>
      <w:r w:rsidR="0077072A" w:rsidRPr="004A6462">
        <w:t xml:space="preserve">help CDC and SAMHSA understand the </w:t>
      </w:r>
      <w:r w:rsidR="00706425" w:rsidRPr="004A6462">
        <w:t xml:space="preserve">implementation factors that influence the </w:t>
      </w:r>
      <w:r w:rsidR="0077072A" w:rsidRPr="004A6462">
        <w:t xml:space="preserve">effectiveness of the PDO/naloxone grant </w:t>
      </w:r>
      <w:r w:rsidR="00057881" w:rsidRPr="004A6462">
        <w:t xml:space="preserve">on ameliorating the </w:t>
      </w:r>
      <w:r w:rsidR="00682EF2" w:rsidRPr="004A6462">
        <w:t>PDO</w:t>
      </w:r>
      <w:r w:rsidR="00057881" w:rsidRPr="004A6462">
        <w:t xml:space="preserve"> epidemic and reducing the number of overdose fatalities and adverse events. The results will enable CDC and SAMHSA to </w:t>
      </w:r>
      <w:r w:rsidR="00706425" w:rsidRPr="004A6462">
        <w:t xml:space="preserve">understand and </w:t>
      </w:r>
      <w:r w:rsidR="00057881" w:rsidRPr="004A6462">
        <w:t>address any challenges and barriers to program implementation</w:t>
      </w:r>
      <w:r w:rsidR="001E238E" w:rsidRPr="004A6462">
        <w:t xml:space="preserve"> and </w:t>
      </w:r>
      <w:r w:rsidR="008370E7" w:rsidRPr="004A6462">
        <w:t>inform continuous quality</w:t>
      </w:r>
      <w:r w:rsidR="001E238E" w:rsidRPr="004A6462">
        <w:t xml:space="preserve"> improvements during the funding cycle.</w:t>
      </w:r>
      <w:r w:rsidR="008370E7" w:rsidRPr="004A6462">
        <w:t xml:space="preserve"> </w:t>
      </w:r>
      <w:r w:rsidR="00886C12" w:rsidRPr="004A6462">
        <w:t xml:space="preserve">SAMHSA will be collecting program monitoring </w:t>
      </w:r>
      <w:r w:rsidR="00933188" w:rsidRPr="004A6462">
        <w:t>a</w:t>
      </w:r>
      <w:r w:rsidR="00886C12" w:rsidRPr="004A6462">
        <w:t xml:space="preserve">nd performance data.  CDC will collect qualitative data from SAMHSA grantees and their partners and those who benefit from related activities.  </w:t>
      </w:r>
      <w:r w:rsidR="00706425" w:rsidRPr="004A6462">
        <w:t xml:space="preserve">While </w:t>
      </w:r>
      <w:r w:rsidR="00682EF2" w:rsidRPr="004A6462">
        <w:t xml:space="preserve">the </w:t>
      </w:r>
      <w:r w:rsidR="00706425" w:rsidRPr="004A6462">
        <w:t xml:space="preserve">SAMHSA performance monitoring reporting system (OMB 0930-0354) tracks activities and collects associated administrative and performance related data, the </w:t>
      </w:r>
      <w:r w:rsidR="00E731AB" w:rsidRPr="004A6462">
        <w:t xml:space="preserve">qualitative data collection component of the </w:t>
      </w:r>
      <w:r w:rsidR="00706425" w:rsidRPr="004A6462">
        <w:t>program evaluation</w:t>
      </w:r>
      <w:r w:rsidR="007B7712" w:rsidRPr="004A6462">
        <w:t xml:space="preserve"> addressed in this ICR</w:t>
      </w:r>
      <w:r w:rsidR="00706425" w:rsidRPr="004A6462">
        <w:t xml:space="preserve"> will answer questions related to contextual factors that </w:t>
      </w:r>
      <w:r w:rsidR="00E731AB" w:rsidRPr="004A6462">
        <w:t xml:space="preserve">can </w:t>
      </w:r>
      <w:r w:rsidR="00706425" w:rsidRPr="004A6462">
        <w:t xml:space="preserve">further explain </w:t>
      </w:r>
      <w:r w:rsidR="00E731AB" w:rsidRPr="004A6462">
        <w:t xml:space="preserve">why and how the grantees were able to achieve </w:t>
      </w:r>
      <w:r w:rsidR="00706425" w:rsidRPr="004A6462">
        <w:t xml:space="preserve">successful reversal and decreased mortality from </w:t>
      </w:r>
      <w:r w:rsidR="00776F15" w:rsidRPr="004A6462">
        <w:t>naloxone</w:t>
      </w:r>
      <w:r w:rsidR="00706425" w:rsidRPr="004A6462">
        <w:t xml:space="preserve"> administration.  It </w:t>
      </w:r>
      <w:r w:rsidR="00E731AB" w:rsidRPr="004A6462">
        <w:t>will</w:t>
      </w:r>
      <w:r w:rsidR="00706425" w:rsidRPr="004A6462">
        <w:t xml:space="preserve"> also </w:t>
      </w:r>
      <w:r w:rsidR="00E731AB" w:rsidRPr="004A6462">
        <w:t xml:space="preserve">provide </w:t>
      </w:r>
      <w:r w:rsidR="00706425" w:rsidRPr="004A6462">
        <w:t xml:space="preserve">insight into why some efforts were not as successful.  Without this qualitative data </w:t>
      </w:r>
      <w:r w:rsidR="003E1A8B" w:rsidRPr="004A6462">
        <w:t>collection,</w:t>
      </w:r>
      <w:r w:rsidR="00706425" w:rsidRPr="004A6462">
        <w:t xml:space="preserve"> many </w:t>
      </w:r>
      <w:r w:rsidR="00E731AB" w:rsidRPr="004A6462">
        <w:t xml:space="preserve">of our key evaluation </w:t>
      </w:r>
      <w:r w:rsidR="00706425" w:rsidRPr="004A6462">
        <w:t xml:space="preserve">questions that </w:t>
      </w:r>
      <w:r w:rsidR="00E731AB" w:rsidRPr="004A6462">
        <w:t xml:space="preserve">can </w:t>
      </w:r>
      <w:r w:rsidR="00706425" w:rsidRPr="004A6462">
        <w:t xml:space="preserve">inform </w:t>
      </w:r>
      <w:r w:rsidR="00776F15" w:rsidRPr="004A6462">
        <w:t>future efforts in this critical area of the opioid response</w:t>
      </w:r>
      <w:r w:rsidR="00E731AB" w:rsidRPr="004A6462">
        <w:t xml:space="preserve"> will be left unanswered</w:t>
      </w:r>
      <w:r w:rsidR="00776F15" w:rsidRPr="004A6462">
        <w:t xml:space="preserve">.  </w:t>
      </w:r>
    </w:p>
    <w:p w14:paraId="46738EA6" w14:textId="77777777" w:rsidR="006753B0" w:rsidRPr="004A6462" w:rsidRDefault="006753B0" w:rsidP="00F64FA1">
      <w:pPr>
        <w:tabs>
          <w:tab w:val="left" w:pos="360"/>
        </w:tabs>
        <w:autoSpaceDE w:val="0"/>
        <w:autoSpaceDN w:val="0"/>
        <w:adjustRightInd w:val="0"/>
      </w:pPr>
    </w:p>
    <w:p w14:paraId="5A344534" w14:textId="2D05313F" w:rsidR="006753B0" w:rsidRDefault="00D57C84" w:rsidP="00F64FA1">
      <w:pPr>
        <w:tabs>
          <w:tab w:val="left" w:pos="360"/>
        </w:tabs>
        <w:autoSpaceDE w:val="0"/>
        <w:autoSpaceDN w:val="0"/>
        <w:adjustRightInd w:val="0"/>
      </w:pPr>
      <w:r w:rsidRPr="004A6462">
        <w:t>Table 1</w:t>
      </w:r>
      <w:r w:rsidR="00C05B6A" w:rsidRPr="004A6462">
        <w:t xml:space="preserve"> below specifies the overarching evaluation questions</w:t>
      </w:r>
      <w:r w:rsidR="00886C12" w:rsidRPr="004A6462">
        <w:t xml:space="preserve"> of the mixed method design</w:t>
      </w:r>
      <w:r w:rsidR="00C05B6A" w:rsidRPr="004A6462">
        <w:t xml:space="preserve"> and more specific outcome measures aligned with the sources of information </w:t>
      </w:r>
      <w:r w:rsidR="007B7712" w:rsidRPr="004A6462">
        <w:t xml:space="preserve">from </w:t>
      </w:r>
      <w:r w:rsidR="007965FC" w:rsidRPr="004A6462">
        <w:t xml:space="preserve">the </w:t>
      </w:r>
      <w:r w:rsidR="007B7712" w:rsidRPr="004A6462">
        <w:t>data collection efforts of CDC and SAMHSA</w:t>
      </w:r>
      <w:r w:rsidR="00C05B6A" w:rsidRPr="004A6462">
        <w:t>. This shows how the qualitative data collection proposed here will compliment other data sources (i.e.</w:t>
      </w:r>
      <w:r w:rsidR="007965FC" w:rsidRPr="004A6462">
        <w:t>,</w:t>
      </w:r>
      <w:r w:rsidR="00C05B6A" w:rsidRPr="004A6462">
        <w:t xml:space="preserve"> grantee reporting </w:t>
      </w:r>
      <w:r w:rsidR="00475EDD" w:rsidRPr="004A6462">
        <w:t xml:space="preserve">as collected by SAMHSA OMB 0930-0354 </w:t>
      </w:r>
      <w:r w:rsidR="00C05B6A" w:rsidRPr="004A6462">
        <w:t xml:space="preserve">and other reporting data from the state). Where qualitative data collection is collected in addition to one of these other sources of data, the qualitative data will provide rich detail that can only be collected through </w:t>
      </w:r>
      <w:r w:rsidR="004A47AE" w:rsidRPr="004A6462">
        <w:t xml:space="preserve">interviews and focus groups which allow the data collector to probe for specific details related to the outcome measure. </w:t>
      </w:r>
    </w:p>
    <w:p w14:paraId="3B3F0D63" w14:textId="7816CFB9" w:rsidR="003563A7" w:rsidRDefault="003563A7" w:rsidP="00F64FA1">
      <w:pPr>
        <w:tabs>
          <w:tab w:val="left" w:pos="360"/>
        </w:tabs>
        <w:autoSpaceDE w:val="0"/>
        <w:autoSpaceDN w:val="0"/>
        <w:adjustRightInd w:val="0"/>
      </w:pPr>
    </w:p>
    <w:p w14:paraId="1E2BE4EB" w14:textId="77777777" w:rsidR="003563A7" w:rsidRPr="004A6462" w:rsidRDefault="003563A7" w:rsidP="00F64FA1">
      <w:pPr>
        <w:tabs>
          <w:tab w:val="left" w:pos="360"/>
        </w:tabs>
        <w:autoSpaceDE w:val="0"/>
        <w:autoSpaceDN w:val="0"/>
        <w:adjustRightInd w:val="0"/>
      </w:pPr>
    </w:p>
    <w:p w14:paraId="6A87E265" w14:textId="5F89196F" w:rsidR="004A47AE" w:rsidRPr="004A6462" w:rsidRDefault="004A47AE" w:rsidP="00F64FA1">
      <w:pPr>
        <w:tabs>
          <w:tab w:val="left" w:pos="360"/>
        </w:tabs>
        <w:autoSpaceDE w:val="0"/>
        <w:autoSpaceDN w:val="0"/>
        <w:adjustRightInd w:val="0"/>
      </w:pPr>
    </w:p>
    <w:p w14:paraId="29A18FAB" w14:textId="07DDDC1B" w:rsidR="00A16A2E" w:rsidRPr="004A6462" w:rsidRDefault="00A16A2E" w:rsidP="00B64E4B">
      <w:pPr>
        <w:keepNext/>
        <w:tabs>
          <w:tab w:val="left" w:pos="360"/>
        </w:tabs>
        <w:autoSpaceDE w:val="0"/>
        <w:autoSpaceDN w:val="0"/>
        <w:adjustRightInd w:val="0"/>
      </w:pPr>
      <w:r w:rsidRPr="004A6462">
        <w:t xml:space="preserve">Table 1. Data Collection Instruments Aligned to </w:t>
      </w:r>
      <w:r w:rsidR="006C72D1" w:rsidRPr="004A6462">
        <w:t xml:space="preserve">CDC </w:t>
      </w:r>
      <w:r w:rsidRPr="004A6462">
        <w:t xml:space="preserve">Evaluation </w:t>
      </w:r>
    </w:p>
    <w:tbl>
      <w:tblPr>
        <w:tblStyle w:val="TableGrid"/>
        <w:tblW w:w="9625" w:type="dxa"/>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Layout w:type="fixed"/>
        <w:tblCellMar>
          <w:top w:w="14" w:type="dxa"/>
          <w:left w:w="86" w:type="dxa"/>
          <w:bottom w:w="14" w:type="dxa"/>
          <w:right w:w="86" w:type="dxa"/>
        </w:tblCellMar>
        <w:tblLook w:val="04A0" w:firstRow="1" w:lastRow="0" w:firstColumn="1" w:lastColumn="0" w:noHBand="0" w:noVBand="1"/>
      </w:tblPr>
      <w:tblGrid>
        <w:gridCol w:w="7375"/>
        <w:gridCol w:w="2250"/>
      </w:tblGrid>
      <w:tr w:rsidR="00482389" w:rsidRPr="004A6462" w14:paraId="43BF8BB8" w14:textId="77777777" w:rsidTr="00872886">
        <w:trPr>
          <w:trHeight w:val="345"/>
        </w:trPr>
        <w:tc>
          <w:tcPr>
            <w:tcW w:w="7375" w:type="dxa"/>
            <w:shd w:val="clear" w:color="auto" w:fill="365F91" w:themeFill="accent1" w:themeFillShade="BF"/>
            <w:vAlign w:val="center"/>
          </w:tcPr>
          <w:p w14:paraId="6BCC42B9" w14:textId="77777777" w:rsidR="00A16A2E" w:rsidRPr="004A6462" w:rsidRDefault="00A16A2E" w:rsidP="00482389">
            <w:pPr>
              <w:pStyle w:val="Brandedtblhead"/>
              <w:keepNext/>
              <w:jc w:val="center"/>
              <w:rPr>
                <w:rFonts w:ascii="Times New Roman" w:hAnsi="Times New Roman" w:cs="Times New Roman"/>
                <w:color w:val="FFFFFF" w:themeColor="background1"/>
                <w:sz w:val="24"/>
                <w:szCs w:val="24"/>
              </w:rPr>
            </w:pPr>
            <w:r w:rsidRPr="004A6462">
              <w:rPr>
                <w:rFonts w:ascii="Times New Roman" w:hAnsi="Times New Roman" w:cs="Times New Roman"/>
                <w:color w:val="FFFFFF" w:themeColor="background1"/>
                <w:sz w:val="24"/>
                <w:szCs w:val="24"/>
              </w:rPr>
              <w:t>Evaluation Questions and Outcome Measures</w:t>
            </w:r>
          </w:p>
          <w:p w14:paraId="0DFEE81E" w14:textId="77777777" w:rsidR="00A16A2E" w:rsidRPr="004A6462" w:rsidRDefault="00A16A2E" w:rsidP="00482389">
            <w:pPr>
              <w:keepNext/>
              <w:rPr>
                <w:b/>
                <w:color w:val="FFFFFF" w:themeColor="background1"/>
              </w:rPr>
            </w:pPr>
          </w:p>
        </w:tc>
        <w:tc>
          <w:tcPr>
            <w:tcW w:w="2250" w:type="dxa"/>
            <w:tcBorders>
              <w:bottom w:val="single" w:sz="4" w:space="0" w:color="auto"/>
            </w:tcBorders>
            <w:shd w:val="clear" w:color="auto" w:fill="365F91" w:themeFill="accent1" w:themeFillShade="BF"/>
            <w:vAlign w:val="center"/>
          </w:tcPr>
          <w:p w14:paraId="071B7761" w14:textId="0CDDF33F" w:rsidR="00A16A2E" w:rsidRPr="004A6462" w:rsidRDefault="00A16A2E" w:rsidP="00482389">
            <w:pPr>
              <w:pStyle w:val="Brandedtblcel"/>
              <w:keepNext/>
              <w:rPr>
                <w:rFonts w:ascii="Times New Roman" w:hAnsi="Times New Roman" w:cs="Times New Roman"/>
                <w:b/>
                <w:color w:val="FFFFFF" w:themeColor="background1"/>
                <w:sz w:val="24"/>
                <w:szCs w:val="24"/>
              </w:rPr>
            </w:pPr>
            <w:r w:rsidRPr="004A6462">
              <w:rPr>
                <w:rFonts w:ascii="Times New Roman" w:hAnsi="Times New Roman" w:cs="Times New Roman"/>
                <w:b/>
                <w:color w:val="FFFFFF" w:themeColor="background1"/>
                <w:sz w:val="24"/>
                <w:szCs w:val="24"/>
              </w:rPr>
              <w:t>Data Source</w:t>
            </w:r>
          </w:p>
        </w:tc>
      </w:tr>
      <w:tr w:rsidR="00A16A2E" w:rsidRPr="004A6462" w14:paraId="6FDD5335" w14:textId="77777777" w:rsidTr="00872886">
        <w:trPr>
          <w:trHeight w:val="345"/>
        </w:trPr>
        <w:tc>
          <w:tcPr>
            <w:tcW w:w="7375" w:type="dxa"/>
            <w:shd w:val="clear" w:color="auto" w:fill="D9D9D9" w:themeFill="background1" w:themeFillShade="D9"/>
            <w:vAlign w:val="center"/>
          </w:tcPr>
          <w:p w14:paraId="42E65DEC" w14:textId="6980E39E" w:rsidR="00A16A2E" w:rsidRPr="004A6462" w:rsidRDefault="00F55A34" w:rsidP="0053207D">
            <w:pPr>
              <w:pStyle w:val="ListParagraph"/>
              <w:numPr>
                <w:ilvl w:val="0"/>
                <w:numId w:val="12"/>
              </w:numPr>
              <w:rPr>
                <w:b/>
              </w:rPr>
            </w:pPr>
            <w:r w:rsidRPr="004A6462">
              <w:rPr>
                <w:b/>
              </w:rPr>
              <w:t xml:space="preserve">Did </w:t>
            </w:r>
            <w:r w:rsidR="00A16A2E" w:rsidRPr="004A6462">
              <w:rPr>
                <w:b/>
              </w:rPr>
              <w:t xml:space="preserve">the PDO/naloxone grant </w:t>
            </w:r>
            <w:r w:rsidR="0053207D" w:rsidRPr="004A6462">
              <w:rPr>
                <w:b/>
              </w:rPr>
              <w:t>lower</w:t>
            </w:r>
            <w:r w:rsidR="00A16A2E" w:rsidRPr="004A6462">
              <w:rPr>
                <w:b/>
              </w:rPr>
              <w:t xml:space="preserve"> prescription drug/opioid overdose-related morbidity and mortality in funded states?</w:t>
            </w:r>
          </w:p>
        </w:tc>
        <w:tc>
          <w:tcPr>
            <w:tcW w:w="2250" w:type="dxa"/>
            <w:tcBorders>
              <w:bottom w:val="single" w:sz="4" w:space="0" w:color="auto"/>
            </w:tcBorders>
            <w:shd w:val="clear" w:color="auto" w:fill="D9D9D9" w:themeFill="background1" w:themeFillShade="D9"/>
            <w:vAlign w:val="center"/>
          </w:tcPr>
          <w:p w14:paraId="1F6B3BAE" w14:textId="0FD3615B" w:rsidR="00A16A2E" w:rsidRPr="004A6462" w:rsidRDefault="00A16A2E" w:rsidP="00526803">
            <w:pPr>
              <w:pStyle w:val="Brandedtblcel"/>
              <w:rPr>
                <w:rFonts w:ascii="Times New Roman" w:hAnsi="Times New Roman" w:cs="Times New Roman"/>
                <w:sz w:val="24"/>
                <w:szCs w:val="24"/>
              </w:rPr>
            </w:pPr>
          </w:p>
        </w:tc>
      </w:tr>
      <w:tr w:rsidR="00A16A2E" w:rsidRPr="004A6462" w14:paraId="666EE328" w14:textId="77777777" w:rsidTr="00872886">
        <w:tc>
          <w:tcPr>
            <w:tcW w:w="7375" w:type="dxa"/>
            <w:shd w:val="clear" w:color="auto" w:fill="auto"/>
            <w:vAlign w:val="center"/>
          </w:tcPr>
          <w:p w14:paraId="18CDFFA8" w14:textId="77777777" w:rsidR="00A16A2E" w:rsidRPr="004A6462" w:rsidRDefault="00A16A2E" w:rsidP="00526803">
            <w:pPr>
              <w:pStyle w:val="Brandedtblcel"/>
              <w:ind w:left="720"/>
              <w:jc w:val="both"/>
              <w:rPr>
                <w:rFonts w:ascii="Times New Roman" w:hAnsi="Times New Roman" w:cs="Times New Roman"/>
                <w:sz w:val="24"/>
                <w:szCs w:val="24"/>
              </w:rPr>
            </w:pPr>
            <w:r w:rsidRPr="004A6462">
              <w:rPr>
                <w:rFonts w:ascii="Times New Roman" w:hAnsi="Times New Roman" w:cs="Times New Roman"/>
                <w:sz w:val="24"/>
                <w:szCs w:val="24"/>
              </w:rPr>
              <w:t>1.1 What were the changes in morbidity/mortality related to prescription drug/opioid overdose?</w:t>
            </w:r>
          </w:p>
        </w:tc>
        <w:tc>
          <w:tcPr>
            <w:tcW w:w="2250" w:type="dxa"/>
            <w:tcBorders>
              <w:bottom w:val="single" w:sz="4" w:space="0" w:color="auto"/>
            </w:tcBorders>
            <w:shd w:val="clear" w:color="auto" w:fill="auto"/>
            <w:vAlign w:val="center"/>
          </w:tcPr>
          <w:p w14:paraId="7B96E227" w14:textId="7E9DD1E1" w:rsidR="00A16A2E" w:rsidRPr="004A6462" w:rsidRDefault="000C41AD" w:rsidP="00526803">
            <w:pPr>
              <w:pStyle w:val="Brandedtblcel"/>
              <w:rPr>
                <w:rFonts w:ascii="Times New Roman" w:hAnsi="Times New Roman" w:cs="Times New Roman"/>
                <w:sz w:val="24"/>
                <w:szCs w:val="24"/>
              </w:rPr>
            </w:pPr>
            <w:r w:rsidRPr="004A6462">
              <w:rPr>
                <w:rFonts w:ascii="Times New Roman" w:hAnsi="Times New Roman" w:cs="Times New Roman"/>
                <w:sz w:val="24"/>
                <w:szCs w:val="24"/>
              </w:rPr>
              <w:t>SAMHSA OMB 0930-0354</w:t>
            </w:r>
          </w:p>
        </w:tc>
      </w:tr>
      <w:tr w:rsidR="00A16A2E" w:rsidRPr="004A6462" w14:paraId="577C842B" w14:textId="77777777" w:rsidTr="00872886">
        <w:trPr>
          <w:trHeight w:val="255"/>
        </w:trPr>
        <w:tc>
          <w:tcPr>
            <w:tcW w:w="7375" w:type="dxa"/>
            <w:shd w:val="clear" w:color="auto" w:fill="auto"/>
            <w:vAlign w:val="center"/>
          </w:tcPr>
          <w:p w14:paraId="470D7270" w14:textId="77777777" w:rsidR="00A16A2E" w:rsidRPr="004A6462" w:rsidRDefault="00A16A2E" w:rsidP="00526803">
            <w:pPr>
              <w:pStyle w:val="Brandedtblcel"/>
              <w:ind w:left="720"/>
              <w:rPr>
                <w:rFonts w:ascii="Times New Roman" w:hAnsi="Times New Roman" w:cs="Times New Roman"/>
                <w:sz w:val="24"/>
                <w:szCs w:val="24"/>
              </w:rPr>
            </w:pPr>
            <w:r w:rsidRPr="004A6462">
              <w:rPr>
                <w:rFonts w:ascii="Times New Roman" w:hAnsi="Times New Roman" w:cs="Times New Roman"/>
                <w:sz w:val="24"/>
                <w:szCs w:val="24"/>
              </w:rPr>
              <w:t>1.2 What were the changes in prescription drug/opioid overdose reversals?</w:t>
            </w:r>
          </w:p>
        </w:tc>
        <w:tc>
          <w:tcPr>
            <w:tcW w:w="2250" w:type="dxa"/>
            <w:shd w:val="clear" w:color="auto" w:fill="auto"/>
            <w:vAlign w:val="center"/>
          </w:tcPr>
          <w:p w14:paraId="1E8B0CF3" w14:textId="145E4A5F" w:rsidR="00A16A2E" w:rsidRPr="004A6462" w:rsidRDefault="000C41AD" w:rsidP="00526803">
            <w:pPr>
              <w:pStyle w:val="Brandedtblcel"/>
              <w:rPr>
                <w:rFonts w:ascii="Times New Roman" w:hAnsi="Times New Roman" w:cs="Times New Roman"/>
                <w:sz w:val="24"/>
                <w:szCs w:val="24"/>
              </w:rPr>
            </w:pPr>
            <w:r w:rsidRPr="004A6462">
              <w:rPr>
                <w:rFonts w:ascii="Times New Roman" w:hAnsi="Times New Roman" w:cs="Times New Roman"/>
                <w:sz w:val="24"/>
                <w:szCs w:val="24"/>
              </w:rPr>
              <w:t>SAMHSA OMB 0930-0354</w:t>
            </w:r>
          </w:p>
        </w:tc>
      </w:tr>
      <w:tr w:rsidR="00A16A2E" w:rsidRPr="004A6462" w14:paraId="56B6BCD3" w14:textId="77777777" w:rsidTr="00872886">
        <w:trPr>
          <w:trHeight w:val="255"/>
        </w:trPr>
        <w:tc>
          <w:tcPr>
            <w:tcW w:w="7375" w:type="dxa"/>
            <w:shd w:val="clear" w:color="auto" w:fill="D9D9D9" w:themeFill="background1" w:themeFillShade="D9"/>
            <w:vAlign w:val="center"/>
          </w:tcPr>
          <w:p w14:paraId="5EE740CF" w14:textId="0A31BD01" w:rsidR="00A16A2E" w:rsidRPr="004A6462" w:rsidRDefault="00751E50" w:rsidP="00482389">
            <w:pPr>
              <w:pStyle w:val="Brandedtblcel"/>
              <w:numPr>
                <w:ilvl w:val="0"/>
                <w:numId w:val="12"/>
              </w:numPr>
              <w:rPr>
                <w:rFonts w:ascii="Times New Roman" w:hAnsi="Times New Roman" w:cs="Times New Roman"/>
                <w:b/>
                <w:sz w:val="24"/>
                <w:szCs w:val="24"/>
              </w:rPr>
            </w:pPr>
            <w:r w:rsidRPr="004A6462">
              <w:rPr>
                <w:rFonts w:ascii="Times New Roman" w:hAnsi="Times New Roman" w:cs="Times New Roman"/>
                <w:b/>
                <w:sz w:val="24"/>
                <w:szCs w:val="24"/>
              </w:rPr>
              <w:t>How</w:t>
            </w:r>
            <w:r w:rsidR="00A16A2E" w:rsidRPr="004A6462">
              <w:rPr>
                <w:rFonts w:ascii="Times New Roman" w:hAnsi="Times New Roman" w:cs="Times New Roman"/>
                <w:b/>
                <w:sz w:val="24"/>
                <w:szCs w:val="24"/>
              </w:rPr>
              <w:t xml:space="preserve"> did </w:t>
            </w:r>
            <w:r w:rsidR="00482389" w:rsidRPr="004A6462">
              <w:rPr>
                <w:rFonts w:ascii="Times New Roman" w:hAnsi="Times New Roman" w:cs="Times New Roman"/>
                <w:b/>
                <w:sz w:val="24"/>
                <w:szCs w:val="24"/>
              </w:rPr>
              <w:t xml:space="preserve">the </w:t>
            </w:r>
            <w:r w:rsidR="00A16A2E" w:rsidRPr="004A6462">
              <w:rPr>
                <w:rFonts w:ascii="Times New Roman" w:hAnsi="Times New Roman" w:cs="Times New Roman"/>
                <w:b/>
                <w:sz w:val="24"/>
                <w:szCs w:val="24"/>
              </w:rPr>
              <w:t xml:space="preserve">PDO/naloxone </w:t>
            </w:r>
            <w:r w:rsidR="00482389" w:rsidRPr="004A6462">
              <w:rPr>
                <w:rFonts w:ascii="Times New Roman" w:hAnsi="Times New Roman" w:cs="Times New Roman"/>
                <w:b/>
                <w:sz w:val="24"/>
                <w:szCs w:val="24"/>
              </w:rPr>
              <w:t>grant</w:t>
            </w:r>
            <w:r w:rsidR="00A16A2E" w:rsidRPr="004A6462">
              <w:rPr>
                <w:rFonts w:ascii="Times New Roman" w:hAnsi="Times New Roman" w:cs="Times New Roman"/>
                <w:b/>
                <w:sz w:val="24"/>
                <w:szCs w:val="24"/>
              </w:rPr>
              <w:t xml:space="preserve"> </w:t>
            </w:r>
            <w:r w:rsidR="00482389" w:rsidRPr="004A6462">
              <w:rPr>
                <w:rFonts w:ascii="Times New Roman" w:hAnsi="Times New Roman" w:cs="Times New Roman"/>
                <w:b/>
                <w:sz w:val="24"/>
                <w:szCs w:val="24"/>
              </w:rPr>
              <w:t>change</w:t>
            </w:r>
            <w:r w:rsidR="00A16A2E" w:rsidRPr="004A6462">
              <w:rPr>
                <w:rFonts w:ascii="Times New Roman" w:hAnsi="Times New Roman" w:cs="Times New Roman"/>
                <w:b/>
                <w:sz w:val="24"/>
                <w:szCs w:val="24"/>
              </w:rPr>
              <w:t xml:space="preserve"> access to naloxone in funded states?</w:t>
            </w:r>
          </w:p>
        </w:tc>
        <w:tc>
          <w:tcPr>
            <w:tcW w:w="2250" w:type="dxa"/>
            <w:shd w:val="clear" w:color="auto" w:fill="D9D9D9" w:themeFill="background1" w:themeFillShade="D9"/>
            <w:vAlign w:val="center"/>
          </w:tcPr>
          <w:p w14:paraId="6BE54C8D" w14:textId="77777777" w:rsidR="00A16A2E" w:rsidRPr="004A6462" w:rsidRDefault="00A16A2E" w:rsidP="00526803">
            <w:pPr>
              <w:pStyle w:val="Brandedtblcel"/>
              <w:rPr>
                <w:rFonts w:ascii="Times New Roman" w:hAnsi="Times New Roman" w:cs="Times New Roman"/>
                <w:sz w:val="24"/>
                <w:szCs w:val="24"/>
              </w:rPr>
            </w:pPr>
          </w:p>
        </w:tc>
      </w:tr>
      <w:tr w:rsidR="00A16A2E" w:rsidRPr="004A6462" w14:paraId="082A1F09" w14:textId="77777777" w:rsidTr="00872886">
        <w:trPr>
          <w:trHeight w:val="255"/>
        </w:trPr>
        <w:tc>
          <w:tcPr>
            <w:tcW w:w="7375" w:type="dxa"/>
            <w:shd w:val="clear" w:color="auto" w:fill="auto"/>
            <w:vAlign w:val="center"/>
          </w:tcPr>
          <w:p w14:paraId="3B76D161" w14:textId="1281F0D8" w:rsidR="00A16A2E" w:rsidRPr="004A6462" w:rsidRDefault="00A16A2E" w:rsidP="00820F27">
            <w:pPr>
              <w:pStyle w:val="Brandedtblcel"/>
              <w:ind w:left="720"/>
              <w:rPr>
                <w:rFonts w:ascii="Times New Roman" w:hAnsi="Times New Roman" w:cs="Times New Roman"/>
                <w:sz w:val="24"/>
                <w:szCs w:val="24"/>
              </w:rPr>
            </w:pPr>
            <w:r w:rsidRPr="004A6462">
              <w:rPr>
                <w:rFonts w:ascii="Times New Roman" w:hAnsi="Times New Roman" w:cs="Times New Roman"/>
                <w:sz w:val="24"/>
                <w:szCs w:val="24"/>
              </w:rPr>
              <w:t>2.1 What were the changes in the availability of naloxone among high-need communities and partner organizations?</w:t>
            </w:r>
          </w:p>
        </w:tc>
        <w:tc>
          <w:tcPr>
            <w:tcW w:w="2250" w:type="dxa"/>
            <w:shd w:val="clear" w:color="auto" w:fill="auto"/>
            <w:vAlign w:val="center"/>
          </w:tcPr>
          <w:p w14:paraId="5C2164EF" w14:textId="0C40D6E2" w:rsidR="00A16A2E" w:rsidRPr="004A6462" w:rsidRDefault="000C41AD" w:rsidP="00526803">
            <w:pPr>
              <w:pStyle w:val="Brandedtblcel"/>
              <w:rPr>
                <w:rFonts w:ascii="Times New Roman" w:hAnsi="Times New Roman" w:cs="Times New Roman"/>
                <w:sz w:val="24"/>
                <w:szCs w:val="24"/>
              </w:rPr>
            </w:pPr>
            <w:r w:rsidRPr="004A6462">
              <w:rPr>
                <w:rFonts w:ascii="Times New Roman" w:hAnsi="Times New Roman" w:cs="Times New Roman"/>
                <w:sz w:val="24"/>
                <w:szCs w:val="24"/>
              </w:rPr>
              <w:t>SAMHSA OMB 0930-0354</w:t>
            </w:r>
          </w:p>
        </w:tc>
      </w:tr>
      <w:tr w:rsidR="00A16A2E" w:rsidRPr="004A6462" w14:paraId="315E77F9" w14:textId="77777777" w:rsidTr="00482389">
        <w:trPr>
          <w:trHeight w:val="255"/>
        </w:trPr>
        <w:tc>
          <w:tcPr>
            <w:tcW w:w="7375" w:type="dxa"/>
            <w:shd w:val="clear" w:color="auto" w:fill="auto"/>
          </w:tcPr>
          <w:p w14:paraId="52F5598F" w14:textId="77777777" w:rsidR="00A16A2E" w:rsidRPr="004A6462" w:rsidRDefault="00A16A2E" w:rsidP="00482389">
            <w:pPr>
              <w:pStyle w:val="Brandedtblcel"/>
              <w:ind w:left="720"/>
              <w:rPr>
                <w:rFonts w:ascii="Times New Roman" w:hAnsi="Times New Roman" w:cs="Times New Roman"/>
                <w:sz w:val="24"/>
                <w:szCs w:val="24"/>
              </w:rPr>
            </w:pPr>
            <w:r w:rsidRPr="004A6462">
              <w:rPr>
                <w:rFonts w:ascii="Times New Roman" w:hAnsi="Times New Roman" w:cs="Times New Roman"/>
                <w:sz w:val="24"/>
                <w:szCs w:val="24"/>
              </w:rPr>
              <w:t>2.2 To whom was naloxone distributed and how?</w:t>
            </w:r>
          </w:p>
        </w:tc>
        <w:tc>
          <w:tcPr>
            <w:tcW w:w="2250" w:type="dxa"/>
            <w:shd w:val="clear" w:color="auto" w:fill="auto"/>
            <w:vAlign w:val="center"/>
          </w:tcPr>
          <w:p w14:paraId="79BF0CE4" w14:textId="08709480" w:rsidR="00751E50" w:rsidRPr="004A6462" w:rsidRDefault="00A16A2E" w:rsidP="00526803">
            <w:pPr>
              <w:pStyle w:val="Brandedtblcel"/>
              <w:rPr>
                <w:rFonts w:ascii="Times New Roman" w:hAnsi="Times New Roman" w:cs="Times New Roman"/>
                <w:sz w:val="24"/>
                <w:szCs w:val="24"/>
              </w:rPr>
            </w:pPr>
            <w:r w:rsidRPr="004A6462">
              <w:rPr>
                <w:rFonts w:ascii="Times New Roman" w:hAnsi="Times New Roman" w:cs="Times New Roman"/>
                <w:sz w:val="24"/>
                <w:szCs w:val="24"/>
              </w:rPr>
              <w:t>FG, KII-G, KII-P, KII-L</w:t>
            </w:r>
          </w:p>
        </w:tc>
      </w:tr>
      <w:tr w:rsidR="00A16A2E" w:rsidRPr="004A6462" w14:paraId="016FFDF5" w14:textId="77777777" w:rsidTr="00872886">
        <w:trPr>
          <w:trHeight w:val="255"/>
        </w:trPr>
        <w:tc>
          <w:tcPr>
            <w:tcW w:w="7375" w:type="dxa"/>
            <w:shd w:val="clear" w:color="auto" w:fill="auto"/>
            <w:vAlign w:val="center"/>
          </w:tcPr>
          <w:p w14:paraId="102D49BA" w14:textId="61FDAFB7" w:rsidR="00A16A2E" w:rsidRPr="004A6462" w:rsidRDefault="00A16A2E" w:rsidP="00526803">
            <w:pPr>
              <w:ind w:left="720"/>
            </w:pPr>
            <w:r w:rsidRPr="004A6462">
              <w:t xml:space="preserve">2.3 Was </w:t>
            </w:r>
            <w:r w:rsidR="00867012" w:rsidRPr="004A6462">
              <w:t>n</w:t>
            </w:r>
            <w:r w:rsidRPr="004A6462">
              <w:t>aloxone distributed as intended? What factors facilitated or impeded distribution?</w:t>
            </w:r>
          </w:p>
        </w:tc>
        <w:tc>
          <w:tcPr>
            <w:tcW w:w="2250" w:type="dxa"/>
            <w:shd w:val="clear" w:color="auto" w:fill="auto"/>
          </w:tcPr>
          <w:p w14:paraId="6E244B77" w14:textId="1B9B83D8" w:rsidR="00A16A2E" w:rsidRPr="004A6462" w:rsidRDefault="00A16A2E" w:rsidP="00ED7CDE">
            <w:pPr>
              <w:pStyle w:val="Brandedtblcel"/>
              <w:rPr>
                <w:rFonts w:ascii="Times New Roman" w:hAnsi="Times New Roman" w:cs="Times New Roman"/>
                <w:sz w:val="24"/>
                <w:szCs w:val="24"/>
              </w:rPr>
            </w:pPr>
            <w:r w:rsidRPr="004A6462">
              <w:rPr>
                <w:rFonts w:ascii="Times New Roman" w:hAnsi="Times New Roman" w:cs="Times New Roman"/>
                <w:sz w:val="24"/>
                <w:szCs w:val="24"/>
              </w:rPr>
              <w:t>FG, KII-G</w:t>
            </w:r>
          </w:p>
        </w:tc>
      </w:tr>
      <w:tr w:rsidR="00A16A2E" w:rsidRPr="004A6462" w14:paraId="2A721C7A" w14:textId="77777777" w:rsidTr="00872886">
        <w:trPr>
          <w:trHeight w:val="255"/>
        </w:trPr>
        <w:tc>
          <w:tcPr>
            <w:tcW w:w="7375" w:type="dxa"/>
            <w:shd w:val="clear" w:color="auto" w:fill="D9D9D9" w:themeFill="background1" w:themeFillShade="D9"/>
            <w:vAlign w:val="center"/>
          </w:tcPr>
          <w:p w14:paraId="406E5EDE" w14:textId="5B499064" w:rsidR="00A16A2E" w:rsidRPr="004A6462" w:rsidRDefault="00867012" w:rsidP="00867012">
            <w:pPr>
              <w:pStyle w:val="ListParagraph"/>
              <w:numPr>
                <w:ilvl w:val="0"/>
                <w:numId w:val="12"/>
              </w:numPr>
              <w:rPr>
                <w:b/>
              </w:rPr>
            </w:pPr>
            <w:r w:rsidRPr="004A6462">
              <w:rPr>
                <w:b/>
              </w:rPr>
              <w:t>D</w:t>
            </w:r>
            <w:r w:rsidR="00A16A2E" w:rsidRPr="004A6462">
              <w:rPr>
                <w:b/>
              </w:rPr>
              <w:t xml:space="preserve">id </w:t>
            </w:r>
            <w:r w:rsidRPr="004A6462">
              <w:rPr>
                <w:b/>
              </w:rPr>
              <w:t xml:space="preserve">the </w:t>
            </w:r>
            <w:r w:rsidR="00A16A2E" w:rsidRPr="004A6462">
              <w:rPr>
                <w:b/>
              </w:rPr>
              <w:t>PDO/naloxone funding  increas</w:t>
            </w:r>
            <w:r w:rsidRPr="004A6462">
              <w:rPr>
                <w:b/>
              </w:rPr>
              <w:t>e</w:t>
            </w:r>
            <w:r w:rsidR="00A16A2E" w:rsidRPr="004A6462">
              <w:rPr>
                <w:b/>
              </w:rPr>
              <w:t xml:space="preserve"> infrastructure and sustainability </w:t>
            </w:r>
            <w:r w:rsidRPr="004A6462">
              <w:rPr>
                <w:b/>
              </w:rPr>
              <w:t>for</w:t>
            </w:r>
            <w:r w:rsidR="00A16A2E" w:rsidRPr="004A6462">
              <w:rPr>
                <w:b/>
              </w:rPr>
              <w:t xml:space="preserve"> PDO prevention efforts in funded states?</w:t>
            </w:r>
          </w:p>
        </w:tc>
        <w:tc>
          <w:tcPr>
            <w:tcW w:w="2250" w:type="dxa"/>
            <w:shd w:val="clear" w:color="auto" w:fill="D9D9D9" w:themeFill="background1" w:themeFillShade="D9"/>
          </w:tcPr>
          <w:p w14:paraId="52F56009" w14:textId="77777777" w:rsidR="00A16A2E" w:rsidRPr="004A6462" w:rsidRDefault="00A16A2E" w:rsidP="00526803"/>
        </w:tc>
      </w:tr>
      <w:tr w:rsidR="00A16A2E" w:rsidRPr="004A6462" w14:paraId="5DC9D982" w14:textId="77777777" w:rsidTr="00872886">
        <w:trPr>
          <w:trHeight w:val="255"/>
        </w:trPr>
        <w:tc>
          <w:tcPr>
            <w:tcW w:w="7375" w:type="dxa"/>
            <w:shd w:val="clear" w:color="auto" w:fill="auto"/>
            <w:vAlign w:val="center"/>
          </w:tcPr>
          <w:p w14:paraId="76BB3AAD" w14:textId="77777777" w:rsidR="00A16A2E" w:rsidRPr="004A6462" w:rsidRDefault="00A16A2E" w:rsidP="00526803">
            <w:pPr>
              <w:pStyle w:val="Brandedtblcel"/>
              <w:ind w:left="720"/>
              <w:rPr>
                <w:rFonts w:ascii="Times New Roman" w:hAnsi="Times New Roman" w:cs="Times New Roman"/>
                <w:sz w:val="24"/>
                <w:szCs w:val="24"/>
              </w:rPr>
            </w:pPr>
            <w:r w:rsidRPr="004A6462">
              <w:rPr>
                <w:rFonts w:ascii="Times New Roman" w:hAnsi="Times New Roman" w:cs="Times New Roman"/>
                <w:sz w:val="24"/>
                <w:szCs w:val="24"/>
              </w:rPr>
              <w:t xml:space="preserve">3.1 What approaches were used to identify and engage partners? Which approaches were most successful? </w:t>
            </w:r>
          </w:p>
        </w:tc>
        <w:tc>
          <w:tcPr>
            <w:tcW w:w="2250" w:type="dxa"/>
            <w:shd w:val="clear" w:color="auto" w:fill="auto"/>
            <w:vAlign w:val="center"/>
          </w:tcPr>
          <w:p w14:paraId="3E83B52A" w14:textId="3D74EC51" w:rsidR="00A16A2E" w:rsidRPr="004A6462" w:rsidRDefault="00A16A2E" w:rsidP="00526803">
            <w:pPr>
              <w:pStyle w:val="Brandedtblcel"/>
              <w:rPr>
                <w:rFonts w:ascii="Times New Roman" w:hAnsi="Times New Roman" w:cs="Times New Roman"/>
                <w:sz w:val="24"/>
                <w:szCs w:val="24"/>
              </w:rPr>
            </w:pPr>
            <w:r w:rsidRPr="004A6462">
              <w:rPr>
                <w:rFonts w:ascii="Times New Roman" w:hAnsi="Times New Roman" w:cs="Times New Roman"/>
                <w:sz w:val="24"/>
                <w:szCs w:val="24"/>
              </w:rPr>
              <w:t>FG, KII-G, KII-P</w:t>
            </w:r>
          </w:p>
        </w:tc>
      </w:tr>
      <w:tr w:rsidR="00A16A2E" w:rsidRPr="004A6462" w14:paraId="31226DDE" w14:textId="77777777" w:rsidTr="00872886">
        <w:trPr>
          <w:trHeight w:val="255"/>
        </w:trPr>
        <w:tc>
          <w:tcPr>
            <w:tcW w:w="7375" w:type="dxa"/>
            <w:shd w:val="clear" w:color="auto" w:fill="auto"/>
            <w:vAlign w:val="center"/>
          </w:tcPr>
          <w:p w14:paraId="23AA347C" w14:textId="77777777" w:rsidR="00A16A2E" w:rsidRPr="004A6462" w:rsidRDefault="00A16A2E" w:rsidP="00526803">
            <w:pPr>
              <w:ind w:left="720"/>
            </w:pPr>
            <w:r w:rsidRPr="004A6462">
              <w:t>3.2 What worked well in forming the advisory council? What could have been done more effectively?</w:t>
            </w:r>
          </w:p>
        </w:tc>
        <w:tc>
          <w:tcPr>
            <w:tcW w:w="2250" w:type="dxa"/>
            <w:shd w:val="clear" w:color="auto" w:fill="auto"/>
            <w:vAlign w:val="center"/>
          </w:tcPr>
          <w:p w14:paraId="3BCFE21E" w14:textId="08B6D593" w:rsidR="00A16A2E" w:rsidRPr="004A6462" w:rsidRDefault="00A16A2E" w:rsidP="00526803">
            <w:pPr>
              <w:pStyle w:val="Brandedtblcel"/>
              <w:rPr>
                <w:rFonts w:ascii="Times New Roman" w:hAnsi="Times New Roman" w:cs="Times New Roman"/>
                <w:sz w:val="24"/>
                <w:szCs w:val="24"/>
              </w:rPr>
            </w:pPr>
            <w:r w:rsidRPr="004A6462">
              <w:rPr>
                <w:rFonts w:ascii="Times New Roman" w:hAnsi="Times New Roman" w:cs="Times New Roman"/>
                <w:sz w:val="24"/>
                <w:szCs w:val="24"/>
              </w:rPr>
              <w:t>FG, KII-G</w:t>
            </w:r>
          </w:p>
        </w:tc>
      </w:tr>
      <w:tr w:rsidR="00A16A2E" w:rsidRPr="004A6462" w14:paraId="3E01FD0F" w14:textId="77777777" w:rsidTr="00872886">
        <w:trPr>
          <w:trHeight w:val="255"/>
        </w:trPr>
        <w:tc>
          <w:tcPr>
            <w:tcW w:w="7375" w:type="dxa"/>
            <w:shd w:val="clear" w:color="auto" w:fill="auto"/>
            <w:vAlign w:val="center"/>
          </w:tcPr>
          <w:p w14:paraId="10DDB6BE" w14:textId="77777777" w:rsidR="00A16A2E" w:rsidRPr="004A6462" w:rsidRDefault="00A16A2E" w:rsidP="00526803">
            <w:pPr>
              <w:ind w:left="720"/>
            </w:pPr>
            <w:r w:rsidRPr="004A6462">
              <w:t xml:space="preserve">3.3. What approaches to developing systems for tracking outcomes were most successful or least successful and why?  </w:t>
            </w:r>
          </w:p>
        </w:tc>
        <w:tc>
          <w:tcPr>
            <w:tcW w:w="2250" w:type="dxa"/>
            <w:shd w:val="clear" w:color="auto" w:fill="auto"/>
            <w:vAlign w:val="center"/>
          </w:tcPr>
          <w:p w14:paraId="58E75703" w14:textId="2062180C" w:rsidR="00A16A2E" w:rsidRPr="004A6462" w:rsidRDefault="00A16A2E" w:rsidP="00526803">
            <w:pPr>
              <w:pStyle w:val="Brandedtblcel"/>
              <w:rPr>
                <w:rFonts w:ascii="Times New Roman" w:hAnsi="Times New Roman" w:cs="Times New Roman"/>
                <w:sz w:val="24"/>
                <w:szCs w:val="24"/>
              </w:rPr>
            </w:pPr>
            <w:r w:rsidRPr="004A6462">
              <w:rPr>
                <w:rFonts w:ascii="Times New Roman" w:hAnsi="Times New Roman" w:cs="Times New Roman"/>
                <w:sz w:val="24"/>
                <w:szCs w:val="24"/>
              </w:rPr>
              <w:t>FG, KII-G, KII-P</w:t>
            </w:r>
          </w:p>
        </w:tc>
      </w:tr>
      <w:tr w:rsidR="00A16A2E" w:rsidRPr="004A6462" w14:paraId="6C2291FF" w14:textId="77777777" w:rsidTr="00872886">
        <w:trPr>
          <w:trHeight w:val="255"/>
        </w:trPr>
        <w:tc>
          <w:tcPr>
            <w:tcW w:w="7375" w:type="dxa"/>
            <w:shd w:val="clear" w:color="auto" w:fill="auto"/>
            <w:vAlign w:val="center"/>
          </w:tcPr>
          <w:p w14:paraId="6D5602A9" w14:textId="77777777" w:rsidR="00A16A2E" w:rsidRPr="004A6462" w:rsidRDefault="00A16A2E" w:rsidP="00526803">
            <w:pPr>
              <w:ind w:left="720"/>
            </w:pPr>
            <w:r w:rsidRPr="004A6462">
              <w:t>3.4 What barriers or facilitators were experienced during the planning, capacity building, or initial implementation stage and how were these addressed?</w:t>
            </w:r>
          </w:p>
        </w:tc>
        <w:tc>
          <w:tcPr>
            <w:tcW w:w="2250" w:type="dxa"/>
            <w:shd w:val="clear" w:color="auto" w:fill="auto"/>
            <w:vAlign w:val="center"/>
          </w:tcPr>
          <w:p w14:paraId="162387EF" w14:textId="7F47896E" w:rsidR="00A16A2E" w:rsidRPr="004A6462" w:rsidRDefault="00A16A2E" w:rsidP="00526803">
            <w:pPr>
              <w:pStyle w:val="Brandedtblcel"/>
              <w:rPr>
                <w:rFonts w:ascii="Times New Roman" w:hAnsi="Times New Roman" w:cs="Times New Roman"/>
                <w:sz w:val="24"/>
                <w:szCs w:val="24"/>
              </w:rPr>
            </w:pPr>
            <w:r w:rsidRPr="004A6462">
              <w:rPr>
                <w:rFonts w:ascii="Times New Roman" w:hAnsi="Times New Roman" w:cs="Times New Roman"/>
                <w:sz w:val="24"/>
                <w:szCs w:val="24"/>
              </w:rPr>
              <w:t>FG, KII-G</w:t>
            </w:r>
          </w:p>
        </w:tc>
      </w:tr>
      <w:tr w:rsidR="00A16A2E" w:rsidRPr="004A6462" w14:paraId="02E73455" w14:textId="77777777" w:rsidTr="00872886">
        <w:trPr>
          <w:trHeight w:val="255"/>
        </w:trPr>
        <w:tc>
          <w:tcPr>
            <w:tcW w:w="7375" w:type="dxa"/>
            <w:shd w:val="clear" w:color="auto" w:fill="auto"/>
            <w:vAlign w:val="center"/>
          </w:tcPr>
          <w:p w14:paraId="0547C9FE" w14:textId="77777777" w:rsidR="00A16A2E" w:rsidRPr="004A6462" w:rsidRDefault="00A16A2E" w:rsidP="00526803">
            <w:pPr>
              <w:ind w:left="720"/>
            </w:pPr>
            <w:r w:rsidRPr="004A6462">
              <w:t xml:space="preserve">3.5 What approaches were taken to increase sustainability of this work? </w:t>
            </w:r>
          </w:p>
        </w:tc>
        <w:tc>
          <w:tcPr>
            <w:tcW w:w="2250" w:type="dxa"/>
            <w:shd w:val="clear" w:color="auto" w:fill="auto"/>
            <w:vAlign w:val="center"/>
          </w:tcPr>
          <w:p w14:paraId="637E64A0" w14:textId="5BC15945" w:rsidR="00A16A2E" w:rsidRPr="004A6462" w:rsidRDefault="00A16A2E" w:rsidP="00526803">
            <w:pPr>
              <w:pStyle w:val="Brandedtblcel"/>
              <w:rPr>
                <w:rFonts w:ascii="Times New Roman" w:hAnsi="Times New Roman" w:cs="Times New Roman"/>
                <w:sz w:val="24"/>
                <w:szCs w:val="24"/>
              </w:rPr>
            </w:pPr>
            <w:r w:rsidRPr="004A6462">
              <w:rPr>
                <w:rFonts w:ascii="Times New Roman" w:hAnsi="Times New Roman" w:cs="Times New Roman"/>
                <w:sz w:val="24"/>
                <w:szCs w:val="24"/>
              </w:rPr>
              <w:t>FG, KII-G, KII-P</w:t>
            </w:r>
          </w:p>
        </w:tc>
      </w:tr>
      <w:tr w:rsidR="00A16A2E" w:rsidRPr="004A6462" w14:paraId="063ABE6F" w14:textId="77777777" w:rsidTr="00872886">
        <w:trPr>
          <w:trHeight w:val="255"/>
        </w:trPr>
        <w:tc>
          <w:tcPr>
            <w:tcW w:w="7375" w:type="dxa"/>
            <w:shd w:val="clear" w:color="auto" w:fill="D9D9D9" w:themeFill="background1" w:themeFillShade="D9"/>
            <w:vAlign w:val="center"/>
          </w:tcPr>
          <w:p w14:paraId="7ACF4B0F" w14:textId="61FFAA73" w:rsidR="00A16A2E" w:rsidRPr="004A6462" w:rsidRDefault="00A16A2E" w:rsidP="004A47AE">
            <w:pPr>
              <w:pStyle w:val="ListParagraph"/>
              <w:numPr>
                <w:ilvl w:val="0"/>
                <w:numId w:val="12"/>
              </w:numPr>
              <w:rPr>
                <w:b/>
              </w:rPr>
            </w:pPr>
            <w:r w:rsidRPr="004A6462">
              <w:rPr>
                <w:b/>
              </w:rPr>
              <w:t>What were the ways that grantees provided naloxone training and education and to what audiences?</w:t>
            </w:r>
          </w:p>
        </w:tc>
        <w:tc>
          <w:tcPr>
            <w:tcW w:w="2250" w:type="dxa"/>
            <w:shd w:val="clear" w:color="auto" w:fill="D9D9D9" w:themeFill="background1" w:themeFillShade="D9"/>
          </w:tcPr>
          <w:p w14:paraId="6BA0787A" w14:textId="77777777" w:rsidR="00A16A2E" w:rsidRPr="004A6462" w:rsidRDefault="00A16A2E" w:rsidP="00526803"/>
        </w:tc>
      </w:tr>
      <w:tr w:rsidR="00A16A2E" w:rsidRPr="004A6462" w14:paraId="52134EA1" w14:textId="77777777" w:rsidTr="00872886">
        <w:trPr>
          <w:trHeight w:val="255"/>
        </w:trPr>
        <w:tc>
          <w:tcPr>
            <w:tcW w:w="7375" w:type="dxa"/>
            <w:shd w:val="clear" w:color="auto" w:fill="auto"/>
            <w:vAlign w:val="center"/>
          </w:tcPr>
          <w:p w14:paraId="16A86133" w14:textId="77777777" w:rsidR="00A16A2E" w:rsidRPr="004A6462" w:rsidRDefault="00A16A2E" w:rsidP="00526803">
            <w:pPr>
              <w:ind w:left="720"/>
            </w:pPr>
            <w:r w:rsidRPr="004A6462">
              <w:t xml:space="preserve">4.1 In what ways did education/training vary among different audiences? </w:t>
            </w:r>
          </w:p>
        </w:tc>
        <w:tc>
          <w:tcPr>
            <w:tcW w:w="2250" w:type="dxa"/>
            <w:shd w:val="clear" w:color="auto" w:fill="auto"/>
            <w:vAlign w:val="center"/>
          </w:tcPr>
          <w:p w14:paraId="029CBD35" w14:textId="097DC5E8" w:rsidR="00A16A2E" w:rsidRPr="004A6462" w:rsidRDefault="00A16A2E" w:rsidP="00526803">
            <w:pPr>
              <w:pStyle w:val="Brandedtblcel"/>
              <w:rPr>
                <w:rFonts w:ascii="Times New Roman" w:hAnsi="Times New Roman" w:cs="Times New Roman"/>
                <w:sz w:val="24"/>
                <w:szCs w:val="24"/>
              </w:rPr>
            </w:pPr>
            <w:r w:rsidRPr="004A6462">
              <w:rPr>
                <w:rFonts w:ascii="Times New Roman" w:hAnsi="Times New Roman" w:cs="Times New Roman"/>
                <w:sz w:val="24"/>
                <w:szCs w:val="24"/>
              </w:rPr>
              <w:t>KII-G, KII-P, KII-L</w:t>
            </w:r>
          </w:p>
        </w:tc>
      </w:tr>
      <w:tr w:rsidR="00A16A2E" w:rsidRPr="004A6462" w14:paraId="2FB99041" w14:textId="77777777" w:rsidTr="00872886">
        <w:trPr>
          <w:trHeight w:val="255"/>
        </w:trPr>
        <w:tc>
          <w:tcPr>
            <w:tcW w:w="7375" w:type="dxa"/>
            <w:shd w:val="clear" w:color="auto" w:fill="auto"/>
            <w:vAlign w:val="center"/>
          </w:tcPr>
          <w:p w14:paraId="49BC4F0E" w14:textId="77777777" w:rsidR="00A16A2E" w:rsidRPr="004A6462" w:rsidRDefault="00A16A2E" w:rsidP="00526803">
            <w:pPr>
              <w:ind w:left="720"/>
            </w:pPr>
            <w:r w:rsidRPr="004A6462">
              <w:t>4.2 What were the barriers and facilitators to providing education and training and how have they been addressed?</w:t>
            </w:r>
          </w:p>
        </w:tc>
        <w:tc>
          <w:tcPr>
            <w:tcW w:w="2250" w:type="dxa"/>
            <w:shd w:val="clear" w:color="auto" w:fill="auto"/>
          </w:tcPr>
          <w:p w14:paraId="1138163B" w14:textId="353A3773" w:rsidR="00A16A2E" w:rsidRPr="004A6462" w:rsidRDefault="00A16A2E" w:rsidP="00526803">
            <w:r w:rsidRPr="004A6462">
              <w:t>FG, KII-G</w:t>
            </w:r>
          </w:p>
        </w:tc>
      </w:tr>
      <w:tr w:rsidR="00A16A2E" w:rsidRPr="004A6462" w14:paraId="2974D76F" w14:textId="77777777" w:rsidTr="00872886">
        <w:trPr>
          <w:trHeight w:val="255"/>
        </w:trPr>
        <w:tc>
          <w:tcPr>
            <w:tcW w:w="7375" w:type="dxa"/>
            <w:shd w:val="clear" w:color="auto" w:fill="auto"/>
            <w:vAlign w:val="center"/>
          </w:tcPr>
          <w:p w14:paraId="7CDFD7A4" w14:textId="77777777" w:rsidR="00A16A2E" w:rsidRPr="004A6462" w:rsidRDefault="00A16A2E" w:rsidP="00526803">
            <w:pPr>
              <w:ind w:left="720"/>
            </w:pPr>
            <w:r w:rsidRPr="004A6462">
              <w:t>4.3 What approaches to training and education worked best? Which were least effective?</w:t>
            </w:r>
          </w:p>
        </w:tc>
        <w:tc>
          <w:tcPr>
            <w:tcW w:w="2250" w:type="dxa"/>
            <w:shd w:val="clear" w:color="auto" w:fill="auto"/>
          </w:tcPr>
          <w:p w14:paraId="301825F4" w14:textId="3BFA2B22" w:rsidR="00A16A2E" w:rsidRPr="004A6462" w:rsidRDefault="00A16A2E" w:rsidP="00526803">
            <w:r w:rsidRPr="004A6462">
              <w:t>FG, KII-G, KII-P, KII-L</w:t>
            </w:r>
          </w:p>
        </w:tc>
      </w:tr>
      <w:tr w:rsidR="00A16A2E" w:rsidRPr="004A6462" w14:paraId="3633D53A" w14:textId="77777777" w:rsidTr="00872886">
        <w:trPr>
          <w:trHeight w:val="255"/>
        </w:trPr>
        <w:tc>
          <w:tcPr>
            <w:tcW w:w="7375" w:type="dxa"/>
            <w:shd w:val="clear" w:color="auto" w:fill="auto"/>
            <w:vAlign w:val="center"/>
          </w:tcPr>
          <w:p w14:paraId="02799658" w14:textId="77777777" w:rsidR="00A16A2E" w:rsidRPr="004A6462" w:rsidRDefault="00A16A2E" w:rsidP="00526803">
            <w:pPr>
              <w:ind w:left="720"/>
            </w:pPr>
            <w:r w:rsidRPr="004A6462">
              <w:t>4.4 In what ways was naloxone education/distribution being integrated with other substance abuse and/or treatment programs?</w:t>
            </w:r>
          </w:p>
        </w:tc>
        <w:tc>
          <w:tcPr>
            <w:tcW w:w="2250" w:type="dxa"/>
            <w:shd w:val="clear" w:color="auto" w:fill="auto"/>
          </w:tcPr>
          <w:p w14:paraId="4BFCA431" w14:textId="6F053951" w:rsidR="00A16A2E" w:rsidRPr="004A6462" w:rsidRDefault="00A16A2E" w:rsidP="00526803">
            <w:r w:rsidRPr="004A6462">
              <w:t>KII-G, KII-P</w:t>
            </w:r>
          </w:p>
        </w:tc>
      </w:tr>
      <w:tr w:rsidR="00A16A2E" w:rsidRPr="004A6462" w14:paraId="4B432443" w14:textId="77777777" w:rsidTr="00872886">
        <w:trPr>
          <w:trHeight w:val="408"/>
        </w:trPr>
        <w:tc>
          <w:tcPr>
            <w:tcW w:w="7375" w:type="dxa"/>
            <w:shd w:val="clear" w:color="auto" w:fill="auto"/>
            <w:vAlign w:val="center"/>
          </w:tcPr>
          <w:p w14:paraId="7D87DB59" w14:textId="77777777" w:rsidR="00A16A2E" w:rsidRPr="004A6462" w:rsidRDefault="00A16A2E" w:rsidP="00526803">
            <w:pPr>
              <w:ind w:left="720"/>
            </w:pPr>
            <w:r w:rsidRPr="004A6462">
              <w:t>4.5 What were attitudes toward use of naloxone?</w:t>
            </w:r>
          </w:p>
        </w:tc>
        <w:tc>
          <w:tcPr>
            <w:tcW w:w="2250" w:type="dxa"/>
            <w:shd w:val="clear" w:color="auto" w:fill="auto"/>
          </w:tcPr>
          <w:p w14:paraId="7E4F8235" w14:textId="28BB64D7" w:rsidR="00A16A2E" w:rsidRPr="004A6462" w:rsidRDefault="00A16A2E" w:rsidP="00526803">
            <w:r w:rsidRPr="004A6462">
              <w:t>FG, KII-G, KII-P, KII-L</w:t>
            </w:r>
          </w:p>
        </w:tc>
      </w:tr>
      <w:tr w:rsidR="00A16A2E" w:rsidRPr="004A6462" w14:paraId="7D42DCAB" w14:textId="77777777" w:rsidTr="00872886">
        <w:trPr>
          <w:trHeight w:val="255"/>
        </w:trPr>
        <w:tc>
          <w:tcPr>
            <w:tcW w:w="7375" w:type="dxa"/>
            <w:shd w:val="clear" w:color="auto" w:fill="D9D9D9" w:themeFill="background1" w:themeFillShade="D9"/>
            <w:vAlign w:val="center"/>
          </w:tcPr>
          <w:p w14:paraId="69D305AA" w14:textId="77777777" w:rsidR="00A16A2E" w:rsidRPr="004A6462" w:rsidRDefault="00A16A2E" w:rsidP="004A47AE">
            <w:pPr>
              <w:pStyle w:val="ListParagraph"/>
              <w:numPr>
                <w:ilvl w:val="0"/>
                <w:numId w:val="12"/>
              </w:numPr>
              <w:rPr>
                <w:b/>
              </w:rPr>
            </w:pPr>
            <w:r w:rsidRPr="004A6462">
              <w:rPr>
                <w:b/>
              </w:rPr>
              <w:t>What factors facilitated or impeded program implementation and why?</w:t>
            </w:r>
          </w:p>
        </w:tc>
        <w:tc>
          <w:tcPr>
            <w:tcW w:w="2250" w:type="dxa"/>
            <w:shd w:val="clear" w:color="auto" w:fill="D9D9D9" w:themeFill="background1" w:themeFillShade="D9"/>
          </w:tcPr>
          <w:p w14:paraId="40C268FF" w14:textId="6D574446" w:rsidR="00A16A2E" w:rsidRPr="004A6462" w:rsidRDefault="00A16A2E" w:rsidP="00526803">
            <w:r w:rsidRPr="004A6462">
              <w:t>KII-G, KII-P</w:t>
            </w:r>
          </w:p>
        </w:tc>
      </w:tr>
      <w:tr w:rsidR="00A16A2E" w:rsidRPr="004A6462" w14:paraId="651B391D" w14:textId="77777777" w:rsidTr="00872886">
        <w:trPr>
          <w:trHeight w:val="255"/>
        </w:trPr>
        <w:tc>
          <w:tcPr>
            <w:tcW w:w="7375" w:type="dxa"/>
            <w:shd w:val="clear" w:color="auto" w:fill="D9D9D9" w:themeFill="background1" w:themeFillShade="D9"/>
            <w:vAlign w:val="center"/>
          </w:tcPr>
          <w:p w14:paraId="09188AC1" w14:textId="7F76087D" w:rsidR="00A16A2E" w:rsidRPr="004A6462" w:rsidRDefault="00FE2E04" w:rsidP="00FE2E04">
            <w:pPr>
              <w:pStyle w:val="ListParagraph"/>
              <w:numPr>
                <w:ilvl w:val="0"/>
                <w:numId w:val="12"/>
              </w:numPr>
              <w:rPr>
                <w:b/>
              </w:rPr>
            </w:pPr>
            <w:r w:rsidRPr="004A6462">
              <w:rPr>
                <w:b/>
              </w:rPr>
              <w:t>D</w:t>
            </w:r>
            <w:r w:rsidR="00A16A2E" w:rsidRPr="004A6462">
              <w:rPr>
                <w:b/>
              </w:rPr>
              <w:t xml:space="preserve">id </w:t>
            </w:r>
            <w:r w:rsidR="00867012" w:rsidRPr="004A6462">
              <w:rPr>
                <w:b/>
              </w:rPr>
              <w:t xml:space="preserve">the </w:t>
            </w:r>
            <w:r w:rsidR="00A16A2E" w:rsidRPr="004A6462">
              <w:rPr>
                <w:b/>
              </w:rPr>
              <w:t xml:space="preserve">PDO/naloxone funding </w:t>
            </w:r>
            <w:r w:rsidRPr="004A6462">
              <w:rPr>
                <w:b/>
              </w:rPr>
              <w:t xml:space="preserve"> </w:t>
            </w:r>
            <w:r w:rsidR="00751E50" w:rsidRPr="004A6462">
              <w:rPr>
                <w:b/>
              </w:rPr>
              <w:t>increase</w:t>
            </w:r>
            <w:r w:rsidR="00A16A2E" w:rsidRPr="004A6462">
              <w:rPr>
                <w:b/>
              </w:rPr>
              <w:t xml:space="preserve"> PDO prevention</w:t>
            </w:r>
            <w:r w:rsidR="00520076">
              <w:rPr>
                <w:b/>
              </w:rPr>
              <w:t>-</w:t>
            </w:r>
            <w:r w:rsidR="00A16A2E" w:rsidRPr="004A6462">
              <w:rPr>
                <w:b/>
              </w:rPr>
              <w:t>related collaboration and partnerships?</w:t>
            </w:r>
          </w:p>
        </w:tc>
        <w:tc>
          <w:tcPr>
            <w:tcW w:w="2250" w:type="dxa"/>
            <w:shd w:val="clear" w:color="auto" w:fill="D9D9D9" w:themeFill="background1" w:themeFillShade="D9"/>
          </w:tcPr>
          <w:p w14:paraId="54FC10BE" w14:textId="77777777" w:rsidR="00A16A2E" w:rsidRPr="004A6462" w:rsidRDefault="00A16A2E" w:rsidP="00526803"/>
        </w:tc>
      </w:tr>
      <w:tr w:rsidR="00A16A2E" w:rsidRPr="004A6462" w14:paraId="32EF26D1" w14:textId="77777777" w:rsidTr="00872886">
        <w:trPr>
          <w:trHeight w:val="255"/>
        </w:trPr>
        <w:tc>
          <w:tcPr>
            <w:tcW w:w="7375" w:type="dxa"/>
            <w:shd w:val="clear" w:color="auto" w:fill="auto"/>
            <w:vAlign w:val="center"/>
          </w:tcPr>
          <w:p w14:paraId="606B038C" w14:textId="77777777" w:rsidR="00A16A2E" w:rsidRPr="004A6462" w:rsidRDefault="00A16A2E" w:rsidP="00526803">
            <w:pPr>
              <w:ind w:left="720"/>
            </w:pPr>
            <w:r w:rsidRPr="004A6462">
              <w:t>6.1 In what ways did grantees collaborate and coordinate funding streams?</w:t>
            </w:r>
          </w:p>
        </w:tc>
        <w:tc>
          <w:tcPr>
            <w:tcW w:w="2250" w:type="dxa"/>
            <w:shd w:val="clear" w:color="auto" w:fill="auto"/>
          </w:tcPr>
          <w:p w14:paraId="493C8CB7" w14:textId="6E7A323D" w:rsidR="00A16A2E" w:rsidRPr="004A6462" w:rsidRDefault="000C41AD" w:rsidP="00526803">
            <w:r w:rsidRPr="004A6462">
              <w:t>SAMHSA OMB 0930-0354</w:t>
            </w:r>
          </w:p>
        </w:tc>
      </w:tr>
      <w:tr w:rsidR="00A16A2E" w:rsidRPr="004A6462" w14:paraId="3FA6A14E" w14:textId="77777777" w:rsidTr="00872886">
        <w:trPr>
          <w:trHeight w:val="255"/>
        </w:trPr>
        <w:tc>
          <w:tcPr>
            <w:tcW w:w="7375" w:type="dxa"/>
            <w:shd w:val="clear" w:color="auto" w:fill="auto"/>
            <w:vAlign w:val="center"/>
          </w:tcPr>
          <w:p w14:paraId="1BB0EDB4" w14:textId="77777777" w:rsidR="00A16A2E" w:rsidRPr="004A6462" w:rsidRDefault="00A16A2E" w:rsidP="00526803">
            <w:pPr>
              <w:ind w:left="720"/>
            </w:pPr>
            <w:r w:rsidRPr="004A6462">
              <w:t>6.2 What ways of collaborating and coordinating funding streams were most successful and why?</w:t>
            </w:r>
          </w:p>
        </w:tc>
        <w:tc>
          <w:tcPr>
            <w:tcW w:w="2250" w:type="dxa"/>
            <w:shd w:val="clear" w:color="auto" w:fill="auto"/>
          </w:tcPr>
          <w:p w14:paraId="1D50CBC9" w14:textId="0765D703" w:rsidR="00A16A2E" w:rsidRPr="004A6462" w:rsidRDefault="00A16A2E" w:rsidP="00526803">
            <w:r w:rsidRPr="004A6462">
              <w:t>FG</w:t>
            </w:r>
          </w:p>
        </w:tc>
      </w:tr>
      <w:tr w:rsidR="00A16A2E" w:rsidRPr="004A6462" w14:paraId="6D0510D6" w14:textId="77777777" w:rsidTr="00872886">
        <w:trPr>
          <w:trHeight w:val="255"/>
        </w:trPr>
        <w:tc>
          <w:tcPr>
            <w:tcW w:w="7375" w:type="dxa"/>
            <w:shd w:val="clear" w:color="auto" w:fill="auto"/>
            <w:vAlign w:val="center"/>
          </w:tcPr>
          <w:p w14:paraId="76870B85" w14:textId="77777777" w:rsidR="00A16A2E" w:rsidRPr="004A6462" w:rsidRDefault="00A16A2E" w:rsidP="00526803">
            <w:pPr>
              <w:ind w:left="720"/>
            </w:pPr>
            <w:r w:rsidRPr="004A6462">
              <w:t>6.3 What new strategic alliances were formed?</w:t>
            </w:r>
          </w:p>
        </w:tc>
        <w:tc>
          <w:tcPr>
            <w:tcW w:w="2250" w:type="dxa"/>
            <w:shd w:val="clear" w:color="auto" w:fill="auto"/>
          </w:tcPr>
          <w:p w14:paraId="69CCB33D" w14:textId="0A5408B9" w:rsidR="00A16A2E" w:rsidRPr="004A6462" w:rsidRDefault="000C41AD" w:rsidP="00526803">
            <w:r w:rsidRPr="004A6462">
              <w:t>SAMHSA OMB 0930-0354</w:t>
            </w:r>
          </w:p>
        </w:tc>
      </w:tr>
      <w:tr w:rsidR="00A16A2E" w:rsidRPr="004A6462" w14:paraId="7E142AFB" w14:textId="77777777" w:rsidTr="00872886">
        <w:trPr>
          <w:trHeight w:val="255"/>
        </w:trPr>
        <w:tc>
          <w:tcPr>
            <w:tcW w:w="7375" w:type="dxa"/>
            <w:shd w:val="clear" w:color="auto" w:fill="auto"/>
            <w:vAlign w:val="center"/>
          </w:tcPr>
          <w:p w14:paraId="7663CE3C" w14:textId="77777777" w:rsidR="00A16A2E" w:rsidRPr="004A6462" w:rsidRDefault="00A16A2E" w:rsidP="00526803">
            <w:pPr>
              <w:ind w:left="720"/>
            </w:pPr>
            <w:r w:rsidRPr="004A6462">
              <w:t xml:space="preserve">6.4 What were the barriers and facilitators to working with partners? </w:t>
            </w:r>
          </w:p>
        </w:tc>
        <w:tc>
          <w:tcPr>
            <w:tcW w:w="2250" w:type="dxa"/>
            <w:shd w:val="clear" w:color="auto" w:fill="auto"/>
          </w:tcPr>
          <w:p w14:paraId="5DB82FF1" w14:textId="5D97C6C4" w:rsidR="00A16A2E" w:rsidRPr="004A6462" w:rsidRDefault="00A16A2E" w:rsidP="00526803">
            <w:r w:rsidRPr="004A6462">
              <w:t>FG, KII-G, KII-P</w:t>
            </w:r>
          </w:p>
        </w:tc>
      </w:tr>
      <w:tr w:rsidR="00A16A2E" w:rsidRPr="004A6462" w14:paraId="4A930416" w14:textId="77777777" w:rsidTr="00872886">
        <w:trPr>
          <w:trHeight w:val="255"/>
        </w:trPr>
        <w:tc>
          <w:tcPr>
            <w:tcW w:w="7375" w:type="dxa"/>
            <w:shd w:val="clear" w:color="auto" w:fill="D9D9D9" w:themeFill="background1" w:themeFillShade="D9"/>
            <w:vAlign w:val="center"/>
          </w:tcPr>
          <w:p w14:paraId="66C1D7BE" w14:textId="77777777" w:rsidR="00A16A2E" w:rsidRPr="004A6462" w:rsidRDefault="00A16A2E" w:rsidP="004A47AE">
            <w:pPr>
              <w:pStyle w:val="ListParagraph"/>
              <w:numPr>
                <w:ilvl w:val="0"/>
                <w:numId w:val="12"/>
              </w:numPr>
              <w:rPr>
                <w:b/>
              </w:rPr>
            </w:pPr>
            <w:r w:rsidRPr="004A6462">
              <w:rPr>
                <w:b/>
              </w:rPr>
              <w:t>What approaches to address behavioral health disparities were most successful and why?</w:t>
            </w:r>
          </w:p>
        </w:tc>
        <w:tc>
          <w:tcPr>
            <w:tcW w:w="2250" w:type="dxa"/>
            <w:shd w:val="clear" w:color="auto" w:fill="D9D9D9" w:themeFill="background1" w:themeFillShade="D9"/>
          </w:tcPr>
          <w:p w14:paraId="2EF365BE" w14:textId="77777777" w:rsidR="00A16A2E" w:rsidRPr="004A6462" w:rsidRDefault="00A16A2E" w:rsidP="00526803"/>
        </w:tc>
      </w:tr>
      <w:tr w:rsidR="00A16A2E" w:rsidRPr="004A6462" w14:paraId="74B87D30" w14:textId="77777777" w:rsidTr="00872886">
        <w:trPr>
          <w:trHeight w:val="255"/>
        </w:trPr>
        <w:tc>
          <w:tcPr>
            <w:tcW w:w="7375" w:type="dxa"/>
            <w:shd w:val="clear" w:color="auto" w:fill="auto"/>
            <w:vAlign w:val="center"/>
          </w:tcPr>
          <w:p w14:paraId="0510A693" w14:textId="22B133EF" w:rsidR="00A16A2E" w:rsidRPr="004A6462" w:rsidRDefault="00A16A2E" w:rsidP="00526803">
            <w:pPr>
              <w:ind w:left="720"/>
            </w:pPr>
            <w:r w:rsidRPr="004A6462">
              <w:t xml:space="preserve">7.2 What approaches to decreasing differences in access, service and outcomes among disparate populations were most successful and why?  </w:t>
            </w:r>
          </w:p>
        </w:tc>
        <w:tc>
          <w:tcPr>
            <w:tcW w:w="2250" w:type="dxa"/>
            <w:shd w:val="clear" w:color="auto" w:fill="auto"/>
          </w:tcPr>
          <w:p w14:paraId="5EEAE74E" w14:textId="537A79B1" w:rsidR="00A16A2E" w:rsidRPr="004A6462" w:rsidRDefault="00A16A2E" w:rsidP="00526803">
            <w:pPr>
              <w:rPr>
                <w:b/>
              </w:rPr>
            </w:pPr>
            <w:r w:rsidRPr="004A6462">
              <w:t>FG, KII-G, KII-P, KII-L</w:t>
            </w:r>
          </w:p>
        </w:tc>
      </w:tr>
      <w:tr w:rsidR="00A16A2E" w:rsidRPr="004A6462" w14:paraId="39CDC2DB" w14:textId="77777777" w:rsidTr="00872886">
        <w:trPr>
          <w:trHeight w:val="255"/>
        </w:trPr>
        <w:tc>
          <w:tcPr>
            <w:tcW w:w="7375" w:type="dxa"/>
            <w:shd w:val="clear" w:color="auto" w:fill="D9D9D9" w:themeFill="background1" w:themeFillShade="D9"/>
            <w:vAlign w:val="center"/>
          </w:tcPr>
          <w:p w14:paraId="64A7A32E" w14:textId="10AA9A65" w:rsidR="00A16A2E" w:rsidRPr="004A6462" w:rsidRDefault="00751E50" w:rsidP="00445AA0">
            <w:pPr>
              <w:pStyle w:val="ListParagraph"/>
              <w:numPr>
                <w:ilvl w:val="0"/>
                <w:numId w:val="12"/>
              </w:numPr>
              <w:rPr>
                <w:b/>
              </w:rPr>
            </w:pPr>
            <w:r w:rsidRPr="004A6462">
              <w:rPr>
                <w:b/>
              </w:rPr>
              <w:t>How</w:t>
            </w:r>
            <w:r w:rsidR="00A16A2E" w:rsidRPr="004A6462">
              <w:rPr>
                <w:b/>
              </w:rPr>
              <w:t xml:space="preserve"> did state/local support for naloxone use </w:t>
            </w:r>
            <w:r w:rsidR="00445AA0" w:rsidRPr="004A6462">
              <w:rPr>
                <w:b/>
              </w:rPr>
              <w:t>change</w:t>
            </w:r>
            <w:r w:rsidR="00A16A2E" w:rsidRPr="004A6462">
              <w:rPr>
                <w:b/>
              </w:rPr>
              <w:t xml:space="preserve"> distribution and use?</w:t>
            </w:r>
          </w:p>
        </w:tc>
        <w:tc>
          <w:tcPr>
            <w:tcW w:w="2250" w:type="dxa"/>
            <w:shd w:val="clear" w:color="auto" w:fill="D9D9D9" w:themeFill="background1" w:themeFillShade="D9"/>
          </w:tcPr>
          <w:p w14:paraId="49B181CF" w14:textId="718545EC" w:rsidR="00A16A2E" w:rsidRPr="004A6462" w:rsidRDefault="00A16A2E" w:rsidP="00526803">
            <w:pPr>
              <w:rPr>
                <w:b/>
              </w:rPr>
            </w:pPr>
            <w:r w:rsidRPr="004A6462">
              <w:t>FG, KII-G, KII-P, KII-L</w:t>
            </w:r>
          </w:p>
        </w:tc>
      </w:tr>
      <w:tr w:rsidR="00A16A2E" w:rsidRPr="004A6462" w14:paraId="0C102AC1" w14:textId="77777777" w:rsidTr="00872886">
        <w:trPr>
          <w:trHeight w:val="255"/>
        </w:trPr>
        <w:tc>
          <w:tcPr>
            <w:tcW w:w="7375" w:type="dxa"/>
            <w:shd w:val="clear" w:color="auto" w:fill="D9D9D9" w:themeFill="background1" w:themeFillShade="D9"/>
            <w:vAlign w:val="center"/>
          </w:tcPr>
          <w:p w14:paraId="25B9318A" w14:textId="298C65DD" w:rsidR="00A16A2E" w:rsidRPr="004A6462" w:rsidRDefault="00751E50" w:rsidP="004A47AE">
            <w:pPr>
              <w:pStyle w:val="ListParagraph"/>
              <w:numPr>
                <w:ilvl w:val="0"/>
                <w:numId w:val="12"/>
              </w:numPr>
              <w:rPr>
                <w:b/>
              </w:rPr>
            </w:pPr>
            <w:r w:rsidRPr="004A6462">
              <w:rPr>
                <w:b/>
              </w:rPr>
              <w:t>How</w:t>
            </w:r>
            <w:r w:rsidR="00A16A2E" w:rsidRPr="004A6462">
              <w:rPr>
                <w:b/>
              </w:rPr>
              <w:t xml:space="preserve"> did varying state &amp; local policies/laws </w:t>
            </w:r>
            <w:r w:rsidR="00445AA0" w:rsidRPr="004A6462">
              <w:rPr>
                <w:b/>
              </w:rPr>
              <w:t>change</w:t>
            </w:r>
            <w:r w:rsidR="00A16A2E" w:rsidRPr="004A6462">
              <w:rPr>
                <w:b/>
              </w:rPr>
              <w:t xml:space="preserve"> naloxone distribution and use?</w:t>
            </w:r>
          </w:p>
        </w:tc>
        <w:tc>
          <w:tcPr>
            <w:tcW w:w="2250" w:type="dxa"/>
            <w:shd w:val="clear" w:color="auto" w:fill="D9D9D9" w:themeFill="background1" w:themeFillShade="D9"/>
          </w:tcPr>
          <w:p w14:paraId="695F6770" w14:textId="02F57A7D" w:rsidR="00A16A2E" w:rsidRPr="004A6462" w:rsidRDefault="00A16A2E" w:rsidP="00526803">
            <w:pPr>
              <w:rPr>
                <w:b/>
              </w:rPr>
            </w:pPr>
            <w:r w:rsidRPr="004A6462">
              <w:t>FG, KII-G, KII-P, KII-L</w:t>
            </w:r>
          </w:p>
        </w:tc>
      </w:tr>
      <w:tr w:rsidR="00A16A2E" w:rsidRPr="004A6462" w14:paraId="16B38C80" w14:textId="77777777" w:rsidTr="00872886">
        <w:trPr>
          <w:trHeight w:val="255"/>
        </w:trPr>
        <w:tc>
          <w:tcPr>
            <w:tcW w:w="7375" w:type="dxa"/>
            <w:shd w:val="clear" w:color="auto" w:fill="D9D9D9" w:themeFill="background1" w:themeFillShade="D9"/>
            <w:vAlign w:val="center"/>
          </w:tcPr>
          <w:p w14:paraId="6344D347" w14:textId="77777777" w:rsidR="00A16A2E" w:rsidRPr="004A6462" w:rsidRDefault="00A16A2E" w:rsidP="004A47AE">
            <w:pPr>
              <w:pStyle w:val="ListParagraph"/>
              <w:numPr>
                <w:ilvl w:val="0"/>
                <w:numId w:val="12"/>
              </w:numPr>
              <w:rPr>
                <w:b/>
              </w:rPr>
            </w:pPr>
            <w:r w:rsidRPr="004A6462">
              <w:rPr>
                <w:b/>
              </w:rPr>
              <w:t xml:space="preserve">What program elements were most successful and why?  Which were least successful? </w:t>
            </w:r>
          </w:p>
        </w:tc>
        <w:tc>
          <w:tcPr>
            <w:tcW w:w="2250" w:type="dxa"/>
            <w:shd w:val="clear" w:color="auto" w:fill="D9D9D9" w:themeFill="background1" w:themeFillShade="D9"/>
          </w:tcPr>
          <w:p w14:paraId="2448C4D3" w14:textId="77777777" w:rsidR="00A16A2E" w:rsidRPr="004A6462" w:rsidRDefault="00A16A2E" w:rsidP="00526803"/>
        </w:tc>
      </w:tr>
      <w:tr w:rsidR="00A16A2E" w:rsidRPr="004A6462" w14:paraId="4F2AD0B7" w14:textId="77777777" w:rsidTr="00872886">
        <w:trPr>
          <w:trHeight w:val="255"/>
        </w:trPr>
        <w:tc>
          <w:tcPr>
            <w:tcW w:w="7375" w:type="dxa"/>
            <w:shd w:val="clear" w:color="auto" w:fill="auto"/>
            <w:vAlign w:val="center"/>
          </w:tcPr>
          <w:p w14:paraId="0121C6AC" w14:textId="77777777" w:rsidR="00A16A2E" w:rsidRPr="004A6462" w:rsidRDefault="00A16A2E" w:rsidP="00526803">
            <w:pPr>
              <w:ind w:left="720"/>
            </w:pPr>
            <w:r w:rsidRPr="004A6462">
              <w:t xml:space="preserve">10.1 What were key program accomplishments? </w:t>
            </w:r>
          </w:p>
        </w:tc>
        <w:tc>
          <w:tcPr>
            <w:tcW w:w="2250" w:type="dxa"/>
            <w:shd w:val="clear" w:color="auto" w:fill="auto"/>
          </w:tcPr>
          <w:p w14:paraId="03E3A482" w14:textId="29D8217C" w:rsidR="00A16A2E" w:rsidRPr="004A6462" w:rsidRDefault="00A16A2E" w:rsidP="00526803">
            <w:r w:rsidRPr="004A6462">
              <w:t>KII-G, KII-P</w:t>
            </w:r>
          </w:p>
        </w:tc>
      </w:tr>
      <w:tr w:rsidR="00A16A2E" w:rsidRPr="004A6462" w14:paraId="7BF94525" w14:textId="77777777" w:rsidTr="00872886">
        <w:trPr>
          <w:trHeight w:val="255"/>
        </w:trPr>
        <w:tc>
          <w:tcPr>
            <w:tcW w:w="7375" w:type="dxa"/>
            <w:shd w:val="clear" w:color="auto" w:fill="auto"/>
            <w:vAlign w:val="center"/>
          </w:tcPr>
          <w:p w14:paraId="3895CCE1" w14:textId="77777777" w:rsidR="00A16A2E" w:rsidRPr="004A6462" w:rsidRDefault="00A16A2E" w:rsidP="00526803">
            <w:pPr>
              <w:ind w:left="720"/>
            </w:pPr>
            <w:r w:rsidRPr="004A6462">
              <w:t>10.2 What program aspects worked best or were least effective?</w:t>
            </w:r>
          </w:p>
        </w:tc>
        <w:tc>
          <w:tcPr>
            <w:tcW w:w="2250" w:type="dxa"/>
            <w:shd w:val="clear" w:color="auto" w:fill="auto"/>
          </w:tcPr>
          <w:p w14:paraId="5E9101A7" w14:textId="53D0F526" w:rsidR="00A16A2E" w:rsidRPr="004A6462" w:rsidRDefault="00A16A2E" w:rsidP="00526803">
            <w:r w:rsidRPr="004A6462">
              <w:t>FG, KII-G, KII-P</w:t>
            </w:r>
          </w:p>
        </w:tc>
      </w:tr>
      <w:tr w:rsidR="00A16A2E" w:rsidRPr="004A6462" w14:paraId="556006D0" w14:textId="77777777" w:rsidTr="00872886">
        <w:trPr>
          <w:trHeight w:val="255"/>
        </w:trPr>
        <w:tc>
          <w:tcPr>
            <w:tcW w:w="7375" w:type="dxa"/>
            <w:shd w:val="clear" w:color="auto" w:fill="auto"/>
            <w:vAlign w:val="center"/>
          </w:tcPr>
          <w:p w14:paraId="24DEA8B6" w14:textId="77777777" w:rsidR="00A16A2E" w:rsidRPr="004A6462" w:rsidRDefault="00A16A2E" w:rsidP="00526803">
            <w:pPr>
              <w:ind w:left="720"/>
            </w:pPr>
            <w:r w:rsidRPr="004A6462">
              <w:t>10.3 In what ways could future versions of PDO/naloxone funding be improved?</w:t>
            </w:r>
          </w:p>
        </w:tc>
        <w:tc>
          <w:tcPr>
            <w:tcW w:w="2250" w:type="dxa"/>
            <w:shd w:val="clear" w:color="auto" w:fill="auto"/>
          </w:tcPr>
          <w:p w14:paraId="63E4A377" w14:textId="47F522B1" w:rsidR="00A16A2E" w:rsidRPr="004A6462" w:rsidRDefault="00A16A2E" w:rsidP="00526803">
            <w:r w:rsidRPr="004A6462">
              <w:t>FG, KII-G, KII-P</w:t>
            </w:r>
          </w:p>
        </w:tc>
      </w:tr>
      <w:tr w:rsidR="00A16A2E" w:rsidRPr="004A6462" w14:paraId="5CE561C8" w14:textId="77777777" w:rsidTr="00872886">
        <w:trPr>
          <w:trHeight w:val="255"/>
        </w:trPr>
        <w:tc>
          <w:tcPr>
            <w:tcW w:w="7375" w:type="dxa"/>
            <w:shd w:val="clear" w:color="auto" w:fill="auto"/>
            <w:vAlign w:val="center"/>
          </w:tcPr>
          <w:p w14:paraId="5FF239B2" w14:textId="77777777" w:rsidR="00A16A2E" w:rsidRPr="004A6462" w:rsidRDefault="00A16A2E" w:rsidP="00526803">
            <w:pPr>
              <w:ind w:left="720"/>
            </w:pPr>
            <w:r w:rsidRPr="004A6462">
              <w:t xml:space="preserve">10.4 In what ways has stakeholder support for naloxone changed?  </w:t>
            </w:r>
          </w:p>
        </w:tc>
        <w:tc>
          <w:tcPr>
            <w:tcW w:w="2250" w:type="dxa"/>
            <w:shd w:val="clear" w:color="auto" w:fill="auto"/>
          </w:tcPr>
          <w:p w14:paraId="350005A5" w14:textId="2CAEDE6C" w:rsidR="00A16A2E" w:rsidRPr="004A6462" w:rsidRDefault="00A16A2E" w:rsidP="00526803">
            <w:r w:rsidRPr="004A6462">
              <w:t>FG, KII-G, KII-P, KII-L</w:t>
            </w:r>
          </w:p>
        </w:tc>
      </w:tr>
    </w:tbl>
    <w:p w14:paraId="7838778C" w14:textId="6B318538" w:rsidR="004A47AE" w:rsidRPr="004A6462" w:rsidRDefault="00D266CB" w:rsidP="00F64FA1">
      <w:pPr>
        <w:tabs>
          <w:tab w:val="left" w:pos="360"/>
        </w:tabs>
        <w:autoSpaceDE w:val="0"/>
        <w:autoSpaceDN w:val="0"/>
        <w:adjustRightInd w:val="0"/>
      </w:pPr>
      <w:r w:rsidRPr="004A6462">
        <w:t>FG: Focus Group Guide (Attachment D)</w:t>
      </w:r>
    </w:p>
    <w:p w14:paraId="65D0A523" w14:textId="6E8DF40D" w:rsidR="00D266CB" w:rsidRPr="004A6462" w:rsidRDefault="00D266CB" w:rsidP="00F64FA1">
      <w:pPr>
        <w:tabs>
          <w:tab w:val="left" w:pos="360"/>
        </w:tabs>
        <w:autoSpaceDE w:val="0"/>
        <w:autoSpaceDN w:val="0"/>
        <w:adjustRightInd w:val="0"/>
      </w:pPr>
      <w:r w:rsidRPr="004A6462">
        <w:t>KII-G: KII Guide-Grantee (Attachment E1)</w:t>
      </w:r>
    </w:p>
    <w:p w14:paraId="56D88AB6" w14:textId="5DF0CFF4" w:rsidR="00D266CB" w:rsidRPr="004A6462" w:rsidRDefault="00D266CB" w:rsidP="00F64FA1">
      <w:pPr>
        <w:tabs>
          <w:tab w:val="left" w:pos="360"/>
        </w:tabs>
        <w:autoSpaceDE w:val="0"/>
        <w:autoSpaceDN w:val="0"/>
        <w:adjustRightInd w:val="0"/>
      </w:pPr>
      <w:r w:rsidRPr="004A6462">
        <w:t>KII-P: KII Guide-Partner (Attachment E2)</w:t>
      </w:r>
    </w:p>
    <w:p w14:paraId="7A66B6E1" w14:textId="2661579C" w:rsidR="00D266CB" w:rsidRPr="004A6462" w:rsidRDefault="00D266CB" w:rsidP="00F64FA1">
      <w:pPr>
        <w:tabs>
          <w:tab w:val="left" w:pos="360"/>
        </w:tabs>
        <w:autoSpaceDE w:val="0"/>
        <w:autoSpaceDN w:val="0"/>
        <w:adjustRightInd w:val="0"/>
      </w:pPr>
      <w:r w:rsidRPr="004A6462">
        <w:t>KII-L: KII Guide-Layperson (Attachment E3)</w:t>
      </w:r>
    </w:p>
    <w:p w14:paraId="74BA0CD7" w14:textId="6DABA949" w:rsidR="006753B0" w:rsidRPr="004A6462" w:rsidRDefault="006753B0" w:rsidP="00F64FA1">
      <w:pPr>
        <w:tabs>
          <w:tab w:val="left" w:pos="360"/>
        </w:tabs>
        <w:autoSpaceDE w:val="0"/>
        <w:autoSpaceDN w:val="0"/>
        <w:adjustRightInd w:val="0"/>
      </w:pPr>
    </w:p>
    <w:p w14:paraId="2ABB2828" w14:textId="0FF80029" w:rsidR="009733DE" w:rsidRPr="004A6462" w:rsidRDefault="008D16D5" w:rsidP="00972DEF">
      <w:pPr>
        <w:autoSpaceDE w:val="0"/>
        <w:autoSpaceDN w:val="0"/>
        <w:adjustRightInd w:val="0"/>
      </w:pPr>
      <w:r w:rsidRPr="004A6462">
        <w:t>To answer the</w:t>
      </w:r>
      <w:r w:rsidR="00E1243E" w:rsidRPr="004A6462">
        <w:t>se</w:t>
      </w:r>
      <w:r w:rsidRPr="004A6462">
        <w:t xml:space="preserve"> evaluation questions, d</w:t>
      </w:r>
      <w:r w:rsidR="006753B0" w:rsidRPr="004A6462">
        <w:t>ata will be collected annually through key informant interviews and focus groups with grantees and select stakeholders at each of the 12 SAMHSA-funded sites.</w:t>
      </w:r>
      <w:r w:rsidR="00ED7CDE" w:rsidRPr="004A6462">
        <w:t xml:space="preserve"> </w:t>
      </w:r>
      <w:r w:rsidR="00A16A2E" w:rsidRPr="004A6462">
        <w:t>Table 1</w:t>
      </w:r>
      <w:r w:rsidR="00ED7CDE" w:rsidRPr="004A6462">
        <w:t xml:space="preserve"> above shows which data collection instrument</w:t>
      </w:r>
      <w:r w:rsidR="00CE69F8" w:rsidRPr="004A6462">
        <w:t>s address</w:t>
      </w:r>
      <w:r w:rsidR="00ED7CDE" w:rsidRPr="004A6462">
        <w:t xml:space="preserve"> each evaluation question and outcome measure. </w:t>
      </w:r>
      <w:r w:rsidR="006753B0" w:rsidRPr="004A6462">
        <w:t xml:space="preserve"> The data collection will include telephone and in-person interviews conducted annually</w:t>
      </w:r>
      <w:r w:rsidR="00E1243E" w:rsidRPr="004A6462">
        <w:t xml:space="preserve"> with respondents</w:t>
      </w:r>
      <w:r w:rsidR="006753B0" w:rsidRPr="004A6462">
        <w:t xml:space="preserve">. Respondents for the data collection will include grantee program staff, and key stakeholders to include, but not be limited to, state and local health department officials, PDO Advisory Council members, </w:t>
      </w:r>
      <w:r w:rsidR="004D7117" w:rsidRPr="004A6462">
        <w:t>first responders</w:t>
      </w:r>
      <w:r w:rsidR="006753B0" w:rsidRPr="004A6462">
        <w:t xml:space="preserve">, as well as naloxone end-users and their </w:t>
      </w:r>
      <w:r w:rsidR="00B64E4B" w:rsidRPr="004A6462">
        <w:t xml:space="preserve">friends or </w:t>
      </w:r>
      <w:r w:rsidR="006753B0" w:rsidRPr="004A6462">
        <w:t xml:space="preserve">families. </w:t>
      </w:r>
      <w:r w:rsidR="00E1243E" w:rsidRPr="004A6462">
        <w:t>Data will be collected annually in order to</w:t>
      </w:r>
      <w:r w:rsidR="00AE657B" w:rsidRPr="004A6462">
        <w:t xml:space="preserve"> be responsive to any barriers or challenges that might arise so that ongoing program improvements or refinements can be made.  </w:t>
      </w:r>
    </w:p>
    <w:p w14:paraId="25D3CBBA" w14:textId="77777777" w:rsidR="00F25EB5" w:rsidRPr="004A6462" w:rsidRDefault="00F25EB5" w:rsidP="00972DEF">
      <w:pPr>
        <w:autoSpaceDE w:val="0"/>
        <w:autoSpaceDN w:val="0"/>
        <w:adjustRightInd w:val="0"/>
      </w:pPr>
    </w:p>
    <w:p w14:paraId="493B635B" w14:textId="5449CBFD" w:rsidR="00972DEF" w:rsidRPr="004A6462" w:rsidRDefault="00972DEF" w:rsidP="00972DEF">
      <w:pPr>
        <w:autoSpaceDE w:val="0"/>
        <w:autoSpaceDN w:val="0"/>
        <w:adjustRightInd w:val="0"/>
        <w:rPr>
          <w:b/>
          <w:bCs/>
        </w:rPr>
      </w:pPr>
      <w:r w:rsidRPr="004A6462">
        <w:rPr>
          <w:b/>
          <w:bCs/>
        </w:rPr>
        <w:t xml:space="preserve">A.3. </w:t>
      </w:r>
      <w:r w:rsidRPr="004A6462">
        <w:rPr>
          <w:b/>
          <w:bCs/>
        </w:rPr>
        <w:tab/>
        <w:t>Use of Improved Information Technology and Burden Reduction</w:t>
      </w:r>
    </w:p>
    <w:p w14:paraId="2E2399FA" w14:textId="77777777" w:rsidR="00A15E56" w:rsidRPr="004A6462" w:rsidRDefault="00A15E56" w:rsidP="00972DEF">
      <w:pPr>
        <w:autoSpaceDE w:val="0"/>
        <w:autoSpaceDN w:val="0"/>
        <w:adjustRightInd w:val="0"/>
        <w:rPr>
          <w:b/>
          <w:bCs/>
        </w:rPr>
      </w:pPr>
    </w:p>
    <w:p w14:paraId="065F6A29" w14:textId="53A8D61D" w:rsidR="00972DEF" w:rsidRPr="004A6462" w:rsidRDefault="00591C66" w:rsidP="00972DEF">
      <w:r w:rsidRPr="004A6462">
        <w:t xml:space="preserve">The </w:t>
      </w:r>
      <w:r w:rsidR="00A26A4A" w:rsidRPr="004A6462">
        <w:t xml:space="preserve">program </w:t>
      </w:r>
      <w:r w:rsidRPr="004A6462">
        <w:t xml:space="preserve">evaluation will be collecting </w:t>
      </w:r>
      <w:r w:rsidR="004A5778" w:rsidRPr="004A6462">
        <w:t xml:space="preserve">measures </w:t>
      </w:r>
      <w:r w:rsidR="009E64CF" w:rsidRPr="004A6462">
        <w:t xml:space="preserve">about the </w:t>
      </w:r>
      <w:r w:rsidR="004A5778" w:rsidRPr="004A6462">
        <w:t xml:space="preserve">implementation and outcomes of the </w:t>
      </w:r>
      <w:r w:rsidR="009E64CF" w:rsidRPr="004A6462">
        <w:t>PDO/naloxone grant</w:t>
      </w:r>
      <w:r w:rsidR="004A5778" w:rsidRPr="004A6462">
        <w:t>.</w:t>
      </w:r>
      <w:r w:rsidR="009E64CF" w:rsidRPr="004A6462">
        <w:t xml:space="preserve"> </w:t>
      </w:r>
      <w:r w:rsidR="00636708" w:rsidRPr="004A6462">
        <w:t>The interviews will collect qualitative data that are not amenable to collection through a survey format.</w:t>
      </w:r>
      <w:r w:rsidRPr="004A6462">
        <w:t xml:space="preserve"> The data for the study will be collected through key informant interviews and focus groups conducted either by telephone or </w:t>
      </w:r>
      <w:r w:rsidR="009E64CF" w:rsidRPr="004A6462">
        <w:t>in person</w:t>
      </w:r>
      <w:r w:rsidRPr="004A6462">
        <w:t xml:space="preserve">. These methods will most effectively allow us to query about </w:t>
      </w:r>
      <w:r w:rsidR="00FA321C" w:rsidRPr="004A6462">
        <w:t xml:space="preserve">certain </w:t>
      </w:r>
      <w:r w:rsidRPr="004A6462">
        <w:t xml:space="preserve">program </w:t>
      </w:r>
      <w:r w:rsidR="00FA321C" w:rsidRPr="004A6462">
        <w:t>outcomes</w:t>
      </w:r>
      <w:r w:rsidR="00636708" w:rsidRPr="004A6462">
        <w:t>,</w:t>
      </w:r>
      <w:r w:rsidR="00FA321C" w:rsidRPr="004A6462">
        <w:t xml:space="preserve"> </w:t>
      </w:r>
      <w:r w:rsidRPr="004A6462">
        <w:t xml:space="preserve">and barriers and facilitators to implementation. </w:t>
      </w:r>
    </w:p>
    <w:p w14:paraId="1578610B" w14:textId="77777777" w:rsidR="00591C66" w:rsidRPr="004A6462" w:rsidRDefault="00591C66" w:rsidP="00972DEF"/>
    <w:p w14:paraId="462F94AC" w14:textId="7409D248" w:rsidR="00591C66" w:rsidRPr="004A6462" w:rsidRDefault="00591C66" w:rsidP="00972DEF">
      <w:r w:rsidRPr="004A6462">
        <w:t xml:space="preserve">To reduce burden on the respondent, data collection staff will travel to the site to meet with interviewees and/or schedule a telephone interview at a time that is convenient for the respondent. </w:t>
      </w:r>
      <w:r w:rsidR="00013C6F" w:rsidRPr="004A6462">
        <w:t xml:space="preserve">Also, conduct of the focus groups over the telephone reduces burden to participants since they do not have to travel to a meeting location. </w:t>
      </w:r>
      <w:r w:rsidR="009B2B5D" w:rsidRPr="004A6462">
        <w:t xml:space="preserve">The focus group and key informant interview guides were designed to collect the minimum information necessary for the purposes of this project. Key informant discussion guides are tailored to a specific audience (i.e. grantees, partners, laypersons) so that we are collecting specific information only from those most able to provide that information. </w:t>
      </w:r>
    </w:p>
    <w:p w14:paraId="2A6774BC" w14:textId="77777777" w:rsidR="00464164" w:rsidRPr="004A6462" w:rsidRDefault="00464164" w:rsidP="00972DEF"/>
    <w:p w14:paraId="5DF61980" w14:textId="17B83C3A" w:rsidR="00972DEF" w:rsidRPr="004A6462" w:rsidRDefault="00972DEF" w:rsidP="00972DEF">
      <w:pPr>
        <w:autoSpaceDE w:val="0"/>
        <w:autoSpaceDN w:val="0"/>
        <w:adjustRightInd w:val="0"/>
        <w:rPr>
          <w:b/>
          <w:bCs/>
        </w:rPr>
      </w:pPr>
      <w:r w:rsidRPr="004A6462">
        <w:rPr>
          <w:b/>
          <w:bCs/>
        </w:rPr>
        <w:t xml:space="preserve">A.4. </w:t>
      </w:r>
      <w:r w:rsidRPr="004A6462">
        <w:rPr>
          <w:b/>
          <w:bCs/>
        </w:rPr>
        <w:tab/>
        <w:t>Efforts to Identify Duplication and Use of Similar Information</w:t>
      </w:r>
    </w:p>
    <w:p w14:paraId="11EB2B3B" w14:textId="77777777" w:rsidR="00B33354" w:rsidRPr="004A6462" w:rsidRDefault="00B33354" w:rsidP="00972DEF">
      <w:pPr>
        <w:autoSpaceDE w:val="0"/>
        <w:autoSpaceDN w:val="0"/>
        <w:adjustRightInd w:val="0"/>
        <w:rPr>
          <w:b/>
          <w:bCs/>
        </w:rPr>
      </w:pPr>
    </w:p>
    <w:p w14:paraId="453D2F19" w14:textId="1B72A59C" w:rsidR="00972DEF" w:rsidRPr="004A6462" w:rsidRDefault="00A369E1" w:rsidP="00972DEF">
      <w:pPr>
        <w:autoSpaceDE w:val="0"/>
        <w:autoSpaceDN w:val="0"/>
        <w:adjustRightInd w:val="0"/>
      </w:pPr>
      <w:r w:rsidRPr="004A6462">
        <w:t>Th</w:t>
      </w:r>
      <w:r w:rsidR="00A26A4A" w:rsidRPr="004A6462">
        <w:t>is program evaluation is</w:t>
      </w:r>
      <w:r w:rsidRPr="004A6462">
        <w:t xml:space="preserve"> a new initiative. </w:t>
      </w:r>
      <w:r w:rsidR="00A16951" w:rsidRPr="004A6462">
        <w:t>The funding the grantees receive</w:t>
      </w:r>
      <w:r w:rsidR="00A26A4A" w:rsidRPr="004A6462">
        <w:t>d</w:t>
      </w:r>
      <w:r w:rsidR="00A16951" w:rsidRPr="004A6462">
        <w:t xml:space="preserve"> is from FOA No. SP-16-005 titled Grants to Prevent Prescription Drug/Opioid Overdose-Related Deaths (Short Title: PDO</w:t>
      </w:r>
      <w:r w:rsidR="00BF5F38" w:rsidRPr="004A6462">
        <w:t xml:space="preserve"> grant</w:t>
      </w:r>
      <w:r w:rsidR="00A16951" w:rsidRPr="004A6462">
        <w:t xml:space="preserve">). </w:t>
      </w:r>
      <w:r w:rsidR="00BF5F38" w:rsidRPr="004A6462">
        <w:t>SAMHSA is funding the grant</w:t>
      </w:r>
      <w:r w:rsidRPr="004A6462">
        <w:t xml:space="preserve"> and CDC is responsible for conducting the evaluation.  </w:t>
      </w:r>
      <w:r w:rsidR="00BF5F38" w:rsidRPr="004A6462">
        <w:t xml:space="preserve">In order to coordinate evaluation efforts and avoid duplication, CDC </w:t>
      </w:r>
      <w:r w:rsidRPr="004A6462">
        <w:t xml:space="preserve">has worked collaboratively with colleagues at SAMHSA to </w:t>
      </w:r>
      <w:r w:rsidR="00BF5F38" w:rsidRPr="004A6462">
        <w:t xml:space="preserve">design the study. As part of the </w:t>
      </w:r>
      <w:r w:rsidR="005B748D" w:rsidRPr="004A6462">
        <w:t>evaluation</w:t>
      </w:r>
      <w:r w:rsidR="00BF5F38" w:rsidRPr="004A6462">
        <w:t xml:space="preserve">, CDC and contractor Battelle will collect qualitative data from </w:t>
      </w:r>
      <w:r w:rsidR="00D5567F" w:rsidRPr="004A6462">
        <w:t>sites</w:t>
      </w:r>
      <w:r w:rsidR="00BF5F38" w:rsidRPr="004A6462">
        <w:t>, while SAMHSA will collect measures</w:t>
      </w:r>
      <w:r w:rsidR="00835880" w:rsidRPr="004A6462">
        <w:t xml:space="preserve"> </w:t>
      </w:r>
      <w:r w:rsidR="00D5567F" w:rsidRPr="004A6462">
        <w:t xml:space="preserve">from grantees </w:t>
      </w:r>
      <w:r w:rsidR="00835880" w:rsidRPr="004A6462">
        <w:t>as part of the grant requirements</w:t>
      </w:r>
      <w:r w:rsidR="00BF5F38" w:rsidRPr="004A6462">
        <w:t>.</w:t>
      </w:r>
      <w:r w:rsidR="00873743" w:rsidRPr="004A6462">
        <w:t xml:space="preserve"> Battelle and CDC will utilize the Grantee Progress Reports provided to SAMHSA and available </w:t>
      </w:r>
      <w:r w:rsidR="00823192" w:rsidRPr="004A6462">
        <w:t xml:space="preserve">secondary sources such as </w:t>
      </w:r>
      <w:r w:rsidR="00873743" w:rsidRPr="004A6462">
        <w:t>state level data to inform this evaluation</w:t>
      </w:r>
      <w:r w:rsidR="00823192" w:rsidRPr="004A6462">
        <w:t xml:space="preserve"> as much as possible</w:t>
      </w:r>
      <w:r w:rsidR="00873743" w:rsidRPr="004A6462">
        <w:t>.</w:t>
      </w:r>
      <w:r w:rsidR="00823192" w:rsidRPr="004A6462">
        <w:t xml:space="preserve"> The qualitative data collection we are describing in this OMB package is not available elsewhere.</w:t>
      </w:r>
      <w:r w:rsidR="00BF5F38" w:rsidRPr="004A6462">
        <w:t xml:space="preserve"> </w:t>
      </w:r>
      <w:r w:rsidR="00D5567F" w:rsidRPr="004A6462">
        <w:t>Q</w:t>
      </w:r>
      <w:r w:rsidR="00823192" w:rsidRPr="004A6462">
        <w:t xml:space="preserve">ualitative evaluation tools have been specifically designed for this study to obtain detailed information to inform the evaluation questions and outcome measures. </w:t>
      </w:r>
      <w:r w:rsidR="005B748D" w:rsidRPr="004A6462">
        <w:t xml:space="preserve">CDC and SAMHSA have consulted </w:t>
      </w:r>
      <w:r w:rsidR="00A95D39" w:rsidRPr="004A6462">
        <w:t xml:space="preserve">with each other </w:t>
      </w:r>
      <w:r w:rsidR="005B748D" w:rsidRPr="004A6462">
        <w:t xml:space="preserve">throughout the evaluation design to make sure the data and data collection efforts are </w:t>
      </w:r>
      <w:r w:rsidR="00835880" w:rsidRPr="004A6462">
        <w:t>complementary and not duplicative.</w:t>
      </w:r>
      <w:r w:rsidR="005B748D" w:rsidRPr="004A6462">
        <w:t xml:space="preserve"> </w:t>
      </w:r>
    </w:p>
    <w:p w14:paraId="5744A5A0" w14:textId="77777777" w:rsidR="00A16951" w:rsidRPr="004A6462" w:rsidRDefault="00A16951" w:rsidP="00972DEF">
      <w:pPr>
        <w:autoSpaceDE w:val="0"/>
        <w:autoSpaceDN w:val="0"/>
        <w:adjustRightInd w:val="0"/>
      </w:pPr>
    </w:p>
    <w:p w14:paraId="7F92D944" w14:textId="6B11C8EB" w:rsidR="00972DEF" w:rsidRPr="004A6462" w:rsidRDefault="00972DEF" w:rsidP="00972DEF">
      <w:pPr>
        <w:autoSpaceDE w:val="0"/>
        <w:autoSpaceDN w:val="0"/>
        <w:adjustRightInd w:val="0"/>
        <w:rPr>
          <w:b/>
          <w:bCs/>
        </w:rPr>
      </w:pPr>
      <w:r w:rsidRPr="004A6462">
        <w:rPr>
          <w:b/>
          <w:bCs/>
        </w:rPr>
        <w:t xml:space="preserve">A.5. </w:t>
      </w:r>
      <w:r w:rsidRPr="004A6462">
        <w:rPr>
          <w:b/>
          <w:bCs/>
        </w:rPr>
        <w:tab/>
        <w:t xml:space="preserve">Impact on Small Businesses or Other Small Entities </w:t>
      </w:r>
    </w:p>
    <w:p w14:paraId="2455BD68" w14:textId="77777777" w:rsidR="00B33354" w:rsidRPr="004A6462" w:rsidRDefault="00B33354" w:rsidP="00972DEF">
      <w:pPr>
        <w:autoSpaceDE w:val="0"/>
        <w:autoSpaceDN w:val="0"/>
        <w:adjustRightInd w:val="0"/>
        <w:rPr>
          <w:b/>
          <w:bCs/>
        </w:rPr>
      </w:pPr>
    </w:p>
    <w:p w14:paraId="3FA6065B" w14:textId="77777777" w:rsidR="0027700E" w:rsidRPr="004A6462" w:rsidRDefault="0027700E" w:rsidP="00972DEF">
      <w:pPr>
        <w:autoSpaceDE w:val="0"/>
        <w:autoSpaceDN w:val="0"/>
        <w:adjustRightInd w:val="0"/>
      </w:pPr>
      <w:r w:rsidRPr="004A6462">
        <w:t>No small businesses will be involved in this data collection.</w:t>
      </w:r>
    </w:p>
    <w:p w14:paraId="5F4EA640" w14:textId="77777777" w:rsidR="00972DEF" w:rsidRPr="004A6462" w:rsidRDefault="00972DEF" w:rsidP="00972DEF">
      <w:pPr>
        <w:autoSpaceDE w:val="0"/>
        <w:autoSpaceDN w:val="0"/>
        <w:adjustRightInd w:val="0"/>
        <w:rPr>
          <w:i/>
          <w:iCs/>
        </w:rPr>
      </w:pPr>
    </w:p>
    <w:p w14:paraId="674CD33E" w14:textId="503A36B4" w:rsidR="00972DEF" w:rsidRPr="004A6462" w:rsidRDefault="00972DEF" w:rsidP="00972DEF">
      <w:pPr>
        <w:autoSpaceDE w:val="0"/>
        <w:autoSpaceDN w:val="0"/>
        <w:adjustRightInd w:val="0"/>
        <w:rPr>
          <w:b/>
          <w:bCs/>
        </w:rPr>
      </w:pPr>
      <w:r w:rsidRPr="004A6462">
        <w:rPr>
          <w:b/>
          <w:bCs/>
        </w:rPr>
        <w:t xml:space="preserve">A.6. </w:t>
      </w:r>
      <w:r w:rsidRPr="004A6462">
        <w:rPr>
          <w:b/>
          <w:bCs/>
        </w:rPr>
        <w:tab/>
        <w:t xml:space="preserve">Consequences of Collecting the Information Less Frequently </w:t>
      </w:r>
    </w:p>
    <w:p w14:paraId="64517353" w14:textId="77777777" w:rsidR="00B33354" w:rsidRPr="004A6462" w:rsidRDefault="00B33354" w:rsidP="00972DEF">
      <w:pPr>
        <w:autoSpaceDE w:val="0"/>
        <w:autoSpaceDN w:val="0"/>
        <w:adjustRightInd w:val="0"/>
        <w:rPr>
          <w:b/>
          <w:bCs/>
        </w:rPr>
      </w:pPr>
    </w:p>
    <w:p w14:paraId="0950E43E" w14:textId="18481329" w:rsidR="00A16951" w:rsidRPr="004A6462" w:rsidRDefault="00EF6FB9" w:rsidP="00972DEF">
      <w:pPr>
        <w:autoSpaceDE w:val="0"/>
        <w:autoSpaceDN w:val="0"/>
        <w:adjustRightInd w:val="0"/>
        <w:rPr>
          <w:bCs/>
        </w:rPr>
      </w:pPr>
      <w:r w:rsidRPr="004A6462">
        <w:rPr>
          <w:bCs/>
        </w:rPr>
        <w:t>Focus group and interview d</w:t>
      </w:r>
      <w:r w:rsidR="00A16951" w:rsidRPr="004A6462">
        <w:rPr>
          <w:bCs/>
        </w:rPr>
        <w:t xml:space="preserve">ata collection for this study will occur annually </w:t>
      </w:r>
      <w:r w:rsidR="009E64CF" w:rsidRPr="004A6462">
        <w:rPr>
          <w:bCs/>
        </w:rPr>
        <w:t>for 4 years</w:t>
      </w:r>
      <w:r w:rsidR="00A16951" w:rsidRPr="004A6462">
        <w:rPr>
          <w:bCs/>
        </w:rPr>
        <w:t>. Th</w:t>
      </w:r>
      <w:r w:rsidR="00322B07" w:rsidRPr="004A6462">
        <w:rPr>
          <w:bCs/>
        </w:rPr>
        <w:t>e</w:t>
      </w:r>
      <w:r w:rsidR="00A16951" w:rsidRPr="004A6462">
        <w:rPr>
          <w:bCs/>
        </w:rPr>
        <w:t xml:space="preserve"> purpose of annual data collection is to gather information which will identify facilitators and barriers at various stages of program </w:t>
      </w:r>
      <w:r w:rsidR="009E64CF" w:rsidRPr="004A6462">
        <w:rPr>
          <w:bCs/>
        </w:rPr>
        <w:t xml:space="preserve">planning and </w:t>
      </w:r>
      <w:r w:rsidR="00A16951" w:rsidRPr="004A6462">
        <w:rPr>
          <w:bCs/>
        </w:rPr>
        <w:t xml:space="preserve">implementation. Annual data collection allows us to provide evaluation feedback to CDC and SAMHSA </w:t>
      </w:r>
      <w:r w:rsidR="001C625D" w:rsidRPr="004A6462">
        <w:rPr>
          <w:bCs/>
        </w:rPr>
        <w:t xml:space="preserve">for continuous quality improvement and to inform course corrections </w:t>
      </w:r>
      <w:r w:rsidR="00A16951" w:rsidRPr="004A6462">
        <w:rPr>
          <w:bCs/>
        </w:rPr>
        <w:t>over the course of the</w:t>
      </w:r>
      <w:r w:rsidR="00442D8A" w:rsidRPr="004A6462">
        <w:rPr>
          <w:bCs/>
        </w:rPr>
        <w:t xml:space="preserve"> </w:t>
      </w:r>
      <w:r w:rsidR="00F347D1" w:rsidRPr="004A6462">
        <w:rPr>
          <w:bCs/>
        </w:rPr>
        <w:t xml:space="preserve">5-year </w:t>
      </w:r>
      <w:r w:rsidR="00442D8A" w:rsidRPr="004A6462">
        <w:rPr>
          <w:bCs/>
        </w:rPr>
        <w:t>grant period</w:t>
      </w:r>
      <w:r w:rsidR="00A16951" w:rsidRPr="004A6462">
        <w:rPr>
          <w:bCs/>
        </w:rPr>
        <w:t xml:space="preserve">. </w:t>
      </w:r>
    </w:p>
    <w:p w14:paraId="7F50D584" w14:textId="77777777" w:rsidR="009E64CF" w:rsidRPr="004A6462" w:rsidRDefault="009E64CF" w:rsidP="00972DEF">
      <w:pPr>
        <w:autoSpaceDE w:val="0"/>
        <w:autoSpaceDN w:val="0"/>
        <w:adjustRightInd w:val="0"/>
        <w:rPr>
          <w:bCs/>
        </w:rPr>
      </w:pPr>
    </w:p>
    <w:p w14:paraId="5B1C3598" w14:textId="03CDC164" w:rsidR="009E64CF" w:rsidRPr="004A6462" w:rsidRDefault="009E64CF" w:rsidP="009E64CF">
      <w:pPr>
        <w:autoSpaceDE w:val="0"/>
        <w:autoSpaceDN w:val="0"/>
        <w:adjustRightInd w:val="0"/>
        <w:rPr>
          <w:bCs/>
        </w:rPr>
      </w:pPr>
      <w:r w:rsidRPr="004A6462">
        <w:rPr>
          <w:bCs/>
        </w:rPr>
        <w:t xml:space="preserve">The consequence of not collecting the information would be to limit CDC’s and SAMHSA’s efforts to assess </w:t>
      </w:r>
      <w:r w:rsidR="00AE657B" w:rsidRPr="004A6462">
        <w:rPr>
          <w:bCs/>
        </w:rPr>
        <w:t xml:space="preserve">the </w:t>
      </w:r>
      <w:r w:rsidR="00406059" w:rsidRPr="004A6462">
        <w:rPr>
          <w:bCs/>
        </w:rPr>
        <w:t xml:space="preserve">outcomes </w:t>
      </w:r>
      <w:r w:rsidR="00AE657B" w:rsidRPr="004A6462">
        <w:rPr>
          <w:bCs/>
        </w:rPr>
        <w:t>of</w:t>
      </w:r>
      <w:r w:rsidRPr="004A6462">
        <w:rPr>
          <w:bCs/>
        </w:rPr>
        <w:t xml:space="preserve"> their </w:t>
      </w:r>
      <w:r w:rsidR="008370E7" w:rsidRPr="004A6462">
        <w:rPr>
          <w:bCs/>
        </w:rPr>
        <w:t>efforts in context of implementation factors that may influence these outcomes</w:t>
      </w:r>
      <w:r w:rsidR="00AB75CF" w:rsidRPr="004A6462">
        <w:rPr>
          <w:bCs/>
        </w:rPr>
        <w:t xml:space="preserve">. </w:t>
      </w:r>
      <w:r w:rsidRPr="004A6462">
        <w:rPr>
          <w:bCs/>
        </w:rPr>
        <w:t xml:space="preserve"> Without the data collection activities proposed, CDC and SAMHSA would not have essential information necessary to provide support to current programs and make critical decisions about the future support of this program.  </w:t>
      </w:r>
    </w:p>
    <w:p w14:paraId="6440DFCF" w14:textId="77777777" w:rsidR="009E64CF" w:rsidRPr="004A6462" w:rsidRDefault="009E64CF" w:rsidP="009E64CF">
      <w:pPr>
        <w:autoSpaceDE w:val="0"/>
        <w:autoSpaceDN w:val="0"/>
        <w:adjustRightInd w:val="0"/>
        <w:rPr>
          <w:bCs/>
        </w:rPr>
      </w:pPr>
    </w:p>
    <w:p w14:paraId="7B9BB4EE" w14:textId="7E921ED3" w:rsidR="00972DEF" w:rsidRPr="004A6462" w:rsidRDefault="00972DEF" w:rsidP="00972DEF">
      <w:pPr>
        <w:autoSpaceDE w:val="0"/>
        <w:autoSpaceDN w:val="0"/>
        <w:adjustRightInd w:val="0"/>
        <w:rPr>
          <w:b/>
          <w:bCs/>
        </w:rPr>
      </w:pPr>
      <w:r w:rsidRPr="004A6462">
        <w:rPr>
          <w:b/>
          <w:bCs/>
        </w:rPr>
        <w:t xml:space="preserve">A.7. </w:t>
      </w:r>
      <w:r w:rsidRPr="004A6462">
        <w:rPr>
          <w:b/>
          <w:bCs/>
        </w:rPr>
        <w:tab/>
        <w:t>Special Circumstances Relating to the Guidelines of 5 CFR 1320.5</w:t>
      </w:r>
    </w:p>
    <w:p w14:paraId="46B56DED" w14:textId="77777777" w:rsidR="00B33354" w:rsidRPr="004A6462" w:rsidRDefault="00B33354" w:rsidP="00972DEF">
      <w:pPr>
        <w:autoSpaceDE w:val="0"/>
        <w:autoSpaceDN w:val="0"/>
        <w:adjustRightInd w:val="0"/>
      </w:pPr>
    </w:p>
    <w:p w14:paraId="1F78F7D0" w14:textId="77777777" w:rsidR="00972DEF" w:rsidRPr="004A6462" w:rsidRDefault="00972DEF" w:rsidP="00972DEF">
      <w:pPr>
        <w:pStyle w:val="SL-FlLftSgl"/>
      </w:pPr>
      <w:r w:rsidRPr="004A6462">
        <w:t xml:space="preserve">The request fully complies with the regulation 5 CFR 1320.5. </w:t>
      </w:r>
    </w:p>
    <w:p w14:paraId="7EC7A905" w14:textId="77777777" w:rsidR="00972DEF" w:rsidRPr="004A6462" w:rsidRDefault="00972DEF" w:rsidP="00972DEF">
      <w:pPr>
        <w:autoSpaceDE w:val="0"/>
        <w:autoSpaceDN w:val="0"/>
        <w:adjustRightInd w:val="0"/>
      </w:pPr>
    </w:p>
    <w:p w14:paraId="4CAC2970" w14:textId="4E20ED64" w:rsidR="00972DEF" w:rsidRPr="004A6462" w:rsidRDefault="00972DEF" w:rsidP="00972DEF">
      <w:pPr>
        <w:autoSpaceDE w:val="0"/>
        <w:autoSpaceDN w:val="0"/>
        <w:adjustRightInd w:val="0"/>
        <w:rPr>
          <w:b/>
          <w:bCs/>
        </w:rPr>
      </w:pPr>
      <w:r w:rsidRPr="004A6462">
        <w:rPr>
          <w:b/>
          <w:bCs/>
        </w:rPr>
        <w:t xml:space="preserve">A.8. </w:t>
      </w:r>
      <w:r w:rsidRPr="004A6462">
        <w:rPr>
          <w:b/>
          <w:bCs/>
        </w:rPr>
        <w:tab/>
        <w:t xml:space="preserve">Comments in Response to the Federal Register Notice and Efforts to Consult </w:t>
      </w:r>
      <w:r w:rsidRPr="004A6462">
        <w:rPr>
          <w:b/>
          <w:bCs/>
        </w:rPr>
        <w:tab/>
      </w:r>
      <w:r w:rsidRPr="004A6462">
        <w:rPr>
          <w:b/>
          <w:bCs/>
        </w:rPr>
        <w:tab/>
      </w:r>
      <w:r w:rsidRPr="004A6462">
        <w:rPr>
          <w:b/>
          <w:bCs/>
        </w:rPr>
        <w:tab/>
        <w:t xml:space="preserve">Outside the Agency </w:t>
      </w:r>
    </w:p>
    <w:p w14:paraId="603FFBFA" w14:textId="77777777" w:rsidR="00B33354" w:rsidRPr="004A6462" w:rsidRDefault="00B33354" w:rsidP="00972DEF">
      <w:pPr>
        <w:autoSpaceDE w:val="0"/>
        <w:autoSpaceDN w:val="0"/>
        <w:adjustRightInd w:val="0"/>
        <w:rPr>
          <w:b/>
          <w:bCs/>
        </w:rPr>
      </w:pPr>
    </w:p>
    <w:p w14:paraId="03BE9B03" w14:textId="77777777" w:rsidR="00405CC1" w:rsidRPr="004A6462" w:rsidRDefault="00972DEF" w:rsidP="00972DEF">
      <w:pPr>
        <w:rPr>
          <w:noProof/>
        </w:rPr>
      </w:pPr>
      <w:r w:rsidRPr="004A6462">
        <w:rPr>
          <w:b/>
        </w:rPr>
        <w:t>A.8.a)</w:t>
      </w:r>
      <w:r w:rsidRPr="004A6462">
        <w:tab/>
      </w:r>
      <w:r w:rsidR="0049057C" w:rsidRPr="004A6462">
        <w:rPr>
          <w:noProof/>
        </w:rPr>
        <w:t>Federal Register Notice</w:t>
      </w:r>
    </w:p>
    <w:p w14:paraId="424D7617" w14:textId="4D885BC1" w:rsidR="00FB1045" w:rsidRPr="004A6462" w:rsidRDefault="00FB1045" w:rsidP="00FB1045">
      <w:r w:rsidRPr="004A6462">
        <w:t xml:space="preserve">A 60-day Federal Register Notice was published in the Federal Register on </w:t>
      </w:r>
      <w:r w:rsidR="00391FA8" w:rsidRPr="004A6462">
        <w:t>July</w:t>
      </w:r>
      <w:r w:rsidRPr="004A6462">
        <w:t xml:space="preserve">, </w:t>
      </w:r>
      <w:r w:rsidR="00391FA8" w:rsidRPr="004A6462">
        <w:t>17</w:t>
      </w:r>
      <w:r w:rsidRPr="004A6462">
        <w:t xml:space="preserve">, </w:t>
      </w:r>
      <w:r w:rsidR="00391FA8" w:rsidRPr="004A6462">
        <w:t>2017</w:t>
      </w:r>
      <w:r w:rsidRPr="004A6462">
        <w:t xml:space="preserve">, vol. </w:t>
      </w:r>
      <w:r w:rsidR="00391FA8" w:rsidRPr="004A6462">
        <w:t xml:space="preserve">82, </w:t>
      </w:r>
      <w:r w:rsidRPr="004A6462">
        <w:t xml:space="preserve">No. </w:t>
      </w:r>
      <w:r w:rsidR="00391FA8" w:rsidRPr="004A6462">
        <w:t>135</w:t>
      </w:r>
      <w:r w:rsidRPr="004A6462">
        <w:t xml:space="preserve">, pp. </w:t>
      </w:r>
      <w:r w:rsidR="00391FA8" w:rsidRPr="004A6462">
        <w:t>32704</w:t>
      </w:r>
      <w:r w:rsidRPr="004A6462">
        <w:t xml:space="preserve"> (Attachment B). There were </w:t>
      </w:r>
      <w:r w:rsidR="00F52C9D" w:rsidRPr="004A6462">
        <w:t xml:space="preserve">no </w:t>
      </w:r>
      <w:r w:rsidRPr="004A6462">
        <w:t xml:space="preserve">comments to the </w:t>
      </w:r>
      <w:r w:rsidR="003F647A" w:rsidRPr="004A6462">
        <w:t>60-day Federal Register Notice</w:t>
      </w:r>
      <w:r w:rsidR="00911602" w:rsidRPr="004A6462">
        <w:t>.</w:t>
      </w:r>
    </w:p>
    <w:p w14:paraId="30B82C72" w14:textId="77777777" w:rsidR="00405CC1" w:rsidRPr="004A6462" w:rsidRDefault="00405CC1" w:rsidP="00972DEF"/>
    <w:p w14:paraId="248DCDF5" w14:textId="77777777" w:rsidR="00972DEF" w:rsidRPr="004A6462" w:rsidRDefault="00972DEF" w:rsidP="00972DEF">
      <w:r w:rsidRPr="004A6462">
        <w:rPr>
          <w:b/>
        </w:rPr>
        <w:t>A.8.b)</w:t>
      </w:r>
      <w:r w:rsidRPr="004A6462">
        <w:t xml:space="preserve"> </w:t>
      </w:r>
      <w:r w:rsidR="0049057C" w:rsidRPr="004A6462">
        <w:rPr>
          <w:noProof/>
        </w:rPr>
        <w:t>Efforts to Consult Outside the Agency</w:t>
      </w:r>
    </w:p>
    <w:p w14:paraId="151F5594" w14:textId="661F62F5" w:rsidR="00B462E5" w:rsidRPr="004A6462" w:rsidRDefault="00745BF9" w:rsidP="00C45252">
      <w:r w:rsidRPr="004A6462">
        <w:t>In addition to consulting with</w:t>
      </w:r>
      <w:r w:rsidR="00442D8A" w:rsidRPr="004A6462">
        <w:t xml:space="preserve"> </w:t>
      </w:r>
      <w:r w:rsidRPr="004A6462">
        <w:t xml:space="preserve">federal </w:t>
      </w:r>
      <w:r w:rsidR="005B748D" w:rsidRPr="004A6462">
        <w:t xml:space="preserve">colleagues at </w:t>
      </w:r>
      <w:r w:rsidR="00442D8A" w:rsidRPr="004A6462">
        <w:t xml:space="preserve">SAMHSA on the development of </w:t>
      </w:r>
      <w:r w:rsidR="005B748D" w:rsidRPr="004A6462">
        <w:t xml:space="preserve">the evaluation design </w:t>
      </w:r>
      <w:r w:rsidRPr="004A6462">
        <w:t>CDC</w:t>
      </w:r>
      <w:r w:rsidR="005B748D" w:rsidRPr="004A6462">
        <w:t xml:space="preserve"> has also consulted with funded grantees to further inform evaluation </w:t>
      </w:r>
      <w:r w:rsidRPr="004A6462">
        <w:t xml:space="preserve">planning </w:t>
      </w:r>
      <w:r w:rsidR="005B748D" w:rsidRPr="004A6462">
        <w:t>and data collection</w:t>
      </w:r>
      <w:r w:rsidR="00A95D39" w:rsidRPr="004A6462">
        <w:t xml:space="preserve"> activities</w:t>
      </w:r>
      <w:r w:rsidRPr="004A6462">
        <w:t xml:space="preserve"> from a participatory perspective. </w:t>
      </w:r>
      <w:r w:rsidR="00B462E5" w:rsidRPr="004A6462">
        <w:t xml:space="preserve">The following grantees were consulted in this effort: </w:t>
      </w:r>
    </w:p>
    <w:p w14:paraId="5D243ABA" w14:textId="77777777" w:rsidR="00991436" w:rsidRPr="004A6462" w:rsidRDefault="00991436" w:rsidP="00C45252"/>
    <w:p w14:paraId="1BCD39F7" w14:textId="411E79FC" w:rsidR="00B462E5" w:rsidRPr="004A6462" w:rsidRDefault="00B462E5" w:rsidP="00C45252">
      <w:r w:rsidRPr="004A6462">
        <w:t>Bridget L. Hanson, PhD, University of Alaska Anchorage</w:t>
      </w:r>
    </w:p>
    <w:p w14:paraId="493A7FE1" w14:textId="0780DEA4" w:rsidR="00B462E5" w:rsidRPr="004A6462" w:rsidRDefault="00B462E5" w:rsidP="003404F1">
      <w:pPr>
        <w:spacing w:before="40"/>
      </w:pPr>
      <w:r w:rsidRPr="004A6462">
        <w:t>Michelle Nienhius, South Carolina Department of Alcohol and Other Drug Abuse Services</w:t>
      </w:r>
    </w:p>
    <w:p w14:paraId="6EE5BD63" w14:textId="7E327868" w:rsidR="003404F1" w:rsidRPr="004A6462" w:rsidRDefault="003404F1" w:rsidP="003404F1">
      <w:r w:rsidRPr="004A6462">
        <w:t>Elizabeth Collier, Wisconsin Department of Health</w:t>
      </w:r>
    </w:p>
    <w:p w14:paraId="71423A0B" w14:textId="630275B7" w:rsidR="003404F1" w:rsidRPr="004A6462" w:rsidRDefault="003404F1" w:rsidP="003404F1">
      <w:pPr>
        <w:tabs>
          <w:tab w:val="left" w:pos="1956"/>
        </w:tabs>
      </w:pPr>
      <w:r w:rsidRPr="004A6462">
        <w:t>James Matney, West Virginia Bureau for Behavioral Health and Health Facilities</w:t>
      </w:r>
    </w:p>
    <w:p w14:paraId="706AD34E" w14:textId="1D3E20C1" w:rsidR="003404F1" w:rsidRPr="004A6462" w:rsidRDefault="003404F1" w:rsidP="003404F1">
      <w:pPr>
        <w:tabs>
          <w:tab w:val="left" w:pos="1956"/>
        </w:tabs>
      </w:pPr>
      <w:r w:rsidRPr="004A6462">
        <w:t>Rachel Winograd, University of Missouri, St. Louis</w:t>
      </w:r>
    </w:p>
    <w:p w14:paraId="737B4D73" w14:textId="71F784B8" w:rsidR="003404F1" w:rsidRPr="004A6462" w:rsidRDefault="003404F1" w:rsidP="003404F1">
      <w:pPr>
        <w:tabs>
          <w:tab w:val="left" w:pos="1956"/>
        </w:tabs>
      </w:pPr>
      <w:r w:rsidRPr="004A6462">
        <w:t>Drew Dobro, Wyoming Public Health Division</w:t>
      </w:r>
    </w:p>
    <w:p w14:paraId="3FAB773D" w14:textId="4350249C" w:rsidR="003404F1" w:rsidRPr="004A6462" w:rsidRDefault="003404F1" w:rsidP="003404F1">
      <w:pPr>
        <w:tabs>
          <w:tab w:val="left" w:pos="1956"/>
        </w:tabs>
      </w:pPr>
      <w:r w:rsidRPr="004A6462">
        <w:t>Caleb Banta-Green, University of Washington</w:t>
      </w:r>
    </w:p>
    <w:p w14:paraId="74995D32" w14:textId="33863EC7" w:rsidR="003404F1" w:rsidRPr="004A6462" w:rsidRDefault="003404F1" w:rsidP="003404F1">
      <w:pPr>
        <w:tabs>
          <w:tab w:val="left" w:pos="1956"/>
        </w:tabs>
      </w:pPr>
      <w:r w:rsidRPr="004A6462">
        <w:t>Liz Lilliot, Pacific Institute of Research and Evaluation</w:t>
      </w:r>
    </w:p>
    <w:p w14:paraId="6F2300D9" w14:textId="0334CEE3" w:rsidR="00FE41B7" w:rsidRPr="004A6462" w:rsidRDefault="00FE41B7" w:rsidP="00C45252">
      <w:pPr>
        <w:rPr>
          <w:bCs/>
        </w:rPr>
      </w:pPr>
    </w:p>
    <w:p w14:paraId="2CE484A9" w14:textId="77777777" w:rsidR="00D6630F" w:rsidRPr="004A6462" w:rsidRDefault="00D6630F" w:rsidP="00C45252">
      <w:pPr>
        <w:rPr>
          <w:bCs/>
        </w:rPr>
      </w:pPr>
    </w:p>
    <w:p w14:paraId="55C21CBD" w14:textId="25106102" w:rsidR="00972DEF" w:rsidRPr="004A6462" w:rsidRDefault="00972DEF" w:rsidP="00C45252">
      <w:pPr>
        <w:rPr>
          <w:b/>
          <w:bCs/>
        </w:rPr>
      </w:pPr>
      <w:r w:rsidRPr="004A6462">
        <w:rPr>
          <w:b/>
          <w:bCs/>
        </w:rPr>
        <w:t xml:space="preserve">A.9. </w:t>
      </w:r>
      <w:r w:rsidRPr="004A6462">
        <w:rPr>
          <w:b/>
          <w:bCs/>
        </w:rPr>
        <w:tab/>
        <w:t xml:space="preserve">Explanation of Any Payment or Gift to Respondents </w:t>
      </w:r>
    </w:p>
    <w:p w14:paraId="00664659" w14:textId="77777777" w:rsidR="00E6174C" w:rsidRPr="004A6462" w:rsidRDefault="00E6174C" w:rsidP="00C45252">
      <w:pPr>
        <w:rPr>
          <w:b/>
          <w:bCs/>
        </w:rPr>
      </w:pPr>
    </w:p>
    <w:p w14:paraId="12D5543B" w14:textId="452F1BCD" w:rsidR="00972DEF" w:rsidRPr="004A6462" w:rsidRDefault="00B6121A" w:rsidP="00972DEF">
      <w:pPr>
        <w:autoSpaceDE w:val="0"/>
        <w:autoSpaceDN w:val="0"/>
        <w:adjustRightInd w:val="0"/>
        <w:rPr>
          <w:bCs/>
        </w:rPr>
      </w:pPr>
      <w:r w:rsidRPr="004A6462">
        <w:rPr>
          <w:bCs/>
        </w:rPr>
        <w:t>L</w:t>
      </w:r>
      <w:r w:rsidR="0054552D" w:rsidRPr="004A6462">
        <w:rPr>
          <w:bCs/>
        </w:rPr>
        <w:t>ayperson key informant</w:t>
      </w:r>
      <w:r w:rsidR="00DD42FE" w:rsidRPr="004A6462">
        <w:rPr>
          <w:bCs/>
        </w:rPr>
        <w:t>s</w:t>
      </w:r>
      <w:r w:rsidR="0054552D" w:rsidRPr="004A6462">
        <w:rPr>
          <w:bCs/>
        </w:rPr>
        <w:t xml:space="preserve"> </w:t>
      </w:r>
      <w:r w:rsidR="008E158F" w:rsidRPr="004A6462">
        <w:rPr>
          <w:bCs/>
        </w:rPr>
        <w:t xml:space="preserve">including </w:t>
      </w:r>
      <w:r w:rsidR="00FB630F" w:rsidRPr="004A6462">
        <w:rPr>
          <w:bCs/>
        </w:rPr>
        <w:t>persons who inject drugs</w:t>
      </w:r>
      <w:r w:rsidR="002453DF" w:rsidRPr="004A6462">
        <w:rPr>
          <w:bCs/>
        </w:rPr>
        <w:t xml:space="preserve"> will receive</w:t>
      </w:r>
      <w:r w:rsidRPr="004A6462">
        <w:rPr>
          <w:bCs/>
        </w:rPr>
        <w:t xml:space="preserve"> gift card </w:t>
      </w:r>
      <w:r w:rsidR="002453DF" w:rsidRPr="004A6462">
        <w:rPr>
          <w:bCs/>
        </w:rPr>
        <w:t>incentive</w:t>
      </w:r>
      <w:r w:rsidRPr="004A6462">
        <w:rPr>
          <w:bCs/>
        </w:rPr>
        <w:t>s</w:t>
      </w:r>
      <w:r w:rsidR="002453DF" w:rsidRPr="004A6462">
        <w:rPr>
          <w:bCs/>
        </w:rPr>
        <w:t xml:space="preserve"> for their participation in the study. </w:t>
      </w:r>
      <w:r w:rsidR="00EF5D8F" w:rsidRPr="004A6462">
        <w:rPr>
          <w:bCs/>
        </w:rPr>
        <w:t xml:space="preserve">They will be offered </w:t>
      </w:r>
      <w:r w:rsidR="00D1434B" w:rsidRPr="004A6462">
        <w:rPr>
          <w:bCs/>
        </w:rPr>
        <w:t xml:space="preserve">a </w:t>
      </w:r>
      <w:r w:rsidR="00EF5D8F" w:rsidRPr="004A6462">
        <w:rPr>
          <w:bCs/>
        </w:rPr>
        <w:t xml:space="preserve">$25 </w:t>
      </w:r>
      <w:r w:rsidRPr="004A6462">
        <w:rPr>
          <w:bCs/>
        </w:rPr>
        <w:t xml:space="preserve">gift card </w:t>
      </w:r>
      <w:r w:rsidR="00E6174C" w:rsidRPr="004A6462">
        <w:rPr>
          <w:bCs/>
        </w:rPr>
        <w:t xml:space="preserve">as a token of </w:t>
      </w:r>
      <w:r w:rsidR="00EF5D8F" w:rsidRPr="004A6462">
        <w:rPr>
          <w:bCs/>
        </w:rPr>
        <w:t xml:space="preserve">appreciation </w:t>
      </w:r>
      <w:r w:rsidR="007E68A4" w:rsidRPr="004A6462">
        <w:rPr>
          <w:bCs/>
        </w:rPr>
        <w:t xml:space="preserve">for </w:t>
      </w:r>
      <w:r w:rsidR="00EF5D8F" w:rsidRPr="004A6462">
        <w:rPr>
          <w:bCs/>
        </w:rPr>
        <w:t xml:space="preserve">their participation in </w:t>
      </w:r>
      <w:r w:rsidR="007E68A4" w:rsidRPr="004A6462">
        <w:rPr>
          <w:bCs/>
        </w:rPr>
        <w:t xml:space="preserve">the </w:t>
      </w:r>
      <w:r w:rsidR="00AB75CF" w:rsidRPr="004A6462">
        <w:rPr>
          <w:bCs/>
        </w:rPr>
        <w:t>in-person interviews</w:t>
      </w:r>
      <w:r w:rsidR="00EF5D8F" w:rsidRPr="004A6462">
        <w:rPr>
          <w:bCs/>
        </w:rPr>
        <w:t xml:space="preserve">. </w:t>
      </w:r>
      <w:r w:rsidR="00E6174C" w:rsidRPr="004A6462">
        <w:t>This evaluation faces challenges in achieving the needed response rate</w:t>
      </w:r>
      <w:r w:rsidR="00E6174C" w:rsidRPr="004A6462">
        <w:rPr>
          <w:bCs/>
        </w:rPr>
        <w:t xml:space="preserve"> d</w:t>
      </w:r>
      <w:r w:rsidR="00EF6FB9" w:rsidRPr="004A6462">
        <w:rPr>
          <w:bCs/>
        </w:rPr>
        <w:t xml:space="preserve">ue to the nature of illegal drug use, </w:t>
      </w:r>
      <w:r w:rsidR="00E6174C" w:rsidRPr="004A6462">
        <w:rPr>
          <w:bCs/>
        </w:rPr>
        <w:t xml:space="preserve">also </w:t>
      </w:r>
      <w:r w:rsidR="00EF6FB9" w:rsidRPr="004A6462">
        <w:rPr>
          <w:bCs/>
        </w:rPr>
        <w:t>this population is particularly difficult to include as study participants. It has been found that utilizing incentives with this population increases participation as well as satisfaction with the study</w:t>
      </w:r>
      <w:r w:rsidR="0007582A" w:rsidRPr="004A6462">
        <w:rPr>
          <w:bCs/>
        </w:rPr>
        <w:t xml:space="preserve"> (Slomka, 2007; Topp, 2013; Festinger, 2008</w:t>
      </w:r>
      <w:r w:rsidR="00022F54" w:rsidRPr="004A6462">
        <w:rPr>
          <w:bCs/>
        </w:rPr>
        <w:t>; Desmond, 1995</w:t>
      </w:r>
      <w:r w:rsidR="0007582A" w:rsidRPr="004A6462">
        <w:rPr>
          <w:bCs/>
        </w:rPr>
        <w:t>)</w:t>
      </w:r>
      <w:r w:rsidR="00BA6930" w:rsidRPr="004A6462">
        <w:rPr>
          <w:bCs/>
        </w:rPr>
        <w:t>.</w:t>
      </w:r>
    </w:p>
    <w:p w14:paraId="4AB0F37E" w14:textId="77777777" w:rsidR="00E6174C" w:rsidRPr="004A6462" w:rsidRDefault="00E6174C" w:rsidP="00972DEF">
      <w:pPr>
        <w:autoSpaceDE w:val="0"/>
        <w:autoSpaceDN w:val="0"/>
        <w:adjustRightInd w:val="0"/>
        <w:rPr>
          <w:bCs/>
        </w:rPr>
      </w:pPr>
    </w:p>
    <w:p w14:paraId="1F83A4D1" w14:textId="013E1D08" w:rsidR="00E6174C" w:rsidRPr="004A6462" w:rsidRDefault="00E6174C" w:rsidP="004B09CD">
      <w:pPr>
        <w:spacing w:after="120"/>
        <w:rPr>
          <w:bCs/>
        </w:rPr>
      </w:pPr>
      <w:r w:rsidRPr="004A6462">
        <w:rPr>
          <w:bCs/>
        </w:rPr>
        <w:t xml:space="preserve">Without addressing the response rate challenge, the resulting low-response can produce non-response basis if non-respondents are different from respondents on characteristics and outcomes of interest to the evaluation. Fortunately, these challenges can be reduced by offering tokens of appreciation to respondents for participating in the interviews (James 1997, Singer &amp; Couper 2008). Further, recent studies show that incentives are effective in increasing response rates. A recent study of four alcohol and tobacco use studies showed that offering incentives increased on-time survey completion from 18% to 68% and using incentives achieved response rates over 90% (Smith et. al., 2017). A longitudinal health study of individuals impacted by the 9/11 terrorist attacks in New York City found that offering a $10 incentive increased survey returns by 30% and increased the overall response rate by 18% (Yu et. al., 2017). </w:t>
      </w:r>
    </w:p>
    <w:p w14:paraId="1B3EDBBC" w14:textId="77777777" w:rsidR="00E6174C" w:rsidRPr="004A6462" w:rsidRDefault="00E6174C" w:rsidP="00972DEF">
      <w:pPr>
        <w:autoSpaceDE w:val="0"/>
        <w:autoSpaceDN w:val="0"/>
        <w:adjustRightInd w:val="0"/>
        <w:rPr>
          <w:bCs/>
        </w:rPr>
      </w:pPr>
    </w:p>
    <w:p w14:paraId="2D4D1B2B" w14:textId="25979267" w:rsidR="008A1A86" w:rsidRPr="004A6462" w:rsidRDefault="00972DEF" w:rsidP="00053C31">
      <w:pPr>
        <w:autoSpaceDE w:val="0"/>
        <w:autoSpaceDN w:val="0"/>
        <w:adjustRightInd w:val="0"/>
        <w:rPr>
          <w:b/>
          <w:bCs/>
        </w:rPr>
      </w:pPr>
      <w:r w:rsidRPr="004A6462">
        <w:rPr>
          <w:b/>
          <w:bCs/>
        </w:rPr>
        <w:t xml:space="preserve">A.10. </w:t>
      </w:r>
      <w:r w:rsidRPr="004A6462">
        <w:rPr>
          <w:b/>
          <w:bCs/>
        </w:rPr>
        <w:tab/>
      </w:r>
      <w:r w:rsidR="00053C31" w:rsidRPr="004A6462">
        <w:rPr>
          <w:b/>
          <w:bCs/>
        </w:rPr>
        <w:t>Protection of the Privacy and Confidentiality of Information Provided by Respondents</w:t>
      </w:r>
    </w:p>
    <w:p w14:paraId="050357C4" w14:textId="77777777" w:rsidR="00C801EF" w:rsidRPr="004A6462" w:rsidRDefault="00C801EF" w:rsidP="00053C31">
      <w:pPr>
        <w:autoSpaceDE w:val="0"/>
        <w:autoSpaceDN w:val="0"/>
        <w:adjustRightInd w:val="0"/>
      </w:pPr>
    </w:p>
    <w:p w14:paraId="0217FDD7" w14:textId="42D846F8" w:rsidR="009B313D" w:rsidRPr="004A6462" w:rsidRDefault="00FF3736" w:rsidP="00972DEF">
      <w:r w:rsidRPr="004A6462">
        <w:t xml:space="preserve">This submission has been reviewed by the NCIPC’s Information Systems Security Officer, who has determined that the Privacy Act does not apply. </w:t>
      </w:r>
      <w:r w:rsidR="00F96D9E" w:rsidRPr="004A6462">
        <w:t xml:space="preserve"> </w:t>
      </w:r>
      <w:r w:rsidR="00252664" w:rsidRPr="004A6462">
        <w:t>Personal</w:t>
      </w:r>
      <w:r w:rsidR="005E5511" w:rsidRPr="004A6462">
        <w:t xml:space="preserve"> information</w:t>
      </w:r>
      <w:r w:rsidR="00252664" w:rsidRPr="004A6462">
        <w:t xml:space="preserve"> will not be collected or stored as part of the data collection efforts</w:t>
      </w:r>
      <w:r w:rsidR="005E5511" w:rsidRPr="004A6462">
        <w:t xml:space="preserve">.  </w:t>
      </w:r>
      <w:r w:rsidR="009B313D" w:rsidRPr="004A6462">
        <w:t xml:space="preserve">Information in identifiable form will not be requested as part of the individual interview, focus group or </w:t>
      </w:r>
      <w:r w:rsidR="00D6630F" w:rsidRPr="004A6462">
        <w:t xml:space="preserve">state evaluation plan template </w:t>
      </w:r>
      <w:r w:rsidR="009B313D" w:rsidRPr="004A6462">
        <w:t xml:space="preserve">data collection. </w:t>
      </w:r>
      <w:r w:rsidR="00024C0B" w:rsidRPr="004A6462">
        <w:t xml:space="preserve">Although contact information is obtained, the contact person provides information about the organization, not personal information.  </w:t>
      </w:r>
      <w:r w:rsidR="00F57684" w:rsidRPr="004A6462">
        <w:t>Laypersons</w:t>
      </w:r>
      <w:r w:rsidR="00C62D22" w:rsidRPr="004A6462">
        <w:t xml:space="preserve"> contact</w:t>
      </w:r>
      <w:r w:rsidR="00F57684" w:rsidRPr="004A6462">
        <w:t xml:space="preserve"> information will </w:t>
      </w:r>
      <w:r w:rsidR="00C62D22" w:rsidRPr="004A6462">
        <w:t>come from</w:t>
      </w:r>
      <w:r w:rsidR="00F57684" w:rsidRPr="004A6462">
        <w:t xml:space="preserve"> secondary data from already-established records </w:t>
      </w:r>
      <w:r w:rsidR="00C62D22" w:rsidRPr="004A6462">
        <w:t>of</w:t>
      </w:r>
      <w:r w:rsidR="00F57684" w:rsidRPr="004A6462">
        <w:t xml:space="preserve"> a convenience sample of laypersons that participate in naloxone education and distribution activities that are conducted by grantees as part of the PDO grant. </w:t>
      </w:r>
    </w:p>
    <w:p w14:paraId="6D71E3F0" w14:textId="77777777" w:rsidR="009B313D" w:rsidRPr="004A6462" w:rsidRDefault="009B313D" w:rsidP="00972DEF"/>
    <w:p w14:paraId="45426F4B" w14:textId="4A47CFA0" w:rsidR="00677007" w:rsidRPr="004A6462" w:rsidRDefault="00DD2DB6" w:rsidP="00972DEF">
      <w:r w:rsidRPr="004A6462">
        <w:t xml:space="preserve">Participants will not be identified by name </w:t>
      </w:r>
      <w:r w:rsidR="00B9748E" w:rsidRPr="004A6462">
        <w:t xml:space="preserve">or description in any reports. </w:t>
      </w:r>
      <w:r w:rsidRPr="004A6462">
        <w:t xml:space="preserve">The data collection instruments and protocols will be reviewed by the contractor’s Institutional Review Board. </w:t>
      </w:r>
      <w:r w:rsidR="000B5038" w:rsidRPr="004A6462">
        <w:t>All electronic data will be maintained on password protected computers on a password protected network. Access will be limited to authorized study personnel who have need for the data for collection or analysis. Any hard copy data will be kept in locked file cabinets in offices with access limited to those staff working on the study. Data will be stored in accordance with Battelle security and retention requirements. Through a study consent process, participants will be made aware of confidentiality and protection of their information as well as the limitations of this.</w:t>
      </w:r>
      <w:r w:rsidR="009B313D" w:rsidRPr="004A6462">
        <w:t xml:space="preserve"> </w:t>
      </w:r>
      <w:r w:rsidR="009E6E00" w:rsidRPr="004A6462">
        <w:t>Consent material and email/phone communications make</w:t>
      </w:r>
      <w:r w:rsidR="009B313D" w:rsidRPr="004A6462">
        <w:t xml:space="preserve"> clear that participation in interviews and focus groups is completely voluntary.</w:t>
      </w:r>
      <w:r w:rsidR="000B5038" w:rsidRPr="004A6462">
        <w:t xml:space="preserve"> </w:t>
      </w:r>
    </w:p>
    <w:p w14:paraId="20B45974" w14:textId="77777777" w:rsidR="007503A7" w:rsidRPr="004A6462" w:rsidRDefault="007503A7" w:rsidP="00972DEF"/>
    <w:p w14:paraId="41D87C60" w14:textId="77777777" w:rsidR="00972DEF" w:rsidRPr="004A6462" w:rsidRDefault="00972DEF" w:rsidP="00972DEF">
      <w:pPr>
        <w:rPr>
          <w:b/>
          <w:bCs/>
        </w:rPr>
      </w:pPr>
      <w:r w:rsidRPr="004A6462">
        <w:rPr>
          <w:b/>
          <w:bCs/>
        </w:rPr>
        <w:t>A.11.</w:t>
      </w:r>
      <w:r w:rsidRPr="004A6462">
        <w:rPr>
          <w:b/>
          <w:bCs/>
        </w:rPr>
        <w:tab/>
      </w:r>
      <w:r w:rsidR="00CA5DC1" w:rsidRPr="004A6462">
        <w:rPr>
          <w:b/>
          <w:bCs/>
        </w:rPr>
        <w:t>Institutional Review Board (IRB) and Justification for Sensitive Questions</w:t>
      </w:r>
      <w:r w:rsidRPr="004A6462">
        <w:rPr>
          <w:b/>
          <w:bCs/>
        </w:rPr>
        <w:tab/>
      </w:r>
    </w:p>
    <w:p w14:paraId="2928426C" w14:textId="77777777" w:rsidR="0073187D" w:rsidRPr="004A6462" w:rsidRDefault="0073187D" w:rsidP="00972DEF">
      <w:pPr>
        <w:rPr>
          <w:b/>
          <w:bCs/>
        </w:rPr>
      </w:pPr>
    </w:p>
    <w:p w14:paraId="0888F105" w14:textId="77777777" w:rsidR="0073187D" w:rsidRPr="004A6462" w:rsidRDefault="0073187D" w:rsidP="0073187D">
      <w:pPr>
        <w:rPr>
          <w:b/>
        </w:rPr>
      </w:pPr>
      <w:r w:rsidRPr="004A6462">
        <w:rPr>
          <w:b/>
        </w:rPr>
        <w:t>IRB Approval</w:t>
      </w:r>
    </w:p>
    <w:p w14:paraId="089300BF" w14:textId="1B2BF400" w:rsidR="009E6E00" w:rsidRPr="004A6462" w:rsidRDefault="00275D6C" w:rsidP="009E6E00">
      <w:r w:rsidRPr="004A6462">
        <w:t xml:space="preserve">CDC has received IRB approval through </w:t>
      </w:r>
      <w:r w:rsidR="009E6E00" w:rsidRPr="004A6462">
        <w:t xml:space="preserve">Battelle IRB </w:t>
      </w:r>
      <w:r w:rsidR="00E00983" w:rsidRPr="004A6462">
        <w:t>(</w:t>
      </w:r>
      <w:r w:rsidR="009E6E00" w:rsidRPr="004A6462">
        <w:t xml:space="preserve">Attachment </w:t>
      </w:r>
      <w:r w:rsidR="002366BA" w:rsidRPr="004A6462">
        <w:t>C</w:t>
      </w:r>
      <w:r w:rsidR="009E6E00" w:rsidRPr="004A6462">
        <w:t xml:space="preserve">). </w:t>
      </w:r>
    </w:p>
    <w:p w14:paraId="0A904E25" w14:textId="77777777" w:rsidR="009E6E00" w:rsidRPr="004A6462" w:rsidRDefault="009E6E00" w:rsidP="00972DEF">
      <w:pPr>
        <w:rPr>
          <w:b/>
          <w:bCs/>
        </w:rPr>
      </w:pPr>
    </w:p>
    <w:p w14:paraId="5D12A21A" w14:textId="77777777" w:rsidR="00972DEF" w:rsidRPr="004A6462" w:rsidRDefault="00CA5DC1" w:rsidP="00972DEF">
      <w:pPr>
        <w:rPr>
          <w:b/>
          <w:bCs/>
        </w:rPr>
      </w:pPr>
      <w:r w:rsidRPr="004A6462">
        <w:rPr>
          <w:b/>
          <w:bCs/>
        </w:rPr>
        <w:t>Sensitive Questions</w:t>
      </w:r>
    </w:p>
    <w:p w14:paraId="2EE1B648" w14:textId="77777777" w:rsidR="00170520" w:rsidRPr="004A6462" w:rsidRDefault="00170520" w:rsidP="00972DEF">
      <w:r w:rsidRPr="004A6462">
        <w:t xml:space="preserve">Due to the content of the PDO grant activities, </w:t>
      </w:r>
      <w:r w:rsidR="00C05683" w:rsidRPr="004A6462">
        <w:t xml:space="preserve">which includes education on and distribution of </w:t>
      </w:r>
      <w:r w:rsidR="00D6630F" w:rsidRPr="004A6462">
        <w:t>naloxone</w:t>
      </w:r>
      <w:r w:rsidR="00C05683" w:rsidRPr="004A6462">
        <w:t>,</w:t>
      </w:r>
      <w:r w:rsidR="007E7BD5" w:rsidRPr="004A6462">
        <w:t xml:space="preserve"> a drug given to reverse overdose,</w:t>
      </w:r>
      <w:r w:rsidR="00C05683" w:rsidRPr="004A6462">
        <w:t xml:space="preserve"> </w:t>
      </w:r>
      <w:r w:rsidRPr="004A6462">
        <w:t>individual interviews and focus groups may discuss drug use</w:t>
      </w:r>
      <w:r w:rsidR="005E5511" w:rsidRPr="004A6462">
        <w:t xml:space="preserve"> and use of naloxone</w:t>
      </w:r>
      <w:r w:rsidRPr="004A6462">
        <w:t xml:space="preserve">. This is necessary </w:t>
      </w:r>
      <w:r w:rsidR="00C05683" w:rsidRPr="004A6462">
        <w:t xml:space="preserve">to evaluate the effectiveness and implementation of the grant activities. </w:t>
      </w:r>
      <w:r w:rsidR="00446CB4" w:rsidRPr="004A6462">
        <w:t>Participants will be fully informed of applicable privacy safeguards to help address any concerns about inadvertent disclosure of sensitive information.</w:t>
      </w:r>
    </w:p>
    <w:p w14:paraId="241AC525" w14:textId="77777777" w:rsidR="00170520" w:rsidRPr="004A6462" w:rsidRDefault="00170520" w:rsidP="00972DEF"/>
    <w:p w14:paraId="3209DFE1" w14:textId="33A1BF89" w:rsidR="00972DEF" w:rsidRPr="004A6462" w:rsidRDefault="00972DEF" w:rsidP="00972DEF">
      <w:pPr>
        <w:autoSpaceDE w:val="0"/>
        <w:autoSpaceDN w:val="0"/>
        <w:adjustRightInd w:val="0"/>
        <w:rPr>
          <w:b/>
          <w:bCs/>
        </w:rPr>
      </w:pPr>
      <w:r w:rsidRPr="004A6462">
        <w:rPr>
          <w:b/>
          <w:bCs/>
        </w:rPr>
        <w:t xml:space="preserve">A.12. </w:t>
      </w:r>
      <w:r w:rsidRPr="004A6462">
        <w:rPr>
          <w:b/>
          <w:bCs/>
        </w:rPr>
        <w:tab/>
        <w:t xml:space="preserve">Estimates of Annualized Burden Hours and Costs </w:t>
      </w:r>
    </w:p>
    <w:p w14:paraId="5F3DC1C2" w14:textId="77777777" w:rsidR="0074590E" w:rsidRPr="004A6462" w:rsidRDefault="0074590E" w:rsidP="00972DEF">
      <w:pPr>
        <w:autoSpaceDE w:val="0"/>
        <w:autoSpaceDN w:val="0"/>
        <w:adjustRightInd w:val="0"/>
      </w:pPr>
    </w:p>
    <w:p w14:paraId="3FDE807F" w14:textId="3354A986" w:rsidR="00181372" w:rsidRPr="004A6462" w:rsidRDefault="00BF05EE" w:rsidP="004D7884">
      <w:pPr>
        <w:pStyle w:val="a"/>
        <w:tabs>
          <w:tab w:val="left" w:pos="-1440"/>
        </w:tabs>
        <w:ind w:left="0" w:firstLine="0"/>
      </w:pPr>
      <w:r w:rsidRPr="004A6462">
        <w:t xml:space="preserve">The total annualized burden hours are </w:t>
      </w:r>
      <w:r w:rsidR="00A93F52" w:rsidRPr="004A6462">
        <w:t xml:space="preserve">381 </w:t>
      </w:r>
      <w:r w:rsidRPr="004A6462">
        <w:t xml:space="preserve">as described in Table 2 below. </w:t>
      </w:r>
      <w:r w:rsidR="00181372" w:rsidRPr="004A6462">
        <w:t xml:space="preserve">We </w:t>
      </w:r>
      <w:r w:rsidR="0026049C" w:rsidRPr="004A6462">
        <w:t>anticipate conducting</w:t>
      </w:r>
      <w:r w:rsidR="00181372" w:rsidRPr="004A6462">
        <w:t xml:space="preserve"> 1 focus group per grantee state each year</w:t>
      </w:r>
      <w:r w:rsidR="00EF5E30" w:rsidRPr="004A6462">
        <w:t xml:space="preserve"> consisting of </w:t>
      </w:r>
      <w:r w:rsidR="00FB5688" w:rsidRPr="004A6462">
        <w:t>advisory committee members (12 focus groups) and 2 cross-site focus groups</w:t>
      </w:r>
      <w:r w:rsidR="006B3D00" w:rsidRPr="004A6462">
        <w:t xml:space="preserve"> annually consisting of state grantee staff</w:t>
      </w:r>
      <w:r w:rsidR="00D545C1" w:rsidRPr="004A6462">
        <w:t xml:space="preserve"> from across states</w:t>
      </w:r>
      <w:r w:rsidR="00F77CC6" w:rsidRPr="004A6462">
        <w:t xml:space="preserve"> (</w:t>
      </w:r>
      <w:r w:rsidR="006F2DC4" w:rsidRPr="004A6462">
        <w:t xml:space="preserve">see Attachment </w:t>
      </w:r>
      <w:r w:rsidR="002366BA" w:rsidRPr="004A6462">
        <w:t>D</w:t>
      </w:r>
      <w:r w:rsidR="006F2DC4" w:rsidRPr="004A6462">
        <w:t>)</w:t>
      </w:r>
      <w:r w:rsidR="006B3D00" w:rsidRPr="004A6462">
        <w:t xml:space="preserve">. This totals 14 focus groups </w:t>
      </w:r>
      <w:r w:rsidR="00EF2CA2" w:rsidRPr="004A6462">
        <w:t>of 10 participants each</w:t>
      </w:r>
      <w:r w:rsidR="006B3D00" w:rsidRPr="004A6462">
        <w:t xml:space="preserve">, using the same focus group discussion guide, for a total of 140 focus group participants. </w:t>
      </w:r>
      <w:r w:rsidR="00B62031" w:rsidRPr="004A6462">
        <w:t xml:space="preserve"> </w:t>
      </w:r>
      <w:r w:rsidR="00335F04" w:rsidRPr="004A6462">
        <w:t>Three</w:t>
      </w:r>
      <w:r w:rsidR="00181372" w:rsidRPr="004A6462">
        <w:t xml:space="preserve"> key informant individual interviews will be conducted annually </w:t>
      </w:r>
      <w:r w:rsidR="00335F04" w:rsidRPr="004A6462">
        <w:t xml:space="preserve">with </w:t>
      </w:r>
      <w:r w:rsidR="00181372" w:rsidRPr="004A6462">
        <w:t>each of the 12 grantee states</w:t>
      </w:r>
      <w:r w:rsidR="00335F04" w:rsidRPr="004A6462">
        <w:t>’ program staff</w:t>
      </w:r>
      <w:r w:rsidR="005774E8" w:rsidRPr="004A6462">
        <w:t xml:space="preserve"> totaling </w:t>
      </w:r>
      <w:r w:rsidR="00335F04" w:rsidRPr="004A6462">
        <w:t xml:space="preserve">36 </w:t>
      </w:r>
      <w:r w:rsidR="005774E8" w:rsidRPr="004A6462">
        <w:t>interviews annually</w:t>
      </w:r>
      <w:r w:rsidR="006F2DC4" w:rsidRPr="004A6462">
        <w:t xml:space="preserve"> (see Attachments </w:t>
      </w:r>
      <w:r w:rsidR="002366BA" w:rsidRPr="004A6462">
        <w:t>E1-E3</w:t>
      </w:r>
      <w:r w:rsidR="006F2DC4" w:rsidRPr="004A6462">
        <w:t>)</w:t>
      </w:r>
      <w:r w:rsidR="00181372" w:rsidRPr="004A6462">
        <w:t xml:space="preserve">. </w:t>
      </w:r>
      <w:r w:rsidR="00335F04" w:rsidRPr="004A6462">
        <w:t xml:space="preserve">Seven individual interviews will be conducted with partner stakeholders annually in each of the 12 grantee states totaling 84 interviews annually. In addition, 2 interviews will be conducted annually in each of the 12 grantee states with naloxone end users totaling 24 interviews annually.  </w:t>
      </w:r>
      <w:r w:rsidR="00D545C1" w:rsidRPr="004A6462">
        <w:t xml:space="preserve">To recruit interview participants we will utilize a very brief recruitment email (see Attachment </w:t>
      </w:r>
      <w:r w:rsidR="00C321E8" w:rsidRPr="004A6462">
        <w:t>F</w:t>
      </w:r>
      <w:r w:rsidR="00D545C1" w:rsidRPr="004A6462">
        <w:t>) and t</w:t>
      </w:r>
      <w:r w:rsidR="00AE6019" w:rsidRPr="004A6462">
        <w:t>o assist with the identification of stakeholders for interviews and focus groups, grantee staff will</w:t>
      </w:r>
      <w:r w:rsidR="00C321E8" w:rsidRPr="004A6462">
        <w:t xml:space="preserve"> be requested to</w:t>
      </w:r>
      <w:r w:rsidR="00AE6019" w:rsidRPr="004A6462">
        <w:t xml:space="preserve"> complete the Key Informant Selection Tool annually</w:t>
      </w:r>
      <w:r w:rsidR="006F2DC4" w:rsidRPr="004A6462">
        <w:t xml:space="preserve"> (see Attachment </w:t>
      </w:r>
      <w:r w:rsidR="00C321E8" w:rsidRPr="004A6462">
        <w:t>G</w:t>
      </w:r>
      <w:r w:rsidR="006F2DC4" w:rsidRPr="004A6462">
        <w:t>)</w:t>
      </w:r>
      <w:r w:rsidR="00AE6019" w:rsidRPr="004A6462">
        <w:t xml:space="preserve">. </w:t>
      </w:r>
    </w:p>
    <w:p w14:paraId="55F46619" w14:textId="77777777" w:rsidR="00181372" w:rsidRPr="004A6462" w:rsidRDefault="00181372" w:rsidP="004D7884">
      <w:pPr>
        <w:pStyle w:val="a"/>
        <w:tabs>
          <w:tab w:val="left" w:pos="-1440"/>
        </w:tabs>
        <w:ind w:left="0" w:firstLine="0"/>
      </w:pPr>
    </w:p>
    <w:p w14:paraId="1EE96C0C" w14:textId="77777777" w:rsidR="00203779" w:rsidRPr="004A6462" w:rsidRDefault="00203779" w:rsidP="004D7884">
      <w:pPr>
        <w:pStyle w:val="a"/>
        <w:tabs>
          <w:tab w:val="left" w:pos="-1440"/>
        </w:tabs>
        <w:ind w:left="0" w:firstLine="0"/>
      </w:pPr>
      <w:r w:rsidRPr="004A6462">
        <w:t xml:space="preserve">Table </w:t>
      </w:r>
      <w:r w:rsidR="00181372" w:rsidRPr="004A6462">
        <w:t>2</w:t>
      </w:r>
      <w:r w:rsidRPr="004A6462">
        <w:t>.  Estimate</w:t>
      </w:r>
      <w:r w:rsidR="00F820FE" w:rsidRPr="004A6462">
        <w:t>d</w:t>
      </w:r>
      <w:r w:rsidRPr="004A6462">
        <w:t xml:space="preserve"> </w:t>
      </w:r>
      <w:r w:rsidR="0057192D" w:rsidRPr="004A6462">
        <w:t>Annual</w:t>
      </w:r>
      <w:r w:rsidR="003F77E5" w:rsidRPr="004A6462">
        <w:t xml:space="preserve">ized </w:t>
      </w:r>
      <w:r w:rsidR="0057192D" w:rsidRPr="004A6462">
        <w:t>Burden</w:t>
      </w:r>
      <w:r w:rsidR="003F77E5" w:rsidRPr="004A6462">
        <w:t xml:space="preserve"> Hours </w:t>
      </w:r>
    </w:p>
    <w:p w14:paraId="7BE2D3E2" w14:textId="77777777" w:rsidR="00144640" w:rsidRPr="00691454" w:rsidRDefault="00144640" w:rsidP="004D7884">
      <w:pPr>
        <w:pStyle w:val="a"/>
        <w:tabs>
          <w:tab w:val="left" w:pos="-1440"/>
        </w:tabs>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754"/>
        <w:gridCol w:w="1547"/>
        <w:gridCol w:w="1547"/>
        <w:gridCol w:w="1643"/>
        <w:gridCol w:w="1092"/>
      </w:tblGrid>
      <w:tr w:rsidR="00FB5688" w:rsidRPr="00691454" w14:paraId="25BDED71" w14:textId="77777777" w:rsidTr="00335F04">
        <w:trPr>
          <w:trHeight w:val="1070"/>
        </w:trPr>
        <w:tc>
          <w:tcPr>
            <w:tcW w:w="1040" w:type="pct"/>
            <w:vAlign w:val="center"/>
          </w:tcPr>
          <w:p w14:paraId="47E788E6" w14:textId="77777777" w:rsidR="00122751" w:rsidRPr="00691454" w:rsidRDefault="00122751" w:rsidP="00C55DD2">
            <w:r w:rsidRPr="00691454">
              <w:t>Type of Respondents</w:t>
            </w:r>
          </w:p>
        </w:tc>
        <w:tc>
          <w:tcPr>
            <w:tcW w:w="916" w:type="pct"/>
          </w:tcPr>
          <w:p w14:paraId="187BCCE1" w14:textId="77777777" w:rsidR="00C55DD2" w:rsidRPr="00691454" w:rsidRDefault="00C55DD2" w:rsidP="00C55DD2"/>
          <w:p w14:paraId="606F87BD" w14:textId="77777777" w:rsidR="00122751" w:rsidRPr="00691454" w:rsidRDefault="00122751" w:rsidP="00C55DD2">
            <w:r w:rsidRPr="00691454">
              <w:t>Form Name</w:t>
            </w:r>
          </w:p>
        </w:tc>
        <w:tc>
          <w:tcPr>
            <w:tcW w:w="808" w:type="pct"/>
            <w:vAlign w:val="center"/>
          </w:tcPr>
          <w:p w14:paraId="31B739C0" w14:textId="77777777" w:rsidR="00122751" w:rsidRPr="00691454" w:rsidRDefault="00122751" w:rsidP="00C55DD2">
            <w:r w:rsidRPr="00691454">
              <w:t>Number of Respondents</w:t>
            </w:r>
          </w:p>
        </w:tc>
        <w:tc>
          <w:tcPr>
            <w:tcW w:w="808" w:type="pct"/>
            <w:vAlign w:val="center"/>
          </w:tcPr>
          <w:p w14:paraId="5D2F374A" w14:textId="77777777" w:rsidR="00122751" w:rsidRPr="00691454" w:rsidRDefault="00122751" w:rsidP="00C55DD2">
            <w:r w:rsidRPr="00691454">
              <w:t>Number of Responses per Respondent</w:t>
            </w:r>
          </w:p>
        </w:tc>
        <w:tc>
          <w:tcPr>
            <w:tcW w:w="858" w:type="pct"/>
            <w:vAlign w:val="center"/>
          </w:tcPr>
          <w:p w14:paraId="77690917" w14:textId="77777777" w:rsidR="00122751" w:rsidRPr="00691454" w:rsidRDefault="00122751" w:rsidP="00C55DD2">
            <w:r w:rsidRPr="00691454">
              <w:t>Average Burden per Response</w:t>
            </w:r>
          </w:p>
          <w:p w14:paraId="138EB730" w14:textId="77777777" w:rsidR="00122751" w:rsidRPr="00691454" w:rsidRDefault="00122751" w:rsidP="00C55DD2">
            <w:r w:rsidRPr="00691454">
              <w:t>(in hours)</w:t>
            </w:r>
          </w:p>
        </w:tc>
        <w:tc>
          <w:tcPr>
            <w:tcW w:w="570" w:type="pct"/>
            <w:vAlign w:val="center"/>
          </w:tcPr>
          <w:p w14:paraId="65165B6A" w14:textId="77777777" w:rsidR="00122751" w:rsidRPr="00691454" w:rsidRDefault="00122751" w:rsidP="00C55DD2">
            <w:r w:rsidRPr="00691454">
              <w:t>Total Burden (in hours)</w:t>
            </w:r>
          </w:p>
        </w:tc>
      </w:tr>
      <w:tr w:rsidR="00FB5688" w:rsidRPr="00691454" w14:paraId="43A55120" w14:textId="77777777" w:rsidTr="00335F04">
        <w:trPr>
          <w:trHeight w:val="1345"/>
        </w:trPr>
        <w:tc>
          <w:tcPr>
            <w:tcW w:w="1040" w:type="pct"/>
          </w:tcPr>
          <w:p w14:paraId="024ACC2A" w14:textId="77777777" w:rsidR="00335F04" w:rsidRPr="00335F04" w:rsidRDefault="00335F04" w:rsidP="00335F04">
            <w:r w:rsidRPr="00335F04">
              <w:t xml:space="preserve">PDO/Naloxone </w:t>
            </w:r>
            <w:r w:rsidR="00043BE8">
              <w:t xml:space="preserve">Advisory Committee </w:t>
            </w:r>
            <w:r w:rsidR="006B3D00">
              <w:t>M</w:t>
            </w:r>
            <w:r w:rsidR="00043BE8">
              <w:t xml:space="preserve">embers and </w:t>
            </w:r>
            <w:r w:rsidR="006B3D00">
              <w:t>G</w:t>
            </w:r>
            <w:r w:rsidR="00043BE8">
              <w:t>rantees</w:t>
            </w:r>
          </w:p>
        </w:tc>
        <w:tc>
          <w:tcPr>
            <w:tcW w:w="916" w:type="pct"/>
          </w:tcPr>
          <w:p w14:paraId="0A871F02" w14:textId="77777777" w:rsidR="00335F04" w:rsidRPr="00335F04" w:rsidRDefault="00335F04" w:rsidP="00335F04">
            <w:r w:rsidRPr="00335F04">
              <w:t>Focus Group Discussion Guide</w:t>
            </w:r>
            <w:r w:rsidR="008279BA">
              <w:t xml:space="preserve"> (Att</w:t>
            </w:r>
            <w:r w:rsidR="00EF2CA2">
              <w:t>.</w:t>
            </w:r>
            <w:r w:rsidR="008279BA">
              <w:t xml:space="preserve"> </w:t>
            </w:r>
            <w:r w:rsidR="00C321E8">
              <w:t>D</w:t>
            </w:r>
            <w:r w:rsidR="008279BA">
              <w:t>)</w:t>
            </w:r>
          </w:p>
        </w:tc>
        <w:tc>
          <w:tcPr>
            <w:tcW w:w="808" w:type="pct"/>
          </w:tcPr>
          <w:p w14:paraId="696C9ED7" w14:textId="77777777" w:rsidR="00335F04" w:rsidRDefault="006B3D00" w:rsidP="00335F04">
            <w:pPr>
              <w:jc w:val="right"/>
            </w:pPr>
            <w:r w:rsidRPr="00335F04">
              <w:t>1</w:t>
            </w:r>
            <w:r>
              <w:t>40</w:t>
            </w:r>
          </w:p>
          <w:p w14:paraId="7CBD4899" w14:textId="0723CF1A" w:rsidR="00261310" w:rsidRPr="00335F04" w:rsidRDefault="00261310" w:rsidP="00335F04">
            <w:pPr>
              <w:jc w:val="right"/>
            </w:pPr>
          </w:p>
        </w:tc>
        <w:tc>
          <w:tcPr>
            <w:tcW w:w="808" w:type="pct"/>
          </w:tcPr>
          <w:p w14:paraId="77376131" w14:textId="77777777" w:rsidR="00335F04" w:rsidRDefault="00335F04" w:rsidP="00335F04">
            <w:pPr>
              <w:jc w:val="right"/>
            </w:pPr>
            <w:r w:rsidRPr="00335F04">
              <w:t>1</w:t>
            </w:r>
          </w:p>
          <w:p w14:paraId="04970140" w14:textId="43733BAC" w:rsidR="00261310" w:rsidRPr="00335F04" w:rsidRDefault="00261310" w:rsidP="00335F04">
            <w:pPr>
              <w:jc w:val="right"/>
            </w:pPr>
          </w:p>
        </w:tc>
        <w:tc>
          <w:tcPr>
            <w:tcW w:w="858" w:type="pct"/>
          </w:tcPr>
          <w:p w14:paraId="30179931" w14:textId="77777777" w:rsidR="00335F04" w:rsidRPr="00335F04" w:rsidRDefault="00335F04" w:rsidP="00335F04">
            <w:pPr>
              <w:jc w:val="right"/>
            </w:pPr>
            <w:r w:rsidRPr="00335F04">
              <w:t>1.5</w:t>
            </w:r>
          </w:p>
        </w:tc>
        <w:tc>
          <w:tcPr>
            <w:tcW w:w="570" w:type="pct"/>
          </w:tcPr>
          <w:p w14:paraId="145CB556" w14:textId="77777777" w:rsidR="00335F04" w:rsidRPr="00335F04" w:rsidRDefault="006B3D00" w:rsidP="00335F04">
            <w:pPr>
              <w:jc w:val="right"/>
            </w:pPr>
            <w:r w:rsidRPr="00335F04">
              <w:t>2</w:t>
            </w:r>
            <w:r>
              <w:t>10</w:t>
            </w:r>
          </w:p>
        </w:tc>
      </w:tr>
      <w:tr w:rsidR="00FB5688" w:rsidRPr="00691454" w14:paraId="732EB644" w14:textId="77777777" w:rsidTr="00335F04">
        <w:trPr>
          <w:trHeight w:val="1345"/>
        </w:trPr>
        <w:tc>
          <w:tcPr>
            <w:tcW w:w="1040" w:type="pct"/>
          </w:tcPr>
          <w:p w14:paraId="38260AE6" w14:textId="77777777" w:rsidR="00335F04" w:rsidRPr="00335F04" w:rsidRDefault="00335F04" w:rsidP="00335F04">
            <w:r w:rsidRPr="00335F04">
              <w:t>PDO/Naloxone Grantees</w:t>
            </w:r>
          </w:p>
        </w:tc>
        <w:tc>
          <w:tcPr>
            <w:tcW w:w="916" w:type="pct"/>
          </w:tcPr>
          <w:p w14:paraId="267CDDF7" w14:textId="45C32DED" w:rsidR="00335F04" w:rsidRPr="00335F04" w:rsidRDefault="00D31470" w:rsidP="00335F04">
            <w:r>
              <w:t>Key Informant Interview</w:t>
            </w:r>
            <w:r w:rsidR="00335F04" w:rsidRPr="00335F04">
              <w:t xml:space="preserve"> Guide for Grantees</w:t>
            </w:r>
            <w:r w:rsidR="008279BA">
              <w:t xml:space="preserve"> (Att</w:t>
            </w:r>
            <w:r w:rsidR="00FB5688">
              <w:t xml:space="preserve">. </w:t>
            </w:r>
            <w:r w:rsidR="00C321E8">
              <w:t>E</w:t>
            </w:r>
            <w:r w:rsidR="008279BA">
              <w:t>1)</w:t>
            </w:r>
          </w:p>
        </w:tc>
        <w:tc>
          <w:tcPr>
            <w:tcW w:w="808" w:type="pct"/>
          </w:tcPr>
          <w:p w14:paraId="06D439EF" w14:textId="77777777" w:rsidR="00335F04" w:rsidRDefault="00335F04" w:rsidP="00335F04">
            <w:pPr>
              <w:jc w:val="right"/>
            </w:pPr>
            <w:r w:rsidRPr="00335F04">
              <w:t>36</w:t>
            </w:r>
          </w:p>
          <w:p w14:paraId="1F5C205A" w14:textId="47B5C654" w:rsidR="00261310" w:rsidRPr="00335F04" w:rsidRDefault="00261310" w:rsidP="00335F04">
            <w:pPr>
              <w:jc w:val="right"/>
            </w:pPr>
          </w:p>
        </w:tc>
        <w:tc>
          <w:tcPr>
            <w:tcW w:w="808" w:type="pct"/>
          </w:tcPr>
          <w:p w14:paraId="4E1BEA75" w14:textId="77777777" w:rsidR="00335F04" w:rsidRDefault="00335F04" w:rsidP="00335F04">
            <w:pPr>
              <w:jc w:val="right"/>
            </w:pPr>
            <w:r w:rsidRPr="00335F04">
              <w:t>1</w:t>
            </w:r>
          </w:p>
          <w:p w14:paraId="2C51EB72" w14:textId="2F92A982" w:rsidR="00261310" w:rsidRPr="00335F04" w:rsidRDefault="00261310" w:rsidP="00335F04">
            <w:pPr>
              <w:jc w:val="right"/>
            </w:pPr>
          </w:p>
        </w:tc>
        <w:tc>
          <w:tcPr>
            <w:tcW w:w="858" w:type="pct"/>
          </w:tcPr>
          <w:p w14:paraId="5DC24A95" w14:textId="77777777" w:rsidR="00335F04" w:rsidRPr="00335F04" w:rsidRDefault="00335F04" w:rsidP="00335F04">
            <w:pPr>
              <w:jc w:val="right"/>
            </w:pPr>
            <w:r w:rsidRPr="00335F04">
              <w:t>1</w:t>
            </w:r>
          </w:p>
        </w:tc>
        <w:tc>
          <w:tcPr>
            <w:tcW w:w="570" w:type="pct"/>
          </w:tcPr>
          <w:p w14:paraId="01B40BA0" w14:textId="77777777" w:rsidR="00335F04" w:rsidRPr="00335F04" w:rsidRDefault="00335F04" w:rsidP="00335F04">
            <w:pPr>
              <w:jc w:val="right"/>
            </w:pPr>
            <w:r w:rsidRPr="00335F04">
              <w:t>36</w:t>
            </w:r>
          </w:p>
        </w:tc>
      </w:tr>
      <w:tr w:rsidR="00FB5688" w:rsidRPr="00691454" w14:paraId="50903B65" w14:textId="77777777" w:rsidTr="00335F04">
        <w:trPr>
          <w:trHeight w:val="1345"/>
        </w:trPr>
        <w:tc>
          <w:tcPr>
            <w:tcW w:w="1040" w:type="pct"/>
          </w:tcPr>
          <w:p w14:paraId="621330EF" w14:textId="77777777" w:rsidR="00335F04" w:rsidRPr="00335F04" w:rsidRDefault="00335F04" w:rsidP="00335F04">
            <w:r w:rsidRPr="00335F04">
              <w:t>PDO/Naloxone Stakeholders and Partners</w:t>
            </w:r>
          </w:p>
        </w:tc>
        <w:tc>
          <w:tcPr>
            <w:tcW w:w="916" w:type="pct"/>
          </w:tcPr>
          <w:p w14:paraId="154936B0" w14:textId="6BC5C58C" w:rsidR="00335F04" w:rsidRPr="00335F04" w:rsidRDefault="00D31470" w:rsidP="00335F04">
            <w:r>
              <w:t>Key Informant Interview</w:t>
            </w:r>
            <w:r w:rsidR="00335F04" w:rsidRPr="00335F04">
              <w:t xml:space="preserve"> Guide for Partners</w:t>
            </w:r>
            <w:r w:rsidR="000A50AB">
              <w:t xml:space="preserve"> (Att. </w:t>
            </w:r>
            <w:r w:rsidR="00C321E8">
              <w:t>E</w:t>
            </w:r>
            <w:r w:rsidR="000A50AB">
              <w:t>2)</w:t>
            </w:r>
          </w:p>
        </w:tc>
        <w:tc>
          <w:tcPr>
            <w:tcW w:w="808" w:type="pct"/>
          </w:tcPr>
          <w:p w14:paraId="550B5B24" w14:textId="77777777" w:rsidR="00335F04" w:rsidRDefault="00335F04" w:rsidP="00335F04">
            <w:pPr>
              <w:jc w:val="right"/>
            </w:pPr>
            <w:r w:rsidRPr="00335F04">
              <w:t>84</w:t>
            </w:r>
          </w:p>
          <w:p w14:paraId="34C3CD10" w14:textId="38D41AFE" w:rsidR="00261310" w:rsidRPr="00335F04" w:rsidRDefault="00261310" w:rsidP="00335F04">
            <w:pPr>
              <w:jc w:val="right"/>
            </w:pPr>
          </w:p>
        </w:tc>
        <w:tc>
          <w:tcPr>
            <w:tcW w:w="808" w:type="pct"/>
          </w:tcPr>
          <w:p w14:paraId="412953E9" w14:textId="77777777" w:rsidR="00335F04" w:rsidRDefault="00335F04" w:rsidP="00335F04">
            <w:pPr>
              <w:jc w:val="right"/>
            </w:pPr>
            <w:r w:rsidRPr="00335F04">
              <w:t>1</w:t>
            </w:r>
          </w:p>
          <w:p w14:paraId="569EB175" w14:textId="4AE3AC98" w:rsidR="00261310" w:rsidRPr="00335F04" w:rsidRDefault="00261310" w:rsidP="00335F04">
            <w:pPr>
              <w:jc w:val="right"/>
            </w:pPr>
          </w:p>
        </w:tc>
        <w:tc>
          <w:tcPr>
            <w:tcW w:w="858" w:type="pct"/>
          </w:tcPr>
          <w:p w14:paraId="210ABCC2" w14:textId="77777777" w:rsidR="00335F04" w:rsidRPr="00335F04" w:rsidRDefault="00335F04" w:rsidP="00335F04">
            <w:pPr>
              <w:jc w:val="right"/>
            </w:pPr>
            <w:r w:rsidRPr="00335F04">
              <w:t>1</w:t>
            </w:r>
          </w:p>
        </w:tc>
        <w:tc>
          <w:tcPr>
            <w:tcW w:w="570" w:type="pct"/>
          </w:tcPr>
          <w:p w14:paraId="33F81D7E" w14:textId="77777777" w:rsidR="00335F04" w:rsidRPr="00335F04" w:rsidRDefault="00335F04" w:rsidP="00335F04">
            <w:pPr>
              <w:jc w:val="right"/>
            </w:pPr>
            <w:r w:rsidRPr="00335F04">
              <w:t>84</w:t>
            </w:r>
          </w:p>
        </w:tc>
      </w:tr>
      <w:tr w:rsidR="00FB5688" w:rsidRPr="00691454" w14:paraId="5DEA2BBE" w14:textId="77777777" w:rsidTr="00335F04">
        <w:trPr>
          <w:trHeight w:val="1345"/>
        </w:trPr>
        <w:tc>
          <w:tcPr>
            <w:tcW w:w="1040" w:type="pct"/>
          </w:tcPr>
          <w:p w14:paraId="48437C9D" w14:textId="77777777" w:rsidR="00335F04" w:rsidRPr="00335F04" w:rsidRDefault="00335F04" w:rsidP="00335F04">
            <w:r w:rsidRPr="00335F04">
              <w:t xml:space="preserve">PDO/Naloxone </w:t>
            </w:r>
            <w:r w:rsidR="00464164">
              <w:t>Laypersons</w:t>
            </w:r>
          </w:p>
        </w:tc>
        <w:tc>
          <w:tcPr>
            <w:tcW w:w="916" w:type="pct"/>
          </w:tcPr>
          <w:p w14:paraId="60107497" w14:textId="1D386DA5" w:rsidR="00335F04" w:rsidRPr="00335F04" w:rsidRDefault="00D31470" w:rsidP="00335F04">
            <w:r>
              <w:t>Key Informant Interview</w:t>
            </w:r>
            <w:r w:rsidR="00335F04" w:rsidRPr="00335F04">
              <w:t xml:space="preserve"> Guide for </w:t>
            </w:r>
            <w:r w:rsidR="00347671">
              <w:t>Laypersons</w:t>
            </w:r>
            <w:r w:rsidR="000A50AB">
              <w:t xml:space="preserve"> (Att. </w:t>
            </w:r>
            <w:r w:rsidR="00C321E8">
              <w:t>E</w:t>
            </w:r>
            <w:r w:rsidR="000A50AB">
              <w:t>3)</w:t>
            </w:r>
          </w:p>
        </w:tc>
        <w:tc>
          <w:tcPr>
            <w:tcW w:w="808" w:type="pct"/>
          </w:tcPr>
          <w:p w14:paraId="0058EFAC" w14:textId="77777777" w:rsidR="00335F04" w:rsidRDefault="00335F04" w:rsidP="00335F04">
            <w:pPr>
              <w:jc w:val="right"/>
            </w:pPr>
            <w:r w:rsidRPr="00335F04">
              <w:t>24</w:t>
            </w:r>
          </w:p>
          <w:p w14:paraId="7255B1B9" w14:textId="12A3D282" w:rsidR="00261310" w:rsidRPr="00335F04" w:rsidRDefault="00261310" w:rsidP="00335F04">
            <w:pPr>
              <w:jc w:val="right"/>
            </w:pPr>
          </w:p>
        </w:tc>
        <w:tc>
          <w:tcPr>
            <w:tcW w:w="808" w:type="pct"/>
          </w:tcPr>
          <w:p w14:paraId="6E523A12" w14:textId="77777777" w:rsidR="00335F04" w:rsidRDefault="00335F04" w:rsidP="00335F04">
            <w:pPr>
              <w:jc w:val="right"/>
            </w:pPr>
            <w:r w:rsidRPr="00335F04">
              <w:t>1</w:t>
            </w:r>
          </w:p>
          <w:p w14:paraId="5C90037C" w14:textId="1194039A" w:rsidR="00261310" w:rsidRPr="00335F04" w:rsidRDefault="00261310" w:rsidP="00335F04">
            <w:pPr>
              <w:jc w:val="right"/>
            </w:pPr>
          </w:p>
        </w:tc>
        <w:tc>
          <w:tcPr>
            <w:tcW w:w="858" w:type="pct"/>
          </w:tcPr>
          <w:p w14:paraId="1BE2A0DD" w14:textId="77777777" w:rsidR="00335F04" w:rsidRPr="00335F04" w:rsidRDefault="00335F04" w:rsidP="00335F04">
            <w:pPr>
              <w:jc w:val="right"/>
            </w:pPr>
            <w:r w:rsidRPr="00335F04">
              <w:t>1</w:t>
            </w:r>
          </w:p>
        </w:tc>
        <w:tc>
          <w:tcPr>
            <w:tcW w:w="570" w:type="pct"/>
          </w:tcPr>
          <w:p w14:paraId="6041F894" w14:textId="77777777" w:rsidR="00335F04" w:rsidRPr="00335F04" w:rsidRDefault="00335F04" w:rsidP="00335F04">
            <w:pPr>
              <w:jc w:val="right"/>
            </w:pPr>
            <w:r w:rsidRPr="00335F04">
              <w:t>24</w:t>
            </w:r>
          </w:p>
        </w:tc>
      </w:tr>
      <w:tr w:rsidR="002366BA" w:rsidRPr="00691454" w14:paraId="518192AF" w14:textId="77777777" w:rsidTr="00B64E4B">
        <w:trPr>
          <w:trHeight w:val="710"/>
        </w:trPr>
        <w:tc>
          <w:tcPr>
            <w:tcW w:w="1040" w:type="pct"/>
          </w:tcPr>
          <w:p w14:paraId="7B9CFA07" w14:textId="77777777" w:rsidR="002366BA" w:rsidRPr="00335F04" w:rsidRDefault="002366BA" w:rsidP="00FA32FD">
            <w:r>
              <w:t>All participants (PDO Naloxone grantees, advisory committee, stakeholders and partners, laypersons)</w:t>
            </w:r>
          </w:p>
        </w:tc>
        <w:tc>
          <w:tcPr>
            <w:tcW w:w="916" w:type="pct"/>
          </w:tcPr>
          <w:p w14:paraId="5030CEDC" w14:textId="18D30811" w:rsidR="002366BA" w:rsidRPr="00335F04" w:rsidRDefault="002366BA" w:rsidP="00FA32FD">
            <w:r>
              <w:t xml:space="preserve">Recruitment contact script (Att. </w:t>
            </w:r>
            <w:r w:rsidR="00C321E8">
              <w:t>F</w:t>
            </w:r>
            <w:r>
              <w:t>)</w:t>
            </w:r>
          </w:p>
        </w:tc>
        <w:tc>
          <w:tcPr>
            <w:tcW w:w="808" w:type="pct"/>
          </w:tcPr>
          <w:p w14:paraId="7B7CB28C" w14:textId="77777777" w:rsidR="002366BA" w:rsidRPr="00335F04" w:rsidRDefault="002366BA" w:rsidP="00FA32FD">
            <w:pPr>
              <w:jc w:val="right"/>
            </w:pPr>
            <w:r>
              <w:t>284</w:t>
            </w:r>
          </w:p>
        </w:tc>
        <w:tc>
          <w:tcPr>
            <w:tcW w:w="808" w:type="pct"/>
          </w:tcPr>
          <w:p w14:paraId="79DAA2E3" w14:textId="77777777" w:rsidR="002366BA" w:rsidRPr="00335F04" w:rsidRDefault="002366BA" w:rsidP="00FA32FD">
            <w:pPr>
              <w:jc w:val="right"/>
            </w:pPr>
            <w:r>
              <w:t>1</w:t>
            </w:r>
          </w:p>
        </w:tc>
        <w:tc>
          <w:tcPr>
            <w:tcW w:w="858" w:type="pct"/>
          </w:tcPr>
          <w:p w14:paraId="53A7CC62" w14:textId="77777777" w:rsidR="002366BA" w:rsidRPr="00335F04" w:rsidRDefault="002366BA" w:rsidP="00FA32FD">
            <w:pPr>
              <w:jc w:val="right"/>
            </w:pPr>
            <w:r>
              <w:t>5/60</w:t>
            </w:r>
          </w:p>
        </w:tc>
        <w:tc>
          <w:tcPr>
            <w:tcW w:w="570" w:type="pct"/>
          </w:tcPr>
          <w:p w14:paraId="6758B76C" w14:textId="77777777" w:rsidR="002366BA" w:rsidRPr="00335F04" w:rsidRDefault="002366BA" w:rsidP="00FA32FD">
            <w:pPr>
              <w:jc w:val="right"/>
            </w:pPr>
            <w:r>
              <w:t>24</w:t>
            </w:r>
          </w:p>
        </w:tc>
      </w:tr>
      <w:tr w:rsidR="00FB5688" w:rsidRPr="00691454" w14:paraId="42C297F8" w14:textId="77777777" w:rsidTr="00773F08">
        <w:trPr>
          <w:trHeight w:val="971"/>
        </w:trPr>
        <w:tc>
          <w:tcPr>
            <w:tcW w:w="1040" w:type="pct"/>
          </w:tcPr>
          <w:p w14:paraId="72E5255A" w14:textId="77777777" w:rsidR="00335F04" w:rsidRPr="00335F04" w:rsidRDefault="00335F04" w:rsidP="00335F04">
            <w:r w:rsidRPr="00335F04">
              <w:t xml:space="preserve">PDO/Naloxone Grantees </w:t>
            </w:r>
          </w:p>
        </w:tc>
        <w:tc>
          <w:tcPr>
            <w:tcW w:w="916" w:type="pct"/>
          </w:tcPr>
          <w:p w14:paraId="5BD6EF78" w14:textId="77777777" w:rsidR="00335F04" w:rsidRPr="00335F04" w:rsidRDefault="00335F04" w:rsidP="00335F04">
            <w:r w:rsidRPr="00335F04">
              <w:t>Key Informant Selection Tool</w:t>
            </w:r>
            <w:r w:rsidR="00EF2CA2">
              <w:t xml:space="preserve"> (Att. </w:t>
            </w:r>
            <w:r w:rsidR="00C321E8">
              <w:t>G</w:t>
            </w:r>
            <w:r w:rsidR="00EF2CA2">
              <w:t>)</w:t>
            </w:r>
          </w:p>
        </w:tc>
        <w:tc>
          <w:tcPr>
            <w:tcW w:w="808" w:type="pct"/>
          </w:tcPr>
          <w:p w14:paraId="5FADBF82" w14:textId="77777777" w:rsidR="00335F04" w:rsidRPr="00335F04" w:rsidRDefault="00335F04" w:rsidP="00335F04">
            <w:pPr>
              <w:jc w:val="right"/>
            </w:pPr>
            <w:r w:rsidRPr="00335F04">
              <w:t>12</w:t>
            </w:r>
          </w:p>
        </w:tc>
        <w:tc>
          <w:tcPr>
            <w:tcW w:w="808" w:type="pct"/>
          </w:tcPr>
          <w:p w14:paraId="2798D42A" w14:textId="77777777" w:rsidR="00335F04" w:rsidRPr="00335F04" w:rsidRDefault="00335F04" w:rsidP="00335F04">
            <w:pPr>
              <w:jc w:val="right"/>
            </w:pPr>
            <w:r w:rsidRPr="00335F04">
              <w:t>1</w:t>
            </w:r>
          </w:p>
        </w:tc>
        <w:tc>
          <w:tcPr>
            <w:tcW w:w="858" w:type="pct"/>
          </w:tcPr>
          <w:p w14:paraId="2D10255A" w14:textId="77777777" w:rsidR="00335F04" w:rsidRPr="00335F04" w:rsidRDefault="00335F04" w:rsidP="00335F04">
            <w:pPr>
              <w:jc w:val="right"/>
            </w:pPr>
            <w:r w:rsidRPr="00335F04">
              <w:t>15/60</w:t>
            </w:r>
          </w:p>
        </w:tc>
        <w:tc>
          <w:tcPr>
            <w:tcW w:w="570" w:type="pct"/>
          </w:tcPr>
          <w:p w14:paraId="5F75BC38" w14:textId="77777777" w:rsidR="00335F04" w:rsidRPr="00335F04" w:rsidRDefault="00335F04" w:rsidP="00335F04">
            <w:pPr>
              <w:jc w:val="right"/>
            </w:pPr>
            <w:r w:rsidRPr="00335F04">
              <w:t>3</w:t>
            </w:r>
          </w:p>
        </w:tc>
      </w:tr>
      <w:tr w:rsidR="00202234" w:rsidRPr="00691454" w14:paraId="17854BD4" w14:textId="77777777" w:rsidTr="00335F04">
        <w:trPr>
          <w:trHeight w:val="276"/>
        </w:trPr>
        <w:tc>
          <w:tcPr>
            <w:tcW w:w="4430" w:type="pct"/>
            <w:gridSpan w:val="5"/>
          </w:tcPr>
          <w:p w14:paraId="3E4CE6F3" w14:textId="77777777" w:rsidR="00202234" w:rsidRPr="00691454" w:rsidRDefault="00202234" w:rsidP="00202234">
            <w:pPr>
              <w:jc w:val="right"/>
              <w:rPr>
                <w:b/>
              </w:rPr>
            </w:pPr>
            <w:r w:rsidRPr="00691454">
              <w:rPr>
                <w:b/>
              </w:rPr>
              <w:t>Total</w:t>
            </w:r>
          </w:p>
        </w:tc>
        <w:tc>
          <w:tcPr>
            <w:tcW w:w="570" w:type="pct"/>
          </w:tcPr>
          <w:p w14:paraId="2744DAA9" w14:textId="5F8519B2" w:rsidR="00202234" w:rsidRPr="00335F04" w:rsidRDefault="00A93F52" w:rsidP="00202234">
            <w:pPr>
              <w:jc w:val="right"/>
              <w:rPr>
                <w:b/>
              </w:rPr>
            </w:pPr>
            <w:r>
              <w:rPr>
                <w:b/>
              </w:rPr>
              <w:t>381</w:t>
            </w:r>
          </w:p>
        </w:tc>
      </w:tr>
    </w:tbl>
    <w:p w14:paraId="6FBAD3F6" w14:textId="77777777" w:rsidR="00181372" w:rsidRDefault="00181372" w:rsidP="00203779">
      <w:pPr>
        <w:pStyle w:val="Bulleted"/>
        <w:numPr>
          <w:ilvl w:val="0"/>
          <w:numId w:val="0"/>
        </w:numPr>
      </w:pPr>
    </w:p>
    <w:p w14:paraId="1956E86D" w14:textId="77777777" w:rsidR="00855EC2" w:rsidRDefault="00855EC2" w:rsidP="00026C55">
      <w:pPr>
        <w:pStyle w:val="Bulleted"/>
        <w:numPr>
          <w:ilvl w:val="0"/>
          <w:numId w:val="0"/>
        </w:numPr>
      </w:pPr>
    </w:p>
    <w:p w14:paraId="4C7D013A" w14:textId="77777777" w:rsidR="00855EC2" w:rsidRDefault="00855EC2" w:rsidP="00026C55">
      <w:pPr>
        <w:pStyle w:val="Bulleted"/>
        <w:numPr>
          <w:ilvl w:val="0"/>
          <w:numId w:val="0"/>
        </w:numPr>
      </w:pPr>
    </w:p>
    <w:p w14:paraId="6D627D4D" w14:textId="7C3D0886" w:rsidR="004A4436" w:rsidRPr="00691454" w:rsidRDefault="00203779" w:rsidP="00026C55">
      <w:pPr>
        <w:pStyle w:val="Bulleted"/>
        <w:numPr>
          <w:ilvl w:val="0"/>
          <w:numId w:val="0"/>
        </w:numPr>
      </w:pPr>
      <w:r w:rsidRPr="00691454">
        <w:t>A.12.b)</w:t>
      </w:r>
      <w:r w:rsidR="00063B71" w:rsidRPr="00691454">
        <w:t xml:space="preserve"> </w:t>
      </w:r>
      <w:r w:rsidR="00760067" w:rsidRPr="00380E1B">
        <w:t>A</w:t>
      </w:r>
      <w:r w:rsidR="00760067" w:rsidRPr="00691454">
        <w:t>nnual</w:t>
      </w:r>
      <w:r w:rsidR="00A818C7" w:rsidRPr="00691454">
        <w:t xml:space="preserve"> burden </w:t>
      </w:r>
      <w:r w:rsidR="008429DD" w:rsidRPr="00691454">
        <w:t xml:space="preserve">cost </w:t>
      </w:r>
    </w:p>
    <w:p w14:paraId="6B6B4A7B" w14:textId="5838A517" w:rsidR="00904AE6" w:rsidRDefault="001E19A2" w:rsidP="00F12747">
      <w:pPr>
        <w:pStyle w:val="SL-FlLftSgl"/>
      </w:pPr>
      <w:r>
        <w:t>Table 3 below describes the annualized burden costs associated with data collection. Data will be collected from PDO/</w:t>
      </w:r>
      <w:r w:rsidR="006873F1">
        <w:t>N</w:t>
      </w:r>
      <w:r w:rsidR="00B20A02">
        <w:t>aloxone</w:t>
      </w:r>
      <w:r w:rsidR="00795783">
        <w:t xml:space="preserve"> grant</w:t>
      </w:r>
      <w:r w:rsidR="00B20A02">
        <w:t xml:space="preserve"> </w:t>
      </w:r>
      <w:r w:rsidR="006873F1">
        <w:t>stakeholders and partners</w:t>
      </w:r>
      <w:r w:rsidR="00756EF5">
        <w:t>, i</w:t>
      </w:r>
      <w:r w:rsidR="00802CDF">
        <w:t>ncluding advisory committee mem</w:t>
      </w:r>
      <w:r w:rsidR="00756EF5">
        <w:t>bers</w:t>
      </w:r>
      <w:r>
        <w:t xml:space="preserve">. The median hourly wage per the Bureau of Labor Statistics is $17.40. State Grantee staff are in community and social service occupations. The median hourly wage for that group is $20.20, also per the Bureau of Labor Statistics. </w:t>
      </w:r>
      <w:r w:rsidR="00904AE6">
        <w:t xml:space="preserve">To reflect a more accurate burden cost for layperson, the calculation is based on a $50,000 annual salary per the November 2017 report of the Council of Economic Advisers titled, </w:t>
      </w:r>
      <w:r w:rsidR="00795783">
        <w:t>“</w:t>
      </w:r>
      <w:r w:rsidR="00904AE6">
        <w:t xml:space="preserve">The Underestimated Costs of the Opioid Crisis.”  </w:t>
      </w:r>
    </w:p>
    <w:p w14:paraId="10B183B3" w14:textId="77777777" w:rsidR="00904AE6" w:rsidRDefault="00904AE6" w:rsidP="00144640">
      <w:pPr>
        <w:pStyle w:val="SL-FlLftSgl"/>
      </w:pPr>
    </w:p>
    <w:p w14:paraId="766DD367" w14:textId="708C9DE7" w:rsidR="00144640" w:rsidRDefault="00904AE6" w:rsidP="00144640">
      <w:pPr>
        <w:pStyle w:val="SL-FlLftSgl"/>
      </w:pPr>
      <w:r>
        <w:t xml:space="preserve">Using this annual salary estimate, the hourly wage for layperson in the cost burden table is $24.04 </w:t>
      </w:r>
      <w:r w:rsidR="006873F1">
        <w:t xml:space="preserve">per hour </w:t>
      </w:r>
      <w:r>
        <w:t xml:space="preserve">and </w:t>
      </w:r>
      <w:r w:rsidR="006873F1">
        <w:t>was used to estimate costs for naloxone end users</w:t>
      </w:r>
      <w:r w:rsidR="00BB6C2F">
        <w:t xml:space="preserve"> and other laypersons</w:t>
      </w:r>
      <w:r w:rsidR="006873F1">
        <w:t xml:space="preserve"> who will participate in individual interviews. </w:t>
      </w:r>
    </w:p>
    <w:p w14:paraId="6E540DED" w14:textId="77777777" w:rsidR="001E19A2" w:rsidRPr="00691454" w:rsidRDefault="001E19A2" w:rsidP="00144640">
      <w:pPr>
        <w:pStyle w:val="SL-FlLftSgl"/>
      </w:pPr>
    </w:p>
    <w:p w14:paraId="29A73283" w14:textId="77777777" w:rsidR="005A53E2" w:rsidRPr="00691454" w:rsidRDefault="005A53E2" w:rsidP="005A53E2">
      <w:r w:rsidRPr="00691454">
        <w:rPr>
          <w:bCs/>
        </w:rPr>
        <w:t xml:space="preserve">Table </w:t>
      </w:r>
      <w:r w:rsidR="001E19A2">
        <w:rPr>
          <w:bCs/>
        </w:rPr>
        <w:t>3</w:t>
      </w:r>
      <w:r w:rsidRPr="00691454">
        <w:rPr>
          <w:bCs/>
        </w:rPr>
        <w:t>.</w:t>
      </w:r>
      <w:r w:rsidRPr="00691454">
        <w:t xml:space="preserve"> Estimated Annual</w:t>
      </w:r>
      <w:r w:rsidR="003F77E5" w:rsidRPr="00691454">
        <w:t xml:space="preserve">ized Burden </w:t>
      </w:r>
      <w:r w:rsidRPr="00691454">
        <w:t>Cost</w:t>
      </w:r>
      <w:r w:rsidR="003F77E5" w:rsidRPr="00691454">
        <w:t>s</w:t>
      </w:r>
      <w:r w:rsidRPr="00691454">
        <w:t xml:space="preserve"> </w:t>
      </w:r>
    </w:p>
    <w:p w14:paraId="0E499759" w14:textId="77777777" w:rsidR="00C833E3" w:rsidRDefault="00C833E3" w:rsidP="00E704D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610"/>
        <w:gridCol w:w="1260"/>
        <w:gridCol w:w="1399"/>
        <w:gridCol w:w="1656"/>
      </w:tblGrid>
      <w:tr w:rsidR="00B92FCF" w:rsidRPr="00691454" w14:paraId="7584B3E2" w14:textId="77777777" w:rsidTr="00F04611">
        <w:trPr>
          <w:trHeight w:val="1070"/>
        </w:trPr>
        <w:tc>
          <w:tcPr>
            <w:tcW w:w="2425" w:type="dxa"/>
            <w:vAlign w:val="center"/>
          </w:tcPr>
          <w:p w14:paraId="383FD6F2" w14:textId="77777777" w:rsidR="00C833E3" w:rsidRPr="00691454" w:rsidRDefault="00C833E3" w:rsidP="005340C7">
            <w:r w:rsidRPr="00691454">
              <w:t>Type of Respondents</w:t>
            </w:r>
          </w:p>
        </w:tc>
        <w:tc>
          <w:tcPr>
            <w:tcW w:w="2610" w:type="dxa"/>
          </w:tcPr>
          <w:p w14:paraId="0425E2CD" w14:textId="77777777" w:rsidR="00C833E3" w:rsidRPr="00691454" w:rsidRDefault="00C833E3" w:rsidP="005340C7"/>
          <w:p w14:paraId="3C7A80A1" w14:textId="77777777" w:rsidR="00C833E3" w:rsidRPr="00691454" w:rsidRDefault="00C833E3" w:rsidP="005340C7">
            <w:r w:rsidRPr="00691454">
              <w:t>Form Name</w:t>
            </w:r>
          </w:p>
        </w:tc>
        <w:tc>
          <w:tcPr>
            <w:tcW w:w="1260" w:type="dxa"/>
            <w:vAlign w:val="center"/>
          </w:tcPr>
          <w:p w14:paraId="42A57622" w14:textId="77777777" w:rsidR="00C833E3" w:rsidRPr="00691454" w:rsidRDefault="00C833E3" w:rsidP="005340C7">
            <w:r w:rsidRPr="00691454">
              <w:t>Total Burden (in hours)</w:t>
            </w:r>
          </w:p>
        </w:tc>
        <w:tc>
          <w:tcPr>
            <w:tcW w:w="1399" w:type="dxa"/>
          </w:tcPr>
          <w:p w14:paraId="60B1C16E" w14:textId="77777777" w:rsidR="00C833E3" w:rsidRPr="00691454" w:rsidRDefault="00C833E3" w:rsidP="005340C7">
            <w:r w:rsidRPr="00691454">
              <w:rPr>
                <w:rFonts w:eastAsia="Batang"/>
              </w:rPr>
              <w:t>Average Hourly Wage Rate (in dollars)</w:t>
            </w:r>
          </w:p>
        </w:tc>
        <w:tc>
          <w:tcPr>
            <w:tcW w:w="1656" w:type="dxa"/>
          </w:tcPr>
          <w:p w14:paraId="1E5672F4" w14:textId="77777777" w:rsidR="00C833E3" w:rsidRPr="00691454" w:rsidRDefault="00C833E3" w:rsidP="005340C7">
            <w:r w:rsidRPr="00691454">
              <w:rPr>
                <w:rFonts w:eastAsia="Batang"/>
              </w:rPr>
              <w:t>Total Respondent Cost</w:t>
            </w:r>
          </w:p>
        </w:tc>
      </w:tr>
      <w:tr w:rsidR="00B92FCF" w:rsidRPr="00691454" w14:paraId="60015CA4" w14:textId="77777777" w:rsidTr="00F04611">
        <w:trPr>
          <w:trHeight w:val="980"/>
        </w:trPr>
        <w:tc>
          <w:tcPr>
            <w:tcW w:w="2425" w:type="dxa"/>
          </w:tcPr>
          <w:p w14:paraId="7EF5DC9C" w14:textId="77777777" w:rsidR="00C833E3" w:rsidRPr="00335F04" w:rsidRDefault="00C833E3" w:rsidP="005340C7">
            <w:r w:rsidRPr="00335F04">
              <w:t xml:space="preserve">PDO/Naloxone </w:t>
            </w:r>
            <w:r w:rsidR="00756EF5">
              <w:t>Advisory Committee Members</w:t>
            </w:r>
          </w:p>
        </w:tc>
        <w:tc>
          <w:tcPr>
            <w:tcW w:w="2610" w:type="dxa"/>
          </w:tcPr>
          <w:p w14:paraId="391D4216" w14:textId="77777777" w:rsidR="00C833E3" w:rsidRPr="00335F04" w:rsidRDefault="00C833E3" w:rsidP="005340C7">
            <w:r w:rsidRPr="00335F04">
              <w:t>Focus Group Discussion Guide</w:t>
            </w:r>
            <w:r w:rsidR="00EF2CA2">
              <w:t xml:space="preserve"> (Att. </w:t>
            </w:r>
            <w:r w:rsidR="00C321E8">
              <w:t>D</w:t>
            </w:r>
            <w:r w:rsidR="00EF2CA2">
              <w:t>)</w:t>
            </w:r>
          </w:p>
        </w:tc>
        <w:tc>
          <w:tcPr>
            <w:tcW w:w="1260" w:type="dxa"/>
          </w:tcPr>
          <w:p w14:paraId="327D11BF" w14:textId="77777777" w:rsidR="00C833E3" w:rsidRPr="00335F04" w:rsidRDefault="00EF2CA2" w:rsidP="005340C7">
            <w:pPr>
              <w:jc w:val="right"/>
            </w:pPr>
            <w:r>
              <w:t>180</w:t>
            </w:r>
          </w:p>
        </w:tc>
        <w:tc>
          <w:tcPr>
            <w:tcW w:w="1399" w:type="dxa"/>
          </w:tcPr>
          <w:p w14:paraId="031E985E" w14:textId="77777777" w:rsidR="00C833E3" w:rsidRPr="00335F04" w:rsidRDefault="00C833E3" w:rsidP="005340C7">
            <w:pPr>
              <w:jc w:val="right"/>
            </w:pPr>
            <w:r>
              <w:rPr>
                <w:rFonts w:eastAsia="Batang"/>
              </w:rPr>
              <w:t>$17.40</w:t>
            </w:r>
          </w:p>
        </w:tc>
        <w:tc>
          <w:tcPr>
            <w:tcW w:w="1656" w:type="dxa"/>
          </w:tcPr>
          <w:p w14:paraId="47C808AB" w14:textId="77777777" w:rsidR="00C833E3" w:rsidRPr="00335F04" w:rsidRDefault="00C833E3" w:rsidP="005340C7">
            <w:pPr>
              <w:jc w:val="right"/>
            </w:pPr>
            <w:r>
              <w:t>$3,</w:t>
            </w:r>
            <w:r w:rsidR="00756EF5">
              <w:t>132.00</w:t>
            </w:r>
          </w:p>
        </w:tc>
      </w:tr>
      <w:tr w:rsidR="00B92FCF" w:rsidRPr="00691454" w14:paraId="483C6ABB" w14:textId="77777777" w:rsidTr="00F04611">
        <w:trPr>
          <w:trHeight w:val="710"/>
        </w:trPr>
        <w:tc>
          <w:tcPr>
            <w:tcW w:w="2425" w:type="dxa"/>
          </w:tcPr>
          <w:p w14:paraId="2F4BEC3A" w14:textId="77777777" w:rsidR="00C833E3" w:rsidRPr="00335F04" w:rsidRDefault="00C833E3" w:rsidP="005340C7">
            <w:r w:rsidRPr="00335F04">
              <w:t>PDO/Naloxone Grantees</w:t>
            </w:r>
          </w:p>
        </w:tc>
        <w:tc>
          <w:tcPr>
            <w:tcW w:w="2610" w:type="dxa"/>
          </w:tcPr>
          <w:p w14:paraId="0EB22F16" w14:textId="77777777" w:rsidR="00C833E3" w:rsidRPr="00335F04" w:rsidRDefault="00C833E3" w:rsidP="005340C7">
            <w:r>
              <w:t>Focus Group Discussion Guide</w:t>
            </w:r>
            <w:r w:rsidR="00EF2CA2">
              <w:t xml:space="preserve"> (Att. </w:t>
            </w:r>
            <w:r w:rsidR="00C321E8">
              <w:t>D</w:t>
            </w:r>
            <w:r w:rsidR="00EF2CA2">
              <w:t>)</w:t>
            </w:r>
          </w:p>
        </w:tc>
        <w:tc>
          <w:tcPr>
            <w:tcW w:w="1260" w:type="dxa"/>
          </w:tcPr>
          <w:p w14:paraId="64C51371" w14:textId="77777777" w:rsidR="00C833E3" w:rsidRPr="00335F04" w:rsidRDefault="00EF2CA2" w:rsidP="005340C7">
            <w:pPr>
              <w:jc w:val="right"/>
            </w:pPr>
            <w:r>
              <w:t>3</w:t>
            </w:r>
            <w:r w:rsidR="00356D36">
              <w:t>0</w:t>
            </w:r>
          </w:p>
        </w:tc>
        <w:tc>
          <w:tcPr>
            <w:tcW w:w="1399" w:type="dxa"/>
          </w:tcPr>
          <w:p w14:paraId="7787B595" w14:textId="77777777" w:rsidR="00C833E3" w:rsidRDefault="00C833E3" w:rsidP="005340C7">
            <w:pPr>
              <w:jc w:val="right"/>
            </w:pPr>
            <w:r>
              <w:rPr>
                <w:rFonts w:eastAsia="Batang"/>
              </w:rPr>
              <w:t>$20.20</w:t>
            </w:r>
          </w:p>
        </w:tc>
        <w:tc>
          <w:tcPr>
            <w:tcW w:w="1656" w:type="dxa"/>
          </w:tcPr>
          <w:p w14:paraId="2C4E05AC" w14:textId="77777777" w:rsidR="00C833E3" w:rsidRDefault="00C833E3" w:rsidP="005340C7">
            <w:pPr>
              <w:jc w:val="right"/>
            </w:pPr>
            <w:r>
              <w:t>$</w:t>
            </w:r>
            <w:r w:rsidR="00756EF5">
              <w:t>606.00</w:t>
            </w:r>
          </w:p>
        </w:tc>
      </w:tr>
      <w:tr w:rsidR="00B92FCF" w:rsidRPr="00691454" w14:paraId="0ACA7BC3" w14:textId="77777777" w:rsidTr="00F04611">
        <w:trPr>
          <w:trHeight w:val="980"/>
        </w:trPr>
        <w:tc>
          <w:tcPr>
            <w:tcW w:w="2425" w:type="dxa"/>
          </w:tcPr>
          <w:p w14:paraId="50D75A34" w14:textId="77777777" w:rsidR="00C833E3" w:rsidRPr="00335F04" w:rsidRDefault="00C833E3" w:rsidP="005340C7">
            <w:r w:rsidRPr="00335F04">
              <w:t>PDO/Naloxone Grantees</w:t>
            </w:r>
          </w:p>
        </w:tc>
        <w:tc>
          <w:tcPr>
            <w:tcW w:w="2610" w:type="dxa"/>
          </w:tcPr>
          <w:p w14:paraId="70AC67A9" w14:textId="7A23AF7A" w:rsidR="00C833E3" w:rsidRPr="00335F04" w:rsidRDefault="00B92FCF" w:rsidP="005340C7">
            <w:r>
              <w:t>Key Informant Interview</w:t>
            </w:r>
            <w:r w:rsidR="00C833E3" w:rsidRPr="00335F04">
              <w:t xml:space="preserve"> Guide for Grantees</w:t>
            </w:r>
            <w:r w:rsidR="00EF2CA2">
              <w:t xml:space="preserve"> (Att. </w:t>
            </w:r>
            <w:r w:rsidR="00C321E8">
              <w:t>E</w:t>
            </w:r>
            <w:r w:rsidR="00EF2CA2">
              <w:t>1)</w:t>
            </w:r>
          </w:p>
        </w:tc>
        <w:tc>
          <w:tcPr>
            <w:tcW w:w="1260" w:type="dxa"/>
          </w:tcPr>
          <w:p w14:paraId="2111B861" w14:textId="77777777" w:rsidR="00C833E3" w:rsidRPr="00335F04" w:rsidRDefault="00C833E3" w:rsidP="005340C7">
            <w:pPr>
              <w:jc w:val="right"/>
            </w:pPr>
            <w:r w:rsidRPr="00335F04">
              <w:t>36</w:t>
            </w:r>
          </w:p>
        </w:tc>
        <w:tc>
          <w:tcPr>
            <w:tcW w:w="1399" w:type="dxa"/>
          </w:tcPr>
          <w:p w14:paraId="3FDB2FFD" w14:textId="77777777" w:rsidR="00C833E3" w:rsidRPr="00335F04" w:rsidRDefault="00C833E3" w:rsidP="005340C7">
            <w:pPr>
              <w:jc w:val="right"/>
            </w:pPr>
            <w:r>
              <w:rPr>
                <w:rFonts w:eastAsia="Batang"/>
              </w:rPr>
              <w:t>$20.20</w:t>
            </w:r>
          </w:p>
        </w:tc>
        <w:tc>
          <w:tcPr>
            <w:tcW w:w="1656" w:type="dxa"/>
          </w:tcPr>
          <w:p w14:paraId="56CCD314" w14:textId="77777777" w:rsidR="00C833E3" w:rsidRPr="00335F04" w:rsidRDefault="00C833E3" w:rsidP="005340C7">
            <w:pPr>
              <w:jc w:val="right"/>
            </w:pPr>
            <w:r>
              <w:t>$727.20</w:t>
            </w:r>
          </w:p>
        </w:tc>
      </w:tr>
      <w:tr w:rsidR="00B92FCF" w:rsidRPr="00691454" w14:paraId="4D8FC5B5" w14:textId="77777777" w:rsidTr="00F04611">
        <w:trPr>
          <w:trHeight w:val="980"/>
        </w:trPr>
        <w:tc>
          <w:tcPr>
            <w:tcW w:w="2425" w:type="dxa"/>
          </w:tcPr>
          <w:p w14:paraId="14FAA4FC" w14:textId="77777777" w:rsidR="00C833E3" w:rsidRPr="00335F04" w:rsidRDefault="00C833E3" w:rsidP="005340C7">
            <w:r w:rsidRPr="00335F04">
              <w:t>PDO/Naloxone Stakeholders and Partners</w:t>
            </w:r>
          </w:p>
        </w:tc>
        <w:tc>
          <w:tcPr>
            <w:tcW w:w="2610" w:type="dxa"/>
          </w:tcPr>
          <w:p w14:paraId="6E981369" w14:textId="460FD83A" w:rsidR="00C833E3" w:rsidRPr="00335F04" w:rsidRDefault="00B92FCF" w:rsidP="005340C7">
            <w:r>
              <w:t>Key Informant Interview</w:t>
            </w:r>
            <w:r w:rsidR="00C833E3" w:rsidRPr="00335F04">
              <w:t xml:space="preserve"> Guide for Partners</w:t>
            </w:r>
            <w:r w:rsidR="00EF2CA2">
              <w:t xml:space="preserve"> (Att. </w:t>
            </w:r>
            <w:r w:rsidR="00C321E8">
              <w:t>E</w:t>
            </w:r>
            <w:r w:rsidR="00EF2CA2">
              <w:t>2)</w:t>
            </w:r>
          </w:p>
        </w:tc>
        <w:tc>
          <w:tcPr>
            <w:tcW w:w="1260" w:type="dxa"/>
          </w:tcPr>
          <w:p w14:paraId="5B2DA85E" w14:textId="77777777" w:rsidR="00C833E3" w:rsidRPr="00335F04" w:rsidRDefault="00C833E3" w:rsidP="005340C7">
            <w:pPr>
              <w:jc w:val="right"/>
            </w:pPr>
            <w:r w:rsidRPr="00335F04">
              <w:t>84</w:t>
            </w:r>
          </w:p>
        </w:tc>
        <w:tc>
          <w:tcPr>
            <w:tcW w:w="1399" w:type="dxa"/>
          </w:tcPr>
          <w:p w14:paraId="01A0F67E" w14:textId="77777777" w:rsidR="00C833E3" w:rsidRPr="00335F04" w:rsidRDefault="00C833E3" w:rsidP="005340C7">
            <w:pPr>
              <w:jc w:val="right"/>
            </w:pPr>
            <w:r>
              <w:rPr>
                <w:rFonts w:eastAsia="Batang"/>
              </w:rPr>
              <w:t>$17.40</w:t>
            </w:r>
          </w:p>
        </w:tc>
        <w:tc>
          <w:tcPr>
            <w:tcW w:w="1656" w:type="dxa"/>
          </w:tcPr>
          <w:p w14:paraId="171CF92C" w14:textId="77777777" w:rsidR="00C833E3" w:rsidRPr="00335F04" w:rsidRDefault="00C833E3" w:rsidP="005340C7">
            <w:pPr>
              <w:jc w:val="right"/>
            </w:pPr>
            <w:r>
              <w:t>$1,461.60</w:t>
            </w:r>
          </w:p>
        </w:tc>
      </w:tr>
      <w:tr w:rsidR="00B92FCF" w:rsidRPr="00691454" w14:paraId="0C7E5AEE" w14:textId="77777777" w:rsidTr="00F04611">
        <w:trPr>
          <w:trHeight w:val="980"/>
        </w:trPr>
        <w:tc>
          <w:tcPr>
            <w:tcW w:w="2425" w:type="dxa"/>
          </w:tcPr>
          <w:p w14:paraId="1FA082FD" w14:textId="77777777" w:rsidR="00C833E3" w:rsidRPr="00335F04" w:rsidRDefault="00C833E3" w:rsidP="005340C7">
            <w:r w:rsidRPr="00335F04">
              <w:t xml:space="preserve">PDO/Naloxone </w:t>
            </w:r>
            <w:r w:rsidR="00756EF5">
              <w:t>Laypersons</w:t>
            </w:r>
          </w:p>
        </w:tc>
        <w:tc>
          <w:tcPr>
            <w:tcW w:w="2610" w:type="dxa"/>
          </w:tcPr>
          <w:p w14:paraId="6BCDF7FA" w14:textId="68E6FB1D" w:rsidR="00C833E3" w:rsidRPr="00335F04" w:rsidRDefault="00B92FCF" w:rsidP="005340C7">
            <w:r>
              <w:t>Key Informant Interview</w:t>
            </w:r>
            <w:r w:rsidR="00C833E3" w:rsidRPr="00335F04">
              <w:t xml:space="preserve"> Guide for </w:t>
            </w:r>
            <w:r w:rsidR="00BB6C2F">
              <w:t>Laypersons</w:t>
            </w:r>
            <w:r w:rsidR="00EF2CA2">
              <w:t xml:space="preserve"> (Att. </w:t>
            </w:r>
            <w:r w:rsidR="00C321E8">
              <w:t>E</w:t>
            </w:r>
            <w:r w:rsidR="00EF2CA2">
              <w:t>3)</w:t>
            </w:r>
          </w:p>
        </w:tc>
        <w:tc>
          <w:tcPr>
            <w:tcW w:w="1260" w:type="dxa"/>
          </w:tcPr>
          <w:p w14:paraId="57AF2A61" w14:textId="77777777" w:rsidR="00C833E3" w:rsidRPr="00335F04" w:rsidRDefault="00C833E3" w:rsidP="005340C7">
            <w:pPr>
              <w:jc w:val="right"/>
            </w:pPr>
            <w:r w:rsidRPr="00335F04">
              <w:t>24</w:t>
            </w:r>
          </w:p>
        </w:tc>
        <w:tc>
          <w:tcPr>
            <w:tcW w:w="1399" w:type="dxa"/>
          </w:tcPr>
          <w:p w14:paraId="75F9AF1D" w14:textId="5D92A7B8" w:rsidR="00C833E3" w:rsidRPr="00335F04" w:rsidRDefault="00C833E3" w:rsidP="005340C7">
            <w:pPr>
              <w:jc w:val="right"/>
            </w:pPr>
            <w:r>
              <w:rPr>
                <w:rFonts w:eastAsia="Batang"/>
              </w:rPr>
              <w:t>$</w:t>
            </w:r>
            <w:r w:rsidR="00904AE6">
              <w:rPr>
                <w:rFonts w:eastAsia="Batang"/>
              </w:rPr>
              <w:t>24.04</w:t>
            </w:r>
          </w:p>
        </w:tc>
        <w:tc>
          <w:tcPr>
            <w:tcW w:w="1656" w:type="dxa"/>
          </w:tcPr>
          <w:p w14:paraId="06BFF09D" w14:textId="50B2D635" w:rsidR="00C833E3" w:rsidRPr="00335F04" w:rsidRDefault="00C833E3" w:rsidP="005340C7">
            <w:pPr>
              <w:jc w:val="right"/>
            </w:pPr>
            <w:r>
              <w:t>$</w:t>
            </w:r>
            <w:r w:rsidR="0089731F">
              <w:t>576.96</w:t>
            </w:r>
          </w:p>
        </w:tc>
      </w:tr>
      <w:tr w:rsidR="00B92FCF" w:rsidRPr="00691454" w14:paraId="53E8BEE9" w14:textId="77777777" w:rsidTr="00F04611">
        <w:trPr>
          <w:trHeight w:val="1250"/>
        </w:trPr>
        <w:tc>
          <w:tcPr>
            <w:tcW w:w="2425" w:type="dxa"/>
          </w:tcPr>
          <w:p w14:paraId="66731029" w14:textId="77777777" w:rsidR="002366BA" w:rsidRPr="00335F04" w:rsidRDefault="002366BA" w:rsidP="002366BA">
            <w:r w:rsidRPr="00335F04">
              <w:t>PDO/Naloxone Stakeholders</w:t>
            </w:r>
            <w:r>
              <w:t xml:space="preserve"> and Partners; Advisory Committee Members</w:t>
            </w:r>
          </w:p>
        </w:tc>
        <w:tc>
          <w:tcPr>
            <w:tcW w:w="2610" w:type="dxa"/>
          </w:tcPr>
          <w:p w14:paraId="673FDB78" w14:textId="003C83C5" w:rsidR="002366BA" w:rsidRPr="00335F04" w:rsidRDefault="002366BA" w:rsidP="002366BA">
            <w:r>
              <w:t xml:space="preserve">Recruitment contact script (Att. </w:t>
            </w:r>
            <w:r w:rsidR="00C321E8">
              <w:t>F</w:t>
            </w:r>
            <w:r>
              <w:t>)</w:t>
            </w:r>
          </w:p>
        </w:tc>
        <w:tc>
          <w:tcPr>
            <w:tcW w:w="1260" w:type="dxa"/>
          </w:tcPr>
          <w:p w14:paraId="17D37DFC" w14:textId="77777777" w:rsidR="002366BA" w:rsidRPr="00335F04" w:rsidRDefault="002366BA" w:rsidP="002366BA">
            <w:pPr>
              <w:jc w:val="right"/>
            </w:pPr>
            <w:r>
              <w:t>17</w:t>
            </w:r>
          </w:p>
        </w:tc>
        <w:tc>
          <w:tcPr>
            <w:tcW w:w="1399" w:type="dxa"/>
          </w:tcPr>
          <w:p w14:paraId="2794FBE6" w14:textId="77777777" w:rsidR="002366BA" w:rsidRDefault="002366BA" w:rsidP="002366BA">
            <w:pPr>
              <w:jc w:val="right"/>
              <w:rPr>
                <w:rFonts w:eastAsia="Batang"/>
              </w:rPr>
            </w:pPr>
            <w:r>
              <w:rPr>
                <w:rFonts w:eastAsia="Batang"/>
              </w:rPr>
              <w:t>$17.40</w:t>
            </w:r>
          </w:p>
        </w:tc>
        <w:tc>
          <w:tcPr>
            <w:tcW w:w="1656" w:type="dxa"/>
          </w:tcPr>
          <w:p w14:paraId="199067BF" w14:textId="77777777" w:rsidR="002366BA" w:rsidRDefault="002366BA" w:rsidP="002366BA">
            <w:pPr>
              <w:jc w:val="right"/>
            </w:pPr>
            <w:r>
              <w:t>$295.80</w:t>
            </w:r>
          </w:p>
        </w:tc>
      </w:tr>
      <w:tr w:rsidR="00B92FCF" w:rsidRPr="00691454" w14:paraId="72C4A4FD" w14:textId="77777777" w:rsidTr="00F04611">
        <w:trPr>
          <w:trHeight w:val="710"/>
        </w:trPr>
        <w:tc>
          <w:tcPr>
            <w:tcW w:w="2425" w:type="dxa"/>
          </w:tcPr>
          <w:p w14:paraId="22F0D726" w14:textId="77777777" w:rsidR="002366BA" w:rsidRPr="00335F04" w:rsidRDefault="002366BA" w:rsidP="002366BA">
            <w:r>
              <w:t>PDO Naloxone Grantees</w:t>
            </w:r>
          </w:p>
        </w:tc>
        <w:tc>
          <w:tcPr>
            <w:tcW w:w="2610" w:type="dxa"/>
          </w:tcPr>
          <w:p w14:paraId="0C7A92DE" w14:textId="2C97D630" w:rsidR="002366BA" w:rsidRPr="00335F04" w:rsidRDefault="002366BA" w:rsidP="002366BA">
            <w:r>
              <w:t>Rec</w:t>
            </w:r>
            <w:r w:rsidR="00C321E8">
              <w:t>ruitment contact script (Att. F</w:t>
            </w:r>
            <w:r>
              <w:t>)</w:t>
            </w:r>
          </w:p>
        </w:tc>
        <w:tc>
          <w:tcPr>
            <w:tcW w:w="1260" w:type="dxa"/>
          </w:tcPr>
          <w:p w14:paraId="5560FBC1" w14:textId="77777777" w:rsidR="002366BA" w:rsidRPr="00335F04" w:rsidRDefault="002366BA" w:rsidP="002366BA">
            <w:pPr>
              <w:jc w:val="right"/>
            </w:pPr>
            <w:r>
              <w:t>5</w:t>
            </w:r>
          </w:p>
        </w:tc>
        <w:tc>
          <w:tcPr>
            <w:tcW w:w="1399" w:type="dxa"/>
          </w:tcPr>
          <w:p w14:paraId="04A7024B" w14:textId="77777777" w:rsidR="002366BA" w:rsidRDefault="002366BA" w:rsidP="002366BA">
            <w:pPr>
              <w:jc w:val="right"/>
              <w:rPr>
                <w:rFonts w:eastAsia="Batang"/>
              </w:rPr>
            </w:pPr>
            <w:r>
              <w:rPr>
                <w:rFonts w:eastAsia="Batang"/>
              </w:rPr>
              <w:t>$20.20</w:t>
            </w:r>
          </w:p>
        </w:tc>
        <w:tc>
          <w:tcPr>
            <w:tcW w:w="1656" w:type="dxa"/>
          </w:tcPr>
          <w:p w14:paraId="160FAF4C" w14:textId="77777777" w:rsidR="002366BA" w:rsidRDefault="002366BA" w:rsidP="002366BA">
            <w:pPr>
              <w:jc w:val="right"/>
            </w:pPr>
            <w:r>
              <w:t>$101.00</w:t>
            </w:r>
          </w:p>
        </w:tc>
      </w:tr>
      <w:tr w:rsidR="00B92FCF" w:rsidRPr="00691454" w14:paraId="6FB278E7" w14:textId="77777777" w:rsidTr="00F04611">
        <w:trPr>
          <w:trHeight w:val="710"/>
        </w:trPr>
        <w:tc>
          <w:tcPr>
            <w:tcW w:w="2425" w:type="dxa"/>
          </w:tcPr>
          <w:p w14:paraId="7CFA6874" w14:textId="77777777" w:rsidR="002366BA" w:rsidRPr="00335F04" w:rsidRDefault="002366BA" w:rsidP="002366BA">
            <w:r w:rsidRPr="00335F04">
              <w:t xml:space="preserve">PDO/Naloxone </w:t>
            </w:r>
            <w:r>
              <w:t>Laypersons</w:t>
            </w:r>
          </w:p>
        </w:tc>
        <w:tc>
          <w:tcPr>
            <w:tcW w:w="2610" w:type="dxa"/>
          </w:tcPr>
          <w:p w14:paraId="2D8635BC" w14:textId="5800BD10" w:rsidR="002366BA" w:rsidRPr="00335F04" w:rsidRDefault="002366BA" w:rsidP="002366BA">
            <w:r>
              <w:t>Rec</w:t>
            </w:r>
            <w:r w:rsidR="00C321E8">
              <w:t>ruitment contact script (Att. F</w:t>
            </w:r>
            <w:r>
              <w:t>)</w:t>
            </w:r>
          </w:p>
        </w:tc>
        <w:tc>
          <w:tcPr>
            <w:tcW w:w="1260" w:type="dxa"/>
          </w:tcPr>
          <w:p w14:paraId="10C83010" w14:textId="77777777" w:rsidR="002366BA" w:rsidRPr="00335F04" w:rsidRDefault="002366BA" w:rsidP="002366BA">
            <w:pPr>
              <w:jc w:val="right"/>
            </w:pPr>
            <w:r>
              <w:t>2</w:t>
            </w:r>
          </w:p>
        </w:tc>
        <w:tc>
          <w:tcPr>
            <w:tcW w:w="1399" w:type="dxa"/>
          </w:tcPr>
          <w:p w14:paraId="6AE88337" w14:textId="77D0A2B7" w:rsidR="002366BA" w:rsidRDefault="002366BA" w:rsidP="002366BA">
            <w:pPr>
              <w:jc w:val="right"/>
              <w:rPr>
                <w:rFonts w:eastAsia="Batang"/>
              </w:rPr>
            </w:pPr>
            <w:r>
              <w:rPr>
                <w:rFonts w:eastAsia="Batang"/>
              </w:rPr>
              <w:t>$</w:t>
            </w:r>
            <w:r w:rsidR="00904AE6">
              <w:rPr>
                <w:rFonts w:eastAsia="Batang"/>
              </w:rPr>
              <w:t>24.04</w:t>
            </w:r>
          </w:p>
        </w:tc>
        <w:tc>
          <w:tcPr>
            <w:tcW w:w="1656" w:type="dxa"/>
          </w:tcPr>
          <w:p w14:paraId="74FED807" w14:textId="19FF432A" w:rsidR="002366BA" w:rsidRDefault="002366BA" w:rsidP="002366BA">
            <w:pPr>
              <w:jc w:val="right"/>
            </w:pPr>
            <w:r>
              <w:t>$</w:t>
            </w:r>
            <w:r w:rsidR="0089731F">
              <w:t>48.08</w:t>
            </w:r>
          </w:p>
        </w:tc>
      </w:tr>
      <w:tr w:rsidR="00B92FCF" w:rsidRPr="00691454" w14:paraId="2390B0C5" w14:textId="77777777" w:rsidTr="00F04611">
        <w:trPr>
          <w:trHeight w:val="710"/>
        </w:trPr>
        <w:tc>
          <w:tcPr>
            <w:tcW w:w="2425" w:type="dxa"/>
          </w:tcPr>
          <w:p w14:paraId="2CD53992" w14:textId="77777777" w:rsidR="00C833E3" w:rsidRPr="00335F04" w:rsidRDefault="00C833E3" w:rsidP="005340C7">
            <w:r w:rsidRPr="00335F04">
              <w:t xml:space="preserve">PDO/Naloxone Grantees </w:t>
            </w:r>
          </w:p>
        </w:tc>
        <w:tc>
          <w:tcPr>
            <w:tcW w:w="2610" w:type="dxa"/>
          </w:tcPr>
          <w:p w14:paraId="0B0E4F10" w14:textId="77777777" w:rsidR="00C833E3" w:rsidRPr="00335F04" w:rsidRDefault="00C833E3" w:rsidP="005340C7">
            <w:r w:rsidRPr="00335F04">
              <w:t>Key Informant Selection Tool</w:t>
            </w:r>
            <w:r w:rsidR="00EF2CA2">
              <w:t xml:space="preserve"> (Att. </w:t>
            </w:r>
            <w:r w:rsidR="00C321E8">
              <w:t>G</w:t>
            </w:r>
            <w:r w:rsidR="00EF2CA2">
              <w:t>)</w:t>
            </w:r>
          </w:p>
        </w:tc>
        <w:tc>
          <w:tcPr>
            <w:tcW w:w="1260" w:type="dxa"/>
          </w:tcPr>
          <w:p w14:paraId="3EFBD50E" w14:textId="77777777" w:rsidR="00C833E3" w:rsidRPr="00335F04" w:rsidRDefault="00C833E3" w:rsidP="005340C7">
            <w:pPr>
              <w:jc w:val="right"/>
            </w:pPr>
            <w:r w:rsidRPr="00335F04">
              <w:t>3</w:t>
            </w:r>
          </w:p>
        </w:tc>
        <w:tc>
          <w:tcPr>
            <w:tcW w:w="1399" w:type="dxa"/>
          </w:tcPr>
          <w:p w14:paraId="5E29556C" w14:textId="77777777" w:rsidR="00C833E3" w:rsidRPr="00335F04" w:rsidRDefault="00C833E3" w:rsidP="005340C7">
            <w:pPr>
              <w:jc w:val="right"/>
            </w:pPr>
            <w:r>
              <w:rPr>
                <w:rFonts w:eastAsia="Batang"/>
              </w:rPr>
              <w:t>$20.20</w:t>
            </w:r>
          </w:p>
        </w:tc>
        <w:tc>
          <w:tcPr>
            <w:tcW w:w="1656" w:type="dxa"/>
          </w:tcPr>
          <w:p w14:paraId="72BEFA2E" w14:textId="77777777" w:rsidR="00C833E3" w:rsidRPr="00335F04" w:rsidRDefault="00C833E3" w:rsidP="005340C7">
            <w:pPr>
              <w:jc w:val="right"/>
            </w:pPr>
            <w:r>
              <w:t>$60.60</w:t>
            </w:r>
          </w:p>
        </w:tc>
      </w:tr>
      <w:tr w:rsidR="00C833E3" w:rsidRPr="00691454" w14:paraId="7F03F86E" w14:textId="77777777" w:rsidTr="00D03C13">
        <w:trPr>
          <w:trHeight w:val="314"/>
        </w:trPr>
        <w:tc>
          <w:tcPr>
            <w:tcW w:w="2425" w:type="dxa"/>
            <w:vAlign w:val="bottom"/>
          </w:tcPr>
          <w:p w14:paraId="44ECB016" w14:textId="77777777" w:rsidR="00C833E3" w:rsidRPr="00335F04" w:rsidRDefault="00C833E3" w:rsidP="005340C7">
            <w:pPr>
              <w:jc w:val="right"/>
            </w:pPr>
            <w:r>
              <w:t>Total</w:t>
            </w:r>
          </w:p>
        </w:tc>
        <w:tc>
          <w:tcPr>
            <w:tcW w:w="6925" w:type="dxa"/>
            <w:gridSpan w:val="4"/>
            <w:vAlign w:val="bottom"/>
          </w:tcPr>
          <w:p w14:paraId="472C068C" w14:textId="1F15CE6B" w:rsidR="00C833E3" w:rsidRPr="00335F04" w:rsidRDefault="00C833E3" w:rsidP="0089731F">
            <w:pPr>
              <w:jc w:val="right"/>
            </w:pPr>
            <w:r>
              <w:rPr>
                <w:rFonts w:eastAsia="Batang"/>
              </w:rPr>
              <w:t>$</w:t>
            </w:r>
            <w:r w:rsidR="0089731F">
              <w:rPr>
                <w:rFonts w:eastAsia="Batang"/>
              </w:rPr>
              <w:t>7</w:t>
            </w:r>
            <w:r w:rsidR="00570C95">
              <w:rPr>
                <w:rFonts w:eastAsia="Batang"/>
              </w:rPr>
              <w:t>,</w:t>
            </w:r>
            <w:r w:rsidR="0089731F">
              <w:rPr>
                <w:rFonts w:eastAsia="Batang"/>
              </w:rPr>
              <w:t>009.24</w:t>
            </w:r>
          </w:p>
        </w:tc>
      </w:tr>
    </w:tbl>
    <w:p w14:paraId="565E906A" w14:textId="77777777" w:rsidR="00D057AF" w:rsidRDefault="00D057AF" w:rsidP="00E704DE">
      <w:pPr>
        <w:rPr>
          <w:b/>
        </w:rPr>
      </w:pPr>
    </w:p>
    <w:p w14:paraId="04D7277A" w14:textId="21E850BE" w:rsidR="00972DEF" w:rsidRDefault="00A02459" w:rsidP="00E704DE">
      <w:pPr>
        <w:rPr>
          <w:b/>
        </w:rPr>
      </w:pPr>
      <w:r>
        <w:rPr>
          <w:b/>
        </w:rPr>
        <w:t xml:space="preserve">A.13. </w:t>
      </w:r>
      <w:r w:rsidR="00972DEF" w:rsidRPr="00691454">
        <w:rPr>
          <w:b/>
        </w:rPr>
        <w:t>Estimates of Other Total Annual Cost Burden to Respondents or Record Keepers</w:t>
      </w:r>
    </w:p>
    <w:p w14:paraId="686E43C4" w14:textId="77777777" w:rsidR="0074590E" w:rsidRPr="00691454" w:rsidRDefault="0074590E" w:rsidP="00E704DE">
      <w:pPr>
        <w:rPr>
          <w:b/>
        </w:rPr>
      </w:pPr>
    </w:p>
    <w:p w14:paraId="4D121530" w14:textId="77777777" w:rsidR="00BF05EE" w:rsidRPr="00F14D86" w:rsidRDefault="00BF05EE" w:rsidP="00BF05E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t>No</w:t>
      </w:r>
      <w:r w:rsidR="00BB6C2F">
        <w:t xml:space="preserve">ne. </w:t>
      </w:r>
      <w:r>
        <w:t>There is no other total annual cost burden to respondents or record keepers resulting from this collection of information.</w:t>
      </w:r>
    </w:p>
    <w:p w14:paraId="49C3B02C" w14:textId="77777777" w:rsidR="00E704DE" w:rsidRPr="00691454" w:rsidRDefault="00E704DE" w:rsidP="00E704DE">
      <w:pPr>
        <w:rPr>
          <w:b/>
        </w:rPr>
      </w:pPr>
    </w:p>
    <w:p w14:paraId="734A6ABD" w14:textId="77777777" w:rsidR="00972DEF" w:rsidRPr="00691454" w:rsidRDefault="00972DEF" w:rsidP="00972DEF">
      <w:pPr>
        <w:autoSpaceDE w:val="0"/>
        <w:autoSpaceDN w:val="0"/>
        <w:adjustRightInd w:val="0"/>
      </w:pPr>
      <w:r w:rsidRPr="00691454">
        <w:rPr>
          <w:b/>
          <w:bCs/>
        </w:rPr>
        <w:t xml:space="preserve">A.14. </w:t>
      </w:r>
      <w:r w:rsidRPr="00691454">
        <w:rPr>
          <w:b/>
          <w:bCs/>
        </w:rPr>
        <w:tab/>
        <w:t xml:space="preserve">Annualized Cost to the Government </w:t>
      </w:r>
    </w:p>
    <w:p w14:paraId="08EDBDF0" w14:textId="77777777" w:rsidR="00D057AF" w:rsidRDefault="00D057AF" w:rsidP="005D4291">
      <w:pPr>
        <w:pStyle w:val="SL-FlLftSgl"/>
      </w:pPr>
    </w:p>
    <w:p w14:paraId="239C5B9C" w14:textId="77777777" w:rsidR="00144640" w:rsidRPr="00691454" w:rsidRDefault="00013F0A" w:rsidP="005D4291">
      <w:pPr>
        <w:pStyle w:val="SL-FlLftSgl"/>
      </w:pPr>
      <w:r w:rsidRPr="00691454">
        <w:t xml:space="preserve">Table </w:t>
      </w:r>
      <w:r w:rsidR="00BF05EE">
        <w:t>4</w:t>
      </w:r>
      <w:r w:rsidRPr="00691454">
        <w:t>.  Estimated Annual</w:t>
      </w:r>
      <w:r w:rsidR="001B43C7" w:rsidRPr="00691454">
        <w:t>ized</w:t>
      </w:r>
      <w:r w:rsidRPr="00691454">
        <w:t xml:space="preserve"> Cost</w:t>
      </w:r>
      <w:r w:rsidR="001B43C7" w:rsidRPr="00691454">
        <w:t xml:space="preserve"> to the Government</w:t>
      </w:r>
    </w:p>
    <w:p w14:paraId="407324B9" w14:textId="77777777" w:rsidR="00144640" w:rsidRPr="00691454" w:rsidRDefault="00144640" w:rsidP="005D4291">
      <w:pPr>
        <w:pStyle w:val="SL-FlLftSgl"/>
      </w:pPr>
    </w:p>
    <w:p w14:paraId="37E1D6BE" w14:textId="43612BD2" w:rsidR="0069469E" w:rsidRDefault="0069469E" w:rsidP="00BE2065">
      <w:pPr>
        <w:autoSpaceDE w:val="0"/>
        <w:autoSpaceDN w:val="0"/>
        <w:adjustRightInd w:val="0"/>
        <w:rPr>
          <w:rFonts w:ascii="TimesNewRomanPSMT" w:hAnsi="TimesNewRomanPSMT" w:cs="TimesNewRomanPSM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264"/>
      </w:tblGrid>
      <w:tr w:rsidR="001077FB" w:rsidRPr="001077FB" w14:paraId="37B4B253" w14:textId="77777777" w:rsidTr="00FA321C">
        <w:tc>
          <w:tcPr>
            <w:tcW w:w="3192" w:type="dxa"/>
          </w:tcPr>
          <w:p w14:paraId="52BA54AE" w14:textId="77777777" w:rsidR="001077FB" w:rsidRPr="001077FB" w:rsidRDefault="001077FB" w:rsidP="001077FB">
            <w:pPr>
              <w:autoSpaceDE w:val="0"/>
              <w:autoSpaceDN w:val="0"/>
              <w:adjustRightInd w:val="0"/>
              <w:rPr>
                <w:rFonts w:ascii="TimesNewRomanPSMT" w:hAnsi="TimesNewRomanPSMT" w:cs="TimesNewRomanPSMT"/>
              </w:rPr>
            </w:pPr>
            <w:r w:rsidRPr="001077FB">
              <w:rPr>
                <w:rFonts w:ascii="TimesNewRomanPSMT" w:hAnsi="TimesNewRomanPSMT" w:cs="TimesNewRomanPSMT"/>
              </w:rPr>
              <w:t>Type of Cost</w:t>
            </w:r>
          </w:p>
        </w:tc>
        <w:tc>
          <w:tcPr>
            <w:tcW w:w="3192" w:type="dxa"/>
          </w:tcPr>
          <w:p w14:paraId="514F84C1" w14:textId="77777777" w:rsidR="001077FB" w:rsidRPr="001077FB" w:rsidRDefault="001077FB" w:rsidP="001077FB">
            <w:pPr>
              <w:autoSpaceDE w:val="0"/>
              <w:autoSpaceDN w:val="0"/>
              <w:adjustRightInd w:val="0"/>
              <w:rPr>
                <w:rFonts w:ascii="TimesNewRomanPSMT" w:hAnsi="TimesNewRomanPSMT" w:cs="TimesNewRomanPSMT"/>
              </w:rPr>
            </w:pPr>
            <w:r w:rsidRPr="001077FB">
              <w:rPr>
                <w:rFonts w:ascii="TimesNewRomanPSMT" w:hAnsi="TimesNewRomanPSMT" w:cs="TimesNewRomanPSMT"/>
              </w:rPr>
              <w:t>Description of Services</w:t>
            </w:r>
          </w:p>
        </w:tc>
        <w:tc>
          <w:tcPr>
            <w:tcW w:w="3264" w:type="dxa"/>
          </w:tcPr>
          <w:p w14:paraId="72A4CF61" w14:textId="77777777" w:rsidR="001077FB" w:rsidRPr="001077FB" w:rsidRDefault="001077FB" w:rsidP="001077FB">
            <w:pPr>
              <w:autoSpaceDE w:val="0"/>
              <w:autoSpaceDN w:val="0"/>
              <w:adjustRightInd w:val="0"/>
              <w:rPr>
                <w:rFonts w:ascii="TimesNewRomanPSMT" w:hAnsi="TimesNewRomanPSMT" w:cs="TimesNewRomanPSMT"/>
              </w:rPr>
            </w:pPr>
            <w:r w:rsidRPr="001077FB">
              <w:rPr>
                <w:rFonts w:ascii="TimesNewRomanPSMT" w:hAnsi="TimesNewRomanPSMT" w:cs="TimesNewRomanPSMT"/>
              </w:rPr>
              <w:t>Annual Cost</w:t>
            </w:r>
          </w:p>
        </w:tc>
      </w:tr>
      <w:tr w:rsidR="001077FB" w:rsidRPr="001077FB" w14:paraId="32820B23" w14:textId="77777777" w:rsidTr="00FA321C">
        <w:tc>
          <w:tcPr>
            <w:tcW w:w="3192" w:type="dxa"/>
          </w:tcPr>
          <w:p w14:paraId="2A29FE2F" w14:textId="77777777" w:rsidR="001077FB" w:rsidRPr="001077FB" w:rsidRDefault="001077FB" w:rsidP="001077FB">
            <w:pPr>
              <w:autoSpaceDE w:val="0"/>
              <w:autoSpaceDN w:val="0"/>
              <w:adjustRightInd w:val="0"/>
              <w:rPr>
                <w:rFonts w:ascii="TimesNewRomanPSMT" w:hAnsi="TimesNewRomanPSMT" w:cs="TimesNewRomanPSMT"/>
                <w:vertAlign w:val="superscript"/>
              </w:rPr>
            </w:pPr>
          </w:p>
        </w:tc>
        <w:tc>
          <w:tcPr>
            <w:tcW w:w="3192" w:type="dxa"/>
          </w:tcPr>
          <w:p w14:paraId="2809175C" w14:textId="77777777" w:rsidR="001077FB" w:rsidRPr="001077FB" w:rsidRDefault="001077FB" w:rsidP="001077FB">
            <w:pPr>
              <w:autoSpaceDE w:val="0"/>
              <w:autoSpaceDN w:val="0"/>
              <w:adjustRightInd w:val="0"/>
              <w:rPr>
                <w:rFonts w:ascii="TimesNewRomanPSMT" w:hAnsi="TimesNewRomanPSMT" w:cs="TimesNewRomanPSMT"/>
              </w:rPr>
            </w:pPr>
          </w:p>
        </w:tc>
        <w:tc>
          <w:tcPr>
            <w:tcW w:w="3264" w:type="dxa"/>
            <w:vAlign w:val="center"/>
          </w:tcPr>
          <w:p w14:paraId="7FD1E66E" w14:textId="77777777" w:rsidR="001077FB" w:rsidRPr="001077FB" w:rsidRDefault="001077FB" w:rsidP="001077FB">
            <w:pPr>
              <w:autoSpaceDE w:val="0"/>
              <w:autoSpaceDN w:val="0"/>
              <w:adjustRightInd w:val="0"/>
              <w:rPr>
                <w:rFonts w:ascii="TimesNewRomanPSMT" w:hAnsi="TimesNewRomanPSMT" w:cs="TimesNewRomanPSMT"/>
                <w:vertAlign w:val="superscript"/>
              </w:rPr>
            </w:pPr>
          </w:p>
        </w:tc>
      </w:tr>
      <w:tr w:rsidR="001077FB" w:rsidRPr="001077FB" w14:paraId="5CDD072E" w14:textId="77777777" w:rsidTr="00FA321C">
        <w:tc>
          <w:tcPr>
            <w:tcW w:w="3192" w:type="dxa"/>
          </w:tcPr>
          <w:p w14:paraId="41F21D40" w14:textId="77777777" w:rsidR="001077FB" w:rsidRPr="001077FB" w:rsidRDefault="001077FB" w:rsidP="001077FB">
            <w:pPr>
              <w:autoSpaceDE w:val="0"/>
              <w:autoSpaceDN w:val="0"/>
              <w:adjustRightInd w:val="0"/>
              <w:rPr>
                <w:rFonts w:ascii="TimesNewRomanPSMT" w:hAnsi="TimesNewRomanPSMT" w:cs="TimesNewRomanPSMT"/>
                <w:vertAlign w:val="superscript"/>
              </w:rPr>
            </w:pPr>
            <w:r w:rsidRPr="001077FB">
              <w:rPr>
                <w:rFonts w:ascii="TimesNewRomanPSMT" w:hAnsi="TimesNewRomanPSMT" w:cs="TimesNewRomanPSMT"/>
                <w:vertAlign w:val="superscript"/>
              </w:rPr>
              <w:t>GS-14 public health analyst at 10% FTE</w:t>
            </w:r>
            <w:r w:rsidRPr="001077FB">
              <w:rPr>
                <w:rFonts w:ascii="TimesNewRomanPSMT" w:hAnsi="TimesNewRomanPSMT" w:cs="TimesNewRomanPSMT"/>
                <w:vertAlign w:val="superscript"/>
              </w:rPr>
              <w:tab/>
            </w:r>
          </w:p>
          <w:p w14:paraId="0058EA6F" w14:textId="77777777" w:rsidR="001077FB" w:rsidRPr="001077FB" w:rsidRDefault="001077FB" w:rsidP="001077FB">
            <w:pPr>
              <w:autoSpaceDE w:val="0"/>
              <w:autoSpaceDN w:val="0"/>
              <w:adjustRightInd w:val="0"/>
              <w:rPr>
                <w:rFonts w:ascii="TimesNewRomanPSMT" w:hAnsi="TimesNewRomanPSMT" w:cs="TimesNewRomanPSMT"/>
                <w:vertAlign w:val="superscript"/>
              </w:rPr>
            </w:pPr>
            <w:r w:rsidRPr="001077FB">
              <w:rPr>
                <w:rFonts w:ascii="TimesNewRomanPSMT" w:hAnsi="TimesNewRomanPSMT" w:cs="TimesNewRomanPSMT"/>
                <w:vertAlign w:val="superscript"/>
              </w:rPr>
              <w:t>GS-13 program analyst at 10% FTE</w:t>
            </w:r>
            <w:r w:rsidRPr="001077FB">
              <w:rPr>
                <w:rFonts w:ascii="TimesNewRomanPSMT" w:hAnsi="TimesNewRomanPSMT" w:cs="TimesNewRomanPSMT"/>
                <w:vertAlign w:val="superscript"/>
              </w:rPr>
              <w:tab/>
            </w:r>
          </w:p>
          <w:p w14:paraId="6E26510E" w14:textId="77777777" w:rsidR="001077FB" w:rsidRPr="001077FB" w:rsidRDefault="001077FB" w:rsidP="001077FB">
            <w:pPr>
              <w:autoSpaceDE w:val="0"/>
              <w:autoSpaceDN w:val="0"/>
              <w:adjustRightInd w:val="0"/>
              <w:rPr>
                <w:rFonts w:ascii="TimesNewRomanPSMT" w:hAnsi="TimesNewRomanPSMT" w:cs="TimesNewRomanPSMT"/>
                <w:vertAlign w:val="superscript"/>
              </w:rPr>
            </w:pPr>
            <w:r w:rsidRPr="001077FB">
              <w:rPr>
                <w:rFonts w:ascii="TimesNewRomanPSMT" w:hAnsi="TimesNewRomanPSMT" w:cs="TimesNewRomanPSMT"/>
                <w:vertAlign w:val="superscript"/>
              </w:rPr>
              <w:t>GS-13 program analyst at 10% FTE</w:t>
            </w:r>
            <w:r w:rsidRPr="001077FB">
              <w:rPr>
                <w:rFonts w:ascii="TimesNewRomanPSMT" w:hAnsi="TimesNewRomanPSMT" w:cs="TimesNewRomanPSMT"/>
                <w:vertAlign w:val="superscript"/>
              </w:rPr>
              <w:tab/>
            </w:r>
          </w:p>
          <w:p w14:paraId="4F0070C9" w14:textId="77777777" w:rsidR="001077FB" w:rsidRPr="001077FB" w:rsidRDefault="001077FB" w:rsidP="001077FB">
            <w:pPr>
              <w:autoSpaceDE w:val="0"/>
              <w:autoSpaceDN w:val="0"/>
              <w:adjustRightInd w:val="0"/>
              <w:rPr>
                <w:rFonts w:ascii="TimesNewRomanPSMT" w:hAnsi="TimesNewRomanPSMT" w:cs="TimesNewRomanPSMT"/>
                <w:vertAlign w:val="superscript"/>
              </w:rPr>
            </w:pPr>
            <w:r w:rsidRPr="001077FB">
              <w:rPr>
                <w:rFonts w:ascii="TimesNewRomanPSMT" w:hAnsi="TimesNewRomanPSMT" w:cs="TimesNewRomanPSMT"/>
                <w:vertAlign w:val="superscript"/>
              </w:rPr>
              <w:t>GS-12 contractors at 20% FTE</w:t>
            </w:r>
          </w:p>
        </w:tc>
        <w:tc>
          <w:tcPr>
            <w:tcW w:w="3192" w:type="dxa"/>
          </w:tcPr>
          <w:p w14:paraId="5EF3AA0E" w14:textId="77777777" w:rsidR="001077FB" w:rsidRPr="001077FB" w:rsidRDefault="001077FB" w:rsidP="001077FB">
            <w:pPr>
              <w:autoSpaceDE w:val="0"/>
              <w:autoSpaceDN w:val="0"/>
              <w:adjustRightInd w:val="0"/>
              <w:rPr>
                <w:rFonts w:ascii="TimesNewRomanPSMT" w:hAnsi="TimesNewRomanPSMT" w:cs="TimesNewRomanPSMT"/>
              </w:rPr>
            </w:pPr>
          </w:p>
        </w:tc>
        <w:tc>
          <w:tcPr>
            <w:tcW w:w="3264" w:type="dxa"/>
            <w:vAlign w:val="center"/>
          </w:tcPr>
          <w:p w14:paraId="44CFCF86" w14:textId="77777777" w:rsidR="001077FB" w:rsidRPr="001077FB" w:rsidRDefault="001077FB" w:rsidP="001077FB">
            <w:pPr>
              <w:autoSpaceDE w:val="0"/>
              <w:autoSpaceDN w:val="0"/>
              <w:adjustRightInd w:val="0"/>
              <w:rPr>
                <w:rFonts w:ascii="TimesNewRomanPSMT" w:hAnsi="TimesNewRomanPSMT" w:cs="TimesNewRomanPSMT"/>
                <w:vertAlign w:val="superscript"/>
              </w:rPr>
            </w:pPr>
            <w:r w:rsidRPr="001077FB">
              <w:rPr>
                <w:rFonts w:ascii="TimesNewRomanPSMT" w:hAnsi="TimesNewRomanPSMT" w:cs="TimesNewRomanPSMT"/>
                <w:vertAlign w:val="superscript"/>
              </w:rPr>
              <w:t>$12,127</w:t>
            </w:r>
          </w:p>
          <w:p w14:paraId="73592BDB" w14:textId="77777777" w:rsidR="001077FB" w:rsidRPr="001077FB" w:rsidRDefault="001077FB" w:rsidP="001077FB">
            <w:pPr>
              <w:autoSpaceDE w:val="0"/>
              <w:autoSpaceDN w:val="0"/>
              <w:adjustRightInd w:val="0"/>
              <w:rPr>
                <w:rFonts w:ascii="TimesNewRomanPSMT" w:hAnsi="TimesNewRomanPSMT" w:cs="TimesNewRomanPSMT"/>
                <w:vertAlign w:val="superscript"/>
              </w:rPr>
            </w:pPr>
            <w:r w:rsidRPr="001077FB">
              <w:rPr>
                <w:rFonts w:ascii="TimesNewRomanPSMT" w:hAnsi="TimesNewRomanPSMT" w:cs="TimesNewRomanPSMT"/>
                <w:vertAlign w:val="superscript"/>
              </w:rPr>
              <w:t>$8,947</w:t>
            </w:r>
          </w:p>
          <w:p w14:paraId="3EF46B24" w14:textId="77777777" w:rsidR="001077FB" w:rsidRPr="001077FB" w:rsidRDefault="001077FB" w:rsidP="001077FB">
            <w:pPr>
              <w:autoSpaceDE w:val="0"/>
              <w:autoSpaceDN w:val="0"/>
              <w:adjustRightInd w:val="0"/>
              <w:rPr>
                <w:rFonts w:ascii="TimesNewRomanPSMT" w:hAnsi="TimesNewRomanPSMT" w:cs="TimesNewRomanPSMT"/>
                <w:vertAlign w:val="superscript"/>
              </w:rPr>
            </w:pPr>
            <w:r w:rsidRPr="001077FB">
              <w:rPr>
                <w:rFonts w:ascii="TimesNewRomanPSMT" w:hAnsi="TimesNewRomanPSMT" w:cs="TimesNewRomanPSMT"/>
                <w:vertAlign w:val="superscript"/>
              </w:rPr>
              <w:t>$7,895</w:t>
            </w:r>
          </w:p>
          <w:p w14:paraId="41BF2436" w14:textId="4C968E7C" w:rsidR="001077FB" w:rsidRPr="001077FB" w:rsidRDefault="001077FB" w:rsidP="001077FB">
            <w:pPr>
              <w:autoSpaceDE w:val="0"/>
              <w:autoSpaceDN w:val="0"/>
              <w:adjustRightInd w:val="0"/>
              <w:rPr>
                <w:rFonts w:ascii="TimesNewRomanPSMT" w:hAnsi="TimesNewRomanPSMT" w:cs="TimesNewRomanPSMT"/>
              </w:rPr>
            </w:pPr>
            <w:r w:rsidRPr="001077FB">
              <w:rPr>
                <w:rFonts w:ascii="TimesNewRomanPSMT" w:hAnsi="TimesNewRomanPSMT" w:cs="TimesNewRomanPSMT"/>
                <w:vertAlign w:val="superscript"/>
              </w:rPr>
              <w:t>$13,275</w:t>
            </w:r>
          </w:p>
        </w:tc>
      </w:tr>
      <w:tr w:rsidR="001077FB" w:rsidRPr="001077FB" w14:paraId="578B2FB4" w14:textId="77777777" w:rsidTr="00FA321C">
        <w:tc>
          <w:tcPr>
            <w:tcW w:w="3192" w:type="dxa"/>
          </w:tcPr>
          <w:p w14:paraId="26694834" w14:textId="77777777" w:rsidR="001077FB" w:rsidRPr="001077FB" w:rsidRDefault="001077FB" w:rsidP="001077FB">
            <w:pPr>
              <w:autoSpaceDE w:val="0"/>
              <w:autoSpaceDN w:val="0"/>
              <w:adjustRightInd w:val="0"/>
              <w:rPr>
                <w:rFonts w:ascii="TimesNewRomanPSMT" w:hAnsi="TimesNewRomanPSMT" w:cs="TimesNewRomanPSMT"/>
                <w:vertAlign w:val="superscript"/>
              </w:rPr>
            </w:pPr>
            <w:r w:rsidRPr="001077FB">
              <w:rPr>
                <w:rFonts w:ascii="TimesNewRomanPSMT" w:hAnsi="TimesNewRomanPSMT" w:cs="TimesNewRomanPSMT"/>
                <w:vertAlign w:val="superscript"/>
              </w:rPr>
              <w:t>Contractor costs</w:t>
            </w:r>
          </w:p>
        </w:tc>
        <w:tc>
          <w:tcPr>
            <w:tcW w:w="3192" w:type="dxa"/>
          </w:tcPr>
          <w:p w14:paraId="3003BA39" w14:textId="77777777" w:rsidR="001077FB" w:rsidRPr="001077FB" w:rsidRDefault="001077FB" w:rsidP="001077FB">
            <w:pPr>
              <w:autoSpaceDE w:val="0"/>
              <w:autoSpaceDN w:val="0"/>
              <w:adjustRightInd w:val="0"/>
              <w:rPr>
                <w:rFonts w:ascii="TimesNewRomanPSMT" w:hAnsi="TimesNewRomanPSMT" w:cs="TimesNewRomanPSMT"/>
              </w:rPr>
            </w:pPr>
            <w:r w:rsidRPr="001077FB">
              <w:rPr>
                <w:rFonts w:ascii="TimesNewRomanPSMT" w:hAnsi="TimesNewRomanPSMT" w:cs="TimesNewRomanPSMT"/>
              </w:rPr>
              <w:t xml:space="preserve">Evaluation Contract </w:t>
            </w:r>
          </w:p>
        </w:tc>
        <w:tc>
          <w:tcPr>
            <w:tcW w:w="3264" w:type="dxa"/>
            <w:vAlign w:val="center"/>
          </w:tcPr>
          <w:p w14:paraId="1A0BF38D" w14:textId="77777777" w:rsidR="001077FB" w:rsidRPr="001077FB" w:rsidRDefault="001077FB" w:rsidP="001077FB">
            <w:pPr>
              <w:autoSpaceDE w:val="0"/>
              <w:autoSpaceDN w:val="0"/>
              <w:adjustRightInd w:val="0"/>
              <w:rPr>
                <w:rFonts w:ascii="TimesNewRomanPSMT" w:hAnsi="TimesNewRomanPSMT" w:cs="TimesNewRomanPSMT"/>
              </w:rPr>
            </w:pPr>
            <w:r w:rsidRPr="001077FB">
              <w:rPr>
                <w:rFonts w:ascii="TimesNewRomanPSMT" w:hAnsi="TimesNewRomanPSMT" w:cs="TimesNewRomanPSMT"/>
              </w:rPr>
              <w:t>$523,607</w:t>
            </w:r>
          </w:p>
        </w:tc>
      </w:tr>
      <w:tr w:rsidR="001077FB" w:rsidRPr="001077FB" w14:paraId="62A9443C" w14:textId="77777777" w:rsidTr="00FA321C">
        <w:tc>
          <w:tcPr>
            <w:tcW w:w="6384" w:type="dxa"/>
            <w:gridSpan w:val="2"/>
          </w:tcPr>
          <w:p w14:paraId="11B1F12C" w14:textId="77777777" w:rsidR="001077FB" w:rsidRPr="001077FB" w:rsidRDefault="001077FB" w:rsidP="001077FB">
            <w:pPr>
              <w:autoSpaceDE w:val="0"/>
              <w:autoSpaceDN w:val="0"/>
              <w:adjustRightInd w:val="0"/>
              <w:rPr>
                <w:rFonts w:ascii="TimesNewRomanPSMT" w:hAnsi="TimesNewRomanPSMT" w:cs="TimesNewRomanPSMT"/>
                <w:bCs/>
              </w:rPr>
            </w:pPr>
            <w:r w:rsidRPr="001077FB">
              <w:rPr>
                <w:rFonts w:ascii="TimesNewRomanPSMT" w:hAnsi="TimesNewRomanPSMT" w:cs="TimesNewRomanPSMT"/>
                <w:bCs/>
              </w:rPr>
              <w:t>Total Annual Estimated Costs</w:t>
            </w:r>
          </w:p>
        </w:tc>
        <w:tc>
          <w:tcPr>
            <w:tcW w:w="3264" w:type="dxa"/>
          </w:tcPr>
          <w:p w14:paraId="727DE439" w14:textId="67622F0C" w:rsidR="001077FB" w:rsidRPr="001077FB" w:rsidRDefault="001077FB" w:rsidP="001077FB">
            <w:pPr>
              <w:autoSpaceDE w:val="0"/>
              <w:autoSpaceDN w:val="0"/>
              <w:adjustRightInd w:val="0"/>
              <w:rPr>
                <w:rFonts w:ascii="TimesNewRomanPSMT" w:hAnsi="TimesNewRomanPSMT" w:cs="TimesNewRomanPSMT"/>
                <w:b/>
                <w:bCs/>
              </w:rPr>
            </w:pPr>
            <w:r w:rsidRPr="001077FB">
              <w:rPr>
                <w:rFonts w:ascii="TimesNewRomanPSMT" w:hAnsi="TimesNewRomanPSMT" w:cs="TimesNewRomanPSMT"/>
                <w:b/>
                <w:bCs/>
              </w:rPr>
              <w:t>$565</w:t>
            </w:r>
            <w:r w:rsidR="00B532AB">
              <w:rPr>
                <w:rFonts w:ascii="TimesNewRomanPSMT" w:hAnsi="TimesNewRomanPSMT" w:cs="TimesNewRomanPSMT"/>
                <w:b/>
                <w:bCs/>
              </w:rPr>
              <w:t>,</w:t>
            </w:r>
            <w:r w:rsidRPr="001077FB">
              <w:rPr>
                <w:rFonts w:ascii="TimesNewRomanPSMT" w:hAnsi="TimesNewRomanPSMT" w:cs="TimesNewRomanPSMT"/>
                <w:b/>
                <w:bCs/>
              </w:rPr>
              <w:t>851</w:t>
            </w:r>
          </w:p>
        </w:tc>
      </w:tr>
    </w:tbl>
    <w:p w14:paraId="01DAF63A" w14:textId="77777777" w:rsidR="001077FB" w:rsidRPr="00691454" w:rsidRDefault="001077FB" w:rsidP="00BE2065">
      <w:pPr>
        <w:autoSpaceDE w:val="0"/>
        <w:autoSpaceDN w:val="0"/>
        <w:adjustRightInd w:val="0"/>
        <w:rPr>
          <w:rFonts w:ascii="TimesNewRomanPSMT" w:hAnsi="TimesNewRomanPSMT" w:cs="TimesNewRomanPSMT"/>
        </w:rPr>
      </w:pPr>
    </w:p>
    <w:p w14:paraId="6DF807DE" w14:textId="1146CF12" w:rsidR="00972DEF" w:rsidRDefault="00972DEF" w:rsidP="00972DEF">
      <w:pPr>
        <w:autoSpaceDE w:val="0"/>
        <w:autoSpaceDN w:val="0"/>
        <w:adjustRightInd w:val="0"/>
        <w:rPr>
          <w:b/>
          <w:bCs/>
        </w:rPr>
      </w:pPr>
      <w:r w:rsidRPr="00691454">
        <w:rPr>
          <w:b/>
          <w:bCs/>
        </w:rPr>
        <w:t xml:space="preserve">A.15. </w:t>
      </w:r>
      <w:r w:rsidRPr="00691454">
        <w:rPr>
          <w:b/>
          <w:bCs/>
        </w:rPr>
        <w:tab/>
        <w:t xml:space="preserve">Explanation for Program Changes or Adjustments </w:t>
      </w:r>
    </w:p>
    <w:p w14:paraId="648297F7" w14:textId="77777777" w:rsidR="0074590E" w:rsidRPr="00691454" w:rsidRDefault="0074590E" w:rsidP="00972DEF">
      <w:pPr>
        <w:autoSpaceDE w:val="0"/>
        <w:autoSpaceDN w:val="0"/>
        <w:adjustRightInd w:val="0"/>
        <w:rPr>
          <w:b/>
          <w:bCs/>
        </w:rPr>
      </w:pPr>
    </w:p>
    <w:p w14:paraId="5F52CF79" w14:textId="33585076" w:rsidR="00BF05EE" w:rsidRDefault="00BF05EE" w:rsidP="00BF05E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CA"/>
        </w:rPr>
      </w:pPr>
      <w:r>
        <w:rPr>
          <w:lang w:val="en-CA"/>
        </w:rPr>
        <w:t>This is a new data collection.</w:t>
      </w:r>
    </w:p>
    <w:p w14:paraId="5E1388F8" w14:textId="77777777" w:rsidR="0074590E" w:rsidRPr="00F14D86" w:rsidRDefault="0074590E" w:rsidP="00BF05E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F995F53" w14:textId="0EAC3C89" w:rsidR="00972DEF" w:rsidRDefault="00972DEF" w:rsidP="00972DEF">
      <w:pPr>
        <w:autoSpaceDE w:val="0"/>
        <w:autoSpaceDN w:val="0"/>
        <w:adjustRightInd w:val="0"/>
      </w:pPr>
      <w:r w:rsidRPr="00691454">
        <w:rPr>
          <w:b/>
          <w:bCs/>
        </w:rPr>
        <w:t>A.16. Plans for Tabulation</w:t>
      </w:r>
      <w:r w:rsidR="00203955" w:rsidRPr="00691454">
        <w:rPr>
          <w:b/>
          <w:bCs/>
        </w:rPr>
        <w:t xml:space="preserve"> and </w:t>
      </w:r>
      <w:r w:rsidRPr="00691454">
        <w:rPr>
          <w:b/>
          <w:bCs/>
        </w:rPr>
        <w:t>Publication, and Project Time Schedule</w:t>
      </w:r>
      <w:r w:rsidRPr="00691454">
        <w:t xml:space="preserve"> </w:t>
      </w:r>
    </w:p>
    <w:p w14:paraId="009B08BF" w14:textId="77777777" w:rsidR="00765FC8" w:rsidRPr="00691454" w:rsidRDefault="00765FC8" w:rsidP="00972DEF">
      <w:pPr>
        <w:autoSpaceDE w:val="0"/>
        <w:autoSpaceDN w:val="0"/>
        <w:adjustRightInd w:val="0"/>
      </w:pPr>
    </w:p>
    <w:p w14:paraId="39EADDA0" w14:textId="745E78AA" w:rsidR="00760067" w:rsidRDefault="007F61E4" w:rsidP="00C00794">
      <w:pPr>
        <w:pStyle w:val="Brandedbody"/>
        <w:rPr>
          <w:rFonts w:ascii="Times New Roman" w:hAnsi="Times New Roman" w:cs="Times New Roman"/>
          <w:sz w:val="24"/>
          <w:szCs w:val="24"/>
        </w:rPr>
      </w:pPr>
      <w:r w:rsidRPr="001413EC">
        <w:rPr>
          <w:rFonts w:ascii="Times New Roman" w:hAnsi="Times New Roman" w:cs="Times New Roman"/>
          <w:sz w:val="24"/>
          <w:szCs w:val="24"/>
        </w:rPr>
        <w:t>All focus group and interview data will be analyzed through qualitative content analysis. To analyze the data, we will develop a systematic coding scheme and method of presentation that link</w:t>
      </w:r>
      <w:r w:rsidR="00684A52">
        <w:rPr>
          <w:rFonts w:ascii="Times New Roman" w:hAnsi="Times New Roman" w:cs="Times New Roman"/>
          <w:sz w:val="24"/>
          <w:szCs w:val="24"/>
        </w:rPr>
        <w:t>s</w:t>
      </w:r>
      <w:r w:rsidRPr="001413EC">
        <w:rPr>
          <w:rFonts w:ascii="Times New Roman" w:hAnsi="Times New Roman" w:cs="Times New Roman"/>
          <w:sz w:val="24"/>
          <w:szCs w:val="24"/>
        </w:rPr>
        <w:t xml:space="preserve"> to the assessment questions. The interview and focus group transcripts will be loaded into a QSR NVivo® database, which will support data management and analysis. Once data are entered, the transcripts can be coded according to common themes that emerge. Battelle researchers will develop a codebook keyed to the interview guides and evaluation objectives/questions. Each text file will be read carefully, and each segment of text coded with one or more codes. Codes will be used to classify text into categories related to each assessment question and important themes. To ensure coding trustworthiness, project team members will meet to discuss the process, finalize the codebook, and help interpret preliminary results. Because of potential differences between the selected programs, some of the themes or codes will not be applicable to all programs, while others will be used for all cases. This coding approach will allow us to identify both anticipated and emergent themes, accounting for all relevant categories found in the data, and will serve as the basis for within-case analysis and descriptions, while also facilitating multiple-case analyses.</w:t>
      </w:r>
      <w:r w:rsidR="001413EC" w:rsidRPr="001413EC">
        <w:rPr>
          <w:rFonts w:ascii="Times New Roman" w:hAnsi="Times New Roman" w:cs="Times New Roman"/>
          <w:sz w:val="24"/>
          <w:szCs w:val="24"/>
        </w:rPr>
        <w:t xml:space="preserve"> Analysis will be conducted and reported on annually.</w:t>
      </w:r>
    </w:p>
    <w:p w14:paraId="78E09F64" w14:textId="7E31B38D" w:rsidR="00FE440C" w:rsidRPr="004A7C6E" w:rsidRDefault="00FE440C" w:rsidP="004B09CD">
      <w:pPr>
        <w:pStyle w:val="SL-FlLftSgl"/>
      </w:pPr>
      <w:r w:rsidRPr="004A7C6E">
        <w:t xml:space="preserve">Table </w:t>
      </w:r>
      <w:r>
        <w:t xml:space="preserve">5. </w:t>
      </w:r>
      <w:r w:rsidRPr="004A7C6E">
        <w:t>Proposed project timeline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660"/>
      </w:tblGrid>
      <w:tr w:rsidR="00555BA5" w:rsidRPr="002F3940" w14:paraId="0FAB990D" w14:textId="77777777" w:rsidTr="00F0139B">
        <w:trPr>
          <w:cantSplit/>
          <w:jc w:val="center"/>
        </w:trPr>
        <w:tc>
          <w:tcPr>
            <w:tcW w:w="3480" w:type="dxa"/>
          </w:tcPr>
          <w:p w14:paraId="02452150" w14:textId="77777777" w:rsidR="00555BA5" w:rsidRPr="002A1ECC" w:rsidRDefault="00555BA5" w:rsidP="00F0139B"/>
          <w:p w14:paraId="311BB9E7" w14:textId="77777777" w:rsidR="00555BA5" w:rsidRPr="002A1ECC" w:rsidRDefault="00555BA5" w:rsidP="00F0139B">
            <w:pPr>
              <w:jc w:val="center"/>
              <w:rPr>
                <w:b/>
              </w:rPr>
            </w:pPr>
            <w:r w:rsidRPr="002A1ECC">
              <w:rPr>
                <w:b/>
              </w:rPr>
              <w:t>Activity</w:t>
            </w:r>
          </w:p>
        </w:tc>
        <w:tc>
          <w:tcPr>
            <w:tcW w:w="3660" w:type="dxa"/>
          </w:tcPr>
          <w:p w14:paraId="0FB7A379" w14:textId="77777777" w:rsidR="00555BA5" w:rsidRPr="002A1ECC" w:rsidRDefault="00555BA5" w:rsidP="00F0139B">
            <w:pPr>
              <w:jc w:val="center"/>
            </w:pPr>
          </w:p>
          <w:p w14:paraId="13070731" w14:textId="77777777" w:rsidR="00555BA5" w:rsidRPr="002A1ECC" w:rsidRDefault="00555BA5" w:rsidP="00F0139B">
            <w:pPr>
              <w:jc w:val="center"/>
              <w:rPr>
                <w:b/>
              </w:rPr>
            </w:pPr>
            <w:r w:rsidRPr="002A1ECC">
              <w:rPr>
                <w:b/>
              </w:rPr>
              <w:t>Time Schedule</w:t>
            </w:r>
          </w:p>
        </w:tc>
      </w:tr>
      <w:tr w:rsidR="00555BA5" w:rsidRPr="002F3940" w14:paraId="5C7B3A7D" w14:textId="77777777" w:rsidTr="00F0139B">
        <w:trPr>
          <w:cantSplit/>
          <w:jc w:val="center"/>
        </w:trPr>
        <w:tc>
          <w:tcPr>
            <w:tcW w:w="3480" w:type="dxa"/>
          </w:tcPr>
          <w:p w14:paraId="451B4EAE" w14:textId="77777777" w:rsidR="00555BA5" w:rsidRPr="002A1ECC" w:rsidRDefault="00555BA5" w:rsidP="00F0139B">
            <w:r w:rsidRPr="002A1ECC">
              <w:t>Conduct key informant interviews and focus groups</w:t>
            </w:r>
          </w:p>
        </w:tc>
        <w:tc>
          <w:tcPr>
            <w:tcW w:w="3660" w:type="dxa"/>
          </w:tcPr>
          <w:p w14:paraId="43A64393" w14:textId="77777777" w:rsidR="00555BA5" w:rsidRPr="002A1ECC" w:rsidRDefault="00555BA5" w:rsidP="00F0139B">
            <w:r w:rsidRPr="002A1ECC">
              <w:t xml:space="preserve">1-5 months after OMB approval; annually thereafter </w:t>
            </w:r>
          </w:p>
        </w:tc>
      </w:tr>
      <w:tr w:rsidR="00555BA5" w:rsidRPr="002F3940" w14:paraId="0E912AF9" w14:textId="77777777" w:rsidTr="00F0139B">
        <w:trPr>
          <w:cantSplit/>
          <w:jc w:val="center"/>
        </w:trPr>
        <w:tc>
          <w:tcPr>
            <w:tcW w:w="3480" w:type="dxa"/>
          </w:tcPr>
          <w:p w14:paraId="7E7FB050" w14:textId="77777777" w:rsidR="00555BA5" w:rsidRPr="002A1ECC" w:rsidRDefault="00555BA5" w:rsidP="00F0139B">
            <w:r w:rsidRPr="002A1ECC">
              <w:t>Analyze data</w:t>
            </w:r>
          </w:p>
        </w:tc>
        <w:tc>
          <w:tcPr>
            <w:tcW w:w="3660" w:type="dxa"/>
          </w:tcPr>
          <w:p w14:paraId="039BE447" w14:textId="77777777" w:rsidR="00555BA5" w:rsidRPr="002A1ECC" w:rsidRDefault="00555BA5" w:rsidP="00F0139B">
            <w:r w:rsidRPr="002A1ECC">
              <w:t xml:space="preserve">6-7 months after OMB approval; annually thereafter </w:t>
            </w:r>
          </w:p>
        </w:tc>
      </w:tr>
      <w:tr w:rsidR="00555BA5" w:rsidRPr="002F3940" w14:paraId="617EBB36" w14:textId="77777777" w:rsidTr="00F0139B">
        <w:trPr>
          <w:cantSplit/>
          <w:jc w:val="center"/>
        </w:trPr>
        <w:tc>
          <w:tcPr>
            <w:tcW w:w="3480" w:type="dxa"/>
          </w:tcPr>
          <w:p w14:paraId="722A4841" w14:textId="77777777" w:rsidR="00555BA5" w:rsidRPr="002A1ECC" w:rsidRDefault="00555BA5" w:rsidP="00F0139B">
            <w:r w:rsidRPr="002A1ECC">
              <w:t>Final report and presentation of data</w:t>
            </w:r>
          </w:p>
        </w:tc>
        <w:tc>
          <w:tcPr>
            <w:tcW w:w="3660" w:type="dxa"/>
          </w:tcPr>
          <w:p w14:paraId="5B22CF7C" w14:textId="77777777" w:rsidR="00555BA5" w:rsidRPr="002A1ECC" w:rsidRDefault="00555BA5" w:rsidP="00F0139B">
            <w:r w:rsidRPr="002A1ECC">
              <w:t xml:space="preserve">8-9 months after OMB approval; annually thereafter </w:t>
            </w:r>
          </w:p>
        </w:tc>
      </w:tr>
    </w:tbl>
    <w:p w14:paraId="09A5499A" w14:textId="77777777" w:rsidR="00E41F2C" w:rsidRDefault="00E41F2C" w:rsidP="00E41F2C">
      <w:pPr>
        <w:pStyle w:val="BodyText"/>
      </w:pPr>
    </w:p>
    <w:p w14:paraId="2862B845" w14:textId="77777777" w:rsidR="0074721B" w:rsidRDefault="00E41F2C" w:rsidP="00E41F2C">
      <w:pPr>
        <w:pStyle w:val="BodyText"/>
      </w:pPr>
      <w:r>
        <w:t xml:space="preserve">All participating programs will receive a CDC-SAMHSA approved summary of the evaluation findings at the conclusion of the study. This summary can be used to articulate program outcomes to key stakeholders and is instrumental in quality improvement efforts. </w:t>
      </w:r>
    </w:p>
    <w:p w14:paraId="64566CBE" w14:textId="490037A3" w:rsidR="0074721B" w:rsidRDefault="0074721B" w:rsidP="0074721B">
      <w:pPr>
        <w:tabs>
          <w:tab w:val="left" w:pos="360"/>
        </w:tabs>
        <w:autoSpaceDE w:val="0"/>
        <w:autoSpaceDN w:val="0"/>
        <w:adjustRightInd w:val="0"/>
      </w:pPr>
      <w:r>
        <w:t>This data collection is being conducted in response to the Achieving Public Health Impact Through Research Contract Mechanism (</w:t>
      </w:r>
      <w:r w:rsidRPr="008E158F">
        <w:t>Contract No. HHSD2002013M53942</w:t>
      </w:r>
      <w:r>
        <w:t xml:space="preserve">), RFTOP Number 2016-00440 titled Evaluation of the SAMHSA Naloxone Education and Distribution Program. </w:t>
      </w:r>
      <w:r w:rsidR="00765FC8">
        <w:t>We will submit a revision to the ICR for the fourth year of data collection.</w:t>
      </w:r>
    </w:p>
    <w:p w14:paraId="34EABCB1" w14:textId="1C2006E9" w:rsidR="00E41F2C" w:rsidRDefault="00E41F2C" w:rsidP="00E41F2C">
      <w:pPr>
        <w:pStyle w:val="BodyText"/>
        <w:rPr>
          <w:i/>
          <w:sz w:val="22"/>
          <w:szCs w:val="22"/>
          <w:u w:val="single"/>
        </w:rPr>
      </w:pPr>
      <w:r>
        <w:t xml:space="preserve"> </w:t>
      </w:r>
    </w:p>
    <w:p w14:paraId="301B0E26" w14:textId="77777777" w:rsidR="00972DEF" w:rsidRPr="00691454" w:rsidRDefault="00972DEF" w:rsidP="00972DEF">
      <w:pPr>
        <w:autoSpaceDE w:val="0"/>
        <w:autoSpaceDN w:val="0"/>
        <w:adjustRightInd w:val="0"/>
        <w:rPr>
          <w:b/>
          <w:bCs/>
        </w:rPr>
      </w:pPr>
      <w:r w:rsidRPr="00691454">
        <w:rPr>
          <w:b/>
          <w:bCs/>
        </w:rPr>
        <w:t xml:space="preserve">A.17. Reason(s) Display of OMB Expiration Date is Inappropriate </w:t>
      </w:r>
    </w:p>
    <w:p w14:paraId="18FAA192" w14:textId="77777777" w:rsidR="00972DEF" w:rsidRPr="00691454" w:rsidRDefault="008429DD" w:rsidP="00972DEF">
      <w:pPr>
        <w:autoSpaceDE w:val="0"/>
        <w:autoSpaceDN w:val="0"/>
        <w:adjustRightInd w:val="0"/>
      </w:pPr>
      <w:r w:rsidRPr="00691454">
        <w:t>The display of the OMB expiration date is not inappropriate</w:t>
      </w:r>
      <w:r w:rsidR="00D11EEB" w:rsidRPr="00691454">
        <w:t>.</w:t>
      </w:r>
    </w:p>
    <w:p w14:paraId="621528BE" w14:textId="77777777" w:rsidR="00972DEF" w:rsidRPr="00691454" w:rsidRDefault="00972DEF" w:rsidP="00972DEF">
      <w:pPr>
        <w:autoSpaceDE w:val="0"/>
        <w:autoSpaceDN w:val="0"/>
        <w:adjustRightInd w:val="0"/>
      </w:pPr>
    </w:p>
    <w:p w14:paraId="60C8DE88" w14:textId="77777777" w:rsidR="00972DEF" w:rsidRPr="00691454" w:rsidRDefault="00972DEF" w:rsidP="00972DEF">
      <w:pPr>
        <w:autoSpaceDE w:val="0"/>
        <w:autoSpaceDN w:val="0"/>
        <w:adjustRightInd w:val="0"/>
        <w:rPr>
          <w:b/>
          <w:bCs/>
        </w:rPr>
      </w:pPr>
      <w:r w:rsidRPr="00691454">
        <w:rPr>
          <w:b/>
          <w:bCs/>
        </w:rPr>
        <w:t xml:space="preserve">A.18. Exceptions to Certification for Paperwork Reduction Act Submissions </w:t>
      </w:r>
    </w:p>
    <w:p w14:paraId="150DFB9F" w14:textId="77777777" w:rsidR="00972DEF" w:rsidRPr="00691454" w:rsidRDefault="00972DEF" w:rsidP="00972DEF">
      <w:pPr>
        <w:autoSpaceDE w:val="0"/>
        <w:autoSpaceDN w:val="0"/>
        <w:adjustRightInd w:val="0"/>
      </w:pPr>
      <w:r w:rsidRPr="00691454">
        <w:t>There are no exceptions to the certification.</w:t>
      </w:r>
    </w:p>
    <w:p w14:paraId="547AD209" w14:textId="77777777" w:rsidR="00D057AF" w:rsidRDefault="00420226" w:rsidP="00420226">
      <w:pPr>
        <w:autoSpaceDE w:val="0"/>
        <w:autoSpaceDN w:val="0"/>
        <w:adjustRightInd w:val="0"/>
      </w:pPr>
      <w:r w:rsidRPr="00691454">
        <w:t xml:space="preserve"> </w:t>
      </w:r>
    </w:p>
    <w:p w14:paraId="06D883DB" w14:textId="77777777" w:rsidR="00D057AF" w:rsidRDefault="00D057AF">
      <w:r>
        <w:br w:type="page"/>
      </w:r>
    </w:p>
    <w:p w14:paraId="3B472134" w14:textId="77777777" w:rsidR="00742897" w:rsidRDefault="00E14B37" w:rsidP="00742897">
      <w:pPr>
        <w:rPr>
          <w:b/>
          <w:bCs/>
        </w:rPr>
      </w:pPr>
      <w:r w:rsidRPr="00691454">
        <w:t xml:space="preserve"> </w:t>
      </w:r>
      <w:r w:rsidR="00742897" w:rsidRPr="00691454">
        <w:rPr>
          <w:b/>
          <w:bCs/>
        </w:rPr>
        <w:t>REFERENCES</w:t>
      </w:r>
    </w:p>
    <w:p w14:paraId="32D1AE05" w14:textId="77777777" w:rsidR="0007582A" w:rsidRDefault="0007582A" w:rsidP="00742897">
      <w:pPr>
        <w:rPr>
          <w:b/>
          <w:bCs/>
        </w:rPr>
      </w:pPr>
    </w:p>
    <w:p w14:paraId="429FCD3B" w14:textId="3D6371B1" w:rsidR="00CE7C43" w:rsidRDefault="00CE7C43" w:rsidP="00CE7C43">
      <w:pPr>
        <w:pStyle w:val="Publications"/>
        <w:ind w:left="720" w:hanging="720"/>
        <w:rPr>
          <w:rFonts w:ascii="Times New Roman" w:hAnsi="Times New Roman"/>
          <w:sz w:val="24"/>
          <w:szCs w:val="24"/>
        </w:rPr>
      </w:pPr>
      <w:r w:rsidRPr="00CE7C43">
        <w:rPr>
          <w:rFonts w:ascii="Times New Roman" w:hAnsi="Times New Roman"/>
          <w:sz w:val="24"/>
          <w:szCs w:val="24"/>
        </w:rPr>
        <w:t>Center for Behavioral Health Statistics and Quality.</w:t>
      </w:r>
      <w:r>
        <w:rPr>
          <w:rFonts w:ascii="Times New Roman" w:hAnsi="Times New Roman"/>
          <w:sz w:val="24"/>
          <w:szCs w:val="24"/>
        </w:rPr>
        <w:t xml:space="preserve"> </w:t>
      </w:r>
      <w:r w:rsidRPr="00CE7C43">
        <w:rPr>
          <w:rFonts w:ascii="Times New Roman" w:hAnsi="Times New Roman"/>
          <w:sz w:val="24"/>
          <w:szCs w:val="24"/>
        </w:rPr>
        <w:t>Key substance use and mental health indicators</w:t>
      </w:r>
      <w:r>
        <w:rPr>
          <w:rFonts w:ascii="Times New Roman" w:hAnsi="Times New Roman"/>
          <w:sz w:val="24"/>
          <w:szCs w:val="24"/>
        </w:rPr>
        <w:t xml:space="preserve"> </w:t>
      </w:r>
      <w:r w:rsidRPr="00CE7C43">
        <w:rPr>
          <w:rFonts w:ascii="Times New Roman" w:hAnsi="Times New Roman"/>
          <w:sz w:val="24"/>
          <w:szCs w:val="24"/>
        </w:rPr>
        <w:t>in the United States: Results from the 2015 National</w:t>
      </w:r>
      <w:r>
        <w:rPr>
          <w:rFonts w:ascii="Times New Roman" w:hAnsi="Times New Roman"/>
          <w:sz w:val="24"/>
          <w:szCs w:val="24"/>
        </w:rPr>
        <w:t xml:space="preserve"> </w:t>
      </w:r>
      <w:r w:rsidRPr="00CE7C43">
        <w:rPr>
          <w:rFonts w:ascii="Times New Roman" w:hAnsi="Times New Roman"/>
          <w:sz w:val="24"/>
          <w:szCs w:val="24"/>
        </w:rPr>
        <w:t>Survey on Drug Use and Health (HHS Publication No.</w:t>
      </w:r>
      <w:r>
        <w:rPr>
          <w:rFonts w:ascii="Times New Roman" w:hAnsi="Times New Roman"/>
          <w:sz w:val="24"/>
          <w:szCs w:val="24"/>
        </w:rPr>
        <w:t xml:space="preserve"> </w:t>
      </w:r>
      <w:r w:rsidRPr="00CE7C43">
        <w:rPr>
          <w:rFonts w:ascii="Times New Roman" w:hAnsi="Times New Roman"/>
          <w:sz w:val="24"/>
          <w:szCs w:val="24"/>
        </w:rPr>
        <w:t xml:space="preserve">SMA 16-4984, NSDUH Series H-51). </w:t>
      </w:r>
      <w:r>
        <w:rPr>
          <w:rFonts w:ascii="Times New Roman" w:hAnsi="Times New Roman"/>
          <w:sz w:val="24"/>
          <w:szCs w:val="24"/>
        </w:rPr>
        <w:t xml:space="preserve">2016. </w:t>
      </w:r>
      <w:r w:rsidRPr="00CE7C43">
        <w:rPr>
          <w:rFonts w:ascii="Times New Roman" w:hAnsi="Times New Roman"/>
          <w:sz w:val="24"/>
          <w:szCs w:val="24"/>
        </w:rPr>
        <w:t>Retrieved from</w:t>
      </w:r>
      <w:r>
        <w:rPr>
          <w:rFonts w:ascii="Times New Roman" w:hAnsi="Times New Roman"/>
          <w:sz w:val="24"/>
          <w:szCs w:val="24"/>
        </w:rPr>
        <w:t xml:space="preserve"> </w:t>
      </w:r>
      <w:hyperlink r:id="rId10" w:history="1">
        <w:r w:rsidRPr="00B340E5">
          <w:rPr>
            <w:rStyle w:val="Hyperlink"/>
            <w:rFonts w:ascii="Times New Roman" w:hAnsi="Times New Roman"/>
            <w:sz w:val="24"/>
            <w:szCs w:val="24"/>
          </w:rPr>
          <w:t>http://www.samhsa.gov/data/</w:t>
        </w:r>
      </w:hyperlink>
    </w:p>
    <w:p w14:paraId="310DBF66" w14:textId="6D0BA1F7" w:rsidR="0007582A" w:rsidRDefault="0007582A" w:rsidP="00CE7C43">
      <w:pPr>
        <w:pStyle w:val="Publications"/>
        <w:ind w:left="720" w:hanging="720"/>
        <w:rPr>
          <w:rFonts w:ascii="Times New Roman" w:hAnsi="Times New Roman"/>
          <w:sz w:val="24"/>
          <w:szCs w:val="24"/>
        </w:rPr>
      </w:pPr>
      <w:r w:rsidRPr="0007582A">
        <w:rPr>
          <w:rFonts w:ascii="Times New Roman" w:hAnsi="Times New Roman"/>
          <w:sz w:val="24"/>
          <w:szCs w:val="24"/>
        </w:rPr>
        <w:t xml:space="preserve">Centers for Disease Control and Prevention. </w:t>
      </w:r>
      <w:r w:rsidR="00966EF9" w:rsidRPr="00966EF9">
        <w:rPr>
          <w:rFonts w:ascii="Times New Roman" w:hAnsi="Times New Roman"/>
          <w:sz w:val="24"/>
          <w:szCs w:val="24"/>
        </w:rPr>
        <w:t>Drug overdose deaths in the United States continue to increase in 2016</w:t>
      </w:r>
      <w:r w:rsidRPr="0007582A">
        <w:rPr>
          <w:rFonts w:ascii="Times New Roman" w:hAnsi="Times New Roman"/>
          <w:sz w:val="24"/>
          <w:szCs w:val="24"/>
        </w:rPr>
        <w:t xml:space="preserve">. </w:t>
      </w:r>
      <w:hyperlink r:id="rId11" w:history="1">
        <w:r w:rsidRPr="0007582A">
          <w:rPr>
            <w:rStyle w:val="Hyperlink"/>
            <w:rFonts w:ascii="Times New Roman" w:hAnsi="Times New Roman"/>
            <w:sz w:val="24"/>
            <w:szCs w:val="24"/>
          </w:rPr>
          <w:t>https://www.cdc.gov/drugoverdose/epidemic/</w:t>
        </w:r>
      </w:hyperlink>
      <w:r w:rsidRPr="0007582A">
        <w:rPr>
          <w:rFonts w:ascii="Times New Roman" w:hAnsi="Times New Roman"/>
          <w:sz w:val="24"/>
          <w:szCs w:val="24"/>
        </w:rPr>
        <w:t>. Accessed July 29, 2016.</w:t>
      </w:r>
    </w:p>
    <w:p w14:paraId="1BD31046" w14:textId="033CD079" w:rsidR="003B1B05" w:rsidRPr="0007582A" w:rsidRDefault="003B1B05" w:rsidP="00E52AE6">
      <w:pPr>
        <w:pStyle w:val="Publications"/>
        <w:ind w:left="720" w:hanging="720"/>
        <w:rPr>
          <w:rFonts w:ascii="Times New Roman" w:hAnsi="Times New Roman"/>
          <w:sz w:val="24"/>
          <w:szCs w:val="24"/>
        </w:rPr>
      </w:pPr>
      <w:r>
        <w:rPr>
          <w:rFonts w:ascii="Times New Roman" w:hAnsi="Times New Roman"/>
          <w:sz w:val="24"/>
          <w:szCs w:val="24"/>
        </w:rPr>
        <w:t xml:space="preserve">Centers for Disease Control and Prevention. </w:t>
      </w:r>
      <w:r w:rsidRPr="003B1B05">
        <w:rPr>
          <w:rFonts w:ascii="Times New Roman" w:hAnsi="Times New Roman"/>
          <w:sz w:val="24"/>
          <w:szCs w:val="24"/>
        </w:rPr>
        <w:t>CDC FY 2016 Congressional Justification</w:t>
      </w:r>
      <w:r>
        <w:rPr>
          <w:rFonts w:ascii="Times New Roman" w:hAnsi="Times New Roman"/>
          <w:sz w:val="24"/>
          <w:szCs w:val="24"/>
        </w:rPr>
        <w:t xml:space="preserve"> (page 302, paragraph 2).  </w:t>
      </w:r>
      <w:r w:rsidRPr="003B1B05">
        <w:rPr>
          <w:rFonts w:ascii="Times New Roman" w:hAnsi="Times New Roman"/>
          <w:sz w:val="24"/>
          <w:szCs w:val="24"/>
        </w:rPr>
        <w:t>https://www.cdc.gov/budget/documents/fy2016/fy-2016-cdc-congressional-justification.pdf</w:t>
      </w:r>
    </w:p>
    <w:p w14:paraId="77746DC4" w14:textId="591647CD" w:rsidR="0007582A" w:rsidRDefault="0007582A" w:rsidP="00CE7C43">
      <w:pPr>
        <w:pStyle w:val="Publications"/>
        <w:ind w:left="720" w:hanging="720"/>
        <w:rPr>
          <w:rFonts w:ascii="Times New Roman" w:hAnsi="Times New Roman"/>
          <w:sz w:val="24"/>
          <w:szCs w:val="24"/>
        </w:rPr>
      </w:pPr>
      <w:r w:rsidRPr="0007582A">
        <w:rPr>
          <w:rFonts w:ascii="Times New Roman" w:hAnsi="Times New Roman"/>
          <w:sz w:val="24"/>
          <w:szCs w:val="24"/>
        </w:rPr>
        <w:t>Coffin PO, Sullivan SD. Cost-effectiveness of distributing naloxone to heroin users for lay overdose reversal. Ann Intern Med. 2013</w:t>
      </w:r>
      <w:r w:rsidR="0037591C">
        <w:rPr>
          <w:rFonts w:ascii="Times New Roman" w:hAnsi="Times New Roman"/>
          <w:sz w:val="24"/>
          <w:szCs w:val="24"/>
        </w:rPr>
        <w:t>.</w:t>
      </w:r>
      <w:r w:rsidRPr="0007582A">
        <w:rPr>
          <w:rFonts w:ascii="Times New Roman" w:hAnsi="Times New Roman"/>
          <w:sz w:val="24"/>
          <w:szCs w:val="24"/>
        </w:rPr>
        <w:t xml:space="preserve"> Jan 1;158(1):1-9. </w:t>
      </w:r>
    </w:p>
    <w:p w14:paraId="4F370C83" w14:textId="6694CA0F" w:rsidR="00022F54" w:rsidRPr="0007582A" w:rsidRDefault="00022F54" w:rsidP="00E52AE6">
      <w:pPr>
        <w:pStyle w:val="Publications"/>
        <w:ind w:left="720" w:hanging="720"/>
        <w:rPr>
          <w:rFonts w:ascii="Times New Roman" w:hAnsi="Times New Roman"/>
          <w:sz w:val="24"/>
          <w:szCs w:val="24"/>
        </w:rPr>
      </w:pPr>
      <w:r>
        <w:rPr>
          <w:rFonts w:ascii="Times New Roman" w:hAnsi="Times New Roman"/>
          <w:sz w:val="24"/>
          <w:szCs w:val="24"/>
        </w:rPr>
        <w:t>Desmond DP, Maddux JF, Johnson TJ</w:t>
      </w:r>
      <w:r w:rsidRPr="00022F54">
        <w:rPr>
          <w:rFonts w:ascii="Times New Roman" w:hAnsi="Times New Roman"/>
          <w:sz w:val="24"/>
          <w:szCs w:val="24"/>
        </w:rPr>
        <w:t>,</w:t>
      </w:r>
      <w:r>
        <w:rPr>
          <w:rFonts w:ascii="Times New Roman" w:hAnsi="Times New Roman"/>
          <w:sz w:val="24"/>
          <w:szCs w:val="24"/>
        </w:rPr>
        <w:t xml:space="preserve"> Confer BA. </w:t>
      </w:r>
      <w:r w:rsidRPr="00022F54">
        <w:rPr>
          <w:rFonts w:ascii="Times New Roman" w:hAnsi="Times New Roman"/>
          <w:sz w:val="24"/>
          <w:szCs w:val="24"/>
        </w:rPr>
        <w:t>Obtaining follow-up interviews for treatment evaluation</w:t>
      </w:r>
      <w:r>
        <w:rPr>
          <w:rFonts w:ascii="Times New Roman" w:hAnsi="Times New Roman"/>
          <w:sz w:val="24"/>
          <w:szCs w:val="24"/>
        </w:rPr>
        <w:t>.</w:t>
      </w:r>
      <w:r w:rsidRPr="00022F54">
        <w:rPr>
          <w:rFonts w:ascii="Times New Roman" w:hAnsi="Times New Roman"/>
          <w:sz w:val="24"/>
          <w:szCs w:val="24"/>
        </w:rPr>
        <w:t xml:space="preserve"> </w:t>
      </w:r>
      <w:r w:rsidRPr="00966EF9">
        <w:rPr>
          <w:rFonts w:ascii="Times New Roman" w:hAnsi="Times New Roman"/>
          <w:i/>
          <w:sz w:val="24"/>
          <w:szCs w:val="24"/>
        </w:rPr>
        <w:t>Journal of Substance Abuse Treatment</w:t>
      </w:r>
      <w:r>
        <w:rPr>
          <w:rFonts w:ascii="Times New Roman" w:hAnsi="Times New Roman"/>
          <w:i/>
          <w:sz w:val="24"/>
          <w:szCs w:val="24"/>
        </w:rPr>
        <w:t>.</w:t>
      </w:r>
      <w:r w:rsidRPr="00022F54">
        <w:rPr>
          <w:rFonts w:ascii="Times New Roman" w:hAnsi="Times New Roman"/>
          <w:sz w:val="24"/>
          <w:szCs w:val="24"/>
        </w:rPr>
        <w:t xml:space="preserve"> </w:t>
      </w:r>
      <w:r w:rsidR="0037591C">
        <w:rPr>
          <w:rFonts w:ascii="Times New Roman" w:hAnsi="Times New Roman"/>
          <w:sz w:val="24"/>
          <w:szCs w:val="24"/>
        </w:rPr>
        <w:t xml:space="preserve">1995. </w:t>
      </w:r>
      <w:r w:rsidRPr="00022F54">
        <w:rPr>
          <w:rFonts w:ascii="Times New Roman" w:hAnsi="Times New Roman"/>
          <w:sz w:val="24"/>
          <w:szCs w:val="24"/>
        </w:rPr>
        <w:t>12</w:t>
      </w:r>
      <w:r>
        <w:rPr>
          <w:rFonts w:ascii="Times New Roman" w:hAnsi="Times New Roman"/>
          <w:sz w:val="24"/>
          <w:szCs w:val="24"/>
        </w:rPr>
        <w:t>(</w:t>
      </w:r>
      <w:r w:rsidRPr="00022F54">
        <w:rPr>
          <w:rFonts w:ascii="Times New Roman" w:hAnsi="Times New Roman"/>
          <w:sz w:val="24"/>
          <w:szCs w:val="24"/>
        </w:rPr>
        <w:t>2</w:t>
      </w:r>
      <w:r>
        <w:rPr>
          <w:rFonts w:ascii="Times New Roman" w:hAnsi="Times New Roman"/>
          <w:sz w:val="24"/>
          <w:szCs w:val="24"/>
        </w:rPr>
        <w:t>):</w:t>
      </w:r>
      <w:r w:rsidRPr="00022F54">
        <w:rPr>
          <w:rFonts w:ascii="Times New Roman" w:hAnsi="Times New Roman"/>
          <w:sz w:val="24"/>
          <w:szCs w:val="24"/>
        </w:rPr>
        <w:t>95-102</w:t>
      </w:r>
    </w:p>
    <w:p w14:paraId="48A3DD82" w14:textId="75187F8E" w:rsidR="0007582A" w:rsidRDefault="0007582A" w:rsidP="00E52AE6">
      <w:pPr>
        <w:pStyle w:val="Publications"/>
        <w:ind w:left="720" w:hanging="720"/>
        <w:rPr>
          <w:rStyle w:val="Hyperlink"/>
          <w:rFonts w:ascii="Times New Roman" w:hAnsi="Times New Roman"/>
          <w:sz w:val="24"/>
          <w:szCs w:val="24"/>
        </w:rPr>
      </w:pPr>
      <w:r w:rsidRPr="0007582A">
        <w:rPr>
          <w:rFonts w:ascii="Times New Roman" w:hAnsi="Times New Roman"/>
          <w:sz w:val="24"/>
          <w:szCs w:val="24"/>
        </w:rPr>
        <w:t xml:space="preserve">Festinger, DS, Marlowe, DB, Dugosh, KL, Croft, JR, Arabia, PL. Higher magnitude cash payments improve research follow-up rates without increasing drug use or perceived coercion. </w:t>
      </w:r>
      <w:r w:rsidRPr="0007582A">
        <w:rPr>
          <w:rFonts w:ascii="Times New Roman" w:hAnsi="Times New Roman"/>
          <w:i/>
          <w:sz w:val="24"/>
          <w:szCs w:val="24"/>
        </w:rPr>
        <w:t>Drug and Alcohol Dependence</w:t>
      </w:r>
      <w:r w:rsidRPr="0007582A">
        <w:rPr>
          <w:rFonts w:ascii="Times New Roman" w:hAnsi="Times New Roman"/>
          <w:sz w:val="24"/>
          <w:szCs w:val="24"/>
        </w:rPr>
        <w:t>. 2008</w:t>
      </w:r>
      <w:r w:rsidR="0037591C">
        <w:rPr>
          <w:rFonts w:ascii="Times New Roman" w:hAnsi="Times New Roman"/>
          <w:sz w:val="24"/>
          <w:szCs w:val="24"/>
        </w:rPr>
        <w:t>.</w:t>
      </w:r>
      <w:r w:rsidRPr="0007582A">
        <w:rPr>
          <w:rFonts w:ascii="Times New Roman" w:hAnsi="Times New Roman"/>
          <w:sz w:val="24"/>
          <w:szCs w:val="24"/>
        </w:rPr>
        <w:t xml:space="preserve"> 96(1-2):128-135. </w:t>
      </w:r>
      <w:hyperlink r:id="rId12" w:tgtFrame="doilink" w:history="1">
        <w:r w:rsidRPr="0007582A">
          <w:rPr>
            <w:rStyle w:val="Hyperlink"/>
            <w:rFonts w:ascii="Times New Roman" w:hAnsi="Times New Roman"/>
            <w:sz w:val="24"/>
            <w:szCs w:val="24"/>
          </w:rPr>
          <w:t>http://dx.doi.org/10.1016/j.drugalcdep.2008.02.007</w:t>
        </w:r>
      </w:hyperlink>
    </w:p>
    <w:p w14:paraId="351F1373" w14:textId="47E2702F" w:rsidR="00E6174C" w:rsidRDefault="00E6174C" w:rsidP="00E52AE6">
      <w:pPr>
        <w:suppressLineNumbers/>
        <w:ind w:left="720" w:hanging="720"/>
      </w:pPr>
      <w:r w:rsidRPr="0077250D">
        <w:t>James, T. L. Results of the wave</w:t>
      </w:r>
      <w:r w:rsidRPr="003E23B6">
        <w:t xml:space="preserve"> I incentive experiment in the 1996 Survey of Income and Program Participation. </w:t>
      </w:r>
      <w:r w:rsidRPr="003E23B6">
        <w:rPr>
          <w:i/>
        </w:rPr>
        <w:t>Report to the U.S. Bureau of the Census,</w:t>
      </w:r>
      <w:r w:rsidRPr="003E23B6">
        <w:t xml:space="preserve"> </w:t>
      </w:r>
      <w:r w:rsidR="0037591C">
        <w:t xml:space="preserve">1997. </w:t>
      </w:r>
      <w:r w:rsidRPr="003E23B6">
        <w:t>834-839.</w:t>
      </w:r>
    </w:p>
    <w:p w14:paraId="295E0918" w14:textId="2FF031D7" w:rsidR="00EF26F5" w:rsidRPr="00EF26F5" w:rsidRDefault="00EF26F5" w:rsidP="00E52AE6">
      <w:pPr>
        <w:pStyle w:val="Publications"/>
        <w:ind w:left="720" w:hanging="720"/>
        <w:rPr>
          <w:rFonts w:ascii="Times New Roman" w:hAnsi="Times New Roman"/>
          <w:sz w:val="24"/>
          <w:szCs w:val="24"/>
        </w:rPr>
      </w:pPr>
      <w:r w:rsidRPr="004B09CD">
        <w:rPr>
          <w:rFonts w:ascii="Times New Roman" w:hAnsi="Times New Roman"/>
          <w:sz w:val="24"/>
          <w:szCs w:val="24"/>
        </w:rPr>
        <w:t>Rudd RA, Seth P, David F, Scholl L. Increases in Drug and Opioid-Involved Overdose Deaths — United States, 2010–2015. MMWR Morb Mortal Wkly Rep 2016</w:t>
      </w:r>
      <w:r w:rsidR="00D86471">
        <w:rPr>
          <w:rFonts w:ascii="Times New Roman" w:hAnsi="Times New Roman"/>
          <w:sz w:val="24"/>
          <w:szCs w:val="24"/>
        </w:rPr>
        <w:t xml:space="preserve"> </w:t>
      </w:r>
      <w:r w:rsidR="002A0CF7">
        <w:rPr>
          <w:rFonts w:ascii="Times New Roman" w:hAnsi="Times New Roman"/>
          <w:sz w:val="24"/>
          <w:szCs w:val="24"/>
        </w:rPr>
        <w:t>(</w:t>
      </w:r>
      <w:r w:rsidR="00D86471">
        <w:rPr>
          <w:rFonts w:ascii="Times New Roman" w:hAnsi="Times New Roman"/>
          <w:sz w:val="24"/>
          <w:szCs w:val="24"/>
        </w:rPr>
        <w:t>A</w:t>
      </w:r>
      <w:r w:rsidR="002A0CF7">
        <w:rPr>
          <w:rFonts w:ascii="Times New Roman" w:hAnsi="Times New Roman"/>
          <w:sz w:val="24"/>
          <w:szCs w:val="24"/>
        </w:rPr>
        <w:t>)</w:t>
      </w:r>
      <w:r w:rsidRPr="004B09CD">
        <w:rPr>
          <w:rFonts w:ascii="Times New Roman" w:hAnsi="Times New Roman"/>
          <w:sz w:val="24"/>
          <w:szCs w:val="24"/>
        </w:rPr>
        <w:t>; 65:1445–1452</w:t>
      </w:r>
      <w:r w:rsidRPr="00EF26F5">
        <w:rPr>
          <w:rFonts w:ascii="Times New Roman" w:hAnsi="Times New Roman"/>
          <w:sz w:val="24"/>
          <w:szCs w:val="24"/>
        </w:rPr>
        <w:t>.</w:t>
      </w:r>
    </w:p>
    <w:p w14:paraId="6C0A3067" w14:textId="66477F9A" w:rsidR="00D86471" w:rsidRDefault="00D86471" w:rsidP="00E52AE6">
      <w:pPr>
        <w:pStyle w:val="Publications"/>
        <w:ind w:left="720" w:hanging="720"/>
        <w:rPr>
          <w:rFonts w:ascii="Times New Roman" w:hAnsi="Times New Roman"/>
          <w:sz w:val="24"/>
          <w:szCs w:val="24"/>
        </w:rPr>
      </w:pPr>
      <w:r w:rsidRPr="0007582A">
        <w:rPr>
          <w:rFonts w:ascii="Times New Roman" w:hAnsi="Times New Roman"/>
          <w:sz w:val="24"/>
          <w:szCs w:val="24"/>
        </w:rPr>
        <w:t>Rudd RA, Aleshire N, Zibbell JE, Gladden RM. Increases in Drug and Opioid Overdose Deaths--United States, 2000-2014. MMWR Morb Mortal Wkly Rep. 2016</w:t>
      </w:r>
      <w:r>
        <w:rPr>
          <w:rFonts w:ascii="Times New Roman" w:hAnsi="Times New Roman"/>
          <w:sz w:val="24"/>
          <w:szCs w:val="24"/>
        </w:rPr>
        <w:t xml:space="preserve"> (B)</w:t>
      </w:r>
      <w:r w:rsidRPr="0007582A">
        <w:rPr>
          <w:rFonts w:ascii="Times New Roman" w:hAnsi="Times New Roman"/>
          <w:sz w:val="24"/>
          <w:szCs w:val="24"/>
        </w:rPr>
        <w:t xml:space="preserve"> Jan 1;64(50-51):1378-82.</w:t>
      </w:r>
    </w:p>
    <w:p w14:paraId="25D0DFC9" w14:textId="7F0396F7" w:rsidR="0007582A" w:rsidRPr="0007582A" w:rsidRDefault="0007582A" w:rsidP="00E52AE6">
      <w:pPr>
        <w:pStyle w:val="Publications"/>
        <w:ind w:left="720" w:hanging="720"/>
        <w:rPr>
          <w:rFonts w:ascii="Times New Roman" w:hAnsi="Times New Roman"/>
          <w:sz w:val="24"/>
          <w:szCs w:val="24"/>
        </w:rPr>
      </w:pPr>
      <w:r w:rsidRPr="0007582A">
        <w:rPr>
          <w:rFonts w:ascii="Times New Roman" w:hAnsi="Times New Roman"/>
          <w:sz w:val="24"/>
          <w:szCs w:val="24"/>
        </w:rPr>
        <w:t xml:space="preserve">Slomka J, McCurdy S, Ratliff EA, Timpson S, Williams ML. Perceptions of Financial Payment for Research Participation among African-American Drug Users in HIV Studies. </w:t>
      </w:r>
      <w:r w:rsidRPr="0007582A">
        <w:rPr>
          <w:rFonts w:ascii="Times New Roman" w:hAnsi="Times New Roman"/>
          <w:i/>
          <w:iCs/>
          <w:sz w:val="24"/>
          <w:szCs w:val="24"/>
        </w:rPr>
        <w:t>Journal of General Internal Medicine</w:t>
      </w:r>
      <w:r w:rsidRPr="0007582A">
        <w:rPr>
          <w:rFonts w:ascii="Times New Roman" w:hAnsi="Times New Roman"/>
          <w:sz w:val="24"/>
          <w:szCs w:val="24"/>
        </w:rPr>
        <w:t>. 2007</w:t>
      </w:r>
      <w:r w:rsidR="0037591C">
        <w:rPr>
          <w:rFonts w:ascii="Times New Roman" w:hAnsi="Times New Roman"/>
          <w:sz w:val="24"/>
          <w:szCs w:val="24"/>
        </w:rPr>
        <w:t xml:space="preserve">. </w:t>
      </w:r>
      <w:r w:rsidRPr="0007582A">
        <w:rPr>
          <w:rFonts w:ascii="Times New Roman" w:hAnsi="Times New Roman"/>
          <w:sz w:val="24"/>
          <w:szCs w:val="24"/>
        </w:rPr>
        <w:t>22(10):1403-1409. doi:10.1007/s11606-007-0319-9.</w:t>
      </w:r>
    </w:p>
    <w:p w14:paraId="5925DCD6" w14:textId="30F37E80" w:rsidR="0007582A" w:rsidRDefault="0007582A" w:rsidP="00E52AE6">
      <w:pPr>
        <w:pStyle w:val="Publications"/>
        <w:ind w:left="720" w:hanging="720"/>
        <w:rPr>
          <w:rFonts w:ascii="Times New Roman" w:hAnsi="Times New Roman"/>
          <w:sz w:val="24"/>
          <w:szCs w:val="24"/>
        </w:rPr>
      </w:pPr>
      <w:r w:rsidRPr="0007582A">
        <w:rPr>
          <w:rFonts w:ascii="Times New Roman" w:hAnsi="Times New Roman"/>
          <w:sz w:val="24"/>
          <w:szCs w:val="24"/>
        </w:rPr>
        <w:t>Substance Abuse and Mental Health Services Administration, Center for Behavioral Health Statistics and Quality. Behavioral health trends in the United States: Results from the 2014 National Survey on Drug Use and Health. 2015. Rockville, MD: Substance Abuse and Mental Health Services Administration.</w:t>
      </w:r>
    </w:p>
    <w:p w14:paraId="44F342B7" w14:textId="31CFA5FC" w:rsidR="00E6174C" w:rsidRPr="0007582A" w:rsidRDefault="00E6174C" w:rsidP="00E52AE6">
      <w:pPr>
        <w:pStyle w:val="biblio"/>
        <w:spacing w:after="0"/>
      </w:pPr>
      <w:r>
        <w:t xml:space="preserve">Smith, L. J., McNamara, P. J., &amp; King, A. C. Optimizing follow-up and study retention in the 21st century: Advances from the front line in alcohol and tobacco research. </w:t>
      </w:r>
      <w:r>
        <w:rPr>
          <w:i/>
          <w:iCs/>
        </w:rPr>
        <w:t>Drug and Alcohol Dependence</w:t>
      </w:r>
      <w:r>
        <w:t xml:space="preserve">, </w:t>
      </w:r>
      <w:r w:rsidR="0037591C">
        <w:t xml:space="preserve">2017. </w:t>
      </w:r>
      <w:r w:rsidRPr="007E655F">
        <w:rPr>
          <w:iCs/>
        </w:rPr>
        <w:t>175</w:t>
      </w:r>
      <w:r w:rsidR="0037591C">
        <w:t>:</w:t>
      </w:r>
      <w:r>
        <w:t>171-178.</w:t>
      </w:r>
    </w:p>
    <w:p w14:paraId="1C95EE23" w14:textId="061F7FA1" w:rsidR="0007582A" w:rsidRDefault="0007582A" w:rsidP="00E52AE6">
      <w:pPr>
        <w:pStyle w:val="biblio"/>
        <w:spacing w:after="0"/>
        <w:rPr>
          <w:lang w:val="en"/>
        </w:rPr>
      </w:pPr>
      <w:r w:rsidRPr="0007582A">
        <w:rPr>
          <w:lang w:val="en"/>
        </w:rPr>
        <w:t xml:space="preserve">Topp L, Islam MM, Day CA. Relative efficacy of cash versus vouchers in engaging opioid substitution treatment clients in survey-based research. </w:t>
      </w:r>
      <w:r w:rsidRPr="0007582A">
        <w:rPr>
          <w:i/>
          <w:lang w:val="en"/>
        </w:rPr>
        <w:t>Journal of Medical Ethics.</w:t>
      </w:r>
      <w:r w:rsidRPr="0007582A">
        <w:rPr>
          <w:lang w:val="en"/>
        </w:rPr>
        <w:t xml:space="preserve"> 2013</w:t>
      </w:r>
      <w:r w:rsidR="0037591C">
        <w:rPr>
          <w:lang w:val="en"/>
        </w:rPr>
        <w:t>.</w:t>
      </w:r>
      <w:r w:rsidRPr="0007582A">
        <w:rPr>
          <w:lang w:val="en"/>
        </w:rPr>
        <w:t xml:space="preserve"> 39:253-256. </w:t>
      </w:r>
    </w:p>
    <w:p w14:paraId="32F03595" w14:textId="016FF71E" w:rsidR="007558C0" w:rsidRDefault="007558C0" w:rsidP="00E52AE6">
      <w:pPr>
        <w:pStyle w:val="biblio"/>
        <w:spacing w:after="0"/>
      </w:pPr>
      <w:r>
        <w:t xml:space="preserve">Yu, S., Alper, H. E., Nguyen, A. M., Brackbill, R. M., Turner, L., Walker, D. J., ... &amp; Zweig, K. C. The effectiveness of a monetary incentive offer on survey response rates and response completeness in a longitudinal study. </w:t>
      </w:r>
      <w:r>
        <w:rPr>
          <w:i/>
          <w:iCs/>
        </w:rPr>
        <w:t>BMC medical research methodology</w:t>
      </w:r>
      <w:r>
        <w:t xml:space="preserve">, </w:t>
      </w:r>
      <w:r w:rsidR="0037591C">
        <w:t xml:space="preserve">2017. </w:t>
      </w:r>
      <w:r w:rsidRPr="007E655F">
        <w:rPr>
          <w:iCs/>
        </w:rPr>
        <w:t>17</w:t>
      </w:r>
      <w:r>
        <w:t>(1), 77.</w:t>
      </w:r>
    </w:p>
    <w:p w14:paraId="3EDD79E0" w14:textId="48D8D0AA" w:rsidR="0007582A" w:rsidRPr="0007582A" w:rsidRDefault="0007582A" w:rsidP="00E52AE6">
      <w:pPr>
        <w:pStyle w:val="Publications"/>
        <w:ind w:left="720" w:hanging="720"/>
        <w:rPr>
          <w:rFonts w:ascii="Times New Roman" w:hAnsi="Times New Roman"/>
          <w:sz w:val="24"/>
          <w:szCs w:val="24"/>
        </w:rPr>
      </w:pPr>
      <w:r w:rsidRPr="00276EDB">
        <w:rPr>
          <w:rFonts w:ascii="Times New Roman" w:hAnsi="Times New Roman"/>
          <w:sz w:val="24"/>
          <w:szCs w:val="24"/>
        </w:rPr>
        <w:t xml:space="preserve">Walley AY, Xuan Z, Hackman HH, et al. </w:t>
      </w:r>
      <w:r w:rsidRPr="0007582A">
        <w:rPr>
          <w:rFonts w:ascii="Times New Roman" w:hAnsi="Times New Roman"/>
          <w:sz w:val="24"/>
          <w:szCs w:val="24"/>
        </w:rPr>
        <w:t>Opioid overdose rates and implementation of overdose education and nasal naloxone distribution in Massachusetts: interrupted time series analysis. BMJ. 2013</w:t>
      </w:r>
      <w:r w:rsidR="0037591C">
        <w:rPr>
          <w:rFonts w:ascii="Times New Roman" w:hAnsi="Times New Roman"/>
          <w:sz w:val="24"/>
          <w:szCs w:val="24"/>
        </w:rPr>
        <w:t>.</w:t>
      </w:r>
      <w:r w:rsidRPr="0007582A">
        <w:rPr>
          <w:rFonts w:ascii="Times New Roman" w:hAnsi="Times New Roman"/>
          <w:sz w:val="24"/>
          <w:szCs w:val="24"/>
        </w:rPr>
        <w:t xml:space="preserve"> Jan 30;346:f174. </w:t>
      </w:r>
    </w:p>
    <w:p w14:paraId="6DD5D3BD" w14:textId="3F67F325" w:rsidR="008D5E29" w:rsidRDefault="008D5E29" w:rsidP="00E52AE6">
      <w:pPr>
        <w:pStyle w:val="Publications"/>
        <w:ind w:left="720" w:hanging="720"/>
        <w:rPr>
          <w:rFonts w:ascii="Times New Roman" w:hAnsi="Times New Roman"/>
          <w:sz w:val="24"/>
          <w:szCs w:val="24"/>
        </w:rPr>
      </w:pPr>
      <w:r>
        <w:rPr>
          <w:rFonts w:ascii="Times New Roman" w:hAnsi="Times New Roman"/>
          <w:sz w:val="24"/>
          <w:szCs w:val="24"/>
        </w:rPr>
        <w:t>White House</w:t>
      </w:r>
      <w:r w:rsidR="00284437">
        <w:rPr>
          <w:rFonts w:ascii="Times New Roman" w:hAnsi="Times New Roman"/>
          <w:sz w:val="24"/>
          <w:szCs w:val="24"/>
        </w:rPr>
        <w:t xml:space="preserve">. </w:t>
      </w:r>
      <w:r w:rsidR="00284437" w:rsidRPr="00284437">
        <w:rPr>
          <w:rFonts w:ascii="Times New Roman" w:hAnsi="Times New Roman"/>
          <w:sz w:val="24"/>
          <w:szCs w:val="24"/>
        </w:rPr>
        <w:t>The Underestimated Cost of the</w:t>
      </w:r>
      <w:r w:rsidR="00284437">
        <w:rPr>
          <w:rFonts w:ascii="Times New Roman" w:hAnsi="Times New Roman"/>
          <w:sz w:val="24"/>
          <w:szCs w:val="24"/>
        </w:rPr>
        <w:t xml:space="preserve"> </w:t>
      </w:r>
      <w:r w:rsidR="00284437" w:rsidRPr="00284437">
        <w:rPr>
          <w:rFonts w:ascii="Times New Roman" w:hAnsi="Times New Roman"/>
          <w:sz w:val="24"/>
          <w:szCs w:val="24"/>
        </w:rPr>
        <w:t>Opioid Crisis</w:t>
      </w:r>
      <w:r w:rsidR="00284437">
        <w:rPr>
          <w:rFonts w:ascii="Times New Roman" w:hAnsi="Times New Roman"/>
          <w:sz w:val="24"/>
          <w:szCs w:val="24"/>
        </w:rPr>
        <w:t>. November 2017.</w:t>
      </w:r>
      <w:r w:rsidR="00684A52">
        <w:rPr>
          <w:rFonts w:ascii="Times New Roman" w:hAnsi="Times New Roman"/>
          <w:sz w:val="24"/>
          <w:szCs w:val="24"/>
        </w:rPr>
        <w:t xml:space="preserve"> </w:t>
      </w:r>
      <w:r w:rsidRPr="00660247">
        <w:rPr>
          <w:rFonts w:ascii="Times New Roman" w:hAnsi="Times New Roman"/>
          <w:sz w:val="24"/>
          <w:szCs w:val="24"/>
        </w:rPr>
        <w:t>https://www.whitehouse.gov/sites/whitehouse.gov/files/images/The%20Underestimated%20Cost%20of%20the%20Opioid%20Crisis.pdf</w:t>
      </w:r>
    </w:p>
    <w:p w14:paraId="519952F3" w14:textId="77777777" w:rsidR="0007582A" w:rsidRPr="00760067" w:rsidRDefault="0007582A" w:rsidP="00742897">
      <w:pPr>
        <w:rPr>
          <w:b/>
          <w:bCs/>
        </w:rPr>
      </w:pPr>
    </w:p>
    <w:sectPr w:rsidR="0007582A" w:rsidRPr="00760067" w:rsidSect="001A0A8C">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B9FABD" w16cid:durableId="1DB93C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90B89" w14:textId="77777777" w:rsidR="003563A7" w:rsidRDefault="003563A7">
      <w:r>
        <w:separator/>
      </w:r>
    </w:p>
  </w:endnote>
  <w:endnote w:type="continuationSeparator" w:id="0">
    <w:p w14:paraId="40F67F26" w14:textId="77777777" w:rsidR="003563A7" w:rsidRDefault="003563A7">
      <w:r>
        <w:continuationSeparator/>
      </w:r>
    </w:p>
  </w:endnote>
  <w:endnote w:type="continuationNotice" w:id="1">
    <w:p w14:paraId="6DA5FA92" w14:textId="77777777" w:rsidR="003563A7" w:rsidRDefault="00356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DokChampa"/>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7C69" w14:textId="77777777" w:rsidR="003563A7" w:rsidRDefault="003563A7"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E8A0C9" w14:textId="77777777" w:rsidR="003563A7" w:rsidRDefault="003563A7"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A1C7" w14:textId="30C64740" w:rsidR="003563A7" w:rsidRDefault="003563A7"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1A97">
      <w:rPr>
        <w:rStyle w:val="PageNumber"/>
        <w:noProof/>
      </w:rPr>
      <w:t>2</w:t>
    </w:r>
    <w:r>
      <w:rPr>
        <w:rStyle w:val="PageNumber"/>
      </w:rPr>
      <w:fldChar w:fldCharType="end"/>
    </w:r>
  </w:p>
  <w:p w14:paraId="43AF42D8" w14:textId="77777777" w:rsidR="003563A7" w:rsidRDefault="003563A7" w:rsidP="00886C12">
    <w:pPr>
      <w:pStyle w:val="Footer"/>
      <w:ind w:right="360"/>
    </w:pPr>
  </w:p>
  <w:p w14:paraId="3D8D9D1F" w14:textId="0A286600" w:rsidR="003563A7" w:rsidRDefault="003563A7" w:rsidP="00886C12">
    <w:pPr>
      <w:pStyle w:val="Footer"/>
      <w:ind w:right="360"/>
    </w:pPr>
  </w:p>
  <w:p w14:paraId="4ADDC4EC" w14:textId="77777777" w:rsidR="003563A7" w:rsidRDefault="003563A7" w:rsidP="00886C12">
    <w:pPr>
      <w:pStyle w:val="Footer"/>
      <w:ind w:right="360"/>
    </w:pPr>
  </w:p>
  <w:p w14:paraId="61C8710A" w14:textId="77777777" w:rsidR="003563A7" w:rsidRDefault="003563A7" w:rsidP="00886C12">
    <w:pPr>
      <w:pStyle w:val="Footer"/>
      <w:ind w:right="360"/>
    </w:pPr>
  </w:p>
  <w:p w14:paraId="61A56DBD" w14:textId="77777777" w:rsidR="003563A7" w:rsidRDefault="003563A7" w:rsidP="00886C12">
    <w:pPr>
      <w:pStyle w:val="Footer"/>
      <w:ind w:right="360"/>
    </w:pPr>
  </w:p>
  <w:p w14:paraId="76480F54" w14:textId="6D02ECE1" w:rsidR="003563A7" w:rsidRPr="00BB4559" w:rsidRDefault="003563A7" w:rsidP="00886C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B0843" w14:textId="77777777" w:rsidR="003563A7" w:rsidRDefault="003563A7">
      <w:r>
        <w:separator/>
      </w:r>
    </w:p>
  </w:footnote>
  <w:footnote w:type="continuationSeparator" w:id="0">
    <w:p w14:paraId="1D41390A" w14:textId="77777777" w:rsidR="003563A7" w:rsidRDefault="003563A7">
      <w:r>
        <w:continuationSeparator/>
      </w:r>
    </w:p>
  </w:footnote>
  <w:footnote w:type="continuationNotice" w:id="1">
    <w:p w14:paraId="30B49BBE" w14:textId="77777777" w:rsidR="003563A7" w:rsidRDefault="003563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6E32C22"/>
    <w:multiLevelType w:val="hybridMultilevel"/>
    <w:tmpl w:val="9776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80593"/>
    <w:multiLevelType w:val="multilevel"/>
    <w:tmpl w:val="EA7EA964"/>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5">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EAF3879"/>
    <w:multiLevelType w:val="hybridMultilevel"/>
    <w:tmpl w:val="ECF079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0D76C16"/>
    <w:multiLevelType w:val="hybridMultilevel"/>
    <w:tmpl w:val="6B7AA2B6"/>
    <w:lvl w:ilvl="0" w:tplc="803C06E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9B342D"/>
    <w:multiLevelType w:val="hybridMultilevel"/>
    <w:tmpl w:val="B0E82956"/>
    <w:lvl w:ilvl="0" w:tplc="050CF14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C23465"/>
    <w:multiLevelType w:val="hybridMultilevel"/>
    <w:tmpl w:val="86E6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1">
    <w:nsid w:val="788969BE"/>
    <w:multiLevelType w:val="hybridMultilevel"/>
    <w:tmpl w:val="1CB24D74"/>
    <w:lvl w:ilvl="0" w:tplc="0FBAD41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3"/>
  </w:num>
  <w:num w:numId="4">
    <w:abstractNumId w:val="4"/>
  </w:num>
  <w:num w:numId="5">
    <w:abstractNumId w:val="5"/>
  </w:num>
  <w:num w:numId="6">
    <w:abstractNumId w:val="6"/>
  </w:num>
  <w:num w:numId="7">
    <w:abstractNumId w:val="8"/>
  </w:num>
  <w:num w:numId="8">
    <w:abstractNumId w:val="7"/>
  </w:num>
  <w:num w:numId="9">
    <w:abstractNumId w:val="11"/>
  </w:num>
  <w:num w:numId="10">
    <w:abstractNumId w:val="9"/>
  </w:num>
  <w:num w:numId="11">
    <w:abstractNumId w:val="1"/>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cxNDc0NjE1NLMwNjcyUdpeDU4uLM/DyQAsNaAHWvtS0sAAAA"/>
  </w:docVars>
  <w:rsids>
    <w:rsidRoot w:val="00972DEF"/>
    <w:rsid w:val="00002669"/>
    <w:rsid w:val="00002CB2"/>
    <w:rsid w:val="00003D0C"/>
    <w:rsid w:val="0000456C"/>
    <w:rsid w:val="00004E3B"/>
    <w:rsid w:val="000068D5"/>
    <w:rsid w:val="00006CD4"/>
    <w:rsid w:val="00012596"/>
    <w:rsid w:val="00013C6F"/>
    <w:rsid w:val="00013F0A"/>
    <w:rsid w:val="00014066"/>
    <w:rsid w:val="0001452F"/>
    <w:rsid w:val="0001475A"/>
    <w:rsid w:val="00014C5D"/>
    <w:rsid w:val="000151A9"/>
    <w:rsid w:val="00022F54"/>
    <w:rsid w:val="000236D9"/>
    <w:rsid w:val="00024097"/>
    <w:rsid w:val="00024C0B"/>
    <w:rsid w:val="00026C55"/>
    <w:rsid w:val="00030B06"/>
    <w:rsid w:val="00032EAB"/>
    <w:rsid w:val="00034D66"/>
    <w:rsid w:val="00037139"/>
    <w:rsid w:val="00037698"/>
    <w:rsid w:val="00040551"/>
    <w:rsid w:val="00043BE8"/>
    <w:rsid w:val="00043C49"/>
    <w:rsid w:val="00045E52"/>
    <w:rsid w:val="000462CE"/>
    <w:rsid w:val="00046631"/>
    <w:rsid w:val="00046D69"/>
    <w:rsid w:val="00047243"/>
    <w:rsid w:val="00047A3B"/>
    <w:rsid w:val="00050E05"/>
    <w:rsid w:val="000523C9"/>
    <w:rsid w:val="0005319C"/>
    <w:rsid w:val="00053C31"/>
    <w:rsid w:val="00054F7E"/>
    <w:rsid w:val="0005567A"/>
    <w:rsid w:val="00057881"/>
    <w:rsid w:val="000630F3"/>
    <w:rsid w:val="00063B71"/>
    <w:rsid w:val="00063EA6"/>
    <w:rsid w:val="000642F2"/>
    <w:rsid w:val="000663CC"/>
    <w:rsid w:val="000664A9"/>
    <w:rsid w:val="000711CD"/>
    <w:rsid w:val="0007582A"/>
    <w:rsid w:val="0008098E"/>
    <w:rsid w:val="00081BDB"/>
    <w:rsid w:val="00082FB9"/>
    <w:rsid w:val="000847B7"/>
    <w:rsid w:val="00084F1E"/>
    <w:rsid w:val="00085277"/>
    <w:rsid w:val="000858FA"/>
    <w:rsid w:val="00085A2D"/>
    <w:rsid w:val="00086D0A"/>
    <w:rsid w:val="0009080F"/>
    <w:rsid w:val="000925D2"/>
    <w:rsid w:val="00093851"/>
    <w:rsid w:val="00094BF2"/>
    <w:rsid w:val="0009505D"/>
    <w:rsid w:val="00095AF9"/>
    <w:rsid w:val="00096849"/>
    <w:rsid w:val="00097B3B"/>
    <w:rsid w:val="000A0E26"/>
    <w:rsid w:val="000A0F71"/>
    <w:rsid w:val="000A2F6F"/>
    <w:rsid w:val="000A4378"/>
    <w:rsid w:val="000A50AB"/>
    <w:rsid w:val="000B21CD"/>
    <w:rsid w:val="000B3F96"/>
    <w:rsid w:val="000B5038"/>
    <w:rsid w:val="000B616B"/>
    <w:rsid w:val="000B7303"/>
    <w:rsid w:val="000C20FA"/>
    <w:rsid w:val="000C274B"/>
    <w:rsid w:val="000C2EFC"/>
    <w:rsid w:val="000C3B79"/>
    <w:rsid w:val="000C4150"/>
    <w:rsid w:val="000C41AD"/>
    <w:rsid w:val="000C4CAF"/>
    <w:rsid w:val="000C4F13"/>
    <w:rsid w:val="000C5015"/>
    <w:rsid w:val="000D05A0"/>
    <w:rsid w:val="000D0892"/>
    <w:rsid w:val="000D31C0"/>
    <w:rsid w:val="000D4D34"/>
    <w:rsid w:val="000E3608"/>
    <w:rsid w:val="000E3BC9"/>
    <w:rsid w:val="000E69A7"/>
    <w:rsid w:val="000F0EE6"/>
    <w:rsid w:val="000F1766"/>
    <w:rsid w:val="000F19A7"/>
    <w:rsid w:val="000F2C20"/>
    <w:rsid w:val="000F50B9"/>
    <w:rsid w:val="000F55B5"/>
    <w:rsid w:val="000F67A8"/>
    <w:rsid w:val="00100D30"/>
    <w:rsid w:val="00102734"/>
    <w:rsid w:val="00103D59"/>
    <w:rsid w:val="00103DD3"/>
    <w:rsid w:val="00104216"/>
    <w:rsid w:val="00104BC0"/>
    <w:rsid w:val="00106239"/>
    <w:rsid w:val="001077FB"/>
    <w:rsid w:val="001134E9"/>
    <w:rsid w:val="00114830"/>
    <w:rsid w:val="00115D62"/>
    <w:rsid w:val="00117092"/>
    <w:rsid w:val="00122751"/>
    <w:rsid w:val="001245D1"/>
    <w:rsid w:val="00124EB1"/>
    <w:rsid w:val="00124F7A"/>
    <w:rsid w:val="0012575C"/>
    <w:rsid w:val="00125D25"/>
    <w:rsid w:val="0013185D"/>
    <w:rsid w:val="00132938"/>
    <w:rsid w:val="00133154"/>
    <w:rsid w:val="00133289"/>
    <w:rsid w:val="001355B4"/>
    <w:rsid w:val="00135823"/>
    <w:rsid w:val="00140AD2"/>
    <w:rsid w:val="001413EC"/>
    <w:rsid w:val="00141F78"/>
    <w:rsid w:val="0014289D"/>
    <w:rsid w:val="00143326"/>
    <w:rsid w:val="00143A97"/>
    <w:rsid w:val="00143BF1"/>
    <w:rsid w:val="001440C5"/>
    <w:rsid w:val="00144640"/>
    <w:rsid w:val="00147660"/>
    <w:rsid w:val="00147F0D"/>
    <w:rsid w:val="00152324"/>
    <w:rsid w:val="0015237E"/>
    <w:rsid w:val="001528DE"/>
    <w:rsid w:val="001533F3"/>
    <w:rsid w:val="00153B43"/>
    <w:rsid w:val="001543AF"/>
    <w:rsid w:val="001553BF"/>
    <w:rsid w:val="001563C2"/>
    <w:rsid w:val="00157DDC"/>
    <w:rsid w:val="001615E4"/>
    <w:rsid w:val="00162CE1"/>
    <w:rsid w:val="001652C4"/>
    <w:rsid w:val="0016565B"/>
    <w:rsid w:val="00166105"/>
    <w:rsid w:val="001668C4"/>
    <w:rsid w:val="00170520"/>
    <w:rsid w:val="00172055"/>
    <w:rsid w:val="00181372"/>
    <w:rsid w:val="0018364C"/>
    <w:rsid w:val="00183655"/>
    <w:rsid w:val="001838E3"/>
    <w:rsid w:val="00190B66"/>
    <w:rsid w:val="00190E6C"/>
    <w:rsid w:val="00191682"/>
    <w:rsid w:val="0019427F"/>
    <w:rsid w:val="00195C2D"/>
    <w:rsid w:val="0019616B"/>
    <w:rsid w:val="001A05F9"/>
    <w:rsid w:val="001A0A8C"/>
    <w:rsid w:val="001A25A8"/>
    <w:rsid w:val="001A3B58"/>
    <w:rsid w:val="001A4E71"/>
    <w:rsid w:val="001A569A"/>
    <w:rsid w:val="001A5E9F"/>
    <w:rsid w:val="001A6157"/>
    <w:rsid w:val="001A65FF"/>
    <w:rsid w:val="001A77D0"/>
    <w:rsid w:val="001A7C5C"/>
    <w:rsid w:val="001B218A"/>
    <w:rsid w:val="001B2979"/>
    <w:rsid w:val="001B43C7"/>
    <w:rsid w:val="001B495A"/>
    <w:rsid w:val="001B7CCB"/>
    <w:rsid w:val="001C03CC"/>
    <w:rsid w:val="001C0E4A"/>
    <w:rsid w:val="001C4949"/>
    <w:rsid w:val="001C4D29"/>
    <w:rsid w:val="001C625D"/>
    <w:rsid w:val="001C7212"/>
    <w:rsid w:val="001C7245"/>
    <w:rsid w:val="001C79EF"/>
    <w:rsid w:val="001D230B"/>
    <w:rsid w:val="001D3733"/>
    <w:rsid w:val="001D3CE3"/>
    <w:rsid w:val="001D55A6"/>
    <w:rsid w:val="001D7AF7"/>
    <w:rsid w:val="001E07EB"/>
    <w:rsid w:val="001E19A2"/>
    <w:rsid w:val="001E1A5D"/>
    <w:rsid w:val="001E238E"/>
    <w:rsid w:val="001E2F5F"/>
    <w:rsid w:val="001E6F2C"/>
    <w:rsid w:val="001E7051"/>
    <w:rsid w:val="001F1FDA"/>
    <w:rsid w:val="001F2730"/>
    <w:rsid w:val="001F2E0D"/>
    <w:rsid w:val="001F3081"/>
    <w:rsid w:val="001F4E47"/>
    <w:rsid w:val="001F6EB7"/>
    <w:rsid w:val="00200EF9"/>
    <w:rsid w:val="0020133D"/>
    <w:rsid w:val="0020149B"/>
    <w:rsid w:val="00202234"/>
    <w:rsid w:val="00202616"/>
    <w:rsid w:val="00203779"/>
    <w:rsid w:val="00203955"/>
    <w:rsid w:val="00204118"/>
    <w:rsid w:val="00205D79"/>
    <w:rsid w:val="00211543"/>
    <w:rsid w:val="00211558"/>
    <w:rsid w:val="002121A0"/>
    <w:rsid w:val="00212621"/>
    <w:rsid w:val="00212983"/>
    <w:rsid w:val="00212D9F"/>
    <w:rsid w:val="002130C8"/>
    <w:rsid w:val="00215ED9"/>
    <w:rsid w:val="002174E2"/>
    <w:rsid w:val="00220898"/>
    <w:rsid w:val="002221C8"/>
    <w:rsid w:val="00222B5F"/>
    <w:rsid w:val="00222E65"/>
    <w:rsid w:val="00223333"/>
    <w:rsid w:val="0022343A"/>
    <w:rsid w:val="0022363C"/>
    <w:rsid w:val="002254E6"/>
    <w:rsid w:val="0022725B"/>
    <w:rsid w:val="00227662"/>
    <w:rsid w:val="00230D62"/>
    <w:rsid w:val="00231CF2"/>
    <w:rsid w:val="00233FB1"/>
    <w:rsid w:val="00234167"/>
    <w:rsid w:val="00234AED"/>
    <w:rsid w:val="00234FD5"/>
    <w:rsid w:val="0023599F"/>
    <w:rsid w:val="002363F0"/>
    <w:rsid w:val="002366BA"/>
    <w:rsid w:val="00236E15"/>
    <w:rsid w:val="00237911"/>
    <w:rsid w:val="002403DC"/>
    <w:rsid w:val="002420E6"/>
    <w:rsid w:val="00242B38"/>
    <w:rsid w:val="00244265"/>
    <w:rsid w:val="002453DF"/>
    <w:rsid w:val="00252664"/>
    <w:rsid w:val="00253F44"/>
    <w:rsid w:val="0025574D"/>
    <w:rsid w:val="00256B38"/>
    <w:rsid w:val="0025752C"/>
    <w:rsid w:val="0026049C"/>
    <w:rsid w:val="00261310"/>
    <w:rsid w:val="0026284D"/>
    <w:rsid w:val="00263928"/>
    <w:rsid w:val="0026518B"/>
    <w:rsid w:val="00265796"/>
    <w:rsid w:val="00267068"/>
    <w:rsid w:val="00267102"/>
    <w:rsid w:val="0027160A"/>
    <w:rsid w:val="00271D3B"/>
    <w:rsid w:val="00271E8F"/>
    <w:rsid w:val="00274D73"/>
    <w:rsid w:val="00275D6C"/>
    <w:rsid w:val="00276EDB"/>
    <w:rsid w:val="0027700E"/>
    <w:rsid w:val="0027701C"/>
    <w:rsid w:val="00277131"/>
    <w:rsid w:val="00282E91"/>
    <w:rsid w:val="00284437"/>
    <w:rsid w:val="00285DC4"/>
    <w:rsid w:val="002868D1"/>
    <w:rsid w:val="00286B9B"/>
    <w:rsid w:val="00287302"/>
    <w:rsid w:val="002875A6"/>
    <w:rsid w:val="0028778D"/>
    <w:rsid w:val="00287B54"/>
    <w:rsid w:val="00293622"/>
    <w:rsid w:val="00295BB7"/>
    <w:rsid w:val="002963A8"/>
    <w:rsid w:val="0029651F"/>
    <w:rsid w:val="0029704E"/>
    <w:rsid w:val="002A0CF7"/>
    <w:rsid w:val="002A1ECC"/>
    <w:rsid w:val="002A25C6"/>
    <w:rsid w:val="002A71C6"/>
    <w:rsid w:val="002A7BE0"/>
    <w:rsid w:val="002B1F00"/>
    <w:rsid w:val="002B1FD3"/>
    <w:rsid w:val="002B4943"/>
    <w:rsid w:val="002B686F"/>
    <w:rsid w:val="002B6D9B"/>
    <w:rsid w:val="002B7441"/>
    <w:rsid w:val="002B7F79"/>
    <w:rsid w:val="002C0813"/>
    <w:rsid w:val="002C3968"/>
    <w:rsid w:val="002C3BEA"/>
    <w:rsid w:val="002C5DEA"/>
    <w:rsid w:val="002D1314"/>
    <w:rsid w:val="002D1936"/>
    <w:rsid w:val="002D4596"/>
    <w:rsid w:val="002D5113"/>
    <w:rsid w:val="002D626B"/>
    <w:rsid w:val="002D6ABE"/>
    <w:rsid w:val="002E2B98"/>
    <w:rsid w:val="002E3A2A"/>
    <w:rsid w:val="002E447A"/>
    <w:rsid w:val="002E45B2"/>
    <w:rsid w:val="002E7492"/>
    <w:rsid w:val="002F0D3D"/>
    <w:rsid w:val="002F55BA"/>
    <w:rsid w:val="002F658C"/>
    <w:rsid w:val="002F7686"/>
    <w:rsid w:val="0030062F"/>
    <w:rsid w:val="00300922"/>
    <w:rsid w:val="0030186F"/>
    <w:rsid w:val="00302480"/>
    <w:rsid w:val="00302851"/>
    <w:rsid w:val="00303D69"/>
    <w:rsid w:val="00305166"/>
    <w:rsid w:val="003056EB"/>
    <w:rsid w:val="00305748"/>
    <w:rsid w:val="00305806"/>
    <w:rsid w:val="00306240"/>
    <w:rsid w:val="00306D98"/>
    <w:rsid w:val="00307799"/>
    <w:rsid w:val="00307CE5"/>
    <w:rsid w:val="00307DC2"/>
    <w:rsid w:val="00313C77"/>
    <w:rsid w:val="00316D30"/>
    <w:rsid w:val="00317A2B"/>
    <w:rsid w:val="00317FF8"/>
    <w:rsid w:val="0032066A"/>
    <w:rsid w:val="00321103"/>
    <w:rsid w:val="003213FB"/>
    <w:rsid w:val="0032281D"/>
    <w:rsid w:val="00322A75"/>
    <w:rsid w:val="00322B07"/>
    <w:rsid w:val="0032357F"/>
    <w:rsid w:val="003245AD"/>
    <w:rsid w:val="0032577E"/>
    <w:rsid w:val="00330867"/>
    <w:rsid w:val="00330C43"/>
    <w:rsid w:val="00334B07"/>
    <w:rsid w:val="00335D3D"/>
    <w:rsid w:val="00335F04"/>
    <w:rsid w:val="00336388"/>
    <w:rsid w:val="003369F1"/>
    <w:rsid w:val="003379A2"/>
    <w:rsid w:val="00337C4A"/>
    <w:rsid w:val="00337E44"/>
    <w:rsid w:val="00337FCD"/>
    <w:rsid w:val="003404F1"/>
    <w:rsid w:val="0034123F"/>
    <w:rsid w:val="003467B9"/>
    <w:rsid w:val="003474F1"/>
    <w:rsid w:val="00347671"/>
    <w:rsid w:val="00351B4A"/>
    <w:rsid w:val="003526DC"/>
    <w:rsid w:val="00352DA4"/>
    <w:rsid w:val="003544B9"/>
    <w:rsid w:val="00354FE9"/>
    <w:rsid w:val="003563A7"/>
    <w:rsid w:val="00356D36"/>
    <w:rsid w:val="003602E0"/>
    <w:rsid w:val="00360C3E"/>
    <w:rsid w:val="00360F81"/>
    <w:rsid w:val="00361659"/>
    <w:rsid w:val="00362CAD"/>
    <w:rsid w:val="0037022F"/>
    <w:rsid w:val="00370387"/>
    <w:rsid w:val="00373237"/>
    <w:rsid w:val="0037591C"/>
    <w:rsid w:val="00377B8E"/>
    <w:rsid w:val="00380E1B"/>
    <w:rsid w:val="0038124B"/>
    <w:rsid w:val="00382642"/>
    <w:rsid w:val="0038374C"/>
    <w:rsid w:val="00384074"/>
    <w:rsid w:val="00386B78"/>
    <w:rsid w:val="00386D2B"/>
    <w:rsid w:val="00386DC7"/>
    <w:rsid w:val="003901C4"/>
    <w:rsid w:val="00390B26"/>
    <w:rsid w:val="00390B3E"/>
    <w:rsid w:val="003911A9"/>
    <w:rsid w:val="00391FA8"/>
    <w:rsid w:val="0039296A"/>
    <w:rsid w:val="00392A36"/>
    <w:rsid w:val="00393820"/>
    <w:rsid w:val="00395139"/>
    <w:rsid w:val="0039709E"/>
    <w:rsid w:val="003A236F"/>
    <w:rsid w:val="003A517B"/>
    <w:rsid w:val="003A5968"/>
    <w:rsid w:val="003A6381"/>
    <w:rsid w:val="003B1062"/>
    <w:rsid w:val="003B14A4"/>
    <w:rsid w:val="003B1B05"/>
    <w:rsid w:val="003B1FC1"/>
    <w:rsid w:val="003B3C8F"/>
    <w:rsid w:val="003B494D"/>
    <w:rsid w:val="003B4D2D"/>
    <w:rsid w:val="003B54A2"/>
    <w:rsid w:val="003B62E6"/>
    <w:rsid w:val="003B6AB5"/>
    <w:rsid w:val="003B6E8E"/>
    <w:rsid w:val="003C2F65"/>
    <w:rsid w:val="003C5105"/>
    <w:rsid w:val="003C6134"/>
    <w:rsid w:val="003C61ED"/>
    <w:rsid w:val="003C657F"/>
    <w:rsid w:val="003D01BA"/>
    <w:rsid w:val="003D0E3E"/>
    <w:rsid w:val="003D29AA"/>
    <w:rsid w:val="003E1523"/>
    <w:rsid w:val="003E1A8B"/>
    <w:rsid w:val="003E3478"/>
    <w:rsid w:val="003F0AED"/>
    <w:rsid w:val="003F2103"/>
    <w:rsid w:val="003F24FB"/>
    <w:rsid w:val="003F2567"/>
    <w:rsid w:val="003F3635"/>
    <w:rsid w:val="003F39D3"/>
    <w:rsid w:val="003F4612"/>
    <w:rsid w:val="003F4EDC"/>
    <w:rsid w:val="003F647A"/>
    <w:rsid w:val="003F77E5"/>
    <w:rsid w:val="004016E1"/>
    <w:rsid w:val="00401926"/>
    <w:rsid w:val="0040417C"/>
    <w:rsid w:val="004055ED"/>
    <w:rsid w:val="00405CC1"/>
    <w:rsid w:val="00406059"/>
    <w:rsid w:val="00410DE1"/>
    <w:rsid w:val="00413799"/>
    <w:rsid w:val="00414129"/>
    <w:rsid w:val="00414F4D"/>
    <w:rsid w:val="004171BA"/>
    <w:rsid w:val="00420226"/>
    <w:rsid w:val="004270FA"/>
    <w:rsid w:val="004308C9"/>
    <w:rsid w:val="0043129A"/>
    <w:rsid w:val="0043245D"/>
    <w:rsid w:val="00434AC6"/>
    <w:rsid w:val="00435F41"/>
    <w:rsid w:val="00440CAA"/>
    <w:rsid w:val="00440F4B"/>
    <w:rsid w:val="00442D8A"/>
    <w:rsid w:val="00444062"/>
    <w:rsid w:val="00445AA0"/>
    <w:rsid w:val="004463FB"/>
    <w:rsid w:val="004467D7"/>
    <w:rsid w:val="00446CB4"/>
    <w:rsid w:val="00447B2A"/>
    <w:rsid w:val="0045133E"/>
    <w:rsid w:val="0045156A"/>
    <w:rsid w:val="00451D46"/>
    <w:rsid w:val="0045249A"/>
    <w:rsid w:val="00452D20"/>
    <w:rsid w:val="004557D8"/>
    <w:rsid w:val="00457A05"/>
    <w:rsid w:val="004629C8"/>
    <w:rsid w:val="00462A10"/>
    <w:rsid w:val="00462C2C"/>
    <w:rsid w:val="00463909"/>
    <w:rsid w:val="00464164"/>
    <w:rsid w:val="0046461B"/>
    <w:rsid w:val="004652C6"/>
    <w:rsid w:val="00465E5A"/>
    <w:rsid w:val="00466B57"/>
    <w:rsid w:val="00467698"/>
    <w:rsid w:val="00467DF4"/>
    <w:rsid w:val="00470D78"/>
    <w:rsid w:val="004711E7"/>
    <w:rsid w:val="004712A2"/>
    <w:rsid w:val="0047487F"/>
    <w:rsid w:val="0047522A"/>
    <w:rsid w:val="00475391"/>
    <w:rsid w:val="00475EDD"/>
    <w:rsid w:val="0047702E"/>
    <w:rsid w:val="00477041"/>
    <w:rsid w:val="004772FB"/>
    <w:rsid w:val="00480944"/>
    <w:rsid w:val="0048146A"/>
    <w:rsid w:val="00482389"/>
    <w:rsid w:val="00483754"/>
    <w:rsid w:val="00483ACE"/>
    <w:rsid w:val="004864DE"/>
    <w:rsid w:val="00486B82"/>
    <w:rsid w:val="00486BF8"/>
    <w:rsid w:val="0049057C"/>
    <w:rsid w:val="00490F99"/>
    <w:rsid w:val="004930E9"/>
    <w:rsid w:val="004941DD"/>
    <w:rsid w:val="00495DF8"/>
    <w:rsid w:val="004964BB"/>
    <w:rsid w:val="004966A9"/>
    <w:rsid w:val="004970E0"/>
    <w:rsid w:val="004A1F18"/>
    <w:rsid w:val="004A2439"/>
    <w:rsid w:val="004A33B3"/>
    <w:rsid w:val="004A3A24"/>
    <w:rsid w:val="004A4436"/>
    <w:rsid w:val="004A47AE"/>
    <w:rsid w:val="004A5382"/>
    <w:rsid w:val="004A5778"/>
    <w:rsid w:val="004A6462"/>
    <w:rsid w:val="004A7E88"/>
    <w:rsid w:val="004B07F5"/>
    <w:rsid w:val="004B09CD"/>
    <w:rsid w:val="004B1164"/>
    <w:rsid w:val="004B1AD2"/>
    <w:rsid w:val="004B1C76"/>
    <w:rsid w:val="004B43E5"/>
    <w:rsid w:val="004B65A1"/>
    <w:rsid w:val="004C382C"/>
    <w:rsid w:val="004C3842"/>
    <w:rsid w:val="004C3851"/>
    <w:rsid w:val="004C4BBD"/>
    <w:rsid w:val="004C7230"/>
    <w:rsid w:val="004C7B0A"/>
    <w:rsid w:val="004D01B3"/>
    <w:rsid w:val="004D0582"/>
    <w:rsid w:val="004D098F"/>
    <w:rsid w:val="004D14C6"/>
    <w:rsid w:val="004D15BB"/>
    <w:rsid w:val="004D3458"/>
    <w:rsid w:val="004D5948"/>
    <w:rsid w:val="004D6211"/>
    <w:rsid w:val="004D6379"/>
    <w:rsid w:val="004D709D"/>
    <w:rsid w:val="004D7117"/>
    <w:rsid w:val="004D7884"/>
    <w:rsid w:val="004E35BD"/>
    <w:rsid w:val="004E3D74"/>
    <w:rsid w:val="004E4A64"/>
    <w:rsid w:val="004F0F79"/>
    <w:rsid w:val="004F1B4B"/>
    <w:rsid w:val="004F2F1A"/>
    <w:rsid w:val="004F39CA"/>
    <w:rsid w:val="004F5AAA"/>
    <w:rsid w:val="004F7D4D"/>
    <w:rsid w:val="00501904"/>
    <w:rsid w:val="00502A59"/>
    <w:rsid w:val="005031BF"/>
    <w:rsid w:val="005040E3"/>
    <w:rsid w:val="00506507"/>
    <w:rsid w:val="005068B0"/>
    <w:rsid w:val="005074DA"/>
    <w:rsid w:val="005079E0"/>
    <w:rsid w:val="00507AAC"/>
    <w:rsid w:val="00510566"/>
    <w:rsid w:val="00510CA0"/>
    <w:rsid w:val="00511650"/>
    <w:rsid w:val="00514E0A"/>
    <w:rsid w:val="00516C4D"/>
    <w:rsid w:val="005170B6"/>
    <w:rsid w:val="00520076"/>
    <w:rsid w:val="005228D2"/>
    <w:rsid w:val="00526803"/>
    <w:rsid w:val="00527146"/>
    <w:rsid w:val="0052776C"/>
    <w:rsid w:val="005277BB"/>
    <w:rsid w:val="00530866"/>
    <w:rsid w:val="00530A86"/>
    <w:rsid w:val="005310F4"/>
    <w:rsid w:val="0053207D"/>
    <w:rsid w:val="00532988"/>
    <w:rsid w:val="00532DEA"/>
    <w:rsid w:val="005340C7"/>
    <w:rsid w:val="00534D79"/>
    <w:rsid w:val="005363F8"/>
    <w:rsid w:val="00537652"/>
    <w:rsid w:val="00537F19"/>
    <w:rsid w:val="00541B70"/>
    <w:rsid w:val="00541D30"/>
    <w:rsid w:val="00541D51"/>
    <w:rsid w:val="00543913"/>
    <w:rsid w:val="005441D4"/>
    <w:rsid w:val="00545366"/>
    <w:rsid w:val="0054552D"/>
    <w:rsid w:val="00546310"/>
    <w:rsid w:val="00546EDE"/>
    <w:rsid w:val="00550417"/>
    <w:rsid w:val="00550ED9"/>
    <w:rsid w:val="00551816"/>
    <w:rsid w:val="00551957"/>
    <w:rsid w:val="00551A97"/>
    <w:rsid w:val="0055218E"/>
    <w:rsid w:val="00553C3C"/>
    <w:rsid w:val="00554C5E"/>
    <w:rsid w:val="00555BA5"/>
    <w:rsid w:val="00557028"/>
    <w:rsid w:val="00560DD5"/>
    <w:rsid w:val="0056138E"/>
    <w:rsid w:val="00562428"/>
    <w:rsid w:val="00562BC1"/>
    <w:rsid w:val="005657B2"/>
    <w:rsid w:val="00570C95"/>
    <w:rsid w:val="0057192D"/>
    <w:rsid w:val="00571B88"/>
    <w:rsid w:val="00572127"/>
    <w:rsid w:val="00572D0A"/>
    <w:rsid w:val="0057316C"/>
    <w:rsid w:val="005745B3"/>
    <w:rsid w:val="00575DCB"/>
    <w:rsid w:val="005774E8"/>
    <w:rsid w:val="005826C4"/>
    <w:rsid w:val="00584D31"/>
    <w:rsid w:val="005901DE"/>
    <w:rsid w:val="00590795"/>
    <w:rsid w:val="00590EAA"/>
    <w:rsid w:val="00591C66"/>
    <w:rsid w:val="005937DA"/>
    <w:rsid w:val="0059448A"/>
    <w:rsid w:val="00595BDF"/>
    <w:rsid w:val="00596733"/>
    <w:rsid w:val="00597261"/>
    <w:rsid w:val="0059756C"/>
    <w:rsid w:val="005A406C"/>
    <w:rsid w:val="005A4E67"/>
    <w:rsid w:val="005A53E2"/>
    <w:rsid w:val="005A58AE"/>
    <w:rsid w:val="005A7353"/>
    <w:rsid w:val="005B1431"/>
    <w:rsid w:val="005B23E0"/>
    <w:rsid w:val="005B748D"/>
    <w:rsid w:val="005C0B15"/>
    <w:rsid w:val="005C20AE"/>
    <w:rsid w:val="005C420B"/>
    <w:rsid w:val="005C53C4"/>
    <w:rsid w:val="005C5B05"/>
    <w:rsid w:val="005C6A4D"/>
    <w:rsid w:val="005D017B"/>
    <w:rsid w:val="005D097A"/>
    <w:rsid w:val="005D4291"/>
    <w:rsid w:val="005D4786"/>
    <w:rsid w:val="005D5E45"/>
    <w:rsid w:val="005E012C"/>
    <w:rsid w:val="005E0216"/>
    <w:rsid w:val="005E396E"/>
    <w:rsid w:val="005E4C8D"/>
    <w:rsid w:val="005E5511"/>
    <w:rsid w:val="005E72AB"/>
    <w:rsid w:val="005F3F4E"/>
    <w:rsid w:val="005F4116"/>
    <w:rsid w:val="005F53B9"/>
    <w:rsid w:val="005F70C6"/>
    <w:rsid w:val="006000FF"/>
    <w:rsid w:val="006045B1"/>
    <w:rsid w:val="00606950"/>
    <w:rsid w:val="006121F3"/>
    <w:rsid w:val="00614706"/>
    <w:rsid w:val="006156CF"/>
    <w:rsid w:val="00615F2A"/>
    <w:rsid w:val="00616198"/>
    <w:rsid w:val="006164A2"/>
    <w:rsid w:val="006167A0"/>
    <w:rsid w:val="0062226B"/>
    <w:rsid w:val="0062245E"/>
    <w:rsid w:val="00622D44"/>
    <w:rsid w:val="006243FE"/>
    <w:rsid w:val="006260B2"/>
    <w:rsid w:val="006274BE"/>
    <w:rsid w:val="006304DB"/>
    <w:rsid w:val="00631B18"/>
    <w:rsid w:val="00631F91"/>
    <w:rsid w:val="00633591"/>
    <w:rsid w:val="006340BB"/>
    <w:rsid w:val="00635389"/>
    <w:rsid w:val="00636708"/>
    <w:rsid w:val="00637802"/>
    <w:rsid w:val="00637B29"/>
    <w:rsid w:val="00637FBE"/>
    <w:rsid w:val="00651F6F"/>
    <w:rsid w:val="006536FC"/>
    <w:rsid w:val="00657FF3"/>
    <w:rsid w:val="00660247"/>
    <w:rsid w:val="006604C6"/>
    <w:rsid w:val="00660600"/>
    <w:rsid w:val="00660ED8"/>
    <w:rsid w:val="00661B1D"/>
    <w:rsid w:val="00663BFF"/>
    <w:rsid w:val="00664077"/>
    <w:rsid w:val="006700B5"/>
    <w:rsid w:val="00674F65"/>
    <w:rsid w:val="006753B0"/>
    <w:rsid w:val="00675C90"/>
    <w:rsid w:val="00677007"/>
    <w:rsid w:val="00677BBC"/>
    <w:rsid w:val="006802C4"/>
    <w:rsid w:val="00680642"/>
    <w:rsid w:val="00682EF2"/>
    <w:rsid w:val="006846BF"/>
    <w:rsid w:val="00684A52"/>
    <w:rsid w:val="00686CCB"/>
    <w:rsid w:val="006873F1"/>
    <w:rsid w:val="00690CAD"/>
    <w:rsid w:val="00691454"/>
    <w:rsid w:val="0069204F"/>
    <w:rsid w:val="0069426C"/>
    <w:rsid w:val="0069469E"/>
    <w:rsid w:val="00694A0F"/>
    <w:rsid w:val="00694C3F"/>
    <w:rsid w:val="006A10F2"/>
    <w:rsid w:val="006A3D91"/>
    <w:rsid w:val="006A43AB"/>
    <w:rsid w:val="006A4D7F"/>
    <w:rsid w:val="006A4DC2"/>
    <w:rsid w:val="006A52E7"/>
    <w:rsid w:val="006A615C"/>
    <w:rsid w:val="006A69A0"/>
    <w:rsid w:val="006A7A53"/>
    <w:rsid w:val="006A7DC9"/>
    <w:rsid w:val="006B1164"/>
    <w:rsid w:val="006B204A"/>
    <w:rsid w:val="006B3C55"/>
    <w:rsid w:val="006B3D00"/>
    <w:rsid w:val="006B4432"/>
    <w:rsid w:val="006B54AF"/>
    <w:rsid w:val="006B71C5"/>
    <w:rsid w:val="006C1464"/>
    <w:rsid w:val="006C1EC7"/>
    <w:rsid w:val="006C279D"/>
    <w:rsid w:val="006C41DB"/>
    <w:rsid w:val="006C6E10"/>
    <w:rsid w:val="006C72D1"/>
    <w:rsid w:val="006C7E22"/>
    <w:rsid w:val="006D375D"/>
    <w:rsid w:val="006D5759"/>
    <w:rsid w:val="006D7764"/>
    <w:rsid w:val="006D7A23"/>
    <w:rsid w:val="006D7CBF"/>
    <w:rsid w:val="006E22AC"/>
    <w:rsid w:val="006E257B"/>
    <w:rsid w:val="006E47A2"/>
    <w:rsid w:val="006E52A2"/>
    <w:rsid w:val="006E54B7"/>
    <w:rsid w:val="006F0679"/>
    <w:rsid w:val="006F1DA6"/>
    <w:rsid w:val="006F20DA"/>
    <w:rsid w:val="006F2DC4"/>
    <w:rsid w:val="006F49BF"/>
    <w:rsid w:val="006F66A9"/>
    <w:rsid w:val="006F6C70"/>
    <w:rsid w:val="007018C5"/>
    <w:rsid w:val="00703113"/>
    <w:rsid w:val="00704C1A"/>
    <w:rsid w:val="00704CC1"/>
    <w:rsid w:val="00706425"/>
    <w:rsid w:val="00712282"/>
    <w:rsid w:val="00713376"/>
    <w:rsid w:val="00714750"/>
    <w:rsid w:val="00721F55"/>
    <w:rsid w:val="00723EE4"/>
    <w:rsid w:val="007245ED"/>
    <w:rsid w:val="00726CE9"/>
    <w:rsid w:val="007274B4"/>
    <w:rsid w:val="00727F68"/>
    <w:rsid w:val="007306D6"/>
    <w:rsid w:val="007310C0"/>
    <w:rsid w:val="0073187D"/>
    <w:rsid w:val="007346CB"/>
    <w:rsid w:val="007346CC"/>
    <w:rsid w:val="00734D2F"/>
    <w:rsid w:val="00735A60"/>
    <w:rsid w:val="00736BB3"/>
    <w:rsid w:val="00740247"/>
    <w:rsid w:val="0074187A"/>
    <w:rsid w:val="0074278E"/>
    <w:rsid w:val="00742897"/>
    <w:rsid w:val="00743E43"/>
    <w:rsid w:val="0074590E"/>
    <w:rsid w:val="00745BF9"/>
    <w:rsid w:val="00745DE6"/>
    <w:rsid w:val="00746398"/>
    <w:rsid w:val="0074721B"/>
    <w:rsid w:val="00747468"/>
    <w:rsid w:val="007475AC"/>
    <w:rsid w:val="007478DD"/>
    <w:rsid w:val="00747954"/>
    <w:rsid w:val="007479AD"/>
    <w:rsid w:val="007503A7"/>
    <w:rsid w:val="00751E50"/>
    <w:rsid w:val="0075265F"/>
    <w:rsid w:val="00753C4E"/>
    <w:rsid w:val="00754B26"/>
    <w:rsid w:val="007558C0"/>
    <w:rsid w:val="00756792"/>
    <w:rsid w:val="007567D0"/>
    <w:rsid w:val="00756EF5"/>
    <w:rsid w:val="00760067"/>
    <w:rsid w:val="00760946"/>
    <w:rsid w:val="00760CBB"/>
    <w:rsid w:val="00762A56"/>
    <w:rsid w:val="007640A8"/>
    <w:rsid w:val="00764618"/>
    <w:rsid w:val="00765642"/>
    <w:rsid w:val="00765EEB"/>
    <w:rsid w:val="00765FC8"/>
    <w:rsid w:val="0077072A"/>
    <w:rsid w:val="00770A7D"/>
    <w:rsid w:val="00771B3A"/>
    <w:rsid w:val="007733AE"/>
    <w:rsid w:val="00773420"/>
    <w:rsid w:val="00773F08"/>
    <w:rsid w:val="007740B4"/>
    <w:rsid w:val="00774741"/>
    <w:rsid w:val="00776F15"/>
    <w:rsid w:val="007800FF"/>
    <w:rsid w:val="007813F5"/>
    <w:rsid w:val="00781D75"/>
    <w:rsid w:val="00786889"/>
    <w:rsid w:val="0079212E"/>
    <w:rsid w:val="007932AC"/>
    <w:rsid w:val="0079357C"/>
    <w:rsid w:val="0079382B"/>
    <w:rsid w:val="00795783"/>
    <w:rsid w:val="007965FC"/>
    <w:rsid w:val="0079760C"/>
    <w:rsid w:val="007A0A7E"/>
    <w:rsid w:val="007A1B80"/>
    <w:rsid w:val="007A2C77"/>
    <w:rsid w:val="007B046D"/>
    <w:rsid w:val="007B0D9F"/>
    <w:rsid w:val="007B2E53"/>
    <w:rsid w:val="007B2F29"/>
    <w:rsid w:val="007B3A6F"/>
    <w:rsid w:val="007B5F29"/>
    <w:rsid w:val="007B616A"/>
    <w:rsid w:val="007B6550"/>
    <w:rsid w:val="007B6DE7"/>
    <w:rsid w:val="007B6FF1"/>
    <w:rsid w:val="007B7712"/>
    <w:rsid w:val="007C0DB6"/>
    <w:rsid w:val="007C5FF4"/>
    <w:rsid w:val="007C7082"/>
    <w:rsid w:val="007C742D"/>
    <w:rsid w:val="007C7918"/>
    <w:rsid w:val="007D2420"/>
    <w:rsid w:val="007D5AE0"/>
    <w:rsid w:val="007D65EF"/>
    <w:rsid w:val="007E077E"/>
    <w:rsid w:val="007E1F3E"/>
    <w:rsid w:val="007E4E6B"/>
    <w:rsid w:val="007E5A5B"/>
    <w:rsid w:val="007E5D14"/>
    <w:rsid w:val="007E655F"/>
    <w:rsid w:val="007E68A4"/>
    <w:rsid w:val="007E6E95"/>
    <w:rsid w:val="007E73B7"/>
    <w:rsid w:val="007E749D"/>
    <w:rsid w:val="007E7BD5"/>
    <w:rsid w:val="007E7C28"/>
    <w:rsid w:val="007E7ECC"/>
    <w:rsid w:val="007F327B"/>
    <w:rsid w:val="007F558B"/>
    <w:rsid w:val="007F5BED"/>
    <w:rsid w:val="007F61E4"/>
    <w:rsid w:val="0080270A"/>
    <w:rsid w:val="00802CDF"/>
    <w:rsid w:val="008050C2"/>
    <w:rsid w:val="00807160"/>
    <w:rsid w:val="00807B32"/>
    <w:rsid w:val="00810DF9"/>
    <w:rsid w:val="00812EDE"/>
    <w:rsid w:val="00813278"/>
    <w:rsid w:val="00815F1F"/>
    <w:rsid w:val="00816874"/>
    <w:rsid w:val="00820165"/>
    <w:rsid w:val="00820F27"/>
    <w:rsid w:val="008211F0"/>
    <w:rsid w:val="00822164"/>
    <w:rsid w:val="008228DF"/>
    <w:rsid w:val="00823192"/>
    <w:rsid w:val="00823DD1"/>
    <w:rsid w:val="0082457E"/>
    <w:rsid w:val="008245FB"/>
    <w:rsid w:val="008256F6"/>
    <w:rsid w:val="008279BA"/>
    <w:rsid w:val="008301EF"/>
    <w:rsid w:val="0083093F"/>
    <w:rsid w:val="008309D9"/>
    <w:rsid w:val="0083236C"/>
    <w:rsid w:val="00833161"/>
    <w:rsid w:val="00833CB3"/>
    <w:rsid w:val="00834F55"/>
    <w:rsid w:val="00835880"/>
    <w:rsid w:val="008370E7"/>
    <w:rsid w:val="00840912"/>
    <w:rsid w:val="00842913"/>
    <w:rsid w:val="008429DD"/>
    <w:rsid w:val="00843107"/>
    <w:rsid w:val="00843F9D"/>
    <w:rsid w:val="0084469A"/>
    <w:rsid w:val="00847124"/>
    <w:rsid w:val="008478B1"/>
    <w:rsid w:val="00850889"/>
    <w:rsid w:val="00854468"/>
    <w:rsid w:val="00855014"/>
    <w:rsid w:val="00855324"/>
    <w:rsid w:val="00855EC2"/>
    <w:rsid w:val="0086059F"/>
    <w:rsid w:val="00860D56"/>
    <w:rsid w:val="008615EB"/>
    <w:rsid w:val="00865E81"/>
    <w:rsid w:val="00866CF8"/>
    <w:rsid w:val="00867012"/>
    <w:rsid w:val="0086721B"/>
    <w:rsid w:val="00867F51"/>
    <w:rsid w:val="00870F16"/>
    <w:rsid w:val="00872886"/>
    <w:rsid w:val="0087371B"/>
    <w:rsid w:val="00873743"/>
    <w:rsid w:val="00873CA2"/>
    <w:rsid w:val="00875095"/>
    <w:rsid w:val="00875A40"/>
    <w:rsid w:val="00876A85"/>
    <w:rsid w:val="00877201"/>
    <w:rsid w:val="00885A4B"/>
    <w:rsid w:val="00885B2F"/>
    <w:rsid w:val="00885C0D"/>
    <w:rsid w:val="00886C12"/>
    <w:rsid w:val="00890316"/>
    <w:rsid w:val="00895DB5"/>
    <w:rsid w:val="0089731F"/>
    <w:rsid w:val="008A02C8"/>
    <w:rsid w:val="008A1866"/>
    <w:rsid w:val="008A1A86"/>
    <w:rsid w:val="008A1E86"/>
    <w:rsid w:val="008A663C"/>
    <w:rsid w:val="008A7362"/>
    <w:rsid w:val="008B0908"/>
    <w:rsid w:val="008B6133"/>
    <w:rsid w:val="008B6E27"/>
    <w:rsid w:val="008C26EC"/>
    <w:rsid w:val="008C4045"/>
    <w:rsid w:val="008C54DC"/>
    <w:rsid w:val="008D0B72"/>
    <w:rsid w:val="008D16D5"/>
    <w:rsid w:val="008D1EBA"/>
    <w:rsid w:val="008D2085"/>
    <w:rsid w:val="008D2433"/>
    <w:rsid w:val="008D2CE4"/>
    <w:rsid w:val="008D2E86"/>
    <w:rsid w:val="008D48F1"/>
    <w:rsid w:val="008D5E29"/>
    <w:rsid w:val="008E0680"/>
    <w:rsid w:val="008E1052"/>
    <w:rsid w:val="008E158F"/>
    <w:rsid w:val="008E3293"/>
    <w:rsid w:val="008E402E"/>
    <w:rsid w:val="008E4BC7"/>
    <w:rsid w:val="008E4D36"/>
    <w:rsid w:val="008E50D4"/>
    <w:rsid w:val="008E556D"/>
    <w:rsid w:val="008E55B0"/>
    <w:rsid w:val="008E6E95"/>
    <w:rsid w:val="008E75D8"/>
    <w:rsid w:val="008E766D"/>
    <w:rsid w:val="008E78B9"/>
    <w:rsid w:val="008E7B62"/>
    <w:rsid w:val="008F20F5"/>
    <w:rsid w:val="008F25C5"/>
    <w:rsid w:val="008F2E8D"/>
    <w:rsid w:val="008F4441"/>
    <w:rsid w:val="008F4821"/>
    <w:rsid w:val="008F4FB5"/>
    <w:rsid w:val="00900B33"/>
    <w:rsid w:val="00902C24"/>
    <w:rsid w:val="00904484"/>
    <w:rsid w:val="00904AE6"/>
    <w:rsid w:val="00905AEB"/>
    <w:rsid w:val="00907E75"/>
    <w:rsid w:val="00910583"/>
    <w:rsid w:val="00911602"/>
    <w:rsid w:val="00912877"/>
    <w:rsid w:val="00912E36"/>
    <w:rsid w:val="00913EDB"/>
    <w:rsid w:val="00913F8A"/>
    <w:rsid w:val="009141BA"/>
    <w:rsid w:val="00915AD4"/>
    <w:rsid w:val="0091648D"/>
    <w:rsid w:val="0092047B"/>
    <w:rsid w:val="00921295"/>
    <w:rsid w:val="0092167B"/>
    <w:rsid w:val="00922679"/>
    <w:rsid w:val="009253F9"/>
    <w:rsid w:val="009259B3"/>
    <w:rsid w:val="00926756"/>
    <w:rsid w:val="0092793E"/>
    <w:rsid w:val="0093017F"/>
    <w:rsid w:val="00931C53"/>
    <w:rsid w:val="00931CA6"/>
    <w:rsid w:val="00932585"/>
    <w:rsid w:val="00932DFA"/>
    <w:rsid w:val="00933188"/>
    <w:rsid w:val="0093373F"/>
    <w:rsid w:val="009338B5"/>
    <w:rsid w:val="00934709"/>
    <w:rsid w:val="0093547E"/>
    <w:rsid w:val="00935697"/>
    <w:rsid w:val="0093739D"/>
    <w:rsid w:val="00943735"/>
    <w:rsid w:val="00945F58"/>
    <w:rsid w:val="00946BB2"/>
    <w:rsid w:val="00950CF5"/>
    <w:rsid w:val="00953BD9"/>
    <w:rsid w:val="00953D4F"/>
    <w:rsid w:val="009559E8"/>
    <w:rsid w:val="00956D43"/>
    <w:rsid w:val="00957059"/>
    <w:rsid w:val="0096191C"/>
    <w:rsid w:val="009622A8"/>
    <w:rsid w:val="00966EF9"/>
    <w:rsid w:val="009704AE"/>
    <w:rsid w:val="009721F9"/>
    <w:rsid w:val="00972DEF"/>
    <w:rsid w:val="009733DE"/>
    <w:rsid w:val="009743C5"/>
    <w:rsid w:val="00974FB7"/>
    <w:rsid w:val="0097678A"/>
    <w:rsid w:val="00976FEE"/>
    <w:rsid w:val="00977034"/>
    <w:rsid w:val="00981F16"/>
    <w:rsid w:val="0098312E"/>
    <w:rsid w:val="00985407"/>
    <w:rsid w:val="009854E8"/>
    <w:rsid w:val="0098565D"/>
    <w:rsid w:val="00985817"/>
    <w:rsid w:val="009901D4"/>
    <w:rsid w:val="00991436"/>
    <w:rsid w:val="009926F2"/>
    <w:rsid w:val="009942F1"/>
    <w:rsid w:val="009971A3"/>
    <w:rsid w:val="009A0D3E"/>
    <w:rsid w:val="009A1445"/>
    <w:rsid w:val="009A1588"/>
    <w:rsid w:val="009A275B"/>
    <w:rsid w:val="009A2A58"/>
    <w:rsid w:val="009A2D3C"/>
    <w:rsid w:val="009A3A64"/>
    <w:rsid w:val="009A41BA"/>
    <w:rsid w:val="009A48D5"/>
    <w:rsid w:val="009A71AB"/>
    <w:rsid w:val="009A7594"/>
    <w:rsid w:val="009B1429"/>
    <w:rsid w:val="009B2B5D"/>
    <w:rsid w:val="009B313D"/>
    <w:rsid w:val="009B4439"/>
    <w:rsid w:val="009B4AA0"/>
    <w:rsid w:val="009B52C5"/>
    <w:rsid w:val="009B5EE1"/>
    <w:rsid w:val="009B6981"/>
    <w:rsid w:val="009C0C82"/>
    <w:rsid w:val="009C1939"/>
    <w:rsid w:val="009C2C52"/>
    <w:rsid w:val="009C488D"/>
    <w:rsid w:val="009C548A"/>
    <w:rsid w:val="009C68CB"/>
    <w:rsid w:val="009D1BC4"/>
    <w:rsid w:val="009D2C2C"/>
    <w:rsid w:val="009D47A8"/>
    <w:rsid w:val="009D76EF"/>
    <w:rsid w:val="009E4871"/>
    <w:rsid w:val="009E4A17"/>
    <w:rsid w:val="009E5E02"/>
    <w:rsid w:val="009E631C"/>
    <w:rsid w:val="009E64CF"/>
    <w:rsid w:val="009E65D5"/>
    <w:rsid w:val="009E69B0"/>
    <w:rsid w:val="009E6E00"/>
    <w:rsid w:val="009E6E15"/>
    <w:rsid w:val="009F0B8B"/>
    <w:rsid w:val="009F0B98"/>
    <w:rsid w:val="009F1326"/>
    <w:rsid w:val="009F22FB"/>
    <w:rsid w:val="009F418D"/>
    <w:rsid w:val="00A01353"/>
    <w:rsid w:val="00A02459"/>
    <w:rsid w:val="00A02695"/>
    <w:rsid w:val="00A048A2"/>
    <w:rsid w:val="00A04DA2"/>
    <w:rsid w:val="00A1201A"/>
    <w:rsid w:val="00A1346B"/>
    <w:rsid w:val="00A1379C"/>
    <w:rsid w:val="00A13FC9"/>
    <w:rsid w:val="00A14032"/>
    <w:rsid w:val="00A14FCE"/>
    <w:rsid w:val="00A15E56"/>
    <w:rsid w:val="00A160CB"/>
    <w:rsid w:val="00A16951"/>
    <w:rsid w:val="00A16A2E"/>
    <w:rsid w:val="00A17697"/>
    <w:rsid w:val="00A203A1"/>
    <w:rsid w:val="00A216FC"/>
    <w:rsid w:val="00A21B94"/>
    <w:rsid w:val="00A21E6D"/>
    <w:rsid w:val="00A257E4"/>
    <w:rsid w:val="00A26A4A"/>
    <w:rsid w:val="00A26B90"/>
    <w:rsid w:val="00A2748B"/>
    <w:rsid w:val="00A318DF"/>
    <w:rsid w:val="00A324BA"/>
    <w:rsid w:val="00A33DC6"/>
    <w:rsid w:val="00A34DE3"/>
    <w:rsid w:val="00A365A1"/>
    <w:rsid w:val="00A369E1"/>
    <w:rsid w:val="00A37553"/>
    <w:rsid w:val="00A40C98"/>
    <w:rsid w:val="00A41155"/>
    <w:rsid w:val="00A42F11"/>
    <w:rsid w:val="00A43960"/>
    <w:rsid w:val="00A4439E"/>
    <w:rsid w:val="00A4616C"/>
    <w:rsid w:val="00A46C07"/>
    <w:rsid w:val="00A50CE7"/>
    <w:rsid w:val="00A50E9E"/>
    <w:rsid w:val="00A51D1E"/>
    <w:rsid w:val="00A539ED"/>
    <w:rsid w:val="00A54512"/>
    <w:rsid w:val="00A5757E"/>
    <w:rsid w:val="00A608FD"/>
    <w:rsid w:val="00A6099B"/>
    <w:rsid w:val="00A6181A"/>
    <w:rsid w:val="00A6200C"/>
    <w:rsid w:val="00A62F9F"/>
    <w:rsid w:val="00A64F55"/>
    <w:rsid w:val="00A65CA1"/>
    <w:rsid w:val="00A67C65"/>
    <w:rsid w:val="00A707DC"/>
    <w:rsid w:val="00A72024"/>
    <w:rsid w:val="00A753EB"/>
    <w:rsid w:val="00A779A2"/>
    <w:rsid w:val="00A8069C"/>
    <w:rsid w:val="00A80F16"/>
    <w:rsid w:val="00A818BC"/>
    <w:rsid w:val="00A818C7"/>
    <w:rsid w:val="00A827FF"/>
    <w:rsid w:val="00A82C8B"/>
    <w:rsid w:val="00A834FD"/>
    <w:rsid w:val="00A90D95"/>
    <w:rsid w:val="00A90E1C"/>
    <w:rsid w:val="00A917A2"/>
    <w:rsid w:val="00A92A25"/>
    <w:rsid w:val="00A93F52"/>
    <w:rsid w:val="00A954B6"/>
    <w:rsid w:val="00A959DF"/>
    <w:rsid w:val="00A95D39"/>
    <w:rsid w:val="00AA0FEF"/>
    <w:rsid w:val="00AA22EF"/>
    <w:rsid w:val="00AA56AA"/>
    <w:rsid w:val="00AA5E12"/>
    <w:rsid w:val="00AB0B57"/>
    <w:rsid w:val="00AB1AAE"/>
    <w:rsid w:val="00AB2A94"/>
    <w:rsid w:val="00AB30DE"/>
    <w:rsid w:val="00AB4552"/>
    <w:rsid w:val="00AB466D"/>
    <w:rsid w:val="00AB4CD3"/>
    <w:rsid w:val="00AB5AB4"/>
    <w:rsid w:val="00AB75CF"/>
    <w:rsid w:val="00AC0910"/>
    <w:rsid w:val="00AC162C"/>
    <w:rsid w:val="00AC1D1F"/>
    <w:rsid w:val="00AC33DF"/>
    <w:rsid w:val="00AC4434"/>
    <w:rsid w:val="00AC448C"/>
    <w:rsid w:val="00AC513E"/>
    <w:rsid w:val="00AC6B44"/>
    <w:rsid w:val="00AC6FA8"/>
    <w:rsid w:val="00AD0BB8"/>
    <w:rsid w:val="00AE00DD"/>
    <w:rsid w:val="00AE3644"/>
    <w:rsid w:val="00AE4D92"/>
    <w:rsid w:val="00AE4DB7"/>
    <w:rsid w:val="00AE6019"/>
    <w:rsid w:val="00AE657B"/>
    <w:rsid w:val="00AE7384"/>
    <w:rsid w:val="00AF0404"/>
    <w:rsid w:val="00AF1CBC"/>
    <w:rsid w:val="00AF1D25"/>
    <w:rsid w:val="00AF2AE4"/>
    <w:rsid w:val="00AF39E7"/>
    <w:rsid w:val="00AF3DA4"/>
    <w:rsid w:val="00AF63D0"/>
    <w:rsid w:val="00B016AC"/>
    <w:rsid w:val="00B02772"/>
    <w:rsid w:val="00B027F4"/>
    <w:rsid w:val="00B05574"/>
    <w:rsid w:val="00B062EC"/>
    <w:rsid w:val="00B06ABD"/>
    <w:rsid w:val="00B12635"/>
    <w:rsid w:val="00B13489"/>
    <w:rsid w:val="00B17729"/>
    <w:rsid w:val="00B20A02"/>
    <w:rsid w:val="00B216C1"/>
    <w:rsid w:val="00B22BB7"/>
    <w:rsid w:val="00B242FA"/>
    <w:rsid w:val="00B24E98"/>
    <w:rsid w:val="00B2733B"/>
    <w:rsid w:val="00B27D1D"/>
    <w:rsid w:val="00B3035E"/>
    <w:rsid w:val="00B33354"/>
    <w:rsid w:val="00B33817"/>
    <w:rsid w:val="00B35F0D"/>
    <w:rsid w:val="00B3652C"/>
    <w:rsid w:val="00B371D2"/>
    <w:rsid w:val="00B42744"/>
    <w:rsid w:val="00B43061"/>
    <w:rsid w:val="00B45135"/>
    <w:rsid w:val="00B45969"/>
    <w:rsid w:val="00B462E5"/>
    <w:rsid w:val="00B46A14"/>
    <w:rsid w:val="00B51CB3"/>
    <w:rsid w:val="00B532AB"/>
    <w:rsid w:val="00B54182"/>
    <w:rsid w:val="00B566C6"/>
    <w:rsid w:val="00B56752"/>
    <w:rsid w:val="00B6005C"/>
    <w:rsid w:val="00B6065C"/>
    <w:rsid w:val="00B6121A"/>
    <w:rsid w:val="00B62031"/>
    <w:rsid w:val="00B63808"/>
    <w:rsid w:val="00B64E4B"/>
    <w:rsid w:val="00B65413"/>
    <w:rsid w:val="00B70FA9"/>
    <w:rsid w:val="00B7145E"/>
    <w:rsid w:val="00B71834"/>
    <w:rsid w:val="00B74D42"/>
    <w:rsid w:val="00B75A46"/>
    <w:rsid w:val="00B8190C"/>
    <w:rsid w:val="00B81C3E"/>
    <w:rsid w:val="00B820F5"/>
    <w:rsid w:val="00B823F2"/>
    <w:rsid w:val="00B83935"/>
    <w:rsid w:val="00B87B74"/>
    <w:rsid w:val="00B91F61"/>
    <w:rsid w:val="00B92FCF"/>
    <w:rsid w:val="00B93FC0"/>
    <w:rsid w:val="00B944AE"/>
    <w:rsid w:val="00B95FE7"/>
    <w:rsid w:val="00B9616A"/>
    <w:rsid w:val="00B9748E"/>
    <w:rsid w:val="00BA054A"/>
    <w:rsid w:val="00BA0A8C"/>
    <w:rsid w:val="00BA0A94"/>
    <w:rsid w:val="00BA14A8"/>
    <w:rsid w:val="00BA234F"/>
    <w:rsid w:val="00BA4EDA"/>
    <w:rsid w:val="00BA6705"/>
    <w:rsid w:val="00BA6930"/>
    <w:rsid w:val="00BA751C"/>
    <w:rsid w:val="00BA7DB0"/>
    <w:rsid w:val="00BB127E"/>
    <w:rsid w:val="00BB1F82"/>
    <w:rsid w:val="00BB22CD"/>
    <w:rsid w:val="00BB25A1"/>
    <w:rsid w:val="00BB31B1"/>
    <w:rsid w:val="00BB3299"/>
    <w:rsid w:val="00BB32A6"/>
    <w:rsid w:val="00BB6C2F"/>
    <w:rsid w:val="00BC04D3"/>
    <w:rsid w:val="00BC0705"/>
    <w:rsid w:val="00BC08D2"/>
    <w:rsid w:val="00BC140B"/>
    <w:rsid w:val="00BC1721"/>
    <w:rsid w:val="00BC1D56"/>
    <w:rsid w:val="00BC3B20"/>
    <w:rsid w:val="00BD0D8B"/>
    <w:rsid w:val="00BD1896"/>
    <w:rsid w:val="00BD2281"/>
    <w:rsid w:val="00BD267E"/>
    <w:rsid w:val="00BD42F2"/>
    <w:rsid w:val="00BD4546"/>
    <w:rsid w:val="00BD599B"/>
    <w:rsid w:val="00BD65BE"/>
    <w:rsid w:val="00BD6A96"/>
    <w:rsid w:val="00BD7C4E"/>
    <w:rsid w:val="00BE1D00"/>
    <w:rsid w:val="00BE2065"/>
    <w:rsid w:val="00BE2319"/>
    <w:rsid w:val="00BE49E1"/>
    <w:rsid w:val="00BF05EE"/>
    <w:rsid w:val="00BF069C"/>
    <w:rsid w:val="00BF1627"/>
    <w:rsid w:val="00BF189E"/>
    <w:rsid w:val="00BF18F4"/>
    <w:rsid w:val="00BF5F38"/>
    <w:rsid w:val="00BF6F40"/>
    <w:rsid w:val="00C005FF"/>
    <w:rsid w:val="00C00794"/>
    <w:rsid w:val="00C00E0A"/>
    <w:rsid w:val="00C019B7"/>
    <w:rsid w:val="00C05157"/>
    <w:rsid w:val="00C05683"/>
    <w:rsid w:val="00C057BC"/>
    <w:rsid w:val="00C05B6A"/>
    <w:rsid w:val="00C06097"/>
    <w:rsid w:val="00C1160D"/>
    <w:rsid w:val="00C159CF"/>
    <w:rsid w:val="00C1738D"/>
    <w:rsid w:val="00C174AE"/>
    <w:rsid w:val="00C21D0C"/>
    <w:rsid w:val="00C23DD0"/>
    <w:rsid w:val="00C276EE"/>
    <w:rsid w:val="00C278D1"/>
    <w:rsid w:val="00C321E8"/>
    <w:rsid w:val="00C322EF"/>
    <w:rsid w:val="00C32CEA"/>
    <w:rsid w:val="00C3389F"/>
    <w:rsid w:val="00C35C82"/>
    <w:rsid w:val="00C361DF"/>
    <w:rsid w:val="00C37846"/>
    <w:rsid w:val="00C43FE6"/>
    <w:rsid w:val="00C45252"/>
    <w:rsid w:val="00C45646"/>
    <w:rsid w:val="00C46E64"/>
    <w:rsid w:val="00C50317"/>
    <w:rsid w:val="00C50992"/>
    <w:rsid w:val="00C533F9"/>
    <w:rsid w:val="00C5428A"/>
    <w:rsid w:val="00C55DD2"/>
    <w:rsid w:val="00C57CF8"/>
    <w:rsid w:val="00C60005"/>
    <w:rsid w:val="00C603CB"/>
    <w:rsid w:val="00C615AA"/>
    <w:rsid w:val="00C621FB"/>
    <w:rsid w:val="00C6270C"/>
    <w:rsid w:val="00C62D22"/>
    <w:rsid w:val="00C63172"/>
    <w:rsid w:val="00C6606D"/>
    <w:rsid w:val="00C6649E"/>
    <w:rsid w:val="00C668E8"/>
    <w:rsid w:val="00C67DE9"/>
    <w:rsid w:val="00C719E2"/>
    <w:rsid w:val="00C722B8"/>
    <w:rsid w:val="00C7327F"/>
    <w:rsid w:val="00C73634"/>
    <w:rsid w:val="00C73F1A"/>
    <w:rsid w:val="00C751CD"/>
    <w:rsid w:val="00C778EC"/>
    <w:rsid w:val="00C801EF"/>
    <w:rsid w:val="00C806E9"/>
    <w:rsid w:val="00C816F0"/>
    <w:rsid w:val="00C81ECE"/>
    <w:rsid w:val="00C831F1"/>
    <w:rsid w:val="00C83357"/>
    <w:rsid w:val="00C833E3"/>
    <w:rsid w:val="00C870A2"/>
    <w:rsid w:val="00C90187"/>
    <w:rsid w:val="00C90B6C"/>
    <w:rsid w:val="00C91433"/>
    <w:rsid w:val="00C94038"/>
    <w:rsid w:val="00C94885"/>
    <w:rsid w:val="00C9591D"/>
    <w:rsid w:val="00C95B1E"/>
    <w:rsid w:val="00C963F0"/>
    <w:rsid w:val="00C96496"/>
    <w:rsid w:val="00C97AAA"/>
    <w:rsid w:val="00C97B6C"/>
    <w:rsid w:val="00C97BEB"/>
    <w:rsid w:val="00C97E8B"/>
    <w:rsid w:val="00CA0176"/>
    <w:rsid w:val="00CA1CEB"/>
    <w:rsid w:val="00CA2ADD"/>
    <w:rsid w:val="00CA3F4B"/>
    <w:rsid w:val="00CA462A"/>
    <w:rsid w:val="00CA5A00"/>
    <w:rsid w:val="00CA5DC1"/>
    <w:rsid w:val="00CA6C66"/>
    <w:rsid w:val="00CA7A60"/>
    <w:rsid w:val="00CB0335"/>
    <w:rsid w:val="00CB41C1"/>
    <w:rsid w:val="00CB545E"/>
    <w:rsid w:val="00CC0E79"/>
    <w:rsid w:val="00CC2A7D"/>
    <w:rsid w:val="00CC5A60"/>
    <w:rsid w:val="00CC6BDA"/>
    <w:rsid w:val="00CC6CB6"/>
    <w:rsid w:val="00CD0ED5"/>
    <w:rsid w:val="00CD395F"/>
    <w:rsid w:val="00CD3E75"/>
    <w:rsid w:val="00CD425C"/>
    <w:rsid w:val="00CD4592"/>
    <w:rsid w:val="00CD45A5"/>
    <w:rsid w:val="00CD70CE"/>
    <w:rsid w:val="00CD722B"/>
    <w:rsid w:val="00CE0733"/>
    <w:rsid w:val="00CE08B4"/>
    <w:rsid w:val="00CE3C7B"/>
    <w:rsid w:val="00CE3DC4"/>
    <w:rsid w:val="00CE69F8"/>
    <w:rsid w:val="00CE71A2"/>
    <w:rsid w:val="00CE7C43"/>
    <w:rsid w:val="00CF1009"/>
    <w:rsid w:val="00CF14B9"/>
    <w:rsid w:val="00CF18B0"/>
    <w:rsid w:val="00CF324A"/>
    <w:rsid w:val="00CF4520"/>
    <w:rsid w:val="00CF50F0"/>
    <w:rsid w:val="00CF780C"/>
    <w:rsid w:val="00D02902"/>
    <w:rsid w:val="00D03740"/>
    <w:rsid w:val="00D03C13"/>
    <w:rsid w:val="00D041FC"/>
    <w:rsid w:val="00D057AF"/>
    <w:rsid w:val="00D07554"/>
    <w:rsid w:val="00D07A64"/>
    <w:rsid w:val="00D11EEB"/>
    <w:rsid w:val="00D12FCD"/>
    <w:rsid w:val="00D1434B"/>
    <w:rsid w:val="00D14840"/>
    <w:rsid w:val="00D14990"/>
    <w:rsid w:val="00D16005"/>
    <w:rsid w:val="00D16D40"/>
    <w:rsid w:val="00D20F53"/>
    <w:rsid w:val="00D234A1"/>
    <w:rsid w:val="00D2504B"/>
    <w:rsid w:val="00D265DD"/>
    <w:rsid w:val="00D266CB"/>
    <w:rsid w:val="00D31470"/>
    <w:rsid w:val="00D323FA"/>
    <w:rsid w:val="00D343C7"/>
    <w:rsid w:val="00D355A0"/>
    <w:rsid w:val="00D36470"/>
    <w:rsid w:val="00D36B60"/>
    <w:rsid w:val="00D37C70"/>
    <w:rsid w:val="00D4231E"/>
    <w:rsid w:val="00D44442"/>
    <w:rsid w:val="00D44A75"/>
    <w:rsid w:val="00D44EB9"/>
    <w:rsid w:val="00D4728E"/>
    <w:rsid w:val="00D505A4"/>
    <w:rsid w:val="00D51DE7"/>
    <w:rsid w:val="00D5287D"/>
    <w:rsid w:val="00D545C1"/>
    <w:rsid w:val="00D54862"/>
    <w:rsid w:val="00D5567F"/>
    <w:rsid w:val="00D559E8"/>
    <w:rsid w:val="00D57C84"/>
    <w:rsid w:val="00D629FE"/>
    <w:rsid w:val="00D641FA"/>
    <w:rsid w:val="00D6630F"/>
    <w:rsid w:val="00D672EB"/>
    <w:rsid w:val="00D701BA"/>
    <w:rsid w:val="00D7394A"/>
    <w:rsid w:val="00D7593E"/>
    <w:rsid w:val="00D80044"/>
    <w:rsid w:val="00D80137"/>
    <w:rsid w:val="00D81867"/>
    <w:rsid w:val="00D821F4"/>
    <w:rsid w:val="00D82ACE"/>
    <w:rsid w:val="00D83D56"/>
    <w:rsid w:val="00D86471"/>
    <w:rsid w:val="00D86D58"/>
    <w:rsid w:val="00D87C3E"/>
    <w:rsid w:val="00D9124E"/>
    <w:rsid w:val="00D9326F"/>
    <w:rsid w:val="00D943A2"/>
    <w:rsid w:val="00D9465E"/>
    <w:rsid w:val="00D95286"/>
    <w:rsid w:val="00D95F89"/>
    <w:rsid w:val="00D968E6"/>
    <w:rsid w:val="00DA26F2"/>
    <w:rsid w:val="00DA3C59"/>
    <w:rsid w:val="00DA4076"/>
    <w:rsid w:val="00DA5359"/>
    <w:rsid w:val="00DB30B3"/>
    <w:rsid w:val="00DB41AE"/>
    <w:rsid w:val="00DB434F"/>
    <w:rsid w:val="00DB678B"/>
    <w:rsid w:val="00DC283E"/>
    <w:rsid w:val="00DC3013"/>
    <w:rsid w:val="00DC34EE"/>
    <w:rsid w:val="00DC3BBA"/>
    <w:rsid w:val="00DC3C0C"/>
    <w:rsid w:val="00DC47D3"/>
    <w:rsid w:val="00DC5094"/>
    <w:rsid w:val="00DD163C"/>
    <w:rsid w:val="00DD1855"/>
    <w:rsid w:val="00DD25E4"/>
    <w:rsid w:val="00DD2DB6"/>
    <w:rsid w:val="00DD42FE"/>
    <w:rsid w:val="00DD435A"/>
    <w:rsid w:val="00DE0088"/>
    <w:rsid w:val="00DE2126"/>
    <w:rsid w:val="00DE521C"/>
    <w:rsid w:val="00DE59A9"/>
    <w:rsid w:val="00DE6B0F"/>
    <w:rsid w:val="00DE7CB0"/>
    <w:rsid w:val="00DE7DF3"/>
    <w:rsid w:val="00DF16CB"/>
    <w:rsid w:val="00DF1B64"/>
    <w:rsid w:val="00DF41A2"/>
    <w:rsid w:val="00DF42AA"/>
    <w:rsid w:val="00DF6608"/>
    <w:rsid w:val="00DF676A"/>
    <w:rsid w:val="00DF73BE"/>
    <w:rsid w:val="00E00033"/>
    <w:rsid w:val="00E00983"/>
    <w:rsid w:val="00E0288A"/>
    <w:rsid w:val="00E046DE"/>
    <w:rsid w:val="00E04BF4"/>
    <w:rsid w:val="00E10A14"/>
    <w:rsid w:val="00E1243E"/>
    <w:rsid w:val="00E12635"/>
    <w:rsid w:val="00E13469"/>
    <w:rsid w:val="00E13A42"/>
    <w:rsid w:val="00E14B37"/>
    <w:rsid w:val="00E15081"/>
    <w:rsid w:val="00E150BD"/>
    <w:rsid w:val="00E20963"/>
    <w:rsid w:val="00E21D29"/>
    <w:rsid w:val="00E22065"/>
    <w:rsid w:val="00E2294D"/>
    <w:rsid w:val="00E254B8"/>
    <w:rsid w:val="00E272BA"/>
    <w:rsid w:val="00E2751F"/>
    <w:rsid w:val="00E275FE"/>
    <w:rsid w:val="00E27E98"/>
    <w:rsid w:val="00E27F7B"/>
    <w:rsid w:val="00E305D2"/>
    <w:rsid w:val="00E3090A"/>
    <w:rsid w:val="00E33C63"/>
    <w:rsid w:val="00E408A7"/>
    <w:rsid w:val="00E41F2C"/>
    <w:rsid w:val="00E43661"/>
    <w:rsid w:val="00E43674"/>
    <w:rsid w:val="00E452CE"/>
    <w:rsid w:val="00E45DAB"/>
    <w:rsid w:val="00E52AA2"/>
    <w:rsid w:val="00E52AE6"/>
    <w:rsid w:val="00E52D55"/>
    <w:rsid w:val="00E5312C"/>
    <w:rsid w:val="00E54EC7"/>
    <w:rsid w:val="00E6174C"/>
    <w:rsid w:val="00E62DE5"/>
    <w:rsid w:val="00E63E38"/>
    <w:rsid w:val="00E64889"/>
    <w:rsid w:val="00E64F39"/>
    <w:rsid w:val="00E65825"/>
    <w:rsid w:val="00E65B2F"/>
    <w:rsid w:val="00E6740E"/>
    <w:rsid w:val="00E67FDE"/>
    <w:rsid w:val="00E704DE"/>
    <w:rsid w:val="00E70823"/>
    <w:rsid w:val="00E727D2"/>
    <w:rsid w:val="00E731AB"/>
    <w:rsid w:val="00E73253"/>
    <w:rsid w:val="00E73B77"/>
    <w:rsid w:val="00E75EC8"/>
    <w:rsid w:val="00E769A5"/>
    <w:rsid w:val="00E7712D"/>
    <w:rsid w:val="00E81E34"/>
    <w:rsid w:val="00E821B0"/>
    <w:rsid w:val="00E829BC"/>
    <w:rsid w:val="00E84B96"/>
    <w:rsid w:val="00E85518"/>
    <w:rsid w:val="00E903BC"/>
    <w:rsid w:val="00E90D02"/>
    <w:rsid w:val="00E929DE"/>
    <w:rsid w:val="00E93A57"/>
    <w:rsid w:val="00EA04B8"/>
    <w:rsid w:val="00EA05DC"/>
    <w:rsid w:val="00EA1845"/>
    <w:rsid w:val="00EA204C"/>
    <w:rsid w:val="00EA2681"/>
    <w:rsid w:val="00EA3700"/>
    <w:rsid w:val="00EA3B42"/>
    <w:rsid w:val="00EB00D9"/>
    <w:rsid w:val="00EB11D5"/>
    <w:rsid w:val="00EB356F"/>
    <w:rsid w:val="00EB39C1"/>
    <w:rsid w:val="00EB4376"/>
    <w:rsid w:val="00EB48CA"/>
    <w:rsid w:val="00EB601F"/>
    <w:rsid w:val="00EB6736"/>
    <w:rsid w:val="00EB7ED6"/>
    <w:rsid w:val="00EC18B4"/>
    <w:rsid w:val="00EC214B"/>
    <w:rsid w:val="00EC2782"/>
    <w:rsid w:val="00EC6258"/>
    <w:rsid w:val="00EC759A"/>
    <w:rsid w:val="00EC7FC5"/>
    <w:rsid w:val="00ED01D9"/>
    <w:rsid w:val="00ED49BF"/>
    <w:rsid w:val="00ED51AB"/>
    <w:rsid w:val="00ED59A1"/>
    <w:rsid w:val="00ED7CDE"/>
    <w:rsid w:val="00EE3987"/>
    <w:rsid w:val="00EE40C4"/>
    <w:rsid w:val="00EE5316"/>
    <w:rsid w:val="00EE57D6"/>
    <w:rsid w:val="00EE5C86"/>
    <w:rsid w:val="00EE6B07"/>
    <w:rsid w:val="00EF26F5"/>
    <w:rsid w:val="00EF2CA2"/>
    <w:rsid w:val="00EF2F61"/>
    <w:rsid w:val="00EF3C36"/>
    <w:rsid w:val="00EF579A"/>
    <w:rsid w:val="00EF5D8F"/>
    <w:rsid w:val="00EF5E30"/>
    <w:rsid w:val="00EF6CD8"/>
    <w:rsid w:val="00EF6FB9"/>
    <w:rsid w:val="00F0139B"/>
    <w:rsid w:val="00F02D91"/>
    <w:rsid w:val="00F04611"/>
    <w:rsid w:val="00F04959"/>
    <w:rsid w:val="00F05BBF"/>
    <w:rsid w:val="00F0642F"/>
    <w:rsid w:val="00F077CB"/>
    <w:rsid w:val="00F11A64"/>
    <w:rsid w:val="00F122F0"/>
    <w:rsid w:val="00F12747"/>
    <w:rsid w:val="00F14D34"/>
    <w:rsid w:val="00F15A0D"/>
    <w:rsid w:val="00F16BBB"/>
    <w:rsid w:val="00F16E29"/>
    <w:rsid w:val="00F16F32"/>
    <w:rsid w:val="00F20EAE"/>
    <w:rsid w:val="00F217F5"/>
    <w:rsid w:val="00F21DFA"/>
    <w:rsid w:val="00F220DE"/>
    <w:rsid w:val="00F235C3"/>
    <w:rsid w:val="00F23EE2"/>
    <w:rsid w:val="00F2484F"/>
    <w:rsid w:val="00F24B5D"/>
    <w:rsid w:val="00F2527A"/>
    <w:rsid w:val="00F255FE"/>
    <w:rsid w:val="00F25EB5"/>
    <w:rsid w:val="00F262C2"/>
    <w:rsid w:val="00F30C61"/>
    <w:rsid w:val="00F30D8D"/>
    <w:rsid w:val="00F31437"/>
    <w:rsid w:val="00F31B74"/>
    <w:rsid w:val="00F344AA"/>
    <w:rsid w:val="00F347D1"/>
    <w:rsid w:val="00F34F02"/>
    <w:rsid w:val="00F352A9"/>
    <w:rsid w:val="00F35BE5"/>
    <w:rsid w:val="00F365B6"/>
    <w:rsid w:val="00F36787"/>
    <w:rsid w:val="00F36A03"/>
    <w:rsid w:val="00F40AA5"/>
    <w:rsid w:val="00F41FDA"/>
    <w:rsid w:val="00F42619"/>
    <w:rsid w:val="00F429D1"/>
    <w:rsid w:val="00F42AB1"/>
    <w:rsid w:val="00F438C4"/>
    <w:rsid w:val="00F43D9A"/>
    <w:rsid w:val="00F446D8"/>
    <w:rsid w:val="00F44A71"/>
    <w:rsid w:val="00F45522"/>
    <w:rsid w:val="00F52C9D"/>
    <w:rsid w:val="00F535D8"/>
    <w:rsid w:val="00F54F16"/>
    <w:rsid w:val="00F55A34"/>
    <w:rsid w:val="00F574C1"/>
    <w:rsid w:val="00F57684"/>
    <w:rsid w:val="00F6243C"/>
    <w:rsid w:val="00F6319C"/>
    <w:rsid w:val="00F63E8B"/>
    <w:rsid w:val="00F64FA1"/>
    <w:rsid w:val="00F66B81"/>
    <w:rsid w:val="00F676D9"/>
    <w:rsid w:val="00F67B03"/>
    <w:rsid w:val="00F71217"/>
    <w:rsid w:val="00F7286B"/>
    <w:rsid w:val="00F736C8"/>
    <w:rsid w:val="00F76502"/>
    <w:rsid w:val="00F767D3"/>
    <w:rsid w:val="00F77CC6"/>
    <w:rsid w:val="00F80D11"/>
    <w:rsid w:val="00F816E7"/>
    <w:rsid w:val="00F819F3"/>
    <w:rsid w:val="00F81B3E"/>
    <w:rsid w:val="00F820FE"/>
    <w:rsid w:val="00F823D6"/>
    <w:rsid w:val="00F83514"/>
    <w:rsid w:val="00F84BA7"/>
    <w:rsid w:val="00F860BF"/>
    <w:rsid w:val="00F87933"/>
    <w:rsid w:val="00F87A40"/>
    <w:rsid w:val="00F90C18"/>
    <w:rsid w:val="00F91F55"/>
    <w:rsid w:val="00F94868"/>
    <w:rsid w:val="00F96D9E"/>
    <w:rsid w:val="00F97375"/>
    <w:rsid w:val="00F97935"/>
    <w:rsid w:val="00FA106B"/>
    <w:rsid w:val="00FA321C"/>
    <w:rsid w:val="00FA32FD"/>
    <w:rsid w:val="00FA5530"/>
    <w:rsid w:val="00FA7664"/>
    <w:rsid w:val="00FB0DC0"/>
    <w:rsid w:val="00FB1045"/>
    <w:rsid w:val="00FB17A6"/>
    <w:rsid w:val="00FB3065"/>
    <w:rsid w:val="00FB37C8"/>
    <w:rsid w:val="00FB39D9"/>
    <w:rsid w:val="00FB39F3"/>
    <w:rsid w:val="00FB432B"/>
    <w:rsid w:val="00FB4D21"/>
    <w:rsid w:val="00FB5688"/>
    <w:rsid w:val="00FB630F"/>
    <w:rsid w:val="00FB657C"/>
    <w:rsid w:val="00FB6EE8"/>
    <w:rsid w:val="00FC16D4"/>
    <w:rsid w:val="00FC41C9"/>
    <w:rsid w:val="00FC5C27"/>
    <w:rsid w:val="00FD3B17"/>
    <w:rsid w:val="00FD40C5"/>
    <w:rsid w:val="00FD4E02"/>
    <w:rsid w:val="00FD5065"/>
    <w:rsid w:val="00FE2E04"/>
    <w:rsid w:val="00FE41B7"/>
    <w:rsid w:val="00FE440C"/>
    <w:rsid w:val="00FE5E19"/>
    <w:rsid w:val="00FF33CE"/>
    <w:rsid w:val="00FF3736"/>
    <w:rsid w:val="00FF383C"/>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CF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customStyle="1" w:styleId="Brandedbody">
    <w:name w:val="Branded_body"/>
    <w:qFormat/>
    <w:rsid w:val="008E1052"/>
    <w:pPr>
      <w:spacing w:after="240"/>
    </w:pPr>
    <w:rPr>
      <w:rFonts w:ascii="Arial" w:eastAsiaTheme="minorHAnsi" w:hAnsi="Arial" w:cs="Arial"/>
      <w:szCs w:val="22"/>
    </w:rPr>
  </w:style>
  <w:style w:type="table" w:styleId="TableGrid">
    <w:name w:val="Table Grid"/>
    <w:basedOn w:val="TableNormal"/>
    <w:rsid w:val="000B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D4E02"/>
    <w:pPr>
      <w:spacing w:after="120"/>
    </w:pPr>
  </w:style>
  <w:style w:type="character" w:customStyle="1" w:styleId="BodyTextChar">
    <w:name w:val="Body Text Char"/>
    <w:basedOn w:val="DefaultParagraphFont"/>
    <w:link w:val="BodyText"/>
    <w:semiHidden/>
    <w:rsid w:val="00FD4E02"/>
    <w:rPr>
      <w:sz w:val="24"/>
      <w:szCs w:val="24"/>
    </w:rPr>
  </w:style>
  <w:style w:type="character" w:customStyle="1" w:styleId="OMB3Char">
    <w:name w:val="OMB3 Char"/>
    <w:basedOn w:val="DefaultParagraphFont"/>
    <w:link w:val="OMB3"/>
    <w:locked/>
    <w:rsid w:val="00FD4E02"/>
    <w:rPr>
      <w:b/>
      <w:i/>
      <w:kern w:val="24"/>
    </w:rPr>
  </w:style>
  <w:style w:type="paragraph" w:customStyle="1" w:styleId="OMB3">
    <w:name w:val="OMB3"/>
    <w:basedOn w:val="ListBullet"/>
    <w:link w:val="OMB3Char"/>
    <w:qFormat/>
    <w:rsid w:val="00FD4E02"/>
    <w:pPr>
      <w:keepNext/>
      <w:keepLines/>
      <w:numPr>
        <w:numId w:val="0"/>
      </w:numPr>
      <w:overflowPunct w:val="0"/>
      <w:autoSpaceDE w:val="0"/>
      <w:autoSpaceDN w:val="0"/>
      <w:adjustRightInd w:val="0"/>
      <w:spacing w:after="120"/>
      <w:outlineLvl w:val="2"/>
    </w:pPr>
    <w:rPr>
      <w:b/>
      <w:i/>
      <w:kern w:val="24"/>
      <w:sz w:val="20"/>
      <w:szCs w:val="20"/>
    </w:rPr>
  </w:style>
  <w:style w:type="character" w:customStyle="1" w:styleId="OMB4Char">
    <w:name w:val="OMB4 Char"/>
    <w:basedOn w:val="BodyTextChar"/>
    <w:link w:val="OMB4"/>
    <w:locked/>
    <w:rsid w:val="00FD4E02"/>
    <w:rPr>
      <w:sz w:val="22"/>
      <w:szCs w:val="22"/>
      <w:u w:val="single"/>
    </w:rPr>
  </w:style>
  <w:style w:type="paragraph" w:customStyle="1" w:styleId="OMB4">
    <w:name w:val="OMB4"/>
    <w:basedOn w:val="BodyText"/>
    <w:link w:val="OMB4Char"/>
    <w:qFormat/>
    <w:rsid w:val="00FD4E02"/>
    <w:pPr>
      <w:keepNext/>
      <w:keepLines/>
      <w:outlineLvl w:val="3"/>
    </w:pPr>
    <w:rPr>
      <w:sz w:val="22"/>
      <w:szCs w:val="22"/>
      <w:u w:val="single"/>
    </w:rPr>
  </w:style>
  <w:style w:type="paragraph" w:customStyle="1" w:styleId="Publications">
    <w:name w:val="Publications"/>
    <w:basedOn w:val="Normal"/>
    <w:qFormat/>
    <w:rsid w:val="0007582A"/>
    <w:pPr>
      <w:spacing w:after="60"/>
      <w:ind w:left="360" w:hanging="360"/>
    </w:pPr>
    <w:rPr>
      <w:rFonts w:asciiTheme="minorHAnsi" w:hAnsiTheme="minorHAnsi"/>
      <w:snapToGrid w:val="0"/>
      <w:sz w:val="20"/>
      <w:szCs w:val="20"/>
    </w:rPr>
  </w:style>
  <w:style w:type="paragraph" w:customStyle="1" w:styleId="MarkforTableTitle">
    <w:name w:val="Mark for Table Title"/>
    <w:basedOn w:val="Normal"/>
    <w:next w:val="Normal"/>
    <w:qFormat/>
    <w:rsid w:val="00FE440C"/>
    <w:pPr>
      <w:keepNext/>
      <w:spacing w:after="60"/>
    </w:pPr>
    <w:rPr>
      <w:rFonts w:ascii="Arial Black" w:hAnsi="Arial Black"/>
      <w:sz w:val="22"/>
      <w:szCs w:val="20"/>
    </w:rPr>
  </w:style>
  <w:style w:type="paragraph" w:customStyle="1" w:styleId="Brandedtblcel">
    <w:name w:val="Branded_tbl_cel"/>
    <w:basedOn w:val="Normal"/>
    <w:qFormat/>
    <w:rsid w:val="004A47AE"/>
    <w:rPr>
      <w:rFonts w:asciiTheme="minorHAnsi" w:eastAsiaTheme="minorHAnsi" w:hAnsiTheme="minorHAnsi" w:cs="Arial"/>
      <w:sz w:val="20"/>
      <w:szCs w:val="20"/>
    </w:rPr>
  </w:style>
  <w:style w:type="paragraph" w:customStyle="1" w:styleId="Brandedtblhead">
    <w:name w:val="Branded_tbl_head"/>
    <w:basedOn w:val="Normal"/>
    <w:qFormat/>
    <w:rsid w:val="004A47AE"/>
    <w:pPr>
      <w:spacing w:before="120" w:after="40"/>
    </w:pPr>
    <w:rPr>
      <w:rFonts w:asciiTheme="minorHAnsi" w:eastAsiaTheme="minorHAnsi" w:hAnsiTheme="minorHAnsi" w:cs="Arial"/>
      <w:b/>
      <w:bCs/>
      <w:color w:val="FFFFFF"/>
      <w:sz w:val="20"/>
      <w:szCs w:val="20"/>
    </w:rPr>
  </w:style>
  <w:style w:type="paragraph" w:styleId="TOCHeading">
    <w:name w:val="TOC Heading"/>
    <w:basedOn w:val="Heading1"/>
    <w:next w:val="Normal"/>
    <w:uiPriority w:val="39"/>
    <w:unhideWhenUsed/>
    <w:qFormat/>
    <w:rsid w:val="00D57C84"/>
    <w:pPr>
      <w:keepLines/>
      <w:tabs>
        <w:tab w:val="clear" w:pos="1152"/>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customStyle="1" w:styleId="Brandedbody">
    <w:name w:val="Branded_body"/>
    <w:qFormat/>
    <w:rsid w:val="008E1052"/>
    <w:pPr>
      <w:spacing w:after="240"/>
    </w:pPr>
    <w:rPr>
      <w:rFonts w:ascii="Arial" w:eastAsiaTheme="minorHAnsi" w:hAnsi="Arial" w:cs="Arial"/>
      <w:szCs w:val="22"/>
    </w:rPr>
  </w:style>
  <w:style w:type="table" w:styleId="TableGrid">
    <w:name w:val="Table Grid"/>
    <w:basedOn w:val="TableNormal"/>
    <w:rsid w:val="000B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D4E02"/>
    <w:pPr>
      <w:spacing w:after="120"/>
    </w:pPr>
  </w:style>
  <w:style w:type="character" w:customStyle="1" w:styleId="BodyTextChar">
    <w:name w:val="Body Text Char"/>
    <w:basedOn w:val="DefaultParagraphFont"/>
    <w:link w:val="BodyText"/>
    <w:semiHidden/>
    <w:rsid w:val="00FD4E02"/>
    <w:rPr>
      <w:sz w:val="24"/>
      <w:szCs w:val="24"/>
    </w:rPr>
  </w:style>
  <w:style w:type="character" w:customStyle="1" w:styleId="OMB3Char">
    <w:name w:val="OMB3 Char"/>
    <w:basedOn w:val="DefaultParagraphFont"/>
    <w:link w:val="OMB3"/>
    <w:locked/>
    <w:rsid w:val="00FD4E02"/>
    <w:rPr>
      <w:b/>
      <w:i/>
      <w:kern w:val="24"/>
    </w:rPr>
  </w:style>
  <w:style w:type="paragraph" w:customStyle="1" w:styleId="OMB3">
    <w:name w:val="OMB3"/>
    <w:basedOn w:val="ListBullet"/>
    <w:link w:val="OMB3Char"/>
    <w:qFormat/>
    <w:rsid w:val="00FD4E02"/>
    <w:pPr>
      <w:keepNext/>
      <w:keepLines/>
      <w:numPr>
        <w:numId w:val="0"/>
      </w:numPr>
      <w:overflowPunct w:val="0"/>
      <w:autoSpaceDE w:val="0"/>
      <w:autoSpaceDN w:val="0"/>
      <w:adjustRightInd w:val="0"/>
      <w:spacing w:after="120"/>
      <w:outlineLvl w:val="2"/>
    </w:pPr>
    <w:rPr>
      <w:b/>
      <w:i/>
      <w:kern w:val="24"/>
      <w:sz w:val="20"/>
      <w:szCs w:val="20"/>
    </w:rPr>
  </w:style>
  <w:style w:type="character" w:customStyle="1" w:styleId="OMB4Char">
    <w:name w:val="OMB4 Char"/>
    <w:basedOn w:val="BodyTextChar"/>
    <w:link w:val="OMB4"/>
    <w:locked/>
    <w:rsid w:val="00FD4E02"/>
    <w:rPr>
      <w:sz w:val="22"/>
      <w:szCs w:val="22"/>
      <w:u w:val="single"/>
    </w:rPr>
  </w:style>
  <w:style w:type="paragraph" w:customStyle="1" w:styleId="OMB4">
    <w:name w:val="OMB4"/>
    <w:basedOn w:val="BodyText"/>
    <w:link w:val="OMB4Char"/>
    <w:qFormat/>
    <w:rsid w:val="00FD4E02"/>
    <w:pPr>
      <w:keepNext/>
      <w:keepLines/>
      <w:outlineLvl w:val="3"/>
    </w:pPr>
    <w:rPr>
      <w:sz w:val="22"/>
      <w:szCs w:val="22"/>
      <w:u w:val="single"/>
    </w:rPr>
  </w:style>
  <w:style w:type="paragraph" w:customStyle="1" w:styleId="Publications">
    <w:name w:val="Publications"/>
    <w:basedOn w:val="Normal"/>
    <w:qFormat/>
    <w:rsid w:val="0007582A"/>
    <w:pPr>
      <w:spacing w:after="60"/>
      <w:ind w:left="360" w:hanging="360"/>
    </w:pPr>
    <w:rPr>
      <w:rFonts w:asciiTheme="minorHAnsi" w:hAnsiTheme="minorHAnsi"/>
      <w:snapToGrid w:val="0"/>
      <w:sz w:val="20"/>
      <w:szCs w:val="20"/>
    </w:rPr>
  </w:style>
  <w:style w:type="paragraph" w:customStyle="1" w:styleId="MarkforTableTitle">
    <w:name w:val="Mark for Table Title"/>
    <w:basedOn w:val="Normal"/>
    <w:next w:val="Normal"/>
    <w:qFormat/>
    <w:rsid w:val="00FE440C"/>
    <w:pPr>
      <w:keepNext/>
      <w:spacing w:after="60"/>
    </w:pPr>
    <w:rPr>
      <w:rFonts w:ascii="Arial Black" w:hAnsi="Arial Black"/>
      <w:sz w:val="22"/>
      <w:szCs w:val="20"/>
    </w:rPr>
  </w:style>
  <w:style w:type="paragraph" w:customStyle="1" w:styleId="Brandedtblcel">
    <w:name w:val="Branded_tbl_cel"/>
    <w:basedOn w:val="Normal"/>
    <w:qFormat/>
    <w:rsid w:val="004A47AE"/>
    <w:rPr>
      <w:rFonts w:asciiTheme="minorHAnsi" w:eastAsiaTheme="minorHAnsi" w:hAnsiTheme="minorHAnsi" w:cs="Arial"/>
      <w:sz w:val="20"/>
      <w:szCs w:val="20"/>
    </w:rPr>
  </w:style>
  <w:style w:type="paragraph" w:customStyle="1" w:styleId="Brandedtblhead">
    <w:name w:val="Branded_tbl_head"/>
    <w:basedOn w:val="Normal"/>
    <w:qFormat/>
    <w:rsid w:val="004A47AE"/>
    <w:pPr>
      <w:spacing w:before="120" w:after="40"/>
    </w:pPr>
    <w:rPr>
      <w:rFonts w:asciiTheme="minorHAnsi" w:eastAsiaTheme="minorHAnsi" w:hAnsiTheme="minorHAnsi" w:cs="Arial"/>
      <w:b/>
      <w:bCs/>
      <w:color w:val="FFFFFF"/>
      <w:sz w:val="20"/>
      <w:szCs w:val="20"/>
    </w:rPr>
  </w:style>
  <w:style w:type="paragraph" w:styleId="TOCHeading">
    <w:name w:val="TOC Heading"/>
    <w:basedOn w:val="Heading1"/>
    <w:next w:val="Normal"/>
    <w:uiPriority w:val="39"/>
    <w:unhideWhenUsed/>
    <w:qFormat/>
    <w:rsid w:val="00D57C84"/>
    <w:pPr>
      <w:keepLines/>
      <w:tabs>
        <w:tab w:val="clear" w:pos="1152"/>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19139">
      <w:bodyDiv w:val="1"/>
      <w:marLeft w:val="0"/>
      <w:marRight w:val="0"/>
      <w:marTop w:val="0"/>
      <w:marBottom w:val="0"/>
      <w:divBdr>
        <w:top w:val="none" w:sz="0" w:space="0" w:color="auto"/>
        <w:left w:val="none" w:sz="0" w:space="0" w:color="auto"/>
        <w:bottom w:val="none" w:sz="0" w:space="0" w:color="auto"/>
        <w:right w:val="none" w:sz="0" w:space="0" w:color="auto"/>
      </w:divBdr>
      <w:divsChild>
        <w:div w:id="337316699">
          <w:marLeft w:val="0"/>
          <w:marRight w:val="0"/>
          <w:marTop w:val="0"/>
          <w:marBottom w:val="0"/>
          <w:divBdr>
            <w:top w:val="none" w:sz="0" w:space="0" w:color="auto"/>
            <w:left w:val="none" w:sz="0" w:space="0" w:color="auto"/>
            <w:bottom w:val="none" w:sz="0" w:space="0" w:color="auto"/>
            <w:right w:val="none" w:sz="0" w:space="0" w:color="auto"/>
          </w:divBdr>
          <w:divsChild>
            <w:div w:id="644773987">
              <w:marLeft w:val="0"/>
              <w:marRight w:val="0"/>
              <w:marTop w:val="900"/>
              <w:marBottom w:val="0"/>
              <w:divBdr>
                <w:top w:val="none" w:sz="0" w:space="0" w:color="auto"/>
                <w:left w:val="none" w:sz="0" w:space="0" w:color="auto"/>
                <w:bottom w:val="none" w:sz="0" w:space="0" w:color="auto"/>
                <w:right w:val="none" w:sz="0" w:space="0" w:color="auto"/>
              </w:divBdr>
              <w:divsChild>
                <w:div w:id="1830486207">
                  <w:marLeft w:val="0"/>
                  <w:marRight w:val="0"/>
                  <w:marTop w:val="0"/>
                  <w:marBottom w:val="0"/>
                  <w:divBdr>
                    <w:top w:val="none" w:sz="0" w:space="0" w:color="auto"/>
                    <w:left w:val="none" w:sz="0" w:space="0" w:color="auto"/>
                    <w:bottom w:val="none" w:sz="0" w:space="0" w:color="auto"/>
                    <w:right w:val="none" w:sz="0" w:space="0" w:color="auto"/>
                  </w:divBdr>
                  <w:divsChild>
                    <w:div w:id="864102395">
                      <w:marLeft w:val="0"/>
                      <w:marRight w:val="0"/>
                      <w:marTop w:val="0"/>
                      <w:marBottom w:val="0"/>
                      <w:divBdr>
                        <w:top w:val="none" w:sz="0" w:space="0" w:color="auto"/>
                        <w:left w:val="none" w:sz="0" w:space="0" w:color="auto"/>
                        <w:bottom w:val="none" w:sz="0" w:space="0" w:color="auto"/>
                        <w:right w:val="none" w:sz="0" w:space="0" w:color="auto"/>
                      </w:divBdr>
                      <w:divsChild>
                        <w:div w:id="598490618">
                          <w:marLeft w:val="0"/>
                          <w:marRight w:val="0"/>
                          <w:marTop w:val="0"/>
                          <w:marBottom w:val="0"/>
                          <w:divBdr>
                            <w:top w:val="none" w:sz="0" w:space="0" w:color="auto"/>
                            <w:left w:val="none" w:sz="0" w:space="0" w:color="auto"/>
                            <w:bottom w:val="none" w:sz="0" w:space="0" w:color="auto"/>
                            <w:right w:val="none" w:sz="0" w:space="0" w:color="auto"/>
                          </w:divBdr>
                          <w:divsChild>
                            <w:div w:id="460223233">
                              <w:marLeft w:val="0"/>
                              <w:marRight w:val="0"/>
                              <w:marTop w:val="0"/>
                              <w:marBottom w:val="0"/>
                              <w:divBdr>
                                <w:top w:val="none" w:sz="0" w:space="0" w:color="auto"/>
                                <w:left w:val="none" w:sz="0" w:space="0" w:color="auto"/>
                                <w:bottom w:val="none" w:sz="0" w:space="0" w:color="auto"/>
                                <w:right w:val="none" w:sz="0" w:space="0" w:color="auto"/>
                              </w:divBdr>
                              <w:divsChild>
                                <w:div w:id="575557194">
                                  <w:marLeft w:val="0"/>
                                  <w:marRight w:val="0"/>
                                  <w:marTop w:val="0"/>
                                  <w:marBottom w:val="0"/>
                                  <w:divBdr>
                                    <w:top w:val="none" w:sz="0" w:space="0" w:color="auto"/>
                                    <w:left w:val="none" w:sz="0" w:space="0" w:color="auto"/>
                                    <w:bottom w:val="none" w:sz="0" w:space="0" w:color="auto"/>
                                    <w:right w:val="none" w:sz="0" w:space="0" w:color="auto"/>
                                  </w:divBdr>
                                  <w:divsChild>
                                    <w:div w:id="1706835179">
                                      <w:marLeft w:val="0"/>
                                      <w:marRight w:val="0"/>
                                      <w:marTop w:val="0"/>
                                      <w:marBottom w:val="0"/>
                                      <w:divBdr>
                                        <w:top w:val="none" w:sz="0" w:space="0" w:color="auto"/>
                                        <w:left w:val="none" w:sz="0" w:space="0" w:color="auto"/>
                                        <w:bottom w:val="none" w:sz="0" w:space="0" w:color="auto"/>
                                        <w:right w:val="none" w:sz="0" w:space="0" w:color="auto"/>
                                      </w:divBdr>
                                      <w:divsChild>
                                        <w:div w:id="1492722286">
                                          <w:marLeft w:val="0"/>
                                          <w:marRight w:val="0"/>
                                          <w:marTop w:val="15"/>
                                          <w:marBottom w:val="0"/>
                                          <w:divBdr>
                                            <w:top w:val="none" w:sz="0" w:space="0" w:color="auto"/>
                                            <w:left w:val="none" w:sz="0" w:space="0" w:color="auto"/>
                                            <w:bottom w:val="none" w:sz="0" w:space="0" w:color="auto"/>
                                            <w:right w:val="none" w:sz="0" w:space="0" w:color="auto"/>
                                          </w:divBdr>
                                          <w:divsChild>
                                            <w:div w:id="1983147832">
                                              <w:marLeft w:val="0"/>
                                              <w:marRight w:val="0"/>
                                              <w:marTop w:val="0"/>
                                              <w:marBottom w:val="0"/>
                                              <w:divBdr>
                                                <w:top w:val="none" w:sz="0" w:space="0" w:color="auto"/>
                                                <w:left w:val="none" w:sz="0" w:space="0" w:color="auto"/>
                                                <w:bottom w:val="none" w:sz="0" w:space="0" w:color="auto"/>
                                                <w:right w:val="none" w:sz="0" w:space="0" w:color="auto"/>
                                              </w:divBdr>
                                              <w:divsChild>
                                                <w:div w:id="1469663796">
                                                  <w:marLeft w:val="0"/>
                                                  <w:marRight w:val="0"/>
                                                  <w:marTop w:val="0"/>
                                                  <w:marBottom w:val="0"/>
                                                  <w:divBdr>
                                                    <w:top w:val="none" w:sz="0" w:space="0" w:color="auto"/>
                                                    <w:left w:val="none" w:sz="0" w:space="0" w:color="auto"/>
                                                    <w:bottom w:val="none" w:sz="0" w:space="0" w:color="auto"/>
                                                    <w:right w:val="none" w:sz="0" w:space="0" w:color="auto"/>
                                                  </w:divBdr>
                                                </w:div>
                                                <w:div w:id="1118337929">
                                                  <w:marLeft w:val="0"/>
                                                  <w:marRight w:val="0"/>
                                                  <w:marTop w:val="0"/>
                                                  <w:marBottom w:val="0"/>
                                                  <w:divBdr>
                                                    <w:top w:val="none" w:sz="0" w:space="0" w:color="auto"/>
                                                    <w:left w:val="none" w:sz="0" w:space="0" w:color="auto"/>
                                                    <w:bottom w:val="none" w:sz="0" w:space="0" w:color="auto"/>
                                                    <w:right w:val="none" w:sz="0" w:space="0" w:color="auto"/>
                                                  </w:divBdr>
                                                </w:div>
                                                <w:div w:id="1726373374">
                                                  <w:marLeft w:val="0"/>
                                                  <w:marRight w:val="0"/>
                                                  <w:marTop w:val="0"/>
                                                  <w:marBottom w:val="0"/>
                                                  <w:divBdr>
                                                    <w:top w:val="none" w:sz="0" w:space="0" w:color="auto"/>
                                                    <w:left w:val="none" w:sz="0" w:space="0" w:color="auto"/>
                                                    <w:bottom w:val="none" w:sz="0" w:space="0" w:color="auto"/>
                                                    <w:right w:val="none" w:sz="0" w:space="0" w:color="auto"/>
                                                  </w:divBdr>
                                                </w:div>
                                                <w:div w:id="490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59530046">
      <w:bodyDiv w:val="1"/>
      <w:marLeft w:val="0"/>
      <w:marRight w:val="0"/>
      <w:marTop w:val="0"/>
      <w:marBottom w:val="0"/>
      <w:divBdr>
        <w:top w:val="none" w:sz="0" w:space="0" w:color="auto"/>
        <w:left w:val="none" w:sz="0" w:space="0" w:color="auto"/>
        <w:bottom w:val="none" w:sz="0" w:space="0" w:color="auto"/>
        <w:right w:val="none" w:sz="0" w:space="0" w:color="auto"/>
      </w:divBdr>
    </w:div>
    <w:div w:id="1025323764">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062099801">
      <w:bodyDiv w:val="1"/>
      <w:marLeft w:val="0"/>
      <w:marRight w:val="0"/>
      <w:marTop w:val="0"/>
      <w:marBottom w:val="0"/>
      <w:divBdr>
        <w:top w:val="none" w:sz="0" w:space="0" w:color="auto"/>
        <w:left w:val="none" w:sz="0" w:space="0" w:color="auto"/>
        <w:bottom w:val="none" w:sz="0" w:space="0" w:color="auto"/>
        <w:right w:val="none" w:sz="0" w:space="0" w:color="auto"/>
      </w:divBdr>
      <w:divsChild>
        <w:div w:id="1707365427">
          <w:marLeft w:val="0"/>
          <w:marRight w:val="0"/>
          <w:marTop w:val="0"/>
          <w:marBottom w:val="0"/>
          <w:divBdr>
            <w:top w:val="none" w:sz="0" w:space="0" w:color="auto"/>
            <w:left w:val="none" w:sz="0" w:space="0" w:color="auto"/>
            <w:bottom w:val="none" w:sz="0" w:space="0" w:color="auto"/>
            <w:right w:val="none" w:sz="0" w:space="0" w:color="auto"/>
          </w:divBdr>
          <w:divsChild>
            <w:div w:id="1617902422">
              <w:marLeft w:val="0"/>
              <w:marRight w:val="0"/>
              <w:marTop w:val="900"/>
              <w:marBottom w:val="0"/>
              <w:divBdr>
                <w:top w:val="none" w:sz="0" w:space="0" w:color="auto"/>
                <w:left w:val="none" w:sz="0" w:space="0" w:color="auto"/>
                <w:bottom w:val="none" w:sz="0" w:space="0" w:color="auto"/>
                <w:right w:val="none" w:sz="0" w:space="0" w:color="auto"/>
              </w:divBdr>
              <w:divsChild>
                <w:div w:id="720599471">
                  <w:marLeft w:val="0"/>
                  <w:marRight w:val="0"/>
                  <w:marTop w:val="0"/>
                  <w:marBottom w:val="0"/>
                  <w:divBdr>
                    <w:top w:val="none" w:sz="0" w:space="0" w:color="auto"/>
                    <w:left w:val="none" w:sz="0" w:space="0" w:color="auto"/>
                    <w:bottom w:val="none" w:sz="0" w:space="0" w:color="auto"/>
                    <w:right w:val="none" w:sz="0" w:space="0" w:color="auto"/>
                  </w:divBdr>
                  <w:divsChild>
                    <w:div w:id="90198440">
                      <w:marLeft w:val="0"/>
                      <w:marRight w:val="0"/>
                      <w:marTop w:val="0"/>
                      <w:marBottom w:val="0"/>
                      <w:divBdr>
                        <w:top w:val="none" w:sz="0" w:space="0" w:color="auto"/>
                        <w:left w:val="none" w:sz="0" w:space="0" w:color="auto"/>
                        <w:bottom w:val="none" w:sz="0" w:space="0" w:color="auto"/>
                        <w:right w:val="none" w:sz="0" w:space="0" w:color="auto"/>
                      </w:divBdr>
                      <w:divsChild>
                        <w:div w:id="1510408629">
                          <w:marLeft w:val="0"/>
                          <w:marRight w:val="0"/>
                          <w:marTop w:val="0"/>
                          <w:marBottom w:val="0"/>
                          <w:divBdr>
                            <w:top w:val="none" w:sz="0" w:space="0" w:color="auto"/>
                            <w:left w:val="none" w:sz="0" w:space="0" w:color="auto"/>
                            <w:bottom w:val="none" w:sz="0" w:space="0" w:color="auto"/>
                            <w:right w:val="none" w:sz="0" w:space="0" w:color="auto"/>
                          </w:divBdr>
                          <w:divsChild>
                            <w:div w:id="1035615739">
                              <w:marLeft w:val="0"/>
                              <w:marRight w:val="0"/>
                              <w:marTop w:val="0"/>
                              <w:marBottom w:val="0"/>
                              <w:divBdr>
                                <w:top w:val="none" w:sz="0" w:space="0" w:color="auto"/>
                                <w:left w:val="none" w:sz="0" w:space="0" w:color="auto"/>
                                <w:bottom w:val="none" w:sz="0" w:space="0" w:color="auto"/>
                                <w:right w:val="none" w:sz="0" w:space="0" w:color="auto"/>
                              </w:divBdr>
                              <w:divsChild>
                                <w:div w:id="1053309817">
                                  <w:marLeft w:val="0"/>
                                  <w:marRight w:val="0"/>
                                  <w:marTop w:val="0"/>
                                  <w:marBottom w:val="0"/>
                                  <w:divBdr>
                                    <w:top w:val="none" w:sz="0" w:space="0" w:color="auto"/>
                                    <w:left w:val="none" w:sz="0" w:space="0" w:color="auto"/>
                                    <w:bottom w:val="none" w:sz="0" w:space="0" w:color="auto"/>
                                    <w:right w:val="none" w:sz="0" w:space="0" w:color="auto"/>
                                  </w:divBdr>
                                  <w:divsChild>
                                    <w:div w:id="1822113931">
                                      <w:marLeft w:val="0"/>
                                      <w:marRight w:val="0"/>
                                      <w:marTop w:val="0"/>
                                      <w:marBottom w:val="0"/>
                                      <w:divBdr>
                                        <w:top w:val="none" w:sz="0" w:space="0" w:color="auto"/>
                                        <w:left w:val="none" w:sz="0" w:space="0" w:color="auto"/>
                                        <w:bottom w:val="none" w:sz="0" w:space="0" w:color="auto"/>
                                        <w:right w:val="none" w:sz="0" w:space="0" w:color="auto"/>
                                      </w:divBdr>
                                      <w:divsChild>
                                        <w:div w:id="1593008207">
                                          <w:marLeft w:val="0"/>
                                          <w:marRight w:val="0"/>
                                          <w:marTop w:val="15"/>
                                          <w:marBottom w:val="0"/>
                                          <w:divBdr>
                                            <w:top w:val="none" w:sz="0" w:space="0" w:color="auto"/>
                                            <w:left w:val="none" w:sz="0" w:space="0" w:color="auto"/>
                                            <w:bottom w:val="none" w:sz="0" w:space="0" w:color="auto"/>
                                            <w:right w:val="none" w:sz="0" w:space="0" w:color="auto"/>
                                          </w:divBdr>
                                          <w:divsChild>
                                            <w:div w:id="541290469">
                                              <w:marLeft w:val="0"/>
                                              <w:marRight w:val="0"/>
                                              <w:marTop w:val="0"/>
                                              <w:marBottom w:val="0"/>
                                              <w:divBdr>
                                                <w:top w:val="none" w:sz="0" w:space="0" w:color="auto"/>
                                                <w:left w:val="none" w:sz="0" w:space="0" w:color="auto"/>
                                                <w:bottom w:val="none" w:sz="0" w:space="0" w:color="auto"/>
                                                <w:right w:val="none" w:sz="0" w:space="0" w:color="auto"/>
                                              </w:divBdr>
                                              <w:divsChild>
                                                <w:div w:id="1785494626">
                                                  <w:marLeft w:val="0"/>
                                                  <w:marRight w:val="0"/>
                                                  <w:marTop w:val="0"/>
                                                  <w:marBottom w:val="0"/>
                                                  <w:divBdr>
                                                    <w:top w:val="none" w:sz="0" w:space="0" w:color="auto"/>
                                                    <w:left w:val="none" w:sz="0" w:space="0" w:color="auto"/>
                                                    <w:bottom w:val="none" w:sz="0" w:space="0" w:color="auto"/>
                                                    <w:right w:val="none" w:sz="0" w:space="0" w:color="auto"/>
                                                  </w:divBdr>
                                                </w:div>
                                                <w:div w:id="17326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644583031">
      <w:bodyDiv w:val="1"/>
      <w:marLeft w:val="0"/>
      <w:marRight w:val="0"/>
      <w:marTop w:val="0"/>
      <w:marBottom w:val="0"/>
      <w:divBdr>
        <w:top w:val="none" w:sz="0" w:space="0" w:color="auto"/>
        <w:left w:val="none" w:sz="0" w:space="0" w:color="auto"/>
        <w:bottom w:val="none" w:sz="0" w:space="0" w:color="auto"/>
        <w:right w:val="none" w:sz="0" w:space="0" w:color="auto"/>
      </w:divBdr>
      <w:divsChild>
        <w:div w:id="1669362068">
          <w:marLeft w:val="0"/>
          <w:marRight w:val="0"/>
          <w:marTop w:val="0"/>
          <w:marBottom w:val="0"/>
          <w:divBdr>
            <w:top w:val="none" w:sz="0" w:space="0" w:color="auto"/>
            <w:left w:val="none" w:sz="0" w:space="0" w:color="auto"/>
            <w:bottom w:val="none" w:sz="0" w:space="0" w:color="auto"/>
            <w:right w:val="none" w:sz="0" w:space="0" w:color="auto"/>
          </w:divBdr>
          <w:divsChild>
            <w:div w:id="38942539">
              <w:marLeft w:val="0"/>
              <w:marRight w:val="0"/>
              <w:marTop w:val="900"/>
              <w:marBottom w:val="0"/>
              <w:divBdr>
                <w:top w:val="none" w:sz="0" w:space="0" w:color="auto"/>
                <w:left w:val="none" w:sz="0" w:space="0" w:color="auto"/>
                <w:bottom w:val="none" w:sz="0" w:space="0" w:color="auto"/>
                <w:right w:val="none" w:sz="0" w:space="0" w:color="auto"/>
              </w:divBdr>
              <w:divsChild>
                <w:div w:id="1039280197">
                  <w:marLeft w:val="0"/>
                  <w:marRight w:val="0"/>
                  <w:marTop w:val="0"/>
                  <w:marBottom w:val="0"/>
                  <w:divBdr>
                    <w:top w:val="none" w:sz="0" w:space="0" w:color="auto"/>
                    <w:left w:val="none" w:sz="0" w:space="0" w:color="auto"/>
                    <w:bottom w:val="none" w:sz="0" w:space="0" w:color="auto"/>
                    <w:right w:val="none" w:sz="0" w:space="0" w:color="auto"/>
                  </w:divBdr>
                  <w:divsChild>
                    <w:div w:id="173615155">
                      <w:marLeft w:val="0"/>
                      <w:marRight w:val="0"/>
                      <w:marTop w:val="0"/>
                      <w:marBottom w:val="0"/>
                      <w:divBdr>
                        <w:top w:val="none" w:sz="0" w:space="0" w:color="auto"/>
                        <w:left w:val="none" w:sz="0" w:space="0" w:color="auto"/>
                        <w:bottom w:val="none" w:sz="0" w:space="0" w:color="auto"/>
                        <w:right w:val="none" w:sz="0" w:space="0" w:color="auto"/>
                      </w:divBdr>
                      <w:divsChild>
                        <w:div w:id="1977296188">
                          <w:marLeft w:val="0"/>
                          <w:marRight w:val="0"/>
                          <w:marTop w:val="0"/>
                          <w:marBottom w:val="0"/>
                          <w:divBdr>
                            <w:top w:val="none" w:sz="0" w:space="0" w:color="auto"/>
                            <w:left w:val="none" w:sz="0" w:space="0" w:color="auto"/>
                            <w:bottom w:val="none" w:sz="0" w:space="0" w:color="auto"/>
                            <w:right w:val="none" w:sz="0" w:space="0" w:color="auto"/>
                          </w:divBdr>
                          <w:divsChild>
                            <w:div w:id="724185972">
                              <w:marLeft w:val="0"/>
                              <w:marRight w:val="0"/>
                              <w:marTop w:val="0"/>
                              <w:marBottom w:val="0"/>
                              <w:divBdr>
                                <w:top w:val="none" w:sz="0" w:space="0" w:color="auto"/>
                                <w:left w:val="none" w:sz="0" w:space="0" w:color="auto"/>
                                <w:bottom w:val="none" w:sz="0" w:space="0" w:color="auto"/>
                                <w:right w:val="none" w:sz="0" w:space="0" w:color="auto"/>
                              </w:divBdr>
                              <w:divsChild>
                                <w:div w:id="1656371739">
                                  <w:marLeft w:val="0"/>
                                  <w:marRight w:val="0"/>
                                  <w:marTop w:val="0"/>
                                  <w:marBottom w:val="0"/>
                                  <w:divBdr>
                                    <w:top w:val="none" w:sz="0" w:space="0" w:color="auto"/>
                                    <w:left w:val="none" w:sz="0" w:space="0" w:color="auto"/>
                                    <w:bottom w:val="none" w:sz="0" w:space="0" w:color="auto"/>
                                    <w:right w:val="none" w:sz="0" w:space="0" w:color="auto"/>
                                  </w:divBdr>
                                  <w:divsChild>
                                    <w:div w:id="350569299">
                                      <w:marLeft w:val="0"/>
                                      <w:marRight w:val="0"/>
                                      <w:marTop w:val="0"/>
                                      <w:marBottom w:val="0"/>
                                      <w:divBdr>
                                        <w:top w:val="none" w:sz="0" w:space="0" w:color="auto"/>
                                        <w:left w:val="none" w:sz="0" w:space="0" w:color="auto"/>
                                        <w:bottom w:val="none" w:sz="0" w:space="0" w:color="auto"/>
                                        <w:right w:val="none" w:sz="0" w:space="0" w:color="auto"/>
                                      </w:divBdr>
                                      <w:divsChild>
                                        <w:div w:id="2039428654">
                                          <w:marLeft w:val="0"/>
                                          <w:marRight w:val="0"/>
                                          <w:marTop w:val="15"/>
                                          <w:marBottom w:val="0"/>
                                          <w:divBdr>
                                            <w:top w:val="none" w:sz="0" w:space="0" w:color="auto"/>
                                            <w:left w:val="none" w:sz="0" w:space="0" w:color="auto"/>
                                            <w:bottom w:val="none" w:sz="0" w:space="0" w:color="auto"/>
                                            <w:right w:val="none" w:sz="0" w:space="0" w:color="auto"/>
                                          </w:divBdr>
                                          <w:divsChild>
                                            <w:div w:id="1091665011">
                                              <w:marLeft w:val="0"/>
                                              <w:marRight w:val="0"/>
                                              <w:marTop w:val="0"/>
                                              <w:marBottom w:val="0"/>
                                              <w:divBdr>
                                                <w:top w:val="none" w:sz="0" w:space="0" w:color="auto"/>
                                                <w:left w:val="none" w:sz="0" w:space="0" w:color="auto"/>
                                                <w:bottom w:val="none" w:sz="0" w:space="0" w:color="auto"/>
                                                <w:right w:val="none" w:sz="0" w:space="0" w:color="auto"/>
                                              </w:divBdr>
                                              <w:divsChild>
                                                <w:div w:id="1825702425">
                                                  <w:marLeft w:val="0"/>
                                                  <w:marRight w:val="0"/>
                                                  <w:marTop w:val="0"/>
                                                  <w:marBottom w:val="0"/>
                                                  <w:divBdr>
                                                    <w:top w:val="none" w:sz="0" w:space="0" w:color="auto"/>
                                                    <w:left w:val="none" w:sz="0" w:space="0" w:color="auto"/>
                                                    <w:bottom w:val="none" w:sz="0" w:space="0" w:color="auto"/>
                                                    <w:right w:val="none" w:sz="0" w:space="0" w:color="auto"/>
                                                  </w:divBdr>
                                                </w:div>
                                                <w:div w:id="105781046">
                                                  <w:marLeft w:val="0"/>
                                                  <w:marRight w:val="0"/>
                                                  <w:marTop w:val="0"/>
                                                  <w:marBottom w:val="0"/>
                                                  <w:divBdr>
                                                    <w:top w:val="none" w:sz="0" w:space="0" w:color="auto"/>
                                                    <w:left w:val="none" w:sz="0" w:space="0" w:color="auto"/>
                                                    <w:bottom w:val="none" w:sz="0" w:space="0" w:color="auto"/>
                                                    <w:right w:val="none" w:sz="0" w:space="0" w:color="auto"/>
                                                  </w:divBdr>
                                                </w:div>
                                                <w:div w:id="1922716995">
                                                  <w:marLeft w:val="0"/>
                                                  <w:marRight w:val="0"/>
                                                  <w:marTop w:val="0"/>
                                                  <w:marBottom w:val="0"/>
                                                  <w:divBdr>
                                                    <w:top w:val="none" w:sz="0" w:space="0" w:color="auto"/>
                                                    <w:left w:val="none" w:sz="0" w:space="0" w:color="auto"/>
                                                    <w:bottom w:val="none" w:sz="0" w:space="0" w:color="auto"/>
                                                    <w:right w:val="none" w:sz="0" w:space="0" w:color="auto"/>
                                                  </w:divBdr>
                                                </w:div>
                                                <w:div w:id="3251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725714404">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103379681">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2782">
      <w:bodyDiv w:val="1"/>
      <w:marLeft w:val="0"/>
      <w:marRight w:val="0"/>
      <w:marTop w:val="0"/>
      <w:marBottom w:val="0"/>
      <w:divBdr>
        <w:top w:val="none" w:sz="0" w:space="0" w:color="auto"/>
        <w:left w:val="none" w:sz="0" w:space="0" w:color="auto"/>
        <w:bottom w:val="none" w:sz="0" w:space="0" w:color="auto"/>
        <w:right w:val="none" w:sz="0" w:space="0" w:color="auto"/>
      </w:divBdr>
      <w:divsChild>
        <w:div w:id="1190752671">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900"/>
              <w:marBottom w:val="0"/>
              <w:divBdr>
                <w:top w:val="none" w:sz="0" w:space="0" w:color="auto"/>
                <w:left w:val="none" w:sz="0" w:space="0" w:color="auto"/>
                <w:bottom w:val="none" w:sz="0" w:space="0" w:color="auto"/>
                <w:right w:val="none" w:sz="0" w:space="0" w:color="auto"/>
              </w:divBdr>
              <w:divsChild>
                <w:div w:id="661081358">
                  <w:marLeft w:val="0"/>
                  <w:marRight w:val="0"/>
                  <w:marTop w:val="0"/>
                  <w:marBottom w:val="0"/>
                  <w:divBdr>
                    <w:top w:val="none" w:sz="0" w:space="0" w:color="auto"/>
                    <w:left w:val="none" w:sz="0" w:space="0" w:color="auto"/>
                    <w:bottom w:val="none" w:sz="0" w:space="0" w:color="auto"/>
                    <w:right w:val="none" w:sz="0" w:space="0" w:color="auto"/>
                  </w:divBdr>
                  <w:divsChild>
                    <w:div w:id="1032223260">
                      <w:marLeft w:val="0"/>
                      <w:marRight w:val="0"/>
                      <w:marTop w:val="0"/>
                      <w:marBottom w:val="0"/>
                      <w:divBdr>
                        <w:top w:val="none" w:sz="0" w:space="0" w:color="auto"/>
                        <w:left w:val="none" w:sz="0" w:space="0" w:color="auto"/>
                        <w:bottom w:val="none" w:sz="0" w:space="0" w:color="auto"/>
                        <w:right w:val="none" w:sz="0" w:space="0" w:color="auto"/>
                      </w:divBdr>
                      <w:divsChild>
                        <w:div w:id="235090148">
                          <w:marLeft w:val="0"/>
                          <w:marRight w:val="0"/>
                          <w:marTop w:val="0"/>
                          <w:marBottom w:val="0"/>
                          <w:divBdr>
                            <w:top w:val="none" w:sz="0" w:space="0" w:color="auto"/>
                            <w:left w:val="none" w:sz="0" w:space="0" w:color="auto"/>
                            <w:bottom w:val="none" w:sz="0" w:space="0" w:color="auto"/>
                            <w:right w:val="none" w:sz="0" w:space="0" w:color="auto"/>
                          </w:divBdr>
                          <w:divsChild>
                            <w:div w:id="1601990147">
                              <w:marLeft w:val="0"/>
                              <w:marRight w:val="0"/>
                              <w:marTop w:val="0"/>
                              <w:marBottom w:val="0"/>
                              <w:divBdr>
                                <w:top w:val="none" w:sz="0" w:space="0" w:color="auto"/>
                                <w:left w:val="none" w:sz="0" w:space="0" w:color="auto"/>
                                <w:bottom w:val="none" w:sz="0" w:space="0" w:color="auto"/>
                                <w:right w:val="none" w:sz="0" w:space="0" w:color="auto"/>
                              </w:divBdr>
                              <w:divsChild>
                                <w:div w:id="1647665715">
                                  <w:marLeft w:val="0"/>
                                  <w:marRight w:val="0"/>
                                  <w:marTop w:val="0"/>
                                  <w:marBottom w:val="0"/>
                                  <w:divBdr>
                                    <w:top w:val="none" w:sz="0" w:space="0" w:color="auto"/>
                                    <w:left w:val="none" w:sz="0" w:space="0" w:color="auto"/>
                                    <w:bottom w:val="none" w:sz="0" w:space="0" w:color="auto"/>
                                    <w:right w:val="none" w:sz="0" w:space="0" w:color="auto"/>
                                  </w:divBdr>
                                  <w:divsChild>
                                    <w:div w:id="783614939">
                                      <w:marLeft w:val="0"/>
                                      <w:marRight w:val="0"/>
                                      <w:marTop w:val="0"/>
                                      <w:marBottom w:val="0"/>
                                      <w:divBdr>
                                        <w:top w:val="none" w:sz="0" w:space="0" w:color="auto"/>
                                        <w:left w:val="none" w:sz="0" w:space="0" w:color="auto"/>
                                        <w:bottom w:val="none" w:sz="0" w:space="0" w:color="auto"/>
                                        <w:right w:val="none" w:sz="0" w:space="0" w:color="auto"/>
                                      </w:divBdr>
                                      <w:divsChild>
                                        <w:div w:id="2109347653">
                                          <w:marLeft w:val="0"/>
                                          <w:marRight w:val="0"/>
                                          <w:marTop w:val="15"/>
                                          <w:marBottom w:val="0"/>
                                          <w:divBdr>
                                            <w:top w:val="none" w:sz="0" w:space="0" w:color="auto"/>
                                            <w:left w:val="none" w:sz="0" w:space="0" w:color="auto"/>
                                            <w:bottom w:val="none" w:sz="0" w:space="0" w:color="auto"/>
                                            <w:right w:val="none" w:sz="0" w:space="0" w:color="auto"/>
                                          </w:divBdr>
                                          <w:divsChild>
                                            <w:div w:id="2135514579">
                                              <w:marLeft w:val="0"/>
                                              <w:marRight w:val="0"/>
                                              <w:marTop w:val="0"/>
                                              <w:marBottom w:val="0"/>
                                              <w:divBdr>
                                                <w:top w:val="none" w:sz="0" w:space="0" w:color="auto"/>
                                                <w:left w:val="none" w:sz="0" w:space="0" w:color="auto"/>
                                                <w:bottom w:val="none" w:sz="0" w:space="0" w:color="auto"/>
                                                <w:right w:val="none" w:sz="0" w:space="0" w:color="auto"/>
                                              </w:divBdr>
                                              <w:divsChild>
                                                <w:div w:id="91047113">
                                                  <w:marLeft w:val="0"/>
                                                  <w:marRight w:val="0"/>
                                                  <w:marTop w:val="0"/>
                                                  <w:marBottom w:val="0"/>
                                                  <w:divBdr>
                                                    <w:top w:val="none" w:sz="0" w:space="0" w:color="auto"/>
                                                    <w:left w:val="none" w:sz="0" w:space="0" w:color="auto"/>
                                                    <w:bottom w:val="none" w:sz="0" w:space="0" w:color="auto"/>
                                                    <w:right w:val="none" w:sz="0" w:space="0" w:color="auto"/>
                                                  </w:divBdr>
                                                </w:div>
                                                <w:div w:id="1963880838">
                                                  <w:marLeft w:val="0"/>
                                                  <w:marRight w:val="0"/>
                                                  <w:marTop w:val="0"/>
                                                  <w:marBottom w:val="0"/>
                                                  <w:divBdr>
                                                    <w:top w:val="none" w:sz="0" w:space="0" w:color="auto"/>
                                                    <w:left w:val="none" w:sz="0" w:space="0" w:color="auto"/>
                                                    <w:bottom w:val="none" w:sz="0" w:space="0" w:color="auto"/>
                                                    <w:right w:val="none" w:sz="0" w:space="0" w:color="auto"/>
                                                  </w:divBdr>
                                                </w:div>
                                                <w:div w:id="1463768887">
                                                  <w:marLeft w:val="0"/>
                                                  <w:marRight w:val="0"/>
                                                  <w:marTop w:val="0"/>
                                                  <w:marBottom w:val="0"/>
                                                  <w:divBdr>
                                                    <w:top w:val="none" w:sz="0" w:space="0" w:color="auto"/>
                                                    <w:left w:val="none" w:sz="0" w:space="0" w:color="auto"/>
                                                    <w:bottom w:val="none" w:sz="0" w:space="0" w:color="auto"/>
                                                    <w:right w:val="none" w:sz="0" w:space="0" w:color="auto"/>
                                                  </w:divBdr>
                                                </w:div>
                                                <w:div w:id="18725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dx.doi.org/10.1016/j.drugalcdep.2008.02.0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drugoverdose/epidemi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hsa.gov/data/" TargetMode="External"/><Relationship Id="rId4" Type="http://schemas.microsoft.com/office/2007/relationships/stylesWithEffects" Target="stylesWithEffects.xml"/><Relationship Id="rId9" Type="http://schemas.openxmlformats.org/officeDocument/2006/relationships/hyperlink" Target="https://www.cdc.gov/budget/documents/fy2016/fy-2016-cdc-congressional-justification.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F4A1F-8050-4B8E-A17B-E789A0E2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5191</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34711</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Thigpen, Sally (CDC/ONDIEH/NCIPC)</dc:creator>
  <cp:lastModifiedBy>SYSTEM</cp:lastModifiedBy>
  <cp:revision>2</cp:revision>
  <cp:lastPrinted>2018-03-08T16:27:00Z</cp:lastPrinted>
  <dcterms:created xsi:type="dcterms:W3CDTF">2018-03-15T12:47:00Z</dcterms:created>
  <dcterms:modified xsi:type="dcterms:W3CDTF">2018-03-15T12:47:00Z</dcterms:modified>
</cp:coreProperties>
</file>