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F909C" w14:textId="3027B0E5" w:rsidR="00667C89" w:rsidRDefault="00667C89" w:rsidP="00A1453A">
      <w:pPr>
        <w:ind w:left="0"/>
      </w:pPr>
      <w:bookmarkStart w:id="0" w:name="_GoBack"/>
      <w:bookmarkEnd w:id="0"/>
    </w:p>
    <w:p w14:paraId="7DBA13E9" w14:textId="43BB1611" w:rsidR="0091556E" w:rsidRDefault="0091556E" w:rsidP="00A1453A">
      <w:pPr>
        <w:ind w:left="0"/>
      </w:pPr>
    </w:p>
    <w:p w14:paraId="7B4A5780" w14:textId="5842916D" w:rsidR="0091556E" w:rsidRDefault="0091556E" w:rsidP="00A1453A">
      <w:pPr>
        <w:ind w:left="0"/>
      </w:pPr>
    </w:p>
    <w:p w14:paraId="0CD1DA6B" w14:textId="7ADE3A37" w:rsidR="0091556E" w:rsidRDefault="0091556E" w:rsidP="00A1453A">
      <w:pPr>
        <w:ind w:left="0"/>
      </w:pPr>
    </w:p>
    <w:p w14:paraId="3A6C4B03" w14:textId="77285AB5" w:rsidR="0091556E" w:rsidRDefault="0091556E" w:rsidP="00A1453A">
      <w:pPr>
        <w:ind w:left="0"/>
      </w:pPr>
    </w:p>
    <w:p w14:paraId="622CC7FD" w14:textId="613E00EF" w:rsidR="0091556E" w:rsidRDefault="0091556E" w:rsidP="00A1453A">
      <w:pPr>
        <w:ind w:left="0"/>
      </w:pPr>
    </w:p>
    <w:p w14:paraId="22B6AA97" w14:textId="714B82B3" w:rsidR="0091556E" w:rsidRDefault="0091556E" w:rsidP="00A1453A">
      <w:pPr>
        <w:ind w:left="0"/>
      </w:pPr>
    </w:p>
    <w:p w14:paraId="0CC23A04" w14:textId="1202B1A2" w:rsidR="0091556E" w:rsidRDefault="0091556E" w:rsidP="00A1453A">
      <w:pPr>
        <w:ind w:left="0"/>
      </w:pPr>
    </w:p>
    <w:p w14:paraId="6BDB8D95" w14:textId="77777777" w:rsidR="009B4A51" w:rsidRDefault="009B4A51" w:rsidP="004135D5">
      <w:pPr>
        <w:pStyle w:val="Heading6"/>
      </w:pPr>
    </w:p>
    <w:p w14:paraId="60D36FF5" w14:textId="77777777" w:rsidR="00A1453A" w:rsidRPr="00A1453A" w:rsidRDefault="00A1453A" w:rsidP="00A1453A"/>
    <w:p w14:paraId="2A7AFA53" w14:textId="77777777" w:rsidR="009B4A51" w:rsidRDefault="009B4A51" w:rsidP="00CA5840">
      <w:pPr>
        <w:ind w:left="0"/>
      </w:pPr>
    </w:p>
    <w:p w14:paraId="4AE20058" w14:textId="2F58F01B" w:rsidR="00716F94" w:rsidRPr="004E0469" w:rsidRDefault="00C200A5" w:rsidP="00CA5840">
      <w:pPr>
        <w:pStyle w:val="Heading1"/>
        <w:ind w:left="0"/>
      </w:pPr>
      <w:r w:rsidRPr="004E0469">
        <w:t xml:space="preserve">NSSP BioSense Platform User </w:t>
      </w:r>
      <w:r w:rsidR="0091556E" w:rsidRPr="004E0469">
        <w:t>Assessment</w:t>
      </w:r>
      <w:r w:rsidR="00526B17" w:rsidRPr="004E0469">
        <w:t>: Functionality and Utility</w:t>
      </w:r>
    </w:p>
    <w:p w14:paraId="5B3400AA" w14:textId="77777777" w:rsidR="00AA3192" w:rsidRPr="004E0469" w:rsidRDefault="00AA3192" w:rsidP="00CA5840">
      <w:pPr>
        <w:ind w:left="0"/>
      </w:pPr>
    </w:p>
    <w:p w14:paraId="750A6BA5" w14:textId="104DC425" w:rsidR="00716F94" w:rsidRPr="00AA3192" w:rsidRDefault="00484011" w:rsidP="00CA5840">
      <w:pPr>
        <w:ind w:left="0"/>
        <w:jc w:val="center"/>
      </w:pPr>
      <w:r w:rsidRPr="00AA3192">
        <w:t>OSTL</w:t>
      </w:r>
      <w:r w:rsidR="00316F00">
        <w:t>TS Generic Information Collection</w:t>
      </w:r>
      <w:r w:rsidRPr="00AA3192">
        <w:t xml:space="preserve"> Request</w:t>
      </w:r>
    </w:p>
    <w:p w14:paraId="2BD09CBE" w14:textId="3FF3092F" w:rsidR="00484011" w:rsidRPr="00AA3192" w:rsidRDefault="00484011" w:rsidP="00CA5840">
      <w:pPr>
        <w:ind w:left="0"/>
        <w:jc w:val="center"/>
      </w:pPr>
      <w:r w:rsidRPr="00AA3192">
        <w:t>OMB No. 0920-0879</w:t>
      </w:r>
    </w:p>
    <w:p w14:paraId="7D19EBFA" w14:textId="77777777" w:rsidR="009B4A51" w:rsidRDefault="009B4A51" w:rsidP="00CA5840">
      <w:pPr>
        <w:ind w:left="0"/>
      </w:pPr>
    </w:p>
    <w:p w14:paraId="667ED68C" w14:textId="77777777" w:rsidR="00AA3192" w:rsidRDefault="00AA3192" w:rsidP="00CA5840">
      <w:pPr>
        <w:ind w:left="0"/>
      </w:pPr>
    </w:p>
    <w:p w14:paraId="2AF99519" w14:textId="5EC7DFA9" w:rsidR="009B4A51" w:rsidRDefault="009B4A51" w:rsidP="00A1453A">
      <w:pPr>
        <w:pStyle w:val="Heading2"/>
        <w:ind w:left="0"/>
      </w:pPr>
      <w:r w:rsidRPr="007D6163">
        <w:t>Supporting Statement – Section A</w:t>
      </w:r>
    </w:p>
    <w:p w14:paraId="43D9AA90" w14:textId="77777777" w:rsidR="00187D5A" w:rsidRDefault="00187D5A" w:rsidP="00CA5840">
      <w:pPr>
        <w:ind w:left="0"/>
      </w:pPr>
    </w:p>
    <w:p w14:paraId="193922F5" w14:textId="7F877247" w:rsidR="009C58F2" w:rsidRDefault="009B4A51" w:rsidP="00CA5840">
      <w:pPr>
        <w:ind w:left="0"/>
        <w:jc w:val="center"/>
        <w:rPr>
          <w:color w:val="0070C0"/>
        </w:rPr>
      </w:pPr>
      <w:r w:rsidRPr="00AA3192">
        <w:t>Submitted:</w:t>
      </w:r>
      <w:r w:rsidRPr="00713412">
        <w:rPr>
          <w:color w:val="0070C0"/>
        </w:rPr>
        <w:t xml:space="preserve"> </w:t>
      </w:r>
      <w:r w:rsidR="00031B4D">
        <w:t>April 30, 2019</w:t>
      </w:r>
    </w:p>
    <w:p w14:paraId="5EBBF795" w14:textId="77777777" w:rsidR="009B4A51" w:rsidRDefault="009B4A51" w:rsidP="007D6163"/>
    <w:p w14:paraId="6C1603A4" w14:textId="77777777" w:rsidR="00AA3192" w:rsidRDefault="00AA3192" w:rsidP="00A1453A">
      <w:pPr>
        <w:ind w:left="0"/>
      </w:pPr>
    </w:p>
    <w:p w14:paraId="239695BA" w14:textId="77777777" w:rsidR="00A1453A" w:rsidRDefault="00A1453A" w:rsidP="00A1453A">
      <w:pPr>
        <w:ind w:left="0"/>
      </w:pPr>
    </w:p>
    <w:p w14:paraId="62FAD0D1" w14:textId="655DBC27" w:rsidR="009B4A51" w:rsidRDefault="009B4A51" w:rsidP="007D6163"/>
    <w:p w14:paraId="58080C18" w14:textId="2C77A7C3" w:rsidR="0091556E" w:rsidRDefault="0091556E" w:rsidP="007D6163"/>
    <w:p w14:paraId="056BA5B5" w14:textId="7A4DF5AC" w:rsidR="0091556E" w:rsidRDefault="0091556E" w:rsidP="007D6163"/>
    <w:p w14:paraId="1BD6B51B" w14:textId="63D1E773" w:rsidR="0091556E" w:rsidRDefault="0091556E" w:rsidP="007D6163"/>
    <w:p w14:paraId="06A9117B" w14:textId="4F8A5D3A" w:rsidR="0091556E" w:rsidRDefault="0091556E" w:rsidP="007D6163"/>
    <w:p w14:paraId="0A275A6F" w14:textId="299CB8A6" w:rsidR="0091556E" w:rsidRDefault="0091556E" w:rsidP="007D6163"/>
    <w:p w14:paraId="7C647093" w14:textId="7737BCC6" w:rsidR="0091556E" w:rsidRDefault="0091556E" w:rsidP="007D6163"/>
    <w:p w14:paraId="3051E447" w14:textId="77777777" w:rsidR="0091556E" w:rsidRDefault="0091556E" w:rsidP="007D6163"/>
    <w:p w14:paraId="4B29D05F"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47C455F4" w14:textId="77777777" w:rsidR="00C200A5" w:rsidRPr="004E0469" w:rsidRDefault="00C200A5" w:rsidP="00C200A5">
      <w:pPr>
        <w:ind w:left="0"/>
      </w:pPr>
      <w:r w:rsidRPr="004E0469">
        <w:t>Hussain Yusuf, M.D., M.P.H.</w:t>
      </w:r>
    </w:p>
    <w:p w14:paraId="52225ECF" w14:textId="77777777" w:rsidR="00C200A5" w:rsidRPr="004E0469" w:rsidRDefault="00C200A5" w:rsidP="00C200A5">
      <w:pPr>
        <w:ind w:left="0"/>
      </w:pPr>
      <w:r w:rsidRPr="004E0469">
        <w:t>Team Leader, Program Evaluation Team</w:t>
      </w:r>
    </w:p>
    <w:p w14:paraId="0B9C1DFE" w14:textId="77777777" w:rsidR="00C200A5" w:rsidRPr="004E0469" w:rsidRDefault="00C200A5" w:rsidP="00C200A5">
      <w:pPr>
        <w:ind w:left="0"/>
      </w:pPr>
      <w:r w:rsidRPr="004E0469">
        <w:t>Partnerships and Evaluation Branch</w:t>
      </w:r>
    </w:p>
    <w:p w14:paraId="7F37573C" w14:textId="77777777" w:rsidR="00C200A5" w:rsidRPr="004E0469" w:rsidRDefault="00C200A5" w:rsidP="00C200A5">
      <w:pPr>
        <w:ind w:left="0"/>
      </w:pPr>
      <w:r w:rsidRPr="004E0469">
        <w:t>Division of Health Informatics and Surveillance, CSELS, OPHSS</w:t>
      </w:r>
    </w:p>
    <w:p w14:paraId="091AA152" w14:textId="77777777" w:rsidR="00C200A5" w:rsidRPr="004E0469" w:rsidRDefault="00C200A5" w:rsidP="00C200A5">
      <w:pPr>
        <w:ind w:left="0"/>
      </w:pPr>
      <w:r w:rsidRPr="004E0469">
        <w:t>Centers for Disease Control and Prevention</w:t>
      </w:r>
    </w:p>
    <w:p w14:paraId="5DAB7877" w14:textId="77777777" w:rsidR="00C200A5" w:rsidRPr="004E0469" w:rsidRDefault="00C200A5" w:rsidP="00C200A5">
      <w:pPr>
        <w:ind w:left="0"/>
      </w:pPr>
      <w:r w:rsidRPr="004E0469">
        <w:t>1600 Clifton Rd., N.E., MS-E91, Atlanta, Ga 30333</w:t>
      </w:r>
    </w:p>
    <w:p w14:paraId="1639577B" w14:textId="77777777" w:rsidR="00C200A5" w:rsidRPr="004E0469" w:rsidRDefault="00C200A5" w:rsidP="00C200A5">
      <w:pPr>
        <w:ind w:left="0"/>
      </w:pPr>
      <w:r w:rsidRPr="004E0469">
        <w:t>Phone: Office 404-498-6642; Mobile 470-455-7104; PEB Mainline: 404-498-6460</w:t>
      </w:r>
    </w:p>
    <w:p w14:paraId="18A61518" w14:textId="7EA6DB78" w:rsidR="000B0962" w:rsidRPr="004E0469" w:rsidRDefault="00C200A5" w:rsidP="00383542">
      <w:pPr>
        <w:ind w:left="0"/>
      </w:pPr>
      <w:r w:rsidRPr="004E0469">
        <w:t>Email: hay0@cdc.gov</w:t>
      </w:r>
    </w:p>
    <w:p w14:paraId="0284F6EC" w14:textId="4CDFFF53" w:rsidR="003860A5" w:rsidRPr="009C58F2" w:rsidRDefault="00CA5840" w:rsidP="000C66A1">
      <w:pPr>
        <w:tabs>
          <w:tab w:val="clear" w:pos="9360"/>
        </w:tabs>
        <w:spacing w:after="200"/>
        <w:ind w:left="0"/>
        <w:rPr>
          <w:b/>
        </w:rPr>
      </w:pPr>
      <w:r>
        <w:br w:type="page"/>
      </w:r>
      <w:bookmarkStart w:id="1" w:name="_Toc427752811"/>
      <w:r w:rsidR="003860A5" w:rsidRPr="009C58F2">
        <w:rPr>
          <w:b/>
        </w:rPr>
        <w:lastRenderedPageBreak/>
        <w:t>Table of Contents</w:t>
      </w:r>
      <w:bookmarkEnd w:id="1"/>
    </w:p>
    <w:p w14:paraId="42015CEE" w14:textId="77777777" w:rsidR="003860A5" w:rsidRPr="003860A5" w:rsidRDefault="003860A5" w:rsidP="003860A5"/>
    <w:p w14:paraId="4956DBD9" w14:textId="495C0869"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FE602B">
          <w:rPr>
            <w:noProof/>
            <w:webHidden/>
          </w:rPr>
          <w:t>2</w:t>
        </w:r>
        <w:r w:rsidR="00CC4DAB">
          <w:rPr>
            <w:noProof/>
            <w:webHidden/>
          </w:rPr>
          <w:fldChar w:fldCharType="end"/>
        </w:r>
      </w:hyperlink>
    </w:p>
    <w:p w14:paraId="243CE5F5" w14:textId="6ABB92D0" w:rsidR="00CC4DAB" w:rsidRDefault="00212585">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5F56CC">
          <w:rPr>
            <w:noProof/>
            <w:webHidden/>
          </w:rPr>
          <w:t>4</w:t>
        </w:r>
      </w:hyperlink>
    </w:p>
    <w:p w14:paraId="4F4E9E7A" w14:textId="38FC1A44" w:rsidR="00CC4DAB" w:rsidRDefault="00212585">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5F56CC">
          <w:rPr>
            <w:noProof/>
            <w:webHidden/>
          </w:rPr>
          <w:t>4</w:t>
        </w:r>
      </w:hyperlink>
    </w:p>
    <w:p w14:paraId="16228A2F" w14:textId="43406E03" w:rsidR="00CC4DAB" w:rsidRDefault="00212585">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FE602B">
          <w:rPr>
            <w:noProof/>
            <w:webHidden/>
          </w:rPr>
          <w:t>6</w:t>
        </w:r>
        <w:r w:rsidR="00CC4DAB">
          <w:rPr>
            <w:noProof/>
            <w:webHidden/>
          </w:rPr>
          <w:fldChar w:fldCharType="end"/>
        </w:r>
      </w:hyperlink>
    </w:p>
    <w:p w14:paraId="461BFB13" w14:textId="54380FB3" w:rsidR="00CC4DAB" w:rsidRDefault="00212585">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FE602B">
          <w:rPr>
            <w:noProof/>
            <w:webHidden/>
          </w:rPr>
          <w:t>6</w:t>
        </w:r>
        <w:r w:rsidR="00CC4DAB">
          <w:rPr>
            <w:noProof/>
            <w:webHidden/>
          </w:rPr>
          <w:fldChar w:fldCharType="end"/>
        </w:r>
      </w:hyperlink>
    </w:p>
    <w:p w14:paraId="3A7BE51D" w14:textId="1F82D2E8" w:rsidR="00CC4DAB" w:rsidRDefault="00212585">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FE602B">
          <w:rPr>
            <w:noProof/>
            <w:webHidden/>
          </w:rPr>
          <w:t>6</w:t>
        </w:r>
        <w:r w:rsidR="00CC4DAB">
          <w:rPr>
            <w:noProof/>
            <w:webHidden/>
          </w:rPr>
          <w:fldChar w:fldCharType="end"/>
        </w:r>
      </w:hyperlink>
    </w:p>
    <w:p w14:paraId="3E1161E0" w14:textId="40B4C8D2" w:rsidR="00CC4DAB" w:rsidRDefault="00212585">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FE602B">
          <w:rPr>
            <w:noProof/>
            <w:webHidden/>
          </w:rPr>
          <w:t>8</w:t>
        </w:r>
        <w:r w:rsidR="00CC4DAB">
          <w:rPr>
            <w:noProof/>
            <w:webHidden/>
          </w:rPr>
          <w:fldChar w:fldCharType="end"/>
        </w:r>
      </w:hyperlink>
    </w:p>
    <w:p w14:paraId="3BE4AE22" w14:textId="50F14360" w:rsidR="00CC4DAB" w:rsidRDefault="00212585">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FE602B">
          <w:rPr>
            <w:noProof/>
            <w:webHidden/>
          </w:rPr>
          <w:t>8</w:t>
        </w:r>
        <w:r w:rsidR="00CC4DAB">
          <w:rPr>
            <w:noProof/>
            <w:webHidden/>
          </w:rPr>
          <w:fldChar w:fldCharType="end"/>
        </w:r>
      </w:hyperlink>
    </w:p>
    <w:p w14:paraId="4EF92D6F" w14:textId="7CF6C8EB" w:rsidR="00CC4DAB" w:rsidRDefault="00212585">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FE602B">
          <w:rPr>
            <w:noProof/>
            <w:webHidden/>
          </w:rPr>
          <w:t>8</w:t>
        </w:r>
        <w:r w:rsidR="00CC4DAB">
          <w:rPr>
            <w:noProof/>
            <w:webHidden/>
          </w:rPr>
          <w:fldChar w:fldCharType="end"/>
        </w:r>
      </w:hyperlink>
    </w:p>
    <w:p w14:paraId="4850E86B" w14:textId="5FAD58EA" w:rsidR="00CC4DAB" w:rsidRDefault="00212585">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FE602B">
          <w:rPr>
            <w:noProof/>
            <w:webHidden/>
          </w:rPr>
          <w:t>8</w:t>
        </w:r>
        <w:r w:rsidR="00CC4DAB">
          <w:rPr>
            <w:noProof/>
            <w:webHidden/>
          </w:rPr>
          <w:fldChar w:fldCharType="end"/>
        </w:r>
      </w:hyperlink>
    </w:p>
    <w:p w14:paraId="62F13CB1" w14:textId="432046F9" w:rsidR="00CC4DAB" w:rsidRDefault="00212585">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FE602B">
          <w:rPr>
            <w:noProof/>
            <w:webHidden/>
          </w:rPr>
          <w:t>8</w:t>
        </w:r>
        <w:r w:rsidR="00CC4DAB">
          <w:rPr>
            <w:noProof/>
            <w:webHidden/>
          </w:rPr>
          <w:fldChar w:fldCharType="end"/>
        </w:r>
      </w:hyperlink>
    </w:p>
    <w:p w14:paraId="5BB23AC0" w14:textId="55172B17" w:rsidR="00CC4DAB" w:rsidRDefault="00212585">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FE602B">
          <w:rPr>
            <w:noProof/>
            <w:webHidden/>
          </w:rPr>
          <w:t>9</w:t>
        </w:r>
        <w:r w:rsidR="00CC4DAB">
          <w:rPr>
            <w:noProof/>
            <w:webHidden/>
          </w:rPr>
          <w:fldChar w:fldCharType="end"/>
        </w:r>
      </w:hyperlink>
    </w:p>
    <w:p w14:paraId="5F84B988" w14:textId="288C74FC" w:rsidR="00CC4DAB" w:rsidRDefault="00212585">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FE602B">
          <w:rPr>
            <w:noProof/>
            <w:webHidden/>
          </w:rPr>
          <w:t>9</w:t>
        </w:r>
        <w:r w:rsidR="00CC4DAB">
          <w:rPr>
            <w:noProof/>
            <w:webHidden/>
          </w:rPr>
          <w:fldChar w:fldCharType="end"/>
        </w:r>
      </w:hyperlink>
    </w:p>
    <w:p w14:paraId="01CE71D3" w14:textId="43CDCFA3" w:rsidR="00CC4DAB" w:rsidRDefault="00212585">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FE602B">
          <w:rPr>
            <w:noProof/>
            <w:webHidden/>
          </w:rPr>
          <w:t>9</w:t>
        </w:r>
        <w:r w:rsidR="00CC4DAB">
          <w:rPr>
            <w:noProof/>
            <w:webHidden/>
          </w:rPr>
          <w:fldChar w:fldCharType="end"/>
        </w:r>
      </w:hyperlink>
    </w:p>
    <w:p w14:paraId="67F14FD7" w14:textId="3472640F" w:rsidR="00CC4DAB" w:rsidRDefault="00212585">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FE602B">
          <w:rPr>
            <w:noProof/>
            <w:webHidden/>
          </w:rPr>
          <w:t>10</w:t>
        </w:r>
        <w:r w:rsidR="00CC4DAB">
          <w:rPr>
            <w:noProof/>
            <w:webHidden/>
          </w:rPr>
          <w:fldChar w:fldCharType="end"/>
        </w:r>
      </w:hyperlink>
    </w:p>
    <w:p w14:paraId="2F90E10C" w14:textId="25FE75DD" w:rsidR="00CC4DAB" w:rsidRDefault="00212585">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FE602B">
          <w:rPr>
            <w:noProof/>
            <w:webHidden/>
          </w:rPr>
          <w:t>10</w:t>
        </w:r>
        <w:r w:rsidR="00CC4DAB">
          <w:rPr>
            <w:noProof/>
            <w:webHidden/>
          </w:rPr>
          <w:fldChar w:fldCharType="end"/>
        </w:r>
      </w:hyperlink>
    </w:p>
    <w:p w14:paraId="64165017" w14:textId="14E54966" w:rsidR="00CC4DAB" w:rsidRDefault="00212585">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FE602B">
          <w:rPr>
            <w:noProof/>
            <w:webHidden/>
          </w:rPr>
          <w:t>10</w:t>
        </w:r>
        <w:r w:rsidR="00CC4DAB">
          <w:rPr>
            <w:noProof/>
            <w:webHidden/>
          </w:rPr>
          <w:fldChar w:fldCharType="end"/>
        </w:r>
      </w:hyperlink>
    </w:p>
    <w:p w14:paraId="470B6E2D" w14:textId="2DBEEFA4" w:rsidR="00CC4DAB" w:rsidRDefault="00212585">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FE602B">
          <w:rPr>
            <w:noProof/>
            <w:webHidden/>
          </w:rPr>
          <w:t>10</w:t>
        </w:r>
        <w:r w:rsidR="00CC4DAB">
          <w:rPr>
            <w:noProof/>
            <w:webHidden/>
          </w:rPr>
          <w:fldChar w:fldCharType="end"/>
        </w:r>
      </w:hyperlink>
    </w:p>
    <w:p w14:paraId="1C8E9CCD" w14:textId="674465C0" w:rsidR="00CC4DAB" w:rsidRDefault="00212585">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FE602B">
          <w:rPr>
            <w:noProof/>
            <w:webHidden/>
          </w:rPr>
          <w:t>11</w:t>
        </w:r>
        <w:r w:rsidR="00CC4DAB">
          <w:rPr>
            <w:noProof/>
            <w:webHidden/>
          </w:rPr>
          <w:fldChar w:fldCharType="end"/>
        </w:r>
      </w:hyperlink>
    </w:p>
    <w:p w14:paraId="26221FE5" w14:textId="3A07E6C7" w:rsidR="00CC4DAB" w:rsidRDefault="00212585">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FE602B">
          <w:rPr>
            <w:noProof/>
            <w:webHidden/>
          </w:rPr>
          <w:t>11</w:t>
        </w:r>
        <w:r w:rsidR="00CC4DAB">
          <w:rPr>
            <w:noProof/>
            <w:webHidden/>
          </w:rPr>
          <w:fldChar w:fldCharType="end"/>
        </w:r>
      </w:hyperlink>
    </w:p>
    <w:p w14:paraId="062E493F" w14:textId="44A90827" w:rsidR="00CC4DAB" w:rsidRDefault="00212585">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FE602B">
          <w:rPr>
            <w:noProof/>
            <w:webHidden/>
          </w:rPr>
          <w:t>11</w:t>
        </w:r>
        <w:r w:rsidR="00CC4DAB">
          <w:rPr>
            <w:noProof/>
            <w:webHidden/>
          </w:rPr>
          <w:fldChar w:fldCharType="end"/>
        </w:r>
      </w:hyperlink>
    </w:p>
    <w:p w14:paraId="38BC9A14" w14:textId="47FDDC5D" w:rsidR="00CC4DAB" w:rsidRDefault="00212585">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FE602B">
          <w:rPr>
            <w:noProof/>
            <w:webHidden/>
          </w:rPr>
          <w:t>11</w:t>
        </w:r>
        <w:r w:rsidR="00CC4DAB">
          <w:rPr>
            <w:noProof/>
            <w:webHidden/>
          </w:rPr>
          <w:fldChar w:fldCharType="end"/>
        </w:r>
      </w:hyperlink>
    </w:p>
    <w:p w14:paraId="366FC0D7" w14:textId="77777777" w:rsidR="003860A5" w:rsidRDefault="003860A5" w:rsidP="00CA5840">
      <w:pPr>
        <w:pStyle w:val="Heading3"/>
        <w:ind w:left="0"/>
      </w:pPr>
      <w:r>
        <w:fldChar w:fldCharType="end"/>
      </w:r>
    </w:p>
    <w:p w14:paraId="7845CE32" w14:textId="1377E7CE"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15F56A7F" wp14:editId="3D3A9208">
                <wp:extent cx="6162675" cy="52578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257800"/>
                        </a:xfrm>
                        <a:prstGeom prst="rect">
                          <a:avLst/>
                        </a:prstGeom>
                        <a:solidFill>
                          <a:srgbClr val="FFFFFF"/>
                        </a:solidFill>
                        <a:ln w="9525">
                          <a:solidFill>
                            <a:srgbClr val="000000"/>
                          </a:solidFill>
                          <a:miter lim="800000"/>
                          <a:headEnd/>
                          <a:tailEnd/>
                        </a:ln>
                      </wps:spPr>
                      <wps:txbx>
                        <w:txbxContent>
                          <w:p w14:paraId="5AAF8452" w14:textId="77777777" w:rsidR="0006125E" w:rsidRPr="00F12FA5" w:rsidRDefault="0006125E" w:rsidP="000C66A1">
                            <w:pPr>
                              <w:numPr>
                                <w:ilvl w:val="0"/>
                                <w:numId w:val="8"/>
                              </w:numPr>
                              <w:tabs>
                                <w:tab w:val="left" w:pos="720"/>
                              </w:tabs>
                              <w:spacing w:after="200"/>
                              <w:contextualSpacing/>
                            </w:pPr>
                            <w:r w:rsidRPr="00F12FA5">
                              <w:rPr>
                                <w:b/>
                              </w:rPr>
                              <w:t xml:space="preserve">Purpose of the information collection </w:t>
                            </w:r>
                          </w:p>
                          <w:p w14:paraId="1A741AED" w14:textId="2EDF01D5" w:rsidR="0006125E" w:rsidRPr="005959B6" w:rsidRDefault="0006125E" w:rsidP="005959B6">
                            <w:pPr>
                              <w:tabs>
                                <w:tab w:val="left" w:pos="720"/>
                              </w:tabs>
                              <w:spacing w:after="200"/>
                              <w:ind w:left="360"/>
                              <w:contextualSpacing/>
                              <w:rPr>
                                <w:rFonts w:cs="Segoe UI"/>
                              </w:rPr>
                            </w:pPr>
                            <w:r w:rsidRPr="00BB3465">
                              <w:rPr>
                                <w:rFonts w:cs="Segoe UI"/>
                              </w:rPr>
                              <w:t xml:space="preserve">The purpose of this assessment is to </w:t>
                            </w:r>
                            <w:r w:rsidRPr="005959B6">
                              <w:rPr>
                                <w:rFonts w:cs="Segoe UI"/>
                              </w:rPr>
                              <w:t xml:space="preserve">assess the utility and functionality of the </w:t>
                            </w:r>
                            <w:r>
                              <w:rPr>
                                <w:rFonts w:cs="Segoe UI"/>
                              </w:rPr>
                              <w:t>National Syndromic Surveillance Program’s</w:t>
                            </w:r>
                            <w:r w:rsidRPr="005959B6">
                              <w:rPr>
                                <w:rFonts w:cs="Segoe UI"/>
                              </w:rPr>
                              <w:t xml:space="preserve"> (NSSP</w:t>
                            </w:r>
                            <w:r>
                              <w:rPr>
                                <w:rFonts w:cs="Segoe UI"/>
                              </w:rPr>
                              <w:t>’s</w:t>
                            </w:r>
                            <w:r w:rsidRPr="005959B6">
                              <w:rPr>
                                <w:rFonts w:cs="Segoe UI"/>
                              </w:rPr>
                              <w:t xml:space="preserve">) BioSense Platform. Specifically, </w:t>
                            </w:r>
                            <w:r>
                              <w:rPr>
                                <w:rFonts w:cs="Segoe UI"/>
                              </w:rPr>
                              <w:t xml:space="preserve">the purpose is </w:t>
                            </w:r>
                            <w:r w:rsidRPr="005959B6">
                              <w:rPr>
                                <w:rFonts w:cs="Segoe UI"/>
                              </w:rPr>
                              <w:t>to gather information on user needs and identify areas in need of improvement within the applications, quick start guides, and technical support</w:t>
                            </w:r>
                            <w:r w:rsidRPr="00BB3465">
                              <w:t xml:space="preserve">.    </w:t>
                            </w:r>
                          </w:p>
                          <w:p w14:paraId="7339C778" w14:textId="77777777" w:rsidR="0006125E" w:rsidRPr="00F12FA5" w:rsidRDefault="0006125E" w:rsidP="000C66A1">
                            <w:pPr>
                              <w:numPr>
                                <w:ilvl w:val="0"/>
                                <w:numId w:val="8"/>
                              </w:numPr>
                              <w:tabs>
                                <w:tab w:val="left" w:pos="720"/>
                              </w:tabs>
                              <w:contextualSpacing/>
                            </w:pPr>
                            <w:r w:rsidRPr="00F12FA5">
                              <w:rPr>
                                <w:b/>
                              </w:rPr>
                              <w:t xml:space="preserve">Intended use of the resulting data </w:t>
                            </w:r>
                          </w:p>
                          <w:p w14:paraId="33935E20" w14:textId="27C3E88A" w:rsidR="0006125E" w:rsidRPr="00CC7693" w:rsidRDefault="0006125E" w:rsidP="00CC7693">
                            <w:pPr>
                              <w:tabs>
                                <w:tab w:val="left" w:pos="720"/>
                              </w:tabs>
                              <w:ind w:left="360"/>
                              <w:contextualSpacing/>
                            </w:pPr>
                            <w:r w:rsidRPr="00F12FA5">
                              <w:rPr>
                                <w:rFonts w:cstheme="minorHAnsi"/>
                              </w:rPr>
                              <w:t>The results of this information collection will be used to inform strategies to inform activities for maintaining and enhancing the BioSense Platform and associated applications and to ensure optimal delivery of technical assistance, training, and information to users of the platform. The expected outputs include reports and presentations to inform the Centers for Disease Control and Prevention (CDC), partners and public health community.</w:t>
                            </w:r>
                            <w:r>
                              <w:rPr>
                                <w:rFonts w:cstheme="minorHAnsi"/>
                              </w:rPr>
                              <w:t xml:space="preserve"> </w:t>
                            </w:r>
                          </w:p>
                          <w:p w14:paraId="23B842BE" w14:textId="395CAE31" w:rsidR="0006125E" w:rsidRPr="008D6887" w:rsidRDefault="0006125E" w:rsidP="000C66A1">
                            <w:pPr>
                              <w:numPr>
                                <w:ilvl w:val="0"/>
                                <w:numId w:val="8"/>
                              </w:numPr>
                              <w:tabs>
                                <w:tab w:val="left" w:pos="720"/>
                              </w:tabs>
                              <w:contextualSpacing/>
                            </w:pPr>
                            <w:r w:rsidRPr="008D6887">
                              <w:rPr>
                                <w:b/>
                              </w:rPr>
                              <w:t xml:space="preserve">Methods to be used to collect data </w:t>
                            </w:r>
                          </w:p>
                          <w:p w14:paraId="6EE5443E" w14:textId="30CECB75" w:rsidR="0006125E" w:rsidRPr="008D6887" w:rsidRDefault="0006125E" w:rsidP="000C66A1">
                            <w:pPr>
                              <w:ind w:left="360"/>
                            </w:pPr>
                            <w:r w:rsidRPr="008D6887">
                              <w:t>Data will be collected through a web-based assessment.</w:t>
                            </w:r>
                            <w:r>
                              <w:t xml:space="preserve"> </w:t>
                            </w:r>
                          </w:p>
                          <w:p w14:paraId="6C77FAD4" w14:textId="77777777" w:rsidR="0006125E" w:rsidRPr="008D6887" w:rsidRDefault="0006125E" w:rsidP="000C66A1">
                            <w:pPr>
                              <w:numPr>
                                <w:ilvl w:val="0"/>
                                <w:numId w:val="8"/>
                              </w:numPr>
                              <w:tabs>
                                <w:tab w:val="left" w:pos="720"/>
                              </w:tabs>
                              <w:contextualSpacing/>
                            </w:pPr>
                            <w:r w:rsidRPr="008D6887">
                              <w:rPr>
                                <w:b/>
                              </w:rPr>
                              <w:t xml:space="preserve">Respondent Universe </w:t>
                            </w:r>
                          </w:p>
                          <w:p w14:paraId="51DE7E0B" w14:textId="6924BFB1" w:rsidR="0006125E" w:rsidRPr="008D6887" w:rsidRDefault="0006125E" w:rsidP="000C66A1">
                            <w:pPr>
                              <w:ind w:left="360"/>
                            </w:pPr>
                            <w:r w:rsidRPr="00C76181">
                              <w:rPr>
                                <w:color w:val="000000" w:themeColor="text1"/>
                              </w:rPr>
                              <w:t xml:space="preserve">Respondents will be state and local public health agency officials who are active users of the NSSP’s BioSense Platform. </w:t>
                            </w:r>
                            <w:r w:rsidRPr="006363C3">
                              <w:t xml:space="preserve">The respondent universe is comprised </w:t>
                            </w:r>
                            <w:r w:rsidRPr="002C2FE4">
                              <w:t>of 218 participants, including 117 participants at 41 state health agencies and 101 participants in 69 local health agencies.</w:t>
                            </w:r>
                            <w:r w:rsidRPr="008D6887">
                              <w:t xml:space="preserve"> Roles and titles of participants may include syndromic surveillance coordinator, surveillance officer, epidemiologist, data analyst, public health program manager, and informatics coordinator. </w:t>
                            </w:r>
                          </w:p>
                          <w:p w14:paraId="5F963C8B" w14:textId="77777777" w:rsidR="0006125E" w:rsidRPr="008D6887" w:rsidRDefault="0006125E" w:rsidP="000C66A1">
                            <w:pPr>
                              <w:numPr>
                                <w:ilvl w:val="0"/>
                                <w:numId w:val="8"/>
                              </w:numPr>
                              <w:tabs>
                                <w:tab w:val="left" w:pos="720"/>
                              </w:tabs>
                              <w:contextualSpacing/>
                            </w:pPr>
                            <w:r w:rsidRPr="008D6887">
                              <w:rPr>
                                <w:b/>
                              </w:rPr>
                              <w:t xml:space="preserve">How data will be analyzed </w:t>
                            </w:r>
                          </w:p>
                          <w:p w14:paraId="71717407" w14:textId="05B2F977" w:rsidR="0006125E" w:rsidRPr="008D6887" w:rsidRDefault="0006125E" w:rsidP="00056847">
                            <w:pPr>
                              <w:ind w:left="360"/>
                              <w:rPr>
                                <w:rFonts w:cs="Arial"/>
                              </w:rPr>
                            </w:pPr>
                            <w:r w:rsidRPr="008D6887">
                              <w:t xml:space="preserve">Descriptive statistics, including proportions, means, and associated dispersion metrics will be generated for responses to closed-ended questions. Correlational analysis will be conducted to examine selected issues interest (e.g. association between experience level and informational needs). Qualitative analysis of responses to open ended questions will be conducted to identify key themes in the responses. SAS software will be used to conduct quantitative data analysis and MAXQDA will be used for qualitative data analysis.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">
                <v:textbox>
                  <w:txbxContent>
                    <w:p w14:paraId="5AAF8452" w14:textId="77777777" w:rsidR="0006125E" w:rsidRPr="00F12FA5" w:rsidRDefault="0006125E" w:rsidP="000C66A1">
                      <w:pPr>
                        <w:numPr>
                          <w:ilvl w:val="0"/>
                          <w:numId w:val="8"/>
                        </w:numPr>
                        <w:tabs>
                          <w:tab w:val="left" w:pos="720"/>
                        </w:tabs>
                        <w:spacing w:after="200"/>
                        <w:contextualSpacing/>
                      </w:pPr>
                      <w:r w:rsidRPr="00F12FA5">
                        <w:rPr>
                          <w:b/>
                        </w:rPr>
                        <w:t xml:space="preserve">Purpose of the information collection </w:t>
                      </w:r>
                    </w:p>
                    <w:p w14:paraId="1A741AED" w14:textId="2EDF01D5" w:rsidR="0006125E" w:rsidRPr="005959B6" w:rsidRDefault="0006125E" w:rsidP="005959B6">
                      <w:pPr>
                        <w:tabs>
                          <w:tab w:val="left" w:pos="720"/>
                        </w:tabs>
                        <w:spacing w:after="200"/>
                        <w:ind w:left="360"/>
                        <w:contextualSpacing/>
                        <w:rPr>
                          <w:rFonts w:cs="Segoe UI"/>
                        </w:rPr>
                      </w:pPr>
                      <w:r w:rsidRPr="00BB3465">
                        <w:rPr>
                          <w:rFonts w:cs="Segoe UI"/>
                        </w:rPr>
                        <w:t xml:space="preserve">The purpose of this assessment is to </w:t>
                      </w:r>
                      <w:r w:rsidRPr="005959B6">
                        <w:rPr>
                          <w:rFonts w:cs="Segoe UI"/>
                        </w:rPr>
                        <w:t xml:space="preserve">assess the utility and functionality of the </w:t>
                      </w:r>
                      <w:r>
                        <w:rPr>
                          <w:rFonts w:cs="Segoe UI"/>
                        </w:rPr>
                        <w:t>National Syndromic Surveillance Program’s</w:t>
                      </w:r>
                      <w:r w:rsidRPr="005959B6">
                        <w:rPr>
                          <w:rFonts w:cs="Segoe UI"/>
                        </w:rPr>
                        <w:t xml:space="preserve"> (NSSP</w:t>
                      </w:r>
                      <w:r>
                        <w:rPr>
                          <w:rFonts w:cs="Segoe UI"/>
                        </w:rPr>
                        <w:t>’s</w:t>
                      </w:r>
                      <w:r w:rsidRPr="005959B6">
                        <w:rPr>
                          <w:rFonts w:cs="Segoe UI"/>
                        </w:rPr>
                        <w:t xml:space="preserve">) BioSense Platform. Specifically, </w:t>
                      </w:r>
                      <w:r>
                        <w:rPr>
                          <w:rFonts w:cs="Segoe UI"/>
                        </w:rPr>
                        <w:t xml:space="preserve">the purpose is </w:t>
                      </w:r>
                      <w:r w:rsidRPr="005959B6">
                        <w:rPr>
                          <w:rFonts w:cs="Segoe UI"/>
                        </w:rPr>
                        <w:t>to gather information on user needs and identify areas in need of improvement within the applications, quick start guides, and technical support</w:t>
                      </w:r>
                      <w:r w:rsidRPr="00BB3465">
                        <w:t xml:space="preserve">.    </w:t>
                      </w:r>
                    </w:p>
                    <w:p w14:paraId="7339C778" w14:textId="77777777" w:rsidR="0006125E" w:rsidRPr="00F12FA5" w:rsidRDefault="0006125E" w:rsidP="000C66A1">
                      <w:pPr>
                        <w:numPr>
                          <w:ilvl w:val="0"/>
                          <w:numId w:val="8"/>
                        </w:numPr>
                        <w:tabs>
                          <w:tab w:val="left" w:pos="720"/>
                        </w:tabs>
                        <w:contextualSpacing/>
                      </w:pPr>
                      <w:r w:rsidRPr="00F12FA5">
                        <w:rPr>
                          <w:b/>
                        </w:rPr>
                        <w:t xml:space="preserve">Intended use of the resulting data </w:t>
                      </w:r>
                    </w:p>
                    <w:p w14:paraId="33935E20" w14:textId="27C3E88A" w:rsidR="0006125E" w:rsidRPr="00CC7693" w:rsidRDefault="0006125E" w:rsidP="00CC7693">
                      <w:pPr>
                        <w:tabs>
                          <w:tab w:val="left" w:pos="720"/>
                        </w:tabs>
                        <w:ind w:left="360"/>
                        <w:contextualSpacing/>
                      </w:pPr>
                      <w:r w:rsidRPr="00F12FA5">
                        <w:rPr>
                          <w:rFonts w:cstheme="minorHAnsi"/>
                        </w:rPr>
                        <w:t>The results of this information collection will be used to inform strategies to inform activities for maintaining and enhancing the BioSense Platform and associated applications and to ensure optimal delivery of technical assistance, training, and information to users of the platform. The expected outputs include reports and presentations to inform the Centers for Disease Control and Prevention (CDC), partners and public health community.</w:t>
                      </w:r>
                      <w:r>
                        <w:rPr>
                          <w:rFonts w:cstheme="minorHAnsi"/>
                        </w:rPr>
                        <w:t xml:space="preserve"> </w:t>
                      </w:r>
                    </w:p>
                    <w:p w14:paraId="23B842BE" w14:textId="395CAE31" w:rsidR="0006125E" w:rsidRPr="008D6887" w:rsidRDefault="0006125E" w:rsidP="000C66A1">
                      <w:pPr>
                        <w:numPr>
                          <w:ilvl w:val="0"/>
                          <w:numId w:val="8"/>
                        </w:numPr>
                        <w:tabs>
                          <w:tab w:val="left" w:pos="720"/>
                        </w:tabs>
                        <w:contextualSpacing/>
                      </w:pPr>
                      <w:r w:rsidRPr="008D6887">
                        <w:rPr>
                          <w:b/>
                        </w:rPr>
                        <w:t xml:space="preserve">Methods to be used to collect data </w:t>
                      </w:r>
                    </w:p>
                    <w:p w14:paraId="6EE5443E" w14:textId="30CECB75" w:rsidR="0006125E" w:rsidRPr="008D6887" w:rsidRDefault="0006125E" w:rsidP="000C66A1">
                      <w:pPr>
                        <w:ind w:left="360"/>
                      </w:pPr>
                      <w:r w:rsidRPr="008D6887">
                        <w:t>Data will be collected through a web-based assessment.</w:t>
                      </w:r>
                      <w:r>
                        <w:t xml:space="preserve"> </w:t>
                      </w:r>
                    </w:p>
                    <w:p w14:paraId="6C77FAD4" w14:textId="77777777" w:rsidR="0006125E" w:rsidRPr="008D6887" w:rsidRDefault="0006125E" w:rsidP="000C66A1">
                      <w:pPr>
                        <w:numPr>
                          <w:ilvl w:val="0"/>
                          <w:numId w:val="8"/>
                        </w:numPr>
                        <w:tabs>
                          <w:tab w:val="left" w:pos="720"/>
                        </w:tabs>
                        <w:contextualSpacing/>
                      </w:pPr>
                      <w:r w:rsidRPr="008D6887">
                        <w:rPr>
                          <w:b/>
                        </w:rPr>
                        <w:t xml:space="preserve">Respondent Universe </w:t>
                      </w:r>
                    </w:p>
                    <w:p w14:paraId="51DE7E0B" w14:textId="6924BFB1" w:rsidR="0006125E" w:rsidRPr="008D6887" w:rsidRDefault="0006125E" w:rsidP="000C66A1">
                      <w:pPr>
                        <w:ind w:left="360"/>
                      </w:pPr>
                      <w:r w:rsidRPr="00C76181">
                        <w:rPr>
                          <w:color w:val="000000" w:themeColor="text1"/>
                        </w:rPr>
                        <w:t xml:space="preserve">Respondents will be state and local public health agency officials who are active users of the NSSP’s BioSense Platform. </w:t>
                      </w:r>
                      <w:r w:rsidRPr="006363C3">
                        <w:t xml:space="preserve">The respondent universe is comprised </w:t>
                      </w:r>
                      <w:r w:rsidRPr="002C2FE4">
                        <w:t>of 218 participants, including 117 participants at 41 state health agencies and 101 participants in 69 local health agencies.</w:t>
                      </w:r>
                      <w:r w:rsidRPr="008D6887">
                        <w:t xml:space="preserve"> Roles and titles of participants may include syndromic surveillance coordinator, surveillance officer, epidemiologist, data analyst, public health program manager, and informatics coordinator. </w:t>
                      </w:r>
                    </w:p>
                    <w:p w14:paraId="5F963C8B" w14:textId="77777777" w:rsidR="0006125E" w:rsidRPr="008D6887" w:rsidRDefault="0006125E" w:rsidP="000C66A1">
                      <w:pPr>
                        <w:numPr>
                          <w:ilvl w:val="0"/>
                          <w:numId w:val="8"/>
                        </w:numPr>
                        <w:tabs>
                          <w:tab w:val="left" w:pos="720"/>
                        </w:tabs>
                        <w:contextualSpacing/>
                      </w:pPr>
                      <w:r w:rsidRPr="008D6887">
                        <w:rPr>
                          <w:b/>
                        </w:rPr>
                        <w:t xml:space="preserve">How data will be analyzed </w:t>
                      </w:r>
                    </w:p>
                    <w:p w14:paraId="71717407" w14:textId="05B2F977" w:rsidR="0006125E" w:rsidRPr="008D6887" w:rsidRDefault="0006125E" w:rsidP="00056847">
                      <w:pPr>
                        <w:ind w:left="360"/>
                        <w:rPr>
                          <w:rFonts w:cs="Arial"/>
                        </w:rPr>
                      </w:pPr>
                      <w:r w:rsidRPr="008D6887">
                        <w:t xml:space="preserve">Descriptive statistics, including proportions, means, and associated dispersion metrics will be generated for responses to closed-ended questions. Correlational analysis will be conducted to examine selected issues interest (e.g. association between experience level and informational needs). Qualitative analysis of responses to open ended questions will be conducted to identify key themes in the responses. SAS software will be used to conduct quantitative data analysis and MAXQDA will be used for qualitative data analysis.  </w:t>
                      </w:r>
                    </w:p>
                  </w:txbxContent>
                </v:textbox>
                <w10:anchorlock/>
              </v:shape>
            </w:pict>
          </mc:Fallback>
        </mc:AlternateContent>
      </w:r>
      <w:bookmarkEnd w:id="2"/>
      <w:bookmarkEnd w:id="3"/>
    </w:p>
    <w:p w14:paraId="2A9220E8" w14:textId="3EFE0DFC" w:rsidR="000C66A1" w:rsidRDefault="000C66A1" w:rsidP="002C2FE4">
      <w:pPr>
        <w:ind w:left="0"/>
      </w:pPr>
    </w:p>
    <w:p w14:paraId="24735F5A"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791DBB2F" w14:textId="77777777" w:rsidR="00B12F51" w:rsidRDefault="00B12F51" w:rsidP="007D6163"/>
    <w:p w14:paraId="04A302D3" w14:textId="6C35D914"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7CAFF8CB" w14:textId="77777777" w:rsidR="00E33E1B" w:rsidRPr="007D6163" w:rsidRDefault="00E33E1B" w:rsidP="007B7C44">
      <w:pPr>
        <w:pStyle w:val="Heading5"/>
        <w:spacing w:after="120"/>
        <w:ind w:left="360"/>
      </w:pPr>
      <w:r w:rsidRPr="008B12FA">
        <w:t>Background</w:t>
      </w:r>
    </w:p>
    <w:p w14:paraId="05E88108" w14:textId="0C52B3A5" w:rsidR="0019164D" w:rsidRPr="00711BFA" w:rsidRDefault="004F67A8" w:rsidP="007B7C44">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w:t>
      </w:r>
      <w:r w:rsidR="009252DC" w:rsidRPr="004301ED">
        <w:t xml:space="preserve">this </w:t>
      </w:r>
      <w:r w:rsidR="00157413" w:rsidRPr="004301ED">
        <w:t>information collection aligns with that of the O2C2.</w:t>
      </w:r>
      <w:r w:rsidR="009252DC" w:rsidRPr="004301ED">
        <w:t xml:space="preserve"> </w:t>
      </w:r>
      <w:r w:rsidR="0019164D" w:rsidRPr="004301ED">
        <w:t xml:space="preserve">Data will be collected from </w:t>
      </w:r>
      <w:r w:rsidR="008B12FA" w:rsidRPr="004301ED">
        <w:t xml:space="preserve">a </w:t>
      </w:r>
      <w:r w:rsidR="008B12FA" w:rsidRPr="002C2FE4">
        <w:t xml:space="preserve">total of </w:t>
      </w:r>
      <w:r w:rsidR="009D7F37" w:rsidRPr="002C2FE4">
        <w:t xml:space="preserve">218 </w:t>
      </w:r>
      <w:r w:rsidR="00C050BD" w:rsidRPr="002C2FE4">
        <w:t>respondents</w:t>
      </w:r>
      <w:r w:rsidR="008150B4" w:rsidRPr="002C2FE4">
        <w:t xml:space="preserve">, including 117 participants at </w:t>
      </w:r>
      <w:r w:rsidR="00104022" w:rsidRPr="002C2FE4">
        <w:t xml:space="preserve">41 </w:t>
      </w:r>
      <w:r w:rsidR="003A7F6F" w:rsidRPr="002C2FE4">
        <w:t xml:space="preserve">state public health </w:t>
      </w:r>
      <w:r w:rsidR="008D6887" w:rsidRPr="002C2FE4">
        <w:t>department</w:t>
      </w:r>
      <w:r w:rsidR="00C76181" w:rsidRPr="002C2FE4">
        <w:t>s</w:t>
      </w:r>
      <w:r w:rsidR="00D84FAC" w:rsidRPr="002C2FE4">
        <w:t xml:space="preserve"> </w:t>
      </w:r>
      <w:r w:rsidR="003A7F6F" w:rsidRPr="002C2FE4">
        <w:t>and</w:t>
      </w:r>
      <w:r w:rsidR="008150B4" w:rsidRPr="002C2FE4">
        <w:t xml:space="preserve"> </w:t>
      </w:r>
      <w:r w:rsidR="00CB3626" w:rsidRPr="002C2FE4">
        <w:t>101</w:t>
      </w:r>
      <w:r w:rsidR="008150B4" w:rsidRPr="002C2FE4">
        <w:t xml:space="preserve"> participants</w:t>
      </w:r>
      <w:r w:rsidR="003A7F6F" w:rsidRPr="002C2FE4">
        <w:t xml:space="preserve"> </w:t>
      </w:r>
      <w:r w:rsidR="00104022" w:rsidRPr="002C2FE4">
        <w:t>69</w:t>
      </w:r>
      <w:r w:rsidR="008150B4" w:rsidRPr="002C2FE4">
        <w:t xml:space="preserve"> at</w:t>
      </w:r>
      <w:r w:rsidR="00104022" w:rsidRPr="002C2FE4">
        <w:t xml:space="preserve"> </w:t>
      </w:r>
      <w:r w:rsidR="003A7F6F" w:rsidRPr="002C2FE4">
        <w:t xml:space="preserve">local public health </w:t>
      </w:r>
      <w:r w:rsidR="008D6887" w:rsidRPr="002C2FE4">
        <w:t>department</w:t>
      </w:r>
      <w:r w:rsidR="00C76181" w:rsidRPr="002C2FE4">
        <w:t>s</w:t>
      </w:r>
      <w:r w:rsidR="003A7F6F" w:rsidRPr="002C2FE4">
        <w:t>)</w:t>
      </w:r>
      <w:r w:rsidR="0019164D" w:rsidRPr="002C2FE4">
        <w:t>.</w:t>
      </w:r>
      <w:r w:rsidR="008B12FA" w:rsidRPr="002C2FE4">
        <w:t xml:space="preserve"> </w:t>
      </w:r>
      <w:r w:rsidR="008B12FA" w:rsidRPr="00C76181">
        <w:rPr>
          <w:color w:val="000000" w:themeColor="text1"/>
        </w:rPr>
        <w:t xml:space="preserve">Respondents acting in their official capacities include </w:t>
      </w:r>
      <w:r w:rsidR="005B42B6" w:rsidRPr="00C76181">
        <w:rPr>
          <w:color w:val="000000" w:themeColor="text1"/>
        </w:rPr>
        <w:t>syndromic surveillance coordinator, surveillance officer, epidemiologist, data analyst, public health program manager, informatics coordinator</w:t>
      </w:r>
      <w:r w:rsidR="00050DEB" w:rsidRPr="00C76181">
        <w:rPr>
          <w:color w:val="000000" w:themeColor="text1"/>
        </w:rPr>
        <w:t>, and public health official</w:t>
      </w:r>
      <w:r w:rsidR="008D6887" w:rsidRPr="00C76181">
        <w:rPr>
          <w:color w:val="000000" w:themeColor="text1"/>
        </w:rPr>
        <w:t xml:space="preserve"> (Please see Attachment A; Respondent Breakdown)</w:t>
      </w:r>
      <w:r w:rsidR="008B12FA" w:rsidRPr="00C76181">
        <w:rPr>
          <w:color w:val="000000" w:themeColor="text1"/>
        </w:rPr>
        <w:t>.</w:t>
      </w:r>
      <w:r w:rsidR="00613BCF" w:rsidRPr="00C76181">
        <w:rPr>
          <w:color w:val="000000" w:themeColor="text1"/>
        </w:rPr>
        <w:t xml:space="preserve"> </w:t>
      </w:r>
    </w:p>
    <w:p w14:paraId="43AAB7FE" w14:textId="77777777" w:rsidR="009252DC" w:rsidRDefault="009252DC" w:rsidP="007B7C44">
      <w:pPr>
        <w:ind w:left="1080"/>
      </w:pPr>
    </w:p>
    <w:p w14:paraId="07616BEF"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3F766F70" w14:textId="77777777" w:rsidR="00350C8C" w:rsidRPr="00774689" w:rsidRDefault="00350C8C" w:rsidP="007B7C44">
      <w:pPr>
        <w:ind w:left="360"/>
      </w:pPr>
    </w:p>
    <w:p w14:paraId="3D9DFDB2" w14:textId="03740CA3" w:rsidR="00587C72" w:rsidRPr="00774689" w:rsidRDefault="00822D9A" w:rsidP="007B7C44">
      <w:pPr>
        <w:ind w:left="360"/>
      </w:pPr>
      <w:r w:rsidRPr="00822D9A">
        <w:rPr>
          <w:rFonts w:ascii="Shruti" w:eastAsia="Times New Roman" w:hAnsi="Shruti" w:cs="Shruti"/>
          <w:sz w:val="16"/>
          <w:szCs w:val="14"/>
        </w:rPr>
        <w:fldChar w:fldCharType="begin">
          <w:ffData>
            <w:name w:val=""/>
            <w:enabled/>
            <w:calcOnExit w:val="0"/>
            <w:checkBox>
              <w:sizeAuto/>
              <w:default w:val="1"/>
            </w:checkBox>
          </w:ffData>
        </w:fldChar>
      </w:r>
      <w:r w:rsidRPr="00822D9A">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822D9A">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711A5F9E" w14:textId="69D5BF10" w:rsidR="00587C72" w:rsidRPr="00774689" w:rsidRDefault="00822D9A" w:rsidP="007B7C44">
      <w:pPr>
        <w:ind w:left="360"/>
      </w:pPr>
      <w:r w:rsidRPr="00822D9A">
        <w:rPr>
          <w:rFonts w:ascii="Shruti" w:eastAsia="Times New Roman" w:hAnsi="Shruti" w:cs="Shruti"/>
          <w:sz w:val="16"/>
          <w:szCs w:val="14"/>
        </w:rPr>
        <w:fldChar w:fldCharType="begin">
          <w:ffData>
            <w:name w:val=""/>
            <w:enabled/>
            <w:calcOnExit w:val="0"/>
            <w:checkBox>
              <w:sizeAuto/>
              <w:default w:val="1"/>
            </w:checkBox>
          </w:ffData>
        </w:fldChar>
      </w:r>
      <w:r w:rsidRPr="00822D9A">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822D9A">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1BD314F4"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0BD7A57E" w14:textId="26920F12" w:rsidR="00587C72" w:rsidRPr="00774689" w:rsidRDefault="006C1229"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6AF485DF"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41C0B792"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194F23C0"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0C1B29B6" w14:textId="77777777" w:rsidR="00587C72" w:rsidRPr="00774689" w:rsidRDefault="00481D80" w:rsidP="00EA3A4A">
      <w:pPr>
        <w:ind w:left="360"/>
      </w:pPr>
      <w:r w:rsidRPr="00774689">
        <w:t xml:space="preserve">            </w:t>
      </w:r>
      <w:r w:rsidR="00587C72" w:rsidRPr="00774689">
        <w:t>when otherwise unavailable</w:t>
      </w:r>
    </w:p>
    <w:p w14:paraId="091BDDFF" w14:textId="6924A205" w:rsidR="00587C72" w:rsidRPr="00774689" w:rsidRDefault="006C1229"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0D203FEE"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29413B18" w14:textId="77777777" w:rsidR="00587C72" w:rsidRPr="00774689" w:rsidRDefault="00EA3A4A" w:rsidP="00EA3A4A">
      <w:r>
        <w:t xml:space="preserve">     </w:t>
      </w:r>
      <w:r w:rsidRPr="00774689">
        <w:t>health services</w:t>
      </w:r>
    </w:p>
    <w:p w14:paraId="4684D2F2"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12585">
        <w:rPr>
          <w:rFonts w:ascii="Shruti" w:eastAsia="Times New Roman" w:hAnsi="Shruti" w:cs="Shruti"/>
          <w:sz w:val="16"/>
          <w:szCs w:val="14"/>
        </w:rPr>
      </w:r>
      <w:r w:rsidR="0021258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27BFEB36" w14:textId="145C4C97" w:rsidR="005C49FD" w:rsidRDefault="005C49FD" w:rsidP="0010158F">
      <w:pPr>
        <w:ind w:left="0"/>
        <w:rPr>
          <w:iCs/>
          <w:color w:val="0070C0"/>
          <w:vertAlign w:val="superscript"/>
        </w:rPr>
      </w:pPr>
    </w:p>
    <w:p w14:paraId="1F4113EF" w14:textId="55D9EF51" w:rsidR="00A721DE" w:rsidRPr="00A721DE" w:rsidRDefault="00E73768" w:rsidP="00A721DE">
      <w:pPr>
        <w:ind w:left="360"/>
        <w:rPr>
          <w:color w:val="0070C0"/>
        </w:rPr>
      </w:pPr>
      <w:r w:rsidRPr="0010158F">
        <w:t xml:space="preserve">Public health surveillance is </w:t>
      </w:r>
      <w:r w:rsidR="008018BD" w:rsidRPr="0010158F">
        <w:t xml:space="preserve">a </w:t>
      </w:r>
      <w:r w:rsidR="00922456" w:rsidRPr="0010158F">
        <w:t>crucial</w:t>
      </w:r>
      <w:r w:rsidRPr="0010158F">
        <w:t xml:space="preserve"> public health function that enables the detection and monitoring of diseases and health threats and the development of strategies for their prevention and control.</w:t>
      </w:r>
      <w:r w:rsidR="00922456" w:rsidRPr="0010158F">
        <w:rPr>
          <w:vertAlign w:val="superscript"/>
        </w:rPr>
        <w:t>2</w:t>
      </w:r>
      <w:r w:rsidRPr="0010158F">
        <w:t xml:space="preserve">  </w:t>
      </w:r>
      <w:r w:rsidR="00A721DE" w:rsidRPr="0010158F">
        <w:t>The Division of Health Informatics and Surveillance (DHIS) provide</w:t>
      </w:r>
      <w:r w:rsidR="006C7037" w:rsidRPr="0010158F">
        <w:t>s</w:t>
      </w:r>
      <w:r w:rsidR="00A721DE" w:rsidRPr="0010158F">
        <w:t xml:space="preserve"> leadership and cross-cutting support in developing public health information systems, managing public health surveillance programs, and providing</w:t>
      </w:r>
      <w:r w:rsidR="00675C82" w:rsidRPr="0010158F">
        <w:t xml:space="preserve"> health-related data needed for disease prevention and control</w:t>
      </w:r>
      <w:r w:rsidR="00A721DE" w:rsidRPr="0010158F">
        <w:t>.</w:t>
      </w:r>
      <w:r w:rsidR="00922456" w:rsidRPr="0010158F">
        <w:rPr>
          <w:vertAlign w:val="superscript"/>
        </w:rPr>
        <w:t>3</w:t>
      </w:r>
      <w:r w:rsidR="00A721DE" w:rsidRPr="0010158F">
        <w:t xml:space="preserve"> DHIS manages two nationwide public health surveillance programs, the National Notifiable Diseases Surveillance System (</w:t>
      </w:r>
      <w:r w:rsidR="00576133" w:rsidRPr="0010158F">
        <w:rPr>
          <w:rFonts w:cstheme="minorHAnsi"/>
        </w:rPr>
        <w:t>NNDSS)</w:t>
      </w:r>
      <w:r w:rsidR="00576133" w:rsidRPr="0010158F">
        <w:rPr>
          <w:rFonts w:cstheme="minorHAnsi"/>
          <w:vertAlign w:val="superscript"/>
        </w:rPr>
        <w:t xml:space="preserve"> 4</w:t>
      </w:r>
      <w:r w:rsidR="00576133" w:rsidRPr="0010158F">
        <w:rPr>
          <w:rFonts w:cstheme="minorHAnsi"/>
        </w:rPr>
        <w:t>,</w:t>
      </w:r>
      <w:r w:rsidR="00A721DE" w:rsidRPr="0010158F">
        <w:rPr>
          <w:rFonts w:cstheme="minorHAnsi"/>
        </w:rPr>
        <w:t xml:space="preserve"> which is a multifaceted program that helps public health monitor, control, and prevent about 120 diseases</w:t>
      </w:r>
      <w:r w:rsidR="007862A6" w:rsidRPr="0010158F">
        <w:rPr>
          <w:rFonts w:cstheme="minorHAnsi"/>
        </w:rPr>
        <w:t xml:space="preserve"> (OMB No. 0920-0728)</w:t>
      </w:r>
      <w:r w:rsidR="00A721DE" w:rsidRPr="0010158F">
        <w:rPr>
          <w:rFonts w:cstheme="minorHAnsi"/>
        </w:rPr>
        <w:t>,</w:t>
      </w:r>
      <w:r w:rsidR="00A721DE" w:rsidRPr="0010158F">
        <w:t xml:space="preserve"> and the National Syndromic Surveillance Program (NSSP)</w:t>
      </w:r>
      <w:r w:rsidR="00576133" w:rsidRPr="0010158F">
        <w:rPr>
          <w:vertAlign w:val="superscript"/>
        </w:rPr>
        <w:t>5</w:t>
      </w:r>
      <w:r w:rsidR="00A721DE" w:rsidRPr="0010158F">
        <w:t xml:space="preserve">, which promotes </w:t>
      </w:r>
      <w:r w:rsidR="00675C82" w:rsidRPr="0010158F">
        <w:t>the</w:t>
      </w:r>
      <w:r w:rsidR="00A721DE" w:rsidRPr="0010158F">
        <w:t xml:space="preserve"> development of a syndromic surveillance system and </w:t>
      </w:r>
      <w:r w:rsidR="00675C82" w:rsidRPr="0010158F">
        <w:t xml:space="preserve">the </w:t>
      </w:r>
      <w:r w:rsidR="00A721DE" w:rsidRPr="0010158F">
        <w:t xml:space="preserve">conduct of syndromic </w:t>
      </w:r>
      <w:r w:rsidR="00A721DE" w:rsidRPr="006363C3">
        <w:t>surveillance practice</w:t>
      </w:r>
      <w:r w:rsidR="007862A6" w:rsidRPr="006363C3">
        <w:t xml:space="preserve"> (OMB No. 0920-0824)</w:t>
      </w:r>
      <w:r w:rsidR="00A721DE" w:rsidRPr="006363C3">
        <w:t>. Syndromic surveillance is the collection and application of near real time health related data to enhance public health situational awareness and address public health concerns.</w:t>
      </w:r>
    </w:p>
    <w:p w14:paraId="1EA67558" w14:textId="77777777" w:rsidR="00A721DE" w:rsidRPr="009A5C79" w:rsidRDefault="00A721DE" w:rsidP="00A721DE">
      <w:pPr>
        <w:ind w:left="360"/>
      </w:pPr>
    </w:p>
    <w:p w14:paraId="1D29C69A" w14:textId="6E735C60" w:rsidR="00A721DE" w:rsidRPr="009A5C79" w:rsidRDefault="00A721DE" w:rsidP="005F0C28">
      <w:pPr>
        <w:ind w:left="360"/>
      </w:pPr>
      <w:r w:rsidRPr="009A5C79">
        <w:t xml:space="preserve">The NSSP is </w:t>
      </w:r>
      <w:r w:rsidRPr="009A5C79">
        <w:rPr>
          <w:rFonts w:eastAsia="Times New Roman"/>
        </w:rPr>
        <w:t xml:space="preserve">a collaboration among </w:t>
      </w:r>
      <w:r w:rsidR="007A2103" w:rsidRPr="009A5C79">
        <w:rPr>
          <w:rFonts w:eastAsia="Times New Roman"/>
        </w:rPr>
        <w:t>state and local health agencies, the CDC, other federal</w:t>
      </w:r>
      <w:r w:rsidR="00B726ED" w:rsidRPr="009A5C79">
        <w:rPr>
          <w:rFonts w:eastAsia="Times New Roman"/>
        </w:rPr>
        <w:t xml:space="preserve"> </w:t>
      </w:r>
      <w:r w:rsidR="007A2103" w:rsidRPr="009A5C79">
        <w:rPr>
          <w:rFonts w:eastAsia="Times New Roman"/>
        </w:rPr>
        <w:t>organizations, and other entities</w:t>
      </w:r>
      <w:r w:rsidRPr="009A5C79">
        <w:rPr>
          <w:rFonts w:eastAsia="Times New Roman"/>
        </w:rPr>
        <w:t xml:space="preserve"> for </w:t>
      </w:r>
      <w:r w:rsidR="007979DB" w:rsidRPr="009A5C79">
        <w:rPr>
          <w:rFonts w:eastAsia="Times New Roman"/>
        </w:rPr>
        <w:t xml:space="preserve">the </w:t>
      </w:r>
      <w:r w:rsidRPr="009A5C79">
        <w:rPr>
          <w:rFonts w:eastAsia="Times New Roman"/>
        </w:rPr>
        <w:t xml:space="preserve">timely </w:t>
      </w:r>
      <w:r w:rsidR="007979DB" w:rsidRPr="009A5C79">
        <w:rPr>
          <w:rFonts w:eastAsia="Times New Roman"/>
        </w:rPr>
        <w:t xml:space="preserve">collection, </w:t>
      </w:r>
      <w:r w:rsidRPr="009A5C79">
        <w:rPr>
          <w:rFonts w:eastAsia="Times New Roman"/>
        </w:rPr>
        <w:t>exchange</w:t>
      </w:r>
      <w:r w:rsidR="007979DB" w:rsidRPr="009A5C79">
        <w:rPr>
          <w:rFonts w:eastAsia="Times New Roman"/>
        </w:rPr>
        <w:t xml:space="preserve">, and use of </w:t>
      </w:r>
      <w:r w:rsidRPr="009A5C79">
        <w:rPr>
          <w:rFonts w:eastAsia="Times New Roman"/>
        </w:rPr>
        <w:t>syndromic surveillance data to improve</w:t>
      </w:r>
      <w:r w:rsidR="00B726ED" w:rsidRPr="009A5C79">
        <w:rPr>
          <w:rFonts w:eastAsia="Times New Roman"/>
        </w:rPr>
        <w:t xml:space="preserve"> </w:t>
      </w:r>
      <w:r w:rsidRPr="009A5C79">
        <w:rPr>
          <w:rFonts w:eastAsia="Times New Roman"/>
        </w:rPr>
        <w:t>the nation's</w:t>
      </w:r>
      <w:r w:rsidRPr="009A5C79">
        <w:t xml:space="preserve"> </w:t>
      </w:r>
      <w:r w:rsidRPr="009A5C79">
        <w:rPr>
          <w:rFonts w:eastAsia="Times New Roman"/>
        </w:rPr>
        <w:t>situational awareness and</w:t>
      </w:r>
      <w:r w:rsidRPr="009A5C79">
        <w:t xml:space="preserve"> </w:t>
      </w:r>
      <w:r w:rsidRPr="009A5C79">
        <w:rPr>
          <w:rFonts w:eastAsia="Times New Roman"/>
        </w:rPr>
        <w:t xml:space="preserve">responsiveness to hazardous </w:t>
      </w:r>
      <w:r w:rsidR="007979DB" w:rsidRPr="009A5C79">
        <w:rPr>
          <w:rFonts w:eastAsia="Times New Roman"/>
        </w:rPr>
        <w:t>situations</w:t>
      </w:r>
      <w:r w:rsidRPr="009A5C79">
        <w:rPr>
          <w:rFonts w:eastAsia="Times New Roman"/>
        </w:rPr>
        <w:t xml:space="preserve"> and disease outbreaks</w:t>
      </w:r>
      <w:r w:rsidRPr="009A5C79">
        <w:t>.</w:t>
      </w:r>
      <w:r w:rsidR="001354A4" w:rsidRPr="009A5C79">
        <w:rPr>
          <w:vertAlign w:val="superscript"/>
        </w:rPr>
        <w:t>5</w:t>
      </w:r>
      <w:r w:rsidRPr="009A5C79">
        <w:t xml:space="preserve"> NSSP features the BioSense </w:t>
      </w:r>
      <w:r w:rsidR="00C73373" w:rsidRPr="009A5C79">
        <w:t>data platform</w:t>
      </w:r>
      <w:r w:rsidRPr="009A5C79">
        <w:t xml:space="preserve"> and </w:t>
      </w:r>
      <w:r w:rsidR="00C73373" w:rsidRPr="009A5C79">
        <w:t>an</w:t>
      </w:r>
      <w:r w:rsidRPr="009A5C79">
        <w:t xml:space="preserve"> NSSP Community of Practice (CoP).</w:t>
      </w:r>
      <w:r w:rsidR="00196344" w:rsidRPr="009A5C79">
        <w:rPr>
          <w:vertAlign w:val="superscript"/>
        </w:rPr>
        <w:t>6,7</w:t>
      </w:r>
      <w:r w:rsidRPr="009A5C79">
        <w:t xml:space="preserve"> </w:t>
      </w:r>
      <w:r w:rsidR="00C73373" w:rsidRPr="009A5C79">
        <w:t xml:space="preserve">The BioSense </w:t>
      </w:r>
      <w:r w:rsidR="000A0F67" w:rsidRPr="009A5C79">
        <w:t>P</w:t>
      </w:r>
      <w:r w:rsidR="00C73373" w:rsidRPr="009A5C79">
        <w:t xml:space="preserve">latform provides a cloud-based computing environment to collect, </w:t>
      </w:r>
      <w:r w:rsidR="005F0C28" w:rsidRPr="009A5C79">
        <w:t xml:space="preserve">store, </w:t>
      </w:r>
      <w:r w:rsidR="00C73373" w:rsidRPr="009A5C79">
        <w:t xml:space="preserve">analyze, </w:t>
      </w:r>
      <w:r w:rsidR="005F0C28" w:rsidRPr="009A5C79">
        <w:t xml:space="preserve">and </w:t>
      </w:r>
      <w:r w:rsidR="00C73373" w:rsidRPr="009A5C79">
        <w:t>share data using health informati</w:t>
      </w:r>
      <w:r w:rsidR="007979DB" w:rsidRPr="009A5C79">
        <w:t xml:space="preserve">on system software </w:t>
      </w:r>
      <w:r w:rsidR="005F0C28" w:rsidRPr="009A5C79">
        <w:t>app</w:t>
      </w:r>
      <w:r w:rsidR="00B726ED" w:rsidRPr="009A5C79">
        <w:t>l</w:t>
      </w:r>
      <w:r w:rsidR="005F0C28" w:rsidRPr="009A5C79">
        <w:t>ications</w:t>
      </w:r>
      <w:r w:rsidR="007979DB" w:rsidRPr="009A5C79">
        <w:t xml:space="preserve"> including</w:t>
      </w:r>
      <w:r w:rsidR="00C73373" w:rsidRPr="009A5C79">
        <w:t xml:space="preserve"> ESSENCE, Adminer, Access &amp; Management Center (AMC)</w:t>
      </w:r>
      <w:r w:rsidR="007979DB" w:rsidRPr="009A5C79">
        <w:t xml:space="preserve">, SAS Studio, </w:t>
      </w:r>
      <w:r w:rsidR="00C73373" w:rsidRPr="009A5C79">
        <w:t>and RStudio</w:t>
      </w:r>
      <w:r w:rsidR="007979DB" w:rsidRPr="009A5C79">
        <w:t>.</w:t>
      </w:r>
      <w:r w:rsidR="00C73373" w:rsidRPr="009A5C79">
        <w:t xml:space="preserve"> Health officials can use the BioSense Platform to analyze and exchange syndromic</w:t>
      </w:r>
      <w:r w:rsidR="007979DB" w:rsidRPr="009A5C79">
        <w:t xml:space="preserve"> surveillance</w:t>
      </w:r>
      <w:r w:rsidR="00C73373" w:rsidRPr="009A5C79">
        <w:t xml:space="preserve"> data </w:t>
      </w:r>
      <w:r w:rsidR="007979DB" w:rsidRPr="009A5C79">
        <w:t xml:space="preserve">for </w:t>
      </w:r>
      <w:r w:rsidR="00C73373" w:rsidRPr="009A5C79">
        <w:t xml:space="preserve">improving their awareness of </w:t>
      </w:r>
      <w:r w:rsidR="00CB0D0B" w:rsidRPr="009A5C79">
        <w:t xml:space="preserve">disease occurrence and </w:t>
      </w:r>
      <w:r w:rsidR="00C73373" w:rsidRPr="009A5C79">
        <w:t xml:space="preserve">health threats </w:t>
      </w:r>
      <w:r w:rsidR="00CB0D0B" w:rsidRPr="009A5C79">
        <w:t xml:space="preserve">in their jurisdiction </w:t>
      </w:r>
      <w:r w:rsidR="00C73373" w:rsidRPr="009A5C79">
        <w:t>and</w:t>
      </w:r>
      <w:r w:rsidR="00CB0D0B" w:rsidRPr="009A5C79">
        <w:t>,</w:t>
      </w:r>
      <w:r w:rsidR="00C73373" w:rsidRPr="009A5C79">
        <w:t xml:space="preserve"> across </w:t>
      </w:r>
      <w:r w:rsidR="00CB0D0B" w:rsidRPr="009A5C79">
        <w:t>jurisdictional</w:t>
      </w:r>
      <w:r w:rsidR="00C73373" w:rsidRPr="009A5C79">
        <w:t xml:space="preserve"> boundaries</w:t>
      </w:r>
      <w:r w:rsidR="00B726ED" w:rsidRPr="009A5C79">
        <w:t xml:space="preserve"> when appropriate</w:t>
      </w:r>
      <w:r w:rsidR="00C73373" w:rsidRPr="009A5C79">
        <w:t xml:space="preserve">. </w:t>
      </w:r>
      <w:r w:rsidR="00300384" w:rsidRPr="009A5C79">
        <w:t xml:space="preserve">Over the past few years, </w:t>
      </w:r>
      <w:r w:rsidRPr="009A5C79">
        <w:t>NSSP has operationaliz</w:t>
      </w:r>
      <w:r w:rsidR="00300384" w:rsidRPr="009A5C79">
        <w:t>ed</w:t>
      </w:r>
      <w:r w:rsidRPr="009A5C79">
        <w:t xml:space="preserve"> a more advanced BioSense </w:t>
      </w:r>
      <w:r w:rsidR="000A0F67" w:rsidRPr="009A5C79">
        <w:t>P</w:t>
      </w:r>
      <w:r w:rsidRPr="009A5C79">
        <w:t xml:space="preserve">latform to provide public health practitioners with enhanced tools </w:t>
      </w:r>
      <w:r w:rsidR="00C73373" w:rsidRPr="009A5C79">
        <w:t xml:space="preserve">and improved data </w:t>
      </w:r>
      <w:r w:rsidRPr="009A5C79">
        <w:t>to conduct syndromic surveillance activities.</w:t>
      </w:r>
      <w:r w:rsidR="00196344" w:rsidRPr="009A5C79">
        <w:rPr>
          <w:vertAlign w:val="superscript"/>
        </w:rPr>
        <w:t>8</w:t>
      </w:r>
      <w:r w:rsidRPr="009A5C79">
        <w:t xml:space="preserve"> </w:t>
      </w:r>
      <w:r w:rsidR="00487B8D" w:rsidRPr="00016546">
        <w:rPr>
          <w:highlight w:val="green"/>
        </w:rPr>
        <w:t xml:space="preserve"> </w:t>
      </w:r>
    </w:p>
    <w:p w14:paraId="4839411B" w14:textId="77777777" w:rsidR="00C20B62" w:rsidRPr="009A5C79" w:rsidRDefault="00C20B62" w:rsidP="00C20B62">
      <w:pPr>
        <w:ind w:left="360"/>
      </w:pPr>
    </w:p>
    <w:p w14:paraId="5B7B4869" w14:textId="202F2B18" w:rsidR="008E6A8E" w:rsidRDefault="007E17BA" w:rsidP="00F14E70">
      <w:pPr>
        <w:tabs>
          <w:tab w:val="left" w:pos="720"/>
        </w:tabs>
        <w:spacing w:after="200"/>
        <w:ind w:left="360"/>
        <w:contextualSpacing/>
        <w:rPr>
          <w:color w:val="0070C0"/>
        </w:rPr>
      </w:pPr>
      <w:r w:rsidRPr="007E17BA">
        <w:rPr>
          <w:rFonts w:cs="Segoe UI"/>
          <w:color w:val="000000" w:themeColor="text1"/>
        </w:rPr>
        <w:t xml:space="preserve">The purpose of this assessment is to assess the utility and functionality of the National Syndromic Surveillance Program’s (NSSP’s) BioSense Platform. Specifically, </w:t>
      </w:r>
      <w:r w:rsidR="00F80EEC">
        <w:rPr>
          <w:rFonts w:cs="Segoe UI"/>
          <w:color w:val="000000" w:themeColor="text1"/>
        </w:rPr>
        <w:t xml:space="preserve">the purpose is </w:t>
      </w:r>
      <w:r w:rsidRPr="007E17BA">
        <w:rPr>
          <w:rFonts w:cs="Segoe UI"/>
          <w:color w:val="000000" w:themeColor="text1"/>
        </w:rPr>
        <w:t>to gather information on user needs and identify areas in need of improvement within the applications, quick start guides, and technical support.</w:t>
      </w:r>
    </w:p>
    <w:p w14:paraId="3EF23A8A" w14:textId="77777777" w:rsidR="008E6A8E" w:rsidRDefault="008E6A8E" w:rsidP="00F14E70">
      <w:pPr>
        <w:tabs>
          <w:tab w:val="left" w:pos="720"/>
        </w:tabs>
        <w:spacing w:after="200"/>
        <w:ind w:left="360"/>
        <w:contextualSpacing/>
        <w:rPr>
          <w:color w:val="0070C0"/>
        </w:rPr>
      </w:pPr>
    </w:p>
    <w:p w14:paraId="08F5C2EC" w14:textId="02BA8F45" w:rsidR="000A271B" w:rsidRPr="00E47A89" w:rsidRDefault="007E17BA" w:rsidP="00E47A89">
      <w:pPr>
        <w:tabs>
          <w:tab w:val="left" w:pos="720"/>
        </w:tabs>
        <w:spacing w:after="200"/>
        <w:ind w:left="360"/>
        <w:contextualSpacing/>
        <w:rPr>
          <w:rFonts w:cstheme="minorHAnsi"/>
          <w:color w:val="0070C0"/>
        </w:rPr>
      </w:pPr>
      <w:r w:rsidRPr="009C58F2">
        <w:rPr>
          <w:rFonts w:cstheme="minorHAnsi"/>
        </w:rPr>
        <w:t xml:space="preserve">The results of this information collection will </w:t>
      </w:r>
      <w:r w:rsidR="003E4CE8" w:rsidRPr="009C58F2">
        <w:rPr>
          <w:rFonts w:cstheme="minorHAnsi"/>
        </w:rPr>
        <w:t>inform activities</w:t>
      </w:r>
      <w:r w:rsidRPr="009C58F2">
        <w:rPr>
          <w:rFonts w:cstheme="minorHAnsi"/>
        </w:rPr>
        <w:t xml:space="preserve"> for maintaining and enhancing the BioSense Platform and associated applications</w:t>
      </w:r>
      <w:r w:rsidR="002518FD" w:rsidRPr="009C58F2">
        <w:rPr>
          <w:rFonts w:cstheme="minorHAnsi"/>
        </w:rPr>
        <w:t xml:space="preserve"> </w:t>
      </w:r>
      <w:r w:rsidR="002518FD" w:rsidRPr="009C58F2">
        <w:rPr>
          <w:rFonts w:cstheme="minorHAnsi"/>
          <w:iCs/>
        </w:rPr>
        <w:t>(Access &amp; Management Center [AMC], ESSENCE, Adminer, SAS Studio, and RStudio)</w:t>
      </w:r>
      <w:r w:rsidR="001C4A4E" w:rsidRPr="009C58F2">
        <w:rPr>
          <w:rFonts w:cstheme="minorHAnsi"/>
          <w:iCs/>
        </w:rPr>
        <w:t xml:space="preserve">; thus, the </w:t>
      </w:r>
      <w:r w:rsidR="00777066" w:rsidRPr="009C58F2">
        <w:rPr>
          <w:rFonts w:cstheme="minorHAnsi"/>
          <w:iCs/>
        </w:rPr>
        <w:t xml:space="preserve">information </w:t>
      </w:r>
      <w:r w:rsidR="001C4A4E" w:rsidRPr="009C58F2">
        <w:rPr>
          <w:rFonts w:cstheme="minorHAnsi"/>
          <w:iCs/>
        </w:rPr>
        <w:t xml:space="preserve">collection will help ensure that STLT’s have an optimally functional and useful </w:t>
      </w:r>
      <w:r w:rsidR="00777066" w:rsidRPr="009C58F2">
        <w:rPr>
          <w:rFonts w:cstheme="minorHAnsi"/>
          <w:iCs/>
        </w:rPr>
        <w:t>BioSense Platform and</w:t>
      </w:r>
      <w:r w:rsidR="001C4A4E" w:rsidRPr="009C58F2">
        <w:rPr>
          <w:rFonts w:cstheme="minorHAnsi"/>
          <w:iCs/>
        </w:rPr>
        <w:t xml:space="preserve"> receive the most relevant and useful technical assistance and training </w:t>
      </w:r>
      <w:r w:rsidR="00777066" w:rsidRPr="009C58F2">
        <w:rPr>
          <w:rFonts w:cstheme="minorHAnsi"/>
          <w:iCs/>
        </w:rPr>
        <w:t>related to</w:t>
      </w:r>
      <w:r w:rsidR="001C4A4E" w:rsidRPr="009C58F2">
        <w:rPr>
          <w:rFonts w:cstheme="minorHAnsi"/>
          <w:iCs/>
        </w:rPr>
        <w:t xml:space="preserve"> the platform</w:t>
      </w:r>
      <w:r w:rsidRPr="009C58F2">
        <w:rPr>
          <w:rFonts w:cstheme="minorHAnsi"/>
        </w:rPr>
        <w:t>.</w:t>
      </w:r>
      <w:r w:rsidRPr="00A214BE">
        <w:rPr>
          <w:rFonts w:cstheme="minorHAnsi"/>
        </w:rPr>
        <w:t xml:space="preserve"> The expected outputs include reports and presentations to inform the Centers for Disease Control and Prevention (CDC), partners and public health community</w:t>
      </w:r>
      <w:r w:rsidR="00F14E70" w:rsidRPr="00A214BE">
        <w:rPr>
          <w:rFonts w:cstheme="minorHAnsi"/>
        </w:rPr>
        <w:t>.</w:t>
      </w:r>
    </w:p>
    <w:p w14:paraId="11F42C7D" w14:textId="52F4198B" w:rsidR="00613BCF" w:rsidRPr="001A28F6" w:rsidRDefault="00613BCF" w:rsidP="009C58F2">
      <w:pPr>
        <w:ind w:left="0"/>
      </w:pPr>
    </w:p>
    <w:p w14:paraId="5F5B6F4E"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0DEF7986" w14:textId="5FA9F56B" w:rsidR="00A943E2" w:rsidRDefault="00692DEB" w:rsidP="00D036BC">
      <w:pPr>
        <w:ind w:left="360"/>
      </w:pPr>
      <w:r w:rsidRPr="00A072C8">
        <w:t>Data will be collected</w:t>
      </w:r>
      <w:r w:rsidR="00376290" w:rsidRPr="00A072C8">
        <w:t xml:space="preserve"> from </w:t>
      </w:r>
      <w:r w:rsidR="00AF12DF">
        <w:t>21</w:t>
      </w:r>
      <w:r w:rsidR="009D7F37">
        <w:t>8</w:t>
      </w:r>
      <w:r w:rsidR="00AF12DF" w:rsidRPr="00A072C8">
        <w:t xml:space="preserve"> </w:t>
      </w:r>
      <w:r w:rsidR="00211485" w:rsidRPr="00A072C8">
        <w:t xml:space="preserve">state and local health agency </w:t>
      </w:r>
      <w:r w:rsidR="00CD06DE" w:rsidRPr="00A072C8">
        <w:t xml:space="preserve">officials </w:t>
      </w:r>
      <w:r w:rsidR="00376290" w:rsidRPr="00A072C8">
        <w:t xml:space="preserve">via </w:t>
      </w:r>
      <w:r w:rsidR="003768BC" w:rsidRPr="00A072C8">
        <w:t xml:space="preserve">a web-based </w:t>
      </w:r>
      <w:r w:rsidR="00CD06DE" w:rsidRPr="00A072C8">
        <w:t xml:space="preserve">assessment </w:t>
      </w:r>
      <w:r w:rsidR="003768BC" w:rsidRPr="00A072C8">
        <w:t xml:space="preserve"> </w:t>
      </w:r>
      <w:r w:rsidRPr="00A072C8">
        <w:t>(</w:t>
      </w:r>
      <w:r w:rsidR="00E647FB" w:rsidRPr="00A072C8">
        <w:rPr>
          <w:b/>
        </w:rPr>
        <w:t>see</w:t>
      </w:r>
      <w:r w:rsidR="00E647FB" w:rsidRPr="00A072C8">
        <w:t xml:space="preserve"> </w:t>
      </w:r>
      <w:r w:rsidR="00E647FB" w:rsidRPr="009D4349">
        <w:t>Attachment</w:t>
      </w:r>
      <w:r w:rsidR="006A4CC9" w:rsidRPr="009D4349">
        <w:t>s</w:t>
      </w:r>
      <w:r w:rsidR="00E647FB" w:rsidRPr="009D4349">
        <w:t xml:space="preserve"> </w:t>
      </w:r>
      <w:r w:rsidR="004120D3" w:rsidRPr="009D4349">
        <w:t>B</w:t>
      </w:r>
      <w:r w:rsidR="006A4CC9" w:rsidRPr="00A072C8">
        <w:t xml:space="preserve">  </w:t>
      </w:r>
      <w:r w:rsidR="00E647FB" w:rsidRPr="00A072C8">
        <w:t>—</w:t>
      </w:r>
      <w:r w:rsidR="003768BC" w:rsidRPr="00A072C8">
        <w:t xml:space="preserve"> NSSP BioSense Platform User </w:t>
      </w:r>
      <w:r w:rsidR="00CD06DE" w:rsidRPr="00A072C8">
        <w:t xml:space="preserve">Assessment </w:t>
      </w:r>
      <w:r w:rsidR="004120D3" w:rsidRPr="00A072C8">
        <w:t xml:space="preserve">– MS Word Version and </w:t>
      </w:r>
      <w:r w:rsidR="00CD06DE" w:rsidRPr="00A072C8">
        <w:t>Attachment C – NSSP BioSense Platform User Assessment – Web Version</w:t>
      </w:r>
      <w:r w:rsidRPr="00A072C8">
        <w:t xml:space="preserve">). </w:t>
      </w:r>
      <w:r w:rsidR="000A7838" w:rsidRPr="00A072C8">
        <w:t xml:space="preserve">The web-based </w:t>
      </w:r>
      <w:r w:rsidR="00A072C8" w:rsidRPr="00A072C8">
        <w:t xml:space="preserve">assessment </w:t>
      </w:r>
      <w:r w:rsidR="000A7838" w:rsidRPr="00A072C8">
        <w:t xml:space="preserve">will be implemented using Epi Info’s web </w:t>
      </w:r>
      <w:r w:rsidR="00D036BC">
        <w:t>assessment</w:t>
      </w:r>
      <w:r w:rsidR="000A7838" w:rsidRPr="00A072C8">
        <w:t xml:space="preserve"> tool. </w:t>
      </w:r>
      <w:r w:rsidRPr="00A072C8">
        <w:t xml:space="preserve">The instrument will be used to gather information from </w:t>
      </w:r>
      <w:r w:rsidR="006A4CC9" w:rsidRPr="00A072C8">
        <w:t xml:space="preserve">state and local public health </w:t>
      </w:r>
      <w:r w:rsidR="00565548" w:rsidRPr="00A072C8">
        <w:t xml:space="preserve">agency staff who are active users of the BioSense </w:t>
      </w:r>
      <w:r w:rsidR="000A0F67" w:rsidRPr="00A072C8">
        <w:t>P</w:t>
      </w:r>
      <w:r w:rsidR="00565548" w:rsidRPr="00A072C8">
        <w:t xml:space="preserve">latform </w:t>
      </w:r>
      <w:r w:rsidRPr="00A072C8">
        <w:t>regarding</w:t>
      </w:r>
      <w:r w:rsidR="008C59E7" w:rsidRPr="00A072C8">
        <w:t xml:space="preserve"> </w:t>
      </w:r>
      <w:r w:rsidR="00F80EEC" w:rsidRPr="00F80EEC">
        <w:t>the utility and functionality of the National Syndromic Surveillance Program’s (NSSP’s) BioSense Platform. Specifically, information</w:t>
      </w:r>
      <w:r w:rsidR="00F80EEC">
        <w:t xml:space="preserve"> will be gathered </w:t>
      </w:r>
      <w:r w:rsidR="00F80EEC" w:rsidRPr="00F80EEC">
        <w:t xml:space="preserve">on user needs and </w:t>
      </w:r>
      <w:r w:rsidR="00F80EEC">
        <w:t xml:space="preserve">to </w:t>
      </w:r>
      <w:r w:rsidR="00F80EEC" w:rsidRPr="00F80EEC">
        <w:t>identify areas in need of improvement within the applications, quick start guides, and technical support</w:t>
      </w:r>
      <w:r w:rsidR="005220F4">
        <w:t>.</w:t>
      </w:r>
    </w:p>
    <w:p w14:paraId="4B1C77A7" w14:textId="19054A4A" w:rsidR="00DC2AD2" w:rsidRPr="004301ED" w:rsidRDefault="00DC2AD2" w:rsidP="00D036BC">
      <w:pPr>
        <w:ind w:left="360"/>
      </w:pPr>
    </w:p>
    <w:p w14:paraId="1E272600" w14:textId="0B22771F" w:rsidR="00272E3E" w:rsidRPr="00815636" w:rsidRDefault="00692DEB" w:rsidP="00383542">
      <w:pPr>
        <w:ind w:left="360"/>
        <w:rPr>
          <w:color w:val="0070C0"/>
        </w:rPr>
      </w:pPr>
      <w:r w:rsidRPr="004301ED">
        <w:t xml:space="preserve">The information collection instrument was pilot tested by </w:t>
      </w:r>
      <w:r w:rsidR="005C7B58" w:rsidRPr="00863C66">
        <w:t>5</w:t>
      </w:r>
      <w:r w:rsidRPr="00863C66">
        <w:t xml:space="preserve"> </w:t>
      </w:r>
      <w:r w:rsidRPr="004301ED">
        <w:t>public health professionals.</w:t>
      </w:r>
      <w:r w:rsidR="00FE6CD9">
        <w:t xml:space="preserve"> </w:t>
      </w:r>
      <w:r w:rsidRPr="004301ED">
        <w:t>Feedback from this group was used to refine questions as needed, ensure accurate programming and skip patterns and establish the estimated time required to complete the information collection instrument.</w:t>
      </w:r>
      <w:r w:rsidR="00815636" w:rsidRPr="004301ED">
        <w:t xml:space="preserve"> </w:t>
      </w:r>
    </w:p>
    <w:p w14:paraId="405808A3" w14:textId="4DE41B32" w:rsidR="00272E3E" w:rsidRDefault="00272E3E" w:rsidP="009C58F2">
      <w:pPr>
        <w:ind w:left="0"/>
      </w:pPr>
    </w:p>
    <w:p w14:paraId="0C503188" w14:textId="77777777" w:rsidR="00692DEB" w:rsidRPr="004301ED" w:rsidRDefault="00692DEB" w:rsidP="008B65FF">
      <w:pPr>
        <w:pStyle w:val="Heading5"/>
        <w:spacing w:after="120"/>
        <w:ind w:left="360"/>
      </w:pPr>
      <w:r w:rsidRPr="00190368">
        <w:t xml:space="preserve">Items of </w:t>
      </w:r>
      <w:r w:rsidRPr="004301ED">
        <w:t>Information to be Collected</w:t>
      </w:r>
    </w:p>
    <w:p w14:paraId="7B88D97D" w14:textId="3FD37AF8" w:rsidR="00692DEB" w:rsidRPr="007B558B" w:rsidRDefault="00692DEB" w:rsidP="008B65FF">
      <w:pPr>
        <w:ind w:left="360"/>
      </w:pPr>
      <w:r w:rsidRPr="007B558B">
        <w:t xml:space="preserve">The data collection instrument consists of </w:t>
      </w:r>
      <w:r w:rsidR="00187CCD" w:rsidRPr="007B558B">
        <w:t>40</w:t>
      </w:r>
      <w:r w:rsidRPr="007B558B">
        <w:t xml:space="preserve"> main questions of various types, including</w:t>
      </w:r>
      <w:r w:rsidR="008C59E7" w:rsidRPr="007B558B">
        <w:t xml:space="preserve"> </w:t>
      </w:r>
      <w:r w:rsidR="001D3515" w:rsidRPr="007B558B">
        <w:t>multiple choice questions</w:t>
      </w:r>
      <w:r w:rsidR="00C47B87" w:rsidRPr="007B558B">
        <w:t>, questions with open-</w:t>
      </w:r>
      <w:r w:rsidR="001D3515" w:rsidRPr="007B558B">
        <w:t>ended answer field</w:t>
      </w:r>
      <w:r w:rsidR="0084685D" w:rsidRPr="007B558B">
        <w:t>s</w:t>
      </w:r>
      <w:r w:rsidR="001D3515" w:rsidRPr="007B558B">
        <w:t xml:space="preserve">, </w:t>
      </w:r>
      <w:r w:rsidR="0084685D" w:rsidRPr="007B558B">
        <w:t xml:space="preserve">and </w:t>
      </w:r>
      <w:r w:rsidR="00A14592" w:rsidRPr="007B558B">
        <w:t>questions</w:t>
      </w:r>
      <w:r w:rsidR="0084685D" w:rsidRPr="007B558B">
        <w:t xml:space="preserve"> with </w:t>
      </w:r>
      <w:r w:rsidR="00D103A2" w:rsidRPr="007B558B">
        <w:t>L</w:t>
      </w:r>
      <w:r w:rsidR="0084685D" w:rsidRPr="007B558B">
        <w:t>ikert type response categories</w:t>
      </w:r>
      <w:r w:rsidRPr="007B558B">
        <w:rPr>
          <w:rFonts w:eastAsiaTheme="majorEastAsia" w:cstheme="majorBidi"/>
        </w:rPr>
        <w:t xml:space="preserve">. </w:t>
      </w:r>
      <w:r w:rsidRPr="007B558B">
        <w:t xml:space="preserve">The instrument will collect </w:t>
      </w:r>
      <w:r w:rsidR="006C20E8" w:rsidRPr="007B558B">
        <w:t>data</w:t>
      </w:r>
      <w:r w:rsidRPr="007B558B">
        <w:t xml:space="preserve"> on the following: </w:t>
      </w:r>
    </w:p>
    <w:p w14:paraId="4FC46A9C" w14:textId="190CC2A0" w:rsidR="00CC05EB" w:rsidRPr="00D036BC" w:rsidRDefault="00CC05EB" w:rsidP="00E00F24">
      <w:pPr>
        <w:pStyle w:val="ListParagraph"/>
        <w:numPr>
          <w:ilvl w:val="0"/>
          <w:numId w:val="6"/>
        </w:numPr>
        <w:tabs>
          <w:tab w:val="clear" w:pos="9360"/>
        </w:tabs>
        <w:spacing w:line="240" w:lineRule="auto"/>
      </w:pPr>
      <w:r w:rsidRPr="00D036BC">
        <w:t>General characteristics about the user</w:t>
      </w:r>
      <w:r w:rsidR="00641C47" w:rsidRPr="00D036BC">
        <w:t>, including the type of work the user does and the user’s level of experience with the BioSense Platform and associated applications.</w:t>
      </w:r>
      <w:r w:rsidR="00D103A2" w:rsidRPr="00D036BC">
        <w:t xml:space="preserve"> </w:t>
      </w:r>
      <w:r w:rsidRPr="00D036BC">
        <w:t xml:space="preserve"> </w:t>
      </w:r>
    </w:p>
    <w:p w14:paraId="4C0C7B42" w14:textId="03DA8ACD" w:rsidR="008C59E7" w:rsidRPr="007B558B" w:rsidRDefault="0052436C" w:rsidP="00ED5E8B">
      <w:pPr>
        <w:pStyle w:val="ListParagraph"/>
        <w:numPr>
          <w:ilvl w:val="0"/>
          <w:numId w:val="6"/>
        </w:numPr>
        <w:tabs>
          <w:tab w:val="clear" w:pos="9360"/>
        </w:tabs>
        <w:spacing w:line="240" w:lineRule="auto"/>
      </w:pPr>
      <w:r w:rsidRPr="007B558B">
        <w:t xml:space="preserve">Use of and the functionality and utility </w:t>
      </w:r>
      <w:r w:rsidR="00085B3A" w:rsidRPr="007B558B">
        <w:t xml:space="preserve">of </w:t>
      </w:r>
      <w:r w:rsidRPr="007B558B">
        <w:t xml:space="preserve">the BioSense Platform and associated applications </w:t>
      </w:r>
      <w:r w:rsidR="00085B3A" w:rsidRPr="007B558B">
        <w:t>including ESSENCE, Adminer, Access &amp; Management Center</w:t>
      </w:r>
      <w:r w:rsidR="00C171D0" w:rsidRPr="007B558B">
        <w:t xml:space="preserve"> (AMC), SAS Studio, and RStudio</w:t>
      </w:r>
      <w:r w:rsidR="00641C47">
        <w:t>.</w:t>
      </w:r>
      <w:r w:rsidR="00C171D0" w:rsidRPr="007B558B">
        <w:t xml:space="preserve"> </w:t>
      </w:r>
    </w:p>
    <w:p w14:paraId="15E16DB8" w14:textId="435EA300" w:rsidR="008C59E7" w:rsidRPr="007B558B" w:rsidRDefault="00A943E2" w:rsidP="00E00F24">
      <w:pPr>
        <w:pStyle w:val="ListParagraph"/>
        <w:numPr>
          <w:ilvl w:val="0"/>
          <w:numId w:val="6"/>
        </w:numPr>
        <w:tabs>
          <w:tab w:val="clear" w:pos="9360"/>
        </w:tabs>
        <w:spacing w:line="240" w:lineRule="auto"/>
      </w:pPr>
      <w:r>
        <w:t>U</w:t>
      </w:r>
      <w:r w:rsidRPr="007B558B">
        <w:t xml:space="preserve">tility </w:t>
      </w:r>
      <w:r w:rsidR="004B5366" w:rsidRPr="007B558B">
        <w:t xml:space="preserve">of and needs related to the BioSense </w:t>
      </w:r>
      <w:r w:rsidR="000A0F67" w:rsidRPr="007B558B">
        <w:t>P</w:t>
      </w:r>
      <w:r w:rsidR="004B5366" w:rsidRPr="007B558B">
        <w:t>latform and applications related quick start guides,  technical support provided through the NSSP Service Desk, and syndromic surveillance related training.</w:t>
      </w:r>
      <w:r w:rsidR="00C171D0" w:rsidRPr="007B558B">
        <w:t xml:space="preserve"> </w:t>
      </w:r>
    </w:p>
    <w:p w14:paraId="043ADE0D" w14:textId="5B7637F3" w:rsidR="008C59E7" w:rsidRPr="007B558B" w:rsidRDefault="004B5366" w:rsidP="00E00F24">
      <w:pPr>
        <w:pStyle w:val="ListParagraph"/>
        <w:numPr>
          <w:ilvl w:val="0"/>
          <w:numId w:val="6"/>
        </w:numPr>
        <w:tabs>
          <w:tab w:val="clear" w:pos="9360"/>
        </w:tabs>
        <w:spacing w:line="240" w:lineRule="auto"/>
      </w:pPr>
      <w:r w:rsidRPr="007B558B">
        <w:t>Comments and suggestions related to how the above tools and services can be improved and/or other comments about these tools and services.</w:t>
      </w:r>
      <w:r w:rsidR="00D103A2" w:rsidRPr="007B558B">
        <w:t xml:space="preserve"> </w:t>
      </w:r>
    </w:p>
    <w:p w14:paraId="616540A8" w14:textId="77777777" w:rsidR="00692DEB" w:rsidRPr="007B558B" w:rsidRDefault="00692DEB" w:rsidP="008B65FF">
      <w:pPr>
        <w:pStyle w:val="ListParagraph"/>
        <w:ind w:left="1080"/>
        <w:rPr>
          <w:lang w:eastAsia="zh-CN"/>
        </w:rPr>
      </w:pPr>
    </w:p>
    <w:p w14:paraId="046E661F" w14:textId="77777777" w:rsidR="00BD4599" w:rsidRPr="007B558B" w:rsidRDefault="00BD4599" w:rsidP="00383542">
      <w:pPr>
        <w:ind w:left="0"/>
        <w:rPr>
          <w:lang w:eastAsia="zh-CN"/>
        </w:rPr>
      </w:pPr>
    </w:p>
    <w:p w14:paraId="1A5054C2" w14:textId="449593C0" w:rsidR="00B12F51" w:rsidRPr="007B558B" w:rsidRDefault="00B12F51" w:rsidP="00692DEB">
      <w:pPr>
        <w:pStyle w:val="Heading4"/>
      </w:pPr>
      <w:bookmarkStart w:id="6" w:name="_Toc427752815"/>
      <w:r w:rsidRPr="007B558B">
        <w:t>Purpose and Use of the Information Collection</w:t>
      </w:r>
      <w:bookmarkEnd w:id="6"/>
    </w:p>
    <w:p w14:paraId="6E0C538E" w14:textId="7158DBBB" w:rsidR="00164939" w:rsidRDefault="00641C47" w:rsidP="00641C47">
      <w:pPr>
        <w:ind w:left="360"/>
      </w:pPr>
      <w:r>
        <w:t>The purpose of this assessment is to assess the utility and functionality of the National Syndromic Surveillance Program’s (NSSP’s) BioSense Platform. Specifically, the purpose is to gather information on user needs and identify areas in need of improvement within the applications, quick start guides, and technical support</w:t>
      </w:r>
      <w:r w:rsidR="00A74478">
        <w:t xml:space="preserve">. </w:t>
      </w:r>
    </w:p>
    <w:p w14:paraId="7C413AA1" w14:textId="77777777" w:rsidR="00164939" w:rsidRDefault="00164939" w:rsidP="00641C47">
      <w:pPr>
        <w:ind w:left="360"/>
      </w:pPr>
    </w:p>
    <w:p w14:paraId="16D0515F" w14:textId="6E9998A6" w:rsidR="006102DA" w:rsidRPr="007B558B" w:rsidRDefault="00200C65" w:rsidP="00641C47">
      <w:pPr>
        <w:ind w:left="360"/>
      </w:pPr>
      <w:r w:rsidRPr="009C58F2">
        <w:rPr>
          <w:rFonts w:cstheme="minorHAnsi"/>
        </w:rPr>
        <w:t xml:space="preserve">The results of this information collection will inform activities for maintaining and enhancing the BioSense Platform and associated applications </w:t>
      </w:r>
      <w:r w:rsidRPr="009C58F2">
        <w:rPr>
          <w:rFonts w:cstheme="minorHAnsi"/>
          <w:iCs/>
        </w:rPr>
        <w:t>(Access &amp; Management Center [AMC], ESSENCE, Adminer, SAS Studio, and RStudio); thus, the information collection will help ensure that STLT’s have an optimally functional and useful BioSense Platform and receive the most relevant and useful technical assistance and training related to the platform</w:t>
      </w:r>
      <w:r w:rsidR="00A74478" w:rsidRPr="009C58F2">
        <w:t>. The</w:t>
      </w:r>
      <w:r w:rsidR="00A74478" w:rsidRPr="00A74478">
        <w:t xml:space="preserve"> expected outputs include reports and presentations to inform the Centers for Disease Control and Prevention (CDC), partners and public health community.</w:t>
      </w:r>
      <w:r w:rsidR="00183871" w:rsidRPr="007B558B">
        <w:t xml:space="preserve"> </w:t>
      </w:r>
    </w:p>
    <w:p w14:paraId="32B83A88" w14:textId="3225D818" w:rsidR="008344E5" w:rsidRDefault="008344E5" w:rsidP="00692DEB">
      <w:pPr>
        <w:ind w:left="0"/>
      </w:pPr>
    </w:p>
    <w:p w14:paraId="170AD05E" w14:textId="77777777" w:rsidR="00B47055" w:rsidRPr="004301ED" w:rsidRDefault="00B47055" w:rsidP="00692DEB">
      <w:pPr>
        <w:pStyle w:val="Heading4"/>
      </w:pPr>
      <w:bookmarkStart w:id="7" w:name="_Toc427752816"/>
      <w:r w:rsidRPr="004301ED">
        <w:t>Use of Improved Information Technology and Burden Reduction</w:t>
      </w:r>
      <w:bookmarkEnd w:id="7"/>
    </w:p>
    <w:p w14:paraId="14E869D0" w14:textId="3276F7A1" w:rsidR="00692DEB" w:rsidRPr="00CB423C" w:rsidRDefault="00EA3A4A" w:rsidP="007B7C44">
      <w:pPr>
        <w:ind w:left="360"/>
      </w:pPr>
      <w:r w:rsidRPr="00CB423C">
        <w:t>Data will be collected via</w:t>
      </w:r>
      <w:r w:rsidR="00692DEB" w:rsidRPr="00CB423C">
        <w:t xml:space="preserve"> </w:t>
      </w:r>
      <w:r w:rsidR="008344E5" w:rsidRPr="00CB423C">
        <w:t xml:space="preserve">a web-based </w:t>
      </w:r>
      <w:r w:rsidR="007B558B" w:rsidRPr="00CB423C">
        <w:t xml:space="preserve">assessment </w:t>
      </w:r>
      <w:r w:rsidR="00261B2C" w:rsidRPr="00CB423C">
        <w:t>using a standard questionnaire for all respondents</w:t>
      </w:r>
      <w:r w:rsidR="00A07BBA" w:rsidRPr="00CB423C">
        <w:t xml:space="preserve">. The web-based </w:t>
      </w:r>
      <w:r w:rsidR="007B558B" w:rsidRPr="00CB423C">
        <w:t xml:space="preserve">assessment </w:t>
      </w:r>
      <w:r w:rsidR="00A07BBA" w:rsidRPr="00CB423C">
        <w:t xml:space="preserve">will be implemented using Epi Info’s web </w:t>
      </w:r>
      <w:r w:rsidR="007B558B" w:rsidRPr="00CB423C">
        <w:t>assessment</w:t>
      </w:r>
      <w:r w:rsidR="00A07BBA" w:rsidRPr="00CB423C">
        <w:t xml:space="preserve"> tool</w:t>
      </w:r>
      <w:r w:rsidR="00692DEB" w:rsidRPr="00CB423C">
        <w:t>. This method was chosen to reduce the overall burden on respondents</w:t>
      </w:r>
      <w:r w:rsidR="00FF5BF1" w:rsidRPr="00CB423C">
        <w:t xml:space="preserve"> by </w:t>
      </w:r>
      <w:r w:rsidR="00A07BBA" w:rsidRPr="00CB423C">
        <w:t xml:space="preserve">enabling the respondent to </w:t>
      </w:r>
      <w:r w:rsidR="00F2137F" w:rsidRPr="00CB423C">
        <w:t xml:space="preserve">complete the </w:t>
      </w:r>
      <w:r w:rsidR="007B558B" w:rsidRPr="00CB423C">
        <w:t xml:space="preserve">assessment </w:t>
      </w:r>
      <w:r w:rsidR="00F2137F" w:rsidRPr="00CB423C">
        <w:t xml:space="preserve">entirely on-line, without the need for any downloading, printing, faxing, or mailing. Respondents will be provided 10 days to complete the </w:t>
      </w:r>
      <w:r w:rsidR="007B558B" w:rsidRPr="00CB423C">
        <w:t>assessment</w:t>
      </w:r>
      <w:r w:rsidR="00F2137F" w:rsidRPr="00CB423C">
        <w:t xml:space="preserve"> and will be able to complete the</w:t>
      </w:r>
      <w:r w:rsidR="007B558B" w:rsidRPr="00CB423C">
        <w:t xml:space="preserve"> assessment</w:t>
      </w:r>
      <w:r w:rsidR="00F2137F" w:rsidRPr="00CB423C">
        <w:t xml:space="preserve"> at their convenience </w:t>
      </w:r>
      <w:r w:rsidR="008F5C94" w:rsidRPr="00CB423C">
        <w:t>during that time; r</w:t>
      </w:r>
      <w:r w:rsidR="00F2137F" w:rsidRPr="00CB423C">
        <w:t>espondent</w:t>
      </w:r>
      <w:r w:rsidR="00CB423C" w:rsidRPr="00CB423C">
        <w:t>s</w:t>
      </w:r>
      <w:r w:rsidR="008F5C94" w:rsidRPr="00CB423C">
        <w:t xml:space="preserve"> w</w:t>
      </w:r>
      <w:r w:rsidR="00FA706D" w:rsidRPr="00CB423C">
        <w:t>ill</w:t>
      </w:r>
      <w:r w:rsidR="008F5C94" w:rsidRPr="00CB423C">
        <w:t xml:space="preserve"> be able to complete the</w:t>
      </w:r>
      <w:r w:rsidR="007B558B" w:rsidRPr="00CB423C">
        <w:t xml:space="preserve"> assessment</w:t>
      </w:r>
      <w:r w:rsidR="00CB423C" w:rsidRPr="00CB423C">
        <w:t xml:space="preserve"> in</w:t>
      </w:r>
      <w:r w:rsidR="00CB423C">
        <w:t xml:space="preserve"> </w:t>
      </w:r>
      <w:r w:rsidR="008F5C94" w:rsidRPr="00CB423C">
        <w:t xml:space="preserve">one sitting or multiple sittings, if they choose, as they will be able to save a partially completed </w:t>
      </w:r>
      <w:r w:rsidR="007B558B" w:rsidRPr="00CB423C">
        <w:t xml:space="preserve">assessment </w:t>
      </w:r>
      <w:r w:rsidR="009435C7">
        <w:t>a</w:t>
      </w:r>
      <w:r w:rsidR="007B558B" w:rsidRPr="00CB423C">
        <w:t>nd return to</w:t>
      </w:r>
      <w:r w:rsidR="008F5C94" w:rsidRPr="00CB423C">
        <w:t xml:space="preserve"> it</w:t>
      </w:r>
      <w:r w:rsidR="007B558B" w:rsidRPr="00CB423C">
        <w:t xml:space="preserve"> for completion</w:t>
      </w:r>
      <w:r w:rsidR="008F5C94" w:rsidRPr="00CB423C">
        <w:t xml:space="preserve"> before submitting their responses</w:t>
      </w:r>
      <w:r w:rsidR="00692DEB" w:rsidRPr="00CB423C">
        <w:t xml:space="preserve">. The </w:t>
      </w:r>
      <w:r w:rsidR="002E2EDD" w:rsidRPr="00CB423C">
        <w:t>data</w:t>
      </w:r>
      <w:r w:rsidR="00692DEB" w:rsidRPr="00CB423C">
        <w:t xml:space="preserve"> collection instrument was designed to collect the minimum information necessary for the purposes of this project (i.e., limited to </w:t>
      </w:r>
      <w:r w:rsidR="0091407A" w:rsidRPr="00CB423C">
        <w:t>40</w:t>
      </w:r>
      <w:r w:rsidR="00692DEB" w:rsidRPr="00CB423C">
        <w:t xml:space="preserve"> questions).</w:t>
      </w:r>
      <w:r w:rsidR="00FA706D" w:rsidRPr="00CB423C">
        <w:t xml:space="preserve"> Furthermore, the questionnaire </w:t>
      </w:r>
      <w:r w:rsidR="00FA4468" w:rsidRPr="00CB423C">
        <w:t xml:space="preserve">includes </w:t>
      </w:r>
      <w:r w:rsidR="00FA706D" w:rsidRPr="00CB423C">
        <w:t>skip patterns so that selected respondent</w:t>
      </w:r>
      <w:r w:rsidR="00597623" w:rsidRPr="00CB423C">
        <w:t>s</w:t>
      </w:r>
      <w:r w:rsidR="00FA706D" w:rsidRPr="00CB423C">
        <w:t xml:space="preserve"> will be able to</w:t>
      </w:r>
      <w:r w:rsidR="00597623" w:rsidRPr="00CB423C">
        <w:t xml:space="preserve"> entirely skip several questions that would not be applicable to them; this will also help to reduce response burden.</w:t>
      </w:r>
    </w:p>
    <w:p w14:paraId="7B50E1FE" w14:textId="65B37C2C" w:rsidR="00383542" w:rsidRDefault="00383542" w:rsidP="006A09E0">
      <w:pPr>
        <w:ind w:left="0"/>
      </w:pPr>
    </w:p>
    <w:p w14:paraId="782838F5" w14:textId="730E8192" w:rsidR="00BD4599" w:rsidRDefault="00B47055" w:rsidP="009C58F2">
      <w:pPr>
        <w:pStyle w:val="Heading4"/>
      </w:pPr>
      <w:bookmarkStart w:id="8" w:name="_Toc427752817"/>
      <w:r w:rsidRPr="00D42A92">
        <w:t>Efforts to Identify Duplication and Use of Similar Information</w:t>
      </w:r>
      <w:bookmarkEnd w:id="8"/>
    </w:p>
    <w:p w14:paraId="767D5CE0" w14:textId="391ED415" w:rsidR="008C61B6" w:rsidRDefault="00624B3A" w:rsidP="009C58F2">
      <w:pPr>
        <w:ind w:left="360"/>
      </w:pPr>
      <w:r w:rsidRPr="00D17D6B">
        <w:t xml:space="preserve">Previously </w:t>
      </w:r>
      <w:r w:rsidR="007B20FA" w:rsidRPr="00D17D6B">
        <w:t>user assessments</w:t>
      </w:r>
      <w:r w:rsidRPr="00D17D6B">
        <w:t xml:space="preserve"> have been </w:t>
      </w:r>
      <w:r w:rsidR="00DA3BD4" w:rsidRPr="00D17D6B">
        <w:t xml:space="preserve">rigorously conducted </w:t>
      </w:r>
      <w:r w:rsidR="00DF5A4E" w:rsidRPr="00D17D6B">
        <w:t xml:space="preserve">to inform </w:t>
      </w:r>
      <w:r w:rsidR="00C73834" w:rsidRPr="00D17D6B">
        <w:t xml:space="preserve">strategies and activities for the design, development, and operationalization of the present BioSense </w:t>
      </w:r>
      <w:r w:rsidR="000A0F67" w:rsidRPr="00D17D6B">
        <w:t>P</w:t>
      </w:r>
      <w:r w:rsidR="00C73834" w:rsidRPr="00D17D6B">
        <w:t>l</w:t>
      </w:r>
      <w:r w:rsidR="003D2A1E" w:rsidRPr="00D17D6B">
        <w:t xml:space="preserve">atform and its associated tools. </w:t>
      </w:r>
    </w:p>
    <w:p w14:paraId="6EBAE9BA" w14:textId="77777777" w:rsidR="009C58F2" w:rsidRDefault="009C58F2" w:rsidP="009C58F2">
      <w:pPr>
        <w:ind w:left="360"/>
      </w:pPr>
    </w:p>
    <w:p w14:paraId="60EC65DD" w14:textId="789983FC" w:rsidR="0003270F" w:rsidRPr="00D17D6B" w:rsidRDefault="003D2A1E" w:rsidP="00D17406">
      <w:pPr>
        <w:ind w:left="360"/>
      </w:pPr>
      <w:r w:rsidRPr="00D17D6B">
        <w:t xml:space="preserve">These </w:t>
      </w:r>
      <w:r w:rsidR="0003270F">
        <w:t xml:space="preserve">previous assessment have included small data collections </w:t>
      </w:r>
      <w:r w:rsidR="0003270F" w:rsidRPr="0003270F">
        <w:t xml:space="preserve">on Biosense’s </w:t>
      </w:r>
      <w:r w:rsidR="0003270F">
        <w:t xml:space="preserve">functionality and </w:t>
      </w:r>
      <w:r w:rsidR="0003270F" w:rsidRPr="0003270F">
        <w:t>useability (each assessment included less than 9 respondents). These efforts differ from the</w:t>
      </w:r>
      <w:r w:rsidR="0003270F">
        <w:t xml:space="preserve"> current </w:t>
      </w:r>
      <w:r w:rsidR="0003270F" w:rsidRPr="0003270F">
        <w:t xml:space="preserve">proposed </w:t>
      </w:r>
      <w:r w:rsidR="0003270F">
        <w:t xml:space="preserve">assessment in that they </w:t>
      </w:r>
      <w:r w:rsidR="00D17406" w:rsidRPr="00D17406">
        <w:t xml:space="preserve">were conducted among a small select group of state and local health agency participants </w:t>
      </w:r>
      <w:r w:rsidR="00D17406">
        <w:t xml:space="preserve">and </w:t>
      </w:r>
      <w:r w:rsidR="0003270F">
        <w:t>did not collect information from the broad group of BioSense users at state and local health agencies; in addition</w:t>
      </w:r>
      <w:r w:rsidR="00D17406">
        <w:t>,</w:t>
      </w:r>
      <w:r w:rsidR="0003270F">
        <w:t xml:space="preserve"> the platform and </w:t>
      </w:r>
      <w:r w:rsidR="000475F9">
        <w:t>applications</w:t>
      </w:r>
      <w:r w:rsidR="0003270F">
        <w:t xml:space="preserve"> have seen additional development </w:t>
      </w:r>
      <w:r w:rsidR="000475F9">
        <w:t>since the beginning of those collections</w:t>
      </w:r>
      <w:r w:rsidR="0003270F" w:rsidRPr="0003270F">
        <w:t xml:space="preserve">. </w:t>
      </w:r>
    </w:p>
    <w:p w14:paraId="5C58F25F" w14:textId="2D83830D" w:rsidR="00407E33" w:rsidRPr="00D17D6B" w:rsidRDefault="004D36DC" w:rsidP="00D17406">
      <w:pPr>
        <w:pStyle w:val="ListParagraph"/>
        <w:ind w:left="1080"/>
      </w:pPr>
      <w:r w:rsidRPr="00D17D6B">
        <w:t xml:space="preserve"> </w:t>
      </w:r>
    </w:p>
    <w:p w14:paraId="46035965" w14:textId="1113034D" w:rsidR="0019338D" w:rsidRDefault="006E4631" w:rsidP="001D4330">
      <w:pPr>
        <w:ind w:left="360"/>
      </w:pPr>
      <w:r w:rsidRPr="00D17D6B">
        <w:t xml:space="preserve">A prior data collection </w:t>
      </w:r>
      <w:r w:rsidR="009113D5" w:rsidRPr="00D17D6B">
        <w:t xml:space="preserve">(BioSense Platform User Satisfaction Survey, OMB No. 0920-0974) </w:t>
      </w:r>
      <w:r w:rsidRPr="00D17D6B">
        <w:t xml:space="preserve">from BioSense users regarding the functionality and utility of the BioSense </w:t>
      </w:r>
      <w:r w:rsidR="000A0F67" w:rsidRPr="00D17D6B">
        <w:t>P</w:t>
      </w:r>
      <w:r w:rsidRPr="00D17D6B">
        <w:t>latform and associated applications</w:t>
      </w:r>
      <w:r w:rsidR="00751C50" w:rsidRPr="00D17D6B">
        <w:t xml:space="preserve"> and </w:t>
      </w:r>
      <w:r w:rsidR="000D39F6" w:rsidRPr="00D17D6B">
        <w:t>related quick start guides</w:t>
      </w:r>
      <w:r w:rsidR="008E58C4" w:rsidRPr="00D17D6B">
        <w:t xml:space="preserve"> was approved by OMB and conducted in August of 2017</w:t>
      </w:r>
      <w:r w:rsidR="000D39F6" w:rsidRPr="009C58F2">
        <w:t>.</w:t>
      </w:r>
      <w:r w:rsidR="0019338D" w:rsidRPr="009C58F2">
        <w:t xml:space="preserve"> The assessment was participated in by 27 site administrators and 8 non-site administrators. The findings from this previous assessment helped improve the platform. However, there is still a lack of comprehensive and rigorous data about the functional status, utility, and use of the BioSense Platform and its associated applications from the broad group of users at state and local health departments nationwide. This is because the previous assessment did not provide data from the broad group of BioSense Platform Users; in addition, the current assessment collects information on several matters not addressed in those previous assessment.  Such information is needed to ensure that these tools and services are optimally meeting their intended objectives and to identify and address any potential shortcomings. In this regard, user feedback is also needed about the BioSense related technical support, training, and information that is provided by NSSP.</w:t>
      </w:r>
    </w:p>
    <w:p w14:paraId="23A054BD" w14:textId="756F9635" w:rsidR="0019338D" w:rsidRDefault="0019338D" w:rsidP="001D4330">
      <w:pPr>
        <w:ind w:left="360"/>
      </w:pPr>
    </w:p>
    <w:p w14:paraId="2A56E0D8" w14:textId="1D5E70D1" w:rsidR="000D39F6" w:rsidRPr="00D17D6B" w:rsidRDefault="009546CE" w:rsidP="00B4322B">
      <w:pPr>
        <w:ind w:left="360"/>
      </w:pPr>
      <w:r w:rsidRPr="00D17D6B">
        <w:t>Four</w:t>
      </w:r>
      <w:r w:rsidR="001D4330" w:rsidRPr="00D17D6B">
        <w:t xml:space="preserve"> other prior data collections (</w:t>
      </w:r>
      <w:r w:rsidR="00BE3609" w:rsidRPr="00D17D6B">
        <w:t>1. Assessment of the STLT Health Department Data Submission Processes into BioSense 2.0</w:t>
      </w:r>
      <w:r w:rsidR="001D4330" w:rsidRPr="00D17D6B">
        <w:t xml:space="preserve">1. </w:t>
      </w:r>
      <w:r w:rsidR="00BE3609" w:rsidRPr="00D17D6B">
        <w:t xml:space="preserve">(OMB No. 0920-0879), 2. </w:t>
      </w:r>
      <w:r w:rsidRPr="00D17D6B">
        <w:t xml:space="preserve">Syndromic Surveillance Practice Assessment </w:t>
      </w:r>
      <w:r w:rsidR="001D4330" w:rsidRPr="00D17D6B">
        <w:t>(OMB No. 0920-0879)</w:t>
      </w:r>
      <w:r w:rsidR="00EF1051" w:rsidRPr="00D17D6B">
        <w:t xml:space="preserve">, </w:t>
      </w:r>
      <w:r w:rsidR="00BE3609" w:rsidRPr="00D17D6B">
        <w:t>3</w:t>
      </w:r>
      <w:r w:rsidR="00EF1051" w:rsidRPr="00D17D6B">
        <w:t xml:space="preserve">. Syndromic Surveillance: Success Stories from the Field from Not CDC Funded State and Local Health Departments (OMB No. 0920-0879), </w:t>
      </w:r>
      <w:r w:rsidR="00297E4F" w:rsidRPr="00D17D6B">
        <w:t xml:space="preserve">and </w:t>
      </w:r>
      <w:r w:rsidR="00BE3609" w:rsidRPr="00D17D6B">
        <w:t>4</w:t>
      </w:r>
      <w:r w:rsidR="001D4330" w:rsidRPr="00D17D6B">
        <w:t>. Syndromic Surveillance: Success Stories from the Field from NSSP Awardees (OMB No. 0920-0879)</w:t>
      </w:r>
      <w:r w:rsidR="00EF1051" w:rsidRPr="00D17D6B">
        <w:t>)</w:t>
      </w:r>
      <w:r w:rsidR="001D4330" w:rsidRPr="00D17D6B">
        <w:t xml:space="preserve"> regarding syndromic surveillance have been approved, however the purpose of th</w:t>
      </w:r>
      <w:r w:rsidR="00297E4F" w:rsidRPr="00D17D6B">
        <w:t>o</w:t>
      </w:r>
      <w:r w:rsidR="001D4330" w:rsidRPr="00D17D6B">
        <w:t>se</w:t>
      </w:r>
      <w:r w:rsidR="00BE3609" w:rsidRPr="00D17D6B">
        <w:t xml:space="preserve"> data collections were different</w:t>
      </w:r>
      <w:r w:rsidR="00D17D6B" w:rsidRPr="00D17D6B">
        <w:t xml:space="preserve"> than</w:t>
      </w:r>
      <w:r w:rsidR="00BE3609" w:rsidRPr="00D17D6B">
        <w:t xml:space="preserve"> that of the present </w:t>
      </w:r>
      <w:r w:rsidR="00D17D6B" w:rsidRPr="00D17D6B">
        <w:t xml:space="preserve">assessment </w:t>
      </w:r>
      <w:r w:rsidR="00BE3609" w:rsidRPr="00D17D6B">
        <w:t>and the information</w:t>
      </w:r>
      <w:r w:rsidR="00297E4F" w:rsidRPr="00D17D6B">
        <w:t xml:space="preserve"> </w:t>
      </w:r>
      <w:r w:rsidR="00BE3609" w:rsidRPr="00D17D6B">
        <w:t xml:space="preserve">collected through those </w:t>
      </w:r>
      <w:r w:rsidR="00D17D6B" w:rsidRPr="00D17D6B">
        <w:t xml:space="preserve">assessment </w:t>
      </w:r>
      <w:r w:rsidR="00BE3609" w:rsidRPr="00D17D6B">
        <w:t>do</w:t>
      </w:r>
      <w:r w:rsidR="00FD6074" w:rsidRPr="00D17D6B">
        <w:t>es</w:t>
      </w:r>
      <w:r w:rsidR="00BE3609" w:rsidRPr="00D17D6B">
        <w:t xml:space="preserve"> not address the needs addressed by the present </w:t>
      </w:r>
      <w:r w:rsidR="00D17D6B" w:rsidRPr="00D17D6B">
        <w:t>assessment</w:t>
      </w:r>
      <w:r w:rsidR="00BE3609" w:rsidRPr="00D17D6B">
        <w:t xml:space="preserve">. The </w:t>
      </w:r>
      <w:r w:rsidR="00AE79B1" w:rsidRPr="00D17D6B">
        <w:t>first data collection effort</w:t>
      </w:r>
      <w:r w:rsidR="009129F0" w:rsidRPr="00D17D6B">
        <w:t xml:space="preserve"> mentioned above in this paragraph</w:t>
      </w:r>
      <w:r w:rsidR="00AE79B1" w:rsidRPr="00D17D6B">
        <w:t xml:space="preserve">, </w:t>
      </w:r>
      <w:r w:rsidR="009129F0" w:rsidRPr="00D17D6B">
        <w:t xml:space="preserve">the </w:t>
      </w:r>
      <w:r w:rsidR="00BE3609" w:rsidRPr="00D17D6B">
        <w:t>Assessment of the STLT Health Department Data Submission Processes into BioSense 2.0</w:t>
      </w:r>
      <w:r w:rsidR="001A2055" w:rsidRPr="00D17D6B">
        <w:t xml:space="preserve"> focused on collecting information about systematic barriers and challenges encountered during the onboarding process associated with BioSense 2.0</w:t>
      </w:r>
      <w:r w:rsidR="00297E4F" w:rsidRPr="00D17D6B">
        <w:t xml:space="preserve"> (note that</w:t>
      </w:r>
      <w:r w:rsidR="00C83068" w:rsidRPr="00D17D6B">
        <w:t xml:space="preserve"> </w:t>
      </w:r>
      <w:r w:rsidR="00F642CA" w:rsidRPr="00D17D6B">
        <w:t xml:space="preserve">BioSense 2.0 </w:t>
      </w:r>
      <w:r w:rsidR="00C83068" w:rsidRPr="00D17D6B">
        <w:t xml:space="preserve">was different </w:t>
      </w:r>
      <w:r w:rsidR="007B20FA" w:rsidRPr="00D17D6B">
        <w:t xml:space="preserve">back then and mainly </w:t>
      </w:r>
      <w:r w:rsidR="00C34CE6" w:rsidRPr="00D17D6B">
        <w:t xml:space="preserve">used for </w:t>
      </w:r>
      <w:r w:rsidR="00AC0AE4" w:rsidRPr="00D17D6B">
        <w:t>collecting and utilizing syndromic surveillance related data</w:t>
      </w:r>
      <w:r w:rsidR="007B20FA" w:rsidRPr="00D17D6B">
        <w:t xml:space="preserve">. </w:t>
      </w:r>
      <w:r w:rsidR="00B827D6" w:rsidRPr="00D17D6B">
        <w:t xml:space="preserve">It did not specifically collect information about the functionality and utility of the BioSense </w:t>
      </w:r>
      <w:r w:rsidR="000A0F67" w:rsidRPr="00D17D6B">
        <w:t>P</w:t>
      </w:r>
      <w:r w:rsidR="00B827D6" w:rsidRPr="00D17D6B">
        <w:t xml:space="preserve">latform and associated applications. </w:t>
      </w:r>
      <w:r w:rsidR="00AE79B1" w:rsidRPr="00D17D6B">
        <w:t xml:space="preserve">The second data collection, </w:t>
      </w:r>
      <w:r w:rsidR="009129F0" w:rsidRPr="00D17D6B">
        <w:t>the</w:t>
      </w:r>
      <w:r w:rsidR="00AE79B1" w:rsidRPr="00D17D6B">
        <w:t xml:space="preserve"> </w:t>
      </w:r>
      <w:r w:rsidR="00B34A6F" w:rsidRPr="00D17D6B">
        <w:t xml:space="preserve">Syndromic Surveillance Practice Assessment, used a telephone </w:t>
      </w:r>
      <w:r w:rsidR="00D17D6B" w:rsidRPr="00D17D6B">
        <w:t>interview guide</w:t>
      </w:r>
      <w:r w:rsidR="00B34A6F" w:rsidRPr="00D17D6B">
        <w:t xml:space="preserve"> to collected information</w:t>
      </w:r>
      <w:r w:rsidR="00AE79B1" w:rsidRPr="00D17D6B">
        <w:t xml:space="preserve"> </w:t>
      </w:r>
      <w:r w:rsidR="00B34A6F" w:rsidRPr="00D17D6B">
        <w:t>about how syndromic surveillance practice is being conducted at the jurisdictional level; this information was collected from the 31 state and local health departments funded by the CDC to strengthen syndromic surveillance capacities and practice</w:t>
      </w:r>
      <w:r w:rsidR="00B4322B" w:rsidRPr="00D17D6B">
        <w:t xml:space="preserve"> and did not specifically collect information about the functionality and util</w:t>
      </w:r>
      <w:r w:rsidR="009129F0" w:rsidRPr="00D17D6B">
        <w:t>i</w:t>
      </w:r>
      <w:r w:rsidR="00B4322B" w:rsidRPr="00D17D6B">
        <w:t xml:space="preserve">ty of the BioSense </w:t>
      </w:r>
      <w:r w:rsidR="000A0F67" w:rsidRPr="00D17D6B">
        <w:t>P</w:t>
      </w:r>
      <w:r w:rsidR="00B4322B" w:rsidRPr="00D17D6B">
        <w:t>latform and associated applications.</w:t>
      </w:r>
      <w:r w:rsidR="00AE79B1" w:rsidRPr="00D17D6B">
        <w:t xml:space="preserve">  </w:t>
      </w:r>
      <w:r w:rsidR="00B4322B" w:rsidRPr="00D17D6B">
        <w:t>The</w:t>
      </w:r>
      <w:r w:rsidR="009129F0" w:rsidRPr="00D17D6B">
        <w:t xml:space="preserve"> third and fourth data collection efforts,</w:t>
      </w:r>
      <w:r w:rsidR="00B4322B" w:rsidRPr="00D17D6B">
        <w:t xml:space="preserve"> </w:t>
      </w:r>
      <w:r w:rsidR="009129F0" w:rsidRPr="00D17D6B">
        <w:t>the</w:t>
      </w:r>
      <w:r w:rsidR="00B4322B" w:rsidRPr="00D17D6B">
        <w:t xml:space="preserve"> Syndromic Surveillance: Success Stories from the Field from Not CDC Funded State and Local Health Departments</w:t>
      </w:r>
      <w:r w:rsidR="009129F0" w:rsidRPr="00D17D6B">
        <w:t xml:space="preserve"> and the S</w:t>
      </w:r>
      <w:r w:rsidR="00B4322B" w:rsidRPr="00D17D6B">
        <w:t>yndromic Surveillance: Success Stories from the Field from NSSP Awardees aimed to learn how syndromic surveillance systems address public health problems and impact populations and identify best practices at the local and regional level.</w:t>
      </w:r>
      <w:r w:rsidR="009129F0" w:rsidRPr="00D17D6B">
        <w:t xml:space="preserve"> They also </w:t>
      </w:r>
      <w:r w:rsidR="00FA7714" w:rsidRPr="00D17D6B">
        <w:t xml:space="preserve">were not aimed to collect specific information regarding the functionality and utility of the BioSense </w:t>
      </w:r>
      <w:r w:rsidR="000A0F67" w:rsidRPr="00D17D6B">
        <w:t>P</w:t>
      </w:r>
      <w:r w:rsidR="00FA7714" w:rsidRPr="00D17D6B">
        <w:t>latform and its associated applications from the broad group of BioSense users. These four prior d</w:t>
      </w:r>
      <w:r w:rsidR="00B827D6" w:rsidRPr="00D17D6B">
        <w:t>a</w:t>
      </w:r>
      <w:r w:rsidR="00FA7714" w:rsidRPr="00D17D6B">
        <w:t xml:space="preserve">ta collection efforts thus did not address the information needs addressed by the present survey. </w:t>
      </w:r>
    </w:p>
    <w:p w14:paraId="746E546F" w14:textId="77777777" w:rsidR="00F05206" w:rsidRPr="00D17D6B" w:rsidRDefault="00F05206" w:rsidP="004D36DC">
      <w:pPr>
        <w:ind w:left="360"/>
      </w:pPr>
    </w:p>
    <w:p w14:paraId="178F59ED" w14:textId="7179A359" w:rsidR="00B645FB" w:rsidRPr="00B645FB" w:rsidRDefault="004D36DC" w:rsidP="00B645FB">
      <w:pPr>
        <w:ind w:left="360"/>
      </w:pPr>
      <w:r w:rsidRPr="00D17D6B">
        <w:t xml:space="preserve">Other </w:t>
      </w:r>
      <w:r w:rsidR="00290BBE" w:rsidRPr="00D17D6B">
        <w:t xml:space="preserve">efforts to assess if the information to be collected by this </w:t>
      </w:r>
      <w:r w:rsidR="00D17D6B" w:rsidRPr="00D17D6B">
        <w:t xml:space="preserve">assessment </w:t>
      </w:r>
      <w:r w:rsidR="00290BBE" w:rsidRPr="00D17D6B">
        <w:t xml:space="preserve">(the BioSense Platform User Survey) </w:t>
      </w:r>
      <w:r w:rsidR="00297E4F" w:rsidRPr="00D17D6B">
        <w:t>is</w:t>
      </w:r>
      <w:r w:rsidR="00290BBE" w:rsidRPr="00D17D6B">
        <w:t xml:space="preserve"> already available have included review of internal documents and records, reviews of published literature</w:t>
      </w:r>
      <w:r w:rsidR="00565766" w:rsidRPr="00D17D6B">
        <w:t>, and scanning of web-based information.</w:t>
      </w:r>
      <w:r w:rsidR="00290BBE" w:rsidRPr="00D17D6B">
        <w:t xml:space="preserve">  </w:t>
      </w:r>
      <w:r w:rsidR="00ED26A6" w:rsidRPr="00D17D6B">
        <w:t>These efforts failed to identify availability of the information that is needed.</w:t>
      </w:r>
      <w:r w:rsidR="00B645FB" w:rsidRPr="00B645FB">
        <w:t xml:space="preserve"> Therefore, the current collection is not duplicative of past efforts.</w:t>
      </w:r>
    </w:p>
    <w:p w14:paraId="765AA9D7" w14:textId="6D6F9578" w:rsidR="00675F9A" w:rsidRDefault="00675F9A" w:rsidP="00B645FB">
      <w:pPr>
        <w:ind w:left="0"/>
      </w:pPr>
    </w:p>
    <w:p w14:paraId="0F3286AF" w14:textId="77777777" w:rsidR="00B12F51" w:rsidRPr="00B47055" w:rsidRDefault="00B47055" w:rsidP="00692DEB">
      <w:pPr>
        <w:pStyle w:val="Heading4"/>
      </w:pPr>
      <w:bookmarkStart w:id="9" w:name="_Toc427752818"/>
      <w:r w:rsidRPr="00B47055">
        <w:t>Impact on Small Businesses or Other Small Entities</w:t>
      </w:r>
      <w:bookmarkEnd w:id="9"/>
    </w:p>
    <w:p w14:paraId="20659881" w14:textId="77777777" w:rsidR="00BD4599" w:rsidRDefault="00D26A64" w:rsidP="00383542">
      <w:pPr>
        <w:ind w:left="360"/>
      </w:pPr>
      <w:r>
        <w:t>N</w:t>
      </w:r>
      <w:r w:rsidR="00AF2252">
        <w:t xml:space="preserve">o small businesses will be involved in this </w:t>
      </w:r>
      <w:r w:rsidR="00157413">
        <w:t>information collection</w:t>
      </w:r>
      <w:r>
        <w:t>.</w:t>
      </w:r>
    </w:p>
    <w:p w14:paraId="6F3DAACF" w14:textId="3C69EABF" w:rsidR="008F472C" w:rsidRPr="00D95FBF" w:rsidRDefault="008F472C" w:rsidP="00383542">
      <w:pPr>
        <w:ind w:left="0"/>
      </w:pPr>
    </w:p>
    <w:p w14:paraId="50DFC409" w14:textId="77777777" w:rsidR="00B12F51" w:rsidRPr="00B47055" w:rsidRDefault="00B47055" w:rsidP="00692DEB">
      <w:pPr>
        <w:pStyle w:val="Heading4"/>
      </w:pPr>
      <w:bookmarkStart w:id="10" w:name="_Toc427752819"/>
      <w:r w:rsidRPr="00B47055">
        <w:t xml:space="preserve">Consequences of Collecting the Information Less Frequently </w:t>
      </w:r>
      <w:r w:rsidR="00D95FBF" w:rsidRPr="00B47055">
        <w:t xml:space="preserve">  </w:t>
      </w:r>
      <w:bookmarkEnd w:id="10"/>
      <w:r w:rsidR="00D95FBF" w:rsidRPr="00B47055">
        <w:t xml:space="preserve"> </w:t>
      </w:r>
    </w:p>
    <w:p w14:paraId="337064A3" w14:textId="77777777" w:rsidR="000058E0" w:rsidRDefault="000058E0" w:rsidP="007B7C44">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7F2903F6" w14:textId="17137B67" w:rsidR="00A50153" w:rsidRPr="00D17D6B" w:rsidRDefault="00554443" w:rsidP="00554443">
      <w:pPr>
        <w:pStyle w:val="ListParagraph"/>
        <w:numPr>
          <w:ilvl w:val="0"/>
          <w:numId w:val="6"/>
        </w:numPr>
        <w:tabs>
          <w:tab w:val="clear" w:pos="9360"/>
        </w:tabs>
        <w:spacing w:line="240" w:lineRule="auto"/>
      </w:pPr>
      <w:r w:rsidRPr="00D17D6B">
        <w:t xml:space="preserve">Optimally understand how the BioSense </w:t>
      </w:r>
      <w:r w:rsidR="000A0F67" w:rsidRPr="00D17D6B">
        <w:t>P</w:t>
      </w:r>
      <w:r w:rsidRPr="00D17D6B">
        <w:t xml:space="preserve">latform is being used and </w:t>
      </w:r>
      <w:r w:rsidR="00A50153" w:rsidRPr="00D17D6B">
        <w:t xml:space="preserve">how well the </w:t>
      </w:r>
      <w:r w:rsidRPr="00D17D6B">
        <w:t>var</w:t>
      </w:r>
      <w:r w:rsidR="00A50153" w:rsidRPr="00D17D6B">
        <w:t>ious features and functions of its</w:t>
      </w:r>
      <w:r w:rsidRPr="00D17D6B">
        <w:t xml:space="preserve"> applications</w:t>
      </w:r>
      <w:r w:rsidR="00A50153" w:rsidRPr="00D17D6B">
        <w:t xml:space="preserve"> are performing.</w:t>
      </w:r>
    </w:p>
    <w:p w14:paraId="5FCE00EE" w14:textId="48742AB3" w:rsidR="00A50153" w:rsidRPr="00D17D6B" w:rsidRDefault="00A50153" w:rsidP="00A50153">
      <w:pPr>
        <w:pStyle w:val="ListParagraph"/>
        <w:numPr>
          <w:ilvl w:val="0"/>
          <w:numId w:val="6"/>
        </w:numPr>
        <w:tabs>
          <w:tab w:val="clear" w:pos="9360"/>
        </w:tabs>
        <w:spacing w:line="240" w:lineRule="auto"/>
      </w:pPr>
      <w:r w:rsidRPr="00D17D6B">
        <w:t>Optimally i</w:t>
      </w:r>
      <w:r w:rsidR="00554443" w:rsidRPr="00D17D6B">
        <w:t>dentify potential performance issue</w:t>
      </w:r>
      <w:r w:rsidRPr="00D17D6B">
        <w:t>s that may need to be addressed</w:t>
      </w:r>
      <w:r w:rsidR="00554443" w:rsidRPr="00D17D6B">
        <w:t xml:space="preserve"> and inform future strategies and activities for maintaining and enhancing of the BioSense </w:t>
      </w:r>
      <w:r w:rsidR="000A0F67" w:rsidRPr="00D17D6B">
        <w:t>P</w:t>
      </w:r>
      <w:r w:rsidR="00554443" w:rsidRPr="00D17D6B">
        <w:t xml:space="preserve">latform and associated applications. </w:t>
      </w:r>
    </w:p>
    <w:p w14:paraId="072AC876" w14:textId="6B8F0826" w:rsidR="008C59E7" w:rsidRPr="009C58F2" w:rsidRDefault="00554443" w:rsidP="00554443">
      <w:pPr>
        <w:pStyle w:val="ListParagraph"/>
        <w:numPr>
          <w:ilvl w:val="0"/>
          <w:numId w:val="6"/>
        </w:numPr>
        <w:tabs>
          <w:tab w:val="clear" w:pos="9360"/>
        </w:tabs>
        <w:spacing w:line="240" w:lineRule="auto"/>
      </w:pPr>
      <w:r w:rsidRPr="009C58F2">
        <w:t>Optimally inform strategies to ensure optimal delivery of technical assistance, training, and information to users by the program.</w:t>
      </w:r>
    </w:p>
    <w:p w14:paraId="640039E2" w14:textId="4B421949" w:rsidR="00BD4599" w:rsidRDefault="00BD4599" w:rsidP="00675F9A">
      <w:pPr>
        <w:pStyle w:val="ListParagraph"/>
        <w:ind w:left="360"/>
        <w:rPr>
          <w:lang w:eastAsia="zh-CN"/>
        </w:rPr>
      </w:pPr>
    </w:p>
    <w:p w14:paraId="77B97EC5" w14:textId="77777777" w:rsidR="00B12F51" w:rsidRPr="00B47055" w:rsidRDefault="00B47055" w:rsidP="00692DEB">
      <w:pPr>
        <w:pStyle w:val="Heading4"/>
      </w:pPr>
      <w:bookmarkStart w:id="11" w:name="_Toc427752820"/>
      <w:r w:rsidRPr="00B47055">
        <w:t>Special Circumstances Relating to the Guidelines of 5 CFR 1320.5</w:t>
      </w:r>
      <w:bookmarkEnd w:id="11"/>
    </w:p>
    <w:p w14:paraId="22414C72"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317E3491" w14:textId="22FD145D" w:rsidR="00383542" w:rsidRDefault="00383542" w:rsidP="00383542">
      <w:pPr>
        <w:ind w:left="0"/>
      </w:pPr>
    </w:p>
    <w:p w14:paraId="51B37046" w14:textId="77777777" w:rsidR="00B12F51" w:rsidRPr="0088467A" w:rsidRDefault="0088467A" w:rsidP="00692DEB">
      <w:pPr>
        <w:pStyle w:val="Heading4"/>
      </w:pPr>
      <w:bookmarkStart w:id="12" w:name="_Toc427752821"/>
      <w:r w:rsidRPr="0088467A">
        <w:t>Comments in Response to the Federal Register Notice and Efforts to Consult Outside the Agency</w:t>
      </w:r>
      <w:bookmarkEnd w:id="12"/>
    </w:p>
    <w:p w14:paraId="6BE6FFD9"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17F2208B" w14:textId="77777777" w:rsidR="00A809AA" w:rsidRPr="00A809AA" w:rsidRDefault="00A809AA" w:rsidP="00692DEB">
      <w:pPr>
        <w:ind w:left="0"/>
      </w:pPr>
    </w:p>
    <w:p w14:paraId="3ED73FF3"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D112165" w14:textId="125211CD" w:rsidR="00F52BCC" w:rsidRPr="00A809AA" w:rsidRDefault="00F52BCC" w:rsidP="009C58F2">
      <w:pPr>
        <w:ind w:left="0"/>
      </w:pPr>
    </w:p>
    <w:p w14:paraId="653ACC59" w14:textId="77777777" w:rsidR="00B12F51" w:rsidRPr="0088467A" w:rsidRDefault="0088467A" w:rsidP="00692DEB">
      <w:pPr>
        <w:pStyle w:val="Heading4"/>
      </w:pPr>
      <w:bookmarkStart w:id="13" w:name="_Toc427752822"/>
      <w:r w:rsidRPr="0088467A">
        <w:t>Explanation of Any Payment or Gift to Respondents</w:t>
      </w:r>
      <w:bookmarkEnd w:id="13"/>
    </w:p>
    <w:p w14:paraId="299D70FD" w14:textId="5ED2E5E5" w:rsidR="00C4416B" w:rsidRDefault="00A809AA" w:rsidP="009C58F2">
      <w:pPr>
        <w:ind w:left="360"/>
      </w:pPr>
      <w:r>
        <w:t>CDC will not provide p</w:t>
      </w:r>
      <w:r w:rsidR="00D26A64">
        <w:t>ayments or gifts to respondents.</w:t>
      </w:r>
    </w:p>
    <w:p w14:paraId="1804734D" w14:textId="77777777" w:rsidR="00B12F51" w:rsidRPr="00D16E78" w:rsidRDefault="0088467A" w:rsidP="00692DEB">
      <w:pPr>
        <w:pStyle w:val="Heading4"/>
      </w:pPr>
      <w:r>
        <w:t xml:space="preserve"> </w:t>
      </w:r>
      <w:bookmarkStart w:id="14" w:name="_Toc427752823"/>
      <w:r w:rsidR="009D5927" w:rsidRPr="009D5927">
        <w:t>Protection of the Privacy and Confidentiality of Information Provided by Respondents</w:t>
      </w:r>
      <w:bookmarkEnd w:id="14"/>
    </w:p>
    <w:p w14:paraId="7DC81F32" w14:textId="69009313"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w:t>
      </w:r>
      <w:r w:rsidRPr="00040611">
        <w:t>will be speaking from their official roles</w:t>
      </w:r>
      <w:r w:rsidR="00D06816">
        <w:t xml:space="preserve">.  </w:t>
      </w:r>
      <w:r w:rsidRPr="00040611">
        <w:t xml:space="preserve"> </w:t>
      </w:r>
    </w:p>
    <w:p w14:paraId="0161B349" w14:textId="77777777" w:rsidR="006A09E0" w:rsidRPr="003C31C9" w:rsidRDefault="006A09E0" w:rsidP="006A09E0">
      <w:pPr>
        <w:ind w:left="360"/>
      </w:pPr>
    </w:p>
    <w:p w14:paraId="1C279D36" w14:textId="77777777" w:rsidR="00675F9A" w:rsidRDefault="003C31C9" w:rsidP="006A09E0">
      <w:pPr>
        <w:ind w:left="360"/>
      </w:pPr>
      <w:r w:rsidRPr="003C31C9">
        <w:t xml:space="preserve">This </w:t>
      </w:r>
      <w:r w:rsidR="002E2EDD">
        <w:t>data</w:t>
      </w:r>
      <w:r w:rsidR="00157413">
        <w:t xml:space="preserve"> collection</w:t>
      </w:r>
      <w:r w:rsidRPr="003C31C9">
        <w:t xml:space="preserve"> is not research involving human subjects.</w:t>
      </w:r>
    </w:p>
    <w:p w14:paraId="06DD01B6" w14:textId="7D454E02" w:rsidR="00383542" w:rsidRPr="00383542" w:rsidRDefault="00383542" w:rsidP="00383542">
      <w:pPr>
        <w:ind w:left="0"/>
        <w:rPr>
          <w:iCs/>
          <w:color w:val="0070C0"/>
          <w:vertAlign w:val="superscript"/>
        </w:rPr>
      </w:pPr>
    </w:p>
    <w:p w14:paraId="67976175" w14:textId="77777777" w:rsidR="00B12F51" w:rsidRPr="0088467A" w:rsidRDefault="009D5927" w:rsidP="00692DEB">
      <w:pPr>
        <w:pStyle w:val="Heading4"/>
      </w:pPr>
      <w:bookmarkStart w:id="15" w:name="_Toc427752824"/>
      <w:r w:rsidRPr="009D5927">
        <w:t>Institutional Review Board (IRB) and Justification for Sensitive Questions</w:t>
      </w:r>
      <w:bookmarkEnd w:id="15"/>
    </w:p>
    <w:p w14:paraId="6FDFBC5C" w14:textId="11F5015E" w:rsidR="00E20294" w:rsidRDefault="003C31C9" w:rsidP="00D17D6B">
      <w:pPr>
        <w:ind w:left="360"/>
      </w:pPr>
      <w:r>
        <w:t>No information will be collected</w:t>
      </w:r>
      <w:r w:rsidR="00616090">
        <w:t xml:space="preserve"> that are of personal or sensitive nature</w:t>
      </w:r>
      <w:r w:rsidR="00D26A64">
        <w:t>.</w:t>
      </w:r>
    </w:p>
    <w:p w14:paraId="754A19F8" w14:textId="77777777" w:rsidR="00E20294" w:rsidRPr="0088467A" w:rsidRDefault="00E20294" w:rsidP="005D6F14"/>
    <w:p w14:paraId="36D3255F" w14:textId="77777777" w:rsidR="00B64BFA" w:rsidRPr="0088467A" w:rsidRDefault="0088467A" w:rsidP="00692DEB">
      <w:pPr>
        <w:pStyle w:val="Heading4"/>
      </w:pPr>
      <w:bookmarkStart w:id="16" w:name="_Toc427752825"/>
      <w:r w:rsidRPr="0088467A">
        <w:t>Estimates of Annualized Burden Hours and Costs</w:t>
      </w:r>
      <w:bookmarkEnd w:id="16"/>
    </w:p>
    <w:p w14:paraId="5D4D851A" w14:textId="3487FA65" w:rsidR="000058E0" w:rsidRPr="00D17D6B" w:rsidRDefault="000058E0" w:rsidP="008B65FF">
      <w:pPr>
        <w:ind w:left="360"/>
      </w:pPr>
      <w:r w:rsidRPr="00D17D6B">
        <w:t xml:space="preserve">The estimate for burden hours is based on a pilot test of the </w:t>
      </w:r>
      <w:r w:rsidR="002E2EDD" w:rsidRPr="00D17D6B">
        <w:t>data</w:t>
      </w:r>
      <w:r w:rsidRPr="00D17D6B">
        <w:t xml:space="preserve"> collection instrument by </w:t>
      </w:r>
      <w:r w:rsidR="004301ED" w:rsidRPr="00D17D6B">
        <w:t>5</w:t>
      </w:r>
      <w:r w:rsidRPr="00D17D6B">
        <w:t xml:space="preserve"> of public health professionals. In the pilot test, the average time to complete the instrument including time for reviewing instructions, gathering needed information and completing the instrument, was approximately </w:t>
      </w:r>
      <w:r w:rsidR="00EE6744" w:rsidRPr="00D17D6B">
        <w:t>1</w:t>
      </w:r>
      <w:r w:rsidR="0095387D" w:rsidRPr="00D17D6B">
        <w:t>4</w:t>
      </w:r>
      <w:r w:rsidRPr="00D17D6B">
        <w:t xml:space="preserve"> minutes</w:t>
      </w:r>
      <w:r w:rsidR="00A242DB" w:rsidRPr="00D17D6B">
        <w:t xml:space="preserve"> (range: </w:t>
      </w:r>
      <w:r w:rsidR="00CD3758" w:rsidRPr="00D17D6B">
        <w:t>8</w:t>
      </w:r>
      <w:r w:rsidR="00721719" w:rsidRPr="00D17D6B">
        <w:t xml:space="preserve"> –</w:t>
      </w:r>
      <w:r w:rsidR="00CD3758" w:rsidRPr="00D17D6B">
        <w:t xml:space="preserve"> </w:t>
      </w:r>
      <w:r w:rsidR="0095387D" w:rsidRPr="00D17D6B">
        <w:t>20</w:t>
      </w:r>
      <w:r w:rsidR="00721719" w:rsidRPr="00D17D6B">
        <w:t>)</w:t>
      </w:r>
      <w:r w:rsidRPr="00D17D6B">
        <w:t xml:space="preserve">. For the purposes of estimating burden hours, the upper limit of this range (i.e., </w:t>
      </w:r>
      <w:r w:rsidR="0095387D" w:rsidRPr="00D17D6B">
        <w:t>20</w:t>
      </w:r>
      <w:r w:rsidR="008C59E7" w:rsidRPr="00D17D6B">
        <w:t xml:space="preserve"> </w:t>
      </w:r>
      <w:r w:rsidRPr="00D17D6B">
        <w:t>minutes) is used.</w:t>
      </w:r>
    </w:p>
    <w:p w14:paraId="01F81D40" w14:textId="77777777" w:rsidR="000058E0" w:rsidRPr="004301ED" w:rsidRDefault="000058E0" w:rsidP="000058E0">
      <w:pPr>
        <w:ind w:left="0"/>
      </w:pPr>
    </w:p>
    <w:p w14:paraId="2686DBD2" w14:textId="08CBCB12" w:rsidR="00BB090C" w:rsidRPr="004301ED" w:rsidRDefault="008C408E" w:rsidP="008B65FF">
      <w:pPr>
        <w:ind w:left="360"/>
      </w:pPr>
      <w:r w:rsidRPr="004301ED">
        <w:t>Estimates for the average hourly wage for respondents are based on the Department of Labor (DOL) Bureau of Labor Statisti</w:t>
      </w:r>
      <w:r w:rsidR="008F3D10" w:rsidRPr="004301ED">
        <w:t xml:space="preserve">cs for occupational employment </w:t>
      </w:r>
      <w:r w:rsidRPr="004301ED">
        <w:t>for</w:t>
      </w:r>
      <w:r w:rsidRPr="004301ED">
        <w:rPr>
          <w:color w:val="0070C0"/>
        </w:rPr>
        <w:t xml:space="preserve"> </w:t>
      </w:r>
      <w:r w:rsidR="00C31FC0" w:rsidRPr="00D17D6B">
        <w:t>epidemiologist</w:t>
      </w:r>
      <w:r w:rsidRPr="00D17D6B">
        <w:t xml:space="preserve"> </w:t>
      </w:r>
      <w:hyperlink r:id="rId14" w:history="1">
        <w:r w:rsidRPr="004301ED">
          <w:rPr>
            <w:rStyle w:val="Hyperlink"/>
          </w:rPr>
          <w:t>http://www.bls.gov/oes/current/oes_nat.htm</w:t>
        </w:r>
      </w:hyperlink>
      <w:r w:rsidRPr="004301ED">
        <w:t xml:space="preserve">.  </w:t>
      </w:r>
      <w:r w:rsidR="000058E0" w:rsidRPr="004301ED">
        <w:t xml:space="preserve">Based on DOL data, an average hourly wage of </w:t>
      </w:r>
      <w:r w:rsidR="008C59E7" w:rsidRPr="00D17D6B">
        <w:t>$</w:t>
      </w:r>
      <w:r w:rsidR="0002517D" w:rsidRPr="00D17D6B">
        <w:t>36.65</w:t>
      </w:r>
      <w:r w:rsidR="000058E0" w:rsidRPr="00D17D6B">
        <w:t xml:space="preserve"> is estimated for all </w:t>
      </w:r>
      <w:r w:rsidR="00D16F95">
        <w:t>218</w:t>
      </w:r>
      <w:r w:rsidR="000058E0" w:rsidRPr="00D17D6B">
        <w:t xml:space="preserve"> respondents. Table A-12 shows estimated </w:t>
      </w:r>
      <w:r w:rsidR="000058E0" w:rsidRPr="004301ED">
        <w:t>burden and cost information.</w:t>
      </w:r>
    </w:p>
    <w:p w14:paraId="1EABCA48" w14:textId="77777777" w:rsidR="00383542" w:rsidRPr="004301ED" w:rsidRDefault="00383542" w:rsidP="008B65FF">
      <w:pPr>
        <w:ind w:left="360"/>
      </w:pPr>
    </w:p>
    <w:p w14:paraId="3F7BDF1C" w14:textId="178FB1A9" w:rsidR="00383542" w:rsidRPr="00D17D6B" w:rsidRDefault="00383542" w:rsidP="00383542">
      <w:pPr>
        <w:ind w:left="360"/>
      </w:pPr>
      <w:r w:rsidRPr="00D17D6B">
        <w:rPr>
          <w:rFonts w:ascii="Cambria" w:hAnsi="Cambria"/>
        </w:rPr>
        <w:t xml:space="preserve">There will be a total of </w:t>
      </w:r>
      <w:r w:rsidR="00DF64A2">
        <w:rPr>
          <w:rFonts w:ascii="Cambria" w:hAnsi="Cambria"/>
        </w:rPr>
        <w:t>218</w:t>
      </w:r>
      <w:r w:rsidRPr="00D17D6B">
        <w:rPr>
          <w:rFonts w:ascii="Cambria" w:hAnsi="Cambria"/>
        </w:rPr>
        <w:t xml:space="preserve"> respondents and </w:t>
      </w:r>
      <w:r w:rsidR="00DF64A2">
        <w:rPr>
          <w:rFonts w:ascii="Cambria" w:hAnsi="Cambria"/>
        </w:rPr>
        <w:t>218</w:t>
      </w:r>
      <w:r w:rsidRPr="00D17D6B">
        <w:rPr>
          <w:rFonts w:ascii="Cambria" w:hAnsi="Cambria"/>
        </w:rPr>
        <w:t xml:space="preserve"> responses.</w:t>
      </w:r>
    </w:p>
    <w:p w14:paraId="42A01A08" w14:textId="55F9720F" w:rsidR="009C58F2" w:rsidRPr="004301ED" w:rsidRDefault="009C58F2" w:rsidP="00692DEB">
      <w:pPr>
        <w:ind w:left="0"/>
      </w:pPr>
    </w:p>
    <w:p w14:paraId="2222D7D6" w14:textId="77777777" w:rsidR="00E41812" w:rsidRPr="004301ED" w:rsidRDefault="005A59E5" w:rsidP="006A09E0">
      <w:pPr>
        <w:pStyle w:val="CommentText"/>
        <w:ind w:left="360"/>
      </w:pPr>
      <w:r w:rsidRPr="004301ED">
        <w:rPr>
          <w:b/>
          <w:u w:val="single"/>
        </w:rPr>
        <w:t>Table A-12</w:t>
      </w:r>
      <w:r w:rsidRPr="004301ED">
        <w:rPr>
          <w:b/>
        </w:rPr>
        <w:t>:</w:t>
      </w:r>
      <w:r w:rsidRPr="004301ED">
        <w:t xml:space="preserve"> Estimated Annualized Burden Hours and Costs to Respondents</w:t>
      </w:r>
    </w:p>
    <w:p w14:paraId="2DBEF859" w14:textId="77777777" w:rsidR="005A59E5" w:rsidRPr="004301ED" w:rsidRDefault="005A59E5" w:rsidP="008B65FF">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43229B" w:rsidRPr="006C2FA6" w14:paraId="423F68C0" w14:textId="77777777" w:rsidTr="006A09E0">
        <w:trPr>
          <w:trHeight w:val="1493"/>
        </w:trPr>
        <w:tc>
          <w:tcPr>
            <w:tcW w:w="1350" w:type="dxa"/>
            <w:shd w:val="clear" w:color="auto" w:fill="D9D9D9" w:themeFill="background1" w:themeFillShade="D9"/>
          </w:tcPr>
          <w:p w14:paraId="124A2C60" w14:textId="77777777" w:rsidR="003B2200" w:rsidRPr="006C2FA6" w:rsidRDefault="002E2EDD" w:rsidP="000058E0">
            <w:pPr>
              <w:ind w:left="-18"/>
              <w:rPr>
                <w:b/>
                <w:sz w:val="20"/>
                <w:szCs w:val="20"/>
              </w:rPr>
            </w:pPr>
            <w:r w:rsidRPr="006C2FA6">
              <w:rPr>
                <w:b/>
                <w:sz w:val="20"/>
                <w:szCs w:val="20"/>
              </w:rPr>
              <w:t>Data</w:t>
            </w:r>
            <w:r w:rsidR="00157413" w:rsidRPr="006C2FA6">
              <w:rPr>
                <w:b/>
                <w:sz w:val="20"/>
                <w:szCs w:val="20"/>
              </w:rPr>
              <w:t xml:space="preserve"> collection</w:t>
            </w:r>
            <w:r w:rsidR="003B2200" w:rsidRPr="006C2FA6">
              <w:rPr>
                <w:b/>
                <w:sz w:val="20"/>
                <w:szCs w:val="20"/>
              </w:rPr>
              <w:t xml:space="preserve"> Instrument: Form Name</w:t>
            </w:r>
          </w:p>
        </w:tc>
        <w:tc>
          <w:tcPr>
            <w:tcW w:w="1350" w:type="dxa"/>
            <w:shd w:val="clear" w:color="auto" w:fill="D9D9D9" w:themeFill="background1" w:themeFillShade="D9"/>
            <w:vAlign w:val="center"/>
          </w:tcPr>
          <w:p w14:paraId="429521A3" w14:textId="77777777" w:rsidR="003B2200" w:rsidRPr="006C2FA6" w:rsidRDefault="003B2200" w:rsidP="000058E0">
            <w:pPr>
              <w:ind w:left="-18"/>
              <w:rPr>
                <w:b/>
                <w:sz w:val="20"/>
                <w:szCs w:val="20"/>
              </w:rPr>
            </w:pPr>
            <w:r w:rsidRPr="006C2FA6">
              <w:rPr>
                <w:b/>
                <w:sz w:val="20"/>
                <w:szCs w:val="20"/>
              </w:rPr>
              <w:t>Type of Respondent</w:t>
            </w:r>
          </w:p>
        </w:tc>
        <w:tc>
          <w:tcPr>
            <w:tcW w:w="1440" w:type="dxa"/>
            <w:shd w:val="clear" w:color="auto" w:fill="D9D9D9" w:themeFill="background1" w:themeFillShade="D9"/>
            <w:vAlign w:val="center"/>
          </w:tcPr>
          <w:p w14:paraId="6E383DFB" w14:textId="77777777" w:rsidR="003B2200" w:rsidRPr="006C2FA6" w:rsidRDefault="003B2200" w:rsidP="000058E0">
            <w:pPr>
              <w:ind w:left="-18"/>
              <w:rPr>
                <w:b/>
                <w:sz w:val="20"/>
                <w:szCs w:val="20"/>
              </w:rPr>
            </w:pPr>
            <w:r w:rsidRPr="006C2FA6">
              <w:rPr>
                <w:b/>
                <w:sz w:val="20"/>
                <w:szCs w:val="20"/>
              </w:rPr>
              <w:t>No. of Respondents</w:t>
            </w:r>
          </w:p>
        </w:tc>
        <w:tc>
          <w:tcPr>
            <w:tcW w:w="1350" w:type="dxa"/>
            <w:shd w:val="clear" w:color="auto" w:fill="D9D9D9" w:themeFill="background1" w:themeFillShade="D9"/>
            <w:vAlign w:val="center"/>
          </w:tcPr>
          <w:p w14:paraId="7EAEC93B" w14:textId="77777777" w:rsidR="003B2200" w:rsidRPr="006C2FA6" w:rsidRDefault="003B2200" w:rsidP="000058E0">
            <w:pPr>
              <w:ind w:left="-18"/>
              <w:rPr>
                <w:b/>
                <w:sz w:val="20"/>
                <w:szCs w:val="20"/>
              </w:rPr>
            </w:pPr>
            <w:r w:rsidRPr="006C2FA6">
              <w:rPr>
                <w:b/>
                <w:sz w:val="20"/>
                <w:szCs w:val="20"/>
              </w:rPr>
              <w:t>No. of Responses per Respondent</w:t>
            </w:r>
          </w:p>
        </w:tc>
        <w:tc>
          <w:tcPr>
            <w:tcW w:w="1350" w:type="dxa"/>
            <w:shd w:val="clear" w:color="auto" w:fill="D9D9D9" w:themeFill="background1" w:themeFillShade="D9"/>
            <w:vAlign w:val="center"/>
          </w:tcPr>
          <w:p w14:paraId="126AD0CD" w14:textId="77777777" w:rsidR="003B2200" w:rsidRPr="006C2FA6" w:rsidRDefault="003B2200" w:rsidP="000058E0">
            <w:pPr>
              <w:ind w:left="-18"/>
              <w:rPr>
                <w:b/>
                <w:sz w:val="20"/>
                <w:szCs w:val="20"/>
              </w:rPr>
            </w:pPr>
            <w:r w:rsidRPr="006C2FA6">
              <w:rPr>
                <w:b/>
                <w:sz w:val="20"/>
                <w:szCs w:val="20"/>
              </w:rPr>
              <w:t>Average Burden per Response (in hours)</w:t>
            </w:r>
          </w:p>
        </w:tc>
        <w:tc>
          <w:tcPr>
            <w:tcW w:w="990" w:type="dxa"/>
            <w:shd w:val="clear" w:color="auto" w:fill="D9D9D9" w:themeFill="background1" w:themeFillShade="D9"/>
            <w:vAlign w:val="center"/>
          </w:tcPr>
          <w:p w14:paraId="26D8FF66" w14:textId="77777777" w:rsidR="003B2200" w:rsidRPr="006C2FA6" w:rsidRDefault="003B2200" w:rsidP="000058E0">
            <w:pPr>
              <w:ind w:left="-18"/>
              <w:rPr>
                <w:b/>
                <w:sz w:val="20"/>
                <w:szCs w:val="20"/>
              </w:rPr>
            </w:pPr>
            <w:r w:rsidRPr="006C2FA6">
              <w:rPr>
                <w:b/>
                <w:sz w:val="20"/>
                <w:szCs w:val="20"/>
              </w:rPr>
              <w:t>Total Burden Hours</w:t>
            </w:r>
          </w:p>
        </w:tc>
        <w:tc>
          <w:tcPr>
            <w:tcW w:w="1128" w:type="dxa"/>
            <w:shd w:val="clear" w:color="auto" w:fill="D9D9D9" w:themeFill="background1" w:themeFillShade="D9"/>
            <w:vAlign w:val="center"/>
          </w:tcPr>
          <w:p w14:paraId="6DCAA4FF" w14:textId="77777777" w:rsidR="003B2200" w:rsidRPr="006C2FA6" w:rsidRDefault="003B2200" w:rsidP="000058E0">
            <w:pPr>
              <w:ind w:left="-18"/>
              <w:rPr>
                <w:b/>
                <w:sz w:val="20"/>
                <w:szCs w:val="20"/>
              </w:rPr>
            </w:pPr>
            <w:r w:rsidRPr="006C2FA6">
              <w:rPr>
                <w:b/>
                <w:sz w:val="20"/>
                <w:szCs w:val="20"/>
              </w:rPr>
              <w:t>Hourly Wage Rate</w:t>
            </w:r>
          </w:p>
        </w:tc>
        <w:tc>
          <w:tcPr>
            <w:tcW w:w="1350" w:type="dxa"/>
            <w:shd w:val="clear" w:color="auto" w:fill="D9D9D9" w:themeFill="background1" w:themeFillShade="D9"/>
            <w:vAlign w:val="center"/>
          </w:tcPr>
          <w:p w14:paraId="1228CCA4" w14:textId="77777777" w:rsidR="003B2200" w:rsidRPr="006C2FA6" w:rsidRDefault="003B2200" w:rsidP="000058E0">
            <w:pPr>
              <w:ind w:left="-18"/>
              <w:rPr>
                <w:b/>
                <w:sz w:val="20"/>
                <w:szCs w:val="20"/>
              </w:rPr>
            </w:pPr>
            <w:r w:rsidRPr="006C2FA6">
              <w:rPr>
                <w:b/>
                <w:sz w:val="20"/>
                <w:szCs w:val="20"/>
              </w:rPr>
              <w:t>Total Respondent Costs</w:t>
            </w:r>
          </w:p>
        </w:tc>
      </w:tr>
      <w:tr w:rsidR="002E4514" w:rsidRPr="006C2FA6" w14:paraId="7FDD8E02" w14:textId="77777777" w:rsidTr="006A09E0">
        <w:tc>
          <w:tcPr>
            <w:tcW w:w="1350" w:type="dxa"/>
          </w:tcPr>
          <w:p w14:paraId="15A257EF" w14:textId="15255C40" w:rsidR="002E4514" w:rsidRPr="006C2FA6" w:rsidRDefault="007A4B61" w:rsidP="002E4514">
            <w:pPr>
              <w:ind w:left="0"/>
              <w:rPr>
                <w:sz w:val="20"/>
                <w:szCs w:val="20"/>
              </w:rPr>
            </w:pPr>
            <w:r w:rsidRPr="006C2FA6">
              <w:rPr>
                <w:sz w:val="20"/>
                <w:szCs w:val="20"/>
              </w:rPr>
              <w:t>NS</w:t>
            </w:r>
            <w:r w:rsidR="006C2FA6" w:rsidRPr="006C2FA6">
              <w:rPr>
                <w:sz w:val="20"/>
                <w:szCs w:val="20"/>
              </w:rPr>
              <w:t>SP BioSense Platform User Assessment</w:t>
            </w:r>
          </w:p>
        </w:tc>
        <w:tc>
          <w:tcPr>
            <w:tcW w:w="1350" w:type="dxa"/>
          </w:tcPr>
          <w:p w14:paraId="1014188F" w14:textId="3E331662" w:rsidR="002E4514" w:rsidRPr="006C2FA6" w:rsidRDefault="002E4514" w:rsidP="007A4B61">
            <w:pPr>
              <w:ind w:left="0"/>
              <w:rPr>
                <w:sz w:val="20"/>
                <w:szCs w:val="20"/>
              </w:rPr>
            </w:pPr>
            <w:r w:rsidRPr="006C2FA6">
              <w:rPr>
                <w:sz w:val="20"/>
                <w:szCs w:val="20"/>
              </w:rPr>
              <w:t xml:space="preserve">State health department </w:t>
            </w:r>
            <w:r w:rsidR="007A4B61" w:rsidRPr="006C2FA6">
              <w:rPr>
                <w:sz w:val="20"/>
                <w:szCs w:val="20"/>
              </w:rPr>
              <w:t>epidemiologist</w:t>
            </w:r>
          </w:p>
        </w:tc>
        <w:tc>
          <w:tcPr>
            <w:tcW w:w="1440" w:type="dxa"/>
          </w:tcPr>
          <w:p w14:paraId="6DFEEA48" w14:textId="7C3F6941" w:rsidR="002E4514" w:rsidRPr="006C2FA6" w:rsidRDefault="00AF12DF" w:rsidP="007A4B61">
            <w:pPr>
              <w:ind w:left="0"/>
              <w:rPr>
                <w:sz w:val="20"/>
                <w:szCs w:val="20"/>
              </w:rPr>
            </w:pPr>
            <w:r>
              <w:rPr>
                <w:sz w:val="20"/>
                <w:szCs w:val="20"/>
              </w:rPr>
              <w:t>117</w:t>
            </w:r>
          </w:p>
        </w:tc>
        <w:tc>
          <w:tcPr>
            <w:tcW w:w="1350" w:type="dxa"/>
          </w:tcPr>
          <w:p w14:paraId="676EBF2B" w14:textId="77777777" w:rsidR="002E4514" w:rsidRPr="006C2FA6" w:rsidRDefault="002E4514" w:rsidP="002E4514">
            <w:pPr>
              <w:ind w:left="0"/>
              <w:rPr>
                <w:sz w:val="20"/>
                <w:szCs w:val="20"/>
              </w:rPr>
            </w:pPr>
            <w:r w:rsidRPr="006C2FA6">
              <w:rPr>
                <w:sz w:val="20"/>
                <w:szCs w:val="20"/>
              </w:rPr>
              <w:t>1</w:t>
            </w:r>
          </w:p>
        </w:tc>
        <w:tc>
          <w:tcPr>
            <w:tcW w:w="1350" w:type="dxa"/>
          </w:tcPr>
          <w:p w14:paraId="1EA8CDEF" w14:textId="7493F6B8" w:rsidR="002E4514" w:rsidRPr="006C2FA6" w:rsidRDefault="0095387D" w:rsidP="00EE6744">
            <w:pPr>
              <w:ind w:left="0"/>
              <w:rPr>
                <w:sz w:val="20"/>
                <w:szCs w:val="20"/>
              </w:rPr>
            </w:pPr>
            <w:r w:rsidRPr="006C2FA6">
              <w:rPr>
                <w:sz w:val="20"/>
                <w:szCs w:val="20"/>
              </w:rPr>
              <w:t>20</w:t>
            </w:r>
            <w:r w:rsidR="002E4514" w:rsidRPr="006C2FA6">
              <w:rPr>
                <w:sz w:val="20"/>
                <w:szCs w:val="20"/>
              </w:rPr>
              <w:t xml:space="preserve"> / 60 </w:t>
            </w:r>
          </w:p>
        </w:tc>
        <w:tc>
          <w:tcPr>
            <w:tcW w:w="990" w:type="dxa"/>
          </w:tcPr>
          <w:p w14:paraId="4CF10039" w14:textId="1E999E8B" w:rsidR="002E4514" w:rsidRPr="006C2FA6" w:rsidRDefault="00AF12DF" w:rsidP="002E4514">
            <w:pPr>
              <w:ind w:left="0"/>
              <w:rPr>
                <w:sz w:val="20"/>
                <w:szCs w:val="20"/>
              </w:rPr>
            </w:pPr>
            <w:r>
              <w:rPr>
                <w:sz w:val="20"/>
                <w:szCs w:val="20"/>
              </w:rPr>
              <w:t>39</w:t>
            </w:r>
          </w:p>
        </w:tc>
        <w:tc>
          <w:tcPr>
            <w:tcW w:w="1128" w:type="dxa"/>
          </w:tcPr>
          <w:p w14:paraId="54A25F9A" w14:textId="0A6B9391" w:rsidR="002E4514" w:rsidRPr="006C2FA6" w:rsidRDefault="002E4514" w:rsidP="00C31FC0">
            <w:pPr>
              <w:ind w:left="0"/>
              <w:rPr>
                <w:sz w:val="20"/>
                <w:szCs w:val="20"/>
              </w:rPr>
            </w:pPr>
            <w:r w:rsidRPr="006C2FA6">
              <w:rPr>
                <w:sz w:val="20"/>
                <w:szCs w:val="20"/>
              </w:rPr>
              <w:t>$</w:t>
            </w:r>
            <w:r w:rsidR="00C31FC0" w:rsidRPr="006C2FA6">
              <w:rPr>
                <w:sz w:val="20"/>
                <w:szCs w:val="20"/>
              </w:rPr>
              <w:t>36.65</w:t>
            </w:r>
          </w:p>
        </w:tc>
        <w:tc>
          <w:tcPr>
            <w:tcW w:w="1350" w:type="dxa"/>
          </w:tcPr>
          <w:p w14:paraId="743A6910" w14:textId="6EF1108D" w:rsidR="002E4514" w:rsidRPr="006C2FA6" w:rsidRDefault="002E4514" w:rsidP="00AF12DF">
            <w:pPr>
              <w:ind w:left="0"/>
              <w:rPr>
                <w:sz w:val="20"/>
                <w:szCs w:val="20"/>
              </w:rPr>
            </w:pPr>
            <w:r w:rsidRPr="006C2FA6">
              <w:rPr>
                <w:sz w:val="20"/>
                <w:szCs w:val="20"/>
              </w:rPr>
              <w:t>$</w:t>
            </w:r>
            <w:r w:rsidR="00AF12DF">
              <w:rPr>
                <w:sz w:val="20"/>
                <w:szCs w:val="20"/>
              </w:rPr>
              <w:t>1,429</w:t>
            </w:r>
          </w:p>
        </w:tc>
      </w:tr>
      <w:tr w:rsidR="002E4514" w:rsidRPr="006C2FA6" w14:paraId="40DADB85" w14:textId="77777777" w:rsidTr="006A09E0">
        <w:tc>
          <w:tcPr>
            <w:tcW w:w="1350" w:type="dxa"/>
          </w:tcPr>
          <w:p w14:paraId="719DE506" w14:textId="67EC7BBB" w:rsidR="002E4514" w:rsidRPr="006C2FA6" w:rsidRDefault="007A4B61" w:rsidP="002E4514">
            <w:pPr>
              <w:ind w:left="0"/>
              <w:rPr>
                <w:sz w:val="20"/>
                <w:szCs w:val="20"/>
              </w:rPr>
            </w:pPr>
            <w:r w:rsidRPr="006C2FA6">
              <w:rPr>
                <w:sz w:val="20"/>
                <w:szCs w:val="20"/>
              </w:rPr>
              <w:t>NS</w:t>
            </w:r>
            <w:r w:rsidR="006C2FA6" w:rsidRPr="006C2FA6">
              <w:rPr>
                <w:sz w:val="20"/>
                <w:szCs w:val="20"/>
              </w:rPr>
              <w:t>SP BioSense Platform User Assessment</w:t>
            </w:r>
          </w:p>
        </w:tc>
        <w:tc>
          <w:tcPr>
            <w:tcW w:w="1350" w:type="dxa"/>
          </w:tcPr>
          <w:p w14:paraId="51681296" w14:textId="0D7C14F5" w:rsidR="002E4514" w:rsidRPr="006C2FA6" w:rsidRDefault="002E4514" w:rsidP="007A4B61">
            <w:pPr>
              <w:ind w:left="0"/>
              <w:rPr>
                <w:sz w:val="20"/>
                <w:szCs w:val="20"/>
              </w:rPr>
            </w:pPr>
            <w:r w:rsidRPr="006C2FA6">
              <w:rPr>
                <w:sz w:val="20"/>
                <w:szCs w:val="20"/>
              </w:rPr>
              <w:t xml:space="preserve">Local health department </w:t>
            </w:r>
            <w:r w:rsidR="007A4B61" w:rsidRPr="006C2FA6">
              <w:rPr>
                <w:sz w:val="20"/>
                <w:szCs w:val="20"/>
              </w:rPr>
              <w:t>epidemiologist</w:t>
            </w:r>
          </w:p>
        </w:tc>
        <w:tc>
          <w:tcPr>
            <w:tcW w:w="1440" w:type="dxa"/>
          </w:tcPr>
          <w:p w14:paraId="209DE4A1" w14:textId="4769CCB0" w:rsidR="002E4514" w:rsidRPr="006C2FA6" w:rsidRDefault="00DF64A2" w:rsidP="00790A6C">
            <w:pPr>
              <w:ind w:left="0"/>
              <w:rPr>
                <w:sz w:val="20"/>
                <w:szCs w:val="20"/>
              </w:rPr>
            </w:pPr>
            <w:r>
              <w:rPr>
                <w:sz w:val="20"/>
                <w:szCs w:val="20"/>
              </w:rPr>
              <w:t>101</w:t>
            </w:r>
          </w:p>
        </w:tc>
        <w:tc>
          <w:tcPr>
            <w:tcW w:w="1350" w:type="dxa"/>
          </w:tcPr>
          <w:p w14:paraId="6458A9AF" w14:textId="77777777" w:rsidR="002E4514" w:rsidRPr="006C2FA6" w:rsidRDefault="002E4514" w:rsidP="002E4514">
            <w:pPr>
              <w:ind w:left="0"/>
              <w:rPr>
                <w:sz w:val="20"/>
                <w:szCs w:val="20"/>
              </w:rPr>
            </w:pPr>
            <w:r w:rsidRPr="006C2FA6">
              <w:rPr>
                <w:sz w:val="20"/>
                <w:szCs w:val="20"/>
              </w:rPr>
              <w:t>1</w:t>
            </w:r>
          </w:p>
        </w:tc>
        <w:tc>
          <w:tcPr>
            <w:tcW w:w="1350" w:type="dxa"/>
          </w:tcPr>
          <w:p w14:paraId="38729D6E" w14:textId="66DAACD9" w:rsidR="002E4514" w:rsidRPr="006C2FA6" w:rsidRDefault="0095387D" w:rsidP="00EE6744">
            <w:pPr>
              <w:ind w:left="0"/>
              <w:rPr>
                <w:sz w:val="20"/>
                <w:szCs w:val="20"/>
              </w:rPr>
            </w:pPr>
            <w:r w:rsidRPr="006C2FA6">
              <w:rPr>
                <w:sz w:val="20"/>
                <w:szCs w:val="20"/>
              </w:rPr>
              <w:t>20</w:t>
            </w:r>
            <w:r w:rsidR="002E4514" w:rsidRPr="006C2FA6">
              <w:rPr>
                <w:sz w:val="20"/>
                <w:szCs w:val="20"/>
              </w:rPr>
              <w:t xml:space="preserve"> / 60 </w:t>
            </w:r>
          </w:p>
        </w:tc>
        <w:tc>
          <w:tcPr>
            <w:tcW w:w="990" w:type="dxa"/>
          </w:tcPr>
          <w:p w14:paraId="200E4C4C" w14:textId="24B66341" w:rsidR="002E4514" w:rsidRPr="006C2FA6" w:rsidRDefault="00AF12DF" w:rsidP="002012B3">
            <w:pPr>
              <w:ind w:left="0"/>
              <w:rPr>
                <w:sz w:val="20"/>
                <w:szCs w:val="20"/>
              </w:rPr>
            </w:pPr>
            <w:r>
              <w:rPr>
                <w:sz w:val="20"/>
                <w:szCs w:val="20"/>
              </w:rPr>
              <w:t>3</w:t>
            </w:r>
            <w:r w:rsidR="002012B3">
              <w:rPr>
                <w:sz w:val="20"/>
                <w:szCs w:val="20"/>
              </w:rPr>
              <w:t>4</w:t>
            </w:r>
          </w:p>
        </w:tc>
        <w:tc>
          <w:tcPr>
            <w:tcW w:w="1128" w:type="dxa"/>
          </w:tcPr>
          <w:p w14:paraId="5F91B016" w14:textId="6D900E12" w:rsidR="002E4514" w:rsidRPr="006C2FA6" w:rsidRDefault="002E4514" w:rsidP="00C31FC0">
            <w:pPr>
              <w:ind w:left="0"/>
              <w:rPr>
                <w:sz w:val="20"/>
                <w:szCs w:val="20"/>
              </w:rPr>
            </w:pPr>
            <w:r w:rsidRPr="006C2FA6">
              <w:rPr>
                <w:sz w:val="20"/>
                <w:szCs w:val="20"/>
              </w:rPr>
              <w:t>$</w:t>
            </w:r>
            <w:r w:rsidR="00C31FC0" w:rsidRPr="006C2FA6">
              <w:rPr>
                <w:sz w:val="20"/>
                <w:szCs w:val="20"/>
              </w:rPr>
              <w:t>36.65</w:t>
            </w:r>
          </w:p>
        </w:tc>
        <w:tc>
          <w:tcPr>
            <w:tcW w:w="1350" w:type="dxa"/>
          </w:tcPr>
          <w:p w14:paraId="731D29D6" w14:textId="0900795A" w:rsidR="002E4514" w:rsidRPr="006C2FA6" w:rsidRDefault="002E4514" w:rsidP="002012B3">
            <w:pPr>
              <w:ind w:left="0"/>
              <w:rPr>
                <w:sz w:val="20"/>
                <w:szCs w:val="20"/>
              </w:rPr>
            </w:pPr>
            <w:r w:rsidRPr="006C2FA6">
              <w:rPr>
                <w:sz w:val="20"/>
                <w:szCs w:val="20"/>
              </w:rPr>
              <w:t>$</w:t>
            </w:r>
            <w:r w:rsidR="00AF12DF">
              <w:rPr>
                <w:sz w:val="20"/>
                <w:szCs w:val="20"/>
              </w:rPr>
              <w:t>1,</w:t>
            </w:r>
            <w:r w:rsidR="002012B3">
              <w:rPr>
                <w:sz w:val="20"/>
                <w:szCs w:val="20"/>
              </w:rPr>
              <w:t>2</w:t>
            </w:r>
            <w:r w:rsidR="002121B4">
              <w:rPr>
                <w:sz w:val="20"/>
                <w:szCs w:val="20"/>
              </w:rPr>
              <w:t>46</w:t>
            </w:r>
          </w:p>
        </w:tc>
      </w:tr>
      <w:tr w:rsidR="0043229B" w:rsidRPr="006C2FA6" w14:paraId="63AD28A3" w14:textId="77777777" w:rsidTr="006A09E0">
        <w:trPr>
          <w:trHeight w:hRule="exact" w:val="1072"/>
        </w:trPr>
        <w:tc>
          <w:tcPr>
            <w:tcW w:w="1350" w:type="dxa"/>
          </w:tcPr>
          <w:p w14:paraId="272462FF" w14:textId="77777777" w:rsidR="003B2200" w:rsidRPr="006C2FA6" w:rsidRDefault="003B2200" w:rsidP="000058E0">
            <w:pPr>
              <w:ind w:left="0"/>
              <w:rPr>
                <w:b/>
                <w:sz w:val="20"/>
                <w:szCs w:val="20"/>
              </w:rPr>
            </w:pPr>
          </w:p>
        </w:tc>
        <w:tc>
          <w:tcPr>
            <w:tcW w:w="1350" w:type="dxa"/>
            <w:vAlign w:val="center"/>
          </w:tcPr>
          <w:p w14:paraId="39F696C5" w14:textId="77777777" w:rsidR="003B2200" w:rsidRPr="006C2FA6" w:rsidRDefault="003B2200" w:rsidP="000058E0">
            <w:pPr>
              <w:ind w:left="0"/>
              <w:rPr>
                <w:b/>
                <w:sz w:val="20"/>
                <w:szCs w:val="20"/>
              </w:rPr>
            </w:pPr>
            <w:r w:rsidRPr="006C2FA6">
              <w:rPr>
                <w:b/>
                <w:sz w:val="20"/>
                <w:szCs w:val="20"/>
              </w:rPr>
              <w:t>TOTALS</w:t>
            </w:r>
          </w:p>
        </w:tc>
        <w:tc>
          <w:tcPr>
            <w:tcW w:w="1440" w:type="dxa"/>
            <w:vAlign w:val="center"/>
          </w:tcPr>
          <w:p w14:paraId="4402DE01" w14:textId="2F4A5DB4" w:rsidR="003B2200" w:rsidRPr="006C2FA6" w:rsidRDefault="00AF12DF" w:rsidP="002012B3">
            <w:pPr>
              <w:ind w:left="0"/>
              <w:rPr>
                <w:b/>
                <w:sz w:val="20"/>
                <w:szCs w:val="20"/>
              </w:rPr>
            </w:pPr>
            <w:r>
              <w:rPr>
                <w:b/>
                <w:sz w:val="20"/>
                <w:szCs w:val="20"/>
              </w:rPr>
              <w:t>21</w:t>
            </w:r>
            <w:r w:rsidR="002012B3">
              <w:rPr>
                <w:b/>
                <w:sz w:val="20"/>
                <w:szCs w:val="20"/>
              </w:rPr>
              <w:t>8</w:t>
            </w:r>
          </w:p>
        </w:tc>
        <w:tc>
          <w:tcPr>
            <w:tcW w:w="1350" w:type="dxa"/>
            <w:shd w:val="clear" w:color="auto" w:fill="auto"/>
            <w:vAlign w:val="center"/>
          </w:tcPr>
          <w:p w14:paraId="3D0BAF6B" w14:textId="77777777" w:rsidR="003B2200" w:rsidRPr="006C2FA6" w:rsidRDefault="00471642" w:rsidP="000058E0">
            <w:pPr>
              <w:ind w:left="0"/>
              <w:rPr>
                <w:b/>
                <w:sz w:val="20"/>
                <w:szCs w:val="20"/>
              </w:rPr>
            </w:pPr>
            <w:r w:rsidRPr="006C2FA6">
              <w:rPr>
                <w:b/>
                <w:sz w:val="20"/>
                <w:szCs w:val="20"/>
              </w:rPr>
              <w:t>1</w:t>
            </w:r>
          </w:p>
        </w:tc>
        <w:tc>
          <w:tcPr>
            <w:tcW w:w="1350" w:type="dxa"/>
            <w:shd w:val="clear" w:color="auto" w:fill="D9D9D9" w:themeFill="background1" w:themeFillShade="D9"/>
            <w:vAlign w:val="center"/>
          </w:tcPr>
          <w:p w14:paraId="04557AA9" w14:textId="77777777" w:rsidR="003B2200" w:rsidRPr="006C2FA6" w:rsidRDefault="003B2200" w:rsidP="000058E0">
            <w:pPr>
              <w:ind w:left="0"/>
              <w:rPr>
                <w:b/>
                <w:sz w:val="20"/>
                <w:szCs w:val="20"/>
              </w:rPr>
            </w:pPr>
          </w:p>
        </w:tc>
        <w:tc>
          <w:tcPr>
            <w:tcW w:w="990" w:type="dxa"/>
            <w:vAlign w:val="center"/>
          </w:tcPr>
          <w:p w14:paraId="5E4F5041" w14:textId="009C0002" w:rsidR="003B2200" w:rsidRPr="006C2FA6" w:rsidRDefault="00AF12DF" w:rsidP="002012B3">
            <w:pPr>
              <w:ind w:left="0"/>
              <w:rPr>
                <w:b/>
                <w:sz w:val="20"/>
                <w:szCs w:val="20"/>
              </w:rPr>
            </w:pPr>
            <w:r>
              <w:rPr>
                <w:b/>
                <w:sz w:val="20"/>
                <w:szCs w:val="20"/>
              </w:rPr>
              <w:t>7</w:t>
            </w:r>
            <w:r w:rsidR="002012B3">
              <w:rPr>
                <w:b/>
                <w:sz w:val="20"/>
                <w:szCs w:val="20"/>
              </w:rPr>
              <w:t>3</w:t>
            </w:r>
          </w:p>
        </w:tc>
        <w:tc>
          <w:tcPr>
            <w:tcW w:w="1128" w:type="dxa"/>
            <w:shd w:val="clear" w:color="auto" w:fill="D9D9D9" w:themeFill="background1" w:themeFillShade="D9"/>
            <w:vAlign w:val="center"/>
          </w:tcPr>
          <w:p w14:paraId="23C6A38F" w14:textId="77777777" w:rsidR="003B2200" w:rsidRPr="006C2FA6" w:rsidRDefault="003B2200" w:rsidP="000058E0">
            <w:pPr>
              <w:ind w:left="0"/>
              <w:rPr>
                <w:b/>
                <w:sz w:val="20"/>
                <w:szCs w:val="20"/>
              </w:rPr>
            </w:pPr>
          </w:p>
        </w:tc>
        <w:tc>
          <w:tcPr>
            <w:tcW w:w="1350" w:type="dxa"/>
            <w:vAlign w:val="center"/>
          </w:tcPr>
          <w:p w14:paraId="167D658A" w14:textId="7442A22B" w:rsidR="003B2200" w:rsidRPr="006C2FA6" w:rsidRDefault="004F6AFA" w:rsidP="002012B3">
            <w:pPr>
              <w:ind w:left="0"/>
              <w:rPr>
                <w:b/>
                <w:sz w:val="20"/>
                <w:szCs w:val="20"/>
              </w:rPr>
            </w:pPr>
            <w:r w:rsidRPr="006C2FA6">
              <w:rPr>
                <w:b/>
                <w:sz w:val="20"/>
                <w:szCs w:val="20"/>
              </w:rPr>
              <w:t>$</w:t>
            </w:r>
            <w:r w:rsidR="00AF12DF">
              <w:rPr>
                <w:b/>
                <w:sz w:val="20"/>
                <w:szCs w:val="20"/>
              </w:rPr>
              <w:t>2,6</w:t>
            </w:r>
            <w:r w:rsidR="002121B4">
              <w:rPr>
                <w:b/>
                <w:sz w:val="20"/>
                <w:szCs w:val="20"/>
              </w:rPr>
              <w:t>75</w:t>
            </w:r>
          </w:p>
        </w:tc>
      </w:tr>
    </w:tbl>
    <w:p w14:paraId="113EBAFF" w14:textId="6EE8094A" w:rsidR="008F472C" w:rsidRPr="004301ED" w:rsidRDefault="008F472C" w:rsidP="00383542">
      <w:pPr>
        <w:ind w:left="0"/>
      </w:pPr>
      <w:bookmarkStart w:id="17" w:name="_Toc427752826"/>
    </w:p>
    <w:p w14:paraId="72B6F136" w14:textId="77777777" w:rsidR="00B12F51" w:rsidRPr="004301ED" w:rsidRDefault="0088467A" w:rsidP="00692DEB">
      <w:pPr>
        <w:pStyle w:val="Heading4"/>
      </w:pPr>
      <w:r w:rsidRPr="004301ED">
        <w:t>Estimates of Other Total Annual Cost Burden to Respondents or Record Keepers</w:t>
      </w:r>
      <w:bookmarkEnd w:id="17"/>
    </w:p>
    <w:p w14:paraId="6F509442" w14:textId="77777777" w:rsidR="003C31C9" w:rsidRPr="00040611" w:rsidRDefault="003C31C9" w:rsidP="008B65FF">
      <w:pPr>
        <w:ind w:left="360"/>
      </w:pPr>
      <w:r w:rsidRPr="004301ED">
        <w:t xml:space="preserve">There will be no direct costs to the respondents other than their time to participate in each </w:t>
      </w:r>
      <w:r w:rsidR="002E2EDD" w:rsidRPr="004301ED">
        <w:t>data</w:t>
      </w:r>
      <w:r w:rsidR="00157413" w:rsidRPr="004301ED">
        <w:t xml:space="preserve"> collection</w:t>
      </w:r>
      <w:r w:rsidRPr="004301ED">
        <w:t>.</w:t>
      </w:r>
    </w:p>
    <w:p w14:paraId="25BF55BD" w14:textId="4C598C12" w:rsidR="00383542" w:rsidRDefault="00383542" w:rsidP="00692DEB">
      <w:pPr>
        <w:ind w:left="0"/>
      </w:pPr>
    </w:p>
    <w:p w14:paraId="3848FA8B" w14:textId="77777777" w:rsidR="00B12F51" w:rsidRPr="0088467A" w:rsidRDefault="0088467A" w:rsidP="00692DEB">
      <w:pPr>
        <w:pStyle w:val="Heading4"/>
      </w:pPr>
      <w:bookmarkStart w:id="18" w:name="_Toc427752827"/>
      <w:r w:rsidRPr="0088467A">
        <w:t>Annualized Cost to the Government</w:t>
      </w:r>
      <w:bookmarkEnd w:id="18"/>
      <w:r w:rsidR="00D75750">
        <w:t xml:space="preserve"> </w:t>
      </w:r>
    </w:p>
    <w:p w14:paraId="62C08564" w14:textId="5C120B60" w:rsidR="008B65FF" w:rsidRPr="006C2FA6" w:rsidRDefault="000058E0" w:rsidP="008B65FF">
      <w:pPr>
        <w:ind w:left="360"/>
      </w:pPr>
      <w:r w:rsidRPr="006C2FA6">
        <w:rPr>
          <w:rFonts w:cs="Arial"/>
        </w:rPr>
        <w:t xml:space="preserve">There are no equipment or overhead costs.  The only cost to the federal government would be the salary of CDC staff and </w:t>
      </w:r>
      <w:r w:rsidR="00396F5E" w:rsidRPr="006C2FA6">
        <w:rPr>
          <w:rFonts w:cs="Arial"/>
        </w:rPr>
        <w:t>an O</w:t>
      </w:r>
      <w:r w:rsidR="00655949" w:rsidRPr="006C2FA6">
        <w:rPr>
          <w:rFonts w:cs="Arial"/>
        </w:rPr>
        <w:t>RISE</w:t>
      </w:r>
      <w:r w:rsidR="00396F5E" w:rsidRPr="006C2FA6">
        <w:rPr>
          <w:rFonts w:cs="Arial"/>
        </w:rPr>
        <w:t xml:space="preserve"> fellow</w:t>
      </w:r>
      <w:r w:rsidR="00CF6092" w:rsidRPr="006C2FA6">
        <w:rPr>
          <w:rFonts w:cs="Arial"/>
        </w:rPr>
        <w:t xml:space="preserve"> </w:t>
      </w:r>
      <w:r w:rsidR="00655949" w:rsidRPr="006C2FA6">
        <w:rPr>
          <w:rFonts w:cs="Arial"/>
        </w:rPr>
        <w:t xml:space="preserve">(contractor) </w:t>
      </w:r>
      <w:r w:rsidR="00CF6092" w:rsidRPr="006C2FA6">
        <w:rPr>
          <w:rFonts w:cs="Arial"/>
        </w:rPr>
        <w:t>to develop the data collection instrument, collect data, and perform data analysis</w:t>
      </w:r>
      <w:r w:rsidR="00655949" w:rsidRPr="006C2FA6">
        <w:rPr>
          <w:rFonts w:cs="Arial"/>
        </w:rPr>
        <w:t xml:space="preserve">. </w:t>
      </w:r>
      <w:r w:rsidRPr="006C2FA6">
        <w:rPr>
          <w:rFonts w:cs="Arial"/>
        </w:rPr>
        <w:t>The total estimated cost to the federal government is</w:t>
      </w:r>
      <w:r w:rsidR="008C59E7" w:rsidRPr="006C2FA6">
        <w:rPr>
          <w:rFonts w:cs="Arial"/>
        </w:rPr>
        <w:t xml:space="preserve"> $</w:t>
      </w:r>
      <w:r w:rsidR="00DD700D" w:rsidRPr="006C2FA6">
        <w:rPr>
          <w:rFonts w:cs="Arial"/>
        </w:rPr>
        <w:t>8,361</w:t>
      </w:r>
      <w:r w:rsidR="008E0452" w:rsidRPr="006C2FA6">
        <w:rPr>
          <w:rFonts w:cs="Arial"/>
        </w:rPr>
        <w:t>.00</w:t>
      </w:r>
      <w:r w:rsidRPr="006C2FA6">
        <w:rPr>
          <w:rFonts w:cs="Arial"/>
        </w:rPr>
        <w:t>. Table A-14 describes how this cost estimate was calculated.</w:t>
      </w:r>
    </w:p>
    <w:p w14:paraId="0ECA3C3A" w14:textId="77777777" w:rsidR="008B65FF" w:rsidRDefault="008B65FF" w:rsidP="008B65FF">
      <w:pPr>
        <w:ind w:left="360"/>
      </w:pPr>
    </w:p>
    <w:p w14:paraId="7F7529F3"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6C2FA6" w14:paraId="1B2016FF" w14:textId="77777777" w:rsidTr="00CF6092">
        <w:trPr>
          <w:trHeight w:val="593"/>
        </w:trPr>
        <w:tc>
          <w:tcPr>
            <w:tcW w:w="4158" w:type="dxa"/>
            <w:tcBorders>
              <w:bottom w:val="single" w:sz="12" w:space="0" w:color="auto"/>
            </w:tcBorders>
            <w:shd w:val="clear" w:color="auto" w:fill="D9D9D9" w:themeFill="background1" w:themeFillShade="D9"/>
            <w:vAlign w:val="center"/>
          </w:tcPr>
          <w:p w14:paraId="4CD747E9" w14:textId="77777777" w:rsidR="004841F1" w:rsidRPr="006C2FA6" w:rsidRDefault="004841F1" w:rsidP="005D6F14">
            <w:pPr>
              <w:ind w:left="0"/>
              <w:jc w:val="center"/>
              <w:rPr>
                <w:b/>
                <w:sz w:val="20"/>
                <w:szCs w:val="20"/>
              </w:rPr>
            </w:pPr>
            <w:r w:rsidRPr="006C2FA6">
              <w:rPr>
                <w:b/>
                <w:sz w:val="20"/>
                <w:szCs w:val="20"/>
              </w:rPr>
              <w:t>Staff (FTE)</w:t>
            </w:r>
          </w:p>
        </w:tc>
        <w:tc>
          <w:tcPr>
            <w:tcW w:w="1782" w:type="dxa"/>
            <w:tcBorders>
              <w:bottom w:val="single" w:sz="12" w:space="0" w:color="auto"/>
            </w:tcBorders>
            <w:shd w:val="clear" w:color="auto" w:fill="D9D9D9" w:themeFill="background1" w:themeFillShade="D9"/>
            <w:vAlign w:val="center"/>
          </w:tcPr>
          <w:p w14:paraId="79EEA090" w14:textId="77777777" w:rsidR="004841F1" w:rsidRPr="006C2FA6" w:rsidRDefault="004841F1" w:rsidP="005D6F14">
            <w:pPr>
              <w:ind w:left="0"/>
              <w:jc w:val="center"/>
              <w:rPr>
                <w:b/>
                <w:sz w:val="20"/>
                <w:szCs w:val="20"/>
              </w:rPr>
            </w:pPr>
            <w:r w:rsidRPr="006C2FA6">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5292BC3B" w14:textId="77777777" w:rsidR="004841F1" w:rsidRPr="006C2FA6" w:rsidRDefault="004841F1" w:rsidP="005D6F14">
            <w:pPr>
              <w:ind w:left="0"/>
              <w:jc w:val="center"/>
              <w:rPr>
                <w:b/>
                <w:sz w:val="20"/>
                <w:szCs w:val="20"/>
              </w:rPr>
            </w:pPr>
            <w:r w:rsidRPr="006C2FA6">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624C1074" w14:textId="77777777" w:rsidR="004841F1" w:rsidRPr="006C2FA6" w:rsidRDefault="003A2555" w:rsidP="005D6F14">
            <w:pPr>
              <w:ind w:left="0"/>
              <w:jc w:val="center"/>
              <w:rPr>
                <w:b/>
                <w:sz w:val="20"/>
                <w:szCs w:val="20"/>
              </w:rPr>
            </w:pPr>
            <w:r w:rsidRPr="006C2FA6">
              <w:rPr>
                <w:b/>
                <w:sz w:val="20"/>
                <w:szCs w:val="20"/>
              </w:rPr>
              <w:t xml:space="preserve">Total </w:t>
            </w:r>
            <w:r w:rsidR="004841F1" w:rsidRPr="006C2FA6">
              <w:rPr>
                <w:b/>
                <w:sz w:val="20"/>
                <w:szCs w:val="20"/>
              </w:rPr>
              <w:t>Average Cost</w:t>
            </w:r>
          </w:p>
        </w:tc>
      </w:tr>
      <w:tr w:rsidR="004841F1" w:rsidRPr="006C2FA6" w14:paraId="344AC44D" w14:textId="77777777" w:rsidTr="00CF6092">
        <w:tc>
          <w:tcPr>
            <w:tcW w:w="4158" w:type="dxa"/>
            <w:tcBorders>
              <w:top w:val="single" w:sz="12" w:space="0" w:color="auto"/>
            </w:tcBorders>
          </w:tcPr>
          <w:p w14:paraId="748A11DF" w14:textId="3F0EE70D" w:rsidR="00EE54FA" w:rsidRPr="006C2FA6" w:rsidRDefault="00396F5E" w:rsidP="00F471BF">
            <w:pPr>
              <w:ind w:left="0"/>
            </w:pPr>
            <w:r w:rsidRPr="006C2FA6">
              <w:rPr>
                <w:sz w:val="20"/>
                <w:szCs w:val="20"/>
              </w:rPr>
              <w:t>Health Scientist</w:t>
            </w:r>
            <w:r w:rsidR="00A1050C" w:rsidRPr="006C2FA6">
              <w:rPr>
                <w:sz w:val="20"/>
                <w:szCs w:val="20"/>
              </w:rPr>
              <w:t xml:space="preserve"> –</w:t>
            </w:r>
            <w:r w:rsidR="00A70B3C" w:rsidRPr="006C2FA6">
              <w:rPr>
                <w:sz w:val="20"/>
                <w:szCs w:val="20"/>
              </w:rPr>
              <w:t xml:space="preserve"> GS-</w:t>
            </w:r>
            <w:r w:rsidRPr="006C2FA6">
              <w:rPr>
                <w:sz w:val="20"/>
                <w:szCs w:val="20"/>
              </w:rPr>
              <w:t>14</w:t>
            </w:r>
            <w:r w:rsidR="00A70B3C" w:rsidRPr="006C2FA6">
              <w:rPr>
                <w:sz w:val="20"/>
                <w:szCs w:val="20"/>
              </w:rPr>
              <w:t xml:space="preserve">, Step </w:t>
            </w:r>
            <w:r w:rsidRPr="006C2FA6">
              <w:rPr>
                <w:sz w:val="20"/>
                <w:szCs w:val="20"/>
              </w:rPr>
              <w:t>7</w:t>
            </w:r>
            <w:r w:rsidR="005A0D63" w:rsidRPr="006C2FA6">
              <w:rPr>
                <w:sz w:val="20"/>
                <w:szCs w:val="20"/>
              </w:rPr>
              <w:t xml:space="preserve">: </w:t>
            </w:r>
            <w:r w:rsidR="00347111" w:rsidRPr="006C2FA6">
              <w:rPr>
                <w:sz w:val="20"/>
              </w:rPr>
              <w:t>Provide oversight to overall project</w:t>
            </w:r>
            <w:r w:rsidR="00F471BF" w:rsidRPr="006C2FA6">
              <w:rPr>
                <w:sz w:val="20"/>
              </w:rPr>
              <w:t>,</w:t>
            </w:r>
            <w:r w:rsidR="00347111" w:rsidRPr="006C2FA6">
              <w:rPr>
                <w:sz w:val="20"/>
              </w:rPr>
              <w:t xml:space="preserve"> lead the development of project protocol and instruments</w:t>
            </w:r>
            <w:r w:rsidR="00F471BF" w:rsidRPr="006C2FA6">
              <w:rPr>
                <w:sz w:val="20"/>
              </w:rPr>
              <w:t xml:space="preserve"> and</w:t>
            </w:r>
            <w:r w:rsidR="00347111" w:rsidRPr="006C2FA6">
              <w:rPr>
                <w:sz w:val="20"/>
              </w:rPr>
              <w:t xml:space="preserve"> </w:t>
            </w:r>
            <w:r w:rsidR="00F471BF" w:rsidRPr="006C2FA6">
              <w:rPr>
                <w:sz w:val="20"/>
              </w:rPr>
              <w:t xml:space="preserve">oversee </w:t>
            </w:r>
            <w:r w:rsidR="00347111" w:rsidRPr="006C2FA6">
              <w:rPr>
                <w:sz w:val="20"/>
              </w:rPr>
              <w:t>implement</w:t>
            </w:r>
            <w:r w:rsidR="00F471BF" w:rsidRPr="006C2FA6">
              <w:rPr>
                <w:sz w:val="20"/>
              </w:rPr>
              <w:t>ation of</w:t>
            </w:r>
            <w:r w:rsidR="00347111" w:rsidRPr="006C2FA6">
              <w:rPr>
                <w:sz w:val="20"/>
              </w:rPr>
              <w:t xml:space="preserve"> the survey, </w:t>
            </w:r>
            <w:r w:rsidR="00F471BF" w:rsidRPr="006C2FA6">
              <w:rPr>
                <w:sz w:val="20"/>
              </w:rPr>
              <w:t>data analysis, and report development</w:t>
            </w:r>
            <w:r w:rsidR="00347111" w:rsidRPr="006C2FA6">
              <w:rPr>
                <w:sz w:val="20"/>
              </w:rPr>
              <w:t>.</w:t>
            </w:r>
          </w:p>
        </w:tc>
        <w:tc>
          <w:tcPr>
            <w:tcW w:w="1782" w:type="dxa"/>
            <w:tcBorders>
              <w:top w:val="single" w:sz="12" w:space="0" w:color="auto"/>
            </w:tcBorders>
          </w:tcPr>
          <w:p w14:paraId="6FDC9D4E" w14:textId="0809E450" w:rsidR="004841F1" w:rsidRPr="006C2FA6" w:rsidRDefault="005A0D63" w:rsidP="005A0D63">
            <w:pPr>
              <w:ind w:left="0"/>
              <w:jc w:val="center"/>
              <w:rPr>
                <w:sz w:val="20"/>
                <w:szCs w:val="20"/>
              </w:rPr>
            </w:pPr>
            <w:r w:rsidRPr="006C2FA6">
              <w:rPr>
                <w:sz w:val="20"/>
                <w:szCs w:val="20"/>
              </w:rPr>
              <w:t>60</w:t>
            </w:r>
          </w:p>
        </w:tc>
        <w:tc>
          <w:tcPr>
            <w:tcW w:w="1822" w:type="dxa"/>
            <w:gridSpan w:val="3"/>
            <w:tcBorders>
              <w:top w:val="single" w:sz="12" w:space="0" w:color="auto"/>
            </w:tcBorders>
          </w:tcPr>
          <w:p w14:paraId="7D8BBEEE" w14:textId="4C0C164C" w:rsidR="004841F1" w:rsidRPr="006C2FA6" w:rsidRDefault="003A2555" w:rsidP="00B54305">
            <w:pPr>
              <w:ind w:left="0"/>
              <w:rPr>
                <w:sz w:val="20"/>
                <w:szCs w:val="20"/>
              </w:rPr>
            </w:pPr>
            <w:r w:rsidRPr="006C2FA6">
              <w:rPr>
                <w:sz w:val="20"/>
                <w:szCs w:val="20"/>
              </w:rPr>
              <w:t>$</w:t>
            </w:r>
            <w:r w:rsidR="00B54305" w:rsidRPr="006C2FA6">
              <w:rPr>
                <w:sz w:val="20"/>
                <w:szCs w:val="20"/>
              </w:rPr>
              <w:t>62.26</w:t>
            </w:r>
            <w:r w:rsidR="005A3933" w:rsidRPr="006C2FA6">
              <w:rPr>
                <w:sz w:val="20"/>
                <w:szCs w:val="20"/>
              </w:rPr>
              <w:t xml:space="preserve"> /hour</w:t>
            </w:r>
          </w:p>
        </w:tc>
        <w:tc>
          <w:tcPr>
            <w:tcW w:w="1672" w:type="dxa"/>
            <w:tcBorders>
              <w:top w:val="single" w:sz="12" w:space="0" w:color="auto"/>
            </w:tcBorders>
          </w:tcPr>
          <w:p w14:paraId="7528AB91" w14:textId="16B79AC8" w:rsidR="004841F1" w:rsidRPr="006C2FA6" w:rsidRDefault="003A2555" w:rsidP="00B54305">
            <w:pPr>
              <w:ind w:left="0"/>
              <w:rPr>
                <w:sz w:val="20"/>
                <w:szCs w:val="20"/>
              </w:rPr>
            </w:pPr>
            <w:r w:rsidRPr="006C2FA6">
              <w:rPr>
                <w:sz w:val="20"/>
                <w:szCs w:val="20"/>
              </w:rPr>
              <w:t>$</w:t>
            </w:r>
            <w:r w:rsidR="00B54305" w:rsidRPr="006C2FA6">
              <w:rPr>
                <w:sz w:val="20"/>
                <w:szCs w:val="20"/>
              </w:rPr>
              <w:t>3,73</w:t>
            </w:r>
            <w:r w:rsidR="006C2FA6" w:rsidRPr="006C2FA6">
              <w:rPr>
                <w:sz w:val="20"/>
                <w:szCs w:val="20"/>
              </w:rPr>
              <w:t>6</w:t>
            </w:r>
          </w:p>
        </w:tc>
      </w:tr>
      <w:tr w:rsidR="00347111" w:rsidRPr="006C2FA6" w14:paraId="774A3634" w14:textId="77777777" w:rsidTr="00CF6092">
        <w:tc>
          <w:tcPr>
            <w:tcW w:w="4158" w:type="dxa"/>
            <w:tcBorders>
              <w:top w:val="single" w:sz="12" w:space="0" w:color="auto"/>
            </w:tcBorders>
          </w:tcPr>
          <w:p w14:paraId="0930722D" w14:textId="679EB318" w:rsidR="00347111" w:rsidRPr="006C2FA6" w:rsidRDefault="00347111" w:rsidP="00F471BF">
            <w:pPr>
              <w:ind w:left="0"/>
              <w:rPr>
                <w:sz w:val="20"/>
                <w:szCs w:val="20"/>
              </w:rPr>
            </w:pPr>
            <w:r w:rsidRPr="006C2FA6">
              <w:rPr>
                <w:sz w:val="20"/>
                <w:szCs w:val="20"/>
              </w:rPr>
              <w:t>Health Scientist – GS-13, Step 2</w:t>
            </w:r>
            <w:r w:rsidR="005A0D63" w:rsidRPr="006C2FA6">
              <w:rPr>
                <w:sz w:val="20"/>
                <w:szCs w:val="20"/>
              </w:rPr>
              <w:t xml:space="preserve">: </w:t>
            </w:r>
            <w:r w:rsidRPr="006C2FA6">
              <w:rPr>
                <w:sz w:val="20"/>
              </w:rPr>
              <w:t>Provide support with survey implementation</w:t>
            </w:r>
            <w:r w:rsidR="00F471BF" w:rsidRPr="006C2FA6">
              <w:rPr>
                <w:sz w:val="20"/>
              </w:rPr>
              <w:t>,</w:t>
            </w:r>
            <w:r w:rsidRPr="006C2FA6">
              <w:rPr>
                <w:sz w:val="20"/>
              </w:rPr>
              <w:t xml:space="preserve"> data analysis</w:t>
            </w:r>
            <w:r w:rsidR="00F471BF" w:rsidRPr="006C2FA6">
              <w:rPr>
                <w:sz w:val="20"/>
              </w:rPr>
              <w:t>, and report development</w:t>
            </w:r>
            <w:r w:rsidRPr="006C2FA6">
              <w:rPr>
                <w:sz w:val="20"/>
              </w:rPr>
              <w:t>.</w:t>
            </w:r>
          </w:p>
        </w:tc>
        <w:tc>
          <w:tcPr>
            <w:tcW w:w="1782" w:type="dxa"/>
            <w:tcBorders>
              <w:top w:val="single" w:sz="12" w:space="0" w:color="auto"/>
            </w:tcBorders>
          </w:tcPr>
          <w:p w14:paraId="2298D8AE" w14:textId="1C4CFBDA" w:rsidR="00347111" w:rsidRPr="006C2FA6" w:rsidRDefault="005A0D63" w:rsidP="00347111">
            <w:pPr>
              <w:ind w:left="0"/>
              <w:jc w:val="center"/>
              <w:rPr>
                <w:sz w:val="20"/>
                <w:szCs w:val="20"/>
              </w:rPr>
            </w:pPr>
            <w:r w:rsidRPr="006C2FA6">
              <w:rPr>
                <w:sz w:val="20"/>
                <w:szCs w:val="20"/>
              </w:rPr>
              <w:t>20</w:t>
            </w:r>
          </w:p>
        </w:tc>
        <w:tc>
          <w:tcPr>
            <w:tcW w:w="1822" w:type="dxa"/>
            <w:gridSpan w:val="3"/>
            <w:tcBorders>
              <w:top w:val="single" w:sz="12" w:space="0" w:color="auto"/>
            </w:tcBorders>
          </w:tcPr>
          <w:p w14:paraId="5CBD44C1" w14:textId="21C95F6D" w:rsidR="00347111" w:rsidRPr="006C2FA6" w:rsidRDefault="00B54305" w:rsidP="00B54305">
            <w:pPr>
              <w:ind w:left="0"/>
              <w:rPr>
                <w:sz w:val="20"/>
                <w:szCs w:val="20"/>
              </w:rPr>
            </w:pPr>
            <w:r w:rsidRPr="006C2FA6">
              <w:rPr>
                <w:sz w:val="20"/>
                <w:szCs w:val="20"/>
              </w:rPr>
              <w:t>$45.37 /hour</w:t>
            </w:r>
          </w:p>
        </w:tc>
        <w:tc>
          <w:tcPr>
            <w:tcW w:w="1672" w:type="dxa"/>
            <w:tcBorders>
              <w:top w:val="single" w:sz="12" w:space="0" w:color="auto"/>
            </w:tcBorders>
          </w:tcPr>
          <w:p w14:paraId="64038D22" w14:textId="4E5160BA" w:rsidR="00347111" w:rsidRPr="006C2FA6" w:rsidRDefault="00B54305" w:rsidP="00B54305">
            <w:pPr>
              <w:ind w:left="0"/>
              <w:rPr>
                <w:sz w:val="20"/>
                <w:szCs w:val="20"/>
              </w:rPr>
            </w:pPr>
            <w:r w:rsidRPr="006C2FA6">
              <w:rPr>
                <w:sz w:val="20"/>
                <w:szCs w:val="20"/>
              </w:rPr>
              <w:t>$907</w:t>
            </w:r>
          </w:p>
        </w:tc>
      </w:tr>
      <w:tr w:rsidR="00347111" w:rsidRPr="006C2FA6" w14:paraId="59B9CA13" w14:textId="77777777" w:rsidTr="00CF6092">
        <w:tc>
          <w:tcPr>
            <w:tcW w:w="4158" w:type="dxa"/>
          </w:tcPr>
          <w:p w14:paraId="0C1F7AE6" w14:textId="65A7C401" w:rsidR="00347111" w:rsidRPr="006C2FA6" w:rsidRDefault="00347111" w:rsidP="00F471BF">
            <w:pPr>
              <w:ind w:left="0"/>
              <w:rPr>
                <w:sz w:val="20"/>
                <w:szCs w:val="20"/>
              </w:rPr>
            </w:pPr>
            <w:r w:rsidRPr="006C2FA6">
              <w:rPr>
                <w:sz w:val="20"/>
                <w:szCs w:val="20"/>
              </w:rPr>
              <w:t>Orise Fellow:</w:t>
            </w:r>
            <w:r w:rsidR="00F471BF" w:rsidRPr="006C2FA6">
              <w:rPr>
                <w:sz w:val="20"/>
                <w:szCs w:val="20"/>
              </w:rPr>
              <w:t xml:space="preserve"> Support the development and implementation of the</w:t>
            </w:r>
            <w:r w:rsidRPr="006C2FA6">
              <w:rPr>
                <w:sz w:val="20"/>
              </w:rPr>
              <w:t xml:space="preserve"> survey, conduct data analysis, develop presentations and reports, and support other activities</w:t>
            </w:r>
            <w:r w:rsidR="00F471BF" w:rsidRPr="006C2FA6">
              <w:rPr>
                <w:sz w:val="20"/>
              </w:rPr>
              <w:t>.</w:t>
            </w:r>
          </w:p>
        </w:tc>
        <w:tc>
          <w:tcPr>
            <w:tcW w:w="1782" w:type="dxa"/>
          </w:tcPr>
          <w:p w14:paraId="2EBA747D" w14:textId="6FA467E1" w:rsidR="00347111" w:rsidRPr="006C2FA6" w:rsidRDefault="00347111" w:rsidP="00347111">
            <w:pPr>
              <w:ind w:left="0"/>
              <w:jc w:val="center"/>
              <w:rPr>
                <w:sz w:val="20"/>
                <w:szCs w:val="20"/>
              </w:rPr>
            </w:pPr>
          </w:p>
        </w:tc>
        <w:tc>
          <w:tcPr>
            <w:tcW w:w="1822" w:type="dxa"/>
            <w:gridSpan w:val="3"/>
          </w:tcPr>
          <w:p w14:paraId="671C35A4" w14:textId="77777777" w:rsidR="00347111" w:rsidRPr="006C2FA6" w:rsidRDefault="00347111" w:rsidP="009500A0">
            <w:pPr>
              <w:ind w:left="0"/>
              <w:rPr>
                <w:sz w:val="20"/>
                <w:szCs w:val="20"/>
              </w:rPr>
            </w:pPr>
          </w:p>
        </w:tc>
        <w:tc>
          <w:tcPr>
            <w:tcW w:w="1672" w:type="dxa"/>
          </w:tcPr>
          <w:p w14:paraId="4042B22A" w14:textId="7E6362E9" w:rsidR="00347111" w:rsidRPr="006C2FA6" w:rsidRDefault="00347111" w:rsidP="001449BC">
            <w:pPr>
              <w:ind w:left="0"/>
              <w:rPr>
                <w:sz w:val="20"/>
                <w:szCs w:val="20"/>
              </w:rPr>
            </w:pPr>
            <w:r w:rsidRPr="006C2FA6">
              <w:rPr>
                <w:sz w:val="20"/>
                <w:szCs w:val="20"/>
              </w:rPr>
              <w:t>$</w:t>
            </w:r>
            <w:r w:rsidR="00582D4F" w:rsidRPr="006C2FA6">
              <w:rPr>
                <w:sz w:val="20"/>
                <w:szCs w:val="20"/>
              </w:rPr>
              <w:t>3,</w:t>
            </w:r>
            <w:r w:rsidR="00FE7973" w:rsidRPr="006C2FA6">
              <w:rPr>
                <w:sz w:val="20"/>
                <w:szCs w:val="20"/>
              </w:rPr>
              <w:t>718</w:t>
            </w:r>
          </w:p>
        </w:tc>
      </w:tr>
      <w:tr w:rsidR="00347111" w:rsidRPr="006C2FA6" w14:paraId="0BB1886C" w14:textId="77777777" w:rsidTr="00CF6092">
        <w:trPr>
          <w:trHeight w:val="332"/>
        </w:trPr>
        <w:tc>
          <w:tcPr>
            <w:tcW w:w="7290" w:type="dxa"/>
            <w:gridSpan w:val="3"/>
            <w:tcBorders>
              <w:right w:val="nil"/>
            </w:tcBorders>
            <w:vAlign w:val="center"/>
          </w:tcPr>
          <w:p w14:paraId="478A2C6B" w14:textId="77777777" w:rsidR="00347111" w:rsidRPr="006C2FA6" w:rsidRDefault="00347111" w:rsidP="00347111">
            <w:pPr>
              <w:ind w:left="0"/>
              <w:jc w:val="right"/>
              <w:rPr>
                <w:b/>
                <w:sz w:val="20"/>
                <w:szCs w:val="20"/>
              </w:rPr>
            </w:pPr>
            <w:r w:rsidRPr="006C2FA6">
              <w:rPr>
                <w:b/>
                <w:sz w:val="20"/>
                <w:szCs w:val="20"/>
              </w:rPr>
              <w:t>Estimated Total Cost of Information Collection</w:t>
            </w:r>
          </w:p>
        </w:tc>
        <w:tc>
          <w:tcPr>
            <w:tcW w:w="236" w:type="dxa"/>
            <w:tcBorders>
              <w:left w:val="nil"/>
              <w:right w:val="nil"/>
            </w:tcBorders>
            <w:vAlign w:val="center"/>
          </w:tcPr>
          <w:p w14:paraId="1AD6E5D5" w14:textId="77777777" w:rsidR="00347111" w:rsidRPr="006C2FA6" w:rsidRDefault="00347111" w:rsidP="00347111">
            <w:pPr>
              <w:ind w:left="0"/>
              <w:rPr>
                <w:b/>
                <w:sz w:val="20"/>
                <w:szCs w:val="20"/>
              </w:rPr>
            </w:pPr>
          </w:p>
        </w:tc>
        <w:tc>
          <w:tcPr>
            <w:tcW w:w="236" w:type="dxa"/>
            <w:tcBorders>
              <w:left w:val="nil"/>
            </w:tcBorders>
            <w:vAlign w:val="center"/>
          </w:tcPr>
          <w:p w14:paraId="413BD181" w14:textId="77777777" w:rsidR="00347111" w:rsidRPr="006C2FA6" w:rsidRDefault="00347111" w:rsidP="00347111">
            <w:pPr>
              <w:ind w:left="0"/>
              <w:rPr>
                <w:b/>
                <w:sz w:val="20"/>
                <w:szCs w:val="20"/>
              </w:rPr>
            </w:pPr>
          </w:p>
        </w:tc>
        <w:tc>
          <w:tcPr>
            <w:tcW w:w="1672" w:type="dxa"/>
            <w:vAlign w:val="center"/>
          </w:tcPr>
          <w:p w14:paraId="2EE11363" w14:textId="594772A2" w:rsidR="00347111" w:rsidRPr="006C2FA6" w:rsidRDefault="00347111" w:rsidP="00FE7973">
            <w:pPr>
              <w:ind w:left="0"/>
              <w:jc w:val="center"/>
              <w:rPr>
                <w:b/>
                <w:sz w:val="20"/>
                <w:szCs w:val="20"/>
              </w:rPr>
            </w:pPr>
            <w:r w:rsidRPr="006C2FA6">
              <w:rPr>
                <w:b/>
                <w:sz w:val="20"/>
                <w:szCs w:val="20"/>
              </w:rPr>
              <w:t>$</w:t>
            </w:r>
            <w:r w:rsidR="00FE7973" w:rsidRPr="006C2FA6">
              <w:rPr>
                <w:b/>
                <w:sz w:val="20"/>
                <w:szCs w:val="20"/>
              </w:rPr>
              <w:t>8,361</w:t>
            </w:r>
            <w:r w:rsidR="00B54305" w:rsidRPr="006C2FA6">
              <w:rPr>
                <w:b/>
                <w:sz w:val="20"/>
                <w:szCs w:val="20"/>
              </w:rPr>
              <w:t>.00</w:t>
            </w:r>
          </w:p>
        </w:tc>
      </w:tr>
    </w:tbl>
    <w:p w14:paraId="757C9F9B" w14:textId="6BF63643" w:rsidR="00734D99" w:rsidRDefault="00734D99" w:rsidP="009C58F2">
      <w:pPr>
        <w:ind w:left="0"/>
      </w:pPr>
    </w:p>
    <w:p w14:paraId="4903F6B1" w14:textId="77777777" w:rsidR="00B12F51" w:rsidRPr="00D75750" w:rsidRDefault="00D75750" w:rsidP="00692DEB">
      <w:pPr>
        <w:pStyle w:val="Heading4"/>
      </w:pPr>
      <w:bookmarkStart w:id="19" w:name="_Toc427752828"/>
      <w:r w:rsidRPr="00D75750">
        <w:t>Explanation for Program Changes or Adjustments</w:t>
      </w:r>
      <w:bookmarkEnd w:id="19"/>
    </w:p>
    <w:p w14:paraId="381BC808" w14:textId="319E8B85" w:rsidR="00F52BCC" w:rsidRDefault="003C7C5D" w:rsidP="008B65FF">
      <w:pPr>
        <w:ind w:left="360"/>
      </w:pPr>
      <w:r>
        <w:t xml:space="preserve">This is a new </w:t>
      </w:r>
      <w:r w:rsidR="002E2EDD">
        <w:t>data</w:t>
      </w:r>
      <w:r w:rsidR="00157413">
        <w:t xml:space="preserve"> collection</w:t>
      </w:r>
      <w:r>
        <w:t>.</w:t>
      </w:r>
    </w:p>
    <w:p w14:paraId="4C2804B5" w14:textId="22103658" w:rsidR="00734D99" w:rsidRDefault="00734D99" w:rsidP="001C7607"/>
    <w:p w14:paraId="39EA12CC" w14:textId="0C8E999C" w:rsidR="008C59E7" w:rsidRPr="009C58F2" w:rsidRDefault="00616090" w:rsidP="009C58F2">
      <w:pPr>
        <w:pStyle w:val="Heading4"/>
      </w:pPr>
      <w:bookmarkStart w:id="20" w:name="_Toc427752829"/>
      <w:r w:rsidRPr="007B6A12">
        <w:t>Plan</w:t>
      </w:r>
      <w:r w:rsidR="00D75750" w:rsidRPr="007B6A12">
        <w:t>s for Tabulation and Publication and Project Time Schedule</w:t>
      </w:r>
      <w:bookmarkEnd w:id="20"/>
    </w:p>
    <w:p w14:paraId="70891C2A" w14:textId="16056F00" w:rsidR="005E5D8F" w:rsidRPr="006C2FA6" w:rsidRDefault="00357111" w:rsidP="005E5D8F">
      <w:pPr>
        <w:ind w:left="360"/>
        <w:rPr>
          <w:rFonts w:cs="Arial"/>
        </w:rPr>
      </w:pPr>
      <w:r w:rsidRPr="006C2FA6">
        <w:t xml:space="preserve">The data that </w:t>
      </w:r>
      <w:r w:rsidR="00374A29" w:rsidRPr="006C2FA6">
        <w:t xml:space="preserve">is </w:t>
      </w:r>
      <w:r w:rsidRPr="006C2FA6">
        <w:t xml:space="preserve">collected through this </w:t>
      </w:r>
      <w:r w:rsidR="005E5D8F" w:rsidRPr="006C2FA6">
        <w:t>assessment</w:t>
      </w:r>
      <w:r w:rsidRPr="006C2FA6">
        <w:t xml:space="preserve"> will be housed in standard data files which may include Epi Info, MS Excel, and MS Access, and SAS. </w:t>
      </w:r>
      <w:r w:rsidR="005E5D8F" w:rsidRPr="006C2FA6">
        <w:t xml:space="preserve">All information will be kept in secured CDC share drives and will only be accessible to program staff. </w:t>
      </w:r>
      <w:r w:rsidR="00055B31" w:rsidRPr="006C2FA6">
        <w:t>The d</w:t>
      </w:r>
      <w:r w:rsidR="005E5D8F" w:rsidRPr="006C2FA6">
        <w:t xml:space="preserve">ata will only be shared in aggregate form. </w:t>
      </w:r>
    </w:p>
    <w:p w14:paraId="2C52281D" w14:textId="094D2B77" w:rsidR="00357111" w:rsidRPr="006C2FA6" w:rsidRDefault="00357111" w:rsidP="00031019">
      <w:pPr>
        <w:ind w:left="360"/>
      </w:pPr>
    </w:p>
    <w:p w14:paraId="4EFC8D36" w14:textId="4480AF60" w:rsidR="00031019" w:rsidRPr="006C2FA6" w:rsidRDefault="00031019" w:rsidP="00031019">
      <w:pPr>
        <w:ind w:left="360"/>
        <w:rPr>
          <w:rFonts w:cs="Arial"/>
        </w:rPr>
      </w:pPr>
      <w:r w:rsidRPr="006C2FA6">
        <w:t>Analysis of data collected th</w:t>
      </w:r>
      <w:r w:rsidR="006C2FA6" w:rsidRPr="006C2FA6">
        <w:t>r</w:t>
      </w:r>
      <w:r w:rsidRPr="006C2FA6">
        <w:t xml:space="preserve">ough this </w:t>
      </w:r>
      <w:r w:rsidR="005E5D8F" w:rsidRPr="006C2FA6">
        <w:t>assessment</w:t>
      </w:r>
      <w:r w:rsidRPr="006C2FA6">
        <w:t xml:space="preserve"> will include generation of descriptive statistics, including proportions, means, and associated dispersion metrics for responses to closed-ended questions. </w:t>
      </w:r>
      <w:r w:rsidR="00466524" w:rsidRPr="006C2FA6">
        <w:t xml:space="preserve">Correlational </w:t>
      </w:r>
      <w:r w:rsidRPr="006C2FA6">
        <w:t>analysis will be conducted to examine selected issues interest (e.g.</w:t>
      </w:r>
      <w:r w:rsidR="00FC0F1F" w:rsidRPr="006C2FA6">
        <w:t>,</w:t>
      </w:r>
      <w:r w:rsidRPr="006C2FA6">
        <w:t xml:space="preserve"> association between experience level and informational needs). Qualitative analysis of responses to open ended questions will be conducted to identify key themes in the responses. SAS software will be used to conduct quantitative data analysis and MAXQDA will be used for qualitative data analysis. </w:t>
      </w:r>
      <w:r w:rsidR="00357111" w:rsidRPr="006C2FA6">
        <w:t>Results from the analysis will</w:t>
      </w:r>
      <w:r w:rsidRPr="006C2FA6">
        <w:t xml:space="preserve"> </w:t>
      </w:r>
      <w:r w:rsidR="00357111" w:rsidRPr="006C2FA6">
        <w:t xml:space="preserve">be </w:t>
      </w:r>
      <w:r w:rsidR="005E5D8F" w:rsidRPr="006C2FA6">
        <w:t xml:space="preserve">used to prepare internal reports and presentations, inform an operational analysis of BioSense, and produce material for broader dissemination (including conference presentations and journal publications).   </w:t>
      </w:r>
    </w:p>
    <w:p w14:paraId="0DF90C36" w14:textId="1501A439" w:rsidR="00E20294" w:rsidRPr="006C2FA6" w:rsidRDefault="00E20294" w:rsidP="0042500C">
      <w:pPr>
        <w:ind w:left="0"/>
        <w:rPr>
          <w:rFonts w:cs="Arial"/>
          <w:b/>
        </w:rPr>
      </w:pPr>
    </w:p>
    <w:p w14:paraId="26563661" w14:textId="77777777" w:rsidR="008C59E7" w:rsidRPr="00BB090C" w:rsidRDefault="008C59E7" w:rsidP="008B65FF">
      <w:pPr>
        <w:ind w:left="360"/>
        <w:rPr>
          <w:rFonts w:cs="Arial"/>
          <w:color w:val="0070C0"/>
        </w:rPr>
      </w:pPr>
      <w:r w:rsidRPr="00BB090C">
        <w:rPr>
          <w:rFonts w:cs="Arial"/>
          <w:u w:val="single"/>
        </w:rPr>
        <w:t>Project Time Schedule</w:t>
      </w:r>
    </w:p>
    <w:p w14:paraId="5470FB02"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D5A586B"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5DFEA86F"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D908092"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7BA11722"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6E017919"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498F96C3" w14:textId="582B4A4D" w:rsidR="008C59E7" w:rsidRPr="006C2FA6" w:rsidRDefault="008C59E7" w:rsidP="00782FBD">
      <w:pPr>
        <w:pStyle w:val="ListParagraph"/>
        <w:numPr>
          <w:ilvl w:val="0"/>
          <w:numId w:val="2"/>
        </w:numPr>
        <w:tabs>
          <w:tab w:val="right" w:leader="dot" w:pos="9360"/>
        </w:tabs>
        <w:ind w:left="1080"/>
      </w:pPr>
      <w:r w:rsidRPr="006C2FA6">
        <w:rPr>
          <w:rFonts w:eastAsiaTheme="majorEastAsia" w:cstheme="majorBidi"/>
        </w:rPr>
        <w:t xml:space="preserve">Conduct </w:t>
      </w:r>
      <w:r w:rsidR="00F0000D" w:rsidRPr="006C2FA6">
        <w:rPr>
          <w:rFonts w:eastAsiaTheme="majorEastAsia" w:cstheme="majorBidi"/>
        </w:rPr>
        <w:t>data collection</w:t>
      </w:r>
      <w:r w:rsidRPr="006C2FA6">
        <w:rPr>
          <w:rFonts w:eastAsiaTheme="majorEastAsia" w:cstheme="majorBidi"/>
        </w:rPr>
        <w:t xml:space="preserve"> </w:t>
      </w:r>
      <w:r w:rsidRPr="006C2FA6">
        <w:tab/>
      </w:r>
      <w:r w:rsidRPr="006C2FA6">
        <w:rPr>
          <w:rFonts w:eastAsiaTheme="majorEastAsia" w:cstheme="majorBidi"/>
        </w:rPr>
        <w:t>(</w:t>
      </w:r>
      <w:r w:rsidR="003D29B1" w:rsidRPr="006C2FA6">
        <w:rPr>
          <w:rFonts w:eastAsiaTheme="majorEastAsia" w:cstheme="majorBidi"/>
        </w:rPr>
        <w:t>10 days</w:t>
      </w:r>
      <w:r w:rsidRPr="006C2FA6">
        <w:rPr>
          <w:rFonts w:eastAsiaTheme="majorEastAsia" w:cstheme="majorBidi"/>
        </w:rPr>
        <w:t>)</w:t>
      </w:r>
    </w:p>
    <w:p w14:paraId="24979939" w14:textId="05A24616" w:rsidR="008C59E7" w:rsidRPr="006C2FA6" w:rsidRDefault="008C59E7" w:rsidP="00782FBD">
      <w:pPr>
        <w:pStyle w:val="ListParagraph"/>
        <w:numPr>
          <w:ilvl w:val="0"/>
          <w:numId w:val="2"/>
        </w:numPr>
        <w:tabs>
          <w:tab w:val="right" w:leader="dot" w:pos="9360"/>
        </w:tabs>
        <w:ind w:left="1080"/>
      </w:pPr>
      <w:r w:rsidRPr="006C2FA6">
        <w:rPr>
          <w:rFonts w:eastAsiaTheme="majorEastAsia" w:cstheme="majorBidi"/>
        </w:rPr>
        <w:t>Code</w:t>
      </w:r>
      <w:r w:rsidR="001C7607" w:rsidRPr="006C2FA6">
        <w:rPr>
          <w:rFonts w:eastAsiaTheme="majorEastAsia" w:cstheme="majorBidi"/>
        </w:rPr>
        <w:t xml:space="preserve"> data</w:t>
      </w:r>
      <w:r w:rsidRPr="006C2FA6">
        <w:rPr>
          <w:rFonts w:eastAsiaTheme="majorEastAsia" w:cstheme="majorBidi"/>
        </w:rPr>
        <w:t xml:space="preserve">, </w:t>
      </w:r>
      <w:r w:rsidR="001C7607" w:rsidRPr="006C2FA6">
        <w:rPr>
          <w:rFonts w:eastAsiaTheme="majorEastAsia" w:cstheme="majorBidi"/>
        </w:rPr>
        <w:t xml:space="preserve">conduct </w:t>
      </w:r>
      <w:r w:rsidRPr="006C2FA6">
        <w:rPr>
          <w:rFonts w:eastAsiaTheme="majorEastAsia" w:cstheme="majorBidi"/>
        </w:rPr>
        <w:t>quality control, and analyze data</w:t>
      </w:r>
      <w:r w:rsidRPr="006C2FA6">
        <w:rPr>
          <w:rFonts w:cs="Arial"/>
        </w:rPr>
        <w:tab/>
      </w:r>
      <w:r w:rsidR="00F0000D" w:rsidRPr="006C2FA6">
        <w:rPr>
          <w:rFonts w:eastAsiaTheme="majorEastAsia" w:cstheme="majorBidi"/>
        </w:rPr>
        <w:t>(</w:t>
      </w:r>
      <w:r w:rsidR="00E56468" w:rsidRPr="006C2FA6">
        <w:rPr>
          <w:rFonts w:eastAsiaTheme="majorEastAsia" w:cstheme="majorBidi"/>
        </w:rPr>
        <w:t>3-4 weeks</w:t>
      </w:r>
      <w:r w:rsidRPr="006C2FA6">
        <w:rPr>
          <w:rFonts w:eastAsiaTheme="majorEastAsia" w:cstheme="majorBidi"/>
        </w:rPr>
        <w:t>)</w:t>
      </w:r>
    </w:p>
    <w:p w14:paraId="66DDE623" w14:textId="7C6CED39" w:rsidR="008C59E7" w:rsidRPr="006C2FA6" w:rsidRDefault="007B6A12" w:rsidP="00782FBD">
      <w:pPr>
        <w:pStyle w:val="ListParagraph"/>
        <w:numPr>
          <w:ilvl w:val="0"/>
          <w:numId w:val="2"/>
        </w:numPr>
        <w:tabs>
          <w:tab w:val="right" w:leader="dot" w:pos="9360"/>
        </w:tabs>
        <w:ind w:left="1080"/>
      </w:pPr>
      <w:r w:rsidRPr="006C2FA6">
        <w:rPr>
          <w:rFonts w:eastAsiaTheme="majorEastAsia" w:cstheme="majorBidi"/>
        </w:rPr>
        <w:t xml:space="preserve">Prepare </w:t>
      </w:r>
      <w:r w:rsidR="001C7607" w:rsidRPr="006C2FA6">
        <w:rPr>
          <w:rFonts w:eastAsiaTheme="majorEastAsia" w:cstheme="majorBidi"/>
        </w:rPr>
        <w:t xml:space="preserve">summary </w:t>
      </w:r>
      <w:r w:rsidRPr="006C2FA6">
        <w:rPr>
          <w:rFonts w:eastAsiaTheme="majorEastAsia" w:cstheme="majorBidi"/>
        </w:rPr>
        <w:t>report(s)</w:t>
      </w:r>
      <w:r w:rsidR="008C59E7" w:rsidRPr="006C2FA6">
        <w:rPr>
          <w:rFonts w:eastAsiaTheme="majorEastAsia" w:cstheme="majorBidi"/>
        </w:rPr>
        <w:t xml:space="preserve"> </w:t>
      </w:r>
      <w:r w:rsidR="008C59E7" w:rsidRPr="006C2FA6">
        <w:tab/>
      </w:r>
      <w:r w:rsidR="008C59E7" w:rsidRPr="006C2FA6">
        <w:rPr>
          <w:rFonts w:eastAsiaTheme="majorEastAsia" w:cstheme="majorBidi"/>
        </w:rPr>
        <w:t>(</w:t>
      </w:r>
      <w:r w:rsidR="00E56468" w:rsidRPr="006C2FA6">
        <w:rPr>
          <w:rFonts w:eastAsiaTheme="majorEastAsia" w:cstheme="majorBidi"/>
        </w:rPr>
        <w:t xml:space="preserve">3 </w:t>
      </w:r>
      <w:r w:rsidR="00954637" w:rsidRPr="006C2FA6">
        <w:rPr>
          <w:rFonts w:eastAsiaTheme="majorEastAsia" w:cstheme="majorBidi"/>
        </w:rPr>
        <w:t>months</w:t>
      </w:r>
      <w:r w:rsidR="008C59E7" w:rsidRPr="006C2FA6">
        <w:rPr>
          <w:rFonts w:eastAsiaTheme="majorEastAsia" w:cstheme="majorBidi"/>
        </w:rPr>
        <w:t>)</w:t>
      </w:r>
    </w:p>
    <w:p w14:paraId="69D2C306" w14:textId="6802FEC4" w:rsidR="008C59E7" w:rsidRPr="006C2FA6" w:rsidRDefault="008C59E7" w:rsidP="00782FBD">
      <w:pPr>
        <w:pStyle w:val="ListParagraph"/>
        <w:numPr>
          <w:ilvl w:val="0"/>
          <w:numId w:val="2"/>
        </w:numPr>
        <w:tabs>
          <w:tab w:val="right" w:leader="dot" w:pos="9360"/>
        </w:tabs>
        <w:ind w:left="1080"/>
      </w:pPr>
      <w:r w:rsidRPr="006C2FA6">
        <w:rPr>
          <w:rFonts w:eastAsiaTheme="majorEastAsia" w:cstheme="majorBidi"/>
        </w:rPr>
        <w:t xml:space="preserve">Disseminate results/reports </w:t>
      </w:r>
      <w:r w:rsidRPr="006C2FA6">
        <w:tab/>
      </w:r>
      <w:r w:rsidRPr="006C2FA6">
        <w:rPr>
          <w:rFonts w:eastAsiaTheme="majorEastAsia" w:cstheme="majorBidi"/>
        </w:rPr>
        <w:t>(</w:t>
      </w:r>
      <w:r w:rsidR="00E56468" w:rsidRPr="006C2FA6">
        <w:rPr>
          <w:rFonts w:eastAsiaTheme="majorEastAsia" w:cstheme="majorBidi"/>
        </w:rPr>
        <w:t xml:space="preserve">3 </w:t>
      </w:r>
      <w:r w:rsidR="00954637" w:rsidRPr="006C2FA6">
        <w:rPr>
          <w:rFonts w:eastAsiaTheme="majorEastAsia" w:cstheme="majorBidi"/>
        </w:rPr>
        <w:t>months</w:t>
      </w:r>
      <w:r w:rsidRPr="006C2FA6">
        <w:rPr>
          <w:rFonts w:eastAsiaTheme="majorEastAsia" w:cstheme="majorBidi"/>
        </w:rPr>
        <w:t>)</w:t>
      </w:r>
    </w:p>
    <w:p w14:paraId="2BA756D2" w14:textId="2F395976" w:rsidR="00F0000D" w:rsidRDefault="00F0000D" w:rsidP="009C58F2">
      <w:pPr>
        <w:ind w:left="0"/>
      </w:pPr>
    </w:p>
    <w:p w14:paraId="4DBA796D" w14:textId="77777777" w:rsidR="00B12F51" w:rsidRPr="00D75750" w:rsidRDefault="00D75750" w:rsidP="00692DEB">
      <w:pPr>
        <w:pStyle w:val="Heading4"/>
      </w:pPr>
      <w:bookmarkStart w:id="21" w:name="_Toc427752830"/>
      <w:r w:rsidRPr="00D75750">
        <w:t xml:space="preserve">Reason(s) Display of OMB Expiration </w:t>
      </w:r>
      <w:r>
        <w:t xml:space="preserve">Date </w:t>
      </w:r>
      <w:r w:rsidRPr="00D75750">
        <w:t>is Inappropriate</w:t>
      </w:r>
      <w:bookmarkEnd w:id="21"/>
    </w:p>
    <w:p w14:paraId="05D11ADA" w14:textId="77777777" w:rsidR="00F52BCC" w:rsidRDefault="00180D45" w:rsidP="008B65FF">
      <w:pPr>
        <w:ind w:left="360"/>
      </w:pPr>
      <w:r>
        <w:t>We are requesting no exemption.</w:t>
      </w:r>
    </w:p>
    <w:p w14:paraId="0B4BE6CF" w14:textId="48BDB109" w:rsidR="003705DF" w:rsidRDefault="003705DF" w:rsidP="009C58F2">
      <w:pPr>
        <w:ind w:left="0"/>
      </w:pPr>
    </w:p>
    <w:p w14:paraId="79E257D5" w14:textId="77777777" w:rsidR="00B12F51" w:rsidRPr="00D26A64" w:rsidRDefault="00B12F51" w:rsidP="00692DEB">
      <w:pPr>
        <w:pStyle w:val="Heading4"/>
      </w:pPr>
      <w:bookmarkStart w:id="22" w:name="_Toc427752831"/>
      <w:r w:rsidRPr="00D26A64">
        <w:t>Exceptions to Certification for Paperwork Reduction Act Submissions</w:t>
      </w:r>
      <w:bookmarkEnd w:id="22"/>
    </w:p>
    <w:p w14:paraId="7B506EE7" w14:textId="77777777" w:rsidR="00D1343B" w:rsidRDefault="0031279F" w:rsidP="00DD5E65">
      <w:pPr>
        <w:ind w:left="360"/>
      </w:pPr>
      <w:r>
        <w:t>There are no exceptions to the certification.</w:t>
      </w:r>
      <w:r w:rsidR="00180D45">
        <w:t xml:space="preserve">  These activities comply with the requirements in 5 CFR 1320.9.</w:t>
      </w:r>
    </w:p>
    <w:p w14:paraId="43E982F4" w14:textId="1CC6C7F7" w:rsidR="00C04503" w:rsidRDefault="00C04503" w:rsidP="009C58F2">
      <w:pPr>
        <w:ind w:left="0"/>
      </w:pPr>
    </w:p>
    <w:p w14:paraId="6CC98E32" w14:textId="77777777" w:rsidR="00A36419" w:rsidRPr="004301ED" w:rsidRDefault="00A36419" w:rsidP="008C59E7">
      <w:pPr>
        <w:pStyle w:val="Heading3"/>
        <w:ind w:left="0"/>
      </w:pPr>
      <w:bookmarkStart w:id="23" w:name="_Toc427752832"/>
      <w:r w:rsidRPr="004301ED">
        <w:t>LIST OF ATTACHMENTS</w:t>
      </w:r>
      <w:r w:rsidR="00A33E90" w:rsidRPr="004301ED">
        <w:t xml:space="preserve"> – Section A</w:t>
      </w:r>
      <w:bookmarkEnd w:id="23"/>
    </w:p>
    <w:p w14:paraId="23B68A29" w14:textId="033D03F1" w:rsidR="00E647FB" w:rsidRPr="009C58F2" w:rsidRDefault="00A1453A" w:rsidP="00BE076E">
      <w:pPr>
        <w:tabs>
          <w:tab w:val="clear" w:pos="9360"/>
        </w:tabs>
        <w:spacing w:line="240" w:lineRule="auto"/>
        <w:ind w:left="360"/>
      </w:pPr>
      <w:r w:rsidRPr="009C58F2">
        <w:t xml:space="preserve">Attachment A </w:t>
      </w:r>
      <w:r w:rsidRPr="009C58F2">
        <w:rPr>
          <w:rFonts w:ascii="Cambria" w:hAnsi="Cambria"/>
        </w:rPr>
        <w:t xml:space="preserve">– </w:t>
      </w:r>
      <w:r w:rsidR="00E56468" w:rsidRPr="009C58F2">
        <w:t>Respondent Universe</w:t>
      </w:r>
    </w:p>
    <w:p w14:paraId="2CDF0623" w14:textId="2ED5D33B" w:rsidR="00E647FB" w:rsidRPr="009C58F2" w:rsidRDefault="00A1453A" w:rsidP="00BE076E">
      <w:pPr>
        <w:tabs>
          <w:tab w:val="clear" w:pos="9360"/>
        </w:tabs>
        <w:spacing w:line="240" w:lineRule="auto"/>
        <w:ind w:left="360"/>
      </w:pPr>
      <w:r w:rsidRPr="009C58F2">
        <w:t xml:space="preserve">Attachment B </w:t>
      </w:r>
      <w:r w:rsidRPr="009C58F2">
        <w:rPr>
          <w:rFonts w:ascii="Cambria" w:hAnsi="Cambria"/>
        </w:rPr>
        <w:t xml:space="preserve">– </w:t>
      </w:r>
      <w:r w:rsidR="00316A9A" w:rsidRPr="009C58F2">
        <w:t>NSSP BioSense Platform User Assessment –</w:t>
      </w:r>
      <w:r w:rsidR="00316A9A" w:rsidRPr="009C58F2" w:rsidDel="00316A9A">
        <w:t xml:space="preserve"> </w:t>
      </w:r>
      <w:r w:rsidR="00211485" w:rsidRPr="009C58F2">
        <w:t>MS Word Version</w:t>
      </w:r>
    </w:p>
    <w:p w14:paraId="51F00D91" w14:textId="00E1B2D6" w:rsidR="00211485" w:rsidRPr="009C58F2" w:rsidRDefault="00211485" w:rsidP="00BE076E">
      <w:pPr>
        <w:tabs>
          <w:tab w:val="clear" w:pos="9360"/>
        </w:tabs>
        <w:spacing w:line="240" w:lineRule="auto"/>
        <w:ind w:left="360"/>
      </w:pPr>
      <w:r w:rsidRPr="009C58F2">
        <w:t xml:space="preserve">Attachment C – </w:t>
      </w:r>
      <w:r w:rsidR="00316A9A" w:rsidRPr="009C58F2">
        <w:t>NSSP BioSense Platform User Assessment – Web Version</w:t>
      </w:r>
    </w:p>
    <w:p w14:paraId="403C874B" w14:textId="4656CDC6" w:rsidR="003705DF" w:rsidRPr="004301ED" w:rsidRDefault="003705DF" w:rsidP="009C58F2">
      <w:pPr>
        <w:ind w:left="0"/>
      </w:pPr>
    </w:p>
    <w:p w14:paraId="6D1F1B30" w14:textId="77777777" w:rsidR="00CC7188" w:rsidRDefault="00CC7188" w:rsidP="003860A5">
      <w:pPr>
        <w:pStyle w:val="Heading3"/>
        <w:ind w:left="0"/>
      </w:pPr>
      <w:bookmarkStart w:id="24" w:name="_Toc427752833"/>
      <w:r w:rsidRPr="004301ED">
        <w:t xml:space="preserve">REFERENCE LIST </w:t>
      </w:r>
      <w:bookmarkEnd w:id="24"/>
    </w:p>
    <w:p w14:paraId="5D630390" w14:textId="4F7D0CF2" w:rsidR="000058E0" w:rsidRDefault="000058E0" w:rsidP="00A72CEC">
      <w:pPr>
        <w:pStyle w:val="ListParagraph"/>
        <w:numPr>
          <w:ilvl w:val="2"/>
          <w:numId w:val="1"/>
        </w:numPr>
        <w:tabs>
          <w:tab w:val="clear" w:pos="9360"/>
        </w:tabs>
        <w:spacing w:line="240" w:lineRule="auto"/>
        <w:ind w:left="360" w:hanging="360"/>
      </w:pPr>
      <w:r w:rsidRPr="008C59E7">
        <w:t xml:space="preserve">Centers for Disease Control and Prevention (CDC). "National Public Health Performance Standards Program (NPHPSP): 10 Essential Public Health Services." Available at </w:t>
      </w:r>
      <w:hyperlink r:id="rId15" w:history="1">
        <w:r w:rsidR="00A72CEC" w:rsidRPr="00F04392">
          <w:rPr>
            <w:rStyle w:val="Hyperlink"/>
          </w:rPr>
          <w:t>http://www.cdc.gov/nphpsp/essentialservices.html. Accessed on 8/14/14</w:t>
        </w:r>
      </w:hyperlink>
      <w:r w:rsidRPr="008C59E7">
        <w:t>.</w:t>
      </w:r>
    </w:p>
    <w:p w14:paraId="0B668585" w14:textId="77777777" w:rsidR="00A72CEC" w:rsidRDefault="00A72CEC" w:rsidP="00A72CEC">
      <w:pPr>
        <w:pStyle w:val="ListParagraph"/>
        <w:tabs>
          <w:tab w:val="clear" w:pos="9360"/>
        </w:tabs>
        <w:spacing w:line="240" w:lineRule="auto"/>
        <w:ind w:left="360"/>
      </w:pPr>
    </w:p>
    <w:p w14:paraId="733094CC" w14:textId="61F7BD8F" w:rsidR="00A72CEC" w:rsidRDefault="00BB64B5" w:rsidP="00BB64B5">
      <w:pPr>
        <w:pStyle w:val="ListParagraph"/>
        <w:numPr>
          <w:ilvl w:val="2"/>
          <w:numId w:val="1"/>
        </w:numPr>
        <w:tabs>
          <w:tab w:val="clear" w:pos="9360"/>
        </w:tabs>
        <w:spacing w:line="240" w:lineRule="auto"/>
        <w:ind w:left="360" w:hanging="360"/>
      </w:pPr>
      <w:r w:rsidRPr="00BB64B5">
        <w:t>Centers for Disease Control and Prevention. Strategies for Improvement — Public Health Surveillance and Data.</w:t>
      </w:r>
      <w:r>
        <w:t xml:space="preserve"> Available at: </w:t>
      </w:r>
      <w:hyperlink r:id="rId16" w:history="1">
        <w:r w:rsidRPr="00F04392">
          <w:rPr>
            <w:rStyle w:val="Hyperlink"/>
          </w:rPr>
          <w:t>https://www.cdc.gov/surveillance/surveillance-data-strategies/index.html</w:t>
        </w:r>
      </w:hyperlink>
      <w:r>
        <w:t>. Accessed on 1/14/2019.</w:t>
      </w:r>
    </w:p>
    <w:p w14:paraId="113494BD" w14:textId="77777777" w:rsidR="00643D80" w:rsidRDefault="00643D80" w:rsidP="00643D80">
      <w:pPr>
        <w:pStyle w:val="ListParagraph"/>
      </w:pPr>
    </w:p>
    <w:p w14:paraId="7A8318EE" w14:textId="4D274EC3" w:rsidR="00A72CEC" w:rsidRDefault="00A72CEC" w:rsidP="00643D80">
      <w:pPr>
        <w:pStyle w:val="ListParagraph"/>
        <w:numPr>
          <w:ilvl w:val="2"/>
          <w:numId w:val="1"/>
        </w:numPr>
        <w:tabs>
          <w:tab w:val="clear" w:pos="9360"/>
        </w:tabs>
        <w:spacing w:line="240" w:lineRule="auto"/>
        <w:ind w:left="360" w:hanging="360"/>
      </w:pPr>
      <w:r w:rsidRPr="00A31274">
        <w:t xml:space="preserve">Centers for Disease Control and Prevention. Division of Health Informatics and Surveillance. Available at </w:t>
      </w:r>
      <w:hyperlink r:id="rId17" w:history="1">
        <w:r w:rsidRPr="00A31274">
          <w:rPr>
            <w:rStyle w:val="Hyperlink"/>
          </w:rPr>
          <w:t>http://www.cdc.gov/ophss/csels/dhis/overview.html</w:t>
        </w:r>
      </w:hyperlink>
      <w:r w:rsidRPr="00A31274">
        <w:t xml:space="preserve">. Accessed on </w:t>
      </w:r>
      <w:r w:rsidR="00643D80">
        <w:t>1/14/2019</w:t>
      </w:r>
      <w:r w:rsidRPr="00A31274">
        <w:t>.</w:t>
      </w:r>
    </w:p>
    <w:p w14:paraId="27B60F00" w14:textId="77777777" w:rsidR="00494274" w:rsidRDefault="00494274" w:rsidP="00494274">
      <w:pPr>
        <w:pStyle w:val="ListParagraph"/>
      </w:pPr>
    </w:p>
    <w:p w14:paraId="21EA3350" w14:textId="3CD29E6C" w:rsidR="00467287" w:rsidRDefault="00A72CEC" w:rsidP="00467287">
      <w:pPr>
        <w:pStyle w:val="ListParagraph"/>
        <w:numPr>
          <w:ilvl w:val="2"/>
          <w:numId w:val="1"/>
        </w:numPr>
        <w:tabs>
          <w:tab w:val="clear" w:pos="9360"/>
        </w:tabs>
        <w:spacing w:line="240" w:lineRule="auto"/>
        <w:ind w:left="360" w:hanging="360"/>
      </w:pPr>
      <w:r w:rsidRPr="00A31274" w:rsidDel="00920F10">
        <w:t xml:space="preserve">Centers for Disease Control and Prevention. </w:t>
      </w:r>
      <w:r w:rsidRPr="00494274">
        <w:rPr>
          <w:color w:val="333333"/>
        </w:rPr>
        <w:t xml:space="preserve">National Notifiable Diseases Surveillance System (NNDSS). </w:t>
      </w:r>
      <w:r w:rsidRPr="00494274" w:rsidDel="00920F10">
        <w:rPr>
          <w:rFonts w:cs="Myriad Pro"/>
          <w:bCs/>
          <w:color w:val="000000"/>
        </w:rPr>
        <w:t>Available at</w:t>
      </w:r>
      <w:r w:rsidRPr="00494274">
        <w:rPr>
          <w:rFonts w:cs="Myriad Pro"/>
          <w:bCs/>
          <w:color w:val="000000"/>
        </w:rPr>
        <w:t xml:space="preserve"> </w:t>
      </w:r>
      <w:hyperlink r:id="rId18" w:history="1">
        <w:r w:rsidRPr="00A31274">
          <w:rPr>
            <w:rStyle w:val="Hyperlink"/>
          </w:rPr>
          <w:t>https://wwwn.cdc.gov/nndss/</w:t>
        </w:r>
      </w:hyperlink>
      <w:r w:rsidRPr="00A31274">
        <w:t xml:space="preserve">. Accessed on </w:t>
      </w:r>
      <w:r>
        <w:t>April</w:t>
      </w:r>
      <w:r w:rsidRPr="00A31274">
        <w:t xml:space="preserve"> 3, 201</w:t>
      </w:r>
      <w:r>
        <w:t>7</w:t>
      </w:r>
      <w:r w:rsidRPr="00A31274">
        <w:t>.</w:t>
      </w:r>
    </w:p>
    <w:p w14:paraId="4E8CC642" w14:textId="77777777" w:rsidR="00494274" w:rsidRDefault="00494274" w:rsidP="00494274">
      <w:pPr>
        <w:pStyle w:val="ListParagraph"/>
      </w:pPr>
    </w:p>
    <w:p w14:paraId="3F65DDC1" w14:textId="4F70461D" w:rsidR="00A72CEC" w:rsidRDefault="00A72CEC" w:rsidP="00467287">
      <w:pPr>
        <w:pStyle w:val="ListParagraph"/>
        <w:numPr>
          <w:ilvl w:val="2"/>
          <w:numId w:val="1"/>
        </w:numPr>
        <w:tabs>
          <w:tab w:val="clear" w:pos="9360"/>
        </w:tabs>
        <w:spacing w:line="240" w:lineRule="auto"/>
        <w:ind w:left="360" w:hanging="360"/>
      </w:pPr>
      <w:r w:rsidRPr="00A31274" w:rsidDel="00920F10">
        <w:t xml:space="preserve">Centers for Disease Control and Prevention. </w:t>
      </w:r>
      <w:r w:rsidRPr="005B1238" w:rsidDel="00920F10">
        <w:rPr>
          <w:rFonts w:cs="Myriad Pro"/>
          <w:bCs/>
          <w:color w:val="000000"/>
        </w:rPr>
        <w:t xml:space="preserve">National Syndromic Surveillance Program. NSSP Overview. Available at </w:t>
      </w:r>
      <w:hyperlink r:id="rId19" w:history="1">
        <w:r w:rsidRPr="00A31274" w:rsidDel="00920F10">
          <w:rPr>
            <w:rStyle w:val="Hyperlink"/>
          </w:rPr>
          <w:t>http://www.cdc.gov/nssp/overview.html</w:t>
        </w:r>
      </w:hyperlink>
      <w:r w:rsidRPr="00A31274" w:rsidDel="00920F10">
        <w:t>. Accessed on April 5, 201</w:t>
      </w:r>
      <w:r>
        <w:t>7</w:t>
      </w:r>
      <w:r w:rsidRPr="00A31274" w:rsidDel="00920F10">
        <w:t>.</w:t>
      </w:r>
    </w:p>
    <w:p w14:paraId="6ACFD8C6" w14:textId="77777777" w:rsidR="00467287" w:rsidRDefault="00467287" w:rsidP="00467287">
      <w:pPr>
        <w:pStyle w:val="ListParagraph"/>
      </w:pPr>
    </w:p>
    <w:p w14:paraId="7F18B6EF" w14:textId="74039A83" w:rsidR="00467287" w:rsidRDefault="00467287" w:rsidP="00467287">
      <w:pPr>
        <w:pStyle w:val="ListParagraph"/>
        <w:numPr>
          <w:ilvl w:val="2"/>
          <w:numId w:val="1"/>
        </w:numPr>
        <w:tabs>
          <w:tab w:val="clear" w:pos="9360"/>
        </w:tabs>
        <w:spacing w:line="240" w:lineRule="auto"/>
        <w:ind w:left="360" w:hanging="360"/>
      </w:pPr>
      <w:r w:rsidRPr="00467287">
        <w:t xml:space="preserve">Centers for Disease Control and Prevention. National Syndromic Surveillance Program. </w:t>
      </w:r>
      <w:r>
        <w:t xml:space="preserve">BioSense. Available at </w:t>
      </w:r>
      <w:hyperlink r:id="rId20" w:history="1">
        <w:r w:rsidRPr="00F04392">
          <w:rPr>
            <w:rStyle w:val="Hyperlink"/>
          </w:rPr>
          <w:t>https://www.cdc.gov/nssp/biosense/index.html</w:t>
        </w:r>
      </w:hyperlink>
      <w:r>
        <w:t>. Accessed on 1/14/2019.</w:t>
      </w:r>
    </w:p>
    <w:p w14:paraId="3E4465B8" w14:textId="77777777" w:rsidR="001F5F86" w:rsidRDefault="001F5F86" w:rsidP="001F5F86">
      <w:pPr>
        <w:pStyle w:val="ListParagraph"/>
      </w:pPr>
    </w:p>
    <w:p w14:paraId="494B846E" w14:textId="31538991" w:rsidR="001F5F86" w:rsidRDefault="001F5F86" w:rsidP="001F5F86">
      <w:pPr>
        <w:pStyle w:val="ListParagraph"/>
        <w:numPr>
          <w:ilvl w:val="2"/>
          <w:numId w:val="1"/>
        </w:numPr>
        <w:tabs>
          <w:tab w:val="clear" w:pos="9360"/>
        </w:tabs>
        <w:spacing w:line="240" w:lineRule="auto"/>
        <w:ind w:left="360" w:hanging="360"/>
      </w:pPr>
      <w:r>
        <w:t>C</w:t>
      </w:r>
      <w:r w:rsidRPr="001F5F86">
        <w:t>enters for Disease Control and Prevention. National Syndromic Surveillance Program.</w:t>
      </w:r>
      <w:r>
        <w:t xml:space="preserve"> Fact Sheet. Available at: </w:t>
      </w:r>
      <w:hyperlink r:id="rId21" w:history="1">
        <w:r w:rsidRPr="00F04392">
          <w:rPr>
            <w:rStyle w:val="Hyperlink"/>
          </w:rPr>
          <w:t>https://www.cdc.gov/nssp/documents/NSSP-fact-sheet-508.pdf</w:t>
        </w:r>
      </w:hyperlink>
      <w:r>
        <w:t>. Accessed on 1/14/2019.</w:t>
      </w:r>
    </w:p>
    <w:p w14:paraId="72ADC274" w14:textId="5E04BF39" w:rsidR="007924B0" w:rsidRDefault="007924B0" w:rsidP="001F5F86">
      <w:pPr>
        <w:tabs>
          <w:tab w:val="clear" w:pos="9360"/>
        </w:tabs>
        <w:spacing w:line="240" w:lineRule="auto"/>
        <w:ind w:left="0"/>
      </w:pPr>
    </w:p>
    <w:p w14:paraId="4359AD2E" w14:textId="7167CFEF" w:rsidR="007924B0" w:rsidRDefault="007924B0" w:rsidP="007924B0">
      <w:pPr>
        <w:pStyle w:val="ListParagraph"/>
        <w:numPr>
          <w:ilvl w:val="2"/>
          <w:numId w:val="1"/>
        </w:numPr>
        <w:tabs>
          <w:tab w:val="clear" w:pos="9360"/>
        </w:tabs>
        <w:spacing w:line="240" w:lineRule="auto"/>
        <w:ind w:left="360" w:hanging="360"/>
      </w:pPr>
      <w:r>
        <w:t>Gould</w:t>
      </w:r>
      <w:r w:rsidRPr="007924B0">
        <w:t xml:space="preserve"> </w:t>
      </w:r>
      <w:r>
        <w:t xml:space="preserve">DW, Walker D, Yoon PW, The Evolution of BioSense: Lessons Learned and Future Directions. </w:t>
      </w:r>
      <w:r w:rsidRPr="007924B0">
        <w:t>Public Health Reports</w:t>
      </w:r>
      <w:r>
        <w:t xml:space="preserve">. </w:t>
      </w:r>
      <w:r w:rsidRPr="007924B0">
        <w:t>2017</w:t>
      </w:r>
      <w:r>
        <w:t>;</w:t>
      </w:r>
      <w:r w:rsidRPr="007924B0">
        <w:t>132</w:t>
      </w:r>
      <w:r>
        <w:t xml:space="preserve"> </w:t>
      </w:r>
      <w:r w:rsidRPr="007924B0">
        <w:t>(Supplement 1)</w:t>
      </w:r>
      <w:r>
        <w:t>:</w:t>
      </w:r>
      <w:r w:rsidRPr="007924B0">
        <w:t>7S-11S</w:t>
      </w:r>
      <w:r>
        <w:t>.</w:t>
      </w:r>
      <w:r w:rsidR="00B37E77">
        <w:t xml:space="preserve"> </w:t>
      </w:r>
    </w:p>
    <w:p w14:paraId="68414733" w14:textId="77777777" w:rsidR="00A72CEC" w:rsidRPr="008C59E7" w:rsidRDefault="00A72CEC" w:rsidP="00B37E77">
      <w:pPr>
        <w:pStyle w:val="ListParagraph"/>
        <w:tabs>
          <w:tab w:val="clear" w:pos="9360"/>
        </w:tabs>
        <w:spacing w:line="240" w:lineRule="auto"/>
      </w:pPr>
    </w:p>
    <w:sectPr w:rsidR="00A72CEC" w:rsidRPr="008C59E7" w:rsidSect="00385BB5">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24AEC" w14:textId="77777777" w:rsidR="0006125E" w:rsidRDefault="0006125E" w:rsidP="007D6163">
      <w:r>
        <w:separator/>
      </w:r>
    </w:p>
    <w:p w14:paraId="6450EA24" w14:textId="77777777" w:rsidR="0006125E" w:rsidRDefault="0006125E" w:rsidP="007D6163"/>
  </w:endnote>
  <w:endnote w:type="continuationSeparator" w:id="0">
    <w:p w14:paraId="40F45EF7" w14:textId="77777777" w:rsidR="0006125E" w:rsidRDefault="0006125E" w:rsidP="007D6163">
      <w:r>
        <w:continuationSeparator/>
      </w:r>
    </w:p>
    <w:p w14:paraId="79EC0F54" w14:textId="77777777" w:rsidR="0006125E" w:rsidRDefault="0006125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67031D71" w14:textId="3C4D9A01" w:rsidR="0006125E" w:rsidRDefault="000612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258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2585">
              <w:rPr>
                <w:b/>
                <w:bCs/>
                <w:noProof/>
              </w:rPr>
              <w:t>2</w:t>
            </w:r>
            <w:r>
              <w:rPr>
                <w:b/>
                <w:bCs/>
                <w:sz w:val="24"/>
                <w:szCs w:val="24"/>
              </w:rPr>
              <w:fldChar w:fldCharType="end"/>
            </w:r>
          </w:p>
        </w:sdtContent>
      </w:sdt>
    </w:sdtContent>
  </w:sdt>
  <w:p w14:paraId="7D8D6B36" w14:textId="77777777" w:rsidR="0006125E" w:rsidRDefault="0006125E"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6EBDC" w14:textId="77777777" w:rsidR="0006125E" w:rsidRDefault="0006125E" w:rsidP="007D6163">
      <w:r>
        <w:separator/>
      </w:r>
    </w:p>
    <w:p w14:paraId="17432872" w14:textId="77777777" w:rsidR="0006125E" w:rsidRDefault="0006125E" w:rsidP="007D6163"/>
  </w:footnote>
  <w:footnote w:type="continuationSeparator" w:id="0">
    <w:p w14:paraId="148AE31E" w14:textId="77777777" w:rsidR="0006125E" w:rsidRDefault="0006125E" w:rsidP="007D6163">
      <w:r>
        <w:continuationSeparator/>
      </w:r>
    </w:p>
    <w:p w14:paraId="2F37C0E7" w14:textId="77777777" w:rsidR="0006125E" w:rsidRDefault="0006125E"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156A" w14:textId="77777777" w:rsidR="0006125E" w:rsidRPr="00716F94" w:rsidRDefault="0006125E" w:rsidP="007D6163">
    <w:pPr>
      <w:pStyle w:val="Header"/>
      <w:rPr>
        <w:color w:val="0033CC"/>
      </w:rPr>
    </w:pPr>
    <w:r>
      <w:tab/>
    </w:r>
  </w:p>
  <w:p w14:paraId="69B96D3B" w14:textId="77777777" w:rsidR="0006125E" w:rsidRDefault="0006125E"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391"/>
    <w:multiLevelType w:val="hybridMultilevel"/>
    <w:tmpl w:val="04A47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F75CE"/>
    <w:multiLevelType w:val="hybridMultilevel"/>
    <w:tmpl w:val="3D44E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4"/>
  </w:num>
  <w:num w:numId="5">
    <w:abstractNumId w:val="11"/>
  </w:num>
  <w:num w:numId="6">
    <w:abstractNumId w:val="1"/>
  </w:num>
  <w:num w:numId="7">
    <w:abstractNumId w:val="7"/>
  </w:num>
  <w:num w:numId="8">
    <w:abstractNumId w:val="3"/>
  </w:num>
  <w:num w:numId="9">
    <w:abstractNumId w:val="10"/>
  </w:num>
  <w:num w:numId="10">
    <w:abstractNumId w:val="2"/>
  </w:num>
  <w:num w:numId="11">
    <w:abstractNumId w:val="6"/>
  </w:num>
  <w:num w:numId="12">
    <w:abstractNumId w:val="17"/>
  </w:num>
  <w:num w:numId="13">
    <w:abstractNumId w:val="16"/>
  </w:num>
  <w:num w:numId="14">
    <w:abstractNumId w:val="9"/>
  </w:num>
  <w:num w:numId="15">
    <w:abstractNumId w:val="8"/>
  </w:num>
  <w:num w:numId="16">
    <w:abstractNumId w:val="13"/>
  </w:num>
  <w:num w:numId="17">
    <w:abstractNumId w:val="14"/>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95"/>
    <w:rsid w:val="000005EC"/>
    <w:rsid w:val="00001D38"/>
    <w:rsid w:val="000058E0"/>
    <w:rsid w:val="00006D46"/>
    <w:rsid w:val="00011A98"/>
    <w:rsid w:val="00011F8D"/>
    <w:rsid w:val="000130B4"/>
    <w:rsid w:val="00014361"/>
    <w:rsid w:val="00014579"/>
    <w:rsid w:val="00014944"/>
    <w:rsid w:val="00016546"/>
    <w:rsid w:val="00020B4A"/>
    <w:rsid w:val="0002517D"/>
    <w:rsid w:val="00031019"/>
    <w:rsid w:val="00031B4D"/>
    <w:rsid w:val="0003270F"/>
    <w:rsid w:val="00035B35"/>
    <w:rsid w:val="0003647D"/>
    <w:rsid w:val="00040611"/>
    <w:rsid w:val="0004305C"/>
    <w:rsid w:val="00043D4A"/>
    <w:rsid w:val="000451BD"/>
    <w:rsid w:val="0004634F"/>
    <w:rsid w:val="00046CCD"/>
    <w:rsid w:val="000474FB"/>
    <w:rsid w:val="000475F9"/>
    <w:rsid w:val="00050240"/>
    <w:rsid w:val="0005030C"/>
    <w:rsid w:val="00050DEB"/>
    <w:rsid w:val="00050E31"/>
    <w:rsid w:val="00053A92"/>
    <w:rsid w:val="00054839"/>
    <w:rsid w:val="0005510E"/>
    <w:rsid w:val="000553F1"/>
    <w:rsid w:val="00055B31"/>
    <w:rsid w:val="00055DAE"/>
    <w:rsid w:val="000563D8"/>
    <w:rsid w:val="00056847"/>
    <w:rsid w:val="00057F36"/>
    <w:rsid w:val="0006125E"/>
    <w:rsid w:val="0007498D"/>
    <w:rsid w:val="00076294"/>
    <w:rsid w:val="0008375F"/>
    <w:rsid w:val="00085B3A"/>
    <w:rsid w:val="0009401F"/>
    <w:rsid w:val="000977C2"/>
    <w:rsid w:val="000A0F67"/>
    <w:rsid w:val="000A1F30"/>
    <w:rsid w:val="000A271B"/>
    <w:rsid w:val="000A2D0C"/>
    <w:rsid w:val="000A71DF"/>
    <w:rsid w:val="000A7643"/>
    <w:rsid w:val="000A7838"/>
    <w:rsid w:val="000B0962"/>
    <w:rsid w:val="000B2CBC"/>
    <w:rsid w:val="000B53C3"/>
    <w:rsid w:val="000C66A1"/>
    <w:rsid w:val="000D39F6"/>
    <w:rsid w:val="000E49B1"/>
    <w:rsid w:val="000E6577"/>
    <w:rsid w:val="000E7A19"/>
    <w:rsid w:val="0010158F"/>
    <w:rsid w:val="00104022"/>
    <w:rsid w:val="00104A1B"/>
    <w:rsid w:val="00107E1A"/>
    <w:rsid w:val="00117502"/>
    <w:rsid w:val="001177DD"/>
    <w:rsid w:val="00125691"/>
    <w:rsid w:val="001302B9"/>
    <w:rsid w:val="00130D45"/>
    <w:rsid w:val="00135334"/>
    <w:rsid w:val="001354A4"/>
    <w:rsid w:val="00136EF2"/>
    <w:rsid w:val="00137189"/>
    <w:rsid w:val="001412D4"/>
    <w:rsid w:val="001420D0"/>
    <w:rsid w:val="001449BC"/>
    <w:rsid w:val="00144F64"/>
    <w:rsid w:val="00145D62"/>
    <w:rsid w:val="00151567"/>
    <w:rsid w:val="00151A3E"/>
    <w:rsid w:val="0015347C"/>
    <w:rsid w:val="00153E4F"/>
    <w:rsid w:val="00155FEA"/>
    <w:rsid w:val="0015715D"/>
    <w:rsid w:val="00157413"/>
    <w:rsid w:val="00163E17"/>
    <w:rsid w:val="00164939"/>
    <w:rsid w:val="00166F9E"/>
    <w:rsid w:val="00167375"/>
    <w:rsid w:val="00167880"/>
    <w:rsid w:val="00167E71"/>
    <w:rsid w:val="00180D45"/>
    <w:rsid w:val="00182740"/>
    <w:rsid w:val="001833CB"/>
    <w:rsid w:val="00183871"/>
    <w:rsid w:val="00187870"/>
    <w:rsid w:val="00187CCD"/>
    <w:rsid w:val="00187D5A"/>
    <w:rsid w:val="00190368"/>
    <w:rsid w:val="0019164D"/>
    <w:rsid w:val="0019338D"/>
    <w:rsid w:val="00196344"/>
    <w:rsid w:val="00196622"/>
    <w:rsid w:val="001972D7"/>
    <w:rsid w:val="001A2055"/>
    <w:rsid w:val="001A28F6"/>
    <w:rsid w:val="001B1CC1"/>
    <w:rsid w:val="001B2831"/>
    <w:rsid w:val="001B4065"/>
    <w:rsid w:val="001B5910"/>
    <w:rsid w:val="001B70B4"/>
    <w:rsid w:val="001C0493"/>
    <w:rsid w:val="001C28AD"/>
    <w:rsid w:val="001C4A4E"/>
    <w:rsid w:val="001C549D"/>
    <w:rsid w:val="001C64B9"/>
    <w:rsid w:val="001C7607"/>
    <w:rsid w:val="001D3515"/>
    <w:rsid w:val="001D3B1D"/>
    <w:rsid w:val="001D4330"/>
    <w:rsid w:val="001D51EE"/>
    <w:rsid w:val="001D5697"/>
    <w:rsid w:val="001D7FCB"/>
    <w:rsid w:val="001E2075"/>
    <w:rsid w:val="001E2B99"/>
    <w:rsid w:val="001E69B6"/>
    <w:rsid w:val="001E7537"/>
    <w:rsid w:val="001F4DBB"/>
    <w:rsid w:val="001F5640"/>
    <w:rsid w:val="001F5F86"/>
    <w:rsid w:val="00200C65"/>
    <w:rsid w:val="002012B3"/>
    <w:rsid w:val="00201496"/>
    <w:rsid w:val="00202D07"/>
    <w:rsid w:val="0020312D"/>
    <w:rsid w:val="00206E33"/>
    <w:rsid w:val="002103C8"/>
    <w:rsid w:val="00210519"/>
    <w:rsid w:val="00211485"/>
    <w:rsid w:val="002121B4"/>
    <w:rsid w:val="00212585"/>
    <w:rsid w:val="00212B10"/>
    <w:rsid w:val="00215710"/>
    <w:rsid w:val="002224D7"/>
    <w:rsid w:val="00227259"/>
    <w:rsid w:val="00231751"/>
    <w:rsid w:val="00241B17"/>
    <w:rsid w:val="00241C81"/>
    <w:rsid w:val="00242AC2"/>
    <w:rsid w:val="00244557"/>
    <w:rsid w:val="00245477"/>
    <w:rsid w:val="002518FD"/>
    <w:rsid w:val="002540EE"/>
    <w:rsid w:val="00257A1C"/>
    <w:rsid w:val="00261B04"/>
    <w:rsid w:val="00261B2C"/>
    <w:rsid w:val="002667AE"/>
    <w:rsid w:val="00266A2B"/>
    <w:rsid w:val="0027234C"/>
    <w:rsid w:val="00272E3E"/>
    <w:rsid w:val="00275A37"/>
    <w:rsid w:val="00276327"/>
    <w:rsid w:val="0027751D"/>
    <w:rsid w:val="00277C30"/>
    <w:rsid w:val="00281795"/>
    <w:rsid w:val="002850E3"/>
    <w:rsid w:val="002877DD"/>
    <w:rsid w:val="00287E2F"/>
    <w:rsid w:val="00290BBE"/>
    <w:rsid w:val="0029135D"/>
    <w:rsid w:val="00292699"/>
    <w:rsid w:val="002974EB"/>
    <w:rsid w:val="00297E4F"/>
    <w:rsid w:val="002A1948"/>
    <w:rsid w:val="002B240A"/>
    <w:rsid w:val="002B6C19"/>
    <w:rsid w:val="002C0877"/>
    <w:rsid w:val="002C2AE2"/>
    <w:rsid w:val="002C2FE4"/>
    <w:rsid w:val="002D0DCE"/>
    <w:rsid w:val="002D3B37"/>
    <w:rsid w:val="002D49E5"/>
    <w:rsid w:val="002E2B10"/>
    <w:rsid w:val="002E2EDD"/>
    <w:rsid w:val="002E4514"/>
    <w:rsid w:val="002E73B0"/>
    <w:rsid w:val="002F1502"/>
    <w:rsid w:val="002F2069"/>
    <w:rsid w:val="002F506A"/>
    <w:rsid w:val="002F71A2"/>
    <w:rsid w:val="00300384"/>
    <w:rsid w:val="0030128D"/>
    <w:rsid w:val="003041AD"/>
    <w:rsid w:val="00305EB4"/>
    <w:rsid w:val="00311F46"/>
    <w:rsid w:val="0031279F"/>
    <w:rsid w:val="003145D9"/>
    <w:rsid w:val="00315408"/>
    <w:rsid w:val="00316A9A"/>
    <w:rsid w:val="00316F00"/>
    <w:rsid w:val="003179F7"/>
    <w:rsid w:val="00321B51"/>
    <w:rsid w:val="00323870"/>
    <w:rsid w:val="003250C8"/>
    <w:rsid w:val="0032783E"/>
    <w:rsid w:val="00330815"/>
    <w:rsid w:val="0033304E"/>
    <w:rsid w:val="00336D96"/>
    <w:rsid w:val="003438A7"/>
    <w:rsid w:val="003449B4"/>
    <w:rsid w:val="00344F07"/>
    <w:rsid w:val="003469C8"/>
    <w:rsid w:val="0034700F"/>
    <w:rsid w:val="00347111"/>
    <w:rsid w:val="00350C8C"/>
    <w:rsid w:val="003528EC"/>
    <w:rsid w:val="00355EA4"/>
    <w:rsid w:val="00357111"/>
    <w:rsid w:val="00360F83"/>
    <w:rsid w:val="003635BE"/>
    <w:rsid w:val="00365045"/>
    <w:rsid w:val="00366B5E"/>
    <w:rsid w:val="0036715B"/>
    <w:rsid w:val="003705DF"/>
    <w:rsid w:val="00374A29"/>
    <w:rsid w:val="00376290"/>
    <w:rsid w:val="003768BC"/>
    <w:rsid w:val="00383542"/>
    <w:rsid w:val="00385BB5"/>
    <w:rsid w:val="003860A5"/>
    <w:rsid w:val="00386AA4"/>
    <w:rsid w:val="00386BC2"/>
    <w:rsid w:val="00387CA6"/>
    <w:rsid w:val="003908AA"/>
    <w:rsid w:val="00394D35"/>
    <w:rsid w:val="00396F5E"/>
    <w:rsid w:val="003A2555"/>
    <w:rsid w:val="003A5C36"/>
    <w:rsid w:val="003A7F6F"/>
    <w:rsid w:val="003B125E"/>
    <w:rsid w:val="003B1BE3"/>
    <w:rsid w:val="003B2200"/>
    <w:rsid w:val="003B2AE6"/>
    <w:rsid w:val="003C04B5"/>
    <w:rsid w:val="003C05C2"/>
    <w:rsid w:val="003C31C9"/>
    <w:rsid w:val="003C4961"/>
    <w:rsid w:val="003C7C5D"/>
    <w:rsid w:val="003D0AD2"/>
    <w:rsid w:val="003D29B1"/>
    <w:rsid w:val="003D2A1E"/>
    <w:rsid w:val="003D6035"/>
    <w:rsid w:val="003E0F5E"/>
    <w:rsid w:val="003E4CE8"/>
    <w:rsid w:val="003E5258"/>
    <w:rsid w:val="003F07F6"/>
    <w:rsid w:val="003F0CC1"/>
    <w:rsid w:val="003F38C5"/>
    <w:rsid w:val="003F4556"/>
    <w:rsid w:val="003F5913"/>
    <w:rsid w:val="00400D22"/>
    <w:rsid w:val="004024F8"/>
    <w:rsid w:val="00405696"/>
    <w:rsid w:val="00407E33"/>
    <w:rsid w:val="0041159A"/>
    <w:rsid w:val="004120D3"/>
    <w:rsid w:val="004135D5"/>
    <w:rsid w:val="004226DA"/>
    <w:rsid w:val="00424A9C"/>
    <w:rsid w:val="0042500C"/>
    <w:rsid w:val="004274F2"/>
    <w:rsid w:val="004301ED"/>
    <w:rsid w:val="004305A8"/>
    <w:rsid w:val="0043229B"/>
    <w:rsid w:val="00433DEA"/>
    <w:rsid w:val="00434726"/>
    <w:rsid w:val="004353D5"/>
    <w:rsid w:val="00436B8A"/>
    <w:rsid w:val="0044130D"/>
    <w:rsid w:val="00441CC3"/>
    <w:rsid w:val="00443CA0"/>
    <w:rsid w:val="00450E14"/>
    <w:rsid w:val="00461076"/>
    <w:rsid w:val="00462C65"/>
    <w:rsid w:val="00466524"/>
    <w:rsid w:val="00467287"/>
    <w:rsid w:val="004674E7"/>
    <w:rsid w:val="00467B14"/>
    <w:rsid w:val="00467D07"/>
    <w:rsid w:val="00471642"/>
    <w:rsid w:val="004749AE"/>
    <w:rsid w:val="00474EDA"/>
    <w:rsid w:val="00481D80"/>
    <w:rsid w:val="004824FA"/>
    <w:rsid w:val="00484011"/>
    <w:rsid w:val="004841F1"/>
    <w:rsid w:val="00487937"/>
    <w:rsid w:val="00487B8D"/>
    <w:rsid w:val="00494274"/>
    <w:rsid w:val="004960BD"/>
    <w:rsid w:val="004A1E3A"/>
    <w:rsid w:val="004A30CE"/>
    <w:rsid w:val="004A7170"/>
    <w:rsid w:val="004A7A70"/>
    <w:rsid w:val="004B34EA"/>
    <w:rsid w:val="004B4041"/>
    <w:rsid w:val="004B46D6"/>
    <w:rsid w:val="004B5366"/>
    <w:rsid w:val="004C0BF6"/>
    <w:rsid w:val="004C4464"/>
    <w:rsid w:val="004C4AEA"/>
    <w:rsid w:val="004D0430"/>
    <w:rsid w:val="004D0AA4"/>
    <w:rsid w:val="004D1DAA"/>
    <w:rsid w:val="004D36DC"/>
    <w:rsid w:val="004D4EB1"/>
    <w:rsid w:val="004E003C"/>
    <w:rsid w:val="004E0469"/>
    <w:rsid w:val="004E16EB"/>
    <w:rsid w:val="004E4087"/>
    <w:rsid w:val="004E6665"/>
    <w:rsid w:val="004F601A"/>
    <w:rsid w:val="004F634E"/>
    <w:rsid w:val="004F67A8"/>
    <w:rsid w:val="004F6AFA"/>
    <w:rsid w:val="005017E4"/>
    <w:rsid w:val="005070F6"/>
    <w:rsid w:val="00507B72"/>
    <w:rsid w:val="005115FA"/>
    <w:rsid w:val="0051582C"/>
    <w:rsid w:val="005212E5"/>
    <w:rsid w:val="005220F4"/>
    <w:rsid w:val="00522A50"/>
    <w:rsid w:val="0052436C"/>
    <w:rsid w:val="00524924"/>
    <w:rsid w:val="00525E61"/>
    <w:rsid w:val="00526B17"/>
    <w:rsid w:val="00527225"/>
    <w:rsid w:val="005274A8"/>
    <w:rsid w:val="005275BA"/>
    <w:rsid w:val="00533444"/>
    <w:rsid w:val="0053557D"/>
    <w:rsid w:val="005410E3"/>
    <w:rsid w:val="0054599E"/>
    <w:rsid w:val="005463DE"/>
    <w:rsid w:val="00546DC2"/>
    <w:rsid w:val="00553520"/>
    <w:rsid w:val="005542E8"/>
    <w:rsid w:val="00554443"/>
    <w:rsid w:val="00554E9A"/>
    <w:rsid w:val="00556630"/>
    <w:rsid w:val="0055686D"/>
    <w:rsid w:val="00565548"/>
    <w:rsid w:val="00565766"/>
    <w:rsid w:val="00576133"/>
    <w:rsid w:val="005800EE"/>
    <w:rsid w:val="00582D4F"/>
    <w:rsid w:val="00584124"/>
    <w:rsid w:val="005869D6"/>
    <w:rsid w:val="00587C72"/>
    <w:rsid w:val="00587FC2"/>
    <w:rsid w:val="0059331E"/>
    <w:rsid w:val="00593739"/>
    <w:rsid w:val="00594619"/>
    <w:rsid w:val="005959B6"/>
    <w:rsid w:val="00597623"/>
    <w:rsid w:val="005A0D63"/>
    <w:rsid w:val="005A33F6"/>
    <w:rsid w:val="005A3933"/>
    <w:rsid w:val="005A59E5"/>
    <w:rsid w:val="005A7436"/>
    <w:rsid w:val="005B1238"/>
    <w:rsid w:val="005B42B6"/>
    <w:rsid w:val="005B468D"/>
    <w:rsid w:val="005B7440"/>
    <w:rsid w:val="005C49FD"/>
    <w:rsid w:val="005C7B58"/>
    <w:rsid w:val="005D6F14"/>
    <w:rsid w:val="005E2150"/>
    <w:rsid w:val="005E2236"/>
    <w:rsid w:val="005E2995"/>
    <w:rsid w:val="005E5D8F"/>
    <w:rsid w:val="005F0C28"/>
    <w:rsid w:val="005F3FEF"/>
    <w:rsid w:val="005F56CC"/>
    <w:rsid w:val="00600C4F"/>
    <w:rsid w:val="0060287B"/>
    <w:rsid w:val="00605D50"/>
    <w:rsid w:val="006074CC"/>
    <w:rsid w:val="00607F7C"/>
    <w:rsid w:val="006102DA"/>
    <w:rsid w:val="00613BCF"/>
    <w:rsid w:val="00616090"/>
    <w:rsid w:val="00624B3A"/>
    <w:rsid w:val="0062678E"/>
    <w:rsid w:val="006315A3"/>
    <w:rsid w:val="0063317A"/>
    <w:rsid w:val="006363C3"/>
    <w:rsid w:val="00637BC5"/>
    <w:rsid w:val="00641C47"/>
    <w:rsid w:val="00643CF6"/>
    <w:rsid w:val="00643D80"/>
    <w:rsid w:val="0064423D"/>
    <w:rsid w:val="00646137"/>
    <w:rsid w:val="00646484"/>
    <w:rsid w:val="00651309"/>
    <w:rsid w:val="00655949"/>
    <w:rsid w:val="006579A2"/>
    <w:rsid w:val="00660EB2"/>
    <w:rsid w:val="00667A51"/>
    <w:rsid w:val="00667C89"/>
    <w:rsid w:val="006711EE"/>
    <w:rsid w:val="00675C82"/>
    <w:rsid w:val="00675F9A"/>
    <w:rsid w:val="00676A02"/>
    <w:rsid w:val="00676BC8"/>
    <w:rsid w:val="006809BB"/>
    <w:rsid w:val="006809FD"/>
    <w:rsid w:val="00691D1F"/>
    <w:rsid w:val="00692506"/>
    <w:rsid w:val="00692DEB"/>
    <w:rsid w:val="0069713A"/>
    <w:rsid w:val="00697BAE"/>
    <w:rsid w:val="006A09E0"/>
    <w:rsid w:val="006A39A7"/>
    <w:rsid w:val="006A4CC9"/>
    <w:rsid w:val="006A5BED"/>
    <w:rsid w:val="006B4110"/>
    <w:rsid w:val="006B4DDC"/>
    <w:rsid w:val="006B51BD"/>
    <w:rsid w:val="006B5E55"/>
    <w:rsid w:val="006B6A7D"/>
    <w:rsid w:val="006C1229"/>
    <w:rsid w:val="006C20E8"/>
    <w:rsid w:val="006C2FA6"/>
    <w:rsid w:val="006C4DA7"/>
    <w:rsid w:val="006C7037"/>
    <w:rsid w:val="006C7061"/>
    <w:rsid w:val="006D25A1"/>
    <w:rsid w:val="006D5021"/>
    <w:rsid w:val="006D7626"/>
    <w:rsid w:val="006E14E9"/>
    <w:rsid w:val="006E1D0C"/>
    <w:rsid w:val="006E34EA"/>
    <w:rsid w:val="006E4631"/>
    <w:rsid w:val="006E5A07"/>
    <w:rsid w:val="006F09A2"/>
    <w:rsid w:val="006F0E6D"/>
    <w:rsid w:val="006F36C6"/>
    <w:rsid w:val="006F6856"/>
    <w:rsid w:val="006F752C"/>
    <w:rsid w:val="007116EA"/>
    <w:rsid w:val="00713412"/>
    <w:rsid w:val="0071430D"/>
    <w:rsid w:val="007145D0"/>
    <w:rsid w:val="00716CB4"/>
    <w:rsid w:val="00716F94"/>
    <w:rsid w:val="00717CED"/>
    <w:rsid w:val="00721180"/>
    <w:rsid w:val="007216D4"/>
    <w:rsid w:val="00721719"/>
    <w:rsid w:val="00723035"/>
    <w:rsid w:val="00724EEC"/>
    <w:rsid w:val="00730537"/>
    <w:rsid w:val="00734D99"/>
    <w:rsid w:val="0073515C"/>
    <w:rsid w:val="007367CE"/>
    <w:rsid w:val="00743EC3"/>
    <w:rsid w:val="00750C5A"/>
    <w:rsid w:val="0075188E"/>
    <w:rsid w:val="00751C50"/>
    <w:rsid w:val="0076001C"/>
    <w:rsid w:val="00760E12"/>
    <w:rsid w:val="00762E5D"/>
    <w:rsid w:val="0076337F"/>
    <w:rsid w:val="00763CF3"/>
    <w:rsid w:val="00764C8B"/>
    <w:rsid w:val="00766AD3"/>
    <w:rsid w:val="00766E4A"/>
    <w:rsid w:val="00772293"/>
    <w:rsid w:val="00774689"/>
    <w:rsid w:val="00774827"/>
    <w:rsid w:val="00776981"/>
    <w:rsid w:val="00777066"/>
    <w:rsid w:val="007802D8"/>
    <w:rsid w:val="00781AE3"/>
    <w:rsid w:val="00782FBD"/>
    <w:rsid w:val="00783C75"/>
    <w:rsid w:val="00784619"/>
    <w:rsid w:val="00784735"/>
    <w:rsid w:val="00784AA8"/>
    <w:rsid w:val="0078627B"/>
    <w:rsid w:val="007862A6"/>
    <w:rsid w:val="00786547"/>
    <w:rsid w:val="0078765B"/>
    <w:rsid w:val="00790A6C"/>
    <w:rsid w:val="007921F1"/>
    <w:rsid w:val="007924B0"/>
    <w:rsid w:val="00792C37"/>
    <w:rsid w:val="007944F6"/>
    <w:rsid w:val="00794E32"/>
    <w:rsid w:val="007979DB"/>
    <w:rsid w:val="007A0D73"/>
    <w:rsid w:val="007A2103"/>
    <w:rsid w:val="007A4B61"/>
    <w:rsid w:val="007B20FA"/>
    <w:rsid w:val="007B305A"/>
    <w:rsid w:val="007B4449"/>
    <w:rsid w:val="007B558B"/>
    <w:rsid w:val="007B6A12"/>
    <w:rsid w:val="007B7C44"/>
    <w:rsid w:val="007C5666"/>
    <w:rsid w:val="007C58E7"/>
    <w:rsid w:val="007D19CC"/>
    <w:rsid w:val="007D45E8"/>
    <w:rsid w:val="007D55D9"/>
    <w:rsid w:val="007D6163"/>
    <w:rsid w:val="007E17BA"/>
    <w:rsid w:val="007E575D"/>
    <w:rsid w:val="007E57CD"/>
    <w:rsid w:val="007E6AEF"/>
    <w:rsid w:val="007F105D"/>
    <w:rsid w:val="007F3882"/>
    <w:rsid w:val="007F4103"/>
    <w:rsid w:val="007F5776"/>
    <w:rsid w:val="007F5CBE"/>
    <w:rsid w:val="007F6A1A"/>
    <w:rsid w:val="008001B4"/>
    <w:rsid w:val="008018BD"/>
    <w:rsid w:val="0080278C"/>
    <w:rsid w:val="00810909"/>
    <w:rsid w:val="008150B4"/>
    <w:rsid w:val="00815636"/>
    <w:rsid w:val="00815C7D"/>
    <w:rsid w:val="00817941"/>
    <w:rsid w:val="008179DF"/>
    <w:rsid w:val="008229E4"/>
    <w:rsid w:val="00822D9A"/>
    <w:rsid w:val="00823547"/>
    <w:rsid w:val="0082494D"/>
    <w:rsid w:val="00824E04"/>
    <w:rsid w:val="008261AB"/>
    <w:rsid w:val="008269AB"/>
    <w:rsid w:val="008344E5"/>
    <w:rsid w:val="00834C91"/>
    <w:rsid w:val="00835CA7"/>
    <w:rsid w:val="008370D4"/>
    <w:rsid w:val="008414AD"/>
    <w:rsid w:val="008428D9"/>
    <w:rsid w:val="0084543A"/>
    <w:rsid w:val="008458E0"/>
    <w:rsid w:val="0084685D"/>
    <w:rsid w:val="00855F79"/>
    <w:rsid w:val="00863C66"/>
    <w:rsid w:val="008705AC"/>
    <w:rsid w:val="00870F40"/>
    <w:rsid w:val="008715E7"/>
    <w:rsid w:val="008748B4"/>
    <w:rsid w:val="00881425"/>
    <w:rsid w:val="008820B8"/>
    <w:rsid w:val="0088467A"/>
    <w:rsid w:val="00884DB9"/>
    <w:rsid w:val="00885A95"/>
    <w:rsid w:val="00893F24"/>
    <w:rsid w:val="008A1188"/>
    <w:rsid w:val="008A40B0"/>
    <w:rsid w:val="008B12FA"/>
    <w:rsid w:val="008B65FF"/>
    <w:rsid w:val="008C1A49"/>
    <w:rsid w:val="008C408E"/>
    <w:rsid w:val="008C59E7"/>
    <w:rsid w:val="008C61B6"/>
    <w:rsid w:val="008C67D2"/>
    <w:rsid w:val="008D6887"/>
    <w:rsid w:val="008D7B20"/>
    <w:rsid w:val="008E0452"/>
    <w:rsid w:val="008E0683"/>
    <w:rsid w:val="008E3D8D"/>
    <w:rsid w:val="008E58C4"/>
    <w:rsid w:val="008E6A8E"/>
    <w:rsid w:val="008E6E46"/>
    <w:rsid w:val="008F3D10"/>
    <w:rsid w:val="008F472C"/>
    <w:rsid w:val="008F5C94"/>
    <w:rsid w:val="009009F0"/>
    <w:rsid w:val="00902DD9"/>
    <w:rsid w:val="009030AE"/>
    <w:rsid w:val="009113D5"/>
    <w:rsid w:val="00911486"/>
    <w:rsid w:val="009129CA"/>
    <w:rsid w:val="009129F0"/>
    <w:rsid w:val="009138CD"/>
    <w:rsid w:val="0091407A"/>
    <w:rsid w:val="0091556E"/>
    <w:rsid w:val="00915C4D"/>
    <w:rsid w:val="009206B6"/>
    <w:rsid w:val="00922456"/>
    <w:rsid w:val="00923B3C"/>
    <w:rsid w:val="009252DC"/>
    <w:rsid w:val="009252F5"/>
    <w:rsid w:val="009263C1"/>
    <w:rsid w:val="00927769"/>
    <w:rsid w:val="00936D9C"/>
    <w:rsid w:val="0094148D"/>
    <w:rsid w:val="00941B4F"/>
    <w:rsid w:val="009435C7"/>
    <w:rsid w:val="00945B19"/>
    <w:rsid w:val="00945D97"/>
    <w:rsid w:val="0094715C"/>
    <w:rsid w:val="009473B4"/>
    <w:rsid w:val="009500A0"/>
    <w:rsid w:val="00950F9F"/>
    <w:rsid w:val="009518C0"/>
    <w:rsid w:val="0095387D"/>
    <w:rsid w:val="00954637"/>
    <w:rsid w:val="009546CE"/>
    <w:rsid w:val="00963CE3"/>
    <w:rsid w:val="00964F18"/>
    <w:rsid w:val="00974424"/>
    <w:rsid w:val="00974576"/>
    <w:rsid w:val="00975C1E"/>
    <w:rsid w:val="0098166C"/>
    <w:rsid w:val="00981B78"/>
    <w:rsid w:val="00987F76"/>
    <w:rsid w:val="00990693"/>
    <w:rsid w:val="00991D0D"/>
    <w:rsid w:val="00992837"/>
    <w:rsid w:val="00993088"/>
    <w:rsid w:val="0099664F"/>
    <w:rsid w:val="00997D5D"/>
    <w:rsid w:val="009A0447"/>
    <w:rsid w:val="009A13DD"/>
    <w:rsid w:val="009A2CE5"/>
    <w:rsid w:val="009A4B59"/>
    <w:rsid w:val="009A5C79"/>
    <w:rsid w:val="009A7182"/>
    <w:rsid w:val="009A737F"/>
    <w:rsid w:val="009B4A51"/>
    <w:rsid w:val="009C0BF6"/>
    <w:rsid w:val="009C0C46"/>
    <w:rsid w:val="009C28B1"/>
    <w:rsid w:val="009C58F2"/>
    <w:rsid w:val="009C61AD"/>
    <w:rsid w:val="009C6697"/>
    <w:rsid w:val="009D0539"/>
    <w:rsid w:val="009D373D"/>
    <w:rsid w:val="009D4349"/>
    <w:rsid w:val="009D436B"/>
    <w:rsid w:val="009D5927"/>
    <w:rsid w:val="009D7B2C"/>
    <w:rsid w:val="009D7F37"/>
    <w:rsid w:val="009E0801"/>
    <w:rsid w:val="009E1D05"/>
    <w:rsid w:val="009E636C"/>
    <w:rsid w:val="009F50A7"/>
    <w:rsid w:val="009F7DE0"/>
    <w:rsid w:val="00A017D7"/>
    <w:rsid w:val="00A0222E"/>
    <w:rsid w:val="00A05973"/>
    <w:rsid w:val="00A06BCB"/>
    <w:rsid w:val="00A072C8"/>
    <w:rsid w:val="00A07BBA"/>
    <w:rsid w:val="00A1050C"/>
    <w:rsid w:val="00A11B0C"/>
    <w:rsid w:val="00A1453A"/>
    <w:rsid w:val="00A14592"/>
    <w:rsid w:val="00A20BA8"/>
    <w:rsid w:val="00A214BE"/>
    <w:rsid w:val="00A23B3D"/>
    <w:rsid w:val="00A242DB"/>
    <w:rsid w:val="00A27FAC"/>
    <w:rsid w:val="00A32255"/>
    <w:rsid w:val="00A33B35"/>
    <w:rsid w:val="00A33E90"/>
    <w:rsid w:val="00A36419"/>
    <w:rsid w:val="00A44642"/>
    <w:rsid w:val="00A44921"/>
    <w:rsid w:val="00A44AD9"/>
    <w:rsid w:val="00A50153"/>
    <w:rsid w:val="00A52708"/>
    <w:rsid w:val="00A53F94"/>
    <w:rsid w:val="00A5659E"/>
    <w:rsid w:val="00A578C2"/>
    <w:rsid w:val="00A62C98"/>
    <w:rsid w:val="00A70B3C"/>
    <w:rsid w:val="00A721DE"/>
    <w:rsid w:val="00A72652"/>
    <w:rsid w:val="00A72CEC"/>
    <w:rsid w:val="00A74478"/>
    <w:rsid w:val="00A75D1C"/>
    <w:rsid w:val="00A809AA"/>
    <w:rsid w:val="00A8293A"/>
    <w:rsid w:val="00A849B3"/>
    <w:rsid w:val="00A8510D"/>
    <w:rsid w:val="00A86AF3"/>
    <w:rsid w:val="00A90AFF"/>
    <w:rsid w:val="00A90BDC"/>
    <w:rsid w:val="00A943E2"/>
    <w:rsid w:val="00A95477"/>
    <w:rsid w:val="00A97253"/>
    <w:rsid w:val="00A975A9"/>
    <w:rsid w:val="00AA0E9E"/>
    <w:rsid w:val="00AA3192"/>
    <w:rsid w:val="00AA56D9"/>
    <w:rsid w:val="00AB0486"/>
    <w:rsid w:val="00AB251E"/>
    <w:rsid w:val="00AB3608"/>
    <w:rsid w:val="00AC0AE4"/>
    <w:rsid w:val="00AC1100"/>
    <w:rsid w:val="00AC1272"/>
    <w:rsid w:val="00AC2141"/>
    <w:rsid w:val="00AC5C48"/>
    <w:rsid w:val="00AC5D9D"/>
    <w:rsid w:val="00AC63E3"/>
    <w:rsid w:val="00AC7ECF"/>
    <w:rsid w:val="00AD066D"/>
    <w:rsid w:val="00AD3F08"/>
    <w:rsid w:val="00AE134B"/>
    <w:rsid w:val="00AE69DB"/>
    <w:rsid w:val="00AE79B1"/>
    <w:rsid w:val="00AF0CF4"/>
    <w:rsid w:val="00AF12DF"/>
    <w:rsid w:val="00AF2252"/>
    <w:rsid w:val="00AF319D"/>
    <w:rsid w:val="00AF48CC"/>
    <w:rsid w:val="00B0098C"/>
    <w:rsid w:val="00B00B12"/>
    <w:rsid w:val="00B05FDC"/>
    <w:rsid w:val="00B111D3"/>
    <w:rsid w:val="00B1129F"/>
    <w:rsid w:val="00B11D61"/>
    <w:rsid w:val="00B11F7B"/>
    <w:rsid w:val="00B127CC"/>
    <w:rsid w:val="00B12F51"/>
    <w:rsid w:val="00B2751E"/>
    <w:rsid w:val="00B34A6F"/>
    <w:rsid w:val="00B3650C"/>
    <w:rsid w:val="00B37E77"/>
    <w:rsid w:val="00B42537"/>
    <w:rsid w:val="00B4322B"/>
    <w:rsid w:val="00B43AFE"/>
    <w:rsid w:val="00B47055"/>
    <w:rsid w:val="00B54305"/>
    <w:rsid w:val="00B560E6"/>
    <w:rsid w:val="00B63CF3"/>
    <w:rsid w:val="00B645FB"/>
    <w:rsid w:val="00B64BFA"/>
    <w:rsid w:val="00B70D61"/>
    <w:rsid w:val="00B71818"/>
    <w:rsid w:val="00B71E63"/>
    <w:rsid w:val="00B726ED"/>
    <w:rsid w:val="00B73672"/>
    <w:rsid w:val="00B804CC"/>
    <w:rsid w:val="00B80E06"/>
    <w:rsid w:val="00B8177E"/>
    <w:rsid w:val="00B827D6"/>
    <w:rsid w:val="00B83212"/>
    <w:rsid w:val="00B837A8"/>
    <w:rsid w:val="00B85DE4"/>
    <w:rsid w:val="00B8783F"/>
    <w:rsid w:val="00B87AAD"/>
    <w:rsid w:val="00B91A31"/>
    <w:rsid w:val="00B9300C"/>
    <w:rsid w:val="00BA0DEF"/>
    <w:rsid w:val="00BA2C2A"/>
    <w:rsid w:val="00BA4333"/>
    <w:rsid w:val="00BA50D9"/>
    <w:rsid w:val="00BA6325"/>
    <w:rsid w:val="00BA6C28"/>
    <w:rsid w:val="00BA6DB4"/>
    <w:rsid w:val="00BB0813"/>
    <w:rsid w:val="00BB090C"/>
    <w:rsid w:val="00BB19FF"/>
    <w:rsid w:val="00BB3465"/>
    <w:rsid w:val="00BB64B5"/>
    <w:rsid w:val="00BC3F3C"/>
    <w:rsid w:val="00BC55E7"/>
    <w:rsid w:val="00BC5BB2"/>
    <w:rsid w:val="00BC6C12"/>
    <w:rsid w:val="00BC74F1"/>
    <w:rsid w:val="00BD4599"/>
    <w:rsid w:val="00BD56AF"/>
    <w:rsid w:val="00BE076E"/>
    <w:rsid w:val="00BE3609"/>
    <w:rsid w:val="00BE5A15"/>
    <w:rsid w:val="00BE6159"/>
    <w:rsid w:val="00BE738E"/>
    <w:rsid w:val="00BF11A1"/>
    <w:rsid w:val="00BF3F54"/>
    <w:rsid w:val="00BF786B"/>
    <w:rsid w:val="00C00697"/>
    <w:rsid w:val="00C0376C"/>
    <w:rsid w:val="00C04503"/>
    <w:rsid w:val="00C050BD"/>
    <w:rsid w:val="00C06D77"/>
    <w:rsid w:val="00C148FB"/>
    <w:rsid w:val="00C14BA6"/>
    <w:rsid w:val="00C171D0"/>
    <w:rsid w:val="00C200A5"/>
    <w:rsid w:val="00C20B62"/>
    <w:rsid w:val="00C23FC0"/>
    <w:rsid w:val="00C275E9"/>
    <w:rsid w:val="00C31FC0"/>
    <w:rsid w:val="00C33E56"/>
    <w:rsid w:val="00C3485C"/>
    <w:rsid w:val="00C34CE6"/>
    <w:rsid w:val="00C401A2"/>
    <w:rsid w:val="00C409BE"/>
    <w:rsid w:val="00C4416B"/>
    <w:rsid w:val="00C47B87"/>
    <w:rsid w:val="00C544A4"/>
    <w:rsid w:val="00C631B3"/>
    <w:rsid w:val="00C65BAA"/>
    <w:rsid w:val="00C70E00"/>
    <w:rsid w:val="00C71EFE"/>
    <w:rsid w:val="00C72801"/>
    <w:rsid w:val="00C72A96"/>
    <w:rsid w:val="00C73373"/>
    <w:rsid w:val="00C73834"/>
    <w:rsid w:val="00C747DD"/>
    <w:rsid w:val="00C76181"/>
    <w:rsid w:val="00C768E5"/>
    <w:rsid w:val="00C83068"/>
    <w:rsid w:val="00C83C74"/>
    <w:rsid w:val="00C97555"/>
    <w:rsid w:val="00CA2004"/>
    <w:rsid w:val="00CA2138"/>
    <w:rsid w:val="00CA5840"/>
    <w:rsid w:val="00CA5B99"/>
    <w:rsid w:val="00CB0933"/>
    <w:rsid w:val="00CB0D0B"/>
    <w:rsid w:val="00CB334D"/>
    <w:rsid w:val="00CB3626"/>
    <w:rsid w:val="00CB423C"/>
    <w:rsid w:val="00CB56D5"/>
    <w:rsid w:val="00CC05EB"/>
    <w:rsid w:val="00CC2650"/>
    <w:rsid w:val="00CC4DAB"/>
    <w:rsid w:val="00CC7188"/>
    <w:rsid w:val="00CC7693"/>
    <w:rsid w:val="00CC76CD"/>
    <w:rsid w:val="00CD06DE"/>
    <w:rsid w:val="00CD1EA8"/>
    <w:rsid w:val="00CD3758"/>
    <w:rsid w:val="00CD4449"/>
    <w:rsid w:val="00CE1715"/>
    <w:rsid w:val="00CE3995"/>
    <w:rsid w:val="00CF2EB2"/>
    <w:rsid w:val="00CF3D9A"/>
    <w:rsid w:val="00CF5ABD"/>
    <w:rsid w:val="00CF6092"/>
    <w:rsid w:val="00CF63CE"/>
    <w:rsid w:val="00D036BC"/>
    <w:rsid w:val="00D065B1"/>
    <w:rsid w:val="00D067C1"/>
    <w:rsid w:val="00D06816"/>
    <w:rsid w:val="00D070DD"/>
    <w:rsid w:val="00D103A2"/>
    <w:rsid w:val="00D1343B"/>
    <w:rsid w:val="00D13729"/>
    <w:rsid w:val="00D13B13"/>
    <w:rsid w:val="00D16E78"/>
    <w:rsid w:val="00D16F95"/>
    <w:rsid w:val="00D17382"/>
    <w:rsid w:val="00D17406"/>
    <w:rsid w:val="00D17D6B"/>
    <w:rsid w:val="00D201D3"/>
    <w:rsid w:val="00D21203"/>
    <w:rsid w:val="00D24A88"/>
    <w:rsid w:val="00D267D5"/>
    <w:rsid w:val="00D26A64"/>
    <w:rsid w:val="00D2731F"/>
    <w:rsid w:val="00D31720"/>
    <w:rsid w:val="00D33152"/>
    <w:rsid w:val="00D33600"/>
    <w:rsid w:val="00D34F1C"/>
    <w:rsid w:val="00D40549"/>
    <w:rsid w:val="00D428F6"/>
    <w:rsid w:val="00D42A92"/>
    <w:rsid w:val="00D43ADD"/>
    <w:rsid w:val="00D47DC1"/>
    <w:rsid w:val="00D52508"/>
    <w:rsid w:val="00D52B9A"/>
    <w:rsid w:val="00D5367E"/>
    <w:rsid w:val="00D53B1E"/>
    <w:rsid w:val="00D6105F"/>
    <w:rsid w:val="00D61AD2"/>
    <w:rsid w:val="00D61EA5"/>
    <w:rsid w:val="00D66FB8"/>
    <w:rsid w:val="00D71C1C"/>
    <w:rsid w:val="00D74268"/>
    <w:rsid w:val="00D75750"/>
    <w:rsid w:val="00D80815"/>
    <w:rsid w:val="00D81584"/>
    <w:rsid w:val="00D84EF0"/>
    <w:rsid w:val="00D84FAC"/>
    <w:rsid w:val="00D861ED"/>
    <w:rsid w:val="00D873E0"/>
    <w:rsid w:val="00D900C4"/>
    <w:rsid w:val="00D91458"/>
    <w:rsid w:val="00D941E3"/>
    <w:rsid w:val="00D94F8B"/>
    <w:rsid w:val="00D95FBF"/>
    <w:rsid w:val="00DA3BD4"/>
    <w:rsid w:val="00DA5988"/>
    <w:rsid w:val="00DA762F"/>
    <w:rsid w:val="00DB7F78"/>
    <w:rsid w:val="00DC0184"/>
    <w:rsid w:val="00DC2AD2"/>
    <w:rsid w:val="00DC317C"/>
    <w:rsid w:val="00DC4FF2"/>
    <w:rsid w:val="00DC79CC"/>
    <w:rsid w:val="00DD1ACF"/>
    <w:rsid w:val="00DD3695"/>
    <w:rsid w:val="00DD5E65"/>
    <w:rsid w:val="00DD700D"/>
    <w:rsid w:val="00DD7BF0"/>
    <w:rsid w:val="00DE4B62"/>
    <w:rsid w:val="00DF24B9"/>
    <w:rsid w:val="00DF3D8E"/>
    <w:rsid w:val="00DF5A4E"/>
    <w:rsid w:val="00DF64A2"/>
    <w:rsid w:val="00E00F24"/>
    <w:rsid w:val="00E1007A"/>
    <w:rsid w:val="00E10D39"/>
    <w:rsid w:val="00E134F4"/>
    <w:rsid w:val="00E147D9"/>
    <w:rsid w:val="00E162E0"/>
    <w:rsid w:val="00E20294"/>
    <w:rsid w:val="00E20D75"/>
    <w:rsid w:val="00E21B63"/>
    <w:rsid w:val="00E23568"/>
    <w:rsid w:val="00E245B5"/>
    <w:rsid w:val="00E33E1B"/>
    <w:rsid w:val="00E34D3E"/>
    <w:rsid w:val="00E35AB7"/>
    <w:rsid w:val="00E40AEF"/>
    <w:rsid w:val="00E41812"/>
    <w:rsid w:val="00E46BAF"/>
    <w:rsid w:val="00E47A89"/>
    <w:rsid w:val="00E5146F"/>
    <w:rsid w:val="00E5498C"/>
    <w:rsid w:val="00E56468"/>
    <w:rsid w:val="00E56A6B"/>
    <w:rsid w:val="00E61547"/>
    <w:rsid w:val="00E62BD2"/>
    <w:rsid w:val="00E647FB"/>
    <w:rsid w:val="00E720E9"/>
    <w:rsid w:val="00E73768"/>
    <w:rsid w:val="00E7655F"/>
    <w:rsid w:val="00E81C5E"/>
    <w:rsid w:val="00E83B3C"/>
    <w:rsid w:val="00E8736B"/>
    <w:rsid w:val="00E87FC9"/>
    <w:rsid w:val="00E90275"/>
    <w:rsid w:val="00E90C25"/>
    <w:rsid w:val="00E925D4"/>
    <w:rsid w:val="00E9465D"/>
    <w:rsid w:val="00E97226"/>
    <w:rsid w:val="00EA2B44"/>
    <w:rsid w:val="00EA33EF"/>
    <w:rsid w:val="00EA3A4A"/>
    <w:rsid w:val="00EB0247"/>
    <w:rsid w:val="00EB0E85"/>
    <w:rsid w:val="00EB1B3F"/>
    <w:rsid w:val="00EC16A9"/>
    <w:rsid w:val="00EC4FFD"/>
    <w:rsid w:val="00EC58F5"/>
    <w:rsid w:val="00EC5EFC"/>
    <w:rsid w:val="00EC62CE"/>
    <w:rsid w:val="00ED1E3D"/>
    <w:rsid w:val="00ED26A6"/>
    <w:rsid w:val="00ED57D1"/>
    <w:rsid w:val="00ED5E8B"/>
    <w:rsid w:val="00ED6DF6"/>
    <w:rsid w:val="00EE37C7"/>
    <w:rsid w:val="00EE40C6"/>
    <w:rsid w:val="00EE54FA"/>
    <w:rsid w:val="00EE6744"/>
    <w:rsid w:val="00EE7BFB"/>
    <w:rsid w:val="00EF1051"/>
    <w:rsid w:val="00EF33CD"/>
    <w:rsid w:val="00EF3618"/>
    <w:rsid w:val="00F0000D"/>
    <w:rsid w:val="00F05206"/>
    <w:rsid w:val="00F070EB"/>
    <w:rsid w:val="00F12924"/>
    <w:rsid w:val="00F12FA5"/>
    <w:rsid w:val="00F14494"/>
    <w:rsid w:val="00F14E70"/>
    <w:rsid w:val="00F20B7F"/>
    <w:rsid w:val="00F20C9B"/>
    <w:rsid w:val="00F2137F"/>
    <w:rsid w:val="00F23117"/>
    <w:rsid w:val="00F300CB"/>
    <w:rsid w:val="00F31310"/>
    <w:rsid w:val="00F32329"/>
    <w:rsid w:val="00F42C3A"/>
    <w:rsid w:val="00F45451"/>
    <w:rsid w:val="00F471BF"/>
    <w:rsid w:val="00F52BCC"/>
    <w:rsid w:val="00F5313F"/>
    <w:rsid w:val="00F60E5E"/>
    <w:rsid w:val="00F628F1"/>
    <w:rsid w:val="00F642CA"/>
    <w:rsid w:val="00F669AF"/>
    <w:rsid w:val="00F7091A"/>
    <w:rsid w:val="00F75078"/>
    <w:rsid w:val="00F80EEC"/>
    <w:rsid w:val="00F81135"/>
    <w:rsid w:val="00F81A48"/>
    <w:rsid w:val="00F91635"/>
    <w:rsid w:val="00F97591"/>
    <w:rsid w:val="00FA1021"/>
    <w:rsid w:val="00FA4468"/>
    <w:rsid w:val="00FA706D"/>
    <w:rsid w:val="00FA7714"/>
    <w:rsid w:val="00FB62BC"/>
    <w:rsid w:val="00FC0166"/>
    <w:rsid w:val="00FC0908"/>
    <w:rsid w:val="00FC0F1F"/>
    <w:rsid w:val="00FC7621"/>
    <w:rsid w:val="00FD17C9"/>
    <w:rsid w:val="00FD2A5B"/>
    <w:rsid w:val="00FD6074"/>
    <w:rsid w:val="00FD731A"/>
    <w:rsid w:val="00FE2520"/>
    <w:rsid w:val="00FE278E"/>
    <w:rsid w:val="00FE602B"/>
    <w:rsid w:val="00FE6836"/>
    <w:rsid w:val="00FE6A5C"/>
    <w:rsid w:val="00FE6CD9"/>
    <w:rsid w:val="00FE7973"/>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n.cdc.gov/nndss/" TargetMode="External"/><Relationship Id="rId3" Type="http://schemas.openxmlformats.org/officeDocument/2006/relationships/customXml" Target="../customXml/item3.xml"/><Relationship Id="rId21" Type="http://schemas.openxmlformats.org/officeDocument/2006/relationships/hyperlink" Target="https://www.cdc.gov/nssp/documents/NSSP-fact-sheet-508.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cdc.gov/ophss/csels/dhis/overview.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surveillance/surveillance-data-strategies/index.html" TargetMode="External"/><Relationship Id="rId20" Type="http://schemas.openxmlformats.org/officeDocument/2006/relationships/hyperlink" Target="https://www.cdc.gov/nssp/biosense/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cdc.gov/nssp/overview.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https://esp.cdc.gov/sites/ostlts/pip/osc/_layouts/15/DocIdRedir.aspx?ID=OSTLTSDOC-726-245</Url>
      <Description>OSTLTSDOC-726-245</Description>
    </_dlc_DocIdUrl>
    <_dlc_DocId xmlns="b5c0ca00-073d-4463-9985-b654f14791fe">OSTLTSDOC-726-245</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2.xml><?xml version="1.0" encoding="utf-8"?>
<ds:datastoreItem xmlns:ds="http://schemas.openxmlformats.org/officeDocument/2006/customXml" ds:itemID="{A1655FFE-3D13-43DE-85F0-C566F6683EC4}">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15b1c282-9287-45cb-9b41-eae3a76919a0"/>
    <ds:schemaRef ds:uri="ce849d94-b00b-4457-8fdf-7e9e81e05b5e"/>
    <ds:schemaRef ds:uri="bd99c180-279b-44c3-9486-dd050336677e"/>
    <ds:schemaRef ds:uri="http://www.w3.org/XML/1998/namespace"/>
    <ds:schemaRef ds:uri="http://purl.org/dc/dcmitype/"/>
  </ds:schemaRefs>
</ds:datastoreItem>
</file>

<file path=customXml/itemProps3.xml><?xml version="1.0" encoding="utf-8"?>
<ds:datastoreItem xmlns:ds="http://schemas.openxmlformats.org/officeDocument/2006/customXml" ds:itemID="{FE97B571-3FB6-4B5F-A6F2-5739F37B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D2FE9-5ABF-4BCA-9D16-26923059D5F1}">
  <ds:schemaRefs>
    <ds:schemaRef ds:uri="http://schemas.microsoft.com/sharepoint/events"/>
  </ds:schemaRefs>
</ds:datastoreItem>
</file>

<file path=customXml/itemProps5.xml><?xml version="1.0" encoding="utf-8"?>
<ds:datastoreItem xmlns:ds="http://schemas.openxmlformats.org/officeDocument/2006/customXml" ds:itemID="{BAB0A3A1-3294-46B1-B3E4-BB1BF643FB1D}">
  <ds:schemaRefs>
    <ds:schemaRef ds:uri="http://schemas.microsoft.com/office/2006/metadata/customXsn"/>
  </ds:schemaRefs>
</ds:datastoreItem>
</file>

<file path=customXml/itemProps6.xml><?xml version="1.0" encoding="utf-8"?>
<ds:datastoreItem xmlns:ds="http://schemas.openxmlformats.org/officeDocument/2006/customXml" ds:itemID="{FFE0FC42-3DEA-4E2A-8D54-53E311FA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2019-05-13T13:52:00Z</dcterms:created>
  <dcterms:modified xsi:type="dcterms:W3CDTF">2019-05-13T13:52:00Z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e6fa216a-01be-426e-9a02-340a112a4ef5</vt:lpwstr>
  </property>
</Properties>
</file>