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F490B" w14:textId="25993454" w:rsidR="00716F94" w:rsidRDefault="00716F94" w:rsidP="00BC6896">
      <w:bookmarkStart w:id="0" w:name="_GoBack"/>
      <w:bookmarkEnd w:id="0"/>
    </w:p>
    <w:p w14:paraId="01793A22" w14:textId="726A02DB" w:rsidR="006B4423" w:rsidRDefault="006B4423" w:rsidP="00BC6896"/>
    <w:p w14:paraId="67FC797A" w14:textId="1F7F9EBB" w:rsidR="006B4423" w:rsidRDefault="006B4423" w:rsidP="00BC6896"/>
    <w:p w14:paraId="7DF93B94" w14:textId="77777777" w:rsidR="006B4423" w:rsidRDefault="006B4423" w:rsidP="00BC6896"/>
    <w:p w14:paraId="7F11E61C" w14:textId="77777777" w:rsidR="009B4A51" w:rsidRDefault="009B4A51" w:rsidP="00BC6896"/>
    <w:p w14:paraId="6CB5CC6F" w14:textId="77777777" w:rsidR="009B4A51" w:rsidRDefault="009B4A51" w:rsidP="00BC6896"/>
    <w:p w14:paraId="1570BFBA" w14:textId="77777777" w:rsidR="009B4A51" w:rsidRDefault="009B4A51" w:rsidP="00BC6896"/>
    <w:p w14:paraId="217810B9" w14:textId="77777777" w:rsidR="009B4A51" w:rsidRDefault="009B4A51" w:rsidP="00BC6896"/>
    <w:p w14:paraId="3CEAB693" w14:textId="047130BB" w:rsidR="007E04A2" w:rsidRPr="00B31F0A" w:rsidRDefault="007E04A2" w:rsidP="007E04A2">
      <w:pPr>
        <w:pStyle w:val="Heading1"/>
      </w:pPr>
      <w:r w:rsidRPr="00B31F0A">
        <w:t>Evidence-Based Practice in Public Health Preparedness and Response: Barriers and Facilitators</w:t>
      </w:r>
    </w:p>
    <w:p w14:paraId="16264DFE" w14:textId="3E2F6DFA" w:rsidR="00716F94" w:rsidRDefault="00716F94" w:rsidP="4E5BAE16"/>
    <w:p w14:paraId="7AE5E53E" w14:textId="77777777" w:rsidR="006B4423" w:rsidRPr="009D77CD" w:rsidRDefault="006B4423" w:rsidP="4E5BAE16"/>
    <w:p w14:paraId="568AD95F" w14:textId="77777777" w:rsidR="00AA3192" w:rsidRDefault="00AA3192" w:rsidP="00BC6896"/>
    <w:p w14:paraId="27C1F205"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566E81DB" w14:textId="77777777" w:rsidR="00484011" w:rsidRPr="00AA3192" w:rsidRDefault="00484011" w:rsidP="00BC6896">
      <w:pPr>
        <w:pStyle w:val="Header"/>
        <w:ind w:left="0"/>
        <w:jc w:val="center"/>
      </w:pPr>
      <w:r w:rsidRPr="00AA3192">
        <w:t>OMB No. 0920-0879</w:t>
      </w:r>
    </w:p>
    <w:p w14:paraId="687898CE" w14:textId="77777777" w:rsidR="009B4A51" w:rsidRDefault="009B4A51" w:rsidP="00BC6896"/>
    <w:p w14:paraId="758B0667" w14:textId="77777777" w:rsidR="00AA3192" w:rsidRDefault="00AA3192" w:rsidP="00BC6896"/>
    <w:p w14:paraId="71818903" w14:textId="77777777" w:rsidR="009B4A51" w:rsidRPr="00BC6896" w:rsidRDefault="009B4A51" w:rsidP="00BC6896">
      <w:pPr>
        <w:pStyle w:val="Heading2"/>
      </w:pPr>
      <w:r w:rsidRPr="00BC6896">
        <w:t xml:space="preserve">Supporting Statement – Section </w:t>
      </w:r>
      <w:r w:rsidR="00601392" w:rsidRPr="00BC6896">
        <w:t>B</w:t>
      </w:r>
    </w:p>
    <w:p w14:paraId="11723200" w14:textId="77777777" w:rsidR="009B4A51" w:rsidRDefault="009B4A51" w:rsidP="00BC6896"/>
    <w:p w14:paraId="64F4F1DB" w14:textId="293A8F4C" w:rsidR="009B4A51" w:rsidRPr="00161F2E" w:rsidRDefault="009B4A51" w:rsidP="00BC6896">
      <w:pPr>
        <w:ind w:left="0"/>
        <w:jc w:val="center"/>
      </w:pPr>
      <w:r w:rsidRPr="00AA3192">
        <w:t>Submitted</w:t>
      </w:r>
      <w:r w:rsidRPr="00161F2E">
        <w:t xml:space="preserve">: </w:t>
      </w:r>
      <w:r w:rsidR="00B112A5" w:rsidRPr="00161F2E">
        <w:t xml:space="preserve"> </w:t>
      </w:r>
      <w:r w:rsidR="00161F2E">
        <w:t>December 4, 2018</w:t>
      </w:r>
      <w:r w:rsidR="00D80B84" w:rsidRPr="00161F2E">
        <w:t xml:space="preserve"> </w:t>
      </w:r>
    </w:p>
    <w:p w14:paraId="23EF3FD1" w14:textId="77777777" w:rsidR="009B4A51" w:rsidRDefault="009B4A51" w:rsidP="00BC6896"/>
    <w:p w14:paraId="2C7005ED" w14:textId="7BCF8F01" w:rsidR="009B4A51" w:rsidRDefault="009B4A51" w:rsidP="00BC6896"/>
    <w:p w14:paraId="64AE009D" w14:textId="44D679DB" w:rsidR="006B4423" w:rsidRDefault="006B4423" w:rsidP="00BC6896"/>
    <w:p w14:paraId="730DA6C4" w14:textId="77777777" w:rsidR="006B4423" w:rsidRDefault="006B4423" w:rsidP="00BC6896"/>
    <w:p w14:paraId="60A01622" w14:textId="77777777" w:rsidR="009B4A51" w:rsidRDefault="009B4A51" w:rsidP="00BC6896"/>
    <w:p w14:paraId="0A6A6159" w14:textId="77777777" w:rsidR="00A81BF7" w:rsidRPr="00BC6896" w:rsidRDefault="00A81BF7" w:rsidP="00A81BF7">
      <w:pPr>
        <w:ind w:left="0"/>
      </w:pPr>
      <w:r w:rsidRPr="00BC6896">
        <w:rPr>
          <w:b/>
          <w:u w:val="single"/>
        </w:rPr>
        <w:t>Program Official/Project Officer</w:t>
      </w:r>
    </w:p>
    <w:p w14:paraId="474AFFA1" w14:textId="0A6A6159" w:rsidR="00A81BF7" w:rsidRPr="00BC6896" w:rsidRDefault="4E5BAE16" w:rsidP="00A81BF7">
      <w:pPr>
        <w:ind w:left="0"/>
      </w:pPr>
      <w:r w:rsidRPr="4E5BAE16">
        <w:rPr>
          <w:rFonts w:ascii="Cambria" w:eastAsia="Cambria" w:hAnsi="Cambria" w:cs="Cambria"/>
        </w:rPr>
        <w:t xml:space="preserve">Eric Carbone </w:t>
      </w:r>
    </w:p>
    <w:p w14:paraId="30B6E40C" w14:textId="474AFFA1" w:rsidR="00A81BF7" w:rsidRPr="00BC6896" w:rsidRDefault="4E5BAE16" w:rsidP="00A81BF7">
      <w:pPr>
        <w:ind w:left="0"/>
      </w:pPr>
      <w:r w:rsidRPr="4E5BAE16">
        <w:rPr>
          <w:rFonts w:ascii="Cambria" w:eastAsia="Cambria" w:hAnsi="Cambria" w:cs="Cambria"/>
        </w:rPr>
        <w:t xml:space="preserve">Director </w:t>
      </w:r>
    </w:p>
    <w:p w14:paraId="0B8808B5" w14:textId="3C9AF712" w:rsidR="00A81BF7" w:rsidRPr="00BC6896" w:rsidRDefault="4E5BAE16" w:rsidP="00A81BF7">
      <w:pPr>
        <w:ind w:left="0"/>
      </w:pPr>
      <w:r w:rsidRPr="4E5BAE16">
        <w:rPr>
          <w:rFonts w:ascii="Cambria" w:eastAsia="Cambria" w:hAnsi="Cambria" w:cs="Cambria"/>
        </w:rPr>
        <w:t xml:space="preserve">Office of Applied Research, Office of Public Health Preparedness Centers for Disease Control and Prevention US Department of Health and Human Services </w:t>
      </w:r>
    </w:p>
    <w:p w14:paraId="503E8CD5" w14:textId="0B8808B5" w:rsidR="00A81BF7" w:rsidRPr="00BC6896" w:rsidRDefault="4E5BAE16" w:rsidP="00A81BF7">
      <w:pPr>
        <w:ind w:left="0"/>
      </w:pPr>
      <w:r w:rsidRPr="4E5BAE16">
        <w:rPr>
          <w:rFonts w:ascii="Cambria" w:eastAsia="Cambria" w:hAnsi="Cambria" w:cs="Cambria"/>
        </w:rPr>
        <w:t xml:space="preserve">Atlanta, GA 30329 </w:t>
      </w:r>
    </w:p>
    <w:p w14:paraId="607DF3CF" w14:textId="503E8CD5" w:rsidR="00A81BF7" w:rsidRPr="00BC6896" w:rsidRDefault="4E5BAE16" w:rsidP="00A81BF7">
      <w:pPr>
        <w:ind w:left="0"/>
      </w:pPr>
      <w:r w:rsidRPr="4E5BAE16">
        <w:rPr>
          <w:rFonts w:ascii="Cambria" w:eastAsia="Cambria" w:hAnsi="Cambria" w:cs="Cambria"/>
        </w:rPr>
        <w:t xml:space="preserve">770-488-8131 </w:t>
      </w:r>
    </w:p>
    <w:p w14:paraId="24F61528" w14:textId="607DF3CF" w:rsidR="00A81BF7" w:rsidRPr="00BC6896" w:rsidRDefault="4E5BAE16" w:rsidP="00A81BF7">
      <w:pPr>
        <w:ind w:left="0"/>
      </w:pPr>
      <w:r w:rsidRPr="4E5BAE16">
        <w:rPr>
          <w:rFonts w:ascii="Cambria" w:eastAsia="Cambria" w:hAnsi="Cambria" w:cs="Cambria"/>
        </w:rPr>
        <w:t>ecarbone@cdc.gov</w:t>
      </w:r>
    </w:p>
    <w:p w14:paraId="4C823018" w14:textId="77777777" w:rsidR="00F725B5" w:rsidRDefault="00F725B5" w:rsidP="4E5BAE16">
      <w:pPr>
        <w:ind w:left="0"/>
        <w:rPr>
          <w:color w:val="0070C0"/>
        </w:rPr>
      </w:pPr>
    </w:p>
    <w:p w14:paraId="397BDED0" w14:textId="15D1993A" w:rsidR="00691031" w:rsidRDefault="00691031" w:rsidP="00BC6896">
      <w:pPr>
        <w:ind w:left="0"/>
        <w:rPr>
          <w:color w:val="0070C0"/>
        </w:rPr>
      </w:pPr>
    </w:p>
    <w:p w14:paraId="24EFFEA5" w14:textId="77777777" w:rsidR="006B4423" w:rsidRDefault="006B4423" w:rsidP="00BC6896">
      <w:pPr>
        <w:ind w:left="0"/>
        <w:rPr>
          <w:color w:val="0070C0"/>
        </w:rPr>
      </w:pPr>
    </w:p>
    <w:p w14:paraId="601FA016" w14:textId="77777777" w:rsidR="00691031" w:rsidRDefault="00691031" w:rsidP="00BC6896">
      <w:pPr>
        <w:ind w:left="0"/>
        <w:rPr>
          <w:color w:val="0070C0"/>
        </w:rPr>
      </w:pPr>
    </w:p>
    <w:p w14:paraId="1C95BDFF" w14:textId="77777777" w:rsidR="00EC45F0" w:rsidRDefault="00EC45F0" w:rsidP="00BC6896">
      <w:pPr>
        <w:ind w:left="0"/>
        <w:rPr>
          <w:color w:val="0070C0"/>
        </w:rPr>
      </w:pPr>
    </w:p>
    <w:p w14:paraId="37A6A612" w14:textId="77777777" w:rsidR="00EC45F0" w:rsidRPr="0042604A" w:rsidRDefault="00EC45F0" w:rsidP="00BC6896">
      <w:pPr>
        <w:ind w:left="0"/>
        <w:rPr>
          <w:color w:val="0070C0"/>
        </w:rPr>
      </w:pPr>
    </w:p>
    <w:p w14:paraId="0F3DD07E" w14:textId="77777777" w:rsidR="00245F1F" w:rsidRPr="000A538D" w:rsidRDefault="00245F1F" w:rsidP="00BC6896">
      <w:pPr>
        <w:pStyle w:val="Heading3"/>
      </w:pPr>
      <w:bookmarkStart w:id="1" w:name="_Toc413847909"/>
      <w:r>
        <w:lastRenderedPageBreak/>
        <w:t>Table of Contents</w:t>
      </w:r>
      <w:bookmarkEnd w:id="1"/>
    </w:p>
    <w:p w14:paraId="51741DFB"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6EAF0677" w14:textId="1FD1325A" w:rsidR="00245F1F" w:rsidRPr="000A538D" w:rsidRDefault="000D603D">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161F2E">
          <w:rPr>
            <w:noProof/>
            <w:webHidden/>
          </w:rPr>
          <w:t>3</w:t>
        </w:r>
        <w:r w:rsidR="00245F1F" w:rsidRPr="000A538D">
          <w:rPr>
            <w:noProof/>
            <w:webHidden/>
          </w:rPr>
          <w:fldChar w:fldCharType="end"/>
        </w:r>
      </w:hyperlink>
    </w:p>
    <w:p w14:paraId="4B97ECBB" w14:textId="6DACC88A" w:rsidR="00245F1F" w:rsidRPr="000A538D" w:rsidRDefault="000D603D"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161F2E">
          <w:rPr>
            <w:noProof/>
            <w:webHidden/>
          </w:rPr>
          <w:t>3</w:t>
        </w:r>
        <w:r w:rsidR="00245F1F" w:rsidRPr="000A538D">
          <w:rPr>
            <w:noProof/>
            <w:webHidden/>
          </w:rPr>
          <w:fldChar w:fldCharType="end"/>
        </w:r>
      </w:hyperlink>
    </w:p>
    <w:p w14:paraId="1E61922F" w14:textId="5F60FEC3" w:rsidR="00245F1F" w:rsidRPr="000A538D" w:rsidRDefault="000D603D"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161F2E">
          <w:rPr>
            <w:noProof/>
            <w:webHidden/>
          </w:rPr>
          <w:t>3</w:t>
        </w:r>
        <w:r w:rsidR="00245F1F" w:rsidRPr="000A538D">
          <w:rPr>
            <w:noProof/>
            <w:webHidden/>
          </w:rPr>
          <w:fldChar w:fldCharType="end"/>
        </w:r>
      </w:hyperlink>
    </w:p>
    <w:p w14:paraId="2031DD28" w14:textId="6CACCAF8" w:rsidR="00245F1F" w:rsidRPr="000A538D" w:rsidRDefault="000D603D"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161F2E">
          <w:rPr>
            <w:noProof/>
            <w:webHidden/>
          </w:rPr>
          <w:t>4</w:t>
        </w:r>
        <w:r w:rsidR="00245F1F" w:rsidRPr="000A538D">
          <w:rPr>
            <w:noProof/>
            <w:webHidden/>
          </w:rPr>
          <w:fldChar w:fldCharType="end"/>
        </w:r>
      </w:hyperlink>
    </w:p>
    <w:p w14:paraId="33FE1755" w14:textId="5394E095" w:rsidR="00245F1F" w:rsidRPr="000A538D" w:rsidRDefault="000D603D"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161F2E">
          <w:rPr>
            <w:noProof/>
            <w:webHidden/>
          </w:rPr>
          <w:t>5</w:t>
        </w:r>
        <w:r w:rsidR="00245F1F" w:rsidRPr="000A538D">
          <w:rPr>
            <w:noProof/>
            <w:webHidden/>
          </w:rPr>
          <w:fldChar w:fldCharType="end"/>
        </w:r>
      </w:hyperlink>
    </w:p>
    <w:p w14:paraId="35D1DC84" w14:textId="7D62D910" w:rsidR="00245F1F" w:rsidRPr="000A538D" w:rsidRDefault="000D603D"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161F2E">
          <w:rPr>
            <w:noProof/>
            <w:webHidden/>
          </w:rPr>
          <w:t>5</w:t>
        </w:r>
        <w:r w:rsidR="00245F1F" w:rsidRPr="000A538D">
          <w:rPr>
            <w:noProof/>
            <w:webHidden/>
          </w:rPr>
          <w:fldChar w:fldCharType="end"/>
        </w:r>
      </w:hyperlink>
    </w:p>
    <w:p w14:paraId="4F05761D" w14:textId="3188600E" w:rsidR="00245F1F" w:rsidRPr="000A538D" w:rsidRDefault="000D603D">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161F2E">
          <w:rPr>
            <w:noProof/>
            <w:webHidden/>
          </w:rPr>
          <w:t>5</w:t>
        </w:r>
        <w:r w:rsidR="00245F1F" w:rsidRPr="000A538D">
          <w:rPr>
            <w:noProof/>
            <w:webHidden/>
          </w:rPr>
          <w:fldChar w:fldCharType="end"/>
        </w:r>
      </w:hyperlink>
    </w:p>
    <w:p w14:paraId="1F911F4A" w14:textId="77777777" w:rsidR="00245F1F" w:rsidRDefault="00245F1F" w:rsidP="00BC6896">
      <w:pPr>
        <w:pStyle w:val="Heading3"/>
      </w:pPr>
      <w:r w:rsidRPr="000A538D">
        <w:fldChar w:fldCharType="end"/>
      </w:r>
    </w:p>
    <w:p w14:paraId="1D6A0AD0" w14:textId="77777777" w:rsidR="00245F1F" w:rsidRDefault="00245F1F">
      <w:pPr>
        <w:spacing w:after="200"/>
        <w:ind w:left="0"/>
        <w:rPr>
          <w:b/>
          <w:sz w:val="28"/>
        </w:rPr>
      </w:pPr>
      <w:bookmarkStart w:id="2" w:name="_Toc413847910"/>
      <w:r>
        <w:br w:type="page"/>
      </w:r>
    </w:p>
    <w:p w14:paraId="082D987F" w14:textId="77777777" w:rsidR="00B12F51" w:rsidRPr="00BC6896" w:rsidRDefault="00B12F51" w:rsidP="00BC6896">
      <w:pPr>
        <w:pStyle w:val="Heading3"/>
      </w:pPr>
      <w:r w:rsidRPr="00BC6896">
        <w:t xml:space="preserve">Section B – </w:t>
      </w:r>
      <w:r w:rsidR="00487E55">
        <w:t>Data collection</w:t>
      </w:r>
      <w:r w:rsidR="00287E2F" w:rsidRPr="00BC6896">
        <w:t xml:space="preserve"> Procedures</w:t>
      </w:r>
      <w:bookmarkEnd w:id="2"/>
    </w:p>
    <w:p w14:paraId="583FE5D3" w14:textId="77777777" w:rsidR="00287E2F" w:rsidRDefault="00287E2F" w:rsidP="002955E6">
      <w:pPr>
        <w:spacing w:line="240" w:lineRule="auto"/>
      </w:pPr>
    </w:p>
    <w:p w14:paraId="2660B781"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676CA042" w14:textId="77777777" w:rsidR="002955E6" w:rsidRDefault="002955E6" w:rsidP="002955E6">
      <w:pPr>
        <w:spacing w:line="240" w:lineRule="auto"/>
        <w:ind w:left="360"/>
        <w:rPr>
          <w:b/>
          <w:color w:val="0070C0"/>
        </w:rPr>
      </w:pPr>
    </w:p>
    <w:p w14:paraId="462EDE4F" w14:textId="350FED53" w:rsidR="00B112A5" w:rsidRDefault="007E04A2" w:rsidP="00814F21">
      <w:pPr>
        <w:ind w:left="360"/>
        <w:rPr>
          <w:rFonts w:ascii="Cambria" w:eastAsia="Cambria" w:hAnsi="Cambria" w:cs="Cambria"/>
        </w:rPr>
      </w:pPr>
      <w:r w:rsidRPr="00B31F0A">
        <w:rPr>
          <w:rFonts w:ascii="Cambria" w:eastAsia="Cambria" w:hAnsi="Cambria" w:cs="Cambria"/>
        </w:rPr>
        <w:t xml:space="preserve">The respondent universe for this information collection consists of </w:t>
      </w:r>
      <w:r w:rsidR="00EA14F9" w:rsidRPr="00B31F0A">
        <w:rPr>
          <w:rFonts w:ascii="Cambria" w:eastAsia="Cambria" w:hAnsi="Cambria" w:cs="Cambria"/>
        </w:rPr>
        <w:t xml:space="preserve">562 public health </w:t>
      </w:r>
      <w:r w:rsidR="00814F21">
        <w:rPr>
          <w:rFonts w:ascii="Cambria" w:eastAsia="Cambria" w:hAnsi="Cambria" w:cs="Cambria"/>
        </w:rPr>
        <w:t xml:space="preserve">emergency </w:t>
      </w:r>
      <w:r w:rsidRPr="00B31F0A">
        <w:rPr>
          <w:rFonts w:ascii="Cambria" w:eastAsia="Cambria" w:hAnsi="Cambria" w:cs="Cambria"/>
        </w:rPr>
        <w:t xml:space="preserve">preparedness </w:t>
      </w:r>
      <w:r w:rsidR="00814F21">
        <w:rPr>
          <w:rFonts w:ascii="Cambria" w:eastAsia="Cambria" w:hAnsi="Cambria" w:cs="Cambria"/>
        </w:rPr>
        <w:t>directors/</w:t>
      </w:r>
      <w:r w:rsidRPr="00B31F0A">
        <w:rPr>
          <w:rFonts w:ascii="Cambria" w:eastAsia="Cambria" w:hAnsi="Cambria" w:cs="Cambria"/>
        </w:rPr>
        <w:t>coordinators</w:t>
      </w:r>
      <w:r w:rsidR="00EA14F9" w:rsidRPr="00B31F0A">
        <w:rPr>
          <w:rFonts w:ascii="Cambria" w:eastAsia="Cambria" w:hAnsi="Cambria" w:cs="Cambria"/>
        </w:rPr>
        <w:t>, acting in their official capacities,</w:t>
      </w:r>
      <w:r w:rsidRPr="00B31F0A">
        <w:rPr>
          <w:rFonts w:ascii="Cambria" w:eastAsia="Cambria" w:hAnsi="Cambria" w:cs="Cambria"/>
        </w:rPr>
        <w:t xml:space="preserve"> from </w:t>
      </w:r>
      <w:r w:rsidR="00EA14F9" w:rsidRPr="00B31F0A">
        <w:rPr>
          <w:rFonts w:ascii="Cambria" w:eastAsia="Cambria" w:hAnsi="Cambria" w:cs="Cambria"/>
        </w:rPr>
        <w:t xml:space="preserve">state, territorial, and local health departments. If a health department does not employ a </w:t>
      </w:r>
      <w:r w:rsidR="00814F21">
        <w:rPr>
          <w:rFonts w:ascii="Cambria" w:eastAsia="Cambria" w:hAnsi="Cambria" w:cs="Cambria"/>
        </w:rPr>
        <w:t xml:space="preserve">public health emergency </w:t>
      </w:r>
      <w:r w:rsidR="00EA14F9" w:rsidRPr="00B31F0A">
        <w:rPr>
          <w:rFonts w:ascii="Cambria" w:eastAsia="Cambria" w:hAnsi="Cambria" w:cs="Cambria"/>
        </w:rPr>
        <w:t xml:space="preserve">preparedness </w:t>
      </w:r>
      <w:r w:rsidR="00B112A5">
        <w:rPr>
          <w:rFonts w:ascii="Cambria" w:eastAsia="Cambria" w:hAnsi="Cambria" w:cs="Cambria"/>
        </w:rPr>
        <w:t>director/</w:t>
      </w:r>
      <w:r w:rsidR="00EA14F9" w:rsidRPr="00B31F0A">
        <w:rPr>
          <w:rFonts w:ascii="Cambria" w:eastAsia="Cambria" w:hAnsi="Cambria" w:cs="Cambria"/>
        </w:rPr>
        <w:t xml:space="preserve">coordinator, the health department director </w:t>
      </w:r>
      <w:r w:rsidR="008976F0" w:rsidRPr="00B31F0A">
        <w:rPr>
          <w:rFonts w:ascii="Cambria" w:eastAsia="Cambria" w:hAnsi="Cambria" w:cs="Cambria"/>
        </w:rPr>
        <w:t>will</w:t>
      </w:r>
      <w:r w:rsidR="00EA14F9" w:rsidRPr="00B31F0A">
        <w:rPr>
          <w:rFonts w:ascii="Cambria" w:eastAsia="Cambria" w:hAnsi="Cambria" w:cs="Cambria"/>
        </w:rPr>
        <w:t xml:space="preserve"> designate a staff person who has direct knowledge and/or primary responsibility for </w:t>
      </w:r>
      <w:r w:rsidR="00814F21">
        <w:rPr>
          <w:rFonts w:ascii="Cambria" w:eastAsia="Cambria" w:hAnsi="Cambria" w:cs="Cambria"/>
        </w:rPr>
        <w:t>PHPR</w:t>
      </w:r>
      <w:r w:rsidR="00EA14F9" w:rsidRPr="00B31F0A">
        <w:rPr>
          <w:rFonts w:ascii="Cambria" w:eastAsia="Cambria" w:hAnsi="Cambria" w:cs="Cambria"/>
        </w:rPr>
        <w:t xml:space="preserve"> activities to complete the assessment. </w:t>
      </w:r>
      <w:r w:rsidR="00814F21">
        <w:rPr>
          <w:rFonts w:ascii="Cambria" w:eastAsia="Cambria" w:hAnsi="Cambria" w:cs="Cambria"/>
        </w:rPr>
        <w:t xml:space="preserve">The respondent organizations </w:t>
      </w:r>
      <w:r w:rsidR="00B31F0A" w:rsidRPr="00B31F0A">
        <w:rPr>
          <w:rFonts w:ascii="Cambria" w:eastAsia="Cambria" w:hAnsi="Cambria" w:cs="Cambria"/>
        </w:rPr>
        <w:t>will include</w:t>
      </w:r>
      <w:r w:rsidR="008976F0" w:rsidRPr="00B31F0A">
        <w:rPr>
          <w:rFonts w:ascii="Cambria" w:eastAsia="Cambria" w:hAnsi="Cambria" w:cs="Cambria"/>
        </w:rPr>
        <w:t>: 50 state health departments, 8 territorial health departments, and 504 local health departments</w:t>
      </w:r>
      <w:r w:rsidR="00814F21">
        <w:rPr>
          <w:rFonts w:ascii="Cambria" w:eastAsia="Cambria" w:hAnsi="Cambria" w:cs="Cambria"/>
        </w:rPr>
        <w:t xml:space="preserve"> </w:t>
      </w:r>
      <w:r w:rsidR="00814F21" w:rsidRPr="00B112A5">
        <w:rPr>
          <w:rFonts w:ascii="Cambria" w:eastAsia="Cambria" w:hAnsi="Cambria" w:cs="Cambria"/>
          <w:b/>
        </w:rPr>
        <w:t>(</w:t>
      </w:r>
      <w:r w:rsidR="00B112A5">
        <w:rPr>
          <w:rFonts w:ascii="Cambria" w:eastAsia="Cambria" w:hAnsi="Cambria" w:cs="Cambria"/>
          <w:b/>
        </w:rPr>
        <w:t>P</w:t>
      </w:r>
      <w:r w:rsidR="00B31F0A" w:rsidRPr="00B112A5">
        <w:rPr>
          <w:rFonts w:ascii="Cambria" w:eastAsia="Cambria" w:hAnsi="Cambria" w:cs="Cambria"/>
          <w:b/>
        </w:rPr>
        <w:t>lease see Attachment A</w:t>
      </w:r>
      <w:r w:rsidR="00814F21" w:rsidRPr="00B112A5">
        <w:rPr>
          <w:rFonts w:ascii="Cambria" w:eastAsia="Cambria" w:hAnsi="Cambria" w:cs="Cambria"/>
          <w:b/>
        </w:rPr>
        <w:t xml:space="preserve"> – </w:t>
      </w:r>
      <w:r w:rsidR="00B31F0A" w:rsidRPr="00B112A5">
        <w:rPr>
          <w:rFonts w:ascii="Cambria" w:eastAsia="Cambria" w:hAnsi="Cambria" w:cs="Cambria"/>
          <w:b/>
        </w:rPr>
        <w:t>Respondent Breakdown)</w:t>
      </w:r>
      <w:r w:rsidR="008976F0" w:rsidRPr="00B31F0A">
        <w:rPr>
          <w:rFonts w:ascii="Cambria" w:eastAsia="Cambria" w:hAnsi="Cambria" w:cs="Cambria"/>
        </w:rPr>
        <w:t xml:space="preserve">. </w:t>
      </w:r>
    </w:p>
    <w:p w14:paraId="7124CA13" w14:textId="77777777" w:rsidR="00B112A5" w:rsidRDefault="00B112A5" w:rsidP="00814F21">
      <w:pPr>
        <w:ind w:left="360"/>
        <w:rPr>
          <w:rFonts w:ascii="Cambria" w:eastAsia="Cambria" w:hAnsi="Cambria" w:cs="Cambria"/>
        </w:rPr>
      </w:pPr>
    </w:p>
    <w:p w14:paraId="41CCD7A0" w14:textId="4C3039C3" w:rsidR="00462CEF" w:rsidRPr="00B31F0A" w:rsidRDefault="008976F0" w:rsidP="00814F21">
      <w:pPr>
        <w:ind w:left="360"/>
        <w:rPr>
          <w:rFonts w:ascii="Cambria" w:eastAsia="Cambria" w:hAnsi="Cambria" w:cs="Cambria"/>
        </w:rPr>
      </w:pPr>
      <w:r w:rsidRPr="00B31F0A">
        <w:rPr>
          <w:rFonts w:ascii="Cambria" w:eastAsia="Cambria" w:hAnsi="Cambria" w:cs="Cambria"/>
        </w:rPr>
        <w:t xml:space="preserve">A subset of 62 of these respondent organizations </w:t>
      </w:r>
      <w:r w:rsidR="007E04A2" w:rsidRPr="00B31F0A">
        <w:rPr>
          <w:rFonts w:ascii="Cambria" w:eastAsia="Cambria" w:hAnsi="Cambria" w:cs="Cambria"/>
        </w:rPr>
        <w:t>are directly funded by the CDC Office of Public Health Preparedness and Response (OPHPR) through the Public Health Emergency Preparedness (PHEP) Cooperative Agreement</w:t>
      </w:r>
      <w:r w:rsidR="00814F21">
        <w:rPr>
          <w:rFonts w:ascii="Cambria" w:eastAsia="Cambria" w:hAnsi="Cambria" w:cs="Cambria"/>
        </w:rPr>
        <w:t xml:space="preserve"> </w:t>
      </w:r>
      <w:r w:rsidR="00462CEF" w:rsidRPr="00B31F0A">
        <w:rPr>
          <w:rFonts w:ascii="Cambria" w:eastAsia="Cambria" w:hAnsi="Cambria" w:cs="Cambria"/>
        </w:rPr>
        <w:t xml:space="preserve">(CDC-RFA-TP17-1701) </w:t>
      </w:r>
      <w:r w:rsidR="007E04A2" w:rsidRPr="00B31F0A">
        <w:rPr>
          <w:rFonts w:ascii="Cambria" w:eastAsia="Cambria" w:hAnsi="Cambria" w:cs="Cambria"/>
        </w:rPr>
        <w:t>Th</w:t>
      </w:r>
      <w:r w:rsidRPr="00B31F0A">
        <w:rPr>
          <w:rFonts w:ascii="Cambria" w:eastAsia="Cambria" w:hAnsi="Cambria" w:cs="Cambria"/>
        </w:rPr>
        <w:t>e</w:t>
      </w:r>
      <w:r w:rsidR="007E04A2" w:rsidRPr="00B31F0A">
        <w:rPr>
          <w:rFonts w:ascii="Cambria" w:eastAsia="Cambria" w:hAnsi="Cambria" w:cs="Cambria"/>
        </w:rPr>
        <w:t xml:space="preserve"> </w:t>
      </w:r>
      <w:r w:rsidRPr="00B31F0A">
        <w:rPr>
          <w:rFonts w:ascii="Cambria" w:eastAsia="Cambria" w:hAnsi="Cambria" w:cs="Cambria"/>
        </w:rPr>
        <w:t xml:space="preserve">PHEP Cooperative Agreement awardees </w:t>
      </w:r>
      <w:r w:rsidR="007E04A2" w:rsidRPr="00B31F0A">
        <w:rPr>
          <w:rFonts w:ascii="Cambria" w:eastAsia="Cambria" w:hAnsi="Cambria" w:cs="Cambria"/>
        </w:rPr>
        <w:t xml:space="preserve">represent a total population sample that includes </w:t>
      </w:r>
      <w:r w:rsidR="00EA14F9" w:rsidRPr="00B31F0A">
        <w:rPr>
          <w:rFonts w:ascii="Cambria" w:eastAsia="Cambria" w:hAnsi="Cambria" w:cs="Cambria"/>
        </w:rPr>
        <w:t xml:space="preserve">the </w:t>
      </w:r>
      <w:r w:rsidR="007E04A2" w:rsidRPr="00B31F0A">
        <w:rPr>
          <w:rFonts w:ascii="Cambria" w:eastAsia="Cambria" w:hAnsi="Cambria" w:cs="Cambria"/>
        </w:rPr>
        <w:t xml:space="preserve">50 state health </w:t>
      </w:r>
      <w:r w:rsidR="00EA14F9" w:rsidRPr="00B31F0A">
        <w:rPr>
          <w:rFonts w:ascii="Cambria" w:eastAsia="Cambria" w:hAnsi="Cambria" w:cs="Cambria"/>
        </w:rPr>
        <w:t>departments</w:t>
      </w:r>
      <w:r w:rsidR="007E04A2" w:rsidRPr="00B31F0A">
        <w:rPr>
          <w:rFonts w:ascii="Cambria" w:eastAsia="Cambria" w:hAnsi="Cambria" w:cs="Cambria"/>
        </w:rPr>
        <w:t>, 8 territorial health departments within the territories/freely associated states (American Samoa, Guam, U.S. Virgin Islands, Northern Mariana Island, Puerto Rico, Federal States of Micronesia, Republic of the Marshall Islands, and Republic of Palau)</w:t>
      </w:r>
      <w:r w:rsidRPr="00B31F0A">
        <w:rPr>
          <w:rFonts w:ascii="Cambria" w:eastAsia="Cambria" w:hAnsi="Cambria" w:cs="Cambria"/>
        </w:rPr>
        <w:t>, and 4 city health departments (Chicago, Los Angeles County, New York City, and Washington, D.C.)</w:t>
      </w:r>
      <w:r w:rsidR="007E04A2" w:rsidRPr="00B31F0A">
        <w:rPr>
          <w:rFonts w:ascii="Cambria" w:eastAsia="Cambria" w:hAnsi="Cambria" w:cs="Cambria"/>
        </w:rPr>
        <w:t>. NORC has subcontracted with the Association of State and Territorial Health Officials (ASTHO) who will conduct outreach and</w:t>
      </w:r>
      <w:r w:rsidR="00EA14F9" w:rsidRPr="00B31F0A">
        <w:rPr>
          <w:rFonts w:ascii="Cambria" w:eastAsia="Cambria" w:hAnsi="Cambria" w:cs="Cambria"/>
        </w:rPr>
        <w:t xml:space="preserve"> support</w:t>
      </w:r>
      <w:r w:rsidR="007E04A2" w:rsidRPr="00B31F0A">
        <w:rPr>
          <w:rFonts w:ascii="Cambria" w:eastAsia="Cambria" w:hAnsi="Cambria" w:cs="Cambria"/>
        </w:rPr>
        <w:t xml:space="preserve"> recruitment for </w:t>
      </w:r>
      <w:r w:rsidRPr="00B31F0A">
        <w:rPr>
          <w:rFonts w:ascii="Cambria" w:eastAsia="Cambria" w:hAnsi="Cambria" w:cs="Cambria"/>
        </w:rPr>
        <w:t>the total population sample of 62 PHEP Cooperative Agreement awardees</w:t>
      </w:r>
      <w:r w:rsidR="007E04A2" w:rsidRPr="00B31F0A">
        <w:rPr>
          <w:rFonts w:ascii="Cambria" w:eastAsia="Cambria" w:hAnsi="Cambria" w:cs="Cambria"/>
        </w:rPr>
        <w:t xml:space="preserve">. </w:t>
      </w:r>
    </w:p>
    <w:p w14:paraId="4E30F6E1" w14:textId="77777777" w:rsidR="00462CEF" w:rsidRPr="00B31F0A" w:rsidRDefault="00462CEF" w:rsidP="00814F21">
      <w:pPr>
        <w:ind w:left="360"/>
        <w:rPr>
          <w:rFonts w:ascii="Cambria" w:eastAsia="Cambria" w:hAnsi="Cambria" w:cs="Cambria"/>
        </w:rPr>
      </w:pPr>
    </w:p>
    <w:p w14:paraId="6E87BF3B" w14:textId="4ED544DC" w:rsidR="008976F0" w:rsidRDefault="007E04A2" w:rsidP="00814F21">
      <w:pPr>
        <w:ind w:left="360"/>
        <w:rPr>
          <w:rFonts w:ascii="Cambria" w:eastAsia="Cambria" w:hAnsi="Cambria" w:cs="Cambria"/>
          <w:color w:val="4F81BD" w:themeColor="accent1"/>
        </w:rPr>
      </w:pPr>
      <w:r w:rsidRPr="00B31F0A">
        <w:rPr>
          <w:rFonts w:ascii="Cambria" w:eastAsia="Cambria" w:hAnsi="Cambria" w:cs="Cambria"/>
        </w:rPr>
        <w:t xml:space="preserve">The </w:t>
      </w:r>
      <w:r w:rsidR="008976F0" w:rsidRPr="00B31F0A">
        <w:rPr>
          <w:rFonts w:ascii="Cambria" w:eastAsia="Cambria" w:hAnsi="Cambria" w:cs="Cambria"/>
        </w:rPr>
        <w:t xml:space="preserve">remaining </w:t>
      </w:r>
      <w:r w:rsidRPr="00B31F0A">
        <w:rPr>
          <w:rFonts w:ascii="Cambria" w:eastAsia="Cambria" w:hAnsi="Cambria" w:cs="Cambria"/>
        </w:rPr>
        <w:t xml:space="preserve">500 local health departments </w:t>
      </w:r>
      <w:r w:rsidR="008976F0" w:rsidRPr="00B31F0A">
        <w:rPr>
          <w:rFonts w:ascii="Cambria" w:eastAsia="Cambria" w:hAnsi="Cambria" w:cs="Cambria"/>
        </w:rPr>
        <w:t>will be identified through</w:t>
      </w:r>
      <w:r w:rsidRPr="00B31F0A">
        <w:rPr>
          <w:rFonts w:ascii="Cambria" w:eastAsia="Cambria" w:hAnsi="Cambria" w:cs="Cambria"/>
        </w:rPr>
        <w:t xml:space="preserve"> a stratified, random sample </w:t>
      </w:r>
      <w:r w:rsidR="008976F0" w:rsidRPr="00B31F0A">
        <w:rPr>
          <w:rFonts w:ascii="Cambria" w:eastAsia="Cambria" w:hAnsi="Cambria" w:cs="Cambria"/>
        </w:rPr>
        <w:t xml:space="preserve">of local health departments </w:t>
      </w:r>
      <w:r w:rsidRPr="00B31F0A">
        <w:rPr>
          <w:rFonts w:ascii="Cambria" w:eastAsia="Cambria" w:hAnsi="Cambria" w:cs="Cambria"/>
        </w:rPr>
        <w:t>sel</w:t>
      </w:r>
      <w:r w:rsidR="00814F21">
        <w:rPr>
          <w:rFonts w:ascii="Cambria" w:eastAsia="Cambria" w:hAnsi="Cambria" w:cs="Cambria"/>
        </w:rPr>
        <w:t>ected by NORC’s subcontractor, t</w:t>
      </w:r>
      <w:r w:rsidRPr="00B31F0A">
        <w:rPr>
          <w:rFonts w:ascii="Cambria" w:eastAsia="Cambria" w:hAnsi="Cambria" w:cs="Cambria"/>
        </w:rPr>
        <w:t xml:space="preserve">he National Association of County and City Health Officials (NACCHO). NACCHO </w:t>
      </w:r>
      <w:r w:rsidR="008976F0" w:rsidRPr="00B31F0A">
        <w:rPr>
          <w:rFonts w:ascii="Cambria" w:eastAsia="Cambria" w:hAnsi="Cambria" w:cs="Cambria"/>
        </w:rPr>
        <w:t xml:space="preserve">will </w:t>
      </w:r>
      <w:r w:rsidRPr="00B31F0A">
        <w:rPr>
          <w:rFonts w:ascii="Cambria" w:eastAsia="Cambria" w:hAnsi="Cambria" w:cs="Cambria"/>
        </w:rPr>
        <w:t xml:space="preserve">develop the sample from a sampling frame of 2,083 </w:t>
      </w:r>
      <w:r w:rsidR="008976F0" w:rsidRPr="00B31F0A">
        <w:rPr>
          <w:rFonts w:ascii="Cambria" w:eastAsia="Cambria" w:hAnsi="Cambria" w:cs="Cambria"/>
        </w:rPr>
        <w:t xml:space="preserve">member </w:t>
      </w:r>
      <w:r w:rsidRPr="00B31F0A">
        <w:rPr>
          <w:rFonts w:ascii="Cambria" w:eastAsia="Cambria" w:hAnsi="Cambria" w:cs="Cambria"/>
        </w:rPr>
        <w:t xml:space="preserve">local health departments. The sample of 500 local health departments is stratified by the population size served by the health department (&lt;50,000; 50,000 – 499,999; and 500,000+) and by the U.S. Census Bureau’s four major region classifications (Northeast; Midwest; South; and West), resulting in 12 strata for the sample. </w:t>
      </w:r>
      <w:r w:rsidR="00EA14F9" w:rsidRPr="00B31F0A">
        <w:rPr>
          <w:rFonts w:ascii="Cambria" w:eastAsia="Cambria" w:hAnsi="Cambria" w:cs="Cambria"/>
        </w:rPr>
        <w:t xml:space="preserve">NACCHO will conduct outreach and support recruitment for </w:t>
      </w:r>
      <w:r w:rsidR="008976F0" w:rsidRPr="00B31F0A">
        <w:rPr>
          <w:rFonts w:ascii="Cambria" w:eastAsia="Cambria" w:hAnsi="Cambria" w:cs="Cambria"/>
        </w:rPr>
        <w:t>the 500 local health departments in the sample</w:t>
      </w:r>
      <w:r w:rsidR="00EA14F9" w:rsidRPr="00B31F0A">
        <w:rPr>
          <w:rFonts w:ascii="Cambria" w:eastAsia="Cambria" w:hAnsi="Cambria" w:cs="Cambria"/>
        </w:rPr>
        <w:t>.</w:t>
      </w:r>
    </w:p>
    <w:p w14:paraId="68C03C22" w14:textId="77777777" w:rsidR="008976F0" w:rsidRDefault="008976F0" w:rsidP="007E04A2">
      <w:pPr>
        <w:spacing w:line="240" w:lineRule="auto"/>
        <w:ind w:left="360"/>
        <w:rPr>
          <w:rFonts w:ascii="Cambria" w:eastAsia="Cambria" w:hAnsi="Cambria" w:cs="Cambria"/>
          <w:color w:val="4F81BD" w:themeColor="accent1"/>
        </w:rPr>
      </w:pPr>
    </w:p>
    <w:p w14:paraId="173BEF4D"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71581AA3" w14:textId="77777777" w:rsidR="001D461D" w:rsidRDefault="001D461D" w:rsidP="002955E6">
      <w:pPr>
        <w:spacing w:line="240" w:lineRule="auto"/>
        <w:ind w:left="360"/>
      </w:pPr>
    </w:p>
    <w:p w14:paraId="5C02CBDC" w14:textId="3E7E9922" w:rsidR="00E33BBA" w:rsidRPr="009C13EF" w:rsidRDefault="00E33BBA" w:rsidP="00E33BBA">
      <w:pPr>
        <w:ind w:left="360"/>
      </w:pPr>
      <w:r w:rsidRPr="009C13EF">
        <w:t>Data will be collected via</w:t>
      </w:r>
      <w:r w:rsidR="4E5BAE16" w:rsidRPr="009C13EF">
        <w:t xml:space="preserve"> a web</w:t>
      </w:r>
      <w:r w:rsidR="008976F0" w:rsidRPr="009C13EF">
        <w:t>-based</w:t>
      </w:r>
      <w:r w:rsidR="00EA14F9" w:rsidRPr="009C13EF">
        <w:t xml:space="preserve"> assessment</w:t>
      </w:r>
      <w:r w:rsidR="4E5BAE16" w:rsidRPr="009C13EF">
        <w:t xml:space="preserve"> </w:t>
      </w:r>
      <w:r w:rsidR="00B31F0A" w:rsidRPr="00B112A5">
        <w:rPr>
          <w:b/>
        </w:rPr>
        <w:t>(</w:t>
      </w:r>
      <w:r w:rsidR="00B31F0A" w:rsidRPr="00B112A5">
        <w:rPr>
          <w:b/>
          <w:bCs/>
        </w:rPr>
        <w:t xml:space="preserve">Attachment B – </w:t>
      </w:r>
      <w:r w:rsidR="00B31F0A" w:rsidRPr="00B112A5">
        <w:rPr>
          <w:b/>
        </w:rPr>
        <w:t xml:space="preserve">Assessment Instrument Word Version and </w:t>
      </w:r>
      <w:r w:rsidR="00B31F0A" w:rsidRPr="00B112A5">
        <w:rPr>
          <w:b/>
          <w:bCs/>
        </w:rPr>
        <w:t xml:space="preserve">Attachment C – </w:t>
      </w:r>
      <w:r w:rsidR="00B31F0A" w:rsidRPr="00B112A5">
        <w:rPr>
          <w:b/>
        </w:rPr>
        <w:t>Assessment Instrument Web Version).</w:t>
      </w:r>
      <w:r w:rsidR="00B31F0A" w:rsidRPr="009C13EF">
        <w:t xml:space="preserve"> </w:t>
      </w:r>
      <w:r w:rsidR="009C13EF">
        <w:t>R</w:t>
      </w:r>
      <w:r w:rsidRPr="009C13EF">
        <w:t xml:space="preserve">espondents will be recruited through </w:t>
      </w:r>
      <w:r w:rsidR="009C13EF">
        <w:t>notification emails</w:t>
      </w:r>
      <w:r w:rsidR="008A3B7B" w:rsidRPr="009C13EF">
        <w:t>, described below</w:t>
      </w:r>
      <w:r w:rsidR="008976F0" w:rsidRPr="009C13EF">
        <w:t xml:space="preserve">, </w:t>
      </w:r>
      <w:r w:rsidRPr="009C13EF">
        <w:t xml:space="preserve">to the respondent universe.  The notification email will explain: </w:t>
      </w:r>
    </w:p>
    <w:p w14:paraId="72539F72" w14:textId="77777777"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0D18C12B" w14:textId="77777777" w:rsidR="00E33BBA" w:rsidRPr="009011A8" w:rsidRDefault="00E33BBA" w:rsidP="00E33BBA">
      <w:pPr>
        <w:pStyle w:val="ListParagraph"/>
        <w:numPr>
          <w:ilvl w:val="0"/>
          <w:numId w:val="24"/>
        </w:numPr>
        <w:ind w:left="1080"/>
      </w:pPr>
      <w:r>
        <w:t>Instructions for participating</w:t>
      </w:r>
    </w:p>
    <w:p w14:paraId="09B73FB4" w14:textId="77777777" w:rsidR="00E33BBA" w:rsidRPr="009011A8" w:rsidRDefault="00E33BBA" w:rsidP="00E33BBA">
      <w:pPr>
        <w:pStyle w:val="ListParagraph"/>
        <w:numPr>
          <w:ilvl w:val="0"/>
          <w:numId w:val="24"/>
        </w:numPr>
        <w:ind w:left="1080"/>
      </w:pPr>
      <w:r w:rsidRPr="009011A8">
        <w:t xml:space="preserve">Method to safeguard their responses </w:t>
      </w:r>
    </w:p>
    <w:p w14:paraId="56138EE4" w14:textId="77777777" w:rsidR="00E33BBA" w:rsidRPr="009011A8" w:rsidRDefault="00E33BBA" w:rsidP="00E33BBA">
      <w:pPr>
        <w:pStyle w:val="ListParagraph"/>
        <w:numPr>
          <w:ilvl w:val="0"/>
          <w:numId w:val="24"/>
        </w:numPr>
        <w:ind w:left="1080"/>
      </w:pPr>
      <w:r w:rsidRPr="009011A8">
        <w:t>That participation is voluntary</w:t>
      </w:r>
    </w:p>
    <w:p w14:paraId="475DAB00" w14:textId="77777777"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6F760799" w14:textId="77777777"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2A723D03" w14:textId="77777777" w:rsidR="00B80564" w:rsidRDefault="00B80564" w:rsidP="00B80564">
      <w:pPr>
        <w:spacing w:line="240" w:lineRule="auto"/>
        <w:ind w:left="360"/>
        <w:rPr>
          <w:rFonts w:ascii="Cambria" w:eastAsia="Cambria" w:hAnsi="Cambria" w:cs="Cambria"/>
        </w:rPr>
      </w:pPr>
    </w:p>
    <w:p w14:paraId="26798AA1" w14:textId="39A99370" w:rsidR="007E04A2" w:rsidRDefault="00EA14F9" w:rsidP="00814F21">
      <w:pPr>
        <w:ind w:left="360"/>
        <w:rPr>
          <w:rFonts w:ascii="Cambria" w:eastAsia="Cambria" w:hAnsi="Cambria" w:cs="Cambria"/>
        </w:rPr>
      </w:pPr>
      <w:r w:rsidRPr="00B80564">
        <w:rPr>
          <w:rFonts w:ascii="Cambria" w:eastAsia="Cambria" w:hAnsi="Cambria" w:cs="Cambria"/>
        </w:rPr>
        <w:t>R</w:t>
      </w:r>
      <w:r w:rsidR="007E04A2" w:rsidRPr="00B80564">
        <w:rPr>
          <w:rFonts w:ascii="Cambria" w:eastAsia="Cambria" w:hAnsi="Cambria" w:cs="Cambria"/>
        </w:rPr>
        <w:t xml:space="preserve">espondents will receive an initial advance </w:t>
      </w:r>
      <w:r w:rsidR="008A3B7B" w:rsidRPr="00B80564">
        <w:rPr>
          <w:rFonts w:ascii="Cambria" w:eastAsia="Cambria" w:hAnsi="Cambria" w:cs="Cambria"/>
        </w:rPr>
        <w:t>email</w:t>
      </w:r>
      <w:r w:rsidR="007E04A2" w:rsidRPr="00B80564">
        <w:rPr>
          <w:rFonts w:ascii="Cambria" w:eastAsia="Cambria" w:hAnsi="Cambria" w:cs="Cambria"/>
        </w:rPr>
        <w:t xml:space="preserve"> from </w:t>
      </w:r>
      <w:r w:rsidR="008A3B7B" w:rsidRPr="00B80564">
        <w:rPr>
          <w:rFonts w:ascii="Cambria" w:eastAsia="Cambria" w:hAnsi="Cambria" w:cs="Cambria"/>
        </w:rPr>
        <w:t xml:space="preserve">either </w:t>
      </w:r>
      <w:r w:rsidR="007E04A2" w:rsidRPr="00B80564">
        <w:rPr>
          <w:rFonts w:ascii="Cambria" w:eastAsia="Cambria" w:hAnsi="Cambria" w:cs="Cambria"/>
        </w:rPr>
        <w:t xml:space="preserve">ASTHO </w:t>
      </w:r>
      <w:r w:rsidR="008A3B7B" w:rsidRPr="00B80564">
        <w:rPr>
          <w:rFonts w:ascii="Cambria" w:eastAsia="Cambria" w:hAnsi="Cambria" w:cs="Cambria"/>
        </w:rPr>
        <w:t>or NACCHO. ASTHO will send an initial advance email to the</w:t>
      </w:r>
      <w:r w:rsidR="008976F0" w:rsidRPr="00B80564">
        <w:rPr>
          <w:rFonts w:ascii="Cambria" w:eastAsia="Cambria" w:hAnsi="Cambria" w:cs="Cambria"/>
        </w:rPr>
        <w:t xml:space="preserve"> total population sample of 62</w:t>
      </w:r>
      <w:r w:rsidR="007E04A2" w:rsidRPr="00B80564">
        <w:rPr>
          <w:rFonts w:ascii="Cambria" w:eastAsia="Cambria" w:hAnsi="Cambria" w:cs="Cambria"/>
        </w:rPr>
        <w:t xml:space="preserve"> PHEP </w:t>
      </w:r>
      <w:r w:rsidR="008A3B7B" w:rsidRPr="00B80564">
        <w:rPr>
          <w:rFonts w:ascii="Cambria" w:eastAsia="Cambria" w:hAnsi="Cambria" w:cs="Cambria"/>
        </w:rPr>
        <w:t>Cooperative Agreement awardee</w:t>
      </w:r>
      <w:r w:rsidR="007E04A2" w:rsidRPr="00B80564">
        <w:rPr>
          <w:rFonts w:ascii="Cambria" w:eastAsia="Cambria" w:hAnsi="Cambria" w:cs="Cambria"/>
        </w:rPr>
        <w:t xml:space="preserve"> respondents</w:t>
      </w:r>
      <w:r w:rsidR="008A3B7B" w:rsidRPr="00B80564">
        <w:rPr>
          <w:rFonts w:ascii="Cambria" w:eastAsia="Cambria" w:hAnsi="Cambria" w:cs="Cambria"/>
        </w:rPr>
        <w:t xml:space="preserve"> (Attachment </w:t>
      </w:r>
      <w:r w:rsidR="002379CA" w:rsidRPr="00B80564">
        <w:rPr>
          <w:rFonts w:ascii="Cambria" w:eastAsia="Cambria" w:hAnsi="Cambria" w:cs="Cambria"/>
        </w:rPr>
        <w:t>D – ASTHO Advance Email</w:t>
      </w:r>
      <w:r w:rsidR="007E04A2" w:rsidRPr="00B80564">
        <w:rPr>
          <w:rFonts w:ascii="Cambria" w:eastAsia="Cambria" w:hAnsi="Cambria" w:cs="Cambria"/>
        </w:rPr>
        <w:t>)</w:t>
      </w:r>
      <w:r w:rsidR="008A3B7B" w:rsidRPr="00B80564">
        <w:rPr>
          <w:rFonts w:ascii="Cambria" w:eastAsia="Cambria" w:hAnsi="Cambria" w:cs="Cambria"/>
        </w:rPr>
        <w:t>, and</w:t>
      </w:r>
      <w:r w:rsidR="007E04A2" w:rsidRPr="00B80564">
        <w:rPr>
          <w:rFonts w:ascii="Cambria" w:eastAsia="Cambria" w:hAnsi="Cambria" w:cs="Cambria"/>
        </w:rPr>
        <w:t xml:space="preserve"> NACCHO</w:t>
      </w:r>
      <w:r w:rsidR="008A3B7B" w:rsidRPr="00B80564">
        <w:rPr>
          <w:rFonts w:ascii="Cambria" w:eastAsia="Cambria" w:hAnsi="Cambria" w:cs="Cambria"/>
        </w:rPr>
        <w:t xml:space="preserve"> will send an initial advance email to the</w:t>
      </w:r>
      <w:r w:rsidR="008976F0" w:rsidRPr="00B80564">
        <w:rPr>
          <w:rFonts w:ascii="Cambria" w:eastAsia="Cambria" w:hAnsi="Cambria" w:cs="Cambria"/>
        </w:rPr>
        <w:t xml:space="preserve"> sample of 500</w:t>
      </w:r>
      <w:r w:rsidR="007E04A2" w:rsidRPr="00B80564">
        <w:rPr>
          <w:rFonts w:ascii="Cambria" w:eastAsia="Cambria" w:hAnsi="Cambria" w:cs="Cambria"/>
        </w:rPr>
        <w:t xml:space="preserve"> local health department respondents</w:t>
      </w:r>
      <w:r w:rsidR="008A3B7B" w:rsidRPr="00B80564">
        <w:rPr>
          <w:rFonts w:ascii="Cambria" w:eastAsia="Cambria" w:hAnsi="Cambria" w:cs="Cambria"/>
        </w:rPr>
        <w:t xml:space="preserve"> (Attachment </w:t>
      </w:r>
      <w:r w:rsidR="002379CA" w:rsidRPr="00B80564">
        <w:rPr>
          <w:rFonts w:ascii="Cambria" w:eastAsia="Cambria" w:hAnsi="Cambria" w:cs="Cambria"/>
        </w:rPr>
        <w:t>E – NACCHO Advance Email</w:t>
      </w:r>
      <w:r w:rsidR="007E04A2" w:rsidRPr="00B80564">
        <w:rPr>
          <w:rFonts w:ascii="Cambria" w:eastAsia="Cambria" w:hAnsi="Cambria" w:cs="Cambria"/>
        </w:rPr>
        <w:t xml:space="preserve">) informing them of the upcoming </w:t>
      </w:r>
      <w:r w:rsidRPr="00B80564">
        <w:rPr>
          <w:rFonts w:ascii="Cambria" w:eastAsia="Cambria" w:hAnsi="Cambria" w:cs="Cambria"/>
        </w:rPr>
        <w:t>assessment</w:t>
      </w:r>
      <w:r w:rsidR="007E04A2" w:rsidRPr="00B80564">
        <w:rPr>
          <w:rFonts w:ascii="Cambria" w:eastAsia="Cambria" w:hAnsi="Cambria" w:cs="Cambria"/>
        </w:rPr>
        <w:t xml:space="preserve">. Following the advance </w:t>
      </w:r>
      <w:r w:rsidR="008A3B7B" w:rsidRPr="00B80564">
        <w:rPr>
          <w:rFonts w:ascii="Cambria" w:eastAsia="Cambria" w:hAnsi="Cambria" w:cs="Cambria"/>
        </w:rPr>
        <w:t>email</w:t>
      </w:r>
      <w:r w:rsidR="007E04A2" w:rsidRPr="00B80564">
        <w:rPr>
          <w:rFonts w:ascii="Cambria" w:eastAsia="Cambria" w:hAnsi="Cambria" w:cs="Cambria"/>
        </w:rPr>
        <w:t xml:space="preserve">, NORC will send an </w:t>
      </w:r>
      <w:r w:rsidR="008976F0" w:rsidRPr="00B80564">
        <w:rPr>
          <w:rFonts w:ascii="Cambria" w:eastAsia="Cambria" w:hAnsi="Cambria" w:cs="Cambria"/>
        </w:rPr>
        <w:t xml:space="preserve">invitation </w:t>
      </w:r>
      <w:r w:rsidR="007E04A2" w:rsidRPr="00B80564">
        <w:rPr>
          <w:rFonts w:ascii="Cambria" w:eastAsia="Cambria" w:hAnsi="Cambria" w:cs="Cambria"/>
        </w:rPr>
        <w:t>email to all respondents</w:t>
      </w:r>
      <w:r w:rsidR="008A3B7B" w:rsidRPr="00B80564">
        <w:rPr>
          <w:rFonts w:ascii="Cambria" w:eastAsia="Cambria" w:hAnsi="Cambria" w:cs="Cambria"/>
        </w:rPr>
        <w:t xml:space="preserve"> (Attachment </w:t>
      </w:r>
      <w:r w:rsidR="002379CA" w:rsidRPr="00B80564">
        <w:rPr>
          <w:rFonts w:ascii="Cambria" w:eastAsia="Cambria" w:hAnsi="Cambria" w:cs="Cambria"/>
        </w:rPr>
        <w:t>F – NORC Invitation Email</w:t>
      </w:r>
      <w:r w:rsidR="008A3B7B" w:rsidRPr="00B80564">
        <w:rPr>
          <w:rFonts w:ascii="Cambria" w:eastAsia="Cambria" w:hAnsi="Cambria" w:cs="Cambria"/>
        </w:rPr>
        <w:t>)</w:t>
      </w:r>
      <w:r w:rsidR="008976F0" w:rsidRPr="00B80564">
        <w:rPr>
          <w:rFonts w:ascii="Cambria" w:eastAsia="Cambria" w:hAnsi="Cambria" w:cs="Cambria"/>
        </w:rPr>
        <w:t xml:space="preserve"> that includes</w:t>
      </w:r>
      <w:r w:rsidR="007E04A2" w:rsidRPr="00B80564">
        <w:rPr>
          <w:rFonts w:ascii="Cambria" w:eastAsia="Cambria" w:hAnsi="Cambria" w:cs="Cambria"/>
        </w:rPr>
        <w:t xml:space="preserve"> a written explanation of the purposes of the </w:t>
      </w:r>
      <w:r w:rsidR="008A3B7B" w:rsidRPr="00B80564">
        <w:rPr>
          <w:rFonts w:ascii="Cambria" w:eastAsia="Cambria" w:hAnsi="Cambria" w:cs="Cambria"/>
        </w:rPr>
        <w:t>assessment</w:t>
      </w:r>
      <w:r w:rsidR="00814F21">
        <w:rPr>
          <w:rFonts w:ascii="Cambria" w:eastAsia="Cambria" w:hAnsi="Cambria" w:cs="Cambria"/>
        </w:rPr>
        <w:t xml:space="preserve">, </w:t>
      </w:r>
      <w:r w:rsidR="007E04A2" w:rsidRPr="00B80564">
        <w:rPr>
          <w:rFonts w:ascii="Cambria" w:eastAsia="Cambria" w:hAnsi="Cambria" w:cs="Cambria"/>
        </w:rPr>
        <w:t>a contact for questions, a link to the web</w:t>
      </w:r>
      <w:r w:rsidR="008976F0" w:rsidRPr="00B80564">
        <w:rPr>
          <w:rFonts w:ascii="Cambria" w:eastAsia="Cambria" w:hAnsi="Cambria" w:cs="Cambria"/>
        </w:rPr>
        <w:t>-based</w:t>
      </w:r>
      <w:r w:rsidR="007E04A2" w:rsidRPr="00B80564">
        <w:rPr>
          <w:rFonts w:ascii="Cambria" w:eastAsia="Cambria" w:hAnsi="Cambria" w:cs="Cambria"/>
        </w:rPr>
        <w:t xml:space="preserve"> </w:t>
      </w:r>
      <w:r w:rsidRPr="00B80564">
        <w:rPr>
          <w:rFonts w:ascii="Cambria" w:eastAsia="Cambria" w:hAnsi="Cambria" w:cs="Cambria"/>
        </w:rPr>
        <w:t>assessment</w:t>
      </w:r>
      <w:r w:rsidR="007E04A2" w:rsidRPr="00B80564">
        <w:rPr>
          <w:rFonts w:ascii="Cambria" w:eastAsia="Cambria" w:hAnsi="Cambria" w:cs="Cambria"/>
        </w:rPr>
        <w:t xml:space="preserve">, and an indication that participants can choose not to respond to all the questions or complete the </w:t>
      </w:r>
      <w:r w:rsidR="00DC1969" w:rsidRPr="00B80564">
        <w:rPr>
          <w:rFonts w:ascii="Cambria" w:eastAsia="Cambria" w:hAnsi="Cambria" w:cs="Cambria"/>
        </w:rPr>
        <w:t>assessment.</w:t>
      </w:r>
    </w:p>
    <w:p w14:paraId="7B9B73C1" w14:textId="77777777" w:rsidR="00B80564" w:rsidRPr="00B80564" w:rsidRDefault="00B80564" w:rsidP="00814F21">
      <w:pPr>
        <w:ind w:left="360"/>
        <w:rPr>
          <w:rFonts w:ascii="Cambria" w:eastAsia="Cambria" w:hAnsi="Cambria" w:cs="Cambria"/>
        </w:rPr>
      </w:pPr>
    </w:p>
    <w:p w14:paraId="1FC8100B" w14:textId="5EA82782" w:rsidR="007E04A2" w:rsidRDefault="007E04A2" w:rsidP="00814F21">
      <w:pPr>
        <w:ind w:left="360"/>
        <w:rPr>
          <w:rFonts w:ascii="Cambria" w:eastAsia="Cambria" w:hAnsi="Cambria" w:cs="Cambria"/>
        </w:rPr>
      </w:pPr>
      <w:r w:rsidRPr="00B80564">
        <w:rPr>
          <w:rFonts w:ascii="Cambria" w:eastAsia="Cambria" w:hAnsi="Cambria" w:cs="Cambria"/>
        </w:rPr>
        <w:t xml:space="preserve">The </w:t>
      </w:r>
      <w:r w:rsidR="00EA14F9" w:rsidRPr="00B80564">
        <w:rPr>
          <w:rFonts w:ascii="Cambria" w:eastAsia="Cambria" w:hAnsi="Cambria" w:cs="Cambria"/>
        </w:rPr>
        <w:t xml:space="preserve">assessment </w:t>
      </w:r>
      <w:r w:rsidRPr="00B80564">
        <w:rPr>
          <w:rFonts w:ascii="Cambria" w:eastAsia="Cambria" w:hAnsi="Cambria" w:cs="Cambria"/>
        </w:rPr>
        <w:t xml:space="preserve">will remain open for six weeks. This will ensure that respondents have adequate time to complete the </w:t>
      </w:r>
      <w:r w:rsidR="008976F0" w:rsidRPr="00B80564">
        <w:rPr>
          <w:rFonts w:ascii="Cambria" w:eastAsia="Cambria" w:hAnsi="Cambria" w:cs="Cambria"/>
        </w:rPr>
        <w:t xml:space="preserve">web-based </w:t>
      </w:r>
      <w:r w:rsidRPr="00B80564">
        <w:rPr>
          <w:rFonts w:ascii="Cambria" w:eastAsia="Cambria" w:hAnsi="Cambria" w:cs="Cambria"/>
        </w:rPr>
        <w:t xml:space="preserve">assessment at their convenience and will also encourage a high response rate. NORC will send three email reminders </w:t>
      </w:r>
      <w:r w:rsidR="008A3B7B" w:rsidRPr="00B80564">
        <w:rPr>
          <w:rFonts w:ascii="Cambria" w:eastAsia="Cambria" w:hAnsi="Cambria" w:cs="Cambria"/>
        </w:rPr>
        <w:t xml:space="preserve">(Attachment </w:t>
      </w:r>
      <w:r w:rsidR="002379CA" w:rsidRPr="00B80564">
        <w:rPr>
          <w:rFonts w:ascii="Cambria" w:eastAsia="Cambria" w:hAnsi="Cambria" w:cs="Cambria"/>
        </w:rPr>
        <w:t>G – NORC Email Reminder 1</w:t>
      </w:r>
      <w:r w:rsidR="008A3B7B" w:rsidRPr="00B80564">
        <w:rPr>
          <w:rFonts w:ascii="Cambria" w:eastAsia="Cambria" w:hAnsi="Cambria" w:cs="Cambria"/>
        </w:rPr>
        <w:t xml:space="preserve">; Attachment </w:t>
      </w:r>
      <w:r w:rsidR="00687EE9">
        <w:rPr>
          <w:rFonts w:ascii="Cambria" w:eastAsia="Cambria" w:hAnsi="Cambria" w:cs="Cambria"/>
        </w:rPr>
        <w:t xml:space="preserve">H – NORC Email Reminder </w:t>
      </w:r>
      <w:r w:rsidR="002379CA" w:rsidRPr="00B80564">
        <w:rPr>
          <w:rFonts w:ascii="Cambria" w:eastAsia="Cambria" w:hAnsi="Cambria" w:cs="Cambria"/>
        </w:rPr>
        <w:t>2</w:t>
      </w:r>
      <w:r w:rsidR="008A3B7B" w:rsidRPr="00B80564">
        <w:rPr>
          <w:rFonts w:ascii="Cambria" w:eastAsia="Cambria" w:hAnsi="Cambria" w:cs="Cambria"/>
        </w:rPr>
        <w:t xml:space="preserve">; and Attachment </w:t>
      </w:r>
      <w:r w:rsidR="002379CA" w:rsidRPr="00B80564">
        <w:rPr>
          <w:rFonts w:ascii="Cambria" w:eastAsia="Cambria" w:hAnsi="Cambria" w:cs="Cambria"/>
        </w:rPr>
        <w:t>I – NORC Final Email Reminder</w:t>
      </w:r>
      <w:r w:rsidR="008A3B7B" w:rsidRPr="00B80564">
        <w:rPr>
          <w:rFonts w:ascii="Cambria" w:eastAsia="Cambria" w:hAnsi="Cambria" w:cs="Cambria"/>
        </w:rPr>
        <w:t xml:space="preserve">) </w:t>
      </w:r>
      <w:r w:rsidRPr="00B80564">
        <w:rPr>
          <w:rFonts w:ascii="Cambria" w:eastAsia="Cambria" w:hAnsi="Cambria" w:cs="Cambria"/>
        </w:rPr>
        <w:t xml:space="preserve">throughout the six-week data collection period to non-responders and those who have partially completed the </w:t>
      </w:r>
      <w:r w:rsidR="00EA14F9" w:rsidRPr="00B80564">
        <w:rPr>
          <w:rFonts w:ascii="Cambria" w:eastAsia="Cambria" w:hAnsi="Cambria" w:cs="Cambria"/>
        </w:rPr>
        <w:t>assessment</w:t>
      </w:r>
      <w:r w:rsidRPr="00B80564">
        <w:rPr>
          <w:rFonts w:ascii="Cambria" w:eastAsia="Cambria" w:hAnsi="Cambria" w:cs="Cambria"/>
        </w:rPr>
        <w:t xml:space="preserve">. The first </w:t>
      </w:r>
      <w:r w:rsidR="008976F0" w:rsidRPr="00B80564">
        <w:rPr>
          <w:rFonts w:ascii="Cambria" w:eastAsia="Cambria" w:hAnsi="Cambria" w:cs="Cambria"/>
        </w:rPr>
        <w:t xml:space="preserve">email </w:t>
      </w:r>
      <w:r w:rsidRPr="00B80564">
        <w:rPr>
          <w:rFonts w:ascii="Cambria" w:eastAsia="Cambria" w:hAnsi="Cambria" w:cs="Cambria"/>
        </w:rPr>
        <w:t xml:space="preserve">reminder will be sent two weeks following the initial </w:t>
      </w:r>
      <w:r w:rsidR="008976F0" w:rsidRPr="00B80564">
        <w:rPr>
          <w:rFonts w:ascii="Cambria" w:eastAsia="Cambria" w:hAnsi="Cambria" w:cs="Cambria"/>
        </w:rPr>
        <w:t xml:space="preserve">invitation </w:t>
      </w:r>
      <w:r w:rsidRPr="00B80564">
        <w:rPr>
          <w:rFonts w:ascii="Cambria" w:eastAsia="Cambria" w:hAnsi="Cambria" w:cs="Cambria"/>
        </w:rPr>
        <w:t xml:space="preserve">email from NORC, the second </w:t>
      </w:r>
      <w:r w:rsidR="008976F0" w:rsidRPr="00B80564">
        <w:rPr>
          <w:rFonts w:ascii="Cambria" w:eastAsia="Cambria" w:hAnsi="Cambria" w:cs="Cambria"/>
        </w:rPr>
        <w:t xml:space="preserve">email </w:t>
      </w:r>
      <w:r w:rsidRPr="00B80564">
        <w:rPr>
          <w:rFonts w:ascii="Cambria" w:eastAsia="Cambria" w:hAnsi="Cambria" w:cs="Cambria"/>
        </w:rPr>
        <w:t xml:space="preserve">reminder will be sent at four weeks, and the final </w:t>
      </w:r>
      <w:r w:rsidR="008976F0" w:rsidRPr="00B80564">
        <w:rPr>
          <w:rFonts w:ascii="Cambria" w:eastAsia="Cambria" w:hAnsi="Cambria" w:cs="Cambria"/>
        </w:rPr>
        <w:t xml:space="preserve">email </w:t>
      </w:r>
      <w:r w:rsidRPr="00B80564">
        <w:rPr>
          <w:rFonts w:ascii="Cambria" w:eastAsia="Cambria" w:hAnsi="Cambria" w:cs="Cambria"/>
        </w:rPr>
        <w:t>reminder will be sent at five weeks. Those who do not respond by the close of data collection will be considered non-responders.</w:t>
      </w:r>
    </w:p>
    <w:p w14:paraId="15B4A0E3" w14:textId="77777777" w:rsidR="00B80564" w:rsidRPr="00B80564" w:rsidRDefault="00B80564" w:rsidP="00814F21">
      <w:pPr>
        <w:ind w:left="360"/>
        <w:rPr>
          <w:rFonts w:ascii="Cambria" w:eastAsia="Cambria" w:hAnsi="Cambria" w:cs="Cambria"/>
        </w:rPr>
      </w:pPr>
    </w:p>
    <w:p w14:paraId="3FCEA47E" w14:textId="26C33289" w:rsidR="006C1771" w:rsidRPr="00B80564" w:rsidRDefault="007E04A2" w:rsidP="00814F21">
      <w:pPr>
        <w:ind w:left="360"/>
        <w:rPr>
          <w:rFonts w:ascii="Cambria" w:eastAsia="Cambria" w:hAnsi="Cambria" w:cs="Cambria"/>
        </w:rPr>
      </w:pPr>
      <w:r w:rsidRPr="00B80564">
        <w:rPr>
          <w:rFonts w:ascii="Cambria" w:eastAsia="Cambria" w:hAnsi="Cambria" w:cs="Cambria"/>
        </w:rPr>
        <w:t>The information will be collected from respondents via the web</w:t>
      </w:r>
      <w:r w:rsidR="008976F0" w:rsidRPr="00B80564">
        <w:rPr>
          <w:rFonts w:ascii="Cambria" w:eastAsia="Cambria" w:hAnsi="Cambria" w:cs="Cambria"/>
        </w:rPr>
        <w:t xml:space="preserve">-based </w:t>
      </w:r>
      <w:r w:rsidR="00EA14F9" w:rsidRPr="00B80564">
        <w:rPr>
          <w:rFonts w:ascii="Cambria" w:eastAsia="Cambria" w:hAnsi="Cambria" w:cs="Cambria"/>
        </w:rPr>
        <w:t>assessment</w:t>
      </w:r>
      <w:r w:rsidRPr="00B80564">
        <w:rPr>
          <w:rFonts w:ascii="Cambria" w:eastAsia="Cambria" w:hAnsi="Cambria" w:cs="Cambria"/>
        </w:rPr>
        <w:t xml:space="preserve"> instrument programmed in NORC's proprietary software, "Liberty." The data will be stored on the internal NORC secure file server which NORC owns. The data will be stored in this server and will be maintained by NORC and hosted on the NORC network. The server controls rights and permissions to access the data files, and access to the file server is authorized only for designated project staff.</w:t>
      </w:r>
      <w:r w:rsidR="008A3B7B" w:rsidRPr="00B80564">
        <w:rPr>
          <w:rFonts w:ascii="Cambria" w:eastAsia="Cambria" w:hAnsi="Cambria" w:cs="Cambria"/>
        </w:rPr>
        <w:t xml:space="preserve"> CDC will receive an aggregate summary of the data analysis via analytic tables and a written summary report. </w:t>
      </w:r>
    </w:p>
    <w:p w14:paraId="75895D19" w14:textId="77777777" w:rsidR="001D461D" w:rsidRDefault="001D461D" w:rsidP="00176E14">
      <w:pPr>
        <w:spacing w:line="240" w:lineRule="auto"/>
        <w:ind w:left="0"/>
      </w:pPr>
    </w:p>
    <w:p w14:paraId="31C5746E"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7F106C9C" w14:textId="77777777" w:rsidR="001D461D" w:rsidRDefault="001D461D" w:rsidP="002955E6">
      <w:pPr>
        <w:spacing w:line="240" w:lineRule="auto"/>
        <w:ind w:left="360"/>
        <w:rPr>
          <w:b/>
          <w:color w:val="0070C0"/>
        </w:rPr>
      </w:pPr>
    </w:p>
    <w:p w14:paraId="52BF7466" w14:textId="77777777" w:rsidR="007E04A2" w:rsidRPr="001D2951" w:rsidRDefault="007E04A2" w:rsidP="00814F21">
      <w:pPr>
        <w:pStyle w:val="ListParagraph"/>
        <w:ind w:left="360"/>
        <w:rPr>
          <w:rFonts w:cs="Times New Roman"/>
        </w:rPr>
      </w:pPr>
      <w:r w:rsidRPr="001D2951">
        <w:rPr>
          <w:rFonts w:cs="Times New Roman"/>
        </w:rPr>
        <w:t xml:space="preserve">Although participation in the data collection is voluntary, the project team </w:t>
      </w:r>
      <w:r>
        <w:rPr>
          <w:rFonts w:cs="Times New Roman"/>
        </w:rPr>
        <w:t xml:space="preserve">will make every </w:t>
      </w:r>
      <w:r w:rsidRPr="001D2951">
        <w:rPr>
          <w:rFonts w:cs="Times New Roman"/>
        </w:rPr>
        <w:t xml:space="preserve">effort to maximize the rate of response. The data collection instrument was designed with particular focus on streamlining questions to allow for skipping questions based on responses to previous questions, thereby minimizing response burden. </w:t>
      </w:r>
    </w:p>
    <w:p w14:paraId="15E15F79" w14:textId="77777777" w:rsidR="007E04A2" w:rsidRPr="001D2951" w:rsidRDefault="007E04A2" w:rsidP="00814F21">
      <w:pPr>
        <w:pStyle w:val="ListParagraph"/>
        <w:ind w:left="360"/>
        <w:rPr>
          <w:rFonts w:cs="Times New Roman"/>
        </w:rPr>
      </w:pPr>
    </w:p>
    <w:p w14:paraId="02186673" w14:textId="75D39AF9" w:rsidR="007E04A2" w:rsidRPr="00810C33" w:rsidRDefault="007E04A2" w:rsidP="00814F21">
      <w:pPr>
        <w:ind w:left="360"/>
        <w:rPr>
          <w:rFonts w:cs="Arial"/>
        </w:rPr>
      </w:pPr>
      <w:r w:rsidRPr="001D2951">
        <w:t xml:space="preserve">Following the distribution of the invitation to participate in the </w:t>
      </w:r>
      <w:r>
        <w:t>data collection</w:t>
      </w:r>
      <w:r w:rsidRPr="001D2951">
        <w:t xml:space="preserve">, </w:t>
      </w:r>
      <w:r w:rsidRPr="003161B9">
        <w:t xml:space="preserve">respondents will </w:t>
      </w:r>
      <w:r w:rsidRPr="00810C33">
        <w:t xml:space="preserve">have </w:t>
      </w:r>
      <w:r w:rsidR="00392A79">
        <w:t>6 weeks</w:t>
      </w:r>
      <w:r w:rsidRPr="00810C33">
        <w:t xml:space="preserve"> to complete the instrument. Those who do not respond within 10, 20, and 25 business days will receive a reminder (e.g., email reminders, see Attachment</w:t>
      </w:r>
      <w:r w:rsidR="008B7102" w:rsidRPr="00810C33">
        <w:t>s</w:t>
      </w:r>
      <w:r w:rsidRPr="00810C33">
        <w:t xml:space="preserve"> </w:t>
      </w:r>
      <w:r w:rsidR="008B7102" w:rsidRPr="00810C33">
        <w:t>G, H, and I</w:t>
      </w:r>
      <w:r w:rsidRPr="00810C33">
        <w:t xml:space="preserve">) urging them to complete the instrument. </w:t>
      </w:r>
      <w:r w:rsidRPr="00810C33">
        <w:rPr>
          <w:rFonts w:cs="Arial"/>
        </w:rPr>
        <w:t>Those who do not respond within 30 business days from the reminder email will be considered non-responders.</w:t>
      </w:r>
    </w:p>
    <w:p w14:paraId="7D1EF3CF" w14:textId="77777777" w:rsidR="007E04A2" w:rsidRPr="00176E14" w:rsidRDefault="007E04A2" w:rsidP="007E04A2">
      <w:pPr>
        <w:spacing w:line="240" w:lineRule="auto"/>
        <w:ind w:left="360"/>
        <w:rPr>
          <w:rFonts w:cs="Arial"/>
        </w:rPr>
      </w:pPr>
    </w:p>
    <w:p w14:paraId="09E6F0B1"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7BAC7B75" w14:textId="77777777" w:rsidR="00865573" w:rsidRDefault="00865573" w:rsidP="002955E6">
      <w:pPr>
        <w:spacing w:line="240" w:lineRule="auto"/>
        <w:ind w:left="360"/>
        <w:rPr>
          <w:color w:val="000000"/>
          <w:lang w:eastAsia="zh-CN"/>
        </w:rPr>
      </w:pPr>
    </w:p>
    <w:p w14:paraId="3C330754" w14:textId="432D18F9" w:rsidR="007E04A2" w:rsidRDefault="007E04A2" w:rsidP="00814F21">
      <w:pPr>
        <w:ind w:left="360"/>
      </w:pPr>
      <w:r w:rsidRPr="001D2951">
        <w:rPr>
          <w:color w:val="000000"/>
          <w:lang w:eastAsia="zh-CN"/>
        </w:rPr>
        <w:t xml:space="preserve">The estimate for burden hours is based on a pilot test of the </w:t>
      </w:r>
      <w:r>
        <w:rPr>
          <w:color w:val="000000"/>
          <w:lang w:eastAsia="zh-CN"/>
        </w:rPr>
        <w:t>data collection</w:t>
      </w:r>
      <w:r w:rsidRPr="001D2951">
        <w:rPr>
          <w:color w:val="000000"/>
          <w:lang w:eastAsia="zh-CN"/>
        </w:rPr>
        <w:t xml:space="preserve"> instrument by</w:t>
      </w:r>
      <w:r w:rsidR="007D4972">
        <w:rPr>
          <w:color w:val="000000"/>
          <w:lang w:eastAsia="zh-CN"/>
        </w:rPr>
        <w:t xml:space="preserve"> eight</w:t>
      </w:r>
      <w:r w:rsidRPr="003161B9">
        <w:rPr>
          <w:color w:val="0070C0"/>
          <w:lang w:eastAsia="zh-CN"/>
        </w:rPr>
        <w:t xml:space="preserve">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was approximately </w:t>
      </w:r>
      <w:r>
        <w:rPr>
          <w:color w:val="000000"/>
          <w:lang w:eastAsia="zh-CN"/>
        </w:rPr>
        <w:t>30</w:t>
      </w:r>
      <w:r w:rsidRPr="003161B9">
        <w:rPr>
          <w:color w:val="0070C0"/>
          <w:lang w:eastAsia="zh-CN"/>
        </w:rPr>
        <w:t xml:space="preserve"> </w:t>
      </w:r>
      <w:r w:rsidRPr="003161B9">
        <w:rPr>
          <w:color w:val="000000"/>
          <w:lang w:eastAsia="zh-CN"/>
        </w:rPr>
        <w:t xml:space="preserve">minutes (range: </w:t>
      </w:r>
      <w:r>
        <w:rPr>
          <w:color w:val="000000"/>
          <w:lang w:eastAsia="zh-CN"/>
        </w:rPr>
        <w:t>20</w:t>
      </w:r>
      <w:r w:rsidRPr="003161B9">
        <w:rPr>
          <w:color w:val="000000"/>
          <w:lang w:eastAsia="zh-CN"/>
        </w:rPr>
        <w:t xml:space="preserve"> to </w:t>
      </w:r>
      <w:r>
        <w:rPr>
          <w:color w:val="000000"/>
          <w:lang w:eastAsia="zh-CN"/>
        </w:rPr>
        <w:t>35</w:t>
      </w:r>
      <w:r w:rsidRPr="003161B9">
        <w:rPr>
          <w:color w:val="000000"/>
          <w:lang w:eastAsia="zh-CN"/>
        </w:rPr>
        <w:t xml:space="preserve"> minutes). For the purposes of estimating burden hours, the upper limit of this range (i.e., </w:t>
      </w:r>
      <w:r>
        <w:rPr>
          <w:color w:val="000000"/>
          <w:lang w:eastAsia="zh-CN"/>
        </w:rPr>
        <w:t>35</w:t>
      </w:r>
      <w:r w:rsidRPr="001D2951">
        <w:rPr>
          <w:color w:val="0070C0"/>
          <w:lang w:eastAsia="zh-CN"/>
        </w:rPr>
        <w:t xml:space="preserve"> </w:t>
      </w:r>
      <w:r w:rsidRPr="001D2951">
        <w:rPr>
          <w:color w:val="000000"/>
          <w:lang w:eastAsia="zh-CN"/>
        </w:rPr>
        <w:t>minutes) is used.</w:t>
      </w:r>
    </w:p>
    <w:p w14:paraId="31AE2378" w14:textId="77777777" w:rsidR="004D70EE" w:rsidRDefault="004D70EE" w:rsidP="004D70EE">
      <w:pPr>
        <w:spacing w:line="240" w:lineRule="auto"/>
        <w:ind w:left="360"/>
      </w:pPr>
    </w:p>
    <w:p w14:paraId="33D91A07"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2AC85490" w14:textId="77777777" w:rsidR="00F27049" w:rsidRDefault="00F27049" w:rsidP="002955E6">
      <w:pPr>
        <w:spacing w:line="240" w:lineRule="auto"/>
        <w:ind w:left="360"/>
        <w:rPr>
          <w:b/>
          <w:color w:val="0070C0"/>
        </w:rPr>
      </w:pPr>
    </w:p>
    <w:p w14:paraId="52F75116" w14:textId="77777777" w:rsidR="00503432" w:rsidRPr="000F7C1E" w:rsidRDefault="00503432" w:rsidP="00B80564">
      <w:pPr>
        <w:ind w:left="360"/>
      </w:pPr>
      <w:r>
        <w:t>Eric Carbone, PhD, MBA, Director of Applied Research, OPHPR, CDC</w:t>
      </w:r>
    </w:p>
    <w:p w14:paraId="7DF9F8C4" w14:textId="133C4866" w:rsidR="00503432" w:rsidRDefault="00503432" w:rsidP="00814F21">
      <w:pPr>
        <w:ind w:left="360"/>
        <w:rPr>
          <w:rStyle w:val="Hyperlink"/>
          <w:color w:val="0070C0"/>
        </w:rPr>
      </w:pPr>
      <w:r w:rsidRPr="000F7C1E">
        <w:t xml:space="preserve">Phone: </w:t>
      </w:r>
      <w:r w:rsidRPr="00503432">
        <w:t>770.488.8131</w:t>
      </w:r>
      <w:r w:rsidR="00814F21">
        <w:t xml:space="preserve">; </w:t>
      </w:r>
      <w:r w:rsidRPr="000F7C1E">
        <w:t xml:space="preserve">Email: </w:t>
      </w:r>
      <w:hyperlink r:id="rId14" w:history="1">
        <w:r w:rsidRPr="006C09BB">
          <w:rPr>
            <w:rStyle w:val="Hyperlink"/>
          </w:rPr>
          <w:t>vln0@cdc.gov</w:t>
        </w:r>
      </w:hyperlink>
      <w:r>
        <w:rPr>
          <w:rStyle w:val="Hyperlink"/>
        </w:rPr>
        <w:t xml:space="preserve"> </w:t>
      </w:r>
    </w:p>
    <w:p w14:paraId="7D758BBC" w14:textId="1EE2B6EA" w:rsidR="00503432" w:rsidRDefault="00503432" w:rsidP="00B80564">
      <w:pPr>
        <w:ind w:left="360"/>
      </w:pPr>
    </w:p>
    <w:p w14:paraId="5A55B4CD" w14:textId="3B7109D0" w:rsidR="00503432" w:rsidRPr="000F7C1E" w:rsidRDefault="00503432" w:rsidP="00B80564">
      <w:pPr>
        <w:ind w:left="360"/>
      </w:pPr>
      <w:r>
        <w:t>Erin Thomas, PhD, ORISE Fellow, OPHPR, CDC</w:t>
      </w:r>
    </w:p>
    <w:p w14:paraId="73C3CA55" w14:textId="6FAEC163" w:rsidR="00503432" w:rsidRDefault="00503432" w:rsidP="00814F21">
      <w:pPr>
        <w:ind w:left="360"/>
        <w:rPr>
          <w:rStyle w:val="Hyperlink"/>
          <w:color w:val="0070C0"/>
        </w:rPr>
      </w:pPr>
      <w:r w:rsidRPr="000F7C1E">
        <w:t xml:space="preserve">Phone: </w:t>
      </w:r>
      <w:r>
        <w:t>404.579.0844</w:t>
      </w:r>
      <w:r w:rsidR="00814F21">
        <w:t xml:space="preserve">; </w:t>
      </w:r>
      <w:r w:rsidRPr="000F7C1E">
        <w:t xml:space="preserve">Email: </w:t>
      </w:r>
      <w:hyperlink r:id="rId15" w:history="1">
        <w:r w:rsidRPr="006C09BB">
          <w:rPr>
            <w:rStyle w:val="Hyperlink"/>
          </w:rPr>
          <w:t>kqn4@cdc.gov</w:t>
        </w:r>
      </w:hyperlink>
      <w:r>
        <w:rPr>
          <w:rStyle w:val="Hyperlink"/>
        </w:rPr>
        <w:t xml:space="preserve"> </w:t>
      </w:r>
    </w:p>
    <w:p w14:paraId="7A8FFA02" w14:textId="77777777" w:rsidR="00503432" w:rsidRDefault="00503432" w:rsidP="00B80564">
      <w:pPr>
        <w:ind w:left="360"/>
      </w:pPr>
    </w:p>
    <w:p w14:paraId="666CAA67" w14:textId="4FAD2734" w:rsidR="008976F0" w:rsidRPr="000F7C1E" w:rsidRDefault="008976F0" w:rsidP="00B80564">
      <w:pPr>
        <w:ind w:left="360"/>
      </w:pPr>
      <w:r>
        <w:t>Mi</w:t>
      </w:r>
      <w:r w:rsidRPr="000F7C1E">
        <w:t>chael Meit</w:t>
      </w:r>
      <w:r>
        <w:t>, MA, MPH, NORC Senior Fellow</w:t>
      </w:r>
    </w:p>
    <w:p w14:paraId="2317C85D" w14:textId="4567FB41" w:rsidR="008976F0" w:rsidRDefault="008976F0" w:rsidP="00814F21">
      <w:pPr>
        <w:ind w:left="360"/>
        <w:rPr>
          <w:rStyle w:val="Hyperlink"/>
          <w:color w:val="0070C0"/>
        </w:rPr>
      </w:pPr>
      <w:r w:rsidRPr="000F7C1E">
        <w:t>Phone: 301-634-9324</w:t>
      </w:r>
      <w:r w:rsidR="00814F21">
        <w:t xml:space="preserve">; </w:t>
      </w:r>
      <w:r w:rsidRPr="000F7C1E">
        <w:t xml:space="preserve">Email: </w:t>
      </w:r>
      <w:hyperlink r:id="rId16" w:history="1">
        <w:r w:rsidRPr="000F7C1E">
          <w:rPr>
            <w:rStyle w:val="Hyperlink"/>
          </w:rPr>
          <w:t>meit-michael@norc.org</w:t>
        </w:r>
      </w:hyperlink>
    </w:p>
    <w:p w14:paraId="626E6961" w14:textId="77777777" w:rsidR="008976F0" w:rsidRDefault="008976F0" w:rsidP="00B80564">
      <w:pPr>
        <w:ind w:left="360"/>
      </w:pPr>
    </w:p>
    <w:p w14:paraId="40CDA706" w14:textId="77777777" w:rsidR="008976F0" w:rsidRDefault="008976F0" w:rsidP="00B80564">
      <w:pPr>
        <w:ind w:left="360"/>
      </w:pPr>
      <w:r w:rsidRPr="000F7C1E">
        <w:t>Alexa Siegfried</w:t>
      </w:r>
      <w:r>
        <w:t>, MPH, NORC Research Scientist</w:t>
      </w:r>
    </w:p>
    <w:p w14:paraId="472FFD6C" w14:textId="536590AF" w:rsidR="008976F0" w:rsidRDefault="008976F0" w:rsidP="00814F21">
      <w:pPr>
        <w:ind w:left="360"/>
        <w:rPr>
          <w:rStyle w:val="Hyperlink"/>
        </w:rPr>
      </w:pPr>
      <w:r>
        <w:t>Phone: 301-706-0139</w:t>
      </w:r>
      <w:r w:rsidR="00814F21">
        <w:t xml:space="preserve">; </w:t>
      </w:r>
      <w:r w:rsidRPr="000F7C1E">
        <w:t xml:space="preserve">Email: </w:t>
      </w:r>
      <w:hyperlink r:id="rId17" w:history="1">
        <w:r w:rsidRPr="000F7C1E">
          <w:rPr>
            <w:rStyle w:val="Hyperlink"/>
          </w:rPr>
          <w:t>Siegfried-alexa@norc.org</w:t>
        </w:r>
      </w:hyperlink>
    </w:p>
    <w:p w14:paraId="1719E7BC" w14:textId="77777777" w:rsidR="008976F0" w:rsidRDefault="008976F0" w:rsidP="00B80564">
      <w:pPr>
        <w:ind w:left="360"/>
      </w:pPr>
    </w:p>
    <w:p w14:paraId="57DBE66C" w14:textId="77777777" w:rsidR="008976F0" w:rsidRPr="00C16098" w:rsidRDefault="008976F0" w:rsidP="00B80564">
      <w:pPr>
        <w:ind w:left="360"/>
      </w:pPr>
      <w:r w:rsidRPr="00C16098">
        <w:t>Mallory Kennedy, MPH, NORC Senior Research Analyst</w:t>
      </w:r>
    </w:p>
    <w:p w14:paraId="315391FE" w14:textId="2D25B48D" w:rsidR="008976F0" w:rsidRDefault="008976F0" w:rsidP="00814F21">
      <w:pPr>
        <w:ind w:left="360"/>
        <w:rPr>
          <w:rStyle w:val="Hyperlink"/>
        </w:rPr>
      </w:pPr>
      <w:r w:rsidRPr="008976F0">
        <w:t>Phone: 908-489-6002</w:t>
      </w:r>
      <w:r w:rsidR="00814F21">
        <w:t xml:space="preserve">; </w:t>
      </w:r>
      <w:r>
        <w:t xml:space="preserve">Email: </w:t>
      </w:r>
      <w:hyperlink r:id="rId18" w:history="1">
        <w:r w:rsidRPr="003E0911">
          <w:rPr>
            <w:rStyle w:val="Hyperlink"/>
          </w:rPr>
          <w:t>kennedy-mallory@norc.org</w:t>
        </w:r>
      </w:hyperlink>
    </w:p>
    <w:p w14:paraId="6E147C49" w14:textId="77777777" w:rsidR="008976F0" w:rsidRDefault="008976F0" w:rsidP="00B80564">
      <w:pPr>
        <w:ind w:left="360"/>
      </w:pPr>
    </w:p>
    <w:p w14:paraId="22F0F382" w14:textId="77777777" w:rsidR="008976F0" w:rsidRPr="00C16098" w:rsidRDefault="008976F0" w:rsidP="00B80564">
      <w:pPr>
        <w:ind w:left="360"/>
      </w:pPr>
      <w:r>
        <w:t>Deborah Backman</w:t>
      </w:r>
      <w:r w:rsidRPr="00C16098">
        <w:t>, MPH, NORC Senior Research Analyst</w:t>
      </w:r>
    </w:p>
    <w:p w14:paraId="5ED1AE93" w14:textId="1181B007" w:rsidR="008976F0" w:rsidRPr="00C16098" w:rsidRDefault="008976F0" w:rsidP="00B80564">
      <w:pPr>
        <w:ind w:left="360"/>
      </w:pPr>
      <w:r w:rsidRPr="003C6FDB">
        <w:t>Phone:</w:t>
      </w:r>
      <w:r w:rsidRPr="00C16098">
        <w:t xml:space="preserve"> </w:t>
      </w:r>
      <w:r>
        <w:t>3</w:t>
      </w:r>
      <w:r w:rsidRPr="00C16098">
        <w:t>01</w:t>
      </w:r>
      <w:r>
        <w:t>-</w:t>
      </w:r>
      <w:r w:rsidRPr="00C16098">
        <w:t>634-9351</w:t>
      </w:r>
      <w:r w:rsidR="00814F21">
        <w:t xml:space="preserve">; </w:t>
      </w:r>
      <w:r>
        <w:t xml:space="preserve">Email: </w:t>
      </w:r>
      <w:hyperlink r:id="rId19" w:history="1">
        <w:r w:rsidRPr="003E0911">
          <w:rPr>
            <w:rStyle w:val="Hyperlink"/>
          </w:rPr>
          <w:t>backman-deborah@norc.org</w:t>
        </w:r>
      </w:hyperlink>
      <w:r>
        <w:t xml:space="preserve"> </w:t>
      </w:r>
    </w:p>
    <w:p w14:paraId="2D232A46" w14:textId="77777777" w:rsidR="008976F0" w:rsidRDefault="008976F0" w:rsidP="00B80564">
      <w:pPr>
        <w:ind w:left="360"/>
      </w:pPr>
    </w:p>
    <w:p w14:paraId="39199659" w14:textId="77777777" w:rsidR="008976F0" w:rsidRPr="00C16098" w:rsidRDefault="008976F0" w:rsidP="00B80564">
      <w:pPr>
        <w:ind w:left="360"/>
      </w:pPr>
      <w:r>
        <w:t>Tori Nadel</w:t>
      </w:r>
      <w:r w:rsidRPr="00C16098">
        <w:t>, NORC Research Analyst</w:t>
      </w:r>
    </w:p>
    <w:p w14:paraId="241F40C3" w14:textId="77777777" w:rsidR="001815A7" w:rsidRDefault="008976F0" w:rsidP="001815A7">
      <w:pPr>
        <w:ind w:left="360"/>
      </w:pPr>
      <w:r w:rsidRPr="003C6FDB">
        <w:t>Phone:</w:t>
      </w:r>
      <w:r w:rsidRPr="00C16098">
        <w:t xml:space="preserve"> </w:t>
      </w:r>
      <w:r>
        <w:t>3</w:t>
      </w:r>
      <w:r w:rsidRPr="00C16098">
        <w:t>01-634-9479</w:t>
      </w:r>
      <w:r w:rsidR="00814F21">
        <w:t xml:space="preserve">; </w:t>
      </w:r>
      <w:r>
        <w:t xml:space="preserve">Email: </w:t>
      </w:r>
      <w:hyperlink r:id="rId20" w:history="1">
        <w:r w:rsidRPr="003E0911">
          <w:rPr>
            <w:rStyle w:val="Hyperlink"/>
          </w:rPr>
          <w:t>nadel-tori@norc.org</w:t>
        </w:r>
      </w:hyperlink>
      <w:r>
        <w:t xml:space="preserve"> </w:t>
      </w:r>
    </w:p>
    <w:p w14:paraId="1821500B" w14:textId="77777777" w:rsidR="001815A7" w:rsidRDefault="001815A7" w:rsidP="001815A7">
      <w:pPr>
        <w:ind w:left="360"/>
      </w:pPr>
    </w:p>
    <w:p w14:paraId="1A8B472C" w14:textId="77777777" w:rsidR="00161F2E" w:rsidRPr="00161F2E" w:rsidRDefault="00161F2E" w:rsidP="00161F2E">
      <w:pPr>
        <w:ind w:left="360"/>
        <w:rPr>
          <w:color w:val="0000FF" w:themeColor="hyperlink"/>
          <w:u w:val="single"/>
        </w:rPr>
      </w:pPr>
      <w:bookmarkStart w:id="8" w:name="_Toc413847916"/>
      <w:r w:rsidRPr="00161F2E">
        <w:t>James Blumenstock, ASTHO</w:t>
      </w:r>
      <w:r w:rsidRPr="00161F2E">
        <w:br/>
        <w:t xml:space="preserve">Phone571-527-3134; Email: </w:t>
      </w:r>
      <w:hyperlink r:id="rId21" w:history="1">
        <w:r w:rsidRPr="00161F2E">
          <w:rPr>
            <w:color w:val="0000FF" w:themeColor="hyperlink"/>
            <w:u w:val="single"/>
          </w:rPr>
          <w:t>jblumenstock@astho.org</w:t>
        </w:r>
      </w:hyperlink>
      <w:r w:rsidRPr="00161F2E">
        <w:br/>
      </w:r>
      <w:r w:rsidRPr="00161F2E">
        <w:br/>
        <w:t>Debra Dekker, NACCHO</w:t>
      </w:r>
      <w:r w:rsidRPr="00161F2E">
        <w:br/>
        <w:t xml:space="preserve">Phone: 202-640-4924; Email: </w:t>
      </w:r>
      <w:hyperlink r:id="rId22" w:history="1">
        <w:r w:rsidRPr="00161F2E">
          <w:rPr>
            <w:color w:val="0000FF" w:themeColor="hyperlink"/>
            <w:u w:val="single"/>
          </w:rPr>
          <w:t>DDekker@naccho.org</w:t>
        </w:r>
      </w:hyperlink>
      <w:r w:rsidRPr="00161F2E">
        <w:rPr>
          <w:color w:val="1F497D"/>
        </w:rPr>
        <w:t xml:space="preserve"> </w:t>
      </w:r>
      <w:r w:rsidRPr="00161F2E">
        <w:br/>
      </w:r>
      <w:r w:rsidRPr="00161F2E">
        <w:br/>
      </w:r>
      <w:r w:rsidRPr="00161F2E">
        <w:rPr>
          <w:sz w:val="24"/>
          <w:szCs w:val="24"/>
        </w:rPr>
        <w:t>Laura Biesiadecki, NACCHO</w:t>
      </w:r>
      <w:r w:rsidRPr="00161F2E">
        <w:br/>
        <w:t xml:space="preserve">Phone: 202-507-4205; Email: </w:t>
      </w:r>
      <w:hyperlink r:id="rId23" w:history="1">
        <w:r w:rsidRPr="00161F2E">
          <w:rPr>
            <w:color w:val="0000FF" w:themeColor="hyperlink"/>
            <w:sz w:val="24"/>
            <w:szCs w:val="24"/>
            <w:u w:val="single"/>
          </w:rPr>
          <w:t>Lbiesiadecki@naccho.org</w:t>
        </w:r>
      </w:hyperlink>
      <w:r w:rsidRPr="00161F2E">
        <w:rPr>
          <w:sz w:val="24"/>
          <w:szCs w:val="24"/>
        </w:rPr>
        <w:t xml:space="preserve"> </w:t>
      </w:r>
      <w:r w:rsidRPr="00161F2E">
        <w:br/>
      </w:r>
      <w:r w:rsidRPr="00161F2E">
        <w:br/>
      </w:r>
      <w:r w:rsidRPr="00161F2E">
        <w:rPr>
          <w:sz w:val="24"/>
          <w:szCs w:val="24"/>
        </w:rPr>
        <w:t>Laura Phonharath, NACCHO</w:t>
      </w:r>
      <w:r w:rsidRPr="00161F2E">
        <w:br/>
        <w:t xml:space="preserve">Phone: 202-888-0441; Email: </w:t>
      </w:r>
      <w:hyperlink r:id="rId24" w:history="1">
        <w:r w:rsidRPr="00161F2E">
          <w:rPr>
            <w:color w:val="0000FF" w:themeColor="hyperlink"/>
            <w:u w:val="single"/>
          </w:rPr>
          <w:t>lphonharath@naccho.org</w:t>
        </w:r>
      </w:hyperlink>
      <w:r w:rsidRPr="00161F2E">
        <w:rPr>
          <w:color w:val="1F497D"/>
        </w:rPr>
        <w:t xml:space="preserve"> </w:t>
      </w:r>
    </w:p>
    <w:p w14:paraId="4492E9B5" w14:textId="77777777" w:rsidR="007E04A2" w:rsidRDefault="00A36419" w:rsidP="002955E6">
      <w:pPr>
        <w:pStyle w:val="Heading3"/>
        <w:spacing w:line="240" w:lineRule="auto"/>
      </w:pPr>
      <w:r w:rsidRPr="00BC6896">
        <w:t>LIST OF ATTACHMENTS</w:t>
      </w:r>
      <w:r w:rsidR="00E24C20" w:rsidRPr="00BC6896">
        <w:t xml:space="preserve"> – Section B</w:t>
      </w:r>
      <w:bookmarkEnd w:id="8"/>
    </w:p>
    <w:p w14:paraId="02A9EA0B" w14:textId="18EF1202" w:rsidR="008976F0" w:rsidRPr="005550BD" w:rsidRDefault="008976F0" w:rsidP="005550BD">
      <w:pPr>
        <w:ind w:left="360"/>
      </w:pPr>
      <w:r w:rsidRPr="005550BD">
        <w:t>Attachment A – Respondent Breakdown</w:t>
      </w:r>
    </w:p>
    <w:p w14:paraId="632DCC20" w14:textId="493E0D1D" w:rsidR="008976F0" w:rsidRPr="005550BD" w:rsidRDefault="008976F0" w:rsidP="005550BD">
      <w:pPr>
        <w:ind w:left="360"/>
      </w:pPr>
      <w:r w:rsidRPr="005550BD">
        <w:t>Attachment B – Assessment Instrument Word Version</w:t>
      </w:r>
    </w:p>
    <w:p w14:paraId="6EFCC50F" w14:textId="1165D2D2" w:rsidR="008976F0" w:rsidRPr="005550BD" w:rsidRDefault="008976F0" w:rsidP="005550BD">
      <w:pPr>
        <w:ind w:left="360"/>
      </w:pPr>
      <w:r w:rsidRPr="005550BD">
        <w:t>Attachment C – Assessment Instrument Web Version</w:t>
      </w:r>
    </w:p>
    <w:p w14:paraId="6C5D1337" w14:textId="070D544C" w:rsidR="008B7102" w:rsidRPr="005550BD" w:rsidRDefault="008B7102" w:rsidP="005550BD">
      <w:pPr>
        <w:ind w:left="360"/>
      </w:pPr>
      <w:r w:rsidRPr="005550BD">
        <w:t>Attachment D – ASTHO Advance Email</w:t>
      </w:r>
    </w:p>
    <w:p w14:paraId="49B7191E" w14:textId="4FB0D4CD" w:rsidR="008B7102" w:rsidRPr="005550BD" w:rsidRDefault="008B7102" w:rsidP="005550BD">
      <w:pPr>
        <w:ind w:left="360"/>
      </w:pPr>
      <w:r w:rsidRPr="005550BD">
        <w:t>Attachment E – NACCHO Advance Email</w:t>
      </w:r>
    </w:p>
    <w:p w14:paraId="104B82B8" w14:textId="77777777" w:rsidR="008B7102" w:rsidRPr="005550BD" w:rsidRDefault="008B7102" w:rsidP="005550BD">
      <w:pPr>
        <w:ind w:left="360"/>
      </w:pPr>
      <w:r w:rsidRPr="005550BD">
        <w:t>Attachment F – NORC Invitation Email</w:t>
      </w:r>
    </w:p>
    <w:p w14:paraId="3BE2991F" w14:textId="0550928B" w:rsidR="008B7102" w:rsidRPr="005550BD" w:rsidRDefault="008B7102" w:rsidP="005550BD">
      <w:pPr>
        <w:ind w:left="360"/>
      </w:pPr>
      <w:r w:rsidRPr="005550BD">
        <w:t>Atta</w:t>
      </w:r>
      <w:r w:rsidR="005550BD">
        <w:t xml:space="preserve">chment G – NORC Email Reminder </w:t>
      </w:r>
      <w:r w:rsidRPr="005550BD">
        <w:t>1</w:t>
      </w:r>
    </w:p>
    <w:p w14:paraId="7F1910A7" w14:textId="74009ABD" w:rsidR="008B7102" w:rsidRPr="005550BD" w:rsidRDefault="008B7102" w:rsidP="005550BD">
      <w:pPr>
        <w:ind w:left="360"/>
      </w:pPr>
      <w:r w:rsidRPr="005550BD">
        <w:t>Attachment H – NORC Email Reminder 2</w:t>
      </w:r>
    </w:p>
    <w:p w14:paraId="500BB64A" w14:textId="294C1BBC" w:rsidR="008B7102" w:rsidRPr="005550BD" w:rsidRDefault="008B7102" w:rsidP="005550BD">
      <w:pPr>
        <w:ind w:left="360"/>
      </w:pPr>
      <w:r w:rsidRPr="005550BD">
        <w:t>Attachment I – NORC Final Email Reminder</w:t>
      </w:r>
    </w:p>
    <w:p w14:paraId="0522344A" w14:textId="6D6C972E" w:rsidR="00865573" w:rsidRDefault="00865573" w:rsidP="00462CEF">
      <w:pPr>
        <w:spacing w:line="240" w:lineRule="auto"/>
        <w:ind w:left="0"/>
        <w:rPr>
          <w:rFonts w:ascii="Cambria" w:hAnsi="Cambria"/>
          <w:color w:val="0070C0"/>
        </w:rPr>
      </w:pPr>
    </w:p>
    <w:sectPr w:rsidR="00865573" w:rsidSect="003E5D57">
      <w:headerReference w:type="default" r:id="rId25"/>
      <w:footerReference w:type="defaul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73424" w14:textId="77777777" w:rsidR="001A2209" w:rsidRDefault="001A2209" w:rsidP="00BC6896">
      <w:r>
        <w:separator/>
      </w:r>
    </w:p>
    <w:p w14:paraId="46782949" w14:textId="77777777" w:rsidR="001A2209" w:rsidRDefault="001A2209" w:rsidP="00BC6896"/>
  </w:endnote>
  <w:endnote w:type="continuationSeparator" w:id="0">
    <w:p w14:paraId="1DA59F18" w14:textId="77777777" w:rsidR="001A2209" w:rsidRDefault="001A2209" w:rsidP="00BC6896">
      <w:r>
        <w:continuationSeparator/>
      </w:r>
    </w:p>
    <w:p w14:paraId="75D5236C" w14:textId="77777777" w:rsidR="001A2209" w:rsidRDefault="001A220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81226C1" w14:textId="54483572"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1F2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F2E">
              <w:rPr>
                <w:b/>
                <w:bCs/>
                <w:noProof/>
              </w:rPr>
              <w:t>6</w:t>
            </w:r>
            <w:r>
              <w:rPr>
                <w:b/>
                <w:bCs/>
                <w:sz w:val="24"/>
                <w:szCs w:val="24"/>
              </w:rPr>
              <w:fldChar w:fldCharType="end"/>
            </w:r>
          </w:p>
        </w:sdtContent>
      </w:sdt>
    </w:sdtContent>
  </w:sdt>
  <w:p w14:paraId="5B65936D"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BAA92" w14:textId="77777777" w:rsidR="001A2209" w:rsidRDefault="001A2209" w:rsidP="00BC6896">
      <w:r>
        <w:separator/>
      </w:r>
    </w:p>
    <w:p w14:paraId="6BCB8C76" w14:textId="77777777" w:rsidR="001A2209" w:rsidRDefault="001A2209" w:rsidP="00BC6896"/>
  </w:footnote>
  <w:footnote w:type="continuationSeparator" w:id="0">
    <w:p w14:paraId="5DE0BFF1" w14:textId="77777777" w:rsidR="001A2209" w:rsidRDefault="001A2209" w:rsidP="00BC6896">
      <w:r>
        <w:continuationSeparator/>
      </w:r>
    </w:p>
    <w:p w14:paraId="12305DFD" w14:textId="77777777" w:rsidR="001A2209" w:rsidRDefault="001A220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E6A4E" w14:textId="77777777" w:rsidR="00783A3C" w:rsidRPr="00716F94" w:rsidRDefault="00783A3C" w:rsidP="00BC6896">
    <w:pPr>
      <w:pStyle w:val="Header"/>
      <w:rPr>
        <w:color w:val="0033CC"/>
      </w:rPr>
    </w:pPr>
    <w:r>
      <w:tab/>
    </w:r>
  </w:p>
  <w:p w14:paraId="4A60EFB4"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41F5A"/>
    <w:multiLevelType w:val="hybridMultilevel"/>
    <w:tmpl w:val="CD98BB50"/>
    <w:lvl w:ilvl="0" w:tplc="DF86BB7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F73F5"/>
    <w:multiLevelType w:val="hybridMultilevel"/>
    <w:tmpl w:val="57745C74"/>
    <w:lvl w:ilvl="0" w:tplc="7748A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F6E74"/>
    <w:multiLevelType w:val="hybridMultilevel"/>
    <w:tmpl w:val="6AB6285E"/>
    <w:lvl w:ilvl="0" w:tplc="2C669F6C">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0">
    <w:nsid w:val="529016C0"/>
    <w:multiLevelType w:val="hybridMultilevel"/>
    <w:tmpl w:val="F68042B8"/>
    <w:lvl w:ilvl="0" w:tplc="1320087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E2CF3"/>
    <w:multiLevelType w:val="hybridMultilevel"/>
    <w:tmpl w:val="475E7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41"/>
  </w:num>
  <w:num w:numId="4">
    <w:abstractNumId w:val="14"/>
  </w:num>
  <w:num w:numId="5">
    <w:abstractNumId w:val="29"/>
  </w:num>
  <w:num w:numId="6">
    <w:abstractNumId w:val="8"/>
  </w:num>
  <w:num w:numId="7">
    <w:abstractNumId w:val="0"/>
  </w:num>
  <w:num w:numId="8">
    <w:abstractNumId w:val="5"/>
  </w:num>
  <w:num w:numId="9">
    <w:abstractNumId w:val="11"/>
  </w:num>
  <w:num w:numId="10">
    <w:abstractNumId w:val="33"/>
  </w:num>
  <w:num w:numId="11">
    <w:abstractNumId w:val="2"/>
  </w:num>
  <w:num w:numId="12">
    <w:abstractNumId w:val="39"/>
  </w:num>
  <w:num w:numId="13">
    <w:abstractNumId w:val="6"/>
  </w:num>
  <w:num w:numId="14">
    <w:abstractNumId w:val="3"/>
  </w:num>
  <w:num w:numId="15">
    <w:abstractNumId w:val="36"/>
  </w:num>
  <w:num w:numId="16">
    <w:abstractNumId w:val="43"/>
  </w:num>
  <w:num w:numId="17">
    <w:abstractNumId w:val="10"/>
  </w:num>
  <w:num w:numId="18">
    <w:abstractNumId w:val="16"/>
  </w:num>
  <w:num w:numId="19">
    <w:abstractNumId w:val="4"/>
  </w:num>
  <w:num w:numId="20">
    <w:abstractNumId w:val="18"/>
  </w:num>
  <w:num w:numId="21">
    <w:abstractNumId w:val="42"/>
  </w:num>
  <w:num w:numId="22">
    <w:abstractNumId w:val="34"/>
  </w:num>
  <w:num w:numId="23">
    <w:abstractNumId w:val="15"/>
  </w:num>
  <w:num w:numId="24">
    <w:abstractNumId w:val="35"/>
  </w:num>
  <w:num w:numId="25">
    <w:abstractNumId w:val="38"/>
  </w:num>
  <w:num w:numId="26">
    <w:abstractNumId w:val="23"/>
  </w:num>
  <w:num w:numId="27">
    <w:abstractNumId w:val="27"/>
  </w:num>
  <w:num w:numId="28">
    <w:abstractNumId w:val="24"/>
  </w:num>
  <w:num w:numId="29">
    <w:abstractNumId w:val="31"/>
  </w:num>
  <w:num w:numId="30">
    <w:abstractNumId w:val="26"/>
  </w:num>
  <w:num w:numId="31">
    <w:abstractNumId w:val="13"/>
  </w:num>
  <w:num w:numId="32">
    <w:abstractNumId w:val="28"/>
  </w:num>
  <w:num w:numId="33">
    <w:abstractNumId w:val="21"/>
  </w:num>
  <w:num w:numId="34">
    <w:abstractNumId w:val="19"/>
  </w:num>
  <w:num w:numId="35">
    <w:abstractNumId w:val="32"/>
  </w:num>
  <w:num w:numId="36">
    <w:abstractNumId w:val="25"/>
  </w:num>
  <w:num w:numId="37">
    <w:abstractNumId w:val="9"/>
  </w:num>
  <w:num w:numId="38">
    <w:abstractNumId w:val="40"/>
  </w:num>
  <w:num w:numId="39">
    <w:abstractNumId w:val="30"/>
  </w:num>
  <w:num w:numId="40">
    <w:abstractNumId w:val="12"/>
  </w:num>
  <w:num w:numId="41">
    <w:abstractNumId w:val="22"/>
  </w:num>
  <w:num w:numId="42">
    <w:abstractNumId w:val="17"/>
  </w:num>
  <w:num w:numId="43">
    <w:abstractNumId w:val="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57"/>
    <w:rsid w:val="0000767E"/>
    <w:rsid w:val="00010420"/>
    <w:rsid w:val="00011A98"/>
    <w:rsid w:val="00011F8D"/>
    <w:rsid w:val="000130B4"/>
    <w:rsid w:val="00014361"/>
    <w:rsid w:val="000279A9"/>
    <w:rsid w:val="000474FB"/>
    <w:rsid w:val="0005159A"/>
    <w:rsid w:val="00052A34"/>
    <w:rsid w:val="00053A92"/>
    <w:rsid w:val="000557D0"/>
    <w:rsid w:val="0005605E"/>
    <w:rsid w:val="00057F36"/>
    <w:rsid w:val="000A1F30"/>
    <w:rsid w:val="000A538D"/>
    <w:rsid w:val="000D0FC1"/>
    <w:rsid w:val="000D603D"/>
    <w:rsid w:val="000E6577"/>
    <w:rsid w:val="000E7A19"/>
    <w:rsid w:val="000F36A3"/>
    <w:rsid w:val="001030FC"/>
    <w:rsid w:val="00104A1B"/>
    <w:rsid w:val="001177DD"/>
    <w:rsid w:val="001308EB"/>
    <w:rsid w:val="001412D4"/>
    <w:rsid w:val="00142808"/>
    <w:rsid w:val="00144F64"/>
    <w:rsid w:val="001472A4"/>
    <w:rsid w:val="00151567"/>
    <w:rsid w:val="0015756E"/>
    <w:rsid w:val="00161F2E"/>
    <w:rsid w:val="00163E17"/>
    <w:rsid w:val="00166F9E"/>
    <w:rsid w:val="001744A5"/>
    <w:rsid w:val="00175844"/>
    <w:rsid w:val="00176E14"/>
    <w:rsid w:val="001815A7"/>
    <w:rsid w:val="00185069"/>
    <w:rsid w:val="00187D5A"/>
    <w:rsid w:val="001960AE"/>
    <w:rsid w:val="001972D7"/>
    <w:rsid w:val="001A2209"/>
    <w:rsid w:val="001A28F6"/>
    <w:rsid w:val="001A7D0E"/>
    <w:rsid w:val="001B2831"/>
    <w:rsid w:val="001C0493"/>
    <w:rsid w:val="001C28AD"/>
    <w:rsid w:val="001D2951"/>
    <w:rsid w:val="001D461D"/>
    <w:rsid w:val="001D7FCB"/>
    <w:rsid w:val="001E2B99"/>
    <w:rsid w:val="001E69B6"/>
    <w:rsid w:val="001F4DBB"/>
    <w:rsid w:val="001F501E"/>
    <w:rsid w:val="001F7C89"/>
    <w:rsid w:val="0020312D"/>
    <w:rsid w:val="0020495F"/>
    <w:rsid w:val="00206E33"/>
    <w:rsid w:val="00210519"/>
    <w:rsid w:val="00230CEF"/>
    <w:rsid w:val="002379CA"/>
    <w:rsid w:val="00237CA1"/>
    <w:rsid w:val="00241B17"/>
    <w:rsid w:val="00241C81"/>
    <w:rsid w:val="00245F1F"/>
    <w:rsid w:val="00252BF8"/>
    <w:rsid w:val="00256392"/>
    <w:rsid w:val="00257A1C"/>
    <w:rsid w:val="002721C7"/>
    <w:rsid w:val="0027234C"/>
    <w:rsid w:val="00272E03"/>
    <w:rsid w:val="00281795"/>
    <w:rsid w:val="002850E3"/>
    <w:rsid w:val="00287E2F"/>
    <w:rsid w:val="002955E6"/>
    <w:rsid w:val="002A1948"/>
    <w:rsid w:val="002C0877"/>
    <w:rsid w:val="002C2AE2"/>
    <w:rsid w:val="002D0DCE"/>
    <w:rsid w:val="002D7B2E"/>
    <w:rsid w:val="002E2B10"/>
    <w:rsid w:val="002E2CF3"/>
    <w:rsid w:val="002F1502"/>
    <w:rsid w:val="002F169D"/>
    <w:rsid w:val="002F2069"/>
    <w:rsid w:val="002F3D87"/>
    <w:rsid w:val="002F6F92"/>
    <w:rsid w:val="003041AD"/>
    <w:rsid w:val="0031279F"/>
    <w:rsid w:val="00312D63"/>
    <w:rsid w:val="003161B9"/>
    <w:rsid w:val="00324DC0"/>
    <w:rsid w:val="00327D05"/>
    <w:rsid w:val="003339D5"/>
    <w:rsid w:val="00335C6F"/>
    <w:rsid w:val="00335EBD"/>
    <w:rsid w:val="00336D96"/>
    <w:rsid w:val="003429C3"/>
    <w:rsid w:val="00344F07"/>
    <w:rsid w:val="003469C8"/>
    <w:rsid w:val="00355EA4"/>
    <w:rsid w:val="003566AE"/>
    <w:rsid w:val="00357A43"/>
    <w:rsid w:val="003635BE"/>
    <w:rsid w:val="00366B5E"/>
    <w:rsid w:val="00372844"/>
    <w:rsid w:val="0038560A"/>
    <w:rsid w:val="00392A79"/>
    <w:rsid w:val="003934E3"/>
    <w:rsid w:val="00397172"/>
    <w:rsid w:val="003C31C9"/>
    <w:rsid w:val="003C3D1C"/>
    <w:rsid w:val="003C4961"/>
    <w:rsid w:val="003C7C5D"/>
    <w:rsid w:val="003D0AD2"/>
    <w:rsid w:val="003E4383"/>
    <w:rsid w:val="003E4E7D"/>
    <w:rsid w:val="003E550E"/>
    <w:rsid w:val="003E5796"/>
    <w:rsid w:val="003E5D57"/>
    <w:rsid w:val="003F5913"/>
    <w:rsid w:val="00400C2C"/>
    <w:rsid w:val="004024F8"/>
    <w:rsid w:val="0041134B"/>
    <w:rsid w:val="0041159A"/>
    <w:rsid w:val="00414772"/>
    <w:rsid w:val="0042604A"/>
    <w:rsid w:val="004305A8"/>
    <w:rsid w:val="0043150B"/>
    <w:rsid w:val="0043417A"/>
    <w:rsid w:val="00443CA0"/>
    <w:rsid w:val="00450E14"/>
    <w:rsid w:val="00462C65"/>
    <w:rsid w:val="00462CEF"/>
    <w:rsid w:val="00467B14"/>
    <w:rsid w:val="00474EDA"/>
    <w:rsid w:val="0047536D"/>
    <w:rsid w:val="004824FA"/>
    <w:rsid w:val="00484011"/>
    <w:rsid w:val="004841F1"/>
    <w:rsid w:val="00487E55"/>
    <w:rsid w:val="00497BC1"/>
    <w:rsid w:val="004A1E3A"/>
    <w:rsid w:val="004B1D39"/>
    <w:rsid w:val="004B4EB5"/>
    <w:rsid w:val="004C4AEA"/>
    <w:rsid w:val="004D70EE"/>
    <w:rsid w:val="004E003C"/>
    <w:rsid w:val="004E16EB"/>
    <w:rsid w:val="004E6665"/>
    <w:rsid w:val="004F634E"/>
    <w:rsid w:val="004F6506"/>
    <w:rsid w:val="004F67A8"/>
    <w:rsid w:val="00503432"/>
    <w:rsid w:val="0051002A"/>
    <w:rsid w:val="0051596A"/>
    <w:rsid w:val="00522A50"/>
    <w:rsid w:val="00527225"/>
    <w:rsid w:val="0053557D"/>
    <w:rsid w:val="005463DE"/>
    <w:rsid w:val="00546DC2"/>
    <w:rsid w:val="005542E8"/>
    <w:rsid w:val="005550BD"/>
    <w:rsid w:val="00556630"/>
    <w:rsid w:val="0055686D"/>
    <w:rsid w:val="0056157B"/>
    <w:rsid w:val="005800EE"/>
    <w:rsid w:val="005869D6"/>
    <w:rsid w:val="00593B02"/>
    <w:rsid w:val="00593E85"/>
    <w:rsid w:val="005A33F6"/>
    <w:rsid w:val="005A59E5"/>
    <w:rsid w:val="005B7440"/>
    <w:rsid w:val="005C6E9D"/>
    <w:rsid w:val="005E2150"/>
    <w:rsid w:val="005E2995"/>
    <w:rsid w:val="005F3ADE"/>
    <w:rsid w:val="005F3FEF"/>
    <w:rsid w:val="00601392"/>
    <w:rsid w:val="006075F6"/>
    <w:rsid w:val="00607F7C"/>
    <w:rsid w:val="006102DA"/>
    <w:rsid w:val="00612793"/>
    <w:rsid w:val="00612E21"/>
    <w:rsid w:val="006161CF"/>
    <w:rsid w:val="00621F93"/>
    <w:rsid w:val="00630BB2"/>
    <w:rsid w:val="006315A3"/>
    <w:rsid w:val="006379E9"/>
    <w:rsid w:val="00637CC1"/>
    <w:rsid w:val="006466BA"/>
    <w:rsid w:val="00646D1A"/>
    <w:rsid w:val="006579A2"/>
    <w:rsid w:val="00667C89"/>
    <w:rsid w:val="006711EE"/>
    <w:rsid w:val="006809BB"/>
    <w:rsid w:val="006809FD"/>
    <w:rsid w:val="00683C7C"/>
    <w:rsid w:val="00687C5F"/>
    <w:rsid w:val="00687EE9"/>
    <w:rsid w:val="00691031"/>
    <w:rsid w:val="00691D1F"/>
    <w:rsid w:val="0069580C"/>
    <w:rsid w:val="00697BAE"/>
    <w:rsid w:val="006A63FD"/>
    <w:rsid w:val="006B4423"/>
    <w:rsid w:val="006B4DDC"/>
    <w:rsid w:val="006B5E55"/>
    <w:rsid w:val="006C1771"/>
    <w:rsid w:val="006D25A1"/>
    <w:rsid w:val="006D6932"/>
    <w:rsid w:val="006E4BB7"/>
    <w:rsid w:val="006E51F5"/>
    <w:rsid w:val="006F23AF"/>
    <w:rsid w:val="006F6856"/>
    <w:rsid w:val="0071190E"/>
    <w:rsid w:val="007145D0"/>
    <w:rsid w:val="00716F94"/>
    <w:rsid w:val="00760E12"/>
    <w:rsid w:val="00763CF3"/>
    <w:rsid w:val="00772293"/>
    <w:rsid w:val="00783A3C"/>
    <w:rsid w:val="00783C75"/>
    <w:rsid w:val="00784619"/>
    <w:rsid w:val="0078627B"/>
    <w:rsid w:val="00794E32"/>
    <w:rsid w:val="007B305A"/>
    <w:rsid w:val="007C1CB7"/>
    <w:rsid w:val="007D4972"/>
    <w:rsid w:val="007E04A2"/>
    <w:rsid w:val="007E3F71"/>
    <w:rsid w:val="00800993"/>
    <w:rsid w:val="00810C33"/>
    <w:rsid w:val="00810FBF"/>
    <w:rsid w:val="00814F21"/>
    <w:rsid w:val="00815C7D"/>
    <w:rsid w:val="00817941"/>
    <w:rsid w:val="008261AB"/>
    <w:rsid w:val="00835CA7"/>
    <w:rsid w:val="008370D4"/>
    <w:rsid w:val="008414AD"/>
    <w:rsid w:val="008428D9"/>
    <w:rsid w:val="00865573"/>
    <w:rsid w:val="008759F6"/>
    <w:rsid w:val="00876B98"/>
    <w:rsid w:val="00884DB9"/>
    <w:rsid w:val="0089676F"/>
    <w:rsid w:val="008976F0"/>
    <w:rsid w:val="008A3B7B"/>
    <w:rsid w:val="008B7102"/>
    <w:rsid w:val="008C67D2"/>
    <w:rsid w:val="008D2257"/>
    <w:rsid w:val="008E0683"/>
    <w:rsid w:val="00902DD9"/>
    <w:rsid w:val="00911466"/>
    <w:rsid w:val="00911486"/>
    <w:rsid w:val="009129CA"/>
    <w:rsid w:val="009206B6"/>
    <w:rsid w:val="009263C1"/>
    <w:rsid w:val="00931C02"/>
    <w:rsid w:val="00935FFD"/>
    <w:rsid w:val="00941B4F"/>
    <w:rsid w:val="009435F4"/>
    <w:rsid w:val="00963CE3"/>
    <w:rsid w:val="00964F18"/>
    <w:rsid w:val="0097039F"/>
    <w:rsid w:val="00973EEB"/>
    <w:rsid w:val="00974424"/>
    <w:rsid w:val="009759F3"/>
    <w:rsid w:val="00987F76"/>
    <w:rsid w:val="00991BF9"/>
    <w:rsid w:val="00993088"/>
    <w:rsid w:val="0099664F"/>
    <w:rsid w:val="00997D5D"/>
    <w:rsid w:val="009A0447"/>
    <w:rsid w:val="009B034F"/>
    <w:rsid w:val="009B19BE"/>
    <w:rsid w:val="009B4A51"/>
    <w:rsid w:val="009C13EF"/>
    <w:rsid w:val="009C28B1"/>
    <w:rsid w:val="009C61AD"/>
    <w:rsid w:val="009D373D"/>
    <w:rsid w:val="009D753C"/>
    <w:rsid w:val="009D77CD"/>
    <w:rsid w:val="009E1D05"/>
    <w:rsid w:val="009F7283"/>
    <w:rsid w:val="00A00C86"/>
    <w:rsid w:val="00A11B0C"/>
    <w:rsid w:val="00A22E95"/>
    <w:rsid w:val="00A305CE"/>
    <w:rsid w:val="00A33B35"/>
    <w:rsid w:val="00A361D3"/>
    <w:rsid w:val="00A36419"/>
    <w:rsid w:val="00A37AE0"/>
    <w:rsid w:val="00A578C2"/>
    <w:rsid w:val="00A62E57"/>
    <w:rsid w:val="00A70EBC"/>
    <w:rsid w:val="00A72652"/>
    <w:rsid w:val="00A75D1C"/>
    <w:rsid w:val="00A809AA"/>
    <w:rsid w:val="00A81BF7"/>
    <w:rsid w:val="00A849B3"/>
    <w:rsid w:val="00A8510D"/>
    <w:rsid w:val="00A86AF3"/>
    <w:rsid w:val="00A90BDC"/>
    <w:rsid w:val="00A95477"/>
    <w:rsid w:val="00A975A9"/>
    <w:rsid w:val="00AA3192"/>
    <w:rsid w:val="00AB3608"/>
    <w:rsid w:val="00AC5C48"/>
    <w:rsid w:val="00AF0CF4"/>
    <w:rsid w:val="00AF2252"/>
    <w:rsid w:val="00B064DD"/>
    <w:rsid w:val="00B1129F"/>
    <w:rsid w:val="00B112A5"/>
    <w:rsid w:val="00B11D61"/>
    <w:rsid w:val="00B12F51"/>
    <w:rsid w:val="00B2751E"/>
    <w:rsid w:val="00B31F0A"/>
    <w:rsid w:val="00B3650C"/>
    <w:rsid w:val="00B439DC"/>
    <w:rsid w:val="00B460B8"/>
    <w:rsid w:val="00B50A2B"/>
    <w:rsid w:val="00B64BFA"/>
    <w:rsid w:val="00B65C38"/>
    <w:rsid w:val="00B80564"/>
    <w:rsid w:val="00B8216F"/>
    <w:rsid w:val="00B853F1"/>
    <w:rsid w:val="00B85DE4"/>
    <w:rsid w:val="00B8656C"/>
    <w:rsid w:val="00B91A31"/>
    <w:rsid w:val="00BA6DB4"/>
    <w:rsid w:val="00BC016A"/>
    <w:rsid w:val="00BC04E7"/>
    <w:rsid w:val="00BC3F3C"/>
    <w:rsid w:val="00BC5BB2"/>
    <w:rsid w:val="00BC6896"/>
    <w:rsid w:val="00BF3F54"/>
    <w:rsid w:val="00C00697"/>
    <w:rsid w:val="00C0376C"/>
    <w:rsid w:val="00C06D77"/>
    <w:rsid w:val="00C06E7F"/>
    <w:rsid w:val="00C14BA6"/>
    <w:rsid w:val="00C16098"/>
    <w:rsid w:val="00C347E7"/>
    <w:rsid w:val="00C3485C"/>
    <w:rsid w:val="00C362B9"/>
    <w:rsid w:val="00C420D4"/>
    <w:rsid w:val="00C71C6A"/>
    <w:rsid w:val="00C84DC3"/>
    <w:rsid w:val="00CA2004"/>
    <w:rsid w:val="00CA5C32"/>
    <w:rsid w:val="00CB334D"/>
    <w:rsid w:val="00CB56D5"/>
    <w:rsid w:val="00CD0771"/>
    <w:rsid w:val="00CD1EA8"/>
    <w:rsid w:val="00CD7126"/>
    <w:rsid w:val="00CF0CE8"/>
    <w:rsid w:val="00CF5ABD"/>
    <w:rsid w:val="00CF63CE"/>
    <w:rsid w:val="00D067C1"/>
    <w:rsid w:val="00D13B13"/>
    <w:rsid w:val="00D16E78"/>
    <w:rsid w:val="00D201D3"/>
    <w:rsid w:val="00D24BCF"/>
    <w:rsid w:val="00D26A64"/>
    <w:rsid w:val="00D31CF4"/>
    <w:rsid w:val="00D328FA"/>
    <w:rsid w:val="00D33BF9"/>
    <w:rsid w:val="00D4221A"/>
    <w:rsid w:val="00D52B9A"/>
    <w:rsid w:val="00D5367E"/>
    <w:rsid w:val="00D57C7E"/>
    <w:rsid w:val="00D70282"/>
    <w:rsid w:val="00D724CC"/>
    <w:rsid w:val="00D7285C"/>
    <w:rsid w:val="00D77D27"/>
    <w:rsid w:val="00D80B84"/>
    <w:rsid w:val="00D861ED"/>
    <w:rsid w:val="00D873E0"/>
    <w:rsid w:val="00D94F8B"/>
    <w:rsid w:val="00D97823"/>
    <w:rsid w:val="00DA147A"/>
    <w:rsid w:val="00DA4EA9"/>
    <w:rsid w:val="00DA5988"/>
    <w:rsid w:val="00DB36EB"/>
    <w:rsid w:val="00DC1969"/>
    <w:rsid w:val="00DC317C"/>
    <w:rsid w:val="00DC4FF2"/>
    <w:rsid w:val="00DC79CC"/>
    <w:rsid w:val="00DD77F1"/>
    <w:rsid w:val="00DE2D45"/>
    <w:rsid w:val="00E134F4"/>
    <w:rsid w:val="00E14C23"/>
    <w:rsid w:val="00E23568"/>
    <w:rsid w:val="00E245B5"/>
    <w:rsid w:val="00E24C20"/>
    <w:rsid w:val="00E33BBA"/>
    <w:rsid w:val="00E33E1B"/>
    <w:rsid w:val="00E34D3E"/>
    <w:rsid w:val="00E42F3A"/>
    <w:rsid w:val="00E70E83"/>
    <w:rsid w:val="00E81C5E"/>
    <w:rsid w:val="00E81F1A"/>
    <w:rsid w:val="00E83B3C"/>
    <w:rsid w:val="00E8736B"/>
    <w:rsid w:val="00E90275"/>
    <w:rsid w:val="00E925D4"/>
    <w:rsid w:val="00E97226"/>
    <w:rsid w:val="00EA14F9"/>
    <w:rsid w:val="00EA1CCB"/>
    <w:rsid w:val="00EB63B3"/>
    <w:rsid w:val="00EC45F0"/>
    <w:rsid w:val="00ED6878"/>
    <w:rsid w:val="00EF0EC8"/>
    <w:rsid w:val="00EF33CD"/>
    <w:rsid w:val="00F04B07"/>
    <w:rsid w:val="00F2267A"/>
    <w:rsid w:val="00F27049"/>
    <w:rsid w:val="00F300CB"/>
    <w:rsid w:val="00F4026D"/>
    <w:rsid w:val="00F42C3A"/>
    <w:rsid w:val="00F52BCC"/>
    <w:rsid w:val="00F5313F"/>
    <w:rsid w:val="00F57581"/>
    <w:rsid w:val="00F65AC6"/>
    <w:rsid w:val="00F725B5"/>
    <w:rsid w:val="00F81A48"/>
    <w:rsid w:val="00FB1DB3"/>
    <w:rsid w:val="00FC5B1F"/>
    <w:rsid w:val="00FD17C9"/>
    <w:rsid w:val="00FD1EF0"/>
    <w:rsid w:val="00FD2A5B"/>
    <w:rsid w:val="00FD632C"/>
    <w:rsid w:val="00FE0E1C"/>
    <w:rsid w:val="00FE6A5C"/>
    <w:rsid w:val="00FF7B1A"/>
    <w:rsid w:val="4E5BA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65763698">
      <w:bodyDiv w:val="1"/>
      <w:marLeft w:val="0"/>
      <w:marRight w:val="0"/>
      <w:marTop w:val="0"/>
      <w:marBottom w:val="0"/>
      <w:divBdr>
        <w:top w:val="none" w:sz="0" w:space="0" w:color="auto"/>
        <w:left w:val="none" w:sz="0" w:space="0" w:color="auto"/>
        <w:bottom w:val="none" w:sz="0" w:space="0" w:color="auto"/>
        <w:right w:val="none" w:sz="0" w:space="0" w:color="auto"/>
      </w:divBdr>
      <w:divsChild>
        <w:div w:id="1635797191">
          <w:marLeft w:val="0"/>
          <w:marRight w:val="0"/>
          <w:marTop w:val="0"/>
          <w:marBottom w:val="0"/>
          <w:divBdr>
            <w:top w:val="none" w:sz="0" w:space="0" w:color="auto"/>
            <w:left w:val="none" w:sz="0" w:space="0" w:color="auto"/>
            <w:bottom w:val="none" w:sz="0" w:space="0" w:color="auto"/>
            <w:right w:val="none" w:sz="0" w:space="0" w:color="auto"/>
          </w:divBdr>
        </w:div>
        <w:div w:id="490146964">
          <w:marLeft w:val="0"/>
          <w:marRight w:val="0"/>
          <w:marTop w:val="0"/>
          <w:marBottom w:val="0"/>
          <w:divBdr>
            <w:top w:val="none" w:sz="0" w:space="0" w:color="auto"/>
            <w:left w:val="none" w:sz="0" w:space="0" w:color="auto"/>
            <w:bottom w:val="none" w:sz="0" w:space="0" w:color="auto"/>
            <w:right w:val="none" w:sz="0" w:space="0" w:color="auto"/>
          </w:divBdr>
        </w:div>
        <w:div w:id="178855624">
          <w:marLeft w:val="0"/>
          <w:marRight w:val="0"/>
          <w:marTop w:val="0"/>
          <w:marBottom w:val="0"/>
          <w:divBdr>
            <w:top w:val="none" w:sz="0" w:space="0" w:color="auto"/>
            <w:left w:val="none" w:sz="0" w:space="0" w:color="auto"/>
            <w:bottom w:val="none" w:sz="0" w:space="0" w:color="auto"/>
            <w:right w:val="none" w:sz="0" w:space="0" w:color="auto"/>
          </w:divBdr>
        </w:div>
        <w:div w:id="1708868385">
          <w:marLeft w:val="0"/>
          <w:marRight w:val="0"/>
          <w:marTop w:val="0"/>
          <w:marBottom w:val="0"/>
          <w:divBdr>
            <w:top w:val="none" w:sz="0" w:space="0" w:color="auto"/>
            <w:left w:val="none" w:sz="0" w:space="0" w:color="auto"/>
            <w:bottom w:val="none" w:sz="0" w:space="0" w:color="auto"/>
            <w:right w:val="none" w:sz="0" w:space="0" w:color="auto"/>
          </w:divBdr>
        </w:div>
        <w:div w:id="1956981524">
          <w:marLeft w:val="0"/>
          <w:marRight w:val="0"/>
          <w:marTop w:val="0"/>
          <w:marBottom w:val="0"/>
          <w:divBdr>
            <w:top w:val="none" w:sz="0" w:space="0" w:color="auto"/>
            <w:left w:val="none" w:sz="0" w:space="0" w:color="auto"/>
            <w:bottom w:val="none" w:sz="0" w:space="0" w:color="auto"/>
            <w:right w:val="none" w:sz="0" w:space="0" w:color="auto"/>
          </w:divBdr>
        </w:div>
        <w:div w:id="899435956">
          <w:marLeft w:val="0"/>
          <w:marRight w:val="0"/>
          <w:marTop w:val="0"/>
          <w:marBottom w:val="0"/>
          <w:divBdr>
            <w:top w:val="none" w:sz="0" w:space="0" w:color="auto"/>
            <w:left w:val="none" w:sz="0" w:space="0" w:color="auto"/>
            <w:bottom w:val="none" w:sz="0" w:space="0" w:color="auto"/>
            <w:right w:val="none" w:sz="0" w:space="0" w:color="auto"/>
          </w:divBdr>
        </w:div>
        <w:div w:id="430467092">
          <w:marLeft w:val="0"/>
          <w:marRight w:val="0"/>
          <w:marTop w:val="0"/>
          <w:marBottom w:val="0"/>
          <w:divBdr>
            <w:top w:val="none" w:sz="0" w:space="0" w:color="auto"/>
            <w:left w:val="none" w:sz="0" w:space="0" w:color="auto"/>
            <w:bottom w:val="none" w:sz="0" w:space="0" w:color="auto"/>
            <w:right w:val="none" w:sz="0" w:space="0" w:color="auto"/>
          </w:divBdr>
        </w:div>
      </w:divsChild>
    </w:div>
    <w:div w:id="17991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kennedy-mallory@norc.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blumenstock@astho.or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iegfried-alexa@norc.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it-michael@norc.org" TargetMode="External"/><Relationship Id="rId20" Type="http://schemas.openxmlformats.org/officeDocument/2006/relationships/hyperlink" Target="mailto:nadel-tori@nor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lphonharath@naccho.org" TargetMode="External"/><Relationship Id="rId5" Type="http://schemas.openxmlformats.org/officeDocument/2006/relationships/customXml" Target="../customXml/item5.xml"/><Relationship Id="rId15" Type="http://schemas.openxmlformats.org/officeDocument/2006/relationships/hyperlink" Target="mailto:kqn4@cdc.gov" TargetMode="External"/><Relationship Id="rId23" Type="http://schemas.openxmlformats.org/officeDocument/2006/relationships/hyperlink" Target="mailto:Lbiesiadecki@naccho.org"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backman-deborah@norc.or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vln0@cdc.gov" TargetMode="External"/><Relationship Id="rId22" Type="http://schemas.openxmlformats.org/officeDocument/2006/relationships/hyperlink" Target="mailto:DDekker@naccho.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OSTLTSDOC-727-183</_dlc_DocId>
    <_dlc_DocIdUrl xmlns="b5c0ca00-073d-4463-9985-b654f14791fe">
      <Url>https://esp.cdc.gov/sites/ostlts/pip/osc/_layouts/15/DocIdRedir.aspx?ID=OSTLTSDOC-727-183</Url>
      <Description>OSTLTSDOC-727-183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51CE-081F-4336-8F8A-6FC7A8C5E146}">
  <ds:schemaRefs>
    <ds:schemaRef ds:uri="http://schemas.microsoft.com/sharepoint/events"/>
  </ds:schemaRefs>
</ds:datastoreItem>
</file>

<file path=customXml/itemProps2.xml><?xml version="1.0" encoding="utf-8"?>
<ds:datastoreItem xmlns:ds="http://schemas.openxmlformats.org/officeDocument/2006/customXml" ds:itemID="{3081D4AA-9E8D-451C-AE21-485ED1AC0F46}">
  <ds:schemaRefs>
    <ds:schemaRef ds:uri="http://schemas.microsoft.com/office/2006/metadata/customXsn"/>
  </ds:schemaRefs>
</ds:datastoreItem>
</file>

<file path=customXml/itemProps3.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4.xml><?xml version="1.0" encoding="utf-8"?>
<ds:datastoreItem xmlns:ds="http://schemas.openxmlformats.org/officeDocument/2006/customXml" ds:itemID="{9B61BE5B-4AC1-41B7-B2EE-DAED64A1043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2BD27ED7-5016-4585-82D7-844818C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56FAEF-93DE-4B94-9951-1CBD51BB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2018-12-06T15:17:00Z</dcterms:created>
  <dcterms:modified xsi:type="dcterms:W3CDTF">2018-12-06T15:17:00Z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f02f9117-a2bd-4bcc-9f85-4770f446fdca</vt:lpwstr>
  </property>
</Properties>
</file>