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A2904" w14:textId="36E322D2" w:rsidR="009B4A51" w:rsidRDefault="009B4A51" w:rsidP="00A1453A">
      <w:pPr>
        <w:ind w:left="0"/>
      </w:pPr>
      <w:bookmarkStart w:id="0" w:name="_GoBack"/>
      <w:bookmarkEnd w:id="0"/>
    </w:p>
    <w:p w14:paraId="353478F6" w14:textId="77777777" w:rsidR="00667C89" w:rsidRDefault="00667C89" w:rsidP="00A1453A">
      <w:pPr>
        <w:ind w:left="0"/>
      </w:pPr>
    </w:p>
    <w:p w14:paraId="39114E88" w14:textId="1FD065CF" w:rsidR="009B4A51" w:rsidRDefault="009B4A51" w:rsidP="004135D5">
      <w:pPr>
        <w:pStyle w:val="Heading6"/>
      </w:pPr>
    </w:p>
    <w:p w14:paraId="18DE6FE6" w14:textId="5C6974CF" w:rsidR="00063690" w:rsidRDefault="00063690" w:rsidP="00063690"/>
    <w:p w14:paraId="54B30390" w14:textId="5158B385" w:rsidR="00063690" w:rsidRDefault="00063690" w:rsidP="00063690"/>
    <w:p w14:paraId="52EBD17A" w14:textId="075E3724" w:rsidR="00063690" w:rsidRDefault="00063690" w:rsidP="00063690"/>
    <w:p w14:paraId="447607F1" w14:textId="542EA8BF" w:rsidR="00063690" w:rsidRDefault="00063690" w:rsidP="00063690"/>
    <w:p w14:paraId="1D0C9994" w14:textId="5E366AA5" w:rsidR="00063690" w:rsidRDefault="00063690" w:rsidP="00063690"/>
    <w:p w14:paraId="68A62A75" w14:textId="77777777" w:rsidR="00063690" w:rsidRPr="00063690" w:rsidRDefault="00063690" w:rsidP="00063690"/>
    <w:p w14:paraId="67FE9716" w14:textId="77777777" w:rsidR="00A1453A" w:rsidRPr="00A1453A" w:rsidRDefault="00A1453A" w:rsidP="00A1453A"/>
    <w:p w14:paraId="2CF72579" w14:textId="77777777" w:rsidR="009B4A51" w:rsidRDefault="009B4A51" w:rsidP="00CA5840">
      <w:pPr>
        <w:ind w:left="0"/>
      </w:pPr>
    </w:p>
    <w:p w14:paraId="388F4981" w14:textId="3C893EA6" w:rsidR="007A177A" w:rsidRPr="0034084E" w:rsidRDefault="007A177A" w:rsidP="007A177A">
      <w:pPr>
        <w:pStyle w:val="Heading1"/>
        <w:ind w:left="0"/>
      </w:pPr>
      <w:r w:rsidRPr="0034084E">
        <w:t>Evidence-Based Practice in Public Health Preparedness and Response: Barriers and Facilitators</w:t>
      </w:r>
    </w:p>
    <w:p w14:paraId="6BCCB9A5" w14:textId="77777777" w:rsidR="00AA3192" w:rsidRDefault="00AA3192" w:rsidP="00CA5840">
      <w:pPr>
        <w:ind w:left="0"/>
      </w:pPr>
    </w:p>
    <w:p w14:paraId="27FADAEA"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5DAD131B" w14:textId="77777777" w:rsidR="00484011" w:rsidRPr="00AA3192" w:rsidRDefault="00484011" w:rsidP="00CA5840">
      <w:pPr>
        <w:ind w:left="0"/>
        <w:jc w:val="center"/>
      </w:pPr>
      <w:r w:rsidRPr="00AA3192">
        <w:t>OMB No. 0920-0879</w:t>
      </w:r>
    </w:p>
    <w:p w14:paraId="53C2D351" w14:textId="77777777" w:rsidR="009B4A51" w:rsidRDefault="009B4A51" w:rsidP="00CA5840">
      <w:pPr>
        <w:ind w:left="0"/>
      </w:pPr>
    </w:p>
    <w:p w14:paraId="7431A277" w14:textId="77777777" w:rsidR="00AA3192" w:rsidRDefault="00AA3192" w:rsidP="00CA5840">
      <w:pPr>
        <w:ind w:left="0"/>
      </w:pPr>
    </w:p>
    <w:p w14:paraId="2F32997B" w14:textId="77777777" w:rsidR="009B4A51" w:rsidRDefault="009B4A51" w:rsidP="00A1453A">
      <w:pPr>
        <w:pStyle w:val="Heading2"/>
        <w:ind w:left="0"/>
      </w:pPr>
      <w:r w:rsidRPr="007D6163">
        <w:t>Supporting Statement – Section A</w:t>
      </w:r>
    </w:p>
    <w:p w14:paraId="4336CD0A" w14:textId="77777777" w:rsidR="00187D5A" w:rsidRDefault="00187D5A" w:rsidP="00CA5840">
      <w:pPr>
        <w:ind w:left="0"/>
      </w:pPr>
    </w:p>
    <w:p w14:paraId="2864CBCE" w14:textId="30222845" w:rsidR="009B4A51" w:rsidRPr="009B4A51" w:rsidRDefault="009B4A51" w:rsidP="00CA5840">
      <w:pPr>
        <w:ind w:left="0"/>
        <w:jc w:val="center"/>
      </w:pPr>
      <w:r w:rsidRPr="00AA3192">
        <w:t>Submitted:</w:t>
      </w:r>
      <w:r w:rsidRPr="00713412">
        <w:rPr>
          <w:color w:val="0070C0"/>
        </w:rPr>
        <w:t xml:space="preserve"> </w:t>
      </w:r>
      <w:r w:rsidR="00EB6BFE" w:rsidRPr="00EB6BFE">
        <w:t>December 4, 2018</w:t>
      </w:r>
    </w:p>
    <w:p w14:paraId="3DEB6924" w14:textId="77777777" w:rsidR="009B4A51" w:rsidRDefault="009B4A51" w:rsidP="007D6163"/>
    <w:p w14:paraId="0B2D529D" w14:textId="77777777" w:rsidR="00AA3192" w:rsidRDefault="00AA3192" w:rsidP="00A1453A">
      <w:pPr>
        <w:ind w:left="0"/>
      </w:pPr>
    </w:p>
    <w:p w14:paraId="64C6FDEA" w14:textId="77777777" w:rsidR="00A1453A" w:rsidRDefault="00A1453A" w:rsidP="00A1453A">
      <w:pPr>
        <w:ind w:left="0"/>
      </w:pPr>
    </w:p>
    <w:p w14:paraId="4107F2A5" w14:textId="77777777" w:rsidR="009B4A51" w:rsidRDefault="009B4A51" w:rsidP="007D6163"/>
    <w:p w14:paraId="68F46859"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03541852" w14:textId="1A9359C5" w:rsidR="00321B51" w:rsidRPr="008C555A" w:rsidRDefault="10E41735" w:rsidP="00CA5840">
      <w:pPr>
        <w:ind w:left="0"/>
      </w:pPr>
      <w:r w:rsidRPr="008C555A">
        <w:t>Eric Carbone</w:t>
      </w:r>
    </w:p>
    <w:p w14:paraId="4C35AA2D" w14:textId="1364107D" w:rsidR="00321B51" w:rsidRPr="008C555A" w:rsidRDefault="10E41735" w:rsidP="00CA5840">
      <w:pPr>
        <w:ind w:left="0"/>
      </w:pPr>
      <w:r w:rsidRPr="008C555A">
        <w:t>Director</w:t>
      </w:r>
    </w:p>
    <w:p w14:paraId="10E41735" w14:textId="3D9A4DFC" w:rsidR="00321B51" w:rsidRPr="008C555A" w:rsidRDefault="00321B51" w:rsidP="00CA5840">
      <w:pPr>
        <w:ind w:left="0"/>
      </w:pPr>
      <w:r w:rsidRPr="008C555A">
        <w:t>O</w:t>
      </w:r>
      <w:r w:rsidR="10E41735" w:rsidRPr="008C555A">
        <w:t>ffice of Applied Research, Office of Public Health Preparedness</w:t>
      </w:r>
      <w:r w:rsidRPr="008C555A">
        <w:br/>
      </w:r>
      <w:r w:rsidR="10E41735" w:rsidRPr="008C555A">
        <w:rPr>
          <w:rFonts w:ascii="Cambria" w:eastAsia="Cambria" w:hAnsi="Cambria" w:cs="Cambria"/>
        </w:rPr>
        <w:t>Centers for Disease Control and Prevention</w:t>
      </w:r>
      <w:r w:rsidRPr="008C555A">
        <w:br/>
      </w:r>
      <w:r w:rsidR="10E41735" w:rsidRPr="008C555A">
        <w:rPr>
          <w:rFonts w:ascii="Cambria" w:eastAsia="Cambria" w:hAnsi="Cambria" w:cs="Cambria"/>
        </w:rPr>
        <w:t xml:space="preserve"> US Department of Health and Human Services</w:t>
      </w:r>
    </w:p>
    <w:p w14:paraId="23D9F274" w14:textId="7F62AD53" w:rsidR="00321B51" w:rsidRPr="008C555A" w:rsidRDefault="10E41735" w:rsidP="10E41735">
      <w:pPr>
        <w:ind w:left="0"/>
      </w:pPr>
      <w:r w:rsidRPr="008C555A">
        <w:rPr>
          <w:rFonts w:ascii="Cambria" w:eastAsia="Cambria" w:hAnsi="Cambria" w:cs="Cambria"/>
        </w:rPr>
        <w:t>Atlanta, GA 30329</w:t>
      </w:r>
    </w:p>
    <w:p w14:paraId="0810210A" w14:textId="13532BD3" w:rsidR="00321B51" w:rsidRPr="008C555A" w:rsidRDefault="10E41735" w:rsidP="00CA5840">
      <w:pPr>
        <w:ind w:left="0"/>
      </w:pPr>
      <w:r w:rsidRPr="008C555A">
        <w:t>770-488-8131</w:t>
      </w:r>
    </w:p>
    <w:p w14:paraId="6DD03534" w14:textId="592FC8F3" w:rsidR="00321B51" w:rsidRPr="008C555A" w:rsidRDefault="10E41735" w:rsidP="00CA5840">
      <w:pPr>
        <w:ind w:left="0"/>
      </w:pPr>
      <w:r w:rsidRPr="008C555A">
        <w:t>ecarbone@cdc.gov</w:t>
      </w:r>
    </w:p>
    <w:p w14:paraId="6795EB0C" w14:textId="77777777" w:rsidR="000B0962" w:rsidRPr="008C555A" w:rsidRDefault="000B0962" w:rsidP="00383542">
      <w:pPr>
        <w:ind w:left="0"/>
      </w:pPr>
    </w:p>
    <w:p w14:paraId="7D671F92" w14:textId="77777777" w:rsidR="00CA5840" w:rsidRDefault="00CA5840">
      <w:pPr>
        <w:tabs>
          <w:tab w:val="clear" w:pos="9360"/>
        </w:tabs>
        <w:spacing w:after="200"/>
        <w:ind w:left="0"/>
        <w:rPr>
          <w:b/>
          <w:sz w:val="28"/>
        </w:rPr>
      </w:pPr>
      <w:r>
        <w:br w:type="page"/>
      </w:r>
    </w:p>
    <w:p w14:paraId="783319AC" w14:textId="77777777" w:rsidR="003860A5" w:rsidRDefault="003860A5" w:rsidP="003860A5">
      <w:pPr>
        <w:pStyle w:val="Heading3"/>
        <w:ind w:left="0"/>
      </w:pPr>
      <w:bookmarkStart w:id="1" w:name="_Toc427752811"/>
      <w:r>
        <w:lastRenderedPageBreak/>
        <w:t>Table of Contents</w:t>
      </w:r>
      <w:bookmarkEnd w:id="1"/>
    </w:p>
    <w:p w14:paraId="5B6CE294" w14:textId="77777777" w:rsidR="003860A5" w:rsidRPr="003860A5" w:rsidRDefault="003860A5" w:rsidP="003860A5"/>
    <w:p w14:paraId="7B3D34C8" w14:textId="2E806C6A"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D556AC">
          <w:rPr>
            <w:noProof/>
            <w:webHidden/>
          </w:rPr>
          <w:t>2</w:t>
        </w:r>
        <w:r w:rsidR="00CC4DAB">
          <w:rPr>
            <w:noProof/>
            <w:webHidden/>
          </w:rPr>
          <w:fldChar w:fldCharType="end"/>
        </w:r>
      </w:hyperlink>
    </w:p>
    <w:p w14:paraId="761EE7DF" w14:textId="5ADA5CDC" w:rsidR="00CC4DAB" w:rsidRDefault="00282541">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D556AC">
          <w:rPr>
            <w:noProof/>
            <w:webHidden/>
          </w:rPr>
          <w:t>3</w:t>
        </w:r>
        <w:r w:rsidR="00CC4DAB">
          <w:rPr>
            <w:noProof/>
            <w:webHidden/>
          </w:rPr>
          <w:fldChar w:fldCharType="end"/>
        </w:r>
      </w:hyperlink>
    </w:p>
    <w:p w14:paraId="1AB242BC" w14:textId="4B193E7B" w:rsidR="00CC4DAB" w:rsidRDefault="00282541">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D556AC">
          <w:rPr>
            <w:noProof/>
            <w:webHidden/>
          </w:rPr>
          <w:t>3</w:t>
        </w:r>
        <w:r w:rsidR="00CC4DAB">
          <w:rPr>
            <w:noProof/>
            <w:webHidden/>
          </w:rPr>
          <w:fldChar w:fldCharType="end"/>
        </w:r>
      </w:hyperlink>
    </w:p>
    <w:p w14:paraId="43B6EF5A" w14:textId="537E1D6E" w:rsidR="00CC4DAB" w:rsidRDefault="00282541">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D556AC">
          <w:rPr>
            <w:noProof/>
            <w:webHidden/>
          </w:rPr>
          <w:t>6</w:t>
        </w:r>
        <w:r w:rsidR="00CC4DAB">
          <w:rPr>
            <w:noProof/>
            <w:webHidden/>
          </w:rPr>
          <w:fldChar w:fldCharType="end"/>
        </w:r>
      </w:hyperlink>
    </w:p>
    <w:p w14:paraId="5C092D5B" w14:textId="722B8A63" w:rsidR="00CC4DAB" w:rsidRDefault="00282541">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D556AC">
          <w:rPr>
            <w:noProof/>
            <w:webHidden/>
          </w:rPr>
          <w:t>6</w:t>
        </w:r>
        <w:r w:rsidR="00CC4DAB">
          <w:rPr>
            <w:noProof/>
            <w:webHidden/>
          </w:rPr>
          <w:fldChar w:fldCharType="end"/>
        </w:r>
      </w:hyperlink>
    </w:p>
    <w:p w14:paraId="671DD7D8" w14:textId="7F355C63" w:rsidR="00CC4DAB" w:rsidRDefault="00282541">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D556AC">
          <w:rPr>
            <w:noProof/>
            <w:webHidden/>
          </w:rPr>
          <w:t>6</w:t>
        </w:r>
        <w:r w:rsidR="00CC4DAB">
          <w:rPr>
            <w:noProof/>
            <w:webHidden/>
          </w:rPr>
          <w:fldChar w:fldCharType="end"/>
        </w:r>
      </w:hyperlink>
    </w:p>
    <w:p w14:paraId="7EEE66DC" w14:textId="3AF76C4A" w:rsidR="00CC4DAB" w:rsidRDefault="00282541">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D556AC">
          <w:rPr>
            <w:noProof/>
            <w:webHidden/>
          </w:rPr>
          <w:t>6</w:t>
        </w:r>
        <w:r w:rsidR="00CC4DAB">
          <w:rPr>
            <w:noProof/>
            <w:webHidden/>
          </w:rPr>
          <w:fldChar w:fldCharType="end"/>
        </w:r>
      </w:hyperlink>
    </w:p>
    <w:p w14:paraId="1AED0D9F" w14:textId="294EAE39" w:rsidR="00CC4DAB" w:rsidRDefault="00282541">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D556AC">
          <w:rPr>
            <w:noProof/>
            <w:webHidden/>
          </w:rPr>
          <w:t>6</w:t>
        </w:r>
        <w:r w:rsidR="00CC4DAB">
          <w:rPr>
            <w:noProof/>
            <w:webHidden/>
          </w:rPr>
          <w:fldChar w:fldCharType="end"/>
        </w:r>
      </w:hyperlink>
    </w:p>
    <w:p w14:paraId="13303E71" w14:textId="6A054C80" w:rsidR="00CC4DAB" w:rsidRDefault="00282541">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D556AC">
          <w:rPr>
            <w:noProof/>
            <w:webHidden/>
          </w:rPr>
          <w:t>6</w:t>
        </w:r>
        <w:r w:rsidR="00CC4DAB">
          <w:rPr>
            <w:noProof/>
            <w:webHidden/>
          </w:rPr>
          <w:fldChar w:fldCharType="end"/>
        </w:r>
      </w:hyperlink>
    </w:p>
    <w:p w14:paraId="3CD838F0" w14:textId="4FA677A3" w:rsidR="00CC4DAB" w:rsidRDefault="00282541">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D556AC">
          <w:rPr>
            <w:noProof/>
            <w:webHidden/>
          </w:rPr>
          <w:t>7</w:t>
        </w:r>
        <w:r w:rsidR="00CC4DAB">
          <w:rPr>
            <w:noProof/>
            <w:webHidden/>
          </w:rPr>
          <w:fldChar w:fldCharType="end"/>
        </w:r>
      </w:hyperlink>
    </w:p>
    <w:p w14:paraId="4E0D1864" w14:textId="77E60801" w:rsidR="00CC4DAB" w:rsidRDefault="00282541">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D556AC">
          <w:rPr>
            <w:noProof/>
            <w:webHidden/>
          </w:rPr>
          <w:t>7</w:t>
        </w:r>
        <w:r w:rsidR="00CC4DAB">
          <w:rPr>
            <w:noProof/>
            <w:webHidden/>
          </w:rPr>
          <w:fldChar w:fldCharType="end"/>
        </w:r>
      </w:hyperlink>
    </w:p>
    <w:p w14:paraId="676D9FEC" w14:textId="624FF53E" w:rsidR="00CC4DAB" w:rsidRDefault="00282541">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D556AC">
          <w:rPr>
            <w:noProof/>
            <w:webHidden/>
          </w:rPr>
          <w:t>7</w:t>
        </w:r>
        <w:r w:rsidR="00CC4DAB">
          <w:rPr>
            <w:noProof/>
            <w:webHidden/>
          </w:rPr>
          <w:fldChar w:fldCharType="end"/>
        </w:r>
      </w:hyperlink>
    </w:p>
    <w:p w14:paraId="739D1AA4" w14:textId="170A792A" w:rsidR="00CC4DAB" w:rsidRDefault="00282541">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D556AC">
          <w:rPr>
            <w:noProof/>
            <w:webHidden/>
          </w:rPr>
          <w:t>7</w:t>
        </w:r>
        <w:r w:rsidR="00CC4DAB">
          <w:rPr>
            <w:noProof/>
            <w:webHidden/>
          </w:rPr>
          <w:fldChar w:fldCharType="end"/>
        </w:r>
      </w:hyperlink>
    </w:p>
    <w:p w14:paraId="6D13F3B8" w14:textId="1AFE1CB2" w:rsidR="00CC4DAB" w:rsidRDefault="00282541">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D556AC">
          <w:rPr>
            <w:noProof/>
            <w:webHidden/>
          </w:rPr>
          <w:t>7</w:t>
        </w:r>
        <w:r w:rsidR="00CC4DAB">
          <w:rPr>
            <w:noProof/>
            <w:webHidden/>
          </w:rPr>
          <w:fldChar w:fldCharType="end"/>
        </w:r>
      </w:hyperlink>
    </w:p>
    <w:p w14:paraId="3179DAA6" w14:textId="76DE3E1A" w:rsidR="00CC4DAB" w:rsidRDefault="00282541">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D556AC">
          <w:rPr>
            <w:noProof/>
            <w:webHidden/>
          </w:rPr>
          <w:t>8</w:t>
        </w:r>
        <w:r w:rsidR="00CC4DAB">
          <w:rPr>
            <w:noProof/>
            <w:webHidden/>
          </w:rPr>
          <w:fldChar w:fldCharType="end"/>
        </w:r>
      </w:hyperlink>
    </w:p>
    <w:p w14:paraId="2AC5CF13" w14:textId="4AFAFDC4" w:rsidR="00CC4DAB" w:rsidRDefault="00282541">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D556AC">
          <w:rPr>
            <w:noProof/>
            <w:webHidden/>
          </w:rPr>
          <w:t>8</w:t>
        </w:r>
        <w:r w:rsidR="00CC4DAB">
          <w:rPr>
            <w:noProof/>
            <w:webHidden/>
          </w:rPr>
          <w:fldChar w:fldCharType="end"/>
        </w:r>
      </w:hyperlink>
    </w:p>
    <w:p w14:paraId="01A5CB4C" w14:textId="4769C5EB" w:rsidR="00CC4DAB" w:rsidRDefault="00282541">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D556AC">
          <w:rPr>
            <w:noProof/>
            <w:webHidden/>
          </w:rPr>
          <w:t>9</w:t>
        </w:r>
        <w:r w:rsidR="00CC4DAB">
          <w:rPr>
            <w:noProof/>
            <w:webHidden/>
          </w:rPr>
          <w:fldChar w:fldCharType="end"/>
        </w:r>
      </w:hyperlink>
    </w:p>
    <w:p w14:paraId="5074C959" w14:textId="27AA8743" w:rsidR="00CC4DAB" w:rsidRDefault="00282541">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D556AC">
          <w:rPr>
            <w:noProof/>
            <w:webHidden/>
          </w:rPr>
          <w:t>9</w:t>
        </w:r>
        <w:r w:rsidR="00CC4DAB">
          <w:rPr>
            <w:noProof/>
            <w:webHidden/>
          </w:rPr>
          <w:fldChar w:fldCharType="end"/>
        </w:r>
      </w:hyperlink>
    </w:p>
    <w:p w14:paraId="2B5D31A7" w14:textId="0E9028DB" w:rsidR="00CC4DAB" w:rsidRDefault="00282541">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D556AC">
          <w:rPr>
            <w:noProof/>
            <w:webHidden/>
          </w:rPr>
          <w:t>10</w:t>
        </w:r>
        <w:r w:rsidR="00CC4DAB">
          <w:rPr>
            <w:noProof/>
            <w:webHidden/>
          </w:rPr>
          <w:fldChar w:fldCharType="end"/>
        </w:r>
      </w:hyperlink>
    </w:p>
    <w:p w14:paraId="31469C33" w14:textId="3A23B744" w:rsidR="00CC4DAB" w:rsidRDefault="00282541">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D556AC">
          <w:rPr>
            <w:noProof/>
            <w:webHidden/>
          </w:rPr>
          <w:t>10</w:t>
        </w:r>
        <w:r w:rsidR="00CC4DAB">
          <w:rPr>
            <w:noProof/>
            <w:webHidden/>
          </w:rPr>
          <w:fldChar w:fldCharType="end"/>
        </w:r>
      </w:hyperlink>
    </w:p>
    <w:p w14:paraId="7CE323C5" w14:textId="67ADF362" w:rsidR="00CC4DAB" w:rsidRDefault="00282541">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D556AC">
          <w:rPr>
            <w:noProof/>
            <w:webHidden/>
          </w:rPr>
          <w:t>10</w:t>
        </w:r>
        <w:r w:rsidR="00CC4DAB">
          <w:rPr>
            <w:noProof/>
            <w:webHidden/>
          </w:rPr>
          <w:fldChar w:fldCharType="end"/>
        </w:r>
      </w:hyperlink>
    </w:p>
    <w:p w14:paraId="30E03534" w14:textId="4FF25A55" w:rsidR="00CC4DAB" w:rsidRDefault="00282541">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D556AC">
          <w:rPr>
            <w:noProof/>
            <w:webHidden/>
          </w:rPr>
          <w:t>10</w:t>
        </w:r>
        <w:r w:rsidR="00CC4DAB">
          <w:rPr>
            <w:noProof/>
            <w:webHidden/>
          </w:rPr>
          <w:fldChar w:fldCharType="end"/>
        </w:r>
      </w:hyperlink>
    </w:p>
    <w:p w14:paraId="2465D074" w14:textId="77777777" w:rsidR="003860A5" w:rsidRDefault="003860A5" w:rsidP="00CA5840">
      <w:pPr>
        <w:pStyle w:val="Heading3"/>
        <w:ind w:left="0"/>
      </w:pPr>
      <w:r>
        <w:fldChar w:fldCharType="end"/>
      </w:r>
    </w:p>
    <w:p w14:paraId="70FAAD55" w14:textId="2CC51931"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mc:AlternateContent>
          <mc:Choice Requires="wps">
            <w:drawing>
              <wp:inline distT="0" distB="0" distL="0" distR="0" wp14:anchorId="5419F418" wp14:editId="26921EDC">
                <wp:extent cx="6591300" cy="466725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667250"/>
                        </a:xfrm>
                        <a:prstGeom prst="rect">
                          <a:avLst/>
                        </a:prstGeom>
                        <a:solidFill>
                          <a:srgbClr val="FFFFFF"/>
                        </a:solidFill>
                        <a:ln w="9525">
                          <a:solidFill>
                            <a:srgbClr val="000000"/>
                          </a:solidFill>
                          <a:miter lim="800000"/>
                          <a:headEnd/>
                          <a:tailEnd/>
                        </a:ln>
                      </wps:spPr>
                      <wps:txbx>
                        <w:txbxContent>
                          <w:p w14:paraId="5A0035EA" w14:textId="0788AB6A" w:rsidR="00562B9C" w:rsidRPr="00E15C75" w:rsidRDefault="00562B9C" w:rsidP="00FC6792">
                            <w:pPr>
                              <w:pStyle w:val="ListParagraph"/>
                              <w:numPr>
                                <w:ilvl w:val="0"/>
                                <w:numId w:val="8"/>
                              </w:numPr>
                              <w:tabs>
                                <w:tab w:val="clear" w:pos="9360"/>
                              </w:tabs>
                              <w:spacing w:after="200"/>
                            </w:pPr>
                            <w:r>
                              <w:rPr>
                                <w:b/>
                              </w:rPr>
                              <w:t>Purpose</w:t>
                            </w:r>
                            <w:r w:rsidRPr="007B7C44">
                              <w:rPr>
                                <w:b/>
                              </w:rPr>
                              <w:t xml:space="preserve"> of the data collection</w:t>
                            </w:r>
                            <w:r>
                              <w:rPr>
                                <w:b/>
                              </w:rPr>
                              <w:t xml:space="preserve">: </w:t>
                            </w:r>
                            <w:r w:rsidRPr="00DB630C">
                              <w:t xml:space="preserve">The purpose of this data collection is to examine the barriers (i.e., factors that may impede or prevent) and facilitators (i.e., factors that may enable or promote) to evidence-based practice (EBP) in public health emergency preparedness and response (PHPR) by identifying the key organizational and contextual factors affecting EBP implementation and dissemination by the PHPR practice community. </w:t>
                            </w:r>
                            <w:r w:rsidRPr="00E15C75">
                              <w:t xml:space="preserve"> </w:t>
                            </w:r>
                          </w:p>
                          <w:p w14:paraId="55213A28" w14:textId="77777777" w:rsidR="00562B9C" w:rsidRPr="00DB630C" w:rsidRDefault="00562B9C" w:rsidP="00FC6792">
                            <w:pPr>
                              <w:pStyle w:val="ListParagraph"/>
                              <w:ind w:left="360"/>
                            </w:pPr>
                          </w:p>
                          <w:p w14:paraId="76C0FCCD" w14:textId="316BE3ED" w:rsidR="00562B9C" w:rsidRPr="004F601A" w:rsidRDefault="00562B9C" w:rsidP="00FC6792">
                            <w:pPr>
                              <w:pStyle w:val="ListParagraph"/>
                              <w:numPr>
                                <w:ilvl w:val="0"/>
                                <w:numId w:val="8"/>
                              </w:numPr>
                              <w:tabs>
                                <w:tab w:val="clear" w:pos="9360"/>
                              </w:tabs>
                            </w:pPr>
                            <w:r w:rsidRPr="00DB630C">
                              <w:rPr>
                                <w:b/>
                              </w:rPr>
                              <w:t xml:space="preserve">Intended use of the resulting data: </w:t>
                            </w:r>
                            <w:r w:rsidRPr="00DB630C">
                              <w:t>This data collection will help CDC to understand the barriers and facilitators to EBP in PHPR</w:t>
                            </w:r>
                            <w:r>
                              <w:t>.</w:t>
                            </w:r>
                            <w:r w:rsidRPr="00DB630C">
                              <w:t xml:space="preserve"> CDC will use the resulting data to: a) support state, territorial, and local health department activities; b) better understand the PHPR practice community’s needs; c) inform and prioritize strategies and resources for EBP identification and dissemination; and d) address barriers and facilitators</w:t>
                            </w:r>
                            <w:r>
                              <w:t xml:space="preserve"> to EBP uptake.</w:t>
                            </w:r>
                          </w:p>
                          <w:p w14:paraId="64AF305E" w14:textId="77777777" w:rsidR="00562B9C" w:rsidRDefault="00562B9C" w:rsidP="00FC6792">
                            <w:pPr>
                              <w:tabs>
                                <w:tab w:val="clear" w:pos="9360"/>
                              </w:tabs>
                              <w:ind w:left="0"/>
                            </w:pPr>
                          </w:p>
                          <w:p w14:paraId="2FDF7591" w14:textId="19C127E4" w:rsidR="00562B9C" w:rsidRDefault="00562B9C" w:rsidP="00FC6792">
                            <w:pPr>
                              <w:pStyle w:val="ListParagraph"/>
                              <w:numPr>
                                <w:ilvl w:val="0"/>
                                <w:numId w:val="8"/>
                              </w:numPr>
                              <w:tabs>
                                <w:tab w:val="clear" w:pos="9360"/>
                              </w:tabs>
                            </w:pPr>
                            <w:r w:rsidRPr="007B7C44">
                              <w:rPr>
                                <w:b/>
                              </w:rPr>
                              <w:t>Methods to be used to collect data</w:t>
                            </w:r>
                            <w:r>
                              <w:rPr>
                                <w:b/>
                              </w:rPr>
                              <w:t xml:space="preserve">: </w:t>
                            </w:r>
                            <w:r>
                              <w:t>The data collection method is a web-based assessment.</w:t>
                            </w:r>
                          </w:p>
                          <w:p w14:paraId="2AAE1956" w14:textId="77777777" w:rsidR="00562B9C" w:rsidRDefault="00562B9C" w:rsidP="00FC6792">
                            <w:pPr>
                              <w:pStyle w:val="ListParagraph"/>
                              <w:tabs>
                                <w:tab w:val="clear" w:pos="9360"/>
                              </w:tabs>
                              <w:spacing w:after="200"/>
                              <w:ind w:left="360"/>
                            </w:pPr>
                          </w:p>
                          <w:p w14:paraId="740ED407" w14:textId="51585A37" w:rsidR="00562B9C" w:rsidRDefault="00562B9C" w:rsidP="00FC6792">
                            <w:pPr>
                              <w:pStyle w:val="ListParagraph"/>
                              <w:numPr>
                                <w:ilvl w:val="0"/>
                                <w:numId w:val="8"/>
                              </w:numPr>
                              <w:tabs>
                                <w:tab w:val="clear" w:pos="9360"/>
                              </w:tabs>
                            </w:pPr>
                            <w:r w:rsidRPr="007B7C44">
                              <w:rPr>
                                <w:b/>
                              </w:rPr>
                              <w:t>Respondent Universe</w:t>
                            </w:r>
                            <w:r>
                              <w:rPr>
                                <w:b/>
                              </w:rPr>
                              <w:t xml:space="preserve">: </w:t>
                            </w:r>
                            <w:r>
                              <w:t xml:space="preserve">The respondent universe consists of 562 public health emergency preparedness directors/coordinators, acting in their official capacities, from state, territorial, and local health departments. </w:t>
                            </w:r>
                            <w:r w:rsidRPr="0086783F">
                              <w:t xml:space="preserve">If a health department does not employ a </w:t>
                            </w:r>
                            <w:r>
                              <w:t xml:space="preserve">public health emergency </w:t>
                            </w:r>
                            <w:r w:rsidRPr="0086783F">
                              <w:t xml:space="preserve">preparedness </w:t>
                            </w:r>
                            <w:r>
                              <w:t>director/</w:t>
                            </w:r>
                            <w:r w:rsidRPr="00962B10">
                              <w:t>coordinator</w:t>
                            </w:r>
                            <w:r w:rsidRPr="0086783F">
                              <w:t xml:space="preserve">, the health department director will designate a staff person who has direct knowledge and/or primary responsibility for </w:t>
                            </w:r>
                            <w:r>
                              <w:t xml:space="preserve">PHPR </w:t>
                            </w:r>
                            <w:r w:rsidRPr="0086783F">
                              <w:t>activities to complete the assessment.</w:t>
                            </w:r>
                          </w:p>
                          <w:p w14:paraId="77E8FDEF" w14:textId="77777777" w:rsidR="00562B9C" w:rsidRDefault="00562B9C" w:rsidP="00FC6792">
                            <w:pPr>
                              <w:pStyle w:val="ListParagraph"/>
                              <w:ind w:left="360"/>
                            </w:pPr>
                          </w:p>
                          <w:p w14:paraId="397E1108" w14:textId="5775BDF7" w:rsidR="00562B9C" w:rsidRDefault="00562B9C" w:rsidP="00FC6792">
                            <w:pPr>
                              <w:pStyle w:val="ListParagraph"/>
                              <w:numPr>
                                <w:ilvl w:val="0"/>
                                <w:numId w:val="8"/>
                              </w:numPr>
                              <w:tabs>
                                <w:tab w:val="clear" w:pos="9360"/>
                              </w:tabs>
                            </w:pPr>
                            <w:r w:rsidRPr="003F0CC1">
                              <w:rPr>
                                <w:b/>
                              </w:rPr>
                              <w:t>How data will be analyzed</w:t>
                            </w:r>
                            <w:r>
                              <w:rPr>
                                <w:b/>
                              </w:rPr>
                              <w:t xml:space="preserve">: </w:t>
                            </w:r>
                            <w:r>
                              <w:t xml:space="preserve">Methods for data analysis include quantitative and qualitative analysis of the data. Quantitative analysis will include descriptive statistics and comparison between and across respondent sub-groups. Qualitative analysis to identify key themes from open-ended instrument responses will be performed using NVivo software.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9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5A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b3Krykx&#10;TKNIT2II5C0MpIj89NaXGPZoMTAMeI06p1q9fQD+zRMDm46ZnbhzDvpOsAbzm8aX2cXTEcdHkLr/&#10;CA1+w/YBEtDQOh3JQzoIoqNOx7M2MRWOl4v5cnqVo4ujb7ZYXBfzpF7Gyufn1vnwXoAm8VBRh+In&#10;eHZ48CGmw8rnkPibByWbrVQqGW5Xb5QjB4aNsk0rVfAiTBnSV3Q5L+YjA3+FyNP6E4SWATteSV3R&#10;m3MQKyNv70yT+jEwqcYzpqzMicjI3chiGOrhJEwNzREpdTB2Nk4iHjpwPyjpsasr6r/vmROUqA8G&#10;ZVlOZ7M4BsmYza8LNNylp770MMMRqqKBkvG4CWl0ImEG7lC+ViZio85jJqdcsVsT36fJiuNwaaeo&#10;X/O//gkAAP//AwBQSwMEFAAGAAgAAAAhAAbHw1PcAAAABgEAAA8AAABkcnMvZG93bnJldi54bWxM&#10;j8FOwzAQRO9I/QdrkbggakOgTUOcCiGB6A0Kolc33iZR7XWw3TT8PS4XuIw0mtXM23I5WsMG9KFz&#10;JOF6KoAh1U531Ej4eH+6yoGFqEgr4wglfGOAZTU5K1Wh3ZHecFjHhqUSCoWS0MbYF5yHukWrwtT1&#10;SCnbOW9VTNY3XHt1TOXW8BshZtyqjtJCq3p8bLHerw9WQn77MmzCKnv9rGc7s4iX8+H5y0t5cT4+&#10;3AOLOMa/YzjhJ3SoEtPWHUgHZiSkR+KvnjKR5clvJcyzOwG8Kvl//OoHAAD//wMAUEsBAi0AFAAG&#10;AAgAAAAhALaDOJL+AAAA4QEAABMAAAAAAAAAAAAAAAAAAAAAAFtDb250ZW50X1R5cGVzXS54bWxQ&#10;SwECLQAUAAYACAAAACEAOP0h/9YAAACUAQAACwAAAAAAAAAAAAAAAAAvAQAAX3JlbHMvLnJlbHNQ&#10;SwECLQAUAAYACAAAACEA8OhuQCUCAABHBAAADgAAAAAAAAAAAAAAAAAuAgAAZHJzL2Uyb0RvYy54&#10;bWxQSwECLQAUAAYACAAAACEABsfDU9wAAAAGAQAADwAAAAAAAAAAAAAAAAB/BAAAZHJzL2Rvd25y&#10;ZXYueG1sUEsFBgAAAAAEAAQA8wAAAIgFAAAAAA==&#10;">
                <v:textbox>
                  <w:txbxContent>
                    <w:p w14:paraId="5A0035EA" w14:textId="0788AB6A" w:rsidR="00562B9C" w:rsidRPr="00E15C75" w:rsidRDefault="00562B9C" w:rsidP="00FC6792">
                      <w:pPr>
                        <w:pStyle w:val="ListParagraph"/>
                        <w:numPr>
                          <w:ilvl w:val="0"/>
                          <w:numId w:val="8"/>
                        </w:numPr>
                        <w:tabs>
                          <w:tab w:val="clear" w:pos="9360"/>
                        </w:tabs>
                        <w:spacing w:after="200"/>
                      </w:pPr>
                      <w:r>
                        <w:rPr>
                          <w:b/>
                        </w:rPr>
                        <w:t>Purpose</w:t>
                      </w:r>
                      <w:r w:rsidRPr="007B7C44">
                        <w:rPr>
                          <w:b/>
                        </w:rPr>
                        <w:t xml:space="preserve"> of the data collection</w:t>
                      </w:r>
                      <w:r>
                        <w:rPr>
                          <w:b/>
                        </w:rPr>
                        <w:t xml:space="preserve">: </w:t>
                      </w:r>
                      <w:r w:rsidRPr="00DB630C">
                        <w:t xml:space="preserve">The purpose of this data collection is to examine the barriers (i.e., factors that may impede or prevent) and facilitators (i.e., factors that may enable or promote) to evidence-based practice (EBP) in public health emergency preparedness and response (PHPR) by identifying the key organizational and contextual factors affecting EBP implementation and dissemination by the PHPR practice community. </w:t>
                      </w:r>
                      <w:r w:rsidRPr="00E15C75">
                        <w:t xml:space="preserve"> </w:t>
                      </w:r>
                    </w:p>
                    <w:p w14:paraId="55213A28" w14:textId="77777777" w:rsidR="00562B9C" w:rsidRPr="00DB630C" w:rsidRDefault="00562B9C" w:rsidP="00FC6792">
                      <w:pPr>
                        <w:pStyle w:val="ListParagraph"/>
                        <w:ind w:left="360"/>
                      </w:pPr>
                    </w:p>
                    <w:p w14:paraId="76C0FCCD" w14:textId="316BE3ED" w:rsidR="00562B9C" w:rsidRPr="004F601A" w:rsidRDefault="00562B9C" w:rsidP="00FC6792">
                      <w:pPr>
                        <w:pStyle w:val="ListParagraph"/>
                        <w:numPr>
                          <w:ilvl w:val="0"/>
                          <w:numId w:val="8"/>
                        </w:numPr>
                        <w:tabs>
                          <w:tab w:val="clear" w:pos="9360"/>
                        </w:tabs>
                      </w:pPr>
                      <w:r w:rsidRPr="00DB630C">
                        <w:rPr>
                          <w:b/>
                        </w:rPr>
                        <w:t xml:space="preserve">Intended use of the resulting data: </w:t>
                      </w:r>
                      <w:r w:rsidRPr="00DB630C">
                        <w:t>This data collection will help CDC to understand the barriers and facilitators to EBP in PHPR</w:t>
                      </w:r>
                      <w:r>
                        <w:t>.</w:t>
                      </w:r>
                      <w:r w:rsidRPr="00DB630C">
                        <w:t xml:space="preserve"> CDC will use the resulting data to: a) support state, territorial, and local health department activities; b) better understand the PHPR practice community’s needs; c) inform and prioritize strategies and resources for EBP identification and dissemination; and d) address barriers and facilitators</w:t>
                      </w:r>
                      <w:r>
                        <w:t xml:space="preserve"> to EBP uptake.</w:t>
                      </w:r>
                    </w:p>
                    <w:p w14:paraId="64AF305E" w14:textId="77777777" w:rsidR="00562B9C" w:rsidRDefault="00562B9C" w:rsidP="00FC6792">
                      <w:pPr>
                        <w:tabs>
                          <w:tab w:val="clear" w:pos="9360"/>
                        </w:tabs>
                        <w:ind w:left="0"/>
                      </w:pPr>
                    </w:p>
                    <w:p w14:paraId="2FDF7591" w14:textId="19C127E4" w:rsidR="00562B9C" w:rsidRDefault="00562B9C" w:rsidP="00FC6792">
                      <w:pPr>
                        <w:pStyle w:val="ListParagraph"/>
                        <w:numPr>
                          <w:ilvl w:val="0"/>
                          <w:numId w:val="8"/>
                        </w:numPr>
                        <w:tabs>
                          <w:tab w:val="clear" w:pos="9360"/>
                        </w:tabs>
                      </w:pPr>
                      <w:r w:rsidRPr="007B7C44">
                        <w:rPr>
                          <w:b/>
                        </w:rPr>
                        <w:t>Methods to be used to collect data</w:t>
                      </w:r>
                      <w:r>
                        <w:rPr>
                          <w:b/>
                        </w:rPr>
                        <w:t xml:space="preserve">: </w:t>
                      </w:r>
                      <w:r>
                        <w:t>The data collection method is a web-based assessment.</w:t>
                      </w:r>
                    </w:p>
                    <w:p w14:paraId="2AAE1956" w14:textId="77777777" w:rsidR="00562B9C" w:rsidRDefault="00562B9C" w:rsidP="00FC6792">
                      <w:pPr>
                        <w:pStyle w:val="ListParagraph"/>
                        <w:tabs>
                          <w:tab w:val="clear" w:pos="9360"/>
                        </w:tabs>
                        <w:spacing w:after="200"/>
                        <w:ind w:left="360"/>
                      </w:pPr>
                    </w:p>
                    <w:p w14:paraId="740ED407" w14:textId="51585A37" w:rsidR="00562B9C" w:rsidRDefault="00562B9C" w:rsidP="00FC6792">
                      <w:pPr>
                        <w:pStyle w:val="ListParagraph"/>
                        <w:numPr>
                          <w:ilvl w:val="0"/>
                          <w:numId w:val="8"/>
                        </w:numPr>
                        <w:tabs>
                          <w:tab w:val="clear" w:pos="9360"/>
                        </w:tabs>
                      </w:pPr>
                      <w:r w:rsidRPr="007B7C44">
                        <w:rPr>
                          <w:b/>
                        </w:rPr>
                        <w:t>Respondent Universe</w:t>
                      </w:r>
                      <w:r>
                        <w:rPr>
                          <w:b/>
                        </w:rPr>
                        <w:t xml:space="preserve">: </w:t>
                      </w:r>
                      <w:r>
                        <w:t xml:space="preserve">The respondent universe consists of 562 public health emergency preparedness directors/coordinators, acting in their official capacities, from state, territorial, and local health departments. </w:t>
                      </w:r>
                      <w:r w:rsidRPr="0086783F">
                        <w:t xml:space="preserve">If a health department does not employ a </w:t>
                      </w:r>
                      <w:r>
                        <w:t xml:space="preserve">public health emergency </w:t>
                      </w:r>
                      <w:r w:rsidRPr="0086783F">
                        <w:t xml:space="preserve">preparedness </w:t>
                      </w:r>
                      <w:r>
                        <w:t>director/</w:t>
                      </w:r>
                      <w:r w:rsidRPr="00962B10">
                        <w:t>coordinator</w:t>
                      </w:r>
                      <w:r w:rsidRPr="0086783F">
                        <w:t xml:space="preserve">, the health department director will designate a staff person who has direct knowledge and/or primary responsibility for </w:t>
                      </w:r>
                      <w:r>
                        <w:t xml:space="preserve">PHPR </w:t>
                      </w:r>
                      <w:r w:rsidRPr="0086783F">
                        <w:t>activities to complete the assessment.</w:t>
                      </w:r>
                    </w:p>
                    <w:p w14:paraId="77E8FDEF" w14:textId="77777777" w:rsidR="00562B9C" w:rsidRDefault="00562B9C" w:rsidP="00FC6792">
                      <w:pPr>
                        <w:pStyle w:val="ListParagraph"/>
                        <w:ind w:left="360"/>
                      </w:pPr>
                    </w:p>
                    <w:p w14:paraId="397E1108" w14:textId="5775BDF7" w:rsidR="00562B9C" w:rsidRDefault="00562B9C" w:rsidP="00FC6792">
                      <w:pPr>
                        <w:pStyle w:val="ListParagraph"/>
                        <w:numPr>
                          <w:ilvl w:val="0"/>
                          <w:numId w:val="8"/>
                        </w:numPr>
                        <w:tabs>
                          <w:tab w:val="clear" w:pos="9360"/>
                        </w:tabs>
                      </w:pPr>
                      <w:r w:rsidRPr="003F0CC1">
                        <w:rPr>
                          <w:b/>
                        </w:rPr>
                        <w:t>How data will be analyzed</w:t>
                      </w:r>
                      <w:r>
                        <w:rPr>
                          <w:b/>
                        </w:rPr>
                        <w:t xml:space="preserve">: </w:t>
                      </w:r>
                      <w:r>
                        <w:t xml:space="preserve">Methods for data analysis include quantitative and qualitative analysis of the data. Quantitative analysis will include descriptive statistics and comparison between and across respondent sub-groups. Qualitative analysis to identify key themes from open-ended instrument responses will be performed using NVivo software.  </w:t>
                      </w:r>
                    </w:p>
                  </w:txbxContent>
                </v:textbox>
                <w10:anchorlock/>
              </v:shape>
            </w:pict>
          </mc:Fallback>
        </mc:AlternateContent>
      </w:r>
      <w:bookmarkEnd w:id="2"/>
      <w:bookmarkEnd w:id="3"/>
    </w:p>
    <w:p w14:paraId="5BD882C0" w14:textId="77777777" w:rsidR="00487937" w:rsidRDefault="00487937" w:rsidP="00CA5840">
      <w:pPr>
        <w:pStyle w:val="Heading3"/>
        <w:ind w:left="0"/>
      </w:pPr>
    </w:p>
    <w:p w14:paraId="1C1CD6BF"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19670C72" w14:textId="77777777" w:rsidR="00B12F51" w:rsidRDefault="00B12F51" w:rsidP="007D6163"/>
    <w:p w14:paraId="21552797"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5ADC8BD8" w14:textId="77777777" w:rsidR="00E33E1B" w:rsidRPr="007D6163" w:rsidRDefault="00E33E1B" w:rsidP="007B7C44">
      <w:pPr>
        <w:pStyle w:val="Heading5"/>
        <w:spacing w:after="120"/>
        <w:ind w:left="360"/>
      </w:pPr>
      <w:r w:rsidRPr="008B12FA">
        <w:t>Background</w:t>
      </w:r>
    </w:p>
    <w:p w14:paraId="219DF51C" w14:textId="6F745771" w:rsidR="00E65555" w:rsidRPr="00B135FF" w:rsidRDefault="00D65328" w:rsidP="002E5734">
      <w:pPr>
        <w:ind w:left="360"/>
        <w:rPr>
          <w:rFonts w:ascii="Cambria" w:eastAsia="Cambria" w:hAnsi="Cambria" w:cs="Cambria"/>
        </w:rPr>
      </w:pPr>
      <w:r w:rsidRPr="00D65328">
        <w:t xml:space="preserve">This information collection is being conducted using the Generic Information Collection mechanism of the OSTLTS OMB Clearance Center (O2C2) – OMB No. 0920-0879. The respondent universe for this information collection aligns with that of the O2C2. Data will be collected from a total of </w:t>
      </w:r>
      <w:r w:rsidR="00E65555" w:rsidRPr="00B135FF">
        <w:t>5</w:t>
      </w:r>
      <w:r w:rsidRPr="00B135FF">
        <w:t>62 respondent</w:t>
      </w:r>
      <w:r w:rsidR="00302AE0" w:rsidRPr="00B135FF">
        <w:t>s</w:t>
      </w:r>
      <w:r w:rsidR="0086783F" w:rsidRPr="00B135FF">
        <w:t xml:space="preserve"> </w:t>
      </w:r>
      <w:r w:rsidR="00A670F6">
        <w:t>f</w:t>
      </w:r>
      <w:r w:rsidR="00D97630">
        <w:t>rom public health departments</w:t>
      </w:r>
      <w:r w:rsidR="00E65555" w:rsidRPr="00B135FF">
        <w:t xml:space="preserve">: </w:t>
      </w:r>
      <w:r w:rsidRPr="00B135FF">
        <w:rPr>
          <w:rFonts w:ascii="Cambria" w:eastAsia="Cambria" w:hAnsi="Cambria" w:cs="Cambria"/>
        </w:rPr>
        <w:t>50 state health departments, 8 territorial health departments,</w:t>
      </w:r>
      <w:r w:rsidR="0086783F" w:rsidRPr="00B135FF">
        <w:rPr>
          <w:rFonts w:ascii="Cambria" w:eastAsia="Cambria" w:hAnsi="Cambria" w:cs="Cambria"/>
        </w:rPr>
        <w:t xml:space="preserve"> </w:t>
      </w:r>
      <w:r w:rsidRPr="00B135FF">
        <w:rPr>
          <w:rFonts w:ascii="Cambria" w:eastAsia="Cambria" w:hAnsi="Cambria" w:cs="Cambria"/>
        </w:rPr>
        <w:t xml:space="preserve">and </w:t>
      </w:r>
      <w:r w:rsidR="0086783F" w:rsidRPr="00B135FF">
        <w:rPr>
          <w:rFonts w:ascii="Cambria" w:eastAsia="Cambria" w:hAnsi="Cambria" w:cs="Cambria"/>
        </w:rPr>
        <w:t>504</w:t>
      </w:r>
      <w:r w:rsidRPr="00B135FF">
        <w:rPr>
          <w:rFonts w:ascii="Cambria" w:eastAsia="Cambria" w:hAnsi="Cambria" w:cs="Cambria"/>
        </w:rPr>
        <w:t xml:space="preserve"> local health departments. </w:t>
      </w:r>
      <w:r w:rsidRPr="00B135FF">
        <w:t xml:space="preserve">Respondents acting in their official capacities </w:t>
      </w:r>
      <w:r w:rsidR="00023A68">
        <w:t xml:space="preserve">will </w:t>
      </w:r>
      <w:r w:rsidRPr="00B135FF">
        <w:t xml:space="preserve">include </w:t>
      </w:r>
      <w:r w:rsidR="00E65555" w:rsidRPr="00B135FF">
        <w:t xml:space="preserve">public health </w:t>
      </w:r>
      <w:r w:rsidR="00A62204">
        <w:t xml:space="preserve">emergency </w:t>
      </w:r>
      <w:r w:rsidRPr="00B135FF">
        <w:rPr>
          <w:rFonts w:ascii="Cambria" w:eastAsia="Cambria" w:hAnsi="Cambria" w:cs="Cambria"/>
        </w:rPr>
        <w:t xml:space="preserve">preparedness </w:t>
      </w:r>
      <w:r w:rsidR="00A62204">
        <w:rPr>
          <w:rFonts w:ascii="Cambria" w:eastAsia="Cambria" w:hAnsi="Cambria" w:cs="Cambria"/>
        </w:rPr>
        <w:t>directors/</w:t>
      </w:r>
      <w:r w:rsidR="00E65555" w:rsidRPr="00B135FF">
        <w:rPr>
          <w:rFonts w:ascii="Cambria" w:eastAsia="Cambria" w:hAnsi="Cambria" w:cs="Cambria"/>
        </w:rPr>
        <w:t>coordinators</w:t>
      </w:r>
      <w:r w:rsidRPr="00B135FF">
        <w:rPr>
          <w:rFonts w:ascii="Cambria" w:eastAsia="Cambria" w:hAnsi="Cambria" w:cs="Cambria"/>
        </w:rPr>
        <w:t>.</w:t>
      </w:r>
      <w:r w:rsidR="00E65555" w:rsidRPr="00B135FF">
        <w:rPr>
          <w:rFonts w:ascii="Cambria" w:eastAsia="Cambria" w:hAnsi="Cambria" w:cs="Cambria"/>
        </w:rPr>
        <w:t xml:space="preserve"> If a health department does not employ a </w:t>
      </w:r>
      <w:r w:rsidR="00A62204">
        <w:rPr>
          <w:rFonts w:ascii="Cambria" w:eastAsia="Cambria" w:hAnsi="Cambria" w:cs="Cambria"/>
        </w:rPr>
        <w:t xml:space="preserve">public health emergency </w:t>
      </w:r>
      <w:r w:rsidR="00E65555" w:rsidRPr="00B135FF">
        <w:rPr>
          <w:rFonts w:ascii="Cambria" w:eastAsia="Cambria" w:hAnsi="Cambria" w:cs="Cambria"/>
        </w:rPr>
        <w:t>preparedness director</w:t>
      </w:r>
      <w:r w:rsidR="00A62204">
        <w:rPr>
          <w:rFonts w:ascii="Cambria" w:eastAsia="Cambria" w:hAnsi="Cambria" w:cs="Cambria"/>
        </w:rPr>
        <w:t>/</w:t>
      </w:r>
      <w:r w:rsidR="00E65555" w:rsidRPr="00B135FF">
        <w:rPr>
          <w:rFonts w:ascii="Cambria" w:eastAsia="Cambria" w:hAnsi="Cambria" w:cs="Cambria"/>
        </w:rPr>
        <w:t xml:space="preserve">coordinator, the health department director </w:t>
      </w:r>
      <w:r w:rsidR="00744055" w:rsidRPr="00B135FF">
        <w:rPr>
          <w:rFonts w:ascii="Cambria" w:eastAsia="Cambria" w:hAnsi="Cambria" w:cs="Cambria"/>
        </w:rPr>
        <w:t>may</w:t>
      </w:r>
      <w:r w:rsidR="00E65555" w:rsidRPr="00B135FF">
        <w:rPr>
          <w:rFonts w:ascii="Cambria" w:eastAsia="Cambria" w:hAnsi="Cambria" w:cs="Cambria"/>
        </w:rPr>
        <w:t xml:space="preserve"> designate a staff person who has direct knowledge and/or primary responsibility for </w:t>
      </w:r>
      <w:r w:rsidR="00A62204">
        <w:rPr>
          <w:rFonts w:ascii="Cambria" w:eastAsia="Cambria" w:hAnsi="Cambria" w:cs="Cambria"/>
        </w:rPr>
        <w:t>P</w:t>
      </w:r>
      <w:r w:rsidR="000E40D8">
        <w:rPr>
          <w:rFonts w:ascii="Cambria" w:eastAsia="Cambria" w:hAnsi="Cambria" w:cs="Cambria"/>
        </w:rPr>
        <w:t xml:space="preserve">ublic </w:t>
      </w:r>
      <w:r w:rsidR="00A62204">
        <w:rPr>
          <w:rFonts w:ascii="Cambria" w:eastAsia="Cambria" w:hAnsi="Cambria" w:cs="Cambria"/>
        </w:rPr>
        <w:t>H</w:t>
      </w:r>
      <w:r w:rsidR="000E40D8">
        <w:rPr>
          <w:rFonts w:ascii="Cambria" w:eastAsia="Cambria" w:hAnsi="Cambria" w:cs="Cambria"/>
        </w:rPr>
        <w:t xml:space="preserve">ealth </w:t>
      </w:r>
      <w:r w:rsidR="00A62204">
        <w:rPr>
          <w:rFonts w:ascii="Cambria" w:eastAsia="Cambria" w:hAnsi="Cambria" w:cs="Cambria"/>
        </w:rPr>
        <w:t>P</w:t>
      </w:r>
      <w:r w:rsidR="000E40D8">
        <w:rPr>
          <w:rFonts w:ascii="Cambria" w:eastAsia="Cambria" w:hAnsi="Cambria" w:cs="Cambria"/>
        </w:rPr>
        <w:t>reparedness and Response (PHPR)</w:t>
      </w:r>
      <w:r w:rsidR="00E65555" w:rsidRPr="00B135FF">
        <w:rPr>
          <w:rFonts w:ascii="Cambria" w:eastAsia="Cambria" w:hAnsi="Cambria" w:cs="Cambria"/>
        </w:rPr>
        <w:t xml:space="preserve"> activities to complete the </w:t>
      </w:r>
      <w:r w:rsidR="00C34D91" w:rsidRPr="00B135FF">
        <w:rPr>
          <w:rFonts w:ascii="Cambria" w:eastAsia="Cambria" w:hAnsi="Cambria" w:cs="Cambria"/>
        </w:rPr>
        <w:t>assessment</w:t>
      </w:r>
      <w:r w:rsidR="00E65555" w:rsidRPr="00B135FF">
        <w:rPr>
          <w:rFonts w:ascii="Cambria" w:eastAsia="Cambria" w:hAnsi="Cambria" w:cs="Cambria"/>
        </w:rPr>
        <w:t xml:space="preserve"> </w:t>
      </w:r>
      <w:r w:rsidR="006D2ABE">
        <w:rPr>
          <w:rFonts w:ascii="Cambria" w:eastAsia="Cambria" w:hAnsi="Cambria" w:cs="Cambria"/>
        </w:rPr>
        <w:t>(</w:t>
      </w:r>
      <w:r w:rsidR="002E5734" w:rsidRPr="006D2ABE">
        <w:rPr>
          <w:rFonts w:ascii="Cambria" w:eastAsia="Cambria" w:hAnsi="Cambria" w:cs="Cambria"/>
          <w:b/>
        </w:rPr>
        <w:t xml:space="preserve">Please see </w:t>
      </w:r>
      <w:r w:rsidR="00E65555" w:rsidRPr="006D2ABE">
        <w:rPr>
          <w:rFonts w:ascii="Cambria" w:eastAsia="Cambria" w:hAnsi="Cambria" w:cs="Cambria"/>
          <w:b/>
        </w:rPr>
        <w:t>Attachment A</w:t>
      </w:r>
      <w:r w:rsidR="006C0ECA" w:rsidRPr="006D2ABE">
        <w:rPr>
          <w:rFonts w:ascii="Cambria" w:eastAsia="Cambria" w:hAnsi="Cambria" w:cs="Cambria"/>
          <w:b/>
        </w:rPr>
        <w:t xml:space="preserve"> – </w:t>
      </w:r>
      <w:r w:rsidR="002E5734" w:rsidRPr="006D2ABE">
        <w:rPr>
          <w:rFonts w:ascii="Cambria" w:eastAsia="Cambria" w:hAnsi="Cambria" w:cs="Cambria"/>
          <w:b/>
        </w:rPr>
        <w:t>Respondent Breakdown</w:t>
      </w:r>
      <w:r w:rsidR="006D2ABE">
        <w:rPr>
          <w:rFonts w:ascii="Cambria" w:eastAsia="Cambria" w:hAnsi="Cambria" w:cs="Cambria"/>
        </w:rPr>
        <w:t>)</w:t>
      </w:r>
      <w:r w:rsidR="008D199A" w:rsidRPr="00B135FF">
        <w:rPr>
          <w:rFonts w:ascii="Cambria" w:eastAsia="Cambria" w:hAnsi="Cambria" w:cs="Cambria"/>
        </w:rPr>
        <w:t xml:space="preserve">. </w:t>
      </w:r>
    </w:p>
    <w:p w14:paraId="3D35EDD7" w14:textId="77777777" w:rsidR="00D65328" w:rsidRPr="00D65328" w:rsidRDefault="00D65328" w:rsidP="00D65328">
      <w:pPr>
        <w:ind w:left="1080"/>
      </w:pPr>
    </w:p>
    <w:p w14:paraId="58F214EA" w14:textId="77777777" w:rsidR="00D65328" w:rsidRPr="00D65328" w:rsidRDefault="00D65328" w:rsidP="00D65328">
      <w:pPr>
        <w:ind w:left="360"/>
        <w:rPr>
          <w:i/>
          <w:iCs/>
        </w:rPr>
      </w:pPr>
      <w:r w:rsidRPr="00D65328">
        <w:t xml:space="preserve">This information collection is authorized by Section 301 of the Public Health Service Act (42 U.S.C. 241). </w:t>
      </w:r>
      <w:r w:rsidRPr="00D65328">
        <w:rPr>
          <w:iCs/>
        </w:rPr>
        <w:t xml:space="preserve">This information collection falls under the essential public health service(s) of </w:t>
      </w:r>
    </w:p>
    <w:p w14:paraId="59753415" w14:textId="77777777" w:rsidR="007A177A" w:rsidRPr="00774689" w:rsidRDefault="007A177A" w:rsidP="007A177A">
      <w:pPr>
        <w:ind w:left="360"/>
      </w:pPr>
    </w:p>
    <w:p w14:paraId="005C003F" w14:textId="77777777" w:rsidR="007A177A" w:rsidRPr="00774689" w:rsidRDefault="007A177A" w:rsidP="007A177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282541">
        <w:rPr>
          <w:rFonts w:ascii="Shruti" w:eastAsia="Times New Roman" w:hAnsi="Shruti" w:cs="Shruti"/>
          <w:sz w:val="16"/>
          <w:szCs w:val="14"/>
        </w:rPr>
      </w:r>
      <w:r w:rsidR="0028254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Pr="00774689">
        <w:t>1. Monitoring health status to identify community health problems</w:t>
      </w:r>
    </w:p>
    <w:p w14:paraId="6482129A" w14:textId="77777777" w:rsidR="007A177A" w:rsidRPr="00774689" w:rsidRDefault="007A177A" w:rsidP="007A177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82541">
        <w:rPr>
          <w:rFonts w:ascii="Shruti" w:eastAsia="Times New Roman" w:hAnsi="Shruti" w:cs="Shruti"/>
          <w:sz w:val="16"/>
          <w:szCs w:val="14"/>
        </w:rPr>
      </w:r>
      <w:r w:rsidR="0028254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2. Diagnosing and investigating health problems and health hazards in the community</w:t>
      </w:r>
    </w:p>
    <w:p w14:paraId="6D10941B" w14:textId="77777777" w:rsidR="007A177A" w:rsidRPr="00774689" w:rsidRDefault="007A177A" w:rsidP="007A177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82541">
        <w:rPr>
          <w:rFonts w:ascii="Shruti" w:eastAsia="Times New Roman" w:hAnsi="Shruti" w:cs="Shruti"/>
          <w:sz w:val="16"/>
          <w:szCs w:val="14"/>
        </w:rPr>
      </w:r>
      <w:r w:rsidR="0028254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3. Informing, educating, and empowering people about health issues</w:t>
      </w:r>
    </w:p>
    <w:p w14:paraId="300EC932" w14:textId="77777777" w:rsidR="007A177A" w:rsidRPr="00774689" w:rsidRDefault="007A177A" w:rsidP="007A177A">
      <w:pPr>
        <w:ind w:left="360"/>
      </w:pPr>
      <w:r w:rsidRPr="00774689">
        <w:rPr>
          <w:rFonts w:ascii="Shruti" w:eastAsia="Times New Roman" w:hAnsi="Shruti" w:cs="Shruti"/>
          <w:sz w:val="16"/>
          <w:szCs w:val="14"/>
        </w:rPr>
        <w:fldChar w:fldCharType="begin">
          <w:ffData>
            <w:name w:val=""/>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82541">
        <w:rPr>
          <w:rFonts w:ascii="Shruti" w:eastAsia="Times New Roman" w:hAnsi="Shruti" w:cs="Shruti"/>
          <w:sz w:val="16"/>
          <w:szCs w:val="14"/>
        </w:rPr>
      </w:r>
      <w:r w:rsidR="0028254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4. Mobilizing community partnerships to identify and solve health problems</w:t>
      </w:r>
    </w:p>
    <w:p w14:paraId="42494088" w14:textId="6EBD310F" w:rsidR="007A177A" w:rsidRPr="00774689" w:rsidRDefault="008D199A" w:rsidP="007A177A">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282541">
        <w:rPr>
          <w:rFonts w:ascii="Shruti" w:eastAsia="Times New Roman" w:hAnsi="Shruti" w:cs="Shruti"/>
          <w:sz w:val="16"/>
          <w:szCs w:val="14"/>
        </w:rPr>
      </w:r>
      <w:r w:rsidR="0028254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7A177A" w:rsidRPr="00774689">
        <w:rPr>
          <w:rFonts w:ascii="Shruti" w:eastAsia="Times New Roman" w:hAnsi="Shruti" w:cs="Shruti"/>
          <w:sz w:val="16"/>
          <w:szCs w:val="14"/>
        </w:rPr>
        <w:t xml:space="preserve"> </w:t>
      </w:r>
      <w:r w:rsidR="007A177A" w:rsidRPr="00774689">
        <w:t>5. Development of policies and plans that support individual and community health efforts</w:t>
      </w:r>
    </w:p>
    <w:p w14:paraId="0F3D722F" w14:textId="77777777" w:rsidR="007A177A" w:rsidRPr="00774689" w:rsidRDefault="007A177A" w:rsidP="007A177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82541">
        <w:rPr>
          <w:rFonts w:ascii="Shruti" w:eastAsia="Times New Roman" w:hAnsi="Shruti" w:cs="Shruti"/>
          <w:sz w:val="16"/>
          <w:szCs w:val="14"/>
        </w:rPr>
      </w:r>
      <w:r w:rsidR="0028254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6. Enforcement of laws and regulations that protect health and ensure safety</w:t>
      </w:r>
    </w:p>
    <w:p w14:paraId="43522135" w14:textId="77777777" w:rsidR="007A177A" w:rsidRPr="00774689" w:rsidRDefault="007A177A" w:rsidP="007A177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82541">
        <w:rPr>
          <w:rFonts w:ascii="Shruti" w:eastAsia="Times New Roman" w:hAnsi="Shruti" w:cs="Shruti"/>
          <w:sz w:val="16"/>
          <w:szCs w:val="14"/>
        </w:rPr>
      </w:r>
      <w:r w:rsidR="0028254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7. Linking people to needed personal health services and assure the provision of health care </w:t>
      </w:r>
    </w:p>
    <w:p w14:paraId="40D0C792" w14:textId="77777777" w:rsidR="007A177A" w:rsidRPr="00774689" w:rsidRDefault="007A177A" w:rsidP="007A177A">
      <w:pPr>
        <w:ind w:left="360"/>
      </w:pPr>
      <w:r w:rsidRPr="00774689">
        <w:t xml:space="preserve">            when otherwise unavailable</w:t>
      </w:r>
    </w:p>
    <w:p w14:paraId="2484F34C" w14:textId="77777777" w:rsidR="007A177A" w:rsidRPr="00774689" w:rsidRDefault="007A177A" w:rsidP="007A177A">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282541">
        <w:rPr>
          <w:rFonts w:ascii="Shruti" w:eastAsia="Times New Roman" w:hAnsi="Shruti" w:cs="Shruti"/>
          <w:sz w:val="16"/>
          <w:szCs w:val="14"/>
        </w:rPr>
      </w:r>
      <w:r w:rsidR="0028254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8. Assuring a competent public health and personal health care workforce</w:t>
      </w:r>
    </w:p>
    <w:p w14:paraId="1B767A7C" w14:textId="77777777" w:rsidR="007A177A" w:rsidRDefault="007A177A" w:rsidP="007A177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82541">
        <w:rPr>
          <w:rFonts w:ascii="Shruti" w:eastAsia="Times New Roman" w:hAnsi="Shruti" w:cs="Shruti"/>
          <w:sz w:val="16"/>
          <w:szCs w:val="14"/>
        </w:rPr>
      </w:r>
      <w:r w:rsidR="0028254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9. Evaluating effectiveness, accessibility, and quality o</w:t>
      </w:r>
      <w:r>
        <w:t xml:space="preserve">f personal and population-based  </w:t>
      </w:r>
    </w:p>
    <w:p w14:paraId="2B45B2A7" w14:textId="77777777" w:rsidR="007A177A" w:rsidRPr="00774689" w:rsidRDefault="007A177A" w:rsidP="007A177A">
      <w:r>
        <w:t xml:space="preserve">     </w:t>
      </w:r>
      <w:r w:rsidRPr="00774689">
        <w:t>health services</w:t>
      </w:r>
    </w:p>
    <w:p w14:paraId="2BE36EB6" w14:textId="46E99F4F" w:rsidR="007A177A" w:rsidRDefault="008D199A" w:rsidP="007A177A">
      <w:pPr>
        <w:ind w:left="360"/>
        <w:rPr>
          <w:iCs/>
          <w:vertAlign w:val="superscript"/>
        </w:rPr>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282541">
        <w:rPr>
          <w:rFonts w:ascii="Shruti" w:eastAsia="Times New Roman" w:hAnsi="Shruti" w:cs="Shruti"/>
          <w:sz w:val="16"/>
          <w:szCs w:val="14"/>
        </w:rPr>
      </w:r>
      <w:r w:rsidR="0028254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7A177A" w:rsidRPr="00774689">
        <w:rPr>
          <w:rFonts w:ascii="Shruti" w:eastAsia="Times New Roman" w:hAnsi="Shruti" w:cs="Shruti"/>
          <w:sz w:val="16"/>
          <w:szCs w:val="14"/>
        </w:rPr>
        <w:t xml:space="preserve"> </w:t>
      </w:r>
      <w:r w:rsidR="007A177A" w:rsidRPr="00774689">
        <w:t>10. Research for new insights and innovative solutions to health problems</w:t>
      </w:r>
      <w:r w:rsidR="007A177A" w:rsidRPr="00774689">
        <w:rPr>
          <w:iCs/>
          <w:vertAlign w:val="superscript"/>
        </w:rPr>
        <w:t xml:space="preserve"> 1</w:t>
      </w:r>
    </w:p>
    <w:p w14:paraId="5CA74462" w14:textId="77777777" w:rsidR="00B6593B" w:rsidRDefault="00B6593B" w:rsidP="00B6593B">
      <w:pPr>
        <w:ind w:left="0"/>
        <w:rPr>
          <w:rFonts w:cs="Times New Roman"/>
        </w:rPr>
      </w:pPr>
    </w:p>
    <w:p w14:paraId="76A10D98" w14:textId="4775FE66" w:rsidR="007A177A" w:rsidRPr="00B6593B" w:rsidRDefault="007A177A" w:rsidP="00B6593B">
      <w:pPr>
        <w:ind w:left="360"/>
        <w:rPr>
          <w:rFonts w:eastAsiaTheme="minorHAnsi" w:cs="Times New Roman"/>
        </w:rPr>
      </w:pPr>
      <w:r w:rsidRPr="00B6593B">
        <w:rPr>
          <w:rFonts w:cs="Times New Roman"/>
        </w:rPr>
        <w:t>Despite efforts to encourage evidence</w:t>
      </w:r>
      <w:r w:rsidR="00A62204">
        <w:rPr>
          <w:rFonts w:cs="Times New Roman"/>
        </w:rPr>
        <w:t>-</w:t>
      </w:r>
      <w:r w:rsidRPr="00B6593B">
        <w:rPr>
          <w:rFonts w:cs="Times New Roman"/>
        </w:rPr>
        <w:t>based practice (EBP), implementation of EBP in PHPR is not consistent across the field.</w:t>
      </w:r>
      <w:r w:rsidR="00610AE6" w:rsidRPr="00B6593B">
        <w:rPr>
          <w:rFonts w:cs="Times New Roman"/>
        </w:rPr>
        <w:t xml:space="preserve">  </w:t>
      </w:r>
      <w:r w:rsidR="00393687" w:rsidRPr="00B6593B">
        <w:rPr>
          <w:rFonts w:cs="Times New Roman"/>
        </w:rPr>
        <w:t>I</w:t>
      </w:r>
      <w:r w:rsidRPr="00B6593B">
        <w:rPr>
          <w:rFonts w:cs="Times New Roman"/>
        </w:rPr>
        <w:t xml:space="preserve">mplementation </w:t>
      </w:r>
      <w:r w:rsidR="00393687" w:rsidRPr="00B6593B">
        <w:rPr>
          <w:rFonts w:cs="Times New Roman"/>
        </w:rPr>
        <w:t xml:space="preserve">of EBP </w:t>
      </w:r>
      <w:r w:rsidRPr="00B6593B">
        <w:rPr>
          <w:rFonts w:cs="Times New Roman"/>
        </w:rPr>
        <w:t>can be stalled for several reasons.</w:t>
      </w:r>
      <w:r w:rsidR="00962B10" w:rsidRPr="00B6593B">
        <w:rPr>
          <w:rFonts w:cs="Times New Roman"/>
          <w:vertAlign w:val="superscript"/>
        </w:rPr>
        <w:t>1-3</w:t>
      </w:r>
      <w:r w:rsidR="0021516C" w:rsidRPr="00B6593B">
        <w:rPr>
          <w:rFonts w:cs="Times New Roman"/>
          <w:vertAlign w:val="superscript"/>
        </w:rPr>
        <w:t xml:space="preserve"> </w:t>
      </w:r>
      <w:r w:rsidRPr="00B6593B">
        <w:rPr>
          <w:rFonts w:eastAsiaTheme="minorHAnsi" w:cs="Times New Roman"/>
        </w:rPr>
        <w:t>It is clear that a number of organizational and contextual facto</w:t>
      </w:r>
      <w:r w:rsidR="00CD188C" w:rsidRPr="00B6593B">
        <w:rPr>
          <w:rFonts w:eastAsiaTheme="minorHAnsi" w:cs="Times New Roman"/>
        </w:rPr>
        <w:t xml:space="preserve">rs likely affect uptake of EBP. </w:t>
      </w:r>
      <w:r w:rsidR="00CD188C" w:rsidRPr="00B6593B">
        <w:t>For example, organizational barriers may include lack of resources, lack of time</w:t>
      </w:r>
      <w:r w:rsidR="00A62204">
        <w:t xml:space="preserve"> among staff,</w:t>
      </w:r>
      <w:r w:rsidR="00CD188C" w:rsidRPr="00B6593B">
        <w:t xml:space="preserve"> or lack of staff trained to understand and implement research-based practices. Contextual factors can include such things as internal policies, legislations</w:t>
      </w:r>
      <w:r w:rsidR="00A62204">
        <w:t>,</w:t>
      </w:r>
      <w:r w:rsidR="00CD188C" w:rsidRPr="00B6593B">
        <w:t xml:space="preserve"> or culture that can inhibit</w:t>
      </w:r>
      <w:r w:rsidR="00962B10" w:rsidRPr="00B6593B">
        <w:t xml:space="preserve"> or promote EBP implementation.</w:t>
      </w:r>
      <w:r w:rsidR="00962B10" w:rsidRPr="00B6593B">
        <w:rPr>
          <w:vertAlign w:val="superscript"/>
        </w:rPr>
        <w:t>2</w:t>
      </w:r>
      <w:r w:rsidR="00CD188C" w:rsidRPr="00B6593B">
        <w:t xml:space="preserve"> However, </w:t>
      </w:r>
      <w:r w:rsidRPr="00B6593B">
        <w:rPr>
          <w:rFonts w:eastAsiaTheme="minorHAnsi" w:cs="Times New Roman"/>
        </w:rPr>
        <w:t xml:space="preserve">it is not yet clear what particular barriers </w:t>
      </w:r>
      <w:r w:rsidR="00A670F6" w:rsidRPr="00B6593B">
        <w:rPr>
          <w:rFonts w:eastAsiaTheme="minorHAnsi" w:cs="Times New Roman"/>
        </w:rPr>
        <w:t xml:space="preserve">and facilitators </w:t>
      </w:r>
      <w:r w:rsidRPr="00B6593B">
        <w:rPr>
          <w:rFonts w:eastAsiaTheme="minorHAnsi" w:cs="Times New Roman"/>
        </w:rPr>
        <w:t xml:space="preserve">affect the PHPR field and under what conditions implementation of EBPs in PHPR will occur. </w:t>
      </w:r>
    </w:p>
    <w:p w14:paraId="1672C6B2" w14:textId="77777777" w:rsidR="00610AE6" w:rsidRPr="00B6593B" w:rsidRDefault="00610AE6" w:rsidP="00B6593B">
      <w:pPr>
        <w:ind w:left="360"/>
        <w:rPr>
          <w:rFonts w:cs="Times New Roman"/>
        </w:rPr>
      </w:pPr>
    </w:p>
    <w:p w14:paraId="366021C1" w14:textId="14AD5FE8" w:rsidR="00EF1801" w:rsidRDefault="007A177A" w:rsidP="00B6593B">
      <w:pPr>
        <w:tabs>
          <w:tab w:val="clear" w:pos="9360"/>
        </w:tabs>
        <w:ind w:left="360"/>
      </w:pPr>
      <w:r w:rsidRPr="00B6593B">
        <w:rPr>
          <w:rFonts w:cs="Times New Roman"/>
        </w:rPr>
        <w:t xml:space="preserve">Given that EBP can advance the field of PHPR and strengthen the ability of </w:t>
      </w:r>
      <w:r w:rsidR="00A62204">
        <w:rPr>
          <w:rFonts w:cs="Times New Roman"/>
        </w:rPr>
        <w:t xml:space="preserve">public health emergency </w:t>
      </w:r>
      <w:r w:rsidRPr="00B6593B">
        <w:rPr>
          <w:rFonts w:cs="Times New Roman"/>
        </w:rPr>
        <w:t xml:space="preserve">preparedness practitioners to protect the public’s health before, during, and after emergencies, it is imperative to </w:t>
      </w:r>
      <w:r w:rsidR="0021516C" w:rsidRPr="00B6593B">
        <w:t>examine</w:t>
      </w:r>
      <w:r w:rsidR="00CD188C" w:rsidRPr="00B6593B">
        <w:t xml:space="preserve"> the barriers and facilitators to EBP in PHPR</w:t>
      </w:r>
      <w:r w:rsidR="00C64EDD" w:rsidRPr="00B6593B">
        <w:t>.</w:t>
      </w:r>
      <w:r w:rsidR="00CD188C" w:rsidRPr="00B6593B">
        <w:t xml:space="preserve"> </w:t>
      </w:r>
    </w:p>
    <w:p w14:paraId="76980F1E" w14:textId="77777777" w:rsidR="00EF1801" w:rsidRDefault="00EF1801" w:rsidP="00B6593B">
      <w:pPr>
        <w:tabs>
          <w:tab w:val="clear" w:pos="9360"/>
        </w:tabs>
        <w:ind w:left="360"/>
      </w:pPr>
    </w:p>
    <w:p w14:paraId="068FC032" w14:textId="65E039B5" w:rsidR="00B6593B" w:rsidRDefault="00846479" w:rsidP="00B6593B">
      <w:pPr>
        <w:tabs>
          <w:tab w:val="clear" w:pos="9360"/>
        </w:tabs>
        <w:ind w:left="360"/>
        <w:rPr>
          <w:rFonts w:cs="Times New Roman"/>
        </w:rPr>
      </w:pPr>
      <w:r w:rsidRPr="00B6593B">
        <w:rPr>
          <w:rFonts w:cs="Times New Roman"/>
        </w:rPr>
        <w:t>This data collection will help CDC to</w:t>
      </w:r>
      <w:r w:rsidR="0086783F" w:rsidRPr="00B6593B">
        <w:rPr>
          <w:rFonts w:cs="Times New Roman"/>
        </w:rPr>
        <w:t xml:space="preserve"> </w:t>
      </w:r>
      <w:r w:rsidR="0086783F" w:rsidRPr="00B6593B">
        <w:t xml:space="preserve">understand </w:t>
      </w:r>
      <w:r w:rsidR="00C64EDD" w:rsidRPr="00B6593B">
        <w:t>this</w:t>
      </w:r>
      <w:r w:rsidR="0086783F" w:rsidRPr="00B6593B">
        <w:t xml:space="preserve"> by identifying the key organization</w:t>
      </w:r>
      <w:r w:rsidR="00A62204">
        <w:t>al</w:t>
      </w:r>
      <w:r w:rsidR="0086783F" w:rsidRPr="00B6593B">
        <w:t xml:space="preserve"> and contextual factors affecting EBP implementation and dissemination by the PHPR practice community</w:t>
      </w:r>
      <w:r w:rsidRPr="00B6593B">
        <w:t>.</w:t>
      </w:r>
      <w:r w:rsidRPr="00B6593B">
        <w:rPr>
          <w:rFonts w:cs="Times New Roman"/>
        </w:rPr>
        <w:t xml:space="preserve"> </w:t>
      </w:r>
      <w:r w:rsidR="007A177A" w:rsidRPr="00B6593B">
        <w:rPr>
          <w:rFonts w:cs="Times New Roman"/>
        </w:rPr>
        <w:t xml:space="preserve">CDC will use the </w:t>
      </w:r>
      <w:r w:rsidRPr="00B6593B">
        <w:rPr>
          <w:rFonts w:cs="Times New Roman"/>
        </w:rPr>
        <w:t>resulting data</w:t>
      </w:r>
      <w:r w:rsidR="007A177A" w:rsidRPr="00B6593B">
        <w:rPr>
          <w:rFonts w:cs="Times New Roman"/>
        </w:rPr>
        <w:t xml:space="preserve"> to: a) support state, local, and territorial </w:t>
      </w:r>
      <w:r w:rsidR="00A62204">
        <w:rPr>
          <w:rFonts w:cs="Times New Roman"/>
        </w:rPr>
        <w:t>health department</w:t>
      </w:r>
      <w:r w:rsidR="007A177A" w:rsidRPr="00B6593B">
        <w:rPr>
          <w:rFonts w:cs="Times New Roman"/>
        </w:rPr>
        <w:t xml:space="preserve"> activities; b) better understand the PHPR practice community’s needs; c) inform and prioritize resources and strategies for EBP identification and dissemination; and d) address barriers and facilitators to EBP uptake. </w:t>
      </w:r>
    </w:p>
    <w:p w14:paraId="78703179" w14:textId="77777777" w:rsidR="00B6593B" w:rsidRDefault="00B6593B" w:rsidP="00B6593B">
      <w:pPr>
        <w:tabs>
          <w:tab w:val="clear" w:pos="9360"/>
        </w:tabs>
        <w:ind w:left="360"/>
        <w:rPr>
          <w:rFonts w:cs="Times New Roman"/>
        </w:rPr>
      </w:pPr>
    </w:p>
    <w:p w14:paraId="6B00AE28" w14:textId="53CCF217" w:rsidR="00613BCF" w:rsidRPr="00B6593B" w:rsidRDefault="00383729" w:rsidP="00B6593B">
      <w:pPr>
        <w:tabs>
          <w:tab w:val="clear" w:pos="9360"/>
        </w:tabs>
        <w:ind w:left="360"/>
      </w:pPr>
      <w:r w:rsidRPr="00B6593B">
        <w:rPr>
          <w:rFonts w:cs="Times New Roman"/>
        </w:rPr>
        <w:t xml:space="preserve">CDC has contracted with NORC at the University of Chicago to implement this information collection. NORC has subcontracted with the Association of State and Territorial Health Officials (ASTHO) and the National Association of County and City Health Officials (NACCHO) to support sampling procedures and </w:t>
      </w:r>
      <w:r w:rsidR="00410BB6" w:rsidRPr="00B6593B">
        <w:rPr>
          <w:rFonts w:cs="Times New Roman"/>
        </w:rPr>
        <w:t>assessment</w:t>
      </w:r>
      <w:r w:rsidRPr="00B6593B">
        <w:rPr>
          <w:rFonts w:cs="Times New Roman"/>
        </w:rPr>
        <w:t xml:space="preserve"> implementation.</w:t>
      </w:r>
    </w:p>
    <w:p w14:paraId="14262381" w14:textId="00DF6232" w:rsidR="00613BCF" w:rsidRDefault="00613BCF" w:rsidP="00A62C98">
      <w:pPr>
        <w:ind w:left="360"/>
      </w:pPr>
    </w:p>
    <w:p w14:paraId="14C6D53C" w14:textId="60C11491" w:rsidR="005C028C" w:rsidRDefault="005C028C" w:rsidP="00A62C98">
      <w:pPr>
        <w:ind w:left="360"/>
      </w:pPr>
    </w:p>
    <w:p w14:paraId="6A3EED45" w14:textId="77777777" w:rsidR="005C028C" w:rsidRPr="00410BB6" w:rsidRDefault="005C028C" w:rsidP="00A62C98">
      <w:pPr>
        <w:ind w:left="360"/>
      </w:pPr>
    </w:p>
    <w:p w14:paraId="162CBFCB" w14:textId="77777777" w:rsidR="00376290" w:rsidRDefault="006102DA" w:rsidP="00376290">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08582016" w14:textId="6612C751" w:rsidR="007A177A" w:rsidRPr="00EF1801" w:rsidRDefault="007A177A" w:rsidP="007A177A">
      <w:pPr>
        <w:ind w:left="360"/>
      </w:pPr>
      <w:r w:rsidRPr="00EF1801">
        <w:t>Data will be collected from 562 respondent</w:t>
      </w:r>
      <w:r w:rsidR="00B135FF" w:rsidRPr="00EF1801">
        <w:t>s</w:t>
      </w:r>
      <w:r w:rsidR="00CD1CCA" w:rsidRPr="00EF1801">
        <w:t xml:space="preserve"> </w:t>
      </w:r>
      <w:r w:rsidRPr="00EF1801">
        <w:t xml:space="preserve">via </w:t>
      </w:r>
      <w:r w:rsidRPr="00181C22">
        <w:t>a web</w:t>
      </w:r>
      <w:r w:rsidR="00CD1CCA" w:rsidRPr="00181C22">
        <w:t>-based</w:t>
      </w:r>
      <w:r w:rsidR="00846479" w:rsidRPr="00181C22">
        <w:t xml:space="preserve"> assessment</w:t>
      </w:r>
      <w:r w:rsidRPr="00181C22">
        <w:t xml:space="preserve"> </w:t>
      </w:r>
      <w:r w:rsidRPr="003E28E9">
        <w:rPr>
          <w:b/>
        </w:rPr>
        <w:t>(</w:t>
      </w:r>
      <w:r w:rsidRPr="003E28E9">
        <w:rPr>
          <w:b/>
          <w:bCs/>
        </w:rPr>
        <w:t xml:space="preserve">Attachment </w:t>
      </w:r>
      <w:r w:rsidR="007E3D75" w:rsidRPr="003E28E9">
        <w:rPr>
          <w:b/>
          <w:bCs/>
        </w:rPr>
        <w:t>B</w:t>
      </w:r>
      <w:r w:rsidR="00283D33" w:rsidRPr="003E28E9">
        <w:rPr>
          <w:b/>
          <w:bCs/>
        </w:rPr>
        <w:t xml:space="preserve"> – </w:t>
      </w:r>
      <w:r w:rsidR="00846479" w:rsidRPr="003E28E9">
        <w:rPr>
          <w:b/>
        </w:rPr>
        <w:t xml:space="preserve">Assessment </w:t>
      </w:r>
      <w:r w:rsidRPr="003E28E9">
        <w:rPr>
          <w:b/>
        </w:rPr>
        <w:t xml:space="preserve">Instrument Word Version and </w:t>
      </w:r>
      <w:r w:rsidRPr="003E28E9">
        <w:rPr>
          <w:b/>
          <w:bCs/>
        </w:rPr>
        <w:t xml:space="preserve">Attachment </w:t>
      </w:r>
      <w:r w:rsidR="007E3D75" w:rsidRPr="003E28E9">
        <w:rPr>
          <w:b/>
          <w:bCs/>
        </w:rPr>
        <w:t>C</w:t>
      </w:r>
      <w:r w:rsidR="00283D33" w:rsidRPr="003E28E9">
        <w:rPr>
          <w:b/>
          <w:bCs/>
        </w:rPr>
        <w:t xml:space="preserve"> – </w:t>
      </w:r>
      <w:r w:rsidR="00846479" w:rsidRPr="003E28E9">
        <w:rPr>
          <w:b/>
        </w:rPr>
        <w:t xml:space="preserve">Assessment </w:t>
      </w:r>
      <w:r w:rsidRPr="003E28E9">
        <w:rPr>
          <w:b/>
        </w:rPr>
        <w:t>Instrument Web Version).</w:t>
      </w:r>
      <w:r w:rsidRPr="00EF1801">
        <w:t xml:space="preserve"> The </w:t>
      </w:r>
      <w:r w:rsidR="00CD1CCA" w:rsidRPr="00EF1801">
        <w:t xml:space="preserve">web-based </w:t>
      </w:r>
      <w:r w:rsidR="00846479" w:rsidRPr="00EF1801">
        <w:t xml:space="preserve">assessment </w:t>
      </w:r>
      <w:r w:rsidRPr="00EF1801">
        <w:t xml:space="preserve">instrument will be used to gather information from </w:t>
      </w:r>
      <w:r w:rsidR="00846479" w:rsidRPr="00EF1801">
        <w:t xml:space="preserve">respondents </w:t>
      </w:r>
      <w:r w:rsidRPr="00EF1801">
        <w:t xml:space="preserve">regarding </w:t>
      </w:r>
      <w:r w:rsidRPr="00EF1801">
        <w:rPr>
          <w:rFonts w:ascii="Cambria" w:eastAsia="Cambria" w:hAnsi="Cambria" w:cs="Cambria"/>
        </w:rPr>
        <w:t xml:space="preserve">the </w:t>
      </w:r>
      <w:r w:rsidR="00846479" w:rsidRPr="00EF1801">
        <w:rPr>
          <w:rFonts w:cs="Times New Roman"/>
        </w:rPr>
        <w:t xml:space="preserve">barriers and </w:t>
      </w:r>
      <w:r w:rsidR="00CD1CCA" w:rsidRPr="00EF1801">
        <w:rPr>
          <w:rFonts w:cs="Times New Roman"/>
        </w:rPr>
        <w:t>facilitators</w:t>
      </w:r>
      <w:r w:rsidR="00846479" w:rsidRPr="00EF1801">
        <w:rPr>
          <w:rFonts w:cs="Times New Roman"/>
        </w:rPr>
        <w:t xml:space="preserve"> to EBP in PHPR by identifying the </w:t>
      </w:r>
      <w:r w:rsidRPr="00EF1801">
        <w:rPr>
          <w:rFonts w:ascii="Cambria" w:eastAsia="Cambria" w:hAnsi="Cambria" w:cs="Cambria"/>
        </w:rPr>
        <w:t xml:space="preserve">key organizational and contextual factors affecting EBP implementation </w:t>
      </w:r>
      <w:r w:rsidR="00846479" w:rsidRPr="00EF1801">
        <w:rPr>
          <w:rFonts w:ascii="Cambria" w:eastAsia="Cambria" w:hAnsi="Cambria" w:cs="Cambria"/>
        </w:rPr>
        <w:t xml:space="preserve">and dissemination </w:t>
      </w:r>
      <w:r w:rsidRPr="00EF1801">
        <w:rPr>
          <w:rFonts w:ascii="Cambria" w:eastAsia="Cambria" w:hAnsi="Cambria" w:cs="Cambria"/>
        </w:rPr>
        <w:t xml:space="preserve">by the PHPR practice community. </w:t>
      </w:r>
    </w:p>
    <w:p w14:paraId="37D3A337" w14:textId="77777777" w:rsidR="007A177A" w:rsidRDefault="007A177A" w:rsidP="007A177A">
      <w:pPr>
        <w:ind w:left="360"/>
      </w:pPr>
    </w:p>
    <w:p w14:paraId="21FD91F1" w14:textId="74494661" w:rsidR="00383542" w:rsidRDefault="007A177A" w:rsidP="007A177A">
      <w:pPr>
        <w:ind w:left="360"/>
      </w:pPr>
      <w:r>
        <w:t xml:space="preserve">The </w:t>
      </w:r>
      <w:r w:rsidRPr="00711BFA">
        <w:t xml:space="preserve">information collection instrument was pilot tested </w:t>
      </w:r>
      <w:r w:rsidRPr="00AB5F7B">
        <w:t xml:space="preserve">by eight </w:t>
      </w:r>
      <w:r>
        <w:t>p</w:t>
      </w:r>
      <w:r w:rsidRPr="00711BFA">
        <w:t>ublic health professionals. Feedback from this group was used to refine questions as needed, ensure accurate programming and skip patterns and establish the estimated time required to complete the information collection instrument.</w:t>
      </w:r>
    </w:p>
    <w:p w14:paraId="17D48DFD" w14:textId="77777777" w:rsidR="00272E3E" w:rsidRDefault="00272E3E" w:rsidP="008B65FF">
      <w:pPr>
        <w:ind w:left="360"/>
      </w:pPr>
    </w:p>
    <w:p w14:paraId="5057E8AB" w14:textId="77777777" w:rsidR="00692DEB" w:rsidRPr="007B7C44" w:rsidRDefault="00692DEB" w:rsidP="008B65FF">
      <w:pPr>
        <w:pStyle w:val="Heading5"/>
        <w:spacing w:after="120"/>
        <w:ind w:left="360"/>
      </w:pPr>
      <w:r w:rsidRPr="00744401">
        <w:t>Items of Information to be Collected</w:t>
      </w:r>
    </w:p>
    <w:p w14:paraId="111AA252" w14:textId="09C856EF" w:rsidR="007A177A" w:rsidRPr="00B6593B" w:rsidRDefault="007A177A" w:rsidP="006D0386">
      <w:pPr>
        <w:ind w:left="360"/>
      </w:pPr>
      <w:r w:rsidRPr="00B6593B">
        <w:t>The data colle</w:t>
      </w:r>
      <w:r w:rsidR="00A62204">
        <w:t>ction instrument consists of 102</w:t>
      </w:r>
      <w:r w:rsidRPr="00B6593B">
        <w:t xml:space="preserve"> main questions of various types, including multiple response, interval rating scales, and </w:t>
      </w:r>
      <w:r w:rsidRPr="00B6593B">
        <w:rPr>
          <w:rFonts w:eastAsiaTheme="majorEastAsia" w:cstheme="majorBidi"/>
        </w:rPr>
        <w:t>open-</w:t>
      </w:r>
      <w:r w:rsidRPr="00B6593B">
        <w:rPr>
          <w:rFonts w:asciiTheme="majorBidi" w:eastAsiaTheme="majorBidi" w:hAnsiTheme="majorBidi" w:cstheme="majorBidi"/>
        </w:rPr>
        <w:t>ended items</w:t>
      </w:r>
      <w:r w:rsidRPr="00B6593B">
        <w:rPr>
          <w:rFonts w:eastAsiaTheme="majorEastAsia" w:cstheme="majorBidi"/>
        </w:rPr>
        <w:t xml:space="preserve">. </w:t>
      </w:r>
      <w:r w:rsidRPr="00B6593B">
        <w:t xml:space="preserve">The instrument will collect data on </w:t>
      </w:r>
      <w:r w:rsidR="00744401" w:rsidRPr="00B6593B">
        <w:t>key areas that will assist in determining where the barriers and facilitators</w:t>
      </w:r>
      <w:r w:rsidR="00A62204">
        <w:t xml:space="preserve"> to EBP implementation and uptake among the PHPR practice community</w:t>
      </w:r>
      <w:r w:rsidR="00744401" w:rsidRPr="00B6593B">
        <w:t>. Assessment items will include:</w:t>
      </w:r>
      <w:r w:rsidRPr="00B6593B">
        <w:t xml:space="preserve"> </w:t>
      </w:r>
    </w:p>
    <w:p w14:paraId="45D1EE91" w14:textId="48F4B4BD" w:rsidR="007A177A" w:rsidRPr="00B6593B" w:rsidRDefault="007A177A" w:rsidP="006D0386">
      <w:pPr>
        <w:numPr>
          <w:ilvl w:val="0"/>
          <w:numId w:val="6"/>
        </w:numPr>
        <w:ind w:left="1080"/>
      </w:pPr>
      <w:r w:rsidRPr="00B6593B">
        <w:t>D</w:t>
      </w:r>
      <w:r w:rsidR="00962B10" w:rsidRPr="00B6593B">
        <w:t>emographics</w:t>
      </w:r>
      <w:r w:rsidR="00A62204">
        <w:t xml:space="preserve">: the assessment includes </w:t>
      </w:r>
      <w:r w:rsidR="00962B10" w:rsidRPr="00B6593B">
        <w:t>6</w:t>
      </w:r>
      <w:r w:rsidRPr="00B6593B">
        <w:t xml:space="preserve"> </w:t>
      </w:r>
      <w:r w:rsidR="00A62204">
        <w:t>background questions about</w:t>
      </w:r>
      <w:r w:rsidR="00846479" w:rsidRPr="00B6593B">
        <w:t xml:space="preserve"> </w:t>
      </w:r>
      <w:r w:rsidR="00A62204">
        <w:t>the respondent’s leadership role in agency’s PHPR activities, years worked in public health, years worked in public health emergency preparedness and response, highest degree or level of school, fi</w:t>
      </w:r>
      <w:r w:rsidR="00846479" w:rsidRPr="00B6593B">
        <w:t xml:space="preserve">eld(s) of </w:t>
      </w:r>
      <w:r w:rsidR="00A62204">
        <w:t>academic study</w:t>
      </w:r>
      <w:r w:rsidR="00846479" w:rsidRPr="00B6593B">
        <w:t xml:space="preserve">, and </w:t>
      </w:r>
      <w:r w:rsidR="00A62204">
        <w:t xml:space="preserve">participation in </w:t>
      </w:r>
      <w:r w:rsidR="00846479" w:rsidRPr="00B6593B">
        <w:t>certificate/professional development programs</w:t>
      </w:r>
      <w:r w:rsidRPr="00B6593B">
        <w:t>)</w:t>
      </w:r>
      <w:r w:rsidR="00846479" w:rsidRPr="00B6593B">
        <w:t>.</w:t>
      </w:r>
      <w:r w:rsidRPr="00B6593B">
        <w:t xml:space="preserve"> </w:t>
      </w:r>
    </w:p>
    <w:p w14:paraId="2BB2FC5A" w14:textId="33D9A2B3" w:rsidR="00266AB9" w:rsidRPr="006D0386" w:rsidRDefault="0083619A" w:rsidP="006D0386">
      <w:pPr>
        <w:pStyle w:val="ListParagraph"/>
        <w:numPr>
          <w:ilvl w:val="0"/>
          <w:numId w:val="6"/>
        </w:numPr>
        <w:tabs>
          <w:tab w:val="clear" w:pos="9360"/>
        </w:tabs>
        <w:ind w:left="1080"/>
      </w:pPr>
      <w:r w:rsidRPr="006D0386">
        <w:t>Professional</w:t>
      </w:r>
      <w:r w:rsidR="00266AB9" w:rsidRPr="006D0386">
        <w:t xml:space="preserve"> factors affecting EBP implementation and dissemination: the assessment includes 9 questions about</w:t>
      </w:r>
      <w:r w:rsidR="006D0386" w:rsidRPr="006D0386">
        <w:t xml:space="preserve"> the agency’s use</w:t>
      </w:r>
      <w:r w:rsidR="00266AB9" w:rsidRPr="006D0386">
        <w:t xml:space="preserve"> of EBP in daily work; 10 questions about </w:t>
      </w:r>
      <w:r w:rsidR="006D0386" w:rsidRPr="006D0386">
        <w:t xml:space="preserve">team </w:t>
      </w:r>
      <w:r w:rsidR="00266AB9" w:rsidRPr="006D0386">
        <w:t xml:space="preserve">skills in EBP and research activities; 5 questions about </w:t>
      </w:r>
      <w:r w:rsidR="006D0386" w:rsidRPr="006D0386">
        <w:t xml:space="preserve">team’s </w:t>
      </w:r>
      <w:r w:rsidR="00266AB9" w:rsidRPr="006D0386">
        <w:t xml:space="preserve">training </w:t>
      </w:r>
      <w:r w:rsidR="006D0386" w:rsidRPr="006D0386">
        <w:t>and education in</w:t>
      </w:r>
      <w:r w:rsidR="00266AB9" w:rsidRPr="006D0386">
        <w:t xml:space="preserve"> EBP; and 9 questions about </w:t>
      </w:r>
      <w:r w:rsidR="006D0386" w:rsidRPr="006D0386">
        <w:t>frequency of staff performing specific activities related to EBP.</w:t>
      </w:r>
      <w:r w:rsidR="00266AB9" w:rsidRPr="006D0386">
        <w:t xml:space="preserve"> </w:t>
      </w:r>
    </w:p>
    <w:p w14:paraId="0C87C817" w14:textId="4B2E7415" w:rsidR="00266AB9" w:rsidRPr="00A62204" w:rsidRDefault="00266AB9" w:rsidP="006D0386">
      <w:pPr>
        <w:pStyle w:val="ListParagraph"/>
        <w:numPr>
          <w:ilvl w:val="0"/>
          <w:numId w:val="6"/>
        </w:numPr>
        <w:tabs>
          <w:tab w:val="clear" w:pos="9360"/>
        </w:tabs>
        <w:ind w:left="1080"/>
      </w:pPr>
      <w:r w:rsidRPr="00A62204">
        <w:t>Organizational factors affecting EBP implementation and dissemination: the assessment includes 7 questions about the agency’s organizational culture related to the use of EBP in PHPR.</w:t>
      </w:r>
    </w:p>
    <w:p w14:paraId="5013C118" w14:textId="453C0464" w:rsidR="00266AB9" w:rsidRPr="00A62204" w:rsidRDefault="00266AB9" w:rsidP="006D0386">
      <w:pPr>
        <w:pStyle w:val="ListParagraph"/>
        <w:numPr>
          <w:ilvl w:val="0"/>
          <w:numId w:val="6"/>
        </w:numPr>
        <w:tabs>
          <w:tab w:val="clear" w:pos="9360"/>
        </w:tabs>
        <w:ind w:left="1080"/>
      </w:pPr>
      <w:r w:rsidRPr="00A62204">
        <w:t xml:space="preserve">Contextual factors affecting EBP implementation and dissemination: the assessment includes 9 questions about </w:t>
      </w:r>
      <w:r w:rsidR="00A62204" w:rsidRPr="00A62204">
        <w:t xml:space="preserve">the agency’s </w:t>
      </w:r>
      <w:r w:rsidRPr="00A62204">
        <w:t xml:space="preserve">access to sources of information with PHPR content; 9 questions about </w:t>
      </w:r>
      <w:r w:rsidR="00A62204" w:rsidRPr="00A62204">
        <w:t>the agency’s use of</w:t>
      </w:r>
      <w:r w:rsidRPr="00A62204">
        <w:t xml:space="preserve"> information sources; and 1 question ranking </w:t>
      </w:r>
      <w:r w:rsidR="00A62204" w:rsidRPr="00A62204">
        <w:t xml:space="preserve">the agency’s </w:t>
      </w:r>
      <w:r w:rsidRPr="00A62204">
        <w:t xml:space="preserve">use of various sources of information for decision-making. </w:t>
      </w:r>
    </w:p>
    <w:p w14:paraId="0603E19E" w14:textId="5024AAB2" w:rsidR="006D0386" w:rsidRDefault="007A177A" w:rsidP="006D0386">
      <w:pPr>
        <w:pStyle w:val="ListParagraph"/>
        <w:numPr>
          <w:ilvl w:val="0"/>
          <w:numId w:val="6"/>
        </w:numPr>
        <w:ind w:left="1080"/>
      </w:pPr>
      <w:r w:rsidRPr="006D0386">
        <w:t xml:space="preserve">Barriers to </w:t>
      </w:r>
      <w:r w:rsidR="00CD1CCA" w:rsidRPr="006D0386">
        <w:t>EBP implementation and dissemination:</w:t>
      </w:r>
      <w:r w:rsidR="00266AB9" w:rsidRPr="006D0386">
        <w:t xml:space="preserve"> the assessment includes </w:t>
      </w:r>
      <w:r w:rsidRPr="006D0386">
        <w:t>26 questions</w:t>
      </w:r>
      <w:r w:rsidR="00375D76" w:rsidRPr="006D0386">
        <w:t xml:space="preserve"> regarding factors that potentially prevent </w:t>
      </w:r>
      <w:r w:rsidR="00CD1CCA" w:rsidRPr="006D0386">
        <w:t xml:space="preserve">or impede the </w:t>
      </w:r>
      <w:r w:rsidR="00375D76" w:rsidRPr="006D0386">
        <w:t>use of EBP in PHPR</w:t>
      </w:r>
      <w:r w:rsidR="00CD1CCA" w:rsidRPr="006D0386">
        <w:t>, informed by the literature, as well as open-ended questions to capture additional barriers not presented</w:t>
      </w:r>
      <w:r w:rsidR="00375D76" w:rsidRPr="006D0386">
        <w:t>.</w:t>
      </w:r>
    </w:p>
    <w:p w14:paraId="77CD8D99" w14:textId="29B559AA" w:rsidR="00BD4599" w:rsidRPr="006D0386" w:rsidRDefault="007A177A" w:rsidP="006D0386">
      <w:pPr>
        <w:pStyle w:val="ListParagraph"/>
        <w:numPr>
          <w:ilvl w:val="0"/>
          <w:numId w:val="6"/>
        </w:numPr>
        <w:ind w:left="1080"/>
      </w:pPr>
      <w:r w:rsidRPr="006D0386">
        <w:t xml:space="preserve">Enablers of </w:t>
      </w:r>
      <w:r w:rsidR="00CD1CCA" w:rsidRPr="006D0386">
        <w:t>EBP implementation and dissemination:</w:t>
      </w:r>
      <w:r w:rsidRPr="006D0386">
        <w:t xml:space="preserve"> </w:t>
      </w:r>
      <w:r w:rsidR="00266AB9" w:rsidRPr="006D0386">
        <w:t xml:space="preserve">the assessment includes </w:t>
      </w:r>
      <w:r w:rsidRPr="006D0386">
        <w:t>11 questions</w:t>
      </w:r>
      <w:r w:rsidR="00375D76" w:rsidRPr="006D0386">
        <w:t xml:space="preserve"> regarding factors that potentially enable or promote the use of EBP in PHPR,</w:t>
      </w:r>
      <w:r w:rsidR="00CD1CCA" w:rsidRPr="006D0386">
        <w:t xml:space="preserve"> informed by the literature, </w:t>
      </w:r>
      <w:r w:rsidR="00375D76" w:rsidRPr="006D0386">
        <w:t xml:space="preserve">including open-ended questions </w:t>
      </w:r>
      <w:r w:rsidR="00CD1CCA" w:rsidRPr="006D0386">
        <w:t xml:space="preserve">to capture </w:t>
      </w:r>
      <w:r w:rsidR="00375D76" w:rsidRPr="006D0386">
        <w:t xml:space="preserve">additional </w:t>
      </w:r>
      <w:r w:rsidR="00CD1CCA" w:rsidRPr="006D0386">
        <w:t xml:space="preserve">facilitators </w:t>
      </w:r>
      <w:r w:rsidR="00375D76" w:rsidRPr="006D0386">
        <w:t xml:space="preserve">not </w:t>
      </w:r>
      <w:r w:rsidR="00CD1CCA" w:rsidRPr="006D0386">
        <w:t>presented</w:t>
      </w:r>
      <w:r w:rsidR="00375D76" w:rsidRPr="006D0386">
        <w:t>.</w:t>
      </w:r>
    </w:p>
    <w:p w14:paraId="0326D5FD" w14:textId="77777777" w:rsidR="00B6593B" w:rsidRPr="00B6593B" w:rsidRDefault="00B6593B" w:rsidP="004575A2">
      <w:pPr>
        <w:pStyle w:val="ListParagraph"/>
        <w:spacing w:line="240" w:lineRule="auto"/>
        <w:ind w:left="1080"/>
        <w:rPr>
          <w:lang w:eastAsia="zh-CN"/>
        </w:rPr>
      </w:pPr>
    </w:p>
    <w:p w14:paraId="23BE21C4" w14:textId="77777777" w:rsidR="00B12F51" w:rsidRPr="00014361" w:rsidRDefault="00B12F51" w:rsidP="00692DEB">
      <w:pPr>
        <w:pStyle w:val="Heading4"/>
      </w:pPr>
      <w:bookmarkStart w:id="7" w:name="_Toc427752815"/>
      <w:r w:rsidRPr="00014361">
        <w:t>Purpose and Use of the Information Collection</w:t>
      </w:r>
      <w:bookmarkEnd w:id="7"/>
    </w:p>
    <w:p w14:paraId="5EEE367D" w14:textId="3D91AC0B" w:rsidR="00C231C3" w:rsidRPr="00B6593B" w:rsidRDefault="004575A2" w:rsidP="00C231C3">
      <w:pPr>
        <w:ind w:left="360"/>
        <w:rPr>
          <w:rFonts w:cs="Times New Roman"/>
        </w:rPr>
      </w:pPr>
      <w:r w:rsidRPr="00B6593B">
        <w:rPr>
          <w:rFonts w:cs="Times New Roman"/>
        </w:rPr>
        <w:t>The purpose of this data collection is to examine the barriers (i.e., factors that may impede or prevent) and facilitators (i.e., factors that may enable or promote) to evidence-based practice (EBP) in public health emergency preparedness and response (PHPR) by identifying the key organizational and contextual factors affecting EBP implementation and dissemination by the PHPR practice community.</w:t>
      </w:r>
      <w:r w:rsidR="007A177A" w:rsidRPr="00B6593B">
        <w:rPr>
          <w:rFonts w:cs="Times New Roman"/>
        </w:rPr>
        <w:t xml:space="preserve"> </w:t>
      </w:r>
    </w:p>
    <w:p w14:paraId="70E32D49" w14:textId="77777777" w:rsidR="00C231C3" w:rsidRPr="00B6593B" w:rsidRDefault="00C231C3" w:rsidP="00C231C3">
      <w:pPr>
        <w:ind w:left="360"/>
        <w:rPr>
          <w:rFonts w:cs="Times New Roman"/>
        </w:rPr>
      </w:pPr>
    </w:p>
    <w:p w14:paraId="76CD1213" w14:textId="77777777" w:rsidR="004575A2" w:rsidRPr="00B6593B" w:rsidRDefault="004575A2" w:rsidP="00B6593B">
      <w:pPr>
        <w:ind w:left="360"/>
        <w:rPr>
          <w:rFonts w:cs="Times New Roman"/>
        </w:rPr>
      </w:pPr>
      <w:r w:rsidRPr="00B6593B">
        <w:rPr>
          <w:rFonts w:cs="Times New Roman"/>
        </w:rPr>
        <w:t>This data collection will help CDC to understand the barriers and facilitators to EBP in PHPR. CDC will use the resulting data to: a) support state, territorial, and local health department activities; b) better understand the PHPR practice community’s needs; c) inform and prioritize strategies and resources for EBP identification and dissemination; and d) address barriers and facilitators to EBP uptake.</w:t>
      </w:r>
    </w:p>
    <w:p w14:paraId="44E6D787" w14:textId="32D48468" w:rsidR="00675F9A" w:rsidRPr="004575A2" w:rsidRDefault="00675F9A" w:rsidP="004575A2">
      <w:pPr>
        <w:ind w:left="360"/>
        <w:rPr>
          <w:color w:val="4F81BD" w:themeColor="accent1"/>
        </w:rPr>
      </w:pPr>
    </w:p>
    <w:p w14:paraId="66E7210B" w14:textId="77777777" w:rsidR="00B47055" w:rsidRPr="00FF5BF1" w:rsidRDefault="00B47055" w:rsidP="00692DEB">
      <w:pPr>
        <w:pStyle w:val="Heading4"/>
      </w:pPr>
      <w:bookmarkStart w:id="8" w:name="_Toc427752816"/>
      <w:r w:rsidRPr="00FF5BF1">
        <w:t>Use of Improved Information Technology and Burden Reduction</w:t>
      </w:r>
      <w:bookmarkEnd w:id="8"/>
    </w:p>
    <w:p w14:paraId="14D39289" w14:textId="4A87F65E" w:rsidR="007A177A" w:rsidRPr="00B6593B" w:rsidRDefault="007A177A" w:rsidP="007A177A">
      <w:pPr>
        <w:ind w:left="360"/>
        <w:rPr>
          <w:rFonts w:cs="Times New Roman"/>
        </w:rPr>
      </w:pPr>
      <w:r w:rsidRPr="00B6593B">
        <w:rPr>
          <w:rFonts w:cs="Times New Roman"/>
        </w:rPr>
        <w:t xml:space="preserve">Data will be collected via a web-based </w:t>
      </w:r>
      <w:r w:rsidR="00266AB9" w:rsidRPr="00B6593B">
        <w:rPr>
          <w:rFonts w:cs="Times New Roman"/>
        </w:rPr>
        <w:t>assessment</w:t>
      </w:r>
      <w:r w:rsidRPr="00B6593B">
        <w:rPr>
          <w:rFonts w:cs="Times New Roman"/>
        </w:rPr>
        <w:t xml:space="preserve">. This method was chosen to reduce the overall burden on respondents by allowing respondents to easily access and complete the </w:t>
      </w:r>
      <w:r w:rsidR="00375D76" w:rsidRPr="00B6593B">
        <w:rPr>
          <w:rFonts w:cs="Times New Roman"/>
        </w:rPr>
        <w:t xml:space="preserve">assessment </w:t>
      </w:r>
      <w:r w:rsidRPr="00B6593B">
        <w:rPr>
          <w:rFonts w:cs="Times New Roman"/>
        </w:rPr>
        <w:t>at their own convenience. The data collection instrument was designed to collect the minimum information necessary for the purposes of this project (i.e., limited to 10</w:t>
      </w:r>
      <w:r w:rsidR="006D0386">
        <w:rPr>
          <w:rFonts w:cs="Times New Roman"/>
        </w:rPr>
        <w:t>2</w:t>
      </w:r>
      <w:r w:rsidRPr="00B6593B">
        <w:rPr>
          <w:rFonts w:cs="Times New Roman"/>
        </w:rPr>
        <w:t xml:space="preserve"> questions).</w:t>
      </w:r>
    </w:p>
    <w:p w14:paraId="55AE969A" w14:textId="77777777" w:rsidR="00383542" w:rsidRDefault="00383542" w:rsidP="006A09E0">
      <w:pPr>
        <w:ind w:left="0"/>
      </w:pPr>
    </w:p>
    <w:p w14:paraId="25D48410" w14:textId="77777777" w:rsidR="00B47055" w:rsidRPr="00D42A92" w:rsidRDefault="00B47055" w:rsidP="00692DEB">
      <w:pPr>
        <w:pStyle w:val="Heading4"/>
      </w:pPr>
      <w:bookmarkStart w:id="9" w:name="_Toc427752817"/>
      <w:r w:rsidRPr="00D42A92">
        <w:t>Efforts to Identify Duplication and Use of Similar Information</w:t>
      </w:r>
      <w:bookmarkEnd w:id="9"/>
    </w:p>
    <w:p w14:paraId="75B02C27" w14:textId="5D4B85D5" w:rsidR="00B6593B" w:rsidRPr="00982A0C" w:rsidRDefault="00EF1801" w:rsidP="00B6593B">
      <w:pPr>
        <w:ind w:left="360"/>
        <w:rPr>
          <w:rFonts w:cs="Times New Roman"/>
        </w:rPr>
      </w:pPr>
      <w:r>
        <w:rPr>
          <w:rFonts w:cs="Times New Roman"/>
        </w:rPr>
        <w:t>T</w:t>
      </w:r>
      <w:r w:rsidR="007A177A" w:rsidRPr="00410BB6">
        <w:rPr>
          <w:rFonts w:cs="Times New Roman"/>
        </w:rPr>
        <w:t xml:space="preserve">his study would be the first of its kind to systematically assess </w:t>
      </w:r>
      <w:r w:rsidR="006D0386">
        <w:rPr>
          <w:rFonts w:cs="Times New Roman"/>
        </w:rPr>
        <w:t xml:space="preserve">the </w:t>
      </w:r>
      <w:r w:rsidR="007A177A" w:rsidRPr="00410BB6">
        <w:rPr>
          <w:rFonts w:cs="Times New Roman"/>
        </w:rPr>
        <w:t xml:space="preserve">barriers </w:t>
      </w:r>
      <w:r w:rsidR="00C34D91">
        <w:rPr>
          <w:rFonts w:cs="Times New Roman"/>
        </w:rPr>
        <w:t xml:space="preserve">and </w:t>
      </w:r>
      <w:r w:rsidR="00266AB9">
        <w:rPr>
          <w:rFonts w:cs="Times New Roman"/>
        </w:rPr>
        <w:t>facilitators</w:t>
      </w:r>
      <w:r w:rsidR="00C34D91">
        <w:rPr>
          <w:rFonts w:cs="Times New Roman"/>
        </w:rPr>
        <w:t xml:space="preserve"> </w:t>
      </w:r>
      <w:r w:rsidR="007A177A" w:rsidRPr="00410BB6">
        <w:rPr>
          <w:rFonts w:cs="Times New Roman"/>
        </w:rPr>
        <w:t xml:space="preserve">to evidence based practice implementation </w:t>
      </w:r>
      <w:r w:rsidR="00C34D91">
        <w:rPr>
          <w:rFonts w:cs="Times New Roman"/>
        </w:rPr>
        <w:t xml:space="preserve">and dissemination </w:t>
      </w:r>
      <w:r w:rsidR="00266AB9">
        <w:rPr>
          <w:rFonts w:cs="Times New Roman"/>
        </w:rPr>
        <w:t>by the</w:t>
      </w:r>
      <w:r w:rsidR="007A177A" w:rsidRPr="00410BB6">
        <w:rPr>
          <w:rFonts w:cs="Times New Roman"/>
        </w:rPr>
        <w:t xml:space="preserve"> public health </w:t>
      </w:r>
      <w:r w:rsidR="00266AB9">
        <w:rPr>
          <w:rFonts w:cs="Times New Roman"/>
        </w:rPr>
        <w:t xml:space="preserve">emergency </w:t>
      </w:r>
      <w:r w:rsidR="007A177A" w:rsidRPr="00410BB6">
        <w:rPr>
          <w:rFonts w:cs="Times New Roman"/>
        </w:rPr>
        <w:t>preparedness and response</w:t>
      </w:r>
      <w:r w:rsidR="00266AB9">
        <w:rPr>
          <w:rFonts w:cs="Times New Roman"/>
        </w:rPr>
        <w:t xml:space="preserve"> practice community</w:t>
      </w:r>
      <w:r w:rsidR="007A177A" w:rsidRPr="00410BB6">
        <w:rPr>
          <w:rFonts w:cs="Times New Roman"/>
        </w:rPr>
        <w:t>. No other information collection</w:t>
      </w:r>
      <w:r>
        <w:rPr>
          <w:rFonts w:cs="Times New Roman"/>
        </w:rPr>
        <w:t>s,</w:t>
      </w:r>
      <w:r w:rsidR="007A177A" w:rsidRPr="00410BB6">
        <w:rPr>
          <w:rFonts w:cs="Times New Roman"/>
        </w:rPr>
        <w:t xml:space="preserve"> to date</w:t>
      </w:r>
      <w:r>
        <w:rPr>
          <w:rFonts w:cs="Times New Roman"/>
        </w:rPr>
        <w:t>,</w:t>
      </w:r>
      <w:r w:rsidR="007A177A" w:rsidRPr="00410BB6">
        <w:rPr>
          <w:rFonts w:cs="Times New Roman"/>
        </w:rPr>
        <w:t xml:space="preserve"> ha</w:t>
      </w:r>
      <w:r>
        <w:rPr>
          <w:rFonts w:cs="Times New Roman"/>
        </w:rPr>
        <w:t>ve</w:t>
      </w:r>
      <w:r w:rsidR="007A177A" w:rsidRPr="00410BB6">
        <w:rPr>
          <w:rFonts w:cs="Times New Roman"/>
        </w:rPr>
        <w:t xml:space="preserve"> attempted to ascertain these barriers</w:t>
      </w:r>
      <w:r w:rsidR="00C34D91">
        <w:rPr>
          <w:rFonts w:cs="Times New Roman"/>
        </w:rPr>
        <w:t xml:space="preserve"> and </w:t>
      </w:r>
      <w:r w:rsidR="00266AB9">
        <w:rPr>
          <w:rFonts w:cs="Times New Roman"/>
        </w:rPr>
        <w:t>facilitators</w:t>
      </w:r>
      <w:r w:rsidR="007A177A" w:rsidRPr="00410BB6">
        <w:rPr>
          <w:rFonts w:cs="Times New Roman"/>
        </w:rPr>
        <w:t xml:space="preserve">. </w:t>
      </w:r>
      <w:r w:rsidR="00982A0C">
        <w:rPr>
          <w:rFonts w:cs="Times New Roman"/>
        </w:rPr>
        <w:t xml:space="preserve"> </w:t>
      </w:r>
      <w:r w:rsidR="007A177A" w:rsidRPr="00410BB6">
        <w:rPr>
          <w:rFonts w:cs="Times New Roman"/>
        </w:rPr>
        <w:t xml:space="preserve">We have also reviewed previous OPHPR collections that have been approved and/or completed through the </w:t>
      </w:r>
      <w:r w:rsidR="00982A0C">
        <w:rPr>
          <w:rFonts w:cs="Times New Roman"/>
        </w:rPr>
        <w:t xml:space="preserve">0920-0879 </w:t>
      </w:r>
      <w:r w:rsidR="007A177A" w:rsidRPr="00410BB6">
        <w:rPr>
          <w:rFonts w:cs="Times New Roman"/>
        </w:rPr>
        <w:t>O2C2 Gen IC and have found no IC that collect</w:t>
      </w:r>
      <w:r w:rsidR="00562B9C">
        <w:rPr>
          <w:rFonts w:cs="Times New Roman"/>
        </w:rPr>
        <w:t>ed</w:t>
      </w:r>
      <w:r w:rsidR="007A177A" w:rsidRPr="00410BB6">
        <w:rPr>
          <w:rFonts w:cs="Times New Roman"/>
        </w:rPr>
        <w:t xml:space="preserve"> information on barriers</w:t>
      </w:r>
      <w:r w:rsidR="00982A0C">
        <w:rPr>
          <w:rFonts w:cs="Times New Roman"/>
        </w:rPr>
        <w:t xml:space="preserve"> and facilitators</w:t>
      </w:r>
      <w:r w:rsidR="007A177A" w:rsidRPr="00410BB6">
        <w:rPr>
          <w:rFonts w:cs="Times New Roman"/>
        </w:rPr>
        <w:t xml:space="preserve"> to evidence-based practice implementation</w:t>
      </w:r>
      <w:r w:rsidR="006F4E2F" w:rsidRPr="006F4E2F">
        <w:t xml:space="preserve"> </w:t>
      </w:r>
      <w:r w:rsidR="006F4E2F" w:rsidRPr="006F4E2F">
        <w:rPr>
          <w:rFonts w:cs="Times New Roman"/>
        </w:rPr>
        <w:t>and dissemination by the PHPR practice community</w:t>
      </w:r>
      <w:r w:rsidR="007A177A" w:rsidRPr="00410BB6">
        <w:rPr>
          <w:rFonts w:cs="Times New Roman"/>
        </w:rPr>
        <w:t xml:space="preserve">. </w:t>
      </w:r>
      <w:r w:rsidR="006F4E2F">
        <w:rPr>
          <w:rFonts w:cs="Times New Roman"/>
        </w:rPr>
        <w:t xml:space="preserve"> </w:t>
      </w:r>
    </w:p>
    <w:p w14:paraId="134EC05A" w14:textId="77777777" w:rsidR="00675F9A" w:rsidRDefault="00675F9A" w:rsidP="005D6F14"/>
    <w:p w14:paraId="4F3607D9" w14:textId="77777777" w:rsidR="00B12F51" w:rsidRPr="00B47055" w:rsidRDefault="00B47055" w:rsidP="00692DEB">
      <w:pPr>
        <w:pStyle w:val="Heading4"/>
      </w:pPr>
      <w:bookmarkStart w:id="10" w:name="_Toc427752818"/>
      <w:r w:rsidRPr="00B47055">
        <w:t>Impact on Small Businesses or Other Small Entities</w:t>
      </w:r>
      <w:bookmarkEnd w:id="10"/>
    </w:p>
    <w:p w14:paraId="66D7F0CA" w14:textId="77777777" w:rsidR="00BD4599" w:rsidRDefault="00D26A64" w:rsidP="00383542">
      <w:pPr>
        <w:ind w:left="360"/>
      </w:pPr>
      <w:r>
        <w:t>N</w:t>
      </w:r>
      <w:r w:rsidR="00AF2252">
        <w:t xml:space="preserve">o small businesses will be involved in this </w:t>
      </w:r>
      <w:r w:rsidR="00157413">
        <w:t>information collection</w:t>
      </w:r>
      <w:r>
        <w:t>.</w:t>
      </w:r>
    </w:p>
    <w:p w14:paraId="1C544C89" w14:textId="77777777" w:rsidR="00675F9A" w:rsidRPr="00D95FBF" w:rsidRDefault="00675F9A" w:rsidP="10E41735"/>
    <w:p w14:paraId="6908EF38"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16CE342D" w14:textId="06CB2A38" w:rsidR="000058E0" w:rsidRDefault="006D0386" w:rsidP="007B7C44">
      <w:pPr>
        <w:ind w:left="360"/>
      </w:pPr>
      <w:r>
        <w:t>This request is for a one-</w:t>
      </w:r>
      <w:r w:rsidR="000058E0" w:rsidRPr="00711BFA">
        <w:t xml:space="preserve">time </w:t>
      </w:r>
      <w:r w:rsidR="005212E5">
        <w:t>data</w:t>
      </w:r>
      <w:r w:rsidR="000058E0" w:rsidRPr="00711BFA">
        <w:t xml:space="preserve"> collection.  There are no legal obstacles to reduce the burden.</w:t>
      </w:r>
      <w:r w:rsidR="000058E0">
        <w:t xml:space="preserve"> </w:t>
      </w:r>
      <w:r w:rsidR="000058E0" w:rsidRPr="0061015C">
        <w:t xml:space="preserve">If no data are collected, </w:t>
      </w:r>
      <w:r w:rsidR="000058E0">
        <w:t>CDC</w:t>
      </w:r>
      <w:r w:rsidR="000058E0" w:rsidRPr="0061015C">
        <w:t xml:space="preserve"> will be unable to:</w:t>
      </w:r>
    </w:p>
    <w:p w14:paraId="048B31AE" w14:textId="2BA3105A" w:rsidR="00C34D91" w:rsidRPr="006F4E2F" w:rsidRDefault="00C34D91" w:rsidP="006D0386">
      <w:pPr>
        <w:numPr>
          <w:ilvl w:val="0"/>
          <w:numId w:val="6"/>
        </w:numPr>
      </w:pPr>
      <w:bookmarkStart w:id="12" w:name="_Toc427752820"/>
      <w:r w:rsidRPr="006F4E2F">
        <w:t xml:space="preserve">Examine the barriers and </w:t>
      </w:r>
      <w:r w:rsidR="00266AB9" w:rsidRPr="006F4E2F">
        <w:t>facilitators</w:t>
      </w:r>
      <w:r w:rsidRPr="006F4E2F">
        <w:t xml:space="preserve"> to evidence-based practice (EBP) in public health emergency preparedness and response (PHPR).</w:t>
      </w:r>
    </w:p>
    <w:p w14:paraId="10B90CD7" w14:textId="3B1F5001" w:rsidR="007A177A" w:rsidRPr="006F4E2F" w:rsidRDefault="00C34D91" w:rsidP="006D0386">
      <w:pPr>
        <w:numPr>
          <w:ilvl w:val="0"/>
          <w:numId w:val="6"/>
        </w:numPr>
      </w:pPr>
      <w:r w:rsidRPr="006F4E2F">
        <w:t>Identify</w:t>
      </w:r>
      <w:r w:rsidR="007A177A" w:rsidRPr="006F4E2F">
        <w:t xml:space="preserve"> the key organizational and contextual factors affecting EBP implementation </w:t>
      </w:r>
      <w:r w:rsidRPr="006F4E2F">
        <w:t xml:space="preserve">and dissemination </w:t>
      </w:r>
      <w:r w:rsidR="007A177A" w:rsidRPr="006F4E2F">
        <w:t>by the PHPR practice community.</w:t>
      </w:r>
    </w:p>
    <w:p w14:paraId="262E5F43" w14:textId="378D1CC1" w:rsidR="007A177A" w:rsidRPr="006F4E2F" w:rsidRDefault="00266AB9" w:rsidP="006D0386">
      <w:pPr>
        <w:numPr>
          <w:ilvl w:val="0"/>
          <w:numId w:val="6"/>
        </w:numPr>
      </w:pPr>
      <w:r w:rsidRPr="006F4E2F">
        <w:t>S</w:t>
      </w:r>
      <w:r w:rsidR="007A177A" w:rsidRPr="006F4E2F">
        <w:t xml:space="preserve">upport state, </w:t>
      </w:r>
      <w:r w:rsidRPr="006F4E2F">
        <w:t xml:space="preserve">territorial, and </w:t>
      </w:r>
      <w:r w:rsidR="007A177A" w:rsidRPr="006F4E2F">
        <w:t xml:space="preserve">local health </w:t>
      </w:r>
      <w:r w:rsidRPr="006F4E2F">
        <w:t xml:space="preserve">department </w:t>
      </w:r>
      <w:r w:rsidR="007A177A" w:rsidRPr="006F4E2F">
        <w:t>activities.</w:t>
      </w:r>
    </w:p>
    <w:p w14:paraId="652DB3B1" w14:textId="0FFF6036" w:rsidR="00266AB9" w:rsidRPr="006F4E2F" w:rsidRDefault="00266AB9" w:rsidP="006D0386">
      <w:pPr>
        <w:numPr>
          <w:ilvl w:val="0"/>
          <w:numId w:val="6"/>
        </w:numPr>
      </w:pPr>
      <w:r w:rsidRPr="006F4E2F">
        <w:t>Understand the PHPR practice community’s needs.</w:t>
      </w:r>
    </w:p>
    <w:p w14:paraId="5C0947EF" w14:textId="77E28937" w:rsidR="007A177A" w:rsidRPr="006F4E2F" w:rsidRDefault="00266AB9" w:rsidP="006D0386">
      <w:pPr>
        <w:numPr>
          <w:ilvl w:val="0"/>
          <w:numId w:val="6"/>
        </w:numPr>
      </w:pPr>
      <w:r w:rsidRPr="006F4E2F">
        <w:t>I</w:t>
      </w:r>
      <w:r w:rsidR="007A177A" w:rsidRPr="006F4E2F">
        <w:t xml:space="preserve">nform and prioritize </w:t>
      </w:r>
      <w:r w:rsidRPr="006F4E2F">
        <w:t xml:space="preserve">strategies and </w:t>
      </w:r>
      <w:r w:rsidR="007A177A" w:rsidRPr="006F4E2F">
        <w:t>resources for EBP identification and dissemination.</w:t>
      </w:r>
    </w:p>
    <w:p w14:paraId="57D28732" w14:textId="41B47690" w:rsidR="006F4E2F" w:rsidRDefault="007A177A" w:rsidP="006D0386">
      <w:pPr>
        <w:numPr>
          <w:ilvl w:val="0"/>
          <w:numId w:val="6"/>
        </w:numPr>
      </w:pPr>
      <w:r w:rsidRPr="006F4E2F">
        <w:rPr>
          <w:rFonts w:ascii="Cambria" w:eastAsia="Cambria" w:hAnsi="Cambria" w:cs="Cambria"/>
        </w:rPr>
        <w:t xml:space="preserve">Address barriers </w:t>
      </w:r>
      <w:r w:rsidR="00982A0C">
        <w:rPr>
          <w:rFonts w:ascii="Cambria" w:eastAsia="Cambria" w:hAnsi="Cambria" w:cs="Cambria"/>
        </w:rPr>
        <w:t>and facilitators to EBP uptake.</w:t>
      </w:r>
    </w:p>
    <w:p w14:paraId="5C1EDA8D" w14:textId="77777777" w:rsidR="006F4E2F" w:rsidRDefault="006F4E2F" w:rsidP="006F4E2F">
      <w:pPr>
        <w:spacing w:line="240" w:lineRule="auto"/>
      </w:pPr>
    </w:p>
    <w:p w14:paraId="3C2E6DF8" w14:textId="77777777" w:rsidR="00B12F51" w:rsidRPr="00B47055" w:rsidRDefault="00B47055" w:rsidP="00692DEB">
      <w:pPr>
        <w:pStyle w:val="Heading4"/>
      </w:pPr>
      <w:r w:rsidRPr="00B47055">
        <w:t>Special Circumstances Relating to the Guidelines of 5 CFR 1320.5</w:t>
      </w:r>
      <w:bookmarkEnd w:id="12"/>
    </w:p>
    <w:p w14:paraId="5C3D8A59" w14:textId="77777777" w:rsidR="00F52BCC" w:rsidRPr="00B6593B" w:rsidRDefault="00A809AA" w:rsidP="007B7C44">
      <w:pPr>
        <w:ind w:left="360"/>
        <w:rPr>
          <w:rFonts w:cs="Times New Roman"/>
        </w:rPr>
      </w:pPr>
      <w:r w:rsidRPr="00B6593B">
        <w:rPr>
          <w:rFonts w:cs="Times New Roman"/>
        </w:rPr>
        <w:t xml:space="preserve">There are no special circumstances with this </w:t>
      </w:r>
      <w:r w:rsidR="002E2EDD" w:rsidRPr="00B6593B">
        <w:rPr>
          <w:rFonts w:cs="Times New Roman"/>
        </w:rPr>
        <w:t>data</w:t>
      </w:r>
      <w:r w:rsidRPr="00B6593B">
        <w:rPr>
          <w:rFonts w:cs="Times New Roman"/>
        </w:rPr>
        <w:t xml:space="preserve"> collection package. </w:t>
      </w:r>
      <w:r w:rsidR="00835CA7" w:rsidRPr="00B6593B">
        <w:rPr>
          <w:rFonts w:cs="Times New Roman"/>
        </w:rPr>
        <w:t>This request fully complies with the regulation 5 CFR 1320.5</w:t>
      </w:r>
      <w:r w:rsidR="00D95FBF" w:rsidRPr="00B6593B">
        <w:rPr>
          <w:rFonts w:cs="Times New Roman"/>
        </w:rPr>
        <w:t xml:space="preserve"> and will be voluntary</w:t>
      </w:r>
      <w:r w:rsidR="00835CA7" w:rsidRPr="00B6593B">
        <w:rPr>
          <w:rFonts w:cs="Times New Roman"/>
        </w:rPr>
        <w:t>.</w:t>
      </w:r>
    </w:p>
    <w:p w14:paraId="2C2BA2A5" w14:textId="77777777" w:rsidR="00383542" w:rsidRDefault="00383542" w:rsidP="10E41735">
      <w:pPr>
        <w:ind w:left="360"/>
      </w:pPr>
    </w:p>
    <w:p w14:paraId="210B51FC"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4A54F34F" w14:textId="77777777" w:rsidR="00A809AA" w:rsidRPr="00B8783F" w:rsidRDefault="00C768E5" w:rsidP="007B7C44">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D21203" w:rsidRPr="00D21203">
        <w:t>A 60-day Federal Register Notice was published in the Federal Register on April 27, 2017, Vol. 82, No. 80, pp 19371-19373.  One non-substantive comment was received.  CDC sent forward the standard CDC response.</w:t>
      </w:r>
    </w:p>
    <w:p w14:paraId="3806F178" w14:textId="77777777" w:rsidR="00A809AA" w:rsidRPr="00A809AA" w:rsidRDefault="00A809AA" w:rsidP="00692DEB">
      <w:pPr>
        <w:ind w:left="0"/>
      </w:pPr>
    </w:p>
    <w:p w14:paraId="75BC4914"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534C80DF" w14:textId="77777777" w:rsidR="00F52BCC" w:rsidRPr="00A809AA" w:rsidRDefault="00F52BCC" w:rsidP="00675F9A">
      <w:pPr>
        <w:ind w:left="360"/>
      </w:pPr>
    </w:p>
    <w:p w14:paraId="38F8C78D" w14:textId="77777777" w:rsidR="00B12F51" w:rsidRPr="0088467A" w:rsidRDefault="0088467A" w:rsidP="00692DEB">
      <w:pPr>
        <w:pStyle w:val="Heading4"/>
      </w:pPr>
      <w:bookmarkStart w:id="14" w:name="_Toc427752822"/>
      <w:r w:rsidRPr="0088467A">
        <w:t>Explanation of Any Payment or Gift to Respondents</w:t>
      </w:r>
      <w:bookmarkEnd w:id="14"/>
    </w:p>
    <w:p w14:paraId="5D08F21A" w14:textId="77777777" w:rsidR="00675F9A" w:rsidRDefault="00A809AA" w:rsidP="005212E5">
      <w:pPr>
        <w:ind w:left="360"/>
      </w:pPr>
      <w:r>
        <w:t>CDC will not provide p</w:t>
      </w:r>
      <w:r w:rsidR="00D26A64">
        <w:t>ayments or gifts to respondents.</w:t>
      </w:r>
    </w:p>
    <w:p w14:paraId="3B3CAB28" w14:textId="77777777" w:rsidR="00C4416B" w:rsidRDefault="00C4416B" w:rsidP="005212E5">
      <w:pPr>
        <w:ind w:left="360"/>
      </w:pPr>
    </w:p>
    <w:p w14:paraId="217F03F6"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20C7B376" w14:textId="7387DCAE" w:rsidR="003C31C9" w:rsidRDefault="003C31C9" w:rsidP="006A09E0">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w:t>
      </w:r>
      <w:r w:rsidRPr="00040611">
        <w:t>will be speaking from their official roles</w:t>
      </w:r>
      <w:r w:rsidR="00D06816">
        <w:t xml:space="preserve">.  </w:t>
      </w:r>
      <w:r w:rsidRPr="00040611">
        <w:t xml:space="preserve"> </w:t>
      </w:r>
    </w:p>
    <w:p w14:paraId="623EA43C" w14:textId="256F54EB" w:rsidR="00383542" w:rsidRPr="00383542" w:rsidRDefault="00383542" w:rsidP="10E41735">
      <w:pPr>
        <w:ind w:left="0"/>
        <w:rPr>
          <w:iCs/>
          <w:color w:val="0070C0"/>
          <w:vertAlign w:val="superscript"/>
        </w:rPr>
      </w:pPr>
    </w:p>
    <w:p w14:paraId="182F7AA0"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4779194D" w14:textId="0BCC8122" w:rsidR="00A34D07" w:rsidRDefault="003C31C9" w:rsidP="00A34D07">
      <w:pPr>
        <w:ind w:left="360"/>
      </w:pPr>
      <w:r>
        <w:t>No information will be collected</w:t>
      </w:r>
      <w:r w:rsidR="00616090">
        <w:t xml:space="preserve"> that are of personal or sensitive nature</w:t>
      </w:r>
      <w:r w:rsidR="00D26A64">
        <w:t>.</w:t>
      </w:r>
      <w:r w:rsidR="00A34D07" w:rsidRPr="00A34D07">
        <w:t xml:space="preserve"> </w:t>
      </w:r>
      <w:r w:rsidR="00A34D07" w:rsidRPr="003C31C9">
        <w:t xml:space="preserve">This </w:t>
      </w:r>
      <w:r w:rsidR="00A34D07">
        <w:t>data collection</w:t>
      </w:r>
      <w:r w:rsidR="00A34D07" w:rsidRPr="003C31C9">
        <w:t xml:space="preserve"> is not research involving human subjects.</w:t>
      </w:r>
    </w:p>
    <w:p w14:paraId="4A295669" w14:textId="0A904160" w:rsidR="00E20294" w:rsidRPr="0088467A" w:rsidRDefault="00E20294" w:rsidP="00A34D07">
      <w:pPr>
        <w:ind w:left="0"/>
      </w:pPr>
    </w:p>
    <w:p w14:paraId="2EE4E585" w14:textId="77777777" w:rsidR="00B64BFA" w:rsidRPr="0088467A" w:rsidRDefault="0088467A" w:rsidP="00692DEB">
      <w:pPr>
        <w:pStyle w:val="Heading4"/>
      </w:pPr>
      <w:bookmarkStart w:id="17" w:name="_Toc427752825"/>
      <w:r w:rsidRPr="0088467A">
        <w:t>Estimates of Annualized Burden Hours and Costs</w:t>
      </w:r>
      <w:bookmarkEnd w:id="17"/>
    </w:p>
    <w:p w14:paraId="155DC4BF" w14:textId="3CE144D8" w:rsidR="007A177A" w:rsidRPr="004956D8" w:rsidRDefault="007A177A" w:rsidP="007A177A">
      <w:pPr>
        <w:ind w:left="360"/>
        <w:rPr>
          <w:color w:val="000000"/>
        </w:rPr>
      </w:pPr>
      <w:r w:rsidRPr="004956D8">
        <w:rPr>
          <w:color w:val="000000"/>
        </w:rPr>
        <w:t xml:space="preserve">The estimate for burden hours is based on a pilot test of </w:t>
      </w:r>
      <w:r w:rsidRPr="004956D8">
        <w:t xml:space="preserve">the data collection instrument </w:t>
      </w:r>
      <w:r w:rsidRPr="004956D8">
        <w:rPr>
          <w:color w:val="000000"/>
        </w:rPr>
        <w:t xml:space="preserve">by </w:t>
      </w:r>
      <w:r w:rsidR="00C34D91">
        <w:rPr>
          <w:color w:val="000000"/>
        </w:rPr>
        <w:t>eight</w:t>
      </w:r>
      <w:r w:rsidRPr="004956D8">
        <w:rPr>
          <w:color w:val="0070C0"/>
        </w:rPr>
        <w:t xml:space="preserve"> </w:t>
      </w:r>
      <w:r w:rsidRPr="004956D8">
        <w:t xml:space="preserve">of public health professionals. In the pilot test, the average time to complete the instrument including time for reviewing instructions, gathering needed information and completing the instrument, was </w:t>
      </w:r>
      <w:r w:rsidRPr="00982A0C">
        <w:t xml:space="preserve">approximately 30 minutes (range: 20  – 35). For the purposes </w:t>
      </w:r>
      <w:r w:rsidRPr="004956D8">
        <w:t>of estimating burden hours, the upper limit of this range (i.e., 35</w:t>
      </w:r>
      <w:r w:rsidRPr="004956D8">
        <w:rPr>
          <w:color w:val="0070C0"/>
        </w:rPr>
        <w:t xml:space="preserve"> </w:t>
      </w:r>
      <w:r w:rsidRPr="004956D8">
        <w:t>minutes) is used.</w:t>
      </w:r>
    </w:p>
    <w:p w14:paraId="49518477" w14:textId="77777777" w:rsidR="007A177A" w:rsidRPr="004956D8" w:rsidRDefault="007A177A" w:rsidP="007A177A">
      <w:pPr>
        <w:ind w:left="0"/>
      </w:pPr>
    </w:p>
    <w:p w14:paraId="5753A218" w14:textId="71E9FDB6" w:rsidR="007A177A" w:rsidRPr="00982A0C" w:rsidRDefault="007A177A" w:rsidP="007A177A">
      <w:pPr>
        <w:ind w:left="360"/>
      </w:pPr>
      <w:r w:rsidRPr="004956D8">
        <w:t>Estimates for the average hourly wage for respondents are based on the Department of Labor (DOL) Bureau of Labor Statistics for occupational employment for</w:t>
      </w:r>
      <w:r w:rsidRPr="004956D8">
        <w:rPr>
          <w:color w:val="0070C0"/>
        </w:rPr>
        <w:t xml:space="preserve">  </w:t>
      </w:r>
      <w:r w:rsidRPr="00982A0C">
        <w:t xml:space="preserve">Emergency Management Directors (State and Local Government) </w:t>
      </w:r>
      <w:hyperlink r:id="rId14" w:history="1">
        <w:r w:rsidRPr="004956D8">
          <w:rPr>
            <w:rStyle w:val="Hyperlink"/>
          </w:rPr>
          <w:t>http://www.bls.gov/oes/current/oes_nat.htm</w:t>
        </w:r>
      </w:hyperlink>
      <w:r w:rsidRPr="004956D8">
        <w:t xml:space="preserve">.  Based on DOL data, an average hourly </w:t>
      </w:r>
      <w:r w:rsidRPr="00982A0C">
        <w:t xml:space="preserve">wage of $30.98 is estimated for all </w:t>
      </w:r>
      <w:r w:rsidR="00266AB9" w:rsidRPr="00982A0C">
        <w:t>50</w:t>
      </w:r>
      <w:r w:rsidRPr="00982A0C">
        <w:t xml:space="preserve"> respondents from state</w:t>
      </w:r>
      <w:r w:rsidR="00266AB9" w:rsidRPr="00982A0C">
        <w:t xml:space="preserve"> </w:t>
      </w:r>
      <w:r w:rsidRPr="00982A0C">
        <w:t xml:space="preserve">health departments, </w:t>
      </w:r>
      <w:r w:rsidR="00266AB9" w:rsidRPr="00982A0C">
        <w:t xml:space="preserve">$30.98 is estimated for all 8 respondents from territorial health departments, </w:t>
      </w:r>
      <w:r w:rsidRPr="00982A0C">
        <w:t>and $35.58 is estimated for all 50</w:t>
      </w:r>
      <w:r w:rsidR="00266AB9" w:rsidRPr="00982A0C">
        <w:t>4</w:t>
      </w:r>
      <w:r w:rsidRPr="00982A0C">
        <w:t xml:space="preserve"> respondents from local health departments. Table A-12 shows estimated burden and cost information.</w:t>
      </w:r>
    </w:p>
    <w:p w14:paraId="3E7E5CE4" w14:textId="77777777" w:rsidR="007A177A" w:rsidRPr="00982A0C" w:rsidRDefault="007A177A" w:rsidP="007A177A">
      <w:pPr>
        <w:ind w:left="360"/>
      </w:pPr>
    </w:p>
    <w:p w14:paraId="10BE7F6E" w14:textId="2BB7327B" w:rsidR="007A177A" w:rsidRPr="00982A0C" w:rsidRDefault="007A177A" w:rsidP="007A177A">
      <w:pPr>
        <w:ind w:left="360"/>
        <w:rPr>
          <w:rFonts w:ascii="Cambria" w:hAnsi="Cambria"/>
        </w:rPr>
      </w:pPr>
      <w:r w:rsidRPr="00982A0C">
        <w:rPr>
          <w:rFonts w:ascii="Cambria" w:hAnsi="Cambria"/>
        </w:rPr>
        <w:t>There will be a total of 562 respondents and 562 responses.</w:t>
      </w:r>
    </w:p>
    <w:p w14:paraId="2E1866D6" w14:textId="77777777" w:rsidR="007A177A" w:rsidRPr="00982A0C" w:rsidRDefault="007A177A" w:rsidP="007A177A">
      <w:pPr>
        <w:ind w:left="360"/>
      </w:pPr>
    </w:p>
    <w:p w14:paraId="4D0D057D" w14:textId="77777777" w:rsidR="00E41812"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07987158" w14:textId="77777777" w:rsidR="005A59E5" w:rsidRDefault="005A59E5" w:rsidP="008B65FF">
      <w:pPr>
        <w:pStyle w:val="ListParagraph"/>
        <w:ind w:left="360"/>
      </w:pPr>
    </w:p>
    <w:tbl>
      <w:tblPr>
        <w:tblW w:w="103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007A177A" w:rsidRPr="00C55460" w14:paraId="4C4738BB" w14:textId="77777777" w:rsidTr="007A177A">
        <w:trPr>
          <w:trHeight w:val="1493"/>
        </w:trPr>
        <w:tc>
          <w:tcPr>
            <w:tcW w:w="1350" w:type="dxa"/>
            <w:shd w:val="clear" w:color="auto" w:fill="D9D9D9" w:themeFill="background1" w:themeFillShade="D9"/>
          </w:tcPr>
          <w:p w14:paraId="364BB252" w14:textId="77777777" w:rsidR="007A177A" w:rsidRPr="004956D8" w:rsidRDefault="007A177A" w:rsidP="00D65328">
            <w:pPr>
              <w:ind w:left="-18"/>
              <w:rPr>
                <w:b/>
                <w:sz w:val="20"/>
                <w:szCs w:val="20"/>
              </w:rPr>
            </w:pPr>
            <w:r w:rsidRPr="004956D8">
              <w:rPr>
                <w:b/>
                <w:sz w:val="20"/>
                <w:szCs w:val="20"/>
              </w:rPr>
              <w:t>Data collection Instrument: Form Name</w:t>
            </w:r>
          </w:p>
        </w:tc>
        <w:tc>
          <w:tcPr>
            <w:tcW w:w="1350" w:type="dxa"/>
            <w:shd w:val="clear" w:color="auto" w:fill="D9D9D9" w:themeFill="background1" w:themeFillShade="D9"/>
            <w:vAlign w:val="center"/>
          </w:tcPr>
          <w:p w14:paraId="1104C384" w14:textId="77777777" w:rsidR="007A177A" w:rsidRPr="004956D8" w:rsidRDefault="007A177A" w:rsidP="00D65328">
            <w:pPr>
              <w:ind w:left="-18"/>
              <w:rPr>
                <w:b/>
                <w:sz w:val="20"/>
                <w:szCs w:val="20"/>
              </w:rPr>
            </w:pPr>
            <w:r w:rsidRPr="004956D8">
              <w:rPr>
                <w:b/>
                <w:sz w:val="20"/>
                <w:szCs w:val="20"/>
              </w:rPr>
              <w:t>Type of Respondent</w:t>
            </w:r>
          </w:p>
        </w:tc>
        <w:tc>
          <w:tcPr>
            <w:tcW w:w="1440" w:type="dxa"/>
            <w:shd w:val="clear" w:color="auto" w:fill="D9D9D9" w:themeFill="background1" w:themeFillShade="D9"/>
            <w:vAlign w:val="center"/>
          </w:tcPr>
          <w:p w14:paraId="7ECD5C9E" w14:textId="77777777" w:rsidR="007A177A" w:rsidRPr="004956D8" w:rsidRDefault="007A177A" w:rsidP="00D65328">
            <w:pPr>
              <w:ind w:left="-18"/>
              <w:rPr>
                <w:b/>
                <w:sz w:val="20"/>
                <w:szCs w:val="20"/>
              </w:rPr>
            </w:pPr>
            <w:r w:rsidRPr="004956D8">
              <w:rPr>
                <w:b/>
                <w:sz w:val="20"/>
                <w:szCs w:val="20"/>
              </w:rPr>
              <w:t>No. of Respondents</w:t>
            </w:r>
          </w:p>
        </w:tc>
        <w:tc>
          <w:tcPr>
            <w:tcW w:w="1350" w:type="dxa"/>
            <w:shd w:val="clear" w:color="auto" w:fill="D9D9D9" w:themeFill="background1" w:themeFillShade="D9"/>
            <w:vAlign w:val="center"/>
          </w:tcPr>
          <w:p w14:paraId="2767060C" w14:textId="77777777" w:rsidR="007A177A" w:rsidRPr="004956D8" w:rsidRDefault="007A177A" w:rsidP="00D65328">
            <w:pPr>
              <w:ind w:left="-18"/>
              <w:rPr>
                <w:b/>
                <w:sz w:val="20"/>
                <w:szCs w:val="20"/>
              </w:rPr>
            </w:pPr>
            <w:r w:rsidRPr="004956D8">
              <w:rPr>
                <w:b/>
                <w:sz w:val="20"/>
                <w:szCs w:val="20"/>
              </w:rPr>
              <w:t>No. of Responses per Respondent</w:t>
            </w:r>
          </w:p>
        </w:tc>
        <w:tc>
          <w:tcPr>
            <w:tcW w:w="1350" w:type="dxa"/>
            <w:shd w:val="clear" w:color="auto" w:fill="D9D9D9" w:themeFill="background1" w:themeFillShade="D9"/>
            <w:vAlign w:val="center"/>
          </w:tcPr>
          <w:p w14:paraId="365FBC86" w14:textId="77777777" w:rsidR="007A177A" w:rsidRPr="004956D8" w:rsidRDefault="007A177A" w:rsidP="00D65328">
            <w:pPr>
              <w:ind w:left="-18"/>
              <w:rPr>
                <w:b/>
                <w:sz w:val="20"/>
                <w:szCs w:val="20"/>
              </w:rPr>
            </w:pPr>
            <w:r w:rsidRPr="004956D8">
              <w:rPr>
                <w:b/>
                <w:sz w:val="20"/>
                <w:szCs w:val="20"/>
              </w:rPr>
              <w:t>Average Burden per Response (in hours)</w:t>
            </w:r>
          </w:p>
        </w:tc>
        <w:tc>
          <w:tcPr>
            <w:tcW w:w="990" w:type="dxa"/>
            <w:shd w:val="clear" w:color="auto" w:fill="D9D9D9" w:themeFill="background1" w:themeFillShade="D9"/>
            <w:vAlign w:val="center"/>
          </w:tcPr>
          <w:p w14:paraId="11D02312" w14:textId="77777777" w:rsidR="007A177A" w:rsidRPr="004956D8" w:rsidRDefault="007A177A" w:rsidP="00D65328">
            <w:pPr>
              <w:ind w:left="-18"/>
              <w:rPr>
                <w:b/>
                <w:sz w:val="20"/>
                <w:szCs w:val="20"/>
              </w:rPr>
            </w:pPr>
            <w:r w:rsidRPr="004956D8">
              <w:rPr>
                <w:b/>
                <w:sz w:val="20"/>
                <w:szCs w:val="20"/>
              </w:rPr>
              <w:t>Total Burden Hours</w:t>
            </w:r>
          </w:p>
        </w:tc>
        <w:tc>
          <w:tcPr>
            <w:tcW w:w="1128" w:type="dxa"/>
            <w:shd w:val="clear" w:color="auto" w:fill="D9D9D9" w:themeFill="background1" w:themeFillShade="D9"/>
            <w:vAlign w:val="center"/>
          </w:tcPr>
          <w:p w14:paraId="78DE1A77" w14:textId="77777777" w:rsidR="007A177A" w:rsidRPr="004956D8" w:rsidRDefault="007A177A" w:rsidP="00D65328">
            <w:pPr>
              <w:ind w:left="-18"/>
              <w:rPr>
                <w:b/>
                <w:sz w:val="20"/>
                <w:szCs w:val="20"/>
              </w:rPr>
            </w:pPr>
            <w:r w:rsidRPr="004956D8">
              <w:rPr>
                <w:b/>
                <w:sz w:val="20"/>
                <w:szCs w:val="20"/>
              </w:rPr>
              <w:t>Hourly Wage Rate</w:t>
            </w:r>
          </w:p>
        </w:tc>
        <w:tc>
          <w:tcPr>
            <w:tcW w:w="1350" w:type="dxa"/>
            <w:shd w:val="clear" w:color="auto" w:fill="D9D9D9" w:themeFill="background1" w:themeFillShade="D9"/>
            <w:vAlign w:val="center"/>
          </w:tcPr>
          <w:p w14:paraId="7BAA3885" w14:textId="77777777" w:rsidR="007A177A" w:rsidRPr="004956D8" w:rsidRDefault="007A177A" w:rsidP="00D65328">
            <w:pPr>
              <w:ind w:left="-18"/>
              <w:rPr>
                <w:b/>
                <w:sz w:val="20"/>
                <w:szCs w:val="20"/>
              </w:rPr>
            </w:pPr>
            <w:r w:rsidRPr="004956D8">
              <w:rPr>
                <w:b/>
                <w:sz w:val="20"/>
                <w:szCs w:val="20"/>
              </w:rPr>
              <w:t>Total Respondent Costs</w:t>
            </w:r>
          </w:p>
        </w:tc>
      </w:tr>
      <w:tr w:rsidR="007A177A" w:rsidRPr="00C55460" w14:paraId="19A689D0" w14:textId="77777777" w:rsidTr="007A177A">
        <w:tc>
          <w:tcPr>
            <w:tcW w:w="1350" w:type="dxa"/>
          </w:tcPr>
          <w:p w14:paraId="635845DB" w14:textId="3531F145" w:rsidR="007A177A" w:rsidRPr="00982A0C" w:rsidRDefault="00266AB9" w:rsidP="00266AB9">
            <w:pPr>
              <w:ind w:left="0"/>
              <w:rPr>
                <w:sz w:val="20"/>
                <w:szCs w:val="20"/>
              </w:rPr>
            </w:pPr>
            <w:r w:rsidRPr="00982A0C">
              <w:rPr>
                <w:sz w:val="20"/>
                <w:szCs w:val="20"/>
              </w:rPr>
              <w:t xml:space="preserve">Assessment </w:t>
            </w:r>
            <w:r w:rsidR="007A177A" w:rsidRPr="00982A0C">
              <w:rPr>
                <w:sz w:val="20"/>
                <w:szCs w:val="20"/>
              </w:rPr>
              <w:t>Instrument</w:t>
            </w:r>
          </w:p>
        </w:tc>
        <w:tc>
          <w:tcPr>
            <w:tcW w:w="1350" w:type="dxa"/>
          </w:tcPr>
          <w:p w14:paraId="4C7CE04A" w14:textId="362E2507" w:rsidR="007A177A" w:rsidRPr="00982A0C" w:rsidRDefault="007A177A" w:rsidP="00266AB9">
            <w:pPr>
              <w:ind w:left="0"/>
              <w:rPr>
                <w:sz w:val="20"/>
                <w:szCs w:val="20"/>
              </w:rPr>
            </w:pPr>
            <w:r w:rsidRPr="00982A0C">
              <w:rPr>
                <w:sz w:val="20"/>
                <w:szCs w:val="20"/>
              </w:rPr>
              <w:t xml:space="preserve">State </w:t>
            </w:r>
            <w:r w:rsidR="00266AB9" w:rsidRPr="00982A0C">
              <w:rPr>
                <w:sz w:val="20"/>
                <w:szCs w:val="20"/>
              </w:rPr>
              <w:t xml:space="preserve">health departments </w:t>
            </w:r>
          </w:p>
        </w:tc>
        <w:tc>
          <w:tcPr>
            <w:tcW w:w="1440" w:type="dxa"/>
          </w:tcPr>
          <w:p w14:paraId="6DB548C7" w14:textId="7F9D2D60" w:rsidR="007A177A" w:rsidRPr="00982A0C" w:rsidRDefault="00266AB9" w:rsidP="00D65328">
            <w:pPr>
              <w:ind w:left="0"/>
              <w:rPr>
                <w:sz w:val="20"/>
                <w:szCs w:val="20"/>
              </w:rPr>
            </w:pPr>
            <w:r w:rsidRPr="00982A0C">
              <w:rPr>
                <w:sz w:val="20"/>
                <w:szCs w:val="20"/>
              </w:rPr>
              <w:t>50</w:t>
            </w:r>
          </w:p>
        </w:tc>
        <w:tc>
          <w:tcPr>
            <w:tcW w:w="1350" w:type="dxa"/>
          </w:tcPr>
          <w:p w14:paraId="5EB5E896" w14:textId="77777777" w:rsidR="007A177A" w:rsidRPr="00982A0C" w:rsidRDefault="007A177A" w:rsidP="00D65328">
            <w:pPr>
              <w:ind w:left="0"/>
              <w:rPr>
                <w:sz w:val="20"/>
                <w:szCs w:val="20"/>
              </w:rPr>
            </w:pPr>
            <w:r w:rsidRPr="00982A0C">
              <w:rPr>
                <w:sz w:val="20"/>
                <w:szCs w:val="20"/>
              </w:rPr>
              <w:t>1</w:t>
            </w:r>
          </w:p>
        </w:tc>
        <w:tc>
          <w:tcPr>
            <w:tcW w:w="1350" w:type="dxa"/>
          </w:tcPr>
          <w:p w14:paraId="03A8AAB9" w14:textId="77777777" w:rsidR="007A177A" w:rsidRPr="00982A0C" w:rsidRDefault="007A177A" w:rsidP="00D65328">
            <w:pPr>
              <w:ind w:left="0"/>
              <w:rPr>
                <w:sz w:val="20"/>
                <w:szCs w:val="20"/>
              </w:rPr>
            </w:pPr>
            <w:r w:rsidRPr="00982A0C">
              <w:rPr>
                <w:sz w:val="20"/>
                <w:szCs w:val="20"/>
              </w:rPr>
              <w:t xml:space="preserve">35 / 60 </w:t>
            </w:r>
          </w:p>
        </w:tc>
        <w:tc>
          <w:tcPr>
            <w:tcW w:w="990" w:type="dxa"/>
          </w:tcPr>
          <w:p w14:paraId="78AA21B8" w14:textId="4BE2B21D" w:rsidR="007A177A" w:rsidRPr="00982A0C" w:rsidRDefault="00266AB9" w:rsidP="00D65328">
            <w:pPr>
              <w:ind w:left="0"/>
              <w:rPr>
                <w:sz w:val="20"/>
                <w:szCs w:val="20"/>
              </w:rPr>
            </w:pPr>
            <w:r w:rsidRPr="00982A0C">
              <w:rPr>
                <w:sz w:val="20"/>
                <w:szCs w:val="20"/>
              </w:rPr>
              <w:t>29</w:t>
            </w:r>
          </w:p>
        </w:tc>
        <w:tc>
          <w:tcPr>
            <w:tcW w:w="1128" w:type="dxa"/>
          </w:tcPr>
          <w:p w14:paraId="31DC779F" w14:textId="77777777" w:rsidR="007A177A" w:rsidRPr="00982A0C" w:rsidRDefault="007A177A" w:rsidP="00D65328">
            <w:pPr>
              <w:ind w:left="0"/>
              <w:rPr>
                <w:sz w:val="20"/>
                <w:szCs w:val="20"/>
              </w:rPr>
            </w:pPr>
            <w:r w:rsidRPr="00982A0C">
              <w:rPr>
                <w:sz w:val="20"/>
                <w:szCs w:val="20"/>
              </w:rPr>
              <w:t>$30.98</w:t>
            </w:r>
          </w:p>
        </w:tc>
        <w:tc>
          <w:tcPr>
            <w:tcW w:w="1350" w:type="dxa"/>
          </w:tcPr>
          <w:p w14:paraId="71E5D843" w14:textId="52D7CE49" w:rsidR="007A177A" w:rsidRPr="004956D8" w:rsidRDefault="007A177A" w:rsidP="002523A6">
            <w:pPr>
              <w:ind w:left="0"/>
              <w:rPr>
                <w:sz w:val="20"/>
                <w:szCs w:val="20"/>
              </w:rPr>
            </w:pPr>
            <w:r w:rsidRPr="004956D8">
              <w:rPr>
                <w:sz w:val="20"/>
                <w:szCs w:val="20"/>
              </w:rPr>
              <w:t>$</w:t>
            </w:r>
            <w:r w:rsidR="002523A6">
              <w:rPr>
                <w:sz w:val="20"/>
                <w:szCs w:val="20"/>
              </w:rPr>
              <w:t>898</w:t>
            </w:r>
          </w:p>
        </w:tc>
      </w:tr>
      <w:tr w:rsidR="00266AB9" w:rsidRPr="00C55460" w14:paraId="2E5FCB95" w14:textId="77777777" w:rsidTr="007A177A">
        <w:tc>
          <w:tcPr>
            <w:tcW w:w="1350" w:type="dxa"/>
          </w:tcPr>
          <w:p w14:paraId="63C9EBB4" w14:textId="7449629D" w:rsidR="00266AB9" w:rsidRPr="00982A0C" w:rsidRDefault="00266AB9" w:rsidP="00C34D91">
            <w:pPr>
              <w:ind w:left="0"/>
              <w:rPr>
                <w:sz w:val="20"/>
                <w:szCs w:val="20"/>
              </w:rPr>
            </w:pPr>
            <w:r w:rsidRPr="00982A0C">
              <w:rPr>
                <w:sz w:val="20"/>
                <w:szCs w:val="20"/>
              </w:rPr>
              <w:t>Assessment Instrument</w:t>
            </w:r>
          </w:p>
        </w:tc>
        <w:tc>
          <w:tcPr>
            <w:tcW w:w="1350" w:type="dxa"/>
          </w:tcPr>
          <w:p w14:paraId="54643899" w14:textId="4D3E2F17" w:rsidR="00266AB9" w:rsidRPr="00982A0C" w:rsidRDefault="00266AB9" w:rsidP="00266AB9">
            <w:pPr>
              <w:ind w:left="0"/>
              <w:rPr>
                <w:sz w:val="20"/>
                <w:szCs w:val="20"/>
              </w:rPr>
            </w:pPr>
            <w:r w:rsidRPr="00982A0C">
              <w:rPr>
                <w:sz w:val="20"/>
                <w:szCs w:val="20"/>
              </w:rPr>
              <w:t>Territorial health departments</w:t>
            </w:r>
          </w:p>
        </w:tc>
        <w:tc>
          <w:tcPr>
            <w:tcW w:w="1440" w:type="dxa"/>
          </w:tcPr>
          <w:p w14:paraId="23DC281D" w14:textId="65A17020" w:rsidR="00266AB9" w:rsidRPr="00982A0C" w:rsidRDefault="00266AB9" w:rsidP="00D65328">
            <w:pPr>
              <w:ind w:left="0"/>
              <w:rPr>
                <w:sz w:val="20"/>
                <w:szCs w:val="20"/>
              </w:rPr>
            </w:pPr>
            <w:r w:rsidRPr="00982A0C">
              <w:rPr>
                <w:sz w:val="20"/>
                <w:szCs w:val="20"/>
              </w:rPr>
              <w:t>8</w:t>
            </w:r>
          </w:p>
        </w:tc>
        <w:tc>
          <w:tcPr>
            <w:tcW w:w="1350" w:type="dxa"/>
          </w:tcPr>
          <w:p w14:paraId="4FFBB4E7" w14:textId="40637167" w:rsidR="00266AB9" w:rsidRPr="00982A0C" w:rsidRDefault="00266AB9" w:rsidP="00D65328">
            <w:pPr>
              <w:ind w:left="0"/>
              <w:rPr>
                <w:sz w:val="20"/>
                <w:szCs w:val="20"/>
              </w:rPr>
            </w:pPr>
            <w:r w:rsidRPr="00982A0C">
              <w:rPr>
                <w:sz w:val="20"/>
                <w:szCs w:val="20"/>
              </w:rPr>
              <w:t>1</w:t>
            </w:r>
          </w:p>
        </w:tc>
        <w:tc>
          <w:tcPr>
            <w:tcW w:w="1350" w:type="dxa"/>
          </w:tcPr>
          <w:p w14:paraId="0657EFFE" w14:textId="42026099" w:rsidR="00266AB9" w:rsidRPr="00982A0C" w:rsidRDefault="00266AB9" w:rsidP="00D65328">
            <w:pPr>
              <w:ind w:left="0"/>
              <w:rPr>
                <w:sz w:val="20"/>
                <w:szCs w:val="20"/>
              </w:rPr>
            </w:pPr>
            <w:r w:rsidRPr="00982A0C">
              <w:rPr>
                <w:sz w:val="20"/>
                <w:szCs w:val="20"/>
              </w:rPr>
              <w:t>35 / 60</w:t>
            </w:r>
          </w:p>
        </w:tc>
        <w:tc>
          <w:tcPr>
            <w:tcW w:w="990" w:type="dxa"/>
          </w:tcPr>
          <w:p w14:paraId="769E903A" w14:textId="7040A1CC" w:rsidR="00266AB9" w:rsidRPr="00982A0C" w:rsidRDefault="00266AB9" w:rsidP="00D65328">
            <w:pPr>
              <w:ind w:left="0"/>
              <w:rPr>
                <w:sz w:val="20"/>
                <w:szCs w:val="20"/>
              </w:rPr>
            </w:pPr>
            <w:r w:rsidRPr="00982A0C">
              <w:rPr>
                <w:sz w:val="20"/>
                <w:szCs w:val="20"/>
              </w:rPr>
              <w:t>5</w:t>
            </w:r>
          </w:p>
        </w:tc>
        <w:tc>
          <w:tcPr>
            <w:tcW w:w="1128" w:type="dxa"/>
          </w:tcPr>
          <w:p w14:paraId="3C1000AC" w14:textId="28DD6022" w:rsidR="00266AB9" w:rsidRPr="00982A0C" w:rsidRDefault="00266AB9" w:rsidP="00D65328">
            <w:pPr>
              <w:ind w:left="0"/>
              <w:rPr>
                <w:sz w:val="20"/>
                <w:szCs w:val="20"/>
              </w:rPr>
            </w:pPr>
            <w:r w:rsidRPr="00982A0C">
              <w:rPr>
                <w:sz w:val="20"/>
                <w:szCs w:val="20"/>
              </w:rPr>
              <w:t>$30.98</w:t>
            </w:r>
          </w:p>
        </w:tc>
        <w:tc>
          <w:tcPr>
            <w:tcW w:w="1350" w:type="dxa"/>
          </w:tcPr>
          <w:p w14:paraId="4CF6AD36" w14:textId="59463FCB" w:rsidR="00266AB9" w:rsidRPr="004956D8" w:rsidRDefault="002523A6" w:rsidP="00D65328">
            <w:pPr>
              <w:ind w:left="0"/>
              <w:rPr>
                <w:sz w:val="20"/>
                <w:szCs w:val="20"/>
              </w:rPr>
            </w:pPr>
            <w:r>
              <w:rPr>
                <w:sz w:val="20"/>
                <w:szCs w:val="20"/>
              </w:rPr>
              <w:t>$155</w:t>
            </w:r>
          </w:p>
        </w:tc>
      </w:tr>
      <w:tr w:rsidR="007A177A" w:rsidRPr="00C55460" w14:paraId="1F7014AA" w14:textId="77777777" w:rsidTr="007A177A">
        <w:tc>
          <w:tcPr>
            <w:tcW w:w="1350" w:type="dxa"/>
          </w:tcPr>
          <w:p w14:paraId="2501B3A0" w14:textId="187A9305" w:rsidR="007A177A" w:rsidRPr="00982A0C" w:rsidRDefault="00266AB9" w:rsidP="00C34D91">
            <w:pPr>
              <w:ind w:left="0"/>
              <w:rPr>
                <w:sz w:val="20"/>
                <w:szCs w:val="20"/>
              </w:rPr>
            </w:pPr>
            <w:r w:rsidRPr="00982A0C">
              <w:rPr>
                <w:sz w:val="20"/>
                <w:szCs w:val="20"/>
              </w:rPr>
              <w:t xml:space="preserve">Assessment </w:t>
            </w:r>
            <w:r w:rsidR="007A177A" w:rsidRPr="00982A0C">
              <w:rPr>
                <w:sz w:val="20"/>
                <w:szCs w:val="20"/>
              </w:rPr>
              <w:t>Instrument</w:t>
            </w:r>
          </w:p>
        </w:tc>
        <w:tc>
          <w:tcPr>
            <w:tcW w:w="1350" w:type="dxa"/>
          </w:tcPr>
          <w:p w14:paraId="4D54CA68" w14:textId="3166F03F" w:rsidR="007A177A" w:rsidRPr="00982A0C" w:rsidRDefault="007A177A" w:rsidP="00266AB9">
            <w:pPr>
              <w:ind w:left="0"/>
              <w:rPr>
                <w:sz w:val="20"/>
                <w:szCs w:val="20"/>
              </w:rPr>
            </w:pPr>
            <w:r w:rsidRPr="00982A0C">
              <w:rPr>
                <w:sz w:val="20"/>
                <w:szCs w:val="20"/>
              </w:rPr>
              <w:t xml:space="preserve">Local </w:t>
            </w:r>
            <w:r w:rsidR="00C34D91" w:rsidRPr="00982A0C">
              <w:rPr>
                <w:sz w:val="20"/>
                <w:szCs w:val="20"/>
              </w:rPr>
              <w:t>health department</w:t>
            </w:r>
            <w:r w:rsidR="00266AB9" w:rsidRPr="00982A0C">
              <w:rPr>
                <w:sz w:val="20"/>
                <w:szCs w:val="20"/>
              </w:rPr>
              <w:t>s</w:t>
            </w:r>
          </w:p>
        </w:tc>
        <w:tc>
          <w:tcPr>
            <w:tcW w:w="1440" w:type="dxa"/>
          </w:tcPr>
          <w:p w14:paraId="48E5C3FC" w14:textId="3C11B8DC" w:rsidR="007A177A" w:rsidRPr="00982A0C" w:rsidRDefault="007A177A" w:rsidP="00D65328">
            <w:pPr>
              <w:ind w:left="0"/>
              <w:rPr>
                <w:sz w:val="20"/>
                <w:szCs w:val="20"/>
              </w:rPr>
            </w:pPr>
            <w:r w:rsidRPr="00982A0C">
              <w:rPr>
                <w:sz w:val="20"/>
                <w:szCs w:val="20"/>
              </w:rPr>
              <w:t>50</w:t>
            </w:r>
            <w:r w:rsidR="00266AB9" w:rsidRPr="00982A0C">
              <w:rPr>
                <w:sz w:val="20"/>
                <w:szCs w:val="20"/>
              </w:rPr>
              <w:t>4</w:t>
            </w:r>
          </w:p>
        </w:tc>
        <w:tc>
          <w:tcPr>
            <w:tcW w:w="1350" w:type="dxa"/>
          </w:tcPr>
          <w:p w14:paraId="319C69F9" w14:textId="77777777" w:rsidR="007A177A" w:rsidRPr="00982A0C" w:rsidRDefault="007A177A" w:rsidP="00D65328">
            <w:pPr>
              <w:ind w:left="0"/>
              <w:rPr>
                <w:sz w:val="20"/>
                <w:szCs w:val="20"/>
              </w:rPr>
            </w:pPr>
            <w:r w:rsidRPr="00982A0C">
              <w:rPr>
                <w:sz w:val="20"/>
                <w:szCs w:val="20"/>
              </w:rPr>
              <w:t>1</w:t>
            </w:r>
          </w:p>
        </w:tc>
        <w:tc>
          <w:tcPr>
            <w:tcW w:w="1350" w:type="dxa"/>
          </w:tcPr>
          <w:p w14:paraId="589A3D9D" w14:textId="77777777" w:rsidR="007A177A" w:rsidRPr="00982A0C" w:rsidRDefault="007A177A" w:rsidP="00D65328">
            <w:pPr>
              <w:ind w:left="0"/>
              <w:rPr>
                <w:sz w:val="20"/>
                <w:szCs w:val="20"/>
              </w:rPr>
            </w:pPr>
            <w:r w:rsidRPr="00982A0C">
              <w:rPr>
                <w:sz w:val="20"/>
                <w:szCs w:val="20"/>
              </w:rPr>
              <w:t xml:space="preserve">35 / 60 </w:t>
            </w:r>
          </w:p>
        </w:tc>
        <w:tc>
          <w:tcPr>
            <w:tcW w:w="990" w:type="dxa"/>
          </w:tcPr>
          <w:p w14:paraId="303A86CE" w14:textId="0EEDB0CF" w:rsidR="007A177A" w:rsidRPr="00982A0C" w:rsidRDefault="007A177A" w:rsidP="00D65328">
            <w:pPr>
              <w:ind w:left="0"/>
              <w:rPr>
                <w:sz w:val="20"/>
                <w:szCs w:val="20"/>
              </w:rPr>
            </w:pPr>
            <w:r w:rsidRPr="00982A0C">
              <w:rPr>
                <w:sz w:val="20"/>
                <w:szCs w:val="20"/>
              </w:rPr>
              <w:t>29</w:t>
            </w:r>
            <w:r w:rsidR="00266AB9" w:rsidRPr="00982A0C">
              <w:rPr>
                <w:sz w:val="20"/>
                <w:szCs w:val="20"/>
              </w:rPr>
              <w:t>4</w:t>
            </w:r>
          </w:p>
        </w:tc>
        <w:tc>
          <w:tcPr>
            <w:tcW w:w="1128" w:type="dxa"/>
          </w:tcPr>
          <w:p w14:paraId="50524D59" w14:textId="77777777" w:rsidR="007A177A" w:rsidRPr="00982A0C" w:rsidRDefault="007A177A" w:rsidP="00D65328">
            <w:pPr>
              <w:ind w:left="0"/>
              <w:rPr>
                <w:sz w:val="20"/>
                <w:szCs w:val="20"/>
              </w:rPr>
            </w:pPr>
            <w:r w:rsidRPr="00982A0C">
              <w:rPr>
                <w:sz w:val="20"/>
                <w:szCs w:val="20"/>
              </w:rPr>
              <w:t>$35.58</w:t>
            </w:r>
          </w:p>
        </w:tc>
        <w:tc>
          <w:tcPr>
            <w:tcW w:w="1350" w:type="dxa"/>
          </w:tcPr>
          <w:p w14:paraId="006E383C" w14:textId="4FA4A35B" w:rsidR="007A177A" w:rsidRPr="004956D8" w:rsidRDefault="007A177A" w:rsidP="00266AB9">
            <w:pPr>
              <w:ind w:left="0"/>
              <w:rPr>
                <w:sz w:val="20"/>
                <w:szCs w:val="20"/>
              </w:rPr>
            </w:pPr>
            <w:r w:rsidRPr="004956D8">
              <w:rPr>
                <w:sz w:val="20"/>
                <w:szCs w:val="20"/>
              </w:rPr>
              <w:t>$10,</w:t>
            </w:r>
            <w:r w:rsidR="00266AB9">
              <w:rPr>
                <w:sz w:val="20"/>
                <w:szCs w:val="20"/>
              </w:rPr>
              <w:t>461</w:t>
            </w:r>
          </w:p>
        </w:tc>
      </w:tr>
      <w:tr w:rsidR="007A177A" w:rsidRPr="006F6856" w14:paraId="2E712545" w14:textId="77777777" w:rsidTr="007A177A">
        <w:trPr>
          <w:trHeight w:hRule="exact" w:val="1072"/>
        </w:trPr>
        <w:tc>
          <w:tcPr>
            <w:tcW w:w="1350" w:type="dxa"/>
          </w:tcPr>
          <w:p w14:paraId="29D58072" w14:textId="77777777" w:rsidR="007A177A" w:rsidRPr="00982A0C" w:rsidRDefault="007A177A" w:rsidP="00D65328">
            <w:pPr>
              <w:ind w:left="0"/>
              <w:rPr>
                <w:b/>
                <w:sz w:val="20"/>
                <w:szCs w:val="20"/>
              </w:rPr>
            </w:pPr>
          </w:p>
        </w:tc>
        <w:tc>
          <w:tcPr>
            <w:tcW w:w="1350" w:type="dxa"/>
            <w:vAlign w:val="center"/>
          </w:tcPr>
          <w:p w14:paraId="7EAD6DB7" w14:textId="77777777" w:rsidR="007A177A" w:rsidRPr="00982A0C" w:rsidRDefault="007A177A" w:rsidP="00D65328">
            <w:pPr>
              <w:ind w:left="0"/>
              <w:rPr>
                <w:b/>
                <w:sz w:val="20"/>
                <w:szCs w:val="20"/>
              </w:rPr>
            </w:pPr>
            <w:r w:rsidRPr="00982A0C">
              <w:rPr>
                <w:b/>
                <w:sz w:val="20"/>
                <w:szCs w:val="20"/>
              </w:rPr>
              <w:t>TOTALS</w:t>
            </w:r>
          </w:p>
        </w:tc>
        <w:tc>
          <w:tcPr>
            <w:tcW w:w="1440" w:type="dxa"/>
            <w:vAlign w:val="center"/>
          </w:tcPr>
          <w:p w14:paraId="5E56F4EF" w14:textId="77777777" w:rsidR="007A177A" w:rsidRPr="00982A0C" w:rsidRDefault="007A177A" w:rsidP="00D65328">
            <w:pPr>
              <w:ind w:left="0"/>
              <w:rPr>
                <w:b/>
                <w:sz w:val="20"/>
                <w:szCs w:val="20"/>
              </w:rPr>
            </w:pPr>
            <w:r w:rsidRPr="00982A0C">
              <w:rPr>
                <w:b/>
                <w:sz w:val="20"/>
                <w:szCs w:val="20"/>
              </w:rPr>
              <w:t>562</w:t>
            </w:r>
          </w:p>
        </w:tc>
        <w:tc>
          <w:tcPr>
            <w:tcW w:w="1350" w:type="dxa"/>
            <w:shd w:val="clear" w:color="auto" w:fill="auto"/>
            <w:vAlign w:val="center"/>
          </w:tcPr>
          <w:p w14:paraId="48FF6930" w14:textId="77777777" w:rsidR="007A177A" w:rsidRPr="00982A0C" w:rsidRDefault="007A177A" w:rsidP="00D65328">
            <w:pPr>
              <w:ind w:left="0"/>
              <w:rPr>
                <w:b/>
                <w:sz w:val="20"/>
                <w:szCs w:val="20"/>
              </w:rPr>
            </w:pPr>
            <w:r w:rsidRPr="00982A0C">
              <w:rPr>
                <w:b/>
                <w:sz w:val="20"/>
                <w:szCs w:val="20"/>
              </w:rPr>
              <w:t>1</w:t>
            </w:r>
          </w:p>
        </w:tc>
        <w:tc>
          <w:tcPr>
            <w:tcW w:w="1350" w:type="dxa"/>
            <w:shd w:val="clear" w:color="auto" w:fill="D9D9D9" w:themeFill="background1" w:themeFillShade="D9"/>
            <w:vAlign w:val="center"/>
          </w:tcPr>
          <w:p w14:paraId="097333A7" w14:textId="77777777" w:rsidR="007A177A" w:rsidRPr="00982A0C" w:rsidRDefault="007A177A" w:rsidP="00D65328">
            <w:pPr>
              <w:ind w:left="0"/>
              <w:rPr>
                <w:b/>
                <w:sz w:val="20"/>
                <w:szCs w:val="20"/>
              </w:rPr>
            </w:pPr>
          </w:p>
        </w:tc>
        <w:tc>
          <w:tcPr>
            <w:tcW w:w="990" w:type="dxa"/>
            <w:vAlign w:val="center"/>
          </w:tcPr>
          <w:p w14:paraId="23913FA6" w14:textId="77777777" w:rsidR="007A177A" w:rsidRPr="00982A0C" w:rsidRDefault="007A177A" w:rsidP="00D65328">
            <w:pPr>
              <w:ind w:left="0"/>
              <w:rPr>
                <w:b/>
                <w:sz w:val="20"/>
                <w:szCs w:val="20"/>
              </w:rPr>
            </w:pPr>
            <w:r w:rsidRPr="00982A0C">
              <w:rPr>
                <w:b/>
                <w:sz w:val="20"/>
                <w:szCs w:val="20"/>
              </w:rPr>
              <w:t>328</w:t>
            </w:r>
          </w:p>
        </w:tc>
        <w:tc>
          <w:tcPr>
            <w:tcW w:w="1128" w:type="dxa"/>
            <w:shd w:val="clear" w:color="auto" w:fill="D9D9D9" w:themeFill="background1" w:themeFillShade="D9"/>
            <w:vAlign w:val="center"/>
          </w:tcPr>
          <w:p w14:paraId="16437CB4" w14:textId="77777777" w:rsidR="007A177A" w:rsidRPr="00982A0C" w:rsidRDefault="007A177A" w:rsidP="00D65328">
            <w:pPr>
              <w:ind w:left="0"/>
              <w:rPr>
                <w:b/>
                <w:sz w:val="20"/>
                <w:szCs w:val="20"/>
              </w:rPr>
            </w:pPr>
          </w:p>
        </w:tc>
        <w:tc>
          <w:tcPr>
            <w:tcW w:w="1350" w:type="dxa"/>
            <w:vAlign w:val="center"/>
          </w:tcPr>
          <w:p w14:paraId="3613BE1D" w14:textId="7A1BAFB3" w:rsidR="007A177A" w:rsidRPr="004F6AFA" w:rsidRDefault="007A177A" w:rsidP="002523A6">
            <w:pPr>
              <w:ind w:left="0"/>
              <w:rPr>
                <w:b/>
                <w:sz w:val="20"/>
                <w:szCs w:val="20"/>
              </w:rPr>
            </w:pPr>
            <w:r w:rsidRPr="004956D8">
              <w:rPr>
                <w:b/>
                <w:sz w:val="20"/>
                <w:szCs w:val="20"/>
              </w:rPr>
              <w:t>$1</w:t>
            </w:r>
            <w:r w:rsidR="002523A6">
              <w:rPr>
                <w:b/>
                <w:sz w:val="20"/>
                <w:szCs w:val="20"/>
              </w:rPr>
              <w:t>1,514</w:t>
            </w:r>
          </w:p>
        </w:tc>
      </w:tr>
    </w:tbl>
    <w:p w14:paraId="0A08B099" w14:textId="77777777" w:rsidR="00130D45" w:rsidRPr="004F6AFA" w:rsidRDefault="00130D45" w:rsidP="00383542">
      <w:pPr>
        <w:ind w:left="0"/>
      </w:pPr>
      <w:bookmarkStart w:id="18" w:name="_Toc427752826"/>
    </w:p>
    <w:p w14:paraId="0A6B8DFD" w14:textId="77777777" w:rsidR="00B12F51" w:rsidRPr="0088467A" w:rsidRDefault="0088467A" w:rsidP="00692DEB">
      <w:pPr>
        <w:pStyle w:val="Heading4"/>
      </w:pPr>
      <w:r w:rsidRPr="0088467A">
        <w:t>Estimates of Other Total Annual Cost Burden to Respondents or Record Keepers</w:t>
      </w:r>
      <w:bookmarkEnd w:id="18"/>
    </w:p>
    <w:p w14:paraId="5B32E36C" w14:textId="77777777"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4FBEF094" w14:textId="438E53DD" w:rsidR="00383542" w:rsidRDefault="00383542" w:rsidP="00692DEB">
      <w:pPr>
        <w:ind w:left="0"/>
      </w:pPr>
    </w:p>
    <w:p w14:paraId="6B2046D0"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47962F22" w14:textId="73ED8693" w:rsidR="007A177A" w:rsidRPr="00DB630C" w:rsidRDefault="007A177A" w:rsidP="007A177A">
      <w:pPr>
        <w:ind w:left="360"/>
      </w:pPr>
      <w:r w:rsidRPr="00DB630C">
        <w:rPr>
          <w:rFonts w:cs="Arial"/>
        </w:rPr>
        <w:t xml:space="preserve">There are no equipment or overhead costs. </w:t>
      </w:r>
      <w:r w:rsidRPr="00DB630C">
        <w:rPr>
          <w:rFonts w:cs="Arial"/>
          <w:color w:val="0070C0"/>
        </w:rPr>
        <w:t xml:space="preserve"> </w:t>
      </w:r>
      <w:r w:rsidRPr="00DB630C">
        <w:rPr>
          <w:rFonts w:cs="Arial"/>
        </w:rPr>
        <w:t xml:space="preserve">The only cost to the federal government would be the salary of CDC staff and contractor, NORC at the University of Chicago. NORC is developing the </w:t>
      </w:r>
      <w:r w:rsidR="00C34D91" w:rsidRPr="00DB630C">
        <w:rPr>
          <w:rFonts w:cs="Arial"/>
        </w:rPr>
        <w:t>web assessment</w:t>
      </w:r>
      <w:r w:rsidRPr="00DB630C">
        <w:rPr>
          <w:rFonts w:cs="Arial"/>
        </w:rPr>
        <w:t xml:space="preserve"> instrument, working with subcontract</w:t>
      </w:r>
      <w:r w:rsidR="00C34D91" w:rsidRPr="00DB630C">
        <w:rPr>
          <w:rFonts w:cs="Arial"/>
        </w:rPr>
        <w:t>or</w:t>
      </w:r>
      <w:r w:rsidRPr="00DB630C">
        <w:rPr>
          <w:rFonts w:cs="Arial"/>
        </w:rPr>
        <w:t xml:space="preserve">s ASTHO and NACCHO to develop the sample and field the </w:t>
      </w:r>
      <w:r w:rsidR="00C34D91" w:rsidRPr="00DB630C">
        <w:rPr>
          <w:rFonts w:cs="Arial"/>
        </w:rPr>
        <w:t>assessment</w:t>
      </w:r>
      <w:r w:rsidRPr="00DB630C">
        <w:rPr>
          <w:rFonts w:cs="Arial"/>
        </w:rPr>
        <w:t xml:space="preserve">, collecting data, performing data analysis, and developing reports. The total estimated cost to the federal </w:t>
      </w:r>
      <w:r w:rsidRPr="00982A0C">
        <w:rPr>
          <w:rFonts w:cs="Arial"/>
        </w:rPr>
        <w:t>government is $487,865</w:t>
      </w:r>
      <w:r w:rsidR="00982A0C">
        <w:rPr>
          <w:rFonts w:cs="Arial"/>
        </w:rPr>
        <w:t>.44</w:t>
      </w:r>
      <w:r w:rsidRPr="00982A0C">
        <w:rPr>
          <w:rFonts w:cs="Arial"/>
        </w:rPr>
        <w:t>. T</w:t>
      </w:r>
      <w:r w:rsidRPr="00DB630C">
        <w:rPr>
          <w:rFonts w:cs="Arial"/>
        </w:rPr>
        <w:t>able A-14 describes how this cost estimate was calculated.</w:t>
      </w:r>
    </w:p>
    <w:p w14:paraId="30A89C74" w14:textId="77777777" w:rsidR="008B65FF" w:rsidRPr="00DB630C" w:rsidRDefault="008B65FF" w:rsidP="008B65FF">
      <w:pPr>
        <w:ind w:left="360"/>
      </w:pPr>
    </w:p>
    <w:p w14:paraId="4F86E2A9" w14:textId="77777777" w:rsidR="003C31C9" w:rsidRPr="00DB630C" w:rsidRDefault="008E0683" w:rsidP="008B65FF">
      <w:pPr>
        <w:ind w:left="360"/>
      </w:pPr>
      <w:r w:rsidRPr="00DB630C">
        <w:rPr>
          <w:b/>
          <w:u w:val="single"/>
        </w:rPr>
        <w:t>Table A-14</w:t>
      </w:r>
      <w:r w:rsidRPr="00DB630C">
        <w:rPr>
          <w:b/>
        </w:rPr>
        <w:t>:</w:t>
      </w:r>
      <w:r w:rsidRPr="00DB630C">
        <w:t xml:space="preserve"> Estimated Annualized Cost to the Federal Government</w:t>
      </w:r>
    </w:p>
    <w:tbl>
      <w:tblPr>
        <w:tblStyle w:val="TableGrid"/>
        <w:tblW w:w="9360" w:type="dxa"/>
        <w:tblInd w:w="360" w:type="dxa"/>
        <w:tblLook w:val="04A0" w:firstRow="1" w:lastRow="0" w:firstColumn="1" w:lastColumn="0" w:noHBand="0" w:noVBand="1"/>
      </w:tblPr>
      <w:tblGrid>
        <w:gridCol w:w="3798"/>
        <w:gridCol w:w="1594"/>
        <w:gridCol w:w="1336"/>
        <w:gridCol w:w="236"/>
        <w:gridCol w:w="236"/>
        <w:gridCol w:w="2160"/>
      </w:tblGrid>
      <w:tr w:rsidR="007A177A" w:rsidRPr="00DB630C" w14:paraId="629B4673" w14:textId="77777777" w:rsidTr="006D0386">
        <w:trPr>
          <w:trHeight w:val="593"/>
        </w:trPr>
        <w:tc>
          <w:tcPr>
            <w:tcW w:w="3798" w:type="dxa"/>
            <w:tcBorders>
              <w:bottom w:val="single" w:sz="12" w:space="0" w:color="auto"/>
            </w:tcBorders>
            <w:shd w:val="clear" w:color="auto" w:fill="D9D9D9" w:themeFill="background1" w:themeFillShade="D9"/>
            <w:vAlign w:val="center"/>
          </w:tcPr>
          <w:p w14:paraId="19854829" w14:textId="77777777" w:rsidR="007A177A" w:rsidRPr="00DB630C" w:rsidRDefault="007A177A" w:rsidP="00D65328">
            <w:pPr>
              <w:ind w:left="0"/>
              <w:jc w:val="center"/>
              <w:rPr>
                <w:b/>
                <w:sz w:val="20"/>
                <w:szCs w:val="20"/>
              </w:rPr>
            </w:pPr>
            <w:r w:rsidRPr="00DB630C">
              <w:rPr>
                <w:b/>
                <w:sz w:val="20"/>
                <w:szCs w:val="20"/>
              </w:rPr>
              <w:t>Staff (FTE)</w:t>
            </w:r>
          </w:p>
        </w:tc>
        <w:tc>
          <w:tcPr>
            <w:tcW w:w="1594" w:type="dxa"/>
            <w:tcBorders>
              <w:bottom w:val="single" w:sz="12" w:space="0" w:color="auto"/>
            </w:tcBorders>
            <w:shd w:val="clear" w:color="auto" w:fill="D9D9D9" w:themeFill="background1" w:themeFillShade="D9"/>
            <w:vAlign w:val="center"/>
          </w:tcPr>
          <w:p w14:paraId="292DFAD4" w14:textId="77777777" w:rsidR="007A177A" w:rsidRPr="00DB630C" w:rsidRDefault="007A177A" w:rsidP="00D65328">
            <w:pPr>
              <w:ind w:left="0"/>
              <w:jc w:val="center"/>
              <w:rPr>
                <w:b/>
                <w:sz w:val="20"/>
                <w:szCs w:val="20"/>
              </w:rPr>
            </w:pPr>
            <w:r w:rsidRPr="00DB630C">
              <w:rPr>
                <w:b/>
                <w:sz w:val="20"/>
                <w:szCs w:val="20"/>
              </w:rPr>
              <w:t>Average Hours per Collection</w:t>
            </w:r>
          </w:p>
        </w:tc>
        <w:tc>
          <w:tcPr>
            <w:tcW w:w="1808" w:type="dxa"/>
            <w:gridSpan w:val="3"/>
            <w:tcBorders>
              <w:bottom w:val="single" w:sz="12" w:space="0" w:color="auto"/>
            </w:tcBorders>
            <w:shd w:val="clear" w:color="auto" w:fill="D9D9D9" w:themeFill="background1" w:themeFillShade="D9"/>
            <w:vAlign w:val="center"/>
          </w:tcPr>
          <w:p w14:paraId="63FC57C0" w14:textId="77777777" w:rsidR="007A177A" w:rsidRPr="00DB630C" w:rsidRDefault="007A177A" w:rsidP="00D65328">
            <w:pPr>
              <w:ind w:left="0"/>
              <w:jc w:val="center"/>
              <w:rPr>
                <w:b/>
                <w:sz w:val="20"/>
                <w:szCs w:val="20"/>
              </w:rPr>
            </w:pPr>
            <w:r w:rsidRPr="00DB630C">
              <w:rPr>
                <w:b/>
                <w:sz w:val="20"/>
                <w:szCs w:val="20"/>
              </w:rPr>
              <w:t>Average Hourly Rate</w:t>
            </w:r>
          </w:p>
        </w:tc>
        <w:tc>
          <w:tcPr>
            <w:tcW w:w="2160" w:type="dxa"/>
            <w:tcBorders>
              <w:bottom w:val="single" w:sz="12" w:space="0" w:color="auto"/>
            </w:tcBorders>
            <w:shd w:val="clear" w:color="auto" w:fill="D9D9D9" w:themeFill="background1" w:themeFillShade="D9"/>
            <w:vAlign w:val="center"/>
          </w:tcPr>
          <w:p w14:paraId="62BF5E8E" w14:textId="77777777" w:rsidR="007A177A" w:rsidRPr="00DB630C" w:rsidRDefault="007A177A" w:rsidP="00D65328">
            <w:pPr>
              <w:ind w:left="0"/>
              <w:jc w:val="center"/>
              <w:rPr>
                <w:b/>
                <w:sz w:val="20"/>
                <w:szCs w:val="20"/>
              </w:rPr>
            </w:pPr>
            <w:r w:rsidRPr="00DB630C">
              <w:rPr>
                <w:b/>
                <w:sz w:val="20"/>
                <w:szCs w:val="20"/>
              </w:rPr>
              <w:t>Total Average Cost</w:t>
            </w:r>
          </w:p>
        </w:tc>
      </w:tr>
      <w:tr w:rsidR="00982A0C" w:rsidRPr="00982A0C" w14:paraId="2E98CFE2" w14:textId="77777777" w:rsidTr="006D0386">
        <w:tc>
          <w:tcPr>
            <w:tcW w:w="3798" w:type="dxa"/>
            <w:tcBorders>
              <w:top w:val="single" w:sz="12" w:space="0" w:color="auto"/>
            </w:tcBorders>
          </w:tcPr>
          <w:p w14:paraId="79EA93F3" w14:textId="77777777" w:rsidR="007A177A" w:rsidRPr="00982A0C" w:rsidRDefault="007A177A" w:rsidP="006D0386">
            <w:pPr>
              <w:ind w:left="0"/>
              <w:rPr>
                <w:sz w:val="20"/>
                <w:szCs w:val="20"/>
              </w:rPr>
            </w:pPr>
            <w:r w:rsidRPr="00982A0C">
              <w:rPr>
                <w:sz w:val="20"/>
                <w:szCs w:val="20"/>
              </w:rPr>
              <w:t>CDC Project Director – GS-15, Step 10;</w:t>
            </w:r>
          </w:p>
          <w:p w14:paraId="373AB9E1" w14:textId="72A43C02" w:rsidR="007A177A" w:rsidRPr="00982A0C" w:rsidRDefault="007A177A" w:rsidP="006D0386">
            <w:pPr>
              <w:ind w:left="0"/>
            </w:pPr>
            <w:r w:rsidRPr="00982A0C">
              <w:rPr>
                <w:sz w:val="20"/>
              </w:rPr>
              <w:t xml:space="preserve">Develop project concept and proposal SOW; manage project on behalf of the Government; provide scientific input into </w:t>
            </w:r>
            <w:r w:rsidR="00C34D91" w:rsidRPr="00982A0C">
              <w:rPr>
                <w:sz w:val="20"/>
              </w:rPr>
              <w:t xml:space="preserve">assessment </w:t>
            </w:r>
            <w:r w:rsidRPr="00982A0C">
              <w:rPr>
                <w:sz w:val="20"/>
              </w:rPr>
              <w:t>development, interpretation of data, and communication of findings.</w:t>
            </w:r>
          </w:p>
        </w:tc>
        <w:tc>
          <w:tcPr>
            <w:tcW w:w="1594" w:type="dxa"/>
            <w:tcBorders>
              <w:top w:val="single" w:sz="12" w:space="0" w:color="auto"/>
            </w:tcBorders>
          </w:tcPr>
          <w:p w14:paraId="62F9B617" w14:textId="77777777" w:rsidR="007A177A" w:rsidRPr="00982A0C" w:rsidRDefault="007A177A" w:rsidP="00D65328">
            <w:pPr>
              <w:ind w:left="0"/>
              <w:jc w:val="center"/>
              <w:rPr>
                <w:sz w:val="20"/>
                <w:szCs w:val="20"/>
              </w:rPr>
            </w:pPr>
            <w:r w:rsidRPr="00982A0C">
              <w:rPr>
                <w:sz w:val="20"/>
                <w:szCs w:val="20"/>
              </w:rPr>
              <w:t>72</w:t>
            </w:r>
          </w:p>
        </w:tc>
        <w:tc>
          <w:tcPr>
            <w:tcW w:w="1808" w:type="dxa"/>
            <w:gridSpan w:val="3"/>
            <w:tcBorders>
              <w:top w:val="single" w:sz="12" w:space="0" w:color="auto"/>
            </w:tcBorders>
          </w:tcPr>
          <w:p w14:paraId="20CB89E4" w14:textId="77777777" w:rsidR="007A177A" w:rsidRPr="00982A0C" w:rsidRDefault="007A177A" w:rsidP="00D65328">
            <w:pPr>
              <w:ind w:left="0"/>
              <w:rPr>
                <w:sz w:val="20"/>
                <w:szCs w:val="20"/>
              </w:rPr>
            </w:pPr>
            <w:r w:rsidRPr="00982A0C">
              <w:rPr>
                <w:sz w:val="20"/>
                <w:szCs w:val="20"/>
              </w:rPr>
              <w:t>$110.15/hour</w:t>
            </w:r>
          </w:p>
        </w:tc>
        <w:tc>
          <w:tcPr>
            <w:tcW w:w="2160" w:type="dxa"/>
            <w:tcBorders>
              <w:top w:val="single" w:sz="12" w:space="0" w:color="auto"/>
            </w:tcBorders>
          </w:tcPr>
          <w:p w14:paraId="3B75BB22" w14:textId="77777777" w:rsidR="007A177A" w:rsidRPr="00982A0C" w:rsidRDefault="007A177A" w:rsidP="00D65328">
            <w:pPr>
              <w:ind w:left="0"/>
              <w:rPr>
                <w:sz w:val="20"/>
                <w:szCs w:val="20"/>
              </w:rPr>
            </w:pPr>
            <w:r w:rsidRPr="00982A0C">
              <w:rPr>
                <w:sz w:val="20"/>
                <w:szCs w:val="20"/>
              </w:rPr>
              <w:t>$7,930.80</w:t>
            </w:r>
          </w:p>
        </w:tc>
      </w:tr>
      <w:tr w:rsidR="00982A0C" w:rsidRPr="00982A0C" w14:paraId="6A747259" w14:textId="77777777" w:rsidTr="006D0386">
        <w:tc>
          <w:tcPr>
            <w:tcW w:w="3798" w:type="dxa"/>
            <w:tcBorders>
              <w:top w:val="single" w:sz="12" w:space="0" w:color="auto"/>
            </w:tcBorders>
          </w:tcPr>
          <w:p w14:paraId="4123FC9B" w14:textId="1667ED15" w:rsidR="007A177A" w:rsidRPr="00982A0C" w:rsidRDefault="007A177A" w:rsidP="006D0386">
            <w:pPr>
              <w:ind w:left="0"/>
              <w:rPr>
                <w:sz w:val="20"/>
                <w:szCs w:val="20"/>
              </w:rPr>
            </w:pPr>
            <w:r w:rsidRPr="00982A0C">
              <w:rPr>
                <w:sz w:val="20"/>
                <w:szCs w:val="20"/>
              </w:rPr>
              <w:t>ORISE Fellow – GS-11, Step 2 (equivalent):</w:t>
            </w:r>
            <w:r w:rsidR="006D0386">
              <w:rPr>
                <w:sz w:val="20"/>
                <w:szCs w:val="20"/>
              </w:rPr>
              <w:t xml:space="preserve"> </w:t>
            </w:r>
            <w:r w:rsidRPr="00982A0C">
              <w:rPr>
                <w:sz w:val="20"/>
              </w:rPr>
              <w:t xml:space="preserve">Provide input into </w:t>
            </w:r>
            <w:r w:rsidR="00C34D91" w:rsidRPr="00982A0C">
              <w:rPr>
                <w:sz w:val="20"/>
              </w:rPr>
              <w:t xml:space="preserve">assessment </w:t>
            </w:r>
            <w:r w:rsidRPr="00982A0C">
              <w:rPr>
                <w:sz w:val="20"/>
              </w:rPr>
              <w:t>development, literature review, data interpretation, and communication of findings.</w:t>
            </w:r>
          </w:p>
        </w:tc>
        <w:tc>
          <w:tcPr>
            <w:tcW w:w="1594" w:type="dxa"/>
            <w:tcBorders>
              <w:top w:val="single" w:sz="12" w:space="0" w:color="auto"/>
            </w:tcBorders>
          </w:tcPr>
          <w:p w14:paraId="1C9E8AB8" w14:textId="77777777" w:rsidR="007A177A" w:rsidRPr="00982A0C" w:rsidRDefault="007A177A" w:rsidP="00D65328">
            <w:pPr>
              <w:ind w:left="0"/>
              <w:jc w:val="center"/>
              <w:rPr>
                <w:sz w:val="20"/>
                <w:szCs w:val="20"/>
              </w:rPr>
            </w:pPr>
            <w:r w:rsidRPr="00982A0C">
              <w:rPr>
                <w:sz w:val="20"/>
                <w:szCs w:val="20"/>
              </w:rPr>
              <w:t>144</w:t>
            </w:r>
          </w:p>
        </w:tc>
        <w:tc>
          <w:tcPr>
            <w:tcW w:w="1808" w:type="dxa"/>
            <w:gridSpan w:val="3"/>
            <w:tcBorders>
              <w:top w:val="single" w:sz="12" w:space="0" w:color="auto"/>
            </w:tcBorders>
          </w:tcPr>
          <w:p w14:paraId="093C8878" w14:textId="77777777" w:rsidR="007A177A" w:rsidRPr="00982A0C" w:rsidRDefault="007A177A" w:rsidP="00D65328">
            <w:pPr>
              <w:ind w:left="0"/>
              <w:rPr>
                <w:sz w:val="20"/>
                <w:szCs w:val="20"/>
              </w:rPr>
            </w:pPr>
            <w:r w:rsidRPr="00982A0C">
              <w:rPr>
                <w:sz w:val="20"/>
                <w:szCs w:val="20"/>
              </w:rPr>
              <w:t>$44.56/hour</w:t>
            </w:r>
          </w:p>
        </w:tc>
        <w:tc>
          <w:tcPr>
            <w:tcW w:w="2160" w:type="dxa"/>
            <w:tcBorders>
              <w:top w:val="single" w:sz="12" w:space="0" w:color="auto"/>
            </w:tcBorders>
          </w:tcPr>
          <w:p w14:paraId="724C0BFA" w14:textId="77777777" w:rsidR="007A177A" w:rsidRPr="00982A0C" w:rsidRDefault="007A177A" w:rsidP="00D65328">
            <w:pPr>
              <w:ind w:left="0"/>
              <w:rPr>
                <w:sz w:val="20"/>
                <w:szCs w:val="20"/>
              </w:rPr>
            </w:pPr>
            <w:r w:rsidRPr="00982A0C">
              <w:rPr>
                <w:sz w:val="20"/>
                <w:szCs w:val="20"/>
              </w:rPr>
              <w:t>$6,416.64</w:t>
            </w:r>
          </w:p>
        </w:tc>
      </w:tr>
      <w:tr w:rsidR="00982A0C" w:rsidRPr="00982A0C" w14:paraId="3A4F96F8" w14:textId="77777777" w:rsidTr="006D0386">
        <w:tc>
          <w:tcPr>
            <w:tcW w:w="3798" w:type="dxa"/>
          </w:tcPr>
          <w:p w14:paraId="27F33F80" w14:textId="77777777" w:rsidR="00C63539" w:rsidRPr="00982A0C" w:rsidRDefault="00C63539" w:rsidP="006D0386">
            <w:pPr>
              <w:ind w:left="0"/>
              <w:rPr>
                <w:rFonts w:ascii="Calibri" w:hAnsi="Calibri"/>
                <w:sz w:val="20"/>
                <w:szCs w:val="20"/>
              </w:rPr>
            </w:pPr>
            <w:r w:rsidRPr="00982A0C">
              <w:rPr>
                <w:sz w:val="20"/>
                <w:szCs w:val="20"/>
              </w:rPr>
              <w:t>Contractor: NORC at the University of Chicago (5 staff)</w:t>
            </w:r>
          </w:p>
          <w:p w14:paraId="776D20AE" w14:textId="59FC96D6" w:rsidR="007A177A" w:rsidRPr="00982A0C" w:rsidRDefault="00C63539" w:rsidP="006D0386">
            <w:pPr>
              <w:ind w:left="0"/>
            </w:pPr>
            <w:r w:rsidRPr="00982A0C">
              <w:rPr>
                <w:sz w:val="20"/>
                <w:szCs w:val="20"/>
              </w:rPr>
              <w:t>Subcontractors: ASTHO (1 staff) and NACCHO (3 staff) – 9 total staff</w:t>
            </w:r>
          </w:p>
        </w:tc>
        <w:tc>
          <w:tcPr>
            <w:tcW w:w="1594" w:type="dxa"/>
          </w:tcPr>
          <w:p w14:paraId="308BB390" w14:textId="77777777" w:rsidR="007A177A" w:rsidRPr="00982A0C" w:rsidRDefault="007A177A" w:rsidP="00D65328">
            <w:pPr>
              <w:ind w:left="0"/>
              <w:jc w:val="center"/>
              <w:rPr>
                <w:sz w:val="20"/>
                <w:szCs w:val="20"/>
              </w:rPr>
            </w:pPr>
            <w:r w:rsidRPr="00982A0C">
              <w:rPr>
                <w:sz w:val="20"/>
                <w:szCs w:val="20"/>
              </w:rPr>
              <w:t>N/A</w:t>
            </w:r>
          </w:p>
        </w:tc>
        <w:tc>
          <w:tcPr>
            <w:tcW w:w="1808" w:type="dxa"/>
            <w:gridSpan w:val="3"/>
          </w:tcPr>
          <w:p w14:paraId="7A747AFE" w14:textId="77777777" w:rsidR="007A177A" w:rsidRPr="00982A0C" w:rsidRDefault="007A177A" w:rsidP="00D65328">
            <w:pPr>
              <w:ind w:left="0"/>
              <w:rPr>
                <w:sz w:val="20"/>
                <w:szCs w:val="20"/>
              </w:rPr>
            </w:pPr>
            <w:r w:rsidRPr="00982A0C">
              <w:rPr>
                <w:sz w:val="20"/>
                <w:szCs w:val="20"/>
              </w:rPr>
              <w:t>N/A</w:t>
            </w:r>
          </w:p>
        </w:tc>
        <w:tc>
          <w:tcPr>
            <w:tcW w:w="2160" w:type="dxa"/>
          </w:tcPr>
          <w:p w14:paraId="619F60C0" w14:textId="77777777" w:rsidR="007A177A" w:rsidRPr="00982A0C" w:rsidRDefault="007A177A" w:rsidP="00D65328">
            <w:pPr>
              <w:ind w:left="0"/>
              <w:rPr>
                <w:sz w:val="20"/>
                <w:szCs w:val="20"/>
              </w:rPr>
            </w:pPr>
            <w:r w:rsidRPr="00982A0C">
              <w:rPr>
                <w:sz w:val="20"/>
                <w:szCs w:val="20"/>
              </w:rPr>
              <w:t>$473,518.00</w:t>
            </w:r>
          </w:p>
        </w:tc>
      </w:tr>
      <w:tr w:rsidR="007A177A" w:rsidRPr="004841F1" w14:paraId="06EB829C" w14:textId="77777777" w:rsidTr="00C63539">
        <w:trPr>
          <w:trHeight w:val="332"/>
        </w:trPr>
        <w:tc>
          <w:tcPr>
            <w:tcW w:w="6728" w:type="dxa"/>
            <w:gridSpan w:val="3"/>
            <w:tcBorders>
              <w:right w:val="nil"/>
            </w:tcBorders>
            <w:vAlign w:val="center"/>
          </w:tcPr>
          <w:p w14:paraId="1A5F6D2E" w14:textId="77777777" w:rsidR="007A177A" w:rsidRPr="00DB630C" w:rsidRDefault="007A177A" w:rsidP="00C63539">
            <w:pPr>
              <w:ind w:left="0"/>
              <w:rPr>
                <w:b/>
                <w:sz w:val="20"/>
                <w:szCs w:val="20"/>
              </w:rPr>
            </w:pPr>
            <w:r w:rsidRPr="00DB630C">
              <w:rPr>
                <w:b/>
                <w:sz w:val="20"/>
                <w:szCs w:val="20"/>
              </w:rPr>
              <w:t>Estimated Total Cost of Information Collection</w:t>
            </w:r>
          </w:p>
        </w:tc>
        <w:tc>
          <w:tcPr>
            <w:tcW w:w="236" w:type="dxa"/>
            <w:tcBorders>
              <w:left w:val="nil"/>
              <w:right w:val="nil"/>
            </w:tcBorders>
            <w:vAlign w:val="center"/>
          </w:tcPr>
          <w:p w14:paraId="59EC4351" w14:textId="77777777" w:rsidR="007A177A" w:rsidRPr="00DB630C" w:rsidRDefault="007A177A" w:rsidP="00C63539">
            <w:pPr>
              <w:ind w:left="0"/>
              <w:rPr>
                <w:b/>
                <w:sz w:val="20"/>
                <w:szCs w:val="20"/>
              </w:rPr>
            </w:pPr>
          </w:p>
        </w:tc>
        <w:tc>
          <w:tcPr>
            <w:tcW w:w="236" w:type="dxa"/>
            <w:tcBorders>
              <w:left w:val="nil"/>
            </w:tcBorders>
            <w:vAlign w:val="center"/>
          </w:tcPr>
          <w:p w14:paraId="57DF70D0" w14:textId="77777777" w:rsidR="007A177A" w:rsidRPr="00DB630C" w:rsidRDefault="007A177A" w:rsidP="00C63539">
            <w:pPr>
              <w:ind w:left="0"/>
              <w:rPr>
                <w:b/>
                <w:sz w:val="20"/>
                <w:szCs w:val="20"/>
              </w:rPr>
            </w:pPr>
          </w:p>
        </w:tc>
        <w:tc>
          <w:tcPr>
            <w:tcW w:w="2160" w:type="dxa"/>
            <w:vAlign w:val="center"/>
          </w:tcPr>
          <w:p w14:paraId="31F7B51A" w14:textId="77777777" w:rsidR="007A177A" w:rsidRPr="00DB630C" w:rsidRDefault="007A177A" w:rsidP="00C63539">
            <w:pPr>
              <w:ind w:left="0"/>
              <w:rPr>
                <w:b/>
                <w:sz w:val="20"/>
                <w:szCs w:val="20"/>
              </w:rPr>
            </w:pPr>
            <w:r w:rsidRPr="00DB630C">
              <w:rPr>
                <w:b/>
                <w:sz w:val="20"/>
                <w:szCs w:val="20"/>
              </w:rPr>
              <w:t>$487,865.44</w:t>
            </w:r>
          </w:p>
        </w:tc>
      </w:tr>
    </w:tbl>
    <w:p w14:paraId="253D3549" w14:textId="77777777" w:rsidR="0042500C" w:rsidRDefault="0042500C" w:rsidP="001C7607">
      <w:pPr>
        <w:ind w:left="360"/>
      </w:pPr>
    </w:p>
    <w:p w14:paraId="3831E8E4" w14:textId="77777777" w:rsidR="00734D99" w:rsidRDefault="00734D99" w:rsidP="001C7607">
      <w:pPr>
        <w:ind w:left="360"/>
      </w:pPr>
    </w:p>
    <w:p w14:paraId="6DC05595" w14:textId="77777777" w:rsidR="00B12F51" w:rsidRPr="00D75750" w:rsidRDefault="00D75750" w:rsidP="00692DEB">
      <w:pPr>
        <w:pStyle w:val="Heading4"/>
      </w:pPr>
      <w:bookmarkStart w:id="20" w:name="_Toc427752828"/>
      <w:r w:rsidRPr="00D75750">
        <w:t>Explanation for Program Changes or Adjustments</w:t>
      </w:r>
      <w:bookmarkEnd w:id="20"/>
    </w:p>
    <w:p w14:paraId="06A01E68" w14:textId="77777777" w:rsidR="00F52BCC" w:rsidRDefault="003C7C5D" w:rsidP="008B65FF">
      <w:pPr>
        <w:ind w:left="360"/>
      </w:pPr>
      <w:r>
        <w:t xml:space="preserve">This is a new </w:t>
      </w:r>
      <w:r w:rsidR="002E2EDD">
        <w:t>data</w:t>
      </w:r>
      <w:r w:rsidR="00157413">
        <w:t xml:space="preserve"> collection</w:t>
      </w:r>
      <w:r>
        <w:t>.</w:t>
      </w:r>
    </w:p>
    <w:p w14:paraId="47BB3733" w14:textId="77777777" w:rsidR="00721719" w:rsidRDefault="00721719" w:rsidP="005D6F14"/>
    <w:p w14:paraId="0F163A1C" w14:textId="77777777" w:rsidR="00B12F51" w:rsidRPr="007B6A12" w:rsidRDefault="00616090" w:rsidP="00692DEB">
      <w:pPr>
        <w:pStyle w:val="Heading4"/>
      </w:pPr>
      <w:bookmarkStart w:id="21" w:name="_Toc427752829"/>
      <w:r w:rsidRPr="007B6A12">
        <w:t>Plan</w:t>
      </w:r>
      <w:r w:rsidR="00D75750" w:rsidRPr="007B6A12">
        <w:t>s for Tabulation and Publication and Project Time Schedule</w:t>
      </w:r>
      <w:bookmarkEnd w:id="21"/>
    </w:p>
    <w:p w14:paraId="17BEE3FD" w14:textId="23A699DC" w:rsidR="007A177A" w:rsidRPr="00982A0C" w:rsidRDefault="007A177A" w:rsidP="007A177A">
      <w:pPr>
        <w:ind w:left="360"/>
        <w:rPr>
          <w:rFonts w:cs="Arial"/>
        </w:rPr>
      </w:pPr>
      <w:r w:rsidRPr="00982A0C">
        <w:rPr>
          <w:rFonts w:cs="Arial"/>
        </w:rPr>
        <w:t>Contractor (NORC at the University of Chicago) will conduct preliminary analyses with the data. Both quantitative and qualitative analyses will be p</w:t>
      </w:r>
      <w:r w:rsidR="006D0386">
        <w:rPr>
          <w:rFonts w:cs="Arial"/>
        </w:rPr>
        <w:t>erformed. Quantitative analyses will</w:t>
      </w:r>
      <w:r w:rsidRPr="00982A0C">
        <w:rPr>
          <w:rFonts w:cs="Arial"/>
        </w:rPr>
        <w:t xml:space="preserve"> include descriptive statistics</w:t>
      </w:r>
      <w:r w:rsidR="006D0386">
        <w:rPr>
          <w:rFonts w:cs="Arial"/>
        </w:rPr>
        <w:t xml:space="preserve"> and, if feasible, a</w:t>
      </w:r>
      <w:r w:rsidRPr="00982A0C">
        <w:rPr>
          <w:rFonts w:cs="Arial"/>
        </w:rPr>
        <w:t xml:space="preserve"> comparison between and across subgroups (e.g., comparison between </w:t>
      </w:r>
      <w:r w:rsidR="006D0386">
        <w:rPr>
          <w:rFonts w:cs="Arial"/>
        </w:rPr>
        <w:t>state</w:t>
      </w:r>
      <w:r w:rsidR="00C34D91" w:rsidRPr="00982A0C">
        <w:rPr>
          <w:rFonts w:cs="Arial"/>
        </w:rPr>
        <w:t xml:space="preserve"> </w:t>
      </w:r>
      <w:r w:rsidRPr="00982A0C">
        <w:rPr>
          <w:rFonts w:cs="Arial"/>
        </w:rPr>
        <w:t xml:space="preserve">health departments </w:t>
      </w:r>
      <w:r w:rsidR="006D0386">
        <w:rPr>
          <w:rFonts w:cs="Arial"/>
        </w:rPr>
        <w:t>responses and local health department responses</w:t>
      </w:r>
      <w:r w:rsidRPr="00982A0C">
        <w:rPr>
          <w:rFonts w:cs="Arial"/>
        </w:rPr>
        <w:t xml:space="preserve">). Qualitative analyses will be performed on open-ended questions to compile additional findings and recommendations regarding barriers and </w:t>
      </w:r>
      <w:r w:rsidR="00375D76" w:rsidRPr="00982A0C">
        <w:rPr>
          <w:rFonts w:cs="Arial"/>
        </w:rPr>
        <w:t xml:space="preserve">enablers </w:t>
      </w:r>
      <w:r w:rsidRPr="00982A0C">
        <w:rPr>
          <w:rFonts w:cs="Arial"/>
        </w:rPr>
        <w:t xml:space="preserve">to EBP in PHPR.  </w:t>
      </w:r>
    </w:p>
    <w:p w14:paraId="113D2EC4" w14:textId="77777777" w:rsidR="007A177A" w:rsidRPr="00982A0C" w:rsidRDefault="007A177A" w:rsidP="007A177A">
      <w:pPr>
        <w:ind w:left="360"/>
        <w:rPr>
          <w:rFonts w:cs="Arial"/>
        </w:rPr>
      </w:pPr>
    </w:p>
    <w:p w14:paraId="5DD2441F" w14:textId="77777777" w:rsidR="006D0386" w:rsidRDefault="007A177A" w:rsidP="006D0386">
      <w:pPr>
        <w:ind w:left="360"/>
        <w:rPr>
          <w:rFonts w:cs="Arial"/>
        </w:rPr>
      </w:pPr>
      <w:r w:rsidRPr="00982A0C">
        <w:rPr>
          <w:rFonts w:cs="Arial"/>
        </w:rPr>
        <w:t xml:space="preserve">All data collected will be maintained on secure, password protected servers maintained by NORC and accessible only to project team members identified by the Project Director. Data collected during the assessment will be shared only in aggregate form. </w:t>
      </w:r>
      <w:r w:rsidR="00C34D91" w:rsidRPr="00982A0C">
        <w:rPr>
          <w:rFonts w:cs="Arial"/>
        </w:rPr>
        <w:t>NORC will prepare a written summary report of the data analysis and findings from the information collection. The written summary report will be delivered to CDC. NORC and CDC will collaborate to develop manuscript(s) for submission and potential publication in peer-reviewed journals.</w:t>
      </w:r>
    </w:p>
    <w:p w14:paraId="2F20751F" w14:textId="77777777" w:rsidR="006D0386" w:rsidRDefault="006D0386" w:rsidP="006D0386">
      <w:pPr>
        <w:ind w:left="360"/>
        <w:rPr>
          <w:rFonts w:cs="Arial"/>
        </w:rPr>
      </w:pPr>
    </w:p>
    <w:p w14:paraId="0B39FDA2" w14:textId="77777777" w:rsidR="006D0386" w:rsidRDefault="006D0386" w:rsidP="006D0386">
      <w:pPr>
        <w:ind w:left="360"/>
        <w:rPr>
          <w:rFonts w:cs="Arial"/>
        </w:rPr>
      </w:pPr>
    </w:p>
    <w:p w14:paraId="0DFF1C02" w14:textId="668C4ADA" w:rsidR="007A177A" w:rsidRPr="006D0386" w:rsidRDefault="007A177A" w:rsidP="006D0386">
      <w:pPr>
        <w:ind w:left="360"/>
        <w:rPr>
          <w:rFonts w:cs="Arial"/>
        </w:rPr>
      </w:pPr>
      <w:r w:rsidRPr="00BB090C">
        <w:rPr>
          <w:rFonts w:cs="Arial"/>
          <w:u w:val="single"/>
        </w:rPr>
        <w:t>Project Time Schedule</w:t>
      </w:r>
    </w:p>
    <w:p w14:paraId="0EE23B91" w14:textId="77777777" w:rsidR="007A177A" w:rsidRPr="00F0000D" w:rsidRDefault="007A177A" w:rsidP="007A177A">
      <w:pPr>
        <w:pStyle w:val="ListParagraph"/>
        <w:numPr>
          <w:ilvl w:val="0"/>
          <w:numId w:val="3"/>
        </w:numPr>
        <w:tabs>
          <w:tab w:val="right" w:leader="dot" w:pos="9360"/>
        </w:tabs>
        <w:ind w:left="1080"/>
      </w:pPr>
      <w:r w:rsidRPr="00F0000D">
        <w:rPr>
          <w:rFonts w:eastAsiaTheme="majorEastAsia" w:cstheme="majorBidi"/>
        </w:rPr>
        <w:t xml:space="preserve">Design </w:t>
      </w:r>
      <w:r>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1813DE0E" w14:textId="77777777" w:rsidR="007A177A" w:rsidRPr="00F0000D" w:rsidRDefault="007A177A" w:rsidP="007A177A">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4D3A714A" w14:textId="77777777" w:rsidR="007A177A" w:rsidRPr="00F0000D" w:rsidRDefault="007A177A" w:rsidP="007A177A">
      <w:pPr>
        <w:pStyle w:val="ListParagraph"/>
        <w:numPr>
          <w:ilvl w:val="0"/>
          <w:numId w:val="5"/>
        </w:numPr>
        <w:tabs>
          <w:tab w:val="right" w:leader="dot" w:pos="9360"/>
        </w:tabs>
        <w:ind w:left="1080"/>
      </w:pPr>
      <w:r w:rsidRPr="00F0000D">
        <w:rPr>
          <w:rFonts w:eastAsiaTheme="majorEastAsia" w:cstheme="majorBidi"/>
        </w:rPr>
        <w:t xml:space="preserve">Pilot test </w:t>
      </w:r>
      <w:r>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5618F22F" w14:textId="77777777" w:rsidR="007A177A" w:rsidRPr="00F0000D" w:rsidRDefault="007A177A" w:rsidP="007A177A">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160FC7CC" w14:textId="77777777" w:rsidR="007A177A" w:rsidRPr="00C55460" w:rsidRDefault="007A177A" w:rsidP="007A177A">
      <w:pPr>
        <w:pStyle w:val="ListParagraph"/>
        <w:numPr>
          <w:ilvl w:val="0"/>
          <w:numId w:val="5"/>
        </w:numPr>
        <w:tabs>
          <w:tab w:val="right" w:leader="dot" w:pos="9360"/>
        </w:tabs>
        <w:ind w:left="1080"/>
      </w:pPr>
      <w:r w:rsidRPr="00C55460">
        <w:rPr>
          <w:rFonts w:eastAsiaTheme="majorEastAsia" w:cstheme="majorBidi"/>
        </w:rPr>
        <w:t xml:space="preserve">Submit OMB package </w:t>
      </w:r>
      <w:r w:rsidRPr="00C55460">
        <w:tab/>
      </w:r>
      <w:r w:rsidRPr="00C55460">
        <w:rPr>
          <w:rFonts w:eastAsiaTheme="majorEastAsia" w:cstheme="majorBidi"/>
        </w:rPr>
        <w:t>(COMPLETE)</w:t>
      </w:r>
    </w:p>
    <w:p w14:paraId="7670A4F6" w14:textId="77777777" w:rsidR="007A177A" w:rsidRPr="00C55460" w:rsidRDefault="007A177A" w:rsidP="007A177A">
      <w:pPr>
        <w:pStyle w:val="ListParagraph"/>
        <w:numPr>
          <w:ilvl w:val="0"/>
          <w:numId w:val="2"/>
        </w:numPr>
        <w:tabs>
          <w:tab w:val="right" w:leader="dot" w:pos="9360"/>
        </w:tabs>
        <w:ind w:left="1080"/>
      </w:pPr>
      <w:r w:rsidRPr="00C55460">
        <w:rPr>
          <w:rFonts w:eastAsiaTheme="majorEastAsia" w:cstheme="majorBidi"/>
        </w:rPr>
        <w:t xml:space="preserve">OMB approval </w:t>
      </w:r>
      <w:r w:rsidRPr="00C55460">
        <w:tab/>
      </w:r>
      <w:r w:rsidRPr="00C55460">
        <w:rPr>
          <w:rFonts w:eastAsiaTheme="majorEastAsia" w:cstheme="majorBidi"/>
        </w:rPr>
        <w:t>(TBD)</w:t>
      </w:r>
    </w:p>
    <w:p w14:paraId="5A7578FC" w14:textId="77777777" w:rsidR="007A177A" w:rsidRPr="00982A0C" w:rsidRDefault="007A177A" w:rsidP="007A177A">
      <w:pPr>
        <w:pStyle w:val="ListParagraph"/>
        <w:numPr>
          <w:ilvl w:val="0"/>
          <w:numId w:val="2"/>
        </w:numPr>
        <w:tabs>
          <w:tab w:val="right" w:leader="dot" w:pos="9360"/>
        </w:tabs>
        <w:ind w:left="1080"/>
      </w:pPr>
      <w:r w:rsidRPr="00982A0C">
        <w:rPr>
          <w:rFonts w:eastAsiaTheme="majorEastAsia" w:cstheme="majorBidi"/>
        </w:rPr>
        <w:t xml:space="preserve">Conduct data collection </w:t>
      </w:r>
      <w:r w:rsidRPr="00982A0C">
        <w:tab/>
      </w:r>
      <w:r w:rsidRPr="00982A0C">
        <w:rPr>
          <w:rFonts w:eastAsiaTheme="majorEastAsia" w:cstheme="majorBidi"/>
        </w:rPr>
        <w:t>(O</w:t>
      </w:r>
      <w:r w:rsidRPr="00982A0C">
        <w:rPr>
          <w:rFonts w:asciiTheme="majorBidi" w:eastAsiaTheme="majorBidi" w:hAnsiTheme="majorBidi" w:cstheme="majorBidi"/>
        </w:rPr>
        <w:t>pen 6</w:t>
      </w:r>
      <w:r w:rsidRPr="00982A0C">
        <w:rPr>
          <w:rFonts w:eastAsiaTheme="majorEastAsia" w:cstheme="majorBidi"/>
        </w:rPr>
        <w:t xml:space="preserve"> weeks)</w:t>
      </w:r>
    </w:p>
    <w:p w14:paraId="67AF530E" w14:textId="408206A9" w:rsidR="007A177A" w:rsidRPr="00982A0C" w:rsidRDefault="007A177A" w:rsidP="007A177A">
      <w:pPr>
        <w:pStyle w:val="ListParagraph"/>
        <w:numPr>
          <w:ilvl w:val="0"/>
          <w:numId w:val="2"/>
        </w:numPr>
        <w:tabs>
          <w:tab w:val="right" w:leader="dot" w:pos="9360"/>
        </w:tabs>
        <w:ind w:left="1080"/>
      </w:pPr>
      <w:r w:rsidRPr="00982A0C">
        <w:rPr>
          <w:rFonts w:eastAsiaTheme="majorEastAsia" w:cstheme="majorBidi"/>
        </w:rPr>
        <w:t xml:space="preserve">Code data, conduct </w:t>
      </w:r>
      <w:r w:rsidRPr="00982A0C">
        <w:rPr>
          <w:rFonts w:asciiTheme="majorBidi" w:eastAsiaTheme="majorBidi" w:hAnsiTheme="majorBidi" w:cstheme="majorBidi"/>
        </w:rPr>
        <w:t>quality control, and analyze data</w:t>
      </w:r>
      <w:r w:rsidRPr="00982A0C">
        <w:rPr>
          <w:rFonts w:cs="Arial"/>
        </w:rPr>
        <w:tab/>
        <w:t xml:space="preserve">3 </w:t>
      </w:r>
      <w:r w:rsidRPr="00982A0C">
        <w:rPr>
          <w:rFonts w:asciiTheme="majorBidi" w:eastAsiaTheme="majorBidi" w:hAnsiTheme="majorBidi" w:cstheme="majorBidi"/>
        </w:rPr>
        <w:t>months</w:t>
      </w:r>
    </w:p>
    <w:p w14:paraId="4C12356C" w14:textId="77777777" w:rsidR="007A177A" w:rsidRPr="00982A0C" w:rsidRDefault="007A177A" w:rsidP="007A177A">
      <w:pPr>
        <w:pStyle w:val="ListParagraph"/>
        <w:numPr>
          <w:ilvl w:val="0"/>
          <w:numId w:val="2"/>
        </w:numPr>
        <w:tabs>
          <w:tab w:val="right" w:leader="dot" w:pos="9360"/>
        </w:tabs>
        <w:ind w:left="1080"/>
      </w:pPr>
      <w:r w:rsidRPr="00982A0C">
        <w:rPr>
          <w:rFonts w:eastAsiaTheme="majorEastAsia" w:cstheme="majorBidi"/>
        </w:rPr>
        <w:t>Prepare summary report(s)</w:t>
      </w:r>
      <w:r w:rsidRPr="00982A0C">
        <w:rPr>
          <w:rFonts w:asciiTheme="majorBidi" w:eastAsiaTheme="majorBidi" w:hAnsiTheme="majorBidi" w:cstheme="majorBidi"/>
        </w:rPr>
        <w:t xml:space="preserve"> </w:t>
      </w:r>
      <w:r w:rsidRPr="00982A0C">
        <w:tab/>
      </w:r>
      <w:r w:rsidRPr="00982A0C">
        <w:rPr>
          <w:rFonts w:asciiTheme="majorBidi" w:eastAsiaTheme="majorBidi" w:hAnsiTheme="majorBidi" w:cstheme="majorBidi"/>
        </w:rPr>
        <w:t>3 months</w:t>
      </w:r>
    </w:p>
    <w:p w14:paraId="71985B4E" w14:textId="77777777" w:rsidR="007A177A" w:rsidRPr="00982A0C" w:rsidRDefault="007A177A" w:rsidP="007A177A">
      <w:pPr>
        <w:pStyle w:val="ListParagraph"/>
        <w:numPr>
          <w:ilvl w:val="0"/>
          <w:numId w:val="2"/>
        </w:numPr>
        <w:tabs>
          <w:tab w:val="right" w:leader="dot" w:pos="9360"/>
        </w:tabs>
        <w:ind w:left="1080"/>
      </w:pPr>
      <w:r w:rsidRPr="00982A0C">
        <w:rPr>
          <w:rFonts w:asciiTheme="majorBidi" w:eastAsiaTheme="majorBidi" w:hAnsiTheme="majorBidi" w:cstheme="majorBidi"/>
        </w:rPr>
        <w:t xml:space="preserve">Disseminate results/reports </w:t>
      </w:r>
      <w:r w:rsidRPr="00982A0C">
        <w:tab/>
      </w:r>
      <w:r w:rsidRPr="00982A0C">
        <w:rPr>
          <w:rFonts w:asciiTheme="majorBidi" w:eastAsiaTheme="majorBidi" w:hAnsiTheme="majorBidi" w:cstheme="majorBidi"/>
        </w:rPr>
        <w:t>5 months</w:t>
      </w:r>
    </w:p>
    <w:p w14:paraId="15F776A3" w14:textId="77777777" w:rsidR="00F0000D" w:rsidRDefault="00F0000D" w:rsidP="005D6F14"/>
    <w:p w14:paraId="518F02F6"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76717699" w14:textId="77777777" w:rsidR="00F52BCC" w:rsidRDefault="00180D45" w:rsidP="008B65FF">
      <w:pPr>
        <w:ind w:left="360"/>
      </w:pPr>
      <w:r>
        <w:t>We are requesting no exemption.</w:t>
      </w:r>
    </w:p>
    <w:p w14:paraId="18D358C4" w14:textId="77777777" w:rsidR="003705DF" w:rsidRDefault="003705DF" w:rsidP="65FFC98D"/>
    <w:p w14:paraId="7F01280C"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6A6A542F" w14:textId="77777777" w:rsidR="00D1343B" w:rsidRDefault="0031279F" w:rsidP="00DD5E65">
      <w:pPr>
        <w:ind w:left="360"/>
      </w:pPr>
      <w:r>
        <w:t>There are no exceptions to the certification.</w:t>
      </w:r>
      <w:r w:rsidR="00180D45">
        <w:t xml:space="preserve">  These activities comply with the requirements in 5 CFR 1320.9.</w:t>
      </w:r>
    </w:p>
    <w:p w14:paraId="0C2C8AC9" w14:textId="77777777" w:rsidR="008B12FA" w:rsidRDefault="008B12FA" w:rsidP="00DD5E65">
      <w:pPr>
        <w:ind w:left="360"/>
      </w:pPr>
    </w:p>
    <w:p w14:paraId="3B10A52E" w14:textId="77777777" w:rsidR="00A36419" w:rsidRDefault="00A36419" w:rsidP="008C59E7">
      <w:pPr>
        <w:pStyle w:val="Heading3"/>
        <w:ind w:left="0"/>
      </w:pPr>
      <w:bookmarkStart w:id="24" w:name="_Toc427752832"/>
      <w:r>
        <w:t>LIST OF ATTACHMENTS</w:t>
      </w:r>
      <w:r w:rsidR="00A33E90">
        <w:t xml:space="preserve"> – Section A</w:t>
      </w:r>
      <w:bookmarkEnd w:id="24"/>
    </w:p>
    <w:p w14:paraId="6B7350B1" w14:textId="47850717" w:rsidR="00CB0321" w:rsidRPr="00B6593B" w:rsidRDefault="00CB0321" w:rsidP="00B6593B">
      <w:pPr>
        <w:tabs>
          <w:tab w:val="clear" w:pos="9360"/>
        </w:tabs>
        <w:ind w:left="360"/>
      </w:pPr>
      <w:bookmarkStart w:id="25" w:name="_Toc427752833"/>
      <w:r w:rsidRPr="00B6593B">
        <w:t>Attachment A</w:t>
      </w:r>
      <w:r w:rsidR="00A62204">
        <w:t xml:space="preserve"> – </w:t>
      </w:r>
      <w:r w:rsidRPr="00B6593B">
        <w:t>Respondent Breakdown</w:t>
      </w:r>
    </w:p>
    <w:p w14:paraId="438E21CA" w14:textId="2A71D133" w:rsidR="00283D33" w:rsidRPr="00B6593B" w:rsidRDefault="00283D33" w:rsidP="00B6593B">
      <w:pPr>
        <w:tabs>
          <w:tab w:val="clear" w:pos="9360"/>
        </w:tabs>
        <w:ind w:left="360"/>
      </w:pPr>
      <w:r w:rsidRPr="00B6593B">
        <w:t xml:space="preserve">Attachment B </w:t>
      </w:r>
      <w:r w:rsidRPr="00B6593B">
        <w:rPr>
          <w:rFonts w:ascii="Cambria" w:hAnsi="Cambria"/>
        </w:rPr>
        <w:t xml:space="preserve">– </w:t>
      </w:r>
      <w:r w:rsidRPr="00B6593B">
        <w:t>Assessment Instrument Word Version</w:t>
      </w:r>
    </w:p>
    <w:p w14:paraId="5141F14D" w14:textId="7067DCFD" w:rsidR="00FC6792" w:rsidRDefault="00283D33" w:rsidP="00B6593B">
      <w:pPr>
        <w:tabs>
          <w:tab w:val="clear" w:pos="9360"/>
        </w:tabs>
        <w:ind w:left="360"/>
      </w:pPr>
      <w:r w:rsidRPr="00B6593B">
        <w:t xml:space="preserve">Attachment C </w:t>
      </w:r>
      <w:r w:rsidRPr="00B6593B">
        <w:rPr>
          <w:rFonts w:ascii="Cambria" w:hAnsi="Cambria"/>
        </w:rPr>
        <w:t xml:space="preserve">– </w:t>
      </w:r>
      <w:r w:rsidRPr="00B6593B">
        <w:t>Assessment Instrument Web Version</w:t>
      </w:r>
      <w:bookmarkEnd w:id="25"/>
    </w:p>
    <w:p w14:paraId="74FF6A8E" w14:textId="318331AC" w:rsidR="00CD188C" w:rsidRDefault="00CD188C" w:rsidP="00463EB8">
      <w:pPr>
        <w:tabs>
          <w:tab w:val="clear" w:pos="9360"/>
        </w:tabs>
        <w:spacing w:line="240" w:lineRule="auto"/>
        <w:ind w:left="0"/>
      </w:pPr>
    </w:p>
    <w:p w14:paraId="6E3439CA" w14:textId="77777777" w:rsidR="005C028C" w:rsidRDefault="005C028C" w:rsidP="005C028C">
      <w:pPr>
        <w:pStyle w:val="Heading3"/>
        <w:ind w:left="0"/>
      </w:pPr>
      <w:r w:rsidRPr="00CC7188">
        <w:t xml:space="preserve">REFERENCE LIST </w:t>
      </w:r>
    </w:p>
    <w:p w14:paraId="6499F047" w14:textId="77777777" w:rsidR="005C028C" w:rsidRPr="00CD188C" w:rsidRDefault="005C028C" w:rsidP="005C028C">
      <w:pPr>
        <w:tabs>
          <w:tab w:val="clear" w:pos="9360"/>
        </w:tabs>
        <w:spacing w:line="240" w:lineRule="auto"/>
        <w:ind w:left="0"/>
        <w:rPr>
          <w:rFonts w:asciiTheme="minorHAnsi" w:hAnsiTheme="minorHAnsi" w:cstheme="minorHAnsi"/>
        </w:rPr>
      </w:pPr>
    </w:p>
    <w:p w14:paraId="00A3B1FB" w14:textId="77777777" w:rsidR="005C028C" w:rsidRPr="00CD188C" w:rsidRDefault="005C028C" w:rsidP="005C028C">
      <w:pPr>
        <w:tabs>
          <w:tab w:val="clear" w:pos="9360"/>
        </w:tabs>
        <w:spacing w:line="240" w:lineRule="auto"/>
        <w:ind w:left="0"/>
        <w:rPr>
          <w:rFonts w:cs="Times New Roman"/>
        </w:rPr>
      </w:pPr>
      <w:r w:rsidRPr="00CD188C">
        <w:rPr>
          <w:rStyle w:val="EndnoteReference"/>
          <w:rFonts w:ascii="Times New Roman" w:hAnsi="Times New Roman" w:cs="Times New Roman"/>
        </w:rPr>
        <w:footnoteRef/>
      </w:r>
      <w:r w:rsidRPr="00CD188C">
        <w:rPr>
          <w:rFonts w:ascii="Times New Roman" w:hAnsi="Times New Roman" w:cs="Times New Roman"/>
        </w:rPr>
        <w:t xml:space="preserve"> </w:t>
      </w:r>
      <w:r w:rsidRPr="00CD188C">
        <w:rPr>
          <w:rFonts w:cs="Times New Roman"/>
        </w:rPr>
        <w:t>Centers for Disease Control and Prevention (CDC). "National Public Health Performance Standards Program (NPHPSP): 10 Essential Public Health Services." Available at http://www.cdc.gov/nphpsp/essentialservices.html. Accessed on 8/14/14.</w:t>
      </w:r>
    </w:p>
    <w:p w14:paraId="22EFAA06" w14:textId="77777777" w:rsidR="005C028C" w:rsidRPr="00CD188C" w:rsidRDefault="005C028C" w:rsidP="005C028C">
      <w:pPr>
        <w:pStyle w:val="EndnoteText"/>
        <w:rPr>
          <w:rFonts w:cs="Times New Roman"/>
          <w:sz w:val="22"/>
          <w:szCs w:val="22"/>
        </w:rPr>
      </w:pPr>
    </w:p>
    <w:p w14:paraId="5F5A78BA" w14:textId="40605346" w:rsidR="005C028C" w:rsidRDefault="005C028C" w:rsidP="005C028C">
      <w:pPr>
        <w:ind w:left="0"/>
        <w:rPr>
          <w:rFonts w:cs="Times New Roman"/>
          <w:color w:val="000000" w:themeColor="text1"/>
        </w:rPr>
      </w:pPr>
      <w:r>
        <w:rPr>
          <w:rStyle w:val="EndnoteReference"/>
          <w:rFonts w:cs="Times New Roman"/>
        </w:rPr>
        <w:t>2</w:t>
      </w:r>
      <w:r w:rsidRPr="00CD188C">
        <w:rPr>
          <w:rFonts w:cs="Times New Roman"/>
        </w:rPr>
        <w:t xml:space="preserve"> </w:t>
      </w:r>
      <w:r w:rsidRPr="00CD188C">
        <w:rPr>
          <w:rFonts w:cs="Times New Roman"/>
          <w:color w:val="000000" w:themeColor="text1"/>
        </w:rPr>
        <w:t xml:space="preserve">Williams, B., Perillo, S., &amp; Brown, T. (2015). Review: What are the factors of </w:t>
      </w:r>
      <w:r w:rsidR="0052256F" w:rsidRPr="00CD188C">
        <w:rPr>
          <w:rFonts w:cs="Times New Roman"/>
          <w:color w:val="000000" w:themeColor="text1"/>
        </w:rPr>
        <w:t>organizational</w:t>
      </w:r>
      <w:r w:rsidRPr="00CD188C">
        <w:rPr>
          <w:rFonts w:cs="Times New Roman"/>
          <w:color w:val="000000" w:themeColor="text1"/>
        </w:rPr>
        <w:t xml:space="preserve"> culture in health care settings that act as barriers to the implementation of evidence-based practice? A scoping review. </w:t>
      </w:r>
      <w:r w:rsidRPr="00CD188C">
        <w:rPr>
          <w:rFonts w:cs="Times New Roman"/>
          <w:i/>
          <w:iCs/>
          <w:color w:val="000000" w:themeColor="text1"/>
        </w:rPr>
        <w:t>Nurse Education Today</w:t>
      </w:r>
      <w:r w:rsidRPr="00CD188C">
        <w:rPr>
          <w:rFonts w:cs="Times New Roman"/>
          <w:color w:val="000000" w:themeColor="text1"/>
        </w:rPr>
        <w:t xml:space="preserve">, </w:t>
      </w:r>
      <w:r w:rsidRPr="00CD188C">
        <w:rPr>
          <w:rFonts w:cs="Times New Roman"/>
          <w:i/>
          <w:iCs/>
          <w:color w:val="000000" w:themeColor="text1"/>
        </w:rPr>
        <w:t>35</w:t>
      </w:r>
      <w:r w:rsidRPr="00CD188C">
        <w:rPr>
          <w:rFonts w:cs="Times New Roman"/>
          <w:color w:val="000000" w:themeColor="text1"/>
        </w:rPr>
        <w:t>e34-e41. doi:10.1016/j.nedt.2014.11.012</w:t>
      </w:r>
    </w:p>
    <w:p w14:paraId="2CD66707" w14:textId="77777777" w:rsidR="005C028C" w:rsidRPr="00CD188C" w:rsidRDefault="005C028C" w:rsidP="005C028C">
      <w:pPr>
        <w:ind w:left="0"/>
        <w:rPr>
          <w:rFonts w:cs="Times New Roman"/>
          <w:color w:val="000000" w:themeColor="text1"/>
        </w:rPr>
      </w:pPr>
    </w:p>
    <w:p w14:paraId="383B4578" w14:textId="0F8F647A" w:rsidR="005C028C" w:rsidRDefault="005C028C" w:rsidP="005C028C">
      <w:pPr>
        <w:ind w:left="0"/>
        <w:rPr>
          <w:rFonts w:cs="Times New Roman"/>
        </w:rPr>
      </w:pPr>
      <w:r>
        <w:rPr>
          <w:rStyle w:val="EndnoteReference"/>
          <w:rFonts w:cs="Times New Roman"/>
        </w:rPr>
        <w:t>3</w:t>
      </w:r>
      <w:r w:rsidRPr="00CD188C">
        <w:rPr>
          <w:rFonts w:cs="Times New Roman"/>
        </w:rPr>
        <w:t xml:space="preserve"> Sadeghi-Bazargani, H., Tabrizi, J. S., &amp; Azami-Aghdash, S. (2014). Barriers to evidence-based medicine: a systematic review. </w:t>
      </w:r>
      <w:r w:rsidRPr="00CD188C">
        <w:rPr>
          <w:rFonts w:cs="Times New Roman"/>
          <w:i/>
          <w:iCs/>
        </w:rPr>
        <w:t>Journal Of Evaluation In Clinical Practice</w:t>
      </w:r>
      <w:r w:rsidRPr="00CD188C">
        <w:rPr>
          <w:rFonts w:cs="Times New Roman"/>
        </w:rPr>
        <w:t xml:space="preserve">, </w:t>
      </w:r>
      <w:r w:rsidRPr="00CD188C">
        <w:rPr>
          <w:rFonts w:cs="Times New Roman"/>
          <w:i/>
          <w:iCs/>
        </w:rPr>
        <w:t>20</w:t>
      </w:r>
      <w:r w:rsidRPr="00CD188C">
        <w:rPr>
          <w:rFonts w:cs="Times New Roman"/>
        </w:rPr>
        <w:t>(6), 793-802. doi:10.1111/jep.12222</w:t>
      </w:r>
    </w:p>
    <w:p w14:paraId="0B0E48C2" w14:textId="77777777" w:rsidR="005C028C" w:rsidRPr="00CD188C" w:rsidRDefault="005C028C" w:rsidP="005C028C">
      <w:pPr>
        <w:ind w:left="0"/>
        <w:rPr>
          <w:rFonts w:cs="Times New Roman"/>
        </w:rPr>
      </w:pPr>
    </w:p>
    <w:p w14:paraId="6BDF0834" w14:textId="62719932" w:rsidR="005C028C" w:rsidRPr="00CD188C" w:rsidRDefault="005C028C" w:rsidP="005C028C">
      <w:pPr>
        <w:ind w:left="0"/>
        <w:rPr>
          <w:rFonts w:cs="Times New Roman"/>
        </w:rPr>
      </w:pPr>
      <w:r>
        <w:rPr>
          <w:rStyle w:val="EndnoteReference"/>
          <w:rFonts w:cs="Times New Roman"/>
        </w:rPr>
        <w:t>4</w:t>
      </w:r>
      <w:r w:rsidRPr="00CD188C">
        <w:rPr>
          <w:rFonts w:cs="Times New Roman"/>
        </w:rPr>
        <w:t xml:space="preserve"> Stirman, S. W., Kimberly, J., Cook, N., Calloway, A., Castro, F., &amp; Charns, M. (2012). The sustainability of new programs and innovations: a review of the empirical literature and recommendations for future research. </w:t>
      </w:r>
      <w:r w:rsidRPr="00CD188C">
        <w:rPr>
          <w:rFonts w:cs="Times New Roman"/>
          <w:i/>
          <w:iCs/>
        </w:rPr>
        <w:t>Implementation Science</w:t>
      </w:r>
      <w:r w:rsidRPr="00CD188C">
        <w:rPr>
          <w:rFonts w:cs="Times New Roman"/>
        </w:rPr>
        <w:t xml:space="preserve">, </w:t>
      </w:r>
      <w:r w:rsidRPr="00CD188C">
        <w:rPr>
          <w:rFonts w:cs="Times New Roman"/>
          <w:i/>
          <w:iCs/>
        </w:rPr>
        <w:t>7</w:t>
      </w:r>
      <w:r w:rsidRPr="00CD188C">
        <w:rPr>
          <w:rFonts w:cs="Times New Roman"/>
        </w:rPr>
        <w:t>(1), 17.</w:t>
      </w:r>
    </w:p>
    <w:p w14:paraId="664A9246" w14:textId="77777777" w:rsidR="005C028C" w:rsidRPr="00CD188C" w:rsidRDefault="005C028C" w:rsidP="005C028C">
      <w:pPr>
        <w:pStyle w:val="EndnoteText"/>
        <w:rPr>
          <w:rFonts w:cs="Times New Roman"/>
          <w:sz w:val="22"/>
          <w:szCs w:val="22"/>
        </w:rPr>
      </w:pPr>
    </w:p>
    <w:p w14:paraId="11155892" w14:textId="77777777" w:rsidR="005C028C" w:rsidRPr="00A1453A" w:rsidRDefault="005C028C" w:rsidP="00463EB8">
      <w:pPr>
        <w:tabs>
          <w:tab w:val="clear" w:pos="9360"/>
        </w:tabs>
        <w:spacing w:line="240" w:lineRule="auto"/>
        <w:ind w:left="0"/>
      </w:pPr>
    </w:p>
    <w:sectPr w:rsidR="005C028C" w:rsidRPr="00A1453A" w:rsidSect="00385BB5">
      <w:headerReference w:type="default" r:id="rId15"/>
      <w:footerReference w:type="default" r:id="rId16"/>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B9233" w14:textId="77777777" w:rsidR="000B51F4" w:rsidRDefault="000B51F4" w:rsidP="007D6163">
      <w:r>
        <w:separator/>
      </w:r>
    </w:p>
    <w:p w14:paraId="40548C7D" w14:textId="77777777" w:rsidR="000B51F4" w:rsidRDefault="000B51F4" w:rsidP="007D6163"/>
  </w:endnote>
  <w:endnote w:type="continuationSeparator" w:id="0">
    <w:p w14:paraId="0623C4AB" w14:textId="77777777" w:rsidR="000B51F4" w:rsidRDefault="000B51F4" w:rsidP="007D6163">
      <w:r>
        <w:continuationSeparator/>
      </w:r>
    </w:p>
    <w:p w14:paraId="253C9097" w14:textId="77777777" w:rsidR="000B51F4" w:rsidRDefault="000B51F4"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65FD721C" w14:textId="59EBBBDC" w:rsidR="00562B9C" w:rsidRDefault="00562B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D5E2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5E2F">
              <w:rPr>
                <w:b/>
                <w:bCs/>
                <w:noProof/>
              </w:rPr>
              <w:t>10</w:t>
            </w:r>
            <w:r>
              <w:rPr>
                <w:b/>
                <w:bCs/>
                <w:sz w:val="24"/>
                <w:szCs w:val="24"/>
              </w:rPr>
              <w:fldChar w:fldCharType="end"/>
            </w:r>
          </w:p>
        </w:sdtContent>
      </w:sdt>
    </w:sdtContent>
  </w:sdt>
  <w:p w14:paraId="470F8A9E" w14:textId="77777777" w:rsidR="00562B9C" w:rsidRDefault="00562B9C"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B25AF" w14:textId="77777777" w:rsidR="000B51F4" w:rsidRDefault="000B51F4" w:rsidP="007D6163">
      <w:r>
        <w:separator/>
      </w:r>
    </w:p>
    <w:p w14:paraId="2BA196B3" w14:textId="77777777" w:rsidR="000B51F4" w:rsidRDefault="000B51F4" w:rsidP="007D6163"/>
  </w:footnote>
  <w:footnote w:type="continuationSeparator" w:id="0">
    <w:p w14:paraId="4E9AB36C" w14:textId="77777777" w:rsidR="000B51F4" w:rsidRDefault="000B51F4" w:rsidP="007D6163">
      <w:r>
        <w:continuationSeparator/>
      </w:r>
    </w:p>
    <w:p w14:paraId="1FE21339" w14:textId="77777777" w:rsidR="000B51F4" w:rsidRDefault="000B51F4"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A791" w14:textId="77777777" w:rsidR="00562B9C" w:rsidRPr="00716F94" w:rsidRDefault="00562B9C" w:rsidP="007D6163">
    <w:pPr>
      <w:pStyle w:val="Header"/>
      <w:rPr>
        <w:color w:val="0033CC"/>
      </w:rPr>
    </w:pPr>
    <w:r>
      <w:tab/>
    </w:r>
  </w:p>
  <w:p w14:paraId="39F745F6" w14:textId="77777777" w:rsidR="00562B9C" w:rsidRDefault="00562B9C"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153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3"/>
  </w:num>
  <w:num w:numId="4">
    <w:abstractNumId w:val="3"/>
  </w:num>
  <w:num w:numId="5">
    <w:abstractNumId w:val="10"/>
  </w:num>
  <w:num w:numId="6">
    <w:abstractNumId w:val="0"/>
  </w:num>
  <w:num w:numId="7">
    <w:abstractNumId w:val="6"/>
  </w:num>
  <w:num w:numId="8">
    <w:abstractNumId w:val="2"/>
  </w:num>
  <w:num w:numId="9">
    <w:abstractNumId w:val="9"/>
  </w:num>
  <w:num w:numId="10">
    <w:abstractNumId w:val="1"/>
  </w:num>
  <w:num w:numId="11">
    <w:abstractNumId w:val="5"/>
  </w:num>
  <w:num w:numId="12">
    <w:abstractNumId w:val="15"/>
  </w:num>
  <w:num w:numId="13">
    <w:abstractNumId w:val="14"/>
  </w:num>
  <w:num w:numId="14">
    <w:abstractNumId w:val="8"/>
  </w:num>
  <w:num w:numId="15">
    <w:abstractNumId w:val="7"/>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FC"/>
    <w:rsid w:val="00002003"/>
    <w:rsid w:val="000031E6"/>
    <w:rsid w:val="000058E0"/>
    <w:rsid w:val="00011A98"/>
    <w:rsid w:val="00011F8D"/>
    <w:rsid w:val="000130B4"/>
    <w:rsid w:val="00014361"/>
    <w:rsid w:val="00014579"/>
    <w:rsid w:val="00014944"/>
    <w:rsid w:val="00023A68"/>
    <w:rsid w:val="00040611"/>
    <w:rsid w:val="0004305C"/>
    <w:rsid w:val="0004634F"/>
    <w:rsid w:val="00046CCD"/>
    <w:rsid w:val="000474FB"/>
    <w:rsid w:val="00050240"/>
    <w:rsid w:val="00053A92"/>
    <w:rsid w:val="00054839"/>
    <w:rsid w:val="00055DAE"/>
    <w:rsid w:val="00057F36"/>
    <w:rsid w:val="00063690"/>
    <w:rsid w:val="00076931"/>
    <w:rsid w:val="000A1F30"/>
    <w:rsid w:val="000A2D0C"/>
    <w:rsid w:val="000A71DF"/>
    <w:rsid w:val="000A770F"/>
    <w:rsid w:val="000B0962"/>
    <w:rsid w:val="000B2CBC"/>
    <w:rsid w:val="000B51F4"/>
    <w:rsid w:val="000C3094"/>
    <w:rsid w:val="000E40D8"/>
    <w:rsid w:val="000E6577"/>
    <w:rsid w:val="000E7A19"/>
    <w:rsid w:val="00104A1B"/>
    <w:rsid w:val="00115B0E"/>
    <w:rsid w:val="001177DD"/>
    <w:rsid w:val="001210DA"/>
    <w:rsid w:val="00130D45"/>
    <w:rsid w:val="00132D14"/>
    <w:rsid w:val="00135334"/>
    <w:rsid w:val="001412D4"/>
    <w:rsid w:val="00144F64"/>
    <w:rsid w:val="00145D62"/>
    <w:rsid w:val="00151567"/>
    <w:rsid w:val="0015715D"/>
    <w:rsid w:val="00157413"/>
    <w:rsid w:val="00163E17"/>
    <w:rsid w:val="00166F9E"/>
    <w:rsid w:val="00167880"/>
    <w:rsid w:val="00180D45"/>
    <w:rsid w:val="00181C22"/>
    <w:rsid w:val="00187870"/>
    <w:rsid w:val="00187D5A"/>
    <w:rsid w:val="0019164D"/>
    <w:rsid w:val="00196622"/>
    <w:rsid w:val="001972D7"/>
    <w:rsid w:val="001A28F6"/>
    <w:rsid w:val="001B2831"/>
    <w:rsid w:val="001B4065"/>
    <w:rsid w:val="001B4AD1"/>
    <w:rsid w:val="001B5910"/>
    <w:rsid w:val="001B70B4"/>
    <w:rsid w:val="001C0493"/>
    <w:rsid w:val="001C28AD"/>
    <w:rsid w:val="001C7607"/>
    <w:rsid w:val="001D5697"/>
    <w:rsid w:val="001D7FCB"/>
    <w:rsid w:val="001E2075"/>
    <w:rsid w:val="001E2B99"/>
    <w:rsid w:val="001E69B6"/>
    <w:rsid w:val="001E7537"/>
    <w:rsid w:val="001F4DBB"/>
    <w:rsid w:val="00201C68"/>
    <w:rsid w:val="00202D07"/>
    <w:rsid w:val="0020312D"/>
    <w:rsid w:val="002066F1"/>
    <w:rsid w:val="00206E33"/>
    <w:rsid w:val="00210519"/>
    <w:rsid w:val="00212B10"/>
    <w:rsid w:val="0021516C"/>
    <w:rsid w:val="00222C4A"/>
    <w:rsid w:val="00227259"/>
    <w:rsid w:val="00231E2C"/>
    <w:rsid w:val="00241B17"/>
    <w:rsid w:val="00241C81"/>
    <w:rsid w:val="00244557"/>
    <w:rsid w:val="00245477"/>
    <w:rsid w:val="002523A6"/>
    <w:rsid w:val="002540EE"/>
    <w:rsid w:val="00257A1C"/>
    <w:rsid w:val="00264520"/>
    <w:rsid w:val="00266AB9"/>
    <w:rsid w:val="0027234C"/>
    <w:rsid w:val="00272E3E"/>
    <w:rsid w:val="00275A37"/>
    <w:rsid w:val="00276327"/>
    <w:rsid w:val="00281795"/>
    <w:rsid w:val="00282541"/>
    <w:rsid w:val="00283D33"/>
    <w:rsid w:val="002850E3"/>
    <w:rsid w:val="00287E2F"/>
    <w:rsid w:val="002A1948"/>
    <w:rsid w:val="002C0877"/>
    <w:rsid w:val="002C2373"/>
    <w:rsid w:val="002C2AE2"/>
    <w:rsid w:val="002C33C6"/>
    <w:rsid w:val="002D0DCE"/>
    <w:rsid w:val="002E2B10"/>
    <w:rsid w:val="002E2EDD"/>
    <w:rsid w:val="002E5734"/>
    <w:rsid w:val="002E73B0"/>
    <w:rsid w:val="002F1502"/>
    <w:rsid w:val="002F2069"/>
    <w:rsid w:val="002F71A2"/>
    <w:rsid w:val="00302AE0"/>
    <w:rsid w:val="003041AD"/>
    <w:rsid w:val="00305CDE"/>
    <w:rsid w:val="003065F8"/>
    <w:rsid w:val="0031279F"/>
    <w:rsid w:val="00316F00"/>
    <w:rsid w:val="003179F7"/>
    <w:rsid w:val="00321B51"/>
    <w:rsid w:val="00336D96"/>
    <w:rsid w:val="0034084E"/>
    <w:rsid w:val="00344655"/>
    <w:rsid w:val="00344F07"/>
    <w:rsid w:val="003469C8"/>
    <w:rsid w:val="00350B82"/>
    <w:rsid w:val="00350C8C"/>
    <w:rsid w:val="00355EA4"/>
    <w:rsid w:val="003635BE"/>
    <w:rsid w:val="00365045"/>
    <w:rsid w:val="00366B5E"/>
    <w:rsid w:val="00367E15"/>
    <w:rsid w:val="003705DF"/>
    <w:rsid w:val="00375D76"/>
    <w:rsid w:val="00376290"/>
    <w:rsid w:val="00383542"/>
    <w:rsid w:val="00383729"/>
    <w:rsid w:val="00385BB5"/>
    <w:rsid w:val="003860A5"/>
    <w:rsid w:val="00386BC2"/>
    <w:rsid w:val="00387CA6"/>
    <w:rsid w:val="00393687"/>
    <w:rsid w:val="003A2555"/>
    <w:rsid w:val="003A61BB"/>
    <w:rsid w:val="003B125E"/>
    <w:rsid w:val="003B1BE3"/>
    <w:rsid w:val="003B2200"/>
    <w:rsid w:val="003B2AE6"/>
    <w:rsid w:val="003C31C9"/>
    <w:rsid w:val="003C4961"/>
    <w:rsid w:val="003C5325"/>
    <w:rsid w:val="003C7C5D"/>
    <w:rsid w:val="003D0731"/>
    <w:rsid w:val="003D0AD2"/>
    <w:rsid w:val="003E0F5E"/>
    <w:rsid w:val="003E28E9"/>
    <w:rsid w:val="003F0CC1"/>
    <w:rsid w:val="003F5913"/>
    <w:rsid w:val="003F688B"/>
    <w:rsid w:val="004024F8"/>
    <w:rsid w:val="00405696"/>
    <w:rsid w:val="00410BB6"/>
    <w:rsid w:val="0041159A"/>
    <w:rsid w:val="004135D5"/>
    <w:rsid w:val="004226DA"/>
    <w:rsid w:val="0042500C"/>
    <w:rsid w:val="004305A8"/>
    <w:rsid w:val="0043229B"/>
    <w:rsid w:val="004353D5"/>
    <w:rsid w:val="00436B8A"/>
    <w:rsid w:val="0044130D"/>
    <w:rsid w:val="00441CC3"/>
    <w:rsid w:val="00443CA0"/>
    <w:rsid w:val="00450E14"/>
    <w:rsid w:val="00453BBB"/>
    <w:rsid w:val="004575A2"/>
    <w:rsid w:val="00462C65"/>
    <w:rsid w:val="00463EB8"/>
    <w:rsid w:val="004674E7"/>
    <w:rsid w:val="00467B14"/>
    <w:rsid w:val="00467D07"/>
    <w:rsid w:val="00471642"/>
    <w:rsid w:val="00474EDA"/>
    <w:rsid w:val="00481D80"/>
    <w:rsid w:val="004824FA"/>
    <w:rsid w:val="00484011"/>
    <w:rsid w:val="004841F1"/>
    <w:rsid w:val="00487937"/>
    <w:rsid w:val="004A1E3A"/>
    <w:rsid w:val="004A30CE"/>
    <w:rsid w:val="004B197B"/>
    <w:rsid w:val="004B46D6"/>
    <w:rsid w:val="004C0BF6"/>
    <w:rsid w:val="004C4126"/>
    <w:rsid w:val="004C4464"/>
    <w:rsid w:val="004C4AEA"/>
    <w:rsid w:val="004D0430"/>
    <w:rsid w:val="004D1DAA"/>
    <w:rsid w:val="004D4EB1"/>
    <w:rsid w:val="004E003C"/>
    <w:rsid w:val="004E16EB"/>
    <w:rsid w:val="004E6665"/>
    <w:rsid w:val="004F601A"/>
    <w:rsid w:val="004F634E"/>
    <w:rsid w:val="004F67A8"/>
    <w:rsid w:val="004F6AFA"/>
    <w:rsid w:val="0050693C"/>
    <w:rsid w:val="005070F6"/>
    <w:rsid w:val="005115FA"/>
    <w:rsid w:val="0051582C"/>
    <w:rsid w:val="005212E5"/>
    <w:rsid w:val="0052256F"/>
    <w:rsid w:val="00522A50"/>
    <w:rsid w:val="00525E61"/>
    <w:rsid w:val="00527225"/>
    <w:rsid w:val="00532A9C"/>
    <w:rsid w:val="0053557D"/>
    <w:rsid w:val="005410E3"/>
    <w:rsid w:val="005463DE"/>
    <w:rsid w:val="00546DC2"/>
    <w:rsid w:val="005542E8"/>
    <w:rsid w:val="00556630"/>
    <w:rsid w:val="0055686D"/>
    <w:rsid w:val="00562B9C"/>
    <w:rsid w:val="0056510C"/>
    <w:rsid w:val="005800EE"/>
    <w:rsid w:val="005869D6"/>
    <w:rsid w:val="00587C72"/>
    <w:rsid w:val="0059331E"/>
    <w:rsid w:val="00594619"/>
    <w:rsid w:val="005A33F6"/>
    <w:rsid w:val="005A3933"/>
    <w:rsid w:val="005A59E5"/>
    <w:rsid w:val="005B4147"/>
    <w:rsid w:val="005B4E53"/>
    <w:rsid w:val="005B7440"/>
    <w:rsid w:val="005C028C"/>
    <w:rsid w:val="005D6F14"/>
    <w:rsid w:val="005E2150"/>
    <w:rsid w:val="005E2236"/>
    <w:rsid w:val="005E2995"/>
    <w:rsid w:val="005E6132"/>
    <w:rsid w:val="005F3FEF"/>
    <w:rsid w:val="00600C4F"/>
    <w:rsid w:val="0060287B"/>
    <w:rsid w:val="00605BF9"/>
    <w:rsid w:val="00605D50"/>
    <w:rsid w:val="00607F7C"/>
    <w:rsid w:val="006102DA"/>
    <w:rsid w:val="00610AE6"/>
    <w:rsid w:val="00613BCF"/>
    <w:rsid w:val="00616090"/>
    <w:rsid w:val="006315A3"/>
    <w:rsid w:val="0064381B"/>
    <w:rsid w:val="00651309"/>
    <w:rsid w:val="006579A2"/>
    <w:rsid w:val="00666D60"/>
    <w:rsid w:val="00667C89"/>
    <w:rsid w:val="006711EE"/>
    <w:rsid w:val="00675F9A"/>
    <w:rsid w:val="006809BB"/>
    <w:rsid w:val="006809FD"/>
    <w:rsid w:val="00691D1F"/>
    <w:rsid w:val="00692DEB"/>
    <w:rsid w:val="00697BAE"/>
    <w:rsid w:val="006A09E0"/>
    <w:rsid w:val="006B4DDC"/>
    <w:rsid w:val="006B51BD"/>
    <w:rsid w:val="006B5E55"/>
    <w:rsid w:val="006B5F59"/>
    <w:rsid w:val="006C0ECA"/>
    <w:rsid w:val="006C20E8"/>
    <w:rsid w:val="006C4DA7"/>
    <w:rsid w:val="006D0386"/>
    <w:rsid w:val="006D25A1"/>
    <w:rsid w:val="006D2ABE"/>
    <w:rsid w:val="006E14E9"/>
    <w:rsid w:val="006E7847"/>
    <w:rsid w:val="006F09A2"/>
    <w:rsid w:val="006F0E6D"/>
    <w:rsid w:val="006F36C6"/>
    <w:rsid w:val="006F4E2F"/>
    <w:rsid w:val="006F6856"/>
    <w:rsid w:val="006F752C"/>
    <w:rsid w:val="00713412"/>
    <w:rsid w:val="0071430D"/>
    <w:rsid w:val="007145D0"/>
    <w:rsid w:val="00716CB4"/>
    <w:rsid w:val="00716F94"/>
    <w:rsid w:val="00721180"/>
    <w:rsid w:val="00721719"/>
    <w:rsid w:val="00722C47"/>
    <w:rsid w:val="00734D99"/>
    <w:rsid w:val="00744055"/>
    <w:rsid w:val="00744401"/>
    <w:rsid w:val="0075188E"/>
    <w:rsid w:val="0076001C"/>
    <w:rsid w:val="00760E12"/>
    <w:rsid w:val="00763CF3"/>
    <w:rsid w:val="00766AD3"/>
    <w:rsid w:val="00772293"/>
    <w:rsid w:val="00774689"/>
    <w:rsid w:val="00776981"/>
    <w:rsid w:val="00781AE3"/>
    <w:rsid w:val="00782FBD"/>
    <w:rsid w:val="00783C75"/>
    <w:rsid w:val="00784619"/>
    <w:rsid w:val="00784735"/>
    <w:rsid w:val="0078627B"/>
    <w:rsid w:val="0078765B"/>
    <w:rsid w:val="007921F1"/>
    <w:rsid w:val="00794E32"/>
    <w:rsid w:val="007A0D73"/>
    <w:rsid w:val="007A13D6"/>
    <w:rsid w:val="007A177A"/>
    <w:rsid w:val="007B305A"/>
    <w:rsid w:val="007B6A12"/>
    <w:rsid w:val="007B7C44"/>
    <w:rsid w:val="007C5666"/>
    <w:rsid w:val="007C58E7"/>
    <w:rsid w:val="007D6163"/>
    <w:rsid w:val="007E3D75"/>
    <w:rsid w:val="007E575D"/>
    <w:rsid w:val="007E57CD"/>
    <w:rsid w:val="007E6AEF"/>
    <w:rsid w:val="007F5776"/>
    <w:rsid w:val="00801CC8"/>
    <w:rsid w:val="00815C7D"/>
    <w:rsid w:val="00817941"/>
    <w:rsid w:val="008229E4"/>
    <w:rsid w:val="00823547"/>
    <w:rsid w:val="008261AB"/>
    <w:rsid w:val="008269AB"/>
    <w:rsid w:val="00827674"/>
    <w:rsid w:val="00834C91"/>
    <w:rsid w:val="00835CA7"/>
    <w:rsid w:val="0083619A"/>
    <w:rsid w:val="008370D4"/>
    <w:rsid w:val="008414AD"/>
    <w:rsid w:val="008428D9"/>
    <w:rsid w:val="00846479"/>
    <w:rsid w:val="00851854"/>
    <w:rsid w:val="00855F79"/>
    <w:rsid w:val="0086783F"/>
    <w:rsid w:val="008705AC"/>
    <w:rsid w:val="008715E7"/>
    <w:rsid w:val="00873595"/>
    <w:rsid w:val="008748B4"/>
    <w:rsid w:val="00876C61"/>
    <w:rsid w:val="0088467A"/>
    <w:rsid w:val="00884DB9"/>
    <w:rsid w:val="008B12FA"/>
    <w:rsid w:val="008B1F95"/>
    <w:rsid w:val="008B65FF"/>
    <w:rsid w:val="008C408E"/>
    <w:rsid w:val="008C555A"/>
    <w:rsid w:val="008C59E7"/>
    <w:rsid w:val="008C67D2"/>
    <w:rsid w:val="008D199A"/>
    <w:rsid w:val="008E0683"/>
    <w:rsid w:val="008E3D8D"/>
    <w:rsid w:val="008F3D10"/>
    <w:rsid w:val="008F46C7"/>
    <w:rsid w:val="00902DD9"/>
    <w:rsid w:val="00911376"/>
    <w:rsid w:val="00911486"/>
    <w:rsid w:val="009129CA"/>
    <w:rsid w:val="00915C4D"/>
    <w:rsid w:val="00917B7D"/>
    <w:rsid w:val="009206B6"/>
    <w:rsid w:val="009252DC"/>
    <w:rsid w:val="009252F5"/>
    <w:rsid w:val="009263C1"/>
    <w:rsid w:val="00941B4F"/>
    <w:rsid w:val="00945B19"/>
    <w:rsid w:val="009518C0"/>
    <w:rsid w:val="00954637"/>
    <w:rsid w:val="00962B10"/>
    <w:rsid w:val="00963CE3"/>
    <w:rsid w:val="00964F18"/>
    <w:rsid w:val="00974424"/>
    <w:rsid w:val="00982A0C"/>
    <w:rsid w:val="00987F76"/>
    <w:rsid w:val="00993088"/>
    <w:rsid w:val="0099664F"/>
    <w:rsid w:val="00997D5D"/>
    <w:rsid w:val="009A0447"/>
    <w:rsid w:val="009A2CE5"/>
    <w:rsid w:val="009A4B59"/>
    <w:rsid w:val="009A6490"/>
    <w:rsid w:val="009A737F"/>
    <w:rsid w:val="009B4A51"/>
    <w:rsid w:val="009C28B1"/>
    <w:rsid w:val="009C61AD"/>
    <w:rsid w:val="009C6697"/>
    <w:rsid w:val="009D373D"/>
    <w:rsid w:val="009D436B"/>
    <w:rsid w:val="009D5927"/>
    <w:rsid w:val="009D7B2C"/>
    <w:rsid w:val="009E0801"/>
    <w:rsid w:val="009E1D05"/>
    <w:rsid w:val="009F7DE0"/>
    <w:rsid w:val="00A0222E"/>
    <w:rsid w:val="00A05973"/>
    <w:rsid w:val="00A06BCB"/>
    <w:rsid w:val="00A1050C"/>
    <w:rsid w:val="00A11B0C"/>
    <w:rsid w:val="00A1453A"/>
    <w:rsid w:val="00A20BA8"/>
    <w:rsid w:val="00A242DB"/>
    <w:rsid w:val="00A27EFC"/>
    <w:rsid w:val="00A33B35"/>
    <w:rsid w:val="00A33E90"/>
    <w:rsid w:val="00A34D07"/>
    <w:rsid w:val="00A36419"/>
    <w:rsid w:val="00A446F9"/>
    <w:rsid w:val="00A44921"/>
    <w:rsid w:val="00A44AD9"/>
    <w:rsid w:val="00A5515B"/>
    <w:rsid w:val="00A578C2"/>
    <w:rsid w:val="00A62204"/>
    <w:rsid w:val="00A62C98"/>
    <w:rsid w:val="00A670F6"/>
    <w:rsid w:val="00A6796C"/>
    <w:rsid w:val="00A70B3C"/>
    <w:rsid w:val="00A72652"/>
    <w:rsid w:val="00A75D1C"/>
    <w:rsid w:val="00A809AA"/>
    <w:rsid w:val="00A849B3"/>
    <w:rsid w:val="00A8510D"/>
    <w:rsid w:val="00A86AF3"/>
    <w:rsid w:val="00A90AFF"/>
    <w:rsid w:val="00A90BDC"/>
    <w:rsid w:val="00A95477"/>
    <w:rsid w:val="00A975A9"/>
    <w:rsid w:val="00AA3192"/>
    <w:rsid w:val="00AA56D9"/>
    <w:rsid w:val="00AB0486"/>
    <w:rsid w:val="00AB251E"/>
    <w:rsid w:val="00AB3608"/>
    <w:rsid w:val="00AB5F7B"/>
    <w:rsid w:val="00AC1272"/>
    <w:rsid w:val="00AC389F"/>
    <w:rsid w:val="00AC5C48"/>
    <w:rsid w:val="00AC63E3"/>
    <w:rsid w:val="00AC7ECF"/>
    <w:rsid w:val="00AD3F08"/>
    <w:rsid w:val="00AF0CF4"/>
    <w:rsid w:val="00AF2252"/>
    <w:rsid w:val="00B0098C"/>
    <w:rsid w:val="00B00B12"/>
    <w:rsid w:val="00B02E1C"/>
    <w:rsid w:val="00B07151"/>
    <w:rsid w:val="00B111D3"/>
    <w:rsid w:val="00B1129F"/>
    <w:rsid w:val="00B11D61"/>
    <w:rsid w:val="00B11F7B"/>
    <w:rsid w:val="00B12F51"/>
    <w:rsid w:val="00B135FF"/>
    <w:rsid w:val="00B2751E"/>
    <w:rsid w:val="00B3650C"/>
    <w:rsid w:val="00B43AFE"/>
    <w:rsid w:val="00B47055"/>
    <w:rsid w:val="00B50597"/>
    <w:rsid w:val="00B63CF3"/>
    <w:rsid w:val="00B64BFA"/>
    <w:rsid w:val="00B6593B"/>
    <w:rsid w:val="00B71E63"/>
    <w:rsid w:val="00B73672"/>
    <w:rsid w:val="00B83212"/>
    <w:rsid w:val="00B85DE4"/>
    <w:rsid w:val="00B8783F"/>
    <w:rsid w:val="00B87AAD"/>
    <w:rsid w:val="00B91A31"/>
    <w:rsid w:val="00B9300C"/>
    <w:rsid w:val="00B96A91"/>
    <w:rsid w:val="00BA50D9"/>
    <w:rsid w:val="00BA6325"/>
    <w:rsid w:val="00BA6C28"/>
    <w:rsid w:val="00BA6DB4"/>
    <w:rsid w:val="00BB0813"/>
    <w:rsid w:val="00BB090C"/>
    <w:rsid w:val="00BC3F3C"/>
    <w:rsid w:val="00BC5BB2"/>
    <w:rsid w:val="00BD4599"/>
    <w:rsid w:val="00BD56AF"/>
    <w:rsid w:val="00BD6482"/>
    <w:rsid w:val="00BE5A15"/>
    <w:rsid w:val="00BE738E"/>
    <w:rsid w:val="00BF11A1"/>
    <w:rsid w:val="00BF3F54"/>
    <w:rsid w:val="00C00697"/>
    <w:rsid w:val="00C0376C"/>
    <w:rsid w:val="00C06D77"/>
    <w:rsid w:val="00C14BA6"/>
    <w:rsid w:val="00C231C3"/>
    <w:rsid w:val="00C3485C"/>
    <w:rsid w:val="00C34D91"/>
    <w:rsid w:val="00C4416B"/>
    <w:rsid w:val="00C52989"/>
    <w:rsid w:val="00C544A4"/>
    <w:rsid w:val="00C63539"/>
    <w:rsid w:val="00C64EDD"/>
    <w:rsid w:val="00C6631D"/>
    <w:rsid w:val="00C768E5"/>
    <w:rsid w:val="00CA2004"/>
    <w:rsid w:val="00CA5840"/>
    <w:rsid w:val="00CA5B99"/>
    <w:rsid w:val="00CB0321"/>
    <w:rsid w:val="00CB0933"/>
    <w:rsid w:val="00CB334D"/>
    <w:rsid w:val="00CB56D5"/>
    <w:rsid w:val="00CC4DAB"/>
    <w:rsid w:val="00CC7188"/>
    <w:rsid w:val="00CC76CD"/>
    <w:rsid w:val="00CD188C"/>
    <w:rsid w:val="00CD1CCA"/>
    <w:rsid w:val="00CD1EA8"/>
    <w:rsid w:val="00CF5508"/>
    <w:rsid w:val="00CF5ABD"/>
    <w:rsid w:val="00CF6092"/>
    <w:rsid w:val="00CF63CE"/>
    <w:rsid w:val="00D065B1"/>
    <w:rsid w:val="00D067C1"/>
    <w:rsid w:val="00D06816"/>
    <w:rsid w:val="00D10695"/>
    <w:rsid w:val="00D1343B"/>
    <w:rsid w:val="00D13B13"/>
    <w:rsid w:val="00D16E78"/>
    <w:rsid w:val="00D201D3"/>
    <w:rsid w:val="00D21203"/>
    <w:rsid w:val="00D267D5"/>
    <w:rsid w:val="00D26A64"/>
    <w:rsid w:val="00D31720"/>
    <w:rsid w:val="00D4106B"/>
    <w:rsid w:val="00D42A92"/>
    <w:rsid w:val="00D52B9A"/>
    <w:rsid w:val="00D5367E"/>
    <w:rsid w:val="00D53B1E"/>
    <w:rsid w:val="00D556AC"/>
    <w:rsid w:val="00D6105F"/>
    <w:rsid w:val="00D61AD2"/>
    <w:rsid w:val="00D61EA5"/>
    <w:rsid w:val="00D65328"/>
    <w:rsid w:val="00D71C1C"/>
    <w:rsid w:val="00D75750"/>
    <w:rsid w:val="00D84EF0"/>
    <w:rsid w:val="00D861ED"/>
    <w:rsid w:val="00D873E0"/>
    <w:rsid w:val="00D941E3"/>
    <w:rsid w:val="00D94F8B"/>
    <w:rsid w:val="00D95FBF"/>
    <w:rsid w:val="00D97630"/>
    <w:rsid w:val="00DA03F8"/>
    <w:rsid w:val="00DA5988"/>
    <w:rsid w:val="00DA762F"/>
    <w:rsid w:val="00DB630C"/>
    <w:rsid w:val="00DB7F78"/>
    <w:rsid w:val="00DC0184"/>
    <w:rsid w:val="00DC2AD2"/>
    <w:rsid w:val="00DC317C"/>
    <w:rsid w:val="00DC4FF2"/>
    <w:rsid w:val="00DC79CC"/>
    <w:rsid w:val="00DD5E65"/>
    <w:rsid w:val="00DD7BF0"/>
    <w:rsid w:val="00E03827"/>
    <w:rsid w:val="00E1007A"/>
    <w:rsid w:val="00E10D39"/>
    <w:rsid w:val="00E134F4"/>
    <w:rsid w:val="00E147D9"/>
    <w:rsid w:val="00E15C75"/>
    <w:rsid w:val="00E162E0"/>
    <w:rsid w:val="00E20294"/>
    <w:rsid w:val="00E20D75"/>
    <w:rsid w:val="00E23568"/>
    <w:rsid w:val="00E245B5"/>
    <w:rsid w:val="00E2766A"/>
    <w:rsid w:val="00E33E1B"/>
    <w:rsid w:val="00E34D3E"/>
    <w:rsid w:val="00E35AB7"/>
    <w:rsid w:val="00E41812"/>
    <w:rsid w:val="00E424F8"/>
    <w:rsid w:val="00E46BAF"/>
    <w:rsid w:val="00E5146F"/>
    <w:rsid w:val="00E5156D"/>
    <w:rsid w:val="00E62BD2"/>
    <w:rsid w:val="00E647FB"/>
    <w:rsid w:val="00E65555"/>
    <w:rsid w:val="00E720E9"/>
    <w:rsid w:val="00E7655F"/>
    <w:rsid w:val="00E81C5E"/>
    <w:rsid w:val="00E83B3C"/>
    <w:rsid w:val="00E8736B"/>
    <w:rsid w:val="00E90275"/>
    <w:rsid w:val="00E925D4"/>
    <w:rsid w:val="00E9465D"/>
    <w:rsid w:val="00E97226"/>
    <w:rsid w:val="00EA2B44"/>
    <w:rsid w:val="00EA33EF"/>
    <w:rsid w:val="00EA3A4A"/>
    <w:rsid w:val="00EB6BFE"/>
    <w:rsid w:val="00EC4FFD"/>
    <w:rsid w:val="00EC58F5"/>
    <w:rsid w:val="00EC5EFC"/>
    <w:rsid w:val="00ED57D1"/>
    <w:rsid w:val="00ED6DF6"/>
    <w:rsid w:val="00EE3432"/>
    <w:rsid w:val="00EE40C6"/>
    <w:rsid w:val="00EE471B"/>
    <w:rsid w:val="00EE54FA"/>
    <w:rsid w:val="00EE7BFB"/>
    <w:rsid w:val="00EF162C"/>
    <w:rsid w:val="00EF1801"/>
    <w:rsid w:val="00EF33CD"/>
    <w:rsid w:val="00EF7E6F"/>
    <w:rsid w:val="00F0000D"/>
    <w:rsid w:val="00F12924"/>
    <w:rsid w:val="00F16323"/>
    <w:rsid w:val="00F20C9B"/>
    <w:rsid w:val="00F23117"/>
    <w:rsid w:val="00F300CB"/>
    <w:rsid w:val="00F30AA0"/>
    <w:rsid w:val="00F31310"/>
    <w:rsid w:val="00F42C3A"/>
    <w:rsid w:val="00F45451"/>
    <w:rsid w:val="00F52BCC"/>
    <w:rsid w:val="00F5313F"/>
    <w:rsid w:val="00F665AC"/>
    <w:rsid w:val="00F81135"/>
    <w:rsid w:val="00F81A48"/>
    <w:rsid w:val="00FB62BC"/>
    <w:rsid w:val="00FC6792"/>
    <w:rsid w:val="00FD17C9"/>
    <w:rsid w:val="00FD2A5B"/>
    <w:rsid w:val="00FD5E2F"/>
    <w:rsid w:val="00FD731A"/>
    <w:rsid w:val="00FE6A5C"/>
    <w:rsid w:val="00FF5BF1"/>
    <w:rsid w:val="10E41735"/>
    <w:rsid w:val="65FFC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92"/>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EndnoteText">
    <w:name w:val="endnote text"/>
    <w:basedOn w:val="Normal"/>
    <w:link w:val="EndnoteTextChar"/>
    <w:uiPriority w:val="99"/>
    <w:semiHidden/>
    <w:unhideWhenUsed/>
    <w:rsid w:val="0021516C"/>
    <w:pPr>
      <w:spacing w:line="240" w:lineRule="auto"/>
    </w:pPr>
    <w:rPr>
      <w:sz w:val="20"/>
      <w:szCs w:val="20"/>
    </w:rPr>
  </w:style>
  <w:style w:type="character" w:customStyle="1" w:styleId="EndnoteTextChar">
    <w:name w:val="Endnote Text Char"/>
    <w:basedOn w:val="DefaultParagraphFont"/>
    <w:link w:val="EndnoteText"/>
    <w:uiPriority w:val="99"/>
    <w:semiHidden/>
    <w:rsid w:val="0021516C"/>
    <w:rPr>
      <w:rFonts w:asciiTheme="majorHAnsi" w:hAnsiTheme="majorHAnsi"/>
      <w:sz w:val="20"/>
      <w:szCs w:val="20"/>
    </w:rPr>
  </w:style>
  <w:style w:type="character" w:styleId="EndnoteReference">
    <w:name w:val="endnote reference"/>
    <w:basedOn w:val="DefaultParagraphFont"/>
    <w:uiPriority w:val="99"/>
    <w:semiHidden/>
    <w:unhideWhenUsed/>
    <w:rsid w:val="002151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92"/>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EndnoteText">
    <w:name w:val="endnote text"/>
    <w:basedOn w:val="Normal"/>
    <w:link w:val="EndnoteTextChar"/>
    <w:uiPriority w:val="99"/>
    <w:semiHidden/>
    <w:unhideWhenUsed/>
    <w:rsid w:val="0021516C"/>
    <w:pPr>
      <w:spacing w:line="240" w:lineRule="auto"/>
    </w:pPr>
    <w:rPr>
      <w:sz w:val="20"/>
      <w:szCs w:val="20"/>
    </w:rPr>
  </w:style>
  <w:style w:type="character" w:customStyle="1" w:styleId="EndnoteTextChar">
    <w:name w:val="Endnote Text Char"/>
    <w:basedOn w:val="DefaultParagraphFont"/>
    <w:link w:val="EndnoteText"/>
    <w:uiPriority w:val="99"/>
    <w:semiHidden/>
    <w:rsid w:val="0021516C"/>
    <w:rPr>
      <w:rFonts w:asciiTheme="majorHAnsi" w:hAnsiTheme="majorHAnsi"/>
      <w:sz w:val="20"/>
      <w:szCs w:val="20"/>
    </w:rPr>
  </w:style>
  <w:style w:type="character" w:styleId="EndnoteReference">
    <w:name w:val="endnote reference"/>
    <w:basedOn w:val="DefaultParagraphFont"/>
    <w:uiPriority w:val="99"/>
    <w:semiHidden/>
    <w:unhideWhenUsed/>
    <w:rsid w:val="002151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https://esp.cdc.gov/sites/ostlts/pip/osc/_layouts/15/DocIdRedir.aspx?ID=OSTLTSDOC-726-231</Url>
      <Description>OSTLTSDOC-726-231</Description>
    </_dlc_DocIdUrl>
    <_dlc_DocId xmlns="b5c0ca00-073d-4463-9985-b654f14791fe">OSTLTSDOC-726-231</_dlc_Doc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55FFE-3D13-43DE-85F0-C566F6683EC4}">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2.xml><?xml version="1.0" encoding="utf-8"?>
<ds:datastoreItem xmlns:ds="http://schemas.openxmlformats.org/officeDocument/2006/customXml" ds:itemID="{97CD2FE9-5ABF-4BCA-9D16-26923059D5F1}">
  <ds:schemaRefs>
    <ds:schemaRef ds:uri="http://schemas.microsoft.com/sharepoint/events"/>
  </ds:schemaRefs>
</ds:datastoreItem>
</file>

<file path=customXml/itemProps3.xml><?xml version="1.0" encoding="utf-8"?>
<ds:datastoreItem xmlns:ds="http://schemas.openxmlformats.org/officeDocument/2006/customXml" ds:itemID="{BAB0A3A1-3294-46B1-B3E4-BB1BF643FB1D}">
  <ds:schemaRefs>
    <ds:schemaRef ds:uri="http://schemas.microsoft.com/office/2006/metadata/customXsn"/>
  </ds:schemaRefs>
</ds:datastoreItem>
</file>

<file path=customXml/itemProps4.xml><?xml version="1.0" encoding="utf-8"?>
<ds:datastoreItem xmlns:ds="http://schemas.openxmlformats.org/officeDocument/2006/customXml" ds:itemID="{488FB993-9022-457B-A979-CD8AF3EC980D}">
  <ds:schemaRefs>
    <ds:schemaRef ds:uri="http://schemas.microsoft.com/sharepoint/v3/contenttype/forms"/>
  </ds:schemaRefs>
</ds:datastoreItem>
</file>

<file path=customXml/itemProps5.xml><?xml version="1.0" encoding="utf-8"?>
<ds:datastoreItem xmlns:ds="http://schemas.openxmlformats.org/officeDocument/2006/customXml" ds:itemID="{FE97B571-3FB6-4B5F-A6F2-5739F37B7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B220B1-D401-406C-9317-37C0225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Adzua H. (CDC/OSTLTS/DPHPI)</dc:creator>
  <cp:keywords/>
  <dc:description/>
  <cp:lastModifiedBy>SYSTEM</cp:lastModifiedBy>
  <cp:revision>2</cp:revision>
  <cp:lastPrinted>2011-06-07T15:53:00Z</cp:lastPrinted>
  <dcterms:created xsi:type="dcterms:W3CDTF">2018-12-06T15:16:00Z</dcterms:created>
  <dcterms:modified xsi:type="dcterms:W3CDTF">2018-12-06T15:16:00Z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916d48d7-a176-4f30-a641-7d39e6e3288f</vt:lpwstr>
  </property>
</Properties>
</file>