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5EB06" w14:textId="18265EDF" w:rsidR="009B4A51" w:rsidRDefault="009B4A51" w:rsidP="00A1453A">
      <w:pPr>
        <w:ind w:left="0"/>
      </w:pPr>
      <w:bookmarkStart w:id="0" w:name="_GoBack"/>
      <w:bookmarkEnd w:id="0"/>
    </w:p>
    <w:p w14:paraId="6D661606" w14:textId="77777777" w:rsidR="00667C89" w:rsidRDefault="00667C89" w:rsidP="00A1453A">
      <w:pPr>
        <w:ind w:left="0"/>
      </w:pPr>
    </w:p>
    <w:p w14:paraId="0067E403" w14:textId="77777777" w:rsidR="009B4A51" w:rsidRDefault="009B4A51" w:rsidP="004135D5">
      <w:pPr>
        <w:pStyle w:val="Heading6"/>
      </w:pPr>
    </w:p>
    <w:p w14:paraId="2CA2F612" w14:textId="77777777" w:rsidR="00A1453A" w:rsidRPr="00A1453A" w:rsidRDefault="00A1453A" w:rsidP="00A1453A"/>
    <w:p w14:paraId="16E58371" w14:textId="709C6EE5" w:rsidR="00AA3192" w:rsidRPr="00071F10" w:rsidRDefault="002335F2" w:rsidP="002335F2">
      <w:pPr>
        <w:ind w:left="0"/>
        <w:jc w:val="center"/>
      </w:pPr>
      <w:r w:rsidRPr="00071F10">
        <w:rPr>
          <w:b/>
          <w:sz w:val="40"/>
        </w:rPr>
        <w:t>Qualitative Assessment of CDC-funded Local Health Departments’ Violence Prevention Efforts</w:t>
      </w:r>
    </w:p>
    <w:p w14:paraId="49F74F70" w14:textId="300D3CCD" w:rsidR="002335F2" w:rsidRDefault="002335F2" w:rsidP="00CA5840">
      <w:pPr>
        <w:ind w:left="0"/>
        <w:jc w:val="center"/>
      </w:pPr>
    </w:p>
    <w:p w14:paraId="06E26476" w14:textId="38F1B834" w:rsidR="00071F10" w:rsidRDefault="00071F10" w:rsidP="00CA5840">
      <w:pPr>
        <w:ind w:left="0"/>
        <w:jc w:val="center"/>
      </w:pPr>
    </w:p>
    <w:p w14:paraId="2C346727" w14:textId="77777777" w:rsidR="00071F10" w:rsidRPr="00071F10" w:rsidRDefault="00071F10" w:rsidP="00CA5840">
      <w:pPr>
        <w:ind w:left="0"/>
        <w:jc w:val="center"/>
      </w:pPr>
    </w:p>
    <w:p w14:paraId="7DF03DF2" w14:textId="4038468C" w:rsidR="00716F94" w:rsidRPr="00071F10" w:rsidRDefault="00484011" w:rsidP="00CA5840">
      <w:pPr>
        <w:ind w:left="0"/>
        <w:jc w:val="center"/>
      </w:pPr>
      <w:r w:rsidRPr="00071F10">
        <w:t>OSTL</w:t>
      </w:r>
      <w:r w:rsidR="00316F00" w:rsidRPr="00071F10">
        <w:t>TS Generic Information Collection</w:t>
      </w:r>
      <w:r w:rsidRPr="00071F10">
        <w:t xml:space="preserve"> Request</w:t>
      </w:r>
    </w:p>
    <w:p w14:paraId="04855A17" w14:textId="77777777" w:rsidR="00484011" w:rsidRPr="00AA3192" w:rsidRDefault="00484011" w:rsidP="00CA5840">
      <w:pPr>
        <w:ind w:left="0"/>
        <w:jc w:val="center"/>
      </w:pPr>
      <w:r w:rsidRPr="00AA3192">
        <w:t>OMB No. 0920-0879</w:t>
      </w:r>
    </w:p>
    <w:p w14:paraId="0ADDCA7F" w14:textId="77777777" w:rsidR="009B4A51" w:rsidRDefault="009B4A51" w:rsidP="00CA5840">
      <w:pPr>
        <w:ind w:left="0"/>
      </w:pPr>
    </w:p>
    <w:p w14:paraId="79AE2F11" w14:textId="7DEBB927" w:rsidR="00AA3192" w:rsidRDefault="00AA3192" w:rsidP="00CA5840">
      <w:pPr>
        <w:ind w:left="0"/>
      </w:pPr>
    </w:p>
    <w:p w14:paraId="572AFA1D" w14:textId="32B40621" w:rsidR="00071F10" w:rsidRDefault="00071F10" w:rsidP="00CA5840">
      <w:pPr>
        <w:ind w:left="0"/>
      </w:pPr>
    </w:p>
    <w:p w14:paraId="3F5BDCD5" w14:textId="77777777" w:rsidR="00071F10" w:rsidRDefault="00071F10" w:rsidP="00CA5840">
      <w:pPr>
        <w:ind w:left="0"/>
      </w:pPr>
    </w:p>
    <w:p w14:paraId="2A50A393" w14:textId="77777777" w:rsidR="009B4A51" w:rsidRDefault="009B4A51" w:rsidP="00A1453A">
      <w:pPr>
        <w:pStyle w:val="Heading2"/>
        <w:ind w:left="0"/>
      </w:pPr>
      <w:r w:rsidRPr="007D6163">
        <w:t>Supporting Statement – Section A</w:t>
      </w:r>
    </w:p>
    <w:p w14:paraId="72A016BD" w14:textId="77777777" w:rsidR="00187D5A" w:rsidRDefault="00187D5A" w:rsidP="00CA5840">
      <w:pPr>
        <w:ind w:left="0"/>
      </w:pPr>
    </w:p>
    <w:p w14:paraId="029556C9" w14:textId="2A622101" w:rsidR="009B4A51" w:rsidRPr="009B4A51" w:rsidRDefault="009B4A51" w:rsidP="00CA5840">
      <w:pPr>
        <w:ind w:left="0"/>
        <w:jc w:val="center"/>
      </w:pPr>
      <w:r w:rsidRPr="00AA3192">
        <w:t>Submitted:</w:t>
      </w:r>
      <w:r w:rsidRPr="00713412">
        <w:rPr>
          <w:color w:val="0070C0"/>
        </w:rPr>
        <w:t xml:space="preserve"> </w:t>
      </w:r>
      <w:r w:rsidR="005A0B42" w:rsidRPr="005A0B42">
        <w:t>July 9</w:t>
      </w:r>
      <w:r w:rsidR="005A0B42" w:rsidRPr="005A0B42">
        <w:rPr>
          <w:vertAlign w:val="superscript"/>
        </w:rPr>
        <w:t>th</w:t>
      </w:r>
      <w:r w:rsidR="005A0B42" w:rsidRPr="005A0B42">
        <w:t>, 2018</w:t>
      </w:r>
    </w:p>
    <w:p w14:paraId="362F15E4" w14:textId="77777777" w:rsidR="009B4A51" w:rsidRDefault="009B4A51" w:rsidP="007D6163"/>
    <w:p w14:paraId="4767A080" w14:textId="77777777" w:rsidR="00AA3192" w:rsidRDefault="00AA3192" w:rsidP="00A1453A">
      <w:pPr>
        <w:ind w:left="0"/>
      </w:pPr>
    </w:p>
    <w:p w14:paraId="2791CCFB" w14:textId="210300CE" w:rsidR="009B4A51" w:rsidRDefault="009B4A51" w:rsidP="007D6163"/>
    <w:p w14:paraId="0B42B41C" w14:textId="3829E29C" w:rsidR="00071F10" w:rsidRDefault="00071F10" w:rsidP="007D6163"/>
    <w:p w14:paraId="39E75D6E" w14:textId="77777777" w:rsidR="00071F10" w:rsidRDefault="00071F10" w:rsidP="007D6163"/>
    <w:p w14:paraId="1F716E76"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5DA75DF6" w14:textId="2B43A5D2" w:rsidR="00321B51" w:rsidRPr="00071F10" w:rsidRDefault="002335F2" w:rsidP="00CA5840">
      <w:pPr>
        <w:ind w:left="0"/>
      </w:pPr>
      <w:r w:rsidRPr="00071F10">
        <w:t>Linda Vo</w:t>
      </w:r>
    </w:p>
    <w:p w14:paraId="78CC8FF0" w14:textId="218C93C7" w:rsidR="00321B51" w:rsidRPr="00071F10" w:rsidRDefault="002335F2" w:rsidP="00CA5840">
      <w:pPr>
        <w:ind w:left="0"/>
      </w:pPr>
      <w:r w:rsidRPr="00071F10">
        <w:t>Behavioral Scientist</w:t>
      </w:r>
    </w:p>
    <w:p w14:paraId="72865E2B" w14:textId="77777777" w:rsidR="005758C4" w:rsidRPr="00071F10" w:rsidRDefault="002335F2" w:rsidP="00CA5840">
      <w:pPr>
        <w:ind w:left="0"/>
      </w:pPr>
      <w:r w:rsidRPr="00071F10">
        <w:t>Division of Violence Prevention</w:t>
      </w:r>
    </w:p>
    <w:p w14:paraId="104FDBFD" w14:textId="4309DC6C" w:rsidR="002335F2" w:rsidRPr="00071F10" w:rsidRDefault="002335F2" w:rsidP="00CA5840">
      <w:pPr>
        <w:ind w:left="0"/>
      </w:pPr>
      <w:r w:rsidRPr="00071F10">
        <w:t xml:space="preserve">National Center for Injury Prevention </w:t>
      </w:r>
      <w:r w:rsidR="00C27866" w:rsidRPr="00071F10">
        <w:t>and Control</w:t>
      </w:r>
    </w:p>
    <w:p w14:paraId="4BDEB046" w14:textId="52C5FB8B" w:rsidR="002335F2" w:rsidRPr="00071F10" w:rsidRDefault="002335F2" w:rsidP="00CA5840">
      <w:pPr>
        <w:ind w:left="0"/>
      </w:pPr>
      <w:r w:rsidRPr="00071F10">
        <w:t xml:space="preserve">Centers for Disease Control and Prevention  </w:t>
      </w:r>
    </w:p>
    <w:p w14:paraId="4F5A3487" w14:textId="5D4FD41E" w:rsidR="00321B51" w:rsidRPr="00071F10" w:rsidRDefault="005758C4" w:rsidP="00CA5840">
      <w:pPr>
        <w:ind w:left="0"/>
      </w:pPr>
      <w:r w:rsidRPr="00071F10">
        <w:t>4770 Buford Highway NE, MS F-64</w:t>
      </w:r>
      <w:r w:rsidR="002335F2" w:rsidRPr="00071F10">
        <w:t>, Atlanta, GA 30341</w:t>
      </w:r>
      <w:r w:rsidRPr="00071F10">
        <w:t>-3717</w:t>
      </w:r>
    </w:p>
    <w:p w14:paraId="529DEF37" w14:textId="3D589047" w:rsidR="00321B51" w:rsidRPr="00071F10" w:rsidRDefault="002335F2" w:rsidP="00CA5840">
      <w:pPr>
        <w:ind w:left="0"/>
      </w:pPr>
      <w:r w:rsidRPr="00071F10">
        <w:t>Office: 770-488-0046</w:t>
      </w:r>
    </w:p>
    <w:p w14:paraId="0FEEF876" w14:textId="07D863C9" w:rsidR="00321B51" w:rsidRPr="00071F10" w:rsidRDefault="002335F2" w:rsidP="00CA5840">
      <w:pPr>
        <w:ind w:left="0"/>
      </w:pPr>
      <w:r w:rsidRPr="00071F10">
        <w:t xml:space="preserve">Fax: 770-488-4349 </w:t>
      </w:r>
    </w:p>
    <w:p w14:paraId="6C759F73" w14:textId="5603E8BE" w:rsidR="00CA5840" w:rsidRDefault="003B5907" w:rsidP="003B5907">
      <w:pPr>
        <w:ind w:left="0"/>
        <w:rPr>
          <w:b/>
          <w:sz w:val="28"/>
        </w:rPr>
      </w:pPr>
      <w:r w:rsidRPr="00071F10">
        <w:t xml:space="preserve">Email: </w:t>
      </w:r>
      <w:hyperlink r:id="rId14" w:history="1">
        <w:r w:rsidR="002335F2" w:rsidRPr="00BF51B9">
          <w:rPr>
            <w:rStyle w:val="Hyperlink"/>
          </w:rPr>
          <w:t>lindavo@cdc.gov</w:t>
        </w:r>
      </w:hyperlink>
      <w:r w:rsidR="002335F2">
        <w:rPr>
          <w:color w:val="0070C0"/>
        </w:rPr>
        <w:t xml:space="preserve"> </w:t>
      </w:r>
      <w:r w:rsidR="00CA5840">
        <w:br w:type="page"/>
      </w:r>
    </w:p>
    <w:p w14:paraId="7772E221" w14:textId="77777777" w:rsidR="003860A5" w:rsidRDefault="003860A5" w:rsidP="003860A5">
      <w:pPr>
        <w:pStyle w:val="Heading3"/>
        <w:ind w:left="0"/>
      </w:pPr>
      <w:bookmarkStart w:id="1" w:name="_Toc427752811"/>
      <w:r>
        <w:lastRenderedPageBreak/>
        <w:t>Table of Contents</w:t>
      </w:r>
      <w:bookmarkEnd w:id="1"/>
    </w:p>
    <w:p w14:paraId="0D5A06CD" w14:textId="77777777" w:rsidR="003860A5" w:rsidRPr="003860A5" w:rsidRDefault="003860A5" w:rsidP="003860A5"/>
    <w:p w14:paraId="51C38EDC" w14:textId="0A56CF2F"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24D11">
          <w:rPr>
            <w:noProof/>
            <w:webHidden/>
          </w:rPr>
          <w:t>2</w:t>
        </w:r>
        <w:r w:rsidR="00CC4DAB">
          <w:rPr>
            <w:noProof/>
            <w:webHidden/>
          </w:rPr>
          <w:fldChar w:fldCharType="end"/>
        </w:r>
      </w:hyperlink>
    </w:p>
    <w:p w14:paraId="564C6417" w14:textId="61A307B6" w:rsidR="00CC4DAB" w:rsidRDefault="00942201">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24D11">
          <w:rPr>
            <w:noProof/>
            <w:webHidden/>
          </w:rPr>
          <w:t>4</w:t>
        </w:r>
        <w:r w:rsidR="00CC4DAB">
          <w:rPr>
            <w:noProof/>
            <w:webHidden/>
          </w:rPr>
          <w:fldChar w:fldCharType="end"/>
        </w:r>
      </w:hyperlink>
    </w:p>
    <w:p w14:paraId="4BA89BD9" w14:textId="64F765D3" w:rsidR="00CC4DAB" w:rsidRDefault="00942201">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24D11">
          <w:rPr>
            <w:noProof/>
            <w:webHidden/>
          </w:rPr>
          <w:t>4</w:t>
        </w:r>
        <w:r w:rsidR="00CC4DAB">
          <w:rPr>
            <w:noProof/>
            <w:webHidden/>
          </w:rPr>
          <w:fldChar w:fldCharType="end"/>
        </w:r>
      </w:hyperlink>
    </w:p>
    <w:p w14:paraId="1E6FB757" w14:textId="35202DAB" w:rsidR="00CC4DAB" w:rsidRDefault="00942201">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24D11">
          <w:rPr>
            <w:noProof/>
            <w:webHidden/>
          </w:rPr>
          <w:t>7</w:t>
        </w:r>
        <w:r w:rsidR="00CC4DAB">
          <w:rPr>
            <w:noProof/>
            <w:webHidden/>
          </w:rPr>
          <w:fldChar w:fldCharType="end"/>
        </w:r>
      </w:hyperlink>
    </w:p>
    <w:p w14:paraId="3ED94079" w14:textId="1974E79F" w:rsidR="00CC4DAB" w:rsidRDefault="00942201">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24D11">
          <w:rPr>
            <w:noProof/>
            <w:webHidden/>
          </w:rPr>
          <w:t>7</w:t>
        </w:r>
        <w:r w:rsidR="00CC4DAB">
          <w:rPr>
            <w:noProof/>
            <w:webHidden/>
          </w:rPr>
          <w:fldChar w:fldCharType="end"/>
        </w:r>
      </w:hyperlink>
    </w:p>
    <w:p w14:paraId="2F8B40D1" w14:textId="0B3DAAB1" w:rsidR="00CC4DAB" w:rsidRDefault="00942201">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24D11">
          <w:rPr>
            <w:noProof/>
            <w:webHidden/>
          </w:rPr>
          <w:t>7</w:t>
        </w:r>
        <w:r w:rsidR="00CC4DAB">
          <w:rPr>
            <w:noProof/>
            <w:webHidden/>
          </w:rPr>
          <w:fldChar w:fldCharType="end"/>
        </w:r>
      </w:hyperlink>
    </w:p>
    <w:p w14:paraId="0C426A1F" w14:textId="7B14C0AF" w:rsidR="00CC4DAB" w:rsidRDefault="00942201">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24D11">
          <w:rPr>
            <w:noProof/>
            <w:webHidden/>
          </w:rPr>
          <w:t>7</w:t>
        </w:r>
        <w:r w:rsidR="00CC4DAB">
          <w:rPr>
            <w:noProof/>
            <w:webHidden/>
          </w:rPr>
          <w:fldChar w:fldCharType="end"/>
        </w:r>
      </w:hyperlink>
    </w:p>
    <w:p w14:paraId="6AEDD2B8" w14:textId="6385F9A5" w:rsidR="00CC4DAB" w:rsidRDefault="00942201">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24D11">
          <w:rPr>
            <w:noProof/>
            <w:webHidden/>
          </w:rPr>
          <w:t>8</w:t>
        </w:r>
        <w:r w:rsidR="00CC4DAB">
          <w:rPr>
            <w:noProof/>
            <w:webHidden/>
          </w:rPr>
          <w:fldChar w:fldCharType="end"/>
        </w:r>
      </w:hyperlink>
    </w:p>
    <w:p w14:paraId="40B9C42C" w14:textId="109E9C2B" w:rsidR="00CC4DAB" w:rsidRDefault="00942201">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24D11">
          <w:rPr>
            <w:noProof/>
            <w:webHidden/>
          </w:rPr>
          <w:t>8</w:t>
        </w:r>
        <w:r w:rsidR="00CC4DAB">
          <w:rPr>
            <w:noProof/>
            <w:webHidden/>
          </w:rPr>
          <w:fldChar w:fldCharType="end"/>
        </w:r>
      </w:hyperlink>
    </w:p>
    <w:p w14:paraId="31A7920B" w14:textId="2DA90CB7" w:rsidR="00CC4DAB" w:rsidRDefault="00942201">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24D11">
          <w:rPr>
            <w:noProof/>
            <w:webHidden/>
          </w:rPr>
          <w:t>8</w:t>
        </w:r>
        <w:r w:rsidR="00CC4DAB">
          <w:rPr>
            <w:noProof/>
            <w:webHidden/>
          </w:rPr>
          <w:fldChar w:fldCharType="end"/>
        </w:r>
      </w:hyperlink>
    </w:p>
    <w:p w14:paraId="049A8378" w14:textId="47DC3337" w:rsidR="00CC4DAB" w:rsidRDefault="00942201">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24D11">
          <w:rPr>
            <w:noProof/>
            <w:webHidden/>
          </w:rPr>
          <w:t>8</w:t>
        </w:r>
        <w:r w:rsidR="00CC4DAB">
          <w:rPr>
            <w:noProof/>
            <w:webHidden/>
          </w:rPr>
          <w:fldChar w:fldCharType="end"/>
        </w:r>
      </w:hyperlink>
    </w:p>
    <w:p w14:paraId="36B25368" w14:textId="40D3D68E" w:rsidR="00CC4DAB" w:rsidRDefault="00942201">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24D11">
          <w:rPr>
            <w:noProof/>
            <w:webHidden/>
          </w:rPr>
          <w:t>8</w:t>
        </w:r>
        <w:r w:rsidR="00CC4DAB">
          <w:rPr>
            <w:noProof/>
            <w:webHidden/>
          </w:rPr>
          <w:fldChar w:fldCharType="end"/>
        </w:r>
      </w:hyperlink>
    </w:p>
    <w:p w14:paraId="72369B30" w14:textId="79731563" w:rsidR="00CC4DAB" w:rsidRDefault="00942201">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24D11">
          <w:rPr>
            <w:noProof/>
            <w:webHidden/>
          </w:rPr>
          <w:t>8</w:t>
        </w:r>
        <w:r w:rsidR="00CC4DAB">
          <w:rPr>
            <w:noProof/>
            <w:webHidden/>
          </w:rPr>
          <w:fldChar w:fldCharType="end"/>
        </w:r>
      </w:hyperlink>
    </w:p>
    <w:p w14:paraId="33EC7B8C" w14:textId="387E0008" w:rsidR="00CC4DAB" w:rsidRDefault="00942201">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24D11">
          <w:rPr>
            <w:noProof/>
            <w:webHidden/>
          </w:rPr>
          <w:t>9</w:t>
        </w:r>
        <w:r w:rsidR="00CC4DAB">
          <w:rPr>
            <w:noProof/>
            <w:webHidden/>
          </w:rPr>
          <w:fldChar w:fldCharType="end"/>
        </w:r>
      </w:hyperlink>
    </w:p>
    <w:p w14:paraId="124C6E1F" w14:textId="07D79679" w:rsidR="00CC4DAB" w:rsidRDefault="00942201">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24D11">
          <w:rPr>
            <w:noProof/>
            <w:webHidden/>
          </w:rPr>
          <w:t>9</w:t>
        </w:r>
        <w:r w:rsidR="00CC4DAB">
          <w:rPr>
            <w:noProof/>
            <w:webHidden/>
          </w:rPr>
          <w:fldChar w:fldCharType="end"/>
        </w:r>
      </w:hyperlink>
    </w:p>
    <w:p w14:paraId="192960F3" w14:textId="3165342D" w:rsidR="00CC4DAB" w:rsidRDefault="00942201">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324D11">
          <w:rPr>
            <w:noProof/>
            <w:webHidden/>
          </w:rPr>
          <w:t>9</w:t>
        </w:r>
        <w:r w:rsidR="00CC4DAB">
          <w:rPr>
            <w:noProof/>
            <w:webHidden/>
          </w:rPr>
          <w:fldChar w:fldCharType="end"/>
        </w:r>
      </w:hyperlink>
    </w:p>
    <w:p w14:paraId="6378FAE7" w14:textId="2A989BB9" w:rsidR="00CC4DAB" w:rsidRDefault="00942201">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324D11">
          <w:rPr>
            <w:noProof/>
            <w:webHidden/>
          </w:rPr>
          <w:t>10</w:t>
        </w:r>
        <w:r w:rsidR="00CC4DAB">
          <w:rPr>
            <w:noProof/>
            <w:webHidden/>
          </w:rPr>
          <w:fldChar w:fldCharType="end"/>
        </w:r>
      </w:hyperlink>
    </w:p>
    <w:p w14:paraId="333E6BB3" w14:textId="6A2CB11B" w:rsidR="00CC4DAB" w:rsidRDefault="00942201">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324D11">
          <w:rPr>
            <w:noProof/>
            <w:webHidden/>
          </w:rPr>
          <w:t>10</w:t>
        </w:r>
        <w:r w:rsidR="00CC4DAB">
          <w:rPr>
            <w:noProof/>
            <w:webHidden/>
          </w:rPr>
          <w:fldChar w:fldCharType="end"/>
        </w:r>
      </w:hyperlink>
    </w:p>
    <w:p w14:paraId="7CB68E8F" w14:textId="08548A3C" w:rsidR="00CC4DAB" w:rsidRDefault="00942201">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324D11">
          <w:rPr>
            <w:noProof/>
            <w:webHidden/>
          </w:rPr>
          <w:t>11</w:t>
        </w:r>
        <w:r w:rsidR="00CC4DAB">
          <w:rPr>
            <w:noProof/>
            <w:webHidden/>
          </w:rPr>
          <w:fldChar w:fldCharType="end"/>
        </w:r>
      </w:hyperlink>
    </w:p>
    <w:p w14:paraId="028810AB" w14:textId="73618EDD" w:rsidR="00CC4DAB" w:rsidRDefault="00942201">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24D11">
          <w:rPr>
            <w:noProof/>
            <w:webHidden/>
          </w:rPr>
          <w:t>11</w:t>
        </w:r>
        <w:r w:rsidR="00CC4DAB">
          <w:rPr>
            <w:noProof/>
            <w:webHidden/>
          </w:rPr>
          <w:fldChar w:fldCharType="end"/>
        </w:r>
      </w:hyperlink>
    </w:p>
    <w:p w14:paraId="38F42865" w14:textId="6BCC68DE" w:rsidR="00CC4DAB" w:rsidRDefault="00942201">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324D11">
          <w:rPr>
            <w:noProof/>
            <w:webHidden/>
          </w:rPr>
          <w:t>11</w:t>
        </w:r>
        <w:r w:rsidR="00CC4DAB">
          <w:rPr>
            <w:noProof/>
            <w:webHidden/>
          </w:rPr>
          <w:fldChar w:fldCharType="end"/>
        </w:r>
      </w:hyperlink>
    </w:p>
    <w:p w14:paraId="09BE6DFC" w14:textId="3CB4938F" w:rsidR="00CC4DAB" w:rsidRDefault="00942201">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324D11">
          <w:rPr>
            <w:noProof/>
            <w:webHidden/>
          </w:rPr>
          <w:t>11</w:t>
        </w:r>
        <w:r w:rsidR="00CC4DAB">
          <w:rPr>
            <w:noProof/>
            <w:webHidden/>
          </w:rPr>
          <w:fldChar w:fldCharType="end"/>
        </w:r>
      </w:hyperlink>
    </w:p>
    <w:p w14:paraId="00EF1227" w14:textId="321E7C41" w:rsidR="00FE3AEF" w:rsidRDefault="003860A5" w:rsidP="003B5907">
      <w:pPr>
        <w:pStyle w:val="NoSpacing"/>
      </w:pPr>
      <w:r>
        <w:fldChar w:fldCharType="end"/>
      </w:r>
    </w:p>
    <w:p w14:paraId="066B8C7C" w14:textId="2544E4E3" w:rsidR="00E00645" w:rsidRDefault="00487937" w:rsidP="009A65B4">
      <w:pPr>
        <w:pStyle w:val="NoSpacing"/>
        <w:ind w:left="0"/>
      </w:pPr>
      <w:bookmarkStart w:id="2" w:name="_Toc413847747"/>
      <w:bookmarkStart w:id="3" w:name="_Toc427752812"/>
      <w:r w:rsidRPr="00487937">
        <w:rPr>
          <w:rFonts w:ascii="Calibri" w:eastAsia="Calibri" w:hAnsi="Calibri" w:cs="Times New Roman"/>
          <w:b/>
          <w:noProof/>
        </w:rPr>
        <w:lastRenderedPageBreak/>
        <mc:AlternateContent>
          <mc:Choice Requires="wps">
            <w:drawing>
              <wp:inline distT="0" distB="0" distL="0" distR="0" wp14:anchorId="39ABB1F0" wp14:editId="2C91D20B">
                <wp:extent cx="6381750" cy="6042660"/>
                <wp:effectExtent l="0" t="0" r="19050"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042660"/>
                        </a:xfrm>
                        <a:prstGeom prst="rect">
                          <a:avLst/>
                        </a:prstGeom>
                        <a:solidFill>
                          <a:srgbClr val="FFFFFF"/>
                        </a:solidFill>
                        <a:ln w="9525">
                          <a:solidFill>
                            <a:srgbClr val="000000"/>
                          </a:solidFill>
                          <a:miter lim="800000"/>
                          <a:headEnd/>
                          <a:tailEnd/>
                        </a:ln>
                      </wps:spPr>
                      <wps:txbx>
                        <w:txbxContent>
                          <w:p w14:paraId="3107781E" w14:textId="2DBD4FCD" w:rsidR="00502546" w:rsidRPr="00275914" w:rsidRDefault="00502546" w:rsidP="001361C9">
                            <w:pPr>
                              <w:pStyle w:val="ListParagraph"/>
                              <w:numPr>
                                <w:ilvl w:val="0"/>
                                <w:numId w:val="8"/>
                              </w:numPr>
                              <w:tabs>
                                <w:tab w:val="clear" w:pos="9360"/>
                              </w:tabs>
                            </w:pPr>
                            <w:r w:rsidRPr="000C025F">
                              <w:rPr>
                                <w:b/>
                              </w:rPr>
                              <w:t>Purpose of the data collection</w:t>
                            </w:r>
                            <w:r w:rsidRPr="00275914">
                              <w:rPr>
                                <w:b/>
                              </w:rPr>
                              <w:t xml:space="preserve">: </w:t>
                            </w:r>
                            <w:r w:rsidRPr="00275914">
                              <w:rPr>
                                <w:iCs/>
                              </w:rPr>
                              <w:t xml:space="preserve">The purpose of this </w:t>
                            </w:r>
                            <w:r>
                              <w:rPr>
                                <w:iCs/>
                              </w:rPr>
                              <w:t xml:space="preserve">data </w:t>
                            </w:r>
                            <w:r w:rsidRPr="00275914">
                              <w:rPr>
                                <w:iCs/>
                              </w:rPr>
                              <w:t>collection is to gather</w:t>
                            </w:r>
                            <w:r w:rsidRPr="00275914">
                              <w:rPr>
                                <w:b/>
                              </w:rPr>
                              <w:t xml:space="preserve"> </w:t>
                            </w:r>
                            <w:r w:rsidRPr="00275914">
                              <w:rPr>
                                <w:iCs/>
                              </w:rPr>
                              <w:t>information and</w:t>
                            </w:r>
                            <w:r w:rsidRPr="00275914">
                              <w:rPr>
                                <w:b/>
                              </w:rPr>
                              <w:t xml:space="preserve"> </w:t>
                            </w:r>
                            <w:r w:rsidRPr="00275914">
                              <w:rPr>
                                <w:iCs/>
                              </w:rPr>
                              <w:t xml:space="preserve">lessons learned about how local health department (LHD) </w:t>
                            </w:r>
                            <w:r>
                              <w:rPr>
                                <w:iCs/>
                              </w:rPr>
                              <w:t>receiving CDC 1605 Program funding (</w:t>
                            </w:r>
                            <w:r w:rsidRPr="001361C9">
                              <w:rPr>
                                <w:iCs/>
                              </w:rPr>
                              <w:t xml:space="preserve">Preventing Teen Dating and Youth Violence by Addressing Shared Risk and Protective Factors) </w:t>
                            </w:r>
                            <w:r w:rsidRPr="00275914">
                              <w:rPr>
                                <w:iCs/>
                              </w:rPr>
                              <w:t xml:space="preserve">are implementing </w:t>
                            </w:r>
                            <w:r>
                              <w:rPr>
                                <w:iCs/>
                              </w:rPr>
                              <w:t>strategies to prevent community-</w:t>
                            </w:r>
                            <w:r w:rsidRPr="00275914">
                              <w:rPr>
                                <w:iCs/>
                              </w:rPr>
                              <w:t>wide violence, with specific focus on preventing teen dating violence (TDV) and youth violence (YV)</w:t>
                            </w:r>
                            <w:r>
                              <w:rPr>
                                <w:iCs/>
                              </w:rPr>
                              <w:t>.</w:t>
                            </w:r>
                          </w:p>
                          <w:p w14:paraId="30EC2AA4" w14:textId="77777777" w:rsidR="00502546" w:rsidRPr="00275914" w:rsidRDefault="00502546" w:rsidP="00326C0B">
                            <w:pPr>
                              <w:ind w:left="0"/>
                            </w:pPr>
                          </w:p>
                          <w:p w14:paraId="30F977FA" w14:textId="13714406" w:rsidR="00502546" w:rsidRPr="00275914" w:rsidRDefault="00502546" w:rsidP="00326C0B">
                            <w:pPr>
                              <w:pStyle w:val="ListParagraph"/>
                              <w:numPr>
                                <w:ilvl w:val="0"/>
                                <w:numId w:val="8"/>
                              </w:numPr>
                              <w:tabs>
                                <w:tab w:val="clear" w:pos="9360"/>
                              </w:tabs>
                            </w:pPr>
                            <w:r w:rsidRPr="00275914">
                              <w:rPr>
                                <w:b/>
                              </w:rPr>
                              <w:t xml:space="preserve">Intended use of the resulting data:  </w:t>
                            </w:r>
                            <w:r w:rsidRPr="00275914">
                              <w:rPr>
                                <w:iCs/>
                              </w:rPr>
                              <w:t xml:space="preserve">The findings from this </w:t>
                            </w:r>
                            <w:r>
                              <w:rPr>
                                <w:iCs/>
                              </w:rPr>
                              <w:t>data collection</w:t>
                            </w:r>
                            <w:r w:rsidRPr="00275914">
                              <w:rPr>
                                <w:iCs/>
                              </w:rPr>
                              <w:t xml:space="preserve"> will be used to identify facilitators and barriers, best practices, and areas for improvement for implementing TDV and YV prevention efforts.  </w:t>
                            </w:r>
                            <w:r>
                              <w:rPr>
                                <w:iCs/>
                              </w:rPr>
                              <w:t>This data collection</w:t>
                            </w:r>
                            <w:r w:rsidRPr="00275914">
                              <w:rPr>
                                <w:iCs/>
                              </w:rPr>
                              <w:t xml:space="preserve"> will</w:t>
                            </w:r>
                            <w:r>
                              <w:rPr>
                                <w:iCs/>
                              </w:rPr>
                              <w:t xml:space="preserve"> also be used to</w:t>
                            </w:r>
                            <w:r w:rsidRPr="00275914">
                              <w:rPr>
                                <w:iCs/>
                              </w:rPr>
                              <w:t xml:space="preserve"> </w:t>
                            </w:r>
                            <w:r>
                              <w:rPr>
                                <w:iCs/>
                              </w:rPr>
                              <w:t>improve</w:t>
                            </w:r>
                            <w:r w:rsidRPr="00275914">
                              <w:rPr>
                                <w:iCs/>
                              </w:rPr>
                              <w:t xml:space="preserve"> </w:t>
                            </w:r>
                            <w:r>
                              <w:rPr>
                                <w:iCs/>
                              </w:rPr>
                              <w:t>technical assistance provided to</w:t>
                            </w:r>
                            <w:r w:rsidRPr="00275914">
                              <w:rPr>
                                <w:iCs/>
                              </w:rPr>
                              <w:t xml:space="preserve"> </w:t>
                            </w:r>
                            <w:r>
                              <w:rPr>
                                <w:iCs/>
                              </w:rPr>
                              <w:t>recipients to assist them in</w:t>
                            </w:r>
                            <w:r w:rsidRPr="00275914">
                              <w:rPr>
                                <w:iCs/>
                              </w:rPr>
                              <w:t xml:space="preserve"> achiev</w:t>
                            </w:r>
                            <w:r>
                              <w:rPr>
                                <w:iCs/>
                              </w:rPr>
                              <w:t>ing</w:t>
                            </w:r>
                            <w:r w:rsidRPr="00275914">
                              <w:rPr>
                                <w:iCs/>
                              </w:rPr>
                              <w:t xml:space="preserve"> the goals of the CDC 1605 Program. </w:t>
                            </w:r>
                            <w:r>
                              <w:rPr>
                                <w:iCs/>
                              </w:rPr>
                              <w:t>Additionally, t</w:t>
                            </w:r>
                            <w:r w:rsidRPr="00275914">
                              <w:rPr>
                                <w:iCs/>
                              </w:rPr>
                              <w:t>he findings will supplement other data to highlight recipients’ context and experiences</w:t>
                            </w:r>
                            <w:r>
                              <w:rPr>
                                <w:iCs/>
                              </w:rPr>
                              <w:t xml:space="preserve"> around using </w:t>
                            </w:r>
                            <w:r w:rsidRPr="00275914">
                              <w:rPr>
                                <w:iCs/>
                              </w:rPr>
                              <w:t xml:space="preserve">a multifaceted primary prevention approach to prevent </w:t>
                            </w:r>
                            <w:r>
                              <w:rPr>
                                <w:iCs/>
                              </w:rPr>
                              <w:t>TDV and YV.</w:t>
                            </w:r>
                          </w:p>
                          <w:p w14:paraId="43A18DAC" w14:textId="77777777" w:rsidR="00502546" w:rsidRPr="00275914" w:rsidRDefault="00502546" w:rsidP="00326C0B">
                            <w:pPr>
                              <w:pStyle w:val="ListParagraph"/>
                            </w:pPr>
                          </w:p>
                          <w:p w14:paraId="5C1B1A2E" w14:textId="6471649E" w:rsidR="00502546" w:rsidRPr="00275914" w:rsidRDefault="00502546" w:rsidP="00326C0B">
                            <w:pPr>
                              <w:pStyle w:val="ListParagraph"/>
                              <w:numPr>
                                <w:ilvl w:val="0"/>
                                <w:numId w:val="8"/>
                              </w:numPr>
                              <w:tabs>
                                <w:tab w:val="clear" w:pos="9360"/>
                              </w:tabs>
                            </w:pPr>
                            <w:r w:rsidRPr="00275914">
                              <w:rPr>
                                <w:b/>
                              </w:rPr>
                              <w:t xml:space="preserve">Methods to be used to collect data:  </w:t>
                            </w:r>
                            <w:r w:rsidRPr="00275914">
                              <w:rPr>
                                <w:iCs/>
                              </w:rPr>
                              <w:t xml:space="preserve">Information will be collected via </w:t>
                            </w:r>
                            <w:r>
                              <w:rPr>
                                <w:iCs/>
                              </w:rPr>
                              <w:t>tele</w:t>
                            </w:r>
                            <w:r w:rsidRPr="00275914">
                              <w:rPr>
                                <w:iCs/>
                              </w:rPr>
                              <w:t>phone interviews with program coordinators responsible for coordination and deliv</w:t>
                            </w:r>
                            <w:r>
                              <w:rPr>
                                <w:iCs/>
                              </w:rPr>
                              <w:t>ery of the prevention strategy. The interview guide primarily</w:t>
                            </w:r>
                            <w:r w:rsidRPr="00275914">
                              <w:rPr>
                                <w:iCs/>
                              </w:rPr>
                              <w:t xml:space="preserve"> open-ended questions with probes to clarify or elaborate on the main questions.</w:t>
                            </w:r>
                            <w:r>
                              <w:rPr>
                                <w:iCs/>
                              </w:rPr>
                              <w:t xml:space="preserve"> </w:t>
                            </w:r>
                          </w:p>
                          <w:p w14:paraId="560EEC25" w14:textId="412E1B9F" w:rsidR="00502546" w:rsidRPr="00275914" w:rsidRDefault="00502546" w:rsidP="00326C0B">
                            <w:pPr>
                              <w:ind w:left="0"/>
                            </w:pPr>
                          </w:p>
                          <w:p w14:paraId="41A9E077" w14:textId="13C0C767" w:rsidR="00502546" w:rsidRPr="00275914" w:rsidRDefault="00502546" w:rsidP="003156E3">
                            <w:pPr>
                              <w:pStyle w:val="ListParagraph"/>
                              <w:numPr>
                                <w:ilvl w:val="0"/>
                                <w:numId w:val="8"/>
                              </w:numPr>
                            </w:pPr>
                            <w:r w:rsidRPr="003156E3">
                              <w:rPr>
                                <w:b/>
                              </w:rPr>
                              <w:t xml:space="preserve">Respondent Universe:  </w:t>
                            </w:r>
                            <w:r w:rsidRPr="003156E3">
                              <w:rPr>
                                <w:iCs/>
                              </w:rPr>
                              <w:t xml:space="preserve">The respondent universe includes a total of </w:t>
                            </w:r>
                            <w:r>
                              <w:rPr>
                                <w:iCs/>
                              </w:rPr>
                              <w:t>22</w:t>
                            </w:r>
                            <w:r w:rsidRPr="003156E3">
                              <w:rPr>
                                <w:iCs/>
                              </w:rPr>
                              <w:t xml:space="preserve"> respondents across the five funded recipients: Baltimore City Health Department, Houston Health Department, Minneapolis City Health Department, Monterey County Health Department, and Multnomah County Health Department. Of the </w:t>
                            </w:r>
                            <w:r>
                              <w:rPr>
                                <w:iCs/>
                              </w:rPr>
                              <w:t>22</w:t>
                            </w:r>
                            <w:r w:rsidRPr="003156E3">
                              <w:rPr>
                                <w:iCs/>
                              </w:rPr>
                              <w:t xml:space="preserve">, </w:t>
                            </w:r>
                            <w:r>
                              <w:rPr>
                                <w:iCs/>
                              </w:rPr>
                              <w:t xml:space="preserve">15 </w:t>
                            </w:r>
                            <w:r w:rsidRPr="003156E3">
                              <w:rPr>
                                <w:iCs/>
                              </w:rPr>
                              <w:t xml:space="preserve">are local government staff and </w:t>
                            </w:r>
                            <w:r>
                              <w:rPr>
                                <w:iCs/>
                              </w:rPr>
                              <w:t xml:space="preserve">7 </w:t>
                            </w:r>
                            <w:r w:rsidRPr="003156E3">
                              <w:rPr>
                                <w:iCs/>
                              </w:rPr>
                              <w:t>delegates. Local government staff include</w:t>
                            </w:r>
                            <w:r>
                              <w:rPr>
                                <w:iCs/>
                              </w:rPr>
                              <w:t xml:space="preserve"> </w:t>
                            </w:r>
                            <w:r w:rsidRPr="003156E3">
                              <w:rPr>
                                <w:iCs/>
                              </w:rPr>
                              <w:t>program coordinators within the health department. Delegates include</w:t>
                            </w:r>
                            <w:r>
                              <w:rPr>
                                <w:iCs/>
                              </w:rPr>
                              <w:t xml:space="preserve"> </w:t>
                            </w:r>
                            <w:r w:rsidRPr="003156E3">
                              <w:rPr>
                                <w:iCs/>
                              </w:rPr>
                              <w:t xml:space="preserve">program directors and coordinators of </w:t>
                            </w:r>
                            <w:r>
                              <w:rPr>
                                <w:iCs/>
                              </w:rPr>
                              <w:t xml:space="preserve">non-profit </w:t>
                            </w:r>
                            <w:r w:rsidRPr="00287668">
                              <w:rPr>
                                <w:iCs/>
                              </w:rPr>
                              <w:t>organizations</w:t>
                            </w:r>
                            <w:r>
                              <w:rPr>
                                <w:iCs/>
                              </w:rPr>
                              <w:t xml:space="preserve"> </w:t>
                            </w:r>
                            <w:r w:rsidR="00051544">
                              <w:rPr>
                                <w:iCs/>
                              </w:rPr>
                              <w:t xml:space="preserve">or academic institutions </w:t>
                            </w:r>
                            <w:r>
                              <w:rPr>
                                <w:iCs/>
                              </w:rPr>
                              <w:t>acting on behalf of the local government agencies</w:t>
                            </w:r>
                            <w:r w:rsidRPr="00275914">
                              <w:rPr>
                                <w:iCs/>
                              </w:rPr>
                              <w:t>.</w:t>
                            </w:r>
                            <w:r>
                              <w:rPr>
                                <w:iCs/>
                              </w:rPr>
                              <w:t xml:space="preserve"> U</w:t>
                            </w:r>
                            <w:r w:rsidRPr="003156E3">
                              <w:rPr>
                                <w:iCs/>
                              </w:rPr>
                              <w:t>nder the OSTLTS OMB Clearance Center (O2C2) – OMB No. 0920-0879 generic mechanism</w:t>
                            </w:r>
                            <w:r>
                              <w:rPr>
                                <w:iCs/>
                              </w:rPr>
                              <w:t>, d</w:t>
                            </w:r>
                            <w:r w:rsidRPr="003156E3">
                              <w:rPr>
                                <w:iCs/>
                              </w:rPr>
                              <w:t xml:space="preserve">elegates are governmental or non-governmental agents (agency, function, office, or individual) acting for a principal or submitted by another to represent or act on STLT government behalf. </w:t>
                            </w:r>
                          </w:p>
                          <w:p w14:paraId="1166C47D" w14:textId="77777777" w:rsidR="00502546" w:rsidRPr="00275914" w:rsidRDefault="00502546" w:rsidP="00326C0B">
                            <w:pPr>
                              <w:pStyle w:val="ListParagraph"/>
                            </w:pPr>
                          </w:p>
                          <w:p w14:paraId="2D14FBAA" w14:textId="193963F7" w:rsidR="00502546" w:rsidRPr="00275914" w:rsidRDefault="00502546" w:rsidP="00326C0B">
                            <w:pPr>
                              <w:pStyle w:val="ListParagraph"/>
                              <w:numPr>
                                <w:ilvl w:val="0"/>
                                <w:numId w:val="8"/>
                              </w:numPr>
                              <w:tabs>
                                <w:tab w:val="clear" w:pos="9360"/>
                              </w:tabs>
                              <w:rPr>
                                <w:iCs/>
                              </w:rPr>
                            </w:pPr>
                            <w:r w:rsidRPr="00275914">
                              <w:rPr>
                                <w:b/>
                              </w:rPr>
                              <w:t>How data will be analyzed.</w:t>
                            </w:r>
                            <w:r>
                              <w:rPr>
                                <w:b/>
                              </w:rPr>
                              <w:t xml:space="preserve"> </w:t>
                            </w:r>
                            <w:r w:rsidRPr="00C12531">
                              <w:t>A</w:t>
                            </w:r>
                            <w:r w:rsidRPr="00275914">
                              <w:rPr>
                                <w:iCs/>
                              </w:rPr>
                              <w:t xml:space="preserve"> thematic analysis of the qualitative data will be conducted, which will involve defin</w:t>
                            </w:r>
                            <w:r>
                              <w:rPr>
                                <w:iCs/>
                              </w:rPr>
                              <w:t xml:space="preserve">ing </w:t>
                            </w:r>
                            <w:r w:rsidRPr="00275914">
                              <w:rPr>
                                <w:iCs/>
                              </w:rPr>
                              <w:t>priori</w:t>
                            </w:r>
                            <w:r>
                              <w:rPr>
                                <w:iCs/>
                              </w:rPr>
                              <w:t xml:space="preserve">ty </w:t>
                            </w:r>
                            <w:r w:rsidRPr="00275914">
                              <w:rPr>
                                <w:iCs/>
                              </w:rPr>
                              <w:t xml:space="preserve">topics and </w:t>
                            </w:r>
                            <w:r>
                              <w:rPr>
                                <w:iCs/>
                              </w:rPr>
                              <w:t xml:space="preserve">emerging </w:t>
                            </w:r>
                            <w:r w:rsidRPr="00275914">
                              <w:rPr>
                                <w:iCs/>
                              </w:rPr>
                              <w:t xml:space="preserve">themes.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2.5pt;height:47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tjJQ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XVcno9RxdH3yKfFYtFUi9j5fNz63x4L0CTeKioQ/ET&#10;PDs8+BDTYeVzSPzNg5LNViqVDLerN8qRA8NG2aaVKngRpgzpK3ozL+YjA3+FyNP6E4SWATteSV3R&#10;5TmIlZG3d6ZJ/RiYVOMZU1bmRGTkbmQxDPVwEqaG5oiUOhg7GycRDx24H5T02NUV9d/3zAlK1AeD&#10;stxMZ7M4BsmYza8LNNylp770MMMRqqKBkvG4CWl0ImEG7lC+ViZio85jJqdcsVsT36fJiuNwaaeo&#10;X/O//gkAAP//AwBQSwMEFAAGAAgAAAAhAEUFaWPdAAAABgEAAA8AAABkcnMvZG93bnJldi54bWxM&#10;j8FOwzAQRO9I/IO1SFwQtQs0tCFOhZBAcCttBVc33iZR7XVqu2n4e1wu9DLSaFYzb4v5YA3r0YfW&#10;kYTxSABDqpxuqZawXr3eToGFqEgr4wgl/GCAeXl5UahcuyN9Yr+MNUslFHIloYmxyzkPVYNWhZHr&#10;kFK2dd6qmKyvufbqmMqt4XdCZNyqltJCozp8abDaLQ9WwvThvf8OH/eLryrbmlm8eezf9l7K66vh&#10;+QlYxCH+H8MJP6FDmZg27kA6MCMhPRL/9JQJMUl+I2E2GWfAy4Kf45e/AAAA//8DAFBLAQItABQA&#10;BgAIAAAAIQC2gziS/gAAAOEBAAATAAAAAAAAAAAAAAAAAAAAAABbQ29udGVudF9UeXBlc10ueG1s&#10;UEsBAi0AFAAGAAgAAAAhADj9If/WAAAAlAEAAAsAAAAAAAAAAAAAAAAALwEAAF9yZWxzLy5yZWxz&#10;UEsBAi0AFAAGAAgAAAAhAANKe2MlAgAARwQAAA4AAAAAAAAAAAAAAAAALgIAAGRycy9lMm9Eb2Mu&#10;eG1sUEsBAi0AFAAGAAgAAAAhAEUFaWPdAAAABgEAAA8AAAAAAAAAAAAAAAAAfwQAAGRycy9kb3du&#10;cmV2LnhtbFBLBQYAAAAABAAEAPMAAACJBQAAAAA=&#10;">
                <v:textbox>
                  <w:txbxContent>
                    <w:p w14:paraId="3107781E" w14:textId="2DBD4FCD" w:rsidR="00502546" w:rsidRPr="00275914" w:rsidRDefault="00502546" w:rsidP="001361C9">
                      <w:pPr>
                        <w:pStyle w:val="ListParagraph"/>
                        <w:numPr>
                          <w:ilvl w:val="0"/>
                          <w:numId w:val="8"/>
                        </w:numPr>
                        <w:tabs>
                          <w:tab w:val="clear" w:pos="9360"/>
                        </w:tabs>
                      </w:pPr>
                      <w:r w:rsidRPr="000C025F">
                        <w:rPr>
                          <w:b/>
                        </w:rPr>
                        <w:t>Purpose of the data collection</w:t>
                      </w:r>
                      <w:r w:rsidRPr="00275914">
                        <w:rPr>
                          <w:b/>
                        </w:rPr>
                        <w:t xml:space="preserve">: </w:t>
                      </w:r>
                      <w:r w:rsidRPr="00275914">
                        <w:rPr>
                          <w:iCs/>
                        </w:rPr>
                        <w:t xml:space="preserve">The purpose of this </w:t>
                      </w:r>
                      <w:r>
                        <w:rPr>
                          <w:iCs/>
                        </w:rPr>
                        <w:t xml:space="preserve">data </w:t>
                      </w:r>
                      <w:r w:rsidRPr="00275914">
                        <w:rPr>
                          <w:iCs/>
                        </w:rPr>
                        <w:t>collection is to gather</w:t>
                      </w:r>
                      <w:r w:rsidRPr="00275914">
                        <w:rPr>
                          <w:b/>
                        </w:rPr>
                        <w:t xml:space="preserve"> </w:t>
                      </w:r>
                      <w:r w:rsidRPr="00275914">
                        <w:rPr>
                          <w:iCs/>
                        </w:rPr>
                        <w:t>information and</w:t>
                      </w:r>
                      <w:r w:rsidRPr="00275914">
                        <w:rPr>
                          <w:b/>
                        </w:rPr>
                        <w:t xml:space="preserve"> </w:t>
                      </w:r>
                      <w:r w:rsidRPr="00275914">
                        <w:rPr>
                          <w:iCs/>
                        </w:rPr>
                        <w:t xml:space="preserve">lessons learned about how local health department (LHD) </w:t>
                      </w:r>
                      <w:r>
                        <w:rPr>
                          <w:iCs/>
                        </w:rPr>
                        <w:t>receiving CDC 1605 Program funding (</w:t>
                      </w:r>
                      <w:r w:rsidRPr="001361C9">
                        <w:rPr>
                          <w:iCs/>
                        </w:rPr>
                        <w:t xml:space="preserve">Preventing Teen Dating and Youth Violence by Addressing Shared Risk and Protective Factors) </w:t>
                      </w:r>
                      <w:r w:rsidRPr="00275914">
                        <w:rPr>
                          <w:iCs/>
                        </w:rPr>
                        <w:t xml:space="preserve">are implementing </w:t>
                      </w:r>
                      <w:r>
                        <w:rPr>
                          <w:iCs/>
                        </w:rPr>
                        <w:t>strategies to prevent community-</w:t>
                      </w:r>
                      <w:r w:rsidRPr="00275914">
                        <w:rPr>
                          <w:iCs/>
                        </w:rPr>
                        <w:t>wide violence, with specific focus on preventing teen dating violence (TDV) and youth violence (YV)</w:t>
                      </w:r>
                      <w:r>
                        <w:rPr>
                          <w:iCs/>
                        </w:rPr>
                        <w:t>.</w:t>
                      </w:r>
                    </w:p>
                    <w:p w14:paraId="30EC2AA4" w14:textId="77777777" w:rsidR="00502546" w:rsidRPr="00275914" w:rsidRDefault="00502546" w:rsidP="00326C0B">
                      <w:pPr>
                        <w:ind w:left="0"/>
                      </w:pPr>
                    </w:p>
                    <w:p w14:paraId="30F977FA" w14:textId="13714406" w:rsidR="00502546" w:rsidRPr="00275914" w:rsidRDefault="00502546" w:rsidP="00326C0B">
                      <w:pPr>
                        <w:pStyle w:val="ListParagraph"/>
                        <w:numPr>
                          <w:ilvl w:val="0"/>
                          <w:numId w:val="8"/>
                        </w:numPr>
                        <w:tabs>
                          <w:tab w:val="clear" w:pos="9360"/>
                        </w:tabs>
                      </w:pPr>
                      <w:r w:rsidRPr="00275914">
                        <w:rPr>
                          <w:b/>
                        </w:rPr>
                        <w:t xml:space="preserve">Intended use of the resulting data:  </w:t>
                      </w:r>
                      <w:r w:rsidRPr="00275914">
                        <w:rPr>
                          <w:iCs/>
                        </w:rPr>
                        <w:t xml:space="preserve">The findings from this </w:t>
                      </w:r>
                      <w:r>
                        <w:rPr>
                          <w:iCs/>
                        </w:rPr>
                        <w:t>data collection</w:t>
                      </w:r>
                      <w:r w:rsidRPr="00275914">
                        <w:rPr>
                          <w:iCs/>
                        </w:rPr>
                        <w:t xml:space="preserve"> will be used to identify facilitators and barriers, best practices, and areas for improvement for implementing TDV and YV prevention efforts.  </w:t>
                      </w:r>
                      <w:r>
                        <w:rPr>
                          <w:iCs/>
                        </w:rPr>
                        <w:t>This data collection</w:t>
                      </w:r>
                      <w:r w:rsidRPr="00275914">
                        <w:rPr>
                          <w:iCs/>
                        </w:rPr>
                        <w:t xml:space="preserve"> will</w:t>
                      </w:r>
                      <w:r>
                        <w:rPr>
                          <w:iCs/>
                        </w:rPr>
                        <w:t xml:space="preserve"> also be used to</w:t>
                      </w:r>
                      <w:r w:rsidRPr="00275914">
                        <w:rPr>
                          <w:iCs/>
                        </w:rPr>
                        <w:t xml:space="preserve"> </w:t>
                      </w:r>
                      <w:r>
                        <w:rPr>
                          <w:iCs/>
                        </w:rPr>
                        <w:t>improve</w:t>
                      </w:r>
                      <w:r w:rsidRPr="00275914">
                        <w:rPr>
                          <w:iCs/>
                        </w:rPr>
                        <w:t xml:space="preserve"> </w:t>
                      </w:r>
                      <w:r>
                        <w:rPr>
                          <w:iCs/>
                        </w:rPr>
                        <w:t>technical assistance provided to</w:t>
                      </w:r>
                      <w:r w:rsidRPr="00275914">
                        <w:rPr>
                          <w:iCs/>
                        </w:rPr>
                        <w:t xml:space="preserve"> </w:t>
                      </w:r>
                      <w:r>
                        <w:rPr>
                          <w:iCs/>
                        </w:rPr>
                        <w:t>recipients to assist them in</w:t>
                      </w:r>
                      <w:r w:rsidRPr="00275914">
                        <w:rPr>
                          <w:iCs/>
                        </w:rPr>
                        <w:t xml:space="preserve"> achiev</w:t>
                      </w:r>
                      <w:r>
                        <w:rPr>
                          <w:iCs/>
                        </w:rPr>
                        <w:t>ing</w:t>
                      </w:r>
                      <w:r w:rsidRPr="00275914">
                        <w:rPr>
                          <w:iCs/>
                        </w:rPr>
                        <w:t xml:space="preserve"> the goals of the CDC 1605 Program. </w:t>
                      </w:r>
                      <w:r>
                        <w:rPr>
                          <w:iCs/>
                        </w:rPr>
                        <w:t>Additionally, t</w:t>
                      </w:r>
                      <w:r w:rsidRPr="00275914">
                        <w:rPr>
                          <w:iCs/>
                        </w:rPr>
                        <w:t>he findings will supplement other data to highlight recipients’ context and experiences</w:t>
                      </w:r>
                      <w:r>
                        <w:rPr>
                          <w:iCs/>
                        </w:rPr>
                        <w:t xml:space="preserve"> around using </w:t>
                      </w:r>
                      <w:r w:rsidRPr="00275914">
                        <w:rPr>
                          <w:iCs/>
                        </w:rPr>
                        <w:t xml:space="preserve">a multifaceted primary prevention approach to prevent </w:t>
                      </w:r>
                      <w:r>
                        <w:rPr>
                          <w:iCs/>
                        </w:rPr>
                        <w:t>TDV and YV.</w:t>
                      </w:r>
                    </w:p>
                    <w:p w14:paraId="43A18DAC" w14:textId="77777777" w:rsidR="00502546" w:rsidRPr="00275914" w:rsidRDefault="00502546" w:rsidP="00326C0B">
                      <w:pPr>
                        <w:pStyle w:val="ListParagraph"/>
                      </w:pPr>
                    </w:p>
                    <w:p w14:paraId="5C1B1A2E" w14:textId="6471649E" w:rsidR="00502546" w:rsidRPr="00275914" w:rsidRDefault="00502546" w:rsidP="00326C0B">
                      <w:pPr>
                        <w:pStyle w:val="ListParagraph"/>
                        <w:numPr>
                          <w:ilvl w:val="0"/>
                          <w:numId w:val="8"/>
                        </w:numPr>
                        <w:tabs>
                          <w:tab w:val="clear" w:pos="9360"/>
                        </w:tabs>
                      </w:pPr>
                      <w:r w:rsidRPr="00275914">
                        <w:rPr>
                          <w:b/>
                        </w:rPr>
                        <w:t xml:space="preserve">Methods to be used to collect data:  </w:t>
                      </w:r>
                      <w:r w:rsidRPr="00275914">
                        <w:rPr>
                          <w:iCs/>
                        </w:rPr>
                        <w:t xml:space="preserve">Information will be collected via </w:t>
                      </w:r>
                      <w:r>
                        <w:rPr>
                          <w:iCs/>
                        </w:rPr>
                        <w:t>tele</w:t>
                      </w:r>
                      <w:r w:rsidRPr="00275914">
                        <w:rPr>
                          <w:iCs/>
                        </w:rPr>
                        <w:t>phone interviews with program coordinators responsible for coordination and deliv</w:t>
                      </w:r>
                      <w:r>
                        <w:rPr>
                          <w:iCs/>
                        </w:rPr>
                        <w:t>ery of the prevention strategy. The interview guide primarily</w:t>
                      </w:r>
                      <w:r w:rsidRPr="00275914">
                        <w:rPr>
                          <w:iCs/>
                        </w:rPr>
                        <w:t xml:space="preserve"> open-ended questions with probes to clarify or elaborate on the main questions.</w:t>
                      </w:r>
                      <w:r>
                        <w:rPr>
                          <w:iCs/>
                        </w:rPr>
                        <w:t xml:space="preserve"> </w:t>
                      </w:r>
                    </w:p>
                    <w:p w14:paraId="560EEC25" w14:textId="412E1B9F" w:rsidR="00502546" w:rsidRPr="00275914" w:rsidRDefault="00502546" w:rsidP="00326C0B">
                      <w:pPr>
                        <w:ind w:left="0"/>
                      </w:pPr>
                    </w:p>
                    <w:p w14:paraId="41A9E077" w14:textId="13C0C767" w:rsidR="00502546" w:rsidRPr="00275914" w:rsidRDefault="00502546" w:rsidP="003156E3">
                      <w:pPr>
                        <w:pStyle w:val="ListParagraph"/>
                        <w:numPr>
                          <w:ilvl w:val="0"/>
                          <w:numId w:val="8"/>
                        </w:numPr>
                      </w:pPr>
                      <w:r w:rsidRPr="003156E3">
                        <w:rPr>
                          <w:b/>
                        </w:rPr>
                        <w:t xml:space="preserve">Respondent Universe:  </w:t>
                      </w:r>
                      <w:r w:rsidRPr="003156E3">
                        <w:rPr>
                          <w:iCs/>
                        </w:rPr>
                        <w:t xml:space="preserve">The respondent universe includes a total of </w:t>
                      </w:r>
                      <w:r>
                        <w:rPr>
                          <w:iCs/>
                        </w:rPr>
                        <w:t>22</w:t>
                      </w:r>
                      <w:r w:rsidRPr="003156E3">
                        <w:rPr>
                          <w:iCs/>
                        </w:rPr>
                        <w:t xml:space="preserve"> respondents across the five funded recipients: Baltimore City Health Department, Houston Health Department, Minneapolis City Health Department, Monterey County Health Department, and Multnomah County Health Department. Of the </w:t>
                      </w:r>
                      <w:r>
                        <w:rPr>
                          <w:iCs/>
                        </w:rPr>
                        <w:t>22</w:t>
                      </w:r>
                      <w:r w:rsidRPr="003156E3">
                        <w:rPr>
                          <w:iCs/>
                        </w:rPr>
                        <w:t xml:space="preserve">, </w:t>
                      </w:r>
                      <w:r>
                        <w:rPr>
                          <w:iCs/>
                        </w:rPr>
                        <w:t xml:space="preserve">15 </w:t>
                      </w:r>
                      <w:r w:rsidRPr="003156E3">
                        <w:rPr>
                          <w:iCs/>
                        </w:rPr>
                        <w:t xml:space="preserve">are local government staff and </w:t>
                      </w:r>
                      <w:r>
                        <w:rPr>
                          <w:iCs/>
                        </w:rPr>
                        <w:t xml:space="preserve">7 </w:t>
                      </w:r>
                      <w:r w:rsidRPr="003156E3">
                        <w:rPr>
                          <w:iCs/>
                        </w:rPr>
                        <w:t>delegates. Local government staff include</w:t>
                      </w:r>
                      <w:r>
                        <w:rPr>
                          <w:iCs/>
                        </w:rPr>
                        <w:t xml:space="preserve"> </w:t>
                      </w:r>
                      <w:r w:rsidRPr="003156E3">
                        <w:rPr>
                          <w:iCs/>
                        </w:rPr>
                        <w:t>program coordinators within the health department. Delegates include</w:t>
                      </w:r>
                      <w:r>
                        <w:rPr>
                          <w:iCs/>
                        </w:rPr>
                        <w:t xml:space="preserve"> </w:t>
                      </w:r>
                      <w:r w:rsidRPr="003156E3">
                        <w:rPr>
                          <w:iCs/>
                        </w:rPr>
                        <w:t xml:space="preserve">program directors and coordinators of </w:t>
                      </w:r>
                      <w:r>
                        <w:rPr>
                          <w:iCs/>
                        </w:rPr>
                        <w:t xml:space="preserve">non-profit </w:t>
                      </w:r>
                      <w:r w:rsidRPr="00287668">
                        <w:rPr>
                          <w:iCs/>
                        </w:rPr>
                        <w:t>organizations</w:t>
                      </w:r>
                      <w:r>
                        <w:rPr>
                          <w:iCs/>
                        </w:rPr>
                        <w:t xml:space="preserve"> </w:t>
                      </w:r>
                      <w:r w:rsidR="00051544">
                        <w:rPr>
                          <w:iCs/>
                        </w:rPr>
                        <w:t xml:space="preserve">or academic institutions </w:t>
                      </w:r>
                      <w:r>
                        <w:rPr>
                          <w:iCs/>
                        </w:rPr>
                        <w:t>acting on behalf of the local government agencies</w:t>
                      </w:r>
                      <w:r w:rsidRPr="00275914">
                        <w:rPr>
                          <w:iCs/>
                        </w:rPr>
                        <w:t>.</w:t>
                      </w:r>
                      <w:r>
                        <w:rPr>
                          <w:iCs/>
                        </w:rPr>
                        <w:t xml:space="preserve"> U</w:t>
                      </w:r>
                      <w:r w:rsidRPr="003156E3">
                        <w:rPr>
                          <w:iCs/>
                        </w:rPr>
                        <w:t>nder the OSTLTS OMB Clearance Center (O2C2) – OMB No. 0920-0879 generic mechanism</w:t>
                      </w:r>
                      <w:r>
                        <w:rPr>
                          <w:iCs/>
                        </w:rPr>
                        <w:t>, d</w:t>
                      </w:r>
                      <w:r w:rsidRPr="003156E3">
                        <w:rPr>
                          <w:iCs/>
                        </w:rPr>
                        <w:t xml:space="preserve">elegates are governmental or non-governmental agents (agency, function, office, or individual) acting for a principal or submitted by another to represent or act on STLT government behalf. </w:t>
                      </w:r>
                    </w:p>
                    <w:p w14:paraId="1166C47D" w14:textId="77777777" w:rsidR="00502546" w:rsidRPr="00275914" w:rsidRDefault="00502546" w:rsidP="00326C0B">
                      <w:pPr>
                        <w:pStyle w:val="ListParagraph"/>
                      </w:pPr>
                    </w:p>
                    <w:p w14:paraId="2D14FBAA" w14:textId="193963F7" w:rsidR="00502546" w:rsidRPr="00275914" w:rsidRDefault="00502546" w:rsidP="00326C0B">
                      <w:pPr>
                        <w:pStyle w:val="ListParagraph"/>
                        <w:numPr>
                          <w:ilvl w:val="0"/>
                          <w:numId w:val="8"/>
                        </w:numPr>
                        <w:tabs>
                          <w:tab w:val="clear" w:pos="9360"/>
                        </w:tabs>
                        <w:rPr>
                          <w:iCs/>
                        </w:rPr>
                      </w:pPr>
                      <w:r w:rsidRPr="00275914">
                        <w:rPr>
                          <w:b/>
                        </w:rPr>
                        <w:t>How data will be analyzed.</w:t>
                      </w:r>
                      <w:r>
                        <w:rPr>
                          <w:b/>
                        </w:rPr>
                        <w:t xml:space="preserve"> </w:t>
                      </w:r>
                      <w:r w:rsidRPr="00C12531">
                        <w:t>A</w:t>
                      </w:r>
                      <w:r w:rsidRPr="00275914">
                        <w:rPr>
                          <w:iCs/>
                        </w:rPr>
                        <w:t xml:space="preserve"> thematic analysis of the qualitative data will be conducted, which will involve defin</w:t>
                      </w:r>
                      <w:r>
                        <w:rPr>
                          <w:iCs/>
                        </w:rPr>
                        <w:t xml:space="preserve">ing </w:t>
                      </w:r>
                      <w:r w:rsidRPr="00275914">
                        <w:rPr>
                          <w:iCs/>
                        </w:rPr>
                        <w:t>priori</w:t>
                      </w:r>
                      <w:r>
                        <w:rPr>
                          <w:iCs/>
                        </w:rPr>
                        <w:t xml:space="preserve">ty </w:t>
                      </w:r>
                      <w:r w:rsidRPr="00275914">
                        <w:rPr>
                          <w:iCs/>
                        </w:rPr>
                        <w:t xml:space="preserve">topics and </w:t>
                      </w:r>
                      <w:r>
                        <w:rPr>
                          <w:iCs/>
                        </w:rPr>
                        <w:t xml:space="preserve">emerging </w:t>
                      </w:r>
                      <w:r w:rsidRPr="00275914">
                        <w:rPr>
                          <w:iCs/>
                        </w:rPr>
                        <w:t xml:space="preserve">themes.  </w:t>
                      </w:r>
                    </w:p>
                  </w:txbxContent>
                </v:textbox>
                <w10:anchorlock/>
              </v:shape>
            </w:pict>
          </mc:Fallback>
        </mc:AlternateContent>
      </w:r>
      <w:bookmarkEnd w:id="2"/>
      <w:bookmarkEnd w:id="3"/>
    </w:p>
    <w:p w14:paraId="402F793D" w14:textId="18F3D4F6" w:rsidR="002C724E" w:rsidRDefault="002C724E" w:rsidP="002C724E">
      <w:bookmarkStart w:id="4" w:name="_Toc427752813"/>
    </w:p>
    <w:p w14:paraId="5D3D90F2" w14:textId="619F7EAE" w:rsidR="00071F10" w:rsidRDefault="00071F10" w:rsidP="002C724E"/>
    <w:p w14:paraId="6D90D1D0" w14:textId="4273FA0B" w:rsidR="00264B44" w:rsidRDefault="00264B44" w:rsidP="00470423">
      <w:pPr>
        <w:ind w:left="0"/>
      </w:pPr>
    </w:p>
    <w:p w14:paraId="43C0FCDA" w14:textId="77777777" w:rsidR="00D74F79" w:rsidRDefault="00D74F79">
      <w:pPr>
        <w:tabs>
          <w:tab w:val="clear" w:pos="9360"/>
        </w:tabs>
        <w:spacing w:after="200"/>
        <w:ind w:left="0"/>
        <w:rPr>
          <w:b/>
          <w:sz w:val="28"/>
        </w:rPr>
      </w:pPr>
      <w:r>
        <w:br w:type="page"/>
      </w:r>
    </w:p>
    <w:p w14:paraId="7A982DE8" w14:textId="75FB4633" w:rsidR="00CD1EA8" w:rsidRPr="007D6163" w:rsidRDefault="00CD1EA8" w:rsidP="002C724E">
      <w:pPr>
        <w:pStyle w:val="Heading3"/>
        <w:ind w:left="0"/>
      </w:pPr>
      <w:r w:rsidRPr="007D6163">
        <w:t>Section A</w:t>
      </w:r>
      <w:r w:rsidR="00B12F51" w:rsidRPr="007D6163">
        <w:t xml:space="preserve"> – Justification</w:t>
      </w:r>
      <w:bookmarkEnd w:id="4"/>
    </w:p>
    <w:p w14:paraId="3B26225B" w14:textId="77777777" w:rsidR="00B12F51" w:rsidRDefault="00B12F51" w:rsidP="007D6163"/>
    <w:p w14:paraId="4100C750"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55EB2220" w14:textId="77777777" w:rsidR="00E33E1B" w:rsidRPr="007D6163" w:rsidRDefault="00E33E1B" w:rsidP="007B7C44">
      <w:pPr>
        <w:pStyle w:val="Heading5"/>
        <w:spacing w:after="120"/>
        <w:ind w:left="360"/>
      </w:pPr>
      <w:r w:rsidRPr="008B12FA">
        <w:t>Background</w:t>
      </w:r>
    </w:p>
    <w:p w14:paraId="38890C34" w14:textId="4550A9FC" w:rsidR="0019164D" w:rsidRDefault="004F67A8" w:rsidP="00D1350B">
      <w:pPr>
        <w:ind w:left="360"/>
        <w:rPr>
          <w:color w:val="0070C0"/>
        </w:rPr>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w:t>
      </w:r>
      <w:r w:rsidR="009252DC" w:rsidRPr="00EA1FC0">
        <w:t xml:space="preserve">for this </w:t>
      </w:r>
      <w:r w:rsidR="00157413" w:rsidRPr="00EA1FC0">
        <w:t>information collection aligns with that of the O2C2.</w:t>
      </w:r>
      <w:r w:rsidR="009252DC" w:rsidRPr="00EA1FC0">
        <w:t xml:space="preserve"> </w:t>
      </w:r>
      <w:r w:rsidR="0019164D" w:rsidRPr="00EA1FC0">
        <w:t xml:space="preserve">Data will be collected from </w:t>
      </w:r>
      <w:r w:rsidR="008B12FA" w:rsidRPr="00EA1FC0">
        <w:t xml:space="preserve">a total of </w:t>
      </w:r>
      <w:r w:rsidR="001D1D62" w:rsidRPr="00EA1FC0">
        <w:t>22</w:t>
      </w:r>
      <w:r w:rsidR="00B53C5C" w:rsidRPr="00EA1FC0">
        <w:t xml:space="preserve"> respondents</w:t>
      </w:r>
      <w:r w:rsidR="0019164D" w:rsidRPr="00EA1FC0">
        <w:t xml:space="preserve"> across</w:t>
      </w:r>
      <w:r w:rsidR="001E7537" w:rsidRPr="00EA1FC0">
        <w:t xml:space="preserve"> </w:t>
      </w:r>
      <w:r w:rsidR="00372235" w:rsidRPr="00EA1FC0">
        <w:t>five</w:t>
      </w:r>
      <w:r w:rsidR="00E5576D" w:rsidRPr="00EA1FC0">
        <w:t xml:space="preserve"> </w:t>
      </w:r>
      <w:r w:rsidR="00B53C5C" w:rsidRPr="00EA1FC0">
        <w:t>local health departments (LHDs</w:t>
      </w:r>
      <w:r w:rsidR="006D6D91" w:rsidRPr="00EA1FC0">
        <w:t>) funded through the CDC 1605 Program (Preventing Teen Dating and Youth Violence by Addressing Shared Risk and Protective Factors)</w:t>
      </w:r>
      <w:r w:rsidR="0019164D" w:rsidRPr="00EA1FC0">
        <w:t>.</w:t>
      </w:r>
      <w:r w:rsidR="008B12FA" w:rsidRPr="00EA1FC0">
        <w:t xml:space="preserve"> Respondents acting in their official capacities include</w:t>
      </w:r>
      <w:r w:rsidR="004759A0" w:rsidRPr="00EA1FC0">
        <w:t xml:space="preserve"> program </w:t>
      </w:r>
      <w:r w:rsidR="00EA1FC0" w:rsidRPr="00EA1FC0">
        <w:t xml:space="preserve">coordinators </w:t>
      </w:r>
      <w:r w:rsidR="00891865" w:rsidRPr="00EA1FC0">
        <w:t xml:space="preserve">who are employees of </w:t>
      </w:r>
      <w:r w:rsidR="00312C74" w:rsidRPr="00EA1FC0">
        <w:t>local</w:t>
      </w:r>
      <w:r w:rsidR="00891865" w:rsidRPr="00EA1FC0">
        <w:t xml:space="preserve"> government agencies</w:t>
      </w:r>
      <w:r w:rsidR="006555D3" w:rsidRPr="00EA1FC0">
        <w:t xml:space="preserve"> </w:t>
      </w:r>
      <w:r w:rsidR="00312C74" w:rsidRPr="00EA1FC0">
        <w:t xml:space="preserve">(e.g. municipal, city, or county) </w:t>
      </w:r>
      <w:r w:rsidR="006555D3" w:rsidRPr="00EA1FC0">
        <w:t>with responsibilit</w:t>
      </w:r>
      <w:r w:rsidR="004759A0" w:rsidRPr="00EA1FC0">
        <w:t>ies of coordination</w:t>
      </w:r>
      <w:r w:rsidR="006555D3" w:rsidRPr="00EA1FC0">
        <w:t xml:space="preserve">, management, or delivery of </w:t>
      </w:r>
      <w:r w:rsidR="00D1350B" w:rsidRPr="00EA1FC0">
        <w:t xml:space="preserve">violence prevention </w:t>
      </w:r>
      <w:r w:rsidR="006555D3" w:rsidRPr="00EA1FC0">
        <w:t>programs or services</w:t>
      </w:r>
      <w:r w:rsidR="00891865" w:rsidRPr="00EA1FC0">
        <w:t xml:space="preserve">. </w:t>
      </w:r>
      <w:r w:rsidR="00D53F10" w:rsidRPr="00EA1FC0">
        <w:t>Delegates include program directors and coordinators of</w:t>
      </w:r>
      <w:r w:rsidR="00C35E33">
        <w:t xml:space="preserve"> </w:t>
      </w:r>
      <w:r w:rsidR="00D53F10" w:rsidRPr="00C35E33">
        <w:t xml:space="preserve">organizations </w:t>
      </w:r>
      <w:r w:rsidR="00D53F10" w:rsidRPr="00287668">
        <w:t>acting on behalf of the local government agencies</w:t>
      </w:r>
      <w:r w:rsidR="00EE7366" w:rsidRPr="00EA1FC0">
        <w:t xml:space="preserve">. Respondents will be invited to participate from a list of potential respondents that each funded LHDs’ project director or principal investigators </w:t>
      </w:r>
      <w:r w:rsidR="00EE7366" w:rsidRPr="00D01E65">
        <w:t>identified</w:t>
      </w:r>
      <w:r w:rsidR="00E5576D" w:rsidRPr="00D01E65">
        <w:t xml:space="preserve"> </w:t>
      </w:r>
      <w:r w:rsidR="00891865" w:rsidRPr="00D01E65">
        <w:t>(</w:t>
      </w:r>
      <w:r w:rsidR="00D53F10" w:rsidRPr="00D01E65">
        <w:t>see</w:t>
      </w:r>
      <w:r w:rsidR="00D53F10" w:rsidRPr="00EA1FC0">
        <w:rPr>
          <w:b/>
        </w:rPr>
        <w:t xml:space="preserve"> </w:t>
      </w:r>
      <w:r w:rsidR="00891865" w:rsidRPr="00EA1FC0">
        <w:rPr>
          <w:b/>
        </w:rPr>
        <w:t>A</w:t>
      </w:r>
      <w:r w:rsidR="00613BCF" w:rsidRPr="00EA1FC0">
        <w:rPr>
          <w:b/>
        </w:rPr>
        <w:t>t</w:t>
      </w:r>
      <w:r w:rsidR="00891865" w:rsidRPr="00EA1FC0">
        <w:rPr>
          <w:b/>
        </w:rPr>
        <w:t xml:space="preserve">tachment </w:t>
      </w:r>
      <w:r w:rsidR="00D53F10" w:rsidRPr="00EA1FC0">
        <w:rPr>
          <w:b/>
        </w:rPr>
        <w:t>A—</w:t>
      </w:r>
      <w:r w:rsidR="00CB08D7" w:rsidRPr="00EA1FC0">
        <w:rPr>
          <w:b/>
        </w:rPr>
        <w:t>Respondent List</w:t>
      </w:r>
      <w:r w:rsidR="00891865" w:rsidRPr="00EA1FC0">
        <w:t xml:space="preserve">). </w:t>
      </w:r>
    </w:p>
    <w:p w14:paraId="3C5269E2" w14:textId="6E47F6A9" w:rsidR="00711989" w:rsidRDefault="00711989" w:rsidP="007B7C44">
      <w:pPr>
        <w:ind w:left="360"/>
      </w:pPr>
    </w:p>
    <w:p w14:paraId="14CBAF16" w14:textId="0F11AB36" w:rsidR="00711989" w:rsidRDefault="00072302" w:rsidP="00D1350B">
      <w:pPr>
        <w:ind w:left="360"/>
        <w:rPr>
          <w:color w:val="0070C0"/>
        </w:rPr>
      </w:pPr>
      <w:r w:rsidRPr="00473D35">
        <w:t xml:space="preserve">These individuals are considered as delegates </w:t>
      </w:r>
      <w:r w:rsidR="00D1350B" w:rsidRPr="00D1350B">
        <w:t>of the local</w:t>
      </w:r>
      <w:r w:rsidR="00C35E33">
        <w:t xml:space="preserve"> </w:t>
      </w:r>
      <w:r w:rsidR="00D1350B" w:rsidRPr="00D1350B">
        <w:t>health departments</w:t>
      </w:r>
      <w:r w:rsidR="00D1350B" w:rsidRPr="00473D35">
        <w:t xml:space="preserve"> </w:t>
      </w:r>
      <w:r w:rsidRPr="00473D35">
        <w:t>under the OSTLTS OMB Clearance Center (O2C2) – OMB No. 0920-0879 generic mechanism</w:t>
      </w:r>
      <w:r w:rsidR="00D1350B">
        <w:t xml:space="preserve"> </w:t>
      </w:r>
      <w:r w:rsidR="00711989" w:rsidRPr="00D1350B">
        <w:t>for the following reasons:</w:t>
      </w:r>
      <w:r w:rsidR="00711989" w:rsidRPr="00473D35">
        <w:rPr>
          <w:color w:val="0070C0"/>
        </w:rPr>
        <w:t xml:space="preserve">  </w:t>
      </w:r>
    </w:p>
    <w:p w14:paraId="3ABA48FD" w14:textId="77777777" w:rsidR="00CD3769" w:rsidRDefault="00CD3769" w:rsidP="00D1350B">
      <w:pPr>
        <w:ind w:left="360"/>
        <w:rPr>
          <w:color w:val="0070C0"/>
        </w:rPr>
      </w:pPr>
    </w:p>
    <w:p w14:paraId="6DFC8B75" w14:textId="4354FDDF" w:rsidR="00711989" w:rsidRPr="00EA1FC0" w:rsidRDefault="00711989" w:rsidP="00E246B6">
      <w:pPr>
        <w:pStyle w:val="ListParagraph"/>
        <w:numPr>
          <w:ilvl w:val="1"/>
          <w:numId w:val="20"/>
        </w:numPr>
      </w:pPr>
      <w:r w:rsidRPr="00FD2F03">
        <w:rPr>
          <w:rFonts w:cs="Arial"/>
          <w:bCs/>
        </w:rPr>
        <w:t>As per 0920-0879 Generic ICR language, “delegates are go</w:t>
      </w:r>
      <w:r w:rsidRPr="00EA1FC0">
        <w:rPr>
          <w:rFonts w:cs="Arial"/>
          <w:bCs/>
        </w:rPr>
        <w:t xml:space="preserve">vernmental or non-governmental agents (agency, function, office or individual) acting for a principal or submitted by another to represent or act on STLT government behalf.” </w:t>
      </w:r>
      <w:r w:rsidRPr="00EA1FC0">
        <w:t xml:space="preserve">The delegates </w:t>
      </w:r>
      <w:r w:rsidR="00272C56">
        <w:t xml:space="preserve">in this information collection </w:t>
      </w:r>
      <w:r w:rsidRPr="00EA1FC0">
        <w:t xml:space="preserve">include </w:t>
      </w:r>
      <w:r w:rsidR="000A0BC7" w:rsidRPr="00EA1FC0">
        <w:t xml:space="preserve">program directors and coordinators of </w:t>
      </w:r>
      <w:r w:rsidR="00051544">
        <w:t xml:space="preserve">non-profit </w:t>
      </w:r>
      <w:r w:rsidR="000A0BC7" w:rsidRPr="00EA1FC0">
        <w:t>organizations</w:t>
      </w:r>
      <w:r w:rsidR="00051544">
        <w:t xml:space="preserve"> or academic institutions</w:t>
      </w:r>
      <w:r w:rsidR="00287668">
        <w:t xml:space="preserve"> that </w:t>
      </w:r>
      <w:r w:rsidR="000A0BC7" w:rsidRPr="00EA1FC0">
        <w:t xml:space="preserve">are either contracted </w:t>
      </w:r>
      <w:r w:rsidR="00272C56">
        <w:t xml:space="preserve">to </w:t>
      </w:r>
      <w:r w:rsidR="000A0BC7" w:rsidRPr="00EA1FC0">
        <w:t xml:space="preserve">or granted by </w:t>
      </w:r>
      <w:r w:rsidR="00E10A76">
        <w:t>the local health department</w:t>
      </w:r>
      <w:r w:rsidR="00272C56">
        <w:t>s</w:t>
      </w:r>
      <w:r w:rsidR="00E10A76">
        <w:t xml:space="preserve"> </w:t>
      </w:r>
      <w:r w:rsidR="000A0BC7" w:rsidRPr="00EA1FC0">
        <w:t xml:space="preserve">to coordinate and implement </w:t>
      </w:r>
      <w:r w:rsidR="001D1D62" w:rsidRPr="00EA1FC0">
        <w:t>violence prevention strategies</w:t>
      </w:r>
      <w:r w:rsidR="00272C56">
        <w:t xml:space="preserve"> on their behalf</w:t>
      </w:r>
      <w:r w:rsidR="001D1D62" w:rsidRPr="00EA1FC0">
        <w:t>, especially teen dating violence (TDV) and youth violence (YV)</w:t>
      </w:r>
      <w:r w:rsidR="00736590">
        <w:t>.</w:t>
      </w:r>
      <w:r w:rsidR="000A0BC7" w:rsidRPr="00EA1FC0">
        <w:t xml:space="preserve"> </w:t>
      </w:r>
    </w:p>
    <w:p w14:paraId="4C740104" w14:textId="6ED1C63B" w:rsidR="00711989" w:rsidRPr="00EA1FC0" w:rsidRDefault="00272C56" w:rsidP="00E246B6">
      <w:pPr>
        <w:pStyle w:val="ListParagraph"/>
        <w:numPr>
          <w:ilvl w:val="1"/>
          <w:numId w:val="20"/>
        </w:numPr>
      </w:pPr>
      <w:r>
        <w:rPr>
          <w:rFonts w:eastAsia="SimSun" w:cs="Times New Roman"/>
        </w:rPr>
        <w:t>The</w:t>
      </w:r>
      <w:r w:rsidR="00711989" w:rsidRPr="00EA1FC0">
        <w:t xml:space="preserve"> following essential public health services</w:t>
      </w:r>
      <w:r>
        <w:t xml:space="preserve"> are tasked by the LHD to the delegates</w:t>
      </w:r>
      <w:r w:rsidR="00711989" w:rsidRPr="00EA1FC0">
        <w:t>:</w:t>
      </w:r>
    </w:p>
    <w:p w14:paraId="31E4AE18" w14:textId="00AEABDD" w:rsidR="00C46227" w:rsidRPr="00EA1FC0" w:rsidRDefault="00C46227" w:rsidP="00473D35">
      <w:pPr>
        <w:pStyle w:val="ListParagraph"/>
        <w:numPr>
          <w:ilvl w:val="2"/>
          <w:numId w:val="24"/>
        </w:numPr>
        <w:ind w:left="1260" w:hanging="270"/>
      </w:pPr>
      <w:r w:rsidRPr="00EA1FC0">
        <w:t>Educat</w:t>
      </w:r>
      <w:r w:rsidR="00272C56">
        <w:t>ing</w:t>
      </w:r>
      <w:r w:rsidRPr="00EA1FC0">
        <w:t xml:space="preserve"> and inform</w:t>
      </w:r>
      <w:r w:rsidR="00272C56">
        <w:t>ing</w:t>
      </w:r>
      <w:r w:rsidRPr="00EA1FC0">
        <w:t xml:space="preserve"> the community about violence prevention, especially </w:t>
      </w:r>
      <w:r w:rsidR="00473D35" w:rsidRPr="00EA1FC0">
        <w:t>TDV and YV</w:t>
      </w:r>
    </w:p>
    <w:p w14:paraId="178926D6" w14:textId="4803FC73" w:rsidR="00C46227" w:rsidRPr="00EA1FC0" w:rsidRDefault="00C46227" w:rsidP="00473D35">
      <w:pPr>
        <w:pStyle w:val="ListParagraph"/>
        <w:numPr>
          <w:ilvl w:val="2"/>
          <w:numId w:val="24"/>
        </w:numPr>
        <w:ind w:left="1260" w:hanging="270"/>
      </w:pPr>
      <w:r w:rsidRPr="00EA1FC0">
        <w:t>Mobiliz</w:t>
      </w:r>
      <w:r w:rsidR="00272C56">
        <w:t>ing</w:t>
      </w:r>
      <w:r w:rsidRPr="00EA1FC0">
        <w:t xml:space="preserve"> community partnerships to identify violence problems and implement solutions for violence prevention, especially TDV and YV </w:t>
      </w:r>
    </w:p>
    <w:p w14:paraId="31EB0011" w14:textId="036C6C69" w:rsidR="00C46227" w:rsidRPr="00EA1FC0" w:rsidRDefault="00C46227" w:rsidP="00473D35">
      <w:pPr>
        <w:pStyle w:val="ListParagraph"/>
        <w:numPr>
          <w:ilvl w:val="2"/>
          <w:numId w:val="24"/>
        </w:numPr>
        <w:ind w:left="1260" w:hanging="270"/>
      </w:pPr>
      <w:r w:rsidRPr="00EA1FC0">
        <w:t>Develop</w:t>
      </w:r>
      <w:r w:rsidR="00272C56">
        <w:t>ing</w:t>
      </w:r>
      <w:r w:rsidRPr="00EA1FC0">
        <w:t xml:space="preserve"> violence prevention and response plans that support community-wide efforts</w:t>
      </w:r>
    </w:p>
    <w:p w14:paraId="65B24227" w14:textId="1C5A71B6" w:rsidR="00C46227" w:rsidRPr="00EA1FC0" w:rsidRDefault="00C46227" w:rsidP="00473D35">
      <w:pPr>
        <w:pStyle w:val="ListParagraph"/>
        <w:numPr>
          <w:ilvl w:val="2"/>
          <w:numId w:val="24"/>
        </w:numPr>
        <w:ind w:left="1260" w:hanging="270"/>
      </w:pPr>
      <w:r w:rsidRPr="00EA1FC0">
        <w:t>Link</w:t>
      </w:r>
      <w:r w:rsidR="00272C56">
        <w:t>ing</w:t>
      </w:r>
      <w:r w:rsidRPr="00EA1FC0">
        <w:t xml:space="preserve"> individuals to needed health, social, and community services</w:t>
      </w:r>
    </w:p>
    <w:p w14:paraId="3B86082D" w14:textId="16D47099" w:rsidR="00C46227" w:rsidRPr="00EA1FC0" w:rsidRDefault="00C46227" w:rsidP="00473D35">
      <w:pPr>
        <w:pStyle w:val="ListParagraph"/>
        <w:numPr>
          <w:ilvl w:val="2"/>
          <w:numId w:val="24"/>
        </w:numPr>
        <w:ind w:left="1260" w:hanging="270"/>
      </w:pPr>
      <w:r w:rsidRPr="00EA1FC0">
        <w:t>Evaluating effectiveness, accessibility, and quality of violence prevention programs</w:t>
      </w:r>
    </w:p>
    <w:p w14:paraId="0EA69F9E" w14:textId="77777777" w:rsidR="004814EE" w:rsidRPr="004814EE" w:rsidRDefault="00711989" w:rsidP="004814EE">
      <w:pPr>
        <w:pStyle w:val="ListParagraph"/>
        <w:numPr>
          <w:ilvl w:val="1"/>
          <w:numId w:val="20"/>
        </w:numPr>
      </w:pPr>
      <w:r w:rsidRPr="004814EE">
        <w:rPr>
          <w:rFonts w:cs="Arial"/>
          <w:bCs/>
        </w:rPr>
        <w:t xml:space="preserve">Using these delegates, </w:t>
      </w:r>
      <w:r w:rsidR="000A0BC7" w:rsidRPr="00EA1FC0">
        <w:t xml:space="preserve">LHDs </w:t>
      </w:r>
      <w:r w:rsidRPr="00EA1FC0">
        <w:t xml:space="preserve">are able </w:t>
      </w:r>
      <w:r w:rsidR="000A0BC7" w:rsidRPr="00EA1FC0">
        <w:t>to implement and evaluate violence</w:t>
      </w:r>
      <w:r w:rsidR="001D1D62" w:rsidRPr="00EA1FC0">
        <w:t xml:space="preserve"> prevention strategies that reach their population of focus </w:t>
      </w:r>
      <w:r w:rsidR="00D1350B" w:rsidRPr="00EA1FC0">
        <w:t>throughout their respective jurisdictions.</w:t>
      </w:r>
      <w:r w:rsidR="004814EE">
        <w:t xml:space="preserve"> </w:t>
      </w:r>
      <w:r w:rsidR="004814EE" w:rsidRPr="004814EE">
        <w:t xml:space="preserve">These delegate organizations often have access to the population of focus where the LHDs may not. </w:t>
      </w:r>
    </w:p>
    <w:p w14:paraId="31A797D4" w14:textId="77777777" w:rsidR="00B9388F" w:rsidRDefault="00B9388F" w:rsidP="007B7C44">
      <w:pPr>
        <w:ind w:left="360"/>
      </w:pPr>
    </w:p>
    <w:p w14:paraId="058B4DB9" w14:textId="567DC2D0"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4C317378" w14:textId="77777777" w:rsidR="00350C8C" w:rsidRPr="00774689" w:rsidRDefault="00350C8C" w:rsidP="007B7C44">
      <w:pPr>
        <w:ind w:left="360"/>
      </w:pPr>
    </w:p>
    <w:p w14:paraId="2027A47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2BDCB229"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4CAB955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6D8C8776" w14:textId="7A2BD2A7" w:rsidR="00587C72" w:rsidRPr="00774689" w:rsidRDefault="00644F3A"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4335B2CD"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7E1942E7"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2A288F5B"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71105E36" w14:textId="77777777" w:rsidR="00587C72" w:rsidRPr="00774689" w:rsidRDefault="00481D80" w:rsidP="00EA3A4A">
      <w:pPr>
        <w:ind w:left="360"/>
      </w:pPr>
      <w:r w:rsidRPr="00774689">
        <w:t xml:space="preserve">            </w:t>
      </w:r>
      <w:r w:rsidR="00587C72" w:rsidRPr="00774689">
        <w:t>when otherwise unavailable</w:t>
      </w:r>
    </w:p>
    <w:p w14:paraId="1BFB3AC0"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1009986B" w14:textId="715DDBD5" w:rsidR="00EA3A4A" w:rsidRDefault="00644F3A" w:rsidP="00EA3A4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B28EAFB" w14:textId="77777777" w:rsidR="00587C72" w:rsidRPr="00774689" w:rsidRDefault="00EA3A4A" w:rsidP="00EA3A4A">
      <w:r>
        <w:t xml:space="preserve">     </w:t>
      </w:r>
      <w:r w:rsidRPr="00774689">
        <w:t>health services</w:t>
      </w:r>
    </w:p>
    <w:p w14:paraId="4BCB7C2B"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942201">
        <w:rPr>
          <w:rFonts w:ascii="Shruti" w:eastAsia="Times New Roman" w:hAnsi="Shruti" w:cs="Shruti"/>
          <w:sz w:val="16"/>
          <w:szCs w:val="14"/>
        </w:rPr>
      </w:r>
      <w:r w:rsidR="009422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11F75FFF" w14:textId="26973956" w:rsidR="00A62C98" w:rsidRDefault="00A62C98" w:rsidP="008E51A7">
      <w:pPr>
        <w:ind w:left="0"/>
        <w:rPr>
          <w:iCs/>
          <w:color w:val="0070C0"/>
          <w:vertAlign w:val="superscript"/>
        </w:rPr>
      </w:pPr>
    </w:p>
    <w:p w14:paraId="2F969272" w14:textId="4D677192" w:rsidR="0009613C" w:rsidRDefault="0009613C" w:rsidP="0009613C">
      <w:pPr>
        <w:ind w:left="360"/>
        <w:rPr>
          <w:iCs/>
        </w:rPr>
      </w:pPr>
      <w:r w:rsidRPr="008E51A7">
        <w:rPr>
          <w:iCs/>
        </w:rPr>
        <w:t xml:space="preserve">Violence affects people in all stages of life. However, violence is preventable and preventing violence before it happens is a priority for the Division of Violence Prevention (DVP), housed within </w:t>
      </w:r>
      <w:r w:rsidR="00E5576D" w:rsidRPr="008E51A7">
        <w:rPr>
          <w:iCs/>
        </w:rPr>
        <w:t>CDC’s</w:t>
      </w:r>
      <w:r w:rsidRPr="008E51A7">
        <w:rPr>
          <w:iCs/>
        </w:rPr>
        <w:t xml:space="preserve"> National Center for Injury Prevention</w:t>
      </w:r>
      <w:r w:rsidR="00EB6424">
        <w:rPr>
          <w:iCs/>
        </w:rPr>
        <w:t xml:space="preserve"> and Control</w:t>
      </w:r>
      <w:r w:rsidRPr="008E51A7">
        <w:rPr>
          <w:iCs/>
        </w:rPr>
        <w:t>.  YV</w:t>
      </w:r>
      <w:r w:rsidR="00931BDF" w:rsidRPr="008E51A7">
        <w:rPr>
          <w:iCs/>
        </w:rPr>
        <w:t xml:space="preserve"> is a significant public health problem that affects thousands of young people each day. Homicide is the third leading cause of death among persons aged 10-24.</w:t>
      </w:r>
      <w:r w:rsidR="00931BDF" w:rsidRPr="008E51A7">
        <w:rPr>
          <w:iCs/>
          <w:vertAlign w:val="superscript"/>
        </w:rPr>
        <w:t>2</w:t>
      </w:r>
      <w:r w:rsidR="00931BDF" w:rsidRPr="008E51A7">
        <w:rPr>
          <w:iCs/>
        </w:rPr>
        <w:t xml:space="preserve"> </w:t>
      </w:r>
      <w:r w:rsidRPr="008E51A7">
        <w:rPr>
          <w:iCs/>
        </w:rPr>
        <w:t>TDV</w:t>
      </w:r>
      <w:r w:rsidR="00931BDF" w:rsidRPr="008E51A7">
        <w:rPr>
          <w:iCs/>
        </w:rPr>
        <w:t xml:space="preserve"> is widespread with serious long-term and short-term effects</w:t>
      </w:r>
      <w:r w:rsidRPr="008E51A7">
        <w:rPr>
          <w:iCs/>
        </w:rPr>
        <w:t xml:space="preserve">, and is underreported by tends as they are </w:t>
      </w:r>
      <w:r w:rsidR="00931BDF" w:rsidRPr="008E51A7">
        <w:rPr>
          <w:iCs/>
        </w:rPr>
        <w:t xml:space="preserve">afraid to tell friends and families. </w:t>
      </w:r>
    </w:p>
    <w:p w14:paraId="22C597F5" w14:textId="77777777" w:rsidR="00696486" w:rsidRPr="008E51A7" w:rsidRDefault="00696486" w:rsidP="0009613C">
      <w:pPr>
        <w:ind w:left="360"/>
        <w:rPr>
          <w:iCs/>
        </w:rPr>
      </w:pPr>
    </w:p>
    <w:p w14:paraId="5BF24488" w14:textId="7A0B3CD2" w:rsidR="0009613C" w:rsidRPr="008E51A7" w:rsidRDefault="0009613C" w:rsidP="0009613C">
      <w:pPr>
        <w:ind w:left="360"/>
        <w:rPr>
          <w:iCs/>
        </w:rPr>
      </w:pPr>
      <w:r w:rsidRPr="008E51A7">
        <w:rPr>
          <w:iCs/>
        </w:rPr>
        <w:t>Traditionally, prevention efforts are often focused solely on one specific topic area and addressed mainly individual and relationship factors. DVP has learned that different forms of violence are highly connected</w:t>
      </w:r>
      <w:r w:rsidR="003C22B3" w:rsidRPr="008E51A7">
        <w:rPr>
          <w:iCs/>
        </w:rPr>
        <w:t xml:space="preserve"> and </w:t>
      </w:r>
      <w:r w:rsidRPr="008E51A7">
        <w:rPr>
          <w:iCs/>
        </w:rPr>
        <w:t>share common consequences, and common risk and protective factors.</w:t>
      </w:r>
      <w:r w:rsidR="002C724E" w:rsidRPr="008E51A7">
        <w:rPr>
          <w:iCs/>
          <w:vertAlign w:val="superscript"/>
        </w:rPr>
        <w:t>3</w:t>
      </w:r>
      <w:r w:rsidRPr="008E51A7">
        <w:rPr>
          <w:iCs/>
        </w:rPr>
        <w:t xml:space="preserve"> DVP has a strategic vision to maximize impact of violence prevention efforts by doing more to recognize and address the connections among different forms of violence. Therefore, DVP funded five LHDs to</w:t>
      </w:r>
      <w:r w:rsidR="0099532C" w:rsidRPr="008E51A7">
        <w:rPr>
          <w:iCs/>
        </w:rPr>
        <w:t xml:space="preserve"> expand existing prevention efforts to address </w:t>
      </w:r>
      <w:r w:rsidRPr="008E51A7">
        <w:rPr>
          <w:iCs/>
        </w:rPr>
        <w:t>shared risk and protective factors</w:t>
      </w:r>
      <w:r w:rsidR="001547D0" w:rsidRPr="008E51A7">
        <w:rPr>
          <w:iCs/>
        </w:rPr>
        <w:t xml:space="preserve"> </w:t>
      </w:r>
      <w:r w:rsidR="0099532C" w:rsidRPr="008E51A7">
        <w:rPr>
          <w:iCs/>
        </w:rPr>
        <w:t xml:space="preserve">across multiple forms of violence and levels of the Social Ecological Model by collaborating with a multisector coalition and </w:t>
      </w:r>
      <w:r w:rsidR="001547D0" w:rsidRPr="008E51A7">
        <w:rPr>
          <w:iCs/>
        </w:rPr>
        <w:t>by using a</w:t>
      </w:r>
      <w:r w:rsidR="001547D0" w:rsidRPr="008E51A7">
        <w:rPr>
          <w:b/>
          <w:iCs/>
        </w:rPr>
        <w:t xml:space="preserve"> </w:t>
      </w:r>
      <w:r w:rsidR="001547D0" w:rsidRPr="008E51A7">
        <w:rPr>
          <w:iCs/>
        </w:rPr>
        <w:t>multifaceted primary prevention approach.</w:t>
      </w:r>
      <w:r w:rsidR="002C724E" w:rsidRPr="008E51A7">
        <w:rPr>
          <w:iCs/>
          <w:vertAlign w:val="superscript"/>
        </w:rPr>
        <w:t>4</w:t>
      </w:r>
      <w:r w:rsidR="001547D0" w:rsidRPr="008E51A7">
        <w:rPr>
          <w:iCs/>
        </w:rPr>
        <w:t xml:space="preserve"> This funding program is referred to as 1605 Program. </w:t>
      </w:r>
    </w:p>
    <w:p w14:paraId="490CE208" w14:textId="61C2C4B6" w:rsidR="001547D0" w:rsidRPr="008E51A7" w:rsidRDefault="001547D0" w:rsidP="0009613C">
      <w:pPr>
        <w:ind w:left="360"/>
        <w:rPr>
          <w:iCs/>
        </w:rPr>
      </w:pPr>
    </w:p>
    <w:p w14:paraId="57EB5EB8" w14:textId="45D5A7CE" w:rsidR="001547D0" w:rsidRPr="008E51A7" w:rsidRDefault="001547D0" w:rsidP="00362BC8">
      <w:pPr>
        <w:ind w:left="360"/>
        <w:rPr>
          <w:iCs/>
        </w:rPr>
      </w:pPr>
      <w:r w:rsidRPr="008E51A7">
        <w:rPr>
          <w:iCs/>
        </w:rPr>
        <w:t xml:space="preserve">The multifaceted primary prevention approach provides an opportunity to integrate responses in a way that recognizes these connections and considers the individual in the context of their home environment, neighborhood, and larger community. </w:t>
      </w:r>
      <w:r w:rsidR="003C22B3" w:rsidRPr="008E51A7">
        <w:rPr>
          <w:iCs/>
        </w:rPr>
        <w:t xml:space="preserve">This </w:t>
      </w:r>
      <w:r w:rsidRPr="008E51A7">
        <w:rPr>
          <w:iCs/>
        </w:rPr>
        <w:t xml:space="preserve">approach includes the following characteristics: </w:t>
      </w:r>
      <w:r w:rsidR="00362BC8" w:rsidRPr="008E51A7">
        <w:rPr>
          <w:iCs/>
        </w:rPr>
        <w:t>1) i</w:t>
      </w:r>
      <w:r w:rsidRPr="008E51A7">
        <w:rPr>
          <w:iCs/>
        </w:rPr>
        <w:t>mplement at multiple levels of the Social Ecology</w:t>
      </w:r>
      <w:r w:rsidR="00362BC8" w:rsidRPr="008E51A7">
        <w:rPr>
          <w:iCs/>
        </w:rPr>
        <w:t>; 2) implement strategies based on the best available evidence; 3) a</w:t>
      </w:r>
      <w:r w:rsidRPr="008E51A7">
        <w:rPr>
          <w:iCs/>
        </w:rPr>
        <w:t>ddress shared risk and protective factors of both TDV and YV</w:t>
      </w:r>
      <w:r w:rsidR="00362BC8" w:rsidRPr="008E51A7">
        <w:rPr>
          <w:iCs/>
        </w:rPr>
        <w:t>; 4) i</w:t>
      </w:r>
      <w:r w:rsidRPr="008E51A7">
        <w:rPr>
          <w:iCs/>
        </w:rPr>
        <w:t>mplement complementary strategies that are design to work across the Social Ecology to address identified needs in a community or focus on both population with elevated risk and general population</w:t>
      </w:r>
      <w:r w:rsidR="00362BC8" w:rsidRPr="008E51A7">
        <w:rPr>
          <w:iCs/>
        </w:rPr>
        <w:t>; and 5) h</w:t>
      </w:r>
      <w:r w:rsidRPr="008E51A7">
        <w:rPr>
          <w:iCs/>
        </w:rPr>
        <w:t>ave the reach and dosage necessary to have a community-wide effects</w:t>
      </w:r>
      <w:r w:rsidR="00362BC8" w:rsidRPr="008E51A7">
        <w:rPr>
          <w:iCs/>
        </w:rPr>
        <w:t>.</w:t>
      </w:r>
    </w:p>
    <w:p w14:paraId="0A53FF54" w14:textId="77777777" w:rsidR="001547D0" w:rsidRPr="008E51A7" w:rsidRDefault="001547D0" w:rsidP="001547D0">
      <w:pPr>
        <w:ind w:left="360"/>
        <w:rPr>
          <w:iCs/>
        </w:rPr>
      </w:pPr>
    </w:p>
    <w:p w14:paraId="1697D201" w14:textId="4701D87F" w:rsidR="00B725EF" w:rsidRDefault="00EE0CE8" w:rsidP="00BB491A">
      <w:pPr>
        <w:ind w:left="360"/>
        <w:rPr>
          <w:iCs/>
        </w:rPr>
      </w:pPr>
      <w:r w:rsidRPr="008E51A7">
        <w:rPr>
          <w:iCs/>
        </w:rPr>
        <w:t xml:space="preserve">The 1605 Program is the first </w:t>
      </w:r>
      <w:r w:rsidR="00F7361B" w:rsidRPr="008E51A7">
        <w:rPr>
          <w:iCs/>
        </w:rPr>
        <w:t xml:space="preserve">DVP </w:t>
      </w:r>
      <w:r w:rsidRPr="008E51A7">
        <w:rPr>
          <w:iCs/>
        </w:rPr>
        <w:t xml:space="preserve">program </w:t>
      </w:r>
      <w:r w:rsidR="00F7361B" w:rsidRPr="008E51A7">
        <w:rPr>
          <w:iCs/>
        </w:rPr>
        <w:t xml:space="preserve">that funds </w:t>
      </w:r>
      <w:r w:rsidRPr="008E51A7">
        <w:rPr>
          <w:iCs/>
        </w:rPr>
        <w:t xml:space="preserve">LHDs to implement </w:t>
      </w:r>
      <w:r w:rsidR="00F7361B" w:rsidRPr="008E51A7">
        <w:rPr>
          <w:iCs/>
        </w:rPr>
        <w:t xml:space="preserve">a </w:t>
      </w:r>
      <w:r w:rsidRPr="008E51A7">
        <w:rPr>
          <w:iCs/>
        </w:rPr>
        <w:t>crosscutting approach in practice</w:t>
      </w:r>
      <w:r w:rsidR="00F7361B" w:rsidRPr="008E51A7">
        <w:rPr>
          <w:iCs/>
        </w:rPr>
        <w:t xml:space="preserve"> settings</w:t>
      </w:r>
      <w:r w:rsidRPr="008E51A7">
        <w:rPr>
          <w:iCs/>
        </w:rPr>
        <w:t xml:space="preserve">. </w:t>
      </w:r>
    </w:p>
    <w:p w14:paraId="1AEBD2D9" w14:textId="1A741557" w:rsidR="00B725EF" w:rsidRDefault="00B725EF" w:rsidP="00BB491A">
      <w:pPr>
        <w:ind w:left="360"/>
        <w:rPr>
          <w:iCs/>
        </w:rPr>
      </w:pPr>
    </w:p>
    <w:p w14:paraId="72637083" w14:textId="627BCF2E" w:rsidR="002046F0" w:rsidRDefault="002046F0" w:rsidP="00BB491A">
      <w:pPr>
        <w:ind w:left="360"/>
        <w:rPr>
          <w:iCs/>
        </w:rPr>
      </w:pPr>
      <w:r w:rsidRPr="00275914">
        <w:rPr>
          <w:iCs/>
        </w:rPr>
        <w:t xml:space="preserve">The purpose of this </w:t>
      </w:r>
      <w:r>
        <w:rPr>
          <w:iCs/>
        </w:rPr>
        <w:t xml:space="preserve">data </w:t>
      </w:r>
      <w:r w:rsidRPr="00275914">
        <w:rPr>
          <w:iCs/>
        </w:rPr>
        <w:t>collection is to gather</w:t>
      </w:r>
      <w:r w:rsidRPr="00275914">
        <w:rPr>
          <w:b/>
        </w:rPr>
        <w:t xml:space="preserve"> </w:t>
      </w:r>
      <w:r w:rsidRPr="00275914">
        <w:rPr>
          <w:iCs/>
        </w:rPr>
        <w:t>information and</w:t>
      </w:r>
      <w:r w:rsidRPr="00275914">
        <w:rPr>
          <w:b/>
        </w:rPr>
        <w:t xml:space="preserve"> </w:t>
      </w:r>
      <w:r w:rsidRPr="00275914">
        <w:rPr>
          <w:iCs/>
        </w:rPr>
        <w:t>lessons learned about how local health department</w:t>
      </w:r>
      <w:r w:rsidR="00272C56">
        <w:rPr>
          <w:iCs/>
        </w:rPr>
        <w:t>s</w:t>
      </w:r>
      <w:r w:rsidRPr="00275914">
        <w:rPr>
          <w:iCs/>
        </w:rPr>
        <w:t xml:space="preserve"> (LHD) </w:t>
      </w:r>
      <w:r>
        <w:rPr>
          <w:iCs/>
        </w:rPr>
        <w:t>receiving CDC 1605 Program funding (</w:t>
      </w:r>
      <w:r w:rsidRPr="001361C9">
        <w:rPr>
          <w:iCs/>
        </w:rPr>
        <w:t xml:space="preserve">Preventing Teen Dating and Youth Violence by Addressing Shared Risk and Protective Factors) </w:t>
      </w:r>
      <w:r w:rsidRPr="00275914">
        <w:rPr>
          <w:iCs/>
        </w:rPr>
        <w:t xml:space="preserve">are implementing </w:t>
      </w:r>
      <w:r>
        <w:rPr>
          <w:iCs/>
        </w:rPr>
        <w:t>strategies to prevent community-</w:t>
      </w:r>
      <w:r w:rsidRPr="00275914">
        <w:rPr>
          <w:iCs/>
        </w:rPr>
        <w:t>wide violence, with specific focus on preventing teen dating violence (TDV) and youth violence (YV)</w:t>
      </w:r>
      <w:r>
        <w:rPr>
          <w:iCs/>
        </w:rPr>
        <w:t>.</w:t>
      </w:r>
    </w:p>
    <w:p w14:paraId="5A214081" w14:textId="63AE003E" w:rsidR="002046F0" w:rsidRDefault="002046F0" w:rsidP="00BB491A">
      <w:pPr>
        <w:ind w:left="360"/>
        <w:rPr>
          <w:iCs/>
        </w:rPr>
      </w:pPr>
    </w:p>
    <w:p w14:paraId="254C2EDB" w14:textId="31D3B854" w:rsidR="002046F0" w:rsidRDefault="002046F0" w:rsidP="00BB491A">
      <w:pPr>
        <w:ind w:left="360"/>
        <w:rPr>
          <w:iCs/>
        </w:rPr>
      </w:pPr>
      <w:r w:rsidRPr="00275914">
        <w:rPr>
          <w:iCs/>
        </w:rPr>
        <w:t xml:space="preserve">The findings from this </w:t>
      </w:r>
      <w:r>
        <w:rPr>
          <w:iCs/>
        </w:rPr>
        <w:t>data collection</w:t>
      </w:r>
      <w:r w:rsidRPr="00275914">
        <w:rPr>
          <w:iCs/>
        </w:rPr>
        <w:t xml:space="preserve"> will be used to identify facilitators and barriers, best practices, and areas for improvement for implementing TDV and YV prevention efforts.  </w:t>
      </w:r>
      <w:r w:rsidR="00D06304">
        <w:rPr>
          <w:iCs/>
        </w:rPr>
        <w:t>Data collected</w:t>
      </w:r>
      <w:r w:rsidRPr="00275914">
        <w:rPr>
          <w:iCs/>
        </w:rPr>
        <w:t xml:space="preserve"> will</w:t>
      </w:r>
      <w:r>
        <w:rPr>
          <w:iCs/>
        </w:rPr>
        <w:t xml:space="preserve"> also be used to</w:t>
      </w:r>
      <w:r w:rsidRPr="00275914">
        <w:rPr>
          <w:iCs/>
        </w:rPr>
        <w:t xml:space="preserve"> </w:t>
      </w:r>
      <w:r>
        <w:rPr>
          <w:iCs/>
        </w:rPr>
        <w:t>improve</w:t>
      </w:r>
      <w:r w:rsidRPr="00275914">
        <w:rPr>
          <w:iCs/>
        </w:rPr>
        <w:t xml:space="preserve"> </w:t>
      </w:r>
      <w:r>
        <w:rPr>
          <w:iCs/>
        </w:rPr>
        <w:t>technical assistance provided to</w:t>
      </w:r>
      <w:r w:rsidRPr="00275914">
        <w:rPr>
          <w:iCs/>
        </w:rPr>
        <w:t xml:space="preserve"> </w:t>
      </w:r>
      <w:r>
        <w:rPr>
          <w:iCs/>
        </w:rPr>
        <w:t>recipients to assist them in</w:t>
      </w:r>
      <w:r w:rsidRPr="00275914">
        <w:rPr>
          <w:iCs/>
        </w:rPr>
        <w:t xml:space="preserve"> achiev</w:t>
      </w:r>
      <w:r>
        <w:rPr>
          <w:iCs/>
        </w:rPr>
        <w:t>ing</w:t>
      </w:r>
      <w:r w:rsidRPr="00275914">
        <w:rPr>
          <w:iCs/>
        </w:rPr>
        <w:t xml:space="preserve"> the goals of the CDC 1605 Program. </w:t>
      </w:r>
      <w:r>
        <w:rPr>
          <w:iCs/>
        </w:rPr>
        <w:t>Additionally, t</w:t>
      </w:r>
      <w:r w:rsidRPr="00275914">
        <w:rPr>
          <w:iCs/>
        </w:rPr>
        <w:t>he findings will supplement other data to highlight recipients’ context and experiences</w:t>
      </w:r>
      <w:r>
        <w:rPr>
          <w:iCs/>
        </w:rPr>
        <w:t xml:space="preserve"> around using </w:t>
      </w:r>
      <w:r w:rsidRPr="00275914">
        <w:rPr>
          <w:iCs/>
        </w:rPr>
        <w:t xml:space="preserve">a multifaceted primary prevention approach to prevent </w:t>
      </w:r>
      <w:r>
        <w:rPr>
          <w:iCs/>
        </w:rPr>
        <w:t>TDV and YV.</w:t>
      </w:r>
    </w:p>
    <w:p w14:paraId="12AEB8F6" w14:textId="2A8809B2" w:rsidR="00EB6424" w:rsidRPr="00EA1FC0" w:rsidRDefault="00EB6424" w:rsidP="00EB6424">
      <w:pPr>
        <w:rPr>
          <w:iCs/>
        </w:rPr>
      </w:pPr>
    </w:p>
    <w:p w14:paraId="399C4CB0" w14:textId="77777777" w:rsidR="00376290" w:rsidRPr="00EA1FC0" w:rsidRDefault="006102DA" w:rsidP="00376290">
      <w:pPr>
        <w:pStyle w:val="Heading5"/>
        <w:spacing w:after="120"/>
        <w:ind w:left="360"/>
      </w:pPr>
      <w:r w:rsidRPr="00EA1FC0">
        <w:t xml:space="preserve">Overview of the </w:t>
      </w:r>
      <w:r w:rsidR="007F5776" w:rsidRPr="00EA1FC0">
        <w:t>Information C</w:t>
      </w:r>
      <w:r w:rsidR="00157413" w:rsidRPr="00EA1FC0">
        <w:t>ollection</w:t>
      </w:r>
      <w:r w:rsidRPr="00EA1FC0">
        <w:t xml:space="preserve"> System</w:t>
      </w:r>
      <w:r w:rsidR="00151567" w:rsidRPr="00EA1FC0">
        <w:t xml:space="preserve"> </w:t>
      </w:r>
    </w:p>
    <w:p w14:paraId="3CFE94D1" w14:textId="4353EA64" w:rsidR="00EA1FC0" w:rsidRDefault="00692DEB" w:rsidP="003A0266">
      <w:pPr>
        <w:ind w:left="360"/>
        <w:rPr>
          <w:rFonts w:ascii="Cambria" w:hAnsi="Cambria"/>
        </w:rPr>
      </w:pPr>
      <w:r w:rsidRPr="00B33294">
        <w:t xml:space="preserve">Data </w:t>
      </w:r>
      <w:r w:rsidR="00B33294" w:rsidRPr="00B33294">
        <w:t xml:space="preserve">will be </w:t>
      </w:r>
      <w:r w:rsidR="00065F7D" w:rsidRPr="00B33294">
        <w:rPr>
          <w:iCs/>
        </w:rPr>
        <w:t xml:space="preserve">collected via </w:t>
      </w:r>
      <w:r w:rsidR="002046F0">
        <w:rPr>
          <w:iCs/>
        </w:rPr>
        <w:t xml:space="preserve">a </w:t>
      </w:r>
      <w:r w:rsidR="00065F7D" w:rsidRPr="00B33294">
        <w:rPr>
          <w:iCs/>
        </w:rPr>
        <w:t xml:space="preserve">telephone interview guide </w:t>
      </w:r>
      <w:r w:rsidRPr="00D01E65">
        <w:rPr>
          <w:iCs/>
        </w:rPr>
        <w:t>(</w:t>
      </w:r>
      <w:r w:rsidR="00E647FB" w:rsidRPr="00D01E65">
        <w:rPr>
          <w:iCs/>
        </w:rPr>
        <w:t>see</w:t>
      </w:r>
      <w:r w:rsidR="00E647FB" w:rsidRPr="00B33294">
        <w:rPr>
          <w:b/>
          <w:iCs/>
        </w:rPr>
        <w:t xml:space="preserve"> Attachment </w:t>
      </w:r>
      <w:r w:rsidR="00CB08D7" w:rsidRPr="00B33294">
        <w:rPr>
          <w:b/>
          <w:iCs/>
        </w:rPr>
        <w:t>B</w:t>
      </w:r>
      <w:r w:rsidR="00E647FB" w:rsidRPr="00B33294">
        <w:rPr>
          <w:b/>
          <w:iCs/>
        </w:rPr>
        <w:t>—</w:t>
      </w:r>
      <w:r w:rsidR="00B33294">
        <w:rPr>
          <w:b/>
          <w:iCs/>
        </w:rPr>
        <w:t>Telephone</w:t>
      </w:r>
      <w:r w:rsidR="00065F7D" w:rsidRPr="00B33294">
        <w:rPr>
          <w:b/>
          <w:iCs/>
        </w:rPr>
        <w:t xml:space="preserve"> Interview Guide</w:t>
      </w:r>
      <w:r w:rsidRPr="00B33294">
        <w:rPr>
          <w:iCs/>
        </w:rPr>
        <w:t>)</w:t>
      </w:r>
      <w:r w:rsidR="002046F0">
        <w:rPr>
          <w:iCs/>
        </w:rPr>
        <w:t xml:space="preserve"> </w:t>
      </w:r>
      <w:r w:rsidR="00B201C0" w:rsidRPr="00B33294">
        <w:t xml:space="preserve">to gather information regarding </w:t>
      </w:r>
      <w:r w:rsidR="00065F7D" w:rsidRPr="00B33294">
        <w:t xml:space="preserve">LHD </w:t>
      </w:r>
      <w:r w:rsidR="00B201C0" w:rsidRPr="00B33294">
        <w:t>implementation of the 1605 Program</w:t>
      </w:r>
      <w:r w:rsidR="00065F7D" w:rsidRPr="00B33294">
        <w:t xml:space="preserve"> prevention strategies</w:t>
      </w:r>
      <w:r w:rsidR="00EA1FC0">
        <w:t xml:space="preserve"> from a total of 22 program coordinators</w:t>
      </w:r>
      <w:r w:rsidR="00B201C0" w:rsidRPr="00B33294">
        <w:t>.</w:t>
      </w:r>
      <w:r w:rsidR="00065F7D" w:rsidRPr="00B33294">
        <w:rPr>
          <w:rFonts w:ascii="Cambria" w:hAnsi="Cambria"/>
        </w:rPr>
        <w:t xml:space="preserve"> </w:t>
      </w:r>
      <w:r w:rsidR="00EA1FC0" w:rsidRPr="00EA1FC0">
        <w:rPr>
          <w:rFonts w:ascii="Cambria" w:hAnsi="Cambria"/>
        </w:rPr>
        <w:t>Of which, 15 are employees of local government agencies and 7 are employees of organizations</w:t>
      </w:r>
      <w:r w:rsidR="00EA1FC0" w:rsidRPr="00EA1FC0">
        <w:t xml:space="preserve"> </w:t>
      </w:r>
      <w:r w:rsidR="00EA1FC0" w:rsidRPr="00EA1FC0">
        <w:rPr>
          <w:rFonts w:ascii="Cambria" w:hAnsi="Cambria"/>
        </w:rPr>
        <w:t xml:space="preserve">acting for a principal or submitted by another to represent or act on STLT government behalf. </w:t>
      </w:r>
    </w:p>
    <w:p w14:paraId="071A8D5A" w14:textId="77777777" w:rsidR="00EA1FC0" w:rsidRDefault="00EA1FC0" w:rsidP="003A0266">
      <w:pPr>
        <w:ind w:left="360"/>
      </w:pPr>
    </w:p>
    <w:p w14:paraId="0C68B47D" w14:textId="26973F45" w:rsidR="00AF3D47" w:rsidRPr="00B33294" w:rsidRDefault="00AF3D47" w:rsidP="003A0266">
      <w:pPr>
        <w:ind w:left="360"/>
        <w:rPr>
          <w:iCs/>
        </w:rPr>
      </w:pPr>
      <w:r w:rsidRPr="00B33294">
        <w:t>Specifically, the interviews will focus on how the prevention st</w:t>
      </w:r>
      <w:r w:rsidR="0086712B">
        <w:t>rategies are being implemented</w:t>
      </w:r>
      <w:r w:rsidRPr="00B33294">
        <w:t xml:space="preserve">, and how they are working </w:t>
      </w:r>
      <w:r w:rsidR="00EA1FC0">
        <w:t>to prevent TDV and YV</w:t>
      </w:r>
      <w:r w:rsidRPr="00B33294">
        <w:rPr>
          <w:iCs/>
        </w:rPr>
        <w:t xml:space="preserve">. </w:t>
      </w:r>
    </w:p>
    <w:p w14:paraId="62FE9537" w14:textId="77777777" w:rsidR="00AF3D47" w:rsidRDefault="00AF3D47" w:rsidP="003A0266">
      <w:pPr>
        <w:ind w:left="360"/>
        <w:rPr>
          <w:rFonts w:ascii="Cambria" w:hAnsi="Cambria"/>
        </w:rPr>
      </w:pPr>
    </w:p>
    <w:p w14:paraId="7B427003" w14:textId="0CA9708D" w:rsidR="009C12E5" w:rsidRPr="009C12E5" w:rsidRDefault="00065F7D" w:rsidP="003A0266">
      <w:pPr>
        <w:ind w:left="360"/>
      </w:pPr>
      <w:r w:rsidRPr="00657766">
        <w:rPr>
          <w:rFonts w:ascii="Cambria" w:hAnsi="Cambria"/>
        </w:rPr>
        <w:t xml:space="preserve">The </w:t>
      </w:r>
      <w:r>
        <w:rPr>
          <w:rFonts w:ascii="Cambria" w:hAnsi="Cambria"/>
        </w:rPr>
        <w:t>telephone interview guide</w:t>
      </w:r>
      <w:r w:rsidRPr="00657766">
        <w:rPr>
          <w:rFonts w:ascii="Cambria" w:hAnsi="Cambria"/>
        </w:rPr>
        <w:t xml:space="preserve"> </w:t>
      </w:r>
      <w:r>
        <w:rPr>
          <w:rFonts w:ascii="Cambria" w:hAnsi="Cambria"/>
        </w:rPr>
        <w:t xml:space="preserve">was </w:t>
      </w:r>
      <w:r w:rsidRPr="00657766">
        <w:rPr>
          <w:rFonts w:ascii="Cambria" w:hAnsi="Cambria"/>
        </w:rPr>
        <w:t xml:space="preserve">pilot tested by </w:t>
      </w:r>
      <w:r w:rsidR="00D74F79">
        <w:rPr>
          <w:rFonts w:ascii="Cambria" w:hAnsi="Cambria"/>
        </w:rPr>
        <w:t>three</w:t>
      </w:r>
      <w:r w:rsidRPr="00657766">
        <w:rPr>
          <w:rFonts w:ascii="Cambria" w:hAnsi="Cambria"/>
        </w:rPr>
        <w:t xml:space="preserve"> public health p</w:t>
      </w:r>
      <w:r>
        <w:rPr>
          <w:rFonts w:ascii="Cambria" w:hAnsi="Cambria"/>
        </w:rPr>
        <w:t xml:space="preserve">rofessionals. Feedback from this group </w:t>
      </w:r>
      <w:r w:rsidRPr="00657766">
        <w:rPr>
          <w:rFonts w:ascii="Cambria" w:hAnsi="Cambria"/>
        </w:rPr>
        <w:t>was used to refine questions as needed and establish the estimated time required to complete the information collection instrument.</w:t>
      </w:r>
    </w:p>
    <w:p w14:paraId="3207AC15" w14:textId="77777777" w:rsidR="00065F7D" w:rsidRDefault="00065F7D" w:rsidP="008B65FF">
      <w:pPr>
        <w:ind w:left="360"/>
      </w:pPr>
    </w:p>
    <w:p w14:paraId="3D73CAD9" w14:textId="77777777" w:rsidR="00692DEB" w:rsidRPr="007B7C44" w:rsidRDefault="00692DEB" w:rsidP="008B65FF">
      <w:pPr>
        <w:pStyle w:val="Heading5"/>
        <w:spacing w:after="120"/>
        <w:ind w:left="360"/>
      </w:pPr>
      <w:r w:rsidRPr="00071F10">
        <w:t>Items of Information to be Collected</w:t>
      </w:r>
    </w:p>
    <w:p w14:paraId="1E39C5EB" w14:textId="6AA0F7B8" w:rsidR="00692DEB" w:rsidRDefault="00692DEB" w:rsidP="008B65FF">
      <w:pPr>
        <w:ind w:left="360"/>
      </w:pPr>
      <w:r w:rsidRPr="003A0266">
        <w:t xml:space="preserve">The </w:t>
      </w:r>
      <w:r w:rsidR="00A04992">
        <w:t xml:space="preserve">telephone interview guide </w:t>
      </w:r>
      <w:r w:rsidR="00A04992" w:rsidRPr="00D01E65">
        <w:t xml:space="preserve">(see </w:t>
      </w:r>
      <w:r w:rsidR="00A04992" w:rsidRPr="009C12E5">
        <w:rPr>
          <w:b/>
        </w:rPr>
        <w:t xml:space="preserve">Attachment </w:t>
      </w:r>
      <w:r w:rsidR="00A04992" w:rsidRPr="00CE29DC">
        <w:rPr>
          <w:b/>
        </w:rPr>
        <w:t>B</w:t>
      </w:r>
      <w:r w:rsidR="00A04992" w:rsidRPr="00D53F10">
        <w:t>—</w:t>
      </w:r>
      <w:r w:rsidR="00A04992" w:rsidRPr="007C4233">
        <w:rPr>
          <w:b/>
        </w:rPr>
        <w:t>Telephone Interview Guide</w:t>
      </w:r>
      <w:r w:rsidR="00A04992" w:rsidRPr="009C12E5">
        <w:t>)</w:t>
      </w:r>
      <w:r w:rsidR="00B97750" w:rsidRPr="003A0266">
        <w:t xml:space="preserve"> </w:t>
      </w:r>
      <w:r w:rsidRPr="003A0266">
        <w:t xml:space="preserve">consists of </w:t>
      </w:r>
      <w:r w:rsidR="0041192B" w:rsidRPr="003A0266">
        <w:t>1</w:t>
      </w:r>
      <w:r w:rsidR="00D74F79">
        <w:t>8</w:t>
      </w:r>
      <w:r w:rsidRPr="003A0266">
        <w:t xml:space="preserve"> main questions</w:t>
      </w:r>
      <w:r w:rsidR="00A04992">
        <w:t xml:space="preserve">, </w:t>
      </w:r>
      <w:r w:rsidR="007C4233">
        <w:t>all</w:t>
      </w:r>
      <w:r w:rsidR="00A04992">
        <w:t xml:space="preserve"> of which are open-ended</w:t>
      </w:r>
      <w:r w:rsidR="00A04992" w:rsidRPr="00DF0460">
        <w:rPr>
          <w:rFonts w:ascii="Cambria" w:eastAsiaTheme="minorHAnsi" w:hAnsi="Cambria"/>
        </w:rPr>
        <w:t>.</w:t>
      </w:r>
      <w:r w:rsidR="00A04992" w:rsidRPr="00DF0460">
        <w:rPr>
          <w:rFonts w:ascii="Cambria" w:eastAsiaTheme="minorHAnsi" w:hAnsi="Cambria"/>
          <w:sz w:val="24"/>
        </w:rPr>
        <w:t xml:space="preserve"> </w:t>
      </w:r>
      <w:r w:rsidR="00A04992">
        <w:rPr>
          <w:rFonts w:ascii="Cambria" w:hAnsi="Cambria"/>
        </w:rPr>
        <w:t>Telephone interviews</w:t>
      </w:r>
      <w:r w:rsidR="00A04992" w:rsidRPr="00DF0460">
        <w:rPr>
          <w:rFonts w:ascii="Cambria" w:hAnsi="Cambria"/>
        </w:rPr>
        <w:t xml:space="preserve"> will be conducted by </w:t>
      </w:r>
      <w:r w:rsidR="008261B2">
        <w:rPr>
          <w:rFonts w:ascii="Cambria" w:hAnsi="Cambria"/>
        </w:rPr>
        <w:t xml:space="preserve">two </w:t>
      </w:r>
      <w:r w:rsidR="00A04992" w:rsidRPr="00DF0460">
        <w:rPr>
          <w:rFonts w:ascii="Cambria" w:hAnsi="Cambria"/>
        </w:rPr>
        <w:t xml:space="preserve">staff members from </w:t>
      </w:r>
      <w:r w:rsidR="007C4233">
        <w:rPr>
          <w:rFonts w:ascii="Cambria" w:hAnsi="Cambria"/>
        </w:rPr>
        <w:t>CDC</w:t>
      </w:r>
      <w:r w:rsidR="00A04992" w:rsidRPr="00DF0460">
        <w:rPr>
          <w:rFonts w:ascii="Cambria" w:hAnsi="Cambria"/>
        </w:rPr>
        <w:t xml:space="preserve">. </w:t>
      </w:r>
      <w:r w:rsidR="00A04992" w:rsidRPr="00DF0460">
        <w:rPr>
          <w:rFonts w:ascii="Cambria" w:eastAsiaTheme="minorHAnsi" w:hAnsi="Cambria"/>
        </w:rPr>
        <w:t xml:space="preserve">Interviews will be recorded in order to capture the conversation accurately. Verbal permission to be recorded will be obtained </w:t>
      </w:r>
      <w:r w:rsidR="00A04992" w:rsidRPr="00EA1FC0">
        <w:rPr>
          <w:rFonts w:ascii="Cambria" w:eastAsiaTheme="minorHAnsi" w:hAnsi="Cambria"/>
        </w:rPr>
        <w:t xml:space="preserve">from the participants prior to the beginning of the </w:t>
      </w:r>
      <w:r w:rsidR="00F04517" w:rsidRPr="00EA1FC0">
        <w:rPr>
          <w:rFonts w:ascii="Cambria" w:eastAsiaTheme="minorHAnsi" w:hAnsi="Cambria"/>
        </w:rPr>
        <w:t>interview</w:t>
      </w:r>
      <w:r w:rsidR="00A04992" w:rsidRPr="00EA1FC0">
        <w:rPr>
          <w:rFonts w:ascii="Cambria" w:eastAsiaTheme="minorHAnsi" w:hAnsi="Cambria"/>
        </w:rPr>
        <w:t xml:space="preserve">. </w:t>
      </w:r>
      <w:r w:rsidR="00785D70" w:rsidRPr="00EA1FC0">
        <w:rPr>
          <w:rFonts w:eastAsiaTheme="majorEastAsia" w:cstheme="majorBidi"/>
        </w:rPr>
        <w:t xml:space="preserve"> </w:t>
      </w:r>
      <w:r w:rsidRPr="00EA1FC0">
        <w:t xml:space="preserve">The </w:t>
      </w:r>
      <w:r w:rsidR="00F04517" w:rsidRPr="00EA1FC0">
        <w:t>telephone interview</w:t>
      </w:r>
      <w:r w:rsidR="00A04992" w:rsidRPr="00EA1FC0">
        <w:t xml:space="preserve"> </w:t>
      </w:r>
      <w:r w:rsidR="008261B2" w:rsidRPr="00EA1FC0">
        <w:t>guide will</w:t>
      </w:r>
      <w:r w:rsidRPr="00EA1FC0">
        <w:t xml:space="preserve"> collect </w:t>
      </w:r>
      <w:r w:rsidR="006C20E8" w:rsidRPr="00EA1FC0">
        <w:t>data</w:t>
      </w:r>
      <w:r w:rsidRPr="00EA1FC0">
        <w:t xml:space="preserve"> on the following: </w:t>
      </w:r>
    </w:p>
    <w:p w14:paraId="41B00ED4" w14:textId="478248EB" w:rsidR="00D3473C" w:rsidRDefault="00D3473C" w:rsidP="00D3473C">
      <w:pPr>
        <w:pStyle w:val="ListParagraph"/>
        <w:numPr>
          <w:ilvl w:val="0"/>
          <w:numId w:val="6"/>
        </w:numPr>
        <w:tabs>
          <w:tab w:val="clear" w:pos="9360"/>
        </w:tabs>
        <w:spacing w:line="240" w:lineRule="auto"/>
        <w:ind w:left="1080"/>
      </w:pPr>
      <w:r w:rsidRPr="00EA1FC0">
        <w:t xml:space="preserve">How prevention strategies are  being implemented to ensure feasibility while maintaining or promoting high quality of implementation </w:t>
      </w:r>
    </w:p>
    <w:p w14:paraId="360657D8" w14:textId="40306686" w:rsidR="00B6282A" w:rsidRDefault="00B6282A" w:rsidP="00782FBD">
      <w:pPr>
        <w:pStyle w:val="ListParagraph"/>
        <w:numPr>
          <w:ilvl w:val="0"/>
          <w:numId w:val="6"/>
        </w:numPr>
        <w:tabs>
          <w:tab w:val="clear" w:pos="9360"/>
        </w:tabs>
        <w:spacing w:line="240" w:lineRule="auto"/>
        <w:ind w:left="1080"/>
      </w:pPr>
      <w:r>
        <w:t>How the prevention strategy is reaching its intended population of focus</w:t>
      </w:r>
    </w:p>
    <w:p w14:paraId="1BD9FB9F" w14:textId="589E4AC1" w:rsidR="0086712B" w:rsidRDefault="0086712B" w:rsidP="00782FBD">
      <w:pPr>
        <w:pStyle w:val="ListParagraph"/>
        <w:numPr>
          <w:ilvl w:val="0"/>
          <w:numId w:val="6"/>
        </w:numPr>
        <w:tabs>
          <w:tab w:val="clear" w:pos="9360"/>
        </w:tabs>
        <w:spacing w:line="240" w:lineRule="auto"/>
        <w:ind w:left="1080"/>
      </w:pPr>
      <w:r>
        <w:t>How partnerships are leveraged and coordinated to complement and enhance the prevention strategy implementation in the population and setting of focus</w:t>
      </w:r>
    </w:p>
    <w:p w14:paraId="28090FFA" w14:textId="1E268856" w:rsidR="00DF60F7" w:rsidRPr="00EA1FC0" w:rsidRDefault="00DF60F7" w:rsidP="00782FBD">
      <w:pPr>
        <w:pStyle w:val="ListParagraph"/>
        <w:numPr>
          <w:ilvl w:val="0"/>
          <w:numId w:val="6"/>
        </w:numPr>
        <w:tabs>
          <w:tab w:val="clear" w:pos="9360"/>
        </w:tabs>
        <w:spacing w:line="240" w:lineRule="auto"/>
        <w:ind w:left="1080"/>
      </w:pPr>
      <w:r w:rsidRPr="00EA1FC0">
        <w:t xml:space="preserve">How the prevention strategy is working to address shared risk and protective factors of TDV and YV </w:t>
      </w:r>
    </w:p>
    <w:p w14:paraId="7800C444" w14:textId="0D0EBD8A" w:rsidR="008C59E7" w:rsidRPr="00EA1FC0" w:rsidRDefault="00DF60F7" w:rsidP="00782FBD">
      <w:pPr>
        <w:pStyle w:val="ListParagraph"/>
        <w:numPr>
          <w:ilvl w:val="0"/>
          <w:numId w:val="6"/>
        </w:numPr>
        <w:tabs>
          <w:tab w:val="clear" w:pos="9360"/>
        </w:tabs>
        <w:spacing w:line="240" w:lineRule="auto"/>
        <w:ind w:left="1080"/>
      </w:pPr>
      <w:r w:rsidRPr="00EA1FC0">
        <w:t xml:space="preserve">How sustainability is perceived and planned for the prevention strategy </w:t>
      </w:r>
    </w:p>
    <w:p w14:paraId="657AB319" w14:textId="77777777" w:rsidR="00692DEB" w:rsidRPr="00EA1FC0" w:rsidRDefault="00692DEB" w:rsidP="008B65FF">
      <w:pPr>
        <w:pStyle w:val="ListParagraph"/>
        <w:ind w:left="1080"/>
        <w:rPr>
          <w:lang w:eastAsia="zh-CN"/>
        </w:rPr>
      </w:pPr>
    </w:p>
    <w:p w14:paraId="6A8FD9FE" w14:textId="09A3E8E2" w:rsidR="007C4233" w:rsidRPr="00EA1FC0" w:rsidRDefault="00B12F51" w:rsidP="007C4233">
      <w:pPr>
        <w:pStyle w:val="Heading4"/>
      </w:pPr>
      <w:bookmarkStart w:id="7" w:name="_Toc427752815"/>
      <w:r w:rsidRPr="00EA1FC0">
        <w:t>Purpose and Use of the Information Collection</w:t>
      </w:r>
      <w:bookmarkEnd w:id="7"/>
    </w:p>
    <w:p w14:paraId="1C681AC1" w14:textId="77777777" w:rsidR="00E10A76" w:rsidRDefault="00E10A76" w:rsidP="00BB491A">
      <w:pPr>
        <w:ind w:left="360"/>
        <w:rPr>
          <w:iCs/>
        </w:rPr>
      </w:pPr>
      <w:r w:rsidRPr="00275914">
        <w:rPr>
          <w:iCs/>
        </w:rPr>
        <w:t xml:space="preserve">The purpose of this </w:t>
      </w:r>
      <w:r>
        <w:rPr>
          <w:iCs/>
        </w:rPr>
        <w:t xml:space="preserve">data </w:t>
      </w:r>
      <w:r w:rsidRPr="00275914">
        <w:rPr>
          <w:iCs/>
        </w:rPr>
        <w:t>collection is to gather</w:t>
      </w:r>
      <w:r w:rsidRPr="00275914">
        <w:rPr>
          <w:b/>
        </w:rPr>
        <w:t xml:space="preserve"> </w:t>
      </w:r>
      <w:r w:rsidRPr="00275914">
        <w:rPr>
          <w:iCs/>
        </w:rPr>
        <w:t>information and</w:t>
      </w:r>
      <w:r w:rsidRPr="00275914">
        <w:rPr>
          <w:b/>
        </w:rPr>
        <w:t xml:space="preserve"> </w:t>
      </w:r>
      <w:r w:rsidRPr="00275914">
        <w:rPr>
          <w:iCs/>
        </w:rPr>
        <w:t xml:space="preserve">lessons learned about how local health department (LHD) </w:t>
      </w:r>
      <w:r>
        <w:rPr>
          <w:iCs/>
        </w:rPr>
        <w:t>receiving CDC 1605 Program funding (</w:t>
      </w:r>
      <w:r w:rsidRPr="001361C9">
        <w:rPr>
          <w:iCs/>
        </w:rPr>
        <w:t xml:space="preserve">Preventing Teen Dating and Youth Violence by Addressing Shared Risk and Protective Factors) </w:t>
      </w:r>
      <w:r w:rsidRPr="00275914">
        <w:rPr>
          <w:iCs/>
        </w:rPr>
        <w:t xml:space="preserve">are implementing </w:t>
      </w:r>
      <w:r>
        <w:rPr>
          <w:iCs/>
        </w:rPr>
        <w:t>strategies to prevent community-</w:t>
      </w:r>
      <w:r w:rsidRPr="00275914">
        <w:rPr>
          <w:iCs/>
        </w:rPr>
        <w:t>wide violence, with specific focus on preventing teen dating violence (TDV) and youth violence (YV)</w:t>
      </w:r>
      <w:r>
        <w:rPr>
          <w:iCs/>
        </w:rPr>
        <w:t>.</w:t>
      </w:r>
    </w:p>
    <w:p w14:paraId="3713FD45" w14:textId="4B55248D" w:rsidR="00E10A76" w:rsidRDefault="008261B2" w:rsidP="00BB491A">
      <w:pPr>
        <w:ind w:left="360"/>
        <w:rPr>
          <w:iCs/>
        </w:rPr>
      </w:pPr>
      <w:r w:rsidRPr="00EA1FC0">
        <w:rPr>
          <w:iCs/>
        </w:rPr>
        <w:t xml:space="preserve"> </w:t>
      </w:r>
    </w:p>
    <w:p w14:paraId="77287C40" w14:textId="194F3202" w:rsidR="00BB491A" w:rsidRPr="00EA1FC0" w:rsidRDefault="00BB491A" w:rsidP="00BB491A">
      <w:pPr>
        <w:ind w:left="360"/>
        <w:rPr>
          <w:iCs/>
        </w:rPr>
      </w:pPr>
      <w:r w:rsidRPr="00EA1FC0">
        <w:rPr>
          <w:iCs/>
        </w:rPr>
        <w:t>The findings from this data collection will be used by DVP to</w:t>
      </w:r>
    </w:p>
    <w:p w14:paraId="6733ACF7" w14:textId="77777777" w:rsidR="00BB491A" w:rsidRPr="00EA1FC0" w:rsidRDefault="00BB491A" w:rsidP="00BB491A">
      <w:pPr>
        <w:pStyle w:val="ListParagraph"/>
        <w:numPr>
          <w:ilvl w:val="0"/>
          <w:numId w:val="26"/>
        </w:numPr>
        <w:ind w:left="990"/>
        <w:rPr>
          <w:iCs/>
        </w:rPr>
      </w:pPr>
      <w:r w:rsidRPr="00EA1FC0">
        <w:rPr>
          <w:iCs/>
        </w:rPr>
        <w:t xml:space="preserve">Identify facilitators and barriers, best practices, and areas for improvement for implementing TDV and YV prevention efforts. </w:t>
      </w:r>
    </w:p>
    <w:p w14:paraId="447F7A8A" w14:textId="77777777" w:rsidR="00BB491A" w:rsidRPr="00EA1FC0" w:rsidRDefault="00BB491A" w:rsidP="00BB491A">
      <w:pPr>
        <w:pStyle w:val="ListParagraph"/>
        <w:numPr>
          <w:ilvl w:val="0"/>
          <w:numId w:val="26"/>
        </w:numPr>
        <w:ind w:left="990"/>
        <w:rPr>
          <w:iCs/>
        </w:rPr>
      </w:pPr>
      <w:r w:rsidRPr="00EA1FC0">
        <w:rPr>
          <w:iCs/>
        </w:rPr>
        <w:t xml:space="preserve">Improve technical assistance provided to recipients to assist them in achieving the goals of the 1605 Program. </w:t>
      </w:r>
    </w:p>
    <w:p w14:paraId="698CCECE" w14:textId="13260D7B" w:rsidR="00BB491A" w:rsidRPr="00EA1FC0" w:rsidRDefault="00BB491A" w:rsidP="00BB491A">
      <w:pPr>
        <w:pStyle w:val="ListParagraph"/>
        <w:numPr>
          <w:ilvl w:val="0"/>
          <w:numId w:val="26"/>
        </w:numPr>
        <w:ind w:left="990"/>
        <w:rPr>
          <w:iCs/>
        </w:rPr>
      </w:pPr>
      <w:r w:rsidRPr="00EA1FC0">
        <w:rPr>
          <w:iCs/>
        </w:rPr>
        <w:t xml:space="preserve">Supplement other data sources, such as annual performance data, to highlight and share the experiences, contexts, and efforts of each of the funded LHDs </w:t>
      </w:r>
      <w:r w:rsidR="00EA1FC0" w:rsidRPr="00EA1FC0">
        <w:rPr>
          <w:iCs/>
        </w:rPr>
        <w:t xml:space="preserve">around using </w:t>
      </w:r>
      <w:r w:rsidRPr="00EA1FC0">
        <w:rPr>
          <w:iCs/>
        </w:rPr>
        <w:t xml:space="preserve">a multifaceted primary prevention approach to prevent TDV and YV.  </w:t>
      </w:r>
    </w:p>
    <w:p w14:paraId="3AC94DE0" w14:textId="77777777" w:rsidR="00F04517" w:rsidRPr="00EA1FC0" w:rsidRDefault="00F04517" w:rsidP="00692DEB">
      <w:pPr>
        <w:ind w:left="0"/>
      </w:pPr>
    </w:p>
    <w:p w14:paraId="66995EDF" w14:textId="77777777" w:rsidR="00B47055" w:rsidRPr="00AF3D47" w:rsidRDefault="00B47055" w:rsidP="00692DEB">
      <w:pPr>
        <w:pStyle w:val="Heading4"/>
      </w:pPr>
      <w:bookmarkStart w:id="8" w:name="_Toc427752816"/>
      <w:r w:rsidRPr="00AF3D47">
        <w:t>Use of Improved Information Technology and Burden Reduction</w:t>
      </w:r>
      <w:bookmarkEnd w:id="8"/>
    </w:p>
    <w:p w14:paraId="1BB2484A" w14:textId="60534D23" w:rsidR="00EF1E83" w:rsidRDefault="00EA3A4A" w:rsidP="00EA1FC0">
      <w:pPr>
        <w:ind w:left="360"/>
      </w:pPr>
      <w:r w:rsidRPr="00F04517">
        <w:t>Data will be collected via</w:t>
      </w:r>
      <w:r w:rsidR="00692DEB" w:rsidRPr="00F04517">
        <w:t xml:space="preserve"> </w:t>
      </w:r>
      <w:r w:rsidR="00D12425">
        <w:t>tele</w:t>
      </w:r>
      <w:r w:rsidR="0019310B" w:rsidRPr="00F04517">
        <w:t>phone interviews</w:t>
      </w:r>
      <w:r w:rsidR="00692DEB" w:rsidRPr="00F04517">
        <w:t xml:space="preserve">. </w:t>
      </w:r>
      <w:r w:rsidR="00D12425" w:rsidRPr="00F04517">
        <w:t xml:space="preserve">Using qualitative </w:t>
      </w:r>
      <w:r w:rsidR="002C7A80">
        <w:t xml:space="preserve">data collection </w:t>
      </w:r>
      <w:r w:rsidR="00D12425" w:rsidRPr="00F04517">
        <w:t xml:space="preserve">methods will help solicit rich data on how something is done, why, and related contexts. Moreover, staff will be able to verify responses and request clarification in real time as needed during the </w:t>
      </w:r>
      <w:r w:rsidR="002C7A80">
        <w:t>data</w:t>
      </w:r>
      <w:r w:rsidR="002C7A80" w:rsidRPr="00F04517">
        <w:t xml:space="preserve"> </w:t>
      </w:r>
      <w:r w:rsidR="00D12425" w:rsidRPr="00F04517">
        <w:t>collection process.</w:t>
      </w:r>
      <w:r w:rsidR="00EA1FC0">
        <w:t xml:space="preserve">  </w:t>
      </w:r>
      <w:r w:rsidR="00785D70" w:rsidRPr="00F04517">
        <w:t xml:space="preserve">The </w:t>
      </w:r>
      <w:r w:rsidR="002C7A80">
        <w:t>tele</w:t>
      </w:r>
      <w:r w:rsidR="00785D70" w:rsidRPr="00F04517">
        <w:t xml:space="preserve">phone interview </w:t>
      </w:r>
      <w:r w:rsidR="00692DEB" w:rsidRPr="00F04517">
        <w:t>method was chosen to reduce the overall burden on respondents</w:t>
      </w:r>
      <w:r w:rsidR="00FF5BF1" w:rsidRPr="00F04517">
        <w:t xml:space="preserve"> by </w:t>
      </w:r>
      <w:r w:rsidR="00945D50" w:rsidRPr="00F04517">
        <w:t>being able to talk to them at the time and day most convenient for them rather than having to organize time when all of the program coordinators for each funded LHD would available for an in-person interview</w:t>
      </w:r>
      <w:r w:rsidR="00326C0B" w:rsidRPr="00F04517">
        <w:t>.</w:t>
      </w:r>
      <w:r w:rsidR="00326C0B" w:rsidRPr="00EA1FC0">
        <w:t xml:space="preserve"> </w:t>
      </w:r>
      <w:r w:rsidR="00EF1E83" w:rsidRPr="00EA1FC0">
        <w:t xml:space="preserve">The telephone interview guide was designed to collect the minimum information necessary for the purposes </w:t>
      </w:r>
      <w:r w:rsidR="00EF1E83" w:rsidRPr="00F04517">
        <w:t xml:space="preserve">of this project (i.e., limited to </w:t>
      </w:r>
      <w:r w:rsidR="00EF1E83">
        <w:t>1</w:t>
      </w:r>
      <w:r w:rsidR="00D74F79">
        <w:t>8</w:t>
      </w:r>
      <w:r w:rsidR="00EF1E83" w:rsidRPr="00F04517">
        <w:t xml:space="preserve"> main questions</w:t>
      </w:r>
      <w:r w:rsidR="00EF1E83">
        <w:t>).</w:t>
      </w:r>
      <w:r w:rsidR="00EF1E83" w:rsidRPr="00EF1E83">
        <w:t xml:space="preserve"> </w:t>
      </w:r>
      <w:r w:rsidR="00EF1E83">
        <w:t>Additional p</w:t>
      </w:r>
      <w:r w:rsidR="00EF1E83" w:rsidRPr="00F04517">
        <w:t xml:space="preserve">robes and prompts are included to aid the </w:t>
      </w:r>
      <w:r w:rsidR="00EF1E83">
        <w:t>interviewers</w:t>
      </w:r>
      <w:r w:rsidR="00EF1E83" w:rsidRPr="00F04517">
        <w:t xml:space="preserve"> with clarifying and elaborating on the main questions.</w:t>
      </w:r>
    </w:p>
    <w:p w14:paraId="7F1BE575" w14:textId="77777777" w:rsidR="00D12425" w:rsidRDefault="00D12425" w:rsidP="007B7C44">
      <w:pPr>
        <w:ind w:left="360"/>
      </w:pPr>
    </w:p>
    <w:p w14:paraId="099E8A87" w14:textId="77777777" w:rsidR="00B47055" w:rsidRPr="001C407F" w:rsidRDefault="00B47055" w:rsidP="00692DEB">
      <w:pPr>
        <w:pStyle w:val="Heading4"/>
      </w:pPr>
      <w:bookmarkStart w:id="9" w:name="_Toc427752817"/>
      <w:r w:rsidRPr="001C407F">
        <w:t>Efforts to Identify Duplication and Use of Similar Information</w:t>
      </w:r>
      <w:bookmarkEnd w:id="9"/>
    </w:p>
    <w:p w14:paraId="61BF8BD6" w14:textId="72431963" w:rsidR="008C2615" w:rsidRPr="00EA1FC0" w:rsidRDefault="001C407F" w:rsidP="003722A3">
      <w:pPr>
        <w:ind w:left="360"/>
      </w:pPr>
      <w:r w:rsidRPr="00EA1FC0">
        <w:t>To date,</w:t>
      </w:r>
      <w:r w:rsidRPr="00EA1FC0">
        <w:rPr>
          <w:iCs/>
        </w:rPr>
        <w:t xml:space="preserve"> no other data collections have been conducted to gather information and</w:t>
      </w:r>
      <w:r w:rsidRPr="00EA1FC0">
        <w:rPr>
          <w:b/>
        </w:rPr>
        <w:t xml:space="preserve"> </w:t>
      </w:r>
      <w:r w:rsidRPr="00EA1FC0">
        <w:rPr>
          <w:iCs/>
        </w:rPr>
        <w:t xml:space="preserve">lessons learned about how </w:t>
      </w:r>
      <w:r w:rsidR="00E4618F" w:rsidRPr="00EA1FC0">
        <w:rPr>
          <w:iCs/>
        </w:rPr>
        <w:t>1605-funded LHDs</w:t>
      </w:r>
      <w:r w:rsidRPr="00EA1FC0">
        <w:rPr>
          <w:iCs/>
        </w:rPr>
        <w:t xml:space="preserve"> are implementing strategies to prevent community</w:t>
      </w:r>
      <w:r w:rsidR="00E4618F" w:rsidRPr="00EA1FC0">
        <w:rPr>
          <w:iCs/>
        </w:rPr>
        <w:t>-</w:t>
      </w:r>
      <w:r w:rsidRPr="00EA1FC0">
        <w:rPr>
          <w:iCs/>
        </w:rPr>
        <w:t>wide violence, with specific focus on preventing TDV and YV</w:t>
      </w:r>
      <w:r w:rsidR="00E4618F" w:rsidRPr="00EA1FC0">
        <w:rPr>
          <w:iCs/>
        </w:rPr>
        <w:t>, using a multifaceted primary prevention approach</w:t>
      </w:r>
      <w:r w:rsidRPr="00EA1FC0">
        <w:rPr>
          <w:iCs/>
        </w:rPr>
        <w:t xml:space="preserve">. </w:t>
      </w:r>
      <w:r w:rsidR="008C2615" w:rsidRPr="00EA1FC0">
        <w:rPr>
          <w:rFonts w:ascii="Cambria" w:hAnsi="Cambria"/>
        </w:rPr>
        <w:t xml:space="preserve"> The information that will be gathered through this information collection is not available from other data sources or through other means.</w:t>
      </w:r>
      <w:r w:rsidRPr="00EA1FC0">
        <w:t xml:space="preserve"> </w:t>
      </w:r>
      <w:r w:rsidR="00DC7AC1" w:rsidRPr="00EA1FC0">
        <w:t xml:space="preserve">This is the only known funding provided to LHDs to address shared risk and </w:t>
      </w:r>
      <w:r w:rsidR="00B9388F" w:rsidRPr="00EA1FC0">
        <w:t>protective factors of TDV and YV using a multifaceted primary prevention approach.</w:t>
      </w:r>
    </w:p>
    <w:p w14:paraId="71975FDE" w14:textId="08BF993C" w:rsidR="001C407F" w:rsidRDefault="001C407F" w:rsidP="00E4618F">
      <w:pPr>
        <w:ind w:left="360"/>
      </w:pPr>
    </w:p>
    <w:p w14:paraId="2D9F2FE6" w14:textId="77777777" w:rsidR="00B12F51" w:rsidRPr="00B47055" w:rsidRDefault="00B47055" w:rsidP="00692DEB">
      <w:pPr>
        <w:pStyle w:val="Heading4"/>
      </w:pPr>
      <w:bookmarkStart w:id="10" w:name="_Toc427752818"/>
      <w:r w:rsidRPr="00B47055">
        <w:t>Impact on Small Businesses or Other Small Entities</w:t>
      </w:r>
      <w:bookmarkEnd w:id="10"/>
    </w:p>
    <w:p w14:paraId="4EFD43A6" w14:textId="77777777" w:rsidR="0053557D" w:rsidRDefault="00D26A64" w:rsidP="007B7C44">
      <w:pPr>
        <w:ind w:left="360"/>
      </w:pPr>
      <w:r>
        <w:t>N</w:t>
      </w:r>
      <w:r w:rsidR="00AF2252">
        <w:t xml:space="preserve">o small businesses will be involved in this </w:t>
      </w:r>
      <w:r w:rsidR="00157413">
        <w:t>information collection</w:t>
      </w:r>
      <w:r>
        <w:t>.</w:t>
      </w:r>
    </w:p>
    <w:p w14:paraId="5EC1DC64" w14:textId="03934879" w:rsidR="00BD4599" w:rsidRDefault="00BD4599" w:rsidP="0019310B">
      <w:pPr>
        <w:ind w:left="0"/>
      </w:pPr>
    </w:p>
    <w:p w14:paraId="19A39671" w14:textId="77777777" w:rsidR="00B12F51" w:rsidRPr="008C2615" w:rsidRDefault="00B47055" w:rsidP="00692DEB">
      <w:pPr>
        <w:pStyle w:val="Heading4"/>
      </w:pPr>
      <w:bookmarkStart w:id="11" w:name="_Toc427752819"/>
      <w:r w:rsidRPr="008C2615">
        <w:t xml:space="preserve">Consequences of Collecting the Information Less Frequently </w:t>
      </w:r>
      <w:r w:rsidR="00D95FBF" w:rsidRPr="008C2615">
        <w:t xml:space="preserve">  </w:t>
      </w:r>
      <w:bookmarkEnd w:id="11"/>
      <w:r w:rsidR="00D95FBF" w:rsidRPr="008C2615">
        <w:t xml:space="preserve"> </w:t>
      </w:r>
    </w:p>
    <w:p w14:paraId="33CF3EF3" w14:textId="77777777" w:rsidR="000058E0" w:rsidRPr="00F04517" w:rsidRDefault="000058E0" w:rsidP="007B7C44">
      <w:pPr>
        <w:ind w:left="360"/>
      </w:pPr>
      <w:r w:rsidRPr="00F04517">
        <w:t xml:space="preserve">This request is for a one time </w:t>
      </w:r>
      <w:r w:rsidR="005212E5" w:rsidRPr="00F04517">
        <w:t>data</w:t>
      </w:r>
      <w:r w:rsidRPr="00F04517">
        <w:t xml:space="preserve"> collection.  There are no legal obstacles to reduce the burden. If no data are collected, CDC will be unable to:</w:t>
      </w:r>
    </w:p>
    <w:p w14:paraId="384E5322" w14:textId="07037F1E" w:rsidR="008C2615" w:rsidRDefault="008C2615" w:rsidP="008C2615">
      <w:pPr>
        <w:pStyle w:val="ListParagraph"/>
        <w:numPr>
          <w:ilvl w:val="0"/>
          <w:numId w:val="6"/>
        </w:numPr>
        <w:tabs>
          <w:tab w:val="clear" w:pos="9360"/>
        </w:tabs>
        <w:spacing w:line="240" w:lineRule="auto"/>
        <w:ind w:left="990" w:hanging="270"/>
      </w:pPr>
      <w:r w:rsidRPr="00F04517">
        <w:t xml:space="preserve">Identify strengths, barriers, and lessons learn and share </w:t>
      </w:r>
      <w:r w:rsidR="00B9388F">
        <w:t>1605 recipient’</w:t>
      </w:r>
      <w:r w:rsidRPr="00F04517">
        <w:t xml:space="preserve"> experiences to inform other LHDs, communities, and practitioners in the field trying to implement similar approach and efforts</w:t>
      </w:r>
    </w:p>
    <w:p w14:paraId="357975F6" w14:textId="0076946C" w:rsidR="00886FBF" w:rsidRPr="00F04517" w:rsidRDefault="00886FBF" w:rsidP="00160E31">
      <w:pPr>
        <w:pStyle w:val="ListParagraph"/>
        <w:numPr>
          <w:ilvl w:val="0"/>
          <w:numId w:val="6"/>
        </w:numPr>
        <w:tabs>
          <w:tab w:val="clear" w:pos="9360"/>
        </w:tabs>
        <w:spacing w:line="240" w:lineRule="auto"/>
        <w:ind w:left="990" w:hanging="270"/>
      </w:pPr>
      <w:r w:rsidRPr="00F04517">
        <w:t xml:space="preserve">Identify areas for improvement and additional </w:t>
      </w:r>
      <w:r w:rsidR="00796AB3">
        <w:t>technical assistance</w:t>
      </w:r>
      <w:r w:rsidR="00796AB3" w:rsidRPr="00F04517">
        <w:t xml:space="preserve"> </w:t>
      </w:r>
      <w:r w:rsidRPr="00F04517">
        <w:t>by CDC to help funded LHDs achieve the goals of the 1605 Program in the remaining funding period</w:t>
      </w:r>
    </w:p>
    <w:p w14:paraId="1DD38DEC" w14:textId="38E1D613" w:rsidR="00886FBF" w:rsidRPr="00F04517" w:rsidRDefault="00886FBF" w:rsidP="00160E31">
      <w:pPr>
        <w:pStyle w:val="ListParagraph"/>
        <w:numPr>
          <w:ilvl w:val="0"/>
          <w:numId w:val="6"/>
        </w:numPr>
        <w:tabs>
          <w:tab w:val="clear" w:pos="9360"/>
        </w:tabs>
        <w:spacing w:line="240" w:lineRule="auto"/>
        <w:ind w:left="990" w:hanging="270"/>
      </w:pPr>
      <w:r w:rsidRPr="00F04517">
        <w:t xml:space="preserve">Develop an in-depth understanding of the </w:t>
      </w:r>
      <w:r w:rsidR="00EA1FC0">
        <w:t>of how</w:t>
      </w:r>
      <w:r w:rsidRPr="00F04517">
        <w:t xml:space="preserve"> </w:t>
      </w:r>
      <w:r w:rsidR="00EA1FC0">
        <w:t xml:space="preserve">a </w:t>
      </w:r>
      <w:r w:rsidRPr="00F04517">
        <w:t xml:space="preserve">multifaceted primary prevention approach </w:t>
      </w:r>
      <w:r w:rsidR="00EA1FC0">
        <w:t xml:space="preserve">is used </w:t>
      </w:r>
      <w:r w:rsidRPr="00F04517">
        <w:t xml:space="preserve">to prevent multiple forms of violence </w:t>
      </w:r>
    </w:p>
    <w:p w14:paraId="2E34A7B0" w14:textId="7B2880B0" w:rsidR="00BD4599" w:rsidRDefault="00BD4599" w:rsidP="00675F9A">
      <w:pPr>
        <w:pStyle w:val="ListParagraph"/>
        <w:ind w:left="360"/>
        <w:rPr>
          <w:lang w:eastAsia="zh-CN"/>
        </w:rPr>
      </w:pPr>
    </w:p>
    <w:p w14:paraId="3511CF93"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49548D0A" w14:textId="7346BE06" w:rsidR="00160E31" w:rsidRDefault="00A809AA" w:rsidP="00F04517">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504E5BBF" w14:textId="77777777" w:rsidR="00160E31" w:rsidRDefault="00160E31" w:rsidP="00675F9A">
      <w:pPr>
        <w:ind w:left="360"/>
      </w:pPr>
    </w:p>
    <w:p w14:paraId="4FCF7782"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65288F15"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6005F384" w14:textId="77777777" w:rsidR="00A809AA" w:rsidRPr="00A809AA" w:rsidRDefault="00A809AA" w:rsidP="00692DEB">
      <w:pPr>
        <w:ind w:left="0"/>
      </w:pPr>
    </w:p>
    <w:p w14:paraId="02CD1AC9" w14:textId="1981F28C" w:rsidR="00F52BCC" w:rsidRDefault="00A809AA" w:rsidP="00675F9A">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9429EA1" w14:textId="77777777" w:rsidR="0086712B" w:rsidRDefault="0086712B" w:rsidP="00675F9A">
      <w:pPr>
        <w:ind w:left="360"/>
      </w:pPr>
    </w:p>
    <w:p w14:paraId="118951D6" w14:textId="77777777" w:rsidR="00B12F51" w:rsidRPr="0088467A" w:rsidRDefault="0088467A" w:rsidP="00692DEB">
      <w:pPr>
        <w:pStyle w:val="Heading4"/>
      </w:pPr>
      <w:bookmarkStart w:id="14" w:name="_Toc427752822"/>
      <w:r w:rsidRPr="0088467A">
        <w:t>Explanation of Any Payment or Gift to Respondents</w:t>
      </w:r>
      <w:bookmarkEnd w:id="14"/>
    </w:p>
    <w:p w14:paraId="5C1536CA" w14:textId="77777777" w:rsidR="00675F9A" w:rsidRDefault="00A809AA" w:rsidP="005212E5">
      <w:pPr>
        <w:ind w:left="360"/>
      </w:pPr>
      <w:r>
        <w:t>CDC will not provide p</w:t>
      </w:r>
      <w:r w:rsidR="00D26A64">
        <w:t>ayments or gifts to respondents.</w:t>
      </w:r>
    </w:p>
    <w:p w14:paraId="34E3CF21" w14:textId="77777777" w:rsidR="006A09E0" w:rsidRDefault="006A09E0" w:rsidP="005212E5">
      <w:pPr>
        <w:ind w:left="360"/>
      </w:pPr>
    </w:p>
    <w:p w14:paraId="3D9B0F7F"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146C7C79" w14:textId="77777777" w:rsidR="00D376DC" w:rsidRDefault="00F04517" w:rsidP="00D376DC">
      <w:pPr>
        <w:ind w:left="360"/>
        <w:rPr>
          <w:szCs w:val="24"/>
        </w:rPr>
      </w:pPr>
      <w:r w:rsidRPr="00BB0CAB">
        <w:rPr>
          <w:szCs w:val="24"/>
        </w:rPr>
        <w:t xml:space="preserve">The Privacy Act does not </w:t>
      </w:r>
      <w:r>
        <w:rPr>
          <w:szCs w:val="24"/>
        </w:rPr>
        <w:t xml:space="preserve">apply to this data collection. </w:t>
      </w:r>
      <w:r w:rsidRPr="00BB0CAB">
        <w:rPr>
          <w:szCs w:val="24"/>
        </w:rPr>
        <w:t xml:space="preserve">STLT governmental staff and / or delegates will be speaking from their official roles. </w:t>
      </w:r>
    </w:p>
    <w:p w14:paraId="53C79B5A" w14:textId="77777777" w:rsidR="00D376DC" w:rsidRDefault="00D376DC" w:rsidP="00D376DC">
      <w:pPr>
        <w:ind w:left="360"/>
        <w:rPr>
          <w:szCs w:val="24"/>
        </w:rPr>
      </w:pPr>
    </w:p>
    <w:p w14:paraId="40A1F5A4" w14:textId="7E8D9A24" w:rsidR="00EA1FC0" w:rsidRDefault="00F04517" w:rsidP="00D376DC">
      <w:pPr>
        <w:ind w:left="360"/>
      </w:pPr>
      <w:r w:rsidRPr="00BB0CAB">
        <w:t>This data collection is not research involving human subjects</w:t>
      </w:r>
      <w:r w:rsidR="00D376DC">
        <w:t>.</w:t>
      </w:r>
    </w:p>
    <w:p w14:paraId="2E71C24C" w14:textId="77777777" w:rsidR="00D376DC" w:rsidRPr="00D376DC" w:rsidRDefault="00D376DC" w:rsidP="00D376DC">
      <w:pPr>
        <w:ind w:left="360"/>
        <w:rPr>
          <w:szCs w:val="24"/>
        </w:rPr>
      </w:pPr>
    </w:p>
    <w:p w14:paraId="695E96E4"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6CCFA6C8" w14:textId="77777777" w:rsidR="00F52BCC" w:rsidRDefault="003C31C9" w:rsidP="008B65FF">
      <w:pPr>
        <w:ind w:left="360"/>
      </w:pPr>
      <w:r>
        <w:t>No information will be collected</w:t>
      </w:r>
      <w:r w:rsidR="00616090">
        <w:t xml:space="preserve"> that are of personal or sensitive nature</w:t>
      </w:r>
      <w:r w:rsidR="00D26A64">
        <w:t>.</w:t>
      </w:r>
    </w:p>
    <w:p w14:paraId="753E2D74" w14:textId="77777777" w:rsidR="008B65FF" w:rsidRDefault="008B65FF" w:rsidP="002E2EDD">
      <w:pPr>
        <w:ind w:left="0"/>
      </w:pPr>
    </w:p>
    <w:p w14:paraId="3BBD4AFD" w14:textId="77777777" w:rsidR="00B64BFA" w:rsidRPr="00CE29DC" w:rsidRDefault="0088467A" w:rsidP="00692DEB">
      <w:pPr>
        <w:pStyle w:val="Heading4"/>
      </w:pPr>
      <w:bookmarkStart w:id="17" w:name="_Toc427752825"/>
      <w:r w:rsidRPr="00CE29DC">
        <w:t>Estimates of Annualized Burden Hours and Costs</w:t>
      </w:r>
      <w:bookmarkEnd w:id="17"/>
    </w:p>
    <w:p w14:paraId="67F2A333" w14:textId="44516482" w:rsidR="000058E0" w:rsidRPr="00711BFA" w:rsidRDefault="000058E0" w:rsidP="008B65FF">
      <w:pPr>
        <w:ind w:left="360"/>
        <w:rPr>
          <w:color w:val="000000"/>
        </w:rPr>
      </w:pPr>
      <w:r w:rsidRPr="00711BFA">
        <w:rPr>
          <w:color w:val="000000"/>
        </w:rPr>
        <w:t xml:space="preserve">The estimate for burden hours is based on a pilot test of </w:t>
      </w:r>
      <w:r w:rsidRPr="0061015C">
        <w:t>the</w:t>
      </w:r>
      <w:r w:rsidR="00F43765">
        <w:t xml:space="preserve"> telephone</w:t>
      </w:r>
      <w:r w:rsidRPr="0061015C">
        <w:t xml:space="preserve"> </w:t>
      </w:r>
      <w:r w:rsidR="004D4D87">
        <w:t>interview guide</w:t>
      </w:r>
      <w:r w:rsidRPr="0061015C">
        <w:t xml:space="preserve"> </w:t>
      </w:r>
      <w:r w:rsidRPr="00711BFA">
        <w:rPr>
          <w:color w:val="000000"/>
        </w:rPr>
        <w:t xml:space="preserve">by </w:t>
      </w:r>
      <w:r w:rsidR="00D74F79">
        <w:rPr>
          <w:color w:val="000000"/>
        </w:rPr>
        <w:t>three</w:t>
      </w:r>
      <w:r w:rsidRPr="00774689">
        <w:rPr>
          <w:color w:val="0070C0"/>
        </w:rPr>
        <w:t xml:space="preserve"> </w:t>
      </w:r>
      <w:r w:rsidRPr="00711BFA">
        <w:t xml:space="preserve">public health professionals. In the pilot test, the average time to complete the </w:t>
      </w:r>
      <w:r w:rsidRPr="0061015C">
        <w:t>instrument including time for reviewing instructions, gathering needed information and completing the instrument</w:t>
      </w:r>
      <w:r w:rsidRPr="00711BFA">
        <w:t xml:space="preserve">, was approximately </w:t>
      </w:r>
      <w:r w:rsidR="00D74F79" w:rsidRPr="00D74F79">
        <w:t>50</w:t>
      </w:r>
      <w:r w:rsidRPr="00774689">
        <w:rPr>
          <w:color w:val="0070C0"/>
        </w:rPr>
        <w:t xml:space="preserve"> </w:t>
      </w:r>
      <w:r w:rsidRPr="00711BFA">
        <w:t>minutes</w:t>
      </w:r>
      <w:r w:rsidR="00A242DB">
        <w:t xml:space="preserve"> (range:</w:t>
      </w:r>
      <w:r w:rsidR="00D74F79">
        <w:t xml:space="preserve"> 38</w:t>
      </w:r>
      <w:r w:rsidR="00721719" w:rsidRPr="00774689">
        <w:rPr>
          <w:color w:val="0070C0"/>
        </w:rPr>
        <w:t xml:space="preserve"> </w:t>
      </w:r>
      <w:r w:rsidR="00721719">
        <w:t>–</w:t>
      </w:r>
      <w:r w:rsidR="00D74F79">
        <w:t xml:space="preserve"> 55</w:t>
      </w:r>
      <w:r w:rsidR="00721719" w:rsidRPr="00721719">
        <w:t>)</w:t>
      </w:r>
      <w:r w:rsidRPr="00711BFA">
        <w:t xml:space="preserve">. For the purposes of estimating burden hours, the upper limit of this range (i.e., </w:t>
      </w:r>
      <w:r w:rsidR="00D74F79">
        <w:t xml:space="preserve">55 </w:t>
      </w:r>
      <w:r w:rsidRPr="00711BFA">
        <w:t>minutes) is used.</w:t>
      </w:r>
    </w:p>
    <w:p w14:paraId="626BCCD1" w14:textId="0C7D41CD" w:rsidR="000058E0" w:rsidRDefault="000058E0" w:rsidP="000058E0">
      <w:pPr>
        <w:ind w:left="0"/>
      </w:pPr>
    </w:p>
    <w:p w14:paraId="5C9D6057" w14:textId="574B5B2E" w:rsidR="00BB090C"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00174C10" w:rsidRPr="00380F0E">
        <w:t>Administrative Service Managers (11-3011) and Social and Community Service Managers (11-9151)</w:t>
      </w:r>
      <w:r w:rsidR="00174C10">
        <w:t xml:space="preserve"> </w:t>
      </w:r>
      <w:hyperlink r:id="rId15" w:history="1">
        <w:r w:rsidRPr="009C70BD">
          <w:rPr>
            <w:rStyle w:val="Hyperlink"/>
          </w:rPr>
          <w:t>http://www.bls.gov/oes/current/oes_nat.htm</w:t>
        </w:r>
      </w:hyperlink>
      <w:r>
        <w:t xml:space="preserve">.  </w:t>
      </w:r>
      <w:r w:rsidR="000058E0" w:rsidRPr="00711BFA">
        <w:t xml:space="preserve">Based on DOL data, an average hourly wage of </w:t>
      </w:r>
      <w:r w:rsidR="00B9388F" w:rsidRPr="00D74F79">
        <w:t xml:space="preserve">$33.91 </w:t>
      </w:r>
      <w:r w:rsidR="00174C10" w:rsidRPr="00D74F79">
        <w:t xml:space="preserve">is estimated </w:t>
      </w:r>
      <w:r w:rsidR="00174C10" w:rsidRPr="00711BFA">
        <w:t>for</w:t>
      </w:r>
      <w:r w:rsidR="00174C10">
        <w:t xml:space="preserve"> </w:t>
      </w:r>
      <w:r w:rsidR="00B9388F">
        <w:t xml:space="preserve">program coordinators of government and </w:t>
      </w:r>
      <w:r w:rsidR="00174C10">
        <w:t>delegat</w:t>
      </w:r>
      <w:r w:rsidR="00B9388F">
        <w:t>e organizations</w:t>
      </w:r>
      <w:r w:rsidR="000058E0" w:rsidRPr="00711BFA">
        <w:t>. Table A-12 shows estimated burden and cost information.</w:t>
      </w:r>
    </w:p>
    <w:p w14:paraId="00F5EA1A" w14:textId="77777777" w:rsidR="00EA1FC0" w:rsidRPr="00441CC3" w:rsidRDefault="00EA1FC0" w:rsidP="008B65FF">
      <w:pPr>
        <w:ind w:left="360"/>
      </w:pPr>
    </w:p>
    <w:p w14:paraId="70013B0A" w14:textId="5408F101" w:rsidR="00D6562D"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76129DD5" w14:textId="77777777" w:rsidR="00EA1FC0" w:rsidRDefault="00EA1FC0" w:rsidP="006A09E0">
      <w:pPr>
        <w:pStyle w:val="CommentText"/>
        <w:ind w:left="360"/>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504"/>
        <w:gridCol w:w="1303"/>
        <w:gridCol w:w="1217"/>
        <w:gridCol w:w="1217"/>
        <w:gridCol w:w="872"/>
        <w:gridCol w:w="958"/>
        <w:gridCol w:w="1659"/>
      </w:tblGrid>
      <w:tr w:rsidR="0043229B" w:rsidRPr="00D6562D" w14:paraId="5A83DF5C" w14:textId="77777777" w:rsidTr="00D74F79">
        <w:trPr>
          <w:trHeight w:val="926"/>
        </w:trPr>
        <w:tc>
          <w:tcPr>
            <w:tcW w:w="1170" w:type="dxa"/>
            <w:shd w:val="clear" w:color="auto" w:fill="D9D9D9" w:themeFill="background1" w:themeFillShade="D9"/>
          </w:tcPr>
          <w:p w14:paraId="3D2FB2BF" w14:textId="08600527" w:rsidR="003B2200" w:rsidRPr="00D6562D" w:rsidRDefault="002E2EDD" w:rsidP="00B9388F">
            <w:pPr>
              <w:ind w:left="-18"/>
              <w:rPr>
                <w:b/>
                <w:sz w:val="18"/>
                <w:szCs w:val="20"/>
              </w:rPr>
            </w:pPr>
            <w:r w:rsidRPr="00D6562D">
              <w:rPr>
                <w:b/>
                <w:sz w:val="18"/>
                <w:szCs w:val="20"/>
              </w:rPr>
              <w:t>Data</w:t>
            </w:r>
            <w:r w:rsidR="00157413" w:rsidRPr="00D6562D">
              <w:rPr>
                <w:b/>
                <w:sz w:val="18"/>
                <w:szCs w:val="20"/>
              </w:rPr>
              <w:t xml:space="preserve"> collection</w:t>
            </w:r>
            <w:r w:rsidR="003B2200" w:rsidRPr="00D6562D">
              <w:rPr>
                <w:b/>
                <w:sz w:val="18"/>
                <w:szCs w:val="20"/>
              </w:rPr>
              <w:t xml:space="preserve"> Instrument: Form Name</w:t>
            </w:r>
          </w:p>
        </w:tc>
        <w:tc>
          <w:tcPr>
            <w:tcW w:w="1504" w:type="dxa"/>
            <w:shd w:val="clear" w:color="auto" w:fill="D9D9D9" w:themeFill="background1" w:themeFillShade="D9"/>
          </w:tcPr>
          <w:p w14:paraId="69E90EC5" w14:textId="77777777" w:rsidR="003B2200" w:rsidRPr="00D6562D" w:rsidRDefault="003B2200" w:rsidP="00B9388F">
            <w:pPr>
              <w:ind w:left="-18"/>
              <w:rPr>
                <w:b/>
                <w:sz w:val="18"/>
                <w:szCs w:val="20"/>
              </w:rPr>
            </w:pPr>
            <w:r w:rsidRPr="00D6562D">
              <w:rPr>
                <w:b/>
                <w:sz w:val="18"/>
                <w:szCs w:val="20"/>
              </w:rPr>
              <w:t>Type of Respondent</w:t>
            </w:r>
          </w:p>
        </w:tc>
        <w:tc>
          <w:tcPr>
            <w:tcW w:w="1303" w:type="dxa"/>
            <w:shd w:val="clear" w:color="auto" w:fill="D9D9D9" w:themeFill="background1" w:themeFillShade="D9"/>
          </w:tcPr>
          <w:p w14:paraId="2CE87D0D" w14:textId="77777777" w:rsidR="003B2200" w:rsidRPr="00D6562D" w:rsidRDefault="003B2200" w:rsidP="00B9388F">
            <w:pPr>
              <w:ind w:left="-18"/>
              <w:rPr>
                <w:b/>
                <w:sz w:val="18"/>
                <w:szCs w:val="20"/>
              </w:rPr>
            </w:pPr>
            <w:r w:rsidRPr="00D6562D">
              <w:rPr>
                <w:b/>
                <w:sz w:val="18"/>
                <w:szCs w:val="20"/>
              </w:rPr>
              <w:t>No. of Respondents</w:t>
            </w:r>
          </w:p>
        </w:tc>
        <w:tc>
          <w:tcPr>
            <w:tcW w:w="1217" w:type="dxa"/>
            <w:shd w:val="clear" w:color="auto" w:fill="D9D9D9" w:themeFill="background1" w:themeFillShade="D9"/>
          </w:tcPr>
          <w:p w14:paraId="6E121B42" w14:textId="77777777" w:rsidR="003B2200" w:rsidRPr="00D6562D" w:rsidRDefault="003B2200" w:rsidP="00B9388F">
            <w:pPr>
              <w:ind w:left="-18"/>
              <w:rPr>
                <w:b/>
                <w:sz w:val="18"/>
                <w:szCs w:val="20"/>
              </w:rPr>
            </w:pPr>
            <w:r w:rsidRPr="00D6562D">
              <w:rPr>
                <w:b/>
                <w:sz w:val="18"/>
                <w:szCs w:val="20"/>
              </w:rPr>
              <w:t>No. of Responses per Respondent</w:t>
            </w:r>
          </w:p>
        </w:tc>
        <w:tc>
          <w:tcPr>
            <w:tcW w:w="1217" w:type="dxa"/>
            <w:shd w:val="clear" w:color="auto" w:fill="D9D9D9" w:themeFill="background1" w:themeFillShade="D9"/>
          </w:tcPr>
          <w:p w14:paraId="47ACB461" w14:textId="77777777" w:rsidR="003B2200" w:rsidRPr="00D6562D" w:rsidRDefault="003B2200" w:rsidP="00B9388F">
            <w:pPr>
              <w:ind w:left="-18"/>
              <w:rPr>
                <w:b/>
                <w:sz w:val="18"/>
                <w:szCs w:val="20"/>
              </w:rPr>
            </w:pPr>
            <w:r w:rsidRPr="00D6562D">
              <w:rPr>
                <w:b/>
                <w:sz w:val="18"/>
                <w:szCs w:val="20"/>
              </w:rPr>
              <w:t>Average Burden per Response (in hours)</w:t>
            </w:r>
          </w:p>
        </w:tc>
        <w:tc>
          <w:tcPr>
            <w:tcW w:w="872" w:type="dxa"/>
            <w:shd w:val="clear" w:color="auto" w:fill="D9D9D9" w:themeFill="background1" w:themeFillShade="D9"/>
          </w:tcPr>
          <w:p w14:paraId="4790BB63" w14:textId="77777777" w:rsidR="003B2200" w:rsidRPr="00D6562D" w:rsidRDefault="003B2200" w:rsidP="00B9388F">
            <w:pPr>
              <w:ind w:left="-18"/>
              <w:rPr>
                <w:b/>
                <w:sz w:val="18"/>
                <w:szCs w:val="20"/>
              </w:rPr>
            </w:pPr>
            <w:r w:rsidRPr="00D6562D">
              <w:rPr>
                <w:b/>
                <w:sz w:val="18"/>
                <w:szCs w:val="20"/>
              </w:rPr>
              <w:t>Total Burden Hours</w:t>
            </w:r>
          </w:p>
        </w:tc>
        <w:tc>
          <w:tcPr>
            <w:tcW w:w="958" w:type="dxa"/>
            <w:shd w:val="clear" w:color="auto" w:fill="D9D9D9" w:themeFill="background1" w:themeFillShade="D9"/>
          </w:tcPr>
          <w:p w14:paraId="1671B01D" w14:textId="77777777" w:rsidR="003B2200" w:rsidRPr="00D6562D" w:rsidRDefault="003B2200" w:rsidP="00B9388F">
            <w:pPr>
              <w:ind w:left="-18"/>
              <w:rPr>
                <w:b/>
                <w:sz w:val="18"/>
                <w:szCs w:val="20"/>
              </w:rPr>
            </w:pPr>
            <w:r w:rsidRPr="00D6562D">
              <w:rPr>
                <w:b/>
                <w:sz w:val="18"/>
                <w:szCs w:val="20"/>
              </w:rPr>
              <w:t>Hourly Wage Rate</w:t>
            </w:r>
          </w:p>
        </w:tc>
        <w:tc>
          <w:tcPr>
            <w:tcW w:w="1659" w:type="dxa"/>
            <w:shd w:val="clear" w:color="auto" w:fill="D9D9D9" w:themeFill="background1" w:themeFillShade="D9"/>
          </w:tcPr>
          <w:p w14:paraId="227E18A3" w14:textId="77777777" w:rsidR="003B2200" w:rsidRPr="00D6562D" w:rsidRDefault="003B2200" w:rsidP="00B9388F">
            <w:pPr>
              <w:ind w:left="-18"/>
              <w:rPr>
                <w:b/>
                <w:sz w:val="18"/>
                <w:szCs w:val="20"/>
              </w:rPr>
            </w:pPr>
            <w:r w:rsidRPr="00D6562D">
              <w:rPr>
                <w:b/>
                <w:sz w:val="18"/>
                <w:szCs w:val="20"/>
              </w:rPr>
              <w:t>Total Respondent Costs</w:t>
            </w:r>
          </w:p>
        </w:tc>
      </w:tr>
      <w:tr w:rsidR="00787779" w:rsidRPr="00D6562D" w14:paraId="35A456A1" w14:textId="77777777" w:rsidTr="00D74F79">
        <w:trPr>
          <w:trHeight w:val="872"/>
        </w:trPr>
        <w:tc>
          <w:tcPr>
            <w:tcW w:w="1170" w:type="dxa"/>
            <w:vMerge w:val="restart"/>
            <w:vAlign w:val="center"/>
          </w:tcPr>
          <w:p w14:paraId="45130DEF" w14:textId="607E35D1" w:rsidR="00B9388F" w:rsidRPr="00D14350" w:rsidRDefault="00B9388F" w:rsidP="00B9388F">
            <w:pPr>
              <w:spacing w:line="240" w:lineRule="auto"/>
              <w:ind w:left="0"/>
              <w:rPr>
                <w:rFonts w:cstheme="minorHAnsi"/>
                <w:sz w:val="18"/>
                <w:szCs w:val="20"/>
              </w:rPr>
            </w:pPr>
            <w:r>
              <w:rPr>
                <w:rFonts w:cstheme="minorHAnsi"/>
                <w:sz w:val="18"/>
                <w:szCs w:val="20"/>
              </w:rPr>
              <w:t>Telephone Interview Guide</w:t>
            </w:r>
          </w:p>
          <w:p w14:paraId="083216DD" w14:textId="77777777" w:rsidR="00787779" w:rsidRPr="00D14350" w:rsidRDefault="00787779" w:rsidP="00787779">
            <w:pPr>
              <w:spacing w:line="240" w:lineRule="auto"/>
              <w:ind w:left="0"/>
              <w:rPr>
                <w:rFonts w:cstheme="minorHAnsi"/>
                <w:sz w:val="18"/>
                <w:szCs w:val="20"/>
              </w:rPr>
            </w:pPr>
          </w:p>
        </w:tc>
        <w:tc>
          <w:tcPr>
            <w:tcW w:w="1504" w:type="dxa"/>
          </w:tcPr>
          <w:p w14:paraId="04A3C6C6" w14:textId="7D9135BD" w:rsidR="00787779" w:rsidRPr="001A6F50" w:rsidRDefault="00787779" w:rsidP="00B9388F">
            <w:pPr>
              <w:spacing w:line="240" w:lineRule="auto"/>
              <w:ind w:left="0"/>
              <w:rPr>
                <w:rFonts w:cstheme="minorHAnsi"/>
                <w:sz w:val="18"/>
                <w:szCs w:val="20"/>
              </w:rPr>
            </w:pPr>
            <w:r w:rsidRPr="001A6F50">
              <w:rPr>
                <w:rFonts w:cstheme="minorHAnsi"/>
                <w:sz w:val="18"/>
                <w:szCs w:val="20"/>
              </w:rPr>
              <w:t xml:space="preserve">Local </w:t>
            </w:r>
            <w:r w:rsidR="00B9388F">
              <w:rPr>
                <w:rFonts w:cstheme="minorHAnsi"/>
                <w:sz w:val="18"/>
                <w:szCs w:val="20"/>
              </w:rPr>
              <w:t xml:space="preserve">Government: </w:t>
            </w:r>
            <w:r>
              <w:rPr>
                <w:rFonts w:cstheme="minorHAnsi"/>
                <w:sz w:val="18"/>
                <w:szCs w:val="20"/>
              </w:rPr>
              <w:t xml:space="preserve">Program </w:t>
            </w:r>
            <w:r w:rsidRPr="001A6F50">
              <w:rPr>
                <w:rFonts w:cstheme="minorHAnsi"/>
                <w:sz w:val="18"/>
                <w:szCs w:val="20"/>
              </w:rPr>
              <w:t>Coordinators</w:t>
            </w:r>
          </w:p>
        </w:tc>
        <w:tc>
          <w:tcPr>
            <w:tcW w:w="1303" w:type="dxa"/>
          </w:tcPr>
          <w:p w14:paraId="1A0D4D09" w14:textId="6CA4713A" w:rsidR="00787779" w:rsidRPr="00D74F79" w:rsidRDefault="00EA1FC0" w:rsidP="00787779">
            <w:pPr>
              <w:spacing w:line="240" w:lineRule="auto"/>
              <w:ind w:left="0"/>
              <w:rPr>
                <w:rFonts w:cstheme="minorHAnsi"/>
                <w:sz w:val="18"/>
                <w:szCs w:val="20"/>
              </w:rPr>
            </w:pPr>
            <w:r w:rsidRPr="00D74F79">
              <w:rPr>
                <w:rFonts w:cstheme="minorHAnsi"/>
                <w:sz w:val="18"/>
                <w:szCs w:val="20"/>
              </w:rPr>
              <w:t>15</w:t>
            </w:r>
          </w:p>
        </w:tc>
        <w:tc>
          <w:tcPr>
            <w:tcW w:w="1217" w:type="dxa"/>
          </w:tcPr>
          <w:p w14:paraId="0B51011A" w14:textId="3E1B0254" w:rsidR="00787779" w:rsidRPr="00D74F79" w:rsidRDefault="00787779" w:rsidP="00787779">
            <w:pPr>
              <w:spacing w:line="240" w:lineRule="auto"/>
              <w:ind w:left="0"/>
              <w:rPr>
                <w:rFonts w:cstheme="minorHAnsi"/>
                <w:sz w:val="18"/>
                <w:szCs w:val="20"/>
              </w:rPr>
            </w:pPr>
            <w:r w:rsidRPr="00D74F79">
              <w:rPr>
                <w:rFonts w:cstheme="minorHAnsi"/>
                <w:sz w:val="18"/>
                <w:szCs w:val="20"/>
              </w:rPr>
              <w:t>1</w:t>
            </w:r>
          </w:p>
        </w:tc>
        <w:tc>
          <w:tcPr>
            <w:tcW w:w="1217" w:type="dxa"/>
          </w:tcPr>
          <w:p w14:paraId="3DA40A14" w14:textId="3CE9BBFD" w:rsidR="00787779" w:rsidRPr="00D74F79" w:rsidRDefault="00D74F79" w:rsidP="00787779">
            <w:pPr>
              <w:spacing w:line="240" w:lineRule="auto"/>
              <w:ind w:left="0"/>
              <w:rPr>
                <w:rFonts w:cstheme="minorHAnsi"/>
                <w:sz w:val="18"/>
                <w:szCs w:val="20"/>
              </w:rPr>
            </w:pPr>
            <w:r w:rsidRPr="00D74F79">
              <w:rPr>
                <w:rFonts w:cstheme="minorHAnsi"/>
                <w:sz w:val="18"/>
                <w:szCs w:val="20"/>
              </w:rPr>
              <w:t>55</w:t>
            </w:r>
            <w:r w:rsidR="00787779" w:rsidRPr="00D74F79">
              <w:rPr>
                <w:rFonts w:cstheme="minorHAnsi"/>
                <w:sz w:val="18"/>
                <w:szCs w:val="20"/>
              </w:rPr>
              <w:t xml:space="preserve"> / 60 </w:t>
            </w:r>
          </w:p>
        </w:tc>
        <w:tc>
          <w:tcPr>
            <w:tcW w:w="872" w:type="dxa"/>
          </w:tcPr>
          <w:p w14:paraId="59236D9E" w14:textId="6FD50940" w:rsidR="00787779" w:rsidRPr="00D74F79" w:rsidRDefault="00B2104F" w:rsidP="00787779">
            <w:pPr>
              <w:spacing w:line="240" w:lineRule="auto"/>
              <w:ind w:left="0"/>
              <w:rPr>
                <w:rFonts w:cstheme="minorHAnsi"/>
                <w:sz w:val="18"/>
                <w:szCs w:val="20"/>
              </w:rPr>
            </w:pPr>
            <w:r>
              <w:rPr>
                <w:rFonts w:cstheme="minorHAnsi"/>
                <w:sz w:val="18"/>
                <w:szCs w:val="20"/>
              </w:rPr>
              <w:t>14</w:t>
            </w:r>
          </w:p>
        </w:tc>
        <w:tc>
          <w:tcPr>
            <w:tcW w:w="958" w:type="dxa"/>
          </w:tcPr>
          <w:p w14:paraId="3F3123C2" w14:textId="172BAAE0" w:rsidR="00787779" w:rsidRPr="00D74F79" w:rsidRDefault="00B9388F" w:rsidP="00787779">
            <w:pPr>
              <w:spacing w:line="240" w:lineRule="auto"/>
              <w:ind w:left="0"/>
              <w:rPr>
                <w:rFonts w:cstheme="minorHAnsi"/>
                <w:sz w:val="18"/>
                <w:szCs w:val="20"/>
              </w:rPr>
            </w:pPr>
            <w:r w:rsidRPr="00D74F79">
              <w:rPr>
                <w:rFonts w:cstheme="minorHAnsi"/>
                <w:sz w:val="18"/>
                <w:szCs w:val="20"/>
              </w:rPr>
              <w:t>$33.91</w:t>
            </w:r>
          </w:p>
        </w:tc>
        <w:tc>
          <w:tcPr>
            <w:tcW w:w="1659" w:type="dxa"/>
          </w:tcPr>
          <w:p w14:paraId="5B35AFC1" w14:textId="5861884C" w:rsidR="00787779" w:rsidRPr="00D74F79" w:rsidRDefault="00787779" w:rsidP="00B2104F">
            <w:pPr>
              <w:spacing w:line="240" w:lineRule="auto"/>
              <w:ind w:left="0"/>
              <w:rPr>
                <w:rFonts w:cstheme="minorHAnsi"/>
                <w:sz w:val="18"/>
                <w:szCs w:val="20"/>
              </w:rPr>
            </w:pPr>
            <w:r w:rsidRPr="00D74F79">
              <w:rPr>
                <w:rFonts w:cstheme="minorHAnsi"/>
                <w:sz w:val="18"/>
                <w:szCs w:val="20"/>
              </w:rPr>
              <w:t>$</w:t>
            </w:r>
            <w:r w:rsidR="00B2104F">
              <w:rPr>
                <w:rFonts w:cstheme="minorHAnsi"/>
                <w:sz w:val="18"/>
                <w:szCs w:val="20"/>
              </w:rPr>
              <w:t>47</w:t>
            </w:r>
            <w:r w:rsidR="004967ED">
              <w:rPr>
                <w:rFonts w:cstheme="minorHAnsi"/>
                <w:sz w:val="18"/>
                <w:szCs w:val="20"/>
              </w:rPr>
              <w:t>5</w:t>
            </w:r>
          </w:p>
        </w:tc>
      </w:tr>
      <w:tr w:rsidR="001A6F50" w:rsidRPr="00D6562D" w14:paraId="13AAD699" w14:textId="77777777" w:rsidTr="00D74F79">
        <w:trPr>
          <w:trHeight w:val="710"/>
        </w:trPr>
        <w:tc>
          <w:tcPr>
            <w:tcW w:w="1170" w:type="dxa"/>
            <w:vMerge/>
          </w:tcPr>
          <w:p w14:paraId="385923A6" w14:textId="651CA86A" w:rsidR="001A6F50" w:rsidRPr="00D14350" w:rsidRDefault="001A6F50" w:rsidP="001A6F50">
            <w:pPr>
              <w:spacing w:line="240" w:lineRule="auto"/>
              <w:ind w:left="0"/>
              <w:rPr>
                <w:rFonts w:cstheme="minorHAnsi"/>
                <w:sz w:val="18"/>
                <w:szCs w:val="20"/>
              </w:rPr>
            </w:pPr>
          </w:p>
        </w:tc>
        <w:tc>
          <w:tcPr>
            <w:tcW w:w="1504" w:type="dxa"/>
          </w:tcPr>
          <w:p w14:paraId="4EB96B26" w14:textId="7128FA74" w:rsidR="001A6F50" w:rsidRPr="001A6F50" w:rsidRDefault="00787779" w:rsidP="00B9388F">
            <w:pPr>
              <w:spacing w:line="240" w:lineRule="auto"/>
              <w:ind w:left="0"/>
              <w:rPr>
                <w:rFonts w:cstheme="minorHAnsi"/>
                <w:sz w:val="18"/>
                <w:szCs w:val="20"/>
              </w:rPr>
            </w:pPr>
            <w:r>
              <w:rPr>
                <w:rFonts w:cstheme="minorHAnsi"/>
                <w:sz w:val="18"/>
                <w:szCs w:val="20"/>
              </w:rPr>
              <w:t>Delegates</w:t>
            </w:r>
            <w:r w:rsidR="00B9388F">
              <w:rPr>
                <w:rFonts w:cstheme="minorHAnsi"/>
                <w:sz w:val="18"/>
                <w:szCs w:val="20"/>
              </w:rPr>
              <w:t xml:space="preserve">: Program </w:t>
            </w:r>
            <w:r w:rsidR="00B9388F" w:rsidRPr="001A6F50">
              <w:rPr>
                <w:rFonts w:cstheme="minorHAnsi"/>
                <w:sz w:val="18"/>
                <w:szCs w:val="20"/>
              </w:rPr>
              <w:t>Coordinators</w:t>
            </w:r>
            <w:r w:rsidR="00B9388F">
              <w:rPr>
                <w:rFonts w:cstheme="minorHAnsi"/>
                <w:sz w:val="18"/>
                <w:szCs w:val="20"/>
              </w:rPr>
              <w:t xml:space="preserve"> </w:t>
            </w:r>
          </w:p>
        </w:tc>
        <w:tc>
          <w:tcPr>
            <w:tcW w:w="1303" w:type="dxa"/>
          </w:tcPr>
          <w:p w14:paraId="3A507476" w14:textId="6DC88FEC" w:rsidR="001A6F50" w:rsidRPr="00D74F79" w:rsidRDefault="00EA1FC0" w:rsidP="001A6F50">
            <w:pPr>
              <w:spacing w:line="240" w:lineRule="auto"/>
              <w:ind w:left="0"/>
              <w:rPr>
                <w:rFonts w:cstheme="minorHAnsi"/>
                <w:sz w:val="18"/>
                <w:szCs w:val="20"/>
              </w:rPr>
            </w:pPr>
            <w:r w:rsidRPr="00D74F79">
              <w:rPr>
                <w:rFonts w:cstheme="minorHAnsi"/>
                <w:sz w:val="18"/>
                <w:szCs w:val="20"/>
              </w:rPr>
              <w:t>7</w:t>
            </w:r>
          </w:p>
        </w:tc>
        <w:tc>
          <w:tcPr>
            <w:tcW w:w="1217" w:type="dxa"/>
          </w:tcPr>
          <w:p w14:paraId="3B909CAC" w14:textId="1AFDFC3E" w:rsidR="001A6F50" w:rsidRPr="00D74F79" w:rsidRDefault="001A6F50" w:rsidP="001A6F50">
            <w:pPr>
              <w:spacing w:line="240" w:lineRule="auto"/>
              <w:ind w:left="0"/>
              <w:rPr>
                <w:rFonts w:cstheme="minorHAnsi"/>
                <w:sz w:val="18"/>
                <w:szCs w:val="20"/>
              </w:rPr>
            </w:pPr>
            <w:r w:rsidRPr="00D74F79">
              <w:rPr>
                <w:rFonts w:cstheme="minorHAnsi"/>
                <w:sz w:val="18"/>
                <w:szCs w:val="20"/>
              </w:rPr>
              <w:t>1</w:t>
            </w:r>
          </w:p>
        </w:tc>
        <w:tc>
          <w:tcPr>
            <w:tcW w:w="1217" w:type="dxa"/>
          </w:tcPr>
          <w:p w14:paraId="35D7491A" w14:textId="58656ECF" w:rsidR="001A6F50" w:rsidRPr="00D74F79" w:rsidRDefault="00D74F79" w:rsidP="001A6F50">
            <w:pPr>
              <w:spacing w:line="240" w:lineRule="auto"/>
              <w:ind w:left="0"/>
              <w:rPr>
                <w:rFonts w:cstheme="minorHAnsi"/>
                <w:sz w:val="18"/>
                <w:szCs w:val="20"/>
              </w:rPr>
            </w:pPr>
            <w:r w:rsidRPr="00D74F79">
              <w:rPr>
                <w:rFonts w:cstheme="minorHAnsi"/>
                <w:sz w:val="18"/>
                <w:szCs w:val="20"/>
              </w:rPr>
              <w:t>55</w:t>
            </w:r>
            <w:r w:rsidR="001A6F50" w:rsidRPr="00D74F79">
              <w:rPr>
                <w:rFonts w:cstheme="minorHAnsi"/>
                <w:sz w:val="18"/>
                <w:szCs w:val="20"/>
              </w:rPr>
              <w:t xml:space="preserve"> / 60 </w:t>
            </w:r>
          </w:p>
        </w:tc>
        <w:tc>
          <w:tcPr>
            <w:tcW w:w="872" w:type="dxa"/>
          </w:tcPr>
          <w:p w14:paraId="1F1C4363" w14:textId="1FBEA3D6" w:rsidR="001A6F50" w:rsidRPr="00D74F79" w:rsidRDefault="004967ED" w:rsidP="00B2104F">
            <w:pPr>
              <w:spacing w:line="240" w:lineRule="auto"/>
              <w:ind w:left="0"/>
              <w:rPr>
                <w:rFonts w:cstheme="minorHAnsi"/>
                <w:sz w:val="18"/>
                <w:szCs w:val="20"/>
              </w:rPr>
            </w:pPr>
            <w:r>
              <w:rPr>
                <w:rFonts w:cstheme="minorHAnsi"/>
                <w:sz w:val="18"/>
                <w:szCs w:val="20"/>
              </w:rPr>
              <w:t>6</w:t>
            </w:r>
          </w:p>
        </w:tc>
        <w:tc>
          <w:tcPr>
            <w:tcW w:w="958" w:type="dxa"/>
          </w:tcPr>
          <w:p w14:paraId="1A51F7BF" w14:textId="4015448A" w:rsidR="001A6F50" w:rsidRPr="00D74F79" w:rsidRDefault="00B9388F" w:rsidP="001A6F50">
            <w:pPr>
              <w:spacing w:line="240" w:lineRule="auto"/>
              <w:ind w:left="0"/>
              <w:rPr>
                <w:rFonts w:cstheme="minorHAnsi"/>
                <w:sz w:val="18"/>
                <w:szCs w:val="20"/>
              </w:rPr>
            </w:pPr>
            <w:r w:rsidRPr="00D74F79">
              <w:rPr>
                <w:rFonts w:cstheme="minorHAnsi"/>
                <w:sz w:val="18"/>
                <w:szCs w:val="20"/>
              </w:rPr>
              <w:t>$33.91</w:t>
            </w:r>
          </w:p>
        </w:tc>
        <w:tc>
          <w:tcPr>
            <w:tcW w:w="1659" w:type="dxa"/>
          </w:tcPr>
          <w:p w14:paraId="559A1880" w14:textId="35AA3F03" w:rsidR="001A6F50" w:rsidRPr="00D74F79" w:rsidRDefault="001A6F50" w:rsidP="004967ED">
            <w:pPr>
              <w:spacing w:line="240" w:lineRule="auto"/>
              <w:ind w:left="0"/>
              <w:rPr>
                <w:rFonts w:cstheme="minorHAnsi"/>
                <w:sz w:val="18"/>
                <w:szCs w:val="20"/>
              </w:rPr>
            </w:pPr>
            <w:r w:rsidRPr="00D74F79">
              <w:rPr>
                <w:rFonts w:cstheme="minorHAnsi"/>
                <w:sz w:val="18"/>
                <w:szCs w:val="20"/>
              </w:rPr>
              <w:t>$</w:t>
            </w:r>
            <w:r w:rsidR="004967ED">
              <w:rPr>
                <w:rFonts w:cstheme="minorHAnsi"/>
                <w:sz w:val="18"/>
                <w:szCs w:val="20"/>
              </w:rPr>
              <w:t>203</w:t>
            </w:r>
          </w:p>
        </w:tc>
      </w:tr>
      <w:tr w:rsidR="0043229B" w:rsidRPr="00D6562D" w14:paraId="0280EC14" w14:textId="77777777" w:rsidTr="00D74F79">
        <w:trPr>
          <w:trHeight w:hRule="exact" w:val="460"/>
        </w:trPr>
        <w:tc>
          <w:tcPr>
            <w:tcW w:w="1170" w:type="dxa"/>
            <w:tcBorders>
              <w:bottom w:val="single" w:sz="4" w:space="0" w:color="auto"/>
            </w:tcBorders>
          </w:tcPr>
          <w:p w14:paraId="3FCA9C85" w14:textId="77777777" w:rsidR="003B2200" w:rsidRPr="00D6562D" w:rsidRDefault="003B2200" w:rsidP="000058E0">
            <w:pPr>
              <w:ind w:left="0"/>
              <w:rPr>
                <w:b/>
                <w:sz w:val="18"/>
                <w:szCs w:val="20"/>
              </w:rPr>
            </w:pPr>
          </w:p>
        </w:tc>
        <w:tc>
          <w:tcPr>
            <w:tcW w:w="1504" w:type="dxa"/>
            <w:tcBorders>
              <w:bottom w:val="single" w:sz="4" w:space="0" w:color="auto"/>
            </w:tcBorders>
            <w:vAlign w:val="center"/>
          </w:tcPr>
          <w:p w14:paraId="5AE37B92" w14:textId="77777777" w:rsidR="003B2200" w:rsidRPr="00D6562D" w:rsidRDefault="003B2200" w:rsidP="000058E0">
            <w:pPr>
              <w:ind w:left="0"/>
              <w:rPr>
                <w:b/>
                <w:sz w:val="18"/>
                <w:szCs w:val="20"/>
              </w:rPr>
            </w:pPr>
            <w:r w:rsidRPr="00D6562D">
              <w:rPr>
                <w:b/>
                <w:sz w:val="18"/>
                <w:szCs w:val="20"/>
              </w:rPr>
              <w:t>TOTALS</w:t>
            </w:r>
          </w:p>
        </w:tc>
        <w:tc>
          <w:tcPr>
            <w:tcW w:w="1303" w:type="dxa"/>
            <w:tcBorders>
              <w:bottom w:val="single" w:sz="4" w:space="0" w:color="auto"/>
            </w:tcBorders>
            <w:vAlign w:val="center"/>
          </w:tcPr>
          <w:p w14:paraId="64088766" w14:textId="360BC800" w:rsidR="003B2200" w:rsidRPr="00D74F79" w:rsidRDefault="00EA1FC0" w:rsidP="00EE54FA">
            <w:pPr>
              <w:ind w:left="0"/>
              <w:rPr>
                <w:b/>
                <w:sz w:val="18"/>
                <w:szCs w:val="20"/>
              </w:rPr>
            </w:pPr>
            <w:r w:rsidRPr="00D74F79">
              <w:rPr>
                <w:b/>
                <w:sz w:val="18"/>
                <w:szCs w:val="20"/>
              </w:rPr>
              <w:t>22</w:t>
            </w:r>
          </w:p>
        </w:tc>
        <w:tc>
          <w:tcPr>
            <w:tcW w:w="1217" w:type="dxa"/>
            <w:tcBorders>
              <w:bottom w:val="single" w:sz="4" w:space="0" w:color="auto"/>
            </w:tcBorders>
            <w:shd w:val="clear" w:color="auto" w:fill="auto"/>
            <w:vAlign w:val="center"/>
          </w:tcPr>
          <w:p w14:paraId="363F3B75" w14:textId="77777777" w:rsidR="003B2200" w:rsidRPr="00D74F79" w:rsidRDefault="00471642" w:rsidP="000058E0">
            <w:pPr>
              <w:ind w:left="0"/>
              <w:rPr>
                <w:b/>
                <w:sz w:val="18"/>
                <w:szCs w:val="20"/>
              </w:rPr>
            </w:pPr>
            <w:r w:rsidRPr="00D74F79">
              <w:rPr>
                <w:b/>
                <w:sz w:val="18"/>
                <w:szCs w:val="20"/>
              </w:rPr>
              <w:t>1</w:t>
            </w:r>
          </w:p>
        </w:tc>
        <w:tc>
          <w:tcPr>
            <w:tcW w:w="1217" w:type="dxa"/>
            <w:tcBorders>
              <w:bottom w:val="single" w:sz="4" w:space="0" w:color="auto"/>
            </w:tcBorders>
            <w:shd w:val="clear" w:color="auto" w:fill="D9D9D9" w:themeFill="background1" w:themeFillShade="D9"/>
            <w:vAlign w:val="center"/>
          </w:tcPr>
          <w:p w14:paraId="32D8C475" w14:textId="77777777" w:rsidR="003B2200" w:rsidRPr="00D74F79" w:rsidRDefault="003B2200" w:rsidP="000058E0">
            <w:pPr>
              <w:ind w:left="0"/>
              <w:rPr>
                <w:b/>
                <w:sz w:val="18"/>
                <w:szCs w:val="20"/>
              </w:rPr>
            </w:pPr>
          </w:p>
        </w:tc>
        <w:tc>
          <w:tcPr>
            <w:tcW w:w="872" w:type="dxa"/>
            <w:tcBorders>
              <w:bottom w:val="single" w:sz="4" w:space="0" w:color="auto"/>
            </w:tcBorders>
            <w:vAlign w:val="center"/>
          </w:tcPr>
          <w:p w14:paraId="40F584E3" w14:textId="7AD791BC" w:rsidR="003B2200" w:rsidRPr="00B2104F" w:rsidRDefault="00B2104F" w:rsidP="004F6AFA">
            <w:pPr>
              <w:ind w:left="0"/>
              <w:rPr>
                <w:sz w:val="18"/>
                <w:szCs w:val="20"/>
              </w:rPr>
            </w:pPr>
            <w:r>
              <w:rPr>
                <w:sz w:val="18"/>
                <w:szCs w:val="20"/>
              </w:rPr>
              <w:t>2</w:t>
            </w:r>
            <w:r w:rsidR="004967ED">
              <w:rPr>
                <w:sz w:val="18"/>
                <w:szCs w:val="20"/>
              </w:rPr>
              <w:t>0</w:t>
            </w:r>
          </w:p>
        </w:tc>
        <w:tc>
          <w:tcPr>
            <w:tcW w:w="958" w:type="dxa"/>
            <w:tcBorders>
              <w:bottom w:val="single" w:sz="4" w:space="0" w:color="auto"/>
            </w:tcBorders>
            <w:shd w:val="clear" w:color="auto" w:fill="D9D9D9" w:themeFill="background1" w:themeFillShade="D9"/>
            <w:vAlign w:val="center"/>
          </w:tcPr>
          <w:p w14:paraId="25F7BDC7" w14:textId="77777777" w:rsidR="003B2200" w:rsidRPr="00D74F79" w:rsidRDefault="003B2200" w:rsidP="000058E0">
            <w:pPr>
              <w:ind w:left="0"/>
              <w:rPr>
                <w:b/>
                <w:sz w:val="18"/>
                <w:szCs w:val="20"/>
              </w:rPr>
            </w:pPr>
          </w:p>
        </w:tc>
        <w:tc>
          <w:tcPr>
            <w:tcW w:w="1659" w:type="dxa"/>
            <w:tcBorders>
              <w:bottom w:val="single" w:sz="4" w:space="0" w:color="auto"/>
            </w:tcBorders>
            <w:vAlign w:val="center"/>
          </w:tcPr>
          <w:p w14:paraId="2C382F72" w14:textId="105C9C63" w:rsidR="003B2200" w:rsidRPr="00B2104F" w:rsidRDefault="004F6AFA" w:rsidP="004967ED">
            <w:pPr>
              <w:ind w:left="0"/>
              <w:rPr>
                <w:sz w:val="18"/>
                <w:szCs w:val="20"/>
              </w:rPr>
            </w:pPr>
            <w:r w:rsidRPr="00B2104F">
              <w:rPr>
                <w:sz w:val="18"/>
                <w:szCs w:val="20"/>
              </w:rPr>
              <w:t>$</w:t>
            </w:r>
            <w:r w:rsidR="004967ED">
              <w:rPr>
                <w:sz w:val="18"/>
                <w:szCs w:val="20"/>
              </w:rPr>
              <w:t>678</w:t>
            </w:r>
          </w:p>
        </w:tc>
      </w:tr>
    </w:tbl>
    <w:p w14:paraId="2EE5E72E" w14:textId="77777777" w:rsidR="006127F0" w:rsidRDefault="006127F0" w:rsidP="006127F0">
      <w:pPr>
        <w:pStyle w:val="Heading4"/>
        <w:numPr>
          <w:ilvl w:val="0"/>
          <w:numId w:val="0"/>
        </w:numPr>
        <w:ind w:left="360"/>
      </w:pPr>
      <w:bookmarkStart w:id="18" w:name="_Toc427752826"/>
    </w:p>
    <w:p w14:paraId="0D161A73" w14:textId="7C5A4A6B" w:rsidR="00B12F51" w:rsidRPr="0088467A" w:rsidRDefault="0088467A" w:rsidP="00692DEB">
      <w:pPr>
        <w:pStyle w:val="Heading4"/>
      </w:pPr>
      <w:r w:rsidRPr="0088467A">
        <w:t>Estimates of Other Total Annual Cost Burden to Respondents or Record Keepers</w:t>
      </w:r>
      <w:bookmarkEnd w:id="18"/>
    </w:p>
    <w:p w14:paraId="24015651" w14:textId="2325ABDF" w:rsidR="003C31C9"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6B15939C" w14:textId="77777777" w:rsidR="00787779" w:rsidRDefault="00787779" w:rsidP="00692DEB">
      <w:pPr>
        <w:ind w:left="0"/>
      </w:pPr>
    </w:p>
    <w:p w14:paraId="63E601DB"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5404D447" w14:textId="06C9EC11" w:rsidR="00CE29DC" w:rsidRDefault="000058E0" w:rsidP="00787779">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w:t>
      </w:r>
      <w:r w:rsidRPr="008B2738">
        <w:rPr>
          <w:rFonts w:cs="Arial"/>
        </w:rPr>
        <w:t>staff and contractors</w:t>
      </w:r>
      <w:r w:rsidR="00CF6092" w:rsidRPr="008B2738">
        <w:rPr>
          <w:rFonts w:cs="Arial"/>
        </w:rPr>
        <w:t xml:space="preserve"> to develop the data collection instrument, collect data, and perform data analysis</w:t>
      </w:r>
      <w:r w:rsidRPr="008B2738">
        <w:rPr>
          <w:rFonts w:cs="Arial"/>
        </w:rPr>
        <w:t>. The total estimated cost to the federal government is</w:t>
      </w:r>
      <w:r w:rsidR="008C59E7" w:rsidRPr="008B2738">
        <w:rPr>
          <w:rFonts w:cs="Arial"/>
        </w:rPr>
        <w:t xml:space="preserve"> </w:t>
      </w:r>
      <w:r w:rsidR="008C59E7" w:rsidRPr="00FE0B47">
        <w:rPr>
          <w:rFonts w:cs="Arial"/>
          <w:b/>
        </w:rPr>
        <w:t>$</w:t>
      </w:r>
      <w:r w:rsidR="009451BF">
        <w:rPr>
          <w:rFonts w:cs="Arial"/>
          <w:b/>
        </w:rPr>
        <w:t>15,230</w:t>
      </w:r>
      <w:r w:rsidRPr="006127F0">
        <w:rPr>
          <w:rFonts w:cs="Arial"/>
          <w:b/>
        </w:rPr>
        <w:t>.</w:t>
      </w:r>
      <w:r w:rsidR="006127F0" w:rsidRPr="006127F0">
        <w:rPr>
          <w:rFonts w:cs="Arial"/>
          <w:b/>
        </w:rPr>
        <w:t>20</w:t>
      </w:r>
      <w:r w:rsidR="006127F0">
        <w:rPr>
          <w:rFonts w:cs="Arial"/>
        </w:rPr>
        <w:t>.</w:t>
      </w:r>
      <w:r w:rsidRPr="008B2738">
        <w:rPr>
          <w:rFonts w:cs="Arial"/>
        </w:rPr>
        <w:t xml:space="preserve"> Table A-14 describes how this cost estimate was calculated.</w:t>
      </w:r>
    </w:p>
    <w:p w14:paraId="0B220316" w14:textId="3D696457" w:rsidR="00EA1FC0" w:rsidRDefault="00EA1FC0" w:rsidP="00CE29DC">
      <w:pPr>
        <w:ind w:left="0"/>
      </w:pPr>
    </w:p>
    <w:p w14:paraId="0F3B2CE2" w14:textId="612A6C4F" w:rsidR="006127F0" w:rsidRDefault="006127F0" w:rsidP="00CE29DC">
      <w:pPr>
        <w:ind w:left="0"/>
      </w:pPr>
    </w:p>
    <w:p w14:paraId="3389FD06" w14:textId="6DE15EA0" w:rsidR="006127F0" w:rsidRDefault="006127F0" w:rsidP="00CE29DC">
      <w:pPr>
        <w:ind w:left="0"/>
      </w:pPr>
    </w:p>
    <w:p w14:paraId="79F820A0" w14:textId="3E0953CD" w:rsidR="006127F0" w:rsidRDefault="006127F0" w:rsidP="00CE29DC">
      <w:pPr>
        <w:ind w:left="0"/>
      </w:pPr>
    </w:p>
    <w:p w14:paraId="06E0BAAA" w14:textId="77777777" w:rsidR="006127F0" w:rsidRDefault="006127F0" w:rsidP="00CE29DC">
      <w:pPr>
        <w:ind w:left="0"/>
      </w:pPr>
    </w:p>
    <w:p w14:paraId="0180CB67"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524" w:type="dxa"/>
        <w:tblInd w:w="265" w:type="dxa"/>
        <w:tblLook w:val="04A0" w:firstRow="1" w:lastRow="0" w:firstColumn="1" w:lastColumn="0" w:noHBand="0" w:noVBand="1"/>
      </w:tblPr>
      <w:tblGrid>
        <w:gridCol w:w="5040"/>
        <w:gridCol w:w="1800"/>
        <w:gridCol w:w="540"/>
        <w:gridCol w:w="236"/>
        <w:gridCol w:w="484"/>
        <w:gridCol w:w="1424"/>
      </w:tblGrid>
      <w:tr w:rsidR="004841F1" w:rsidRPr="004841F1" w14:paraId="2EE8ED81" w14:textId="77777777" w:rsidTr="00B9388F">
        <w:trPr>
          <w:trHeight w:val="503"/>
        </w:trPr>
        <w:tc>
          <w:tcPr>
            <w:tcW w:w="5040" w:type="dxa"/>
            <w:tcBorders>
              <w:bottom w:val="single" w:sz="4" w:space="0" w:color="auto"/>
            </w:tcBorders>
            <w:shd w:val="clear" w:color="auto" w:fill="D9D9D9" w:themeFill="background1" w:themeFillShade="D9"/>
            <w:vAlign w:val="center"/>
          </w:tcPr>
          <w:p w14:paraId="4507D4C8" w14:textId="77777777" w:rsidR="004841F1" w:rsidRPr="00E647FB" w:rsidRDefault="004841F1" w:rsidP="005D6F14">
            <w:pPr>
              <w:ind w:left="0"/>
              <w:jc w:val="center"/>
              <w:rPr>
                <w:b/>
                <w:sz w:val="20"/>
                <w:szCs w:val="20"/>
              </w:rPr>
            </w:pPr>
            <w:r w:rsidRPr="00E647FB">
              <w:rPr>
                <w:b/>
                <w:sz w:val="20"/>
                <w:szCs w:val="20"/>
              </w:rPr>
              <w:t>Staff (FTE)</w:t>
            </w:r>
          </w:p>
        </w:tc>
        <w:tc>
          <w:tcPr>
            <w:tcW w:w="1800" w:type="dxa"/>
            <w:tcBorders>
              <w:bottom w:val="single" w:sz="4" w:space="0" w:color="auto"/>
            </w:tcBorders>
            <w:shd w:val="clear" w:color="auto" w:fill="D9D9D9" w:themeFill="background1" w:themeFillShade="D9"/>
            <w:vAlign w:val="center"/>
          </w:tcPr>
          <w:p w14:paraId="587AD67F"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260" w:type="dxa"/>
            <w:gridSpan w:val="3"/>
            <w:tcBorders>
              <w:bottom w:val="single" w:sz="4" w:space="0" w:color="auto"/>
            </w:tcBorders>
            <w:shd w:val="clear" w:color="auto" w:fill="D9D9D9" w:themeFill="background1" w:themeFillShade="D9"/>
            <w:vAlign w:val="center"/>
          </w:tcPr>
          <w:p w14:paraId="7B83A345" w14:textId="77777777" w:rsidR="004841F1" w:rsidRPr="00E647FB" w:rsidRDefault="004841F1" w:rsidP="005D6F14">
            <w:pPr>
              <w:ind w:left="0"/>
              <w:jc w:val="center"/>
              <w:rPr>
                <w:b/>
                <w:sz w:val="20"/>
                <w:szCs w:val="20"/>
              </w:rPr>
            </w:pPr>
            <w:r w:rsidRPr="00E647FB">
              <w:rPr>
                <w:b/>
                <w:sz w:val="20"/>
                <w:szCs w:val="20"/>
              </w:rPr>
              <w:t>Average Hourly Rate</w:t>
            </w:r>
          </w:p>
        </w:tc>
        <w:tc>
          <w:tcPr>
            <w:tcW w:w="1424" w:type="dxa"/>
            <w:tcBorders>
              <w:bottom w:val="single" w:sz="4" w:space="0" w:color="auto"/>
            </w:tcBorders>
            <w:shd w:val="clear" w:color="auto" w:fill="D9D9D9" w:themeFill="background1" w:themeFillShade="D9"/>
            <w:vAlign w:val="center"/>
          </w:tcPr>
          <w:p w14:paraId="041B85CE"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7B268F" w:rsidRPr="004841F1" w14:paraId="1D3A72D2" w14:textId="77777777" w:rsidTr="00B9388F">
        <w:tc>
          <w:tcPr>
            <w:tcW w:w="5040" w:type="dxa"/>
            <w:tcBorders>
              <w:top w:val="single" w:sz="4" w:space="0" w:color="auto"/>
              <w:left w:val="single" w:sz="4" w:space="0" w:color="auto"/>
              <w:bottom w:val="single" w:sz="4" w:space="0" w:color="auto"/>
              <w:right w:val="single" w:sz="4" w:space="0" w:color="auto"/>
            </w:tcBorders>
          </w:tcPr>
          <w:p w14:paraId="62C9CBAC" w14:textId="77777777" w:rsidR="007B268F" w:rsidRPr="00B9388F" w:rsidRDefault="007B268F" w:rsidP="00B9388F">
            <w:pPr>
              <w:ind w:left="0"/>
              <w:rPr>
                <w:rFonts w:cstheme="minorHAnsi"/>
                <w:sz w:val="18"/>
                <w:szCs w:val="20"/>
              </w:rPr>
            </w:pPr>
            <w:r w:rsidRPr="00B9388F">
              <w:rPr>
                <w:rFonts w:cstheme="minorHAnsi"/>
                <w:sz w:val="18"/>
                <w:szCs w:val="20"/>
              </w:rPr>
              <w:t>Behavioral Scientist – GS-13, Step 2;</w:t>
            </w:r>
          </w:p>
          <w:p w14:paraId="654E044D" w14:textId="77777777" w:rsidR="007B268F" w:rsidRDefault="007B268F" w:rsidP="00B9388F">
            <w:pPr>
              <w:ind w:left="0"/>
              <w:rPr>
                <w:rFonts w:cstheme="minorHAnsi"/>
                <w:sz w:val="18"/>
                <w:szCs w:val="20"/>
              </w:rPr>
            </w:pPr>
            <w:r w:rsidRPr="00B9388F">
              <w:rPr>
                <w:rFonts w:cstheme="minorHAnsi"/>
                <w:sz w:val="18"/>
                <w:szCs w:val="20"/>
              </w:rPr>
              <w:t xml:space="preserve">OMB package Development, Project Management, Data Collection Planning and Design, Data Collection and Analysis Oversight, Report Development </w:t>
            </w:r>
          </w:p>
          <w:p w14:paraId="72976038" w14:textId="2B83407F" w:rsidR="0086712B" w:rsidRPr="00B9388F" w:rsidRDefault="0086712B" w:rsidP="00B9388F">
            <w:pPr>
              <w:ind w:left="0"/>
              <w:rPr>
                <w:rFonts w:cstheme="minorHAnsi"/>
                <w:sz w:val="18"/>
                <w:szCs w:val="20"/>
              </w:rPr>
            </w:pPr>
          </w:p>
        </w:tc>
        <w:tc>
          <w:tcPr>
            <w:tcW w:w="1800" w:type="dxa"/>
            <w:tcBorders>
              <w:top w:val="single" w:sz="4" w:space="0" w:color="auto"/>
              <w:left w:val="single" w:sz="4" w:space="0" w:color="auto"/>
              <w:bottom w:val="single" w:sz="4" w:space="0" w:color="auto"/>
              <w:right w:val="single" w:sz="4" w:space="0" w:color="auto"/>
            </w:tcBorders>
          </w:tcPr>
          <w:p w14:paraId="34534346" w14:textId="6C637674" w:rsidR="007B268F" w:rsidRPr="00B9388F" w:rsidRDefault="00980895" w:rsidP="00B9388F">
            <w:pPr>
              <w:ind w:left="0"/>
              <w:rPr>
                <w:rFonts w:cstheme="minorHAnsi"/>
                <w:sz w:val="18"/>
                <w:szCs w:val="20"/>
              </w:rPr>
            </w:pPr>
            <w:r w:rsidRPr="00B9388F">
              <w:rPr>
                <w:rFonts w:cstheme="minorHAnsi"/>
                <w:sz w:val="18"/>
                <w:szCs w:val="20"/>
              </w:rPr>
              <w:t>50</w:t>
            </w:r>
          </w:p>
        </w:tc>
        <w:tc>
          <w:tcPr>
            <w:tcW w:w="1260" w:type="dxa"/>
            <w:gridSpan w:val="3"/>
            <w:tcBorders>
              <w:top w:val="single" w:sz="4" w:space="0" w:color="auto"/>
              <w:left w:val="single" w:sz="4" w:space="0" w:color="auto"/>
              <w:bottom w:val="single" w:sz="4" w:space="0" w:color="auto"/>
              <w:right w:val="single" w:sz="4" w:space="0" w:color="auto"/>
            </w:tcBorders>
          </w:tcPr>
          <w:p w14:paraId="7948A2E0" w14:textId="0EA0065A" w:rsidR="007B268F" w:rsidRPr="00B9388F" w:rsidRDefault="007B268F" w:rsidP="00B9388F">
            <w:pPr>
              <w:ind w:left="0"/>
              <w:rPr>
                <w:rFonts w:cstheme="minorHAnsi"/>
                <w:sz w:val="18"/>
                <w:szCs w:val="20"/>
              </w:rPr>
            </w:pPr>
            <w:r w:rsidRPr="00B9388F">
              <w:rPr>
                <w:rFonts w:cstheme="minorHAnsi"/>
                <w:sz w:val="18"/>
                <w:szCs w:val="20"/>
              </w:rPr>
              <w:t>$</w:t>
            </w:r>
            <w:r w:rsidR="00980895" w:rsidRPr="00B9388F">
              <w:rPr>
                <w:rFonts w:cstheme="minorHAnsi"/>
                <w:sz w:val="18"/>
                <w:szCs w:val="20"/>
              </w:rPr>
              <w:t>45.37</w:t>
            </w:r>
            <w:r w:rsidRPr="00B9388F">
              <w:rPr>
                <w:rFonts w:cstheme="minorHAnsi"/>
                <w:sz w:val="18"/>
                <w:szCs w:val="20"/>
              </w:rPr>
              <w:t>/hour</w:t>
            </w:r>
          </w:p>
        </w:tc>
        <w:tc>
          <w:tcPr>
            <w:tcW w:w="1424" w:type="dxa"/>
            <w:tcBorders>
              <w:top w:val="single" w:sz="4" w:space="0" w:color="auto"/>
              <w:left w:val="single" w:sz="4" w:space="0" w:color="auto"/>
              <w:bottom w:val="single" w:sz="4" w:space="0" w:color="auto"/>
              <w:right w:val="single" w:sz="4" w:space="0" w:color="auto"/>
            </w:tcBorders>
          </w:tcPr>
          <w:p w14:paraId="729D7265" w14:textId="51AF954E" w:rsidR="007B268F" w:rsidRPr="00B9388F" w:rsidRDefault="007B268F" w:rsidP="00B9388F">
            <w:pPr>
              <w:ind w:left="0"/>
              <w:rPr>
                <w:rFonts w:cstheme="minorHAnsi"/>
                <w:sz w:val="18"/>
                <w:szCs w:val="20"/>
              </w:rPr>
            </w:pPr>
            <w:r w:rsidRPr="00B9388F">
              <w:rPr>
                <w:rFonts w:cstheme="minorHAnsi"/>
                <w:sz w:val="18"/>
                <w:szCs w:val="20"/>
              </w:rPr>
              <w:t>$</w:t>
            </w:r>
            <w:r w:rsidR="00980895" w:rsidRPr="00B9388F">
              <w:rPr>
                <w:rFonts w:cstheme="minorHAnsi"/>
                <w:sz w:val="18"/>
                <w:szCs w:val="20"/>
              </w:rPr>
              <w:t>2,268.50</w:t>
            </w:r>
          </w:p>
        </w:tc>
      </w:tr>
      <w:tr w:rsidR="00980895" w:rsidRPr="004841F1" w14:paraId="34D85011" w14:textId="77777777" w:rsidTr="00B9388F">
        <w:tc>
          <w:tcPr>
            <w:tcW w:w="5040" w:type="dxa"/>
            <w:tcBorders>
              <w:top w:val="single" w:sz="4" w:space="0" w:color="auto"/>
            </w:tcBorders>
          </w:tcPr>
          <w:p w14:paraId="38EC3426" w14:textId="144D88F3" w:rsidR="00980895" w:rsidRPr="00B9388F" w:rsidRDefault="00980895" w:rsidP="00B9388F">
            <w:pPr>
              <w:ind w:left="0"/>
              <w:rPr>
                <w:rFonts w:cstheme="minorHAnsi"/>
                <w:sz w:val="18"/>
                <w:szCs w:val="20"/>
              </w:rPr>
            </w:pPr>
            <w:r w:rsidRPr="00B9388F">
              <w:rPr>
                <w:rFonts w:cstheme="minorHAnsi"/>
                <w:sz w:val="18"/>
                <w:szCs w:val="20"/>
              </w:rPr>
              <w:t>Behavioral Scientist – GS-13, Step 2;</w:t>
            </w:r>
          </w:p>
          <w:p w14:paraId="589957D1" w14:textId="77E43BEF" w:rsidR="00980895" w:rsidRPr="00B9388F" w:rsidRDefault="00980895" w:rsidP="00B9388F">
            <w:pPr>
              <w:ind w:left="0"/>
              <w:rPr>
                <w:rFonts w:cstheme="minorHAnsi"/>
                <w:sz w:val="18"/>
                <w:szCs w:val="20"/>
              </w:rPr>
            </w:pPr>
            <w:r w:rsidRPr="00B9388F">
              <w:rPr>
                <w:rFonts w:cstheme="minorHAnsi"/>
                <w:sz w:val="18"/>
                <w:szCs w:val="20"/>
              </w:rPr>
              <w:t xml:space="preserve">OMB package Development, Project Coordination, Data Collection Planning and Design, Data Collection and Analysis Oversight, Report Development </w:t>
            </w:r>
          </w:p>
        </w:tc>
        <w:tc>
          <w:tcPr>
            <w:tcW w:w="1800" w:type="dxa"/>
            <w:tcBorders>
              <w:top w:val="single" w:sz="4" w:space="0" w:color="auto"/>
            </w:tcBorders>
          </w:tcPr>
          <w:p w14:paraId="0DCAC7BE" w14:textId="4806A354" w:rsidR="00980895" w:rsidRPr="00B9388F" w:rsidRDefault="00980895" w:rsidP="00B9388F">
            <w:pPr>
              <w:ind w:left="0"/>
              <w:rPr>
                <w:rFonts w:cstheme="minorHAnsi"/>
                <w:sz w:val="18"/>
                <w:szCs w:val="20"/>
              </w:rPr>
            </w:pPr>
            <w:r w:rsidRPr="00B9388F">
              <w:rPr>
                <w:rFonts w:cstheme="minorHAnsi"/>
                <w:sz w:val="18"/>
                <w:szCs w:val="20"/>
              </w:rPr>
              <w:t>50</w:t>
            </w:r>
          </w:p>
        </w:tc>
        <w:tc>
          <w:tcPr>
            <w:tcW w:w="1260" w:type="dxa"/>
            <w:gridSpan w:val="3"/>
            <w:tcBorders>
              <w:top w:val="single" w:sz="4" w:space="0" w:color="auto"/>
            </w:tcBorders>
          </w:tcPr>
          <w:p w14:paraId="375D7D32" w14:textId="48743787" w:rsidR="00980895" w:rsidRPr="00B9388F" w:rsidRDefault="00980895" w:rsidP="00B9388F">
            <w:pPr>
              <w:ind w:left="0"/>
              <w:rPr>
                <w:rFonts w:cstheme="minorHAnsi"/>
                <w:sz w:val="18"/>
                <w:szCs w:val="20"/>
              </w:rPr>
            </w:pPr>
            <w:r w:rsidRPr="00B9388F">
              <w:rPr>
                <w:rFonts w:cstheme="minorHAnsi"/>
                <w:sz w:val="18"/>
                <w:szCs w:val="20"/>
              </w:rPr>
              <w:t>$45.37/hour</w:t>
            </w:r>
          </w:p>
        </w:tc>
        <w:tc>
          <w:tcPr>
            <w:tcW w:w="1424" w:type="dxa"/>
            <w:tcBorders>
              <w:top w:val="single" w:sz="4" w:space="0" w:color="auto"/>
            </w:tcBorders>
          </w:tcPr>
          <w:p w14:paraId="1898B159" w14:textId="169AF312" w:rsidR="00980895" w:rsidRPr="00B9388F" w:rsidRDefault="00980895" w:rsidP="00B9388F">
            <w:pPr>
              <w:ind w:left="0"/>
              <w:rPr>
                <w:rFonts w:cstheme="minorHAnsi"/>
                <w:sz w:val="18"/>
                <w:szCs w:val="20"/>
              </w:rPr>
            </w:pPr>
            <w:r w:rsidRPr="00B9388F">
              <w:rPr>
                <w:rFonts w:cstheme="minorHAnsi"/>
                <w:sz w:val="18"/>
                <w:szCs w:val="20"/>
              </w:rPr>
              <w:t>$2,268.50</w:t>
            </w:r>
          </w:p>
        </w:tc>
      </w:tr>
      <w:tr w:rsidR="0018406E" w:rsidRPr="004841F1" w14:paraId="13C46354" w14:textId="77777777" w:rsidTr="00B9388F">
        <w:tc>
          <w:tcPr>
            <w:tcW w:w="5040" w:type="dxa"/>
          </w:tcPr>
          <w:p w14:paraId="5BF700A2" w14:textId="6E9F9706" w:rsidR="0018406E" w:rsidRPr="00B9388F" w:rsidRDefault="0018406E" w:rsidP="00B9388F">
            <w:pPr>
              <w:ind w:left="0"/>
              <w:rPr>
                <w:rFonts w:cstheme="minorHAnsi"/>
                <w:sz w:val="18"/>
                <w:szCs w:val="20"/>
              </w:rPr>
            </w:pPr>
            <w:r w:rsidRPr="00B9388F">
              <w:rPr>
                <w:rFonts w:cstheme="minorHAnsi"/>
                <w:sz w:val="18"/>
                <w:szCs w:val="20"/>
              </w:rPr>
              <w:t>ORISE Fellow – GS-9 equivalent;</w:t>
            </w:r>
          </w:p>
          <w:p w14:paraId="2DE02D34" w14:textId="77EE56D9" w:rsidR="0018406E" w:rsidRPr="00B9388F" w:rsidRDefault="009451BF" w:rsidP="009451BF">
            <w:pPr>
              <w:ind w:left="0"/>
              <w:rPr>
                <w:rFonts w:cstheme="minorHAnsi"/>
                <w:sz w:val="18"/>
                <w:szCs w:val="20"/>
              </w:rPr>
            </w:pPr>
            <w:r>
              <w:rPr>
                <w:rFonts w:cstheme="minorHAnsi"/>
                <w:sz w:val="18"/>
                <w:szCs w:val="20"/>
              </w:rPr>
              <w:t>Instrument Development</w:t>
            </w:r>
          </w:p>
        </w:tc>
        <w:tc>
          <w:tcPr>
            <w:tcW w:w="1800" w:type="dxa"/>
          </w:tcPr>
          <w:p w14:paraId="0C330261" w14:textId="4A2393D0" w:rsidR="0018406E" w:rsidRPr="00B9388F" w:rsidRDefault="009451BF" w:rsidP="00B9388F">
            <w:pPr>
              <w:ind w:left="0"/>
              <w:rPr>
                <w:rFonts w:cstheme="minorHAnsi"/>
                <w:sz w:val="18"/>
                <w:szCs w:val="20"/>
              </w:rPr>
            </w:pPr>
            <w:r>
              <w:rPr>
                <w:rFonts w:cstheme="minorHAnsi"/>
                <w:sz w:val="18"/>
                <w:szCs w:val="20"/>
              </w:rPr>
              <w:t>20</w:t>
            </w:r>
          </w:p>
        </w:tc>
        <w:tc>
          <w:tcPr>
            <w:tcW w:w="1260" w:type="dxa"/>
            <w:gridSpan w:val="3"/>
          </w:tcPr>
          <w:p w14:paraId="39C378EB" w14:textId="2D3B610D" w:rsidR="0018406E" w:rsidRPr="00B9388F" w:rsidRDefault="0018406E" w:rsidP="00B9388F">
            <w:pPr>
              <w:ind w:left="0"/>
              <w:rPr>
                <w:rFonts w:cstheme="minorHAnsi"/>
                <w:sz w:val="18"/>
                <w:szCs w:val="20"/>
              </w:rPr>
            </w:pPr>
            <w:r w:rsidRPr="00B9388F">
              <w:rPr>
                <w:rFonts w:cstheme="minorHAnsi"/>
                <w:sz w:val="18"/>
                <w:szCs w:val="20"/>
              </w:rPr>
              <w:t>$</w:t>
            </w:r>
            <w:r w:rsidR="00980895" w:rsidRPr="00B9388F">
              <w:rPr>
                <w:rFonts w:cstheme="minorHAnsi"/>
                <w:sz w:val="18"/>
                <w:szCs w:val="20"/>
              </w:rPr>
              <w:t>25.46</w:t>
            </w:r>
            <w:r w:rsidRPr="00B9388F">
              <w:rPr>
                <w:rFonts w:cstheme="minorHAnsi"/>
                <w:sz w:val="18"/>
                <w:szCs w:val="20"/>
              </w:rPr>
              <w:t>/hour</w:t>
            </w:r>
          </w:p>
          <w:p w14:paraId="1B02B4D4" w14:textId="77777777" w:rsidR="0018406E" w:rsidRPr="00B9388F" w:rsidRDefault="0018406E" w:rsidP="00B9388F">
            <w:pPr>
              <w:ind w:left="0"/>
              <w:rPr>
                <w:rFonts w:cstheme="minorHAnsi"/>
                <w:sz w:val="18"/>
                <w:szCs w:val="20"/>
              </w:rPr>
            </w:pPr>
          </w:p>
        </w:tc>
        <w:tc>
          <w:tcPr>
            <w:tcW w:w="1424" w:type="dxa"/>
          </w:tcPr>
          <w:p w14:paraId="51DFDA3E" w14:textId="309610FD" w:rsidR="0018406E" w:rsidRPr="00B9388F" w:rsidRDefault="009451BF" w:rsidP="00B9388F">
            <w:pPr>
              <w:ind w:left="0"/>
              <w:rPr>
                <w:rFonts w:cstheme="minorHAnsi"/>
                <w:sz w:val="18"/>
                <w:szCs w:val="20"/>
              </w:rPr>
            </w:pPr>
            <w:r>
              <w:rPr>
                <w:rFonts w:cstheme="minorHAnsi"/>
                <w:sz w:val="18"/>
                <w:szCs w:val="20"/>
              </w:rPr>
              <w:t>$509.20</w:t>
            </w:r>
          </w:p>
        </w:tc>
      </w:tr>
      <w:tr w:rsidR="009451BF" w:rsidRPr="004841F1" w14:paraId="3BD59BB5" w14:textId="77777777" w:rsidTr="00502546">
        <w:tc>
          <w:tcPr>
            <w:tcW w:w="5040" w:type="dxa"/>
          </w:tcPr>
          <w:p w14:paraId="04B90CF1" w14:textId="77777777" w:rsidR="009451BF" w:rsidRPr="00B9388F" w:rsidRDefault="009451BF" w:rsidP="00502546">
            <w:pPr>
              <w:ind w:left="0"/>
              <w:rPr>
                <w:rFonts w:cstheme="minorHAnsi"/>
                <w:sz w:val="18"/>
                <w:szCs w:val="20"/>
              </w:rPr>
            </w:pPr>
            <w:r w:rsidRPr="00B9388F">
              <w:rPr>
                <w:rFonts w:cstheme="minorHAnsi"/>
                <w:sz w:val="18"/>
                <w:szCs w:val="20"/>
              </w:rPr>
              <w:t>ORISE Fellow – GS-9 equivalent;</w:t>
            </w:r>
          </w:p>
          <w:p w14:paraId="4A321BF1" w14:textId="71923DC9" w:rsidR="009451BF" w:rsidRPr="00B9388F" w:rsidRDefault="009451BF" w:rsidP="00502546">
            <w:pPr>
              <w:ind w:left="0"/>
              <w:rPr>
                <w:rFonts w:cstheme="minorHAnsi"/>
                <w:sz w:val="18"/>
                <w:szCs w:val="20"/>
              </w:rPr>
            </w:pPr>
            <w:r w:rsidRPr="00B9388F">
              <w:rPr>
                <w:rFonts w:cstheme="minorHAnsi"/>
                <w:sz w:val="18"/>
                <w:szCs w:val="20"/>
              </w:rPr>
              <w:t>Data Collection, Data Analysis, Reporting</w:t>
            </w:r>
          </w:p>
        </w:tc>
        <w:tc>
          <w:tcPr>
            <w:tcW w:w="1800" w:type="dxa"/>
          </w:tcPr>
          <w:p w14:paraId="7F66D4B3" w14:textId="77777777" w:rsidR="009451BF" w:rsidRPr="00B9388F" w:rsidRDefault="009451BF" w:rsidP="00502546">
            <w:pPr>
              <w:ind w:left="0"/>
              <w:rPr>
                <w:rFonts w:cstheme="minorHAnsi"/>
                <w:sz w:val="18"/>
                <w:szCs w:val="20"/>
              </w:rPr>
            </w:pPr>
            <w:r w:rsidRPr="00B9388F">
              <w:rPr>
                <w:rFonts w:cstheme="minorHAnsi"/>
                <w:sz w:val="18"/>
                <w:szCs w:val="20"/>
              </w:rPr>
              <w:t>200</w:t>
            </w:r>
          </w:p>
        </w:tc>
        <w:tc>
          <w:tcPr>
            <w:tcW w:w="1260" w:type="dxa"/>
            <w:gridSpan w:val="3"/>
          </w:tcPr>
          <w:p w14:paraId="26FAC34D" w14:textId="77777777" w:rsidR="009451BF" w:rsidRPr="00B9388F" w:rsidRDefault="009451BF" w:rsidP="00502546">
            <w:pPr>
              <w:ind w:left="0"/>
              <w:rPr>
                <w:rFonts w:cstheme="minorHAnsi"/>
                <w:sz w:val="18"/>
                <w:szCs w:val="20"/>
              </w:rPr>
            </w:pPr>
            <w:r w:rsidRPr="00B9388F">
              <w:rPr>
                <w:rFonts w:cstheme="minorHAnsi"/>
                <w:sz w:val="18"/>
                <w:szCs w:val="20"/>
              </w:rPr>
              <w:t>$25.46/hour</w:t>
            </w:r>
          </w:p>
          <w:p w14:paraId="7D232694" w14:textId="77777777" w:rsidR="009451BF" w:rsidRPr="00B9388F" w:rsidRDefault="009451BF" w:rsidP="00502546">
            <w:pPr>
              <w:ind w:left="0"/>
              <w:rPr>
                <w:rFonts w:cstheme="minorHAnsi"/>
                <w:sz w:val="18"/>
                <w:szCs w:val="20"/>
              </w:rPr>
            </w:pPr>
          </w:p>
        </w:tc>
        <w:tc>
          <w:tcPr>
            <w:tcW w:w="1424" w:type="dxa"/>
          </w:tcPr>
          <w:p w14:paraId="488BF227" w14:textId="24EFF08B" w:rsidR="009451BF" w:rsidRPr="00B9388F" w:rsidRDefault="006127F0" w:rsidP="00502546">
            <w:pPr>
              <w:ind w:left="0"/>
              <w:rPr>
                <w:rFonts w:cstheme="minorHAnsi"/>
                <w:sz w:val="18"/>
                <w:szCs w:val="20"/>
              </w:rPr>
            </w:pPr>
            <w:r>
              <w:rPr>
                <w:rFonts w:cstheme="minorHAnsi"/>
                <w:sz w:val="18"/>
                <w:szCs w:val="20"/>
              </w:rPr>
              <w:t>$5,092</w:t>
            </w:r>
          </w:p>
        </w:tc>
      </w:tr>
      <w:tr w:rsidR="00980895" w:rsidRPr="004841F1" w14:paraId="64F28B01" w14:textId="77777777" w:rsidTr="00B9388F">
        <w:tc>
          <w:tcPr>
            <w:tcW w:w="5040" w:type="dxa"/>
          </w:tcPr>
          <w:p w14:paraId="69846082" w14:textId="6D30F9F2" w:rsidR="00980895" w:rsidRPr="00B9388F" w:rsidRDefault="00980895" w:rsidP="00B9388F">
            <w:pPr>
              <w:ind w:left="0"/>
              <w:rPr>
                <w:rFonts w:cstheme="minorHAnsi"/>
                <w:sz w:val="18"/>
                <w:szCs w:val="20"/>
              </w:rPr>
            </w:pPr>
            <w:r w:rsidRPr="00B9388F">
              <w:rPr>
                <w:rFonts w:cstheme="minorHAnsi"/>
                <w:sz w:val="18"/>
                <w:szCs w:val="20"/>
              </w:rPr>
              <w:t>ORISE Fellow – GS-9 equivalent;</w:t>
            </w:r>
          </w:p>
          <w:p w14:paraId="16774E3F" w14:textId="23A69ECD" w:rsidR="00980895" w:rsidRPr="00B9388F" w:rsidRDefault="00980895" w:rsidP="00B9388F">
            <w:pPr>
              <w:ind w:left="0"/>
              <w:rPr>
                <w:rFonts w:cstheme="minorHAnsi"/>
                <w:sz w:val="18"/>
                <w:szCs w:val="20"/>
              </w:rPr>
            </w:pPr>
            <w:r w:rsidRPr="00B9388F">
              <w:rPr>
                <w:rFonts w:cstheme="minorHAnsi"/>
                <w:sz w:val="18"/>
                <w:szCs w:val="20"/>
              </w:rPr>
              <w:t>Data Collection, Data Analysis, Reporting</w:t>
            </w:r>
          </w:p>
        </w:tc>
        <w:tc>
          <w:tcPr>
            <w:tcW w:w="1800" w:type="dxa"/>
          </w:tcPr>
          <w:p w14:paraId="7A017364" w14:textId="068100D8" w:rsidR="00980895" w:rsidRPr="00B9388F" w:rsidRDefault="00980895" w:rsidP="00B9388F">
            <w:pPr>
              <w:ind w:left="0"/>
              <w:rPr>
                <w:rFonts w:cstheme="minorHAnsi"/>
                <w:sz w:val="18"/>
                <w:szCs w:val="20"/>
              </w:rPr>
            </w:pPr>
            <w:r w:rsidRPr="00B9388F">
              <w:rPr>
                <w:rFonts w:cstheme="minorHAnsi"/>
                <w:sz w:val="18"/>
                <w:szCs w:val="20"/>
              </w:rPr>
              <w:t>200</w:t>
            </w:r>
          </w:p>
        </w:tc>
        <w:tc>
          <w:tcPr>
            <w:tcW w:w="1260" w:type="dxa"/>
            <w:gridSpan w:val="3"/>
          </w:tcPr>
          <w:p w14:paraId="1E0A0E20" w14:textId="3B7979DF" w:rsidR="00980895" w:rsidRPr="00B9388F" w:rsidRDefault="00980895" w:rsidP="00B9388F">
            <w:pPr>
              <w:ind w:left="0"/>
              <w:rPr>
                <w:rFonts w:cstheme="minorHAnsi"/>
                <w:sz w:val="18"/>
                <w:szCs w:val="20"/>
              </w:rPr>
            </w:pPr>
            <w:r w:rsidRPr="00B9388F">
              <w:rPr>
                <w:rFonts w:cstheme="minorHAnsi"/>
                <w:sz w:val="18"/>
                <w:szCs w:val="20"/>
              </w:rPr>
              <w:t>$25.46/hour</w:t>
            </w:r>
          </w:p>
          <w:p w14:paraId="63BE046E" w14:textId="77777777" w:rsidR="00980895" w:rsidRPr="00B9388F" w:rsidRDefault="00980895" w:rsidP="00B9388F">
            <w:pPr>
              <w:ind w:left="0"/>
              <w:rPr>
                <w:rFonts w:cstheme="minorHAnsi"/>
                <w:sz w:val="18"/>
                <w:szCs w:val="20"/>
              </w:rPr>
            </w:pPr>
          </w:p>
        </w:tc>
        <w:tc>
          <w:tcPr>
            <w:tcW w:w="1424" w:type="dxa"/>
          </w:tcPr>
          <w:p w14:paraId="0BBCCC34" w14:textId="5E728983" w:rsidR="00980895" w:rsidRPr="00B9388F" w:rsidRDefault="006127F0" w:rsidP="00B9388F">
            <w:pPr>
              <w:ind w:left="0"/>
              <w:rPr>
                <w:rFonts w:cstheme="minorHAnsi"/>
                <w:sz w:val="18"/>
                <w:szCs w:val="20"/>
              </w:rPr>
            </w:pPr>
            <w:r>
              <w:rPr>
                <w:rFonts w:cstheme="minorHAnsi"/>
                <w:sz w:val="18"/>
                <w:szCs w:val="20"/>
              </w:rPr>
              <w:t>$5,092</w:t>
            </w:r>
          </w:p>
        </w:tc>
      </w:tr>
      <w:tr w:rsidR="0018406E" w:rsidRPr="004841F1" w14:paraId="4B525235" w14:textId="77777777" w:rsidTr="00B9388F">
        <w:trPr>
          <w:trHeight w:val="332"/>
        </w:trPr>
        <w:tc>
          <w:tcPr>
            <w:tcW w:w="7380" w:type="dxa"/>
            <w:gridSpan w:val="3"/>
            <w:tcBorders>
              <w:right w:val="nil"/>
            </w:tcBorders>
            <w:vAlign w:val="center"/>
          </w:tcPr>
          <w:p w14:paraId="47CB9455" w14:textId="77777777" w:rsidR="0018406E" w:rsidRPr="00E647FB" w:rsidRDefault="0018406E" w:rsidP="0018406E">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68065B17" w14:textId="77777777" w:rsidR="0018406E" w:rsidRPr="00E647FB" w:rsidRDefault="0018406E" w:rsidP="0018406E">
            <w:pPr>
              <w:ind w:left="0"/>
              <w:rPr>
                <w:b/>
                <w:sz w:val="20"/>
                <w:szCs w:val="20"/>
              </w:rPr>
            </w:pPr>
          </w:p>
        </w:tc>
        <w:tc>
          <w:tcPr>
            <w:tcW w:w="484" w:type="dxa"/>
            <w:tcBorders>
              <w:left w:val="nil"/>
            </w:tcBorders>
            <w:vAlign w:val="center"/>
          </w:tcPr>
          <w:p w14:paraId="56E175DE" w14:textId="77777777" w:rsidR="0018406E" w:rsidRPr="00E647FB" w:rsidRDefault="0018406E" w:rsidP="0018406E">
            <w:pPr>
              <w:ind w:left="0"/>
              <w:rPr>
                <w:b/>
                <w:sz w:val="20"/>
                <w:szCs w:val="20"/>
              </w:rPr>
            </w:pPr>
          </w:p>
        </w:tc>
        <w:tc>
          <w:tcPr>
            <w:tcW w:w="1424" w:type="dxa"/>
            <w:vAlign w:val="center"/>
          </w:tcPr>
          <w:p w14:paraId="2273B0CC" w14:textId="3091467F" w:rsidR="0018406E" w:rsidRPr="003A2555" w:rsidRDefault="0018406E" w:rsidP="009451BF">
            <w:pPr>
              <w:ind w:left="0"/>
              <w:rPr>
                <w:b/>
                <w:sz w:val="20"/>
                <w:szCs w:val="20"/>
              </w:rPr>
            </w:pPr>
            <w:r w:rsidRPr="008B2738">
              <w:rPr>
                <w:b/>
                <w:sz w:val="20"/>
                <w:szCs w:val="20"/>
              </w:rPr>
              <w:t>$</w:t>
            </w:r>
            <w:r w:rsidR="00980895" w:rsidRPr="008B2738">
              <w:rPr>
                <w:b/>
                <w:sz w:val="20"/>
                <w:szCs w:val="20"/>
              </w:rPr>
              <w:t>1</w:t>
            </w:r>
            <w:r w:rsidR="009451BF">
              <w:rPr>
                <w:b/>
                <w:sz w:val="20"/>
                <w:szCs w:val="20"/>
              </w:rPr>
              <w:t>5</w:t>
            </w:r>
            <w:r w:rsidR="00980895" w:rsidRPr="008B2738">
              <w:rPr>
                <w:b/>
                <w:sz w:val="20"/>
                <w:szCs w:val="20"/>
              </w:rPr>
              <w:t>,</w:t>
            </w:r>
            <w:r w:rsidR="009451BF">
              <w:rPr>
                <w:b/>
                <w:sz w:val="20"/>
                <w:szCs w:val="20"/>
              </w:rPr>
              <w:t>230</w:t>
            </w:r>
            <w:r w:rsidR="006127F0">
              <w:rPr>
                <w:b/>
                <w:sz w:val="20"/>
                <w:szCs w:val="20"/>
              </w:rPr>
              <w:t>.20</w:t>
            </w:r>
          </w:p>
        </w:tc>
      </w:tr>
    </w:tbl>
    <w:p w14:paraId="6846C779" w14:textId="77777777" w:rsidR="00EA1FC0" w:rsidRDefault="00EA1FC0" w:rsidP="00EA1FC0">
      <w:bookmarkStart w:id="20" w:name="_Toc427752828"/>
    </w:p>
    <w:p w14:paraId="272724FD" w14:textId="1D2324C8" w:rsidR="00B12F51" w:rsidRPr="00D75750" w:rsidRDefault="00D75750" w:rsidP="00692DEB">
      <w:pPr>
        <w:pStyle w:val="Heading4"/>
      </w:pPr>
      <w:r w:rsidRPr="00D75750">
        <w:t>Explanation for Program Changes or Adjustments</w:t>
      </w:r>
      <w:bookmarkEnd w:id="20"/>
    </w:p>
    <w:p w14:paraId="23C2C71E" w14:textId="77777777" w:rsidR="00F52BCC" w:rsidRDefault="003C7C5D" w:rsidP="008B65FF">
      <w:pPr>
        <w:ind w:left="360"/>
      </w:pPr>
      <w:r>
        <w:t xml:space="preserve">This is a new </w:t>
      </w:r>
      <w:r w:rsidR="002E2EDD">
        <w:t>data</w:t>
      </w:r>
      <w:r w:rsidR="00157413">
        <w:t xml:space="preserve"> collection</w:t>
      </w:r>
      <w:r>
        <w:t>.</w:t>
      </w:r>
    </w:p>
    <w:p w14:paraId="5A48DEE5" w14:textId="77777777" w:rsidR="00734D99" w:rsidRDefault="00734D99" w:rsidP="001C7607"/>
    <w:p w14:paraId="389BE557"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5F6F5169" w14:textId="0C3D2BDA" w:rsidR="008B2738" w:rsidRDefault="00CD781D" w:rsidP="008B2738">
      <w:pPr>
        <w:ind w:left="360"/>
        <w:rPr>
          <w:iCs/>
        </w:rPr>
      </w:pPr>
      <w:r w:rsidRPr="008B2738">
        <w:rPr>
          <w:iCs/>
        </w:rPr>
        <w:t>During the interviews, the project team members will take notes, which will be c</w:t>
      </w:r>
      <w:r w:rsidR="008B2738">
        <w:rPr>
          <w:iCs/>
        </w:rPr>
        <w:t xml:space="preserve">ompiled and finalized after each telephone </w:t>
      </w:r>
      <w:r w:rsidRPr="008B2738">
        <w:rPr>
          <w:iCs/>
        </w:rPr>
        <w:t>interview is completed</w:t>
      </w:r>
      <w:r w:rsidR="00BC7A3D" w:rsidRPr="008B2738">
        <w:rPr>
          <w:iCs/>
        </w:rPr>
        <w:t xml:space="preserve">. </w:t>
      </w:r>
      <w:r w:rsidR="008B2738">
        <w:rPr>
          <w:iCs/>
        </w:rPr>
        <w:t xml:space="preserve">The telephone </w:t>
      </w:r>
      <w:r w:rsidR="008B2738" w:rsidRPr="008B2738">
        <w:rPr>
          <w:iCs/>
        </w:rPr>
        <w:t xml:space="preserve">interviews will be audio-recorded to aid with development and compilation of notes. </w:t>
      </w:r>
      <w:r w:rsidR="00E721C9">
        <w:rPr>
          <w:iCs/>
        </w:rPr>
        <w:t>Verbal permission will be obtained from respondents at the beginning of the interview</w:t>
      </w:r>
      <w:r w:rsidR="00BC7A3D" w:rsidRPr="008B2738">
        <w:rPr>
          <w:iCs/>
        </w:rPr>
        <w:t xml:space="preserve">. </w:t>
      </w:r>
      <w:r w:rsidRPr="008B2738">
        <w:rPr>
          <w:iCs/>
        </w:rPr>
        <w:t xml:space="preserve">All notes, audio recordings, </w:t>
      </w:r>
      <w:r w:rsidR="00CB08D7" w:rsidRPr="008B2738">
        <w:rPr>
          <w:iCs/>
        </w:rPr>
        <w:t xml:space="preserve">and materials will be kept on a secure password protected </w:t>
      </w:r>
      <w:r w:rsidR="008B2738">
        <w:rPr>
          <w:iCs/>
        </w:rPr>
        <w:t xml:space="preserve">CDC </w:t>
      </w:r>
      <w:r w:rsidR="00CB08D7" w:rsidRPr="008B2738">
        <w:rPr>
          <w:iCs/>
        </w:rPr>
        <w:t xml:space="preserve">server accessible only to project team members. </w:t>
      </w:r>
      <w:r w:rsidR="00E66520" w:rsidRPr="008B2738">
        <w:rPr>
          <w:iCs/>
        </w:rPr>
        <w:t xml:space="preserve">At the end of the project, the audio recordings will be destroyed. </w:t>
      </w:r>
    </w:p>
    <w:p w14:paraId="60A65A01" w14:textId="77777777" w:rsidR="008B2738" w:rsidRDefault="008B2738" w:rsidP="008B2738">
      <w:pPr>
        <w:ind w:left="360"/>
        <w:rPr>
          <w:iCs/>
        </w:rPr>
      </w:pPr>
    </w:p>
    <w:p w14:paraId="1F17FAC4" w14:textId="08D2584D" w:rsidR="00CB08D7" w:rsidRPr="00EA1FC0" w:rsidRDefault="008B2738" w:rsidP="00BC7A3D">
      <w:pPr>
        <w:ind w:left="360"/>
        <w:rPr>
          <w:iCs/>
        </w:rPr>
      </w:pPr>
      <w:r w:rsidRPr="00EA1FC0">
        <w:rPr>
          <w:iCs/>
        </w:rPr>
        <w:t xml:space="preserve">Once the data collection period </w:t>
      </w:r>
      <w:r w:rsidR="00F43765" w:rsidRPr="00EA1FC0">
        <w:rPr>
          <w:iCs/>
        </w:rPr>
        <w:t xml:space="preserve">has closed, </w:t>
      </w:r>
      <w:r w:rsidR="00CB08D7" w:rsidRPr="00EA1FC0">
        <w:rPr>
          <w:iCs/>
        </w:rPr>
        <w:t xml:space="preserve">project team members will conduct </w:t>
      </w:r>
      <w:r w:rsidR="00CD781D" w:rsidRPr="00EA1FC0">
        <w:rPr>
          <w:iCs/>
        </w:rPr>
        <w:t>t</w:t>
      </w:r>
      <w:r w:rsidR="00BC7A3D" w:rsidRPr="00EA1FC0">
        <w:rPr>
          <w:iCs/>
        </w:rPr>
        <w:t xml:space="preserve">hematic analysis of the notes. Themes will be generated inductively from reading the notes as </w:t>
      </w:r>
      <w:r w:rsidR="00CB08D7" w:rsidRPr="00EA1FC0">
        <w:rPr>
          <w:iCs/>
        </w:rPr>
        <w:t xml:space="preserve">well as deductively organized by the topics </w:t>
      </w:r>
      <w:r w:rsidR="00F43765" w:rsidRPr="00EA1FC0">
        <w:rPr>
          <w:iCs/>
        </w:rPr>
        <w:t>covered during the interviews</w:t>
      </w:r>
      <w:r w:rsidR="00CB08D7" w:rsidRPr="00EA1FC0">
        <w:rPr>
          <w:iCs/>
        </w:rPr>
        <w:t xml:space="preserve">. </w:t>
      </w:r>
      <w:r w:rsidR="00E721C9" w:rsidRPr="00EA1FC0">
        <w:rPr>
          <w:iCs/>
        </w:rPr>
        <w:t xml:space="preserve">Information collected from these interviews will be compiled into case profiles </w:t>
      </w:r>
      <w:r w:rsidR="00EA1FC0" w:rsidRPr="00EA1FC0">
        <w:rPr>
          <w:iCs/>
        </w:rPr>
        <w:t xml:space="preserve">that comprise </w:t>
      </w:r>
      <w:r w:rsidR="00E721C9" w:rsidRPr="00EA1FC0">
        <w:rPr>
          <w:iCs/>
        </w:rPr>
        <w:t xml:space="preserve">high-level findings and lessons learned. </w:t>
      </w:r>
    </w:p>
    <w:p w14:paraId="0E494E8F" w14:textId="77777777" w:rsidR="00E721C9" w:rsidRPr="00EA1FC0" w:rsidRDefault="00E721C9" w:rsidP="00BC7A3D">
      <w:pPr>
        <w:ind w:left="360"/>
        <w:rPr>
          <w:iCs/>
        </w:rPr>
      </w:pPr>
    </w:p>
    <w:p w14:paraId="58C8A2AE" w14:textId="38D6C5C1" w:rsidR="00E4288C" w:rsidRDefault="00E721C9" w:rsidP="00BC7A3D">
      <w:pPr>
        <w:ind w:left="360"/>
        <w:rPr>
          <w:iCs/>
        </w:rPr>
      </w:pPr>
      <w:r w:rsidRPr="00EA1FC0">
        <w:rPr>
          <w:iCs/>
        </w:rPr>
        <w:t>Themes and findings identified across the LHDs will</w:t>
      </w:r>
      <w:r w:rsidR="00D91F48">
        <w:rPr>
          <w:iCs/>
        </w:rPr>
        <w:t xml:space="preserve"> also</w:t>
      </w:r>
      <w:r w:rsidRPr="00EA1FC0">
        <w:rPr>
          <w:iCs/>
        </w:rPr>
        <w:t xml:space="preserve"> be synthesized into aggregated reports. These reports will not link specific findings to a funded LHD. These </w:t>
      </w:r>
      <w:r w:rsidR="00FC18B5" w:rsidRPr="00EA1FC0">
        <w:rPr>
          <w:iCs/>
        </w:rPr>
        <w:t xml:space="preserve">aggregated findings and lessons learned </w:t>
      </w:r>
      <w:r w:rsidRPr="00EA1FC0">
        <w:rPr>
          <w:iCs/>
        </w:rPr>
        <w:t>will be shared with all funded LHDs, local organizations participating in violence p</w:t>
      </w:r>
      <w:r w:rsidR="00D91F48">
        <w:rPr>
          <w:iCs/>
        </w:rPr>
        <w:t xml:space="preserve">revention work, researchers and </w:t>
      </w:r>
      <w:r w:rsidRPr="00EA1FC0">
        <w:rPr>
          <w:iCs/>
        </w:rPr>
        <w:t>practitioners working in t</w:t>
      </w:r>
      <w:r w:rsidR="0083219C">
        <w:rPr>
          <w:iCs/>
        </w:rPr>
        <w:t xml:space="preserve">he field of violence prevention, as well as </w:t>
      </w:r>
      <w:r w:rsidRPr="00EA1FC0">
        <w:rPr>
          <w:iCs/>
        </w:rPr>
        <w:t>CDC prog</w:t>
      </w:r>
      <w:r w:rsidR="00D91F48">
        <w:rPr>
          <w:iCs/>
        </w:rPr>
        <w:t>ram stakeholders and leadership</w:t>
      </w:r>
      <w:r w:rsidRPr="00EA1FC0">
        <w:rPr>
          <w:iCs/>
        </w:rPr>
        <w:t>.</w:t>
      </w:r>
      <w:r w:rsidR="00FC18B5" w:rsidRPr="00EA1FC0">
        <w:rPr>
          <w:iCs/>
        </w:rPr>
        <w:t xml:space="preserve"> Aggregated findings will be shared through presentations, we</w:t>
      </w:r>
      <w:r w:rsidR="00D91F48">
        <w:rPr>
          <w:iCs/>
        </w:rPr>
        <w:t xml:space="preserve">binars, meetings, conferences, </w:t>
      </w:r>
      <w:r w:rsidR="00FC18B5" w:rsidRPr="00EA1FC0">
        <w:rPr>
          <w:iCs/>
        </w:rPr>
        <w:t xml:space="preserve">translation products for recipients and scientific manuscripts. </w:t>
      </w:r>
      <w:r w:rsidR="00E4288C" w:rsidRPr="00EA1FC0">
        <w:rPr>
          <w:iCs/>
        </w:rPr>
        <w:t xml:space="preserve"> </w:t>
      </w:r>
    </w:p>
    <w:p w14:paraId="2F128947" w14:textId="74E6F5C2" w:rsidR="00071F10" w:rsidRDefault="00071F10" w:rsidP="00D91F48">
      <w:pPr>
        <w:ind w:left="0"/>
        <w:rPr>
          <w:iCs/>
        </w:rPr>
      </w:pPr>
    </w:p>
    <w:p w14:paraId="5B6F048B" w14:textId="77777777" w:rsidR="006127F0" w:rsidRPr="00E4288C" w:rsidRDefault="006127F0" w:rsidP="00D91F48">
      <w:pPr>
        <w:ind w:left="0"/>
        <w:rPr>
          <w:iCs/>
        </w:rPr>
      </w:pPr>
    </w:p>
    <w:p w14:paraId="6FB448A4" w14:textId="77777777" w:rsidR="008C59E7" w:rsidRPr="00BB090C" w:rsidRDefault="008C59E7" w:rsidP="008B65FF">
      <w:pPr>
        <w:ind w:left="360"/>
        <w:rPr>
          <w:rFonts w:cs="Arial"/>
          <w:color w:val="0070C0"/>
        </w:rPr>
      </w:pPr>
      <w:r w:rsidRPr="00BB090C">
        <w:rPr>
          <w:rFonts w:cs="Arial"/>
          <w:u w:val="single"/>
        </w:rPr>
        <w:t>Project Time Schedule</w:t>
      </w:r>
    </w:p>
    <w:p w14:paraId="72539D0F"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CBD2E6E"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50AAEDAE"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486CFD22"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837E1C9"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32DDAD18"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7D4639B9" w14:textId="3BC88304" w:rsidR="008C59E7" w:rsidRPr="008B2738" w:rsidRDefault="001C4E44" w:rsidP="00782FBD">
      <w:pPr>
        <w:pStyle w:val="ListParagraph"/>
        <w:numPr>
          <w:ilvl w:val="0"/>
          <w:numId w:val="2"/>
        </w:numPr>
        <w:tabs>
          <w:tab w:val="right" w:leader="dot" w:pos="9360"/>
        </w:tabs>
        <w:ind w:left="1080"/>
      </w:pPr>
      <w:r w:rsidRPr="008B2738">
        <w:rPr>
          <w:rFonts w:eastAsiaTheme="majorEastAsia" w:cstheme="majorBidi"/>
        </w:rPr>
        <w:t>Recruit and c</w:t>
      </w:r>
      <w:r w:rsidR="008C59E7" w:rsidRPr="008B2738">
        <w:rPr>
          <w:rFonts w:eastAsiaTheme="majorEastAsia" w:cstheme="majorBidi"/>
        </w:rPr>
        <w:t xml:space="preserve">onduct </w:t>
      </w:r>
      <w:r w:rsidR="0018406E" w:rsidRPr="008B2738">
        <w:rPr>
          <w:rFonts w:eastAsiaTheme="majorEastAsia" w:cstheme="majorBidi"/>
        </w:rPr>
        <w:t>phone interviews</w:t>
      </w:r>
      <w:r w:rsidR="008C59E7" w:rsidRPr="008B2738">
        <w:rPr>
          <w:rFonts w:eastAsiaTheme="majorEastAsia" w:cstheme="majorBidi"/>
        </w:rPr>
        <w:t xml:space="preserve"> </w:t>
      </w:r>
      <w:r w:rsidR="008C59E7" w:rsidRPr="008B2738">
        <w:tab/>
      </w:r>
      <w:r w:rsidR="00650712" w:rsidRPr="008B2738">
        <w:t>(</w:t>
      </w:r>
      <w:r w:rsidR="00650712" w:rsidRPr="008B2738">
        <w:rPr>
          <w:rFonts w:eastAsiaTheme="majorEastAsia" w:cstheme="majorBidi"/>
        </w:rPr>
        <w:t>4–6 weeks)</w:t>
      </w:r>
    </w:p>
    <w:p w14:paraId="32721C38" w14:textId="5DCB74D0" w:rsidR="00755C74" w:rsidRPr="008B2738" w:rsidRDefault="00755C74" w:rsidP="00755C74">
      <w:pPr>
        <w:pStyle w:val="ListParagraph"/>
        <w:numPr>
          <w:ilvl w:val="0"/>
          <w:numId w:val="2"/>
        </w:numPr>
        <w:tabs>
          <w:tab w:val="right" w:leader="dot" w:pos="9360"/>
        </w:tabs>
        <w:ind w:left="1080"/>
      </w:pPr>
      <w:r w:rsidRPr="008B2738">
        <w:rPr>
          <w:rFonts w:eastAsiaTheme="majorEastAsia" w:cstheme="majorBidi"/>
        </w:rPr>
        <w:t xml:space="preserve">Compile notes for each interview </w:t>
      </w:r>
      <w:r w:rsidRPr="008B2738">
        <w:tab/>
      </w:r>
      <w:r w:rsidR="00650712" w:rsidRPr="008B2738">
        <w:t>(</w:t>
      </w:r>
      <w:r w:rsidR="00650712" w:rsidRPr="008B2738">
        <w:rPr>
          <w:rFonts w:eastAsiaTheme="majorEastAsia" w:cstheme="majorBidi"/>
        </w:rPr>
        <w:t>2 weeks)</w:t>
      </w:r>
    </w:p>
    <w:p w14:paraId="47B0D8A5" w14:textId="45EBCCF1" w:rsidR="0018406E" w:rsidRPr="008B2738" w:rsidRDefault="0018406E" w:rsidP="0018406E">
      <w:pPr>
        <w:pStyle w:val="ListParagraph"/>
        <w:numPr>
          <w:ilvl w:val="0"/>
          <w:numId w:val="2"/>
        </w:numPr>
        <w:tabs>
          <w:tab w:val="right" w:leader="dot" w:pos="9360"/>
        </w:tabs>
        <w:ind w:left="1080"/>
      </w:pPr>
      <w:r w:rsidRPr="008B2738">
        <w:rPr>
          <w:rFonts w:eastAsiaTheme="majorEastAsia" w:cstheme="majorBidi"/>
        </w:rPr>
        <w:t>Code data and analyze interview data</w:t>
      </w:r>
      <w:r w:rsidRPr="008B2738">
        <w:rPr>
          <w:rFonts w:cs="Arial"/>
        </w:rPr>
        <w:tab/>
      </w:r>
      <w:r w:rsidR="00650712" w:rsidRPr="008B2738">
        <w:t>(</w:t>
      </w:r>
      <w:r w:rsidR="00650712" w:rsidRPr="008B2738">
        <w:rPr>
          <w:rFonts w:eastAsiaTheme="majorEastAsia" w:cstheme="majorBidi"/>
        </w:rPr>
        <w:t>3 weeks)</w:t>
      </w:r>
    </w:p>
    <w:p w14:paraId="1D7EDD23" w14:textId="5CF666E8" w:rsidR="008C59E7" w:rsidRPr="008B2738" w:rsidRDefault="008C59E7" w:rsidP="00782FBD">
      <w:pPr>
        <w:pStyle w:val="ListParagraph"/>
        <w:numPr>
          <w:ilvl w:val="0"/>
          <w:numId w:val="2"/>
        </w:numPr>
        <w:tabs>
          <w:tab w:val="right" w:leader="dot" w:pos="9360"/>
        </w:tabs>
        <w:ind w:left="1080"/>
      </w:pPr>
      <w:r w:rsidRPr="008B2738">
        <w:rPr>
          <w:rFonts w:eastAsiaTheme="majorEastAsia" w:cstheme="majorBidi"/>
        </w:rPr>
        <w:t xml:space="preserve">Disseminate results/reports </w:t>
      </w:r>
      <w:r w:rsidRPr="008B2738">
        <w:tab/>
      </w:r>
      <w:r w:rsidR="00650712" w:rsidRPr="008B2738">
        <w:t>(</w:t>
      </w:r>
      <w:r w:rsidR="00650712" w:rsidRPr="008B2738">
        <w:rPr>
          <w:rFonts w:eastAsiaTheme="majorEastAsia" w:cstheme="majorBidi"/>
        </w:rPr>
        <w:t>4–6 weeks)</w:t>
      </w:r>
    </w:p>
    <w:p w14:paraId="3EC56CB3" w14:textId="20D4341E" w:rsidR="0018406E" w:rsidRPr="008B2738" w:rsidRDefault="0018406E" w:rsidP="00311F41">
      <w:pPr>
        <w:pStyle w:val="ListParagraph"/>
        <w:numPr>
          <w:ilvl w:val="0"/>
          <w:numId w:val="2"/>
        </w:numPr>
        <w:tabs>
          <w:tab w:val="right" w:leader="dot" w:pos="9360"/>
        </w:tabs>
        <w:ind w:left="1080"/>
      </w:pPr>
      <w:r w:rsidRPr="008B2738">
        <w:rPr>
          <w:rFonts w:eastAsiaTheme="majorEastAsia" w:cstheme="majorBidi"/>
        </w:rPr>
        <w:t>Disseminate aggregate</w:t>
      </w:r>
      <w:r w:rsidR="004D4D87" w:rsidRPr="008B2738">
        <w:rPr>
          <w:rFonts w:eastAsiaTheme="majorEastAsia" w:cstheme="majorBidi"/>
        </w:rPr>
        <w:t>/</w:t>
      </w:r>
      <w:r w:rsidRPr="008B2738">
        <w:rPr>
          <w:rFonts w:eastAsiaTheme="majorEastAsia" w:cstheme="majorBidi"/>
        </w:rPr>
        <w:t xml:space="preserve">cross-site reports </w:t>
      </w:r>
      <w:r w:rsidRPr="008B2738">
        <w:tab/>
      </w:r>
      <w:r w:rsidR="00650712" w:rsidRPr="008B2738">
        <w:t>(</w:t>
      </w:r>
      <w:r w:rsidR="00650712" w:rsidRPr="008B2738">
        <w:rPr>
          <w:rFonts w:eastAsiaTheme="majorEastAsia" w:cstheme="majorBidi"/>
        </w:rPr>
        <w:t>4–6 months)</w:t>
      </w:r>
    </w:p>
    <w:p w14:paraId="520CB8A8" w14:textId="77777777" w:rsidR="00F0000D" w:rsidRDefault="00F0000D" w:rsidP="005D6F14"/>
    <w:p w14:paraId="4D14F473"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37F2BD70" w14:textId="48017B9D" w:rsidR="00F52BCC" w:rsidRDefault="00180D45" w:rsidP="008B65FF">
      <w:pPr>
        <w:ind w:left="360"/>
      </w:pPr>
      <w:r>
        <w:t>We are requesting no exemption.</w:t>
      </w:r>
    </w:p>
    <w:p w14:paraId="015B085B" w14:textId="77777777" w:rsidR="003705DF" w:rsidRDefault="003705DF" w:rsidP="005D6F14"/>
    <w:p w14:paraId="1C5C4608"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1AF75283" w14:textId="77777777" w:rsidR="00D1343B" w:rsidRDefault="0031279F" w:rsidP="00DD5E65">
      <w:pPr>
        <w:ind w:left="360"/>
      </w:pPr>
      <w:r>
        <w:t>There are no exceptions to the certification.</w:t>
      </w:r>
      <w:r w:rsidR="00180D45">
        <w:t xml:space="preserve">  These activities comply with the requirements in 5 CFR 1320.9.</w:t>
      </w:r>
    </w:p>
    <w:p w14:paraId="1D253403" w14:textId="77777777" w:rsidR="008B12FA" w:rsidRDefault="008B12FA" w:rsidP="00DD5E65">
      <w:pPr>
        <w:ind w:left="360"/>
      </w:pPr>
    </w:p>
    <w:p w14:paraId="08791AAA" w14:textId="77777777" w:rsidR="00A36419" w:rsidRDefault="00A36419" w:rsidP="008C59E7">
      <w:pPr>
        <w:pStyle w:val="Heading3"/>
        <w:ind w:left="0"/>
      </w:pPr>
      <w:bookmarkStart w:id="24" w:name="_Toc427752832"/>
      <w:r>
        <w:t>LIST OF ATTACHMENTS</w:t>
      </w:r>
      <w:r w:rsidR="00A33E90">
        <w:t xml:space="preserve"> – Section A</w:t>
      </w:r>
      <w:bookmarkEnd w:id="24"/>
    </w:p>
    <w:p w14:paraId="2900AFA5" w14:textId="77777777" w:rsidR="000058E0" w:rsidRDefault="000058E0" w:rsidP="008C59E7">
      <w:pPr>
        <w:ind w:left="0"/>
      </w:pPr>
      <w:r w:rsidRPr="00711BFA">
        <w:t>Note: Attachments are included as separate files as instructed.</w:t>
      </w:r>
    </w:p>
    <w:p w14:paraId="1A5F1626" w14:textId="32364994" w:rsidR="00E647FB" w:rsidRPr="008B2738" w:rsidRDefault="00A1453A" w:rsidP="00782FBD">
      <w:pPr>
        <w:pStyle w:val="ListParagraph"/>
        <w:numPr>
          <w:ilvl w:val="0"/>
          <w:numId w:val="7"/>
        </w:numPr>
        <w:tabs>
          <w:tab w:val="clear" w:pos="9360"/>
        </w:tabs>
        <w:spacing w:line="240" w:lineRule="auto"/>
        <w:ind w:left="720"/>
        <w:rPr>
          <w:b/>
        </w:rPr>
      </w:pPr>
      <w:r w:rsidRPr="008B2738">
        <w:rPr>
          <w:b/>
        </w:rPr>
        <w:t>Attachment A</w:t>
      </w:r>
      <w:r w:rsidR="002B356B" w:rsidRPr="008B2738">
        <w:rPr>
          <w:rFonts w:ascii="Cambria" w:hAnsi="Cambria"/>
          <w:b/>
        </w:rPr>
        <w:t>—</w:t>
      </w:r>
      <w:r w:rsidR="008B2738" w:rsidRPr="008B2738">
        <w:rPr>
          <w:b/>
        </w:rPr>
        <w:t>Respondent List</w:t>
      </w:r>
    </w:p>
    <w:p w14:paraId="4CE1750A" w14:textId="1104ACFD" w:rsidR="00E647FB" w:rsidRPr="008B2738" w:rsidRDefault="00A1453A" w:rsidP="00782FBD">
      <w:pPr>
        <w:pStyle w:val="ListParagraph"/>
        <w:numPr>
          <w:ilvl w:val="0"/>
          <w:numId w:val="7"/>
        </w:numPr>
        <w:tabs>
          <w:tab w:val="clear" w:pos="9360"/>
        </w:tabs>
        <w:spacing w:line="240" w:lineRule="auto"/>
        <w:ind w:left="720"/>
        <w:rPr>
          <w:b/>
        </w:rPr>
      </w:pPr>
      <w:r w:rsidRPr="008B2738">
        <w:rPr>
          <w:b/>
        </w:rPr>
        <w:t>Attachment B</w:t>
      </w:r>
      <w:r w:rsidR="002B356B" w:rsidRPr="008B2738">
        <w:rPr>
          <w:rFonts w:ascii="Cambria" w:hAnsi="Cambria"/>
          <w:b/>
        </w:rPr>
        <w:t>—</w:t>
      </w:r>
      <w:r w:rsidR="008B2738" w:rsidRPr="008B2738">
        <w:rPr>
          <w:rFonts w:ascii="Cambria" w:hAnsi="Cambria"/>
          <w:b/>
        </w:rPr>
        <w:t xml:space="preserve">Telephone Interview Guide </w:t>
      </w:r>
    </w:p>
    <w:p w14:paraId="580D6639" w14:textId="77777777" w:rsidR="00787779" w:rsidRPr="00D14350" w:rsidRDefault="00787779" w:rsidP="00787779">
      <w:pPr>
        <w:pStyle w:val="ListParagraph"/>
        <w:tabs>
          <w:tab w:val="clear" w:pos="9360"/>
        </w:tabs>
        <w:spacing w:line="240" w:lineRule="auto"/>
        <w:rPr>
          <w:b/>
        </w:rPr>
      </w:pPr>
    </w:p>
    <w:p w14:paraId="032FC552" w14:textId="77777777" w:rsidR="00CC7188" w:rsidRDefault="00CC7188" w:rsidP="003860A5">
      <w:pPr>
        <w:pStyle w:val="Heading3"/>
        <w:ind w:left="0"/>
      </w:pPr>
      <w:bookmarkStart w:id="25" w:name="_Toc427752833"/>
      <w:r w:rsidRPr="00CC7188">
        <w:t xml:space="preserve">REFERENCE LIST </w:t>
      </w:r>
      <w:bookmarkEnd w:id="25"/>
    </w:p>
    <w:p w14:paraId="5AB196A8" w14:textId="0278A290" w:rsidR="000058E0" w:rsidRDefault="000058E0" w:rsidP="00782FBD">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6" w:history="1">
        <w:r w:rsidR="0041192B" w:rsidRPr="00365998">
          <w:rPr>
            <w:rStyle w:val="Hyperlink"/>
          </w:rPr>
          <w:t>http://www.cdc.gov/nphpsp/essentialservices.html. Accessed on 8/14/14</w:t>
        </w:r>
      </w:hyperlink>
      <w:r w:rsidRPr="008C59E7">
        <w:t>.</w:t>
      </w:r>
    </w:p>
    <w:p w14:paraId="78D63476" w14:textId="68A02572" w:rsidR="0041192B" w:rsidRDefault="0041192B" w:rsidP="0041192B">
      <w:pPr>
        <w:pStyle w:val="ListParagraph"/>
        <w:numPr>
          <w:ilvl w:val="2"/>
          <w:numId w:val="1"/>
        </w:numPr>
        <w:tabs>
          <w:tab w:val="clear" w:pos="9360"/>
        </w:tabs>
        <w:spacing w:line="240" w:lineRule="auto"/>
        <w:ind w:hanging="360"/>
      </w:pPr>
      <w:r w:rsidRPr="0041192B">
        <w:t>David-Ferdon, C., Vivolo-Kantor, A. M., Dahlberg, L. L., Marshall, K. J., Rainford, N. &amp; Hall, J. E. (2016). A Comprehensive Technical Package for the Prevention of Youth Violence and Associated Risk Behaviors. Atlanta, GA: National Center for Injury Prevention and Control, Centers for Disease Control and Prevention.</w:t>
      </w:r>
    </w:p>
    <w:p w14:paraId="6777303D" w14:textId="09F4BC6E" w:rsidR="0041192B" w:rsidRDefault="0041192B" w:rsidP="0041192B">
      <w:pPr>
        <w:pStyle w:val="ListParagraph"/>
        <w:numPr>
          <w:ilvl w:val="2"/>
          <w:numId w:val="1"/>
        </w:numPr>
        <w:tabs>
          <w:tab w:val="clear" w:pos="9360"/>
        </w:tabs>
        <w:spacing w:line="240" w:lineRule="auto"/>
        <w:ind w:hanging="360"/>
      </w:pPr>
      <w:r w:rsidRPr="0041192B">
        <w:t>Preventing Multiple Forms of Violence: A Strategic Vision for Connecting the Dots. Atlanta, GA: Division of Violence Prevention, National Center for Injury Prevention and Control, Centers for Disease Control and Prevention, 2016.</w:t>
      </w:r>
    </w:p>
    <w:p w14:paraId="6525D9AD" w14:textId="57891676" w:rsidR="0041192B" w:rsidRDefault="0041192B" w:rsidP="00B201C0">
      <w:pPr>
        <w:pStyle w:val="ListParagraph"/>
        <w:numPr>
          <w:ilvl w:val="2"/>
          <w:numId w:val="1"/>
        </w:numPr>
        <w:tabs>
          <w:tab w:val="clear" w:pos="9360"/>
        </w:tabs>
        <w:spacing w:line="240" w:lineRule="auto"/>
        <w:ind w:hanging="360"/>
      </w:pPr>
      <w:r>
        <w:t xml:space="preserve"> CDC. Preventing Teen Dating and Youth Violence by Addressing Shared Risk and Protective Factors: A Cross-Cutting Approach to Violence Prevention, 2017: </w:t>
      </w:r>
      <w:hyperlink r:id="rId17" w:history="1">
        <w:r w:rsidRPr="00365998">
          <w:rPr>
            <w:rStyle w:val="Hyperlink"/>
          </w:rPr>
          <w:t>https://www.cdc.gov/violenceprevention/fundedprograms/teendating.html</w:t>
        </w:r>
      </w:hyperlink>
      <w:r>
        <w:t xml:space="preserve"> </w:t>
      </w:r>
    </w:p>
    <w:sectPr w:rsidR="0041192B" w:rsidSect="00385BB5">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B77D" w14:textId="77777777" w:rsidR="00502546" w:rsidRDefault="00502546" w:rsidP="007D6163">
      <w:r>
        <w:separator/>
      </w:r>
    </w:p>
    <w:p w14:paraId="6CCCEC82" w14:textId="77777777" w:rsidR="00502546" w:rsidRDefault="00502546" w:rsidP="007D6163"/>
  </w:endnote>
  <w:endnote w:type="continuationSeparator" w:id="0">
    <w:p w14:paraId="0E62415B" w14:textId="77777777" w:rsidR="00502546" w:rsidRDefault="00502546" w:rsidP="007D6163">
      <w:r>
        <w:continuationSeparator/>
      </w:r>
    </w:p>
    <w:p w14:paraId="6A71FC00" w14:textId="77777777" w:rsidR="00502546" w:rsidRDefault="00502546"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Lato">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CF48F43" w14:textId="505C2C3B" w:rsidR="00502546" w:rsidRDefault="005025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220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2201">
              <w:rPr>
                <w:b/>
                <w:bCs/>
                <w:noProof/>
              </w:rPr>
              <w:t>2</w:t>
            </w:r>
            <w:r>
              <w:rPr>
                <w:b/>
                <w:bCs/>
                <w:sz w:val="24"/>
                <w:szCs w:val="24"/>
              </w:rPr>
              <w:fldChar w:fldCharType="end"/>
            </w:r>
          </w:p>
        </w:sdtContent>
      </w:sdt>
    </w:sdtContent>
  </w:sdt>
  <w:p w14:paraId="2D28F214" w14:textId="77777777" w:rsidR="00502546" w:rsidRDefault="0050254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D1349" w14:textId="77777777" w:rsidR="00502546" w:rsidRDefault="00502546" w:rsidP="007D6163">
      <w:r>
        <w:separator/>
      </w:r>
    </w:p>
    <w:p w14:paraId="5449AAC4" w14:textId="77777777" w:rsidR="00502546" w:rsidRDefault="00502546" w:rsidP="007D6163"/>
  </w:footnote>
  <w:footnote w:type="continuationSeparator" w:id="0">
    <w:p w14:paraId="231153BB" w14:textId="77777777" w:rsidR="00502546" w:rsidRDefault="00502546" w:rsidP="007D6163">
      <w:r>
        <w:continuationSeparator/>
      </w:r>
    </w:p>
    <w:p w14:paraId="6AC6008D" w14:textId="77777777" w:rsidR="00502546" w:rsidRDefault="00502546"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B7"/>
    <w:multiLevelType w:val="hybridMultilevel"/>
    <w:tmpl w:val="34F0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33CF3"/>
    <w:multiLevelType w:val="hybridMultilevel"/>
    <w:tmpl w:val="EF88F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4A04F5D2"/>
    <w:lvl w:ilvl="0" w:tplc="36F4A35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7C350E"/>
    <w:multiLevelType w:val="hybridMultilevel"/>
    <w:tmpl w:val="AE66359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9B97AB3"/>
    <w:multiLevelType w:val="hybridMultilevel"/>
    <w:tmpl w:val="EAC896B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576464FA"/>
    <w:multiLevelType w:val="hybridMultilevel"/>
    <w:tmpl w:val="AE66359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5CB31406"/>
    <w:multiLevelType w:val="hybridMultilevel"/>
    <w:tmpl w:val="A53432F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9009FA"/>
    <w:multiLevelType w:val="hybridMultilevel"/>
    <w:tmpl w:val="D36EAC3A"/>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5F9D6210"/>
    <w:multiLevelType w:val="hybridMultilevel"/>
    <w:tmpl w:val="A934AFE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69E7DCA"/>
    <w:multiLevelType w:val="hybridMultilevel"/>
    <w:tmpl w:val="0AC202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3C18B2"/>
    <w:multiLevelType w:val="hybridMultilevel"/>
    <w:tmpl w:val="AE66359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CA4091"/>
    <w:multiLevelType w:val="hybridMultilevel"/>
    <w:tmpl w:val="30C0B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23"/>
  </w:num>
  <w:num w:numId="4">
    <w:abstractNumId w:val="5"/>
  </w:num>
  <w:num w:numId="5">
    <w:abstractNumId w:val="18"/>
  </w:num>
  <w:num w:numId="6">
    <w:abstractNumId w:val="1"/>
  </w:num>
  <w:num w:numId="7">
    <w:abstractNumId w:val="8"/>
  </w:num>
  <w:num w:numId="8">
    <w:abstractNumId w:val="4"/>
  </w:num>
  <w:num w:numId="9">
    <w:abstractNumId w:val="13"/>
  </w:num>
  <w:num w:numId="10">
    <w:abstractNumId w:val="3"/>
  </w:num>
  <w:num w:numId="11">
    <w:abstractNumId w:val="7"/>
  </w:num>
  <w:num w:numId="12">
    <w:abstractNumId w:val="25"/>
  </w:num>
  <w:num w:numId="13">
    <w:abstractNumId w:val="24"/>
  </w:num>
  <w:num w:numId="14">
    <w:abstractNumId w:val="12"/>
  </w:num>
  <w:num w:numId="15">
    <w:abstractNumId w:val="11"/>
  </w:num>
  <w:num w:numId="16">
    <w:abstractNumId w:val="22"/>
  </w:num>
  <w:num w:numId="17">
    <w:abstractNumId w:val="0"/>
  </w:num>
  <w:num w:numId="18">
    <w:abstractNumId w:val="19"/>
  </w:num>
  <w:num w:numId="19">
    <w:abstractNumId w:val="10"/>
  </w:num>
  <w:num w:numId="20">
    <w:abstractNumId w:val="17"/>
  </w:num>
  <w:num w:numId="21">
    <w:abstractNumId w:val="2"/>
  </w:num>
  <w:num w:numId="22">
    <w:abstractNumId w:val="20"/>
  </w:num>
  <w:num w:numId="23">
    <w:abstractNumId w:val="14"/>
  </w:num>
  <w:num w:numId="24">
    <w:abstractNumId w:val="15"/>
  </w:num>
  <w:num w:numId="25">
    <w:abstractNumId w:val="9"/>
  </w:num>
  <w:num w:numId="26">
    <w:abstractNumId w:val="16"/>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83"/>
    <w:rsid w:val="0000362C"/>
    <w:rsid w:val="000058E0"/>
    <w:rsid w:val="00011A98"/>
    <w:rsid w:val="00011F8D"/>
    <w:rsid w:val="000130B4"/>
    <w:rsid w:val="00014361"/>
    <w:rsid w:val="00014579"/>
    <w:rsid w:val="00014944"/>
    <w:rsid w:val="00023821"/>
    <w:rsid w:val="00040611"/>
    <w:rsid w:val="0004305C"/>
    <w:rsid w:val="0004634F"/>
    <w:rsid w:val="00046CCD"/>
    <w:rsid w:val="000474FB"/>
    <w:rsid w:val="00050240"/>
    <w:rsid w:val="00051544"/>
    <w:rsid w:val="00053A92"/>
    <w:rsid w:val="00054839"/>
    <w:rsid w:val="00055DAE"/>
    <w:rsid w:val="00057845"/>
    <w:rsid w:val="00057F36"/>
    <w:rsid w:val="00065F7D"/>
    <w:rsid w:val="00071F10"/>
    <w:rsid w:val="00072302"/>
    <w:rsid w:val="0009613C"/>
    <w:rsid w:val="000A0BC7"/>
    <w:rsid w:val="000A17B1"/>
    <w:rsid w:val="000A1F30"/>
    <w:rsid w:val="000A2D0C"/>
    <w:rsid w:val="000A6ABF"/>
    <w:rsid w:val="000A71DF"/>
    <w:rsid w:val="000B0962"/>
    <w:rsid w:val="000B2CBC"/>
    <w:rsid w:val="000C025F"/>
    <w:rsid w:val="000E4314"/>
    <w:rsid w:val="000E6577"/>
    <w:rsid w:val="000E7A19"/>
    <w:rsid w:val="00104A1B"/>
    <w:rsid w:val="001177DD"/>
    <w:rsid w:val="00130D45"/>
    <w:rsid w:val="00132BC8"/>
    <w:rsid w:val="00135334"/>
    <w:rsid w:val="001361C9"/>
    <w:rsid w:val="001412D4"/>
    <w:rsid w:val="00141581"/>
    <w:rsid w:val="00144F64"/>
    <w:rsid w:val="00145D62"/>
    <w:rsid w:val="00151567"/>
    <w:rsid w:val="001547D0"/>
    <w:rsid w:val="0015715D"/>
    <w:rsid w:val="00157413"/>
    <w:rsid w:val="00160E31"/>
    <w:rsid w:val="00163E17"/>
    <w:rsid w:val="001643D6"/>
    <w:rsid w:val="00166F9E"/>
    <w:rsid w:val="00167880"/>
    <w:rsid w:val="00174C10"/>
    <w:rsid w:val="00180D45"/>
    <w:rsid w:val="0018406E"/>
    <w:rsid w:val="00187870"/>
    <w:rsid w:val="00187D5A"/>
    <w:rsid w:val="0019164D"/>
    <w:rsid w:val="0019310B"/>
    <w:rsid w:val="00196622"/>
    <w:rsid w:val="001972D7"/>
    <w:rsid w:val="001A28F6"/>
    <w:rsid w:val="001A6F50"/>
    <w:rsid w:val="001B2831"/>
    <w:rsid w:val="001B4065"/>
    <w:rsid w:val="001B5910"/>
    <w:rsid w:val="001B70B4"/>
    <w:rsid w:val="001C0493"/>
    <w:rsid w:val="001C28AD"/>
    <w:rsid w:val="001C407F"/>
    <w:rsid w:val="001C4E44"/>
    <w:rsid w:val="001C7607"/>
    <w:rsid w:val="001D0959"/>
    <w:rsid w:val="001D135C"/>
    <w:rsid w:val="001D1D62"/>
    <w:rsid w:val="001D26FF"/>
    <w:rsid w:val="001D5697"/>
    <w:rsid w:val="001D7FCB"/>
    <w:rsid w:val="001E2075"/>
    <w:rsid w:val="001E2B99"/>
    <w:rsid w:val="001E69B6"/>
    <w:rsid w:val="001E7537"/>
    <w:rsid w:val="001F4DBB"/>
    <w:rsid w:val="001F70B8"/>
    <w:rsid w:val="00202D07"/>
    <w:rsid w:val="0020312D"/>
    <w:rsid w:val="002046F0"/>
    <w:rsid w:val="00206E33"/>
    <w:rsid w:val="00207811"/>
    <w:rsid w:val="002079B0"/>
    <w:rsid w:val="00210519"/>
    <w:rsid w:val="00212B10"/>
    <w:rsid w:val="002206AD"/>
    <w:rsid w:val="00227259"/>
    <w:rsid w:val="00230F32"/>
    <w:rsid w:val="00233440"/>
    <w:rsid w:val="002335F2"/>
    <w:rsid w:val="00236C37"/>
    <w:rsid w:val="00241B17"/>
    <w:rsid w:val="00241C81"/>
    <w:rsid w:val="00244557"/>
    <w:rsid w:val="002540EE"/>
    <w:rsid w:val="00257A1C"/>
    <w:rsid w:val="00264B44"/>
    <w:rsid w:val="0027234C"/>
    <w:rsid w:val="00272C56"/>
    <w:rsid w:val="00272E3E"/>
    <w:rsid w:val="00273894"/>
    <w:rsid w:val="00275914"/>
    <w:rsid w:val="00275A37"/>
    <w:rsid w:val="00276327"/>
    <w:rsid w:val="00281795"/>
    <w:rsid w:val="002850E3"/>
    <w:rsid w:val="00287668"/>
    <w:rsid w:val="00287E2F"/>
    <w:rsid w:val="002A1948"/>
    <w:rsid w:val="002B356B"/>
    <w:rsid w:val="002C0877"/>
    <w:rsid w:val="002C2AE2"/>
    <w:rsid w:val="002C3F8E"/>
    <w:rsid w:val="002C724E"/>
    <w:rsid w:val="002C7A80"/>
    <w:rsid w:val="002D0DCE"/>
    <w:rsid w:val="002D7DB6"/>
    <w:rsid w:val="002E2B10"/>
    <w:rsid w:val="002E2EDD"/>
    <w:rsid w:val="002E73B0"/>
    <w:rsid w:val="002F1502"/>
    <w:rsid w:val="002F2069"/>
    <w:rsid w:val="002F71A2"/>
    <w:rsid w:val="003041AD"/>
    <w:rsid w:val="00311F41"/>
    <w:rsid w:val="00312042"/>
    <w:rsid w:val="0031279F"/>
    <w:rsid w:val="00312C74"/>
    <w:rsid w:val="003156E3"/>
    <w:rsid w:val="00316F00"/>
    <w:rsid w:val="003179F7"/>
    <w:rsid w:val="00321B51"/>
    <w:rsid w:val="00324D11"/>
    <w:rsid w:val="00326C0B"/>
    <w:rsid w:val="00336D96"/>
    <w:rsid w:val="003402C5"/>
    <w:rsid w:val="00344F07"/>
    <w:rsid w:val="003455DA"/>
    <w:rsid w:val="003469C8"/>
    <w:rsid w:val="00347F93"/>
    <w:rsid w:val="00350C8C"/>
    <w:rsid w:val="00352AB4"/>
    <w:rsid w:val="00355942"/>
    <w:rsid w:val="00355EA4"/>
    <w:rsid w:val="00357CD1"/>
    <w:rsid w:val="00362BC8"/>
    <w:rsid w:val="003635BE"/>
    <w:rsid w:val="00365045"/>
    <w:rsid w:val="00366B5E"/>
    <w:rsid w:val="003705DF"/>
    <w:rsid w:val="00372235"/>
    <w:rsid w:val="003722A3"/>
    <w:rsid w:val="003751E8"/>
    <w:rsid w:val="00376290"/>
    <w:rsid w:val="00385BB5"/>
    <w:rsid w:val="003860A5"/>
    <w:rsid w:val="00386BC2"/>
    <w:rsid w:val="003A0266"/>
    <w:rsid w:val="003A2555"/>
    <w:rsid w:val="003B125E"/>
    <w:rsid w:val="003B1BE3"/>
    <w:rsid w:val="003B2200"/>
    <w:rsid w:val="003B2AE6"/>
    <w:rsid w:val="003B5907"/>
    <w:rsid w:val="003C207E"/>
    <w:rsid w:val="003C22B3"/>
    <w:rsid w:val="003C31C9"/>
    <w:rsid w:val="003C4961"/>
    <w:rsid w:val="003C7C5D"/>
    <w:rsid w:val="003D0AD2"/>
    <w:rsid w:val="003E0F5E"/>
    <w:rsid w:val="003E17CF"/>
    <w:rsid w:val="003F0CC1"/>
    <w:rsid w:val="003F5913"/>
    <w:rsid w:val="004024F8"/>
    <w:rsid w:val="00405696"/>
    <w:rsid w:val="0041159A"/>
    <w:rsid w:val="0041192B"/>
    <w:rsid w:val="004135D5"/>
    <w:rsid w:val="004226DA"/>
    <w:rsid w:val="0042500C"/>
    <w:rsid w:val="004305A8"/>
    <w:rsid w:val="0043229B"/>
    <w:rsid w:val="00433824"/>
    <w:rsid w:val="004353D5"/>
    <w:rsid w:val="00436B8A"/>
    <w:rsid w:val="0044130D"/>
    <w:rsid w:val="00441CC3"/>
    <w:rsid w:val="00443CA0"/>
    <w:rsid w:val="00447304"/>
    <w:rsid w:val="00450E14"/>
    <w:rsid w:val="004514BE"/>
    <w:rsid w:val="00462C65"/>
    <w:rsid w:val="004674E7"/>
    <w:rsid w:val="00467B14"/>
    <w:rsid w:val="00467D07"/>
    <w:rsid w:val="00470423"/>
    <w:rsid w:val="00471642"/>
    <w:rsid w:val="00473D35"/>
    <w:rsid w:val="00474EDA"/>
    <w:rsid w:val="004759A0"/>
    <w:rsid w:val="004814EE"/>
    <w:rsid w:val="00481D80"/>
    <w:rsid w:val="004824FA"/>
    <w:rsid w:val="00484011"/>
    <w:rsid w:val="004841F1"/>
    <w:rsid w:val="004867B8"/>
    <w:rsid w:val="00487937"/>
    <w:rsid w:val="004967ED"/>
    <w:rsid w:val="004A1E3A"/>
    <w:rsid w:val="004B46D6"/>
    <w:rsid w:val="004C0BF6"/>
    <w:rsid w:val="004C2EEF"/>
    <w:rsid w:val="004C4464"/>
    <w:rsid w:val="004C4AEA"/>
    <w:rsid w:val="004D0430"/>
    <w:rsid w:val="004D1DAA"/>
    <w:rsid w:val="004D4D87"/>
    <w:rsid w:val="004D4EB1"/>
    <w:rsid w:val="004E003C"/>
    <w:rsid w:val="004E16EB"/>
    <w:rsid w:val="004E6665"/>
    <w:rsid w:val="004F0FA8"/>
    <w:rsid w:val="004F601A"/>
    <w:rsid w:val="004F634E"/>
    <w:rsid w:val="004F67A8"/>
    <w:rsid w:val="004F6AFA"/>
    <w:rsid w:val="00502546"/>
    <w:rsid w:val="005070F6"/>
    <w:rsid w:val="005115FA"/>
    <w:rsid w:val="0051582C"/>
    <w:rsid w:val="005212E5"/>
    <w:rsid w:val="00522A50"/>
    <w:rsid w:val="00525E61"/>
    <w:rsid w:val="00527225"/>
    <w:rsid w:val="0053557D"/>
    <w:rsid w:val="005410E3"/>
    <w:rsid w:val="005463DE"/>
    <w:rsid w:val="00546DC2"/>
    <w:rsid w:val="005542E8"/>
    <w:rsid w:val="00556630"/>
    <w:rsid w:val="0055686D"/>
    <w:rsid w:val="005758C4"/>
    <w:rsid w:val="00575984"/>
    <w:rsid w:val="005800EE"/>
    <w:rsid w:val="00584BA5"/>
    <w:rsid w:val="005869D6"/>
    <w:rsid w:val="005874D7"/>
    <w:rsid w:val="00587C72"/>
    <w:rsid w:val="0059331E"/>
    <w:rsid w:val="00594619"/>
    <w:rsid w:val="005A0B42"/>
    <w:rsid w:val="005A33F6"/>
    <w:rsid w:val="005A3933"/>
    <w:rsid w:val="005A59E5"/>
    <w:rsid w:val="005B7440"/>
    <w:rsid w:val="005D03A9"/>
    <w:rsid w:val="005D1A77"/>
    <w:rsid w:val="005D6F14"/>
    <w:rsid w:val="005E2150"/>
    <w:rsid w:val="005E2995"/>
    <w:rsid w:val="005F3FEF"/>
    <w:rsid w:val="00600C4F"/>
    <w:rsid w:val="006012BB"/>
    <w:rsid w:val="0060287B"/>
    <w:rsid w:val="00605D50"/>
    <w:rsid w:val="00607F7C"/>
    <w:rsid w:val="006102DA"/>
    <w:rsid w:val="006127F0"/>
    <w:rsid w:val="00613BCF"/>
    <w:rsid w:val="0061488D"/>
    <w:rsid w:val="00616090"/>
    <w:rsid w:val="00621798"/>
    <w:rsid w:val="006315A3"/>
    <w:rsid w:val="00644F3A"/>
    <w:rsid w:val="00645BF7"/>
    <w:rsid w:val="00650712"/>
    <w:rsid w:val="00651309"/>
    <w:rsid w:val="006555D3"/>
    <w:rsid w:val="00656E5E"/>
    <w:rsid w:val="006579A2"/>
    <w:rsid w:val="00667C89"/>
    <w:rsid w:val="006711EE"/>
    <w:rsid w:val="00673986"/>
    <w:rsid w:val="00675D4A"/>
    <w:rsid w:val="00675F9A"/>
    <w:rsid w:val="006809BB"/>
    <w:rsid w:val="006809FD"/>
    <w:rsid w:val="00691D1F"/>
    <w:rsid w:val="00692DEB"/>
    <w:rsid w:val="00696486"/>
    <w:rsid w:val="00697BAE"/>
    <w:rsid w:val="006A09E0"/>
    <w:rsid w:val="006B4DDC"/>
    <w:rsid w:val="006B51BD"/>
    <w:rsid w:val="006B5E55"/>
    <w:rsid w:val="006C20E8"/>
    <w:rsid w:val="006C2523"/>
    <w:rsid w:val="006C4DA7"/>
    <w:rsid w:val="006D25A1"/>
    <w:rsid w:val="006D6D91"/>
    <w:rsid w:val="006E1216"/>
    <w:rsid w:val="006E14E9"/>
    <w:rsid w:val="006F09A2"/>
    <w:rsid w:val="006F0E6D"/>
    <w:rsid w:val="006F1364"/>
    <w:rsid w:val="006F36C6"/>
    <w:rsid w:val="006F6856"/>
    <w:rsid w:val="00711989"/>
    <w:rsid w:val="00713412"/>
    <w:rsid w:val="0071430D"/>
    <w:rsid w:val="007145D0"/>
    <w:rsid w:val="00716CB4"/>
    <w:rsid w:val="00716F94"/>
    <w:rsid w:val="00721180"/>
    <w:rsid w:val="00721719"/>
    <w:rsid w:val="0072308C"/>
    <w:rsid w:val="00734D99"/>
    <w:rsid w:val="00736590"/>
    <w:rsid w:val="0075188E"/>
    <w:rsid w:val="00755C74"/>
    <w:rsid w:val="0076001C"/>
    <w:rsid w:val="00760E12"/>
    <w:rsid w:val="00763CF3"/>
    <w:rsid w:val="00766AD3"/>
    <w:rsid w:val="00772293"/>
    <w:rsid w:val="00774689"/>
    <w:rsid w:val="0077552B"/>
    <w:rsid w:val="007760F2"/>
    <w:rsid w:val="00776981"/>
    <w:rsid w:val="00781AE3"/>
    <w:rsid w:val="00782FBD"/>
    <w:rsid w:val="00783C75"/>
    <w:rsid w:val="00784619"/>
    <w:rsid w:val="00784735"/>
    <w:rsid w:val="00785D70"/>
    <w:rsid w:val="0078627B"/>
    <w:rsid w:val="0078765B"/>
    <w:rsid w:val="00787779"/>
    <w:rsid w:val="007921F1"/>
    <w:rsid w:val="00792972"/>
    <w:rsid w:val="00794E32"/>
    <w:rsid w:val="00796AB3"/>
    <w:rsid w:val="007A0D73"/>
    <w:rsid w:val="007A4977"/>
    <w:rsid w:val="007A6C48"/>
    <w:rsid w:val="007B268F"/>
    <w:rsid w:val="007B305A"/>
    <w:rsid w:val="007B6A12"/>
    <w:rsid w:val="007B7C44"/>
    <w:rsid w:val="007C1843"/>
    <w:rsid w:val="007C4233"/>
    <w:rsid w:val="007C5666"/>
    <w:rsid w:val="007C58E7"/>
    <w:rsid w:val="007D144E"/>
    <w:rsid w:val="007D6163"/>
    <w:rsid w:val="007E575D"/>
    <w:rsid w:val="007E57CD"/>
    <w:rsid w:val="007E6806"/>
    <w:rsid w:val="007E6AEF"/>
    <w:rsid w:val="007F5776"/>
    <w:rsid w:val="00814727"/>
    <w:rsid w:val="00815C7D"/>
    <w:rsid w:val="00817941"/>
    <w:rsid w:val="008229E4"/>
    <w:rsid w:val="00823547"/>
    <w:rsid w:val="008261AB"/>
    <w:rsid w:val="008261B2"/>
    <w:rsid w:val="008269AB"/>
    <w:rsid w:val="0083219C"/>
    <w:rsid w:val="00834C91"/>
    <w:rsid w:val="00835CA7"/>
    <w:rsid w:val="008370D4"/>
    <w:rsid w:val="00837FF8"/>
    <w:rsid w:val="00840841"/>
    <w:rsid w:val="008414AD"/>
    <w:rsid w:val="008428D9"/>
    <w:rsid w:val="0085291E"/>
    <w:rsid w:val="00855F79"/>
    <w:rsid w:val="008647FF"/>
    <w:rsid w:val="00864DDB"/>
    <w:rsid w:val="0086712B"/>
    <w:rsid w:val="008705AC"/>
    <w:rsid w:val="008715E7"/>
    <w:rsid w:val="008748B4"/>
    <w:rsid w:val="0088467A"/>
    <w:rsid w:val="00884DB9"/>
    <w:rsid w:val="00886FBF"/>
    <w:rsid w:val="00891865"/>
    <w:rsid w:val="008B0163"/>
    <w:rsid w:val="008B12FA"/>
    <w:rsid w:val="008B2738"/>
    <w:rsid w:val="008B65FF"/>
    <w:rsid w:val="008C2615"/>
    <w:rsid w:val="008C408E"/>
    <w:rsid w:val="008C59E7"/>
    <w:rsid w:val="008C67D2"/>
    <w:rsid w:val="008D4B11"/>
    <w:rsid w:val="008D511D"/>
    <w:rsid w:val="008D5738"/>
    <w:rsid w:val="008E0683"/>
    <w:rsid w:val="008E3D8D"/>
    <w:rsid w:val="008E51A7"/>
    <w:rsid w:val="008F3D10"/>
    <w:rsid w:val="00901063"/>
    <w:rsid w:val="00902DD9"/>
    <w:rsid w:val="00905A65"/>
    <w:rsid w:val="00911486"/>
    <w:rsid w:val="009129CA"/>
    <w:rsid w:val="00915C4D"/>
    <w:rsid w:val="009206B6"/>
    <w:rsid w:val="009252DC"/>
    <w:rsid w:val="009252F5"/>
    <w:rsid w:val="009263C1"/>
    <w:rsid w:val="00930645"/>
    <w:rsid w:val="00931BDF"/>
    <w:rsid w:val="00932EFB"/>
    <w:rsid w:val="00940063"/>
    <w:rsid w:val="00941B4F"/>
    <w:rsid w:val="00942201"/>
    <w:rsid w:val="009451BF"/>
    <w:rsid w:val="00945B19"/>
    <w:rsid w:val="00945D50"/>
    <w:rsid w:val="0095068D"/>
    <w:rsid w:val="009518C0"/>
    <w:rsid w:val="00954637"/>
    <w:rsid w:val="00963CE3"/>
    <w:rsid w:val="00963F58"/>
    <w:rsid w:val="00964F18"/>
    <w:rsid w:val="009729B4"/>
    <w:rsid w:val="00974424"/>
    <w:rsid w:val="0098067A"/>
    <w:rsid w:val="00980895"/>
    <w:rsid w:val="00987F76"/>
    <w:rsid w:val="00993088"/>
    <w:rsid w:val="0099532C"/>
    <w:rsid w:val="0099664F"/>
    <w:rsid w:val="00997D5D"/>
    <w:rsid w:val="009A0447"/>
    <w:rsid w:val="009A2CE5"/>
    <w:rsid w:val="009A2DB8"/>
    <w:rsid w:val="009A4B59"/>
    <w:rsid w:val="009A65B4"/>
    <w:rsid w:val="009A737F"/>
    <w:rsid w:val="009B4A51"/>
    <w:rsid w:val="009C12E5"/>
    <w:rsid w:val="009C28B1"/>
    <w:rsid w:val="009C61AD"/>
    <w:rsid w:val="009C6697"/>
    <w:rsid w:val="009D0854"/>
    <w:rsid w:val="009D373D"/>
    <w:rsid w:val="009D436B"/>
    <w:rsid w:val="009D5927"/>
    <w:rsid w:val="009D7B2C"/>
    <w:rsid w:val="009E0801"/>
    <w:rsid w:val="009E1D05"/>
    <w:rsid w:val="009F7DE0"/>
    <w:rsid w:val="00A0222E"/>
    <w:rsid w:val="00A04992"/>
    <w:rsid w:val="00A05973"/>
    <w:rsid w:val="00A06BCB"/>
    <w:rsid w:val="00A1050C"/>
    <w:rsid w:val="00A115B1"/>
    <w:rsid w:val="00A11B0C"/>
    <w:rsid w:val="00A1453A"/>
    <w:rsid w:val="00A20BA8"/>
    <w:rsid w:val="00A242DB"/>
    <w:rsid w:val="00A33B35"/>
    <w:rsid w:val="00A33E90"/>
    <w:rsid w:val="00A36419"/>
    <w:rsid w:val="00A44921"/>
    <w:rsid w:val="00A44AD9"/>
    <w:rsid w:val="00A471C1"/>
    <w:rsid w:val="00A578C2"/>
    <w:rsid w:val="00A62C98"/>
    <w:rsid w:val="00A70B3C"/>
    <w:rsid w:val="00A72652"/>
    <w:rsid w:val="00A75D1C"/>
    <w:rsid w:val="00A809AA"/>
    <w:rsid w:val="00A849B3"/>
    <w:rsid w:val="00A8510D"/>
    <w:rsid w:val="00A85783"/>
    <w:rsid w:val="00A85817"/>
    <w:rsid w:val="00A86AF3"/>
    <w:rsid w:val="00A90AFF"/>
    <w:rsid w:val="00A90BDC"/>
    <w:rsid w:val="00A95477"/>
    <w:rsid w:val="00A975A9"/>
    <w:rsid w:val="00AA3192"/>
    <w:rsid w:val="00AA56D9"/>
    <w:rsid w:val="00AB0486"/>
    <w:rsid w:val="00AB251E"/>
    <w:rsid w:val="00AB3608"/>
    <w:rsid w:val="00AC0EBA"/>
    <w:rsid w:val="00AC1272"/>
    <w:rsid w:val="00AC54F2"/>
    <w:rsid w:val="00AC5C48"/>
    <w:rsid w:val="00AC63E3"/>
    <w:rsid w:val="00AC7ECF"/>
    <w:rsid w:val="00AD1694"/>
    <w:rsid w:val="00AD3F08"/>
    <w:rsid w:val="00AF00FF"/>
    <w:rsid w:val="00AF0CF4"/>
    <w:rsid w:val="00AF2252"/>
    <w:rsid w:val="00AF3D47"/>
    <w:rsid w:val="00AF7D93"/>
    <w:rsid w:val="00B0098C"/>
    <w:rsid w:val="00B00B12"/>
    <w:rsid w:val="00B00B88"/>
    <w:rsid w:val="00B071D7"/>
    <w:rsid w:val="00B1129F"/>
    <w:rsid w:val="00B11D61"/>
    <w:rsid w:val="00B12F51"/>
    <w:rsid w:val="00B14859"/>
    <w:rsid w:val="00B201C0"/>
    <w:rsid w:val="00B2104F"/>
    <w:rsid w:val="00B21741"/>
    <w:rsid w:val="00B2751E"/>
    <w:rsid w:val="00B33294"/>
    <w:rsid w:val="00B33FA1"/>
    <w:rsid w:val="00B3650C"/>
    <w:rsid w:val="00B43AFE"/>
    <w:rsid w:val="00B47055"/>
    <w:rsid w:val="00B53C5C"/>
    <w:rsid w:val="00B6282A"/>
    <w:rsid w:val="00B63CF3"/>
    <w:rsid w:val="00B64BFA"/>
    <w:rsid w:val="00B71E63"/>
    <w:rsid w:val="00B725EF"/>
    <w:rsid w:val="00B73672"/>
    <w:rsid w:val="00B83212"/>
    <w:rsid w:val="00B85DE4"/>
    <w:rsid w:val="00B8783F"/>
    <w:rsid w:val="00B87AAD"/>
    <w:rsid w:val="00B91A31"/>
    <w:rsid w:val="00B928D3"/>
    <w:rsid w:val="00B9388F"/>
    <w:rsid w:val="00B9491B"/>
    <w:rsid w:val="00B97750"/>
    <w:rsid w:val="00BA50D9"/>
    <w:rsid w:val="00BA6325"/>
    <w:rsid w:val="00BA6C28"/>
    <w:rsid w:val="00BA6DB4"/>
    <w:rsid w:val="00BB0813"/>
    <w:rsid w:val="00BB090C"/>
    <w:rsid w:val="00BB491A"/>
    <w:rsid w:val="00BB55EF"/>
    <w:rsid w:val="00BC3F3C"/>
    <w:rsid w:val="00BC5BB2"/>
    <w:rsid w:val="00BC7A3D"/>
    <w:rsid w:val="00BD4599"/>
    <w:rsid w:val="00BD56AF"/>
    <w:rsid w:val="00BE5A15"/>
    <w:rsid w:val="00BE738E"/>
    <w:rsid w:val="00BF11A1"/>
    <w:rsid w:val="00BF3F54"/>
    <w:rsid w:val="00C00697"/>
    <w:rsid w:val="00C0376C"/>
    <w:rsid w:val="00C06D77"/>
    <w:rsid w:val="00C12531"/>
    <w:rsid w:val="00C14BA6"/>
    <w:rsid w:val="00C24C91"/>
    <w:rsid w:val="00C27866"/>
    <w:rsid w:val="00C3485C"/>
    <w:rsid w:val="00C35E33"/>
    <w:rsid w:val="00C4416B"/>
    <w:rsid w:val="00C44572"/>
    <w:rsid w:val="00C46227"/>
    <w:rsid w:val="00C514A6"/>
    <w:rsid w:val="00C544A4"/>
    <w:rsid w:val="00C65B5B"/>
    <w:rsid w:val="00C65F82"/>
    <w:rsid w:val="00C768E5"/>
    <w:rsid w:val="00CA2004"/>
    <w:rsid w:val="00CA5840"/>
    <w:rsid w:val="00CA5B99"/>
    <w:rsid w:val="00CB04EC"/>
    <w:rsid w:val="00CB08D7"/>
    <w:rsid w:val="00CB0933"/>
    <w:rsid w:val="00CB334D"/>
    <w:rsid w:val="00CB4256"/>
    <w:rsid w:val="00CB56D5"/>
    <w:rsid w:val="00CC4DAB"/>
    <w:rsid w:val="00CC7188"/>
    <w:rsid w:val="00CC76CD"/>
    <w:rsid w:val="00CD1EA8"/>
    <w:rsid w:val="00CD3769"/>
    <w:rsid w:val="00CD781D"/>
    <w:rsid w:val="00CE29DC"/>
    <w:rsid w:val="00CF5ABD"/>
    <w:rsid w:val="00CF6092"/>
    <w:rsid w:val="00CF63CE"/>
    <w:rsid w:val="00D01E65"/>
    <w:rsid w:val="00D06304"/>
    <w:rsid w:val="00D065B1"/>
    <w:rsid w:val="00D067C1"/>
    <w:rsid w:val="00D06816"/>
    <w:rsid w:val="00D12425"/>
    <w:rsid w:val="00D1343B"/>
    <w:rsid w:val="00D1350B"/>
    <w:rsid w:val="00D13B13"/>
    <w:rsid w:val="00D14350"/>
    <w:rsid w:val="00D1450E"/>
    <w:rsid w:val="00D16E78"/>
    <w:rsid w:val="00D201D3"/>
    <w:rsid w:val="00D21203"/>
    <w:rsid w:val="00D267D5"/>
    <w:rsid w:val="00D26A64"/>
    <w:rsid w:val="00D31720"/>
    <w:rsid w:val="00D3473C"/>
    <w:rsid w:val="00D376DC"/>
    <w:rsid w:val="00D42A92"/>
    <w:rsid w:val="00D52B9A"/>
    <w:rsid w:val="00D5367E"/>
    <w:rsid w:val="00D53B1E"/>
    <w:rsid w:val="00D53F10"/>
    <w:rsid w:val="00D6105F"/>
    <w:rsid w:val="00D61AD2"/>
    <w:rsid w:val="00D61EA5"/>
    <w:rsid w:val="00D626A4"/>
    <w:rsid w:val="00D6562D"/>
    <w:rsid w:val="00D6578D"/>
    <w:rsid w:val="00D71C1C"/>
    <w:rsid w:val="00D74F79"/>
    <w:rsid w:val="00D75750"/>
    <w:rsid w:val="00D75C8F"/>
    <w:rsid w:val="00D84EF0"/>
    <w:rsid w:val="00D861ED"/>
    <w:rsid w:val="00D873E0"/>
    <w:rsid w:val="00D91F48"/>
    <w:rsid w:val="00D925A6"/>
    <w:rsid w:val="00D941E3"/>
    <w:rsid w:val="00D94F8B"/>
    <w:rsid w:val="00D95F2B"/>
    <w:rsid w:val="00D95FBF"/>
    <w:rsid w:val="00DA5988"/>
    <w:rsid w:val="00DA762F"/>
    <w:rsid w:val="00DB7F78"/>
    <w:rsid w:val="00DC0184"/>
    <w:rsid w:val="00DC2AD2"/>
    <w:rsid w:val="00DC317C"/>
    <w:rsid w:val="00DC4FF2"/>
    <w:rsid w:val="00DC79CC"/>
    <w:rsid w:val="00DC7AC1"/>
    <w:rsid w:val="00DD013F"/>
    <w:rsid w:val="00DD5E65"/>
    <w:rsid w:val="00DD7BF0"/>
    <w:rsid w:val="00DF60F7"/>
    <w:rsid w:val="00E00645"/>
    <w:rsid w:val="00E03AC8"/>
    <w:rsid w:val="00E1007A"/>
    <w:rsid w:val="00E10A76"/>
    <w:rsid w:val="00E10D39"/>
    <w:rsid w:val="00E134F4"/>
    <w:rsid w:val="00E147D9"/>
    <w:rsid w:val="00E162E0"/>
    <w:rsid w:val="00E20294"/>
    <w:rsid w:val="00E20D75"/>
    <w:rsid w:val="00E23568"/>
    <w:rsid w:val="00E245B5"/>
    <w:rsid w:val="00E246B6"/>
    <w:rsid w:val="00E33E1B"/>
    <w:rsid w:val="00E34D3E"/>
    <w:rsid w:val="00E35AB7"/>
    <w:rsid w:val="00E37685"/>
    <w:rsid w:val="00E41812"/>
    <w:rsid w:val="00E42452"/>
    <w:rsid w:val="00E4288C"/>
    <w:rsid w:val="00E45D4A"/>
    <w:rsid w:val="00E4618F"/>
    <w:rsid w:val="00E46BAF"/>
    <w:rsid w:val="00E5146F"/>
    <w:rsid w:val="00E5576D"/>
    <w:rsid w:val="00E62BD2"/>
    <w:rsid w:val="00E647FB"/>
    <w:rsid w:val="00E66520"/>
    <w:rsid w:val="00E720E9"/>
    <w:rsid w:val="00E721C9"/>
    <w:rsid w:val="00E7655F"/>
    <w:rsid w:val="00E768E5"/>
    <w:rsid w:val="00E81C5E"/>
    <w:rsid w:val="00E83B3C"/>
    <w:rsid w:val="00E8736B"/>
    <w:rsid w:val="00E90275"/>
    <w:rsid w:val="00E925D4"/>
    <w:rsid w:val="00E9465D"/>
    <w:rsid w:val="00E97226"/>
    <w:rsid w:val="00EA1FC0"/>
    <w:rsid w:val="00EA2B44"/>
    <w:rsid w:val="00EA3126"/>
    <w:rsid w:val="00EA33EF"/>
    <w:rsid w:val="00EA3A4A"/>
    <w:rsid w:val="00EB6424"/>
    <w:rsid w:val="00EC4FFD"/>
    <w:rsid w:val="00EC58F5"/>
    <w:rsid w:val="00EC5EFC"/>
    <w:rsid w:val="00ED48FA"/>
    <w:rsid w:val="00ED57D1"/>
    <w:rsid w:val="00ED6DF6"/>
    <w:rsid w:val="00EE026B"/>
    <w:rsid w:val="00EE0CE8"/>
    <w:rsid w:val="00EE1B1A"/>
    <w:rsid w:val="00EE40C6"/>
    <w:rsid w:val="00EE54FA"/>
    <w:rsid w:val="00EE7366"/>
    <w:rsid w:val="00EE7BFB"/>
    <w:rsid w:val="00EF1E83"/>
    <w:rsid w:val="00EF33CD"/>
    <w:rsid w:val="00F0000D"/>
    <w:rsid w:val="00F04517"/>
    <w:rsid w:val="00F12924"/>
    <w:rsid w:val="00F20C9B"/>
    <w:rsid w:val="00F228D4"/>
    <w:rsid w:val="00F300CB"/>
    <w:rsid w:val="00F31310"/>
    <w:rsid w:val="00F42C3A"/>
    <w:rsid w:val="00F43765"/>
    <w:rsid w:val="00F45451"/>
    <w:rsid w:val="00F47845"/>
    <w:rsid w:val="00F51984"/>
    <w:rsid w:val="00F52BCC"/>
    <w:rsid w:val="00F5313F"/>
    <w:rsid w:val="00F7361B"/>
    <w:rsid w:val="00F81135"/>
    <w:rsid w:val="00F81A48"/>
    <w:rsid w:val="00F841A8"/>
    <w:rsid w:val="00F95D4E"/>
    <w:rsid w:val="00F96B35"/>
    <w:rsid w:val="00FA6DA5"/>
    <w:rsid w:val="00FB147C"/>
    <w:rsid w:val="00FB62BC"/>
    <w:rsid w:val="00FC0C69"/>
    <w:rsid w:val="00FC18B5"/>
    <w:rsid w:val="00FD17C9"/>
    <w:rsid w:val="00FD2A5B"/>
    <w:rsid w:val="00FD731A"/>
    <w:rsid w:val="00FE0B47"/>
    <w:rsid w:val="00FE3AEF"/>
    <w:rsid w:val="00FE6A5C"/>
    <w:rsid w:val="00FF3B86"/>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uiPriority w:val="1"/>
    <w:qFormat/>
    <w:rsid w:val="003B5907"/>
    <w:pPr>
      <w:tabs>
        <w:tab w:val="right" w:pos="9360"/>
      </w:tabs>
      <w:spacing w:after="0" w:line="240" w:lineRule="auto"/>
      <w:ind w:left="720"/>
    </w:pPr>
    <w:rPr>
      <w:rFonts w:asciiTheme="majorHAnsi" w:hAnsiTheme="majorHAnsi"/>
    </w:rPr>
  </w:style>
  <w:style w:type="character" w:styleId="Emphasis">
    <w:name w:val="Emphasis"/>
    <w:basedOn w:val="DefaultParagraphFont"/>
    <w:uiPriority w:val="20"/>
    <w:qFormat/>
    <w:rsid w:val="00931BDF"/>
    <w:rPr>
      <w:rFonts w:ascii="Lato" w:hAnsi="Lato" w:hint="default"/>
      <w:i/>
      <w:iCs/>
    </w:rPr>
  </w:style>
  <w:style w:type="character" w:customStyle="1" w:styleId="A3">
    <w:name w:val="A3"/>
    <w:uiPriority w:val="99"/>
    <w:rsid w:val="00931BDF"/>
    <w:rPr>
      <w:rFonts w:cs="Myriad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uiPriority w:val="1"/>
    <w:qFormat/>
    <w:rsid w:val="003B5907"/>
    <w:pPr>
      <w:tabs>
        <w:tab w:val="right" w:pos="9360"/>
      </w:tabs>
      <w:spacing w:after="0" w:line="240" w:lineRule="auto"/>
      <w:ind w:left="720"/>
    </w:pPr>
    <w:rPr>
      <w:rFonts w:asciiTheme="majorHAnsi" w:hAnsiTheme="majorHAnsi"/>
    </w:rPr>
  </w:style>
  <w:style w:type="character" w:styleId="Emphasis">
    <w:name w:val="Emphasis"/>
    <w:basedOn w:val="DefaultParagraphFont"/>
    <w:uiPriority w:val="20"/>
    <w:qFormat/>
    <w:rsid w:val="00931BDF"/>
    <w:rPr>
      <w:rFonts w:ascii="Lato" w:hAnsi="Lato" w:hint="default"/>
      <w:i/>
      <w:iCs/>
    </w:rPr>
  </w:style>
  <w:style w:type="character" w:customStyle="1" w:styleId="A3">
    <w:name w:val="A3"/>
    <w:uiPriority w:val="99"/>
    <w:rsid w:val="00931BDF"/>
    <w:rPr>
      <w:rFonts w:cs="Myria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cdc.gov/violenceprevention/fundedprograms/teendating.html" TargetMode="External"/><Relationship Id="rId2" Type="http://schemas.openxmlformats.org/officeDocument/2006/relationships/customXml" Target="../customXml/item2.xml"/><Relationship Id="rId16" Type="http://schemas.openxmlformats.org/officeDocument/2006/relationships/hyperlink" Target="http://www.cdc.gov/nphpsp/essentialservices.html.%20Accessed%20on%208/14/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lindav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wuw9@cdc.gov</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DVP</GenICPICenterDivisionBranch>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wuw9</GenICPICDCID>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TDVYV-EVAL-SSA</GenICNicknam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Linda Vo, MPH</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NCIPC</GenICPICIO>
    <GenICTitle xmlns="15b1c282-9287-45cb-9b41-eae3a76919a0">Qualitative Assessment of CDC LHD Violence Prevention Efforts</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Behavioral Scientist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 xsi:nil="tru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PPTB</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770-488-0046</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https://esp.cdc.gov/sites/ostlts/pip/osc/_layouts/15/DocIdRedir.aspx?ID=OSTLTSDOC-726-220</Url>
      <Description>OSTLTSDOC-726-220</Description>
    </_dlc_DocIdUrl>
    <_dlc_DocId xmlns="b5c0ca00-073d-4463-9985-b654f14791fe">OSTLTSDOC-726-220</_dlc_Doc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2.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3.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4.xml><?xml version="1.0" encoding="utf-8"?>
<ds:datastoreItem xmlns:ds="http://schemas.openxmlformats.org/officeDocument/2006/customXml" ds:itemID="{C4B90DFD-DCEF-42C2-90D5-36012A582AEB}">
  <ds:schemaRefs>
    <ds:schemaRef ds:uri="http://schemas.microsoft.com/office/infopath/2007/PartnerControls"/>
    <ds:schemaRef ds:uri="http://schemas.microsoft.com/office/2006/metadata/properties"/>
    <ds:schemaRef ds:uri="http://purl.org/dc/terms/"/>
    <ds:schemaRef ds:uri="15b1c282-9287-45cb-9b41-eae3a76919a0"/>
    <ds:schemaRef ds:uri="http://schemas.microsoft.com/office/2006/documentManagement/types"/>
    <ds:schemaRef ds:uri="ce849d94-b00b-4457-8fdf-7e9e81e05b5e"/>
    <ds:schemaRef ds:uri="http://schemas.openxmlformats.org/package/2006/metadata/core-properties"/>
    <ds:schemaRef ds:uri="b5c0ca00-073d-4463-9985-b654f14791fe"/>
    <ds:schemaRef ds:uri="http://purl.org/dc/elements/1.1/"/>
    <ds:schemaRef ds:uri="bd99c180-279b-44c3-9486-dd050336677e"/>
    <ds:schemaRef ds:uri="http://www.w3.org/XML/1998/namespace"/>
    <ds:schemaRef ds:uri="http://purl.org/dc/dcmitype/"/>
  </ds:schemaRefs>
</ds:datastoreItem>
</file>

<file path=customXml/itemProps5.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D8D4E3-FF7D-42AD-858C-7FC0333E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2018-07-10T16:56:00Z</dcterms:created>
  <dcterms:modified xsi:type="dcterms:W3CDTF">2018-07-10T16:56:00Z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3ac44305-eb31-428a-8e74-a04be9c76098</vt:lpwstr>
  </property>
</Properties>
</file>