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26F2D" w14:textId="01AB0CAF" w:rsidR="00716F94" w:rsidRDefault="00716F94" w:rsidP="00BC6896">
      <w:bookmarkStart w:id="0" w:name="_GoBack"/>
      <w:bookmarkEnd w:id="0"/>
    </w:p>
    <w:p w14:paraId="1A12471B" w14:textId="36E14A27" w:rsidR="00917632" w:rsidRDefault="00917632" w:rsidP="00BC6896"/>
    <w:p w14:paraId="7BE684B8" w14:textId="78F0B853" w:rsidR="00917632" w:rsidRDefault="00917632" w:rsidP="00BC6896"/>
    <w:p w14:paraId="45DC444F" w14:textId="77777777" w:rsidR="00917632" w:rsidRDefault="00917632" w:rsidP="00BC6896"/>
    <w:p w14:paraId="36DFF647" w14:textId="77777777" w:rsidR="009B4A51" w:rsidRDefault="009B4A51" w:rsidP="00BC6896"/>
    <w:p w14:paraId="48F7CF0B" w14:textId="77777777" w:rsidR="009B4A51" w:rsidRDefault="009B4A51" w:rsidP="00BC6896"/>
    <w:p w14:paraId="65CEBD40" w14:textId="77777777" w:rsidR="009B4A51" w:rsidRDefault="009B4A51" w:rsidP="00BC6896"/>
    <w:p w14:paraId="543BD02B" w14:textId="610487A5" w:rsidR="00F941CB" w:rsidRDefault="007310B6" w:rsidP="00133BD2">
      <w:pPr>
        <w:ind w:left="0"/>
        <w:jc w:val="center"/>
      </w:pPr>
      <w:r>
        <w:rPr>
          <w:b/>
          <w:sz w:val="40"/>
        </w:rPr>
        <w:t xml:space="preserve">Environmental Health Workforce </w:t>
      </w:r>
      <w:r w:rsidR="00EA2CC2">
        <w:rPr>
          <w:b/>
          <w:sz w:val="40"/>
        </w:rPr>
        <w:t xml:space="preserve">Current and Emerging Challenges </w:t>
      </w:r>
      <w:r>
        <w:rPr>
          <w:b/>
          <w:sz w:val="40"/>
        </w:rPr>
        <w:t>Assessment</w:t>
      </w:r>
    </w:p>
    <w:p w14:paraId="571D59B3" w14:textId="4C5AD8CB" w:rsidR="00716F94" w:rsidRPr="00AA3192" w:rsidRDefault="00484011" w:rsidP="00BC6896">
      <w:pPr>
        <w:ind w:left="0"/>
        <w:jc w:val="center"/>
      </w:pPr>
      <w:r w:rsidRPr="00AA3192">
        <w:t xml:space="preserve">OSTLTS Generic </w:t>
      </w:r>
      <w:r w:rsidR="00487E55">
        <w:t>Data collection</w:t>
      </w:r>
      <w:r w:rsidRPr="00AA3192">
        <w:t xml:space="preserve"> Request</w:t>
      </w:r>
    </w:p>
    <w:p w14:paraId="1C07011F" w14:textId="77777777" w:rsidR="00484011" w:rsidRPr="00AA3192" w:rsidRDefault="00484011" w:rsidP="00BC6896">
      <w:pPr>
        <w:pStyle w:val="Header"/>
        <w:ind w:left="0"/>
        <w:jc w:val="center"/>
      </w:pPr>
      <w:r w:rsidRPr="00AA3192">
        <w:t>OMB No. 0920-0879</w:t>
      </w:r>
    </w:p>
    <w:p w14:paraId="53C2B49D" w14:textId="77777777" w:rsidR="009B4A51" w:rsidRDefault="009B4A51" w:rsidP="00BC6896"/>
    <w:p w14:paraId="6F97C745" w14:textId="77777777" w:rsidR="00AA3192" w:rsidRDefault="00AA3192" w:rsidP="00BC6896"/>
    <w:p w14:paraId="2CC492E9" w14:textId="77777777" w:rsidR="009B4A51" w:rsidRPr="00BC6896" w:rsidRDefault="009B4A51" w:rsidP="00BC6896">
      <w:pPr>
        <w:pStyle w:val="Heading2"/>
      </w:pPr>
      <w:r w:rsidRPr="00BC6896">
        <w:t xml:space="preserve">Supporting Statement – Section </w:t>
      </w:r>
      <w:r w:rsidR="00601392" w:rsidRPr="00BC6896">
        <w:t>B</w:t>
      </w:r>
    </w:p>
    <w:p w14:paraId="0C44BD67" w14:textId="77777777" w:rsidR="009B4A51" w:rsidRDefault="009B4A51" w:rsidP="00BC6896"/>
    <w:p w14:paraId="4422DA35" w14:textId="2E5B5044" w:rsidR="009B4A51" w:rsidRPr="00BC6896" w:rsidRDefault="009B4A51" w:rsidP="00BC6896">
      <w:pPr>
        <w:ind w:left="0"/>
        <w:jc w:val="center"/>
      </w:pPr>
      <w:r w:rsidRPr="00AA3192">
        <w:t xml:space="preserve">Submitted: </w:t>
      </w:r>
      <w:r w:rsidR="00456462" w:rsidRPr="00456462">
        <w:t>May 10, 2018</w:t>
      </w:r>
    </w:p>
    <w:p w14:paraId="0819E92A" w14:textId="77777777" w:rsidR="009B4A51" w:rsidRDefault="009B4A51" w:rsidP="00BC6896"/>
    <w:p w14:paraId="6512B5CA" w14:textId="118D8D7E" w:rsidR="009B4A51" w:rsidRDefault="009B4A51" w:rsidP="00BC6896"/>
    <w:p w14:paraId="7E79DF1B" w14:textId="71C11755" w:rsidR="00917632" w:rsidRDefault="00917632" w:rsidP="00BC6896"/>
    <w:p w14:paraId="17A91337" w14:textId="4C8AA2B1" w:rsidR="00917632" w:rsidRDefault="00917632" w:rsidP="00BC6896"/>
    <w:p w14:paraId="7D904F7E" w14:textId="755E68AB" w:rsidR="00917632" w:rsidRDefault="00917632" w:rsidP="00BC6896"/>
    <w:p w14:paraId="41E24C27" w14:textId="4C6C1064" w:rsidR="00917632" w:rsidRDefault="00917632" w:rsidP="00BC6896"/>
    <w:p w14:paraId="68BDB12E" w14:textId="58261740" w:rsidR="00917632" w:rsidRDefault="00917632" w:rsidP="00BC6896"/>
    <w:p w14:paraId="4856CE90" w14:textId="7ACFB352" w:rsidR="00917632" w:rsidRDefault="00917632" w:rsidP="00BC6896"/>
    <w:p w14:paraId="0D1F38A5" w14:textId="77777777" w:rsidR="00917632" w:rsidRDefault="00917632" w:rsidP="00BC6896"/>
    <w:p w14:paraId="19D4F5CE" w14:textId="77777777" w:rsidR="009B4A51" w:rsidRDefault="009B4A51" w:rsidP="00BC6896"/>
    <w:p w14:paraId="19E69723" w14:textId="77777777" w:rsidR="00A81BF7" w:rsidRPr="00BC6896" w:rsidRDefault="00A81BF7" w:rsidP="00A81BF7">
      <w:pPr>
        <w:ind w:left="0"/>
        <w:rPr>
          <w:b/>
          <w:u w:val="single"/>
        </w:rPr>
      </w:pPr>
      <w:r w:rsidRPr="00BC6896">
        <w:rPr>
          <w:b/>
          <w:u w:val="single"/>
        </w:rPr>
        <w:t>Program Official/Project Officer</w:t>
      </w:r>
    </w:p>
    <w:p w14:paraId="79821C9B" w14:textId="77777777" w:rsidR="00F941CB" w:rsidRPr="00F941CB" w:rsidRDefault="00F941CB" w:rsidP="00F941CB">
      <w:pPr>
        <w:tabs>
          <w:tab w:val="right" w:pos="9360"/>
        </w:tabs>
        <w:ind w:left="0"/>
      </w:pPr>
      <w:r w:rsidRPr="00F941CB">
        <w:t>Name: Justin Gerding</w:t>
      </w:r>
    </w:p>
    <w:p w14:paraId="0F9060BF" w14:textId="77777777" w:rsidR="00F941CB" w:rsidRPr="00F941CB" w:rsidRDefault="00F941CB" w:rsidP="00F941CB">
      <w:pPr>
        <w:tabs>
          <w:tab w:val="right" w:pos="9360"/>
        </w:tabs>
        <w:ind w:left="0"/>
      </w:pPr>
      <w:r w:rsidRPr="00F941CB">
        <w:t>Title: Acting Practice Support Section Lead</w:t>
      </w:r>
    </w:p>
    <w:p w14:paraId="30DC2B5F" w14:textId="77777777" w:rsidR="00F941CB" w:rsidRPr="00F941CB" w:rsidRDefault="00F941CB" w:rsidP="00F941CB">
      <w:pPr>
        <w:tabs>
          <w:tab w:val="right" w:pos="9360"/>
        </w:tabs>
        <w:ind w:left="0"/>
      </w:pPr>
      <w:r w:rsidRPr="00F941CB">
        <w:t>Organization: CDC NCEH Water, Food, and Environmental Health Services Branch</w:t>
      </w:r>
    </w:p>
    <w:p w14:paraId="0978A6E5" w14:textId="77777777" w:rsidR="00F941CB" w:rsidRPr="00F941CB" w:rsidRDefault="00F941CB" w:rsidP="00F941CB">
      <w:pPr>
        <w:tabs>
          <w:tab w:val="right" w:pos="9360"/>
        </w:tabs>
        <w:ind w:left="0"/>
      </w:pPr>
      <w:r w:rsidRPr="00F941CB">
        <w:t>Address: 4770 Buford Highway Chamblee, GA 30341</w:t>
      </w:r>
    </w:p>
    <w:p w14:paraId="74A74853" w14:textId="77777777" w:rsidR="00F941CB" w:rsidRPr="00F941CB" w:rsidRDefault="00F941CB" w:rsidP="00F941CB">
      <w:pPr>
        <w:tabs>
          <w:tab w:val="right" w:pos="9360"/>
        </w:tabs>
        <w:ind w:left="0"/>
      </w:pPr>
      <w:r w:rsidRPr="00F941CB">
        <w:t>Phone number: 770-488-3972</w:t>
      </w:r>
    </w:p>
    <w:p w14:paraId="508E8DA4" w14:textId="77777777" w:rsidR="00F941CB" w:rsidRPr="00F941CB" w:rsidRDefault="00F941CB" w:rsidP="00F941CB">
      <w:pPr>
        <w:tabs>
          <w:tab w:val="right" w:pos="9360"/>
        </w:tabs>
        <w:ind w:left="0"/>
      </w:pPr>
      <w:r w:rsidRPr="00F941CB">
        <w:t>Fax Number: 770-488-7310</w:t>
      </w:r>
    </w:p>
    <w:p w14:paraId="07DC9F3A" w14:textId="77777777" w:rsidR="00F941CB" w:rsidRPr="00F941CB" w:rsidRDefault="00F941CB" w:rsidP="00F941CB">
      <w:pPr>
        <w:tabs>
          <w:tab w:val="right" w:pos="9360"/>
        </w:tabs>
        <w:ind w:left="0"/>
      </w:pPr>
      <w:r w:rsidRPr="00F941CB">
        <w:t>Email: Jgerding@cdc.gov</w:t>
      </w:r>
    </w:p>
    <w:p w14:paraId="73F11B50" w14:textId="77777777" w:rsidR="00691031" w:rsidRDefault="00691031" w:rsidP="00BC6896">
      <w:pPr>
        <w:ind w:left="0"/>
        <w:rPr>
          <w:color w:val="0070C0"/>
        </w:rPr>
      </w:pPr>
    </w:p>
    <w:p w14:paraId="03B1CF31" w14:textId="4C41F0A4" w:rsidR="00691031" w:rsidRDefault="00691031" w:rsidP="00BC6896">
      <w:pPr>
        <w:ind w:left="0"/>
        <w:rPr>
          <w:color w:val="0070C0"/>
        </w:rPr>
      </w:pPr>
    </w:p>
    <w:p w14:paraId="18B9B399" w14:textId="43426F4A" w:rsidR="006F6CA2" w:rsidRDefault="006F6CA2" w:rsidP="00BC6896">
      <w:pPr>
        <w:ind w:left="0"/>
        <w:rPr>
          <w:color w:val="0070C0"/>
        </w:rPr>
      </w:pPr>
    </w:p>
    <w:p w14:paraId="66B43795" w14:textId="0FE38B0C" w:rsidR="006F6CA2" w:rsidRDefault="006F6CA2" w:rsidP="00BC6896">
      <w:pPr>
        <w:ind w:left="0"/>
        <w:rPr>
          <w:color w:val="0070C0"/>
        </w:rPr>
      </w:pPr>
    </w:p>
    <w:p w14:paraId="2759FF49" w14:textId="653D5DC3" w:rsidR="006F6CA2" w:rsidRDefault="006F6CA2" w:rsidP="00BC6896">
      <w:pPr>
        <w:ind w:left="0"/>
        <w:rPr>
          <w:color w:val="0070C0"/>
        </w:rPr>
      </w:pPr>
    </w:p>
    <w:p w14:paraId="7E42DC6D" w14:textId="279945BF" w:rsidR="006F6CA2" w:rsidRDefault="006F6CA2" w:rsidP="00BC6896">
      <w:pPr>
        <w:ind w:left="0"/>
        <w:rPr>
          <w:color w:val="0070C0"/>
        </w:rPr>
      </w:pPr>
    </w:p>
    <w:p w14:paraId="3E15873B" w14:textId="77777777" w:rsidR="006F6CA2" w:rsidRDefault="006F6CA2" w:rsidP="00BC6896">
      <w:pPr>
        <w:ind w:left="0"/>
        <w:rPr>
          <w:color w:val="0070C0"/>
        </w:rPr>
      </w:pPr>
    </w:p>
    <w:p w14:paraId="4144DE03" w14:textId="77A0652A" w:rsidR="00EC45F0" w:rsidRPr="0042604A" w:rsidRDefault="00EC45F0" w:rsidP="00BC6896">
      <w:pPr>
        <w:ind w:left="0"/>
        <w:rPr>
          <w:color w:val="0070C0"/>
        </w:rPr>
      </w:pPr>
    </w:p>
    <w:p w14:paraId="0A05E00D" w14:textId="77777777" w:rsidR="00245F1F" w:rsidRPr="000A538D" w:rsidRDefault="00245F1F" w:rsidP="00BC6896">
      <w:pPr>
        <w:pStyle w:val="Heading3"/>
      </w:pPr>
      <w:bookmarkStart w:id="1" w:name="_Toc413847909"/>
      <w:r>
        <w:t>Table of Contents</w:t>
      </w:r>
      <w:bookmarkEnd w:id="1"/>
    </w:p>
    <w:p w14:paraId="1E7106BA" w14:textId="77777777" w:rsidR="00245F1F" w:rsidRPr="000A538D" w:rsidRDefault="00245F1F" w:rsidP="006F23AF">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14:paraId="711BC34B" w14:textId="78C0B229" w:rsidR="00245F1F" w:rsidRPr="000A538D" w:rsidRDefault="0061425F">
      <w:pPr>
        <w:pStyle w:val="TOC1"/>
        <w:tabs>
          <w:tab w:val="right" w:leader="dot" w:pos="9350"/>
        </w:tabs>
        <w:rPr>
          <w:rFonts w:asciiTheme="minorHAnsi" w:hAnsiTheme="minorHAnsi"/>
          <w:noProof/>
        </w:rPr>
      </w:pPr>
      <w:hyperlink w:anchor="_Toc413847910" w:history="1">
        <w:r w:rsidR="00245F1F" w:rsidRPr="000A538D">
          <w:rPr>
            <w:rStyle w:val="Hyperlink"/>
            <w:noProof/>
            <w:color w:val="auto"/>
          </w:rPr>
          <w:t xml:space="preserve">Section B – </w:t>
        </w:r>
        <w:r w:rsidR="00487E55" w:rsidRPr="000A538D">
          <w:rPr>
            <w:rStyle w:val="Hyperlink"/>
            <w:noProof/>
            <w:color w:val="auto"/>
          </w:rPr>
          <w:t>Data collection</w:t>
        </w:r>
        <w:r w:rsidR="00245F1F" w:rsidRPr="000A538D">
          <w:rPr>
            <w:rStyle w:val="Hyperlink"/>
            <w:noProof/>
            <w:color w:val="auto"/>
          </w:rPr>
          <w:t xml:space="preserve"> Procedures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_Toc413847910 \h </w:instrText>
        </w:r>
        <w:r w:rsidR="00245F1F" w:rsidRPr="000A538D">
          <w:rPr>
            <w:noProof/>
            <w:webHidden/>
          </w:rPr>
        </w:r>
        <w:r w:rsidR="00245F1F" w:rsidRPr="000A538D">
          <w:rPr>
            <w:noProof/>
            <w:webHidden/>
          </w:rPr>
          <w:fldChar w:fldCharType="separate"/>
        </w:r>
        <w:r w:rsidR="00456462">
          <w:rPr>
            <w:noProof/>
            <w:webHidden/>
          </w:rPr>
          <w:t>3</w:t>
        </w:r>
        <w:r w:rsidR="00245F1F" w:rsidRPr="000A538D">
          <w:rPr>
            <w:noProof/>
            <w:webHidden/>
          </w:rPr>
          <w:fldChar w:fldCharType="end"/>
        </w:r>
      </w:hyperlink>
    </w:p>
    <w:p w14:paraId="511FF727" w14:textId="2777C3D9" w:rsidR="00245F1F" w:rsidRPr="000A538D" w:rsidRDefault="0061425F" w:rsidP="00245F1F">
      <w:pPr>
        <w:pStyle w:val="TOC2"/>
        <w:rPr>
          <w:noProof/>
        </w:rPr>
      </w:pPr>
      <w:hyperlink w:anchor="_Toc413847911" w:history="1">
        <w:r w:rsidR="00245F1F" w:rsidRPr="000A538D">
          <w:rPr>
            <w:rStyle w:val="Hyperlink"/>
            <w:noProof/>
            <w:color w:val="auto"/>
          </w:rPr>
          <w:t>1.</w:t>
        </w:r>
        <w:r w:rsidR="00245F1F" w:rsidRPr="000A538D">
          <w:rPr>
            <w:noProof/>
          </w:rPr>
          <w:tab/>
        </w:r>
        <w:r w:rsidR="00245F1F" w:rsidRPr="000A538D">
          <w:rPr>
            <w:rStyle w:val="Hyperlink"/>
            <w:noProof/>
            <w:color w:val="auto"/>
          </w:rPr>
          <w:t>Respondent Universe and Sampling Methods</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_Toc413847911 \h </w:instrText>
        </w:r>
        <w:r w:rsidR="00245F1F" w:rsidRPr="000A538D">
          <w:rPr>
            <w:noProof/>
            <w:webHidden/>
          </w:rPr>
        </w:r>
        <w:r w:rsidR="00245F1F" w:rsidRPr="000A538D">
          <w:rPr>
            <w:noProof/>
            <w:webHidden/>
          </w:rPr>
          <w:fldChar w:fldCharType="separate"/>
        </w:r>
        <w:r w:rsidR="00456462">
          <w:rPr>
            <w:noProof/>
            <w:webHidden/>
          </w:rPr>
          <w:t>3</w:t>
        </w:r>
        <w:r w:rsidR="00245F1F" w:rsidRPr="000A538D">
          <w:rPr>
            <w:noProof/>
            <w:webHidden/>
          </w:rPr>
          <w:fldChar w:fldCharType="end"/>
        </w:r>
      </w:hyperlink>
    </w:p>
    <w:p w14:paraId="52596404" w14:textId="67B4A5F3" w:rsidR="00245F1F" w:rsidRPr="000A538D" w:rsidRDefault="0061425F" w:rsidP="00245F1F">
      <w:pPr>
        <w:pStyle w:val="TOC2"/>
        <w:rPr>
          <w:noProof/>
        </w:rPr>
      </w:pPr>
      <w:hyperlink w:anchor="_Toc413847912" w:history="1">
        <w:r w:rsidR="00245F1F" w:rsidRPr="000A538D">
          <w:rPr>
            <w:rStyle w:val="Hyperlink"/>
            <w:noProof/>
            <w:color w:val="auto"/>
          </w:rPr>
          <w:t>2.</w:t>
        </w:r>
        <w:r w:rsidR="00245F1F" w:rsidRPr="000A538D">
          <w:rPr>
            <w:noProof/>
          </w:rPr>
          <w:tab/>
        </w:r>
        <w:r w:rsidR="00245F1F" w:rsidRPr="000A538D">
          <w:rPr>
            <w:rStyle w:val="Hyperlink"/>
            <w:noProof/>
            <w:color w:val="auto"/>
          </w:rPr>
          <w:t>Procedures for the Collection of Information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_Toc413847912 \h </w:instrText>
        </w:r>
        <w:r w:rsidR="00245F1F" w:rsidRPr="000A538D">
          <w:rPr>
            <w:noProof/>
            <w:webHidden/>
          </w:rPr>
        </w:r>
        <w:r w:rsidR="00245F1F" w:rsidRPr="000A538D">
          <w:rPr>
            <w:noProof/>
            <w:webHidden/>
          </w:rPr>
          <w:fldChar w:fldCharType="separate"/>
        </w:r>
        <w:r w:rsidR="00456462">
          <w:rPr>
            <w:noProof/>
            <w:webHidden/>
          </w:rPr>
          <w:t>3</w:t>
        </w:r>
        <w:r w:rsidR="00245F1F" w:rsidRPr="000A538D">
          <w:rPr>
            <w:noProof/>
            <w:webHidden/>
          </w:rPr>
          <w:fldChar w:fldCharType="end"/>
        </w:r>
      </w:hyperlink>
    </w:p>
    <w:p w14:paraId="4A5EC6EB" w14:textId="528CEF8B" w:rsidR="00245F1F" w:rsidRPr="000A538D" w:rsidRDefault="0061425F" w:rsidP="00245F1F">
      <w:pPr>
        <w:pStyle w:val="TOC2"/>
        <w:rPr>
          <w:noProof/>
        </w:rPr>
      </w:pPr>
      <w:hyperlink w:anchor="_Toc413847913" w:history="1">
        <w:r w:rsidR="00245F1F" w:rsidRPr="000A538D">
          <w:rPr>
            <w:rStyle w:val="Hyperlink"/>
            <w:noProof/>
            <w:color w:val="auto"/>
          </w:rPr>
          <w:t>3.</w:t>
        </w:r>
        <w:r w:rsidR="00245F1F" w:rsidRPr="000A538D">
          <w:rPr>
            <w:noProof/>
          </w:rPr>
          <w:tab/>
        </w:r>
        <w:r w:rsidR="00245F1F" w:rsidRPr="000A538D">
          <w:rPr>
            <w:rStyle w:val="Hyperlink"/>
            <w:noProof/>
            <w:color w:val="auto"/>
          </w:rPr>
          <w:t>Methods to Maximize Response Rates  Deal with Nonresponse</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_Toc413847913 \h </w:instrText>
        </w:r>
        <w:r w:rsidR="00245F1F" w:rsidRPr="000A538D">
          <w:rPr>
            <w:noProof/>
            <w:webHidden/>
          </w:rPr>
        </w:r>
        <w:r w:rsidR="00245F1F" w:rsidRPr="000A538D">
          <w:rPr>
            <w:noProof/>
            <w:webHidden/>
          </w:rPr>
          <w:fldChar w:fldCharType="separate"/>
        </w:r>
        <w:r w:rsidR="00456462">
          <w:rPr>
            <w:noProof/>
            <w:webHidden/>
          </w:rPr>
          <w:t>4</w:t>
        </w:r>
        <w:r w:rsidR="00245F1F" w:rsidRPr="000A538D">
          <w:rPr>
            <w:noProof/>
            <w:webHidden/>
          </w:rPr>
          <w:fldChar w:fldCharType="end"/>
        </w:r>
      </w:hyperlink>
    </w:p>
    <w:p w14:paraId="3101FA91" w14:textId="2CD15AE6" w:rsidR="00245F1F" w:rsidRPr="000A538D" w:rsidRDefault="0061425F" w:rsidP="00245F1F">
      <w:pPr>
        <w:pStyle w:val="TOC2"/>
        <w:rPr>
          <w:noProof/>
        </w:rPr>
      </w:pPr>
      <w:hyperlink w:anchor="_Toc413847914" w:history="1">
        <w:r w:rsidR="00245F1F" w:rsidRPr="000A538D">
          <w:rPr>
            <w:rStyle w:val="Hyperlink"/>
            <w:noProof/>
            <w:color w:val="auto"/>
          </w:rPr>
          <w:t>4.</w:t>
        </w:r>
        <w:r w:rsidR="00245F1F" w:rsidRPr="000A538D">
          <w:rPr>
            <w:noProof/>
          </w:rPr>
          <w:tab/>
        </w:r>
        <w:r w:rsidR="00245F1F" w:rsidRPr="000A538D">
          <w:rPr>
            <w:rStyle w:val="Hyperlink"/>
            <w:noProof/>
            <w:color w:val="auto"/>
          </w:rPr>
          <w:t>Test of Procedures or Methods to be Undertaken</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_Toc413847914 \h </w:instrText>
        </w:r>
        <w:r w:rsidR="00245F1F" w:rsidRPr="000A538D">
          <w:rPr>
            <w:noProof/>
            <w:webHidden/>
          </w:rPr>
        </w:r>
        <w:r w:rsidR="00245F1F" w:rsidRPr="000A538D">
          <w:rPr>
            <w:noProof/>
            <w:webHidden/>
          </w:rPr>
          <w:fldChar w:fldCharType="separate"/>
        </w:r>
        <w:r w:rsidR="00456462">
          <w:rPr>
            <w:noProof/>
            <w:webHidden/>
          </w:rPr>
          <w:t>4</w:t>
        </w:r>
        <w:r w:rsidR="00245F1F" w:rsidRPr="000A538D">
          <w:rPr>
            <w:noProof/>
            <w:webHidden/>
          </w:rPr>
          <w:fldChar w:fldCharType="end"/>
        </w:r>
      </w:hyperlink>
    </w:p>
    <w:p w14:paraId="33F6544F" w14:textId="3C307CB1" w:rsidR="00245F1F" w:rsidRPr="000A538D" w:rsidRDefault="0061425F" w:rsidP="00245F1F">
      <w:pPr>
        <w:pStyle w:val="TOC2"/>
        <w:rPr>
          <w:noProof/>
        </w:rPr>
      </w:pPr>
      <w:hyperlink w:anchor="_Toc413847915" w:history="1">
        <w:r w:rsidR="00245F1F" w:rsidRPr="000A538D">
          <w:rPr>
            <w:rStyle w:val="Hyperlink"/>
            <w:noProof/>
            <w:color w:val="auto"/>
          </w:rPr>
          <w:t>5.</w:t>
        </w:r>
        <w:r w:rsidR="00245F1F" w:rsidRPr="000A538D">
          <w:rPr>
            <w:noProof/>
          </w:rPr>
          <w:tab/>
        </w:r>
        <w:r w:rsidR="00245F1F" w:rsidRPr="000A538D">
          <w:rPr>
            <w:rStyle w:val="Hyperlink"/>
            <w:noProof/>
            <w:color w:val="auto"/>
          </w:rPr>
          <w:t>Individuals Consulted on Statistical Aspects and Individuals Collecting and/or Analyzing Data</w:t>
        </w:r>
        <w:r w:rsidR="00245F1F" w:rsidRPr="000A538D">
          <w:rPr>
            <w:rStyle w:val="Hyperlink"/>
            <w:noProof/>
            <w:color w:val="auto"/>
          </w:rPr>
          <w:tab/>
        </w:r>
        <w:r w:rsidR="00245F1F" w:rsidRPr="000A538D">
          <w:rPr>
            <w:noProof/>
            <w:webHidden/>
          </w:rPr>
          <w:fldChar w:fldCharType="begin"/>
        </w:r>
        <w:r w:rsidR="00245F1F" w:rsidRPr="000A538D">
          <w:rPr>
            <w:noProof/>
            <w:webHidden/>
          </w:rPr>
          <w:instrText xml:space="preserve"> PAGEREF _Toc413847915 \h </w:instrText>
        </w:r>
        <w:r w:rsidR="00245F1F" w:rsidRPr="000A538D">
          <w:rPr>
            <w:noProof/>
            <w:webHidden/>
          </w:rPr>
        </w:r>
        <w:r w:rsidR="00245F1F" w:rsidRPr="000A538D">
          <w:rPr>
            <w:noProof/>
            <w:webHidden/>
          </w:rPr>
          <w:fldChar w:fldCharType="separate"/>
        </w:r>
        <w:r w:rsidR="00456462">
          <w:rPr>
            <w:noProof/>
            <w:webHidden/>
          </w:rPr>
          <w:t>5</w:t>
        </w:r>
        <w:r w:rsidR="00245F1F" w:rsidRPr="000A538D">
          <w:rPr>
            <w:noProof/>
            <w:webHidden/>
          </w:rPr>
          <w:fldChar w:fldCharType="end"/>
        </w:r>
      </w:hyperlink>
    </w:p>
    <w:p w14:paraId="0C0D270E" w14:textId="68A0422E" w:rsidR="00245F1F" w:rsidRPr="000A538D" w:rsidRDefault="0061425F">
      <w:pPr>
        <w:pStyle w:val="TOC1"/>
        <w:tabs>
          <w:tab w:val="right" w:leader="dot" w:pos="9350"/>
        </w:tabs>
        <w:rPr>
          <w:rFonts w:asciiTheme="minorHAnsi" w:hAnsiTheme="minorHAnsi"/>
          <w:noProof/>
        </w:rPr>
      </w:pPr>
      <w:hyperlink w:anchor="_Toc413847916" w:history="1">
        <w:r w:rsidR="00245F1F" w:rsidRPr="000A538D">
          <w:rPr>
            <w:rStyle w:val="Hyperlink"/>
            <w:noProof/>
            <w:color w:val="auto"/>
          </w:rPr>
          <w:t>LIST OF ATTACHMENTS – Section B</w:t>
        </w:r>
        <w:r w:rsidR="00245F1F" w:rsidRPr="000A538D">
          <w:rPr>
            <w:noProof/>
            <w:webHidden/>
          </w:rPr>
          <w:tab/>
        </w:r>
        <w:r w:rsidR="00245F1F" w:rsidRPr="000A538D">
          <w:rPr>
            <w:noProof/>
            <w:webHidden/>
          </w:rPr>
          <w:fldChar w:fldCharType="begin"/>
        </w:r>
        <w:r w:rsidR="00245F1F" w:rsidRPr="000A538D">
          <w:rPr>
            <w:noProof/>
            <w:webHidden/>
          </w:rPr>
          <w:instrText xml:space="preserve"> PAGEREF _Toc413847916 \h </w:instrText>
        </w:r>
        <w:r w:rsidR="00245F1F" w:rsidRPr="000A538D">
          <w:rPr>
            <w:noProof/>
            <w:webHidden/>
          </w:rPr>
        </w:r>
        <w:r w:rsidR="00245F1F" w:rsidRPr="000A538D">
          <w:rPr>
            <w:noProof/>
            <w:webHidden/>
          </w:rPr>
          <w:fldChar w:fldCharType="separate"/>
        </w:r>
        <w:r w:rsidR="00456462">
          <w:rPr>
            <w:noProof/>
            <w:webHidden/>
          </w:rPr>
          <w:t>5</w:t>
        </w:r>
        <w:r w:rsidR="00245F1F" w:rsidRPr="000A538D">
          <w:rPr>
            <w:noProof/>
            <w:webHidden/>
          </w:rPr>
          <w:fldChar w:fldCharType="end"/>
        </w:r>
      </w:hyperlink>
    </w:p>
    <w:p w14:paraId="6F9FFB15" w14:textId="77777777" w:rsidR="00245F1F" w:rsidRDefault="00245F1F" w:rsidP="00BC6896">
      <w:pPr>
        <w:pStyle w:val="Heading3"/>
      </w:pPr>
      <w:r w:rsidRPr="000A538D">
        <w:fldChar w:fldCharType="end"/>
      </w:r>
    </w:p>
    <w:p w14:paraId="67703AE7" w14:textId="77777777" w:rsidR="00245F1F" w:rsidRDefault="00245F1F">
      <w:pPr>
        <w:spacing w:after="200"/>
        <w:ind w:left="0"/>
        <w:rPr>
          <w:b/>
          <w:sz w:val="28"/>
        </w:rPr>
      </w:pPr>
      <w:bookmarkStart w:id="2" w:name="_Toc413847910"/>
      <w:r>
        <w:br w:type="page"/>
      </w:r>
    </w:p>
    <w:p w14:paraId="5790ADDF" w14:textId="77777777" w:rsidR="00B12F51" w:rsidRPr="00BC6896" w:rsidRDefault="00B12F51" w:rsidP="00BC6896">
      <w:pPr>
        <w:pStyle w:val="Heading3"/>
      </w:pPr>
      <w:r w:rsidRPr="00BC6896">
        <w:lastRenderedPageBreak/>
        <w:t xml:space="preserve">Section B – </w:t>
      </w:r>
      <w:r w:rsidR="00487E55">
        <w:t>Data collection</w:t>
      </w:r>
      <w:r w:rsidR="00287E2F" w:rsidRPr="00BC6896">
        <w:t xml:space="preserve"> Procedures</w:t>
      </w:r>
      <w:bookmarkEnd w:id="2"/>
    </w:p>
    <w:p w14:paraId="646B2AD0" w14:textId="77777777" w:rsidR="00287E2F" w:rsidRDefault="00287E2F" w:rsidP="002955E6">
      <w:pPr>
        <w:spacing w:line="240" w:lineRule="auto"/>
      </w:pPr>
    </w:p>
    <w:p w14:paraId="7E564F7E" w14:textId="77777777" w:rsidR="00A75D1C" w:rsidRPr="00BC6896" w:rsidRDefault="009759F3" w:rsidP="002955E6">
      <w:pPr>
        <w:pStyle w:val="Heading4"/>
        <w:spacing w:after="0" w:line="240" w:lineRule="auto"/>
      </w:pPr>
      <w:bookmarkStart w:id="3" w:name="_Toc413847911"/>
      <w:r w:rsidRPr="00BC6896">
        <w:t xml:space="preserve">Respondent </w:t>
      </w:r>
      <w:r w:rsidR="00DE2D45">
        <w:t>Uni</w:t>
      </w:r>
      <w:r w:rsidR="001960AE" w:rsidRPr="00BC6896">
        <w:t xml:space="preserve">verse and </w:t>
      </w:r>
      <w:r w:rsidR="001960AE" w:rsidRPr="00991BF9">
        <w:t>Sampling</w:t>
      </w:r>
      <w:r w:rsidR="001960AE" w:rsidRPr="00BC6896">
        <w:t xml:space="preserve"> Methods </w:t>
      </w:r>
      <w:bookmarkEnd w:id="3"/>
    </w:p>
    <w:p w14:paraId="50347E1F" w14:textId="77777777" w:rsidR="002955E6" w:rsidRDefault="002955E6" w:rsidP="002955E6">
      <w:pPr>
        <w:spacing w:line="240" w:lineRule="auto"/>
        <w:ind w:left="360"/>
        <w:rPr>
          <w:b/>
          <w:color w:val="0070C0"/>
        </w:rPr>
      </w:pPr>
    </w:p>
    <w:p w14:paraId="5BCB8356" w14:textId="4B691026" w:rsidR="006B4C05" w:rsidRDefault="006B4C05" w:rsidP="00C83258">
      <w:pPr>
        <w:tabs>
          <w:tab w:val="right" w:pos="9360"/>
        </w:tabs>
        <w:ind w:left="360"/>
      </w:pPr>
      <w:r>
        <w:t>Respondents consist of environmental health (EH</w:t>
      </w:r>
      <w:r w:rsidR="00C13D14">
        <w:t>) professionals</w:t>
      </w:r>
      <w:r>
        <w:t xml:space="preserve"> representing state, local, tribal and territorial health (STLT) departments. The main data collection included in this study is a focus group. It is expected that 42 EH professionals participate in two focus groups. </w:t>
      </w:r>
    </w:p>
    <w:p w14:paraId="7F1A23A0" w14:textId="00016A2E" w:rsidR="006B4C05" w:rsidRDefault="006B4C05" w:rsidP="00C83258">
      <w:pPr>
        <w:tabs>
          <w:tab w:val="right" w:pos="9360"/>
        </w:tabs>
        <w:ind w:left="360"/>
      </w:pPr>
    </w:p>
    <w:p w14:paraId="20E69CE7" w14:textId="20C53F8F" w:rsidR="004060D2" w:rsidRDefault="006B4C05" w:rsidP="00A340AA">
      <w:pPr>
        <w:tabs>
          <w:tab w:val="right" w:pos="9360"/>
        </w:tabs>
        <w:ind w:left="360"/>
      </w:pPr>
      <w:r>
        <w:t>The 42 participants will be selected from a possible pool of 994</w:t>
      </w:r>
      <w:r w:rsidR="005F5728">
        <w:t xml:space="preserve"> </w:t>
      </w:r>
      <w:r>
        <w:t>STLT health officials</w:t>
      </w:r>
      <w:r w:rsidR="00CC61F7">
        <w:t>.</w:t>
      </w:r>
      <w:r w:rsidR="00672B52">
        <w:t xml:space="preserve"> </w:t>
      </w:r>
      <w:r w:rsidR="004060D2">
        <w:t>The 42 participants will be determined based on their responses to the recruitment instrument</w:t>
      </w:r>
      <w:r w:rsidR="00CC61F7">
        <w:t xml:space="preserve"> (i.e., </w:t>
      </w:r>
      <w:r w:rsidR="00324DA8">
        <w:t xml:space="preserve">indicating their </w:t>
      </w:r>
      <w:r w:rsidR="00CC61F7">
        <w:t>interest and availability</w:t>
      </w:r>
      <w:r w:rsidR="00324DA8">
        <w:t xml:space="preserve"> to participate in a focus group</w:t>
      </w:r>
      <w:r w:rsidR="00CC61F7">
        <w:t>). The final sample of 42 will be purposefully selected to include a diverse group of STLT representatives,</w:t>
      </w:r>
      <w:r w:rsidR="004060D2">
        <w:t xml:space="preserve"> geographic regions, and EH professional positions (</w:t>
      </w:r>
      <w:r w:rsidR="004060D2" w:rsidRPr="00D92CB5">
        <w:t>directors, managers, and field staff</w:t>
      </w:r>
      <w:r w:rsidR="004060D2">
        <w:t>).</w:t>
      </w:r>
      <w:r w:rsidR="004060D2" w:rsidRPr="00D92CB5">
        <w:t xml:space="preserve"> </w:t>
      </w:r>
    </w:p>
    <w:p w14:paraId="390F2E89" w14:textId="7F7375EA" w:rsidR="004060D2" w:rsidRDefault="004060D2" w:rsidP="00A340AA">
      <w:pPr>
        <w:tabs>
          <w:tab w:val="right" w:pos="9360"/>
        </w:tabs>
        <w:ind w:left="360"/>
      </w:pPr>
    </w:p>
    <w:p w14:paraId="0B7F8B9F" w14:textId="073301C1" w:rsidR="00CC61F7" w:rsidRDefault="005F5728" w:rsidP="00A340AA">
      <w:pPr>
        <w:tabs>
          <w:tab w:val="right" w:pos="9360"/>
        </w:tabs>
        <w:ind w:left="360"/>
      </w:pPr>
      <w:r>
        <w:t xml:space="preserve">The recruitment instrument will be sent to 994 STLT health officials which is a subset of 1,737 who completed the aforementioned web-based assessment (OMB Control No. 0920-1187; see </w:t>
      </w:r>
      <w:r w:rsidRPr="000D3F1C">
        <w:rPr>
          <w:b/>
        </w:rPr>
        <w:t xml:space="preserve">Attachment A: </w:t>
      </w:r>
      <w:r>
        <w:rPr>
          <w:b/>
        </w:rPr>
        <w:t>R</w:t>
      </w:r>
      <w:r w:rsidRPr="000D3F1C">
        <w:rPr>
          <w:b/>
        </w:rPr>
        <w:t>espondent Breakdown</w:t>
      </w:r>
      <w:r>
        <w:t xml:space="preserve">). </w:t>
      </w:r>
      <w:r w:rsidR="00C22E37" w:rsidRPr="00C22E37">
        <w:t xml:space="preserve">The 994 who will be sent the recruitment </w:t>
      </w:r>
      <w:r w:rsidR="00C22E37">
        <w:t>instrument</w:t>
      </w:r>
      <w:r w:rsidR="00C22E37" w:rsidRPr="00C22E37">
        <w:t xml:space="preserve"> represent a subset of those who participated in the original UNCOVER study</w:t>
      </w:r>
      <w:r w:rsidR="00324DA8">
        <w:t xml:space="preserve">. </w:t>
      </w:r>
    </w:p>
    <w:p w14:paraId="06518DCF" w14:textId="44EE8CF5" w:rsidR="00AD7726" w:rsidRDefault="00AD7726" w:rsidP="00C83258">
      <w:pPr>
        <w:tabs>
          <w:tab w:val="right" w:pos="9360"/>
        </w:tabs>
        <w:ind w:left="360"/>
      </w:pPr>
    </w:p>
    <w:p w14:paraId="5C3FA776" w14:textId="77777777" w:rsidR="00287E2F" w:rsidRPr="009759F3" w:rsidRDefault="00287E2F" w:rsidP="002955E6">
      <w:pPr>
        <w:pStyle w:val="Heading4"/>
        <w:spacing w:after="0" w:line="240" w:lineRule="auto"/>
      </w:pPr>
      <w:bookmarkStart w:id="4" w:name="_Toc413847912"/>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1084924" w14:textId="1D3840EB" w:rsidR="001D461D" w:rsidRDefault="001D461D" w:rsidP="002955E6">
      <w:pPr>
        <w:spacing w:line="240" w:lineRule="auto"/>
        <w:ind w:left="360"/>
      </w:pPr>
    </w:p>
    <w:p w14:paraId="121F327E" w14:textId="07E27DC0" w:rsidR="00324DA8" w:rsidRPr="00202660" w:rsidRDefault="00324DA8" w:rsidP="002955E6">
      <w:pPr>
        <w:spacing w:line="240" w:lineRule="auto"/>
        <w:ind w:left="360"/>
        <w:rPr>
          <w:b/>
          <w:i/>
        </w:rPr>
      </w:pPr>
      <w:r w:rsidRPr="00202660">
        <w:rPr>
          <w:b/>
          <w:i/>
        </w:rPr>
        <w:t>Recruitment Instrument</w:t>
      </w:r>
    </w:p>
    <w:p w14:paraId="16FEE91F" w14:textId="77777777" w:rsidR="00324DA8" w:rsidRDefault="00324DA8" w:rsidP="002955E6">
      <w:pPr>
        <w:spacing w:line="240" w:lineRule="auto"/>
        <w:ind w:left="360"/>
      </w:pPr>
    </w:p>
    <w:p w14:paraId="05EA9371" w14:textId="36FB47F4" w:rsidR="00E33BBA" w:rsidRPr="009011A8" w:rsidRDefault="00324DA8" w:rsidP="00E33BBA">
      <w:pPr>
        <w:ind w:left="360"/>
      </w:pPr>
      <w:r>
        <w:t>R</w:t>
      </w:r>
      <w:r w:rsidR="00E33BBA">
        <w:t>espondents</w:t>
      </w:r>
      <w:r w:rsidR="00E33BBA" w:rsidRPr="003163A2">
        <w:t xml:space="preserve"> will be recruited through a</w:t>
      </w:r>
      <w:r w:rsidR="00010947">
        <w:t xml:space="preserve"> notification </w:t>
      </w:r>
      <w:r w:rsidR="005656A9">
        <w:t xml:space="preserve">email </w:t>
      </w:r>
      <w:r w:rsidR="009F4E8D">
        <w:t>(</w:t>
      </w:r>
      <w:r w:rsidR="009F4E8D" w:rsidRPr="009011A8">
        <w:rPr>
          <w:b/>
        </w:rPr>
        <w:t xml:space="preserve">Attachment </w:t>
      </w:r>
      <w:r w:rsidR="007F543E">
        <w:rPr>
          <w:b/>
        </w:rPr>
        <w:t>G</w:t>
      </w:r>
      <w:r w:rsidR="009F4E8D">
        <w:rPr>
          <w:b/>
        </w:rPr>
        <w:t xml:space="preserve">: </w:t>
      </w:r>
      <w:r w:rsidR="009F4E8D" w:rsidRPr="00010947">
        <w:rPr>
          <w:b/>
        </w:rPr>
        <w:t>Notification Email</w:t>
      </w:r>
      <w:r w:rsidR="009F4E8D" w:rsidRPr="00010947">
        <w:t>)</w:t>
      </w:r>
      <w:r w:rsidR="00E33BBA" w:rsidRPr="009011A8">
        <w:t xml:space="preserve">.  The notification email will explain: </w:t>
      </w:r>
    </w:p>
    <w:p w14:paraId="132713B8" w14:textId="77777777" w:rsidR="00E33BBA" w:rsidRDefault="00E33BBA" w:rsidP="00E33BBA">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14:paraId="5D2C4020" w14:textId="77777777" w:rsidR="00E33BBA" w:rsidRPr="009011A8" w:rsidRDefault="00E33BBA" w:rsidP="00E33BBA">
      <w:pPr>
        <w:pStyle w:val="ListParagraph"/>
        <w:numPr>
          <w:ilvl w:val="0"/>
          <w:numId w:val="24"/>
        </w:numPr>
        <w:ind w:left="1080"/>
      </w:pPr>
      <w:r>
        <w:t>Instructions for participating</w:t>
      </w:r>
    </w:p>
    <w:p w14:paraId="05A4F401" w14:textId="77777777" w:rsidR="00E33BBA" w:rsidRPr="009011A8" w:rsidRDefault="00E33BBA" w:rsidP="00E33BBA">
      <w:pPr>
        <w:pStyle w:val="ListParagraph"/>
        <w:numPr>
          <w:ilvl w:val="0"/>
          <w:numId w:val="24"/>
        </w:numPr>
        <w:ind w:left="1080"/>
      </w:pPr>
      <w:r w:rsidRPr="009011A8">
        <w:t xml:space="preserve">Method to safeguard their responses </w:t>
      </w:r>
    </w:p>
    <w:p w14:paraId="24317ED1" w14:textId="77777777" w:rsidR="00E33BBA" w:rsidRPr="009011A8" w:rsidRDefault="00E33BBA" w:rsidP="00E33BBA">
      <w:pPr>
        <w:pStyle w:val="ListParagraph"/>
        <w:numPr>
          <w:ilvl w:val="0"/>
          <w:numId w:val="24"/>
        </w:numPr>
        <w:ind w:left="1080"/>
      </w:pPr>
      <w:r w:rsidRPr="009011A8">
        <w:t>That participation is voluntary</w:t>
      </w:r>
    </w:p>
    <w:p w14:paraId="19DAD119" w14:textId="77777777" w:rsidR="000279A9" w:rsidRDefault="00E33BBA" w:rsidP="000279A9">
      <w:pPr>
        <w:pStyle w:val="ListParagraph"/>
        <w:numPr>
          <w:ilvl w:val="0"/>
          <w:numId w:val="24"/>
        </w:numPr>
        <w:ind w:left="1080"/>
      </w:pPr>
      <w:r w:rsidRPr="009011A8">
        <w:t xml:space="preserve">The expected time to complete the </w:t>
      </w:r>
      <w:r w:rsidR="006C1771">
        <w:t>instrument</w:t>
      </w:r>
      <w:r w:rsidRPr="009011A8">
        <w:t xml:space="preserve"> </w:t>
      </w:r>
    </w:p>
    <w:p w14:paraId="7A947642" w14:textId="77777777" w:rsidR="00691031" w:rsidRDefault="00E33BBA" w:rsidP="000279A9">
      <w:pPr>
        <w:pStyle w:val="ListParagraph"/>
        <w:numPr>
          <w:ilvl w:val="0"/>
          <w:numId w:val="24"/>
        </w:numPr>
        <w:ind w:left="1080"/>
      </w:pPr>
      <w:r w:rsidRPr="009011A8">
        <w:t xml:space="preserve">Contact information for the </w:t>
      </w:r>
      <w:r w:rsidR="006C1771">
        <w:t>project</w:t>
      </w:r>
      <w:r w:rsidRPr="009011A8">
        <w:t xml:space="preserve"> team</w:t>
      </w:r>
    </w:p>
    <w:p w14:paraId="2C89BB70" w14:textId="77777777" w:rsidR="00691031" w:rsidRDefault="00691031" w:rsidP="002955E6">
      <w:pPr>
        <w:spacing w:line="240" w:lineRule="auto"/>
        <w:ind w:left="360"/>
      </w:pPr>
    </w:p>
    <w:p w14:paraId="69132B90" w14:textId="77777777" w:rsidR="00324DA8" w:rsidRDefault="00B6565F" w:rsidP="002955E6">
      <w:pPr>
        <w:spacing w:line="240" w:lineRule="auto"/>
        <w:ind w:left="360"/>
      </w:pPr>
      <w:r>
        <w:t xml:space="preserve">Following distribution of the notification email, the </w:t>
      </w:r>
      <w:r w:rsidR="00C83258">
        <w:t>recruitment</w:t>
      </w:r>
      <w:r>
        <w:t xml:space="preserve"> </w:t>
      </w:r>
      <w:r w:rsidR="00A630F3">
        <w:t>instrument</w:t>
      </w:r>
      <w:r>
        <w:t xml:space="preserve"> will remain open for three weeks. A reminder email</w:t>
      </w:r>
      <w:r w:rsidR="00395182">
        <w:t xml:space="preserve"> (</w:t>
      </w:r>
      <w:r w:rsidR="007F543E">
        <w:rPr>
          <w:b/>
        </w:rPr>
        <w:t>Attachment H</w:t>
      </w:r>
      <w:r w:rsidR="00395182" w:rsidRPr="00395182">
        <w:rPr>
          <w:b/>
        </w:rPr>
        <w:t>: Reminder Email</w:t>
      </w:r>
      <w:r w:rsidR="00395182">
        <w:t>)</w:t>
      </w:r>
      <w:r>
        <w:t xml:space="preserve"> will be sent to respondents one week after the notification email to remind respondents about the opportunity to participate in the focus groups and complete the </w:t>
      </w:r>
      <w:r w:rsidR="00C83258">
        <w:t>recruitment</w:t>
      </w:r>
      <w:r>
        <w:t xml:space="preserve"> </w:t>
      </w:r>
      <w:r w:rsidR="00A630F3">
        <w:t>instrument</w:t>
      </w:r>
      <w:r>
        <w:t xml:space="preserve">. </w:t>
      </w:r>
      <w:r w:rsidR="00B91FB3">
        <w:t xml:space="preserve">Anyone </w:t>
      </w:r>
      <w:r>
        <w:t xml:space="preserve">not responding by the closing of the </w:t>
      </w:r>
      <w:r w:rsidR="00A630F3">
        <w:t>instrument</w:t>
      </w:r>
      <w:r>
        <w:t xml:space="preserve"> will be considered a non-respondent. </w:t>
      </w:r>
    </w:p>
    <w:p w14:paraId="268B8871" w14:textId="77777777" w:rsidR="00324DA8" w:rsidRDefault="00324DA8" w:rsidP="002955E6">
      <w:pPr>
        <w:spacing w:line="240" w:lineRule="auto"/>
        <w:ind w:left="360"/>
      </w:pPr>
    </w:p>
    <w:p w14:paraId="62769EDC" w14:textId="1EFE255A" w:rsidR="00324DA8" w:rsidRPr="00202660" w:rsidRDefault="00324DA8" w:rsidP="002955E6">
      <w:pPr>
        <w:spacing w:line="240" w:lineRule="auto"/>
        <w:ind w:left="360"/>
        <w:rPr>
          <w:b/>
          <w:i/>
        </w:rPr>
      </w:pPr>
      <w:r w:rsidRPr="00202660">
        <w:rPr>
          <w:b/>
          <w:i/>
        </w:rPr>
        <w:t>Focus Group</w:t>
      </w:r>
    </w:p>
    <w:p w14:paraId="76027CDF" w14:textId="77777777" w:rsidR="00324DA8" w:rsidRPr="00202660" w:rsidRDefault="00324DA8" w:rsidP="002955E6">
      <w:pPr>
        <w:spacing w:line="240" w:lineRule="auto"/>
        <w:ind w:left="360"/>
        <w:rPr>
          <w:i/>
        </w:rPr>
      </w:pPr>
    </w:p>
    <w:p w14:paraId="3AE87C19" w14:textId="0D65F4C4" w:rsidR="00691031" w:rsidRDefault="001E12BF" w:rsidP="002955E6">
      <w:pPr>
        <w:spacing w:line="240" w:lineRule="auto"/>
        <w:ind w:left="360"/>
      </w:pPr>
      <w:r>
        <w:t xml:space="preserve">Respondents selected for participation in the focus groups will receive a confirmation email within </w:t>
      </w:r>
      <w:r w:rsidR="00A630F3">
        <w:t>two weeks after the instrument</w:t>
      </w:r>
      <w:r w:rsidR="00B415A9">
        <w:t xml:space="preserve"> closes</w:t>
      </w:r>
      <w:r w:rsidR="009F4E8D">
        <w:t xml:space="preserve"> (</w:t>
      </w:r>
      <w:r w:rsidR="009F4E8D">
        <w:rPr>
          <w:b/>
        </w:rPr>
        <w:t xml:space="preserve">Attachment </w:t>
      </w:r>
      <w:r w:rsidR="007F543E">
        <w:rPr>
          <w:b/>
        </w:rPr>
        <w:t>I</w:t>
      </w:r>
      <w:r w:rsidR="009F4E8D" w:rsidRPr="00395182">
        <w:rPr>
          <w:b/>
        </w:rPr>
        <w:t xml:space="preserve">: </w:t>
      </w:r>
      <w:r w:rsidR="009F4E8D">
        <w:rPr>
          <w:b/>
        </w:rPr>
        <w:t>Confirmation Email</w:t>
      </w:r>
      <w:r w:rsidR="009F4E8D">
        <w:t>)</w:t>
      </w:r>
      <w:r w:rsidR="00B415A9">
        <w:t>.</w:t>
      </w:r>
      <w:r w:rsidR="00CE1258">
        <w:t xml:space="preserve"> If the participant does not confirm their participation</w:t>
      </w:r>
      <w:r w:rsidR="00B91FB3">
        <w:t xml:space="preserve"> within three days</w:t>
      </w:r>
      <w:r w:rsidR="00CE1258">
        <w:t xml:space="preserve">, project staff will contact them by phone to confirm their </w:t>
      </w:r>
      <w:r w:rsidR="009F4E8D">
        <w:t xml:space="preserve">interest in </w:t>
      </w:r>
      <w:r w:rsidR="00CE1258">
        <w:t>participatin</w:t>
      </w:r>
      <w:r w:rsidR="009F4E8D">
        <w:t>g (</w:t>
      </w:r>
      <w:r w:rsidR="009F4E8D">
        <w:rPr>
          <w:b/>
        </w:rPr>
        <w:t xml:space="preserve">Attachment </w:t>
      </w:r>
      <w:r w:rsidR="007F543E">
        <w:rPr>
          <w:b/>
        </w:rPr>
        <w:t>J</w:t>
      </w:r>
      <w:r w:rsidR="009F4E8D" w:rsidRPr="00395182">
        <w:rPr>
          <w:b/>
        </w:rPr>
        <w:t xml:space="preserve">: </w:t>
      </w:r>
      <w:r w:rsidR="009F4E8D">
        <w:rPr>
          <w:b/>
        </w:rPr>
        <w:t>Confirmation Call</w:t>
      </w:r>
      <w:r w:rsidR="009F4E8D">
        <w:t>)</w:t>
      </w:r>
      <w:r w:rsidR="00CE1258">
        <w:t xml:space="preserve">. </w:t>
      </w:r>
      <w:r w:rsidR="00ED37B4">
        <w:t>If participation is not confirmed, alternates will be identified from the pool of recruitment instrument respondents who indicated availability</w:t>
      </w:r>
      <w:r w:rsidR="00D13438">
        <w:t>/interest in</w:t>
      </w:r>
      <w:r w:rsidR="00ED37B4">
        <w:t xml:space="preserve"> participation.</w:t>
      </w:r>
    </w:p>
    <w:p w14:paraId="3FCBD76D" w14:textId="67F4542A" w:rsidR="00B415A9" w:rsidRDefault="00B415A9" w:rsidP="002955E6">
      <w:pPr>
        <w:spacing w:line="240" w:lineRule="auto"/>
        <w:ind w:left="360"/>
        <w:rPr>
          <w:color w:val="0070C0"/>
        </w:rPr>
      </w:pPr>
    </w:p>
    <w:p w14:paraId="333A1DFA" w14:textId="77777777" w:rsidR="00E61BD0" w:rsidRPr="00EA1809" w:rsidRDefault="00413FCD" w:rsidP="007F543E">
      <w:pPr>
        <w:spacing w:line="240" w:lineRule="auto"/>
        <w:ind w:left="360"/>
      </w:pPr>
      <w:r w:rsidRPr="00413FCD">
        <w:t xml:space="preserve">The focus group </w:t>
      </w:r>
      <w:r w:rsidR="00133BD2">
        <w:t>facilitation guide (</w:t>
      </w:r>
      <w:r w:rsidR="00133BD2" w:rsidRPr="00133BD2">
        <w:rPr>
          <w:b/>
        </w:rPr>
        <w:t xml:space="preserve">Attachment </w:t>
      </w:r>
      <w:r w:rsidR="00C22E37">
        <w:rPr>
          <w:b/>
        </w:rPr>
        <w:t>D</w:t>
      </w:r>
      <w:r w:rsidR="00133BD2" w:rsidRPr="00133BD2">
        <w:rPr>
          <w:b/>
        </w:rPr>
        <w:t>: Facilitation Guide</w:t>
      </w:r>
      <w:r w:rsidR="00133BD2">
        <w:t>)</w:t>
      </w:r>
      <w:r w:rsidRPr="00413FCD">
        <w:t xml:space="preserve"> will be used to gather information from the 42 respondents. </w:t>
      </w:r>
      <w:r w:rsidRPr="00EA1809">
        <w:t>Focus groups will be he</w:t>
      </w:r>
      <w:r w:rsidR="00ED18D8" w:rsidRPr="00EA1809">
        <w:t>ld during two separate events</w:t>
      </w:r>
      <w:r w:rsidRPr="00EA1809">
        <w:t xml:space="preserve">. </w:t>
      </w:r>
    </w:p>
    <w:p w14:paraId="6B18D43B" w14:textId="7520C3E4" w:rsidR="00E61BD0" w:rsidRPr="00E61BD0" w:rsidRDefault="00E61BD0" w:rsidP="00E61BD0">
      <w:pPr>
        <w:spacing w:line="240" w:lineRule="auto"/>
        <w:ind w:left="360"/>
      </w:pPr>
      <w:r w:rsidRPr="00EA1809">
        <w:t xml:space="preserve">The topics discussed </w:t>
      </w:r>
      <w:r w:rsidR="008F7CA7" w:rsidRPr="00EA1809">
        <w:t>(</w:t>
      </w:r>
      <w:r w:rsidR="008F7CA7" w:rsidRPr="00EA1809">
        <w:rPr>
          <w:b/>
        </w:rPr>
        <w:t>See Attachment E: Assessment Topics</w:t>
      </w:r>
      <w:r w:rsidR="008F7CA7" w:rsidRPr="00EA1809">
        <w:t xml:space="preserve">) </w:t>
      </w:r>
      <w:r w:rsidRPr="00EA1809">
        <w:t>will be different at each event. Given the number and breadth of the topics, along with the need to generate in-depth discussion to produce rich information, it would not be feasible to cover all topics during one event. The first event will be held at the National Environmental Health Association (NEHA) Annual Conference, which is the premier conference and gathering of environmental health professionals from across the nation. This event will draw participants who were already planning to attend the conference, which will not require any funding to support their travel. Considering the project timeline and the fact that the next NEHA conference will occur the following year, it was necessary to determine an alternate location for hosting the second event in August. Therefore, NEHA (the contractor for this IC) was funded to support participant travel to the second event, which will be held at the NEHA headquarters in Denver, CO. This location was advantageous as NEHA will be using its own meeting space and resources to host the focus groups.</w:t>
      </w:r>
      <w:r w:rsidRPr="00E61BD0">
        <w:t xml:space="preserve"> </w:t>
      </w:r>
    </w:p>
    <w:p w14:paraId="75B0C00D" w14:textId="77777777" w:rsidR="00E61BD0" w:rsidRDefault="00E61BD0" w:rsidP="007F543E">
      <w:pPr>
        <w:spacing w:line="240" w:lineRule="auto"/>
        <w:ind w:left="360"/>
      </w:pPr>
    </w:p>
    <w:p w14:paraId="7C898D27" w14:textId="6AA5CCDA" w:rsidR="008306E5" w:rsidRDefault="00413FCD" w:rsidP="007F543E">
      <w:pPr>
        <w:spacing w:line="240" w:lineRule="auto"/>
        <w:ind w:left="360"/>
        <w:rPr>
          <w:color w:val="0070C0"/>
        </w:rPr>
      </w:pPr>
      <w:r w:rsidRPr="00413FCD">
        <w:t>The 42 respondents will be participating in one out of the two different events (21 participants at each event). At each event, each participant will participate in two focus group sessions to</w:t>
      </w:r>
      <w:r w:rsidRPr="00413FCD">
        <w:rPr>
          <w:iCs/>
        </w:rPr>
        <w:t xml:space="preserve"> assess the current and emerging challenges impacting the EH professional and programs at STLT health departments. </w:t>
      </w:r>
      <w:r w:rsidRPr="00413FCD">
        <w:t>Each session will assess 3 topics that were revealed from the web-based assessment results (</w:t>
      </w:r>
      <w:r w:rsidRPr="00413FCD">
        <w:rPr>
          <w:b/>
        </w:rPr>
        <w:t xml:space="preserve">See Attachment </w:t>
      </w:r>
      <w:r w:rsidR="00C22E37">
        <w:rPr>
          <w:b/>
        </w:rPr>
        <w:t>E</w:t>
      </w:r>
      <w:r w:rsidRPr="00413FCD">
        <w:rPr>
          <w:b/>
        </w:rPr>
        <w:t>: Assessment Topics</w:t>
      </w:r>
      <w:r w:rsidRPr="00413FCD">
        <w:t>). The focus group facilitation guide consists of four primary questions that will be used to gather in depth details and engage respondents in detailed discussion around the current and emerging challenges across each of the six topics</w:t>
      </w:r>
      <w:r w:rsidR="00ED18D8">
        <w:t xml:space="preserve"> addressed at each event and as</w:t>
      </w:r>
      <w:r w:rsidRPr="00413FCD">
        <w:t xml:space="preserve"> listed in </w:t>
      </w:r>
      <w:r w:rsidRPr="00413FCD">
        <w:rPr>
          <w:b/>
        </w:rPr>
        <w:t xml:space="preserve">Attachment </w:t>
      </w:r>
      <w:r w:rsidR="00C22E37">
        <w:rPr>
          <w:b/>
        </w:rPr>
        <w:t>E</w:t>
      </w:r>
      <w:r w:rsidRPr="00413FCD">
        <w:rPr>
          <w:b/>
        </w:rPr>
        <w:t>: Assessment Topics</w:t>
      </w:r>
      <w:r w:rsidRPr="00413FCD">
        <w:t>. These topics resulted from qualitative analysis of the mentioned web-based assessment</w:t>
      </w:r>
      <w:r w:rsidRPr="00413FCD">
        <w:rPr>
          <w:iCs/>
        </w:rPr>
        <w:t>.</w:t>
      </w:r>
      <w:r w:rsidRPr="00413FCD">
        <w:t xml:space="preserve"> </w:t>
      </w:r>
    </w:p>
    <w:p w14:paraId="61A1EFF4" w14:textId="0105E0CA" w:rsidR="00A630F3" w:rsidRDefault="00A630F3" w:rsidP="00A630F3">
      <w:pPr>
        <w:spacing w:line="240" w:lineRule="auto"/>
        <w:ind w:left="360"/>
      </w:pPr>
      <w:r w:rsidRPr="00CE7E57">
        <w:t xml:space="preserve"> </w:t>
      </w:r>
    </w:p>
    <w:p w14:paraId="3FBFCC7A" w14:textId="1A12CA1A" w:rsidR="00B415A9" w:rsidRPr="00CE7E57" w:rsidRDefault="00B415A9" w:rsidP="00A630F3">
      <w:pPr>
        <w:spacing w:line="240" w:lineRule="auto"/>
        <w:ind w:left="360"/>
      </w:pPr>
      <w:r w:rsidRPr="00CE7E57">
        <w:t xml:space="preserve">Information generated during the focus groups will be recorded using a laptop with word processing software. Focus group participant names will not be associated with any responses. The recorded notes will remain secure and stored on secure servers with controlled access. </w:t>
      </w:r>
      <w:r w:rsidR="0079260B" w:rsidRPr="00CE7E57">
        <w:t xml:space="preserve">The </w:t>
      </w:r>
      <w:r w:rsidR="009F4E8D">
        <w:t>CDC</w:t>
      </w:r>
      <w:r w:rsidR="0079260B" w:rsidRPr="00CE7E57">
        <w:t xml:space="preserve"> and only the project partners, </w:t>
      </w:r>
      <w:r w:rsidR="009F4E8D">
        <w:t>NEHA, funded by a contract</w:t>
      </w:r>
      <w:r w:rsidR="0079260B" w:rsidRPr="00CE7E57">
        <w:t xml:space="preserve">, and Baylor University, the academic consultant, will have access to the focus group </w:t>
      </w:r>
      <w:r w:rsidR="006B4F10">
        <w:t xml:space="preserve">aggregated </w:t>
      </w:r>
      <w:r w:rsidR="0079260B" w:rsidRPr="00CE7E57">
        <w:t xml:space="preserve">notes that will remain secure and stored on secure servers with controlled access.  </w:t>
      </w:r>
      <w:r w:rsidR="00A630F3" w:rsidRPr="00B74E75">
        <w:rPr>
          <w:rFonts w:cs="Arial"/>
        </w:rPr>
        <w:t xml:space="preserve">Data collected during the assessments will be shared only in aggregate form.  </w:t>
      </w:r>
    </w:p>
    <w:p w14:paraId="14636C3A" w14:textId="36C334CB" w:rsidR="00B415A9" w:rsidRPr="00CE7E57" w:rsidRDefault="00B415A9" w:rsidP="00B415A9">
      <w:pPr>
        <w:spacing w:line="240" w:lineRule="auto"/>
        <w:ind w:left="360"/>
      </w:pPr>
    </w:p>
    <w:p w14:paraId="327C1B9D" w14:textId="77777777" w:rsidR="009759F3" w:rsidRPr="009759F3" w:rsidRDefault="00287E2F" w:rsidP="002955E6">
      <w:pPr>
        <w:pStyle w:val="Heading4"/>
        <w:spacing w:after="0" w:line="240" w:lineRule="auto"/>
      </w:pPr>
      <w:bookmarkStart w:id="5" w:name="_Toc413847913"/>
      <w:r w:rsidRPr="00D26A64">
        <w:t>Methods to Maximize Response Rates</w:t>
      </w:r>
      <w:r w:rsidR="00F725B5">
        <w:t xml:space="preserve"> </w:t>
      </w:r>
      <w:r w:rsidR="009759F3" w:rsidRPr="009759F3">
        <w:t>Deal with Nonresponse</w:t>
      </w:r>
      <w:bookmarkEnd w:id="5"/>
    </w:p>
    <w:p w14:paraId="5E3C1293" w14:textId="77777777" w:rsidR="001D461D" w:rsidRDefault="001D461D" w:rsidP="002955E6">
      <w:pPr>
        <w:spacing w:line="240" w:lineRule="auto"/>
        <w:ind w:left="360"/>
        <w:rPr>
          <w:b/>
          <w:color w:val="0070C0"/>
        </w:rPr>
      </w:pPr>
    </w:p>
    <w:p w14:paraId="495511C8" w14:textId="5EEDA4FA" w:rsidR="00CE1258" w:rsidRPr="00B91FB3" w:rsidRDefault="00CE1258" w:rsidP="00B91FB3">
      <w:pPr>
        <w:spacing w:line="240" w:lineRule="auto"/>
        <w:ind w:left="360"/>
        <w:rPr>
          <w:rFonts w:cs="Arial"/>
        </w:rPr>
      </w:pPr>
      <w:r w:rsidRPr="00CE1258">
        <w:rPr>
          <w:rFonts w:cs="Times New Roman"/>
        </w:rPr>
        <w:t xml:space="preserve">Although participation in </w:t>
      </w:r>
      <w:r w:rsidR="00C83258">
        <w:rPr>
          <w:rFonts w:cs="Times New Roman"/>
        </w:rPr>
        <w:t>this data collection</w:t>
      </w:r>
      <w:r w:rsidRPr="00CE1258">
        <w:rPr>
          <w:rFonts w:cs="Times New Roman"/>
        </w:rPr>
        <w:t xml:space="preserve"> is voluntary, the </w:t>
      </w:r>
      <w:r w:rsidR="00B91FB3">
        <w:rPr>
          <w:rFonts w:cs="Times New Roman"/>
        </w:rPr>
        <w:t>project team wi</w:t>
      </w:r>
      <w:r w:rsidRPr="00CE1258">
        <w:rPr>
          <w:rFonts w:cs="Times New Roman"/>
        </w:rPr>
        <w:t xml:space="preserve">ll make every effort to maximize the rate of response. </w:t>
      </w:r>
      <w:r w:rsidR="00B91FB3">
        <w:rPr>
          <w:rFonts w:cs="Times New Roman"/>
        </w:rPr>
        <w:t xml:space="preserve">A notification email with a link to the </w:t>
      </w:r>
      <w:r w:rsidR="00C83258">
        <w:rPr>
          <w:rFonts w:cs="Times New Roman"/>
        </w:rPr>
        <w:t>recruitment</w:t>
      </w:r>
      <w:r w:rsidR="00B91FB3">
        <w:rPr>
          <w:rFonts w:cs="Times New Roman"/>
        </w:rPr>
        <w:t xml:space="preserve"> </w:t>
      </w:r>
      <w:r w:rsidR="00BC4917">
        <w:rPr>
          <w:rFonts w:cs="Times New Roman"/>
        </w:rPr>
        <w:t xml:space="preserve">instrument </w:t>
      </w:r>
      <w:r w:rsidR="00B91FB3">
        <w:rPr>
          <w:rFonts w:cs="Times New Roman"/>
        </w:rPr>
        <w:t xml:space="preserve">will be sent to all </w:t>
      </w:r>
      <w:r w:rsidR="00380271">
        <w:rPr>
          <w:rFonts w:cs="Times New Roman"/>
        </w:rPr>
        <w:t>respondents</w:t>
      </w:r>
      <w:r w:rsidR="00B91FB3">
        <w:rPr>
          <w:rFonts w:cs="Times New Roman"/>
        </w:rPr>
        <w:t>. The</w:t>
      </w:r>
      <w:r w:rsidR="00380271">
        <w:rPr>
          <w:rFonts w:cs="Times New Roman"/>
        </w:rPr>
        <w:t xml:space="preserve"> instrument </w:t>
      </w:r>
      <w:r w:rsidR="00B91FB3" w:rsidRPr="001D2951">
        <w:rPr>
          <w:rFonts w:cs="Times New Roman"/>
        </w:rPr>
        <w:t>was designed with particular focus on streamlining questions to allow for skipping questions based on responses to previous questions, the</w:t>
      </w:r>
      <w:r w:rsidR="00B91FB3">
        <w:rPr>
          <w:rFonts w:cs="Times New Roman"/>
        </w:rPr>
        <w:t>reby minimizing response burden</w:t>
      </w:r>
      <w:r w:rsidRPr="00CE1258">
        <w:rPr>
          <w:rFonts w:cs="Times New Roman"/>
        </w:rPr>
        <w:t xml:space="preserve">. </w:t>
      </w:r>
      <w:r w:rsidR="00B91FB3" w:rsidRPr="00B91FB3">
        <w:t xml:space="preserve">Following the distribution of the invitation to participate in the focus group, respondents will have three weeks to complete the </w:t>
      </w:r>
      <w:r w:rsidR="00C83258">
        <w:t xml:space="preserve">recruitment </w:t>
      </w:r>
      <w:r w:rsidR="00D77FBA">
        <w:t>instrument</w:t>
      </w:r>
      <w:r w:rsidR="00B91FB3" w:rsidRPr="00B91FB3">
        <w:t xml:space="preserve">. </w:t>
      </w:r>
      <w:r w:rsidR="009F4E8D">
        <w:t>A reminder email will be sent</w:t>
      </w:r>
      <w:r w:rsidR="00B91FB3" w:rsidRPr="00B91FB3">
        <w:t xml:space="preserve"> one week </w:t>
      </w:r>
      <w:r w:rsidR="009F4E8D">
        <w:t>after the notification email</w:t>
      </w:r>
      <w:r w:rsidR="00B91FB3" w:rsidRPr="00B91FB3">
        <w:t xml:space="preserve"> </w:t>
      </w:r>
      <w:r w:rsidR="009F4E8D">
        <w:t>asking</w:t>
      </w:r>
      <w:r w:rsidR="00B91FB3" w:rsidRPr="00B91FB3">
        <w:t xml:space="preserve"> </w:t>
      </w:r>
      <w:r w:rsidR="009F4E8D">
        <w:t>respondents</w:t>
      </w:r>
      <w:r w:rsidR="00B91FB3" w:rsidRPr="00B91FB3">
        <w:t xml:space="preserve"> to complete the instrument</w:t>
      </w:r>
      <w:r w:rsidR="009F4E8D">
        <w:t xml:space="preserve"> if interested in participating</w:t>
      </w:r>
      <w:r w:rsidR="00B91FB3" w:rsidRPr="00B91FB3">
        <w:t xml:space="preserve">. </w:t>
      </w:r>
      <w:r w:rsidR="00B91FB3" w:rsidRPr="00B91FB3">
        <w:rPr>
          <w:rFonts w:cs="Arial"/>
        </w:rPr>
        <w:t>Those who do not respond within two weeks from the reminder email will be considered non-responders.</w:t>
      </w:r>
      <w:r w:rsidR="00B91FB3">
        <w:rPr>
          <w:rFonts w:cs="Arial"/>
        </w:rPr>
        <w:t xml:space="preserve"> </w:t>
      </w:r>
      <w:r w:rsidRPr="00CE1258">
        <w:rPr>
          <w:rFonts w:cs="Times New Roman"/>
        </w:rPr>
        <w:t>A confirmat</w:t>
      </w:r>
      <w:r w:rsidR="00B91FB3">
        <w:rPr>
          <w:rFonts w:cs="Times New Roman"/>
        </w:rPr>
        <w:t>ion email will be se</w:t>
      </w:r>
      <w:r w:rsidR="000B7C51">
        <w:rPr>
          <w:rFonts w:cs="Times New Roman"/>
        </w:rPr>
        <w:t xml:space="preserve">nt to all respondents selected for focus group participation </w:t>
      </w:r>
      <w:r w:rsidR="00B91FB3">
        <w:rPr>
          <w:rFonts w:cs="Times New Roman"/>
        </w:rPr>
        <w:t xml:space="preserve">within two weeks after the </w:t>
      </w:r>
      <w:r w:rsidR="00380271">
        <w:rPr>
          <w:rFonts w:cs="Times New Roman"/>
        </w:rPr>
        <w:t xml:space="preserve">instrument </w:t>
      </w:r>
      <w:r w:rsidR="00B91FB3">
        <w:rPr>
          <w:rFonts w:cs="Times New Roman"/>
        </w:rPr>
        <w:t xml:space="preserve">closes. If there is no response </w:t>
      </w:r>
      <w:r w:rsidRPr="00CE1258">
        <w:rPr>
          <w:rFonts w:cs="Times New Roman"/>
        </w:rPr>
        <w:t>within three business days after the focus group confirmation email</w:t>
      </w:r>
      <w:r w:rsidR="00B91FB3">
        <w:rPr>
          <w:rFonts w:cs="Times New Roman"/>
        </w:rPr>
        <w:t xml:space="preserve"> is sent, a telephone call </w:t>
      </w:r>
      <w:r w:rsidRPr="00CE1258">
        <w:rPr>
          <w:rFonts w:cs="Times New Roman"/>
        </w:rPr>
        <w:t xml:space="preserve">will be placed to determine whether </w:t>
      </w:r>
      <w:r w:rsidR="00B91FB3">
        <w:rPr>
          <w:rFonts w:cs="Times New Roman"/>
        </w:rPr>
        <w:t>the individual</w:t>
      </w:r>
      <w:r w:rsidRPr="00CE1258">
        <w:rPr>
          <w:rFonts w:cs="Times New Roman"/>
        </w:rPr>
        <w:t xml:space="preserve"> is </w:t>
      </w:r>
      <w:r w:rsidR="009F4E8D">
        <w:rPr>
          <w:rFonts w:cs="Times New Roman"/>
        </w:rPr>
        <w:t>interested in</w:t>
      </w:r>
      <w:r w:rsidRPr="00CE1258">
        <w:rPr>
          <w:rFonts w:cs="Times New Roman"/>
        </w:rPr>
        <w:t xml:space="preserve"> participat</w:t>
      </w:r>
      <w:r w:rsidR="009F4E8D">
        <w:rPr>
          <w:rFonts w:cs="Times New Roman"/>
        </w:rPr>
        <w:t>ing</w:t>
      </w:r>
      <w:r w:rsidRPr="00CE1258">
        <w:rPr>
          <w:rFonts w:cs="Times New Roman"/>
        </w:rPr>
        <w:t xml:space="preserve"> in the focus group.</w:t>
      </w:r>
    </w:p>
    <w:p w14:paraId="244F76D6" w14:textId="1744EA10" w:rsidR="00691031" w:rsidRPr="00176E14" w:rsidRDefault="00691031" w:rsidP="0023051E">
      <w:pPr>
        <w:spacing w:line="240" w:lineRule="auto"/>
        <w:ind w:left="0"/>
        <w:rPr>
          <w:rFonts w:cs="Arial"/>
        </w:rPr>
      </w:pPr>
    </w:p>
    <w:p w14:paraId="178EA29F" w14:textId="77777777" w:rsidR="00F52BCC" w:rsidRPr="009759F3" w:rsidRDefault="00287E2F" w:rsidP="002955E6">
      <w:pPr>
        <w:pStyle w:val="Heading4"/>
        <w:spacing w:after="0" w:line="240" w:lineRule="auto"/>
      </w:pPr>
      <w:bookmarkStart w:id="6" w:name="_Toc413847914"/>
      <w:r w:rsidRPr="005F3FEF">
        <w:t xml:space="preserve">Test of Procedures </w:t>
      </w:r>
      <w:r w:rsidR="009759F3" w:rsidRPr="009759F3">
        <w:t>or Methods to be Undertaken</w:t>
      </w:r>
      <w:bookmarkEnd w:id="6"/>
    </w:p>
    <w:p w14:paraId="56016E0D" w14:textId="77777777" w:rsidR="00865573" w:rsidRDefault="00865573" w:rsidP="002955E6">
      <w:pPr>
        <w:spacing w:line="240" w:lineRule="auto"/>
        <w:ind w:left="360"/>
        <w:rPr>
          <w:color w:val="000000"/>
          <w:lang w:eastAsia="zh-CN"/>
        </w:rPr>
      </w:pPr>
    </w:p>
    <w:p w14:paraId="2037BF87" w14:textId="141BBF03" w:rsidR="006B4F10" w:rsidRPr="006B4F10" w:rsidRDefault="006B4F10" w:rsidP="006B4F10">
      <w:pPr>
        <w:spacing w:line="240" w:lineRule="auto"/>
        <w:ind w:left="360"/>
        <w:rPr>
          <w:color w:val="000000"/>
        </w:rPr>
      </w:pPr>
      <w:r w:rsidRPr="006B4F10">
        <w:rPr>
          <w:color w:val="000000"/>
        </w:rPr>
        <w:t xml:space="preserve">The estimate for burden hours for the recruitment instrument is based on a pilot test conducted by the same 6 public health professionals. In the pilot test, the average time to complete the </w:t>
      </w:r>
      <w:r w:rsidR="00860653">
        <w:rPr>
          <w:color w:val="000000"/>
        </w:rPr>
        <w:t xml:space="preserve">recruitment </w:t>
      </w:r>
      <w:r w:rsidRPr="006B4F10">
        <w:rPr>
          <w:color w:val="000000"/>
        </w:rPr>
        <w:t>instrument including time for reviewing instructions, gathering needed information and completing the instrument, was approximately 2 minutes (range: 2 – 3). For the purposes of estimating burden hours, the upper limit of this range (3 minutes) is used.</w:t>
      </w:r>
    </w:p>
    <w:p w14:paraId="15BB6B4C" w14:textId="77777777" w:rsidR="006B4F10" w:rsidRPr="006B4F10" w:rsidRDefault="006B4F10" w:rsidP="006B4F10">
      <w:pPr>
        <w:spacing w:line="240" w:lineRule="auto"/>
        <w:ind w:left="360"/>
        <w:rPr>
          <w:color w:val="000000"/>
        </w:rPr>
      </w:pPr>
    </w:p>
    <w:p w14:paraId="52100080" w14:textId="6A85782D" w:rsidR="006B4F10" w:rsidRDefault="006B4F10" w:rsidP="006B4F10">
      <w:pPr>
        <w:spacing w:line="240" w:lineRule="auto"/>
        <w:ind w:left="360"/>
        <w:rPr>
          <w:color w:val="000000"/>
        </w:rPr>
      </w:pPr>
      <w:r w:rsidRPr="006B4F10">
        <w:rPr>
          <w:color w:val="000000"/>
        </w:rPr>
        <w:t xml:space="preserve">The estimate for burden hours is based on a pilot test of the </w:t>
      </w:r>
      <w:r w:rsidR="00860653">
        <w:rPr>
          <w:color w:val="000000"/>
        </w:rPr>
        <w:t xml:space="preserve">focus group </w:t>
      </w:r>
      <w:r w:rsidRPr="006B4F10">
        <w:rPr>
          <w:color w:val="000000"/>
        </w:rPr>
        <w:t>facilitation guide across the defined topics by 6 public health professionals. In the pilot test, the average time</w:t>
      </w:r>
      <w:r w:rsidR="00860653">
        <w:rPr>
          <w:color w:val="000000"/>
        </w:rPr>
        <w:t xml:space="preserve"> for completion</w:t>
      </w:r>
      <w:r w:rsidRPr="006B4F10">
        <w:rPr>
          <w:color w:val="000000"/>
        </w:rPr>
        <w:t xml:space="preserve"> was approximately 90 minutes, totaling to 180 minutes per respondent given each respondent will engage in two facilitation guide sessions. For the purposes of estimating burden hours, 180 minutes will be used.</w:t>
      </w:r>
    </w:p>
    <w:p w14:paraId="1D604611" w14:textId="77777777" w:rsidR="00C22E37" w:rsidRPr="006B4F10" w:rsidRDefault="00C22E37" w:rsidP="006B4F10">
      <w:pPr>
        <w:spacing w:line="240" w:lineRule="auto"/>
        <w:ind w:left="360"/>
        <w:rPr>
          <w:color w:val="000000"/>
        </w:rPr>
      </w:pPr>
    </w:p>
    <w:p w14:paraId="51241899" w14:textId="77777777" w:rsidR="009759F3" w:rsidRDefault="009759F3" w:rsidP="002955E6">
      <w:pPr>
        <w:pStyle w:val="Heading4"/>
        <w:spacing w:after="0" w:line="240" w:lineRule="auto"/>
      </w:pPr>
      <w:bookmarkStart w:id="7" w:name="_Toc413847915"/>
      <w:r w:rsidRPr="009759F3">
        <w:t>Individuals Consulted on Statistical Aspects and Individuals Collecting and/or Analyzing Data</w:t>
      </w:r>
      <w:bookmarkEnd w:id="7"/>
    </w:p>
    <w:p w14:paraId="70D0777A" w14:textId="77777777" w:rsidR="00F27049" w:rsidRDefault="00F27049" w:rsidP="002955E6">
      <w:pPr>
        <w:spacing w:line="240" w:lineRule="auto"/>
        <w:ind w:left="360"/>
        <w:rPr>
          <w:b/>
          <w:color w:val="0070C0"/>
        </w:rPr>
      </w:pPr>
    </w:p>
    <w:p w14:paraId="09D62687" w14:textId="72CC32A9" w:rsidR="00133BD2" w:rsidRPr="005514AD" w:rsidRDefault="00133BD2" w:rsidP="00133BD2">
      <w:pPr>
        <w:spacing w:line="240" w:lineRule="auto"/>
        <w:ind w:left="360"/>
      </w:pPr>
      <w:r w:rsidRPr="005514AD">
        <w:t xml:space="preserve">Name: </w:t>
      </w:r>
      <w:r>
        <w:t>Justin Gerding</w:t>
      </w:r>
    </w:p>
    <w:p w14:paraId="7790BB18" w14:textId="04C2EABE" w:rsidR="00133BD2" w:rsidRPr="005514AD" w:rsidRDefault="00133BD2" w:rsidP="00133BD2">
      <w:pPr>
        <w:spacing w:line="240" w:lineRule="auto"/>
        <w:ind w:left="360"/>
      </w:pPr>
      <w:r w:rsidRPr="005514AD">
        <w:t xml:space="preserve">Title: </w:t>
      </w:r>
      <w:r>
        <w:t>Acting Lead, Practice Support Section</w:t>
      </w:r>
    </w:p>
    <w:p w14:paraId="06666E73" w14:textId="1817878F" w:rsidR="00133BD2" w:rsidRPr="005514AD" w:rsidRDefault="00133BD2" w:rsidP="00133BD2">
      <w:pPr>
        <w:spacing w:line="240" w:lineRule="auto"/>
        <w:ind w:left="360"/>
      </w:pPr>
      <w:r w:rsidRPr="005514AD">
        <w:t xml:space="preserve">Organization: </w:t>
      </w:r>
      <w:r>
        <w:t>Centers for Disease Control and Prevention</w:t>
      </w:r>
    </w:p>
    <w:p w14:paraId="22A7E674" w14:textId="3BADF428" w:rsidR="00133BD2" w:rsidRPr="005514AD" w:rsidRDefault="00133BD2" w:rsidP="00133BD2">
      <w:pPr>
        <w:spacing w:line="240" w:lineRule="auto"/>
        <w:ind w:left="360"/>
      </w:pPr>
      <w:r w:rsidRPr="005514AD">
        <w:t xml:space="preserve">Address: </w:t>
      </w:r>
      <w:r>
        <w:rPr>
          <w:lang w:val="en"/>
        </w:rPr>
        <w:t>4770 Buford Highway, MS F-58, Chamblee, GA 30341</w:t>
      </w:r>
    </w:p>
    <w:p w14:paraId="1E40BE38" w14:textId="7F43F022" w:rsidR="00133BD2" w:rsidRPr="005E676C" w:rsidRDefault="00133BD2" w:rsidP="00133BD2">
      <w:pPr>
        <w:spacing w:line="240" w:lineRule="auto"/>
        <w:ind w:left="360"/>
      </w:pPr>
      <w:r w:rsidRPr="005514AD">
        <w:t xml:space="preserve">Phone: </w:t>
      </w:r>
      <w:r>
        <w:t>770-488-3972</w:t>
      </w:r>
    </w:p>
    <w:p w14:paraId="34CE2829" w14:textId="17C76F9F" w:rsidR="00133BD2" w:rsidRPr="005514AD" w:rsidRDefault="00133BD2" w:rsidP="00133BD2">
      <w:pPr>
        <w:spacing w:line="240" w:lineRule="auto"/>
        <w:ind w:left="360"/>
      </w:pPr>
      <w:r w:rsidRPr="005514AD">
        <w:t xml:space="preserve">Fax: </w:t>
      </w:r>
      <w:r>
        <w:rPr>
          <w:lang w:val="en"/>
        </w:rPr>
        <w:t>770-488-7310</w:t>
      </w:r>
    </w:p>
    <w:p w14:paraId="63E7811D" w14:textId="354AD97E" w:rsidR="00133BD2" w:rsidRPr="005514AD" w:rsidRDefault="00133BD2" w:rsidP="00133BD2">
      <w:pPr>
        <w:spacing w:line="240" w:lineRule="auto"/>
        <w:ind w:left="360"/>
      </w:pPr>
      <w:r w:rsidRPr="005514AD">
        <w:t>Email</w:t>
      </w:r>
      <w:r>
        <w:t>: Jgerding@cdc.gov</w:t>
      </w:r>
    </w:p>
    <w:p w14:paraId="528612E6" w14:textId="77777777" w:rsidR="00133BD2" w:rsidRDefault="00133BD2" w:rsidP="005E676C">
      <w:pPr>
        <w:spacing w:line="240" w:lineRule="auto"/>
        <w:ind w:left="360"/>
      </w:pPr>
    </w:p>
    <w:p w14:paraId="2C1BD253" w14:textId="78EDCC14" w:rsidR="00133BD2" w:rsidRPr="005514AD" w:rsidRDefault="00133BD2" w:rsidP="00133BD2">
      <w:pPr>
        <w:spacing w:line="240" w:lineRule="auto"/>
        <w:ind w:left="360"/>
      </w:pPr>
      <w:r w:rsidRPr="005514AD">
        <w:t xml:space="preserve">Name: </w:t>
      </w:r>
      <w:r>
        <w:t>John Sarisky</w:t>
      </w:r>
    </w:p>
    <w:p w14:paraId="426095DD" w14:textId="1F8B0E06" w:rsidR="00133BD2" w:rsidRPr="005514AD" w:rsidRDefault="00133BD2" w:rsidP="00133BD2">
      <w:pPr>
        <w:spacing w:line="240" w:lineRule="auto"/>
        <w:ind w:left="360"/>
      </w:pPr>
      <w:r w:rsidRPr="005514AD">
        <w:t xml:space="preserve">Title: </w:t>
      </w:r>
      <w:r>
        <w:t>Acting Chief, Water, Food, and Environmental Health Services Branch</w:t>
      </w:r>
    </w:p>
    <w:p w14:paraId="0E6225B7" w14:textId="77777777" w:rsidR="00133BD2" w:rsidRPr="005514AD" w:rsidRDefault="00133BD2" w:rsidP="00133BD2">
      <w:pPr>
        <w:spacing w:line="240" w:lineRule="auto"/>
        <w:ind w:left="360"/>
      </w:pPr>
      <w:r w:rsidRPr="005514AD">
        <w:t xml:space="preserve">Organization: </w:t>
      </w:r>
      <w:r>
        <w:t>Centers for Disease Control and Prevention</w:t>
      </w:r>
    </w:p>
    <w:p w14:paraId="664D9C91" w14:textId="77777777" w:rsidR="00133BD2" w:rsidRPr="005514AD" w:rsidRDefault="00133BD2" w:rsidP="00133BD2">
      <w:pPr>
        <w:spacing w:line="240" w:lineRule="auto"/>
        <w:ind w:left="360"/>
      </w:pPr>
      <w:r w:rsidRPr="005514AD">
        <w:t xml:space="preserve">Address: </w:t>
      </w:r>
      <w:r>
        <w:rPr>
          <w:lang w:val="en"/>
        </w:rPr>
        <w:t>4770 Buford Highway, MS F-58, Chamblee, GA 30341</w:t>
      </w:r>
    </w:p>
    <w:p w14:paraId="4A7C64A1" w14:textId="588D312C" w:rsidR="00133BD2" w:rsidRPr="005E676C" w:rsidRDefault="00133BD2" w:rsidP="00133BD2">
      <w:pPr>
        <w:spacing w:line="240" w:lineRule="auto"/>
        <w:ind w:left="360"/>
      </w:pPr>
      <w:r w:rsidRPr="005514AD">
        <w:t xml:space="preserve">Phone: </w:t>
      </w:r>
      <w:r>
        <w:t>770-488-4131</w:t>
      </w:r>
    </w:p>
    <w:p w14:paraId="212D5B4B" w14:textId="77777777" w:rsidR="00133BD2" w:rsidRPr="005514AD" w:rsidRDefault="00133BD2" w:rsidP="00133BD2">
      <w:pPr>
        <w:spacing w:line="240" w:lineRule="auto"/>
        <w:ind w:left="360"/>
      </w:pPr>
      <w:r w:rsidRPr="005514AD">
        <w:t xml:space="preserve">Fax: </w:t>
      </w:r>
      <w:r>
        <w:rPr>
          <w:lang w:val="en"/>
        </w:rPr>
        <w:t>770-488-7310</w:t>
      </w:r>
    </w:p>
    <w:p w14:paraId="641407D0" w14:textId="5240BF23" w:rsidR="00133BD2" w:rsidRPr="005514AD" w:rsidRDefault="00133BD2" w:rsidP="00133BD2">
      <w:pPr>
        <w:spacing w:line="240" w:lineRule="auto"/>
        <w:ind w:left="360"/>
      </w:pPr>
      <w:r w:rsidRPr="005514AD">
        <w:t>Email</w:t>
      </w:r>
      <w:r>
        <w:t>: Jsarisky@cdc.gov</w:t>
      </w:r>
    </w:p>
    <w:p w14:paraId="6F7C9FE9" w14:textId="77777777" w:rsidR="00133BD2" w:rsidRDefault="00133BD2" w:rsidP="00133BD2">
      <w:pPr>
        <w:spacing w:line="240" w:lineRule="auto"/>
        <w:ind w:left="360"/>
      </w:pPr>
    </w:p>
    <w:p w14:paraId="2BBDF04D" w14:textId="2911AC48" w:rsidR="005E676C" w:rsidRPr="005514AD" w:rsidRDefault="005E676C" w:rsidP="005E676C">
      <w:pPr>
        <w:spacing w:line="240" w:lineRule="auto"/>
        <w:ind w:left="360"/>
      </w:pPr>
      <w:r w:rsidRPr="005514AD">
        <w:t xml:space="preserve">Name: </w:t>
      </w:r>
      <w:r>
        <w:t>Sandra Whitehead</w:t>
      </w:r>
    </w:p>
    <w:p w14:paraId="30B87E02" w14:textId="77777777" w:rsidR="005E676C" w:rsidRPr="005514AD" w:rsidRDefault="005E676C" w:rsidP="005E676C">
      <w:pPr>
        <w:spacing w:line="240" w:lineRule="auto"/>
        <w:ind w:left="360"/>
      </w:pPr>
      <w:r w:rsidRPr="005514AD">
        <w:t>Title: Director, Program &amp; Partnership Development</w:t>
      </w:r>
    </w:p>
    <w:p w14:paraId="30C6E9DF" w14:textId="77777777" w:rsidR="005E676C" w:rsidRPr="005514AD" w:rsidRDefault="005E676C" w:rsidP="005E676C">
      <w:pPr>
        <w:spacing w:line="240" w:lineRule="auto"/>
        <w:ind w:left="360"/>
      </w:pPr>
      <w:r w:rsidRPr="005514AD">
        <w:t>Organization: National Environmental Health Association</w:t>
      </w:r>
    </w:p>
    <w:p w14:paraId="5A06CD01" w14:textId="687E4DC2" w:rsidR="005E676C" w:rsidRPr="005514AD" w:rsidRDefault="005E676C" w:rsidP="005E676C">
      <w:pPr>
        <w:spacing w:line="240" w:lineRule="auto"/>
        <w:ind w:left="360"/>
      </w:pPr>
      <w:r w:rsidRPr="005514AD">
        <w:t xml:space="preserve">Address: </w:t>
      </w:r>
      <w:r w:rsidRPr="005E676C">
        <w:rPr>
          <w:lang w:val="en"/>
        </w:rPr>
        <w:t>720 S. Colorado Blvd., Suite 1000-N</w:t>
      </w:r>
      <w:r>
        <w:rPr>
          <w:lang w:val="en"/>
        </w:rPr>
        <w:t xml:space="preserve"> Denver, CO 80246</w:t>
      </w:r>
    </w:p>
    <w:p w14:paraId="51E7C21B" w14:textId="78EC4731" w:rsidR="005E676C" w:rsidRPr="005E676C" w:rsidRDefault="005E676C" w:rsidP="005E676C">
      <w:pPr>
        <w:spacing w:line="240" w:lineRule="auto"/>
        <w:ind w:left="360"/>
      </w:pPr>
      <w:r w:rsidRPr="005514AD">
        <w:t xml:space="preserve">Phone: </w:t>
      </w:r>
      <w:r>
        <w:t>850-</w:t>
      </w:r>
      <w:r w:rsidRPr="005E676C">
        <w:t>727</w:t>
      </w:r>
      <w:r>
        <w:t>-</w:t>
      </w:r>
      <w:r w:rsidRPr="005E676C">
        <w:t>2431</w:t>
      </w:r>
    </w:p>
    <w:p w14:paraId="03A8DB23" w14:textId="177EC2FF" w:rsidR="005E676C" w:rsidRPr="005514AD" w:rsidRDefault="005E676C" w:rsidP="005E676C">
      <w:pPr>
        <w:spacing w:line="240" w:lineRule="auto"/>
        <w:ind w:left="360"/>
      </w:pPr>
      <w:r w:rsidRPr="005514AD">
        <w:t xml:space="preserve">Fax: </w:t>
      </w:r>
      <w:r w:rsidRPr="005E676C">
        <w:rPr>
          <w:lang w:val="en"/>
        </w:rPr>
        <w:t>303</w:t>
      </w:r>
      <w:r>
        <w:rPr>
          <w:lang w:val="en"/>
        </w:rPr>
        <w:t>-</w:t>
      </w:r>
      <w:r w:rsidRPr="005E676C">
        <w:rPr>
          <w:lang w:val="en"/>
        </w:rPr>
        <w:t>691</w:t>
      </w:r>
      <w:r>
        <w:rPr>
          <w:lang w:val="en"/>
        </w:rPr>
        <w:t>-</w:t>
      </w:r>
      <w:r w:rsidRPr="005E676C">
        <w:rPr>
          <w:lang w:val="en"/>
        </w:rPr>
        <w:t>9490</w:t>
      </w:r>
    </w:p>
    <w:p w14:paraId="7FEB7ECA" w14:textId="787F2C1A" w:rsidR="005E676C" w:rsidRPr="005514AD" w:rsidRDefault="005E676C" w:rsidP="005E676C">
      <w:pPr>
        <w:spacing w:line="240" w:lineRule="auto"/>
        <w:ind w:left="360"/>
      </w:pPr>
      <w:r w:rsidRPr="005514AD">
        <w:t>Email</w:t>
      </w:r>
      <w:r>
        <w:t>: swhitehead</w:t>
      </w:r>
      <w:r w:rsidRPr="005514AD">
        <w:t>@neha.org</w:t>
      </w:r>
    </w:p>
    <w:p w14:paraId="08D02C1A" w14:textId="77777777" w:rsidR="005E676C" w:rsidRDefault="005E676C" w:rsidP="005E676C">
      <w:pPr>
        <w:spacing w:line="240" w:lineRule="auto"/>
        <w:ind w:left="360"/>
      </w:pPr>
    </w:p>
    <w:p w14:paraId="0884719E" w14:textId="5657FEA0" w:rsidR="00497BC1" w:rsidRPr="00821073" w:rsidRDefault="00497BC1" w:rsidP="005E676C">
      <w:pPr>
        <w:spacing w:line="240" w:lineRule="auto"/>
        <w:ind w:left="360"/>
      </w:pPr>
      <w:r w:rsidRPr="00821073">
        <w:t>Name</w:t>
      </w:r>
      <w:r w:rsidR="00B91FB3" w:rsidRPr="00821073">
        <w:t xml:space="preserve">: </w:t>
      </w:r>
      <w:r w:rsidR="00821073" w:rsidRPr="00821073">
        <w:t>Elizabeth Landeen</w:t>
      </w:r>
    </w:p>
    <w:p w14:paraId="5C077C42" w14:textId="3CB06271" w:rsidR="00497BC1" w:rsidRPr="00821073" w:rsidRDefault="00497BC1" w:rsidP="002955E6">
      <w:pPr>
        <w:spacing w:line="240" w:lineRule="auto"/>
        <w:ind w:left="360"/>
      </w:pPr>
      <w:r w:rsidRPr="00821073">
        <w:t>Title</w:t>
      </w:r>
      <w:r w:rsidR="00821073" w:rsidRPr="00821073">
        <w:t>: Associate Director, Program &amp; Partnership Development</w:t>
      </w:r>
    </w:p>
    <w:p w14:paraId="2636E338" w14:textId="41322D81" w:rsidR="00497BC1" w:rsidRPr="00821073" w:rsidRDefault="00683C7C" w:rsidP="002955E6">
      <w:pPr>
        <w:spacing w:line="240" w:lineRule="auto"/>
        <w:ind w:left="360"/>
      </w:pPr>
      <w:r w:rsidRPr="00821073">
        <w:t>Organization</w:t>
      </w:r>
      <w:r w:rsidR="00821073" w:rsidRPr="00821073">
        <w:t>: National Environmental Health Association</w:t>
      </w:r>
    </w:p>
    <w:p w14:paraId="0B28D466" w14:textId="77777777" w:rsidR="005E676C" w:rsidRPr="005E676C" w:rsidRDefault="00683C7C" w:rsidP="005E676C">
      <w:pPr>
        <w:spacing w:line="240" w:lineRule="auto"/>
        <w:ind w:left="360"/>
      </w:pPr>
      <w:r w:rsidRPr="00821073">
        <w:t>Address</w:t>
      </w:r>
      <w:r w:rsidR="00821073" w:rsidRPr="00821073">
        <w:t xml:space="preserve">: </w:t>
      </w:r>
      <w:r w:rsidR="005E676C" w:rsidRPr="005E676C">
        <w:rPr>
          <w:lang w:val="en"/>
        </w:rPr>
        <w:t>720 S. Colorado Blvd., Suite 1000-N Denver, CO 80246</w:t>
      </w:r>
    </w:p>
    <w:p w14:paraId="790587E7" w14:textId="1B8D033B" w:rsidR="00497BC1" w:rsidRPr="00821073" w:rsidRDefault="00683C7C" w:rsidP="002955E6">
      <w:pPr>
        <w:spacing w:line="240" w:lineRule="auto"/>
        <w:ind w:left="360"/>
      </w:pPr>
      <w:r w:rsidRPr="00821073">
        <w:t>Phone</w:t>
      </w:r>
      <w:r w:rsidR="00821073" w:rsidRPr="00821073">
        <w:t>: 702-802-3924</w:t>
      </w:r>
    </w:p>
    <w:p w14:paraId="643BA96B" w14:textId="26EAEE77" w:rsidR="00497BC1" w:rsidRPr="00821073" w:rsidRDefault="00821073" w:rsidP="002955E6">
      <w:pPr>
        <w:spacing w:line="240" w:lineRule="auto"/>
        <w:ind w:left="360"/>
      </w:pPr>
      <w:r w:rsidRPr="00821073">
        <w:t>Fax: 888-814-9866</w:t>
      </w:r>
    </w:p>
    <w:p w14:paraId="5FDF5B7D" w14:textId="634E1571" w:rsidR="00497BC1" w:rsidRPr="00821073" w:rsidRDefault="0061425F" w:rsidP="002955E6">
      <w:pPr>
        <w:spacing w:line="240" w:lineRule="auto"/>
        <w:ind w:left="360"/>
        <w:rPr>
          <w:rStyle w:val="Hyperlink"/>
          <w:color w:val="auto"/>
          <w:u w:val="none"/>
        </w:rPr>
      </w:pPr>
      <w:hyperlink r:id="rId14" w:history="1">
        <w:r w:rsidR="00683C7C" w:rsidRPr="00821073">
          <w:rPr>
            <w:rStyle w:val="Hyperlink"/>
            <w:color w:val="auto"/>
            <w:u w:val="none"/>
          </w:rPr>
          <w:t>Email</w:t>
        </w:r>
      </w:hyperlink>
      <w:r w:rsidR="00821073" w:rsidRPr="00821073">
        <w:rPr>
          <w:rStyle w:val="Hyperlink"/>
          <w:color w:val="auto"/>
          <w:u w:val="none"/>
        </w:rPr>
        <w:t>: elandeen@neha.org</w:t>
      </w:r>
    </w:p>
    <w:p w14:paraId="6AB63D27" w14:textId="77777777" w:rsidR="005514AD" w:rsidRDefault="005514AD" w:rsidP="00821073">
      <w:pPr>
        <w:spacing w:line="240" w:lineRule="auto"/>
        <w:ind w:left="360"/>
      </w:pPr>
    </w:p>
    <w:p w14:paraId="576EF8D6" w14:textId="6D72DDDC" w:rsidR="00821073" w:rsidRPr="00821073" w:rsidRDefault="00821073" w:rsidP="00821073">
      <w:pPr>
        <w:spacing w:line="240" w:lineRule="auto"/>
        <w:ind w:left="360"/>
      </w:pPr>
      <w:r w:rsidRPr="00821073">
        <w:t>Name: Bryan Brooks</w:t>
      </w:r>
    </w:p>
    <w:p w14:paraId="574CFCB0" w14:textId="0338606E" w:rsidR="00821073" w:rsidRPr="00821073" w:rsidRDefault="00821073" w:rsidP="00821073">
      <w:pPr>
        <w:spacing w:line="240" w:lineRule="auto"/>
        <w:ind w:left="360"/>
      </w:pPr>
      <w:r w:rsidRPr="00821073">
        <w:t>Title: Director, Environmental Health Science Program</w:t>
      </w:r>
    </w:p>
    <w:p w14:paraId="3F86C8B3" w14:textId="5FD2F3A8" w:rsidR="00821073" w:rsidRPr="00821073" w:rsidRDefault="00821073" w:rsidP="00821073">
      <w:pPr>
        <w:spacing w:line="240" w:lineRule="auto"/>
        <w:ind w:left="360"/>
      </w:pPr>
      <w:r w:rsidRPr="00821073">
        <w:t>Organization: Baylor University</w:t>
      </w:r>
    </w:p>
    <w:p w14:paraId="30CE4FEC" w14:textId="0B47EFEB" w:rsidR="00821073" w:rsidRPr="00821073" w:rsidRDefault="00821073" w:rsidP="00821073">
      <w:pPr>
        <w:spacing w:line="240" w:lineRule="auto"/>
        <w:ind w:left="360"/>
      </w:pPr>
      <w:r w:rsidRPr="00821073">
        <w:t>Address: One Bear Place #97266 Waco, TX 76798-7266</w:t>
      </w:r>
    </w:p>
    <w:p w14:paraId="6E96B54F" w14:textId="4969A9D6" w:rsidR="00821073" w:rsidRPr="00821073" w:rsidRDefault="00821073" w:rsidP="00821073">
      <w:pPr>
        <w:spacing w:line="240" w:lineRule="auto"/>
        <w:ind w:left="360"/>
      </w:pPr>
      <w:r w:rsidRPr="00821073">
        <w:t>Phone: 254-710-6553</w:t>
      </w:r>
    </w:p>
    <w:p w14:paraId="35F7C865" w14:textId="1C957202" w:rsidR="00821073" w:rsidRPr="00821073" w:rsidRDefault="00821073" w:rsidP="00821073">
      <w:pPr>
        <w:spacing w:line="240" w:lineRule="auto"/>
        <w:ind w:left="360"/>
      </w:pPr>
      <w:r w:rsidRPr="00821073">
        <w:t>Fax: 254-710-3409</w:t>
      </w:r>
    </w:p>
    <w:p w14:paraId="7DCFA6A0" w14:textId="4F2C46A0" w:rsidR="00821073" w:rsidRPr="00821073" w:rsidRDefault="0061425F" w:rsidP="00821073">
      <w:pPr>
        <w:spacing w:line="240" w:lineRule="auto"/>
        <w:ind w:left="360"/>
        <w:rPr>
          <w:rStyle w:val="Hyperlink"/>
          <w:color w:val="auto"/>
          <w:u w:val="none"/>
        </w:rPr>
      </w:pPr>
      <w:hyperlink r:id="rId15" w:history="1">
        <w:r w:rsidR="00821073" w:rsidRPr="00821073">
          <w:rPr>
            <w:rStyle w:val="Hyperlink"/>
            <w:color w:val="auto"/>
            <w:u w:val="none"/>
          </w:rPr>
          <w:t>Email</w:t>
        </w:r>
      </w:hyperlink>
      <w:r w:rsidR="00821073" w:rsidRPr="00821073">
        <w:rPr>
          <w:rStyle w:val="Hyperlink"/>
          <w:color w:val="auto"/>
          <w:u w:val="none"/>
        </w:rPr>
        <w:t>: Bryan_Brooks@baylor.edu</w:t>
      </w:r>
    </w:p>
    <w:p w14:paraId="3B7C6BE8" w14:textId="0864511B" w:rsidR="00865573" w:rsidRPr="00865573" w:rsidRDefault="00865573" w:rsidP="0023051E">
      <w:pPr>
        <w:spacing w:line="240" w:lineRule="auto"/>
        <w:ind w:left="0"/>
        <w:rPr>
          <w:rStyle w:val="Hyperlink"/>
          <w:b/>
          <w:color w:val="0070C0"/>
        </w:rPr>
      </w:pPr>
    </w:p>
    <w:p w14:paraId="2F4487B0" w14:textId="77777777" w:rsidR="00A36419" w:rsidRPr="00BC6896" w:rsidRDefault="00A36419" w:rsidP="002955E6">
      <w:pPr>
        <w:pStyle w:val="Heading3"/>
        <w:spacing w:line="240" w:lineRule="auto"/>
      </w:pPr>
      <w:bookmarkStart w:id="8" w:name="_Toc413847916"/>
      <w:r w:rsidRPr="00BC6896">
        <w:t>LIST OF ATTACHMENTS</w:t>
      </w:r>
      <w:r w:rsidR="00E24C20" w:rsidRPr="00BC6896">
        <w:t xml:space="preserve"> – Section B</w:t>
      </w:r>
      <w:bookmarkEnd w:id="8"/>
    </w:p>
    <w:p w14:paraId="75F464E6" w14:textId="77777777" w:rsidR="00C22E37" w:rsidRDefault="00494F9B" w:rsidP="00456462">
      <w:pPr>
        <w:ind w:left="0"/>
      </w:pPr>
      <w:r w:rsidRPr="00187CA5">
        <w:t>Attachment</w:t>
      </w:r>
      <w:r w:rsidRPr="002D210D">
        <w:t xml:space="preserve"> </w:t>
      </w:r>
      <w:r w:rsidR="00C22E37">
        <w:t>D</w:t>
      </w:r>
      <w:r w:rsidRPr="002D210D">
        <w:t xml:space="preserve">: </w:t>
      </w:r>
      <w:r w:rsidR="00C22E37" w:rsidRPr="002D210D">
        <w:t>Facilitation Guide</w:t>
      </w:r>
    </w:p>
    <w:p w14:paraId="436ADB9F" w14:textId="6A5C2FF9" w:rsidR="00494F9B" w:rsidRPr="002D210D" w:rsidRDefault="00494F9B" w:rsidP="00456462">
      <w:pPr>
        <w:ind w:left="0"/>
      </w:pPr>
      <w:r w:rsidRPr="002D210D">
        <w:t xml:space="preserve">Attachment </w:t>
      </w:r>
      <w:r w:rsidR="00C22E37">
        <w:t>E</w:t>
      </w:r>
      <w:r w:rsidRPr="002D210D">
        <w:t>:</w:t>
      </w:r>
      <w:r w:rsidR="000300EA">
        <w:t xml:space="preserve"> Assessment Topics </w:t>
      </w:r>
      <w:r w:rsidRPr="002D210D">
        <w:t xml:space="preserve"> </w:t>
      </w:r>
    </w:p>
    <w:p w14:paraId="045B9F13" w14:textId="2CC92DCE" w:rsidR="00494F9B" w:rsidRPr="002D210D" w:rsidRDefault="00B7248E" w:rsidP="00456462">
      <w:pPr>
        <w:ind w:left="0"/>
      </w:pPr>
      <w:r w:rsidRPr="002D210D">
        <w:t xml:space="preserve">Attachment G: </w:t>
      </w:r>
      <w:r w:rsidR="00494F9B" w:rsidRPr="002D210D">
        <w:t>Notification Email</w:t>
      </w:r>
    </w:p>
    <w:p w14:paraId="4671C501" w14:textId="77777777" w:rsidR="00187CA5" w:rsidRDefault="00494F9B" w:rsidP="00456462">
      <w:pPr>
        <w:ind w:left="0"/>
      </w:pPr>
      <w:r w:rsidRPr="002D210D">
        <w:t xml:space="preserve">Attachment </w:t>
      </w:r>
      <w:r w:rsidR="00B7248E" w:rsidRPr="002D210D">
        <w:t>H</w:t>
      </w:r>
      <w:r w:rsidRPr="002D210D">
        <w:t xml:space="preserve">: Reminder Email </w:t>
      </w:r>
    </w:p>
    <w:p w14:paraId="6DA2E784" w14:textId="7424E4FD" w:rsidR="00494F9B" w:rsidRPr="002D210D" w:rsidRDefault="00494F9B" w:rsidP="00456462">
      <w:pPr>
        <w:ind w:left="0"/>
      </w:pPr>
      <w:r w:rsidRPr="002D210D">
        <w:t xml:space="preserve">Attachment </w:t>
      </w:r>
      <w:r w:rsidR="00B7248E" w:rsidRPr="002D210D">
        <w:t>I</w:t>
      </w:r>
      <w:r w:rsidRPr="002D210D">
        <w:t>: Confirmation Email</w:t>
      </w:r>
    </w:p>
    <w:p w14:paraId="2F850CD5" w14:textId="0BF0E363" w:rsidR="004E5865" w:rsidRPr="002D210D" w:rsidRDefault="00B7248E" w:rsidP="00456462">
      <w:pPr>
        <w:ind w:left="0"/>
      </w:pPr>
      <w:r w:rsidRPr="002D210D">
        <w:t>Attachment J</w:t>
      </w:r>
      <w:r w:rsidR="00494F9B" w:rsidRPr="002D210D">
        <w:t>: Confirmation Call</w:t>
      </w:r>
    </w:p>
    <w:p w14:paraId="12983C4C" w14:textId="77777777" w:rsidR="00400C2C" w:rsidRPr="002D210D" w:rsidRDefault="00400C2C" w:rsidP="00494F9B">
      <w:pPr>
        <w:pStyle w:val="ListParagraph"/>
        <w:spacing w:line="240" w:lineRule="auto"/>
        <w:ind w:left="0"/>
        <w:rPr>
          <w:rFonts w:ascii="Cambria" w:hAnsi="Cambria"/>
          <w:color w:val="0070C0"/>
        </w:rPr>
      </w:pPr>
    </w:p>
    <w:p w14:paraId="754DE674" w14:textId="77777777" w:rsidR="00865573" w:rsidRDefault="00865573" w:rsidP="002955E6">
      <w:pPr>
        <w:spacing w:line="240" w:lineRule="auto"/>
        <w:ind w:left="0" w:firstLine="360"/>
        <w:rPr>
          <w:rFonts w:ascii="Cambria" w:hAnsi="Cambria"/>
          <w:color w:val="0070C0"/>
        </w:rPr>
      </w:pPr>
    </w:p>
    <w:sectPr w:rsidR="00865573"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495AF" w14:textId="77777777" w:rsidR="00110043" w:rsidRDefault="00110043" w:rsidP="00BC6896">
      <w:r>
        <w:separator/>
      </w:r>
    </w:p>
    <w:p w14:paraId="6F2F4173" w14:textId="77777777" w:rsidR="00110043" w:rsidRDefault="00110043" w:rsidP="00BC6896"/>
  </w:endnote>
  <w:endnote w:type="continuationSeparator" w:id="0">
    <w:p w14:paraId="1C8BCF06" w14:textId="77777777" w:rsidR="00110043" w:rsidRDefault="00110043" w:rsidP="00BC6896">
      <w:r>
        <w:continuationSeparator/>
      </w:r>
    </w:p>
    <w:p w14:paraId="3A91DEB7" w14:textId="77777777" w:rsidR="00110043" w:rsidRDefault="00110043"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5B44F1DA" w14:textId="7B0FFCCA" w:rsidR="0098632B" w:rsidRDefault="009863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1425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425F">
              <w:rPr>
                <w:b/>
                <w:bCs/>
                <w:noProof/>
              </w:rPr>
              <w:t>2</w:t>
            </w:r>
            <w:r>
              <w:rPr>
                <w:b/>
                <w:bCs/>
                <w:sz w:val="24"/>
                <w:szCs w:val="24"/>
              </w:rPr>
              <w:fldChar w:fldCharType="end"/>
            </w:r>
          </w:p>
        </w:sdtContent>
      </w:sdt>
    </w:sdtContent>
  </w:sdt>
  <w:p w14:paraId="7EFF13D4" w14:textId="77777777" w:rsidR="0098632B" w:rsidRDefault="0098632B"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A1E80" w14:textId="77777777" w:rsidR="00110043" w:rsidRDefault="00110043" w:rsidP="00BC6896">
      <w:r>
        <w:separator/>
      </w:r>
    </w:p>
    <w:p w14:paraId="5380D949" w14:textId="77777777" w:rsidR="00110043" w:rsidRDefault="00110043" w:rsidP="00BC6896"/>
  </w:footnote>
  <w:footnote w:type="continuationSeparator" w:id="0">
    <w:p w14:paraId="12CC9614" w14:textId="77777777" w:rsidR="00110043" w:rsidRDefault="00110043" w:rsidP="00BC6896">
      <w:r>
        <w:continuationSeparator/>
      </w:r>
    </w:p>
    <w:p w14:paraId="4DA63D54" w14:textId="77777777" w:rsidR="00110043" w:rsidRDefault="00110043"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CEAF8" w14:textId="77777777" w:rsidR="0098632B" w:rsidRPr="00716F94" w:rsidRDefault="0098632B" w:rsidP="00BC6896">
    <w:pPr>
      <w:pStyle w:val="Header"/>
      <w:rPr>
        <w:color w:val="0033CC"/>
      </w:rPr>
    </w:pPr>
    <w:r>
      <w:tab/>
    </w:r>
  </w:p>
  <w:p w14:paraId="236F00EA" w14:textId="77777777" w:rsidR="0098632B" w:rsidRDefault="0098632B"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813A8"/>
    <w:multiLevelType w:val="hybridMultilevel"/>
    <w:tmpl w:val="78B42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204449"/>
    <w:multiLevelType w:val="hybridMultilevel"/>
    <w:tmpl w:val="F5345392"/>
    <w:lvl w:ilvl="0" w:tplc="6B3AEAC4">
      <w:start w:val="5"/>
      <w:numFmt w:val="upperLetter"/>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D16A89"/>
    <w:multiLevelType w:val="hybridMultilevel"/>
    <w:tmpl w:val="3B708212"/>
    <w:lvl w:ilvl="0" w:tplc="479A45F6">
      <w:start w:val="8"/>
      <w:numFmt w:val="upperLetter"/>
      <w:lvlText w:val="%1&gt;"/>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C22BD"/>
    <w:multiLevelType w:val="hybridMultilevel"/>
    <w:tmpl w:val="DCF6675A"/>
    <w:lvl w:ilvl="0" w:tplc="F13E8AF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F21F9"/>
    <w:multiLevelType w:val="hybridMultilevel"/>
    <w:tmpl w:val="36502D5C"/>
    <w:lvl w:ilvl="0" w:tplc="0BC6100E">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3C654E"/>
    <w:multiLevelType w:val="hybridMultilevel"/>
    <w:tmpl w:val="23D29688"/>
    <w:lvl w:ilvl="0" w:tplc="77D47A6E">
      <w:start w:val="1"/>
      <w:numFmt w:val="upperLetter"/>
      <w:lvlText w:val="%1."/>
      <w:lvlJc w:val="left"/>
      <w:pPr>
        <w:ind w:left="1080" w:hanging="360"/>
      </w:pPr>
      <w:rPr>
        <w:rFonts w:asciiTheme="majorHAnsi" w:eastAsiaTheme="minorEastAsia" w:hAnsiTheme="majorHAnsi" w:cstheme="minorBidi"/>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nsid w:val="5363456D"/>
    <w:multiLevelType w:val="hybridMultilevel"/>
    <w:tmpl w:val="78CEE396"/>
    <w:lvl w:ilvl="0" w:tplc="22D6D15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A5B1A7D"/>
    <w:multiLevelType w:val="hybridMultilevel"/>
    <w:tmpl w:val="9CC23E34"/>
    <w:lvl w:ilvl="0" w:tplc="04090015">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E50CFE"/>
    <w:multiLevelType w:val="hybridMultilevel"/>
    <w:tmpl w:val="4C745E74"/>
    <w:lvl w:ilvl="0" w:tplc="EB48B928">
      <w:start w:val="1"/>
      <w:numFmt w:val="upperRoman"/>
      <w:lvlText w:val="%1."/>
      <w:lvlJc w:val="left"/>
      <w:pPr>
        <w:ind w:left="1080" w:hanging="360"/>
      </w:pPr>
      <w:rPr>
        <w:rFonts w:asciiTheme="majorHAnsi" w:eastAsiaTheme="minorEastAsia" w:hAnsiTheme="majorHAnsi" w:cstheme="minorBidi"/>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0"/>
  </w:num>
  <w:num w:numId="3">
    <w:abstractNumId w:val="42"/>
  </w:num>
  <w:num w:numId="4">
    <w:abstractNumId w:val="14"/>
  </w:num>
  <w:num w:numId="5">
    <w:abstractNumId w:val="30"/>
  </w:num>
  <w:num w:numId="6">
    <w:abstractNumId w:val="8"/>
  </w:num>
  <w:num w:numId="7">
    <w:abstractNumId w:val="0"/>
  </w:num>
  <w:num w:numId="8">
    <w:abstractNumId w:val="6"/>
  </w:num>
  <w:num w:numId="9">
    <w:abstractNumId w:val="12"/>
  </w:num>
  <w:num w:numId="10">
    <w:abstractNumId w:val="34"/>
  </w:num>
  <w:num w:numId="11">
    <w:abstractNumId w:val="2"/>
  </w:num>
  <w:num w:numId="12">
    <w:abstractNumId w:val="41"/>
  </w:num>
  <w:num w:numId="13">
    <w:abstractNumId w:val="7"/>
  </w:num>
  <w:num w:numId="14">
    <w:abstractNumId w:val="3"/>
  </w:num>
  <w:num w:numId="15">
    <w:abstractNumId w:val="39"/>
  </w:num>
  <w:num w:numId="16">
    <w:abstractNumId w:val="44"/>
  </w:num>
  <w:num w:numId="17">
    <w:abstractNumId w:val="11"/>
  </w:num>
  <w:num w:numId="18">
    <w:abstractNumId w:val="16"/>
  </w:num>
  <w:num w:numId="19">
    <w:abstractNumId w:val="4"/>
  </w:num>
  <w:num w:numId="20">
    <w:abstractNumId w:val="18"/>
  </w:num>
  <w:num w:numId="21">
    <w:abstractNumId w:val="43"/>
  </w:num>
  <w:num w:numId="22">
    <w:abstractNumId w:val="36"/>
  </w:num>
  <w:num w:numId="23">
    <w:abstractNumId w:val="15"/>
  </w:num>
  <w:num w:numId="24">
    <w:abstractNumId w:val="38"/>
  </w:num>
  <w:num w:numId="25">
    <w:abstractNumId w:val="40"/>
  </w:num>
  <w:num w:numId="26">
    <w:abstractNumId w:val="24"/>
  </w:num>
  <w:num w:numId="27">
    <w:abstractNumId w:val="28"/>
  </w:num>
  <w:num w:numId="28">
    <w:abstractNumId w:val="25"/>
  </w:num>
  <w:num w:numId="29">
    <w:abstractNumId w:val="32"/>
  </w:num>
  <w:num w:numId="30">
    <w:abstractNumId w:val="27"/>
  </w:num>
  <w:num w:numId="31">
    <w:abstractNumId w:val="13"/>
  </w:num>
  <w:num w:numId="32">
    <w:abstractNumId w:val="29"/>
  </w:num>
  <w:num w:numId="33">
    <w:abstractNumId w:val="22"/>
  </w:num>
  <w:num w:numId="34">
    <w:abstractNumId w:val="19"/>
  </w:num>
  <w:num w:numId="35">
    <w:abstractNumId w:val="33"/>
  </w:num>
  <w:num w:numId="36">
    <w:abstractNumId w:val="26"/>
  </w:num>
  <w:num w:numId="37">
    <w:abstractNumId w:val="9"/>
  </w:num>
  <w:num w:numId="38">
    <w:abstractNumId w:val="23"/>
  </w:num>
  <w:num w:numId="39">
    <w:abstractNumId w:val="37"/>
  </w:num>
  <w:num w:numId="40">
    <w:abstractNumId w:val="35"/>
  </w:num>
  <w:num w:numId="41">
    <w:abstractNumId w:val="17"/>
  </w:num>
  <w:num w:numId="42">
    <w:abstractNumId w:val="21"/>
  </w:num>
  <w:num w:numId="43">
    <w:abstractNumId w:val="31"/>
  </w:num>
  <w:num w:numId="44">
    <w:abstractNumId w:val="10"/>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93"/>
    <w:rsid w:val="00010420"/>
    <w:rsid w:val="00010947"/>
    <w:rsid w:val="00011A98"/>
    <w:rsid w:val="00011F8D"/>
    <w:rsid w:val="000130B4"/>
    <w:rsid w:val="00014361"/>
    <w:rsid w:val="000279A9"/>
    <w:rsid w:val="000300EA"/>
    <w:rsid w:val="000474FB"/>
    <w:rsid w:val="00051C7E"/>
    <w:rsid w:val="00052A34"/>
    <w:rsid w:val="00053A92"/>
    <w:rsid w:val="000557D0"/>
    <w:rsid w:val="0005605E"/>
    <w:rsid w:val="00057F36"/>
    <w:rsid w:val="000A1F30"/>
    <w:rsid w:val="000A538D"/>
    <w:rsid w:val="000B7C51"/>
    <w:rsid w:val="000D3F1C"/>
    <w:rsid w:val="000E6577"/>
    <w:rsid w:val="000E7A19"/>
    <w:rsid w:val="000F36A3"/>
    <w:rsid w:val="000F5453"/>
    <w:rsid w:val="001030FC"/>
    <w:rsid w:val="00104A1B"/>
    <w:rsid w:val="001057F8"/>
    <w:rsid w:val="00110043"/>
    <w:rsid w:val="0011697E"/>
    <w:rsid w:val="001177DD"/>
    <w:rsid w:val="001308EB"/>
    <w:rsid w:val="00133BD2"/>
    <w:rsid w:val="001412D4"/>
    <w:rsid w:val="00144F64"/>
    <w:rsid w:val="00151567"/>
    <w:rsid w:val="00163E17"/>
    <w:rsid w:val="00166F9E"/>
    <w:rsid w:val="00175844"/>
    <w:rsid w:val="00176E14"/>
    <w:rsid w:val="00183C69"/>
    <w:rsid w:val="00187CA5"/>
    <w:rsid w:val="00187D5A"/>
    <w:rsid w:val="001960AE"/>
    <w:rsid w:val="001972D7"/>
    <w:rsid w:val="001A28F6"/>
    <w:rsid w:val="001A7D0E"/>
    <w:rsid w:val="001B2831"/>
    <w:rsid w:val="001C0493"/>
    <w:rsid w:val="001C28AD"/>
    <w:rsid w:val="001D2951"/>
    <w:rsid w:val="001D461D"/>
    <w:rsid w:val="001D7FCB"/>
    <w:rsid w:val="001E12BF"/>
    <w:rsid w:val="001E2B99"/>
    <w:rsid w:val="001E69B6"/>
    <w:rsid w:val="001F4DBB"/>
    <w:rsid w:val="001F501E"/>
    <w:rsid w:val="001F7C89"/>
    <w:rsid w:val="00202660"/>
    <w:rsid w:val="0020312D"/>
    <w:rsid w:val="0020495F"/>
    <w:rsid w:val="00206E33"/>
    <w:rsid w:val="00210519"/>
    <w:rsid w:val="0023051E"/>
    <w:rsid w:val="00230CEF"/>
    <w:rsid w:val="00237CA1"/>
    <w:rsid w:val="00241B17"/>
    <w:rsid w:val="00241C81"/>
    <w:rsid w:val="00245F1F"/>
    <w:rsid w:val="00252BF8"/>
    <w:rsid w:val="00256392"/>
    <w:rsid w:val="00257A1C"/>
    <w:rsid w:val="002721C7"/>
    <w:rsid w:val="0027234C"/>
    <w:rsid w:val="00272E03"/>
    <w:rsid w:val="002747C3"/>
    <w:rsid w:val="00281795"/>
    <w:rsid w:val="002850E3"/>
    <w:rsid w:val="00287E2F"/>
    <w:rsid w:val="00293E75"/>
    <w:rsid w:val="002955E6"/>
    <w:rsid w:val="002A1948"/>
    <w:rsid w:val="002B1EB9"/>
    <w:rsid w:val="002C0877"/>
    <w:rsid w:val="002C2AE2"/>
    <w:rsid w:val="002D0DCE"/>
    <w:rsid w:val="002D210D"/>
    <w:rsid w:val="002E2B10"/>
    <w:rsid w:val="002E2CF3"/>
    <w:rsid w:val="002E6716"/>
    <w:rsid w:val="002F1502"/>
    <w:rsid w:val="002F169D"/>
    <w:rsid w:val="002F2069"/>
    <w:rsid w:val="002F3D87"/>
    <w:rsid w:val="002F6F92"/>
    <w:rsid w:val="003041AD"/>
    <w:rsid w:val="0031279F"/>
    <w:rsid w:val="00312D63"/>
    <w:rsid w:val="003161B9"/>
    <w:rsid w:val="00324DA8"/>
    <w:rsid w:val="00327D05"/>
    <w:rsid w:val="00335EBD"/>
    <w:rsid w:val="00336D96"/>
    <w:rsid w:val="003429C3"/>
    <w:rsid w:val="00344F07"/>
    <w:rsid w:val="003469C8"/>
    <w:rsid w:val="00355EA4"/>
    <w:rsid w:val="003635BE"/>
    <w:rsid w:val="00366B5E"/>
    <w:rsid w:val="00372844"/>
    <w:rsid w:val="00380271"/>
    <w:rsid w:val="0038560A"/>
    <w:rsid w:val="00395182"/>
    <w:rsid w:val="00396796"/>
    <w:rsid w:val="003C31C9"/>
    <w:rsid w:val="003C3D1C"/>
    <w:rsid w:val="003C4961"/>
    <w:rsid w:val="003C7C5D"/>
    <w:rsid w:val="003D0AD2"/>
    <w:rsid w:val="003E4383"/>
    <w:rsid w:val="003E4E7D"/>
    <w:rsid w:val="003E5D57"/>
    <w:rsid w:val="003F5913"/>
    <w:rsid w:val="00400C2C"/>
    <w:rsid w:val="004024F8"/>
    <w:rsid w:val="004060D2"/>
    <w:rsid w:val="0041159A"/>
    <w:rsid w:val="00413FCD"/>
    <w:rsid w:val="00414772"/>
    <w:rsid w:val="0042604A"/>
    <w:rsid w:val="004305A8"/>
    <w:rsid w:val="0043150B"/>
    <w:rsid w:val="0043417A"/>
    <w:rsid w:val="00443CA0"/>
    <w:rsid w:val="00450E14"/>
    <w:rsid w:val="00456462"/>
    <w:rsid w:val="00462C65"/>
    <w:rsid w:val="00467B14"/>
    <w:rsid w:val="00473990"/>
    <w:rsid w:val="0047439A"/>
    <w:rsid w:val="00474EDA"/>
    <w:rsid w:val="0047536D"/>
    <w:rsid w:val="004824FA"/>
    <w:rsid w:val="00484011"/>
    <w:rsid w:val="004841F1"/>
    <w:rsid w:val="00484F85"/>
    <w:rsid w:val="00487E55"/>
    <w:rsid w:val="00494F9B"/>
    <w:rsid w:val="00497BC1"/>
    <w:rsid w:val="004A1E3A"/>
    <w:rsid w:val="004B1D39"/>
    <w:rsid w:val="004B4EB5"/>
    <w:rsid w:val="004C28DC"/>
    <w:rsid w:val="004C4AEA"/>
    <w:rsid w:val="004D559C"/>
    <w:rsid w:val="004D70EE"/>
    <w:rsid w:val="004E003C"/>
    <w:rsid w:val="004E16EB"/>
    <w:rsid w:val="004E5865"/>
    <w:rsid w:val="004E6665"/>
    <w:rsid w:val="004F634E"/>
    <w:rsid w:val="004F67A8"/>
    <w:rsid w:val="00511FE2"/>
    <w:rsid w:val="00522A50"/>
    <w:rsid w:val="00527225"/>
    <w:rsid w:val="0053557D"/>
    <w:rsid w:val="00535DD2"/>
    <w:rsid w:val="00537468"/>
    <w:rsid w:val="005463DE"/>
    <w:rsid w:val="00546DC2"/>
    <w:rsid w:val="00547E04"/>
    <w:rsid w:val="00550730"/>
    <w:rsid w:val="005514AD"/>
    <w:rsid w:val="005542E8"/>
    <w:rsid w:val="00556630"/>
    <w:rsid w:val="0055686D"/>
    <w:rsid w:val="005656A9"/>
    <w:rsid w:val="005800EE"/>
    <w:rsid w:val="0058336B"/>
    <w:rsid w:val="005869D6"/>
    <w:rsid w:val="00587928"/>
    <w:rsid w:val="00593E85"/>
    <w:rsid w:val="005A33F6"/>
    <w:rsid w:val="005A59E5"/>
    <w:rsid w:val="005B7440"/>
    <w:rsid w:val="005C6E9D"/>
    <w:rsid w:val="005E2150"/>
    <w:rsid w:val="005E2995"/>
    <w:rsid w:val="005E6220"/>
    <w:rsid w:val="005E676C"/>
    <w:rsid w:val="005F3ADE"/>
    <w:rsid w:val="005F3FEF"/>
    <w:rsid w:val="005F5728"/>
    <w:rsid w:val="005F67E7"/>
    <w:rsid w:val="00601392"/>
    <w:rsid w:val="006075F6"/>
    <w:rsid w:val="00607F7C"/>
    <w:rsid w:val="006102DA"/>
    <w:rsid w:val="0061425F"/>
    <w:rsid w:val="006161CF"/>
    <w:rsid w:val="00621F93"/>
    <w:rsid w:val="006315A3"/>
    <w:rsid w:val="00633D2D"/>
    <w:rsid w:val="00637151"/>
    <w:rsid w:val="006379E9"/>
    <w:rsid w:val="00637CC1"/>
    <w:rsid w:val="006466BA"/>
    <w:rsid w:val="006579A2"/>
    <w:rsid w:val="00667C89"/>
    <w:rsid w:val="006711EE"/>
    <w:rsid w:val="00672B52"/>
    <w:rsid w:val="006809BB"/>
    <w:rsid w:val="006809FD"/>
    <w:rsid w:val="00683C7C"/>
    <w:rsid w:val="00687C5F"/>
    <w:rsid w:val="00691031"/>
    <w:rsid w:val="00691D1F"/>
    <w:rsid w:val="0069580C"/>
    <w:rsid w:val="00697BAE"/>
    <w:rsid w:val="006A63FD"/>
    <w:rsid w:val="006B4C05"/>
    <w:rsid w:val="006B4DDC"/>
    <w:rsid w:val="006B4F10"/>
    <w:rsid w:val="006B5E55"/>
    <w:rsid w:val="006B7FE7"/>
    <w:rsid w:val="006C1771"/>
    <w:rsid w:val="006D108A"/>
    <w:rsid w:val="006D25A1"/>
    <w:rsid w:val="006D6932"/>
    <w:rsid w:val="006E4BB7"/>
    <w:rsid w:val="006F23AF"/>
    <w:rsid w:val="006F6856"/>
    <w:rsid w:val="006F6CA2"/>
    <w:rsid w:val="0071190E"/>
    <w:rsid w:val="007145D0"/>
    <w:rsid w:val="00716F94"/>
    <w:rsid w:val="007310B6"/>
    <w:rsid w:val="007455C2"/>
    <w:rsid w:val="00760E12"/>
    <w:rsid w:val="00763CF3"/>
    <w:rsid w:val="00772293"/>
    <w:rsid w:val="00783A3C"/>
    <w:rsid w:val="00783C75"/>
    <w:rsid w:val="00784619"/>
    <w:rsid w:val="0078627B"/>
    <w:rsid w:val="00787C0F"/>
    <w:rsid w:val="00791274"/>
    <w:rsid w:val="0079260B"/>
    <w:rsid w:val="00794E32"/>
    <w:rsid w:val="007B305A"/>
    <w:rsid w:val="007E3F71"/>
    <w:rsid w:val="007F543E"/>
    <w:rsid w:val="00800993"/>
    <w:rsid w:val="00810B09"/>
    <w:rsid w:val="00810FBF"/>
    <w:rsid w:val="00815C7D"/>
    <w:rsid w:val="00817941"/>
    <w:rsid w:val="00821073"/>
    <w:rsid w:val="008261AB"/>
    <w:rsid w:val="008306E5"/>
    <w:rsid w:val="00835CA7"/>
    <w:rsid w:val="008370D4"/>
    <w:rsid w:val="008414AD"/>
    <w:rsid w:val="008428D9"/>
    <w:rsid w:val="00860653"/>
    <w:rsid w:val="00865573"/>
    <w:rsid w:val="008759F6"/>
    <w:rsid w:val="00876B98"/>
    <w:rsid w:val="00884DB9"/>
    <w:rsid w:val="00893C30"/>
    <w:rsid w:val="0089676F"/>
    <w:rsid w:val="008C67D2"/>
    <w:rsid w:val="008D15B4"/>
    <w:rsid w:val="008E0683"/>
    <w:rsid w:val="008F714E"/>
    <w:rsid w:val="008F78AA"/>
    <w:rsid w:val="008F7CA7"/>
    <w:rsid w:val="00902DD9"/>
    <w:rsid w:val="00911466"/>
    <w:rsid w:val="00911486"/>
    <w:rsid w:val="009129CA"/>
    <w:rsid w:val="00917632"/>
    <w:rsid w:val="009206B6"/>
    <w:rsid w:val="009228C4"/>
    <w:rsid w:val="009263C1"/>
    <w:rsid w:val="00931C02"/>
    <w:rsid w:val="00935FFD"/>
    <w:rsid w:val="00941B4F"/>
    <w:rsid w:val="00963236"/>
    <w:rsid w:val="00963CE3"/>
    <w:rsid w:val="00964F18"/>
    <w:rsid w:val="0097039F"/>
    <w:rsid w:val="00974424"/>
    <w:rsid w:val="009759F3"/>
    <w:rsid w:val="0098632B"/>
    <w:rsid w:val="00987F76"/>
    <w:rsid w:val="00990C36"/>
    <w:rsid w:val="00991BF9"/>
    <w:rsid w:val="00993088"/>
    <w:rsid w:val="0099664F"/>
    <w:rsid w:val="00997D5D"/>
    <w:rsid w:val="009A0447"/>
    <w:rsid w:val="009B034F"/>
    <w:rsid w:val="009B4A51"/>
    <w:rsid w:val="009C28B1"/>
    <w:rsid w:val="009C61AD"/>
    <w:rsid w:val="009D373D"/>
    <w:rsid w:val="009D77CD"/>
    <w:rsid w:val="009E1D05"/>
    <w:rsid w:val="009E555B"/>
    <w:rsid w:val="009F4E8D"/>
    <w:rsid w:val="009F7283"/>
    <w:rsid w:val="00A00C86"/>
    <w:rsid w:val="00A10D54"/>
    <w:rsid w:val="00A11B0C"/>
    <w:rsid w:val="00A305CE"/>
    <w:rsid w:val="00A33B35"/>
    <w:rsid w:val="00A340AA"/>
    <w:rsid w:val="00A36419"/>
    <w:rsid w:val="00A37AE0"/>
    <w:rsid w:val="00A52691"/>
    <w:rsid w:val="00A55393"/>
    <w:rsid w:val="00A578C2"/>
    <w:rsid w:val="00A630F3"/>
    <w:rsid w:val="00A70EBC"/>
    <w:rsid w:val="00A72652"/>
    <w:rsid w:val="00A75D1C"/>
    <w:rsid w:val="00A809AA"/>
    <w:rsid w:val="00A81BF7"/>
    <w:rsid w:val="00A849B3"/>
    <w:rsid w:val="00A8510D"/>
    <w:rsid w:val="00A86AF3"/>
    <w:rsid w:val="00A90BDC"/>
    <w:rsid w:val="00A95477"/>
    <w:rsid w:val="00A954A3"/>
    <w:rsid w:val="00A96BB3"/>
    <w:rsid w:val="00A975A9"/>
    <w:rsid w:val="00AA01D6"/>
    <w:rsid w:val="00AA3192"/>
    <w:rsid w:val="00AB3608"/>
    <w:rsid w:val="00AC5C48"/>
    <w:rsid w:val="00AD7726"/>
    <w:rsid w:val="00AF0CF4"/>
    <w:rsid w:val="00AF2252"/>
    <w:rsid w:val="00B1074F"/>
    <w:rsid w:val="00B1129F"/>
    <w:rsid w:val="00B11D61"/>
    <w:rsid w:val="00B12F51"/>
    <w:rsid w:val="00B17811"/>
    <w:rsid w:val="00B2751E"/>
    <w:rsid w:val="00B3650C"/>
    <w:rsid w:val="00B41006"/>
    <w:rsid w:val="00B415A9"/>
    <w:rsid w:val="00B50A2B"/>
    <w:rsid w:val="00B64BFA"/>
    <w:rsid w:val="00B6565F"/>
    <w:rsid w:val="00B65C38"/>
    <w:rsid w:val="00B7248E"/>
    <w:rsid w:val="00B8216F"/>
    <w:rsid w:val="00B853F1"/>
    <w:rsid w:val="00B85DE4"/>
    <w:rsid w:val="00B8656C"/>
    <w:rsid w:val="00B91A31"/>
    <w:rsid w:val="00B91FB3"/>
    <w:rsid w:val="00BA6DB4"/>
    <w:rsid w:val="00BB7041"/>
    <w:rsid w:val="00BC016A"/>
    <w:rsid w:val="00BC3F3C"/>
    <w:rsid w:val="00BC4917"/>
    <w:rsid w:val="00BC5BB2"/>
    <w:rsid w:val="00BC6896"/>
    <w:rsid w:val="00BE4C3E"/>
    <w:rsid w:val="00BF3F54"/>
    <w:rsid w:val="00C00697"/>
    <w:rsid w:val="00C025FC"/>
    <w:rsid w:val="00C0376C"/>
    <w:rsid w:val="00C06D77"/>
    <w:rsid w:val="00C06E7F"/>
    <w:rsid w:val="00C13D14"/>
    <w:rsid w:val="00C14BA6"/>
    <w:rsid w:val="00C22E37"/>
    <w:rsid w:val="00C347E7"/>
    <w:rsid w:val="00C3485C"/>
    <w:rsid w:val="00C420D4"/>
    <w:rsid w:val="00C71C6A"/>
    <w:rsid w:val="00C83258"/>
    <w:rsid w:val="00C84DC3"/>
    <w:rsid w:val="00C96B7B"/>
    <w:rsid w:val="00CA2004"/>
    <w:rsid w:val="00CB334D"/>
    <w:rsid w:val="00CB56D5"/>
    <w:rsid w:val="00CC61F7"/>
    <w:rsid w:val="00CD0771"/>
    <w:rsid w:val="00CD1EA8"/>
    <w:rsid w:val="00CE03AE"/>
    <w:rsid w:val="00CE1258"/>
    <w:rsid w:val="00CE7E57"/>
    <w:rsid w:val="00CF0CE8"/>
    <w:rsid w:val="00CF5853"/>
    <w:rsid w:val="00CF5ABD"/>
    <w:rsid w:val="00CF63CE"/>
    <w:rsid w:val="00D067C1"/>
    <w:rsid w:val="00D13438"/>
    <w:rsid w:val="00D13B13"/>
    <w:rsid w:val="00D16E78"/>
    <w:rsid w:val="00D201D3"/>
    <w:rsid w:val="00D24BCF"/>
    <w:rsid w:val="00D26A64"/>
    <w:rsid w:val="00D328FA"/>
    <w:rsid w:val="00D33BF9"/>
    <w:rsid w:val="00D4221A"/>
    <w:rsid w:val="00D52B9A"/>
    <w:rsid w:val="00D5367E"/>
    <w:rsid w:val="00D57C7E"/>
    <w:rsid w:val="00D724CC"/>
    <w:rsid w:val="00D7285C"/>
    <w:rsid w:val="00D77D27"/>
    <w:rsid w:val="00D77FBA"/>
    <w:rsid w:val="00D861ED"/>
    <w:rsid w:val="00D873E0"/>
    <w:rsid w:val="00D92CB5"/>
    <w:rsid w:val="00D94F8B"/>
    <w:rsid w:val="00DA147A"/>
    <w:rsid w:val="00DA4EA9"/>
    <w:rsid w:val="00DA5988"/>
    <w:rsid w:val="00DB4494"/>
    <w:rsid w:val="00DC317C"/>
    <w:rsid w:val="00DC4FF2"/>
    <w:rsid w:val="00DC79CC"/>
    <w:rsid w:val="00DE2D45"/>
    <w:rsid w:val="00E0685F"/>
    <w:rsid w:val="00E134F4"/>
    <w:rsid w:val="00E23568"/>
    <w:rsid w:val="00E245B5"/>
    <w:rsid w:val="00E24C20"/>
    <w:rsid w:val="00E33BBA"/>
    <w:rsid w:val="00E33E1B"/>
    <w:rsid w:val="00E34D3E"/>
    <w:rsid w:val="00E42F3A"/>
    <w:rsid w:val="00E61BD0"/>
    <w:rsid w:val="00E81C5E"/>
    <w:rsid w:val="00E83B3C"/>
    <w:rsid w:val="00E8736B"/>
    <w:rsid w:val="00E90275"/>
    <w:rsid w:val="00E925D4"/>
    <w:rsid w:val="00E97226"/>
    <w:rsid w:val="00EA1809"/>
    <w:rsid w:val="00EA2CC2"/>
    <w:rsid w:val="00EB0A35"/>
    <w:rsid w:val="00EB3490"/>
    <w:rsid w:val="00EB63B3"/>
    <w:rsid w:val="00EC45F0"/>
    <w:rsid w:val="00ED18D8"/>
    <w:rsid w:val="00ED37B4"/>
    <w:rsid w:val="00ED6878"/>
    <w:rsid w:val="00EF0EC8"/>
    <w:rsid w:val="00EF33CD"/>
    <w:rsid w:val="00EF4E4B"/>
    <w:rsid w:val="00EF5E31"/>
    <w:rsid w:val="00F15AF0"/>
    <w:rsid w:val="00F2267A"/>
    <w:rsid w:val="00F27049"/>
    <w:rsid w:val="00F300CB"/>
    <w:rsid w:val="00F42C3A"/>
    <w:rsid w:val="00F52BCC"/>
    <w:rsid w:val="00F5313F"/>
    <w:rsid w:val="00F57581"/>
    <w:rsid w:val="00F725B5"/>
    <w:rsid w:val="00F81A48"/>
    <w:rsid w:val="00F879D3"/>
    <w:rsid w:val="00F941CB"/>
    <w:rsid w:val="00F97F23"/>
    <w:rsid w:val="00FB1DB3"/>
    <w:rsid w:val="00FC0A7E"/>
    <w:rsid w:val="00FC5B1F"/>
    <w:rsid w:val="00FD17C9"/>
    <w:rsid w:val="00FD1EF0"/>
    <w:rsid w:val="00FD2A5B"/>
    <w:rsid w:val="00FD632C"/>
    <w:rsid w:val="00FE0E1C"/>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3940">
      <w:bodyDiv w:val="1"/>
      <w:marLeft w:val="0"/>
      <w:marRight w:val="0"/>
      <w:marTop w:val="0"/>
      <w:marBottom w:val="0"/>
      <w:divBdr>
        <w:top w:val="none" w:sz="0" w:space="0" w:color="auto"/>
        <w:left w:val="none" w:sz="0" w:space="0" w:color="auto"/>
        <w:bottom w:val="none" w:sz="0" w:space="0" w:color="auto"/>
        <w:right w:val="none" w:sz="0" w:space="0" w:color="auto"/>
      </w:divBdr>
    </w:div>
    <w:div w:id="646783215">
      <w:bodyDiv w:val="1"/>
      <w:marLeft w:val="0"/>
      <w:marRight w:val="0"/>
      <w:marTop w:val="0"/>
      <w:marBottom w:val="0"/>
      <w:divBdr>
        <w:top w:val="none" w:sz="0" w:space="0" w:color="auto"/>
        <w:left w:val="none" w:sz="0" w:space="0" w:color="auto"/>
        <w:bottom w:val="none" w:sz="0" w:space="0" w:color="auto"/>
        <w:right w:val="none" w:sz="0" w:space="0" w:color="auto"/>
      </w:divBdr>
    </w:div>
    <w:div w:id="1189375350">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95043572">
      <w:bodyDiv w:val="1"/>
      <w:marLeft w:val="0"/>
      <w:marRight w:val="0"/>
      <w:marTop w:val="0"/>
      <w:marBottom w:val="0"/>
      <w:divBdr>
        <w:top w:val="none" w:sz="0" w:space="0" w:color="auto"/>
        <w:left w:val="none" w:sz="0" w:space="0" w:color="auto"/>
        <w:bottom w:val="none" w:sz="0" w:space="0" w:color="auto"/>
        <w:right w:val="none" w:sz="0" w:space="0" w:color="auto"/>
      </w:divBdr>
    </w:div>
    <w:div w:id="21325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FV1@cdc.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FV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OSTLTSDOC-727-170</_dlc_DocId>
    <_dlc_DocIdUrl xmlns="b5c0ca00-073d-4463-9985-b654f14791fe">
      <Url>https://esp.cdc.gov/sites/ostlts/pip/osc/_layouts/15/DocIdRedir.aspx?ID=OSTLTSDOC-727-170</Url>
      <Description>OSTLTSDOC-727-170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92D24-0D01-42CC-85D4-0C991E94825F}">
  <ds:schemaRefs>
    <ds:schemaRef ds:uri="http://schemas.microsoft.com/office/2006/metadata/customXsn"/>
  </ds:schemaRefs>
</ds:datastoreItem>
</file>

<file path=customXml/itemProps2.xml><?xml version="1.0" encoding="utf-8"?>
<ds:datastoreItem xmlns:ds="http://schemas.openxmlformats.org/officeDocument/2006/customXml" ds:itemID="{DE4C3A60-A8DD-42A0-93C9-402BE20F468F}">
  <ds:schemaRefs>
    <ds:schemaRef ds:uri="http://schemas.microsoft.com/sharepoint/events"/>
  </ds:schemaRefs>
</ds:datastoreItem>
</file>

<file path=customXml/itemProps3.xml><?xml version="1.0" encoding="utf-8"?>
<ds:datastoreItem xmlns:ds="http://schemas.openxmlformats.org/officeDocument/2006/customXml" ds:itemID="{82918466-B439-4265-AD0D-A060C03CF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A7C4F-F8AE-4E57-9094-45EF34B9F071}">
  <ds:schemaRefs>
    <ds:schemaRef ds:uri="15b1c282-9287-45cb-9b41-eae3a76919a0"/>
    <ds:schemaRef ds:uri="http://purl.org/dc/terms/"/>
    <ds:schemaRef ds:uri="http://schemas.microsoft.com/office/2006/documentManagement/types"/>
    <ds:schemaRef ds:uri="b5c0ca00-073d-4463-9985-b654f14791f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d99c180-279b-44c3-9486-dd050336677e"/>
    <ds:schemaRef ds:uri="http://www.w3.org/XML/1998/namespace"/>
    <ds:schemaRef ds:uri="http://purl.org/dc/dcmitype/"/>
  </ds:schemaRefs>
</ds:datastoreItem>
</file>

<file path=customXml/itemProps5.xml><?xml version="1.0" encoding="utf-8"?>
<ds:datastoreItem xmlns:ds="http://schemas.openxmlformats.org/officeDocument/2006/customXml" ds:itemID="{866FF93A-7260-4FFD-9190-F7A6F30673A9}">
  <ds:schemaRefs>
    <ds:schemaRef ds:uri="http://schemas.microsoft.com/sharepoint/v3/contenttype/forms"/>
  </ds:schemaRefs>
</ds:datastoreItem>
</file>

<file path=customXml/itemProps6.xml><?xml version="1.0" encoding="utf-8"?>
<ds:datastoreItem xmlns:ds="http://schemas.openxmlformats.org/officeDocument/2006/customXml" ds:itemID="{FAFB5A37-F432-4E50-BDEF-B3238449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(CDC/OSTLTS/DPHPI)</dc:creator>
  <cp:lastModifiedBy>SYSTEM</cp:lastModifiedBy>
  <cp:revision>2</cp:revision>
  <cp:lastPrinted>2011-06-07T15:53:00Z</cp:lastPrinted>
  <dcterms:created xsi:type="dcterms:W3CDTF">2018-05-31T16:53:00Z</dcterms:created>
  <dcterms:modified xsi:type="dcterms:W3CDTF">2018-05-31T16:53:00Z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7fa13a93-b8e3-48c7-bbd6-0630bde75dce</vt:lpwstr>
  </property>
</Properties>
</file>