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F059B" w14:textId="46110754" w:rsidR="00716F94" w:rsidRPr="00B02CD8" w:rsidRDefault="00716F94" w:rsidP="00BC6896">
      <w:bookmarkStart w:id="0" w:name="_GoBack"/>
      <w:bookmarkEnd w:id="0"/>
    </w:p>
    <w:p w14:paraId="321BE393" w14:textId="77777777" w:rsidR="00E867D4" w:rsidRDefault="00E867D4" w:rsidP="00BC6896">
      <w:pPr>
        <w:pStyle w:val="Heading1"/>
      </w:pPr>
      <w:bookmarkStart w:id="1" w:name="_Hlk500691488"/>
      <w:bookmarkStart w:id="2" w:name="_Hlk500691507"/>
    </w:p>
    <w:p w14:paraId="1E5CB79D" w14:textId="39274201" w:rsidR="00716F94" w:rsidRPr="001B77D4" w:rsidRDefault="00A02A42" w:rsidP="00BC6896">
      <w:pPr>
        <w:pStyle w:val="Heading1"/>
        <w:rPr>
          <w:color w:val="0070C0"/>
        </w:rPr>
      </w:pPr>
      <w:r w:rsidRPr="001B77D4">
        <w:t xml:space="preserve">The State of State Suicide Prevention: An Environmental Scan </w:t>
      </w:r>
      <w:bookmarkEnd w:id="1"/>
    </w:p>
    <w:bookmarkEnd w:id="2"/>
    <w:p w14:paraId="65FCCF95" w14:textId="77777777" w:rsidR="00AA3192" w:rsidRPr="00B02CD8" w:rsidRDefault="00AA3192" w:rsidP="001B77D4">
      <w:pPr>
        <w:ind w:left="0"/>
      </w:pPr>
    </w:p>
    <w:p w14:paraId="2BCEB356" w14:textId="77777777" w:rsidR="004C5A9B" w:rsidRDefault="004C5A9B" w:rsidP="004C5A9B">
      <w:pPr>
        <w:ind w:left="0"/>
        <w:jc w:val="center"/>
      </w:pPr>
    </w:p>
    <w:p w14:paraId="2EB48742" w14:textId="6A9FD286" w:rsidR="00716F94" w:rsidRPr="00B02CD8" w:rsidRDefault="00484011" w:rsidP="00BC6896">
      <w:pPr>
        <w:ind w:left="0"/>
        <w:jc w:val="center"/>
      </w:pPr>
      <w:r w:rsidRPr="00B02CD8">
        <w:t xml:space="preserve">OSTLTS Generic </w:t>
      </w:r>
      <w:r w:rsidR="004C5A9B">
        <w:t>Information</w:t>
      </w:r>
      <w:r w:rsidR="00487E55" w:rsidRPr="00B02CD8">
        <w:t xml:space="preserve"> </w:t>
      </w:r>
      <w:r w:rsidR="00156566" w:rsidRPr="00B02CD8">
        <w:t>C</w:t>
      </w:r>
      <w:r w:rsidR="00487E55" w:rsidRPr="00B02CD8">
        <w:t>ollection</w:t>
      </w:r>
      <w:r w:rsidRPr="00B02CD8">
        <w:t xml:space="preserve"> Request</w:t>
      </w:r>
    </w:p>
    <w:p w14:paraId="5EB5B9AE" w14:textId="77777777" w:rsidR="00484011" w:rsidRPr="00B02CD8" w:rsidRDefault="00484011" w:rsidP="001B77D4">
      <w:pPr>
        <w:ind w:left="0"/>
        <w:jc w:val="center"/>
      </w:pPr>
      <w:r w:rsidRPr="00B02CD8">
        <w:t>OMB No. 0920-0879</w:t>
      </w:r>
    </w:p>
    <w:p w14:paraId="7CA125B8" w14:textId="77777777" w:rsidR="009B4A51" w:rsidRPr="00B02CD8" w:rsidRDefault="009B4A51" w:rsidP="001B77D4">
      <w:pPr>
        <w:ind w:left="0"/>
      </w:pPr>
    </w:p>
    <w:p w14:paraId="764247A8" w14:textId="77777777" w:rsidR="00AA3192" w:rsidRPr="00B02CD8" w:rsidRDefault="00AA3192" w:rsidP="001B77D4">
      <w:pPr>
        <w:ind w:left="0"/>
      </w:pPr>
    </w:p>
    <w:p w14:paraId="588A3355" w14:textId="77777777" w:rsidR="004C5A9B" w:rsidRDefault="004C5A9B" w:rsidP="004C5A9B">
      <w:pPr>
        <w:pStyle w:val="Heading2"/>
      </w:pPr>
    </w:p>
    <w:p w14:paraId="67C3F948" w14:textId="77777777" w:rsidR="009B4A51" w:rsidRPr="001B77D4" w:rsidRDefault="009B4A51" w:rsidP="00BC6896">
      <w:pPr>
        <w:pStyle w:val="Heading2"/>
      </w:pPr>
      <w:r w:rsidRPr="001B77D4">
        <w:t xml:space="preserve">Supporting Statement – Section </w:t>
      </w:r>
      <w:r w:rsidR="00601392" w:rsidRPr="001B77D4">
        <w:t>B</w:t>
      </w:r>
    </w:p>
    <w:p w14:paraId="643F25BB" w14:textId="77777777" w:rsidR="009B4A51" w:rsidRPr="00B02CD8" w:rsidRDefault="009B4A51" w:rsidP="001B77D4">
      <w:pPr>
        <w:ind w:left="0"/>
      </w:pPr>
    </w:p>
    <w:p w14:paraId="63BD3932" w14:textId="77777777" w:rsidR="004C5A9B" w:rsidRDefault="004C5A9B" w:rsidP="004C5A9B">
      <w:pPr>
        <w:ind w:left="0"/>
        <w:jc w:val="center"/>
      </w:pPr>
    </w:p>
    <w:p w14:paraId="6D482FC4" w14:textId="77777777" w:rsidR="004C5A9B" w:rsidRDefault="004C5A9B" w:rsidP="004C5A9B">
      <w:pPr>
        <w:ind w:left="0"/>
        <w:jc w:val="center"/>
      </w:pPr>
    </w:p>
    <w:p w14:paraId="055D7508" w14:textId="77777777" w:rsidR="004C5A9B" w:rsidRDefault="004C5A9B" w:rsidP="004C5A9B">
      <w:pPr>
        <w:ind w:left="0"/>
        <w:jc w:val="center"/>
      </w:pPr>
    </w:p>
    <w:p w14:paraId="6D5F6D13" w14:textId="77777777" w:rsidR="004C5A9B" w:rsidRDefault="004C5A9B" w:rsidP="004C5A9B">
      <w:pPr>
        <w:ind w:left="0"/>
        <w:jc w:val="center"/>
      </w:pPr>
    </w:p>
    <w:p w14:paraId="00E86273" w14:textId="77777777" w:rsidR="004C5A9B" w:rsidRDefault="004C5A9B" w:rsidP="004C5A9B">
      <w:pPr>
        <w:ind w:left="0"/>
        <w:jc w:val="center"/>
      </w:pPr>
    </w:p>
    <w:p w14:paraId="25F74A74" w14:textId="4EF283A6" w:rsidR="00217209" w:rsidRDefault="00E867D4" w:rsidP="00E867D4">
      <w:pPr>
        <w:tabs>
          <w:tab w:val="center" w:pos="4680"/>
          <w:tab w:val="left" w:pos="6045"/>
        </w:tabs>
        <w:ind w:left="0"/>
      </w:pPr>
      <w:r>
        <w:tab/>
      </w:r>
      <w:r w:rsidR="009B4A51" w:rsidRPr="00B02CD8">
        <w:t>Submitted:</w:t>
      </w:r>
      <w:r w:rsidR="009B4A51" w:rsidRPr="001B77D4">
        <w:rPr>
          <w:color w:val="0070C0"/>
        </w:rPr>
        <w:t xml:space="preserve"> </w:t>
      </w:r>
      <w:r w:rsidRPr="00FD2F03">
        <w:t>May21st, 2018</w:t>
      </w:r>
    </w:p>
    <w:p w14:paraId="1AF00F39" w14:textId="77777777" w:rsidR="00217209" w:rsidRDefault="00217209" w:rsidP="00BC6896"/>
    <w:p w14:paraId="0684B156" w14:textId="77777777" w:rsidR="00217209" w:rsidRDefault="00217209" w:rsidP="001B77D4">
      <w:pPr>
        <w:ind w:left="0"/>
      </w:pPr>
    </w:p>
    <w:p w14:paraId="2B93E97D" w14:textId="77777777" w:rsidR="00217209" w:rsidRDefault="00217209" w:rsidP="001B77D4">
      <w:pPr>
        <w:ind w:left="0"/>
      </w:pPr>
    </w:p>
    <w:p w14:paraId="6471318E" w14:textId="77777777" w:rsidR="00217209" w:rsidRDefault="00217209" w:rsidP="001B77D4">
      <w:pPr>
        <w:ind w:left="0"/>
      </w:pPr>
    </w:p>
    <w:p w14:paraId="658709EC" w14:textId="77777777" w:rsidR="00217209" w:rsidRDefault="00217209" w:rsidP="001B77D4">
      <w:pPr>
        <w:ind w:left="0"/>
      </w:pPr>
    </w:p>
    <w:p w14:paraId="08948DD0" w14:textId="77777777" w:rsidR="00217209" w:rsidRPr="00B02CD8" w:rsidRDefault="00217209" w:rsidP="001B77D4">
      <w:pPr>
        <w:ind w:left="0"/>
      </w:pPr>
    </w:p>
    <w:p w14:paraId="11BC56D4" w14:textId="77777777" w:rsidR="009B4A51" w:rsidRPr="00B02CD8" w:rsidRDefault="009B4A51" w:rsidP="00BC6896"/>
    <w:p w14:paraId="7D9EECF2" w14:textId="77777777" w:rsidR="00A81BF7" w:rsidRPr="00B02CD8" w:rsidRDefault="00A81BF7" w:rsidP="00A81BF7">
      <w:pPr>
        <w:ind w:left="0"/>
        <w:rPr>
          <w:b/>
          <w:u w:val="single"/>
        </w:rPr>
      </w:pPr>
      <w:r w:rsidRPr="00B02CD8">
        <w:rPr>
          <w:b/>
          <w:u w:val="single"/>
        </w:rPr>
        <w:t>Program Official/Project Officer</w:t>
      </w:r>
    </w:p>
    <w:p w14:paraId="78C90501" w14:textId="0C9B088F" w:rsidR="00A02A42" w:rsidRPr="00B02CD8" w:rsidRDefault="00636C2C" w:rsidP="00A02A42">
      <w:pPr>
        <w:ind w:left="0"/>
      </w:pPr>
      <w:bookmarkStart w:id="3" w:name="_Hlk500691532"/>
      <w:r w:rsidRPr="002A79E3">
        <w:t>Aim</w:t>
      </w:r>
      <w:r w:rsidRPr="00227341">
        <w:t>é</w:t>
      </w:r>
      <w:r w:rsidRPr="002A79E3">
        <w:t>e</w:t>
      </w:r>
      <w:r w:rsidR="00A02A42" w:rsidRPr="00B02CD8">
        <w:t xml:space="preserve"> Trudeau, MPH</w:t>
      </w:r>
    </w:p>
    <w:p w14:paraId="52D20281" w14:textId="3C5D8FCD" w:rsidR="00A02A42" w:rsidRPr="00B02CD8" w:rsidRDefault="00A02A42" w:rsidP="00A02A42">
      <w:pPr>
        <w:ind w:left="0"/>
      </w:pPr>
      <w:r w:rsidRPr="00B02CD8">
        <w:t>Health Scientist</w:t>
      </w:r>
    </w:p>
    <w:p w14:paraId="5DB6F48A" w14:textId="77777777" w:rsidR="00A02A42" w:rsidRPr="00B02CD8" w:rsidRDefault="00A02A42" w:rsidP="00A02A42">
      <w:pPr>
        <w:ind w:left="0"/>
      </w:pPr>
      <w:r w:rsidRPr="00B02CD8">
        <w:t>Research and Evaluation Branch/Division of Violence Prevention</w:t>
      </w:r>
    </w:p>
    <w:p w14:paraId="4ED03EA1" w14:textId="77777777" w:rsidR="00A02A42" w:rsidRPr="00B02CD8" w:rsidRDefault="00A02A42" w:rsidP="00A02A42">
      <w:pPr>
        <w:ind w:left="0"/>
      </w:pPr>
      <w:r w:rsidRPr="00B02CD8">
        <w:t>National Center for Injury Prevention and Control</w:t>
      </w:r>
    </w:p>
    <w:p w14:paraId="25FF80EE" w14:textId="77777777" w:rsidR="00A02A42" w:rsidRPr="00B02CD8" w:rsidRDefault="00A02A42" w:rsidP="00A02A42">
      <w:pPr>
        <w:ind w:left="0"/>
      </w:pPr>
      <w:r w:rsidRPr="00B02CD8">
        <w:t>Centers for Disease Control and Prevention</w:t>
      </w:r>
    </w:p>
    <w:p w14:paraId="5601E727" w14:textId="77777777" w:rsidR="00A02A42" w:rsidRPr="00B02CD8" w:rsidRDefault="00A02A42" w:rsidP="00A02A42">
      <w:pPr>
        <w:ind w:left="0"/>
      </w:pPr>
      <w:r w:rsidRPr="00B02CD8">
        <w:t>4770 Buford Highway, Mailstop F64</w:t>
      </w:r>
    </w:p>
    <w:p w14:paraId="220DA1F4" w14:textId="77777777" w:rsidR="00A02A42" w:rsidRPr="00B02CD8" w:rsidRDefault="00A02A42" w:rsidP="00A02A42">
      <w:pPr>
        <w:ind w:left="0"/>
      </w:pPr>
      <w:r w:rsidRPr="00B02CD8">
        <w:t>Atlanta, Georgia 30341-3717</w:t>
      </w:r>
    </w:p>
    <w:p w14:paraId="000ADEDE" w14:textId="77777777" w:rsidR="00A02A42" w:rsidRPr="00B02CD8" w:rsidRDefault="00A02A42" w:rsidP="00A02A42">
      <w:pPr>
        <w:ind w:left="0"/>
      </w:pPr>
      <w:r w:rsidRPr="00B02CD8">
        <w:t>Telephone: 770-488-3853</w:t>
      </w:r>
    </w:p>
    <w:p w14:paraId="3C149A3A" w14:textId="1109ACBF" w:rsidR="00A02A42" w:rsidRPr="00B02CD8" w:rsidRDefault="00A02A42" w:rsidP="00A02A42">
      <w:pPr>
        <w:ind w:left="0"/>
      </w:pPr>
      <w:r w:rsidRPr="00B02CD8">
        <w:t xml:space="preserve">Fax: </w:t>
      </w:r>
      <w:r w:rsidR="00F647EC" w:rsidRPr="00B02CD8">
        <w:t>770-488-1665</w:t>
      </w:r>
    </w:p>
    <w:p w14:paraId="2F89F449" w14:textId="77777777" w:rsidR="004C5A9B" w:rsidRDefault="004C5A9B" w:rsidP="004C5A9B">
      <w:pPr>
        <w:ind w:left="0"/>
        <w:rPr>
          <w:b/>
          <w:sz w:val="28"/>
        </w:rPr>
      </w:pPr>
      <w:r w:rsidRPr="002A79E3">
        <w:t>Email: its9@cdc.gov</w:t>
      </w:r>
      <w:bookmarkEnd w:id="3"/>
      <w:r>
        <w:br w:type="page"/>
      </w:r>
    </w:p>
    <w:p w14:paraId="6B5884A0" w14:textId="77777777" w:rsidR="00245F1F" w:rsidRPr="001B77D4" w:rsidRDefault="00245F1F" w:rsidP="00BC6896">
      <w:pPr>
        <w:pStyle w:val="Heading3"/>
      </w:pPr>
      <w:bookmarkStart w:id="4" w:name="_Toc413847909"/>
      <w:r w:rsidRPr="001B77D4">
        <w:lastRenderedPageBreak/>
        <w:t>Table of Contents</w:t>
      </w:r>
      <w:bookmarkEnd w:id="4"/>
    </w:p>
    <w:p w14:paraId="3DE4D30E" w14:textId="2D627480" w:rsidR="00245F1F" w:rsidRPr="00B02CD8" w:rsidRDefault="00245F1F" w:rsidP="006F23AF">
      <w:pPr>
        <w:ind w:left="0"/>
        <w:rPr>
          <w:noProof/>
        </w:rPr>
      </w:pPr>
      <w:r w:rsidRPr="00B02CD8">
        <w:fldChar w:fldCharType="begin"/>
      </w:r>
      <w:r w:rsidRPr="00B02CD8">
        <w:instrText xml:space="preserve"> TOC \h \z \u \t "Heading 3,1,Heading 4,2" </w:instrText>
      </w:r>
      <w:r w:rsidRPr="00B02CD8">
        <w:fldChar w:fldCharType="separate"/>
      </w:r>
    </w:p>
    <w:p w14:paraId="0E818D57" w14:textId="02D5699B" w:rsidR="00245F1F" w:rsidRPr="00B02CD8" w:rsidRDefault="00FC4DD9">
      <w:pPr>
        <w:pStyle w:val="TOC1"/>
        <w:tabs>
          <w:tab w:val="right" w:leader="dot" w:pos="9350"/>
        </w:tabs>
        <w:rPr>
          <w:noProof/>
        </w:rPr>
      </w:pPr>
      <w:hyperlink w:anchor="_Toc413847910" w:history="1">
        <w:r w:rsidR="00245F1F" w:rsidRPr="00B02CD8">
          <w:rPr>
            <w:rStyle w:val="Hyperlink"/>
            <w:noProof/>
            <w:color w:val="auto"/>
          </w:rPr>
          <w:t xml:space="preserve">Section B – </w:t>
        </w:r>
        <w:r w:rsidR="00487E55" w:rsidRPr="00B02CD8">
          <w:rPr>
            <w:rStyle w:val="Hyperlink"/>
            <w:noProof/>
            <w:color w:val="auto"/>
          </w:rPr>
          <w:t>Data collection</w:t>
        </w:r>
        <w:r w:rsidR="00245F1F" w:rsidRPr="00B02CD8">
          <w:rPr>
            <w:rStyle w:val="Hyperlink"/>
            <w:noProof/>
            <w:color w:val="auto"/>
          </w:rPr>
          <w:t xml:space="preserve"> Procedures</w:t>
        </w:r>
        <w:r w:rsidR="00245F1F" w:rsidRPr="00B02CD8">
          <w:rPr>
            <w:noProof/>
            <w:webHidden/>
          </w:rPr>
          <w:tab/>
        </w:r>
        <w:r w:rsidR="00245F1F" w:rsidRPr="00B02CD8">
          <w:rPr>
            <w:noProof/>
            <w:webHidden/>
          </w:rPr>
          <w:fldChar w:fldCharType="begin"/>
        </w:r>
        <w:r w:rsidR="00245F1F" w:rsidRPr="00B02CD8">
          <w:rPr>
            <w:noProof/>
            <w:webHidden/>
          </w:rPr>
          <w:instrText xml:space="preserve"> PAGEREF _Toc413847910 \h </w:instrText>
        </w:r>
        <w:r w:rsidR="00245F1F" w:rsidRPr="00B02CD8">
          <w:rPr>
            <w:noProof/>
            <w:webHidden/>
          </w:rPr>
        </w:r>
        <w:r w:rsidR="00245F1F" w:rsidRPr="00B02CD8">
          <w:rPr>
            <w:noProof/>
            <w:webHidden/>
          </w:rPr>
          <w:fldChar w:fldCharType="separate"/>
        </w:r>
        <w:r w:rsidR="009766EB">
          <w:rPr>
            <w:noProof/>
            <w:webHidden/>
          </w:rPr>
          <w:t>3</w:t>
        </w:r>
        <w:r w:rsidR="00245F1F" w:rsidRPr="00B02CD8">
          <w:rPr>
            <w:noProof/>
            <w:webHidden/>
          </w:rPr>
          <w:fldChar w:fldCharType="end"/>
        </w:r>
      </w:hyperlink>
    </w:p>
    <w:p w14:paraId="1B180080" w14:textId="3F3A6A75" w:rsidR="00245F1F" w:rsidRPr="00B02CD8" w:rsidRDefault="00FC4DD9" w:rsidP="00245F1F">
      <w:pPr>
        <w:pStyle w:val="TOC2"/>
        <w:rPr>
          <w:noProof/>
        </w:rPr>
      </w:pPr>
      <w:hyperlink w:anchor="_Toc413847911" w:history="1">
        <w:r w:rsidR="00245F1F" w:rsidRPr="00B02CD8">
          <w:rPr>
            <w:rStyle w:val="Hyperlink"/>
            <w:noProof/>
            <w:color w:val="auto"/>
          </w:rPr>
          <w:t>1.</w:t>
        </w:r>
        <w:r w:rsidR="00245F1F" w:rsidRPr="00B02CD8">
          <w:rPr>
            <w:noProof/>
          </w:rPr>
          <w:tab/>
        </w:r>
        <w:r w:rsidR="00245F1F" w:rsidRPr="00B02CD8">
          <w:rPr>
            <w:rStyle w:val="Hyperlink"/>
            <w:noProof/>
            <w:color w:val="auto"/>
          </w:rPr>
          <w:t>Respondent Universe and Sampling Methods</w:t>
        </w:r>
        <w:r w:rsidR="00245F1F" w:rsidRPr="00B02CD8">
          <w:rPr>
            <w:noProof/>
            <w:webHidden/>
          </w:rPr>
          <w:tab/>
        </w:r>
        <w:r w:rsidR="00245F1F" w:rsidRPr="00B02CD8">
          <w:rPr>
            <w:noProof/>
            <w:webHidden/>
          </w:rPr>
          <w:fldChar w:fldCharType="begin"/>
        </w:r>
        <w:r w:rsidR="00245F1F" w:rsidRPr="00B02CD8">
          <w:rPr>
            <w:noProof/>
            <w:webHidden/>
          </w:rPr>
          <w:instrText xml:space="preserve"> PAGEREF _Toc413847911 \h </w:instrText>
        </w:r>
        <w:r w:rsidR="00245F1F" w:rsidRPr="00B02CD8">
          <w:rPr>
            <w:noProof/>
            <w:webHidden/>
          </w:rPr>
        </w:r>
        <w:r w:rsidR="00245F1F" w:rsidRPr="00B02CD8">
          <w:rPr>
            <w:noProof/>
            <w:webHidden/>
          </w:rPr>
          <w:fldChar w:fldCharType="separate"/>
        </w:r>
        <w:r w:rsidR="009766EB">
          <w:rPr>
            <w:noProof/>
            <w:webHidden/>
          </w:rPr>
          <w:t>3</w:t>
        </w:r>
        <w:r w:rsidR="00245F1F" w:rsidRPr="00B02CD8">
          <w:rPr>
            <w:noProof/>
            <w:webHidden/>
          </w:rPr>
          <w:fldChar w:fldCharType="end"/>
        </w:r>
      </w:hyperlink>
    </w:p>
    <w:p w14:paraId="02D7E354" w14:textId="212B94FB" w:rsidR="00245F1F" w:rsidRPr="00B02CD8" w:rsidRDefault="00FC4DD9" w:rsidP="00245F1F">
      <w:pPr>
        <w:pStyle w:val="TOC2"/>
        <w:rPr>
          <w:noProof/>
        </w:rPr>
      </w:pPr>
      <w:hyperlink w:anchor="_Toc413847912" w:history="1">
        <w:r w:rsidR="00245F1F" w:rsidRPr="00B02CD8">
          <w:rPr>
            <w:rStyle w:val="Hyperlink"/>
            <w:noProof/>
            <w:color w:val="auto"/>
          </w:rPr>
          <w:t>2.</w:t>
        </w:r>
        <w:r w:rsidR="00245F1F" w:rsidRPr="00B02CD8">
          <w:rPr>
            <w:noProof/>
          </w:rPr>
          <w:tab/>
        </w:r>
        <w:r w:rsidR="00245F1F" w:rsidRPr="00B02CD8">
          <w:rPr>
            <w:rStyle w:val="Hyperlink"/>
            <w:noProof/>
            <w:color w:val="auto"/>
          </w:rPr>
          <w:t>Procedures for the Collection of Information</w:t>
        </w:r>
        <w:r w:rsidR="00245F1F" w:rsidRPr="00B02CD8">
          <w:rPr>
            <w:noProof/>
            <w:webHidden/>
          </w:rPr>
          <w:tab/>
        </w:r>
        <w:r w:rsidR="00245F1F" w:rsidRPr="00B02CD8">
          <w:rPr>
            <w:noProof/>
            <w:webHidden/>
          </w:rPr>
          <w:fldChar w:fldCharType="begin"/>
        </w:r>
        <w:r w:rsidR="00245F1F" w:rsidRPr="00B02CD8">
          <w:rPr>
            <w:noProof/>
            <w:webHidden/>
          </w:rPr>
          <w:instrText xml:space="preserve"> PAGEREF _Toc413847912 \h </w:instrText>
        </w:r>
        <w:r w:rsidR="00245F1F" w:rsidRPr="00B02CD8">
          <w:rPr>
            <w:noProof/>
            <w:webHidden/>
          </w:rPr>
        </w:r>
        <w:r w:rsidR="00245F1F" w:rsidRPr="00B02CD8">
          <w:rPr>
            <w:noProof/>
            <w:webHidden/>
          </w:rPr>
          <w:fldChar w:fldCharType="separate"/>
        </w:r>
        <w:r w:rsidR="009766EB">
          <w:rPr>
            <w:noProof/>
            <w:webHidden/>
          </w:rPr>
          <w:t>4</w:t>
        </w:r>
        <w:r w:rsidR="00245F1F" w:rsidRPr="00B02CD8">
          <w:rPr>
            <w:noProof/>
            <w:webHidden/>
          </w:rPr>
          <w:fldChar w:fldCharType="end"/>
        </w:r>
      </w:hyperlink>
    </w:p>
    <w:p w14:paraId="2F38C32A" w14:textId="05D0E09C" w:rsidR="00245F1F" w:rsidRPr="00B02CD8" w:rsidRDefault="00FC4DD9" w:rsidP="00245F1F">
      <w:pPr>
        <w:pStyle w:val="TOC2"/>
        <w:rPr>
          <w:noProof/>
        </w:rPr>
      </w:pPr>
      <w:hyperlink w:anchor="_Toc413847913" w:history="1">
        <w:r w:rsidR="00245F1F" w:rsidRPr="00B02CD8">
          <w:rPr>
            <w:rStyle w:val="Hyperlink"/>
            <w:noProof/>
            <w:color w:val="auto"/>
          </w:rPr>
          <w:t>3.</w:t>
        </w:r>
        <w:r w:rsidR="00245F1F" w:rsidRPr="00B02CD8">
          <w:rPr>
            <w:noProof/>
          </w:rPr>
          <w:tab/>
        </w:r>
        <w:r w:rsidR="00245F1F" w:rsidRPr="00B02CD8">
          <w:rPr>
            <w:rStyle w:val="Hyperlink"/>
            <w:noProof/>
            <w:color w:val="auto"/>
          </w:rPr>
          <w:t>Methods to Maximize Response Rates  Deal with Nonresponse</w:t>
        </w:r>
        <w:r w:rsidR="00245F1F" w:rsidRPr="00B02CD8">
          <w:rPr>
            <w:noProof/>
            <w:webHidden/>
          </w:rPr>
          <w:tab/>
        </w:r>
        <w:r w:rsidR="00245F1F" w:rsidRPr="00B02CD8">
          <w:rPr>
            <w:noProof/>
            <w:webHidden/>
          </w:rPr>
          <w:fldChar w:fldCharType="begin"/>
        </w:r>
        <w:r w:rsidR="00245F1F" w:rsidRPr="00B02CD8">
          <w:rPr>
            <w:noProof/>
            <w:webHidden/>
          </w:rPr>
          <w:instrText xml:space="preserve"> PAGEREF _Toc413847913 \h </w:instrText>
        </w:r>
        <w:r w:rsidR="00245F1F" w:rsidRPr="00B02CD8">
          <w:rPr>
            <w:noProof/>
            <w:webHidden/>
          </w:rPr>
        </w:r>
        <w:r w:rsidR="00245F1F" w:rsidRPr="00B02CD8">
          <w:rPr>
            <w:noProof/>
            <w:webHidden/>
          </w:rPr>
          <w:fldChar w:fldCharType="separate"/>
        </w:r>
        <w:r w:rsidR="009766EB">
          <w:rPr>
            <w:noProof/>
            <w:webHidden/>
          </w:rPr>
          <w:t>5</w:t>
        </w:r>
        <w:r w:rsidR="00245F1F" w:rsidRPr="00B02CD8">
          <w:rPr>
            <w:noProof/>
            <w:webHidden/>
          </w:rPr>
          <w:fldChar w:fldCharType="end"/>
        </w:r>
      </w:hyperlink>
    </w:p>
    <w:p w14:paraId="2FA3FE33" w14:textId="40FFCDD4" w:rsidR="00245F1F" w:rsidRPr="00B02CD8" w:rsidRDefault="00FC4DD9" w:rsidP="00245F1F">
      <w:pPr>
        <w:pStyle w:val="TOC2"/>
        <w:rPr>
          <w:noProof/>
        </w:rPr>
      </w:pPr>
      <w:hyperlink w:anchor="_Toc413847914" w:history="1">
        <w:r w:rsidR="00245F1F" w:rsidRPr="00B02CD8">
          <w:rPr>
            <w:rStyle w:val="Hyperlink"/>
            <w:noProof/>
            <w:color w:val="auto"/>
          </w:rPr>
          <w:t>4.</w:t>
        </w:r>
        <w:r w:rsidR="00245F1F" w:rsidRPr="00B02CD8">
          <w:rPr>
            <w:noProof/>
          </w:rPr>
          <w:tab/>
        </w:r>
        <w:r w:rsidR="00245F1F" w:rsidRPr="00B02CD8">
          <w:rPr>
            <w:rStyle w:val="Hyperlink"/>
            <w:noProof/>
            <w:color w:val="auto"/>
          </w:rPr>
          <w:t>Test of Procedures or Methods to be Undertaken</w:t>
        </w:r>
        <w:r w:rsidR="00245F1F" w:rsidRPr="00B02CD8">
          <w:rPr>
            <w:noProof/>
            <w:webHidden/>
          </w:rPr>
          <w:tab/>
        </w:r>
        <w:r w:rsidR="00245F1F" w:rsidRPr="00B02CD8">
          <w:rPr>
            <w:noProof/>
            <w:webHidden/>
          </w:rPr>
          <w:fldChar w:fldCharType="begin"/>
        </w:r>
        <w:r w:rsidR="00245F1F" w:rsidRPr="00B02CD8">
          <w:rPr>
            <w:noProof/>
            <w:webHidden/>
          </w:rPr>
          <w:instrText xml:space="preserve"> PAGEREF _Toc413847914 \h </w:instrText>
        </w:r>
        <w:r w:rsidR="00245F1F" w:rsidRPr="00B02CD8">
          <w:rPr>
            <w:noProof/>
            <w:webHidden/>
          </w:rPr>
        </w:r>
        <w:r w:rsidR="00245F1F" w:rsidRPr="00B02CD8">
          <w:rPr>
            <w:noProof/>
            <w:webHidden/>
          </w:rPr>
          <w:fldChar w:fldCharType="separate"/>
        </w:r>
        <w:r w:rsidR="009766EB">
          <w:rPr>
            <w:noProof/>
            <w:webHidden/>
          </w:rPr>
          <w:t>5</w:t>
        </w:r>
        <w:r w:rsidR="00245F1F" w:rsidRPr="00B02CD8">
          <w:rPr>
            <w:noProof/>
            <w:webHidden/>
          </w:rPr>
          <w:fldChar w:fldCharType="end"/>
        </w:r>
      </w:hyperlink>
    </w:p>
    <w:p w14:paraId="415BB023" w14:textId="00144F52" w:rsidR="00245F1F" w:rsidRPr="00B02CD8" w:rsidRDefault="00FC4DD9" w:rsidP="00245F1F">
      <w:pPr>
        <w:pStyle w:val="TOC2"/>
        <w:rPr>
          <w:noProof/>
        </w:rPr>
      </w:pPr>
      <w:hyperlink w:anchor="_Toc413847915" w:history="1">
        <w:r w:rsidR="00245F1F" w:rsidRPr="00B02CD8">
          <w:rPr>
            <w:rStyle w:val="Hyperlink"/>
            <w:noProof/>
            <w:color w:val="auto"/>
          </w:rPr>
          <w:t>5.</w:t>
        </w:r>
        <w:r w:rsidR="00245F1F" w:rsidRPr="00B02CD8">
          <w:rPr>
            <w:noProof/>
          </w:rPr>
          <w:tab/>
        </w:r>
        <w:r w:rsidR="00245F1F" w:rsidRPr="00B02CD8">
          <w:rPr>
            <w:rStyle w:val="Hyperlink"/>
            <w:noProof/>
            <w:color w:val="auto"/>
          </w:rPr>
          <w:t>Individuals Consulted on Statistical Aspects and Individuals Collecting and/or Analyzing Data</w:t>
        </w:r>
        <w:r w:rsidR="00245F1F" w:rsidRPr="00B02CD8">
          <w:rPr>
            <w:rStyle w:val="Hyperlink"/>
            <w:noProof/>
            <w:color w:val="auto"/>
          </w:rPr>
          <w:tab/>
        </w:r>
        <w:r w:rsidR="00245F1F" w:rsidRPr="00B02CD8">
          <w:rPr>
            <w:noProof/>
            <w:webHidden/>
          </w:rPr>
          <w:fldChar w:fldCharType="begin"/>
        </w:r>
        <w:r w:rsidR="00245F1F" w:rsidRPr="00B02CD8">
          <w:rPr>
            <w:noProof/>
            <w:webHidden/>
          </w:rPr>
          <w:instrText xml:space="preserve"> PAGEREF _Toc413847915 \h </w:instrText>
        </w:r>
        <w:r w:rsidR="00245F1F" w:rsidRPr="00B02CD8">
          <w:rPr>
            <w:noProof/>
            <w:webHidden/>
          </w:rPr>
        </w:r>
        <w:r w:rsidR="00245F1F" w:rsidRPr="00B02CD8">
          <w:rPr>
            <w:noProof/>
            <w:webHidden/>
          </w:rPr>
          <w:fldChar w:fldCharType="separate"/>
        </w:r>
        <w:r w:rsidR="009766EB">
          <w:rPr>
            <w:noProof/>
            <w:webHidden/>
          </w:rPr>
          <w:t>6</w:t>
        </w:r>
        <w:r w:rsidR="00245F1F" w:rsidRPr="00B02CD8">
          <w:rPr>
            <w:noProof/>
            <w:webHidden/>
          </w:rPr>
          <w:fldChar w:fldCharType="end"/>
        </w:r>
      </w:hyperlink>
    </w:p>
    <w:p w14:paraId="7580FEBC" w14:textId="2384CB3D" w:rsidR="00245F1F" w:rsidRPr="00B02CD8" w:rsidRDefault="00FC4DD9">
      <w:pPr>
        <w:pStyle w:val="TOC1"/>
        <w:tabs>
          <w:tab w:val="right" w:leader="dot" w:pos="9350"/>
        </w:tabs>
        <w:rPr>
          <w:noProof/>
        </w:rPr>
      </w:pPr>
      <w:hyperlink w:anchor="_Toc413847916" w:history="1">
        <w:r w:rsidR="00245F1F" w:rsidRPr="00B02CD8">
          <w:rPr>
            <w:rStyle w:val="Hyperlink"/>
            <w:noProof/>
            <w:color w:val="auto"/>
          </w:rPr>
          <w:t>LIST OF ATTACHMENTS – Section B</w:t>
        </w:r>
        <w:r w:rsidR="00245F1F" w:rsidRPr="00B02CD8">
          <w:rPr>
            <w:noProof/>
            <w:webHidden/>
          </w:rPr>
          <w:tab/>
        </w:r>
        <w:r w:rsidR="00245F1F" w:rsidRPr="00B02CD8">
          <w:rPr>
            <w:noProof/>
            <w:webHidden/>
          </w:rPr>
          <w:fldChar w:fldCharType="begin"/>
        </w:r>
        <w:r w:rsidR="00245F1F" w:rsidRPr="00B02CD8">
          <w:rPr>
            <w:noProof/>
            <w:webHidden/>
          </w:rPr>
          <w:instrText xml:space="preserve"> PAGEREF _Toc413847916 \h </w:instrText>
        </w:r>
        <w:r w:rsidR="00245F1F" w:rsidRPr="00B02CD8">
          <w:rPr>
            <w:noProof/>
            <w:webHidden/>
          </w:rPr>
        </w:r>
        <w:r w:rsidR="00245F1F" w:rsidRPr="00B02CD8">
          <w:rPr>
            <w:noProof/>
            <w:webHidden/>
          </w:rPr>
          <w:fldChar w:fldCharType="separate"/>
        </w:r>
        <w:r w:rsidR="009766EB">
          <w:rPr>
            <w:noProof/>
            <w:webHidden/>
          </w:rPr>
          <w:t>8</w:t>
        </w:r>
        <w:r w:rsidR="00245F1F" w:rsidRPr="00B02CD8">
          <w:rPr>
            <w:noProof/>
            <w:webHidden/>
          </w:rPr>
          <w:fldChar w:fldCharType="end"/>
        </w:r>
      </w:hyperlink>
    </w:p>
    <w:p w14:paraId="70B97232" w14:textId="77777777" w:rsidR="00245F1F" w:rsidRPr="00B02CD8" w:rsidRDefault="00245F1F" w:rsidP="00BC6896">
      <w:pPr>
        <w:pStyle w:val="Heading3"/>
        <w:rPr>
          <w:sz w:val="22"/>
        </w:rPr>
      </w:pPr>
      <w:r w:rsidRPr="00B02CD8">
        <w:rPr>
          <w:sz w:val="22"/>
        </w:rPr>
        <w:fldChar w:fldCharType="end"/>
      </w:r>
    </w:p>
    <w:p w14:paraId="155EEAC4" w14:textId="77777777" w:rsidR="00245F1F" w:rsidRPr="00B02CD8" w:rsidRDefault="00245F1F">
      <w:pPr>
        <w:spacing w:after="200"/>
        <w:ind w:left="0"/>
        <w:rPr>
          <w:b/>
        </w:rPr>
      </w:pPr>
      <w:bookmarkStart w:id="5" w:name="_Toc413847910"/>
      <w:r w:rsidRPr="00B02CD8">
        <w:br w:type="page"/>
      </w:r>
    </w:p>
    <w:p w14:paraId="75612BC1" w14:textId="3F4D1465" w:rsidR="00B12F51" w:rsidRPr="00B02CD8" w:rsidRDefault="00B12F51" w:rsidP="00BC6896">
      <w:pPr>
        <w:pStyle w:val="Heading3"/>
        <w:rPr>
          <w:sz w:val="22"/>
        </w:rPr>
      </w:pPr>
      <w:r w:rsidRPr="00B02CD8">
        <w:rPr>
          <w:sz w:val="22"/>
        </w:rPr>
        <w:lastRenderedPageBreak/>
        <w:t xml:space="preserve">Section B – </w:t>
      </w:r>
      <w:r w:rsidR="00487E55" w:rsidRPr="00B02CD8">
        <w:rPr>
          <w:sz w:val="22"/>
        </w:rPr>
        <w:t>Data collection</w:t>
      </w:r>
      <w:r w:rsidR="00287E2F" w:rsidRPr="00B02CD8">
        <w:rPr>
          <w:sz w:val="22"/>
        </w:rPr>
        <w:t xml:space="preserve"> Procedures</w:t>
      </w:r>
      <w:bookmarkEnd w:id="5"/>
    </w:p>
    <w:p w14:paraId="2BD8810D" w14:textId="77777777" w:rsidR="00287E2F" w:rsidRPr="00B02CD8" w:rsidRDefault="00287E2F" w:rsidP="002955E6">
      <w:pPr>
        <w:spacing w:line="240" w:lineRule="auto"/>
      </w:pPr>
    </w:p>
    <w:p w14:paraId="2BDBA5F7" w14:textId="0FB26171" w:rsidR="00A75D1C" w:rsidRPr="00B02CD8" w:rsidRDefault="009759F3" w:rsidP="002955E6">
      <w:pPr>
        <w:pStyle w:val="Heading4"/>
        <w:spacing w:after="0" w:line="240" w:lineRule="auto"/>
      </w:pPr>
      <w:bookmarkStart w:id="6" w:name="_Toc413847911"/>
      <w:r w:rsidRPr="00B02CD8">
        <w:t xml:space="preserve">Respondent </w:t>
      </w:r>
      <w:r w:rsidR="00DE2D45" w:rsidRPr="00B02CD8">
        <w:t>Uni</w:t>
      </w:r>
      <w:r w:rsidR="001960AE" w:rsidRPr="00B02CD8">
        <w:t xml:space="preserve">verse and Sampling Methods </w:t>
      </w:r>
      <w:bookmarkEnd w:id="6"/>
    </w:p>
    <w:p w14:paraId="67F70FD0" w14:textId="77777777" w:rsidR="002955E6" w:rsidRPr="00B02CD8" w:rsidRDefault="002955E6" w:rsidP="002955E6">
      <w:pPr>
        <w:spacing w:line="240" w:lineRule="auto"/>
        <w:ind w:left="360"/>
        <w:rPr>
          <w:b/>
          <w:color w:val="0070C0"/>
        </w:rPr>
      </w:pPr>
    </w:p>
    <w:p w14:paraId="0AE599AC" w14:textId="3D95CD8D" w:rsidR="00E004E8" w:rsidRPr="00E867D4" w:rsidRDefault="00AF02DA" w:rsidP="006606EA">
      <w:pPr>
        <w:tabs>
          <w:tab w:val="right" w:pos="9360"/>
        </w:tabs>
        <w:ind w:left="360"/>
      </w:pPr>
      <w:r w:rsidRPr="00711BFA">
        <w:t>Data will be collected from</w:t>
      </w:r>
      <w:r>
        <w:t xml:space="preserve"> a </w:t>
      </w:r>
      <w:r w:rsidRPr="00380F0E">
        <w:t>total of 213 respondents</w:t>
      </w:r>
      <w:r>
        <w:t>. Respondent groups</w:t>
      </w:r>
      <w:r w:rsidRPr="00380F0E">
        <w:t xml:space="preserve"> </w:t>
      </w:r>
      <w:r>
        <w:t xml:space="preserve">include 71 </w:t>
      </w:r>
      <w:r w:rsidRPr="001530F2">
        <w:t>suicide prevention coordinator</w:t>
      </w:r>
      <w:r>
        <w:t>s</w:t>
      </w:r>
      <w:r w:rsidRPr="001530F2">
        <w:t xml:space="preserve"> within health</w:t>
      </w:r>
      <w:r>
        <w:t xml:space="preserve"> and human services departments</w:t>
      </w:r>
      <w:r w:rsidRPr="001530F2">
        <w:t xml:space="preserve"> </w:t>
      </w:r>
      <w:r>
        <w:t>across</w:t>
      </w:r>
      <w:r w:rsidRPr="001530F2">
        <w:t xml:space="preserve"> 50 </w:t>
      </w:r>
      <w:r>
        <w:t>s</w:t>
      </w:r>
      <w:r w:rsidRPr="001530F2">
        <w:t>tates, 5 U.S. territories, 15 Tribes, and the District of Columbia</w:t>
      </w:r>
      <w:r>
        <w:t>;</w:t>
      </w:r>
      <w:r w:rsidRPr="001530F2">
        <w:t xml:space="preserve"> </w:t>
      </w:r>
      <w:r>
        <w:t xml:space="preserve">71 </w:t>
      </w:r>
      <w:r w:rsidRPr="001530F2">
        <w:t>suicide prevention grant project directors</w:t>
      </w:r>
      <w:r>
        <w:t>,</w:t>
      </w:r>
      <w:r w:rsidRPr="001530F2">
        <w:t xml:space="preserve"> or </w:t>
      </w:r>
      <w:r>
        <w:t>their designee,</w:t>
      </w:r>
      <w:r w:rsidRPr="001530F2">
        <w:t xml:space="preserve"> within health and human services departments </w:t>
      </w:r>
      <w:r>
        <w:t>across</w:t>
      </w:r>
      <w:r w:rsidRPr="001530F2">
        <w:t xml:space="preserve"> 50 </w:t>
      </w:r>
      <w:r>
        <w:t>s</w:t>
      </w:r>
      <w:r w:rsidRPr="001530F2">
        <w:t>tates, 5 U.S. territories, 15 Tribes, and the District of Columbia</w:t>
      </w:r>
      <w:r w:rsidR="00E432A1">
        <w:t xml:space="preserve">; and  </w:t>
      </w:r>
      <w:r w:rsidRPr="00DD0842">
        <w:t xml:space="preserve">71 delegates </w:t>
      </w:r>
      <w:r w:rsidR="00E432A1">
        <w:t>across</w:t>
      </w:r>
      <w:r w:rsidR="00E432A1" w:rsidRPr="001530F2">
        <w:t xml:space="preserve"> 50 </w:t>
      </w:r>
      <w:r w:rsidR="00E432A1">
        <w:t>s</w:t>
      </w:r>
      <w:r w:rsidR="00E432A1" w:rsidRPr="001530F2">
        <w:t>tates, 5 U.S. territories, 15 Tribes, and the District of Columbia</w:t>
      </w:r>
      <w:r w:rsidRPr="00DD0842">
        <w:t>, all operating in their official capacities.</w:t>
      </w:r>
      <w:r w:rsidR="00A71291">
        <w:t xml:space="preserve"> </w:t>
      </w:r>
      <w:r w:rsidR="00E004E8" w:rsidRPr="00E867D4">
        <w:rPr>
          <w:rFonts w:eastAsia="SimSun" w:cs="Times New Roman"/>
        </w:rPr>
        <w:t xml:space="preserve">These organizations are considered delegates of the state, </w:t>
      </w:r>
      <w:r w:rsidR="00E004E8" w:rsidRPr="00E867D4">
        <w:rPr>
          <w:rFonts w:cs="Arial"/>
          <w:bCs/>
        </w:rPr>
        <w:t xml:space="preserve">tribal, and U.S. territory </w:t>
      </w:r>
      <w:r w:rsidR="00E004E8" w:rsidRPr="00E867D4">
        <w:rPr>
          <w:rFonts w:eastAsia="SimSun" w:cs="Times New Roman"/>
        </w:rPr>
        <w:t xml:space="preserve">health departments for the following reasons:  </w:t>
      </w:r>
    </w:p>
    <w:p w14:paraId="10F5AE88" w14:textId="77777777" w:rsidR="006606EA" w:rsidRPr="00E867D4" w:rsidRDefault="006606EA" w:rsidP="006606EA">
      <w:pPr>
        <w:tabs>
          <w:tab w:val="right" w:pos="9360"/>
        </w:tabs>
        <w:ind w:left="0"/>
      </w:pPr>
    </w:p>
    <w:p w14:paraId="0665A360" w14:textId="1C8B7358" w:rsidR="002B618C" w:rsidRPr="00E867D4" w:rsidRDefault="00E004E8" w:rsidP="00E004E8">
      <w:pPr>
        <w:pStyle w:val="ListParagraph"/>
        <w:numPr>
          <w:ilvl w:val="0"/>
          <w:numId w:val="44"/>
        </w:numPr>
        <w:tabs>
          <w:tab w:val="right" w:pos="9360"/>
        </w:tabs>
      </w:pPr>
      <w:r w:rsidRPr="00E867D4">
        <w:rPr>
          <w:rFonts w:cs="Arial"/>
          <w:bCs/>
        </w:rPr>
        <w:t xml:space="preserve">As per 0920-0879 Generic ICR language, “delegates are governmental or non-governmental agents (agency, function, office or individual) acting for a principal or submitted by another to represent or act on STLT government behalf.” </w:t>
      </w:r>
      <w:r w:rsidR="006D1616">
        <w:t xml:space="preserve">The delegates </w:t>
      </w:r>
      <w:r w:rsidR="006D1616" w:rsidRPr="00E867D4">
        <w:t xml:space="preserve">include suicide prevention leaders working for non-profit organizations, coalitions, commissions, taskforces or advisory groups. </w:t>
      </w:r>
      <w:r w:rsidR="003C0F5B" w:rsidRPr="00E867D4">
        <w:t xml:space="preserve">STT health agencies task these leaders to work on their behalf to fulfill essential public health services related to suicide prevention. Delegates are either mandated by legislation to work on behalf of the STT health agency or relationships are established via grants, contracts or memorandums of understanding (MOU). </w:t>
      </w:r>
      <w:r w:rsidR="002B618C" w:rsidRPr="00E867D4">
        <w:rPr>
          <w:rFonts w:eastAsia="SimSun" w:cs="Times New Roman"/>
        </w:rPr>
        <w:t xml:space="preserve">State, </w:t>
      </w:r>
      <w:r w:rsidR="002B618C" w:rsidRPr="00E867D4">
        <w:rPr>
          <w:rFonts w:cs="Arial"/>
          <w:bCs/>
        </w:rPr>
        <w:t xml:space="preserve">tribal, and U.S. territory </w:t>
      </w:r>
      <w:r w:rsidR="002B618C" w:rsidRPr="00E867D4">
        <w:rPr>
          <w:rFonts w:eastAsia="SimSun" w:cs="Times New Roman"/>
        </w:rPr>
        <w:t xml:space="preserve">health departments </w:t>
      </w:r>
      <w:r w:rsidR="002B618C" w:rsidRPr="00E867D4">
        <w:t>delegate to the above listed organizations the following essential public health services:</w:t>
      </w:r>
    </w:p>
    <w:p w14:paraId="7D220D14" w14:textId="376C2E1A" w:rsidR="002B618C" w:rsidRPr="00E867D4" w:rsidRDefault="00D93DA8" w:rsidP="002B618C">
      <w:pPr>
        <w:pStyle w:val="ListParagraph"/>
        <w:numPr>
          <w:ilvl w:val="1"/>
          <w:numId w:val="44"/>
        </w:numPr>
        <w:tabs>
          <w:tab w:val="right" w:pos="9360"/>
        </w:tabs>
      </w:pPr>
      <w:r w:rsidRPr="00E867D4">
        <w:t>E</w:t>
      </w:r>
      <w:r w:rsidR="004D6764" w:rsidRPr="00E867D4">
        <w:t>ducate and inform the community about</w:t>
      </w:r>
      <w:r w:rsidRPr="00E867D4">
        <w:t xml:space="preserve"> suicide and suicide prevention;</w:t>
      </w:r>
    </w:p>
    <w:p w14:paraId="138286FF" w14:textId="77777777" w:rsidR="006606EA" w:rsidRPr="00E867D4" w:rsidRDefault="00D93DA8" w:rsidP="006606EA">
      <w:pPr>
        <w:pStyle w:val="ListParagraph"/>
        <w:numPr>
          <w:ilvl w:val="1"/>
          <w:numId w:val="44"/>
        </w:numPr>
        <w:tabs>
          <w:tab w:val="right" w:pos="9360"/>
        </w:tabs>
      </w:pPr>
      <w:r w:rsidRPr="00E867D4">
        <w:t>M</w:t>
      </w:r>
      <w:r w:rsidR="004D6764" w:rsidRPr="00E867D4">
        <w:t>obilize community partnerships to identify suicide problems and implement solutions for suicide prevention</w:t>
      </w:r>
      <w:r w:rsidRPr="00E867D4">
        <w:t>;</w:t>
      </w:r>
      <w:r w:rsidR="004D6764" w:rsidRPr="00E867D4">
        <w:t xml:space="preserve"> </w:t>
      </w:r>
    </w:p>
    <w:p w14:paraId="054C0EA9" w14:textId="4BB4C52B" w:rsidR="00D93DA8" w:rsidRPr="00E867D4" w:rsidRDefault="006606EA" w:rsidP="006606EA">
      <w:pPr>
        <w:pStyle w:val="ListParagraph"/>
        <w:numPr>
          <w:ilvl w:val="1"/>
          <w:numId w:val="44"/>
        </w:numPr>
        <w:tabs>
          <w:tab w:val="right" w:pos="9360"/>
        </w:tabs>
      </w:pPr>
      <w:r w:rsidRPr="00E867D4">
        <w:t>D</w:t>
      </w:r>
      <w:r w:rsidR="004D6764" w:rsidRPr="00E867D4">
        <w:t xml:space="preserve">evelop suicide prevention </w:t>
      </w:r>
      <w:r w:rsidR="00D93DA8" w:rsidRPr="00E867D4">
        <w:t xml:space="preserve">and response policies and plans; and </w:t>
      </w:r>
    </w:p>
    <w:p w14:paraId="6D0A4C2D" w14:textId="417D2030" w:rsidR="006606EA" w:rsidRPr="00E867D4" w:rsidRDefault="006606EA" w:rsidP="00E867D4">
      <w:pPr>
        <w:pStyle w:val="ListParagraph"/>
        <w:numPr>
          <w:ilvl w:val="1"/>
          <w:numId w:val="44"/>
        </w:numPr>
        <w:tabs>
          <w:tab w:val="right" w:pos="9360"/>
        </w:tabs>
      </w:pPr>
      <w:r w:rsidRPr="00E867D4">
        <w:t xml:space="preserve">Link individuals to needed mental health services </w:t>
      </w:r>
    </w:p>
    <w:p w14:paraId="501635B4" w14:textId="1E106C43" w:rsidR="00E004E8" w:rsidRPr="00E867D4" w:rsidRDefault="00E004E8" w:rsidP="00E004E8">
      <w:pPr>
        <w:pStyle w:val="ListParagraph"/>
        <w:numPr>
          <w:ilvl w:val="0"/>
          <w:numId w:val="44"/>
        </w:numPr>
        <w:tabs>
          <w:tab w:val="right" w:pos="9360"/>
        </w:tabs>
      </w:pPr>
      <w:r w:rsidRPr="00E867D4">
        <w:rPr>
          <w:rFonts w:cs="Arial"/>
          <w:bCs/>
        </w:rPr>
        <w:t xml:space="preserve">Using these delegates, </w:t>
      </w:r>
      <w:r w:rsidRPr="00E867D4">
        <w:t>STT h</w:t>
      </w:r>
      <w:r w:rsidR="0060009B" w:rsidRPr="00E867D4">
        <w:t xml:space="preserve">ealth departments </w:t>
      </w:r>
      <w:r w:rsidRPr="00E867D4">
        <w:t>are able to</w:t>
      </w:r>
      <w:r w:rsidR="002B618C" w:rsidRPr="00E867D4">
        <w:t xml:space="preserve"> implement suicide prevention strategies, facilitate communication with stakeholder groups, and engage community memebers throughout their respective jurisdictions.</w:t>
      </w:r>
    </w:p>
    <w:p w14:paraId="77160846" w14:textId="77777777" w:rsidR="00C24132" w:rsidRPr="00146FE7" w:rsidRDefault="00C24132" w:rsidP="00C24132">
      <w:pPr>
        <w:pStyle w:val="ListParagraph"/>
        <w:tabs>
          <w:tab w:val="right" w:pos="9360"/>
        </w:tabs>
        <w:ind w:left="1080"/>
        <w:rPr>
          <w:highlight w:val="cyan"/>
        </w:rPr>
      </w:pPr>
    </w:p>
    <w:p w14:paraId="44882163" w14:textId="371C0453" w:rsidR="004024D1" w:rsidRDefault="00C12DBC" w:rsidP="00D93DA8">
      <w:pPr>
        <w:ind w:left="360"/>
      </w:pPr>
      <w:r>
        <w:t xml:space="preserve">The 213 respondents were selected as they represent suicide prevention coordinators within the 50 states and the District of Columbia,  5 territories, and 15 tribes. 15 tribes were purposefully selected for this data collection out of 562 </w:t>
      </w:r>
      <w:r w:rsidR="00227896">
        <w:t>f</w:t>
      </w:r>
      <w:r>
        <w:t xml:space="preserve">ederally recognized tribes as they represent a diversity of the following characteristics: </w:t>
      </w:r>
      <w:r w:rsidR="00240A46" w:rsidRPr="00B02CD8">
        <w:t>low, medium, high rate of suicide</w:t>
      </w:r>
      <w:r w:rsidR="00D135B0" w:rsidRPr="00B02CD8">
        <w:t>;</w:t>
      </w:r>
      <w:r w:rsidR="00EA23B9" w:rsidRPr="00B02CD8">
        <w:t xml:space="preserve"> experience of</w:t>
      </w:r>
      <w:r w:rsidR="00240A46" w:rsidRPr="00B02CD8">
        <w:t xml:space="preserve"> cluster suicides; </w:t>
      </w:r>
      <w:r w:rsidR="00EA23B9" w:rsidRPr="00B02CD8">
        <w:t xml:space="preserve">current or </w:t>
      </w:r>
      <w:r w:rsidR="00240A46" w:rsidRPr="00B02CD8">
        <w:t>prior suicide prevention grant funding; rural and urban setting;</w:t>
      </w:r>
      <w:r w:rsidR="00156566" w:rsidRPr="00B02CD8">
        <w:t xml:space="preserve"> </w:t>
      </w:r>
      <w:r w:rsidR="00240A46" w:rsidRPr="00B02CD8">
        <w:t xml:space="preserve">geographic region; and innovative suicide prevention programs. </w:t>
      </w:r>
      <w:r w:rsidR="0050529E" w:rsidRPr="00B02CD8">
        <w:t xml:space="preserve"> </w:t>
      </w:r>
      <w:r w:rsidR="00D135B0" w:rsidRPr="00B02CD8">
        <w:t>If a tribal representative is unable to participate,</w:t>
      </w:r>
      <w:r w:rsidR="00137E5B" w:rsidRPr="00B02CD8">
        <w:t xml:space="preserve"> we will replace this entity with another with similar </w:t>
      </w:r>
      <w:r w:rsidR="003D564E" w:rsidRPr="00B02CD8">
        <w:t>characteristics</w:t>
      </w:r>
      <w:r w:rsidR="00137E5B" w:rsidRPr="00B02CD8">
        <w:t xml:space="preserve"> as described above</w:t>
      </w:r>
      <w:r w:rsidR="003D564E" w:rsidRPr="00B02CD8">
        <w:t>.</w:t>
      </w:r>
    </w:p>
    <w:p w14:paraId="1D80CE09" w14:textId="046FF9B3" w:rsidR="00A72BA4" w:rsidRDefault="00A72BA4" w:rsidP="002955E6">
      <w:pPr>
        <w:spacing w:line="240" w:lineRule="auto"/>
        <w:ind w:left="360"/>
      </w:pPr>
    </w:p>
    <w:p w14:paraId="56CAF4D5" w14:textId="6D427A77" w:rsidR="00E867D4" w:rsidRDefault="00E867D4" w:rsidP="002955E6">
      <w:pPr>
        <w:spacing w:line="240" w:lineRule="auto"/>
        <w:ind w:left="360"/>
      </w:pPr>
    </w:p>
    <w:p w14:paraId="2A610A83" w14:textId="2BC4265A" w:rsidR="00E867D4" w:rsidRDefault="00E867D4" w:rsidP="002955E6">
      <w:pPr>
        <w:spacing w:line="240" w:lineRule="auto"/>
        <w:ind w:left="360"/>
      </w:pPr>
    </w:p>
    <w:p w14:paraId="1F000EA8" w14:textId="77777777" w:rsidR="00E867D4" w:rsidRPr="00B02CD8" w:rsidRDefault="00E867D4" w:rsidP="002955E6">
      <w:pPr>
        <w:spacing w:line="240" w:lineRule="auto"/>
        <w:ind w:left="360"/>
      </w:pPr>
    </w:p>
    <w:p w14:paraId="315101AE" w14:textId="77777777" w:rsidR="00287E2F" w:rsidRPr="00B02CD8" w:rsidRDefault="00287E2F" w:rsidP="002955E6">
      <w:pPr>
        <w:pStyle w:val="Heading4"/>
        <w:spacing w:after="0" w:line="240" w:lineRule="auto"/>
      </w:pPr>
      <w:bookmarkStart w:id="7" w:name="_Toc413847912"/>
      <w:r w:rsidRPr="00B02CD8">
        <w:t xml:space="preserve">Procedures for </w:t>
      </w:r>
      <w:r w:rsidR="009759F3" w:rsidRPr="00B02CD8">
        <w:t xml:space="preserve">the </w:t>
      </w:r>
      <w:r w:rsidRPr="00B02CD8">
        <w:t>Collecti</w:t>
      </w:r>
      <w:r w:rsidR="009759F3" w:rsidRPr="00B02CD8">
        <w:t>on</w:t>
      </w:r>
      <w:r w:rsidRPr="00B02CD8">
        <w:t xml:space="preserve"> of Information</w:t>
      </w:r>
      <w:bookmarkEnd w:id="7"/>
      <w:r w:rsidR="00F725B5" w:rsidRPr="00B02CD8">
        <w:t xml:space="preserve"> </w:t>
      </w:r>
      <w:r w:rsidR="009759F3" w:rsidRPr="00B02CD8">
        <w:t xml:space="preserve">  </w:t>
      </w:r>
    </w:p>
    <w:p w14:paraId="260C996C" w14:textId="77777777" w:rsidR="001D461D" w:rsidRPr="00B02CD8" w:rsidRDefault="001D461D" w:rsidP="002955E6">
      <w:pPr>
        <w:spacing w:line="240" w:lineRule="auto"/>
        <w:ind w:left="360"/>
      </w:pPr>
    </w:p>
    <w:p w14:paraId="71219EF4" w14:textId="3D117F7B" w:rsidR="00E33BBA" w:rsidRPr="00B02CD8" w:rsidRDefault="00E33BBA" w:rsidP="00E33BBA">
      <w:pPr>
        <w:ind w:left="360"/>
      </w:pPr>
      <w:r w:rsidRPr="00B02CD8">
        <w:t>Data will be collected via</w:t>
      </w:r>
      <w:r w:rsidR="00A02A42" w:rsidRPr="00B02CD8">
        <w:t xml:space="preserve"> </w:t>
      </w:r>
      <w:r w:rsidR="00D32E91" w:rsidRPr="00B02CD8">
        <w:t>a one-time</w:t>
      </w:r>
      <w:r w:rsidR="007C2FD3">
        <w:t>,</w:t>
      </w:r>
      <w:r w:rsidR="00D32E91" w:rsidRPr="00B02CD8">
        <w:t xml:space="preserve"> </w:t>
      </w:r>
      <w:r w:rsidR="00A02A42" w:rsidRPr="00B02CD8">
        <w:t>web-based</w:t>
      </w:r>
      <w:r w:rsidR="0092611E" w:rsidRPr="00B02CD8">
        <w:t xml:space="preserve"> </w:t>
      </w:r>
      <w:r w:rsidR="00D02593" w:rsidRPr="00B02CD8">
        <w:t>assessment</w:t>
      </w:r>
      <w:r w:rsidR="00A02A42" w:rsidRPr="00B02CD8">
        <w:t xml:space="preserve"> </w:t>
      </w:r>
      <w:r w:rsidRPr="00B02CD8">
        <w:t xml:space="preserve">and respondents will be recruited through a notification (see </w:t>
      </w:r>
      <w:r w:rsidRPr="00B02CD8">
        <w:rPr>
          <w:b/>
        </w:rPr>
        <w:t xml:space="preserve">Attachment </w:t>
      </w:r>
      <w:r w:rsidR="00156566" w:rsidRPr="00B02CD8">
        <w:rPr>
          <w:b/>
        </w:rPr>
        <w:t>C</w:t>
      </w:r>
      <w:r w:rsidRPr="00217209">
        <w:rPr>
          <w:b/>
        </w:rPr>
        <w:t>—</w:t>
      </w:r>
      <w:r w:rsidR="001D3D55" w:rsidRPr="00217209">
        <w:rPr>
          <w:b/>
        </w:rPr>
        <w:t>Pre-n</w:t>
      </w:r>
      <w:r w:rsidR="00525B96" w:rsidRPr="00217209">
        <w:rPr>
          <w:b/>
        </w:rPr>
        <w:t>otification Email</w:t>
      </w:r>
      <w:r w:rsidR="001D3D55" w:rsidRPr="00217209">
        <w:rPr>
          <w:b/>
        </w:rPr>
        <w:t xml:space="preserve"> </w:t>
      </w:r>
      <w:r w:rsidR="001D3D55" w:rsidRPr="00F10060">
        <w:t>and</w:t>
      </w:r>
      <w:r w:rsidR="001D3D55" w:rsidRPr="00217209">
        <w:rPr>
          <w:b/>
        </w:rPr>
        <w:t xml:space="preserve"> Attachment </w:t>
      </w:r>
      <w:r w:rsidR="00156566" w:rsidRPr="00217209">
        <w:rPr>
          <w:b/>
        </w:rPr>
        <w:t>D</w:t>
      </w:r>
      <w:r w:rsidR="001D3D55" w:rsidRPr="00217209">
        <w:rPr>
          <w:b/>
        </w:rPr>
        <w:t xml:space="preserve">—Notification </w:t>
      </w:r>
      <w:r w:rsidR="00303611" w:rsidRPr="00217209">
        <w:rPr>
          <w:b/>
        </w:rPr>
        <w:t>E</w:t>
      </w:r>
      <w:r w:rsidR="001D3D55" w:rsidRPr="00217209">
        <w:rPr>
          <w:b/>
        </w:rPr>
        <w:t>mail</w:t>
      </w:r>
      <w:r w:rsidRPr="00B02CD8">
        <w:t xml:space="preserve">) to the respondent universe.  The </w:t>
      </w:r>
      <w:r w:rsidR="001D3D55" w:rsidRPr="00B02CD8">
        <w:t>pre-notification</w:t>
      </w:r>
      <w:r w:rsidR="00C837F3" w:rsidRPr="00B02CD8">
        <w:t xml:space="preserve"> email </w:t>
      </w:r>
      <w:r w:rsidR="00F9530A">
        <w:t xml:space="preserve">sent 3 business days in advance of the survey link </w:t>
      </w:r>
      <w:r w:rsidR="00C837F3" w:rsidRPr="00B02CD8">
        <w:t xml:space="preserve">and </w:t>
      </w:r>
      <w:r w:rsidRPr="00B02CD8">
        <w:t xml:space="preserve">notification email will explain: </w:t>
      </w:r>
    </w:p>
    <w:p w14:paraId="31DBDEB8" w14:textId="1EE9F79A" w:rsidR="00E33BBA" w:rsidRPr="00B02CD8" w:rsidRDefault="00E33BBA" w:rsidP="00E33BBA">
      <w:pPr>
        <w:pStyle w:val="ListParagraph"/>
        <w:numPr>
          <w:ilvl w:val="0"/>
          <w:numId w:val="24"/>
        </w:numPr>
        <w:ind w:left="1080"/>
      </w:pPr>
      <w:r w:rsidRPr="00B02CD8">
        <w:t xml:space="preserve">The purpose of the </w:t>
      </w:r>
      <w:r w:rsidR="006C1771" w:rsidRPr="00B02CD8">
        <w:t>data collection</w:t>
      </w:r>
      <w:r w:rsidRPr="00B02CD8">
        <w:t xml:space="preserve">, and why their participation is important </w:t>
      </w:r>
    </w:p>
    <w:p w14:paraId="5AFBF7DB" w14:textId="77777777" w:rsidR="00E33BBA" w:rsidRPr="00B02CD8" w:rsidRDefault="00E33BBA" w:rsidP="00E33BBA">
      <w:pPr>
        <w:pStyle w:val="ListParagraph"/>
        <w:numPr>
          <w:ilvl w:val="0"/>
          <w:numId w:val="24"/>
        </w:numPr>
        <w:ind w:left="1080"/>
      </w:pPr>
      <w:r w:rsidRPr="00B02CD8">
        <w:t>Instructions for participating</w:t>
      </w:r>
    </w:p>
    <w:p w14:paraId="1617C7CB" w14:textId="28E18D40" w:rsidR="00691031" w:rsidRPr="00B02CD8" w:rsidRDefault="00E33BBA" w:rsidP="00DA31BA">
      <w:pPr>
        <w:pStyle w:val="ListParagraph"/>
        <w:numPr>
          <w:ilvl w:val="0"/>
          <w:numId w:val="24"/>
        </w:numPr>
        <w:ind w:left="1080"/>
      </w:pPr>
      <w:r w:rsidRPr="00B02CD8">
        <w:t xml:space="preserve">Method to safeguard their responses </w:t>
      </w:r>
      <w:r w:rsidR="00137E5B" w:rsidRPr="00B02CD8">
        <w:t>such t</w:t>
      </w:r>
      <w:r w:rsidRPr="00B02CD8">
        <w:t>hat participation is voluntar</w:t>
      </w:r>
      <w:r w:rsidR="00137E5B" w:rsidRPr="00B02CD8">
        <w:t xml:space="preserve">y; </w:t>
      </w:r>
      <w:r w:rsidRPr="00B02CD8">
        <w:t xml:space="preserve">The expected time to complete the </w:t>
      </w:r>
      <w:r w:rsidR="007C2FD3">
        <w:t>survey</w:t>
      </w:r>
      <w:r w:rsidR="00137E5B" w:rsidRPr="00B02CD8">
        <w:t>; and</w:t>
      </w:r>
      <w:r w:rsidRPr="00B02CD8">
        <w:t xml:space="preserve"> </w:t>
      </w:r>
      <w:r w:rsidR="007C2FD3">
        <w:t>c</w:t>
      </w:r>
      <w:r w:rsidRPr="00B02CD8">
        <w:t xml:space="preserve">ontact information for the </w:t>
      </w:r>
      <w:r w:rsidR="006C1771" w:rsidRPr="00B02CD8">
        <w:t>project</w:t>
      </w:r>
      <w:r w:rsidRPr="00B02CD8">
        <w:t xml:space="preserve"> team</w:t>
      </w:r>
    </w:p>
    <w:p w14:paraId="1AABFA37" w14:textId="77777777" w:rsidR="0030593F" w:rsidRDefault="0030593F" w:rsidP="007C4B61">
      <w:pPr>
        <w:ind w:left="360"/>
      </w:pPr>
    </w:p>
    <w:p w14:paraId="4C6330C4" w14:textId="77777777" w:rsidR="00C12DBC" w:rsidRDefault="00C837F3" w:rsidP="007C4B61">
      <w:pPr>
        <w:ind w:left="360"/>
      </w:pPr>
      <w:r w:rsidRPr="00B02CD8">
        <w:t xml:space="preserve">The notification email will also </w:t>
      </w:r>
      <w:r w:rsidR="007C2FD3">
        <w:t>provide</w:t>
      </w:r>
      <w:r w:rsidR="001B77D4">
        <w:t xml:space="preserve"> </w:t>
      </w:r>
      <w:r w:rsidRPr="00B02CD8">
        <w:t xml:space="preserve">a link to the web-based instrument. </w:t>
      </w:r>
      <w:r w:rsidR="00D5349F" w:rsidRPr="00B02CD8">
        <w:t xml:space="preserve">Respondents will be asked to complete the assessment within </w:t>
      </w:r>
      <w:r w:rsidR="00AB3920" w:rsidRPr="00B02CD8">
        <w:t>20</w:t>
      </w:r>
      <w:r w:rsidR="00D5349F" w:rsidRPr="00B02CD8">
        <w:t xml:space="preserve"> business day</w:t>
      </w:r>
      <w:r w:rsidR="00AB3920" w:rsidRPr="00B02CD8">
        <w:t>s</w:t>
      </w:r>
      <w:r w:rsidR="00D5349F" w:rsidRPr="00B02CD8">
        <w:t xml:space="preserve"> (</w:t>
      </w:r>
      <w:r w:rsidR="00AB3920" w:rsidRPr="00B02CD8">
        <w:t>4</w:t>
      </w:r>
      <w:r w:rsidR="00FE11AF" w:rsidRPr="00B02CD8">
        <w:t xml:space="preserve"> </w:t>
      </w:r>
      <w:r w:rsidR="00D5349F" w:rsidRPr="00B02CD8">
        <w:t xml:space="preserve">weeks) to allow ample time for respondents to </w:t>
      </w:r>
      <w:r w:rsidR="00D17F0A">
        <w:t>complete</w:t>
      </w:r>
      <w:r w:rsidR="00851D6A">
        <w:t xml:space="preserve"> </w:t>
      </w:r>
      <w:r w:rsidR="0030593F">
        <w:t>their responses</w:t>
      </w:r>
      <w:r w:rsidR="00D5349F" w:rsidRPr="00B02CD8">
        <w:t xml:space="preserve">. </w:t>
      </w:r>
      <w:r w:rsidR="00AB3920" w:rsidRPr="00B02CD8">
        <w:t xml:space="preserve">A reminder email </w:t>
      </w:r>
      <w:r w:rsidR="003D2C76" w:rsidRPr="00B02CD8">
        <w:rPr>
          <w:rFonts w:cs="Times New Roman"/>
        </w:rPr>
        <w:t xml:space="preserve">(see </w:t>
      </w:r>
      <w:r w:rsidR="003D2C76" w:rsidRPr="00B02CD8">
        <w:rPr>
          <w:rFonts w:cs="Times New Roman"/>
          <w:b/>
        </w:rPr>
        <w:t xml:space="preserve">Attachment </w:t>
      </w:r>
      <w:r w:rsidR="00156566" w:rsidRPr="00B02CD8">
        <w:rPr>
          <w:rFonts w:cs="Times New Roman"/>
          <w:b/>
        </w:rPr>
        <w:t>E</w:t>
      </w:r>
      <w:r w:rsidR="003D2C76" w:rsidRPr="00B02CD8">
        <w:rPr>
          <w:rFonts w:cs="Times New Roman"/>
          <w:b/>
        </w:rPr>
        <w:t>—Reminder Email 1</w:t>
      </w:r>
      <w:r w:rsidR="003D2C76" w:rsidRPr="00B02CD8">
        <w:rPr>
          <w:rFonts w:cs="Times New Roman"/>
        </w:rPr>
        <w:t xml:space="preserve">) </w:t>
      </w:r>
      <w:r w:rsidR="00AB3920" w:rsidRPr="00B02CD8">
        <w:t>will be sent</w:t>
      </w:r>
      <w:r w:rsidR="00AD73BF" w:rsidRPr="00B02CD8">
        <w:t xml:space="preserve"> to non-respondents</w:t>
      </w:r>
      <w:r w:rsidR="00AB3920" w:rsidRPr="00B02CD8">
        <w:t xml:space="preserve"> one week (5 business days)</w:t>
      </w:r>
      <w:r w:rsidR="00AD73BF" w:rsidRPr="00B02CD8">
        <w:t xml:space="preserve">, </w:t>
      </w:r>
      <w:r w:rsidR="00EA23B9" w:rsidRPr="00B02CD8">
        <w:t xml:space="preserve">and </w:t>
      </w:r>
      <w:r w:rsidR="00AD73BF" w:rsidRPr="00B02CD8">
        <w:t>two weeks (10 business days)</w:t>
      </w:r>
      <w:r w:rsidR="003D2C76" w:rsidRPr="00B02CD8">
        <w:t xml:space="preserve"> </w:t>
      </w:r>
      <w:r w:rsidR="003D2C76" w:rsidRPr="00B02CD8">
        <w:rPr>
          <w:rFonts w:cs="Times New Roman"/>
        </w:rPr>
        <w:t xml:space="preserve">(see </w:t>
      </w:r>
      <w:r w:rsidR="003D2C76" w:rsidRPr="00B02CD8">
        <w:rPr>
          <w:rFonts w:cs="Times New Roman"/>
          <w:b/>
        </w:rPr>
        <w:t xml:space="preserve">Attachment </w:t>
      </w:r>
      <w:r w:rsidR="00156566" w:rsidRPr="00B02CD8">
        <w:rPr>
          <w:rFonts w:cs="Times New Roman"/>
          <w:b/>
        </w:rPr>
        <w:t>F</w:t>
      </w:r>
      <w:r w:rsidR="003D2C76" w:rsidRPr="00B02CD8">
        <w:rPr>
          <w:rFonts w:cs="Times New Roman"/>
          <w:b/>
        </w:rPr>
        <w:t>—Reminder Email 2</w:t>
      </w:r>
      <w:r w:rsidR="003D2C76" w:rsidRPr="00B02CD8">
        <w:rPr>
          <w:rFonts w:cs="Times New Roman"/>
        </w:rPr>
        <w:t>)</w:t>
      </w:r>
      <w:r w:rsidR="00EA23B9" w:rsidRPr="00B02CD8">
        <w:rPr>
          <w:rFonts w:cs="Times New Roman"/>
        </w:rPr>
        <w:t xml:space="preserve"> after the notification email</w:t>
      </w:r>
      <w:r w:rsidR="00862BFE">
        <w:rPr>
          <w:rFonts w:cs="Times New Roman"/>
        </w:rPr>
        <w:t>.</w:t>
      </w:r>
      <w:r w:rsidR="00AD73BF" w:rsidRPr="00B02CD8">
        <w:t xml:space="preserve"> </w:t>
      </w:r>
      <w:r w:rsidR="00EA23B9" w:rsidRPr="00B02CD8">
        <w:t xml:space="preserve">A reminder phone call will be made </w:t>
      </w:r>
      <w:r w:rsidR="00AD73BF" w:rsidRPr="00B02CD8">
        <w:t>three weeks (15 business days)</w:t>
      </w:r>
      <w:r w:rsidR="003D2C76" w:rsidRPr="00B02CD8">
        <w:t xml:space="preserve"> </w:t>
      </w:r>
      <w:r w:rsidR="003D2C76" w:rsidRPr="00B02CD8">
        <w:rPr>
          <w:rFonts w:cs="Times New Roman"/>
        </w:rPr>
        <w:t xml:space="preserve">(see </w:t>
      </w:r>
      <w:r w:rsidR="003D2C76" w:rsidRPr="00B02CD8">
        <w:rPr>
          <w:rFonts w:cs="Times New Roman"/>
          <w:b/>
        </w:rPr>
        <w:t xml:space="preserve">Attachment </w:t>
      </w:r>
      <w:r w:rsidR="00156566" w:rsidRPr="00B02CD8">
        <w:rPr>
          <w:rFonts w:cs="Times New Roman"/>
          <w:b/>
        </w:rPr>
        <w:t>G</w:t>
      </w:r>
      <w:r w:rsidR="003D2C76" w:rsidRPr="00B02CD8">
        <w:rPr>
          <w:rFonts w:cs="Times New Roman"/>
          <w:b/>
        </w:rPr>
        <w:t xml:space="preserve">—Reminder </w:t>
      </w:r>
      <w:r w:rsidR="00636C2C">
        <w:rPr>
          <w:rFonts w:cs="Times New Roman"/>
          <w:b/>
        </w:rPr>
        <w:t>Call</w:t>
      </w:r>
      <w:r w:rsidR="00EA23B9" w:rsidRPr="00B02CD8">
        <w:rPr>
          <w:rFonts w:cs="Times New Roman"/>
          <w:b/>
        </w:rPr>
        <w:t xml:space="preserve"> Script</w:t>
      </w:r>
      <w:r w:rsidR="003D2C76" w:rsidRPr="00B02CD8">
        <w:rPr>
          <w:rFonts w:cs="Times New Roman"/>
        </w:rPr>
        <w:t xml:space="preserve">) </w:t>
      </w:r>
      <w:r w:rsidR="00AB3920" w:rsidRPr="00B02CD8">
        <w:t>after the notification email,</w:t>
      </w:r>
      <w:r w:rsidR="00AD73BF" w:rsidRPr="00B02CD8">
        <w:t xml:space="preserve"> </w:t>
      </w:r>
      <w:r w:rsidR="00EA23B9" w:rsidRPr="00B02CD8">
        <w:t>letting non-respondents know that they have one additional week (5 business day</w:t>
      </w:r>
      <w:r w:rsidR="00851D6A">
        <w:t>s</w:t>
      </w:r>
      <w:r w:rsidR="00EA23B9" w:rsidRPr="00B02CD8">
        <w:t xml:space="preserve">) to complete the assessment and addressing potential obstacles to completion of the assessment. </w:t>
      </w:r>
    </w:p>
    <w:p w14:paraId="6E73AF56" w14:textId="77777777" w:rsidR="00C12DBC" w:rsidRDefault="00C12DBC" w:rsidP="007C4B61">
      <w:pPr>
        <w:ind w:left="360"/>
      </w:pPr>
    </w:p>
    <w:p w14:paraId="54DB54D9" w14:textId="1F77D809" w:rsidR="00C12DBC" w:rsidRDefault="00025EFA" w:rsidP="007C4B61">
      <w:pPr>
        <w:ind w:left="360"/>
      </w:pPr>
      <w:r>
        <w:t>During the phone call reminder, they will be asked if they would</w:t>
      </w:r>
      <w:r w:rsidR="00C24132">
        <w:t xml:space="preserve"> instead</w:t>
      </w:r>
      <w:r>
        <w:t xml:space="preserve"> like t</w:t>
      </w:r>
      <w:r w:rsidR="00636C2C">
        <w:t xml:space="preserve">o complete the survey by phone </w:t>
      </w:r>
      <w:r>
        <w:t>(</w:t>
      </w:r>
      <w:r w:rsidRPr="00B02CD8">
        <w:rPr>
          <w:rFonts w:cs="Times New Roman"/>
        </w:rPr>
        <w:t xml:space="preserve">see </w:t>
      </w:r>
      <w:r w:rsidRPr="00B02CD8">
        <w:rPr>
          <w:rFonts w:cs="Times New Roman"/>
          <w:b/>
        </w:rPr>
        <w:t xml:space="preserve">Attachment </w:t>
      </w:r>
      <w:r>
        <w:rPr>
          <w:rFonts w:cs="Times New Roman"/>
          <w:b/>
        </w:rPr>
        <w:t>H</w:t>
      </w:r>
      <w:r w:rsidRPr="00B02CD8">
        <w:rPr>
          <w:rFonts w:cs="Times New Roman"/>
          <w:b/>
        </w:rPr>
        <w:t>—</w:t>
      </w:r>
      <w:r w:rsidR="00636C2C">
        <w:rPr>
          <w:rFonts w:cs="Times New Roman"/>
          <w:b/>
        </w:rPr>
        <w:t xml:space="preserve">Survey by </w:t>
      </w:r>
      <w:r>
        <w:rPr>
          <w:rFonts w:cs="Times New Roman"/>
          <w:b/>
        </w:rPr>
        <w:t>Phone</w:t>
      </w:r>
      <w:r w:rsidR="00636C2C">
        <w:rPr>
          <w:rFonts w:cs="Times New Roman"/>
          <w:b/>
        </w:rPr>
        <w:t xml:space="preserve"> Script</w:t>
      </w:r>
      <w:r>
        <w:rPr>
          <w:rFonts w:cs="Times New Roman"/>
          <w:b/>
        </w:rPr>
        <w:t xml:space="preserve">) </w:t>
      </w:r>
      <w:r>
        <w:t xml:space="preserve">and a time for the interview will be set up before the survey close date. </w:t>
      </w:r>
      <w:r w:rsidR="00C12DBC">
        <w:t xml:space="preserve">Although respondents will have the option to complete the instrument by phone, this mode is only expected for approximately 10% of respondents. </w:t>
      </w:r>
    </w:p>
    <w:p w14:paraId="3B91D781" w14:textId="77777777" w:rsidR="00C12DBC" w:rsidRDefault="00C12DBC" w:rsidP="007C4B61">
      <w:pPr>
        <w:ind w:left="360"/>
      </w:pPr>
    </w:p>
    <w:p w14:paraId="4A565F8C" w14:textId="5F7C3889" w:rsidR="003D2C76" w:rsidRPr="00B02CD8" w:rsidRDefault="00EA23B9" w:rsidP="007C4B61">
      <w:pPr>
        <w:ind w:left="360"/>
      </w:pPr>
      <w:r w:rsidRPr="00B02CD8">
        <w:t xml:space="preserve">A </w:t>
      </w:r>
      <w:r w:rsidR="00AD73BF" w:rsidRPr="00B02CD8">
        <w:t xml:space="preserve">final reminder email will let </w:t>
      </w:r>
      <w:r w:rsidRPr="00B02CD8">
        <w:t>non-</w:t>
      </w:r>
      <w:r w:rsidR="00AD73BF" w:rsidRPr="00B02CD8">
        <w:t xml:space="preserve">respondents know that the </w:t>
      </w:r>
      <w:r w:rsidR="00653DC0" w:rsidRPr="00B02CD8">
        <w:t>data collection</w:t>
      </w:r>
      <w:r w:rsidR="00AD73BF" w:rsidRPr="00B02CD8">
        <w:t xml:space="preserve"> closes in </w:t>
      </w:r>
      <w:r w:rsidRPr="00B02CD8">
        <w:t>2</w:t>
      </w:r>
      <w:r w:rsidR="00AD73BF" w:rsidRPr="00B02CD8">
        <w:t xml:space="preserve"> business days</w:t>
      </w:r>
      <w:r w:rsidRPr="00B02CD8">
        <w:t xml:space="preserve"> </w:t>
      </w:r>
      <w:r w:rsidRPr="00B02CD8">
        <w:rPr>
          <w:rFonts w:cs="Times New Roman"/>
        </w:rPr>
        <w:t xml:space="preserve">(see </w:t>
      </w:r>
      <w:bookmarkStart w:id="8" w:name="_Hlk511397015"/>
      <w:r w:rsidRPr="00B02CD8">
        <w:rPr>
          <w:rFonts w:cs="Times New Roman"/>
          <w:b/>
        </w:rPr>
        <w:t xml:space="preserve">Attachment </w:t>
      </w:r>
      <w:r w:rsidR="00025EFA">
        <w:rPr>
          <w:rFonts w:cs="Times New Roman"/>
          <w:b/>
        </w:rPr>
        <w:t>I</w:t>
      </w:r>
      <w:r w:rsidRPr="00B02CD8">
        <w:rPr>
          <w:rFonts w:cs="Times New Roman"/>
          <w:b/>
        </w:rPr>
        <w:t>—Reminder Email 3</w:t>
      </w:r>
      <w:bookmarkEnd w:id="8"/>
      <w:r w:rsidRPr="00B02CD8">
        <w:rPr>
          <w:rFonts w:cs="Times New Roman"/>
        </w:rPr>
        <w:t>)</w:t>
      </w:r>
      <w:r w:rsidR="00AD73BF" w:rsidRPr="00B02CD8">
        <w:t xml:space="preserve">. Upon completion of the </w:t>
      </w:r>
      <w:r w:rsidR="00653DC0" w:rsidRPr="00B02CD8">
        <w:t>assessment</w:t>
      </w:r>
      <w:r w:rsidR="00AD73BF" w:rsidRPr="00B02CD8">
        <w:t>, respondents will receive an email thanking them for their participation</w:t>
      </w:r>
      <w:r w:rsidR="00CE1965" w:rsidRPr="00B02CD8">
        <w:t xml:space="preserve"> </w:t>
      </w:r>
      <w:r w:rsidR="00CE1965" w:rsidRPr="00B02CD8">
        <w:rPr>
          <w:rFonts w:cs="Times New Roman"/>
        </w:rPr>
        <w:t xml:space="preserve">(see </w:t>
      </w:r>
      <w:r w:rsidR="00CE1965" w:rsidRPr="00B02CD8">
        <w:rPr>
          <w:rFonts w:cs="Times New Roman"/>
          <w:b/>
        </w:rPr>
        <w:t xml:space="preserve">Attachment </w:t>
      </w:r>
      <w:r w:rsidR="00025EFA">
        <w:rPr>
          <w:rFonts w:cs="Times New Roman"/>
          <w:b/>
        </w:rPr>
        <w:t>J</w:t>
      </w:r>
      <w:r w:rsidR="00CE1965" w:rsidRPr="00B02CD8">
        <w:rPr>
          <w:rFonts w:cs="Times New Roman"/>
          <w:b/>
        </w:rPr>
        <w:t>—Thank You Email</w:t>
      </w:r>
      <w:r w:rsidR="00CE1965" w:rsidRPr="00B02CD8">
        <w:rPr>
          <w:rFonts w:cs="Times New Roman"/>
        </w:rPr>
        <w:t>)</w:t>
      </w:r>
      <w:r w:rsidR="00AD73BF" w:rsidRPr="00B02CD8">
        <w:t xml:space="preserve">. </w:t>
      </w:r>
      <w:r w:rsidR="00FE11AF" w:rsidRPr="00B02CD8">
        <w:t xml:space="preserve">Those who do not respond within </w:t>
      </w:r>
      <w:r w:rsidR="008260D4" w:rsidRPr="00B02CD8">
        <w:t xml:space="preserve">two weeks (10 business days) </w:t>
      </w:r>
      <w:r w:rsidR="00FE11AF" w:rsidRPr="00B02CD8">
        <w:t>of the final reminder will be considered non-responders.</w:t>
      </w:r>
    </w:p>
    <w:p w14:paraId="23D2A589" w14:textId="13A63400" w:rsidR="00456489" w:rsidRPr="00B02CD8" w:rsidRDefault="00456489" w:rsidP="00456489">
      <w:pPr>
        <w:spacing w:line="240" w:lineRule="auto"/>
        <w:ind w:left="360"/>
      </w:pPr>
    </w:p>
    <w:p w14:paraId="2607A4BA" w14:textId="5018B2C7" w:rsidR="00796C5E" w:rsidRDefault="00796C5E" w:rsidP="00796C5E">
      <w:pPr>
        <w:ind w:left="360"/>
      </w:pPr>
      <w:r>
        <w:rPr>
          <w:rFonts w:ascii="Cambria" w:hAnsi="Cambria"/>
        </w:rPr>
        <w:t xml:space="preserve">Once the data collection period for the web-based assessment has closed, GEARS contractor staff with CDC security clearance will manage the cleaning and analysis of the data collected via the </w:t>
      </w:r>
      <w:r w:rsidRPr="0009168B">
        <w:t>Epi Info 7 Web Survey system (EIWS)</w:t>
      </w:r>
      <w:r>
        <w:rPr>
          <w:rFonts w:ascii="Cambria" w:hAnsi="Cambria"/>
        </w:rPr>
        <w:t xml:space="preserve">. </w:t>
      </w:r>
      <w:r w:rsidRPr="007819E7">
        <w:t>Data analysis will be performed using one or more of the statistical components available in EpiInfo including Classic Analysis, Visual Dashboard, and StatCalc. </w:t>
      </w:r>
      <w:r>
        <w:rPr>
          <w:rFonts w:ascii="Cambria" w:hAnsi="Cambria"/>
        </w:rPr>
        <w:t>Data will then be reviewed for completeness, and simple descriptive statistics will be run to examine response frequencies. Depending on the response distributions, frequencies may be cross-tabulated or co</w:t>
      </w:r>
      <w:r w:rsidRPr="00BE1182">
        <w:rPr>
          <w:rFonts w:ascii="Cambria" w:hAnsi="Cambria"/>
        </w:rPr>
        <w:t>rrelated to examine similarities and differences among responses and respondent subgroups. Frequency data will be tabulated by type of jurisdiction, or other subgroups (e.g., grouped by region, by suicide rates or changes in rates</w:t>
      </w:r>
      <w:r w:rsidR="0095743A">
        <w:rPr>
          <w:rFonts w:ascii="Cambria" w:hAnsi="Cambria"/>
        </w:rPr>
        <w:t>, update/not updated suicide prevention plans, high or low readiness</w:t>
      </w:r>
      <w:r w:rsidRPr="00BE1182">
        <w:rPr>
          <w:rFonts w:ascii="Cambria" w:hAnsi="Cambria"/>
        </w:rPr>
        <w:t xml:space="preserve">). If feasible, </w:t>
      </w:r>
      <w:r w:rsidRPr="0027365E">
        <w:rPr>
          <w:rFonts w:ascii="Cambria" w:hAnsi="Cambria"/>
        </w:rPr>
        <w:t>statistical relationships between groups of respondents will be examined</w:t>
      </w:r>
      <w:r w:rsidRPr="0009168B">
        <w:rPr>
          <w:rFonts w:ascii="Cambria" w:hAnsi="Cambria"/>
        </w:rPr>
        <w:t>.</w:t>
      </w:r>
      <w:r w:rsidR="0095743A">
        <w:rPr>
          <w:rFonts w:ascii="Cambria" w:hAnsi="Cambria"/>
        </w:rPr>
        <w:t xml:space="preserve"> </w:t>
      </w:r>
      <w:r w:rsidR="0095743A" w:rsidRPr="001530F2">
        <w:t>Content analysis will be used to identify themes in qualitative responses.</w:t>
      </w:r>
    </w:p>
    <w:p w14:paraId="0E474971" w14:textId="77777777" w:rsidR="00796C5E" w:rsidRDefault="00796C5E" w:rsidP="00796C5E">
      <w:pPr>
        <w:ind w:left="360"/>
      </w:pPr>
    </w:p>
    <w:p w14:paraId="5FD92DAB" w14:textId="3D010802" w:rsidR="00796C5E" w:rsidRDefault="00796C5E" w:rsidP="00796C5E">
      <w:pPr>
        <w:ind w:left="360"/>
      </w:pPr>
      <w:r>
        <w:t xml:space="preserve">All data </w:t>
      </w:r>
      <w:r w:rsidRPr="007819E7">
        <w:t>will be stored on a CDC se</w:t>
      </w:r>
      <w:r>
        <w:t>cure network environment.</w:t>
      </w:r>
      <w:r w:rsidRPr="007819E7">
        <w:t xml:space="preserve"> Data will not be exposed to unsecured external environments nor available to non-approved users.</w:t>
      </w:r>
    </w:p>
    <w:p w14:paraId="29B9ED1D" w14:textId="77777777" w:rsidR="00796C5E" w:rsidRDefault="00796C5E" w:rsidP="00796C5E">
      <w:pPr>
        <w:ind w:left="360"/>
        <w:rPr>
          <w:rFonts w:ascii="Cambria" w:hAnsi="Cambria"/>
        </w:rPr>
      </w:pPr>
    </w:p>
    <w:p w14:paraId="36C1A2E1" w14:textId="7655D603" w:rsidR="00691031" w:rsidRPr="008E2785" w:rsidRDefault="00A17513" w:rsidP="008E2785">
      <w:pPr>
        <w:ind w:left="360"/>
        <w:rPr>
          <w:rFonts w:ascii="Cambria" w:hAnsi="Cambria"/>
        </w:rPr>
      </w:pPr>
      <w:r>
        <w:rPr>
          <w:rFonts w:ascii="Cambria" w:hAnsi="Cambria"/>
        </w:rPr>
        <w:t>Aggregated r</w:t>
      </w:r>
      <w:r w:rsidR="0095743A" w:rsidRPr="008E2785">
        <w:rPr>
          <w:rFonts w:ascii="Cambria" w:hAnsi="Cambria"/>
        </w:rPr>
        <w:t>esults will be documented in a formal report, translated for lay audiences, presented as a conference abstract, and written up as a peer-reviewed journal article. This information will be communicated to the public, to public and mental health professionals, and to states and communities via our CDC website, partner networks (National Action Alliance for Suicide Prevention, American Foundation for Suicide Prevention, Suici</w:t>
      </w:r>
      <w:r w:rsidR="00B34205">
        <w:rPr>
          <w:rFonts w:ascii="Cambria" w:hAnsi="Cambria"/>
        </w:rPr>
        <w:t xml:space="preserve">de Prevention Resource Center, </w:t>
      </w:r>
      <w:r w:rsidR="0095743A" w:rsidRPr="008E2785">
        <w:rPr>
          <w:rFonts w:ascii="Cambria" w:hAnsi="Cambria"/>
        </w:rPr>
        <w:t>socia</w:t>
      </w:r>
      <w:r w:rsidR="0095743A">
        <w:rPr>
          <w:rFonts w:ascii="Cambria" w:hAnsi="Cambria"/>
        </w:rPr>
        <w:t>l media (T</w:t>
      </w:r>
      <w:r w:rsidR="0095743A" w:rsidRPr="008E2785">
        <w:rPr>
          <w:rFonts w:ascii="Cambria" w:hAnsi="Cambria"/>
        </w:rPr>
        <w:t>witter, Facebook), and professional meetings and publications.</w:t>
      </w:r>
    </w:p>
    <w:p w14:paraId="77FEB87F" w14:textId="0D56C307" w:rsidR="0095743A" w:rsidRPr="008E2785" w:rsidRDefault="0095743A" w:rsidP="00D93DA8">
      <w:pPr>
        <w:ind w:left="0"/>
        <w:rPr>
          <w:rFonts w:ascii="Cambria" w:hAnsi="Cambria"/>
        </w:rPr>
      </w:pPr>
    </w:p>
    <w:p w14:paraId="2E71A48E" w14:textId="15E30D14" w:rsidR="009759F3" w:rsidRPr="00B02CD8" w:rsidRDefault="00287E2F" w:rsidP="002955E6">
      <w:pPr>
        <w:pStyle w:val="Heading4"/>
        <w:spacing w:after="0" w:line="240" w:lineRule="auto"/>
      </w:pPr>
      <w:bookmarkStart w:id="9" w:name="_Toc413847913"/>
      <w:r w:rsidRPr="00B02CD8">
        <w:t>Methods to Maximize Response Rates</w:t>
      </w:r>
      <w:r w:rsidR="00F725B5" w:rsidRPr="00B02CD8">
        <w:t xml:space="preserve"> </w:t>
      </w:r>
      <w:r w:rsidR="009759F3" w:rsidRPr="00B02CD8">
        <w:t>Deal with Nonresponse</w:t>
      </w:r>
      <w:bookmarkEnd w:id="9"/>
    </w:p>
    <w:p w14:paraId="4AF28A6D" w14:textId="77777777" w:rsidR="001D461D" w:rsidRPr="00B02CD8" w:rsidRDefault="001D461D" w:rsidP="002955E6">
      <w:pPr>
        <w:spacing w:line="240" w:lineRule="auto"/>
        <w:ind w:left="360"/>
        <w:rPr>
          <w:b/>
          <w:color w:val="0070C0"/>
        </w:rPr>
      </w:pPr>
    </w:p>
    <w:p w14:paraId="16AC71A3" w14:textId="2DF6EC10" w:rsidR="00687C5F" w:rsidRPr="00B02CD8" w:rsidRDefault="00991BF9" w:rsidP="00C26392">
      <w:pPr>
        <w:ind w:left="360"/>
      </w:pPr>
      <w:r w:rsidRPr="00B02CD8">
        <w:t xml:space="preserve">Although participation in the </w:t>
      </w:r>
      <w:r w:rsidR="00687C5F" w:rsidRPr="00B02CD8">
        <w:t xml:space="preserve">data collection </w:t>
      </w:r>
      <w:r w:rsidRPr="00B02CD8">
        <w:t xml:space="preserve">is voluntary, the </w:t>
      </w:r>
      <w:r w:rsidR="00687C5F" w:rsidRPr="00B02CD8">
        <w:t xml:space="preserve">project team </w:t>
      </w:r>
      <w:r w:rsidR="006C1771" w:rsidRPr="00B02CD8">
        <w:t xml:space="preserve">will make every </w:t>
      </w:r>
      <w:r w:rsidRPr="00B02CD8">
        <w:t xml:space="preserve">effort to maximize the rate of response. The </w:t>
      </w:r>
      <w:r w:rsidR="00687C5F" w:rsidRPr="00B02CD8">
        <w:t>data collection instrument</w:t>
      </w:r>
      <w:r w:rsidRPr="00B02CD8">
        <w:t xml:space="preserve"> was designed with particular focus on streamlining questions to allow for skipping questions based on responses to previous questions, thereby minimizing response burden. </w:t>
      </w:r>
    </w:p>
    <w:p w14:paraId="5791B8DC" w14:textId="77777777" w:rsidR="00796C5E" w:rsidRPr="00B02CD8" w:rsidRDefault="00796C5E" w:rsidP="00C26392">
      <w:pPr>
        <w:ind w:left="360"/>
      </w:pPr>
    </w:p>
    <w:p w14:paraId="476FB983" w14:textId="1B3217C2" w:rsidR="00CF3172" w:rsidRPr="00B02CD8" w:rsidRDefault="001D461D" w:rsidP="00CF3172">
      <w:pPr>
        <w:ind w:left="360"/>
      </w:pPr>
      <w:r w:rsidRPr="00B02CD8">
        <w:t>Following the</w:t>
      </w:r>
      <w:r w:rsidR="00BF2D06" w:rsidRPr="00B02CD8">
        <w:t xml:space="preserve"> pre</w:t>
      </w:r>
      <w:r w:rsidR="00C86834">
        <w:t>-</w:t>
      </w:r>
      <w:r w:rsidR="00BF2D06" w:rsidRPr="00B02CD8">
        <w:t xml:space="preserve">notification email (see </w:t>
      </w:r>
      <w:r w:rsidR="00BF2D06" w:rsidRPr="00B02CD8">
        <w:rPr>
          <w:b/>
        </w:rPr>
        <w:t xml:space="preserve">Attachment </w:t>
      </w:r>
      <w:r w:rsidR="00B02CD8" w:rsidRPr="00B02CD8">
        <w:rPr>
          <w:b/>
        </w:rPr>
        <w:t xml:space="preserve">C </w:t>
      </w:r>
      <w:r w:rsidR="00BF2D06" w:rsidRPr="00B02CD8">
        <w:rPr>
          <w:b/>
        </w:rPr>
        <w:t>–</w:t>
      </w:r>
      <w:r w:rsidR="00D02593" w:rsidRPr="00B02CD8">
        <w:rPr>
          <w:b/>
        </w:rPr>
        <w:t xml:space="preserve"> </w:t>
      </w:r>
      <w:r w:rsidR="00BF2D06" w:rsidRPr="00B02CD8">
        <w:rPr>
          <w:b/>
        </w:rPr>
        <w:t>Pre</w:t>
      </w:r>
      <w:r w:rsidR="00796C5E">
        <w:rPr>
          <w:b/>
        </w:rPr>
        <w:t>-</w:t>
      </w:r>
      <w:r w:rsidR="00BF2D06" w:rsidRPr="00B02CD8">
        <w:rPr>
          <w:b/>
        </w:rPr>
        <w:t>notification</w:t>
      </w:r>
      <w:r w:rsidR="00D52A4B" w:rsidRPr="00B02CD8">
        <w:rPr>
          <w:b/>
        </w:rPr>
        <w:t xml:space="preserve"> Email</w:t>
      </w:r>
      <w:r w:rsidR="00BF2D06" w:rsidRPr="00B02CD8">
        <w:t>), the</w:t>
      </w:r>
      <w:r w:rsidRPr="00B02CD8">
        <w:t xml:space="preserve"> invitation to participate in the </w:t>
      </w:r>
      <w:r w:rsidR="00487E55" w:rsidRPr="00B02CD8">
        <w:t>data collection</w:t>
      </w:r>
      <w:r w:rsidR="00D52A4B" w:rsidRPr="00B02CD8">
        <w:t xml:space="preserve"> (see </w:t>
      </w:r>
      <w:r w:rsidR="00D52A4B" w:rsidRPr="00B02CD8">
        <w:rPr>
          <w:b/>
        </w:rPr>
        <w:t xml:space="preserve">Attachment </w:t>
      </w:r>
      <w:r w:rsidR="00B02CD8" w:rsidRPr="00B02CD8">
        <w:rPr>
          <w:b/>
        </w:rPr>
        <w:t>D</w:t>
      </w:r>
      <w:r w:rsidR="00D50AE9" w:rsidRPr="00B02CD8">
        <w:rPr>
          <w:b/>
        </w:rPr>
        <w:t>—</w:t>
      </w:r>
      <w:r w:rsidR="00D02593" w:rsidRPr="00B02CD8">
        <w:rPr>
          <w:b/>
        </w:rPr>
        <w:t>Notification</w:t>
      </w:r>
      <w:r w:rsidR="00D52A4B" w:rsidRPr="00B02CD8">
        <w:rPr>
          <w:b/>
        </w:rPr>
        <w:t xml:space="preserve"> Email</w:t>
      </w:r>
      <w:r w:rsidR="00D52A4B" w:rsidRPr="00B02CD8">
        <w:t>) will be sent within 3 business days. R</w:t>
      </w:r>
      <w:r w:rsidR="00687C5F" w:rsidRPr="00B02CD8">
        <w:t xml:space="preserve">espondents will have </w:t>
      </w:r>
      <w:r w:rsidR="00CF3172">
        <w:t>4</w:t>
      </w:r>
      <w:r w:rsidR="00D52A4B" w:rsidRPr="00B02CD8">
        <w:t xml:space="preserve"> week</w:t>
      </w:r>
      <w:r w:rsidR="00CF3172">
        <w:t>s</w:t>
      </w:r>
      <w:r w:rsidR="00D52A4B" w:rsidRPr="00B02CD8">
        <w:t xml:space="preserve"> (</w:t>
      </w:r>
      <w:r w:rsidR="00CF3172">
        <w:t>20</w:t>
      </w:r>
      <w:r w:rsidR="00CF3172" w:rsidRPr="00B02CD8">
        <w:t xml:space="preserve"> </w:t>
      </w:r>
      <w:r w:rsidR="00687C5F" w:rsidRPr="00B02CD8">
        <w:t>business days</w:t>
      </w:r>
      <w:r w:rsidR="00D52A4B" w:rsidRPr="00B02CD8">
        <w:t>)</w:t>
      </w:r>
      <w:r w:rsidR="00687C5F" w:rsidRPr="00B02CD8">
        <w:t xml:space="preserve"> to complete the </w:t>
      </w:r>
      <w:r w:rsidR="00D01333" w:rsidRPr="00B02CD8">
        <w:t>assessment</w:t>
      </w:r>
      <w:r w:rsidR="00CF3172">
        <w:t xml:space="preserve">, </w:t>
      </w:r>
      <w:r w:rsidR="00CF3172" w:rsidRPr="00B02CD8">
        <w:t xml:space="preserve">to allow ample time for </w:t>
      </w:r>
      <w:r w:rsidR="00CF3172">
        <w:t>completion</w:t>
      </w:r>
      <w:r w:rsidR="00CF3172" w:rsidRPr="00B02CD8">
        <w:t xml:space="preserve">. A reminder email </w:t>
      </w:r>
      <w:r w:rsidR="00CF3172" w:rsidRPr="00B02CD8">
        <w:rPr>
          <w:rFonts w:cs="Times New Roman"/>
        </w:rPr>
        <w:t xml:space="preserve">(see </w:t>
      </w:r>
      <w:r w:rsidR="00CF3172" w:rsidRPr="00B02CD8">
        <w:rPr>
          <w:rFonts w:cs="Times New Roman"/>
          <w:b/>
        </w:rPr>
        <w:t>Attachment E—Reminder Email 1</w:t>
      </w:r>
      <w:r w:rsidR="00CF3172" w:rsidRPr="00B02CD8">
        <w:rPr>
          <w:rFonts w:cs="Times New Roman"/>
        </w:rPr>
        <w:t xml:space="preserve">) </w:t>
      </w:r>
      <w:r w:rsidR="00CF3172" w:rsidRPr="00B02CD8">
        <w:t xml:space="preserve">will be sent to non-respondents one week (5 business days), and two weeks (10 business days) </w:t>
      </w:r>
      <w:r w:rsidR="00CF3172" w:rsidRPr="00B02CD8">
        <w:rPr>
          <w:rFonts w:cs="Times New Roman"/>
        </w:rPr>
        <w:t xml:space="preserve">(see </w:t>
      </w:r>
      <w:r w:rsidR="00CF3172" w:rsidRPr="00B02CD8">
        <w:rPr>
          <w:rFonts w:cs="Times New Roman"/>
          <w:b/>
        </w:rPr>
        <w:t>Attachment F—Reminder Email 2</w:t>
      </w:r>
      <w:r w:rsidR="00CF3172" w:rsidRPr="00B02CD8">
        <w:rPr>
          <w:rFonts w:cs="Times New Roman"/>
        </w:rPr>
        <w:t>) after the notification email</w:t>
      </w:r>
      <w:r w:rsidR="00CF3172">
        <w:rPr>
          <w:rFonts w:cs="Times New Roman"/>
        </w:rPr>
        <w:t>.</w:t>
      </w:r>
      <w:r w:rsidR="00CF3172" w:rsidRPr="00B02CD8">
        <w:t xml:space="preserve"> A reminder phone call will be made three weeks (15 business days) </w:t>
      </w:r>
      <w:r w:rsidR="00CF3172" w:rsidRPr="00B02CD8">
        <w:rPr>
          <w:rFonts w:cs="Times New Roman"/>
        </w:rPr>
        <w:t xml:space="preserve">(see </w:t>
      </w:r>
      <w:r w:rsidR="00CF3172" w:rsidRPr="00B02CD8">
        <w:rPr>
          <w:rFonts w:cs="Times New Roman"/>
          <w:b/>
        </w:rPr>
        <w:t>Attachment G—Reminder Phone Script 1</w:t>
      </w:r>
      <w:r w:rsidR="00CF3172" w:rsidRPr="00B02CD8">
        <w:rPr>
          <w:rFonts w:cs="Times New Roman"/>
        </w:rPr>
        <w:t xml:space="preserve">) </w:t>
      </w:r>
      <w:r w:rsidR="00CF3172" w:rsidRPr="00B02CD8">
        <w:t xml:space="preserve">after the notification email, letting non-respondents know that they have one additional week (5 business day) to complete the assessment and addressing potential obstacles to completion of the assessment. </w:t>
      </w:r>
      <w:r w:rsidR="000238EE">
        <w:t>During the phone call reminder, they will be asked if they would like to complete the survey by phone</w:t>
      </w:r>
      <w:r w:rsidR="001212E4">
        <w:t xml:space="preserve"> interview (</w:t>
      </w:r>
      <w:r w:rsidR="001212E4" w:rsidRPr="00B02CD8">
        <w:rPr>
          <w:rFonts w:cs="Times New Roman"/>
        </w:rPr>
        <w:t xml:space="preserve">see </w:t>
      </w:r>
      <w:r w:rsidR="001212E4" w:rsidRPr="00B02CD8">
        <w:rPr>
          <w:rFonts w:cs="Times New Roman"/>
          <w:b/>
        </w:rPr>
        <w:t xml:space="preserve">Attachment </w:t>
      </w:r>
      <w:r w:rsidR="001212E4">
        <w:rPr>
          <w:rFonts w:cs="Times New Roman"/>
          <w:b/>
        </w:rPr>
        <w:t>H</w:t>
      </w:r>
      <w:r w:rsidR="001212E4" w:rsidRPr="00B02CD8">
        <w:rPr>
          <w:rFonts w:cs="Times New Roman"/>
          <w:b/>
        </w:rPr>
        <w:t>—</w:t>
      </w:r>
      <w:r w:rsidR="00636C2C">
        <w:rPr>
          <w:rFonts w:cs="Times New Roman"/>
          <w:b/>
        </w:rPr>
        <w:t>Survey by Phone</w:t>
      </w:r>
      <w:r w:rsidR="001212E4">
        <w:rPr>
          <w:rFonts w:cs="Times New Roman"/>
          <w:b/>
        </w:rPr>
        <w:t xml:space="preserve"> Script)</w:t>
      </w:r>
      <w:r w:rsidR="00025EFA">
        <w:rPr>
          <w:rFonts w:cs="Times New Roman"/>
          <w:b/>
        </w:rPr>
        <w:t xml:space="preserve"> </w:t>
      </w:r>
      <w:r w:rsidR="001212E4">
        <w:t xml:space="preserve">and a time for the interview will be set up before the survey close date. </w:t>
      </w:r>
      <w:r w:rsidR="00CF3172" w:rsidRPr="00B02CD8">
        <w:t xml:space="preserve">A final reminder email will let non-respondents know that the data collection closes in 2 business days </w:t>
      </w:r>
      <w:r w:rsidR="00CF3172" w:rsidRPr="00B02CD8">
        <w:rPr>
          <w:rFonts w:cs="Times New Roman"/>
        </w:rPr>
        <w:t xml:space="preserve">(see </w:t>
      </w:r>
      <w:r w:rsidR="00CF3172" w:rsidRPr="00B02CD8">
        <w:rPr>
          <w:rFonts w:cs="Times New Roman"/>
          <w:b/>
        </w:rPr>
        <w:t xml:space="preserve">Attachment </w:t>
      </w:r>
      <w:r w:rsidR="001212E4">
        <w:rPr>
          <w:rFonts w:cs="Times New Roman"/>
          <w:b/>
        </w:rPr>
        <w:t>I</w:t>
      </w:r>
      <w:r w:rsidR="00CF3172" w:rsidRPr="00B02CD8">
        <w:rPr>
          <w:rFonts w:cs="Times New Roman"/>
          <w:b/>
        </w:rPr>
        <w:t>—Reminder Email 3</w:t>
      </w:r>
      <w:r w:rsidR="00CF3172" w:rsidRPr="00B02CD8">
        <w:rPr>
          <w:rFonts w:cs="Times New Roman"/>
        </w:rPr>
        <w:t>)</w:t>
      </w:r>
      <w:r w:rsidR="00CF3172" w:rsidRPr="00B02CD8">
        <w:t xml:space="preserve">. Upon completion of the assessment, respondents will receive an email thanking them for their participation </w:t>
      </w:r>
      <w:r w:rsidR="00CF3172" w:rsidRPr="00B02CD8">
        <w:rPr>
          <w:rFonts w:cs="Times New Roman"/>
        </w:rPr>
        <w:t xml:space="preserve">(see </w:t>
      </w:r>
      <w:r w:rsidR="00CF3172" w:rsidRPr="00B02CD8">
        <w:rPr>
          <w:rFonts w:cs="Times New Roman"/>
          <w:b/>
        </w:rPr>
        <w:t xml:space="preserve">Attachment </w:t>
      </w:r>
      <w:r w:rsidR="001212E4">
        <w:rPr>
          <w:rFonts w:cs="Times New Roman"/>
          <w:b/>
        </w:rPr>
        <w:t>J</w:t>
      </w:r>
      <w:r w:rsidR="00CF3172" w:rsidRPr="00B02CD8">
        <w:rPr>
          <w:rFonts w:cs="Times New Roman"/>
          <w:b/>
        </w:rPr>
        <w:t>—Thank You Email</w:t>
      </w:r>
      <w:r w:rsidR="00CF3172" w:rsidRPr="00B02CD8">
        <w:rPr>
          <w:rFonts w:cs="Times New Roman"/>
        </w:rPr>
        <w:t>)</w:t>
      </w:r>
      <w:r w:rsidR="00CF3172" w:rsidRPr="00B02CD8">
        <w:t>. Those who do not respond within two weeks (10 business days) of the final reminder will be considered non-responders.</w:t>
      </w:r>
    </w:p>
    <w:p w14:paraId="68A9C023" w14:textId="68FE0C3E" w:rsidR="000100DE" w:rsidRPr="00B02CD8" w:rsidRDefault="000100DE" w:rsidP="00D93DA8">
      <w:pPr>
        <w:spacing w:line="240" w:lineRule="auto"/>
        <w:ind w:left="0"/>
        <w:rPr>
          <w:rFonts w:cs="Arial"/>
        </w:rPr>
      </w:pPr>
    </w:p>
    <w:p w14:paraId="3C5DE833" w14:textId="77777777" w:rsidR="00F52BCC" w:rsidRPr="00B02CD8" w:rsidRDefault="00287E2F" w:rsidP="002955E6">
      <w:pPr>
        <w:pStyle w:val="Heading4"/>
        <w:spacing w:after="0" w:line="240" w:lineRule="auto"/>
      </w:pPr>
      <w:bookmarkStart w:id="10" w:name="_Toc413847914"/>
      <w:r w:rsidRPr="00B02CD8">
        <w:t xml:space="preserve">Test of Procedures </w:t>
      </w:r>
      <w:r w:rsidR="009759F3" w:rsidRPr="00B02CD8">
        <w:t>or Methods to be Undertaken</w:t>
      </w:r>
      <w:bookmarkEnd w:id="10"/>
    </w:p>
    <w:p w14:paraId="72649700" w14:textId="77777777" w:rsidR="00865573" w:rsidRPr="00B02CD8" w:rsidRDefault="00865573" w:rsidP="002955E6">
      <w:pPr>
        <w:spacing w:line="240" w:lineRule="auto"/>
        <w:ind w:left="360"/>
        <w:rPr>
          <w:color w:val="000000"/>
          <w:lang w:eastAsia="zh-CN"/>
        </w:rPr>
      </w:pPr>
    </w:p>
    <w:p w14:paraId="19B4A0B9" w14:textId="77777777" w:rsidR="00C94B41" w:rsidRPr="00E867D4" w:rsidRDefault="00C94B41" w:rsidP="00C94B41">
      <w:pPr>
        <w:ind w:left="360"/>
      </w:pPr>
      <w:r w:rsidRPr="00E867D4">
        <w:rPr>
          <w:rFonts w:eastAsia="Times New Roman" w:cs="Times New Roman"/>
          <w:color w:val="000000" w:themeColor="text1"/>
          <w:shd w:val="clear" w:color="auto" w:fill="FFFFFF"/>
        </w:rPr>
        <w:t xml:space="preserve">The estimate for burden hours is based on pilot tests by 4 public health professionals. As the instrument will be offered to different respondent groups and via different modes, the details of each pilot test by group and instrument are detailed below: </w:t>
      </w:r>
    </w:p>
    <w:p w14:paraId="0330A0B1" w14:textId="414DBD57" w:rsidR="003D5E43" w:rsidRPr="00E867D4" w:rsidRDefault="003D5E43" w:rsidP="003D5E43">
      <w:pPr>
        <w:ind w:left="0"/>
        <w:rPr>
          <w:color w:val="000000" w:themeColor="text1"/>
        </w:rPr>
      </w:pPr>
    </w:p>
    <w:p w14:paraId="7B915F18" w14:textId="77777777" w:rsidR="003D5E43" w:rsidRPr="00E867D4" w:rsidRDefault="003D5E43" w:rsidP="003D5E43">
      <w:pPr>
        <w:ind w:left="360"/>
        <w:rPr>
          <w:b/>
          <w:color w:val="000000" w:themeColor="text1"/>
        </w:rPr>
      </w:pPr>
      <w:r w:rsidRPr="00E867D4">
        <w:rPr>
          <w:b/>
          <w:color w:val="000000" w:themeColor="text1"/>
        </w:rPr>
        <w:t xml:space="preserve">Web-based Survey </w:t>
      </w:r>
    </w:p>
    <w:p w14:paraId="12FA0FCA" w14:textId="77777777" w:rsidR="003D5E43" w:rsidRPr="00E867D4" w:rsidRDefault="003D5E43" w:rsidP="003D5E43">
      <w:pPr>
        <w:ind w:left="360"/>
        <w:rPr>
          <w:color w:val="000000" w:themeColor="text1"/>
        </w:rPr>
      </w:pPr>
      <w:r w:rsidRPr="00E867D4">
        <w:rPr>
          <w:i/>
          <w:color w:val="000000" w:themeColor="text1"/>
        </w:rPr>
        <w:t>Pilot Test 1: STT Suicide Prevention Coordinators (Questions 1-54)</w:t>
      </w:r>
      <w:r w:rsidRPr="00E867D4">
        <w:rPr>
          <w:color w:val="000000" w:themeColor="text1"/>
        </w:rPr>
        <w:t xml:space="preserve"> </w:t>
      </w:r>
    </w:p>
    <w:p w14:paraId="1E3C6A5D" w14:textId="77777777" w:rsidR="003D5E43" w:rsidRPr="00E867D4" w:rsidRDefault="003D5E43" w:rsidP="003D5E43">
      <w:pPr>
        <w:ind w:left="360"/>
      </w:pPr>
      <w:r w:rsidRPr="00E867D4">
        <w:rPr>
          <w:color w:val="000000" w:themeColor="text1"/>
        </w:rPr>
        <w:t xml:space="preserve">The average time to complete the instrument including time </w:t>
      </w:r>
      <w:r w:rsidRPr="00E867D4">
        <w:t xml:space="preserve">for reviewing instructions, gathering needed information and completing the instrument, was approximately 25 minutes (range: 20–30 minutes). For the purposes of estimating burden hours, the upper limit of this range (i.e., 30 minutes) is used. </w:t>
      </w:r>
    </w:p>
    <w:p w14:paraId="0EC92B2F" w14:textId="77777777" w:rsidR="003D5E43" w:rsidRPr="00E867D4" w:rsidRDefault="003D5E43" w:rsidP="003D5E43">
      <w:pPr>
        <w:ind w:left="360"/>
      </w:pPr>
    </w:p>
    <w:p w14:paraId="568A62CB" w14:textId="77777777" w:rsidR="003D5E43" w:rsidRPr="00E867D4" w:rsidRDefault="003D5E43" w:rsidP="003D5E43">
      <w:pPr>
        <w:ind w:left="360"/>
        <w:rPr>
          <w:i/>
        </w:rPr>
      </w:pPr>
      <w:r w:rsidRPr="00E867D4">
        <w:rPr>
          <w:i/>
        </w:rPr>
        <w:t>Pilot Test 2: STT Suicide Prevention Grant Project Directors Delegates: (Questions 1-8 and questions 24-54)</w:t>
      </w:r>
    </w:p>
    <w:p w14:paraId="15FCF2D8" w14:textId="77777777" w:rsidR="003D5E43" w:rsidRPr="00E867D4" w:rsidRDefault="003D5E43" w:rsidP="003D5E43">
      <w:pPr>
        <w:ind w:left="360"/>
        <w:rPr>
          <w:color w:val="000000" w:themeColor="text1"/>
        </w:rPr>
      </w:pPr>
      <w:r w:rsidRPr="00E867D4">
        <w:t xml:space="preserve">The average time to complete the instrument including time for reviewing instructions, gathering needed information and completing the instrument, was approximately 20 minutes (range: 15–25 minutes). For the purposes of estimating burden hours, the upper limit of this range (i.e., 25 </w:t>
      </w:r>
      <w:r w:rsidRPr="00E867D4">
        <w:rPr>
          <w:color w:val="000000" w:themeColor="text1"/>
        </w:rPr>
        <w:t>minutes) is used.</w:t>
      </w:r>
    </w:p>
    <w:p w14:paraId="23FD0DEE" w14:textId="77777777" w:rsidR="003D5E43" w:rsidRPr="00E867D4" w:rsidRDefault="003D5E43" w:rsidP="003D5E43">
      <w:pPr>
        <w:ind w:left="360"/>
        <w:rPr>
          <w:color w:val="000000" w:themeColor="text1"/>
        </w:rPr>
      </w:pPr>
    </w:p>
    <w:p w14:paraId="3E0C258C" w14:textId="77777777" w:rsidR="003D5E43" w:rsidRPr="00E867D4" w:rsidRDefault="003D5E43" w:rsidP="003D5E43">
      <w:pPr>
        <w:ind w:left="360"/>
        <w:rPr>
          <w:b/>
          <w:color w:val="000000" w:themeColor="text1"/>
        </w:rPr>
      </w:pPr>
      <w:r w:rsidRPr="00E867D4">
        <w:rPr>
          <w:b/>
          <w:color w:val="000000" w:themeColor="text1"/>
        </w:rPr>
        <w:t>Telephone-based Survey</w:t>
      </w:r>
    </w:p>
    <w:p w14:paraId="73094DA3" w14:textId="77777777" w:rsidR="003D5E43" w:rsidRPr="00E867D4" w:rsidRDefault="003D5E43" w:rsidP="003D5E43">
      <w:pPr>
        <w:ind w:left="360"/>
        <w:rPr>
          <w:color w:val="000000" w:themeColor="text1"/>
        </w:rPr>
      </w:pPr>
      <w:r w:rsidRPr="00E867D4">
        <w:rPr>
          <w:i/>
        </w:rPr>
        <w:t xml:space="preserve">Pilot Test 3: </w:t>
      </w:r>
      <w:r w:rsidRPr="00E867D4">
        <w:rPr>
          <w:i/>
          <w:color w:val="000000" w:themeColor="text1"/>
        </w:rPr>
        <w:t>STT Suicide Prevention Coordinators (Questions 1-54)</w:t>
      </w:r>
      <w:r w:rsidRPr="00E867D4">
        <w:tab/>
      </w:r>
    </w:p>
    <w:p w14:paraId="44872A79" w14:textId="0DB33AA3" w:rsidR="00EA23B9" w:rsidRPr="00B02CD8" w:rsidRDefault="003D5E43" w:rsidP="00C94B41">
      <w:pPr>
        <w:ind w:left="360"/>
      </w:pPr>
      <w:r w:rsidRPr="00E867D4">
        <w:t xml:space="preserve">When completing the survey by phone, the average time to complete the instrument was approximately 25 minutes (range: 20–30 minutes), For the purposes of estimating burden hours, the upper limit of this range (i.e., 30 minutes) is used. </w:t>
      </w:r>
    </w:p>
    <w:p w14:paraId="55A3999F" w14:textId="77777777" w:rsidR="004D70EE" w:rsidRPr="00B02CD8" w:rsidRDefault="004D70EE" w:rsidP="004D70EE">
      <w:pPr>
        <w:spacing w:line="240" w:lineRule="auto"/>
        <w:ind w:left="360"/>
      </w:pPr>
    </w:p>
    <w:p w14:paraId="4A6A5476" w14:textId="77777777" w:rsidR="009759F3" w:rsidRPr="00B02CD8" w:rsidRDefault="009759F3" w:rsidP="002955E6">
      <w:pPr>
        <w:pStyle w:val="Heading4"/>
        <w:spacing w:after="0" w:line="240" w:lineRule="auto"/>
      </w:pPr>
      <w:bookmarkStart w:id="11" w:name="_Toc413847915"/>
      <w:r w:rsidRPr="00B02CD8">
        <w:t>Individuals Consulted on Statistical Aspects and Individuals Collecting and/or Analyzing Data</w:t>
      </w:r>
      <w:bookmarkEnd w:id="11"/>
    </w:p>
    <w:p w14:paraId="30318FF2" w14:textId="28F427B4" w:rsidR="00F27049" w:rsidRPr="00B02CD8" w:rsidRDefault="00F27049" w:rsidP="002955E6">
      <w:pPr>
        <w:spacing w:line="240" w:lineRule="auto"/>
        <w:ind w:left="360"/>
        <w:rPr>
          <w:b/>
          <w:color w:val="0070C0"/>
        </w:rPr>
      </w:pPr>
    </w:p>
    <w:p w14:paraId="69B9D8EA" w14:textId="026B93FD" w:rsidR="003818FF" w:rsidRPr="00B02CD8" w:rsidRDefault="003818FF" w:rsidP="003818FF">
      <w:pPr>
        <w:ind w:left="360"/>
        <w:rPr>
          <w:b/>
        </w:rPr>
      </w:pPr>
      <w:r w:rsidRPr="00B02CD8">
        <w:rPr>
          <w:b/>
        </w:rPr>
        <w:t>Aim</w:t>
      </w:r>
      <w:r w:rsidR="00636C2C" w:rsidRPr="00227341">
        <w:t>é</w:t>
      </w:r>
      <w:r w:rsidRPr="00B02CD8">
        <w:rPr>
          <w:b/>
        </w:rPr>
        <w:t>e Trudeau, MPH</w:t>
      </w:r>
    </w:p>
    <w:p w14:paraId="19C36E8A" w14:textId="22DCD9FC" w:rsidR="003818FF" w:rsidRPr="00B02CD8" w:rsidRDefault="00636C2C" w:rsidP="003818FF">
      <w:pPr>
        <w:ind w:left="360"/>
      </w:pPr>
      <w:r>
        <w:t>Behavioral</w:t>
      </w:r>
      <w:r w:rsidR="003818FF" w:rsidRPr="00B02CD8">
        <w:t xml:space="preserve"> Scientist</w:t>
      </w:r>
    </w:p>
    <w:p w14:paraId="79745C53" w14:textId="77777777" w:rsidR="003818FF" w:rsidRPr="00B02CD8" w:rsidRDefault="003818FF" w:rsidP="003818FF">
      <w:pPr>
        <w:ind w:left="360"/>
      </w:pPr>
      <w:r w:rsidRPr="00B02CD8">
        <w:t>Research and Evaluation Branch/Division of Violence Prevention</w:t>
      </w:r>
    </w:p>
    <w:p w14:paraId="0006E533" w14:textId="77777777" w:rsidR="003818FF" w:rsidRPr="00B02CD8" w:rsidRDefault="003818FF" w:rsidP="003818FF">
      <w:pPr>
        <w:ind w:left="360"/>
      </w:pPr>
      <w:r w:rsidRPr="00B02CD8">
        <w:t>National Center for Injury Prevention and Control</w:t>
      </w:r>
    </w:p>
    <w:p w14:paraId="2393918C" w14:textId="77777777" w:rsidR="003818FF" w:rsidRPr="00B02CD8" w:rsidRDefault="003818FF" w:rsidP="003818FF">
      <w:pPr>
        <w:ind w:left="360"/>
      </w:pPr>
      <w:r w:rsidRPr="00B02CD8">
        <w:t>Centers for Disease Control and Prevention</w:t>
      </w:r>
    </w:p>
    <w:p w14:paraId="6F436E4A" w14:textId="77777777" w:rsidR="003818FF" w:rsidRPr="00B02CD8" w:rsidRDefault="003818FF" w:rsidP="003818FF">
      <w:pPr>
        <w:ind w:left="360"/>
      </w:pPr>
      <w:r w:rsidRPr="00B02CD8">
        <w:t>4770 Buford Highway, Mailstop F64</w:t>
      </w:r>
    </w:p>
    <w:p w14:paraId="08EB10D6" w14:textId="77777777" w:rsidR="003818FF" w:rsidRPr="00B02CD8" w:rsidRDefault="003818FF" w:rsidP="003818FF">
      <w:pPr>
        <w:ind w:left="360"/>
      </w:pPr>
      <w:r w:rsidRPr="00B02CD8">
        <w:t>Atlanta, Georgia 30341-3717</w:t>
      </w:r>
    </w:p>
    <w:p w14:paraId="3CF19046" w14:textId="77777777" w:rsidR="003818FF" w:rsidRPr="00B02CD8" w:rsidRDefault="003818FF" w:rsidP="003818FF">
      <w:pPr>
        <w:ind w:left="360"/>
      </w:pPr>
      <w:r w:rsidRPr="00B02CD8">
        <w:t>Telephone: 770-488-3853</w:t>
      </w:r>
    </w:p>
    <w:p w14:paraId="1A389F8E" w14:textId="05CC94B3" w:rsidR="003818FF" w:rsidRPr="00B02CD8" w:rsidRDefault="003818FF" w:rsidP="003818FF">
      <w:pPr>
        <w:ind w:left="360"/>
      </w:pPr>
      <w:r w:rsidRPr="00B02CD8">
        <w:t xml:space="preserve">Fax: </w:t>
      </w:r>
      <w:r w:rsidR="001C02B1" w:rsidRPr="00B02CD8">
        <w:t>770-488-1665</w:t>
      </w:r>
    </w:p>
    <w:p w14:paraId="094DC110" w14:textId="1A86E9AC" w:rsidR="003818FF" w:rsidRPr="00B02CD8" w:rsidRDefault="003818FF" w:rsidP="003818FF">
      <w:pPr>
        <w:ind w:left="360"/>
      </w:pPr>
      <w:r w:rsidRPr="00B02CD8">
        <w:t xml:space="preserve">Email: </w:t>
      </w:r>
      <w:hyperlink r:id="rId14" w:history="1">
        <w:r w:rsidR="001C02B1" w:rsidRPr="00A72BA4">
          <w:rPr>
            <w:rStyle w:val="Hyperlink"/>
          </w:rPr>
          <w:t>its9@cdc.gov</w:t>
        </w:r>
      </w:hyperlink>
      <w:r w:rsidR="00A72BA4">
        <w:rPr>
          <w:rStyle w:val="Hyperlink"/>
          <w:color w:val="auto"/>
        </w:rPr>
        <w:t xml:space="preserve"> </w:t>
      </w:r>
    </w:p>
    <w:p w14:paraId="2670F6FE" w14:textId="405D28AE" w:rsidR="0005417D" w:rsidRPr="00C86834" w:rsidRDefault="0005417D" w:rsidP="00D73087">
      <w:pPr>
        <w:ind w:left="0"/>
        <w:rPr>
          <w:b/>
        </w:rPr>
      </w:pPr>
    </w:p>
    <w:p w14:paraId="3D15E726" w14:textId="77777777" w:rsidR="003818FF" w:rsidRPr="00B02CD8" w:rsidRDefault="003818FF" w:rsidP="001B77D4">
      <w:pPr>
        <w:ind w:left="360"/>
        <w:rPr>
          <w:b/>
        </w:rPr>
      </w:pPr>
      <w:r w:rsidRPr="00B02CD8">
        <w:rPr>
          <w:b/>
        </w:rPr>
        <w:t>Deb Stone, ScD, MSW, MPH</w:t>
      </w:r>
    </w:p>
    <w:p w14:paraId="0C516F28" w14:textId="77777777" w:rsidR="003818FF" w:rsidRPr="00B02CD8" w:rsidRDefault="003818FF" w:rsidP="001B77D4">
      <w:pPr>
        <w:ind w:left="360"/>
      </w:pPr>
      <w:r w:rsidRPr="00B02CD8">
        <w:t>Behavioral Scientist</w:t>
      </w:r>
    </w:p>
    <w:p w14:paraId="5757E412" w14:textId="77777777" w:rsidR="001C02B1" w:rsidRPr="00B02CD8" w:rsidRDefault="001C02B1" w:rsidP="001C02B1">
      <w:pPr>
        <w:ind w:left="360"/>
      </w:pPr>
      <w:r w:rsidRPr="00B02CD8">
        <w:t>Research and Evaluation Branch/Division of Violence Prevention</w:t>
      </w:r>
    </w:p>
    <w:p w14:paraId="61D56360" w14:textId="77777777" w:rsidR="001C02B1" w:rsidRPr="00B02CD8" w:rsidRDefault="001C02B1" w:rsidP="001C02B1">
      <w:pPr>
        <w:ind w:left="360"/>
      </w:pPr>
      <w:r w:rsidRPr="00B02CD8">
        <w:t>National Center for Injury Prevention and Control</w:t>
      </w:r>
    </w:p>
    <w:p w14:paraId="525235BC" w14:textId="77777777" w:rsidR="001C02B1" w:rsidRPr="00B02CD8" w:rsidRDefault="001C02B1" w:rsidP="001C02B1">
      <w:pPr>
        <w:ind w:left="360"/>
      </w:pPr>
      <w:r w:rsidRPr="00B02CD8">
        <w:t>Centers for Disease Control and Prevention</w:t>
      </w:r>
    </w:p>
    <w:p w14:paraId="36E461A9" w14:textId="77777777" w:rsidR="001C02B1" w:rsidRPr="00B02CD8" w:rsidRDefault="001C02B1" w:rsidP="001C02B1">
      <w:pPr>
        <w:ind w:left="360"/>
      </w:pPr>
      <w:r w:rsidRPr="00B02CD8">
        <w:t>4770 Buford Highway, Mailstop F64</w:t>
      </w:r>
    </w:p>
    <w:p w14:paraId="72836D9A" w14:textId="77777777" w:rsidR="001C02B1" w:rsidRPr="00B02CD8" w:rsidRDefault="001C02B1" w:rsidP="001C02B1">
      <w:pPr>
        <w:ind w:left="360"/>
      </w:pPr>
      <w:r w:rsidRPr="00B02CD8">
        <w:t>Atlanta, Georgia 30341-3717</w:t>
      </w:r>
    </w:p>
    <w:p w14:paraId="219BE92D" w14:textId="7080252E" w:rsidR="003818FF" w:rsidRPr="00B02CD8" w:rsidRDefault="003818FF" w:rsidP="001B77D4">
      <w:pPr>
        <w:ind w:left="360"/>
      </w:pPr>
      <w:r w:rsidRPr="00B02CD8">
        <w:t xml:space="preserve">Telephone: </w:t>
      </w:r>
      <w:hyperlink r:id="rId15" w:tgtFrame="_blank" w:history="1">
        <w:r w:rsidRPr="00B02CD8">
          <w:t>770-488-3942</w:t>
        </w:r>
      </w:hyperlink>
    </w:p>
    <w:p w14:paraId="5AF3437A" w14:textId="3713C867" w:rsidR="00184AD9" w:rsidRPr="00B02CD8" w:rsidRDefault="00184AD9" w:rsidP="001B77D4">
      <w:pPr>
        <w:ind w:left="360"/>
      </w:pPr>
      <w:r w:rsidRPr="00B02CD8">
        <w:t>Fax:</w:t>
      </w:r>
      <w:r w:rsidR="001C02B1" w:rsidRPr="00B02CD8">
        <w:t xml:space="preserve"> 770-488-1665</w:t>
      </w:r>
    </w:p>
    <w:p w14:paraId="1DFAB891" w14:textId="39AC2D3B" w:rsidR="00C94B41" w:rsidRPr="00E867D4" w:rsidRDefault="003818FF" w:rsidP="00E867D4">
      <w:pPr>
        <w:ind w:left="360"/>
      </w:pPr>
      <w:r w:rsidRPr="00B02CD8">
        <w:t xml:space="preserve">Email: </w:t>
      </w:r>
      <w:hyperlink r:id="rId16" w:history="1">
        <w:r w:rsidR="00335D2C" w:rsidRPr="00A72BA4">
          <w:rPr>
            <w:rStyle w:val="Hyperlink"/>
          </w:rPr>
          <w:t>dstone3@cdc.gov</w:t>
        </w:r>
      </w:hyperlink>
      <w:r w:rsidR="000100DE">
        <w:rPr>
          <w:rStyle w:val="Hyperlink"/>
          <w:color w:val="auto"/>
        </w:rPr>
        <w:t xml:space="preserve"> </w:t>
      </w:r>
    </w:p>
    <w:p w14:paraId="48165667" w14:textId="0B418844" w:rsidR="00456489" w:rsidRPr="00B02CD8" w:rsidRDefault="006A0A64" w:rsidP="001B77D4">
      <w:pPr>
        <w:ind w:left="360"/>
        <w:rPr>
          <w:b/>
        </w:rPr>
      </w:pPr>
      <w:r w:rsidRPr="00B02CD8">
        <w:rPr>
          <w:b/>
        </w:rPr>
        <w:t>Doryn Chervin</w:t>
      </w:r>
      <w:r w:rsidR="003818FF" w:rsidRPr="00B02CD8">
        <w:rPr>
          <w:b/>
        </w:rPr>
        <w:t>, DrPH</w:t>
      </w:r>
    </w:p>
    <w:p w14:paraId="1F91303E" w14:textId="77777777" w:rsidR="003818FF" w:rsidRPr="00B02CD8" w:rsidRDefault="003818FF" w:rsidP="00B25477">
      <w:pPr>
        <w:ind w:left="360"/>
      </w:pPr>
      <w:r w:rsidRPr="00B02CD8">
        <w:t>Senior Scientist</w:t>
      </w:r>
    </w:p>
    <w:p w14:paraId="1FF4842E" w14:textId="2DE2F361" w:rsidR="003818FF" w:rsidRPr="00B02CD8" w:rsidRDefault="003818FF" w:rsidP="00B25477">
      <w:pPr>
        <w:ind w:left="360"/>
      </w:pPr>
      <w:r w:rsidRPr="00B02CD8">
        <w:t>GEARS, Inc.</w:t>
      </w:r>
    </w:p>
    <w:p w14:paraId="1F71FBB8" w14:textId="77777777" w:rsidR="000818AD" w:rsidRDefault="0035438E" w:rsidP="00B25477">
      <w:pPr>
        <w:ind w:left="360"/>
      </w:pPr>
      <w:r w:rsidRPr="00B02CD8">
        <w:t>2310 Parklake Dr., Suite 150</w:t>
      </w:r>
      <w:r w:rsidRPr="00B02CD8">
        <w:br/>
        <w:t>Atlanta, GA 30345</w:t>
      </w:r>
    </w:p>
    <w:p w14:paraId="0E37EDE4" w14:textId="77777777" w:rsidR="000100DE" w:rsidRDefault="00D80FEE" w:rsidP="00B25477">
      <w:pPr>
        <w:ind w:left="360"/>
      </w:pPr>
      <w:r w:rsidRPr="00B02CD8">
        <w:t xml:space="preserve">Telephone: </w:t>
      </w:r>
    </w:p>
    <w:p w14:paraId="59537559" w14:textId="1BE09297" w:rsidR="000100DE" w:rsidRDefault="00FC4DD9" w:rsidP="000100DE">
      <w:pPr>
        <w:ind w:left="360"/>
      </w:pPr>
      <w:hyperlink r:id="rId17" w:tgtFrame="_blank" w:history="1">
        <w:r w:rsidR="000100DE" w:rsidRPr="00B02CD8">
          <w:t>(470) 334-6949</w:t>
        </w:r>
      </w:hyperlink>
      <w:r w:rsidR="000100DE" w:rsidRPr="00B02CD8">
        <w:t> (cell)</w:t>
      </w:r>
    </w:p>
    <w:p w14:paraId="66201D9F" w14:textId="2158737E" w:rsidR="003818FF" w:rsidRPr="00B02CD8" w:rsidRDefault="00FC4DD9" w:rsidP="00B25477">
      <w:pPr>
        <w:ind w:left="360"/>
      </w:pPr>
      <w:hyperlink r:id="rId18" w:tgtFrame="_blank" w:history="1">
        <w:r w:rsidR="003818FF" w:rsidRPr="00B02CD8">
          <w:t>404</w:t>
        </w:r>
        <w:r w:rsidR="00D80FEE" w:rsidRPr="00B02CD8">
          <w:t>-</w:t>
        </w:r>
        <w:r w:rsidR="003818FF" w:rsidRPr="00B02CD8">
          <w:t>328-9850</w:t>
        </w:r>
      </w:hyperlink>
      <w:r w:rsidR="003818FF" w:rsidRPr="00B02CD8">
        <w:t> (GA office)</w:t>
      </w:r>
    </w:p>
    <w:p w14:paraId="20827398" w14:textId="14C400E1" w:rsidR="00335D2C" w:rsidRDefault="00335D2C" w:rsidP="00B25477">
      <w:pPr>
        <w:ind w:left="360"/>
      </w:pPr>
      <w:r w:rsidRPr="00B02CD8">
        <w:t xml:space="preserve">Email: </w:t>
      </w:r>
      <w:hyperlink r:id="rId19" w:history="1">
        <w:r w:rsidR="000818AD" w:rsidRPr="007C7920">
          <w:rPr>
            <w:rStyle w:val="Hyperlink"/>
          </w:rPr>
          <w:t>dchervin@getingears.com</w:t>
        </w:r>
      </w:hyperlink>
    </w:p>
    <w:p w14:paraId="095EF28B" w14:textId="69508FB9" w:rsidR="000818AD" w:rsidRDefault="000818AD" w:rsidP="00B25477">
      <w:pPr>
        <w:ind w:left="360"/>
      </w:pPr>
    </w:p>
    <w:p w14:paraId="52A6A2D1" w14:textId="73DD3C92" w:rsidR="000818AD" w:rsidRPr="000100DE" w:rsidRDefault="000818AD" w:rsidP="00B25477">
      <w:pPr>
        <w:ind w:left="360"/>
        <w:rPr>
          <w:b/>
        </w:rPr>
      </w:pPr>
      <w:r w:rsidRPr="000100DE">
        <w:rPr>
          <w:b/>
        </w:rPr>
        <w:t>Doriane Sewell, MPH</w:t>
      </w:r>
    </w:p>
    <w:p w14:paraId="09699079" w14:textId="4FE86998" w:rsidR="000818AD" w:rsidRDefault="000818AD" w:rsidP="00B25477">
      <w:pPr>
        <w:ind w:left="360"/>
      </w:pPr>
      <w:r>
        <w:t>Senior Research Associate</w:t>
      </w:r>
    </w:p>
    <w:p w14:paraId="7A427F20" w14:textId="77777777" w:rsidR="000818AD" w:rsidRPr="00B02CD8" w:rsidRDefault="000818AD" w:rsidP="000818AD">
      <w:pPr>
        <w:ind w:left="360"/>
      </w:pPr>
      <w:r w:rsidRPr="00B02CD8">
        <w:t>GEARS, Inc.</w:t>
      </w:r>
    </w:p>
    <w:p w14:paraId="0CB3B676" w14:textId="77777777" w:rsidR="000818AD" w:rsidRDefault="000818AD" w:rsidP="000818AD">
      <w:pPr>
        <w:ind w:left="360"/>
      </w:pPr>
      <w:r w:rsidRPr="00B02CD8">
        <w:t>2310 Parklake Dr., Suite 150</w:t>
      </w:r>
      <w:r w:rsidRPr="00B02CD8">
        <w:br/>
        <w:t>Atlanta, GA 30345</w:t>
      </w:r>
    </w:p>
    <w:p w14:paraId="6413E130" w14:textId="6BC85DE5" w:rsidR="000818AD" w:rsidRPr="00B02CD8" w:rsidRDefault="000818AD" w:rsidP="000818AD">
      <w:pPr>
        <w:ind w:left="360"/>
      </w:pPr>
      <w:r>
        <w:t xml:space="preserve">Telephone: </w:t>
      </w:r>
      <w:hyperlink r:id="rId20" w:tgtFrame="_blank" w:history="1">
        <w:r w:rsidRPr="00B02CD8">
          <w:t>(4</w:t>
        </w:r>
        <w:r>
          <w:t>04) 328</w:t>
        </w:r>
        <w:r w:rsidRPr="00B02CD8">
          <w:t>-</w:t>
        </w:r>
      </w:hyperlink>
      <w:r>
        <w:t>9850</w:t>
      </w:r>
      <w:r w:rsidRPr="00B02CD8">
        <w:t> </w:t>
      </w:r>
    </w:p>
    <w:p w14:paraId="3BE7EABA" w14:textId="1DA24147" w:rsidR="000818AD" w:rsidRDefault="000818AD" w:rsidP="000818AD">
      <w:pPr>
        <w:ind w:left="360"/>
      </w:pPr>
      <w:r w:rsidRPr="00B02CD8">
        <w:t xml:space="preserve">Email: </w:t>
      </w:r>
      <w:hyperlink r:id="rId21" w:history="1">
        <w:r w:rsidRPr="000818AD">
          <w:rPr>
            <w:rStyle w:val="Hyperlink"/>
          </w:rPr>
          <w:t>dsewell@getingears.com</w:t>
        </w:r>
      </w:hyperlink>
    </w:p>
    <w:p w14:paraId="433A178A" w14:textId="6996AE16" w:rsidR="006A0A64" w:rsidRPr="00B02CD8" w:rsidRDefault="006A0A64" w:rsidP="000100DE">
      <w:pPr>
        <w:ind w:left="0"/>
      </w:pPr>
    </w:p>
    <w:p w14:paraId="1FCD1EF7" w14:textId="044C3C24" w:rsidR="006A0A64" w:rsidRPr="00B02CD8" w:rsidRDefault="006A0A64" w:rsidP="001B77D4">
      <w:pPr>
        <w:ind w:left="360"/>
        <w:rPr>
          <w:b/>
        </w:rPr>
      </w:pPr>
      <w:r w:rsidRPr="00B02CD8">
        <w:rPr>
          <w:b/>
        </w:rPr>
        <w:t>Robert Bossarte</w:t>
      </w:r>
      <w:r w:rsidR="003818FF" w:rsidRPr="00B02CD8">
        <w:rPr>
          <w:b/>
        </w:rPr>
        <w:t>, PhD</w:t>
      </w:r>
    </w:p>
    <w:p w14:paraId="5286D059" w14:textId="77777777" w:rsidR="003818FF" w:rsidRPr="00B02CD8" w:rsidRDefault="003818FF" w:rsidP="00B25477">
      <w:pPr>
        <w:ind w:left="360"/>
      </w:pPr>
      <w:r w:rsidRPr="00B02CD8">
        <w:t>Director, Injury Control Research Center</w:t>
      </w:r>
    </w:p>
    <w:p w14:paraId="18F3D0E2" w14:textId="2AFA549B" w:rsidR="003818FF" w:rsidRPr="00B02CD8" w:rsidRDefault="003818FF" w:rsidP="00B25477">
      <w:pPr>
        <w:ind w:left="360"/>
      </w:pPr>
      <w:r w:rsidRPr="00B02CD8">
        <w:t>West Virginia University</w:t>
      </w:r>
    </w:p>
    <w:p w14:paraId="608C7DEC" w14:textId="0DC23FA0" w:rsidR="001B73B4" w:rsidRPr="00B02CD8" w:rsidRDefault="00D80FEE" w:rsidP="00B25477">
      <w:pPr>
        <w:ind w:left="360"/>
      </w:pPr>
      <w:r w:rsidRPr="00B02CD8">
        <w:t>PO Box 9151</w:t>
      </w:r>
      <w:r w:rsidRPr="00B02CD8">
        <w:br/>
        <w:t>ICRC Research Ridge</w:t>
      </w:r>
      <w:r w:rsidRPr="00B02CD8">
        <w:br/>
        <w:t>3606 Collins Ferry Road, Suite 20</w:t>
      </w:r>
      <w:r w:rsidRPr="00B02CD8">
        <w:br/>
        <w:t>Morgantown, WV 26506</w:t>
      </w:r>
    </w:p>
    <w:p w14:paraId="700FA62D" w14:textId="7A8EA078" w:rsidR="00D80FEE" w:rsidRPr="00B02CD8" w:rsidRDefault="00D80FEE" w:rsidP="00B25477">
      <w:pPr>
        <w:ind w:left="360"/>
      </w:pPr>
      <w:r w:rsidRPr="00B02CD8">
        <w:t>Telephone: 304-293-6682</w:t>
      </w:r>
    </w:p>
    <w:p w14:paraId="7BABDF88" w14:textId="4DA1A747" w:rsidR="003818FF" w:rsidRPr="00A72BA4" w:rsidRDefault="00D80FEE" w:rsidP="00B25477">
      <w:pPr>
        <w:ind w:left="360"/>
        <w:rPr>
          <w:rStyle w:val="Hyperlink"/>
        </w:rPr>
      </w:pPr>
      <w:r w:rsidRPr="00B02CD8">
        <w:t xml:space="preserve">Email: </w:t>
      </w:r>
      <w:r w:rsidR="00A72BA4">
        <w:fldChar w:fldCharType="begin"/>
      </w:r>
      <w:r w:rsidR="00A72BA4">
        <w:instrText xml:space="preserve"> HYPERLINK "mailto:rbossarte@hsc.wvu.edu" </w:instrText>
      </w:r>
      <w:r w:rsidR="00A72BA4">
        <w:fldChar w:fldCharType="separate"/>
      </w:r>
      <w:r w:rsidRPr="00A72BA4">
        <w:rPr>
          <w:rStyle w:val="Hyperlink"/>
        </w:rPr>
        <w:t>rbossarte@hsc.wvu.edu</w:t>
      </w:r>
    </w:p>
    <w:p w14:paraId="09F2D7D4" w14:textId="4D6297E0" w:rsidR="000100DE" w:rsidRDefault="00A72BA4" w:rsidP="00146FE7">
      <w:pPr>
        <w:ind w:left="360"/>
        <w:rPr>
          <w:b/>
        </w:rPr>
      </w:pPr>
      <w:r>
        <w:fldChar w:fldCharType="end"/>
      </w:r>
    </w:p>
    <w:p w14:paraId="3D915661" w14:textId="77777777" w:rsidR="003818FF" w:rsidRPr="00217209" w:rsidRDefault="008D18F2" w:rsidP="001B77D4">
      <w:pPr>
        <w:ind w:left="360"/>
        <w:rPr>
          <w:b/>
        </w:rPr>
      </w:pPr>
      <w:r w:rsidRPr="00217209">
        <w:rPr>
          <w:b/>
        </w:rPr>
        <w:t xml:space="preserve">Carla </w:t>
      </w:r>
      <w:r w:rsidR="005B6E67" w:rsidRPr="00217209">
        <w:rPr>
          <w:b/>
        </w:rPr>
        <w:t>Linkous</w:t>
      </w:r>
    </w:p>
    <w:p w14:paraId="0BABA92C" w14:textId="77777777" w:rsidR="008A1188" w:rsidRPr="001B77D4" w:rsidRDefault="008A1188" w:rsidP="001B77D4">
      <w:pPr>
        <w:ind w:left="360"/>
        <w:rPr>
          <w:color w:val="222222"/>
          <w:shd w:val="clear" w:color="auto" w:fill="FFFFFF"/>
        </w:rPr>
      </w:pPr>
      <w:r w:rsidRPr="001B77D4">
        <w:rPr>
          <w:color w:val="222222"/>
          <w:shd w:val="clear" w:color="auto" w:fill="FFFFFF"/>
        </w:rPr>
        <w:t>Director, Business Development, CDC Account</w:t>
      </w:r>
    </w:p>
    <w:p w14:paraId="5385BFF8" w14:textId="77777777" w:rsidR="005B6E67" w:rsidRPr="00B02CD8" w:rsidRDefault="005B6E67" w:rsidP="001B77D4">
      <w:pPr>
        <w:ind w:left="360"/>
      </w:pPr>
      <w:r w:rsidRPr="00B02CD8">
        <w:t>CSRA</w:t>
      </w:r>
      <w:r w:rsidR="008A1188">
        <w:t xml:space="preserve"> Inc.</w:t>
      </w:r>
    </w:p>
    <w:p w14:paraId="4D2275C5" w14:textId="77777777" w:rsidR="006523AE" w:rsidRDefault="006523AE" w:rsidP="001B77D4">
      <w:pPr>
        <w:ind w:left="360"/>
      </w:pPr>
      <w:r>
        <w:t>2 Corporate Square, Suite 100</w:t>
      </w:r>
    </w:p>
    <w:p w14:paraId="3E0CD6E4" w14:textId="77777777" w:rsidR="006523AE" w:rsidRDefault="006523AE" w:rsidP="001B77D4">
      <w:pPr>
        <w:ind w:left="360"/>
      </w:pPr>
      <w:r>
        <w:t>Atlanta, GA 30329</w:t>
      </w:r>
    </w:p>
    <w:p w14:paraId="0D9CB7E2" w14:textId="77777777" w:rsidR="00D80FEE" w:rsidRPr="00B02CD8" w:rsidRDefault="00D80FEE" w:rsidP="001B77D4">
      <w:pPr>
        <w:ind w:left="360"/>
      </w:pPr>
      <w:r w:rsidRPr="00B02CD8">
        <w:t xml:space="preserve">Telephone: </w:t>
      </w:r>
      <w:hyperlink r:id="rId22" w:tgtFrame="_blank" w:history="1">
        <w:r w:rsidR="008A1188" w:rsidRPr="00217209">
          <w:t>470-419-6153</w:t>
        </w:r>
      </w:hyperlink>
      <w:r w:rsidR="008A1188" w:rsidRPr="00217209">
        <w:t> </w:t>
      </w:r>
    </w:p>
    <w:p w14:paraId="5046FE6A" w14:textId="7AB7F522" w:rsidR="005B6E67" w:rsidRPr="00B02CD8" w:rsidRDefault="00D80FEE" w:rsidP="001B77D4">
      <w:pPr>
        <w:ind w:left="360"/>
      </w:pPr>
      <w:r w:rsidRPr="00B02CD8">
        <w:t xml:space="preserve">Email: </w:t>
      </w:r>
      <w:hyperlink r:id="rId23" w:history="1">
        <w:r w:rsidR="00A72BA4" w:rsidRPr="000C5EEB">
          <w:rPr>
            <w:rStyle w:val="Hyperlink"/>
          </w:rPr>
          <w:t>carla.linkous@csra.com</w:t>
        </w:r>
      </w:hyperlink>
      <w:r w:rsidR="00A72BA4">
        <w:t xml:space="preserve"> </w:t>
      </w:r>
    </w:p>
    <w:p w14:paraId="09DCBF65" w14:textId="074B25F9" w:rsidR="006A0A64" w:rsidRPr="00B02CD8" w:rsidRDefault="006A0A64" w:rsidP="00B25477">
      <w:pPr>
        <w:ind w:left="360"/>
      </w:pPr>
    </w:p>
    <w:p w14:paraId="68FC638C" w14:textId="2E6B3B2B" w:rsidR="006A0A64" w:rsidRPr="00B02CD8" w:rsidRDefault="006A0A64" w:rsidP="00B25477">
      <w:pPr>
        <w:ind w:left="360"/>
        <w:rPr>
          <w:b/>
        </w:rPr>
      </w:pPr>
      <w:r w:rsidRPr="00B02CD8">
        <w:rPr>
          <w:b/>
        </w:rPr>
        <w:t>Brigitte Manteuffel</w:t>
      </w:r>
      <w:r w:rsidR="003818FF" w:rsidRPr="00B02CD8">
        <w:rPr>
          <w:b/>
        </w:rPr>
        <w:t>, PhD</w:t>
      </w:r>
    </w:p>
    <w:p w14:paraId="54E408DF" w14:textId="0C88F07D" w:rsidR="00D80FEE" w:rsidRPr="00B02CD8" w:rsidRDefault="00D80FEE" w:rsidP="00B25477">
      <w:pPr>
        <w:ind w:left="360"/>
      </w:pPr>
      <w:r w:rsidRPr="00B02CD8">
        <w:t>Consultant</w:t>
      </w:r>
    </w:p>
    <w:p w14:paraId="62C9A51B" w14:textId="1A4E9CDA" w:rsidR="003818FF" w:rsidRPr="00B02CD8" w:rsidRDefault="003818FF" w:rsidP="00B25477">
      <w:pPr>
        <w:ind w:left="360"/>
      </w:pPr>
      <w:r w:rsidRPr="00B02CD8">
        <w:t>3970 Oberlin Court</w:t>
      </w:r>
    </w:p>
    <w:p w14:paraId="11EA59CD" w14:textId="2FE5ABC3" w:rsidR="003818FF" w:rsidRPr="00B02CD8" w:rsidRDefault="003818FF" w:rsidP="00B25477">
      <w:pPr>
        <w:ind w:left="360"/>
      </w:pPr>
      <w:r w:rsidRPr="00B02CD8">
        <w:t>Tucker, Georgia 30084</w:t>
      </w:r>
    </w:p>
    <w:p w14:paraId="18FB253E" w14:textId="4F2A7179" w:rsidR="003818FF" w:rsidRPr="00B02CD8" w:rsidRDefault="003818FF" w:rsidP="00B25477">
      <w:pPr>
        <w:ind w:left="360"/>
      </w:pPr>
      <w:r w:rsidRPr="00B02CD8">
        <w:t>Telephone: 404-966-8740</w:t>
      </w:r>
    </w:p>
    <w:p w14:paraId="2D23122C" w14:textId="69AD7852" w:rsidR="008D18F2" w:rsidRPr="00B02CD8" w:rsidRDefault="003818FF" w:rsidP="001B77D4">
      <w:pPr>
        <w:ind w:left="360"/>
      </w:pPr>
      <w:r w:rsidRPr="00B02CD8">
        <w:t xml:space="preserve">Email: </w:t>
      </w:r>
      <w:hyperlink r:id="rId24" w:history="1">
        <w:r w:rsidR="00A72BA4" w:rsidRPr="000C5EEB">
          <w:rPr>
            <w:rStyle w:val="Hyperlink"/>
          </w:rPr>
          <w:t>bmanteu@gmail.com</w:t>
        </w:r>
      </w:hyperlink>
      <w:r w:rsidR="00A72BA4">
        <w:t xml:space="preserve"> </w:t>
      </w:r>
    </w:p>
    <w:p w14:paraId="3194703A" w14:textId="6025044B" w:rsidR="00A72BA4" w:rsidRPr="00A72BA4" w:rsidRDefault="00A72BA4" w:rsidP="00146FE7">
      <w:pPr>
        <w:ind w:left="0"/>
      </w:pPr>
      <w:bookmarkStart w:id="12" w:name="_Toc413847916"/>
    </w:p>
    <w:p w14:paraId="1E82E35E" w14:textId="77777777" w:rsidR="00A36419" w:rsidRPr="00B02CD8" w:rsidRDefault="00A36419" w:rsidP="002955E6">
      <w:pPr>
        <w:pStyle w:val="Heading3"/>
        <w:spacing w:line="240" w:lineRule="auto"/>
        <w:rPr>
          <w:sz w:val="22"/>
        </w:rPr>
      </w:pPr>
      <w:r w:rsidRPr="00B02CD8">
        <w:rPr>
          <w:sz w:val="22"/>
        </w:rPr>
        <w:t>LIST OF ATTACHMENTS</w:t>
      </w:r>
      <w:r w:rsidR="00E24C20" w:rsidRPr="00B02CD8">
        <w:rPr>
          <w:sz w:val="22"/>
        </w:rPr>
        <w:t xml:space="preserve"> – Section B</w:t>
      </w:r>
      <w:bookmarkEnd w:id="12"/>
    </w:p>
    <w:p w14:paraId="435407BF" w14:textId="5FE511B8" w:rsidR="00400C2C" w:rsidRDefault="00400C2C" w:rsidP="002955E6">
      <w:pPr>
        <w:spacing w:line="240" w:lineRule="auto"/>
        <w:ind w:left="0"/>
      </w:pPr>
      <w:r w:rsidRPr="00B02CD8">
        <w:t>Note: Attachments are included as separate files as instructed.</w:t>
      </w:r>
    </w:p>
    <w:p w14:paraId="71E5BB8C" w14:textId="77777777" w:rsidR="000100DE" w:rsidRPr="00B02CD8" w:rsidRDefault="000100DE" w:rsidP="002955E6">
      <w:pPr>
        <w:spacing w:line="240" w:lineRule="auto"/>
        <w:ind w:left="0"/>
      </w:pPr>
    </w:p>
    <w:p w14:paraId="41781C42" w14:textId="77777777" w:rsidR="00636C2C" w:rsidRDefault="00636C2C" w:rsidP="000100DE">
      <w:pPr>
        <w:pStyle w:val="Heading4"/>
        <w:numPr>
          <w:ilvl w:val="0"/>
          <w:numId w:val="43"/>
        </w:numPr>
      </w:pPr>
      <w:r>
        <w:t>Attachment C – Pre-notification Email</w:t>
      </w:r>
    </w:p>
    <w:p w14:paraId="37E0F6A1" w14:textId="77777777" w:rsidR="00636C2C" w:rsidRDefault="00636C2C" w:rsidP="000100DE">
      <w:pPr>
        <w:pStyle w:val="Heading4"/>
        <w:numPr>
          <w:ilvl w:val="0"/>
          <w:numId w:val="43"/>
        </w:numPr>
        <w:rPr>
          <w:b w:val="0"/>
          <w:color w:val="000000" w:themeColor="text1"/>
        </w:rPr>
      </w:pPr>
      <w:r>
        <w:rPr>
          <w:color w:val="000000" w:themeColor="text1"/>
        </w:rPr>
        <w:t>Attachment D – Notification Email</w:t>
      </w:r>
    </w:p>
    <w:p w14:paraId="4C62527C" w14:textId="77777777" w:rsidR="00636C2C" w:rsidRDefault="00636C2C" w:rsidP="000100DE">
      <w:pPr>
        <w:pStyle w:val="Heading4"/>
        <w:numPr>
          <w:ilvl w:val="0"/>
          <w:numId w:val="43"/>
        </w:numPr>
        <w:rPr>
          <w:b w:val="0"/>
          <w:color w:val="000000" w:themeColor="text1"/>
        </w:rPr>
      </w:pPr>
      <w:r>
        <w:rPr>
          <w:color w:val="000000" w:themeColor="text1"/>
        </w:rPr>
        <w:t>Attachment E – Reminder Email 1</w:t>
      </w:r>
    </w:p>
    <w:p w14:paraId="73032A46" w14:textId="77777777" w:rsidR="00636C2C" w:rsidRDefault="00636C2C" w:rsidP="000100DE">
      <w:pPr>
        <w:pStyle w:val="Heading4"/>
        <w:numPr>
          <w:ilvl w:val="0"/>
          <w:numId w:val="43"/>
        </w:numPr>
        <w:rPr>
          <w:b w:val="0"/>
          <w:color w:val="000000" w:themeColor="text1"/>
        </w:rPr>
      </w:pPr>
      <w:r>
        <w:rPr>
          <w:color w:val="000000" w:themeColor="text1"/>
        </w:rPr>
        <w:t>Attachment F – Reminder Email 2</w:t>
      </w:r>
    </w:p>
    <w:p w14:paraId="5B79A75B" w14:textId="77777777" w:rsidR="00636C2C" w:rsidRDefault="00636C2C" w:rsidP="000100DE">
      <w:pPr>
        <w:pStyle w:val="Heading4"/>
        <w:numPr>
          <w:ilvl w:val="0"/>
          <w:numId w:val="43"/>
        </w:numPr>
        <w:rPr>
          <w:b w:val="0"/>
          <w:color w:val="000000" w:themeColor="text1"/>
        </w:rPr>
      </w:pPr>
      <w:r>
        <w:rPr>
          <w:color w:val="000000" w:themeColor="text1"/>
        </w:rPr>
        <w:t>Attachment G – Reminder Call Script</w:t>
      </w:r>
    </w:p>
    <w:p w14:paraId="6516257F" w14:textId="77777777" w:rsidR="00636C2C" w:rsidRDefault="00636C2C" w:rsidP="000100DE">
      <w:pPr>
        <w:pStyle w:val="Heading4"/>
        <w:numPr>
          <w:ilvl w:val="0"/>
          <w:numId w:val="43"/>
        </w:numPr>
        <w:rPr>
          <w:b w:val="0"/>
          <w:color w:val="000000" w:themeColor="text1"/>
        </w:rPr>
      </w:pPr>
      <w:r>
        <w:rPr>
          <w:color w:val="000000" w:themeColor="text1"/>
        </w:rPr>
        <w:t>Attachment H – Survey by Phone Script</w:t>
      </w:r>
    </w:p>
    <w:p w14:paraId="1DA9785E" w14:textId="77777777" w:rsidR="00636C2C" w:rsidRDefault="00636C2C" w:rsidP="000100DE">
      <w:pPr>
        <w:pStyle w:val="Heading4"/>
        <w:numPr>
          <w:ilvl w:val="0"/>
          <w:numId w:val="43"/>
        </w:numPr>
        <w:rPr>
          <w:b w:val="0"/>
          <w:color w:val="000000" w:themeColor="text1"/>
        </w:rPr>
      </w:pPr>
      <w:r>
        <w:rPr>
          <w:color w:val="000000" w:themeColor="text1"/>
        </w:rPr>
        <w:t>Attachment I – Reminder Email 3</w:t>
      </w:r>
    </w:p>
    <w:p w14:paraId="097B71F6" w14:textId="77777777" w:rsidR="00636C2C" w:rsidRPr="00EB06C2" w:rsidRDefault="00636C2C" w:rsidP="000100DE">
      <w:pPr>
        <w:pStyle w:val="Heading4"/>
        <w:numPr>
          <w:ilvl w:val="0"/>
          <w:numId w:val="43"/>
        </w:numPr>
        <w:rPr>
          <w:b w:val="0"/>
          <w:color w:val="000000" w:themeColor="text1"/>
        </w:rPr>
      </w:pPr>
      <w:r>
        <w:rPr>
          <w:color w:val="000000" w:themeColor="text1"/>
        </w:rPr>
        <w:t>Attachment J – Thank You Email</w:t>
      </w:r>
    </w:p>
    <w:p w14:paraId="196A1590" w14:textId="77777777" w:rsidR="00400C2C" w:rsidRPr="00B02CD8" w:rsidRDefault="00400C2C" w:rsidP="00400C2C">
      <w:pPr>
        <w:pStyle w:val="ListParagraph"/>
        <w:spacing w:line="240" w:lineRule="auto"/>
        <w:rPr>
          <w:b/>
        </w:rPr>
      </w:pPr>
    </w:p>
    <w:p w14:paraId="504ACF37" w14:textId="77777777" w:rsidR="00865573" w:rsidRPr="00B02CD8" w:rsidRDefault="00865573" w:rsidP="002955E6">
      <w:pPr>
        <w:spacing w:line="240" w:lineRule="auto"/>
        <w:ind w:left="0" w:firstLine="360"/>
        <w:rPr>
          <w:color w:val="0070C0"/>
        </w:rPr>
      </w:pPr>
    </w:p>
    <w:sectPr w:rsidR="00865573" w:rsidRPr="00B02CD8" w:rsidSect="003E5D57">
      <w:headerReference w:type="default" r:id="rId25"/>
      <w:footerReference w:type="default" r:id="rId26"/>
      <w:pgSz w:w="12240" w:h="15840"/>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0216F2" w16cid:durableId="1E6E38DF"/>
  <w16cid:commentId w16cid:paraId="37BF1E6D" w16cid:durableId="1E7B4975"/>
  <w16cid:commentId w16cid:paraId="2DD4719A" w16cid:durableId="1E6E38E1"/>
  <w16cid:commentId w16cid:paraId="6C54D3A1" w16cid:durableId="1E6E38E3"/>
  <w16cid:commentId w16cid:paraId="716E94B4" w16cid:durableId="1E7B4978"/>
  <w16cid:commentId w16cid:paraId="32B8639A" w16cid:durableId="1E6E38E5"/>
  <w16cid:commentId w16cid:paraId="7B554692" w16cid:durableId="1E6E38E6"/>
  <w16cid:commentId w16cid:paraId="6C932E28" w16cid:durableId="1E6E38E8"/>
  <w16cid:commentId w16cid:paraId="501AFF5C" w16cid:durableId="1E7B497C"/>
  <w16cid:commentId w16cid:paraId="590BC869" w16cid:durableId="1E7B497D"/>
  <w16cid:commentId w16cid:paraId="258DD182" w16cid:durableId="1E6E38E9"/>
  <w16cid:commentId w16cid:paraId="411BBEB3" w16cid:durableId="1E6E38EA"/>
  <w16cid:commentId w16cid:paraId="6FE37354" w16cid:durableId="1E7B4980"/>
  <w16cid:commentId w16cid:paraId="7C019E1D" w16cid:durableId="1E7B4981"/>
  <w16cid:commentId w16cid:paraId="4D306937" w16cid:durableId="1E6E38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94115" w14:textId="77777777" w:rsidR="00C531FE" w:rsidRDefault="00C531FE" w:rsidP="00BC6896">
      <w:r>
        <w:separator/>
      </w:r>
    </w:p>
    <w:p w14:paraId="3F52A16A" w14:textId="77777777" w:rsidR="00C531FE" w:rsidRDefault="00C531FE" w:rsidP="00BC6896"/>
  </w:endnote>
  <w:endnote w:type="continuationSeparator" w:id="0">
    <w:p w14:paraId="0EE54BE1" w14:textId="77777777" w:rsidR="00C531FE" w:rsidRDefault="00C531FE" w:rsidP="00BC6896">
      <w:r>
        <w:continuationSeparator/>
      </w:r>
    </w:p>
    <w:p w14:paraId="0D9CB754" w14:textId="77777777" w:rsidR="00C531FE" w:rsidRDefault="00C531FE" w:rsidP="00BC6896"/>
  </w:endnote>
  <w:endnote w:type="continuationNotice" w:id="1">
    <w:p w14:paraId="23AC2FED" w14:textId="77777777" w:rsidR="00C531FE" w:rsidRDefault="00C531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057A6931" w14:textId="27A25730" w:rsidR="00B25477" w:rsidRDefault="00B254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C4DD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C4DD9">
              <w:rPr>
                <w:b/>
                <w:bCs/>
                <w:noProof/>
              </w:rPr>
              <w:t>2</w:t>
            </w:r>
            <w:r>
              <w:rPr>
                <w:b/>
                <w:bCs/>
                <w:sz w:val="24"/>
                <w:szCs w:val="24"/>
              </w:rPr>
              <w:fldChar w:fldCharType="end"/>
            </w:r>
          </w:p>
        </w:sdtContent>
      </w:sdt>
    </w:sdtContent>
  </w:sdt>
  <w:p w14:paraId="44222E07" w14:textId="77777777" w:rsidR="00B25477" w:rsidRDefault="00B25477"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459E81" w14:textId="77777777" w:rsidR="00C531FE" w:rsidRDefault="00C531FE" w:rsidP="00BC6896">
      <w:r>
        <w:separator/>
      </w:r>
    </w:p>
    <w:p w14:paraId="6EDE72AF" w14:textId="77777777" w:rsidR="00C531FE" w:rsidRDefault="00C531FE" w:rsidP="00BC6896"/>
  </w:footnote>
  <w:footnote w:type="continuationSeparator" w:id="0">
    <w:p w14:paraId="1BCC67D8" w14:textId="77777777" w:rsidR="00C531FE" w:rsidRDefault="00C531FE" w:rsidP="00BC6896">
      <w:r>
        <w:continuationSeparator/>
      </w:r>
    </w:p>
    <w:p w14:paraId="0BB88710" w14:textId="77777777" w:rsidR="00C531FE" w:rsidRDefault="00C531FE" w:rsidP="00BC6896"/>
  </w:footnote>
  <w:footnote w:type="continuationNotice" w:id="1">
    <w:p w14:paraId="579D281F" w14:textId="77777777" w:rsidR="00C531FE" w:rsidRDefault="00C531F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2A4D9" w14:textId="77777777" w:rsidR="00B25477" w:rsidRPr="00716F94" w:rsidRDefault="00B25477" w:rsidP="00BC6896">
    <w:pPr>
      <w:pStyle w:val="Header"/>
      <w:rPr>
        <w:color w:val="0033CC"/>
      </w:rPr>
    </w:pPr>
    <w:r>
      <w:tab/>
    </w:r>
  </w:p>
  <w:p w14:paraId="653AF48B" w14:textId="77777777" w:rsidR="00B25477" w:rsidRDefault="00B25477"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D5A6E"/>
    <w:multiLevelType w:val="hybridMultilevel"/>
    <w:tmpl w:val="3B70B56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E648FF"/>
    <w:multiLevelType w:val="hybridMultilevel"/>
    <w:tmpl w:val="3320D82E"/>
    <w:lvl w:ilvl="0" w:tplc="8D86DBA4">
      <w:start w:val="1"/>
      <w:numFmt w:val="bullet"/>
      <w:lvlText w:val="–"/>
      <w:lvlJc w:val="left"/>
      <w:pPr>
        <w:ind w:left="720" w:hanging="360"/>
      </w:pPr>
      <w:rPr>
        <w:rFonts w:ascii="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653F60"/>
    <w:multiLevelType w:val="hybridMultilevel"/>
    <w:tmpl w:val="FE54A4C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D86AA9"/>
    <w:multiLevelType w:val="hybridMultilevel"/>
    <w:tmpl w:val="69A2C88A"/>
    <w:lvl w:ilvl="0" w:tplc="61403C7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A9365D"/>
    <w:multiLevelType w:val="hybridMultilevel"/>
    <w:tmpl w:val="72FA61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9B97AB3"/>
    <w:multiLevelType w:val="hybridMultilevel"/>
    <w:tmpl w:val="0CB60E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3">
    <w:nsid w:val="51DC271A"/>
    <w:multiLevelType w:val="hybridMultilevel"/>
    <w:tmpl w:val="264CB19E"/>
    <w:lvl w:ilvl="0" w:tplc="F8A6A5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C6AF8"/>
    <w:multiLevelType w:val="hybridMultilevel"/>
    <w:tmpl w:val="5FA80EFC"/>
    <w:lvl w:ilvl="0" w:tplc="04090015">
      <w:start w:val="1"/>
      <w:numFmt w:val="upp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1"/>
  </w:num>
  <w:num w:numId="3">
    <w:abstractNumId w:val="42"/>
  </w:num>
  <w:num w:numId="4">
    <w:abstractNumId w:val="15"/>
  </w:num>
  <w:num w:numId="5">
    <w:abstractNumId w:val="32"/>
  </w:num>
  <w:num w:numId="6">
    <w:abstractNumId w:val="9"/>
  </w:num>
  <w:num w:numId="7">
    <w:abstractNumId w:val="0"/>
  </w:num>
  <w:num w:numId="8">
    <w:abstractNumId w:val="7"/>
  </w:num>
  <w:num w:numId="9">
    <w:abstractNumId w:val="13"/>
  </w:num>
  <w:num w:numId="10">
    <w:abstractNumId w:val="36"/>
  </w:num>
  <w:num w:numId="11">
    <w:abstractNumId w:val="3"/>
  </w:num>
  <w:num w:numId="12">
    <w:abstractNumId w:val="41"/>
  </w:num>
  <w:num w:numId="13">
    <w:abstractNumId w:val="8"/>
  </w:num>
  <w:num w:numId="14">
    <w:abstractNumId w:val="4"/>
  </w:num>
  <w:num w:numId="15">
    <w:abstractNumId w:val="39"/>
  </w:num>
  <w:num w:numId="16">
    <w:abstractNumId w:val="44"/>
  </w:num>
  <w:num w:numId="17">
    <w:abstractNumId w:val="11"/>
  </w:num>
  <w:num w:numId="18">
    <w:abstractNumId w:val="17"/>
  </w:num>
  <w:num w:numId="19">
    <w:abstractNumId w:val="6"/>
  </w:num>
  <w:num w:numId="20">
    <w:abstractNumId w:val="18"/>
  </w:num>
  <w:num w:numId="21">
    <w:abstractNumId w:val="43"/>
  </w:num>
  <w:num w:numId="22">
    <w:abstractNumId w:val="37"/>
  </w:num>
  <w:num w:numId="23">
    <w:abstractNumId w:val="16"/>
  </w:num>
  <w:num w:numId="24">
    <w:abstractNumId w:val="38"/>
  </w:num>
  <w:num w:numId="25">
    <w:abstractNumId w:val="40"/>
  </w:num>
  <w:num w:numId="26">
    <w:abstractNumId w:val="24"/>
  </w:num>
  <w:num w:numId="27">
    <w:abstractNumId w:val="30"/>
  </w:num>
  <w:num w:numId="28">
    <w:abstractNumId w:val="25"/>
  </w:num>
  <w:num w:numId="29">
    <w:abstractNumId w:val="34"/>
  </w:num>
  <w:num w:numId="30">
    <w:abstractNumId w:val="29"/>
  </w:num>
  <w:num w:numId="31">
    <w:abstractNumId w:val="14"/>
  </w:num>
  <w:num w:numId="32">
    <w:abstractNumId w:val="31"/>
  </w:num>
  <w:num w:numId="33">
    <w:abstractNumId w:val="22"/>
  </w:num>
  <w:num w:numId="34">
    <w:abstractNumId w:val="19"/>
  </w:num>
  <w:num w:numId="35">
    <w:abstractNumId w:val="35"/>
  </w:num>
  <w:num w:numId="36">
    <w:abstractNumId w:val="28"/>
  </w:num>
  <w:num w:numId="37">
    <w:abstractNumId w:val="10"/>
  </w:num>
  <w:num w:numId="38">
    <w:abstractNumId w:val="26"/>
  </w:num>
  <w:num w:numId="39">
    <w:abstractNumId w:val="12"/>
  </w:num>
  <w:num w:numId="40">
    <w:abstractNumId w:val="23"/>
  </w:num>
  <w:num w:numId="41">
    <w:abstractNumId w:val="2"/>
  </w:num>
  <w:num w:numId="42">
    <w:abstractNumId w:val="33"/>
  </w:num>
  <w:num w:numId="43">
    <w:abstractNumId w:val="20"/>
  </w:num>
  <w:num w:numId="44">
    <w:abstractNumId w:val="27"/>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6457"/>
    <w:rsid w:val="000100DE"/>
    <w:rsid w:val="00010420"/>
    <w:rsid w:val="00011A98"/>
    <w:rsid w:val="00011F8D"/>
    <w:rsid w:val="0001258B"/>
    <w:rsid w:val="000130B4"/>
    <w:rsid w:val="00014361"/>
    <w:rsid w:val="000238EE"/>
    <w:rsid w:val="00025EFA"/>
    <w:rsid w:val="000279A9"/>
    <w:rsid w:val="00034A20"/>
    <w:rsid w:val="000424F2"/>
    <w:rsid w:val="000474FB"/>
    <w:rsid w:val="00052A34"/>
    <w:rsid w:val="00053A92"/>
    <w:rsid w:val="0005417D"/>
    <w:rsid w:val="000557D0"/>
    <w:rsid w:val="0005605E"/>
    <w:rsid w:val="00057F36"/>
    <w:rsid w:val="00066D3B"/>
    <w:rsid w:val="00073EF5"/>
    <w:rsid w:val="000818AD"/>
    <w:rsid w:val="00083A4E"/>
    <w:rsid w:val="000914C6"/>
    <w:rsid w:val="000A1F30"/>
    <w:rsid w:val="000A538D"/>
    <w:rsid w:val="000C53B4"/>
    <w:rsid w:val="000D61AD"/>
    <w:rsid w:val="000D7EB6"/>
    <w:rsid w:val="000E2ADE"/>
    <w:rsid w:val="000E6577"/>
    <w:rsid w:val="000E7A19"/>
    <w:rsid w:val="000F36A3"/>
    <w:rsid w:val="000F670A"/>
    <w:rsid w:val="001030FC"/>
    <w:rsid w:val="00103572"/>
    <w:rsid w:val="001043E8"/>
    <w:rsid w:val="00104A1B"/>
    <w:rsid w:val="001177DD"/>
    <w:rsid w:val="001212E4"/>
    <w:rsid w:val="001243FE"/>
    <w:rsid w:val="001308EB"/>
    <w:rsid w:val="0013755C"/>
    <w:rsid w:val="00137E5B"/>
    <w:rsid w:val="001412D4"/>
    <w:rsid w:val="00144F64"/>
    <w:rsid w:val="00146FE7"/>
    <w:rsid w:val="00151567"/>
    <w:rsid w:val="00152CB0"/>
    <w:rsid w:val="00156566"/>
    <w:rsid w:val="00163D67"/>
    <w:rsid w:val="00163E17"/>
    <w:rsid w:val="00166F9E"/>
    <w:rsid w:val="00175844"/>
    <w:rsid w:val="00176E14"/>
    <w:rsid w:val="00184AD9"/>
    <w:rsid w:val="00187D5A"/>
    <w:rsid w:val="001960AE"/>
    <w:rsid w:val="001972D7"/>
    <w:rsid w:val="001A28F6"/>
    <w:rsid w:val="001A34C9"/>
    <w:rsid w:val="001A7D0E"/>
    <w:rsid w:val="001B2831"/>
    <w:rsid w:val="001B73B4"/>
    <w:rsid w:val="001B77D4"/>
    <w:rsid w:val="001C02B1"/>
    <w:rsid w:val="001C0493"/>
    <w:rsid w:val="001C28AD"/>
    <w:rsid w:val="001D2951"/>
    <w:rsid w:val="001D3D55"/>
    <w:rsid w:val="001D461D"/>
    <w:rsid w:val="001D4B18"/>
    <w:rsid w:val="001D4DA2"/>
    <w:rsid w:val="001D7FCB"/>
    <w:rsid w:val="001E15E3"/>
    <w:rsid w:val="001E2B99"/>
    <w:rsid w:val="001E5C03"/>
    <w:rsid w:val="001E69B6"/>
    <w:rsid w:val="001F4DBB"/>
    <w:rsid w:val="001F501E"/>
    <w:rsid w:val="001F7C89"/>
    <w:rsid w:val="0020312D"/>
    <w:rsid w:val="0020495F"/>
    <w:rsid w:val="00206E33"/>
    <w:rsid w:val="00210519"/>
    <w:rsid w:val="00215361"/>
    <w:rsid w:val="00217209"/>
    <w:rsid w:val="00227896"/>
    <w:rsid w:val="002300C7"/>
    <w:rsid w:val="00230CEF"/>
    <w:rsid w:val="00237CA1"/>
    <w:rsid w:val="00240A46"/>
    <w:rsid w:val="00241B17"/>
    <w:rsid w:val="00241C81"/>
    <w:rsid w:val="00245F1F"/>
    <w:rsid w:val="00252BF8"/>
    <w:rsid w:val="00256392"/>
    <w:rsid w:val="00257A1C"/>
    <w:rsid w:val="00271DF2"/>
    <w:rsid w:val="002721C7"/>
    <w:rsid w:val="0027234C"/>
    <w:rsid w:val="00272E03"/>
    <w:rsid w:val="00281795"/>
    <w:rsid w:val="002850E3"/>
    <w:rsid w:val="00287E2F"/>
    <w:rsid w:val="002955E6"/>
    <w:rsid w:val="002A1948"/>
    <w:rsid w:val="002A4798"/>
    <w:rsid w:val="002B616F"/>
    <w:rsid w:val="002B618C"/>
    <w:rsid w:val="002C062D"/>
    <w:rsid w:val="002C0877"/>
    <w:rsid w:val="002C2AE2"/>
    <w:rsid w:val="002C794E"/>
    <w:rsid w:val="002D0DCE"/>
    <w:rsid w:val="002E2B10"/>
    <w:rsid w:val="002E2CF3"/>
    <w:rsid w:val="002E3667"/>
    <w:rsid w:val="002E5EE7"/>
    <w:rsid w:val="002F1502"/>
    <w:rsid w:val="002F169D"/>
    <w:rsid w:val="002F2069"/>
    <w:rsid w:val="002F3276"/>
    <w:rsid w:val="002F3D87"/>
    <w:rsid w:val="002F6F92"/>
    <w:rsid w:val="00303611"/>
    <w:rsid w:val="003041AD"/>
    <w:rsid w:val="0030593F"/>
    <w:rsid w:val="0031279F"/>
    <w:rsid w:val="00312D63"/>
    <w:rsid w:val="003161B9"/>
    <w:rsid w:val="00327D05"/>
    <w:rsid w:val="00335D2C"/>
    <w:rsid w:val="00335EBD"/>
    <w:rsid w:val="00336D96"/>
    <w:rsid w:val="003429C3"/>
    <w:rsid w:val="00344F07"/>
    <w:rsid w:val="00346472"/>
    <w:rsid w:val="003469C8"/>
    <w:rsid w:val="0035438E"/>
    <w:rsid w:val="00355EA4"/>
    <w:rsid w:val="003635BE"/>
    <w:rsid w:val="00366B5E"/>
    <w:rsid w:val="00372844"/>
    <w:rsid w:val="00372ECA"/>
    <w:rsid w:val="003818FF"/>
    <w:rsid w:val="0038560A"/>
    <w:rsid w:val="00396555"/>
    <w:rsid w:val="003A33A5"/>
    <w:rsid w:val="003A4F7D"/>
    <w:rsid w:val="003C0F5B"/>
    <w:rsid w:val="003C31C9"/>
    <w:rsid w:val="003C3B49"/>
    <w:rsid w:val="003C3D1C"/>
    <w:rsid w:val="003C4961"/>
    <w:rsid w:val="003C74B9"/>
    <w:rsid w:val="003C7C5D"/>
    <w:rsid w:val="003D0AD2"/>
    <w:rsid w:val="003D2C76"/>
    <w:rsid w:val="003D564E"/>
    <w:rsid w:val="003D5E43"/>
    <w:rsid w:val="003E3389"/>
    <w:rsid w:val="003E33A2"/>
    <w:rsid w:val="003E3CAF"/>
    <w:rsid w:val="003E4383"/>
    <w:rsid w:val="003E4E7D"/>
    <w:rsid w:val="003E5D57"/>
    <w:rsid w:val="003F5913"/>
    <w:rsid w:val="00400C2C"/>
    <w:rsid w:val="004024D1"/>
    <w:rsid w:val="004024F8"/>
    <w:rsid w:val="00402CE3"/>
    <w:rsid w:val="00407EEA"/>
    <w:rsid w:val="0041159A"/>
    <w:rsid w:val="00414772"/>
    <w:rsid w:val="0042604A"/>
    <w:rsid w:val="004305A8"/>
    <w:rsid w:val="0043150B"/>
    <w:rsid w:val="0043417A"/>
    <w:rsid w:val="00443CA0"/>
    <w:rsid w:val="00444115"/>
    <w:rsid w:val="00450E14"/>
    <w:rsid w:val="00456489"/>
    <w:rsid w:val="00462C65"/>
    <w:rsid w:val="00467B14"/>
    <w:rsid w:val="00474EDA"/>
    <w:rsid w:val="0047536D"/>
    <w:rsid w:val="0048045C"/>
    <w:rsid w:val="004824FA"/>
    <w:rsid w:val="00484011"/>
    <w:rsid w:val="004841F1"/>
    <w:rsid w:val="00485F94"/>
    <w:rsid w:val="00487E55"/>
    <w:rsid w:val="00497BC1"/>
    <w:rsid w:val="004A1E3A"/>
    <w:rsid w:val="004B1D39"/>
    <w:rsid w:val="004B4EB5"/>
    <w:rsid w:val="004C4AEA"/>
    <w:rsid w:val="004C5A9B"/>
    <w:rsid w:val="004C6EF8"/>
    <w:rsid w:val="004D6764"/>
    <w:rsid w:val="004D70EE"/>
    <w:rsid w:val="004E003C"/>
    <w:rsid w:val="004E16EB"/>
    <w:rsid w:val="004E6665"/>
    <w:rsid w:val="004F634E"/>
    <w:rsid w:val="004F67A8"/>
    <w:rsid w:val="0050529E"/>
    <w:rsid w:val="00517F98"/>
    <w:rsid w:val="00522A50"/>
    <w:rsid w:val="00522FD0"/>
    <w:rsid w:val="00525459"/>
    <w:rsid w:val="00525B96"/>
    <w:rsid w:val="00525FE2"/>
    <w:rsid w:val="00527225"/>
    <w:rsid w:val="00534AA9"/>
    <w:rsid w:val="0053557D"/>
    <w:rsid w:val="005463DE"/>
    <w:rsid w:val="00546DC2"/>
    <w:rsid w:val="00551DD2"/>
    <w:rsid w:val="005542E8"/>
    <w:rsid w:val="00556630"/>
    <w:rsid w:val="0055686D"/>
    <w:rsid w:val="0055736E"/>
    <w:rsid w:val="00572CB2"/>
    <w:rsid w:val="00577AFF"/>
    <w:rsid w:val="005800EE"/>
    <w:rsid w:val="00582214"/>
    <w:rsid w:val="005869D6"/>
    <w:rsid w:val="00593E85"/>
    <w:rsid w:val="005A33F6"/>
    <w:rsid w:val="005A59E5"/>
    <w:rsid w:val="005A5D1D"/>
    <w:rsid w:val="005B6E67"/>
    <w:rsid w:val="005B7440"/>
    <w:rsid w:val="005C6E9D"/>
    <w:rsid w:val="005E2150"/>
    <w:rsid w:val="005E2995"/>
    <w:rsid w:val="005E7F36"/>
    <w:rsid w:val="005F3ADE"/>
    <w:rsid w:val="005F3FEF"/>
    <w:rsid w:val="0060009B"/>
    <w:rsid w:val="00601392"/>
    <w:rsid w:val="006075F6"/>
    <w:rsid w:val="00607F7C"/>
    <w:rsid w:val="006102DA"/>
    <w:rsid w:val="006161CF"/>
    <w:rsid w:val="006179F1"/>
    <w:rsid w:val="00621F93"/>
    <w:rsid w:val="006315A3"/>
    <w:rsid w:val="00636C2C"/>
    <w:rsid w:val="006379E9"/>
    <w:rsid w:val="00637CC1"/>
    <w:rsid w:val="00644703"/>
    <w:rsid w:val="006466BA"/>
    <w:rsid w:val="006523AE"/>
    <w:rsid w:val="00653DC0"/>
    <w:rsid w:val="006579A2"/>
    <w:rsid w:val="006606EA"/>
    <w:rsid w:val="00667C89"/>
    <w:rsid w:val="006711EE"/>
    <w:rsid w:val="00680069"/>
    <w:rsid w:val="006809BB"/>
    <w:rsid w:val="006809FD"/>
    <w:rsid w:val="00683C7C"/>
    <w:rsid w:val="00687C5F"/>
    <w:rsid w:val="00691031"/>
    <w:rsid w:val="00691D1F"/>
    <w:rsid w:val="0069580C"/>
    <w:rsid w:val="00697BAE"/>
    <w:rsid w:val="006A0A64"/>
    <w:rsid w:val="006A63FD"/>
    <w:rsid w:val="006B31AC"/>
    <w:rsid w:val="006B4DDC"/>
    <w:rsid w:val="006B5E55"/>
    <w:rsid w:val="006C1771"/>
    <w:rsid w:val="006D1616"/>
    <w:rsid w:val="006D25A1"/>
    <w:rsid w:val="006D6932"/>
    <w:rsid w:val="006E4BB7"/>
    <w:rsid w:val="006F23AF"/>
    <w:rsid w:val="006F63E9"/>
    <w:rsid w:val="006F6856"/>
    <w:rsid w:val="00703016"/>
    <w:rsid w:val="0070495C"/>
    <w:rsid w:val="0071190E"/>
    <w:rsid w:val="007145D0"/>
    <w:rsid w:val="00716F94"/>
    <w:rsid w:val="00720619"/>
    <w:rsid w:val="007423EE"/>
    <w:rsid w:val="00760E12"/>
    <w:rsid w:val="00763CF3"/>
    <w:rsid w:val="00772293"/>
    <w:rsid w:val="00783A3C"/>
    <w:rsid w:val="00783C75"/>
    <w:rsid w:val="00783CA3"/>
    <w:rsid w:val="00784619"/>
    <w:rsid w:val="0078627B"/>
    <w:rsid w:val="0079231A"/>
    <w:rsid w:val="00794E32"/>
    <w:rsid w:val="00796C5E"/>
    <w:rsid w:val="00797A96"/>
    <w:rsid w:val="007A306B"/>
    <w:rsid w:val="007B2EEC"/>
    <w:rsid w:val="007B305A"/>
    <w:rsid w:val="007C06D2"/>
    <w:rsid w:val="007C2FD3"/>
    <w:rsid w:val="007C4B61"/>
    <w:rsid w:val="007E3F71"/>
    <w:rsid w:val="007F6784"/>
    <w:rsid w:val="00800993"/>
    <w:rsid w:val="00810FBF"/>
    <w:rsid w:val="00815C7D"/>
    <w:rsid w:val="00817941"/>
    <w:rsid w:val="008260D4"/>
    <w:rsid w:val="008261AB"/>
    <w:rsid w:val="00835CA7"/>
    <w:rsid w:val="008370D4"/>
    <w:rsid w:val="008414AD"/>
    <w:rsid w:val="008428D9"/>
    <w:rsid w:val="008458BD"/>
    <w:rsid w:val="00851D6A"/>
    <w:rsid w:val="00857860"/>
    <w:rsid w:val="00862BFE"/>
    <w:rsid w:val="00865573"/>
    <w:rsid w:val="00870D38"/>
    <w:rsid w:val="008759F6"/>
    <w:rsid w:val="00876B98"/>
    <w:rsid w:val="00882173"/>
    <w:rsid w:val="00884DB9"/>
    <w:rsid w:val="0089676F"/>
    <w:rsid w:val="008A1188"/>
    <w:rsid w:val="008A14E7"/>
    <w:rsid w:val="008B3FE3"/>
    <w:rsid w:val="008C67D2"/>
    <w:rsid w:val="008D15E2"/>
    <w:rsid w:val="008D18F2"/>
    <w:rsid w:val="008E0683"/>
    <w:rsid w:val="008E2785"/>
    <w:rsid w:val="00902DD9"/>
    <w:rsid w:val="00904F82"/>
    <w:rsid w:val="00911466"/>
    <w:rsid w:val="00911486"/>
    <w:rsid w:val="009129CA"/>
    <w:rsid w:val="009206B6"/>
    <w:rsid w:val="0092611E"/>
    <w:rsid w:val="009263C1"/>
    <w:rsid w:val="00931C02"/>
    <w:rsid w:val="00935FFD"/>
    <w:rsid w:val="00941B4F"/>
    <w:rsid w:val="009444BD"/>
    <w:rsid w:val="0095743A"/>
    <w:rsid w:val="00963CE3"/>
    <w:rsid w:val="00964F18"/>
    <w:rsid w:val="0097039F"/>
    <w:rsid w:val="00974424"/>
    <w:rsid w:val="009759F3"/>
    <w:rsid w:val="009766EB"/>
    <w:rsid w:val="00983FA6"/>
    <w:rsid w:val="00987F76"/>
    <w:rsid w:val="00991BF9"/>
    <w:rsid w:val="00993088"/>
    <w:rsid w:val="0099469D"/>
    <w:rsid w:val="0099664F"/>
    <w:rsid w:val="00997D5D"/>
    <w:rsid w:val="009A027C"/>
    <w:rsid w:val="009A0447"/>
    <w:rsid w:val="009B034F"/>
    <w:rsid w:val="009B4A51"/>
    <w:rsid w:val="009C28B1"/>
    <w:rsid w:val="009C3CB6"/>
    <w:rsid w:val="009C61AD"/>
    <w:rsid w:val="009C6F45"/>
    <w:rsid w:val="009D2D96"/>
    <w:rsid w:val="009D373D"/>
    <w:rsid w:val="009D60D7"/>
    <w:rsid w:val="009D77CD"/>
    <w:rsid w:val="009E1D05"/>
    <w:rsid w:val="009F7283"/>
    <w:rsid w:val="00A00C86"/>
    <w:rsid w:val="00A02A42"/>
    <w:rsid w:val="00A11B0C"/>
    <w:rsid w:val="00A16A52"/>
    <w:rsid w:val="00A17513"/>
    <w:rsid w:val="00A21E5D"/>
    <w:rsid w:val="00A2483A"/>
    <w:rsid w:val="00A305CE"/>
    <w:rsid w:val="00A33B35"/>
    <w:rsid w:val="00A36419"/>
    <w:rsid w:val="00A36E0F"/>
    <w:rsid w:val="00A37AE0"/>
    <w:rsid w:val="00A43784"/>
    <w:rsid w:val="00A578C2"/>
    <w:rsid w:val="00A70EBC"/>
    <w:rsid w:val="00A71291"/>
    <w:rsid w:val="00A72652"/>
    <w:rsid w:val="00A72BA4"/>
    <w:rsid w:val="00A7550F"/>
    <w:rsid w:val="00A75D1C"/>
    <w:rsid w:val="00A809AA"/>
    <w:rsid w:val="00A81BF7"/>
    <w:rsid w:val="00A849B3"/>
    <w:rsid w:val="00A8510D"/>
    <w:rsid w:val="00A86AF3"/>
    <w:rsid w:val="00A90BDC"/>
    <w:rsid w:val="00A95477"/>
    <w:rsid w:val="00A975A9"/>
    <w:rsid w:val="00AA10C7"/>
    <w:rsid w:val="00AA3192"/>
    <w:rsid w:val="00AB3608"/>
    <w:rsid w:val="00AB3920"/>
    <w:rsid w:val="00AB4DD0"/>
    <w:rsid w:val="00AC5C48"/>
    <w:rsid w:val="00AD38BD"/>
    <w:rsid w:val="00AD73BF"/>
    <w:rsid w:val="00AE797C"/>
    <w:rsid w:val="00AF02DA"/>
    <w:rsid w:val="00AF0CF4"/>
    <w:rsid w:val="00AF2252"/>
    <w:rsid w:val="00B02CD8"/>
    <w:rsid w:val="00B10485"/>
    <w:rsid w:val="00B1129F"/>
    <w:rsid w:val="00B11D61"/>
    <w:rsid w:val="00B12F51"/>
    <w:rsid w:val="00B1542B"/>
    <w:rsid w:val="00B231BB"/>
    <w:rsid w:val="00B236F3"/>
    <w:rsid w:val="00B23804"/>
    <w:rsid w:val="00B25477"/>
    <w:rsid w:val="00B2751E"/>
    <w:rsid w:val="00B34205"/>
    <w:rsid w:val="00B3650C"/>
    <w:rsid w:val="00B50A2B"/>
    <w:rsid w:val="00B64BFA"/>
    <w:rsid w:val="00B65C38"/>
    <w:rsid w:val="00B8216F"/>
    <w:rsid w:val="00B853F1"/>
    <w:rsid w:val="00B85DE4"/>
    <w:rsid w:val="00B8656C"/>
    <w:rsid w:val="00B91A31"/>
    <w:rsid w:val="00B91CAB"/>
    <w:rsid w:val="00BA6DB4"/>
    <w:rsid w:val="00BB2413"/>
    <w:rsid w:val="00BC016A"/>
    <w:rsid w:val="00BC3F3C"/>
    <w:rsid w:val="00BC5BB2"/>
    <w:rsid w:val="00BC6896"/>
    <w:rsid w:val="00BE4DBD"/>
    <w:rsid w:val="00BE51B5"/>
    <w:rsid w:val="00BF2D06"/>
    <w:rsid w:val="00BF3F54"/>
    <w:rsid w:val="00C00697"/>
    <w:rsid w:val="00C0376C"/>
    <w:rsid w:val="00C06D77"/>
    <w:rsid w:val="00C06E7F"/>
    <w:rsid w:val="00C12DBC"/>
    <w:rsid w:val="00C14BA6"/>
    <w:rsid w:val="00C24132"/>
    <w:rsid w:val="00C26392"/>
    <w:rsid w:val="00C347E7"/>
    <w:rsid w:val="00C3485C"/>
    <w:rsid w:val="00C420D4"/>
    <w:rsid w:val="00C531FE"/>
    <w:rsid w:val="00C542BB"/>
    <w:rsid w:val="00C619D5"/>
    <w:rsid w:val="00C71C6A"/>
    <w:rsid w:val="00C837F3"/>
    <w:rsid w:val="00C84ACF"/>
    <w:rsid w:val="00C84DC3"/>
    <w:rsid w:val="00C86834"/>
    <w:rsid w:val="00C94B41"/>
    <w:rsid w:val="00CA2004"/>
    <w:rsid w:val="00CA4397"/>
    <w:rsid w:val="00CB0851"/>
    <w:rsid w:val="00CB334D"/>
    <w:rsid w:val="00CB56D5"/>
    <w:rsid w:val="00CD0771"/>
    <w:rsid w:val="00CD1EA8"/>
    <w:rsid w:val="00CE025C"/>
    <w:rsid w:val="00CE1965"/>
    <w:rsid w:val="00CE58B9"/>
    <w:rsid w:val="00CE68AB"/>
    <w:rsid w:val="00CF0CE8"/>
    <w:rsid w:val="00CF3172"/>
    <w:rsid w:val="00CF3742"/>
    <w:rsid w:val="00CF5ABD"/>
    <w:rsid w:val="00CF63CE"/>
    <w:rsid w:val="00D01333"/>
    <w:rsid w:val="00D02593"/>
    <w:rsid w:val="00D067C1"/>
    <w:rsid w:val="00D135B0"/>
    <w:rsid w:val="00D136B8"/>
    <w:rsid w:val="00D13B13"/>
    <w:rsid w:val="00D16E78"/>
    <w:rsid w:val="00D17F0A"/>
    <w:rsid w:val="00D201D3"/>
    <w:rsid w:val="00D24BCF"/>
    <w:rsid w:val="00D25AB2"/>
    <w:rsid w:val="00D26A64"/>
    <w:rsid w:val="00D328FA"/>
    <w:rsid w:val="00D32E91"/>
    <w:rsid w:val="00D33BF9"/>
    <w:rsid w:val="00D36751"/>
    <w:rsid w:val="00D4221A"/>
    <w:rsid w:val="00D50AE9"/>
    <w:rsid w:val="00D52A4B"/>
    <w:rsid w:val="00D52B9A"/>
    <w:rsid w:val="00D5349F"/>
    <w:rsid w:val="00D5367E"/>
    <w:rsid w:val="00D544E2"/>
    <w:rsid w:val="00D57C7E"/>
    <w:rsid w:val="00D724CC"/>
    <w:rsid w:val="00D7285C"/>
    <w:rsid w:val="00D73087"/>
    <w:rsid w:val="00D77D27"/>
    <w:rsid w:val="00D80FEE"/>
    <w:rsid w:val="00D861ED"/>
    <w:rsid w:val="00D873E0"/>
    <w:rsid w:val="00D93DA8"/>
    <w:rsid w:val="00D94F8B"/>
    <w:rsid w:val="00DA147A"/>
    <w:rsid w:val="00DA31BA"/>
    <w:rsid w:val="00DA4EA9"/>
    <w:rsid w:val="00DA5988"/>
    <w:rsid w:val="00DC317C"/>
    <w:rsid w:val="00DC4FF2"/>
    <w:rsid w:val="00DC79CC"/>
    <w:rsid w:val="00DE2D45"/>
    <w:rsid w:val="00DF7F61"/>
    <w:rsid w:val="00E004E8"/>
    <w:rsid w:val="00E134F4"/>
    <w:rsid w:val="00E23568"/>
    <w:rsid w:val="00E245B5"/>
    <w:rsid w:val="00E24C20"/>
    <w:rsid w:val="00E33BBA"/>
    <w:rsid w:val="00E33E1B"/>
    <w:rsid w:val="00E34D3E"/>
    <w:rsid w:val="00E4140F"/>
    <w:rsid w:val="00E42F3A"/>
    <w:rsid w:val="00E432A1"/>
    <w:rsid w:val="00E456DD"/>
    <w:rsid w:val="00E628BE"/>
    <w:rsid w:val="00E712CA"/>
    <w:rsid w:val="00E81C5E"/>
    <w:rsid w:val="00E83B3C"/>
    <w:rsid w:val="00E867D4"/>
    <w:rsid w:val="00E8736B"/>
    <w:rsid w:val="00E90275"/>
    <w:rsid w:val="00E925D4"/>
    <w:rsid w:val="00E97226"/>
    <w:rsid w:val="00EA23B9"/>
    <w:rsid w:val="00EA6E9B"/>
    <w:rsid w:val="00EB1F6E"/>
    <w:rsid w:val="00EB63B3"/>
    <w:rsid w:val="00EB75D7"/>
    <w:rsid w:val="00EC45F0"/>
    <w:rsid w:val="00ED3581"/>
    <w:rsid w:val="00ED6878"/>
    <w:rsid w:val="00EE0439"/>
    <w:rsid w:val="00EE397C"/>
    <w:rsid w:val="00EE4918"/>
    <w:rsid w:val="00EF0EC8"/>
    <w:rsid w:val="00EF33CD"/>
    <w:rsid w:val="00F10060"/>
    <w:rsid w:val="00F119C3"/>
    <w:rsid w:val="00F20A6E"/>
    <w:rsid w:val="00F2267A"/>
    <w:rsid w:val="00F27049"/>
    <w:rsid w:val="00F300CB"/>
    <w:rsid w:val="00F42C3A"/>
    <w:rsid w:val="00F52BCC"/>
    <w:rsid w:val="00F5313F"/>
    <w:rsid w:val="00F5331A"/>
    <w:rsid w:val="00F57581"/>
    <w:rsid w:val="00F647EC"/>
    <w:rsid w:val="00F65897"/>
    <w:rsid w:val="00F725B5"/>
    <w:rsid w:val="00F80333"/>
    <w:rsid w:val="00F81A48"/>
    <w:rsid w:val="00F83AAA"/>
    <w:rsid w:val="00F861E5"/>
    <w:rsid w:val="00F86BF1"/>
    <w:rsid w:val="00F9530A"/>
    <w:rsid w:val="00FB006F"/>
    <w:rsid w:val="00FB1309"/>
    <w:rsid w:val="00FB1DB3"/>
    <w:rsid w:val="00FC4DD9"/>
    <w:rsid w:val="00FC57B0"/>
    <w:rsid w:val="00FC5B1F"/>
    <w:rsid w:val="00FD17C9"/>
    <w:rsid w:val="00FD1EF0"/>
    <w:rsid w:val="00FD2A5B"/>
    <w:rsid w:val="00FD632C"/>
    <w:rsid w:val="00FE0E1C"/>
    <w:rsid w:val="00FE11AF"/>
    <w:rsid w:val="00FE6A5C"/>
    <w:rsid w:val="00FF228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UnresolvedMention1">
    <w:name w:val="Unresolved Mention1"/>
    <w:basedOn w:val="DefaultParagraphFont"/>
    <w:uiPriority w:val="99"/>
    <w:semiHidden/>
    <w:unhideWhenUsed/>
    <w:rsid w:val="00A02A42"/>
    <w:rPr>
      <w:color w:val="808080"/>
      <w:shd w:val="clear" w:color="auto" w:fill="E6E6E6"/>
    </w:rPr>
  </w:style>
  <w:style w:type="character" w:styleId="Emphasis">
    <w:name w:val="Emphasis"/>
    <w:basedOn w:val="DefaultParagraphFont"/>
    <w:uiPriority w:val="20"/>
    <w:qFormat/>
    <w:rsid w:val="003818FF"/>
    <w:rPr>
      <w:i/>
      <w:iCs/>
    </w:rPr>
  </w:style>
  <w:style w:type="character" w:customStyle="1" w:styleId="il">
    <w:name w:val="il"/>
    <w:basedOn w:val="DefaultParagraphFont"/>
    <w:rsid w:val="001B73B4"/>
  </w:style>
  <w:style w:type="character" w:customStyle="1" w:styleId="apple-converted-space">
    <w:name w:val="apple-converted-space"/>
    <w:basedOn w:val="DefaultParagraphFont"/>
    <w:rsid w:val="007C4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UnresolvedMention1">
    <w:name w:val="Unresolved Mention1"/>
    <w:basedOn w:val="DefaultParagraphFont"/>
    <w:uiPriority w:val="99"/>
    <w:semiHidden/>
    <w:unhideWhenUsed/>
    <w:rsid w:val="00A02A42"/>
    <w:rPr>
      <w:color w:val="808080"/>
      <w:shd w:val="clear" w:color="auto" w:fill="E6E6E6"/>
    </w:rPr>
  </w:style>
  <w:style w:type="character" w:styleId="Emphasis">
    <w:name w:val="Emphasis"/>
    <w:basedOn w:val="DefaultParagraphFont"/>
    <w:uiPriority w:val="20"/>
    <w:qFormat/>
    <w:rsid w:val="003818FF"/>
    <w:rPr>
      <w:i/>
      <w:iCs/>
    </w:rPr>
  </w:style>
  <w:style w:type="character" w:customStyle="1" w:styleId="il">
    <w:name w:val="il"/>
    <w:basedOn w:val="DefaultParagraphFont"/>
    <w:rsid w:val="001B73B4"/>
  </w:style>
  <w:style w:type="character" w:customStyle="1" w:styleId="apple-converted-space">
    <w:name w:val="apple-converted-space"/>
    <w:basedOn w:val="DefaultParagraphFont"/>
    <w:rsid w:val="007C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9466">
      <w:bodyDiv w:val="1"/>
      <w:marLeft w:val="0"/>
      <w:marRight w:val="0"/>
      <w:marTop w:val="0"/>
      <w:marBottom w:val="0"/>
      <w:divBdr>
        <w:top w:val="none" w:sz="0" w:space="0" w:color="auto"/>
        <w:left w:val="none" w:sz="0" w:space="0" w:color="auto"/>
        <w:bottom w:val="none" w:sz="0" w:space="0" w:color="auto"/>
        <w:right w:val="none" w:sz="0" w:space="0" w:color="auto"/>
      </w:divBdr>
    </w:div>
    <w:div w:id="298846754">
      <w:bodyDiv w:val="1"/>
      <w:marLeft w:val="0"/>
      <w:marRight w:val="0"/>
      <w:marTop w:val="0"/>
      <w:marBottom w:val="0"/>
      <w:divBdr>
        <w:top w:val="none" w:sz="0" w:space="0" w:color="auto"/>
        <w:left w:val="none" w:sz="0" w:space="0" w:color="auto"/>
        <w:bottom w:val="none" w:sz="0" w:space="0" w:color="auto"/>
        <w:right w:val="none" w:sz="0" w:space="0" w:color="auto"/>
      </w:divBdr>
    </w:div>
    <w:div w:id="624237987">
      <w:bodyDiv w:val="1"/>
      <w:marLeft w:val="0"/>
      <w:marRight w:val="0"/>
      <w:marTop w:val="0"/>
      <w:marBottom w:val="0"/>
      <w:divBdr>
        <w:top w:val="none" w:sz="0" w:space="0" w:color="auto"/>
        <w:left w:val="none" w:sz="0" w:space="0" w:color="auto"/>
        <w:bottom w:val="none" w:sz="0" w:space="0" w:color="auto"/>
        <w:right w:val="none" w:sz="0" w:space="0" w:color="auto"/>
      </w:divBdr>
    </w:div>
    <w:div w:id="1351565033">
      <w:bodyDiv w:val="1"/>
      <w:marLeft w:val="0"/>
      <w:marRight w:val="0"/>
      <w:marTop w:val="0"/>
      <w:marBottom w:val="0"/>
      <w:divBdr>
        <w:top w:val="none" w:sz="0" w:space="0" w:color="auto"/>
        <w:left w:val="none" w:sz="0" w:space="0" w:color="auto"/>
        <w:bottom w:val="none" w:sz="0" w:space="0" w:color="auto"/>
        <w:right w:val="none" w:sz="0" w:space="0" w:color="auto"/>
      </w:divBdr>
      <w:divsChild>
        <w:div w:id="85854125">
          <w:marLeft w:val="0"/>
          <w:marRight w:val="0"/>
          <w:marTop w:val="0"/>
          <w:marBottom w:val="0"/>
          <w:divBdr>
            <w:top w:val="none" w:sz="0" w:space="0" w:color="auto"/>
            <w:left w:val="none" w:sz="0" w:space="0" w:color="auto"/>
            <w:bottom w:val="none" w:sz="0" w:space="0" w:color="auto"/>
            <w:right w:val="none" w:sz="0" w:space="0" w:color="auto"/>
          </w:divBdr>
        </w:div>
        <w:div w:id="711808633">
          <w:marLeft w:val="0"/>
          <w:marRight w:val="0"/>
          <w:marTop w:val="0"/>
          <w:marBottom w:val="0"/>
          <w:divBdr>
            <w:top w:val="none" w:sz="0" w:space="0" w:color="auto"/>
            <w:left w:val="none" w:sz="0" w:space="0" w:color="auto"/>
            <w:bottom w:val="none" w:sz="0" w:space="0" w:color="auto"/>
            <w:right w:val="none" w:sz="0" w:space="0" w:color="auto"/>
          </w:divBdr>
        </w:div>
        <w:div w:id="1916157800">
          <w:marLeft w:val="0"/>
          <w:marRight w:val="0"/>
          <w:marTop w:val="0"/>
          <w:marBottom w:val="0"/>
          <w:divBdr>
            <w:top w:val="none" w:sz="0" w:space="0" w:color="auto"/>
            <w:left w:val="none" w:sz="0" w:space="0" w:color="auto"/>
            <w:bottom w:val="none" w:sz="0" w:space="0" w:color="auto"/>
            <w:right w:val="none" w:sz="0" w:space="0" w:color="auto"/>
          </w:divBdr>
        </w:div>
        <w:div w:id="2075007287">
          <w:marLeft w:val="0"/>
          <w:marRight w:val="0"/>
          <w:marTop w:val="0"/>
          <w:marBottom w:val="0"/>
          <w:divBdr>
            <w:top w:val="none" w:sz="0" w:space="0" w:color="auto"/>
            <w:left w:val="none" w:sz="0" w:space="0" w:color="auto"/>
            <w:bottom w:val="none" w:sz="0" w:space="0" w:color="auto"/>
            <w:right w:val="none" w:sz="0" w:space="0" w:color="auto"/>
          </w:divBdr>
        </w:div>
      </w:divsChild>
    </w:div>
    <w:div w:id="1466199104">
      <w:bodyDiv w:val="1"/>
      <w:marLeft w:val="0"/>
      <w:marRight w:val="0"/>
      <w:marTop w:val="0"/>
      <w:marBottom w:val="0"/>
      <w:divBdr>
        <w:top w:val="none" w:sz="0" w:space="0" w:color="auto"/>
        <w:left w:val="none" w:sz="0" w:space="0" w:color="auto"/>
        <w:bottom w:val="none" w:sz="0" w:space="0" w:color="auto"/>
        <w:right w:val="none" w:sz="0" w:space="0" w:color="auto"/>
      </w:divBdr>
      <w:divsChild>
        <w:div w:id="275017598">
          <w:marLeft w:val="0"/>
          <w:marRight w:val="0"/>
          <w:marTop w:val="0"/>
          <w:marBottom w:val="0"/>
          <w:divBdr>
            <w:top w:val="none" w:sz="0" w:space="0" w:color="auto"/>
            <w:left w:val="none" w:sz="0" w:space="0" w:color="auto"/>
            <w:bottom w:val="none" w:sz="0" w:space="0" w:color="auto"/>
            <w:right w:val="none" w:sz="0" w:space="0" w:color="auto"/>
          </w:divBdr>
        </w:div>
        <w:div w:id="1710062179">
          <w:marLeft w:val="0"/>
          <w:marRight w:val="0"/>
          <w:marTop w:val="0"/>
          <w:marBottom w:val="0"/>
          <w:divBdr>
            <w:top w:val="none" w:sz="0" w:space="0" w:color="auto"/>
            <w:left w:val="none" w:sz="0" w:space="0" w:color="auto"/>
            <w:bottom w:val="none" w:sz="0" w:space="0" w:color="auto"/>
            <w:right w:val="none" w:sz="0" w:space="0" w:color="auto"/>
          </w:divBdr>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50034159">
      <w:bodyDiv w:val="1"/>
      <w:marLeft w:val="0"/>
      <w:marRight w:val="0"/>
      <w:marTop w:val="0"/>
      <w:marBottom w:val="0"/>
      <w:divBdr>
        <w:top w:val="none" w:sz="0" w:space="0" w:color="auto"/>
        <w:left w:val="none" w:sz="0" w:space="0" w:color="auto"/>
        <w:bottom w:val="none" w:sz="0" w:space="0" w:color="auto"/>
        <w:right w:val="none" w:sz="0" w:space="0" w:color="auto"/>
      </w:divBdr>
    </w:div>
    <w:div w:id="2048217224">
      <w:bodyDiv w:val="1"/>
      <w:marLeft w:val="0"/>
      <w:marRight w:val="0"/>
      <w:marTop w:val="0"/>
      <w:marBottom w:val="0"/>
      <w:divBdr>
        <w:top w:val="none" w:sz="0" w:space="0" w:color="auto"/>
        <w:left w:val="none" w:sz="0" w:space="0" w:color="auto"/>
        <w:bottom w:val="none" w:sz="0" w:space="0" w:color="auto"/>
        <w:right w:val="none" w:sz="0" w:space="0" w:color="auto"/>
      </w:divBdr>
      <w:divsChild>
        <w:div w:id="866063037">
          <w:marLeft w:val="0"/>
          <w:marRight w:val="0"/>
          <w:marTop w:val="0"/>
          <w:marBottom w:val="0"/>
          <w:divBdr>
            <w:top w:val="none" w:sz="0" w:space="0" w:color="auto"/>
            <w:left w:val="none" w:sz="0" w:space="0" w:color="auto"/>
            <w:bottom w:val="none" w:sz="0" w:space="0" w:color="auto"/>
            <w:right w:val="none" w:sz="0" w:space="0" w:color="auto"/>
          </w:divBdr>
        </w:div>
        <w:div w:id="1665860973">
          <w:marLeft w:val="0"/>
          <w:marRight w:val="0"/>
          <w:marTop w:val="0"/>
          <w:marBottom w:val="0"/>
          <w:divBdr>
            <w:top w:val="none" w:sz="0" w:space="0" w:color="auto"/>
            <w:left w:val="none" w:sz="0" w:space="0" w:color="auto"/>
            <w:bottom w:val="none" w:sz="0" w:space="0" w:color="auto"/>
            <w:right w:val="none" w:sz="0" w:space="0" w:color="auto"/>
          </w:divBdr>
        </w:div>
        <w:div w:id="1072433602">
          <w:marLeft w:val="0"/>
          <w:marRight w:val="0"/>
          <w:marTop w:val="0"/>
          <w:marBottom w:val="0"/>
          <w:divBdr>
            <w:top w:val="none" w:sz="0" w:space="0" w:color="auto"/>
            <w:left w:val="none" w:sz="0" w:space="0" w:color="auto"/>
            <w:bottom w:val="none" w:sz="0" w:space="0" w:color="auto"/>
            <w:right w:val="none" w:sz="0" w:space="0" w:color="auto"/>
          </w:divBdr>
        </w:div>
        <w:div w:id="1396586736">
          <w:marLeft w:val="0"/>
          <w:marRight w:val="0"/>
          <w:marTop w:val="0"/>
          <w:marBottom w:val="0"/>
          <w:divBdr>
            <w:top w:val="none" w:sz="0" w:space="0" w:color="auto"/>
            <w:left w:val="none" w:sz="0" w:space="0" w:color="auto"/>
            <w:bottom w:val="none" w:sz="0" w:space="0" w:color="auto"/>
            <w:right w:val="none" w:sz="0" w:space="0" w:color="auto"/>
          </w:divBdr>
        </w:div>
        <w:div w:id="1533571274">
          <w:marLeft w:val="0"/>
          <w:marRight w:val="0"/>
          <w:marTop w:val="0"/>
          <w:marBottom w:val="0"/>
          <w:divBdr>
            <w:top w:val="none" w:sz="0" w:space="0" w:color="auto"/>
            <w:left w:val="none" w:sz="0" w:space="0" w:color="auto"/>
            <w:bottom w:val="none" w:sz="0" w:space="0" w:color="auto"/>
            <w:right w:val="none" w:sz="0" w:space="0" w:color="auto"/>
          </w:divBdr>
        </w:div>
        <w:div w:id="445857763">
          <w:marLeft w:val="0"/>
          <w:marRight w:val="0"/>
          <w:marTop w:val="0"/>
          <w:marBottom w:val="0"/>
          <w:divBdr>
            <w:top w:val="none" w:sz="0" w:space="0" w:color="auto"/>
            <w:left w:val="none" w:sz="0" w:space="0" w:color="auto"/>
            <w:bottom w:val="none" w:sz="0" w:space="0" w:color="auto"/>
            <w:right w:val="none" w:sz="0" w:space="0" w:color="auto"/>
          </w:divBdr>
        </w:div>
        <w:div w:id="26225557">
          <w:marLeft w:val="0"/>
          <w:marRight w:val="0"/>
          <w:marTop w:val="0"/>
          <w:marBottom w:val="0"/>
          <w:divBdr>
            <w:top w:val="none" w:sz="0" w:space="0" w:color="auto"/>
            <w:left w:val="none" w:sz="0" w:space="0" w:color="auto"/>
            <w:bottom w:val="none" w:sz="0" w:space="0" w:color="auto"/>
            <w:right w:val="none" w:sz="0" w:space="0" w:color="auto"/>
          </w:divBdr>
        </w:div>
      </w:divsChild>
    </w:div>
    <w:div w:id="21229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tel:(404)%20328-985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sewell@getingears.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tel:(470)%20334-694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stone3@cdc.gov" TargetMode="External"/><Relationship Id="rId20" Type="http://schemas.openxmlformats.org/officeDocument/2006/relationships/hyperlink" Target="tel:(470)%20334-6949"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bmanteu@gmail.com" TargetMode="External"/><Relationship Id="rId5" Type="http://schemas.openxmlformats.org/officeDocument/2006/relationships/customXml" Target="../customXml/item5.xml"/><Relationship Id="rId15" Type="http://schemas.openxmlformats.org/officeDocument/2006/relationships/hyperlink" Target="tel:(770)%20488-3942" TargetMode="External"/><Relationship Id="rId23" Type="http://schemas.openxmlformats.org/officeDocument/2006/relationships/hyperlink" Target="mailto:carla.linkous@csra.com"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dchervin@getingears.com" TargetMode="External"/><Relationship Id="rId31" Type="http://schemas.microsoft.com/office/2016/09/relationships/commentsIds" Target="commentsId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its9@cdc.gov" TargetMode="External"/><Relationship Id="rId22" Type="http://schemas.openxmlformats.org/officeDocument/2006/relationships/hyperlink" Target="tel:(470)%20419-615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N3 xmlns="bd99c180-279b-44c3-9486-dd050336677e">0</OSC_StateB_TableB_1_N3>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2 xmlns="bd99c180-279b-44c3-9486-dd050336677e">=&gt;Enter entity 2 or delete this comment&lt;=</OSC_StateB_TableB_1_Entity2>
    <GenICPIFax xmlns="bd99c180-279b-44c3-9486-dd050336677e">=&gt;###-###-####&lt;=</GenICPIFax>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_dlc_DocId xmlns="b5c0ca00-073d-4463-9985-b654f14791fe">OSTLTSDOC-727-159</_dlc_DocId>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=&gt;Enter division or office title&lt;=</GenICPIDivisionOROfficeTitle>
    <GenICPICenterDivisionBranch xmlns="bd99c180-279b-44c3-9486-dd050336677e" xsi:nil="true"/>
    <GenICPIPhone xmlns="bd99c180-279b-44c3-9486-dd050336677e">=&gt;###-###-####&lt;=</GenICPIPhone>
    <_dlc_DocIdUrl xmlns="b5c0ca00-073d-4463-9985-b654f14791fe">
      <Url>https://esp.cdc.gov/sites/ostlts/pip/osc/_layouts/15/DocIdRedir.aspx?ID=OSTLTSDOC-727-159</Url>
      <Description>OSTLTSDOC-727-159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352C-E0B1-4086-B19E-C662D6ECF315}">
  <ds:schemaRefs>
    <ds:schemaRef ds:uri="http://schemas.microsoft.com/office/2006/metadata/customXsn"/>
  </ds:schemaRefs>
</ds:datastoreItem>
</file>

<file path=customXml/itemProps2.xml><?xml version="1.0" encoding="utf-8"?>
<ds:datastoreItem xmlns:ds="http://schemas.openxmlformats.org/officeDocument/2006/customXml" ds:itemID="{02FE9EFB-F279-4D00-81B1-DD7047E9EA92}">
  <ds:schemaRefs>
    <ds:schemaRef ds:uri="http://schemas.microsoft.com/sharepoint/events"/>
  </ds:schemaRefs>
</ds:datastoreItem>
</file>

<file path=customXml/itemProps3.xml><?xml version="1.0" encoding="utf-8"?>
<ds:datastoreItem xmlns:ds="http://schemas.openxmlformats.org/officeDocument/2006/customXml" ds:itemID="{BE47B4C4-48F1-4065-9101-AA965F0F5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C3DB11-6BA0-4992-9BD0-22D8AE9614DC}">
  <ds:schemaRefs>
    <ds:schemaRef ds:uri="http://purl.org/dc/elements/1.1/"/>
    <ds:schemaRef ds:uri="http://schemas.microsoft.com/office/2006/metadata/properties"/>
    <ds:schemaRef ds:uri="15b1c282-9287-45cb-9b41-eae3a76919a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b5c0ca00-073d-4463-9985-b654f14791fe"/>
    <ds:schemaRef ds:uri="bd99c180-279b-44c3-9486-dd050336677e"/>
    <ds:schemaRef ds:uri="http://www.w3.org/XML/1998/namespace"/>
    <ds:schemaRef ds:uri="http://purl.org/dc/dcmitype/"/>
  </ds:schemaRefs>
</ds:datastoreItem>
</file>

<file path=customXml/itemProps5.xml><?xml version="1.0" encoding="utf-8"?>
<ds:datastoreItem xmlns:ds="http://schemas.openxmlformats.org/officeDocument/2006/customXml" ds:itemID="{6D350E6B-EACC-4F07-B00D-D0A2E5A7ED29}">
  <ds:schemaRefs>
    <ds:schemaRef ds:uri="http://schemas.microsoft.com/sharepoint/v3/contenttype/forms"/>
  </ds:schemaRefs>
</ds:datastoreItem>
</file>

<file path=customXml/itemProps6.xml><?xml version="1.0" encoding="utf-8"?>
<ds:datastoreItem xmlns:ds="http://schemas.openxmlformats.org/officeDocument/2006/customXml" ds:itemID="{0482A323-D554-421B-9AED-AB1A6F4F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khx2</dc:creator>
  <cp:lastModifiedBy>SYSTEM</cp:lastModifiedBy>
  <cp:revision>2</cp:revision>
  <cp:lastPrinted>2011-06-07T15:53:00Z</cp:lastPrinted>
  <dcterms:created xsi:type="dcterms:W3CDTF">2018-05-29T19:11:00Z</dcterms:created>
  <dcterms:modified xsi:type="dcterms:W3CDTF">2018-05-29T19:11:00Z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706b808d-e616-4bf0-a2c4-b1105839ba14</vt:lpwstr>
  </property>
</Properties>
</file>