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Ex1.xml" ContentType="application/vnd.ms-office.chartex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4E" w:rsidRPr="00E30C40" w:rsidRDefault="005716BC" w:rsidP="003F2A9E">
      <w:pPr>
        <w:pStyle w:val="Heading1"/>
        <w:ind w:left="90"/>
        <w:rPr>
          <w:color w:val="FFFFFF" w:themeColor="background1"/>
          <w:sz w:val="44"/>
          <w:szCs w:val="44"/>
        </w:rPr>
      </w:pPr>
      <w:bookmarkStart w:id="0" w:name="_GoBack"/>
      <w:bookmarkEnd w:id="0"/>
      <w:r w:rsidRPr="00E30C40">
        <w:rPr>
          <w:color w:val="FFFFFF" w:themeColor="background1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5EC5E7DB" wp14:editId="695CAA40">
            <wp:simplePos x="0" y="0"/>
            <wp:positionH relativeFrom="margin">
              <wp:posOffset>-55659</wp:posOffset>
            </wp:positionH>
            <wp:positionV relativeFrom="paragraph">
              <wp:posOffset>-15710</wp:posOffset>
            </wp:positionV>
            <wp:extent cx="6853555" cy="763326"/>
            <wp:effectExtent l="0" t="0" r="4445" b="0"/>
            <wp:wrapNone/>
            <wp:docPr id="5" name="Picture 5" descr="graphic" titl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555" cy="76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495" w:rsidRPr="00E30C40">
        <w:rPr>
          <w:color w:val="FFFFFF" w:themeColor="background1"/>
          <w:sz w:val="44"/>
          <w:szCs w:val="44"/>
        </w:rPr>
        <w:t xml:space="preserve">PS19-1901 </w:t>
      </w:r>
      <w:r w:rsidR="00B83B6F" w:rsidRPr="00E30C40">
        <w:rPr>
          <w:color w:val="FFFFFF" w:themeColor="background1"/>
          <w:sz w:val="44"/>
          <w:szCs w:val="44"/>
        </w:rPr>
        <w:t>S</w:t>
      </w:r>
      <w:r w:rsidR="00E30C40" w:rsidRPr="00E30C40">
        <w:rPr>
          <w:color w:val="FFFFFF" w:themeColor="background1"/>
          <w:sz w:val="44"/>
          <w:szCs w:val="44"/>
        </w:rPr>
        <w:t>exually Transmitted Disease</w:t>
      </w:r>
      <w:r w:rsidR="00B83B6F" w:rsidRPr="00E30C40">
        <w:rPr>
          <w:color w:val="FFFFFF" w:themeColor="background1"/>
          <w:sz w:val="44"/>
          <w:szCs w:val="44"/>
        </w:rPr>
        <w:t xml:space="preserve"> </w:t>
      </w:r>
      <w:r w:rsidR="006F0495" w:rsidRPr="00E30C40">
        <w:rPr>
          <w:color w:val="FFFFFF" w:themeColor="background1"/>
          <w:sz w:val="44"/>
          <w:szCs w:val="44"/>
        </w:rPr>
        <w:t>Prevention and Contr</w:t>
      </w:r>
      <w:r w:rsidR="00E30C40" w:rsidRPr="00E30C40">
        <w:rPr>
          <w:color w:val="FFFFFF" w:themeColor="background1"/>
          <w:sz w:val="44"/>
          <w:szCs w:val="44"/>
        </w:rPr>
        <w:t>ol for Health Departments (STD PCHD)</w:t>
      </w:r>
    </w:p>
    <w:p w:rsidR="003F2A9E" w:rsidRPr="003F2A9E" w:rsidRDefault="003F2A9E" w:rsidP="003F2A9E">
      <w:pPr>
        <w:spacing w:after="0"/>
        <w:rPr>
          <w:rFonts w:cstheme="minorHAnsi"/>
          <w:sz w:val="22"/>
          <w:szCs w:val="24"/>
        </w:rPr>
      </w:pPr>
      <w:r w:rsidRPr="003F2A9E">
        <w:rPr>
          <w:rFonts w:cstheme="minorHAnsi"/>
          <w:sz w:val="22"/>
          <w:szCs w:val="24"/>
        </w:rPr>
        <w:t xml:space="preserve">CDC’s Division of STD Prevention aims to supports 59 state, local, and territorial health departments to conduct STD surveillance, prevention, and control through the </w:t>
      </w:r>
      <w:r w:rsidR="008763B7">
        <w:rPr>
          <w:rFonts w:cstheme="minorHAnsi"/>
          <w:sz w:val="22"/>
          <w:szCs w:val="24"/>
        </w:rPr>
        <w:t xml:space="preserve">new </w:t>
      </w:r>
      <w:r w:rsidRPr="003F2A9E">
        <w:rPr>
          <w:rFonts w:cstheme="minorHAnsi"/>
          <w:sz w:val="22"/>
          <w:szCs w:val="24"/>
        </w:rPr>
        <w:t xml:space="preserve">PS19-1901 STD PCHD cooperative agreement. </w:t>
      </w:r>
      <w:r w:rsidR="00402FC8">
        <w:rPr>
          <w:rFonts w:cstheme="minorHAnsi"/>
          <w:sz w:val="22"/>
          <w:szCs w:val="24"/>
        </w:rPr>
        <w:t xml:space="preserve"> This NOFO is the successor to PS14-1402 STD AAPPS, which ends December 31, 2018. </w:t>
      </w:r>
    </w:p>
    <w:p w:rsidR="003F2A9E" w:rsidRDefault="003F2A9E" w:rsidP="003F2A9E">
      <w:pPr>
        <w:spacing w:after="0"/>
      </w:pPr>
    </w:p>
    <w:p w:rsidR="006740DC" w:rsidRPr="009B05A9" w:rsidRDefault="00202BDB" w:rsidP="0039141C">
      <w:pPr>
        <w:pStyle w:val="Heading2"/>
      </w:pPr>
      <w:r>
        <w:t>P</w:t>
      </w:r>
      <w:r w:rsidR="004D5EBC">
        <w:t>urpose</w:t>
      </w:r>
      <w:r w:rsidR="001531D5">
        <w:t xml:space="preserve"> and focus</w:t>
      </w:r>
    </w:p>
    <w:p w:rsidR="003F2A9E" w:rsidRDefault="003F2A9E" w:rsidP="00155EAF">
      <w:pPr>
        <w:pStyle w:val="ListParagraph"/>
        <w:numPr>
          <w:ilvl w:val="0"/>
          <w:numId w:val="24"/>
        </w:numPr>
        <w:rPr>
          <w:sz w:val="22"/>
          <w:lang w:val="en"/>
        </w:rPr>
      </w:pPr>
      <w:r w:rsidRPr="00FE3331">
        <w:rPr>
          <w:sz w:val="22"/>
          <w:lang w:val="en"/>
        </w:rPr>
        <w:t>To prevent and control three major STDs: chlamydia</w:t>
      </w:r>
      <w:r w:rsidR="00552E7F">
        <w:rPr>
          <w:sz w:val="22"/>
          <w:lang w:val="en"/>
        </w:rPr>
        <w:t xml:space="preserve"> (CT)</w:t>
      </w:r>
      <w:r w:rsidRPr="00FE3331">
        <w:rPr>
          <w:sz w:val="22"/>
          <w:lang w:val="en"/>
        </w:rPr>
        <w:t>, gonorrhea</w:t>
      </w:r>
      <w:r w:rsidR="00552E7F">
        <w:rPr>
          <w:sz w:val="22"/>
          <w:lang w:val="en"/>
        </w:rPr>
        <w:t xml:space="preserve"> (GC)</w:t>
      </w:r>
      <w:r w:rsidRPr="00FE3331">
        <w:rPr>
          <w:sz w:val="22"/>
          <w:lang w:val="en"/>
        </w:rPr>
        <w:t xml:space="preserve">, and syphilis </w:t>
      </w:r>
    </w:p>
    <w:p w:rsidR="003F2A9E" w:rsidRPr="00FE3331" w:rsidRDefault="003F2A9E" w:rsidP="00155EAF">
      <w:pPr>
        <w:pStyle w:val="ListParagraph"/>
        <w:numPr>
          <w:ilvl w:val="0"/>
          <w:numId w:val="24"/>
        </w:numPr>
        <w:rPr>
          <w:sz w:val="22"/>
          <w:lang w:val="en"/>
        </w:rPr>
      </w:pPr>
      <w:r w:rsidRPr="00FE3331">
        <w:rPr>
          <w:sz w:val="22"/>
          <w:lang w:val="en"/>
        </w:rPr>
        <w:t>To contribute towards the following national aims</w:t>
      </w:r>
      <w:r w:rsidR="00784CE1" w:rsidRPr="00FE3331">
        <w:rPr>
          <w:sz w:val="22"/>
          <w:lang w:val="en"/>
        </w:rPr>
        <w:t>:</w:t>
      </w:r>
    </w:p>
    <w:tbl>
      <w:tblPr>
        <w:tblStyle w:val="GridTableLight"/>
        <w:tblW w:w="0" w:type="auto"/>
        <w:tblInd w:w="6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404"/>
        <w:gridCol w:w="5406"/>
      </w:tblGrid>
      <w:tr w:rsidR="003F2A9E" w:rsidRPr="003F2A9E" w:rsidTr="00E30C40">
        <w:tc>
          <w:tcPr>
            <w:tcW w:w="4404" w:type="dxa"/>
            <w:shd w:val="clear" w:color="auto" w:fill="FFFFFF" w:themeFill="background1"/>
          </w:tcPr>
          <w:p w:rsidR="003F2A9E" w:rsidRPr="003F2A9E" w:rsidRDefault="003F2A9E" w:rsidP="003F2A9E">
            <w:pPr>
              <w:rPr>
                <w:sz w:val="22"/>
                <w:lang w:val="en"/>
              </w:rPr>
            </w:pPr>
            <w:r w:rsidRPr="003F2A9E">
              <w:rPr>
                <w:sz w:val="22"/>
                <w:lang w:val="en"/>
              </w:rPr>
              <w:t xml:space="preserve">Elimination </w:t>
            </w:r>
            <w:r w:rsidR="004D5EBC">
              <w:rPr>
                <w:sz w:val="22"/>
                <w:lang w:val="en"/>
              </w:rPr>
              <w:t xml:space="preserve">of </w:t>
            </w:r>
            <w:r w:rsidRPr="003F2A9E">
              <w:rPr>
                <w:sz w:val="22"/>
                <w:lang w:val="en"/>
              </w:rPr>
              <w:t>congenital syphilis</w:t>
            </w:r>
          </w:p>
        </w:tc>
        <w:tc>
          <w:tcPr>
            <w:tcW w:w="5406" w:type="dxa"/>
            <w:shd w:val="clear" w:color="auto" w:fill="FFFFFF" w:themeFill="background1"/>
          </w:tcPr>
          <w:p w:rsidR="003F2A9E" w:rsidRPr="003F2A9E" w:rsidRDefault="003F2A9E" w:rsidP="003F2A9E">
            <w:pPr>
              <w:rPr>
                <w:sz w:val="22"/>
                <w:lang w:val="en"/>
              </w:rPr>
            </w:pPr>
            <w:r w:rsidRPr="003F2A9E">
              <w:rPr>
                <w:sz w:val="22"/>
                <w:lang w:val="en"/>
              </w:rPr>
              <w:t xml:space="preserve">Prevention of STD-related reproductive health problems </w:t>
            </w:r>
          </w:p>
        </w:tc>
      </w:tr>
      <w:tr w:rsidR="003F2A9E" w:rsidRPr="003F2A9E" w:rsidTr="00E30C40">
        <w:tc>
          <w:tcPr>
            <w:tcW w:w="4404" w:type="dxa"/>
            <w:shd w:val="clear" w:color="auto" w:fill="FFFFFF" w:themeFill="background1"/>
          </w:tcPr>
          <w:p w:rsidR="003F2A9E" w:rsidRPr="003F2A9E" w:rsidRDefault="003F2A9E" w:rsidP="003F2A9E">
            <w:pPr>
              <w:rPr>
                <w:sz w:val="22"/>
                <w:lang w:val="en"/>
              </w:rPr>
            </w:pPr>
            <w:r w:rsidRPr="003F2A9E">
              <w:rPr>
                <w:sz w:val="22"/>
                <w:lang w:val="en"/>
              </w:rPr>
              <w:t>Prevention of antibiotic resistant gonorrhea</w:t>
            </w:r>
          </w:p>
        </w:tc>
        <w:tc>
          <w:tcPr>
            <w:tcW w:w="5406" w:type="dxa"/>
            <w:shd w:val="clear" w:color="auto" w:fill="FFFFFF" w:themeFill="background1"/>
          </w:tcPr>
          <w:p w:rsidR="003F2A9E" w:rsidRPr="003F2A9E" w:rsidRDefault="004D5EBC" w:rsidP="003F2A9E">
            <w:pPr>
              <w:rPr>
                <w:sz w:val="22"/>
                <w:lang w:val="en"/>
              </w:rPr>
            </w:pPr>
            <w:r>
              <w:rPr>
                <w:sz w:val="22"/>
                <w:lang w:val="en"/>
              </w:rPr>
              <w:t>Effective response</w:t>
            </w:r>
            <w:r w:rsidR="003F2A9E" w:rsidRPr="003F2A9E">
              <w:rPr>
                <w:sz w:val="22"/>
                <w:lang w:val="en"/>
              </w:rPr>
              <w:t xml:space="preserve"> to STD-related outbreaks</w:t>
            </w:r>
          </w:p>
        </w:tc>
      </w:tr>
      <w:tr w:rsidR="003F2A9E" w:rsidRPr="003F2A9E" w:rsidTr="00E30C40">
        <w:tc>
          <w:tcPr>
            <w:tcW w:w="4404" w:type="dxa"/>
            <w:shd w:val="clear" w:color="auto" w:fill="FFFFFF" w:themeFill="background1"/>
          </w:tcPr>
          <w:p w:rsidR="003F2A9E" w:rsidRPr="003F2A9E" w:rsidRDefault="003F2A9E" w:rsidP="003F2A9E">
            <w:pPr>
              <w:rPr>
                <w:sz w:val="22"/>
                <w:lang w:val="en"/>
              </w:rPr>
            </w:pPr>
            <w:r w:rsidRPr="003F2A9E">
              <w:rPr>
                <w:sz w:val="22"/>
                <w:lang w:val="en"/>
              </w:rPr>
              <w:t>Reduction of primary and secondary syphilis</w:t>
            </w:r>
          </w:p>
        </w:tc>
        <w:tc>
          <w:tcPr>
            <w:tcW w:w="5406" w:type="dxa"/>
            <w:shd w:val="clear" w:color="auto" w:fill="FFFFFF" w:themeFill="background1"/>
          </w:tcPr>
          <w:p w:rsidR="003F2A9E" w:rsidRPr="003F2A9E" w:rsidRDefault="003F2A9E" w:rsidP="003F2A9E">
            <w:pPr>
              <w:rPr>
                <w:sz w:val="22"/>
                <w:lang w:val="en"/>
              </w:rPr>
            </w:pPr>
            <w:r w:rsidRPr="003F2A9E">
              <w:rPr>
                <w:sz w:val="22"/>
                <w:lang w:val="en"/>
              </w:rPr>
              <w:t>Reduction of STD-related health disparities</w:t>
            </w:r>
          </w:p>
        </w:tc>
      </w:tr>
    </w:tbl>
    <w:p w:rsidR="00FE3331" w:rsidRPr="00552E7F" w:rsidRDefault="00FE3331" w:rsidP="00FE3331">
      <w:pPr>
        <w:pStyle w:val="ListParagraph"/>
        <w:rPr>
          <w:sz w:val="10"/>
          <w:lang w:val="en"/>
        </w:rPr>
      </w:pPr>
    </w:p>
    <w:p w:rsidR="003F2A9E" w:rsidRPr="00FE3331" w:rsidRDefault="00FE3331" w:rsidP="00FE3331">
      <w:pPr>
        <w:pStyle w:val="ListParagraph"/>
        <w:numPr>
          <w:ilvl w:val="0"/>
          <w:numId w:val="24"/>
        </w:numPr>
        <w:rPr>
          <w:sz w:val="24"/>
          <w:lang w:val="en"/>
        </w:rPr>
      </w:pPr>
      <w:r w:rsidRPr="00FE3331">
        <w:rPr>
          <w:sz w:val="24"/>
          <w:lang w:val="en"/>
        </w:rPr>
        <w:t>Priority populations include adolescents and young adults, men who have sex with men, and pregnant women</w:t>
      </w:r>
    </w:p>
    <w:p w:rsidR="00902785" w:rsidRDefault="002C4656" w:rsidP="009A59B0">
      <w:pPr>
        <w:pStyle w:val="Heading2"/>
        <w:rPr>
          <w:lang w:val="en"/>
        </w:rPr>
      </w:pPr>
      <w:r>
        <w:rPr>
          <w:lang w:val="en"/>
        </w:rPr>
        <w:t>S</w:t>
      </w:r>
      <w:r w:rsidR="00202BDB">
        <w:rPr>
          <w:lang w:val="en"/>
        </w:rPr>
        <w:t>trategies</w:t>
      </w:r>
    </w:p>
    <w:p w:rsidR="00E30C40" w:rsidRDefault="0041674D" w:rsidP="00155EAF">
      <w:pPr>
        <w:pStyle w:val="ListParagraph"/>
        <w:numPr>
          <w:ilvl w:val="0"/>
          <w:numId w:val="25"/>
        </w:numPr>
        <w:rPr>
          <w:sz w:val="22"/>
          <w:lang w:val="en"/>
        </w:rPr>
      </w:pPr>
      <w:r>
        <w:rPr>
          <w:sz w:val="22"/>
          <w:lang w:val="en"/>
        </w:rPr>
        <w:t>R</w:t>
      </w:r>
      <w:r w:rsidR="00FE3331" w:rsidRPr="00860A2A">
        <w:rPr>
          <w:sz w:val="22"/>
          <w:lang w:val="en"/>
        </w:rPr>
        <w:t>epresent a core program of STD prevention and control for health department STD programs</w:t>
      </w:r>
    </w:p>
    <w:p w:rsidR="008763B7" w:rsidRPr="00860A2A" w:rsidRDefault="008763B7" w:rsidP="00155EAF">
      <w:pPr>
        <w:pStyle w:val="ListParagraph"/>
        <w:numPr>
          <w:ilvl w:val="0"/>
          <w:numId w:val="25"/>
        </w:numPr>
        <w:rPr>
          <w:sz w:val="22"/>
          <w:lang w:val="en"/>
        </w:rPr>
      </w:pPr>
      <w:r>
        <w:rPr>
          <w:sz w:val="22"/>
          <w:lang w:val="en"/>
        </w:rPr>
        <w:t xml:space="preserve">Builds on important work done under the previous funding cycle (STD AAPPS), and includes some new strategies, such as enhanced GC surveillance and more work to assure </w:t>
      </w:r>
      <w:r w:rsidR="00552E7F">
        <w:rPr>
          <w:sz w:val="22"/>
          <w:lang w:val="en"/>
        </w:rPr>
        <w:t xml:space="preserve">recommended </w:t>
      </w:r>
      <w:r>
        <w:rPr>
          <w:sz w:val="22"/>
          <w:lang w:val="en"/>
        </w:rPr>
        <w:t xml:space="preserve">syphilis treatment </w:t>
      </w:r>
    </w:p>
    <w:p w:rsidR="00FE3331" w:rsidRDefault="0041674D" w:rsidP="0041674D">
      <w:pPr>
        <w:pStyle w:val="ListParagraph"/>
        <w:numPr>
          <w:ilvl w:val="0"/>
          <w:numId w:val="25"/>
        </w:numPr>
        <w:rPr>
          <w:sz w:val="22"/>
          <w:lang w:val="en"/>
        </w:rPr>
      </w:pPr>
      <w:r>
        <w:rPr>
          <w:sz w:val="22"/>
          <w:lang w:val="en"/>
        </w:rPr>
        <w:t>Organized into f</w:t>
      </w:r>
      <w:r w:rsidR="00FE3331" w:rsidRPr="00860A2A">
        <w:rPr>
          <w:sz w:val="22"/>
          <w:lang w:val="en"/>
        </w:rPr>
        <w:t>ive Strategy Areas, with s</w:t>
      </w:r>
      <w:r>
        <w:rPr>
          <w:sz w:val="22"/>
          <w:lang w:val="en"/>
        </w:rPr>
        <w:t xml:space="preserve">urveillance as the top priority, </w:t>
      </w:r>
      <w:r w:rsidR="00EE3467" w:rsidRPr="00860A2A">
        <w:rPr>
          <w:sz w:val="22"/>
          <w:lang w:val="en"/>
        </w:rPr>
        <w:t>followed by disease investigation and the promotion of CDC-recommended clinical prevention services</w:t>
      </w:r>
      <w:r>
        <w:rPr>
          <w:sz w:val="22"/>
          <w:lang w:val="en"/>
        </w:rPr>
        <w:t xml:space="preserve"> </w:t>
      </w:r>
      <w:r w:rsidRPr="00860A2A">
        <w:rPr>
          <w:sz w:val="22"/>
          <w:lang w:val="en"/>
        </w:rPr>
        <w:t>(see next page)</w:t>
      </w:r>
    </w:p>
    <w:p w:rsidR="008763B7" w:rsidRPr="00860A2A" w:rsidRDefault="00552E7F" w:rsidP="0041674D">
      <w:pPr>
        <w:pStyle w:val="ListParagraph"/>
        <w:numPr>
          <w:ilvl w:val="0"/>
          <w:numId w:val="25"/>
        </w:numPr>
        <w:rPr>
          <w:sz w:val="22"/>
          <w:lang w:val="en"/>
        </w:rPr>
      </w:pPr>
      <w:r>
        <w:rPr>
          <w:sz w:val="22"/>
          <w:lang w:val="en"/>
        </w:rPr>
        <w:t>A</w:t>
      </w:r>
      <w:r w:rsidR="008763B7">
        <w:rPr>
          <w:sz w:val="22"/>
          <w:lang w:val="en"/>
        </w:rPr>
        <w:t xml:space="preserve">ffirm the need for recipients to </w:t>
      </w:r>
      <w:r>
        <w:rPr>
          <w:sz w:val="22"/>
          <w:lang w:val="en"/>
        </w:rPr>
        <w:t>tailor and prioritize their work to their own context</w:t>
      </w:r>
    </w:p>
    <w:p w:rsidR="00FE3331" w:rsidRPr="00860A2A" w:rsidRDefault="00552E7F" w:rsidP="00FE3331">
      <w:pPr>
        <w:pStyle w:val="ListParagraph"/>
        <w:numPr>
          <w:ilvl w:val="0"/>
          <w:numId w:val="25"/>
        </w:numPr>
        <w:rPr>
          <w:sz w:val="22"/>
          <w:lang w:val="en"/>
        </w:rPr>
      </w:pPr>
      <w:r>
        <w:rPr>
          <w:sz w:val="22"/>
          <w:lang w:val="en"/>
        </w:rPr>
        <w:t>Promote</w:t>
      </w:r>
      <w:r w:rsidR="00E30C40" w:rsidRPr="00860A2A">
        <w:rPr>
          <w:sz w:val="22"/>
          <w:lang w:val="en"/>
        </w:rPr>
        <w:t xml:space="preserve"> collaboration with CDC-funded HIV programs, National Network of STD Prevention Training Centers, and National Coalition of STD Directors, various other federally-funded and non-governmental partners at </w:t>
      </w:r>
      <w:r w:rsidR="00784CE1" w:rsidRPr="00860A2A">
        <w:rPr>
          <w:sz w:val="22"/>
          <w:lang w:val="en"/>
        </w:rPr>
        <w:t xml:space="preserve">national, state, and </w:t>
      </w:r>
      <w:r w:rsidR="00E30C40" w:rsidRPr="00860A2A">
        <w:rPr>
          <w:sz w:val="22"/>
          <w:lang w:val="en"/>
        </w:rPr>
        <w:t xml:space="preserve">local level </w:t>
      </w:r>
    </w:p>
    <w:p w:rsidR="001E0F4C" w:rsidRDefault="00202BDB" w:rsidP="0039141C">
      <w:pPr>
        <w:pStyle w:val="Heading2"/>
      </w:pPr>
      <w:r>
        <w:t>Administration</w:t>
      </w:r>
    </w:p>
    <w:p w:rsidR="00354857" w:rsidRPr="00FE3331" w:rsidRDefault="003D5933" w:rsidP="00155EAF">
      <w:pPr>
        <w:pStyle w:val="ListParagraph"/>
        <w:numPr>
          <w:ilvl w:val="0"/>
          <w:numId w:val="26"/>
        </w:numPr>
        <w:rPr>
          <w:sz w:val="22"/>
        </w:rPr>
      </w:pPr>
      <w:r w:rsidRPr="00FE3331">
        <w:rPr>
          <w:sz w:val="22"/>
        </w:rPr>
        <w:t>Estimated 2019 funding is $</w:t>
      </w:r>
      <w:r w:rsidR="00402FC8">
        <w:rPr>
          <w:sz w:val="22"/>
        </w:rPr>
        <w:t>89</w:t>
      </w:r>
      <w:r w:rsidRPr="00FE3331">
        <w:rPr>
          <w:sz w:val="22"/>
        </w:rPr>
        <w:t xml:space="preserve">,000,000, with </w:t>
      </w:r>
      <w:r w:rsidR="001531D5">
        <w:rPr>
          <w:sz w:val="22"/>
        </w:rPr>
        <w:t xml:space="preserve">awards ranging from $300,000 to </w:t>
      </w:r>
      <w:r w:rsidR="008763B7">
        <w:rPr>
          <w:sz w:val="22"/>
        </w:rPr>
        <w:t xml:space="preserve">over </w:t>
      </w:r>
      <w:r w:rsidR="001531D5">
        <w:rPr>
          <w:sz w:val="22"/>
        </w:rPr>
        <w:t>$5,000,000,</w:t>
      </w:r>
      <w:r w:rsidR="0041674D">
        <w:rPr>
          <w:sz w:val="22"/>
        </w:rPr>
        <w:t xml:space="preserve"> calculated from a funding formula based on population and STD morbidity</w:t>
      </w:r>
    </w:p>
    <w:p w:rsidR="003D5933" w:rsidRPr="00FE3331" w:rsidRDefault="00A444F7" w:rsidP="00155EAF">
      <w:pPr>
        <w:pStyle w:val="ListParagraph"/>
        <w:numPr>
          <w:ilvl w:val="0"/>
          <w:numId w:val="26"/>
        </w:numPr>
        <w:rPr>
          <w:sz w:val="22"/>
        </w:rPr>
      </w:pPr>
      <w:r w:rsidRPr="00FE3331">
        <w:rPr>
          <w:sz w:val="22"/>
        </w:rPr>
        <w:t xml:space="preserve">Eligible </w:t>
      </w:r>
      <w:r w:rsidR="003D5933" w:rsidRPr="00FE3331">
        <w:rPr>
          <w:sz w:val="22"/>
        </w:rPr>
        <w:t>recipients include</w:t>
      </w:r>
      <w:r w:rsidR="005462D9" w:rsidRPr="00FE3331">
        <w:rPr>
          <w:sz w:val="22"/>
        </w:rPr>
        <w:t xml:space="preserve"> the</w:t>
      </w:r>
      <w:r w:rsidRPr="00FE3331">
        <w:rPr>
          <w:sz w:val="22"/>
        </w:rPr>
        <w:t xml:space="preserve"> 50 states, District of Columbia, Puerto Rico, US Virgin Islands, Los Angeles</w:t>
      </w:r>
      <w:r w:rsidR="003D5933" w:rsidRPr="00FE3331">
        <w:rPr>
          <w:sz w:val="22"/>
        </w:rPr>
        <w:t xml:space="preserve"> (CA), San Francisco (CA), Baltimore (MD), Philadelphia (PA), New York City (NYC), Chicago (IL)</w:t>
      </w:r>
    </w:p>
    <w:p w:rsidR="002C4656" w:rsidRPr="00FE3331" w:rsidRDefault="00FE3331" w:rsidP="00155EAF">
      <w:pPr>
        <w:pStyle w:val="ListParagraph"/>
        <w:numPr>
          <w:ilvl w:val="0"/>
          <w:numId w:val="26"/>
        </w:numPr>
        <w:rPr>
          <w:sz w:val="22"/>
        </w:rPr>
      </w:pPr>
      <w:r w:rsidRPr="00FE3331">
        <w:rPr>
          <w:sz w:val="22"/>
        </w:rPr>
        <w:t>Period of performance</w:t>
      </w:r>
      <w:r w:rsidR="003D5933" w:rsidRPr="00FE3331">
        <w:rPr>
          <w:sz w:val="22"/>
        </w:rPr>
        <w:t xml:space="preserve"> runs </w:t>
      </w:r>
      <w:r w:rsidR="005462D9" w:rsidRPr="00FE3331">
        <w:rPr>
          <w:sz w:val="22"/>
        </w:rPr>
        <w:t xml:space="preserve">5 years, </w:t>
      </w:r>
      <w:r w:rsidR="003D5933" w:rsidRPr="00FE3331">
        <w:rPr>
          <w:sz w:val="22"/>
        </w:rPr>
        <w:t>from January 1, 2019-December 31, 2023</w:t>
      </w:r>
    </w:p>
    <w:p w:rsidR="002C4656" w:rsidRPr="00FE3331" w:rsidRDefault="003D5933" w:rsidP="00155EAF">
      <w:pPr>
        <w:pStyle w:val="ListParagraph"/>
        <w:numPr>
          <w:ilvl w:val="0"/>
          <w:numId w:val="26"/>
        </w:numPr>
        <w:rPr>
          <w:sz w:val="22"/>
        </w:rPr>
      </w:pPr>
      <w:r w:rsidRPr="00FE3331">
        <w:rPr>
          <w:sz w:val="22"/>
        </w:rPr>
        <w:t>DSTDP’s Program Development and Quality Improvement Branch (PDQIB) administers the cooperative agreement</w:t>
      </w:r>
      <w:r w:rsidR="0041674D">
        <w:rPr>
          <w:sz w:val="22"/>
        </w:rPr>
        <w:t>, in collaboration with numerous other Branches in the Division</w:t>
      </w:r>
    </w:p>
    <w:p w:rsidR="003D5933" w:rsidRPr="00FE3331" w:rsidRDefault="00D31264" w:rsidP="00155EAF">
      <w:pPr>
        <w:pStyle w:val="ListParagraph"/>
        <w:numPr>
          <w:ilvl w:val="0"/>
          <w:numId w:val="26"/>
        </w:numPr>
        <w:rPr>
          <w:sz w:val="22"/>
        </w:rPr>
      </w:pPr>
      <w:r>
        <w:rPr>
          <w:sz w:val="22"/>
        </w:rPr>
        <w:t>Program Official and contact for technical questions</w:t>
      </w:r>
      <w:r w:rsidR="003D5933" w:rsidRPr="00FE3331">
        <w:rPr>
          <w:sz w:val="22"/>
        </w:rPr>
        <w:t xml:space="preserve"> is Dr. Jennifer Fuld, Chief, PDQIB (</w:t>
      </w:r>
      <w:hyperlink r:id="rId15" w:history="1">
        <w:r w:rsidR="003D5933" w:rsidRPr="00FE3331">
          <w:rPr>
            <w:rStyle w:val="Hyperlink"/>
            <w:sz w:val="22"/>
          </w:rPr>
          <w:t>JFuld@cdc.gov</w:t>
        </w:r>
      </w:hyperlink>
      <w:r w:rsidR="003D5933" w:rsidRPr="00FE3331">
        <w:rPr>
          <w:sz w:val="22"/>
        </w:rPr>
        <w:t xml:space="preserve">) </w:t>
      </w:r>
    </w:p>
    <w:p w:rsidR="00354857" w:rsidRDefault="00552E7F" w:rsidP="00086A3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C5675" wp14:editId="458D8DFC">
                <wp:simplePos x="0" y="0"/>
                <wp:positionH relativeFrom="column">
                  <wp:posOffset>639445</wp:posOffset>
                </wp:positionH>
                <wp:positionV relativeFrom="paragraph">
                  <wp:posOffset>182245</wp:posOffset>
                </wp:positionV>
                <wp:extent cx="5772647" cy="469127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4691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63B7" w:rsidRDefault="00402FC8" w:rsidP="008763B7">
                            <w:pPr>
                              <w:spacing w:after="0"/>
                            </w:pPr>
                            <w:r>
                              <w:t xml:space="preserve">NOFO release date on grants.gov:  </w:t>
                            </w:r>
                            <w:r w:rsidR="00090DC8">
                              <w:t>[TBD]</w:t>
                            </w:r>
                            <w:r w:rsidR="008763B7">
                              <w:t xml:space="preserve">  </w:t>
                            </w:r>
                            <w:r w:rsidR="008763B7">
                              <w:tab/>
                            </w:r>
                            <w:r w:rsidR="008763B7">
                              <w:tab/>
                              <w:t>Anticipated award date:  November 1, 2018</w:t>
                            </w:r>
                          </w:p>
                          <w:p w:rsidR="008763B7" w:rsidRDefault="008763B7" w:rsidP="008763B7">
                            <w:pPr>
                              <w:spacing w:after="0"/>
                            </w:pPr>
                            <w:r>
                              <w:t xml:space="preserve">Application deadline:  </w:t>
                            </w:r>
                            <w:r w:rsidR="00090DC8">
                              <w:t xml:space="preserve">[TBD] </w:t>
                            </w:r>
                            <w:r>
                              <w:t>July 16, 2018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Project start date:  January 1, 2019</w:t>
                            </w:r>
                          </w:p>
                          <w:p w:rsidR="00402FC8" w:rsidRDefault="00402FC8" w:rsidP="00402FC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35pt;margin-top:14.35pt;width:454.55pt;height:3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aaXwIAALgEAAAOAAAAZHJzL2Uyb0RvYy54bWysVEtv2zAMvg/YfxB0X5x4ebRGnCJLkWFA&#10;1xZIhp4VWY4NSKImKbGzXz9KdtK022nYRaZIio+PHz2/a5UkR2FdDTqno8GQEqE5FLXe5/THdv3p&#10;hhLnmS6YBC1yehKO3i0+fpg3JhMpVCALYQkG0S5rTE4r702WJI5XQjE3ACM0Gkuwinm82n1SWNZg&#10;dCWTdDicJg3YwljgwjnU3ndGuojxy1Jw/1SWTngic4q1+XjaeO7CmSzmLNtbZqqa92Wwf6hCsVpj&#10;0kuoe+YZOdj6j1Cq5hYclH7AQSVQljUXsQfsZjR8182mYkbEXhAcZy4wuf8Xlj8eny2pi5ymlGim&#10;cERb0XryBVqSBnQa4zJ02hh08y2qccpnvUNlaLotrQpfbIegHXE+XbANwTgqJ7NZOh3PKOFoG09v&#10;R+kshEleXxvr/FcBigQhpxZnFyFlxwfnO9ezS0jmQNbFupYyXgJfxEpacmQ4aca50H4Sn8uD+g5F&#10;p0fGDPuZoxqZ0alvzmqsJjIvRIq1vUkiNWlyOv08GcbAGkL2rjCp0T1A1UESJN/u2h6/HRQnhM9C&#10;Rz9n+LrGHh+Y88/MIt8QMdwh/4RHKQGTQC9RUoH99Td98EcaoJWSBvmbU/fzwKygRH7TSJDb0Xgc&#10;CB8v48ksxYu9tuyuLfqgVoDAjXBbDY9i8PfyLJYW1Auu2jJkRRPTHHPn1J/Fle+2CleVi+UyOiHF&#10;DfMPemN4CB0GFSa4bV+YNf2YPRLkEc5MZ9m7aXe+4aWG5cFDWUcqBIA7VHvccT3iwPpVDvt3fY9e&#10;rz+cxW8AAAD//wMAUEsDBBQABgAIAAAAIQD1duV73QAAAAsBAAAPAAAAZHJzL2Rvd25yZXYueG1s&#10;TI/BTsMwEETvSPyDtUjcqN0IlRLiVFCJCi5IpHyAGy9xIF5HsZOGv2dzgtPuaEezb4rd7Dsx4RDb&#10;QBrWKwUCqQ62pUbDx/H5ZgsiJkPWdIFQww9G2JWXF4XJbTjTO05VagSHUMyNBpdSn0sZa4fexFXo&#10;kfj2GQZvEsuhkXYwZw73ncyU2khvWuIPzvS4d1h/V6PXME7u9QXndff2FQ6H7Gmfbo+V1fr6an58&#10;AJFwTn9mWPAZHUpmOoWRbBQda6Xu2Koh2/JcDErdc5nTsmUbkGUh/3cofwEAAP//AwBQSwECLQAU&#10;AAYACAAAACEAtoM4kv4AAADhAQAAEwAAAAAAAAAAAAAAAAAAAAAAW0NvbnRlbnRfVHlwZXNdLnht&#10;bFBLAQItABQABgAIAAAAIQA4/SH/1gAAAJQBAAALAAAAAAAAAAAAAAAAAC8BAABfcmVscy8ucmVs&#10;c1BLAQItABQABgAIAAAAIQCNUzaaXwIAALgEAAAOAAAAAAAAAAAAAAAAAC4CAABkcnMvZTJvRG9j&#10;LnhtbFBLAQItABQABgAIAAAAIQD1duV73QAAAAsBAAAPAAAAAAAAAAAAAAAAALkEAABkcnMvZG93&#10;bnJldi54bWxQSwUGAAAAAAQABADzAAAAwwUAAAAA&#10;" fillcolor="#e6eff7 [664]" stroked="f" strokeweight=".5pt">
                <v:textbox>
                  <w:txbxContent>
                    <w:p w:rsidR="008763B7" w:rsidRDefault="00402FC8" w:rsidP="008763B7">
                      <w:pPr>
                        <w:spacing w:after="0"/>
                      </w:pPr>
                      <w:r>
                        <w:t xml:space="preserve">NOFO release date on grants.gov:  </w:t>
                      </w:r>
                      <w:r w:rsidR="00090DC8">
                        <w:t>[TBD]</w:t>
                      </w:r>
                      <w:r w:rsidR="008763B7">
                        <w:t xml:space="preserve">  </w:t>
                      </w:r>
                      <w:r w:rsidR="008763B7">
                        <w:tab/>
                      </w:r>
                      <w:r w:rsidR="008763B7">
                        <w:tab/>
                        <w:t>Anticipated award date:  November 1, 2018</w:t>
                      </w:r>
                    </w:p>
                    <w:p w:rsidR="008763B7" w:rsidRDefault="008763B7" w:rsidP="008763B7">
                      <w:pPr>
                        <w:spacing w:after="0"/>
                      </w:pPr>
                      <w:r>
                        <w:t xml:space="preserve">Application deadline:  </w:t>
                      </w:r>
                      <w:r w:rsidR="00090DC8">
                        <w:t xml:space="preserve">[TBD] </w:t>
                      </w:r>
                      <w:r>
                        <w:t>July 16, 2018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Project start date:  January 1, 2019</w:t>
                      </w:r>
                    </w:p>
                    <w:p w:rsidR="00402FC8" w:rsidRDefault="00402FC8" w:rsidP="00402FC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090DC8" w:rsidRDefault="00090DC8">
      <w:pPr>
        <w:rPr>
          <w:rFonts w:eastAsiaTheme="majorEastAsia" w:cstheme="majorBidi"/>
          <w:b/>
          <w:color w:val="00788A" w:themeColor="accent1"/>
          <w:sz w:val="36"/>
          <w:szCs w:val="26"/>
        </w:rPr>
      </w:pPr>
      <w:r>
        <w:br w:type="page"/>
      </w:r>
    </w:p>
    <w:p w:rsidR="00622F57" w:rsidRDefault="00622F57" w:rsidP="008763B7">
      <w:pPr>
        <w:pStyle w:val="Heading2"/>
        <w:sectPr w:rsidR="00622F57" w:rsidSect="003D38E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 w:code="1"/>
          <w:pgMar w:top="540" w:right="720" w:bottom="720" w:left="720" w:header="720" w:footer="288" w:gutter="0"/>
          <w:cols w:space="720"/>
          <w:titlePg/>
          <w:docGrid w:linePitch="360"/>
        </w:sectPr>
      </w:pPr>
      <w:r w:rsidRPr="00622F57">
        <w:rPr>
          <w:noProof/>
          <w:sz w:val="16"/>
          <w:szCs w:val="16"/>
        </w:rPr>
        <w:lastRenderedPageBreak/>
        <mc:AlternateContent>
          <mc:Choice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equires="cx1">
            <w:drawing>
              <wp:anchor distT="0" distB="0" distL="114300" distR="114300" simplePos="0" relativeHeight="251664384" behindDoc="0" locked="0" layoutInCell="1" allowOverlap="1" wp14:anchorId="4B0425E0" wp14:editId="792DCE46">
                <wp:simplePos x="0" y="0"/>
                <wp:positionH relativeFrom="margin">
                  <wp:posOffset>0</wp:posOffset>
                </wp:positionH>
                <wp:positionV relativeFrom="paragraph">
                  <wp:posOffset>384175</wp:posOffset>
                </wp:positionV>
                <wp:extent cx="6838950" cy="1165860"/>
                <wp:effectExtent l="0" t="0" r="0" b="15240"/>
                <wp:wrapSquare wrapText="bothSides"/>
                <wp:docPr id="1" name="Chart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2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628CE153" wp14:editId="51AD12C1">
                <wp:simplePos x="0" y="0"/>
                <wp:positionH relativeFrom="margin">
                  <wp:posOffset>0</wp:posOffset>
                </wp:positionH>
                <wp:positionV relativeFrom="paragraph">
                  <wp:posOffset>384175</wp:posOffset>
                </wp:positionV>
                <wp:extent cx="6838950" cy="1165860"/>
                <wp:effectExtent l="0" t="0" r="0" b="15240"/>
                <wp:wrapSquare wrapText="bothSides"/>
                <wp:docPr id="1" name="Chart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art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0" cy="1165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:rsidR="00622F57" w:rsidRDefault="00622F57" w:rsidP="008763B7">
      <w:pPr>
        <w:pStyle w:val="Heading3"/>
      </w:pPr>
    </w:p>
    <w:p w:rsidR="00E30C40" w:rsidRPr="008763B7" w:rsidRDefault="00E30C40" w:rsidP="008763B7">
      <w:pPr>
        <w:pStyle w:val="Heading3"/>
      </w:pPr>
      <w:r w:rsidRPr="008763B7">
        <w:t>Cross cutting</w:t>
      </w:r>
    </w:p>
    <w:p w:rsidR="00E30C40" w:rsidRPr="00E30C40" w:rsidRDefault="00E30C40" w:rsidP="00155EAF">
      <w:pPr>
        <w:pStyle w:val="ListParagraph"/>
        <w:numPr>
          <w:ilvl w:val="0"/>
          <w:numId w:val="23"/>
        </w:numPr>
        <w:spacing w:after="160" w:line="259" w:lineRule="auto"/>
        <w:rPr>
          <w:sz w:val="22"/>
        </w:rPr>
      </w:pPr>
      <w:r w:rsidRPr="00E30C40">
        <w:rPr>
          <w:sz w:val="22"/>
        </w:rPr>
        <w:t>Partnerships</w:t>
      </w:r>
    </w:p>
    <w:p w:rsidR="00E30C40" w:rsidRPr="00E30C40" w:rsidRDefault="00E30C40" w:rsidP="00155EAF">
      <w:pPr>
        <w:pStyle w:val="ListParagraph"/>
        <w:numPr>
          <w:ilvl w:val="0"/>
          <w:numId w:val="23"/>
        </w:numPr>
        <w:spacing w:after="160" w:line="259" w:lineRule="auto"/>
        <w:rPr>
          <w:sz w:val="22"/>
        </w:rPr>
      </w:pPr>
      <w:r w:rsidRPr="00E30C40">
        <w:rPr>
          <w:sz w:val="22"/>
        </w:rPr>
        <w:t>STD-related HIV Prevention</w:t>
      </w:r>
    </w:p>
    <w:p w:rsidR="00E30C40" w:rsidRPr="006A67CC" w:rsidRDefault="00E30C40" w:rsidP="008763B7">
      <w:pPr>
        <w:pStyle w:val="Heading3"/>
      </w:pPr>
      <w:r w:rsidRPr="006A67CC">
        <w:t xml:space="preserve">Strategy Area I: Conduct Surveillance 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Chlamydia (CT) surveillance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Gonorrhea (GC) surveillance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syphilis surveillance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congenital syphilis (CS) surveillance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surveillance of adverse outcomes of STDs</w:t>
      </w:r>
    </w:p>
    <w:p w:rsidR="00E30C40" w:rsidRPr="006A67CC" w:rsidRDefault="00E30C40" w:rsidP="008763B7">
      <w:pPr>
        <w:pStyle w:val="Heading3"/>
      </w:pPr>
      <w:r w:rsidRPr="006A67CC">
        <w:t>Strategy Area II: Conduct Disease Investigation and Intervention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Respond to STD-related outbreaks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health department disease investigation for pregnant women and other reproductive-age women with syphilis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Promote Expedited Partner Therapy (EPT) (where permissible) to partners of chlamydia and/or gonorrhea cases</w:t>
      </w:r>
    </w:p>
    <w:p w:rsidR="00E30C40" w:rsidRPr="00E30C40" w:rsidRDefault="00E30C40" w:rsidP="00E30C40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E30C40">
        <w:rPr>
          <w:sz w:val="22"/>
        </w:rPr>
        <w:t>Conduct health department syphilis disease investigation and intervention for men with syphilis</w:t>
      </w:r>
    </w:p>
    <w:p w:rsidR="00622F57" w:rsidRDefault="00622F57" w:rsidP="008763B7">
      <w:pPr>
        <w:pStyle w:val="Heading3"/>
      </w:pPr>
    </w:p>
    <w:p w:rsidR="00622F57" w:rsidRDefault="00E30C40" w:rsidP="008763B7">
      <w:pPr>
        <w:pStyle w:val="Heading3"/>
      </w:pPr>
      <w:r w:rsidRPr="006A67CC">
        <w:t>Strategy Area III: Promote CDC-Recommended Screening, Diagnosis, and Treatment</w:t>
      </w:r>
    </w:p>
    <w:p w:rsidR="00622F57" w:rsidRPr="00FE3331" w:rsidRDefault="00622F57" w:rsidP="00FE3331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Promote quality STD specialty care services</w:t>
      </w:r>
    </w:p>
    <w:p w:rsidR="00622F57" w:rsidRPr="00FE3331" w:rsidRDefault="00622F57" w:rsidP="00FE3331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Promote CDC-recommended treatment</w:t>
      </w:r>
    </w:p>
    <w:p w:rsidR="00622F57" w:rsidRPr="00FE3331" w:rsidRDefault="00FE3331" w:rsidP="00FE3331">
      <w:pPr>
        <w:pStyle w:val="ListParagraph"/>
        <w:numPr>
          <w:ilvl w:val="1"/>
          <w:numId w:val="27"/>
        </w:numPr>
        <w:spacing w:after="160" w:line="259" w:lineRule="auto"/>
        <w:rPr>
          <w:sz w:val="22"/>
        </w:rPr>
      </w:pPr>
      <w:r>
        <w:rPr>
          <w:sz w:val="22"/>
        </w:rPr>
        <w:t>Gonorrhea</w:t>
      </w:r>
    </w:p>
    <w:p w:rsidR="00622F57" w:rsidRPr="00FE3331" w:rsidRDefault="00622F57" w:rsidP="00FE3331">
      <w:pPr>
        <w:pStyle w:val="ListParagraph"/>
        <w:numPr>
          <w:ilvl w:val="1"/>
          <w:numId w:val="27"/>
        </w:numPr>
        <w:spacing w:after="160" w:line="259" w:lineRule="auto"/>
        <w:rPr>
          <w:sz w:val="22"/>
        </w:rPr>
      </w:pPr>
      <w:r w:rsidRPr="00FE3331">
        <w:rPr>
          <w:sz w:val="22"/>
        </w:rPr>
        <w:t>Syphilis</w:t>
      </w:r>
    </w:p>
    <w:p w:rsidR="00622F57" w:rsidRPr="00FE3331" w:rsidRDefault="00622F57" w:rsidP="00FE3331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Promote CDC-recommended screening for, and treatment of, STDs among priority populations</w:t>
      </w:r>
    </w:p>
    <w:p w:rsidR="00622F57" w:rsidRPr="00FE3331" w:rsidRDefault="00622F57" w:rsidP="00FE3331">
      <w:pPr>
        <w:pStyle w:val="ListParagraph"/>
        <w:numPr>
          <w:ilvl w:val="1"/>
          <w:numId w:val="27"/>
        </w:numPr>
        <w:spacing w:after="160" w:line="259" w:lineRule="auto"/>
        <w:rPr>
          <w:sz w:val="22"/>
        </w:rPr>
      </w:pPr>
      <w:r w:rsidRPr="00FE3331">
        <w:rPr>
          <w:sz w:val="22"/>
        </w:rPr>
        <w:t>Pregnant women</w:t>
      </w:r>
    </w:p>
    <w:p w:rsidR="00622F57" w:rsidRPr="00FE3331" w:rsidRDefault="00622F57" w:rsidP="00FE3331">
      <w:pPr>
        <w:pStyle w:val="ListParagraph"/>
        <w:numPr>
          <w:ilvl w:val="1"/>
          <w:numId w:val="27"/>
        </w:numPr>
        <w:spacing w:after="160" w:line="259" w:lineRule="auto"/>
        <w:rPr>
          <w:sz w:val="22"/>
        </w:rPr>
      </w:pPr>
      <w:r w:rsidRPr="00FE3331">
        <w:rPr>
          <w:sz w:val="22"/>
        </w:rPr>
        <w:t>Young Adults</w:t>
      </w:r>
    </w:p>
    <w:p w:rsidR="00622F57" w:rsidRPr="00FE3331" w:rsidRDefault="00622F57" w:rsidP="00FE3331">
      <w:pPr>
        <w:pStyle w:val="ListParagraph"/>
        <w:numPr>
          <w:ilvl w:val="1"/>
          <w:numId w:val="27"/>
        </w:numPr>
        <w:spacing w:after="160" w:line="259" w:lineRule="auto"/>
        <w:rPr>
          <w:sz w:val="22"/>
        </w:rPr>
      </w:pPr>
      <w:r w:rsidRPr="00FE3331">
        <w:rPr>
          <w:sz w:val="22"/>
        </w:rPr>
        <w:t>MSM</w:t>
      </w:r>
    </w:p>
    <w:p w:rsidR="00622F57" w:rsidRPr="006B657E" w:rsidRDefault="00622F57" w:rsidP="008763B7">
      <w:pPr>
        <w:pStyle w:val="Heading3"/>
      </w:pPr>
      <w:r w:rsidRPr="006B657E">
        <w:t>Strategy Area IV:  Promote STD Prevention and Policy</w:t>
      </w:r>
    </w:p>
    <w:p w:rsidR="00622F57" w:rsidRPr="00FE3331" w:rsidRDefault="00622F57" w:rsidP="00FE3331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Promote STD prevention to the public</w:t>
      </w:r>
    </w:p>
    <w:p w:rsidR="00622F57" w:rsidRPr="00FE3331" w:rsidRDefault="00622F57" w:rsidP="00FE3331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Promote STD prevention and reporting to provider community</w:t>
      </w:r>
    </w:p>
    <w:p w:rsidR="00622F57" w:rsidRPr="00FE3331" w:rsidRDefault="00622F57" w:rsidP="00FE3331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Monitor STD-related policies and policy development</w:t>
      </w:r>
    </w:p>
    <w:p w:rsidR="00622F57" w:rsidRPr="006B657E" w:rsidRDefault="00622F57" w:rsidP="008763B7">
      <w:pPr>
        <w:pStyle w:val="Heading3"/>
      </w:pPr>
      <w:r w:rsidRPr="006B657E">
        <w:t>Strategy Area V: Analyze and Use Data for Program Improvement</w:t>
      </w:r>
    </w:p>
    <w:p w:rsidR="00622F57" w:rsidRPr="00FE3331" w:rsidRDefault="00622F57" w:rsidP="00622F57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Conduct epidemiologic analysis, translation and dissemination</w:t>
      </w:r>
    </w:p>
    <w:p w:rsidR="00622F57" w:rsidRPr="00FE3331" w:rsidRDefault="00622F57" w:rsidP="00622F57">
      <w:pPr>
        <w:pStyle w:val="ListParagraph"/>
        <w:numPr>
          <w:ilvl w:val="0"/>
          <w:numId w:val="22"/>
        </w:numPr>
        <w:spacing w:after="160" w:line="259" w:lineRule="auto"/>
        <w:rPr>
          <w:sz w:val="22"/>
        </w:rPr>
      </w:pPr>
      <w:r w:rsidRPr="00FE3331">
        <w:rPr>
          <w:sz w:val="22"/>
        </w:rPr>
        <w:t>Conduct data-driven planning, analysis, monitoring and evaluation for program improvement</w:t>
      </w:r>
    </w:p>
    <w:p w:rsidR="00622F57" w:rsidRDefault="00622F57" w:rsidP="00086A37">
      <w:pPr>
        <w:sectPr w:rsidR="00622F57" w:rsidSect="00622F57">
          <w:type w:val="continuous"/>
          <w:pgSz w:w="12240" w:h="15840" w:code="1"/>
          <w:pgMar w:top="540" w:right="720" w:bottom="720" w:left="720" w:header="720" w:footer="288" w:gutter="0"/>
          <w:cols w:num="2" w:space="720"/>
          <w:titlePg/>
          <w:docGrid w:linePitch="360"/>
        </w:sectPr>
      </w:pPr>
    </w:p>
    <w:p w:rsidR="00E30C40" w:rsidRPr="009B05A9" w:rsidRDefault="00E30C40" w:rsidP="00086A37"/>
    <w:sectPr w:rsidR="00E30C40" w:rsidRPr="009B05A9" w:rsidSect="00622F57">
      <w:type w:val="continuous"/>
      <w:pgSz w:w="12240" w:h="15840" w:code="1"/>
      <w:pgMar w:top="54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EB" w:rsidRDefault="00715FEB" w:rsidP="008B5D54">
      <w:pPr>
        <w:spacing w:after="0" w:line="240" w:lineRule="auto"/>
      </w:pPr>
      <w:r>
        <w:separator/>
      </w:r>
    </w:p>
  </w:endnote>
  <w:endnote w:type="continuationSeparator" w:id="0">
    <w:p w:rsidR="00715FEB" w:rsidRDefault="00715FE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74" w:rsidRDefault="000F31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A9" w:rsidRPr="001C77A9" w:rsidRDefault="001C77A9" w:rsidP="001C77A9">
    <w:r>
      <w:rPr>
        <w:noProof/>
      </w:rPr>
      <w:drawing>
        <wp:inline distT="0" distB="0" distL="0" distR="0" wp14:anchorId="517D375C" wp14:editId="4BC19A24">
          <wp:extent cx="6952663" cy="126821"/>
          <wp:effectExtent l="0" t="0" r="0" b="6985"/>
          <wp:docPr id="7" name="Picture 7" descr="graphic" title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663" cy="126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74" w:rsidRDefault="000F3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EB" w:rsidRDefault="00715FEB" w:rsidP="008B5D54">
      <w:pPr>
        <w:spacing w:after="0" w:line="240" w:lineRule="auto"/>
      </w:pPr>
      <w:r>
        <w:separator/>
      </w:r>
    </w:p>
  </w:footnote>
  <w:footnote w:type="continuationSeparator" w:id="0">
    <w:p w:rsidR="00715FEB" w:rsidRDefault="00715FE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0F" w:rsidRDefault="00E53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6F" w:rsidRDefault="007A564E">
    <w:pPr>
      <w:pStyle w:val="Header"/>
    </w:pPr>
    <w:r w:rsidRPr="00F257AE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63548C06" wp14:editId="3D8C9EA4">
          <wp:simplePos x="0" y="0"/>
          <wp:positionH relativeFrom="column">
            <wp:posOffset>-179170</wp:posOffset>
          </wp:positionH>
          <wp:positionV relativeFrom="paragraph">
            <wp:posOffset>-85725</wp:posOffset>
          </wp:positionV>
          <wp:extent cx="7254240" cy="238112"/>
          <wp:effectExtent l="0" t="0" r="0" b="0"/>
          <wp:wrapNone/>
          <wp:docPr id="6" name="Picture 6" descr="graphic" titl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ency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238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0F" w:rsidRDefault="00E53D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C39"/>
    <w:multiLevelType w:val="hybridMultilevel"/>
    <w:tmpl w:val="E4402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785"/>
    <w:multiLevelType w:val="hybridMultilevel"/>
    <w:tmpl w:val="47E81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5454F"/>
    <w:multiLevelType w:val="hybridMultilevel"/>
    <w:tmpl w:val="D4EE5632"/>
    <w:lvl w:ilvl="0" w:tplc="266094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88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5E35"/>
    <w:multiLevelType w:val="hybridMultilevel"/>
    <w:tmpl w:val="B114C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6157F0"/>
    <w:multiLevelType w:val="hybridMultilevel"/>
    <w:tmpl w:val="6BCCD896"/>
    <w:lvl w:ilvl="0" w:tplc="0182271A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19772345"/>
    <w:multiLevelType w:val="hybridMultilevel"/>
    <w:tmpl w:val="A2FAD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B10F6"/>
    <w:multiLevelType w:val="hybridMultilevel"/>
    <w:tmpl w:val="E34A21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11687"/>
    <w:multiLevelType w:val="hybridMultilevel"/>
    <w:tmpl w:val="B686D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F5AE4"/>
    <w:multiLevelType w:val="hybridMultilevel"/>
    <w:tmpl w:val="159A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500A9"/>
    <w:multiLevelType w:val="hybridMultilevel"/>
    <w:tmpl w:val="F0C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04C85"/>
    <w:multiLevelType w:val="hybridMultilevel"/>
    <w:tmpl w:val="81D07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20EC2"/>
    <w:multiLevelType w:val="hybridMultilevel"/>
    <w:tmpl w:val="D3863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D4EAD"/>
    <w:multiLevelType w:val="hybridMultilevel"/>
    <w:tmpl w:val="366AF3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747E24"/>
    <w:multiLevelType w:val="hybridMultilevel"/>
    <w:tmpl w:val="2146F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67DFE"/>
    <w:multiLevelType w:val="hybridMultilevel"/>
    <w:tmpl w:val="A3941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3C28"/>
    <w:multiLevelType w:val="hybridMultilevel"/>
    <w:tmpl w:val="5ECE6F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B2CD7"/>
    <w:multiLevelType w:val="hybridMultilevel"/>
    <w:tmpl w:val="AAB2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574F9"/>
    <w:multiLevelType w:val="hybridMultilevel"/>
    <w:tmpl w:val="9AA2B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9A2895"/>
    <w:multiLevelType w:val="hybridMultilevel"/>
    <w:tmpl w:val="08E213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511E7"/>
    <w:multiLevelType w:val="hybridMultilevel"/>
    <w:tmpl w:val="14C64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091C60"/>
    <w:multiLevelType w:val="hybridMultilevel"/>
    <w:tmpl w:val="6874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12D3D"/>
    <w:multiLevelType w:val="hybridMultilevel"/>
    <w:tmpl w:val="D5D836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F006A"/>
    <w:multiLevelType w:val="hybridMultilevel"/>
    <w:tmpl w:val="30C43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FD0D3F"/>
    <w:multiLevelType w:val="hybridMultilevel"/>
    <w:tmpl w:val="C22EFE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C3DB8"/>
    <w:multiLevelType w:val="hybridMultilevel"/>
    <w:tmpl w:val="E4542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31BA1"/>
    <w:multiLevelType w:val="hybridMultilevel"/>
    <w:tmpl w:val="44BA29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10F0B"/>
    <w:multiLevelType w:val="hybridMultilevel"/>
    <w:tmpl w:val="BF408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64D4B"/>
    <w:multiLevelType w:val="hybridMultilevel"/>
    <w:tmpl w:val="E16A3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7"/>
  </w:num>
  <w:num w:numId="4">
    <w:abstractNumId w:val="21"/>
  </w:num>
  <w:num w:numId="5">
    <w:abstractNumId w:val="6"/>
  </w:num>
  <w:num w:numId="6">
    <w:abstractNumId w:val="23"/>
  </w:num>
  <w:num w:numId="7">
    <w:abstractNumId w:val="8"/>
  </w:num>
  <w:num w:numId="8">
    <w:abstractNumId w:val="5"/>
  </w:num>
  <w:num w:numId="9">
    <w:abstractNumId w:val="15"/>
  </w:num>
  <w:num w:numId="10">
    <w:abstractNumId w:val="12"/>
  </w:num>
  <w:num w:numId="11">
    <w:abstractNumId w:val="24"/>
  </w:num>
  <w:num w:numId="12">
    <w:abstractNumId w:val="19"/>
  </w:num>
  <w:num w:numId="13">
    <w:abstractNumId w:val="3"/>
  </w:num>
  <w:num w:numId="14">
    <w:abstractNumId w:val="17"/>
  </w:num>
  <w:num w:numId="15">
    <w:abstractNumId w:val="22"/>
  </w:num>
  <w:num w:numId="16">
    <w:abstractNumId w:val="14"/>
  </w:num>
  <w:num w:numId="17">
    <w:abstractNumId w:val="0"/>
  </w:num>
  <w:num w:numId="18">
    <w:abstractNumId w:val="18"/>
  </w:num>
  <w:num w:numId="19">
    <w:abstractNumId w:val="1"/>
  </w:num>
  <w:num w:numId="20">
    <w:abstractNumId w:val="11"/>
  </w:num>
  <w:num w:numId="21">
    <w:abstractNumId w:val="20"/>
  </w:num>
  <w:num w:numId="22">
    <w:abstractNumId w:val="16"/>
  </w:num>
  <w:num w:numId="23">
    <w:abstractNumId w:val="7"/>
  </w:num>
  <w:num w:numId="24">
    <w:abstractNumId w:val="10"/>
  </w:num>
  <w:num w:numId="25">
    <w:abstractNumId w:val="25"/>
  </w:num>
  <w:num w:numId="26">
    <w:abstractNumId w:val="13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ctiveWritingStyle w:appName="MSWord" w:lang="en-US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E3"/>
    <w:rsid w:val="00011C03"/>
    <w:rsid w:val="00050ABA"/>
    <w:rsid w:val="000538D7"/>
    <w:rsid w:val="00086A37"/>
    <w:rsid w:val="00087FE4"/>
    <w:rsid w:val="00090DC8"/>
    <w:rsid w:val="00097AAF"/>
    <w:rsid w:val="000C6A08"/>
    <w:rsid w:val="000E246B"/>
    <w:rsid w:val="000F3174"/>
    <w:rsid w:val="00136F2C"/>
    <w:rsid w:val="001531D5"/>
    <w:rsid w:val="00155EAF"/>
    <w:rsid w:val="0015677B"/>
    <w:rsid w:val="0018627F"/>
    <w:rsid w:val="001C77A9"/>
    <w:rsid w:val="001D5C4B"/>
    <w:rsid w:val="001E0F4C"/>
    <w:rsid w:val="001F2930"/>
    <w:rsid w:val="001F360A"/>
    <w:rsid w:val="00202BDB"/>
    <w:rsid w:val="002217B5"/>
    <w:rsid w:val="00275689"/>
    <w:rsid w:val="00283028"/>
    <w:rsid w:val="00285D19"/>
    <w:rsid w:val="00292702"/>
    <w:rsid w:val="0029457B"/>
    <w:rsid w:val="00295449"/>
    <w:rsid w:val="002C4656"/>
    <w:rsid w:val="002D62E0"/>
    <w:rsid w:val="002E7E05"/>
    <w:rsid w:val="002F6091"/>
    <w:rsid w:val="00327E6E"/>
    <w:rsid w:val="00353C61"/>
    <w:rsid w:val="00354857"/>
    <w:rsid w:val="0036730B"/>
    <w:rsid w:val="0039141C"/>
    <w:rsid w:val="003B7507"/>
    <w:rsid w:val="003D38E6"/>
    <w:rsid w:val="003D5933"/>
    <w:rsid w:val="003F2A9E"/>
    <w:rsid w:val="00401C63"/>
    <w:rsid w:val="00402FC8"/>
    <w:rsid w:val="00405CD6"/>
    <w:rsid w:val="0041674D"/>
    <w:rsid w:val="00436B3C"/>
    <w:rsid w:val="00444B80"/>
    <w:rsid w:val="00476FDB"/>
    <w:rsid w:val="004A4FA6"/>
    <w:rsid w:val="004C57B8"/>
    <w:rsid w:val="004D5EBC"/>
    <w:rsid w:val="00505CB2"/>
    <w:rsid w:val="00532CF8"/>
    <w:rsid w:val="00545F67"/>
    <w:rsid w:val="005462D9"/>
    <w:rsid w:val="00552E7F"/>
    <w:rsid w:val="00553927"/>
    <w:rsid w:val="005716BC"/>
    <w:rsid w:val="00572A9B"/>
    <w:rsid w:val="00595BE7"/>
    <w:rsid w:val="005D2EE4"/>
    <w:rsid w:val="005F40DE"/>
    <w:rsid w:val="00622F57"/>
    <w:rsid w:val="00623211"/>
    <w:rsid w:val="006740DC"/>
    <w:rsid w:val="0067592C"/>
    <w:rsid w:val="00680734"/>
    <w:rsid w:val="006A1E26"/>
    <w:rsid w:val="006A67CC"/>
    <w:rsid w:val="006C6578"/>
    <w:rsid w:val="006F0495"/>
    <w:rsid w:val="00715FEB"/>
    <w:rsid w:val="00745B92"/>
    <w:rsid w:val="00756C72"/>
    <w:rsid w:val="00784CE1"/>
    <w:rsid w:val="007854E8"/>
    <w:rsid w:val="007A564E"/>
    <w:rsid w:val="007C43B6"/>
    <w:rsid w:val="007F5A38"/>
    <w:rsid w:val="00812EDF"/>
    <w:rsid w:val="0083053C"/>
    <w:rsid w:val="00852603"/>
    <w:rsid w:val="00857DE0"/>
    <w:rsid w:val="00860A2A"/>
    <w:rsid w:val="008763B7"/>
    <w:rsid w:val="008774BD"/>
    <w:rsid w:val="008972AD"/>
    <w:rsid w:val="008A2C68"/>
    <w:rsid w:val="008B5D54"/>
    <w:rsid w:val="00902785"/>
    <w:rsid w:val="0092186F"/>
    <w:rsid w:val="00930981"/>
    <w:rsid w:val="00933DB6"/>
    <w:rsid w:val="009542D3"/>
    <w:rsid w:val="00990F0A"/>
    <w:rsid w:val="009A59B0"/>
    <w:rsid w:val="009A59D0"/>
    <w:rsid w:val="009B05A9"/>
    <w:rsid w:val="009C4E17"/>
    <w:rsid w:val="009E582D"/>
    <w:rsid w:val="009F430C"/>
    <w:rsid w:val="00A444F7"/>
    <w:rsid w:val="00A970CF"/>
    <w:rsid w:val="00AA0279"/>
    <w:rsid w:val="00AB4074"/>
    <w:rsid w:val="00AF1C4E"/>
    <w:rsid w:val="00B526CD"/>
    <w:rsid w:val="00B55735"/>
    <w:rsid w:val="00B608AC"/>
    <w:rsid w:val="00B60DC1"/>
    <w:rsid w:val="00B83B6F"/>
    <w:rsid w:val="00BF32C6"/>
    <w:rsid w:val="00C11CE3"/>
    <w:rsid w:val="00C24C61"/>
    <w:rsid w:val="00C65452"/>
    <w:rsid w:val="00C741B5"/>
    <w:rsid w:val="00C77E72"/>
    <w:rsid w:val="00C8696A"/>
    <w:rsid w:val="00D13B17"/>
    <w:rsid w:val="00D31264"/>
    <w:rsid w:val="00D41E57"/>
    <w:rsid w:val="00D7148F"/>
    <w:rsid w:val="00D734CF"/>
    <w:rsid w:val="00D92D7D"/>
    <w:rsid w:val="00DC57CC"/>
    <w:rsid w:val="00DC7D8C"/>
    <w:rsid w:val="00DE041A"/>
    <w:rsid w:val="00E30C40"/>
    <w:rsid w:val="00E36D06"/>
    <w:rsid w:val="00E4376C"/>
    <w:rsid w:val="00E53D0F"/>
    <w:rsid w:val="00E87908"/>
    <w:rsid w:val="00E96CF6"/>
    <w:rsid w:val="00EA4A2B"/>
    <w:rsid w:val="00EC6F63"/>
    <w:rsid w:val="00EE3467"/>
    <w:rsid w:val="00EE4B60"/>
    <w:rsid w:val="00F16123"/>
    <w:rsid w:val="00F203DC"/>
    <w:rsid w:val="00F2082E"/>
    <w:rsid w:val="00F257AE"/>
    <w:rsid w:val="00F54C7B"/>
    <w:rsid w:val="00FA522B"/>
    <w:rsid w:val="00FC7758"/>
    <w:rsid w:val="00FE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930"/>
    <w:pPr>
      <w:keepNext/>
      <w:keepLines/>
      <w:spacing w:after="0"/>
      <w:outlineLvl w:val="0"/>
    </w:pPr>
    <w:rPr>
      <w:rFonts w:eastAsiaTheme="majorEastAsia" w:cstheme="majorBidi"/>
      <w:b/>
      <w:noProof/>
      <w:color w:val="262626" w:themeColor="text1" w:themeTint="D9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4E"/>
    <w:pPr>
      <w:keepNext/>
      <w:keepLines/>
      <w:spacing w:after="0"/>
      <w:outlineLvl w:val="1"/>
    </w:pPr>
    <w:rPr>
      <w:rFonts w:eastAsiaTheme="majorEastAsia" w:cstheme="majorBidi"/>
      <w:b/>
      <w:color w:val="00788A" w:themeColor="accent1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763B7"/>
    <w:pPr>
      <w:outlineLvl w:val="2"/>
    </w:pPr>
    <w:rPr>
      <w:b w:val="0"/>
      <w:noProof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B05A9"/>
    <w:pPr>
      <w:outlineLvl w:val="3"/>
    </w:pPr>
    <w:rPr>
      <w:color w:val="9A4E9E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5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6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1F2930"/>
    <w:rPr>
      <w:rFonts w:eastAsiaTheme="majorEastAsia" w:cstheme="majorBidi"/>
      <w:b/>
      <w:noProof/>
      <w:color w:val="262626" w:themeColor="text1" w:themeTint="D9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564E"/>
    <w:rPr>
      <w:rFonts w:eastAsiaTheme="majorEastAsia" w:cstheme="majorBidi"/>
      <w:b/>
      <w:color w:val="00788A" w:themeColor="accent1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63B7"/>
    <w:rPr>
      <w:rFonts w:eastAsiaTheme="majorEastAsia" w:cstheme="majorBidi"/>
      <w:noProof/>
      <w:color w:val="00788A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B05A9"/>
    <w:rPr>
      <w:rFonts w:eastAsiaTheme="majorEastAsia" w:cstheme="majorBidi"/>
      <w:b/>
      <w:noProof/>
      <w:color w:val="9A4E9E" w:themeColor="accent3"/>
      <w:sz w:val="36"/>
      <w:szCs w:val="26"/>
    </w:rPr>
  </w:style>
  <w:style w:type="paragraph" w:styleId="ListParagraph">
    <w:name w:val="List Paragraph"/>
    <w:basedOn w:val="Normal"/>
    <w:uiPriority w:val="34"/>
    <w:qFormat/>
    <w:rsid w:val="00DE041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9B05A9"/>
    <w:rPr>
      <w:rFonts w:asciiTheme="majorHAnsi" w:eastAsiaTheme="majorEastAsia" w:hAnsiTheme="majorHAnsi" w:cstheme="majorBidi"/>
      <w:color w:val="005967" w:themeColor="accent1" w:themeShade="BF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E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46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5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ABA"/>
    <w:rPr>
      <w:color w:val="00788A" w:themeColor="hyperlink"/>
      <w:u w:val="single"/>
    </w:rPr>
  </w:style>
  <w:style w:type="table" w:customStyle="1" w:styleId="GridTable1LightAccent4">
    <w:name w:val="Grid Table 1 Light Accent 4"/>
    <w:basedOn w:val="TableNormal"/>
    <w:uiPriority w:val="46"/>
    <w:rsid w:val="00F2082E"/>
    <w:pPr>
      <w:spacing w:after="0" w:line="240" w:lineRule="auto"/>
    </w:pPr>
    <w:tblPr>
      <w:tblStyleRowBandSize w:val="1"/>
      <w:tblStyleColBandSize w:val="1"/>
      <w:tblBorders>
        <w:top w:val="single" w:sz="4" w:space="0" w:color="F1A397" w:themeColor="accent4" w:themeTint="66"/>
        <w:left w:val="single" w:sz="4" w:space="0" w:color="F1A397" w:themeColor="accent4" w:themeTint="66"/>
        <w:bottom w:val="single" w:sz="4" w:space="0" w:color="F1A397" w:themeColor="accent4" w:themeTint="66"/>
        <w:right w:val="single" w:sz="4" w:space="0" w:color="F1A397" w:themeColor="accent4" w:themeTint="66"/>
        <w:insideH w:val="single" w:sz="4" w:space="0" w:color="F1A397" w:themeColor="accent4" w:themeTint="66"/>
        <w:insideV w:val="single" w:sz="4" w:space="0" w:color="F1A3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TableNormal"/>
    <w:uiPriority w:val="47"/>
    <w:rsid w:val="00B526CD"/>
    <w:pPr>
      <w:spacing w:after="0" w:line="240" w:lineRule="auto"/>
    </w:pPr>
    <w:tblPr>
      <w:tblStyleRowBandSize w:val="1"/>
      <w:tblStyleColBandSize w:val="1"/>
      <w:tblBorders>
        <w:top w:val="single" w:sz="2" w:space="0" w:color="B6D0E7" w:themeColor="accent5" w:themeTint="99"/>
        <w:bottom w:val="single" w:sz="2" w:space="0" w:color="B6D0E7" w:themeColor="accent5" w:themeTint="99"/>
        <w:insideH w:val="single" w:sz="2" w:space="0" w:color="B6D0E7" w:themeColor="accent5" w:themeTint="99"/>
        <w:insideV w:val="single" w:sz="2" w:space="0" w:color="B6D0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0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0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7" w:themeFill="accent5" w:themeFillTint="33"/>
      </w:tcPr>
    </w:tblStylePr>
    <w:tblStylePr w:type="band1Horz">
      <w:tblPr/>
      <w:tcPr>
        <w:shd w:val="clear" w:color="auto" w:fill="E6EFF7" w:themeFill="accent5" w:themeFillTint="33"/>
      </w:tcPr>
    </w:tblStylePr>
  </w:style>
  <w:style w:type="table" w:customStyle="1" w:styleId="GridTableLight">
    <w:name w:val="Grid Table Light"/>
    <w:basedOn w:val="TableNormal"/>
    <w:uiPriority w:val="40"/>
    <w:rsid w:val="003F2A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0C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930"/>
    <w:pPr>
      <w:keepNext/>
      <w:keepLines/>
      <w:spacing w:after="0"/>
      <w:outlineLvl w:val="0"/>
    </w:pPr>
    <w:rPr>
      <w:rFonts w:eastAsiaTheme="majorEastAsia" w:cstheme="majorBidi"/>
      <w:b/>
      <w:noProof/>
      <w:color w:val="262626" w:themeColor="text1" w:themeTint="D9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4E"/>
    <w:pPr>
      <w:keepNext/>
      <w:keepLines/>
      <w:spacing w:after="0"/>
      <w:outlineLvl w:val="1"/>
    </w:pPr>
    <w:rPr>
      <w:rFonts w:eastAsiaTheme="majorEastAsia" w:cstheme="majorBidi"/>
      <w:b/>
      <w:color w:val="00788A" w:themeColor="accent1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763B7"/>
    <w:pPr>
      <w:outlineLvl w:val="2"/>
    </w:pPr>
    <w:rPr>
      <w:b w:val="0"/>
      <w:noProof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B05A9"/>
    <w:pPr>
      <w:outlineLvl w:val="3"/>
    </w:pPr>
    <w:rPr>
      <w:color w:val="9A4E9E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05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6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1F2930"/>
    <w:rPr>
      <w:rFonts w:eastAsiaTheme="majorEastAsia" w:cstheme="majorBidi"/>
      <w:b/>
      <w:noProof/>
      <w:color w:val="262626" w:themeColor="text1" w:themeTint="D9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A564E"/>
    <w:rPr>
      <w:rFonts w:eastAsiaTheme="majorEastAsia" w:cstheme="majorBidi"/>
      <w:b/>
      <w:color w:val="00788A" w:themeColor="accent1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63B7"/>
    <w:rPr>
      <w:rFonts w:eastAsiaTheme="majorEastAsia" w:cstheme="majorBidi"/>
      <w:noProof/>
      <w:color w:val="00788A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B05A9"/>
    <w:rPr>
      <w:rFonts w:eastAsiaTheme="majorEastAsia" w:cstheme="majorBidi"/>
      <w:b/>
      <w:noProof/>
      <w:color w:val="9A4E9E" w:themeColor="accent3"/>
      <w:sz w:val="36"/>
      <w:szCs w:val="26"/>
    </w:rPr>
  </w:style>
  <w:style w:type="paragraph" w:styleId="ListParagraph">
    <w:name w:val="List Paragraph"/>
    <w:basedOn w:val="Normal"/>
    <w:uiPriority w:val="34"/>
    <w:qFormat/>
    <w:rsid w:val="00DE041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9B05A9"/>
    <w:rPr>
      <w:rFonts w:asciiTheme="majorHAnsi" w:eastAsiaTheme="majorEastAsia" w:hAnsiTheme="majorHAnsi" w:cstheme="majorBidi"/>
      <w:color w:val="005967" w:themeColor="accent1" w:themeShade="BF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E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46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5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ABA"/>
    <w:rPr>
      <w:color w:val="00788A" w:themeColor="hyperlink"/>
      <w:u w:val="single"/>
    </w:rPr>
  </w:style>
  <w:style w:type="table" w:customStyle="1" w:styleId="GridTable1LightAccent4">
    <w:name w:val="Grid Table 1 Light Accent 4"/>
    <w:basedOn w:val="TableNormal"/>
    <w:uiPriority w:val="46"/>
    <w:rsid w:val="00F2082E"/>
    <w:pPr>
      <w:spacing w:after="0" w:line="240" w:lineRule="auto"/>
    </w:pPr>
    <w:tblPr>
      <w:tblStyleRowBandSize w:val="1"/>
      <w:tblStyleColBandSize w:val="1"/>
      <w:tblBorders>
        <w:top w:val="single" w:sz="4" w:space="0" w:color="F1A397" w:themeColor="accent4" w:themeTint="66"/>
        <w:left w:val="single" w:sz="4" w:space="0" w:color="F1A397" w:themeColor="accent4" w:themeTint="66"/>
        <w:bottom w:val="single" w:sz="4" w:space="0" w:color="F1A397" w:themeColor="accent4" w:themeTint="66"/>
        <w:right w:val="single" w:sz="4" w:space="0" w:color="F1A397" w:themeColor="accent4" w:themeTint="66"/>
        <w:insideH w:val="single" w:sz="4" w:space="0" w:color="F1A397" w:themeColor="accent4" w:themeTint="66"/>
        <w:insideV w:val="single" w:sz="4" w:space="0" w:color="F1A3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5">
    <w:name w:val="Grid Table 2 Accent 5"/>
    <w:basedOn w:val="TableNormal"/>
    <w:uiPriority w:val="47"/>
    <w:rsid w:val="00B526CD"/>
    <w:pPr>
      <w:spacing w:after="0" w:line="240" w:lineRule="auto"/>
    </w:pPr>
    <w:tblPr>
      <w:tblStyleRowBandSize w:val="1"/>
      <w:tblStyleColBandSize w:val="1"/>
      <w:tblBorders>
        <w:top w:val="single" w:sz="2" w:space="0" w:color="B6D0E7" w:themeColor="accent5" w:themeTint="99"/>
        <w:bottom w:val="single" w:sz="2" w:space="0" w:color="B6D0E7" w:themeColor="accent5" w:themeTint="99"/>
        <w:insideH w:val="single" w:sz="2" w:space="0" w:color="B6D0E7" w:themeColor="accent5" w:themeTint="99"/>
        <w:insideV w:val="single" w:sz="2" w:space="0" w:color="B6D0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0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0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7" w:themeFill="accent5" w:themeFillTint="33"/>
      </w:tcPr>
    </w:tblStylePr>
    <w:tblStylePr w:type="band1Horz">
      <w:tblPr/>
      <w:tcPr>
        <w:shd w:val="clear" w:color="auto" w:fill="E6EFF7" w:themeFill="accent5" w:themeFillTint="33"/>
      </w:tcPr>
    </w:tblStylePr>
  </w:style>
  <w:style w:type="table" w:customStyle="1" w:styleId="GridTableLight">
    <w:name w:val="Grid Table Light"/>
    <w:basedOn w:val="TableNormal"/>
    <w:uiPriority w:val="40"/>
    <w:rsid w:val="003F2A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0C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JFuld@cdc.gov" TargetMode="External"/><Relationship Id="rId23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07/relationships/hdphoto" Target="media/hdphoto1.wdp"/><Relationship Id="rId22" Type="http://schemas.microsoft.com/office/2014/relationships/chartEx" Target="charts/chartEx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\\cdc.gov\project\NCHHSTP_DSTD_Admin\AAPPS\AAPPS%202.0\PCHD.Strategy.Areas.Graphic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Sheet1!$A$4:$A$8</cx:f>
        <cx:lvl ptCount="5">
          <cx:pt idx="0">Surveillance</cx:pt>
          <cx:pt idx="1">Disease Investigation &amp; Intervention</cx:pt>
          <cx:pt idx="2">Promotion of Screening, DX, &amp; TX</cx:pt>
          <cx:pt idx="3">Promotion of prevention &amp; policy</cx:pt>
          <cx:pt idx="4">Analysis &amp; use of data</cx:pt>
        </cx:lvl>
      </cx:strDim>
      <cx:numDim type="size">
        <cx:f>Sheet1!$B$4:$B$8</cx:f>
        <cx:lvl ptCount="5" formatCode="0%">
          <cx:pt idx="0">0.29999999999999999</cx:pt>
          <cx:pt idx="1">0.22500000000000001</cx:pt>
          <cx:pt idx="2">0.22500000000000001</cx:pt>
          <cx:pt idx="3">0.14999999999999999</cx:pt>
          <cx:pt idx="4">0.10000000000000001</cx:pt>
        </cx:lvl>
      </cx:numDim>
    </cx:data>
  </cx:chartData>
  <cx:chart>
    <cx:title pos="t" align="ctr" overlay="0">
      <cx:tx>
        <cx:rich>
          <a:bodyPr spcFirstLastPara="1" vertOverflow="ellipsis" wrap="square" lIns="0" tIns="0" rIns="0" bIns="0" anchor="ctr" anchorCtr="1"/>
          <a:lstStyle/>
          <a:p>
            <a:pPr algn="ctr">
              <a:defRPr/>
            </a:pPr>
            <a:r>
              <a:rPr lang="en-US"/>
              <a:t>STD PCHD Strategy Areas</a:t>
            </a:r>
          </a:p>
        </cx:rich>
      </cx:tx>
    </cx:title>
    <cx:plotArea>
      <cx:plotAreaRegion>
        <cx:series layoutId="treemap" uniqueId="{F46DAA37-EB03-4CFB-A474-33107B0C9817}">
          <cx:dataLabels pos="inEnd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sz="1200"/>
                </a:pPr>
                <a:endParaRPr lang="en-US" sz="1200"/>
              </a:p>
            </cx:txPr>
            <cx:visibility seriesName="0" categoryName="1" value="0"/>
            <cx:dataLabel idx="3" pos="inEnd">
              <cx:txPr>
                <a:bodyPr spcFirstLastPara="1" vertOverflow="ellipsis" wrap="square" lIns="0" tIns="0" rIns="0" bIns="0" anchor="ctr" anchorCtr="1">
                  <a:spAutoFit/>
                </a:bodyPr>
                <a:lstStyle/>
                <a:p>
                  <a:pPr>
                    <a:defRPr sz="1100"/>
                  </a:pPr>
                  <a:r>
                    <a:rPr lang="en-US" sz="1200"/>
                    <a:t>Promotion of prevention &amp; policy</a:t>
                  </a:r>
                </a:p>
              </cx:txPr>
            </cx:dataLabel>
            <cx:dataLabel idx="4" pos="inEnd">
              <cx:txPr>
                <a:bodyPr spcFirstLastPara="1" vertOverflow="ellipsis" wrap="square" lIns="0" tIns="0" rIns="0" bIns="0" anchor="ctr" anchorCtr="1">
                  <a:spAutoFit/>
                </a:bodyPr>
                <a:lstStyle/>
                <a:p>
                  <a:pPr>
                    <a:defRPr sz="1100"/>
                  </a:pPr>
                  <a:r>
                    <a:rPr lang="en-US" sz="1200"/>
                    <a:t>Analysis &amp; use of data</a:t>
                  </a:r>
                </a:p>
              </cx:txPr>
            </cx:dataLabel>
          </cx:dataLabels>
          <cx:dataId val="0"/>
          <cx:layoutPr>
            <cx:parentLabelLayout val="overlapping"/>
          </cx:layoutPr>
        </cx:series>
      </cx:plotAreaRegion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bg1"/>
    </cs:fontRef>
    <cs:defRPr sz="900" kern="120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defRPr sz="900"/>
  </cs:dataTable>
  <cs:downBar>
    <cs:lnRef idx="0"/>
    <cs:fillRef idx="0"/>
    <cs:effectRef idx="0"/>
    <cs:fontRef idx="minor">
      <a:schemeClr val="tx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tx1"/>
    </cs:fontRef>
  </cs:dropLine>
  <cs:errorBar>
    <cs:lnRef idx="0"/>
    <cs:fillRef idx="0"/>
    <cs:effectRef idx="0"/>
    <cs:fontRef idx="minor">
      <a:schemeClr val="tx1"/>
    </cs:fontRef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</cs:hiLoLine>
  <cs:leaderLine>
    <cs:lnRef idx="0"/>
    <cs:fillRef idx="0"/>
    <cs:effectRef idx="0"/>
    <cs:fontRef idx="minor">
      <a:schemeClr val="tx1"/>
    </cs:fontRef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NCHHSTP Templa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88A"/>
      </a:accent1>
      <a:accent2>
        <a:srgbClr val="00928F"/>
      </a:accent2>
      <a:accent3>
        <a:srgbClr val="9A4E9E"/>
      </a:accent3>
      <a:accent4>
        <a:srgbClr val="BF311A"/>
      </a:accent4>
      <a:accent5>
        <a:srgbClr val="86B2D8"/>
      </a:accent5>
      <a:accent6>
        <a:srgbClr val="F6A01A"/>
      </a:accent6>
      <a:hlink>
        <a:srgbClr val="00788A"/>
      </a:hlink>
      <a:folHlink>
        <a:srgbClr val="9A4E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OSTLTSDOC-728-1900</_dlc_DocId>
    <_dlc_DocIdUrl xmlns="b5c0ca00-073d-4463-9985-b654f14791fe">
      <Url>https://esp.cdc.gov/sites/ostlts/pip/osc/_layouts/15/DocIdRedir.aspx?ID=OSTLTSDOC-728-1900</Url>
      <Description>OSTLTSDOC-728-1900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BEB9-37FB-4737-BDFC-79740F869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F7C08-6913-4970-B8E6-C11EC6C2ECAB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3.xml><?xml version="1.0" encoding="utf-8"?>
<ds:datastoreItem xmlns:ds="http://schemas.openxmlformats.org/officeDocument/2006/customXml" ds:itemID="{89024C14-9CAF-42C8-AF6E-3713E51CD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EFD0EE-5210-4F2F-B8AF-B8BE101394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415496-4D3D-4D24-B56E-529593BE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SYSTEM</cp:lastModifiedBy>
  <cp:revision>2</cp:revision>
  <cp:lastPrinted>2017-08-09T19:47:00Z</cp:lastPrinted>
  <dcterms:created xsi:type="dcterms:W3CDTF">2018-05-07T15:02:00Z</dcterms:created>
  <dcterms:modified xsi:type="dcterms:W3CDTF">2018-05-07T15:02:00Z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acf1e278-9f6f-4940-b2b2-c1e12409934f</vt:lpwstr>
  </property>
</Properties>
</file>