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FE427" w14:textId="77777777" w:rsidR="009B4A51" w:rsidRDefault="009B4A51" w:rsidP="00BC6896">
      <w:bookmarkStart w:id="0" w:name="_GoBack"/>
      <w:bookmarkEnd w:id="0"/>
    </w:p>
    <w:p w14:paraId="628054B4" w14:textId="77777777" w:rsidR="009B4A51" w:rsidRDefault="009B4A51" w:rsidP="00BC6896"/>
    <w:p w14:paraId="703E617E" w14:textId="77777777" w:rsidR="006C2895" w:rsidRPr="00FF4D83" w:rsidRDefault="006C2895" w:rsidP="00FF4D83">
      <w:pPr>
        <w:jc w:val="center"/>
        <w:rPr>
          <w:b/>
          <w:sz w:val="36"/>
          <w:szCs w:val="36"/>
        </w:rPr>
      </w:pPr>
      <w:r w:rsidRPr="00FF4D83">
        <w:rPr>
          <w:b/>
          <w:sz w:val="36"/>
          <w:szCs w:val="36"/>
        </w:rPr>
        <w:t>Public Health Ethics Activities at State and Local Health Departments: Status and Challenges</w:t>
      </w:r>
    </w:p>
    <w:p w14:paraId="242F20C7" w14:textId="3F9F2BAC" w:rsidR="00AA3192" w:rsidRPr="00FF4D83" w:rsidRDefault="00AA3192" w:rsidP="00FF4D83">
      <w:pPr>
        <w:jc w:val="center"/>
        <w:rPr>
          <w:b/>
        </w:rPr>
      </w:pPr>
    </w:p>
    <w:p w14:paraId="585B3F9F" w14:textId="0AF6331E" w:rsidR="00FF4D83" w:rsidRDefault="00FF4D83" w:rsidP="00BC6896"/>
    <w:p w14:paraId="2213AEE3" w14:textId="37E48DEE" w:rsidR="00FF4D83" w:rsidRDefault="00FF4D83" w:rsidP="00BC6896"/>
    <w:p w14:paraId="5625C5FE" w14:textId="77777777" w:rsidR="00FF4D83" w:rsidRDefault="00FF4D83" w:rsidP="00BC6896"/>
    <w:p w14:paraId="473F6EF8" w14:textId="77777777" w:rsidR="00FF4D83" w:rsidRDefault="00FF4D83" w:rsidP="00BC6896"/>
    <w:p w14:paraId="3F092B77"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5DD53E68" w14:textId="77777777" w:rsidR="00484011" w:rsidRPr="00AA3192" w:rsidRDefault="00484011" w:rsidP="00BC6896">
      <w:pPr>
        <w:pStyle w:val="Header"/>
        <w:ind w:left="0"/>
        <w:jc w:val="center"/>
      </w:pPr>
      <w:r w:rsidRPr="00AA3192">
        <w:t>OMB No. 0920-0879</w:t>
      </w:r>
    </w:p>
    <w:p w14:paraId="58C8153D" w14:textId="748D138C" w:rsidR="009B4A51" w:rsidRDefault="009B4A51" w:rsidP="00BC6896"/>
    <w:p w14:paraId="6333D16D" w14:textId="741602C9" w:rsidR="00FF4D83" w:rsidRDefault="00FF4D83" w:rsidP="00BC6896"/>
    <w:p w14:paraId="0B75DA0D" w14:textId="205EB2E6" w:rsidR="00FF4D83" w:rsidRDefault="00FF4D83" w:rsidP="00BC6896"/>
    <w:p w14:paraId="6C01D255" w14:textId="0498A02E" w:rsidR="00FF4D83" w:rsidRDefault="00FF4D83" w:rsidP="00BC6896"/>
    <w:p w14:paraId="6E45C6CC" w14:textId="77777777" w:rsidR="00FF4D83" w:rsidRDefault="00FF4D83" w:rsidP="00BC6896"/>
    <w:p w14:paraId="0EE3AFDD" w14:textId="77777777" w:rsidR="00AA3192" w:rsidRDefault="00AA3192" w:rsidP="00BC6896"/>
    <w:p w14:paraId="4FDE5793" w14:textId="77777777" w:rsidR="009B4A51" w:rsidRPr="00BC6896" w:rsidRDefault="009B4A51" w:rsidP="00BC6896">
      <w:pPr>
        <w:pStyle w:val="Heading2"/>
      </w:pPr>
      <w:r w:rsidRPr="00BC6896">
        <w:t xml:space="preserve">Supporting Statement – Section </w:t>
      </w:r>
      <w:r w:rsidR="00601392" w:rsidRPr="00BC6896">
        <w:t>B</w:t>
      </w:r>
    </w:p>
    <w:p w14:paraId="1FD27546" w14:textId="77777777" w:rsidR="009B4A51" w:rsidRDefault="009B4A51" w:rsidP="00BC6896"/>
    <w:p w14:paraId="67E9D438" w14:textId="55AF5E69" w:rsidR="009B4A51" w:rsidRPr="00BC6896" w:rsidRDefault="009B4A51" w:rsidP="00BC6896">
      <w:pPr>
        <w:ind w:left="0"/>
        <w:jc w:val="center"/>
      </w:pPr>
      <w:r w:rsidRPr="00AA3192">
        <w:t>Submitted:</w:t>
      </w:r>
      <w:r w:rsidR="0087354D">
        <w:t xml:space="preserve"> April 27</w:t>
      </w:r>
      <w:r w:rsidR="004621E6">
        <w:t>, 2018</w:t>
      </w:r>
    </w:p>
    <w:p w14:paraId="107F67BA" w14:textId="63D3E849" w:rsidR="009B4A51" w:rsidRDefault="009B4A51" w:rsidP="00BC6896"/>
    <w:p w14:paraId="53831BB9" w14:textId="63B9E8AA" w:rsidR="00FF4D83" w:rsidRDefault="00FF4D83" w:rsidP="00BC6896"/>
    <w:p w14:paraId="6E1FA376" w14:textId="071E3291" w:rsidR="00FF4D83" w:rsidRDefault="00FF4D83" w:rsidP="00BC6896"/>
    <w:p w14:paraId="2C869887" w14:textId="1DD6C288" w:rsidR="00FF4D83" w:rsidRDefault="00FF4D83" w:rsidP="00BC6896"/>
    <w:p w14:paraId="52F1A31D" w14:textId="039126C6" w:rsidR="00FF4D83" w:rsidRDefault="00FF4D83" w:rsidP="00BC6896"/>
    <w:p w14:paraId="728934F8" w14:textId="5C30F41B" w:rsidR="00FF4D83" w:rsidRDefault="00FF4D83" w:rsidP="00BC6896"/>
    <w:p w14:paraId="7394CEDF" w14:textId="356A6ECA" w:rsidR="00FF4D83" w:rsidRDefault="00FF4D83" w:rsidP="00FF4D83">
      <w:pPr>
        <w:ind w:left="0"/>
      </w:pPr>
    </w:p>
    <w:p w14:paraId="576DE607" w14:textId="53B7C146" w:rsidR="00FF4D83" w:rsidRDefault="00FF4D83" w:rsidP="00BC6896"/>
    <w:p w14:paraId="4B7E8FD8" w14:textId="77777777" w:rsidR="00FF4D83" w:rsidRDefault="00FF4D83" w:rsidP="00BC6896"/>
    <w:p w14:paraId="02BAF5F5" w14:textId="77777777" w:rsidR="009B4A51" w:rsidRDefault="009B4A51" w:rsidP="00BC6896"/>
    <w:p w14:paraId="597A71FF" w14:textId="77777777" w:rsidR="009B4A51" w:rsidRDefault="009B4A51" w:rsidP="00BC6896"/>
    <w:p w14:paraId="4974341B" w14:textId="77777777" w:rsidR="00A81BF7" w:rsidRPr="00BC6896" w:rsidRDefault="00A81BF7" w:rsidP="00A81BF7">
      <w:pPr>
        <w:ind w:left="0"/>
        <w:rPr>
          <w:b/>
          <w:u w:val="single"/>
        </w:rPr>
      </w:pPr>
      <w:r w:rsidRPr="00BC6896">
        <w:rPr>
          <w:b/>
          <w:u w:val="single"/>
        </w:rPr>
        <w:t>Program Official/Project Officer</w:t>
      </w:r>
    </w:p>
    <w:p w14:paraId="09FFD2F1" w14:textId="77777777" w:rsidR="00F725B5" w:rsidRPr="00147B81" w:rsidRDefault="006C2895" w:rsidP="00BC6896">
      <w:pPr>
        <w:ind w:left="0"/>
      </w:pPr>
      <w:r w:rsidRPr="00147B81">
        <w:t>Drue Barret, PhD</w:t>
      </w:r>
    </w:p>
    <w:p w14:paraId="364C26F1" w14:textId="77777777" w:rsidR="00F725B5" w:rsidRPr="00147B81" w:rsidRDefault="006C2895" w:rsidP="00BC6896">
      <w:pPr>
        <w:ind w:left="0"/>
      </w:pPr>
      <w:r w:rsidRPr="00147B81">
        <w:t>Lead, Public Health Ethics Unit</w:t>
      </w:r>
    </w:p>
    <w:p w14:paraId="227EB8A7" w14:textId="77777777" w:rsidR="00F725B5" w:rsidRPr="00147B81" w:rsidRDefault="006C2895" w:rsidP="00BC6896">
      <w:pPr>
        <w:ind w:left="0"/>
      </w:pPr>
      <w:r w:rsidRPr="00147B81">
        <w:t>Centers for Disease Control and Prevention</w:t>
      </w:r>
    </w:p>
    <w:p w14:paraId="727EB4FC" w14:textId="77777777" w:rsidR="00F725B5" w:rsidRPr="00147B81" w:rsidRDefault="006C2895" w:rsidP="00BC6896">
      <w:pPr>
        <w:ind w:left="0"/>
      </w:pPr>
      <w:r w:rsidRPr="00147B81">
        <w:t>1600 Clifton Road, MS- 50 Atlanta, GA 30324</w:t>
      </w:r>
    </w:p>
    <w:p w14:paraId="01F20AFB" w14:textId="77777777" w:rsidR="00F725B5" w:rsidRPr="00147B81" w:rsidRDefault="006C2895" w:rsidP="00BC6896">
      <w:pPr>
        <w:ind w:left="0"/>
      </w:pPr>
      <w:r w:rsidRPr="00147B81">
        <w:t>Phone: 404-639-4690</w:t>
      </w:r>
    </w:p>
    <w:p w14:paraId="3D9BF429" w14:textId="77777777" w:rsidR="00F725B5" w:rsidRPr="00147B81" w:rsidRDefault="00F725B5" w:rsidP="00BC6896">
      <w:pPr>
        <w:ind w:left="0"/>
      </w:pPr>
      <w:r w:rsidRPr="00147B81">
        <w:t>Fax</w:t>
      </w:r>
      <w:r w:rsidR="006C2895" w:rsidRPr="00147B81">
        <w:t>: XXXX</w:t>
      </w:r>
    </w:p>
    <w:p w14:paraId="22F28C7C" w14:textId="77777777" w:rsidR="00F725B5" w:rsidRPr="00147B81" w:rsidRDefault="006C2895" w:rsidP="00BC6896">
      <w:pPr>
        <w:ind w:left="0"/>
      </w:pPr>
      <w:r w:rsidRPr="00147B81">
        <w:t>dbarret@cdc.gov</w:t>
      </w:r>
    </w:p>
    <w:p w14:paraId="4E043562" w14:textId="77777777" w:rsidR="00691031" w:rsidRDefault="00691031" w:rsidP="00BC6896">
      <w:pPr>
        <w:ind w:left="0"/>
        <w:rPr>
          <w:color w:val="0070C0"/>
        </w:rPr>
      </w:pPr>
    </w:p>
    <w:p w14:paraId="1280BD42" w14:textId="77777777" w:rsidR="00691031" w:rsidRDefault="00691031" w:rsidP="00BC6896">
      <w:pPr>
        <w:ind w:left="0"/>
        <w:rPr>
          <w:color w:val="0070C0"/>
        </w:rPr>
      </w:pPr>
    </w:p>
    <w:p w14:paraId="33855432" w14:textId="77777777" w:rsidR="00EC45F0" w:rsidRDefault="00EC45F0" w:rsidP="00BC6896">
      <w:pPr>
        <w:ind w:left="0"/>
        <w:rPr>
          <w:color w:val="0070C0"/>
        </w:rPr>
      </w:pPr>
    </w:p>
    <w:p w14:paraId="0508C5FB" w14:textId="77777777" w:rsidR="00245F1F" w:rsidRPr="00FF4D83" w:rsidRDefault="00245F1F" w:rsidP="00BC6896">
      <w:pPr>
        <w:pStyle w:val="Heading3"/>
        <w:rPr>
          <w:sz w:val="32"/>
        </w:rPr>
      </w:pPr>
      <w:bookmarkStart w:id="1" w:name="_Toc413847909"/>
      <w:r w:rsidRPr="00FF4D83">
        <w:rPr>
          <w:sz w:val="32"/>
        </w:rPr>
        <w:lastRenderedPageBreak/>
        <w:t>Table of Contents</w:t>
      </w:r>
      <w:bookmarkEnd w:id="1"/>
    </w:p>
    <w:p w14:paraId="3C9FD24D"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5A539C94" w14:textId="79E15103" w:rsidR="00245F1F" w:rsidRPr="000A538D" w:rsidRDefault="00F30CFB">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87354D">
          <w:rPr>
            <w:noProof/>
            <w:webHidden/>
          </w:rPr>
          <w:t>3</w:t>
        </w:r>
        <w:r w:rsidR="00245F1F" w:rsidRPr="000A538D">
          <w:rPr>
            <w:noProof/>
            <w:webHidden/>
          </w:rPr>
          <w:fldChar w:fldCharType="end"/>
        </w:r>
      </w:hyperlink>
    </w:p>
    <w:p w14:paraId="54AAB3FA" w14:textId="68CE2643" w:rsidR="00245F1F" w:rsidRPr="000A538D" w:rsidRDefault="00F30CFB"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87354D">
          <w:rPr>
            <w:noProof/>
            <w:webHidden/>
          </w:rPr>
          <w:t>3</w:t>
        </w:r>
        <w:r w:rsidR="00245F1F" w:rsidRPr="000A538D">
          <w:rPr>
            <w:noProof/>
            <w:webHidden/>
          </w:rPr>
          <w:fldChar w:fldCharType="end"/>
        </w:r>
      </w:hyperlink>
    </w:p>
    <w:p w14:paraId="33C77256" w14:textId="3E420988" w:rsidR="00245F1F" w:rsidRPr="000A538D" w:rsidRDefault="00F30CFB"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87354D">
          <w:rPr>
            <w:noProof/>
            <w:webHidden/>
          </w:rPr>
          <w:t>4</w:t>
        </w:r>
        <w:r w:rsidR="00245F1F" w:rsidRPr="000A538D">
          <w:rPr>
            <w:noProof/>
            <w:webHidden/>
          </w:rPr>
          <w:fldChar w:fldCharType="end"/>
        </w:r>
      </w:hyperlink>
    </w:p>
    <w:p w14:paraId="057A1208" w14:textId="567F36F0" w:rsidR="00245F1F" w:rsidRPr="000A538D" w:rsidRDefault="00F30CFB"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87354D">
          <w:rPr>
            <w:noProof/>
            <w:webHidden/>
          </w:rPr>
          <w:t>6</w:t>
        </w:r>
        <w:r w:rsidR="00245F1F" w:rsidRPr="000A538D">
          <w:rPr>
            <w:noProof/>
            <w:webHidden/>
          </w:rPr>
          <w:fldChar w:fldCharType="end"/>
        </w:r>
      </w:hyperlink>
    </w:p>
    <w:p w14:paraId="371266A4" w14:textId="53C56B5E" w:rsidR="00245F1F" w:rsidRPr="000A538D" w:rsidRDefault="00F30CFB"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87354D">
          <w:rPr>
            <w:noProof/>
            <w:webHidden/>
          </w:rPr>
          <w:t>7</w:t>
        </w:r>
        <w:r w:rsidR="00245F1F" w:rsidRPr="000A538D">
          <w:rPr>
            <w:noProof/>
            <w:webHidden/>
          </w:rPr>
          <w:fldChar w:fldCharType="end"/>
        </w:r>
      </w:hyperlink>
    </w:p>
    <w:p w14:paraId="57F88216" w14:textId="7F8C2878" w:rsidR="00245F1F" w:rsidRPr="000A538D" w:rsidRDefault="00F30CFB"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87354D">
          <w:rPr>
            <w:noProof/>
            <w:webHidden/>
          </w:rPr>
          <w:t>7</w:t>
        </w:r>
        <w:r w:rsidR="00245F1F" w:rsidRPr="000A538D">
          <w:rPr>
            <w:noProof/>
            <w:webHidden/>
          </w:rPr>
          <w:fldChar w:fldCharType="end"/>
        </w:r>
      </w:hyperlink>
    </w:p>
    <w:p w14:paraId="73A35E08" w14:textId="3B81ECA3" w:rsidR="00245F1F" w:rsidRPr="000A538D" w:rsidRDefault="00F30CFB">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87354D">
          <w:rPr>
            <w:noProof/>
            <w:webHidden/>
          </w:rPr>
          <w:t>8</w:t>
        </w:r>
        <w:r w:rsidR="00245F1F" w:rsidRPr="000A538D">
          <w:rPr>
            <w:noProof/>
            <w:webHidden/>
          </w:rPr>
          <w:fldChar w:fldCharType="end"/>
        </w:r>
      </w:hyperlink>
    </w:p>
    <w:p w14:paraId="5D5B4327" w14:textId="77777777" w:rsidR="00245F1F" w:rsidRDefault="00245F1F" w:rsidP="00BC6896">
      <w:pPr>
        <w:pStyle w:val="Heading3"/>
      </w:pPr>
      <w:r w:rsidRPr="000A538D">
        <w:fldChar w:fldCharType="end"/>
      </w:r>
    </w:p>
    <w:p w14:paraId="112C1EE4" w14:textId="77777777" w:rsidR="00245F1F" w:rsidRDefault="00245F1F">
      <w:pPr>
        <w:spacing w:after="200"/>
        <w:ind w:left="0"/>
        <w:rPr>
          <w:b/>
          <w:sz w:val="28"/>
        </w:rPr>
      </w:pPr>
      <w:bookmarkStart w:id="2" w:name="_Toc413847910"/>
      <w:r>
        <w:br w:type="page"/>
      </w:r>
    </w:p>
    <w:p w14:paraId="64A9BDA2"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5EDCE184" w14:textId="77777777" w:rsidR="00287E2F" w:rsidRDefault="00287E2F" w:rsidP="002955E6">
      <w:pPr>
        <w:spacing w:line="240" w:lineRule="auto"/>
      </w:pPr>
    </w:p>
    <w:p w14:paraId="5AC473D8"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3D9D1F14" w14:textId="77777777" w:rsidR="002955E6" w:rsidRDefault="002955E6" w:rsidP="002955E6">
      <w:pPr>
        <w:spacing w:line="240" w:lineRule="auto"/>
        <w:ind w:left="360"/>
        <w:rPr>
          <w:b/>
          <w:color w:val="0070C0"/>
        </w:rPr>
      </w:pPr>
    </w:p>
    <w:p w14:paraId="4FBE1489" w14:textId="34F21C40" w:rsidR="00AF1633" w:rsidRDefault="00F22337" w:rsidP="00FF4D83">
      <w:pPr>
        <w:ind w:left="360"/>
        <w:rPr>
          <w:rFonts w:ascii="Cambria" w:hAnsi="Cambria"/>
        </w:rPr>
      </w:pPr>
      <w:r>
        <w:rPr>
          <w:rFonts w:ascii="Cambria" w:hAnsi="Cambria"/>
        </w:rPr>
        <w:t>The respondent universe for this information coll</w:t>
      </w:r>
      <w:r w:rsidRPr="005A7DB2">
        <w:rPr>
          <w:rFonts w:ascii="Cambria" w:hAnsi="Cambria"/>
        </w:rPr>
        <w:t xml:space="preserve">ection </w:t>
      </w:r>
      <w:r>
        <w:rPr>
          <w:rFonts w:ascii="Cambria" w:hAnsi="Cambria"/>
        </w:rPr>
        <w:t>consists of 80</w:t>
      </w:r>
      <w:r w:rsidR="0032697F">
        <w:rPr>
          <w:rFonts w:ascii="Cambria" w:hAnsi="Cambria"/>
        </w:rPr>
        <w:t xml:space="preserve"> state and local health directors</w:t>
      </w:r>
      <w:r>
        <w:rPr>
          <w:rFonts w:ascii="Cambria" w:hAnsi="Cambria"/>
        </w:rPr>
        <w:t xml:space="preserve"> </w:t>
      </w:r>
      <w:r w:rsidR="00BD43E6" w:rsidRPr="00D46463">
        <w:t>(or their designated representative)</w:t>
      </w:r>
      <w:r w:rsidR="0032697F">
        <w:rPr>
          <w:rFonts w:ascii="Cambria" w:hAnsi="Cambria"/>
        </w:rPr>
        <w:t>. This includes health directors from all 50 states and the 30 local health departments in the Big Cities Health Coalition</w:t>
      </w:r>
      <w:r w:rsidR="00885E0C">
        <w:rPr>
          <w:rFonts w:ascii="Cambria" w:hAnsi="Cambria"/>
        </w:rPr>
        <w:t xml:space="preserve"> (</w:t>
      </w:r>
      <w:r w:rsidR="00885E0C" w:rsidRPr="000C0782">
        <w:rPr>
          <w:rFonts w:ascii="Cambria" w:hAnsi="Cambria"/>
          <w:b/>
        </w:rPr>
        <w:t xml:space="preserve">See Attachment A – </w:t>
      </w:r>
      <w:r w:rsidR="000C0782">
        <w:rPr>
          <w:rFonts w:ascii="Cambria" w:hAnsi="Cambria"/>
          <w:b/>
        </w:rPr>
        <w:t xml:space="preserve">List of </w:t>
      </w:r>
      <w:r w:rsidR="00885E0C" w:rsidRPr="000C0782">
        <w:rPr>
          <w:rFonts w:ascii="Cambria" w:hAnsi="Cambria"/>
          <w:b/>
        </w:rPr>
        <w:t xml:space="preserve">Big Cities Health Coalition </w:t>
      </w:r>
      <w:r w:rsidR="004D2B02" w:rsidRPr="000C0782">
        <w:rPr>
          <w:rFonts w:ascii="Cambria" w:hAnsi="Cambria"/>
          <w:b/>
        </w:rPr>
        <w:t>M</w:t>
      </w:r>
      <w:r w:rsidR="00885E0C" w:rsidRPr="000C0782">
        <w:rPr>
          <w:rFonts w:ascii="Cambria" w:hAnsi="Cambria"/>
          <w:b/>
        </w:rPr>
        <w:t>ember</w:t>
      </w:r>
      <w:r w:rsidR="004D2B02" w:rsidRPr="000C0782">
        <w:rPr>
          <w:rFonts w:ascii="Cambria" w:hAnsi="Cambria"/>
          <w:b/>
        </w:rPr>
        <w:t>s</w:t>
      </w:r>
      <w:r w:rsidR="00885E0C" w:rsidRPr="000C0782">
        <w:rPr>
          <w:rFonts w:ascii="Cambria" w:hAnsi="Cambria"/>
          <w:b/>
        </w:rPr>
        <w:t>)</w:t>
      </w:r>
      <w:r w:rsidR="0032697F">
        <w:rPr>
          <w:rFonts w:ascii="Cambria" w:hAnsi="Cambria"/>
        </w:rPr>
        <w:t xml:space="preserve">. </w:t>
      </w:r>
    </w:p>
    <w:p w14:paraId="4A26B68B" w14:textId="0DE8358D" w:rsidR="00AF1633" w:rsidRDefault="00AF1633" w:rsidP="00FF4D83">
      <w:pPr>
        <w:ind w:left="360"/>
        <w:rPr>
          <w:rFonts w:ascii="Cambria" w:hAnsi="Cambria"/>
        </w:rPr>
      </w:pPr>
    </w:p>
    <w:p w14:paraId="49E50286" w14:textId="3949224C" w:rsidR="00BD43E6" w:rsidRDefault="00BD43E6" w:rsidP="00BD43E6">
      <w:pPr>
        <w:ind w:left="360"/>
        <w:rPr>
          <w:rFonts w:ascii="Cambria" w:hAnsi="Cambria"/>
        </w:rPr>
      </w:pPr>
      <w:r>
        <w:t>As of February 201</w:t>
      </w:r>
      <w:r w:rsidR="00285640">
        <w:t>8</w:t>
      </w:r>
      <w:r>
        <w:t>, 30</w:t>
      </w:r>
      <w:r w:rsidRPr="00815AF8">
        <w:t xml:space="preserve"> of the 50 state health departments have PHAB accreditation</w:t>
      </w:r>
      <w:r>
        <w:t xml:space="preserve"> (10 of those 30 are accredited </w:t>
      </w:r>
      <w:r w:rsidRPr="00815AF8">
        <w:t>under version 1.5 of the PHAB accreditation criteria</w:t>
      </w:r>
      <w:r>
        <w:t>)</w:t>
      </w:r>
      <w:r w:rsidRPr="00815AF8">
        <w:t>.</w:t>
      </w:r>
      <w:r>
        <w:rPr>
          <w:rStyle w:val="EndnoteReference"/>
        </w:rPr>
        <w:endnoteReference w:id="1"/>
      </w:r>
      <w:r w:rsidRPr="00815AF8">
        <w:t xml:space="preserve"> </w:t>
      </w:r>
      <w:r>
        <w:t xml:space="preserve"> Surveying all 50 states will allow the Public Health Ethics unit to obtain information on a range of public health ethics activities.  As the with the BCHC local health departments, we expect that state health departments will be at various points in the development and implementation of public health ethics programs.  </w:t>
      </w:r>
    </w:p>
    <w:p w14:paraId="61E08321" w14:textId="77777777" w:rsidR="00BD43E6" w:rsidRDefault="00BD43E6" w:rsidP="00BD43E6">
      <w:pPr>
        <w:ind w:left="360"/>
        <w:rPr>
          <w:rFonts w:ascii="Cambria" w:hAnsi="Cambria"/>
        </w:rPr>
      </w:pPr>
    </w:p>
    <w:p w14:paraId="600E1591" w14:textId="11401133" w:rsidR="00BD43E6" w:rsidRDefault="00BD43E6" w:rsidP="00BD43E6">
      <w:pPr>
        <w:ind w:left="360"/>
      </w:pPr>
      <w:r w:rsidRPr="003A2D2D">
        <w:t xml:space="preserve">As of </w:t>
      </w:r>
      <w:r>
        <w:t>February</w:t>
      </w:r>
      <w:r w:rsidRPr="003A2D2D">
        <w:t xml:space="preserve"> 201</w:t>
      </w:r>
      <w:r>
        <w:t>8</w:t>
      </w:r>
      <w:r w:rsidRPr="003A2D2D">
        <w:t xml:space="preserve">, </w:t>
      </w:r>
      <w:r>
        <w:t>19</w:t>
      </w:r>
      <w:r w:rsidRPr="003A2D2D">
        <w:t xml:space="preserve"> of 30 BCHC members are PHAB accredited</w:t>
      </w:r>
      <w:r>
        <w:t xml:space="preserve"> (four</w:t>
      </w:r>
      <w:r w:rsidRPr="003A2D2D">
        <w:t xml:space="preserve"> of those 1</w:t>
      </w:r>
      <w:r>
        <w:t>9</w:t>
      </w:r>
      <w:r w:rsidRPr="003A2D2D">
        <w:t xml:space="preserve"> are accredited under version 1.5 of the PHAB accreditation criteria</w:t>
      </w:r>
      <w:r>
        <w:t>)</w:t>
      </w:r>
      <w:r w:rsidRPr="003A2D2D">
        <w:t>.</w:t>
      </w:r>
      <w:r w:rsidRPr="003A2D2D">
        <w:rPr>
          <w:rStyle w:val="EndnoteReference"/>
        </w:rPr>
        <w:endnoteReference w:id="2"/>
      </w:r>
      <w:r w:rsidRPr="003A2D2D">
        <w:t xml:space="preserve"> Version 1.5 of the PHAB accreditation criteria requires documentation of public health ethics practices</w:t>
      </w:r>
      <w:r>
        <w:t>.  T</w:t>
      </w:r>
      <w:r w:rsidRPr="003A2D2D">
        <w:t>he cities that are accredited</w:t>
      </w:r>
      <w:r w:rsidRPr="00815AF8">
        <w:t xml:space="preserve"> under version 1 of the accreditation criteria will need to show that they have implemented ethics practices if they apply for reaccreditation. </w:t>
      </w:r>
      <w:r>
        <w:t xml:space="preserve">Thus, collecting data from the BCHC local health departments </w:t>
      </w:r>
      <w:r w:rsidRPr="00815AF8">
        <w:t xml:space="preserve">should allow </w:t>
      </w:r>
      <w:r>
        <w:t>the Public Health Ethics Unit</w:t>
      </w:r>
      <w:r w:rsidRPr="00815AF8">
        <w:t xml:space="preserve"> to </w:t>
      </w:r>
      <w:r>
        <w:t xml:space="preserve">obtain information </w:t>
      </w:r>
      <w:r w:rsidRPr="00815AF8">
        <w:t xml:space="preserve">from </w:t>
      </w:r>
      <w:r>
        <w:t xml:space="preserve">local </w:t>
      </w:r>
      <w:r w:rsidRPr="00815AF8">
        <w:t xml:space="preserve">health departments that are at various points in the development and implementation of public health ethics programs.  </w:t>
      </w:r>
    </w:p>
    <w:p w14:paraId="175E4BFF" w14:textId="77777777" w:rsidR="00BD43E6" w:rsidRDefault="00BD43E6" w:rsidP="00BD43E6">
      <w:pPr>
        <w:ind w:left="360"/>
      </w:pPr>
    </w:p>
    <w:p w14:paraId="205B1241" w14:textId="0E0D6403" w:rsidR="00BD43E6" w:rsidRDefault="00BD43E6" w:rsidP="00BD43E6">
      <w:pPr>
        <w:ind w:left="360"/>
        <w:rPr>
          <w:rFonts w:ascii="Cambria" w:hAnsi="Cambria"/>
        </w:rPr>
      </w:pPr>
      <w:r w:rsidRPr="00815AF8">
        <w:t>Having feedback from both state and local health departments will allow the Public Health Ethics Unit to make comparisons between the groups that would not be possibl</w:t>
      </w:r>
      <w:r>
        <w:t>e if only BCHC members or only state</w:t>
      </w:r>
      <w:r w:rsidRPr="00815AF8">
        <w:t xml:space="preserve"> he</w:t>
      </w:r>
      <w:r>
        <w:t>alth departments were surveyed.</w:t>
      </w:r>
    </w:p>
    <w:p w14:paraId="0946D33F" w14:textId="77777777" w:rsidR="00BD43E6" w:rsidRDefault="00BD43E6" w:rsidP="00FF4D83">
      <w:pPr>
        <w:ind w:left="360"/>
        <w:rPr>
          <w:rFonts w:ascii="Cambria" w:hAnsi="Cambria"/>
        </w:rPr>
      </w:pPr>
    </w:p>
    <w:p w14:paraId="4A35C61E" w14:textId="77777777" w:rsidR="00AF1633" w:rsidRDefault="00AF1633" w:rsidP="00FF4D83">
      <w:pPr>
        <w:ind w:left="360"/>
        <w:rPr>
          <w:rFonts w:ascii="Cambria" w:hAnsi="Cambria"/>
        </w:rPr>
      </w:pPr>
      <w:r>
        <w:rPr>
          <w:rFonts w:ascii="Cambria" w:hAnsi="Cambria"/>
        </w:rPr>
        <w:t xml:space="preserve">Information will be collected from respondents via two methods: an online survey and </w:t>
      </w:r>
      <w:r w:rsidR="0032697F">
        <w:rPr>
          <w:rFonts w:ascii="Cambria" w:hAnsi="Cambria"/>
        </w:rPr>
        <w:t xml:space="preserve">a </w:t>
      </w:r>
      <w:r>
        <w:rPr>
          <w:rFonts w:ascii="Cambria" w:hAnsi="Cambria"/>
        </w:rPr>
        <w:t>telephone interview. Details regarding the specific respondent universe and associated sampling for each of the methods are outlined below.</w:t>
      </w:r>
    </w:p>
    <w:p w14:paraId="0BFE3BA7" w14:textId="77777777" w:rsidR="00AF1633" w:rsidRDefault="00AF1633" w:rsidP="00FF4D83">
      <w:pPr>
        <w:ind w:left="360"/>
        <w:rPr>
          <w:rFonts w:ascii="Cambria" w:hAnsi="Cambria"/>
        </w:rPr>
      </w:pPr>
    </w:p>
    <w:p w14:paraId="33432579" w14:textId="77777777" w:rsidR="00AF1633" w:rsidRDefault="00AF1633" w:rsidP="00FF4D83">
      <w:pPr>
        <w:ind w:left="360"/>
        <w:rPr>
          <w:rFonts w:ascii="Cambria" w:hAnsi="Cambria"/>
          <w:b/>
          <w:i/>
        </w:rPr>
      </w:pPr>
      <w:r w:rsidRPr="00AF1633">
        <w:rPr>
          <w:rFonts w:ascii="Cambria" w:hAnsi="Cambria"/>
          <w:b/>
          <w:i/>
        </w:rPr>
        <w:t>Online Survey</w:t>
      </w:r>
      <w:r>
        <w:rPr>
          <w:rFonts w:ascii="Cambria" w:hAnsi="Cambria"/>
          <w:b/>
          <w:i/>
        </w:rPr>
        <w:t xml:space="preserve"> (n=80)</w:t>
      </w:r>
    </w:p>
    <w:p w14:paraId="32016874" w14:textId="77777777" w:rsidR="00AF1633" w:rsidRPr="00AF1633" w:rsidRDefault="00AF1633" w:rsidP="00FF4D83">
      <w:pPr>
        <w:ind w:left="360"/>
        <w:rPr>
          <w:rFonts w:ascii="Cambria" w:hAnsi="Cambria"/>
        </w:rPr>
      </w:pPr>
      <w:r>
        <w:rPr>
          <w:rFonts w:ascii="Cambria" w:hAnsi="Cambria"/>
        </w:rPr>
        <w:t xml:space="preserve">Respondents will include a total of 80 health directors or their designated health department staff member (50 state and 30 local). No sampling procedures will be employed. Everyone in the respondent universe will be asked to participate in the survey.  </w:t>
      </w:r>
    </w:p>
    <w:p w14:paraId="7B10E747" w14:textId="77777777" w:rsidR="00AF1633" w:rsidRDefault="00AF1633" w:rsidP="00FF4D83">
      <w:pPr>
        <w:ind w:left="360"/>
        <w:rPr>
          <w:b/>
          <w:i/>
        </w:rPr>
      </w:pPr>
    </w:p>
    <w:p w14:paraId="6A0D8FE6" w14:textId="16AF3A8F" w:rsidR="00AF1633" w:rsidRPr="00FF4D83" w:rsidRDefault="00AF1633" w:rsidP="00FF4D83">
      <w:pPr>
        <w:ind w:left="360"/>
        <w:rPr>
          <w:rFonts w:ascii="Cambria" w:hAnsi="Cambria"/>
        </w:rPr>
      </w:pPr>
      <w:r w:rsidRPr="006026DA">
        <w:rPr>
          <w:rFonts w:eastAsia="Times New Roman" w:cs="Times New Roman"/>
        </w:rPr>
        <w:t>We anticipate a response rate of approximately 80-90%</w:t>
      </w:r>
      <w:r w:rsidR="007A14EB">
        <w:rPr>
          <w:rFonts w:eastAsia="Times New Roman" w:cs="Times New Roman"/>
        </w:rPr>
        <w:t xml:space="preserve"> based on the response rate </w:t>
      </w:r>
      <w:r w:rsidR="004D2B02">
        <w:rPr>
          <w:rFonts w:eastAsia="Times New Roman" w:cs="Times New Roman"/>
        </w:rPr>
        <w:t xml:space="preserve">the </w:t>
      </w:r>
      <w:r w:rsidR="00804EEB">
        <w:rPr>
          <w:rFonts w:eastAsia="Times New Roman" w:cs="Times New Roman"/>
        </w:rPr>
        <w:t>National Association of County and City Health Officials (</w:t>
      </w:r>
      <w:r w:rsidR="007A14EB">
        <w:rPr>
          <w:rFonts w:eastAsia="Times New Roman" w:cs="Times New Roman"/>
        </w:rPr>
        <w:t>NACCHO</w:t>
      </w:r>
      <w:r w:rsidR="00804EEB">
        <w:rPr>
          <w:rFonts w:eastAsia="Times New Roman" w:cs="Times New Roman"/>
        </w:rPr>
        <w:t>)</w:t>
      </w:r>
      <w:r w:rsidR="007A14EB">
        <w:rPr>
          <w:rFonts w:eastAsia="Times New Roman" w:cs="Times New Roman"/>
        </w:rPr>
        <w:t xml:space="preserve"> received to their </w:t>
      </w:r>
      <w:r w:rsidR="007A14EB" w:rsidRPr="009F2C17">
        <w:rPr>
          <w:rFonts w:eastAsia="Times New Roman" w:cs="Times New Roman"/>
          <w:i/>
        </w:rPr>
        <w:t>National Profile of Local Health Departments</w:t>
      </w:r>
      <w:r w:rsidR="009F2C17">
        <w:rPr>
          <w:rFonts w:eastAsia="Times New Roman" w:cs="Times New Roman"/>
        </w:rPr>
        <w:t>.</w:t>
      </w:r>
      <w:r>
        <w:rPr>
          <w:rFonts w:eastAsia="Times New Roman" w:cs="Times New Roman"/>
        </w:rPr>
        <w:t xml:space="preserve"> As described below, reminders </w:t>
      </w:r>
      <w:r w:rsidR="0032697F">
        <w:rPr>
          <w:rFonts w:eastAsia="Times New Roman" w:cs="Times New Roman"/>
        </w:rPr>
        <w:t xml:space="preserve">to complete the survey </w:t>
      </w:r>
      <w:r>
        <w:rPr>
          <w:rFonts w:eastAsia="Times New Roman" w:cs="Times New Roman"/>
        </w:rPr>
        <w:t>will be sent to maximize participation.</w:t>
      </w:r>
    </w:p>
    <w:p w14:paraId="255649B7" w14:textId="77777777" w:rsidR="006909AE" w:rsidRPr="00F22337" w:rsidRDefault="006909AE" w:rsidP="00FF4D83">
      <w:pPr>
        <w:ind w:left="0"/>
        <w:rPr>
          <w:b/>
          <w:i/>
        </w:rPr>
      </w:pPr>
    </w:p>
    <w:p w14:paraId="7A56BF2E" w14:textId="03A8634D" w:rsidR="006909AE" w:rsidRDefault="006909AE" w:rsidP="00FF4D83">
      <w:pPr>
        <w:ind w:left="360"/>
        <w:rPr>
          <w:b/>
          <w:i/>
        </w:rPr>
      </w:pPr>
      <w:r w:rsidRPr="00F22337">
        <w:rPr>
          <w:b/>
          <w:i/>
        </w:rPr>
        <w:t>Telephone Interview</w:t>
      </w:r>
      <w:r w:rsidR="00BD43E6">
        <w:rPr>
          <w:b/>
          <w:i/>
        </w:rPr>
        <w:t>s</w:t>
      </w:r>
      <w:r w:rsidRPr="00F22337">
        <w:rPr>
          <w:b/>
          <w:i/>
        </w:rPr>
        <w:t xml:space="preserve"> </w:t>
      </w:r>
      <w:r w:rsidR="00AF1633">
        <w:rPr>
          <w:b/>
          <w:i/>
        </w:rPr>
        <w:t>(n=8)</w:t>
      </w:r>
    </w:p>
    <w:p w14:paraId="5E3CEE5B" w14:textId="1EDA7A4C" w:rsidR="00CF2EDD" w:rsidRPr="007708BE" w:rsidRDefault="00AF1633" w:rsidP="00CF2EDD">
      <w:pPr>
        <w:ind w:left="360"/>
        <w:rPr>
          <w:rFonts w:ascii="Cambria" w:hAnsi="Cambria"/>
        </w:rPr>
      </w:pPr>
      <w:r>
        <w:rPr>
          <w:rFonts w:ascii="Cambria" w:hAnsi="Cambria"/>
        </w:rPr>
        <w:t xml:space="preserve">A subset </w:t>
      </w:r>
      <w:r w:rsidR="00446AA4">
        <w:rPr>
          <w:rFonts w:ascii="Cambria" w:hAnsi="Cambria"/>
        </w:rPr>
        <w:t xml:space="preserve">(n=8) </w:t>
      </w:r>
      <w:r>
        <w:rPr>
          <w:rFonts w:ascii="Cambria" w:hAnsi="Cambria"/>
        </w:rPr>
        <w:t xml:space="preserve">of the 80 respondents who participated in the online survey will be invited to participate in </w:t>
      </w:r>
      <w:r w:rsidR="00D52B80">
        <w:rPr>
          <w:rFonts w:ascii="Cambria" w:hAnsi="Cambria"/>
        </w:rPr>
        <w:t>a</w:t>
      </w:r>
      <w:r>
        <w:rPr>
          <w:rFonts w:ascii="Cambria" w:hAnsi="Cambria"/>
        </w:rPr>
        <w:t xml:space="preserve"> telephone interview</w:t>
      </w:r>
      <w:r w:rsidRPr="001556D1">
        <w:rPr>
          <w:rFonts w:ascii="Cambria" w:hAnsi="Cambria"/>
        </w:rPr>
        <w:t>.</w:t>
      </w:r>
      <w:r w:rsidR="00CF2EDD" w:rsidRPr="00CF2EDD">
        <w:rPr>
          <w:rFonts w:ascii="Cambria" w:hAnsi="Cambria"/>
        </w:rPr>
        <w:t xml:space="preserve"> </w:t>
      </w:r>
      <w:r w:rsidR="00CF2EDD">
        <w:rPr>
          <w:rFonts w:ascii="Cambria" w:hAnsi="Cambria"/>
        </w:rPr>
        <w:t xml:space="preserve">At the end of the survey (question 33), the respondents will be asked if they would be interested in participating in a 60 minute telephone interview to provide more details about how their health department addresses ethical issues that arise in public health practice and what needs they may have in building ethics capacity. Eight interested respondents will be selected for a telephone interview.  We will purposively select respondents from both state and local health departments who are at varying points in the development and implementation of ethics activities based on their response to question 4 of </w:t>
      </w:r>
      <w:r w:rsidR="00CF2EDD" w:rsidRPr="00174D80">
        <w:rPr>
          <w:rFonts w:ascii="Cambria" w:hAnsi="Cambria"/>
        </w:rPr>
        <w:t>the online survey (</w:t>
      </w:r>
      <w:r w:rsidR="00CF2EDD" w:rsidRPr="00D308DD">
        <w:t xml:space="preserve">Does your health department have a formal process to identify, analyze, and resolve ethical issues that arise in public health practice?). </w:t>
      </w:r>
      <w:r w:rsidR="00CF2EDD">
        <w:t>Telephone interview participants will be selected as follows:</w:t>
      </w:r>
      <w:r w:rsidR="00CF2EDD" w:rsidRPr="00D308DD">
        <w:t xml:space="preserve"> </w:t>
      </w:r>
    </w:p>
    <w:p w14:paraId="62910D45" w14:textId="77777777" w:rsidR="00CF2EDD" w:rsidRPr="00174D80" w:rsidRDefault="00CF2EDD" w:rsidP="00CF2EDD">
      <w:pPr>
        <w:ind w:left="360"/>
      </w:pPr>
    </w:p>
    <w:p w14:paraId="71B705B3" w14:textId="77777777" w:rsidR="00CF2EDD" w:rsidRPr="00D83B4B" w:rsidRDefault="00CF2EDD" w:rsidP="00CF2EDD">
      <w:pPr>
        <w:ind w:left="0" w:firstLine="360"/>
      </w:pPr>
      <w:r w:rsidRPr="00D83B4B">
        <w:t>Sample of Telephone Interview Participants</w:t>
      </w:r>
      <w:r>
        <w:t xml:space="preserve"> (n=8)</w:t>
      </w:r>
    </w:p>
    <w:tbl>
      <w:tblPr>
        <w:tblStyle w:val="TableGrid"/>
        <w:tblW w:w="0" w:type="auto"/>
        <w:tblInd w:w="355" w:type="dxa"/>
        <w:tblLook w:val="04A0" w:firstRow="1" w:lastRow="0" w:firstColumn="1" w:lastColumn="0" w:noHBand="0" w:noVBand="1"/>
      </w:tblPr>
      <w:tblGrid>
        <w:gridCol w:w="3960"/>
        <w:gridCol w:w="2520"/>
        <w:gridCol w:w="2515"/>
      </w:tblGrid>
      <w:tr w:rsidR="00CF2EDD" w:rsidRPr="00D83B4B" w14:paraId="6750283A" w14:textId="77777777" w:rsidTr="00150368">
        <w:tc>
          <w:tcPr>
            <w:tcW w:w="3960" w:type="dxa"/>
          </w:tcPr>
          <w:p w14:paraId="1562AAFA" w14:textId="77777777" w:rsidR="00CF2EDD" w:rsidRPr="00D83B4B" w:rsidRDefault="00CF2EDD" w:rsidP="00150368">
            <w:pPr>
              <w:ind w:left="0"/>
              <w:jc w:val="center"/>
            </w:pPr>
            <w:r>
              <w:t>Response to Question 4</w:t>
            </w:r>
          </w:p>
        </w:tc>
        <w:tc>
          <w:tcPr>
            <w:tcW w:w="5035" w:type="dxa"/>
            <w:gridSpan w:val="2"/>
          </w:tcPr>
          <w:p w14:paraId="0545F18C" w14:textId="77777777" w:rsidR="00CF2EDD" w:rsidRPr="00D83B4B" w:rsidRDefault="00CF2EDD" w:rsidP="00150368">
            <w:pPr>
              <w:jc w:val="center"/>
            </w:pPr>
            <w:r w:rsidRPr="00D83B4B">
              <w:t>Health Department Type</w:t>
            </w:r>
          </w:p>
        </w:tc>
      </w:tr>
      <w:tr w:rsidR="00CF2EDD" w:rsidRPr="00D83B4B" w14:paraId="4C3DD2D0" w14:textId="77777777" w:rsidTr="00150368">
        <w:tc>
          <w:tcPr>
            <w:tcW w:w="3960" w:type="dxa"/>
          </w:tcPr>
          <w:p w14:paraId="092424E5" w14:textId="77777777" w:rsidR="00CF2EDD" w:rsidRPr="00D83B4B" w:rsidRDefault="00CF2EDD" w:rsidP="00150368"/>
        </w:tc>
        <w:tc>
          <w:tcPr>
            <w:tcW w:w="2520" w:type="dxa"/>
          </w:tcPr>
          <w:p w14:paraId="4AA82747" w14:textId="77777777" w:rsidR="00CF2EDD" w:rsidRPr="00D83B4B" w:rsidRDefault="00CF2EDD" w:rsidP="00150368">
            <w:pPr>
              <w:ind w:left="0"/>
              <w:jc w:val="center"/>
            </w:pPr>
            <w:r w:rsidRPr="00D83B4B">
              <w:t>State Health Department</w:t>
            </w:r>
          </w:p>
        </w:tc>
        <w:tc>
          <w:tcPr>
            <w:tcW w:w="2515" w:type="dxa"/>
          </w:tcPr>
          <w:p w14:paraId="2FF7B093" w14:textId="77777777" w:rsidR="00CF2EDD" w:rsidRPr="00D83B4B" w:rsidRDefault="00CF2EDD" w:rsidP="00150368">
            <w:r w:rsidRPr="00D83B4B">
              <w:t>BCHC Health Department</w:t>
            </w:r>
          </w:p>
        </w:tc>
      </w:tr>
      <w:tr w:rsidR="00CF2EDD" w:rsidRPr="00D83B4B" w14:paraId="5FF37ECE" w14:textId="77777777" w:rsidTr="00150368">
        <w:tc>
          <w:tcPr>
            <w:tcW w:w="3960" w:type="dxa"/>
          </w:tcPr>
          <w:p w14:paraId="7ACD667A" w14:textId="77777777" w:rsidR="00CF2EDD" w:rsidRPr="00D83B4B" w:rsidRDefault="00CF2EDD" w:rsidP="00150368">
            <w:pPr>
              <w:ind w:left="0"/>
            </w:pPr>
            <w:r>
              <w:t>Has a formal ethics process or currently working to establish a formal ethics process  (response a or b)</w:t>
            </w:r>
          </w:p>
        </w:tc>
        <w:tc>
          <w:tcPr>
            <w:tcW w:w="2520" w:type="dxa"/>
          </w:tcPr>
          <w:p w14:paraId="34E14C42" w14:textId="77777777" w:rsidR="00CF2EDD" w:rsidRPr="00D83B4B" w:rsidRDefault="00CF2EDD" w:rsidP="00150368">
            <w:pPr>
              <w:ind w:left="0"/>
            </w:pPr>
            <w:r>
              <w:t>2</w:t>
            </w:r>
            <w:r w:rsidRPr="00D83B4B">
              <w:t xml:space="preserve"> survey respondent</w:t>
            </w:r>
            <w:r>
              <w:t>s</w:t>
            </w:r>
            <w:r w:rsidRPr="00D83B4B">
              <w:t xml:space="preserve"> interviewed</w:t>
            </w:r>
          </w:p>
        </w:tc>
        <w:tc>
          <w:tcPr>
            <w:tcW w:w="2515" w:type="dxa"/>
          </w:tcPr>
          <w:p w14:paraId="42375638" w14:textId="77777777" w:rsidR="00CF2EDD" w:rsidRPr="00D83B4B" w:rsidRDefault="00CF2EDD" w:rsidP="00150368">
            <w:pPr>
              <w:ind w:left="0"/>
            </w:pPr>
            <w:r>
              <w:t>2</w:t>
            </w:r>
            <w:r w:rsidRPr="00D83B4B">
              <w:t xml:space="preserve"> survey respondent</w:t>
            </w:r>
            <w:r>
              <w:t>s</w:t>
            </w:r>
            <w:r w:rsidRPr="00D83B4B">
              <w:t xml:space="preserve"> interviewed</w:t>
            </w:r>
          </w:p>
        </w:tc>
      </w:tr>
      <w:tr w:rsidR="00CF2EDD" w:rsidRPr="00D83B4B" w14:paraId="5A710BFC" w14:textId="77777777" w:rsidTr="00150368">
        <w:tc>
          <w:tcPr>
            <w:tcW w:w="3960" w:type="dxa"/>
          </w:tcPr>
          <w:p w14:paraId="1B548439" w14:textId="77777777" w:rsidR="00CF2EDD" w:rsidRPr="00D83B4B" w:rsidRDefault="00CF2EDD" w:rsidP="00150368">
            <w:pPr>
              <w:ind w:left="0"/>
            </w:pPr>
            <w:r>
              <w:t>No formal ethics process or unsure if have a process (response c or d)</w:t>
            </w:r>
          </w:p>
        </w:tc>
        <w:tc>
          <w:tcPr>
            <w:tcW w:w="2520" w:type="dxa"/>
          </w:tcPr>
          <w:p w14:paraId="14613AF4" w14:textId="77777777" w:rsidR="00CF2EDD" w:rsidRPr="00D83B4B" w:rsidRDefault="00CF2EDD" w:rsidP="00150368">
            <w:pPr>
              <w:ind w:left="0"/>
            </w:pPr>
            <w:r>
              <w:t>2</w:t>
            </w:r>
            <w:r w:rsidRPr="00D83B4B">
              <w:t xml:space="preserve"> survey respondent</w:t>
            </w:r>
            <w:r>
              <w:t>s</w:t>
            </w:r>
            <w:r w:rsidRPr="00D83B4B">
              <w:t xml:space="preserve"> interviewed</w:t>
            </w:r>
          </w:p>
        </w:tc>
        <w:tc>
          <w:tcPr>
            <w:tcW w:w="2515" w:type="dxa"/>
          </w:tcPr>
          <w:p w14:paraId="711F579D" w14:textId="77777777" w:rsidR="00CF2EDD" w:rsidRPr="00D83B4B" w:rsidRDefault="00CF2EDD" w:rsidP="00150368">
            <w:pPr>
              <w:ind w:left="0"/>
            </w:pPr>
            <w:r>
              <w:t>2</w:t>
            </w:r>
            <w:r w:rsidRPr="00D83B4B">
              <w:t xml:space="preserve"> survey respondent</w:t>
            </w:r>
            <w:r>
              <w:t>s</w:t>
            </w:r>
            <w:r w:rsidRPr="00D83B4B">
              <w:t xml:space="preserve"> interviewed</w:t>
            </w:r>
          </w:p>
        </w:tc>
      </w:tr>
      <w:tr w:rsidR="00CF2EDD" w:rsidRPr="00D83B4B" w14:paraId="6F96914F" w14:textId="77777777" w:rsidTr="00150368">
        <w:tc>
          <w:tcPr>
            <w:tcW w:w="3960" w:type="dxa"/>
          </w:tcPr>
          <w:p w14:paraId="3DE59664" w14:textId="77777777" w:rsidR="00CF2EDD" w:rsidRPr="00D83B4B" w:rsidRDefault="00CF2EDD" w:rsidP="00150368"/>
        </w:tc>
        <w:tc>
          <w:tcPr>
            <w:tcW w:w="2520" w:type="dxa"/>
          </w:tcPr>
          <w:p w14:paraId="2BC75DFC" w14:textId="77777777" w:rsidR="00CF2EDD" w:rsidRPr="00D83B4B" w:rsidRDefault="00CF2EDD" w:rsidP="00150368"/>
        </w:tc>
        <w:tc>
          <w:tcPr>
            <w:tcW w:w="2515" w:type="dxa"/>
          </w:tcPr>
          <w:p w14:paraId="1A6D565B" w14:textId="77777777" w:rsidR="00CF2EDD" w:rsidRPr="00D83B4B" w:rsidRDefault="00CF2EDD" w:rsidP="00150368"/>
        </w:tc>
      </w:tr>
    </w:tbl>
    <w:p w14:paraId="7E518300" w14:textId="77777777" w:rsidR="00CF2EDD" w:rsidRDefault="00CF2EDD" w:rsidP="00CF2EDD">
      <w:pPr>
        <w:ind w:left="360"/>
      </w:pPr>
    </w:p>
    <w:p w14:paraId="181B8838" w14:textId="77777777" w:rsidR="00CF2EDD" w:rsidRDefault="00CF2EDD" w:rsidP="00CF2EDD">
      <w:pPr>
        <w:ind w:left="360"/>
      </w:pPr>
      <w:r>
        <w:t xml:space="preserve">If there are more than 2 survey respondents willing to participate in a telephone interview per stratum, we will select telephone participants that reflect diversity in status of ethics activities.  </w:t>
      </w:r>
    </w:p>
    <w:p w14:paraId="73459180" w14:textId="77777777" w:rsidR="00CF2EDD" w:rsidRDefault="00CF2EDD" w:rsidP="00CF2EDD">
      <w:pPr>
        <w:ind w:left="360"/>
      </w:pPr>
    </w:p>
    <w:p w14:paraId="7BB4B7F7" w14:textId="5E6E007D" w:rsidR="00AF1633" w:rsidRDefault="00CF2EDD" w:rsidP="00CF2EDD">
      <w:pPr>
        <w:ind w:left="360"/>
        <w:rPr>
          <w:rFonts w:ascii="Cambria" w:hAnsi="Cambria"/>
        </w:rPr>
      </w:pPr>
      <w:r>
        <w:t xml:space="preserve">If there are fewer than 2 survey respondents willing to participate in a telephone interview per stratum, we will consider conducting additional interviews in the other stratum, not to exceed 8 total interviews.  </w:t>
      </w:r>
      <w:r w:rsidR="00AF1633" w:rsidRPr="001556D1">
        <w:rPr>
          <w:rFonts w:ascii="Cambria" w:hAnsi="Cambria"/>
        </w:rPr>
        <w:t xml:space="preserve"> </w:t>
      </w:r>
      <w:r w:rsidR="00AF1633">
        <w:rPr>
          <w:rFonts w:ascii="Cambria" w:hAnsi="Cambria"/>
        </w:rPr>
        <w:t>Participating i</w:t>
      </w:r>
      <w:r w:rsidR="001653AA">
        <w:rPr>
          <w:rFonts w:ascii="Cambria" w:hAnsi="Cambria"/>
        </w:rPr>
        <w:t xml:space="preserve">n interviews will be voluntary. </w:t>
      </w:r>
    </w:p>
    <w:p w14:paraId="5F02836D" w14:textId="77777777" w:rsidR="00AF1633" w:rsidRDefault="00AF1633" w:rsidP="00FF4D83">
      <w:pPr>
        <w:ind w:left="0"/>
        <w:rPr>
          <w:rFonts w:ascii="Cambria" w:hAnsi="Cambria"/>
        </w:rPr>
      </w:pPr>
    </w:p>
    <w:p w14:paraId="7E78E0CF" w14:textId="12E21440" w:rsidR="00176E14" w:rsidRDefault="000237A0" w:rsidP="00FF4D83">
      <w:pPr>
        <w:ind w:left="360"/>
        <w:rPr>
          <w:b/>
          <w:color w:val="0070C0"/>
        </w:rPr>
      </w:pPr>
      <w:r>
        <w:rPr>
          <w:rFonts w:ascii="Cambria" w:hAnsi="Cambria"/>
        </w:rPr>
        <w:t>Because we are asking potential respondents to demonstrate interest in participating in the telephone survey, we anticipate a 100%</w:t>
      </w:r>
      <w:r w:rsidR="001653AA">
        <w:rPr>
          <w:rFonts w:ascii="Cambria" w:hAnsi="Cambria"/>
        </w:rPr>
        <w:t xml:space="preserve"> response rate. If a potential participant decides they do not want to be interview</w:t>
      </w:r>
      <w:r w:rsidR="00446AA4">
        <w:rPr>
          <w:rFonts w:ascii="Cambria" w:hAnsi="Cambria"/>
        </w:rPr>
        <w:t>ed</w:t>
      </w:r>
      <w:r w:rsidR="001653AA">
        <w:rPr>
          <w:rFonts w:ascii="Cambria" w:hAnsi="Cambria"/>
        </w:rPr>
        <w:t xml:space="preserve">, </w:t>
      </w:r>
      <w:r w:rsidR="004D2B02">
        <w:rPr>
          <w:rFonts w:ascii="Cambria" w:hAnsi="Cambria"/>
        </w:rPr>
        <w:t xml:space="preserve">the </w:t>
      </w:r>
      <w:r w:rsidR="00AF1633">
        <w:rPr>
          <w:rFonts w:ascii="Cambria" w:hAnsi="Cambria"/>
        </w:rPr>
        <w:t xml:space="preserve">project </w:t>
      </w:r>
      <w:r w:rsidR="004D2B02">
        <w:rPr>
          <w:rFonts w:ascii="Cambria" w:hAnsi="Cambria"/>
        </w:rPr>
        <w:t>lead</w:t>
      </w:r>
      <w:r w:rsidR="00AF1633">
        <w:rPr>
          <w:rFonts w:ascii="Cambria" w:hAnsi="Cambria"/>
        </w:rPr>
        <w:t xml:space="preserve"> will identify another </w:t>
      </w:r>
      <w:r w:rsidR="001653AA">
        <w:rPr>
          <w:rFonts w:ascii="Cambria" w:hAnsi="Cambria"/>
        </w:rPr>
        <w:t xml:space="preserve">interviewee </w:t>
      </w:r>
      <w:r w:rsidR="00415AF4">
        <w:rPr>
          <w:rFonts w:ascii="Cambria" w:hAnsi="Cambria"/>
        </w:rPr>
        <w:t xml:space="preserve">as a replacement. </w:t>
      </w:r>
    </w:p>
    <w:p w14:paraId="7E555AD5" w14:textId="4E6830A2" w:rsidR="00F52BCC" w:rsidRDefault="00F52BCC" w:rsidP="00147B81">
      <w:pPr>
        <w:spacing w:line="240" w:lineRule="auto"/>
        <w:ind w:left="0"/>
      </w:pPr>
    </w:p>
    <w:p w14:paraId="0E1EA6A6" w14:textId="77777777" w:rsidR="00FF4D83" w:rsidRDefault="00FF4D83" w:rsidP="00147B81">
      <w:pPr>
        <w:spacing w:line="240" w:lineRule="auto"/>
        <w:ind w:left="0"/>
      </w:pPr>
    </w:p>
    <w:p w14:paraId="2B8AA47A" w14:textId="77777777" w:rsidR="001653AA" w:rsidRDefault="00287E2F" w:rsidP="001653AA">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00D4A2FB" w14:textId="77777777" w:rsidR="001D461D" w:rsidRDefault="001D461D" w:rsidP="00147B81">
      <w:pPr>
        <w:spacing w:line="240" w:lineRule="auto"/>
        <w:ind w:left="0"/>
      </w:pPr>
    </w:p>
    <w:p w14:paraId="787D35AC" w14:textId="0521F78A" w:rsidR="001653AA" w:rsidRDefault="00E33BBA" w:rsidP="00FF4D83">
      <w:pPr>
        <w:ind w:left="360"/>
      </w:pPr>
      <w:r>
        <w:t>D</w:t>
      </w:r>
      <w:r w:rsidRPr="003163A2">
        <w:t xml:space="preserve">ata will be collected </w:t>
      </w:r>
      <w:r>
        <w:t>via</w:t>
      </w:r>
      <w:r w:rsidR="001653AA">
        <w:t xml:space="preserve"> two methods: A</w:t>
      </w:r>
      <w:r w:rsidR="0051182F">
        <w:t>n</w:t>
      </w:r>
      <w:r w:rsidR="001653AA">
        <w:t xml:space="preserve"> online survey </w:t>
      </w:r>
      <w:r w:rsidR="0051182F">
        <w:t xml:space="preserve">administered via Survey Monkey </w:t>
      </w:r>
      <w:r w:rsidR="001653AA">
        <w:t xml:space="preserve">(see </w:t>
      </w:r>
      <w:r w:rsidR="001653AA" w:rsidRPr="00773E18">
        <w:rPr>
          <w:b/>
        </w:rPr>
        <w:t xml:space="preserve">Attachment </w:t>
      </w:r>
      <w:r w:rsidR="00885E0C">
        <w:rPr>
          <w:b/>
        </w:rPr>
        <w:t>B</w:t>
      </w:r>
      <w:r w:rsidR="001653AA" w:rsidRPr="00773E18">
        <w:rPr>
          <w:b/>
        </w:rPr>
        <w:t>- Online Survey Instrument: Word Version</w:t>
      </w:r>
      <w:r w:rsidR="001653AA">
        <w:t xml:space="preserve"> and </w:t>
      </w:r>
      <w:r w:rsidR="001653AA" w:rsidRPr="00773E18">
        <w:rPr>
          <w:b/>
        </w:rPr>
        <w:t xml:space="preserve">Attachment </w:t>
      </w:r>
      <w:r w:rsidR="00885E0C">
        <w:rPr>
          <w:b/>
        </w:rPr>
        <w:t>C</w:t>
      </w:r>
      <w:r w:rsidR="001653AA" w:rsidRPr="00773E18">
        <w:rPr>
          <w:b/>
        </w:rPr>
        <w:t>— Online Survey Instrument: Web version</w:t>
      </w:r>
      <w:r w:rsidR="001653AA">
        <w:t>) and</w:t>
      </w:r>
      <w:r w:rsidR="009A5E22">
        <w:t xml:space="preserve"> </w:t>
      </w:r>
      <w:r w:rsidR="0032697F">
        <w:t xml:space="preserve">a </w:t>
      </w:r>
      <w:r w:rsidR="009A5E22">
        <w:t>follow-up</w:t>
      </w:r>
      <w:r w:rsidR="001653AA">
        <w:t xml:space="preserve"> telephone interview (see </w:t>
      </w:r>
      <w:r w:rsidR="001653AA" w:rsidRPr="00773E18">
        <w:rPr>
          <w:b/>
        </w:rPr>
        <w:t xml:space="preserve">Attachment </w:t>
      </w:r>
      <w:r w:rsidR="00885E0C">
        <w:rPr>
          <w:b/>
        </w:rPr>
        <w:t>D</w:t>
      </w:r>
      <w:r w:rsidR="001653AA" w:rsidRPr="00773E18">
        <w:rPr>
          <w:b/>
        </w:rPr>
        <w:t>— Phone Interview Guide</w:t>
      </w:r>
      <w:r w:rsidR="001653AA">
        <w:t xml:space="preserve">). </w:t>
      </w:r>
    </w:p>
    <w:p w14:paraId="7680F40E" w14:textId="77777777" w:rsidR="001653AA" w:rsidRDefault="001653AA" w:rsidP="00FF4D83">
      <w:pPr>
        <w:ind w:left="360"/>
      </w:pPr>
    </w:p>
    <w:p w14:paraId="4C1FAA1B" w14:textId="3E1A8979" w:rsidR="001653AA" w:rsidRDefault="001653AA" w:rsidP="00FF4D83">
      <w:pPr>
        <w:keepNext/>
        <w:keepLines/>
        <w:ind w:left="360"/>
        <w:rPr>
          <w:b/>
          <w:i/>
        </w:rPr>
      </w:pPr>
      <w:r w:rsidRPr="00147B81">
        <w:rPr>
          <w:b/>
          <w:i/>
        </w:rPr>
        <w:t xml:space="preserve">Online </w:t>
      </w:r>
      <w:r w:rsidR="00244FFF">
        <w:rPr>
          <w:b/>
          <w:i/>
        </w:rPr>
        <w:t>S</w:t>
      </w:r>
      <w:r w:rsidRPr="00147B81">
        <w:rPr>
          <w:b/>
          <w:i/>
        </w:rPr>
        <w:t>urvey</w:t>
      </w:r>
    </w:p>
    <w:p w14:paraId="75CDB2BC" w14:textId="1887711C" w:rsidR="00F109D3" w:rsidRDefault="001653AA" w:rsidP="00FF4D83">
      <w:pPr>
        <w:keepNext/>
        <w:keepLines/>
        <w:ind w:left="360"/>
      </w:pPr>
      <w:r>
        <w:t>R</w:t>
      </w:r>
      <w:r w:rsidR="00E33BBA">
        <w:t>espondents</w:t>
      </w:r>
      <w:r w:rsidR="00E33BBA" w:rsidRPr="003163A2">
        <w:t xml:space="preserve"> will be </w:t>
      </w:r>
      <w:r w:rsidR="009A5E22">
        <w:t>invited to participate in the online survey via an email</w:t>
      </w:r>
      <w:r w:rsidR="00E33BBA" w:rsidRPr="003163A2">
        <w:t xml:space="preserve"> </w:t>
      </w:r>
      <w:r w:rsidR="00E33BBA" w:rsidRPr="00BD6687">
        <w:t xml:space="preserve">(see </w:t>
      </w:r>
      <w:r w:rsidR="00E33BBA" w:rsidRPr="00BD6687">
        <w:rPr>
          <w:b/>
        </w:rPr>
        <w:t xml:space="preserve">Attachment </w:t>
      </w:r>
      <w:r w:rsidR="00885E0C">
        <w:rPr>
          <w:b/>
        </w:rPr>
        <w:t>E</w:t>
      </w:r>
      <w:r w:rsidR="00E33BBA" w:rsidRPr="00147B81">
        <w:rPr>
          <w:b/>
        </w:rPr>
        <w:t>—</w:t>
      </w:r>
      <w:r w:rsidR="000237A0" w:rsidRPr="00147B81">
        <w:rPr>
          <w:b/>
        </w:rPr>
        <w:t>Online Survey Invitation Email</w:t>
      </w:r>
      <w:r w:rsidR="00E33BBA" w:rsidRPr="00BD6687">
        <w:t xml:space="preserve">) </w:t>
      </w:r>
      <w:r>
        <w:t>sent t</w:t>
      </w:r>
      <w:r w:rsidR="00E33BBA">
        <w:t>o</w:t>
      </w:r>
      <w:r>
        <w:t xml:space="preserve"> all 80 health directors in the</w:t>
      </w:r>
      <w:r w:rsidR="00E33BBA">
        <w:t xml:space="preserve"> respondent universe</w:t>
      </w:r>
      <w:r w:rsidR="00E33BBA" w:rsidRPr="009011A8">
        <w:t xml:space="preserve">.  </w:t>
      </w:r>
      <w:r w:rsidR="00AE7295">
        <w:t>Names, e</w:t>
      </w:r>
      <w:r w:rsidR="00F109D3">
        <w:t>mail addresses</w:t>
      </w:r>
      <w:r w:rsidR="00AE7295">
        <w:t>, and telephone numbers</w:t>
      </w:r>
      <w:r w:rsidR="00F109D3">
        <w:t xml:space="preserve"> of health directors will be obtained from the records of the </w:t>
      </w:r>
      <w:r w:rsidR="00FB6672">
        <w:t xml:space="preserve">CDC </w:t>
      </w:r>
      <w:r w:rsidR="00F109D3">
        <w:t xml:space="preserve">Office of State, Tribal, Local and Territorial Support </w:t>
      </w:r>
      <w:r w:rsidR="00446AA4">
        <w:t xml:space="preserve">(OSTLTS) </w:t>
      </w:r>
      <w:r w:rsidR="00FB6672">
        <w:t>and from the Big City Health Co</w:t>
      </w:r>
      <w:r w:rsidR="00550B75">
        <w:t>alition</w:t>
      </w:r>
      <w:r w:rsidR="00F109D3">
        <w:t xml:space="preserve">.  </w:t>
      </w:r>
      <w:r w:rsidR="00F44A79">
        <w:t xml:space="preserve">In addition, we will ask OSTLTS to supply information about the size of the population served and governance structure of the health department. </w:t>
      </w:r>
      <w:r w:rsidR="00F109D3">
        <w:t>The notification email will be sent through the email invitation feature in Survey Monkey, which will allow the Public Health Ethics Unit to track participant’s responses</w:t>
      </w:r>
      <w:r w:rsidR="00446AA4">
        <w:t xml:space="preserve"> using the email</w:t>
      </w:r>
      <w:r w:rsidR="0044277C">
        <w:t xml:space="preserve"> address</w:t>
      </w:r>
      <w:r w:rsidR="00446AA4">
        <w:t xml:space="preserve"> provided by OSTLTS</w:t>
      </w:r>
      <w:r w:rsidR="00FB6672">
        <w:t xml:space="preserve"> and the Big City Health Coalition</w:t>
      </w:r>
      <w:r w:rsidR="00F109D3">
        <w:t xml:space="preserve">. </w:t>
      </w:r>
    </w:p>
    <w:p w14:paraId="6F4EC9D5" w14:textId="77777777" w:rsidR="00F109D3" w:rsidRDefault="00F109D3" w:rsidP="00FF4D83">
      <w:pPr>
        <w:ind w:left="360"/>
      </w:pPr>
    </w:p>
    <w:p w14:paraId="3CA1F42E" w14:textId="77777777" w:rsidR="00E33BBA" w:rsidRPr="009011A8" w:rsidRDefault="00E33BBA" w:rsidP="00FF4D83">
      <w:pPr>
        <w:ind w:left="360"/>
      </w:pPr>
      <w:r w:rsidRPr="009011A8">
        <w:t xml:space="preserve">The notification email will explain: </w:t>
      </w:r>
    </w:p>
    <w:p w14:paraId="2C214FAB" w14:textId="77777777" w:rsidR="00E33BBA" w:rsidRDefault="00E33BBA" w:rsidP="00FF4D83">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14FA2D7D" w14:textId="77777777" w:rsidR="00E33BBA" w:rsidRPr="009011A8" w:rsidRDefault="00E33BBA" w:rsidP="00FF4D83">
      <w:pPr>
        <w:pStyle w:val="ListParagraph"/>
        <w:numPr>
          <w:ilvl w:val="0"/>
          <w:numId w:val="24"/>
        </w:numPr>
        <w:ind w:left="1080"/>
      </w:pPr>
      <w:r>
        <w:t>Instructions for participating</w:t>
      </w:r>
    </w:p>
    <w:p w14:paraId="5CAFCA22" w14:textId="77777777" w:rsidR="00E33BBA" w:rsidRPr="009011A8" w:rsidRDefault="00E33BBA" w:rsidP="00FF4D83">
      <w:pPr>
        <w:pStyle w:val="ListParagraph"/>
        <w:numPr>
          <w:ilvl w:val="0"/>
          <w:numId w:val="24"/>
        </w:numPr>
        <w:ind w:left="1080"/>
      </w:pPr>
      <w:r w:rsidRPr="009011A8">
        <w:t xml:space="preserve">Method to safeguard their responses </w:t>
      </w:r>
    </w:p>
    <w:p w14:paraId="5EEA5D41" w14:textId="77777777" w:rsidR="00E33BBA" w:rsidRPr="009011A8" w:rsidRDefault="00E33BBA" w:rsidP="00FF4D83">
      <w:pPr>
        <w:pStyle w:val="ListParagraph"/>
        <w:numPr>
          <w:ilvl w:val="0"/>
          <w:numId w:val="24"/>
        </w:numPr>
        <w:ind w:left="1080"/>
      </w:pPr>
      <w:r w:rsidRPr="009011A8">
        <w:t>That participation is voluntary</w:t>
      </w:r>
    </w:p>
    <w:p w14:paraId="60087DD3" w14:textId="77777777" w:rsidR="000279A9" w:rsidRDefault="00E33BBA" w:rsidP="00FF4D83">
      <w:pPr>
        <w:pStyle w:val="ListParagraph"/>
        <w:numPr>
          <w:ilvl w:val="0"/>
          <w:numId w:val="24"/>
        </w:numPr>
        <w:ind w:left="1080"/>
      </w:pPr>
      <w:r w:rsidRPr="009011A8">
        <w:t xml:space="preserve">The expected time to complete the </w:t>
      </w:r>
      <w:r w:rsidR="006C1771">
        <w:t>instrument</w:t>
      </w:r>
      <w:r w:rsidRPr="009011A8">
        <w:t xml:space="preserve"> </w:t>
      </w:r>
    </w:p>
    <w:p w14:paraId="6C0BA3C5" w14:textId="77777777" w:rsidR="00997398" w:rsidRDefault="00E33BBA" w:rsidP="00997398">
      <w:pPr>
        <w:pStyle w:val="ListParagraph"/>
        <w:numPr>
          <w:ilvl w:val="0"/>
          <w:numId w:val="24"/>
        </w:numPr>
        <w:ind w:left="1080"/>
      </w:pPr>
      <w:r w:rsidRPr="009011A8">
        <w:t xml:space="preserve">Contact information for the </w:t>
      </w:r>
      <w:r w:rsidR="006C1771">
        <w:t>project</w:t>
      </w:r>
      <w:r w:rsidRPr="009011A8">
        <w:t xml:space="preserve"> team</w:t>
      </w:r>
    </w:p>
    <w:p w14:paraId="54771FBA" w14:textId="77777777" w:rsidR="00997398" w:rsidRDefault="00997398" w:rsidP="00997398">
      <w:pPr>
        <w:pStyle w:val="ListParagraph"/>
        <w:ind w:left="0"/>
        <w:rPr>
          <w:rFonts w:ascii="Cambria" w:hAnsi="Cambria"/>
        </w:rPr>
      </w:pPr>
    </w:p>
    <w:p w14:paraId="6DF5FF15" w14:textId="174B1B1E" w:rsidR="00997398" w:rsidRPr="00997398" w:rsidRDefault="000237A0" w:rsidP="00997398">
      <w:pPr>
        <w:ind w:left="345"/>
        <w:rPr>
          <w:rFonts w:ascii="Cambria" w:hAnsi="Cambria"/>
        </w:rPr>
      </w:pPr>
      <w:r w:rsidRPr="00997398">
        <w:rPr>
          <w:rFonts w:ascii="Cambria" w:hAnsi="Cambria"/>
        </w:rPr>
        <w:t xml:space="preserve">The </w:t>
      </w:r>
      <w:r w:rsidR="00F109D3" w:rsidRPr="00997398">
        <w:rPr>
          <w:rFonts w:ascii="Cambria" w:hAnsi="Cambria"/>
        </w:rPr>
        <w:t xml:space="preserve">invitation </w:t>
      </w:r>
      <w:r w:rsidRPr="00997398">
        <w:rPr>
          <w:rFonts w:ascii="Cambria" w:hAnsi="Cambria"/>
        </w:rPr>
        <w:t xml:space="preserve">email will </w:t>
      </w:r>
      <w:r w:rsidR="009A5E22" w:rsidRPr="00997398">
        <w:rPr>
          <w:rFonts w:ascii="Cambria" w:hAnsi="Cambria"/>
        </w:rPr>
        <w:t>explain that the respondent may designate an alternative staff member to complete the survey</w:t>
      </w:r>
      <w:r w:rsidR="00997398">
        <w:rPr>
          <w:rFonts w:ascii="Cambria" w:hAnsi="Cambria"/>
        </w:rPr>
        <w:t xml:space="preserve"> on their behalf</w:t>
      </w:r>
      <w:r w:rsidR="009A5E22" w:rsidRPr="00997398">
        <w:rPr>
          <w:rFonts w:ascii="Cambria" w:hAnsi="Cambria"/>
        </w:rPr>
        <w:t xml:space="preserve">, especially if that person is more involved with </w:t>
      </w:r>
      <w:r w:rsidR="004D2B02" w:rsidRPr="00997398">
        <w:rPr>
          <w:rFonts w:ascii="Cambria" w:hAnsi="Cambria"/>
        </w:rPr>
        <w:t xml:space="preserve">public health </w:t>
      </w:r>
      <w:r w:rsidR="009A5E22" w:rsidRPr="00997398">
        <w:rPr>
          <w:rFonts w:ascii="Cambria" w:hAnsi="Cambria"/>
        </w:rPr>
        <w:t xml:space="preserve">ethics activities.  </w:t>
      </w:r>
      <w:r w:rsidR="00446AA4" w:rsidRPr="00997398">
        <w:rPr>
          <w:rFonts w:ascii="Cambria" w:hAnsi="Cambria"/>
        </w:rPr>
        <w:t>The survey will be embedded into the invitation email</w:t>
      </w:r>
      <w:r w:rsidR="0044277C" w:rsidRPr="00997398">
        <w:rPr>
          <w:rFonts w:ascii="Cambria" w:hAnsi="Cambria"/>
        </w:rPr>
        <w:t xml:space="preserve"> </w:t>
      </w:r>
      <w:r w:rsidR="00446AA4" w:rsidRPr="00997398">
        <w:rPr>
          <w:rFonts w:ascii="Cambria" w:hAnsi="Cambria"/>
        </w:rPr>
        <w:t xml:space="preserve">and can be accessed by pressing the “Begin Survey” button. </w:t>
      </w:r>
      <w:r w:rsidR="009A5E22" w:rsidRPr="00997398">
        <w:rPr>
          <w:rFonts w:ascii="Cambria" w:hAnsi="Cambria"/>
        </w:rPr>
        <w:t>The surve</w:t>
      </w:r>
      <w:r w:rsidR="00F109D3" w:rsidRPr="00997398">
        <w:rPr>
          <w:rFonts w:ascii="Cambria" w:hAnsi="Cambria"/>
        </w:rPr>
        <w:t>y</w:t>
      </w:r>
      <w:r w:rsidR="009A5E22" w:rsidRPr="00997398">
        <w:rPr>
          <w:rFonts w:ascii="Cambria" w:hAnsi="Cambria"/>
        </w:rPr>
        <w:t xml:space="preserve"> will be live for </w:t>
      </w:r>
      <w:r w:rsidRPr="00997398">
        <w:rPr>
          <w:rFonts w:ascii="Cambria" w:hAnsi="Cambria"/>
        </w:rPr>
        <w:t>a three week (15 business days) period to allow ample time for resp</w:t>
      </w:r>
      <w:r w:rsidR="009A5E22" w:rsidRPr="00997398">
        <w:rPr>
          <w:rFonts w:ascii="Cambria" w:hAnsi="Cambria"/>
        </w:rPr>
        <w:t>onse</w:t>
      </w:r>
      <w:r w:rsidRPr="00997398">
        <w:rPr>
          <w:rFonts w:ascii="Cambria" w:hAnsi="Cambria"/>
        </w:rPr>
        <w:t xml:space="preserve">. </w:t>
      </w:r>
      <w:r w:rsidRPr="00997398">
        <w:rPr>
          <w:rFonts w:ascii="Cambria" w:hAnsi="Cambria" w:cs="Times New Roman"/>
        </w:rPr>
        <w:t xml:space="preserve"> </w:t>
      </w:r>
      <w:r w:rsidR="009A5E22" w:rsidRPr="00997398">
        <w:rPr>
          <w:rFonts w:ascii="Cambria" w:hAnsi="Cambria" w:cs="Times New Roman"/>
        </w:rPr>
        <w:t xml:space="preserve">To minimize non-response, </w:t>
      </w:r>
      <w:r w:rsidRPr="00997398">
        <w:rPr>
          <w:rFonts w:ascii="Cambria" w:hAnsi="Cambria"/>
        </w:rPr>
        <w:t>a reminder email will be sent to non-responde</w:t>
      </w:r>
      <w:r w:rsidR="00B310B0" w:rsidRPr="00997398">
        <w:rPr>
          <w:rFonts w:ascii="Cambria" w:hAnsi="Cambria"/>
        </w:rPr>
        <w:t>rs</w:t>
      </w:r>
      <w:r w:rsidR="009A5E22" w:rsidRPr="00997398">
        <w:rPr>
          <w:rFonts w:ascii="Cambria" w:hAnsi="Cambria"/>
        </w:rPr>
        <w:t xml:space="preserve"> the s</w:t>
      </w:r>
      <w:r w:rsidRPr="00997398">
        <w:rPr>
          <w:rFonts w:ascii="Cambria" w:hAnsi="Cambria"/>
        </w:rPr>
        <w:t>econd week following the initial invitation (</w:t>
      </w:r>
      <w:r w:rsidR="00B310B0" w:rsidRPr="00997398">
        <w:rPr>
          <w:rFonts w:ascii="Cambria" w:hAnsi="Cambria"/>
        </w:rPr>
        <w:t>9</w:t>
      </w:r>
      <w:r w:rsidRPr="00997398">
        <w:rPr>
          <w:rFonts w:ascii="Cambria" w:hAnsi="Cambria"/>
          <w:vertAlign w:val="superscript"/>
        </w:rPr>
        <w:t>th</w:t>
      </w:r>
      <w:r w:rsidRPr="00997398">
        <w:rPr>
          <w:rFonts w:ascii="Cambria" w:hAnsi="Cambria"/>
        </w:rPr>
        <w:t xml:space="preserve"> business day) (see </w:t>
      </w:r>
      <w:r w:rsidRPr="00997398">
        <w:rPr>
          <w:rFonts w:ascii="Cambria" w:hAnsi="Cambria"/>
          <w:b/>
        </w:rPr>
        <w:t xml:space="preserve">Attachment </w:t>
      </w:r>
      <w:r w:rsidR="00885E0C" w:rsidRPr="00997398">
        <w:rPr>
          <w:rFonts w:ascii="Cambria" w:hAnsi="Cambria"/>
          <w:b/>
        </w:rPr>
        <w:t>F</w:t>
      </w:r>
      <w:r w:rsidRPr="00997398">
        <w:rPr>
          <w:rFonts w:ascii="Cambria" w:hAnsi="Cambria"/>
          <w:b/>
        </w:rPr>
        <w:t>—Online Survey Reminder Email 1</w:t>
      </w:r>
      <w:r w:rsidRPr="00997398">
        <w:rPr>
          <w:rFonts w:ascii="Cambria" w:hAnsi="Cambria"/>
        </w:rPr>
        <w:t>) and a second/final reminder will be sent the day before the assessment ends (14</w:t>
      </w:r>
      <w:r w:rsidRPr="00997398">
        <w:rPr>
          <w:rFonts w:ascii="Cambria" w:hAnsi="Cambria"/>
          <w:vertAlign w:val="superscript"/>
        </w:rPr>
        <w:t>th</w:t>
      </w:r>
      <w:r w:rsidRPr="00997398">
        <w:rPr>
          <w:rFonts w:ascii="Cambria" w:hAnsi="Cambria"/>
        </w:rPr>
        <w:t xml:space="preserve"> business day) (see </w:t>
      </w:r>
      <w:r w:rsidRPr="00997398">
        <w:rPr>
          <w:rFonts w:ascii="Cambria" w:hAnsi="Cambria"/>
          <w:b/>
        </w:rPr>
        <w:t xml:space="preserve">Attachment </w:t>
      </w:r>
      <w:r w:rsidR="00885E0C" w:rsidRPr="00997398">
        <w:rPr>
          <w:rFonts w:ascii="Cambria" w:hAnsi="Cambria"/>
          <w:b/>
        </w:rPr>
        <w:t>G</w:t>
      </w:r>
      <w:r w:rsidRPr="00997398">
        <w:rPr>
          <w:rFonts w:ascii="Cambria" w:hAnsi="Cambria"/>
          <w:b/>
        </w:rPr>
        <w:t>—Online Survey Reminder Email 2</w:t>
      </w:r>
      <w:r w:rsidRPr="00997398">
        <w:rPr>
          <w:rFonts w:ascii="Cambria" w:hAnsi="Cambria"/>
        </w:rPr>
        <w:t>). T</w:t>
      </w:r>
      <w:r w:rsidRPr="00997398">
        <w:rPr>
          <w:rFonts w:cs="Arial"/>
        </w:rPr>
        <w:t xml:space="preserve">hose who do not respond </w:t>
      </w:r>
      <w:r w:rsidR="009A5E22" w:rsidRPr="00997398">
        <w:rPr>
          <w:rFonts w:cs="Arial"/>
        </w:rPr>
        <w:t>before the survey closes on the 15</w:t>
      </w:r>
      <w:r w:rsidR="009A5E22" w:rsidRPr="00997398">
        <w:rPr>
          <w:rFonts w:cs="Arial"/>
          <w:vertAlign w:val="superscript"/>
        </w:rPr>
        <w:t>th</w:t>
      </w:r>
      <w:r w:rsidR="009A5E22" w:rsidRPr="00997398">
        <w:rPr>
          <w:rFonts w:cs="Arial"/>
        </w:rPr>
        <w:t xml:space="preserve"> business day will be considered non-responders. </w:t>
      </w:r>
      <w:r w:rsidRPr="00997398">
        <w:rPr>
          <w:rFonts w:ascii="Cambria" w:hAnsi="Cambria"/>
        </w:rPr>
        <w:t xml:space="preserve"> </w:t>
      </w:r>
    </w:p>
    <w:p w14:paraId="79AB7706" w14:textId="77777777" w:rsidR="00997398" w:rsidRDefault="00997398" w:rsidP="00997398">
      <w:pPr>
        <w:pStyle w:val="ListParagraph"/>
        <w:ind w:left="1080"/>
        <w:rPr>
          <w:rFonts w:ascii="Cambria" w:hAnsi="Cambria"/>
        </w:rPr>
      </w:pPr>
    </w:p>
    <w:p w14:paraId="4B60FAB9" w14:textId="74EE298A" w:rsidR="000237A0" w:rsidRPr="00997398" w:rsidRDefault="000237A0" w:rsidP="00997398">
      <w:pPr>
        <w:ind w:left="345"/>
      </w:pPr>
      <w:r w:rsidRPr="00997398">
        <w:rPr>
          <w:rFonts w:ascii="Cambria" w:hAnsi="Cambria"/>
        </w:rPr>
        <w:t xml:space="preserve">Information collected from the </w:t>
      </w:r>
      <w:r w:rsidR="004D2B02" w:rsidRPr="00997398">
        <w:rPr>
          <w:rFonts w:ascii="Cambria" w:hAnsi="Cambria"/>
        </w:rPr>
        <w:t>online survey</w:t>
      </w:r>
      <w:r w:rsidRPr="00997398">
        <w:rPr>
          <w:rFonts w:ascii="Cambria" w:hAnsi="Cambria"/>
        </w:rPr>
        <w:t xml:space="preserve"> will be stored in a secure environment maintained by </w:t>
      </w:r>
      <w:r w:rsidR="009A5E22" w:rsidRPr="00997398">
        <w:rPr>
          <w:rFonts w:ascii="Cambria" w:hAnsi="Cambria"/>
        </w:rPr>
        <w:t>the Public Health Ethics Unit</w:t>
      </w:r>
      <w:r w:rsidRPr="00997398">
        <w:rPr>
          <w:rFonts w:ascii="Cambria" w:hAnsi="Cambria"/>
        </w:rPr>
        <w:t xml:space="preserve">. Once the </w:t>
      </w:r>
      <w:r w:rsidR="009A5E22" w:rsidRPr="00997398">
        <w:rPr>
          <w:rFonts w:ascii="Cambria" w:hAnsi="Cambria"/>
        </w:rPr>
        <w:t>survey is c</w:t>
      </w:r>
      <w:r w:rsidRPr="00997398">
        <w:rPr>
          <w:rFonts w:ascii="Cambria" w:hAnsi="Cambria"/>
        </w:rPr>
        <w:t>losed</w:t>
      </w:r>
      <w:r w:rsidR="0044277C" w:rsidRPr="00997398">
        <w:rPr>
          <w:rFonts w:ascii="Cambria" w:hAnsi="Cambria"/>
        </w:rPr>
        <w:t xml:space="preserve">, responses </w:t>
      </w:r>
      <w:r w:rsidRPr="00997398">
        <w:rPr>
          <w:rFonts w:ascii="Cambria" w:hAnsi="Cambria"/>
        </w:rPr>
        <w:t>will be downloaded from Survey</w:t>
      </w:r>
      <w:r w:rsidR="00415AF4" w:rsidRPr="00997398">
        <w:rPr>
          <w:rFonts w:ascii="Cambria" w:hAnsi="Cambria"/>
        </w:rPr>
        <w:t xml:space="preserve"> </w:t>
      </w:r>
      <w:r w:rsidRPr="00997398">
        <w:rPr>
          <w:rFonts w:ascii="Cambria" w:hAnsi="Cambria"/>
        </w:rPr>
        <w:t xml:space="preserve">Monkey into an Excel spreadsheet file.  Data will be reviewed for completion and simple descriptive statistics will be run </w:t>
      </w:r>
      <w:r w:rsidR="004D2B02" w:rsidRPr="00997398">
        <w:rPr>
          <w:rFonts w:ascii="Cambria" w:hAnsi="Cambria"/>
        </w:rPr>
        <w:t>exam</w:t>
      </w:r>
      <w:r w:rsidR="00F41AE0" w:rsidRPr="00997398">
        <w:rPr>
          <w:rFonts w:ascii="Cambria" w:hAnsi="Cambria"/>
        </w:rPr>
        <w:t>in</w:t>
      </w:r>
      <w:r w:rsidR="004D2B02" w:rsidRPr="00997398">
        <w:rPr>
          <w:rFonts w:ascii="Cambria" w:hAnsi="Cambria"/>
        </w:rPr>
        <w:t>ing</w:t>
      </w:r>
      <w:r w:rsidRPr="00997398">
        <w:rPr>
          <w:rFonts w:ascii="Cambria" w:hAnsi="Cambria"/>
        </w:rPr>
        <w:t xml:space="preserve"> response frequencies.  Depending on the response distribution, frequencies may be cross-tabulated to identify response similarities and differences between subgroups of respondents</w:t>
      </w:r>
      <w:r w:rsidR="0044277C" w:rsidRPr="00997398">
        <w:rPr>
          <w:rFonts w:ascii="Cambria" w:hAnsi="Cambria"/>
        </w:rPr>
        <w:t xml:space="preserve"> (e.g. state vs. local health departments, accredited vs non-accredited health departments).</w:t>
      </w:r>
      <w:r w:rsidR="00A76CA6" w:rsidRPr="00A76CA6">
        <w:t xml:space="preserve"> </w:t>
      </w:r>
      <w:r w:rsidR="00A76CA6" w:rsidRPr="00997398">
        <w:rPr>
          <w:rFonts w:ascii="Cambria" w:hAnsi="Cambria"/>
        </w:rPr>
        <w:t>On March 6, 2018, the Office of the Chief Information Officer approved the “Third-Party Site Security Plan” for use of Survey Monkey for administration of the online survey.</w:t>
      </w:r>
    </w:p>
    <w:p w14:paraId="45C7663F" w14:textId="6676AD66" w:rsidR="00244FFF" w:rsidRDefault="00244FFF" w:rsidP="00FF4D83">
      <w:pPr>
        <w:spacing w:line="240" w:lineRule="auto"/>
        <w:ind w:left="0"/>
        <w:rPr>
          <w:b/>
          <w:i/>
        </w:rPr>
      </w:pPr>
    </w:p>
    <w:p w14:paraId="4CD5A936" w14:textId="108A0925" w:rsidR="000237A0" w:rsidRDefault="000237A0" w:rsidP="0097254D">
      <w:pPr>
        <w:spacing w:line="240" w:lineRule="auto"/>
        <w:ind w:left="345"/>
        <w:rPr>
          <w:b/>
          <w:i/>
        </w:rPr>
      </w:pPr>
      <w:r w:rsidRPr="00147B81">
        <w:rPr>
          <w:b/>
          <w:i/>
        </w:rPr>
        <w:t>Telephone Interview</w:t>
      </w:r>
      <w:r w:rsidR="00581DA1">
        <w:rPr>
          <w:b/>
          <w:i/>
        </w:rPr>
        <w:t>s</w:t>
      </w:r>
    </w:p>
    <w:p w14:paraId="36E9ADF6" w14:textId="0477C67B" w:rsidR="008016B5" w:rsidRDefault="009A5E22" w:rsidP="0097254D">
      <w:pPr>
        <w:ind w:left="345"/>
      </w:pPr>
      <w:r>
        <w:rPr>
          <w:rFonts w:ascii="Cambria" w:hAnsi="Cambria"/>
        </w:rPr>
        <w:t xml:space="preserve">Potential participants will be recruited for </w:t>
      </w:r>
      <w:r w:rsidR="004D2B02">
        <w:rPr>
          <w:rFonts w:ascii="Cambria" w:hAnsi="Cambria"/>
        </w:rPr>
        <w:t>a</w:t>
      </w:r>
      <w:r>
        <w:rPr>
          <w:rFonts w:ascii="Cambria" w:hAnsi="Cambria"/>
        </w:rPr>
        <w:t xml:space="preserve"> </w:t>
      </w:r>
      <w:r w:rsidR="009F2C17">
        <w:rPr>
          <w:rFonts w:ascii="Cambria" w:hAnsi="Cambria"/>
        </w:rPr>
        <w:t>telephone interview via an invitation email</w:t>
      </w:r>
      <w:r w:rsidR="00415AF4">
        <w:rPr>
          <w:rFonts w:ascii="Cambria" w:hAnsi="Cambria"/>
        </w:rPr>
        <w:t xml:space="preserve"> </w:t>
      </w:r>
      <w:r w:rsidR="000237A0" w:rsidRPr="00BD6687">
        <w:rPr>
          <w:rFonts w:ascii="Cambria" w:hAnsi="Cambria"/>
        </w:rPr>
        <w:t>(see</w:t>
      </w:r>
      <w:r w:rsidR="00D669FB" w:rsidRPr="00BD6687">
        <w:rPr>
          <w:rFonts w:ascii="Cambria" w:hAnsi="Cambria"/>
          <w:b/>
        </w:rPr>
        <w:t xml:space="preserve"> </w:t>
      </w:r>
      <w:r w:rsidR="00885E0C" w:rsidRPr="00BD6687">
        <w:rPr>
          <w:rFonts w:ascii="Cambria" w:hAnsi="Cambria"/>
          <w:b/>
        </w:rPr>
        <w:t>Attachment</w:t>
      </w:r>
      <w:r w:rsidR="00244FFF">
        <w:rPr>
          <w:rFonts w:ascii="Cambria" w:hAnsi="Cambria"/>
          <w:b/>
        </w:rPr>
        <w:t xml:space="preserve"> </w:t>
      </w:r>
      <w:r w:rsidR="00885E0C">
        <w:rPr>
          <w:rFonts w:ascii="Cambria" w:hAnsi="Cambria"/>
          <w:b/>
        </w:rPr>
        <w:t>H</w:t>
      </w:r>
      <w:r w:rsidR="000237A0" w:rsidRPr="00BD6687">
        <w:rPr>
          <w:rFonts w:ascii="Cambria" w:hAnsi="Cambria"/>
          <w:b/>
        </w:rPr>
        <w:t>—</w:t>
      </w:r>
      <w:r w:rsidR="004D2B02">
        <w:rPr>
          <w:rFonts w:ascii="Cambria" w:hAnsi="Cambria"/>
          <w:b/>
        </w:rPr>
        <w:t>Telep</w:t>
      </w:r>
      <w:r w:rsidR="000237A0" w:rsidRPr="00BD6687">
        <w:rPr>
          <w:rFonts w:ascii="Cambria" w:hAnsi="Cambria"/>
          <w:b/>
        </w:rPr>
        <w:t>hone Interview Invitation Em</w:t>
      </w:r>
      <w:r w:rsidR="000237A0" w:rsidRPr="00A56106">
        <w:rPr>
          <w:rFonts w:ascii="Cambria" w:hAnsi="Cambria"/>
          <w:b/>
        </w:rPr>
        <w:t>ai</w:t>
      </w:r>
      <w:r w:rsidR="00415AF4" w:rsidRPr="0032697F">
        <w:rPr>
          <w:rFonts w:ascii="Cambria" w:hAnsi="Cambria"/>
          <w:b/>
        </w:rPr>
        <w:t>l</w:t>
      </w:r>
      <w:r w:rsidR="00415AF4">
        <w:rPr>
          <w:rFonts w:ascii="Cambria" w:hAnsi="Cambria"/>
        </w:rPr>
        <w:t xml:space="preserve">). Participants will </w:t>
      </w:r>
      <w:r w:rsidR="0032697F">
        <w:rPr>
          <w:rFonts w:ascii="Cambria" w:hAnsi="Cambria"/>
        </w:rPr>
        <w:t>only receive an invitation to be interviewed if they have demonstrated interest</w:t>
      </w:r>
      <w:r w:rsidR="00B310B0">
        <w:rPr>
          <w:rFonts w:ascii="Cambria" w:hAnsi="Cambria"/>
        </w:rPr>
        <w:t xml:space="preserve"> (respond</w:t>
      </w:r>
      <w:r w:rsidR="00FF7DE9">
        <w:rPr>
          <w:rFonts w:ascii="Cambria" w:hAnsi="Cambria"/>
        </w:rPr>
        <w:t>ed</w:t>
      </w:r>
      <w:r w:rsidR="00B310B0">
        <w:rPr>
          <w:rFonts w:ascii="Cambria" w:hAnsi="Cambria"/>
        </w:rPr>
        <w:t xml:space="preserve"> yes to </w:t>
      </w:r>
      <w:r w:rsidR="0032697F">
        <w:rPr>
          <w:rFonts w:ascii="Cambria" w:hAnsi="Cambria"/>
        </w:rPr>
        <w:t>question 3</w:t>
      </w:r>
      <w:r w:rsidR="00F068A0">
        <w:rPr>
          <w:rFonts w:ascii="Cambria" w:hAnsi="Cambria"/>
        </w:rPr>
        <w:t>3</w:t>
      </w:r>
      <w:r w:rsidR="0032697F">
        <w:rPr>
          <w:rFonts w:ascii="Cambria" w:hAnsi="Cambria"/>
        </w:rPr>
        <w:t xml:space="preserve"> o</w:t>
      </w:r>
      <w:r w:rsidR="004D2B02">
        <w:rPr>
          <w:rFonts w:ascii="Cambria" w:hAnsi="Cambria"/>
        </w:rPr>
        <w:t>n</w:t>
      </w:r>
      <w:r w:rsidR="0032697F">
        <w:rPr>
          <w:rFonts w:ascii="Cambria" w:hAnsi="Cambria"/>
        </w:rPr>
        <w:t xml:space="preserve"> the online survey</w:t>
      </w:r>
      <w:r w:rsidR="00FF7DE9">
        <w:rPr>
          <w:rFonts w:ascii="Cambria" w:hAnsi="Cambria"/>
        </w:rPr>
        <w:t xml:space="preserve"> - </w:t>
      </w:r>
      <w:r w:rsidR="00FF7DE9" w:rsidRPr="00FF7DE9">
        <w:rPr>
          <w:rFonts w:ascii="Cambria" w:hAnsi="Cambria"/>
        </w:rPr>
        <w:t>Are you willing to participate in a telephone interview?</w:t>
      </w:r>
      <w:r w:rsidR="00FF7DE9">
        <w:rPr>
          <w:rFonts w:ascii="Cambria" w:hAnsi="Cambria"/>
        </w:rPr>
        <w:t>)</w:t>
      </w:r>
      <w:r w:rsidR="000237A0" w:rsidRPr="00BD6687">
        <w:rPr>
          <w:rFonts w:ascii="Cambria" w:hAnsi="Cambria"/>
        </w:rPr>
        <w:t xml:space="preserve">. If the participant does not respond to the </w:t>
      </w:r>
      <w:r w:rsidR="00B40F52">
        <w:rPr>
          <w:rFonts w:ascii="Cambria" w:hAnsi="Cambria"/>
        </w:rPr>
        <w:t xml:space="preserve">invitation </w:t>
      </w:r>
      <w:r w:rsidR="000237A0" w:rsidRPr="00BD6687">
        <w:rPr>
          <w:rFonts w:ascii="Cambria" w:hAnsi="Cambria"/>
        </w:rPr>
        <w:t>email within</w:t>
      </w:r>
      <w:r w:rsidR="009F2C17">
        <w:rPr>
          <w:rFonts w:ascii="Cambria" w:hAnsi="Cambria"/>
        </w:rPr>
        <w:t xml:space="preserve"> one week (5 business days)</w:t>
      </w:r>
      <w:r w:rsidR="0044277C">
        <w:rPr>
          <w:rFonts w:ascii="Cambria" w:hAnsi="Cambria"/>
        </w:rPr>
        <w:t xml:space="preserve">, </w:t>
      </w:r>
      <w:r w:rsidR="000237A0" w:rsidRPr="00BD6687">
        <w:rPr>
          <w:rFonts w:ascii="Cambria" w:hAnsi="Cambria"/>
        </w:rPr>
        <w:t>a second email will be sent (see</w:t>
      </w:r>
      <w:r w:rsidR="00D669FB" w:rsidRPr="00BD6687">
        <w:rPr>
          <w:rFonts w:ascii="Cambria" w:hAnsi="Cambria"/>
          <w:b/>
        </w:rPr>
        <w:t xml:space="preserve"> Attachment </w:t>
      </w:r>
      <w:r w:rsidR="00885E0C">
        <w:rPr>
          <w:rFonts w:ascii="Cambria" w:hAnsi="Cambria"/>
          <w:b/>
        </w:rPr>
        <w:t>I</w:t>
      </w:r>
      <w:r w:rsidR="000237A0" w:rsidRPr="00BD6687">
        <w:rPr>
          <w:rFonts w:ascii="Cambria" w:hAnsi="Cambria"/>
          <w:b/>
        </w:rPr>
        <w:t>—</w:t>
      </w:r>
      <w:r w:rsidR="004D2B02">
        <w:rPr>
          <w:rFonts w:ascii="Cambria" w:hAnsi="Cambria"/>
          <w:b/>
        </w:rPr>
        <w:t>Telep</w:t>
      </w:r>
      <w:r w:rsidR="000237A0" w:rsidRPr="00BD6687">
        <w:rPr>
          <w:rFonts w:ascii="Cambria" w:hAnsi="Cambria"/>
          <w:b/>
        </w:rPr>
        <w:t>hone Interview Reminder Email</w:t>
      </w:r>
      <w:r w:rsidR="000237A0" w:rsidRPr="00BD6687">
        <w:rPr>
          <w:rFonts w:ascii="Cambria" w:hAnsi="Cambria"/>
        </w:rPr>
        <w:t xml:space="preserve">). </w:t>
      </w:r>
      <w:r w:rsidR="000237A0" w:rsidRPr="001556D1">
        <w:rPr>
          <w:rFonts w:ascii="Cambria" w:hAnsi="Cambria"/>
        </w:rPr>
        <w:t xml:space="preserve">If the participant cannot be contacted </w:t>
      </w:r>
      <w:r w:rsidR="00446AA4">
        <w:rPr>
          <w:rFonts w:ascii="Cambria" w:hAnsi="Cambria"/>
        </w:rPr>
        <w:t xml:space="preserve">within three business days of the reminder email, </w:t>
      </w:r>
      <w:r w:rsidR="000237A0" w:rsidRPr="001556D1">
        <w:rPr>
          <w:rFonts w:ascii="Cambria" w:hAnsi="Cambria"/>
        </w:rPr>
        <w:t>or declines to participate, a replacement will be</w:t>
      </w:r>
      <w:r w:rsidR="009F2C17">
        <w:rPr>
          <w:rFonts w:ascii="Cambria" w:hAnsi="Cambria"/>
        </w:rPr>
        <w:t xml:space="preserve"> identified by </w:t>
      </w:r>
      <w:r w:rsidR="004D2B02">
        <w:rPr>
          <w:rFonts w:ascii="Cambria" w:hAnsi="Cambria"/>
        </w:rPr>
        <w:t xml:space="preserve">the </w:t>
      </w:r>
      <w:r w:rsidR="000237A0">
        <w:rPr>
          <w:rFonts w:ascii="Cambria" w:hAnsi="Cambria"/>
        </w:rPr>
        <w:t xml:space="preserve">project </w:t>
      </w:r>
      <w:r w:rsidR="004D2B02">
        <w:rPr>
          <w:rFonts w:ascii="Cambria" w:hAnsi="Cambria"/>
        </w:rPr>
        <w:t>lead</w:t>
      </w:r>
      <w:r w:rsidR="0044277C">
        <w:rPr>
          <w:rFonts w:ascii="Cambria" w:hAnsi="Cambria"/>
        </w:rPr>
        <w:t>. Replacement participants</w:t>
      </w:r>
      <w:r w:rsidR="009F2C17">
        <w:rPr>
          <w:rFonts w:ascii="Cambria" w:hAnsi="Cambria"/>
        </w:rPr>
        <w:t xml:space="preserve"> will be sent the original invitation email.</w:t>
      </w:r>
      <w:r w:rsidR="000237A0" w:rsidRPr="001556D1">
        <w:rPr>
          <w:rFonts w:ascii="Cambria" w:hAnsi="Cambria"/>
        </w:rPr>
        <w:t xml:space="preserve"> </w:t>
      </w:r>
      <w:r w:rsidR="000237A0">
        <w:rPr>
          <w:rFonts w:ascii="Cambria" w:hAnsi="Cambria"/>
        </w:rPr>
        <w:t>Telephone i</w:t>
      </w:r>
      <w:r w:rsidR="000237A0" w:rsidRPr="001556D1">
        <w:rPr>
          <w:rFonts w:ascii="Cambria" w:hAnsi="Cambria"/>
        </w:rPr>
        <w:t xml:space="preserve">nterviews will be conducted </w:t>
      </w:r>
      <w:r w:rsidR="004D2B02">
        <w:rPr>
          <w:rFonts w:ascii="Cambria" w:hAnsi="Cambria"/>
        </w:rPr>
        <w:t xml:space="preserve">with individual respondents </w:t>
      </w:r>
      <w:r w:rsidR="000237A0" w:rsidRPr="001556D1">
        <w:rPr>
          <w:rFonts w:ascii="Cambria" w:hAnsi="Cambria"/>
        </w:rPr>
        <w:t>by</w:t>
      </w:r>
      <w:r w:rsidR="00581DA1">
        <w:rPr>
          <w:rFonts w:ascii="Cambria" w:hAnsi="Cambria"/>
        </w:rPr>
        <w:t xml:space="preserve"> CDC </w:t>
      </w:r>
      <w:r w:rsidR="00150368">
        <w:rPr>
          <w:rFonts w:ascii="Cambria" w:hAnsi="Cambria"/>
        </w:rPr>
        <w:t xml:space="preserve">Public </w:t>
      </w:r>
      <w:r w:rsidR="00581DA1">
        <w:rPr>
          <w:rFonts w:ascii="Cambria" w:hAnsi="Cambria"/>
        </w:rPr>
        <w:t>Ethics Unit</w:t>
      </w:r>
      <w:r w:rsidR="000237A0" w:rsidRPr="001556D1">
        <w:rPr>
          <w:rFonts w:ascii="Cambria" w:hAnsi="Cambria"/>
        </w:rPr>
        <w:t xml:space="preserve"> </w:t>
      </w:r>
      <w:r w:rsidR="009F2C17">
        <w:rPr>
          <w:rFonts w:ascii="Cambria" w:hAnsi="Cambria"/>
        </w:rPr>
        <w:t xml:space="preserve">project </w:t>
      </w:r>
      <w:r w:rsidR="0040426A">
        <w:rPr>
          <w:rFonts w:ascii="Cambria" w:hAnsi="Cambria"/>
        </w:rPr>
        <w:t>team members</w:t>
      </w:r>
      <w:r w:rsidR="009F2C17">
        <w:rPr>
          <w:rFonts w:ascii="Cambria" w:hAnsi="Cambria"/>
        </w:rPr>
        <w:t xml:space="preserve">. </w:t>
      </w:r>
      <w:r w:rsidR="008016B5">
        <w:rPr>
          <w:rFonts w:ascii="Cambria" w:hAnsi="Cambria"/>
        </w:rPr>
        <w:t xml:space="preserve"> </w:t>
      </w:r>
      <w:r w:rsidR="008016B5">
        <w:t xml:space="preserve">If there are fewer than 2 survey respondents willing to participate in a telephone interview per stratum, we will consider conducting additional interviews in the other stratum, not to exceed 8 total interviews.  </w:t>
      </w:r>
    </w:p>
    <w:p w14:paraId="3DC37D1A" w14:textId="77777777" w:rsidR="000237A0" w:rsidRDefault="000237A0" w:rsidP="0097254D">
      <w:pPr>
        <w:pStyle w:val="ListParagraph"/>
        <w:ind w:left="345"/>
        <w:rPr>
          <w:rFonts w:ascii="Cambria" w:hAnsi="Cambria"/>
        </w:rPr>
      </w:pPr>
    </w:p>
    <w:p w14:paraId="7E3F6D5D" w14:textId="7B506E69" w:rsidR="000237A0" w:rsidRDefault="00B22710" w:rsidP="0097254D">
      <w:pPr>
        <w:pStyle w:val="ListParagraph"/>
        <w:ind w:left="345"/>
        <w:rPr>
          <w:rFonts w:ascii="Cambria" w:hAnsi="Cambria"/>
        </w:rPr>
      </w:pPr>
      <w:r>
        <w:t xml:space="preserve">As with the online survey, interview candidates will be informed that participation in the telephone interview is voluntary. </w:t>
      </w:r>
      <w:r w:rsidR="000237A0" w:rsidRPr="001556D1">
        <w:rPr>
          <w:rFonts w:ascii="Cambria" w:hAnsi="Cambria"/>
        </w:rPr>
        <w:t>All</w:t>
      </w:r>
      <w:r w:rsidR="000237A0">
        <w:rPr>
          <w:rFonts w:ascii="Cambria" w:hAnsi="Cambria"/>
        </w:rPr>
        <w:t xml:space="preserve"> telephone</w:t>
      </w:r>
      <w:r w:rsidR="000237A0" w:rsidRPr="001556D1">
        <w:rPr>
          <w:rFonts w:ascii="Cambria" w:hAnsi="Cambria"/>
        </w:rPr>
        <w:t xml:space="preserve"> interviews will be</w:t>
      </w:r>
      <w:r w:rsidR="000237A0">
        <w:rPr>
          <w:rFonts w:ascii="Cambria" w:hAnsi="Cambria"/>
        </w:rPr>
        <w:t xml:space="preserve"> recorded and transcribed. </w:t>
      </w:r>
      <w:r w:rsidR="000237A0" w:rsidRPr="001556D1">
        <w:rPr>
          <w:rFonts w:ascii="Cambria" w:hAnsi="Cambria"/>
        </w:rPr>
        <w:t xml:space="preserve"> </w:t>
      </w:r>
      <w:r w:rsidR="000237A0" w:rsidRPr="00D12C2E">
        <w:rPr>
          <w:rFonts w:ascii="Cambria" w:hAnsi="Cambria"/>
        </w:rPr>
        <w:t>Verbal permission to be recorded will be obtained from the participant prior to the beginning of the interview.</w:t>
      </w:r>
      <w:r w:rsidR="000237A0">
        <w:rPr>
          <w:rFonts w:ascii="Cambria" w:hAnsi="Cambria"/>
        </w:rPr>
        <w:t xml:space="preserve"> D</w:t>
      </w:r>
      <w:r w:rsidR="000237A0" w:rsidRPr="003C144D">
        <w:rPr>
          <w:rFonts w:ascii="Cambria" w:hAnsi="Cambria"/>
        </w:rPr>
        <w:t xml:space="preserve">ata from </w:t>
      </w:r>
      <w:r w:rsidR="00581DA1">
        <w:rPr>
          <w:rFonts w:ascii="Cambria" w:hAnsi="Cambria"/>
        </w:rPr>
        <w:t xml:space="preserve">the </w:t>
      </w:r>
      <w:r w:rsidR="004C129D">
        <w:rPr>
          <w:rFonts w:ascii="Cambria" w:hAnsi="Cambria"/>
        </w:rPr>
        <w:t>telephone interview</w:t>
      </w:r>
      <w:r w:rsidR="00581DA1">
        <w:rPr>
          <w:rFonts w:ascii="Cambria" w:hAnsi="Cambria"/>
        </w:rPr>
        <w:t>s</w:t>
      </w:r>
      <w:r w:rsidR="000237A0" w:rsidRPr="003C144D">
        <w:rPr>
          <w:rFonts w:ascii="Cambria" w:hAnsi="Cambria"/>
        </w:rPr>
        <w:t xml:space="preserve"> will be stored in a s</w:t>
      </w:r>
      <w:r w:rsidR="00D669FB">
        <w:rPr>
          <w:rFonts w:ascii="Cambria" w:hAnsi="Cambria"/>
        </w:rPr>
        <w:t>ecure environment maintained by</w:t>
      </w:r>
      <w:r w:rsidR="009F2C17">
        <w:rPr>
          <w:rFonts w:ascii="Cambria" w:hAnsi="Cambria"/>
        </w:rPr>
        <w:t xml:space="preserve"> the Public Health Ethics Unit</w:t>
      </w:r>
      <w:r w:rsidR="000237A0" w:rsidRPr="003C144D">
        <w:rPr>
          <w:rFonts w:ascii="Cambria" w:hAnsi="Cambria"/>
        </w:rPr>
        <w:t>.</w:t>
      </w:r>
      <w:r w:rsidR="000237A0">
        <w:rPr>
          <w:rFonts w:ascii="Cambria" w:hAnsi="Cambria"/>
        </w:rPr>
        <w:t xml:space="preserve"> </w:t>
      </w:r>
      <w:r w:rsidR="000237A0" w:rsidRPr="001556D1">
        <w:rPr>
          <w:rFonts w:ascii="Cambria" w:hAnsi="Cambria"/>
        </w:rPr>
        <w:t xml:space="preserve">Each of the transcribed interviews will be compared against the recording to ensure accuracy. </w:t>
      </w:r>
      <w:r w:rsidR="00D669FB">
        <w:rPr>
          <w:rFonts w:ascii="Cambria" w:hAnsi="Cambria"/>
        </w:rPr>
        <w:t>Thematic</w:t>
      </w:r>
      <w:r w:rsidR="000237A0" w:rsidRPr="001556D1">
        <w:rPr>
          <w:rFonts w:ascii="Cambria" w:hAnsi="Cambria"/>
        </w:rPr>
        <w:t xml:space="preserve"> analysis will be used to analyze data. </w:t>
      </w:r>
      <w:r w:rsidR="000237A0" w:rsidRPr="00446AA4">
        <w:rPr>
          <w:rFonts w:ascii="Cambria" w:hAnsi="Cambria"/>
        </w:rPr>
        <w:t>The qualitative software management program</w:t>
      </w:r>
      <w:r w:rsidR="00446AA4" w:rsidRPr="00446AA4">
        <w:rPr>
          <w:rFonts w:ascii="Cambria" w:hAnsi="Cambria"/>
        </w:rPr>
        <w:t xml:space="preserve"> QDA Miner Lite</w:t>
      </w:r>
      <w:r w:rsidR="000237A0" w:rsidRPr="00446AA4">
        <w:rPr>
          <w:rFonts w:ascii="Cambria" w:hAnsi="Cambria"/>
        </w:rPr>
        <w:t xml:space="preserve"> will be used to code the interviews.</w:t>
      </w:r>
    </w:p>
    <w:p w14:paraId="625390EE" w14:textId="77777777" w:rsidR="00D669FB" w:rsidRDefault="00D669FB" w:rsidP="0097254D">
      <w:pPr>
        <w:ind w:left="345"/>
      </w:pPr>
    </w:p>
    <w:p w14:paraId="3AEBD5F3" w14:textId="77777777" w:rsidR="00D669FB" w:rsidRPr="001556D1" w:rsidRDefault="00D669FB" w:rsidP="0097254D">
      <w:pPr>
        <w:ind w:left="345"/>
        <w:rPr>
          <w:rFonts w:ascii="Cambria" w:hAnsi="Cambria"/>
        </w:rPr>
      </w:pPr>
      <w:r w:rsidRPr="004E66EE">
        <w:rPr>
          <w:rFonts w:ascii="Cambria" w:hAnsi="Cambria"/>
        </w:rPr>
        <w:t>Following analysis</w:t>
      </w:r>
      <w:r>
        <w:rPr>
          <w:rFonts w:ascii="Cambria" w:hAnsi="Cambria"/>
        </w:rPr>
        <w:t xml:space="preserve"> of 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w:t>
      </w:r>
      <w:r w:rsidR="009F2C17">
        <w:rPr>
          <w:rFonts w:ascii="Cambria" w:hAnsi="Cambria"/>
        </w:rPr>
        <w:t>project staff</w:t>
      </w:r>
      <w:r>
        <w:rPr>
          <w:rFonts w:ascii="Cambria" w:hAnsi="Cambria"/>
        </w:rPr>
        <w:t xml:space="preserve">, partner </w:t>
      </w:r>
      <w:r w:rsidR="009F2C17">
        <w:rPr>
          <w:rFonts w:ascii="Cambria" w:hAnsi="Cambria"/>
        </w:rPr>
        <w:t xml:space="preserve">organizations </w:t>
      </w:r>
      <w:r>
        <w:rPr>
          <w:rFonts w:ascii="Cambria" w:hAnsi="Cambria"/>
        </w:rPr>
        <w:t xml:space="preserve">and the respondents who participated in this information collection.  </w:t>
      </w:r>
      <w:r w:rsidRPr="0051182F">
        <w:rPr>
          <w:rFonts w:ascii="Cambria" w:hAnsi="Cambria"/>
        </w:rPr>
        <w:t>Additionally, staff at CDC will condense key findings from the online survey and telephone interviews, refine them into a manuscript format, and submit for publication</w:t>
      </w:r>
      <w:r w:rsidR="009F2C17" w:rsidRPr="0051182F">
        <w:rPr>
          <w:rFonts w:ascii="Cambria" w:hAnsi="Cambria"/>
        </w:rPr>
        <w:t xml:space="preserve"> in a scientific journal</w:t>
      </w:r>
      <w:r w:rsidRPr="0051182F">
        <w:rPr>
          <w:rFonts w:ascii="Cambria" w:hAnsi="Cambria"/>
        </w:rPr>
        <w:t>.</w:t>
      </w:r>
    </w:p>
    <w:p w14:paraId="047B9CCE" w14:textId="77777777" w:rsidR="00691031" w:rsidRDefault="00691031" w:rsidP="00147B81">
      <w:pPr>
        <w:spacing w:line="240" w:lineRule="auto"/>
        <w:ind w:left="0"/>
      </w:pPr>
    </w:p>
    <w:p w14:paraId="173A1EAF"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2BB7CC3C" w14:textId="77777777" w:rsidR="001D461D" w:rsidRDefault="001D461D" w:rsidP="00FF4D83">
      <w:pPr>
        <w:ind w:left="360"/>
        <w:rPr>
          <w:b/>
          <w:color w:val="0070C0"/>
        </w:rPr>
      </w:pPr>
    </w:p>
    <w:p w14:paraId="4522D72A" w14:textId="77777777" w:rsidR="006556AE" w:rsidRDefault="00991BF9" w:rsidP="00FF4D83">
      <w:pPr>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687C5F" w:rsidRPr="001D2951">
        <w:rPr>
          <w:rFonts w:cs="Times New Roman"/>
        </w:rPr>
        <w:t>data collection instrument</w:t>
      </w:r>
      <w:r w:rsidR="009F2C17">
        <w:rPr>
          <w:rFonts w:cs="Times New Roman"/>
        </w:rPr>
        <w:t>s</w:t>
      </w:r>
      <w:r w:rsidRPr="001D2951">
        <w:rPr>
          <w:rFonts w:cs="Times New Roman"/>
        </w:rPr>
        <w:t xml:space="preserve"> w</w:t>
      </w:r>
      <w:r w:rsidR="009F2C17">
        <w:rPr>
          <w:rFonts w:cs="Times New Roman"/>
        </w:rPr>
        <w:t>ere</w:t>
      </w:r>
      <w:r w:rsidRPr="001D2951">
        <w:rPr>
          <w:rFonts w:cs="Times New Roman"/>
        </w:rPr>
        <w:t xml:space="preserve"> designed with particular focus on streamlining questions to allow for skipping questions based on responses to previous questions, thereby minimizing response burden. </w:t>
      </w:r>
    </w:p>
    <w:p w14:paraId="64A53707" w14:textId="77777777" w:rsidR="006556AE" w:rsidRDefault="006556AE" w:rsidP="00FF4D83">
      <w:pPr>
        <w:ind w:left="0"/>
        <w:rPr>
          <w:rFonts w:cs="Times New Roman"/>
        </w:rPr>
      </w:pPr>
    </w:p>
    <w:p w14:paraId="313D0067" w14:textId="77777777" w:rsidR="00687C5F" w:rsidRPr="006556AE" w:rsidRDefault="00C125BF" w:rsidP="00FF4D83">
      <w:pPr>
        <w:ind w:left="0" w:firstLine="360"/>
        <w:rPr>
          <w:rFonts w:cs="Times New Roman"/>
          <w:b/>
          <w:i/>
        </w:rPr>
      </w:pPr>
      <w:r w:rsidRPr="006556AE">
        <w:rPr>
          <w:rFonts w:cs="Times New Roman"/>
          <w:b/>
          <w:i/>
        </w:rPr>
        <w:t>Online Survey</w:t>
      </w:r>
    </w:p>
    <w:p w14:paraId="0C4548BC" w14:textId="4F89972F" w:rsidR="00C125BF" w:rsidRDefault="00C125BF" w:rsidP="00FF4D83">
      <w:pPr>
        <w:pStyle w:val="ListParagraph"/>
        <w:ind w:left="360"/>
        <w:rPr>
          <w:rFonts w:cs="Arial"/>
        </w:rPr>
      </w:pPr>
      <w:r>
        <w:rPr>
          <w:rFonts w:ascii="Cambria" w:hAnsi="Cambria" w:cs="Times New Roman"/>
        </w:rPr>
        <w:t>Following the invitation to participate in the online survey (</w:t>
      </w:r>
      <w:r w:rsidRPr="006556AE">
        <w:rPr>
          <w:rFonts w:ascii="Cambria" w:hAnsi="Cambria" w:cs="Times New Roman"/>
          <w:b/>
        </w:rPr>
        <w:t xml:space="preserve">Attachment </w:t>
      </w:r>
      <w:r w:rsidR="00885E0C">
        <w:rPr>
          <w:rFonts w:ascii="Cambria" w:hAnsi="Cambria" w:cs="Times New Roman"/>
          <w:b/>
        </w:rPr>
        <w:t>E</w:t>
      </w:r>
      <w:r w:rsidRPr="006556AE">
        <w:rPr>
          <w:rFonts w:ascii="Cambria" w:hAnsi="Cambria" w:cs="Times New Roman"/>
          <w:b/>
        </w:rPr>
        <w:t>— Online Survey Invitation</w:t>
      </w:r>
      <w:r w:rsidR="00C71876">
        <w:rPr>
          <w:rFonts w:ascii="Cambria" w:hAnsi="Cambria" w:cs="Times New Roman"/>
          <w:b/>
        </w:rPr>
        <w:t xml:space="preserve"> Email</w:t>
      </w:r>
      <w:r w:rsidRPr="006556AE">
        <w:rPr>
          <w:rFonts w:ascii="Cambria" w:hAnsi="Cambria" w:cs="Times New Roman"/>
          <w:b/>
        </w:rPr>
        <w:t>)</w:t>
      </w:r>
      <w:r w:rsidRPr="00147B81">
        <w:rPr>
          <w:rFonts w:ascii="Cambria" w:hAnsi="Cambria" w:cs="Times New Roman"/>
        </w:rPr>
        <w:t xml:space="preserve"> </w:t>
      </w:r>
      <w:r w:rsidRPr="00147B81">
        <w:rPr>
          <w:rFonts w:ascii="Cambria" w:hAnsi="Cambria"/>
        </w:rPr>
        <w:t>a reminder email will be sent to non-respondents the second week following the initial invitation (8</w:t>
      </w:r>
      <w:r w:rsidRPr="00147B81">
        <w:rPr>
          <w:rFonts w:ascii="Cambria" w:hAnsi="Cambria"/>
          <w:vertAlign w:val="superscript"/>
        </w:rPr>
        <w:t>th</w:t>
      </w:r>
      <w:r w:rsidRPr="00147B81">
        <w:rPr>
          <w:rFonts w:ascii="Cambria" w:hAnsi="Cambria"/>
        </w:rPr>
        <w:t xml:space="preserve"> business day) (see </w:t>
      </w:r>
      <w:r w:rsidRPr="00147B81">
        <w:rPr>
          <w:rFonts w:ascii="Cambria" w:hAnsi="Cambria"/>
          <w:b/>
        </w:rPr>
        <w:t xml:space="preserve">Attachment </w:t>
      </w:r>
      <w:r w:rsidR="00885E0C">
        <w:rPr>
          <w:rFonts w:ascii="Cambria" w:hAnsi="Cambria"/>
          <w:b/>
        </w:rPr>
        <w:t>F</w:t>
      </w:r>
      <w:r w:rsidRPr="00147B81">
        <w:rPr>
          <w:rFonts w:ascii="Cambria" w:hAnsi="Cambria"/>
          <w:b/>
        </w:rPr>
        <w:t>—Online Survey Reminder Email 1</w:t>
      </w:r>
      <w:r w:rsidRPr="00147B81">
        <w:rPr>
          <w:rFonts w:ascii="Cambria" w:hAnsi="Cambria"/>
        </w:rPr>
        <w:t>) and a second/final reminder will be sent the day before the assessment ends (14</w:t>
      </w:r>
      <w:r w:rsidRPr="00147B81">
        <w:rPr>
          <w:rFonts w:ascii="Cambria" w:hAnsi="Cambria"/>
          <w:vertAlign w:val="superscript"/>
        </w:rPr>
        <w:t>th</w:t>
      </w:r>
      <w:r w:rsidRPr="00147B81">
        <w:rPr>
          <w:rFonts w:ascii="Cambria" w:hAnsi="Cambria"/>
        </w:rPr>
        <w:t xml:space="preserve"> business day) (see </w:t>
      </w:r>
      <w:r w:rsidRPr="00147B81">
        <w:rPr>
          <w:rFonts w:ascii="Cambria" w:hAnsi="Cambria"/>
          <w:b/>
        </w:rPr>
        <w:t xml:space="preserve">Attachment </w:t>
      </w:r>
      <w:r w:rsidR="00885E0C">
        <w:rPr>
          <w:rFonts w:ascii="Cambria" w:hAnsi="Cambria"/>
          <w:b/>
        </w:rPr>
        <w:t>G</w:t>
      </w:r>
      <w:r w:rsidRPr="00147B81">
        <w:rPr>
          <w:rFonts w:ascii="Cambria" w:hAnsi="Cambria"/>
          <w:b/>
        </w:rPr>
        <w:t>—Online Survey Reminder Email 2</w:t>
      </w:r>
      <w:r w:rsidRPr="00147B81">
        <w:rPr>
          <w:rFonts w:ascii="Cambria" w:hAnsi="Cambria"/>
        </w:rPr>
        <w:t>). T</w:t>
      </w:r>
      <w:r w:rsidRPr="00C125BF">
        <w:rPr>
          <w:rFonts w:cs="Arial"/>
        </w:rPr>
        <w:t xml:space="preserve">hose who do not respond </w:t>
      </w:r>
      <w:r w:rsidR="009F2C17">
        <w:rPr>
          <w:rFonts w:cs="Arial"/>
        </w:rPr>
        <w:t>to the survey by the time is closes at the end of the 15</w:t>
      </w:r>
      <w:r w:rsidR="009F2C17" w:rsidRPr="009F2C17">
        <w:rPr>
          <w:rFonts w:cs="Arial"/>
          <w:vertAlign w:val="superscript"/>
        </w:rPr>
        <w:t>th</w:t>
      </w:r>
      <w:r w:rsidR="009F2C17">
        <w:rPr>
          <w:rFonts w:cs="Arial"/>
        </w:rPr>
        <w:t xml:space="preserve"> business day will be considered non-responders</w:t>
      </w:r>
    </w:p>
    <w:p w14:paraId="59041B8D" w14:textId="77777777" w:rsidR="00C125BF" w:rsidRDefault="00C125BF" w:rsidP="00FF4D83">
      <w:pPr>
        <w:pStyle w:val="ListParagraph"/>
        <w:ind w:left="360"/>
        <w:rPr>
          <w:rFonts w:cs="Arial"/>
        </w:rPr>
      </w:pPr>
    </w:p>
    <w:p w14:paraId="0DA1E677" w14:textId="77777777" w:rsidR="00C125BF" w:rsidRPr="00147B81" w:rsidRDefault="00C125BF" w:rsidP="0076638A">
      <w:pPr>
        <w:pStyle w:val="ListParagraph"/>
        <w:keepNext/>
        <w:keepLines/>
        <w:ind w:left="360"/>
        <w:rPr>
          <w:rFonts w:cs="Arial"/>
          <w:b/>
          <w:i/>
        </w:rPr>
      </w:pPr>
      <w:r w:rsidRPr="00147B81">
        <w:rPr>
          <w:rFonts w:cs="Arial"/>
          <w:b/>
          <w:i/>
        </w:rPr>
        <w:t>Telephone Interviews</w:t>
      </w:r>
    </w:p>
    <w:p w14:paraId="17130879" w14:textId="5468F2C2" w:rsidR="00C125BF" w:rsidRDefault="00C125BF" w:rsidP="0076638A">
      <w:pPr>
        <w:pStyle w:val="ListParagraph"/>
        <w:keepNext/>
        <w:keepLines/>
        <w:ind w:left="360"/>
        <w:rPr>
          <w:rFonts w:cs="Arial"/>
        </w:rPr>
      </w:pPr>
      <w:r w:rsidRPr="00147B81">
        <w:rPr>
          <w:rFonts w:ascii="Cambria" w:hAnsi="Cambria"/>
        </w:rPr>
        <w:t>For the telephone interviews, participants will be invited to participate by email (see</w:t>
      </w:r>
      <w:r w:rsidRPr="00147B81">
        <w:rPr>
          <w:rFonts w:ascii="Cambria" w:hAnsi="Cambria"/>
          <w:b/>
        </w:rPr>
        <w:t xml:space="preserve"> Attachment </w:t>
      </w:r>
      <w:r w:rsidR="00885E0C">
        <w:rPr>
          <w:rFonts w:ascii="Cambria" w:hAnsi="Cambria"/>
          <w:b/>
        </w:rPr>
        <w:t>H</w:t>
      </w:r>
      <w:r w:rsidRPr="00147B81">
        <w:rPr>
          <w:rFonts w:ascii="Cambria" w:hAnsi="Cambria"/>
          <w:b/>
        </w:rPr>
        <w:t>—</w:t>
      </w:r>
      <w:r w:rsidR="004C129D">
        <w:rPr>
          <w:rFonts w:ascii="Cambria" w:hAnsi="Cambria"/>
          <w:b/>
        </w:rPr>
        <w:t>Telep</w:t>
      </w:r>
      <w:r w:rsidRPr="00147B81">
        <w:rPr>
          <w:rFonts w:ascii="Cambria" w:hAnsi="Cambria"/>
          <w:b/>
        </w:rPr>
        <w:t>hone Interview Invitation Email</w:t>
      </w:r>
      <w:r w:rsidRPr="00147B81">
        <w:rPr>
          <w:rFonts w:ascii="Cambria" w:hAnsi="Cambria"/>
        </w:rPr>
        <w:t xml:space="preserve">). If the participant does not respond to the email within </w:t>
      </w:r>
      <w:r w:rsidR="00822136">
        <w:rPr>
          <w:rFonts w:ascii="Cambria" w:hAnsi="Cambria"/>
        </w:rPr>
        <w:t>5 business</w:t>
      </w:r>
      <w:r w:rsidRPr="00147B81">
        <w:rPr>
          <w:rFonts w:ascii="Cambria" w:hAnsi="Cambria"/>
        </w:rPr>
        <w:t xml:space="preserve"> days, a second email will be sent (see</w:t>
      </w:r>
      <w:r w:rsidRPr="00147B81">
        <w:rPr>
          <w:rFonts w:ascii="Cambria" w:hAnsi="Cambria"/>
          <w:b/>
        </w:rPr>
        <w:t xml:space="preserve"> Attachment </w:t>
      </w:r>
      <w:r w:rsidR="00885E0C">
        <w:rPr>
          <w:rFonts w:ascii="Cambria" w:hAnsi="Cambria"/>
          <w:b/>
        </w:rPr>
        <w:t>I</w:t>
      </w:r>
      <w:r w:rsidRPr="00147B81">
        <w:rPr>
          <w:rFonts w:ascii="Cambria" w:hAnsi="Cambria"/>
          <w:b/>
        </w:rPr>
        <w:t>—</w:t>
      </w:r>
      <w:r w:rsidR="004C129D">
        <w:rPr>
          <w:rFonts w:ascii="Cambria" w:hAnsi="Cambria"/>
          <w:b/>
        </w:rPr>
        <w:t>Telep</w:t>
      </w:r>
      <w:r w:rsidRPr="00147B81">
        <w:rPr>
          <w:rFonts w:ascii="Cambria" w:hAnsi="Cambria"/>
          <w:b/>
        </w:rPr>
        <w:t>hone Interview Reminder Email</w:t>
      </w:r>
      <w:r w:rsidRPr="00147B81">
        <w:rPr>
          <w:rFonts w:ascii="Cambria" w:hAnsi="Cambria"/>
        </w:rPr>
        <w:t xml:space="preserve">). </w:t>
      </w:r>
      <w:r w:rsidRPr="001556D1">
        <w:rPr>
          <w:rFonts w:ascii="Cambria" w:hAnsi="Cambria"/>
        </w:rPr>
        <w:t xml:space="preserve">If the participant cannot be contacted </w:t>
      </w:r>
      <w:r>
        <w:rPr>
          <w:rFonts w:ascii="Cambria" w:hAnsi="Cambria"/>
        </w:rPr>
        <w:t xml:space="preserve">within </w:t>
      </w:r>
      <w:r w:rsidRPr="00BD6687">
        <w:rPr>
          <w:rFonts w:ascii="Cambria" w:hAnsi="Cambria"/>
        </w:rPr>
        <w:t xml:space="preserve">3 </w:t>
      </w:r>
      <w:r w:rsidR="00822136">
        <w:rPr>
          <w:rFonts w:ascii="Cambria" w:hAnsi="Cambria"/>
        </w:rPr>
        <w:t xml:space="preserve">business </w:t>
      </w:r>
      <w:r w:rsidRPr="00BD6687">
        <w:rPr>
          <w:rFonts w:ascii="Cambria" w:hAnsi="Cambria"/>
        </w:rPr>
        <w:t>days</w:t>
      </w:r>
      <w:r w:rsidR="00822136">
        <w:rPr>
          <w:rFonts w:ascii="Cambria" w:hAnsi="Cambria"/>
        </w:rPr>
        <w:t xml:space="preserve"> of the reminder email</w:t>
      </w:r>
      <w:r w:rsidRPr="00BD6687">
        <w:rPr>
          <w:rFonts w:ascii="Cambria" w:hAnsi="Cambria"/>
        </w:rPr>
        <w:t xml:space="preserve">, </w:t>
      </w:r>
      <w:r w:rsidRPr="001556D1">
        <w:rPr>
          <w:rFonts w:ascii="Cambria" w:hAnsi="Cambria"/>
        </w:rPr>
        <w:t>or declines to participate, a replacement will be identified</w:t>
      </w:r>
      <w:r>
        <w:rPr>
          <w:rFonts w:ascii="Cambria" w:hAnsi="Cambria"/>
        </w:rPr>
        <w:t xml:space="preserve"> </w:t>
      </w:r>
      <w:r w:rsidR="00822136">
        <w:rPr>
          <w:rFonts w:ascii="Cambria" w:hAnsi="Cambria"/>
        </w:rPr>
        <w:t xml:space="preserve">by </w:t>
      </w:r>
      <w:r>
        <w:rPr>
          <w:rFonts w:ascii="Cambria" w:hAnsi="Cambria"/>
        </w:rPr>
        <w:t xml:space="preserve">project </w:t>
      </w:r>
      <w:r w:rsidR="004C129D">
        <w:rPr>
          <w:rFonts w:ascii="Cambria" w:hAnsi="Cambria"/>
        </w:rPr>
        <w:t>lead</w:t>
      </w:r>
      <w:r w:rsidRPr="001556D1">
        <w:rPr>
          <w:rFonts w:ascii="Cambria" w:hAnsi="Cambria"/>
        </w:rPr>
        <w:t>.</w:t>
      </w:r>
    </w:p>
    <w:p w14:paraId="2D5D6AC3" w14:textId="6F467D5E" w:rsidR="00691031" w:rsidRPr="00176E14" w:rsidRDefault="00691031" w:rsidP="00147B81">
      <w:pPr>
        <w:spacing w:line="240" w:lineRule="auto"/>
        <w:ind w:left="0"/>
        <w:rPr>
          <w:rFonts w:cs="Arial"/>
        </w:rPr>
      </w:pPr>
    </w:p>
    <w:p w14:paraId="73D58E9B" w14:textId="77777777" w:rsidR="00F52BCC" w:rsidRPr="009759F3" w:rsidRDefault="00287E2F" w:rsidP="00244FFF">
      <w:pPr>
        <w:pStyle w:val="Heading4"/>
        <w:keepNext/>
        <w:keepLines/>
        <w:spacing w:after="0" w:line="240" w:lineRule="auto"/>
      </w:pPr>
      <w:bookmarkStart w:id="6" w:name="_Toc413847914"/>
      <w:r w:rsidRPr="005F3FEF">
        <w:t xml:space="preserve">Test of Procedures </w:t>
      </w:r>
      <w:r w:rsidR="009759F3" w:rsidRPr="009759F3">
        <w:t>or Methods to be Undertaken</w:t>
      </w:r>
      <w:bookmarkEnd w:id="6"/>
    </w:p>
    <w:p w14:paraId="62CCD35B" w14:textId="77777777" w:rsidR="00865573" w:rsidRDefault="00865573" w:rsidP="00244FFF">
      <w:pPr>
        <w:keepNext/>
        <w:keepLines/>
        <w:spacing w:line="240" w:lineRule="auto"/>
        <w:ind w:left="360"/>
        <w:rPr>
          <w:color w:val="000000"/>
          <w:lang w:eastAsia="zh-CN"/>
        </w:rPr>
      </w:pPr>
    </w:p>
    <w:p w14:paraId="66D53E6C" w14:textId="77777777" w:rsidR="006C2895" w:rsidRPr="00147B81" w:rsidRDefault="00DB5CF4" w:rsidP="008100F2">
      <w:pPr>
        <w:keepNext/>
        <w:keepLines/>
        <w:ind w:left="360"/>
        <w:rPr>
          <w:b/>
          <w:i/>
          <w:color w:val="000000"/>
          <w:lang w:eastAsia="zh-CN"/>
        </w:rPr>
      </w:pPr>
      <w:r>
        <w:rPr>
          <w:b/>
          <w:i/>
          <w:color w:val="000000"/>
          <w:lang w:eastAsia="zh-CN"/>
        </w:rPr>
        <w:t>Online Survey</w:t>
      </w:r>
    </w:p>
    <w:p w14:paraId="1DC89273" w14:textId="22CC8FD6" w:rsidR="004D70EE" w:rsidRDefault="00991BF9" w:rsidP="008100F2">
      <w:pPr>
        <w:ind w:left="360"/>
      </w:pPr>
      <w:r w:rsidRPr="001D2951">
        <w:rPr>
          <w:color w:val="000000"/>
          <w:lang w:eastAsia="zh-CN"/>
        </w:rPr>
        <w:t xml:space="preserve">The estimate for burden hours is based on a pilot test of the </w:t>
      </w:r>
      <w:r w:rsidR="008100F2">
        <w:rPr>
          <w:color w:val="000000"/>
          <w:lang w:eastAsia="zh-CN"/>
        </w:rPr>
        <w:t xml:space="preserve">online </w:t>
      </w:r>
      <w:r w:rsidR="00487E55">
        <w:rPr>
          <w:color w:val="000000"/>
          <w:lang w:eastAsia="zh-CN"/>
        </w:rPr>
        <w:t>data collection</w:t>
      </w:r>
      <w:r w:rsidRPr="001D2951">
        <w:rPr>
          <w:color w:val="000000"/>
          <w:lang w:eastAsia="zh-CN"/>
        </w:rPr>
        <w:t xml:space="preserve"> instrument by</w:t>
      </w:r>
      <w:r w:rsidR="00A76CA6">
        <w:rPr>
          <w:color w:val="000000"/>
          <w:lang w:eastAsia="zh-CN"/>
        </w:rPr>
        <w:t xml:space="preserve"> 4</w:t>
      </w:r>
      <w:r w:rsidRPr="003161B9">
        <w:rPr>
          <w:color w:val="0070C0"/>
          <w:lang w:eastAsia="zh-CN"/>
        </w:rPr>
        <w:t xml:space="preserve"> </w:t>
      </w:r>
      <w:r w:rsidRPr="003161B9">
        <w:rPr>
          <w:color w:val="000000"/>
          <w:lang w:eastAsia="zh-CN"/>
        </w:rPr>
        <w:t>public health professionals. In the pilot test, the average time to complete the instrument including time for reviewing instructions, gathering needed information and completing the instrument, was approximately</w:t>
      </w:r>
      <w:r w:rsidR="007A6EE6">
        <w:rPr>
          <w:color w:val="000000"/>
          <w:lang w:eastAsia="zh-CN"/>
        </w:rPr>
        <w:t xml:space="preserve"> </w:t>
      </w:r>
      <w:r w:rsidR="00A76CA6">
        <w:rPr>
          <w:color w:val="000000"/>
          <w:lang w:eastAsia="zh-CN"/>
        </w:rPr>
        <w:t>8</w:t>
      </w:r>
      <w:r w:rsidRPr="003161B9">
        <w:rPr>
          <w:color w:val="0070C0"/>
          <w:lang w:eastAsia="zh-CN"/>
        </w:rPr>
        <w:t xml:space="preserve"> </w:t>
      </w:r>
      <w:r w:rsidRPr="003161B9">
        <w:rPr>
          <w:color w:val="000000"/>
          <w:lang w:eastAsia="zh-CN"/>
        </w:rPr>
        <w:t>minutes</w:t>
      </w:r>
      <w:r w:rsidR="0069580C" w:rsidRPr="003161B9">
        <w:rPr>
          <w:color w:val="000000"/>
          <w:lang w:eastAsia="zh-CN"/>
        </w:rPr>
        <w:t xml:space="preserve"> (range: </w:t>
      </w:r>
      <w:r w:rsidR="00550B75">
        <w:rPr>
          <w:color w:val="000000"/>
          <w:lang w:eastAsia="zh-CN"/>
        </w:rPr>
        <w:t>6</w:t>
      </w:r>
      <w:r w:rsidR="0069580C" w:rsidRPr="003161B9">
        <w:rPr>
          <w:color w:val="000000"/>
          <w:lang w:eastAsia="zh-CN"/>
        </w:rPr>
        <w:t xml:space="preserve"> to </w:t>
      </w:r>
      <w:r w:rsidR="00A76CA6">
        <w:rPr>
          <w:color w:val="000000"/>
          <w:lang w:eastAsia="zh-CN"/>
        </w:rPr>
        <w:t>11</w:t>
      </w:r>
      <w:r w:rsidR="0069580C" w:rsidRPr="003161B9">
        <w:rPr>
          <w:color w:val="000000"/>
          <w:lang w:eastAsia="zh-CN"/>
        </w:rPr>
        <w:t xml:space="preserve"> minutes)</w:t>
      </w:r>
      <w:r w:rsidRPr="003161B9">
        <w:rPr>
          <w:color w:val="000000"/>
          <w:lang w:eastAsia="zh-CN"/>
        </w:rPr>
        <w:t xml:space="preserve">. For the purposes of estimating burden hours, the upper limit of this range (i.e., </w:t>
      </w:r>
      <w:r w:rsidR="00A76CA6">
        <w:rPr>
          <w:color w:val="000000"/>
          <w:lang w:eastAsia="zh-CN"/>
        </w:rPr>
        <w:t>11</w:t>
      </w:r>
      <w:r w:rsidRPr="001D2951">
        <w:rPr>
          <w:color w:val="0070C0"/>
          <w:lang w:eastAsia="zh-CN"/>
        </w:rPr>
        <w:t xml:space="preserve"> </w:t>
      </w:r>
      <w:r w:rsidRPr="001D2951">
        <w:rPr>
          <w:color w:val="000000"/>
          <w:lang w:eastAsia="zh-CN"/>
        </w:rPr>
        <w:t>minutes) is used.</w:t>
      </w:r>
    </w:p>
    <w:p w14:paraId="32A6F7C1" w14:textId="77777777" w:rsidR="004D70EE" w:rsidRDefault="004D70EE" w:rsidP="008100F2">
      <w:pPr>
        <w:ind w:left="360"/>
      </w:pPr>
    </w:p>
    <w:p w14:paraId="514B7733" w14:textId="40116221" w:rsidR="008100F2" w:rsidRPr="004960D8" w:rsidRDefault="0040426A" w:rsidP="004960D8">
      <w:pPr>
        <w:ind w:left="360"/>
        <w:rPr>
          <w:b/>
          <w:i/>
        </w:rPr>
      </w:pPr>
      <w:r w:rsidRPr="00FF4D83">
        <w:rPr>
          <w:b/>
          <w:i/>
        </w:rPr>
        <w:t xml:space="preserve">Telephone </w:t>
      </w:r>
      <w:r w:rsidR="004960D8">
        <w:rPr>
          <w:b/>
          <w:i/>
        </w:rPr>
        <w:t>Interviews</w:t>
      </w:r>
    </w:p>
    <w:p w14:paraId="7FF1F818" w14:textId="1A9E9875" w:rsidR="006C2895" w:rsidRDefault="00804EEB" w:rsidP="008100F2">
      <w:pPr>
        <w:ind w:left="360"/>
      </w:pPr>
      <w:r>
        <w:rPr>
          <w:color w:val="000000"/>
          <w:lang w:eastAsia="zh-CN"/>
        </w:rPr>
        <w:t>In order to not unduly burden respondents, we will limit the time for the telephone interview to 60 minutes.  W</w:t>
      </w:r>
      <w:r w:rsidR="00885E0C">
        <w:rPr>
          <w:color w:val="000000"/>
          <w:lang w:eastAsia="zh-CN"/>
        </w:rPr>
        <w:t>e did not pilot test the data collection instrument</w:t>
      </w:r>
      <w:r>
        <w:rPr>
          <w:color w:val="000000"/>
          <w:lang w:eastAsia="zh-CN"/>
        </w:rPr>
        <w:t>;</w:t>
      </w:r>
      <w:r w:rsidR="00885E0C">
        <w:rPr>
          <w:color w:val="000000"/>
          <w:lang w:eastAsia="zh-CN"/>
        </w:rPr>
        <w:t xml:space="preserve"> however</w:t>
      </w:r>
      <w:r>
        <w:rPr>
          <w:color w:val="000000"/>
          <w:lang w:eastAsia="zh-CN"/>
        </w:rPr>
        <w:t>,</w:t>
      </w:r>
      <w:r w:rsidR="00885E0C">
        <w:rPr>
          <w:color w:val="000000"/>
          <w:lang w:eastAsia="zh-CN"/>
        </w:rPr>
        <w:t xml:space="preserve"> we obtained input on the interview </w:t>
      </w:r>
      <w:r>
        <w:rPr>
          <w:color w:val="000000"/>
          <w:lang w:eastAsia="zh-CN"/>
        </w:rPr>
        <w:t>guide</w:t>
      </w:r>
      <w:r w:rsidR="00885E0C">
        <w:rPr>
          <w:color w:val="000000"/>
          <w:lang w:eastAsia="zh-CN"/>
        </w:rPr>
        <w:t xml:space="preserve"> from </w:t>
      </w:r>
      <w:r w:rsidR="00A76CA6">
        <w:rPr>
          <w:color w:val="000000"/>
          <w:lang w:eastAsia="zh-CN"/>
        </w:rPr>
        <w:t>5</w:t>
      </w:r>
      <w:r w:rsidR="00885E0C">
        <w:rPr>
          <w:color w:val="000000"/>
          <w:lang w:eastAsia="zh-CN"/>
        </w:rPr>
        <w:t xml:space="preserve"> public health profession</w:t>
      </w:r>
      <w:r>
        <w:rPr>
          <w:color w:val="000000"/>
          <w:lang w:eastAsia="zh-CN"/>
        </w:rPr>
        <w:t>al</w:t>
      </w:r>
      <w:r w:rsidR="00885E0C">
        <w:rPr>
          <w:color w:val="000000"/>
          <w:lang w:eastAsia="zh-CN"/>
        </w:rPr>
        <w:t xml:space="preserve">s. </w:t>
      </w:r>
      <w:r>
        <w:rPr>
          <w:color w:val="000000"/>
          <w:lang w:eastAsia="zh-CN"/>
        </w:rPr>
        <w:t>Thus, the maximum burden for the data collection instrument, including re</w:t>
      </w:r>
      <w:r w:rsidRPr="003161B9">
        <w:rPr>
          <w:color w:val="000000"/>
          <w:lang w:eastAsia="zh-CN"/>
        </w:rPr>
        <w:t>viewing instructions, gathering needed information and completing the instrument</w:t>
      </w:r>
      <w:r>
        <w:rPr>
          <w:color w:val="000000"/>
          <w:lang w:eastAsia="zh-CN"/>
        </w:rPr>
        <w:t xml:space="preserve"> will be 60 minutes.  </w:t>
      </w:r>
    </w:p>
    <w:p w14:paraId="213AAA2D" w14:textId="10D590DE" w:rsidR="00150368" w:rsidRDefault="00150368" w:rsidP="0087354D">
      <w:pPr>
        <w:spacing w:line="240" w:lineRule="auto"/>
        <w:ind w:left="0"/>
      </w:pPr>
    </w:p>
    <w:p w14:paraId="242D380E"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1DB0B1C8" w14:textId="77777777" w:rsidR="004A519B" w:rsidRDefault="004A519B" w:rsidP="00147B81">
      <w:pPr>
        <w:ind w:left="0" w:firstLine="360"/>
      </w:pPr>
    </w:p>
    <w:p w14:paraId="6306F801" w14:textId="5C2E7268" w:rsidR="00C125BF" w:rsidRPr="00147B81" w:rsidRDefault="00C125BF" w:rsidP="00147B81">
      <w:pPr>
        <w:ind w:left="0" w:firstLine="360"/>
      </w:pPr>
      <w:r w:rsidRPr="00147B81">
        <w:t>Drue Barret</w:t>
      </w:r>
      <w:r w:rsidR="004A519B">
        <w:t>t</w:t>
      </w:r>
      <w:r w:rsidRPr="00147B81">
        <w:t>, PhD</w:t>
      </w:r>
    </w:p>
    <w:p w14:paraId="1D65361A" w14:textId="77777777" w:rsidR="00C125BF" w:rsidRPr="00147B81" w:rsidRDefault="00C125BF" w:rsidP="00147B81">
      <w:pPr>
        <w:ind w:left="0" w:firstLine="360"/>
      </w:pPr>
      <w:r w:rsidRPr="00147B81">
        <w:t>Lead, Public Health Ethics Unit</w:t>
      </w:r>
    </w:p>
    <w:p w14:paraId="4ED940F6" w14:textId="77777777" w:rsidR="00C125BF" w:rsidRPr="00147B81" w:rsidRDefault="00C125BF" w:rsidP="00147B81">
      <w:pPr>
        <w:ind w:left="360"/>
      </w:pPr>
      <w:r w:rsidRPr="00147B81">
        <w:t>Centers for Disease Control and Prevention</w:t>
      </w:r>
    </w:p>
    <w:p w14:paraId="7F9DFC13" w14:textId="77777777" w:rsidR="00C125BF" w:rsidRPr="00147B81" w:rsidRDefault="00C125BF" w:rsidP="00C125BF">
      <w:pPr>
        <w:ind w:left="360"/>
      </w:pPr>
      <w:r w:rsidRPr="00147B81">
        <w:t>1600 Clifton Road, MS- 50 Atlanta,</w:t>
      </w:r>
      <w:r w:rsidR="005A5A1B" w:rsidRPr="00147B81">
        <w:t xml:space="preserve"> GA 30329</w:t>
      </w:r>
    </w:p>
    <w:p w14:paraId="6ADC5584" w14:textId="77777777" w:rsidR="00C125BF" w:rsidRPr="00147B81" w:rsidRDefault="00C125BF" w:rsidP="00147B81">
      <w:pPr>
        <w:ind w:left="0" w:firstLine="360"/>
      </w:pPr>
      <w:r w:rsidRPr="00147B81">
        <w:t>404-639-4690</w:t>
      </w:r>
    </w:p>
    <w:p w14:paraId="21C9A975" w14:textId="77777777" w:rsidR="00C125BF" w:rsidRPr="00147B81" w:rsidRDefault="005A5A1B" w:rsidP="0040426A">
      <w:pPr>
        <w:ind w:left="0" w:firstLine="360"/>
      </w:pPr>
      <w:r w:rsidRPr="00147B81">
        <w:t>dbarret@cdc.gov</w:t>
      </w:r>
    </w:p>
    <w:p w14:paraId="5076B4C3" w14:textId="77777777" w:rsidR="005A5A1B" w:rsidRPr="00147B81" w:rsidRDefault="005A5A1B" w:rsidP="00147B81">
      <w:pPr>
        <w:ind w:left="0" w:firstLine="360"/>
      </w:pPr>
    </w:p>
    <w:p w14:paraId="75016CB6" w14:textId="77777777" w:rsidR="005A5A1B" w:rsidRPr="00147B81" w:rsidRDefault="005A5A1B" w:rsidP="00147B81">
      <w:pPr>
        <w:ind w:left="0" w:firstLine="360"/>
      </w:pPr>
      <w:r w:rsidRPr="00147B81">
        <w:t>Leonard Ortmann</w:t>
      </w:r>
    </w:p>
    <w:p w14:paraId="52B47415" w14:textId="77777777" w:rsidR="005A5A1B" w:rsidRPr="00147B81" w:rsidRDefault="005A5A1B" w:rsidP="00147B81">
      <w:pPr>
        <w:ind w:left="0" w:firstLine="360"/>
      </w:pPr>
      <w:r w:rsidRPr="00147B81">
        <w:t>Senior Ethics Consultant</w:t>
      </w:r>
    </w:p>
    <w:p w14:paraId="6FD62E1B" w14:textId="77777777" w:rsidR="005A5A1B" w:rsidRPr="00147B81" w:rsidRDefault="005A5A1B" w:rsidP="00147B81">
      <w:pPr>
        <w:ind w:left="0" w:firstLine="360"/>
      </w:pPr>
      <w:r w:rsidRPr="00147B81">
        <w:t>Centers for Disease Control and Prevention</w:t>
      </w:r>
    </w:p>
    <w:p w14:paraId="06B3B1E8" w14:textId="77777777" w:rsidR="005A5A1B" w:rsidRPr="00147B81" w:rsidRDefault="005A5A1B" w:rsidP="00147B81">
      <w:pPr>
        <w:ind w:left="0" w:firstLine="360"/>
      </w:pPr>
      <w:r w:rsidRPr="00147B81">
        <w:t>1600 Clifton Road, MS-74 Atlanta, GA 30329</w:t>
      </w:r>
    </w:p>
    <w:p w14:paraId="36BCBA91" w14:textId="77777777" w:rsidR="005A5A1B" w:rsidRPr="00147B81" w:rsidRDefault="005A5A1B" w:rsidP="00147B81">
      <w:pPr>
        <w:ind w:left="0" w:firstLine="360"/>
      </w:pPr>
      <w:r w:rsidRPr="00147B81">
        <w:t>404-639-4898</w:t>
      </w:r>
    </w:p>
    <w:p w14:paraId="014E29BE" w14:textId="77777777" w:rsidR="005A5A1B" w:rsidRPr="00147B81" w:rsidRDefault="005A5A1B" w:rsidP="00147B81">
      <w:pPr>
        <w:ind w:left="0" w:firstLine="360"/>
      </w:pPr>
      <w:r w:rsidRPr="00147B81">
        <w:t>lortmann@cdc.gov</w:t>
      </w:r>
    </w:p>
    <w:p w14:paraId="2EA40211" w14:textId="77777777" w:rsidR="00C125BF" w:rsidRPr="00147B81" w:rsidRDefault="00C125BF" w:rsidP="00147B81">
      <w:pPr>
        <w:spacing w:line="240" w:lineRule="auto"/>
        <w:ind w:left="0"/>
      </w:pPr>
    </w:p>
    <w:p w14:paraId="64F007D0" w14:textId="77777777" w:rsidR="00C125BF" w:rsidRPr="00147B81" w:rsidRDefault="00C125BF" w:rsidP="00147B81">
      <w:pPr>
        <w:spacing w:line="240" w:lineRule="auto"/>
        <w:ind w:left="0" w:firstLine="360"/>
      </w:pPr>
      <w:r w:rsidRPr="00147B81">
        <w:t>Kory Trott</w:t>
      </w:r>
    </w:p>
    <w:p w14:paraId="6768A066" w14:textId="77777777" w:rsidR="00C125BF" w:rsidRPr="00147B81" w:rsidRDefault="00C125BF" w:rsidP="00147B81">
      <w:pPr>
        <w:spacing w:line="240" w:lineRule="auto"/>
        <w:ind w:left="0" w:firstLine="360"/>
      </w:pPr>
      <w:r w:rsidRPr="00147B81">
        <w:t>Public Health Analyst</w:t>
      </w:r>
    </w:p>
    <w:p w14:paraId="33DE4584" w14:textId="77777777" w:rsidR="00C125BF" w:rsidRPr="00147B81" w:rsidRDefault="00C125BF" w:rsidP="00147B81">
      <w:pPr>
        <w:spacing w:line="240" w:lineRule="auto"/>
        <w:ind w:left="0" w:firstLine="360"/>
      </w:pPr>
      <w:r w:rsidRPr="00147B81">
        <w:t>Centers for Disease Control and Prevention</w:t>
      </w:r>
    </w:p>
    <w:p w14:paraId="711DB856" w14:textId="77777777" w:rsidR="00C125BF" w:rsidRPr="00147B81" w:rsidRDefault="00C125BF">
      <w:pPr>
        <w:spacing w:line="240" w:lineRule="auto"/>
        <w:ind w:left="0" w:firstLine="360"/>
      </w:pPr>
      <w:r w:rsidRPr="00147B81">
        <w:t>1600 Clifton Road, Atlanta,</w:t>
      </w:r>
      <w:r w:rsidR="005A5A1B" w:rsidRPr="00147B81">
        <w:t xml:space="preserve"> GA 30329</w:t>
      </w:r>
    </w:p>
    <w:p w14:paraId="1C359DDA" w14:textId="77777777" w:rsidR="00C125BF" w:rsidRPr="00147B81" w:rsidRDefault="00C125BF" w:rsidP="00147B81">
      <w:pPr>
        <w:spacing w:line="240" w:lineRule="auto"/>
        <w:ind w:left="0" w:firstLine="360"/>
      </w:pPr>
      <w:r w:rsidRPr="00147B81">
        <w:t>404-498-1585</w:t>
      </w:r>
    </w:p>
    <w:p w14:paraId="4FF5692B" w14:textId="77777777" w:rsidR="00C125BF" w:rsidRPr="00147B81" w:rsidRDefault="00C125BF" w:rsidP="00147B81">
      <w:pPr>
        <w:spacing w:line="240" w:lineRule="auto"/>
        <w:ind w:left="0" w:firstLine="360"/>
      </w:pPr>
      <w:r w:rsidRPr="00147B81">
        <w:t>ktrott@cdc.gov</w:t>
      </w:r>
    </w:p>
    <w:p w14:paraId="14D08093" w14:textId="77777777" w:rsidR="00C125BF" w:rsidRPr="00147B81" w:rsidRDefault="00C125BF" w:rsidP="00147B81">
      <w:pPr>
        <w:ind w:left="0"/>
      </w:pPr>
    </w:p>
    <w:p w14:paraId="1DE134BD" w14:textId="77777777" w:rsidR="00C125BF" w:rsidRPr="00147B81" w:rsidRDefault="00C125BF" w:rsidP="00147B81">
      <w:pPr>
        <w:ind w:left="0" w:firstLine="360"/>
      </w:pPr>
      <w:r w:rsidRPr="00147B81">
        <w:t>Shelby Rhee</w:t>
      </w:r>
    </w:p>
    <w:p w14:paraId="63B0E603" w14:textId="77777777" w:rsidR="00C125BF" w:rsidRPr="00147B81" w:rsidRDefault="00C125BF" w:rsidP="00147B81">
      <w:pPr>
        <w:ind w:left="0" w:firstLine="360"/>
      </w:pPr>
      <w:r w:rsidRPr="00147B81">
        <w:t>Public Health Ethics Intern</w:t>
      </w:r>
    </w:p>
    <w:p w14:paraId="1474F981" w14:textId="77777777" w:rsidR="00C125BF" w:rsidRPr="00147B81" w:rsidRDefault="00C125BF" w:rsidP="00147B81">
      <w:pPr>
        <w:ind w:left="0" w:firstLine="360"/>
      </w:pPr>
      <w:r w:rsidRPr="00147B81">
        <w:t>Centers for Disease Control and Prevention</w:t>
      </w:r>
    </w:p>
    <w:p w14:paraId="6694795E" w14:textId="77777777" w:rsidR="00C125BF" w:rsidRPr="00147B81" w:rsidRDefault="00C125BF" w:rsidP="00C125BF">
      <w:pPr>
        <w:ind w:left="360"/>
      </w:pPr>
      <w:r w:rsidRPr="00147B81">
        <w:t>1600 Clifton Road, Atlanta,</w:t>
      </w:r>
      <w:r w:rsidR="005A5A1B" w:rsidRPr="00147B81">
        <w:t xml:space="preserve"> GA 30329</w:t>
      </w:r>
    </w:p>
    <w:p w14:paraId="6900EB21" w14:textId="77777777" w:rsidR="00C125BF" w:rsidRPr="00147B81" w:rsidRDefault="00C125BF" w:rsidP="00C125BF">
      <w:pPr>
        <w:ind w:left="360"/>
      </w:pPr>
      <w:r w:rsidRPr="00147B81">
        <w:t>404-718-5860</w:t>
      </w:r>
    </w:p>
    <w:p w14:paraId="634944FA" w14:textId="77777777" w:rsidR="00865573" w:rsidRPr="004D70EE" w:rsidRDefault="0040426A" w:rsidP="00446AA4">
      <w:pPr>
        <w:spacing w:line="240" w:lineRule="auto"/>
        <w:ind w:left="0" w:firstLine="360"/>
        <w:rPr>
          <w:rStyle w:val="Hyperlink"/>
          <w:color w:val="0070C0"/>
        </w:rPr>
      </w:pPr>
      <w:r w:rsidRPr="0040426A">
        <w:t>srhee@cdc.gov</w:t>
      </w:r>
      <w:r>
        <w:t xml:space="preserve"> </w:t>
      </w:r>
    </w:p>
    <w:p w14:paraId="0CE80B8E" w14:textId="77777777" w:rsidR="00865573" w:rsidRPr="00865573" w:rsidRDefault="00865573" w:rsidP="002955E6">
      <w:pPr>
        <w:spacing w:line="240" w:lineRule="auto"/>
        <w:ind w:left="360"/>
        <w:rPr>
          <w:rStyle w:val="Hyperlink"/>
          <w:b/>
          <w:color w:val="0070C0"/>
        </w:rPr>
      </w:pPr>
    </w:p>
    <w:p w14:paraId="3D100D2B"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2BD60882" w14:textId="245D7F49" w:rsidR="00400C2C" w:rsidRDefault="00400C2C" w:rsidP="002955E6">
      <w:pPr>
        <w:spacing w:line="240" w:lineRule="auto"/>
        <w:ind w:left="0"/>
      </w:pPr>
      <w:r w:rsidRPr="00CD1EA8">
        <w:t>Note:</w:t>
      </w:r>
      <w:r>
        <w:t xml:space="preserve"> Attachments are included as separate files as instructed.</w:t>
      </w:r>
      <w:r w:rsidR="00244FFF">
        <w:br/>
      </w:r>
    </w:p>
    <w:p w14:paraId="618ADB31" w14:textId="3A90ECC7" w:rsidR="00865573" w:rsidRPr="00244FFF" w:rsidRDefault="00400C2C" w:rsidP="00FF4D83">
      <w:pPr>
        <w:pStyle w:val="ListParagraph"/>
        <w:numPr>
          <w:ilvl w:val="0"/>
          <w:numId w:val="38"/>
        </w:numPr>
        <w:rPr>
          <w:rFonts w:ascii="Cambria" w:hAnsi="Cambria"/>
          <w:b/>
        </w:rPr>
      </w:pPr>
      <w:r w:rsidRPr="00244FFF">
        <w:rPr>
          <w:rFonts w:ascii="Cambria" w:hAnsi="Cambria"/>
          <w:b/>
        </w:rPr>
        <w:t xml:space="preserve">Attachment </w:t>
      </w:r>
      <w:r w:rsidR="00804EEB" w:rsidRPr="00244FFF">
        <w:rPr>
          <w:rFonts w:ascii="Cambria" w:hAnsi="Cambria"/>
          <w:b/>
        </w:rPr>
        <w:t>E</w:t>
      </w:r>
      <w:r w:rsidR="00244FFF" w:rsidRPr="00244FFF">
        <w:rPr>
          <w:rFonts w:ascii="Cambria" w:hAnsi="Cambria"/>
          <w:b/>
        </w:rPr>
        <w:t xml:space="preserve"> -</w:t>
      </w:r>
      <w:r w:rsidR="00B8656C" w:rsidRPr="00244FFF">
        <w:rPr>
          <w:rFonts w:ascii="Cambria" w:hAnsi="Cambria"/>
          <w:b/>
        </w:rPr>
        <w:t xml:space="preserve"> </w:t>
      </w:r>
      <w:r w:rsidR="00BD6687" w:rsidRPr="00244FFF">
        <w:rPr>
          <w:rFonts w:ascii="Cambria" w:hAnsi="Cambria"/>
          <w:b/>
        </w:rPr>
        <w:t>Online Survey Invitation Email</w:t>
      </w:r>
    </w:p>
    <w:p w14:paraId="2707E01D" w14:textId="5E2B82E5" w:rsidR="00BD6687" w:rsidRPr="008016B5" w:rsidRDefault="00400C2C" w:rsidP="00FF4D83">
      <w:pPr>
        <w:pStyle w:val="ListParagraph"/>
        <w:numPr>
          <w:ilvl w:val="0"/>
          <w:numId w:val="38"/>
        </w:numPr>
        <w:rPr>
          <w:rFonts w:ascii="Cambria" w:hAnsi="Cambria"/>
          <w:b/>
        </w:rPr>
      </w:pPr>
      <w:r w:rsidRPr="008016B5">
        <w:rPr>
          <w:rFonts w:ascii="Cambria" w:hAnsi="Cambria"/>
          <w:b/>
        </w:rPr>
        <w:t xml:space="preserve">Attachment </w:t>
      </w:r>
      <w:r w:rsidR="00804EEB">
        <w:rPr>
          <w:rFonts w:ascii="Cambria" w:hAnsi="Cambria"/>
          <w:b/>
        </w:rPr>
        <w:t>F</w:t>
      </w:r>
      <w:r w:rsidR="00244FFF">
        <w:rPr>
          <w:rFonts w:ascii="Cambria" w:hAnsi="Cambria"/>
          <w:b/>
        </w:rPr>
        <w:t xml:space="preserve"> - </w:t>
      </w:r>
      <w:r w:rsidR="00BD6687" w:rsidRPr="008016B5">
        <w:rPr>
          <w:rFonts w:ascii="Cambria" w:hAnsi="Cambria"/>
          <w:b/>
        </w:rPr>
        <w:t>Online Survey Reminder Email 1</w:t>
      </w:r>
    </w:p>
    <w:p w14:paraId="742D6EEE" w14:textId="6DFB7532" w:rsidR="00BD6687" w:rsidRPr="008016B5" w:rsidRDefault="00400C2C" w:rsidP="00FF4D83">
      <w:pPr>
        <w:pStyle w:val="ListParagraph"/>
        <w:numPr>
          <w:ilvl w:val="0"/>
          <w:numId w:val="38"/>
        </w:numPr>
        <w:rPr>
          <w:rFonts w:ascii="Cambria" w:hAnsi="Cambria"/>
          <w:b/>
        </w:rPr>
      </w:pPr>
      <w:r w:rsidRPr="008016B5">
        <w:rPr>
          <w:rFonts w:ascii="Cambria" w:hAnsi="Cambria"/>
          <w:b/>
        </w:rPr>
        <w:t>Attachment</w:t>
      </w:r>
      <w:r w:rsidR="00147B81" w:rsidRPr="008016B5">
        <w:rPr>
          <w:rFonts w:ascii="Cambria" w:hAnsi="Cambria"/>
          <w:b/>
        </w:rPr>
        <w:t xml:space="preserve"> </w:t>
      </w:r>
      <w:r w:rsidR="00804EEB">
        <w:rPr>
          <w:rFonts w:ascii="Cambria" w:hAnsi="Cambria"/>
          <w:b/>
        </w:rPr>
        <w:t>G</w:t>
      </w:r>
      <w:r w:rsidR="00244FFF">
        <w:rPr>
          <w:rFonts w:ascii="Cambria" w:hAnsi="Cambria"/>
          <w:b/>
        </w:rPr>
        <w:t xml:space="preserve"> -</w:t>
      </w:r>
      <w:r w:rsidRPr="008016B5">
        <w:rPr>
          <w:rFonts w:ascii="Cambria" w:hAnsi="Cambria"/>
          <w:b/>
        </w:rPr>
        <w:t xml:space="preserve"> </w:t>
      </w:r>
      <w:r w:rsidR="00BD6687" w:rsidRPr="008016B5">
        <w:rPr>
          <w:rFonts w:ascii="Cambria" w:hAnsi="Cambria"/>
          <w:b/>
        </w:rPr>
        <w:t>Online Survey Reminder Email 2</w:t>
      </w:r>
    </w:p>
    <w:p w14:paraId="0E059BB9" w14:textId="2F2DF8D1" w:rsidR="00BD6687" w:rsidRPr="008016B5" w:rsidRDefault="00BD6687" w:rsidP="00FF4D83">
      <w:pPr>
        <w:pStyle w:val="ListParagraph"/>
        <w:numPr>
          <w:ilvl w:val="0"/>
          <w:numId w:val="38"/>
        </w:numPr>
        <w:rPr>
          <w:rFonts w:ascii="Cambria" w:hAnsi="Cambria"/>
          <w:b/>
        </w:rPr>
      </w:pPr>
      <w:r w:rsidRPr="008016B5">
        <w:rPr>
          <w:rFonts w:ascii="Cambria" w:hAnsi="Cambria"/>
          <w:b/>
        </w:rPr>
        <w:t xml:space="preserve">Attachment </w:t>
      </w:r>
      <w:r w:rsidR="00804EEB">
        <w:rPr>
          <w:rFonts w:ascii="Cambria" w:hAnsi="Cambria"/>
          <w:b/>
        </w:rPr>
        <w:t>H</w:t>
      </w:r>
      <w:r w:rsidR="00244FFF">
        <w:rPr>
          <w:rFonts w:ascii="Cambria" w:hAnsi="Cambria"/>
          <w:b/>
        </w:rPr>
        <w:t xml:space="preserve"> - </w:t>
      </w:r>
      <w:r w:rsidR="00C9089D">
        <w:rPr>
          <w:rFonts w:ascii="Cambria" w:hAnsi="Cambria"/>
          <w:b/>
        </w:rPr>
        <w:t>Telephone</w:t>
      </w:r>
      <w:r w:rsidRPr="008016B5">
        <w:rPr>
          <w:rFonts w:ascii="Cambria" w:hAnsi="Cambria"/>
          <w:b/>
        </w:rPr>
        <w:t xml:space="preserve"> Interview Invitation Email</w:t>
      </w:r>
      <w:r w:rsidRPr="008016B5" w:rsidDel="00BD6687">
        <w:rPr>
          <w:rFonts w:ascii="Cambria" w:hAnsi="Cambria"/>
          <w:b/>
        </w:rPr>
        <w:t xml:space="preserve"> </w:t>
      </w:r>
    </w:p>
    <w:p w14:paraId="0833B40B" w14:textId="115A3E28" w:rsidR="00BD6687" w:rsidRPr="008016B5" w:rsidRDefault="00BD6687" w:rsidP="00FF4D83">
      <w:pPr>
        <w:pStyle w:val="ListParagraph"/>
        <w:numPr>
          <w:ilvl w:val="0"/>
          <w:numId w:val="38"/>
        </w:numPr>
        <w:rPr>
          <w:rFonts w:ascii="Cambria" w:hAnsi="Cambria"/>
          <w:b/>
        </w:rPr>
      </w:pPr>
      <w:r w:rsidRPr="008016B5">
        <w:rPr>
          <w:rFonts w:ascii="Cambria" w:hAnsi="Cambria"/>
          <w:b/>
        </w:rPr>
        <w:t xml:space="preserve">Attachment </w:t>
      </w:r>
      <w:r w:rsidR="00804EEB">
        <w:rPr>
          <w:rFonts w:ascii="Cambria" w:hAnsi="Cambria"/>
          <w:b/>
        </w:rPr>
        <w:t>I</w:t>
      </w:r>
      <w:r w:rsidRPr="008016B5">
        <w:rPr>
          <w:rFonts w:ascii="Cambria" w:hAnsi="Cambria"/>
          <w:b/>
        </w:rPr>
        <w:t xml:space="preserve"> – </w:t>
      </w:r>
      <w:r w:rsidR="00C9089D">
        <w:rPr>
          <w:rFonts w:ascii="Cambria" w:hAnsi="Cambria"/>
          <w:b/>
        </w:rPr>
        <w:t>Telephone</w:t>
      </w:r>
      <w:r w:rsidR="007B0968">
        <w:rPr>
          <w:rFonts w:ascii="Cambria" w:hAnsi="Cambria"/>
          <w:b/>
        </w:rPr>
        <w:t xml:space="preserve"> Interview Reminder Email</w:t>
      </w:r>
    </w:p>
    <w:p w14:paraId="428EC770" w14:textId="77777777" w:rsidR="00865573" w:rsidRDefault="00865573" w:rsidP="009F2C17">
      <w:pPr>
        <w:spacing w:line="240" w:lineRule="auto"/>
        <w:ind w:left="0"/>
        <w:rPr>
          <w:rFonts w:ascii="Cambria" w:hAnsi="Cambria"/>
          <w:color w:val="0070C0"/>
        </w:rPr>
      </w:pPr>
    </w:p>
    <w:sectPr w:rsidR="00865573" w:rsidSect="00C125BF">
      <w:headerReference w:type="default" r:id="rId14"/>
      <w:footerReference w:type="default" r:id="rId15"/>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EF87" w14:textId="77777777" w:rsidR="00806232" w:rsidRDefault="00806232" w:rsidP="00BC6896">
      <w:r>
        <w:separator/>
      </w:r>
    </w:p>
    <w:p w14:paraId="4426ECAD" w14:textId="77777777" w:rsidR="00806232" w:rsidRDefault="00806232" w:rsidP="00BC6896"/>
  </w:endnote>
  <w:endnote w:type="continuationSeparator" w:id="0">
    <w:p w14:paraId="0ECAF053" w14:textId="77777777" w:rsidR="00806232" w:rsidRDefault="00806232" w:rsidP="00BC6896">
      <w:r>
        <w:continuationSeparator/>
      </w:r>
    </w:p>
    <w:p w14:paraId="1A725FFE" w14:textId="77777777" w:rsidR="00806232" w:rsidRDefault="00806232" w:rsidP="00BC6896"/>
  </w:endnote>
  <w:endnote w:id="1">
    <w:p w14:paraId="19AAF14D" w14:textId="77777777" w:rsidR="00806232" w:rsidRPr="00046047" w:rsidRDefault="00806232" w:rsidP="00BD43E6">
      <w:pPr>
        <w:pStyle w:val="EndnoteText"/>
        <w:spacing w:line="276" w:lineRule="auto"/>
        <w:rPr>
          <w:sz w:val="22"/>
          <w:szCs w:val="22"/>
        </w:rPr>
      </w:pPr>
      <w:r w:rsidRPr="00046047">
        <w:rPr>
          <w:rStyle w:val="EndnoteReference"/>
          <w:sz w:val="22"/>
          <w:szCs w:val="22"/>
        </w:rPr>
        <w:endnoteRef/>
      </w:r>
      <w:r w:rsidRPr="00046047">
        <w:rPr>
          <w:sz w:val="22"/>
          <w:szCs w:val="22"/>
        </w:rPr>
        <w:t xml:space="preserve"> </w:t>
      </w:r>
      <w:hyperlink r:id="rId1" w:history="1">
        <w:r w:rsidRPr="00046047">
          <w:rPr>
            <w:rStyle w:val="Hyperlink"/>
            <w:sz w:val="22"/>
            <w:szCs w:val="22"/>
          </w:rPr>
          <w:t>http://www.phaboard.org/news-room/accredited-health-departments/</w:t>
        </w:r>
      </w:hyperlink>
      <w:r w:rsidRPr="00046047">
        <w:rPr>
          <w:sz w:val="22"/>
          <w:szCs w:val="22"/>
        </w:rPr>
        <w:t xml:space="preserve"> </w:t>
      </w:r>
    </w:p>
  </w:endnote>
  <w:endnote w:id="2">
    <w:p w14:paraId="6A6ED823" w14:textId="77777777" w:rsidR="00806232" w:rsidRPr="00046047" w:rsidRDefault="00806232" w:rsidP="00BD43E6">
      <w:pPr>
        <w:pStyle w:val="EndnoteText"/>
        <w:spacing w:line="276" w:lineRule="auto"/>
        <w:rPr>
          <w:sz w:val="22"/>
          <w:szCs w:val="22"/>
        </w:rPr>
      </w:pPr>
      <w:r w:rsidRPr="00046047">
        <w:rPr>
          <w:rStyle w:val="EndnoteReference"/>
          <w:sz w:val="22"/>
          <w:szCs w:val="22"/>
        </w:rPr>
        <w:endnoteRef/>
      </w:r>
      <w:r w:rsidRPr="00046047">
        <w:rPr>
          <w:sz w:val="22"/>
          <w:szCs w:val="22"/>
        </w:rPr>
        <w:t xml:space="preserve"> </w:t>
      </w:r>
      <w:hyperlink r:id="rId2" w:history="1">
        <w:r w:rsidRPr="00046047">
          <w:rPr>
            <w:rStyle w:val="Hyperlink"/>
            <w:sz w:val="22"/>
            <w:szCs w:val="22"/>
          </w:rPr>
          <w:t>http://www.phaboard.org/news-room/accredited-health-departments/</w:t>
        </w:r>
      </w:hyperlink>
      <w:r w:rsidRPr="00046047">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6251CF93" w14:textId="0BA860D6" w:rsidR="00806232" w:rsidRDefault="008062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0CF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0CFB">
              <w:rPr>
                <w:b/>
                <w:bCs/>
                <w:noProof/>
              </w:rPr>
              <w:t>2</w:t>
            </w:r>
            <w:r>
              <w:rPr>
                <w:b/>
                <w:bCs/>
                <w:sz w:val="24"/>
                <w:szCs w:val="24"/>
              </w:rPr>
              <w:fldChar w:fldCharType="end"/>
            </w:r>
          </w:p>
        </w:sdtContent>
      </w:sdt>
    </w:sdtContent>
  </w:sdt>
  <w:p w14:paraId="77952CBD" w14:textId="77777777" w:rsidR="00806232" w:rsidRDefault="00806232"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13FA0" w14:textId="77777777" w:rsidR="00806232" w:rsidRDefault="00806232" w:rsidP="00BC6896">
      <w:r>
        <w:separator/>
      </w:r>
    </w:p>
    <w:p w14:paraId="0E12BDDC" w14:textId="77777777" w:rsidR="00806232" w:rsidRDefault="00806232" w:rsidP="00BC6896"/>
  </w:footnote>
  <w:footnote w:type="continuationSeparator" w:id="0">
    <w:p w14:paraId="2A319DC0" w14:textId="77777777" w:rsidR="00806232" w:rsidRDefault="00806232" w:rsidP="00BC6896">
      <w:r>
        <w:continuationSeparator/>
      </w:r>
    </w:p>
    <w:p w14:paraId="4C7D9914" w14:textId="77777777" w:rsidR="00806232" w:rsidRDefault="00806232"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49DA" w14:textId="77777777" w:rsidR="00806232" w:rsidRPr="00716F94" w:rsidRDefault="00806232" w:rsidP="00BC6896">
    <w:pPr>
      <w:pStyle w:val="Header"/>
      <w:rPr>
        <w:color w:val="0033CC"/>
      </w:rPr>
    </w:pPr>
    <w:r>
      <w:tab/>
    </w:r>
  </w:p>
  <w:p w14:paraId="374FE339" w14:textId="77777777" w:rsidR="00806232" w:rsidRDefault="00806232"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1450AE"/>
    <w:multiLevelType w:val="hybridMultilevel"/>
    <w:tmpl w:val="E3165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5"/>
  </w:num>
  <w:num w:numId="4">
    <w:abstractNumId w:val="12"/>
  </w:num>
  <w:num w:numId="5">
    <w:abstractNumId w:val="25"/>
  </w:num>
  <w:num w:numId="6">
    <w:abstractNumId w:val="7"/>
  </w:num>
  <w:num w:numId="7">
    <w:abstractNumId w:val="0"/>
  </w:num>
  <w:num w:numId="8">
    <w:abstractNumId w:val="5"/>
  </w:num>
  <w:num w:numId="9">
    <w:abstractNumId w:val="10"/>
  </w:num>
  <w:num w:numId="10">
    <w:abstractNumId w:val="28"/>
  </w:num>
  <w:num w:numId="11">
    <w:abstractNumId w:val="2"/>
  </w:num>
  <w:num w:numId="12">
    <w:abstractNumId w:val="34"/>
  </w:num>
  <w:num w:numId="13">
    <w:abstractNumId w:val="6"/>
  </w:num>
  <w:num w:numId="14">
    <w:abstractNumId w:val="3"/>
  </w:num>
  <w:num w:numId="15">
    <w:abstractNumId w:val="31"/>
  </w:num>
  <w:num w:numId="16">
    <w:abstractNumId w:val="37"/>
  </w:num>
  <w:num w:numId="17">
    <w:abstractNumId w:val="9"/>
  </w:num>
  <w:num w:numId="18">
    <w:abstractNumId w:val="14"/>
  </w:num>
  <w:num w:numId="19">
    <w:abstractNumId w:val="4"/>
  </w:num>
  <w:num w:numId="20">
    <w:abstractNumId w:val="15"/>
  </w:num>
  <w:num w:numId="21">
    <w:abstractNumId w:val="36"/>
  </w:num>
  <w:num w:numId="22">
    <w:abstractNumId w:val="29"/>
  </w:num>
  <w:num w:numId="23">
    <w:abstractNumId w:val="13"/>
  </w:num>
  <w:num w:numId="24">
    <w:abstractNumId w:val="30"/>
  </w:num>
  <w:num w:numId="25">
    <w:abstractNumId w:val="33"/>
  </w:num>
  <w:num w:numId="26">
    <w:abstractNumId w:val="19"/>
  </w:num>
  <w:num w:numId="27">
    <w:abstractNumId w:val="23"/>
  </w:num>
  <w:num w:numId="28">
    <w:abstractNumId w:val="20"/>
  </w:num>
  <w:num w:numId="29">
    <w:abstractNumId w:val="26"/>
  </w:num>
  <w:num w:numId="30">
    <w:abstractNumId w:val="22"/>
  </w:num>
  <w:num w:numId="31">
    <w:abstractNumId w:val="11"/>
  </w:num>
  <w:num w:numId="32">
    <w:abstractNumId w:val="24"/>
  </w:num>
  <w:num w:numId="33">
    <w:abstractNumId w:val="18"/>
  </w:num>
  <w:num w:numId="34">
    <w:abstractNumId w:val="16"/>
  </w:num>
  <w:num w:numId="35">
    <w:abstractNumId w:val="27"/>
  </w:num>
  <w:num w:numId="36">
    <w:abstractNumId w:val="21"/>
  </w:num>
  <w:num w:numId="37">
    <w:abstractNumId w:val="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37A0"/>
    <w:rsid w:val="000279A9"/>
    <w:rsid w:val="000474FB"/>
    <w:rsid w:val="00052A34"/>
    <w:rsid w:val="00053A92"/>
    <w:rsid w:val="000557D0"/>
    <w:rsid w:val="0005605E"/>
    <w:rsid w:val="00057F36"/>
    <w:rsid w:val="00071AFF"/>
    <w:rsid w:val="00086EEC"/>
    <w:rsid w:val="000A1F30"/>
    <w:rsid w:val="000A538D"/>
    <w:rsid w:val="000C0782"/>
    <w:rsid w:val="000E6577"/>
    <w:rsid w:val="000E7A19"/>
    <w:rsid w:val="000E7F35"/>
    <w:rsid w:val="000F36A3"/>
    <w:rsid w:val="0010166E"/>
    <w:rsid w:val="001030FC"/>
    <w:rsid w:val="00104A1B"/>
    <w:rsid w:val="001177DD"/>
    <w:rsid w:val="001308EB"/>
    <w:rsid w:val="001412D4"/>
    <w:rsid w:val="00144F64"/>
    <w:rsid w:val="00147B81"/>
    <w:rsid w:val="00150368"/>
    <w:rsid w:val="00151567"/>
    <w:rsid w:val="00163E17"/>
    <w:rsid w:val="001653AA"/>
    <w:rsid w:val="00166F9E"/>
    <w:rsid w:val="00175844"/>
    <w:rsid w:val="00176E14"/>
    <w:rsid w:val="00187D5A"/>
    <w:rsid w:val="001960AE"/>
    <w:rsid w:val="001972D7"/>
    <w:rsid w:val="001A00C2"/>
    <w:rsid w:val="001A28F6"/>
    <w:rsid w:val="001A7D0E"/>
    <w:rsid w:val="001B2831"/>
    <w:rsid w:val="001C0493"/>
    <w:rsid w:val="001C28AD"/>
    <w:rsid w:val="001D2951"/>
    <w:rsid w:val="001D461D"/>
    <w:rsid w:val="001D7FCB"/>
    <w:rsid w:val="001E2B99"/>
    <w:rsid w:val="001E69B6"/>
    <w:rsid w:val="001F4DBB"/>
    <w:rsid w:val="001F501E"/>
    <w:rsid w:val="001F7C89"/>
    <w:rsid w:val="0020312D"/>
    <w:rsid w:val="0020495F"/>
    <w:rsid w:val="00206E33"/>
    <w:rsid w:val="00210519"/>
    <w:rsid w:val="00212B42"/>
    <w:rsid w:val="00227CD3"/>
    <w:rsid w:val="00230CEF"/>
    <w:rsid w:val="00237CA1"/>
    <w:rsid w:val="00241B17"/>
    <w:rsid w:val="00241C81"/>
    <w:rsid w:val="00244FFF"/>
    <w:rsid w:val="00245F1F"/>
    <w:rsid w:val="00252BF8"/>
    <w:rsid w:val="00256392"/>
    <w:rsid w:val="00257A1C"/>
    <w:rsid w:val="002721C7"/>
    <w:rsid w:val="0027234C"/>
    <w:rsid w:val="00272D84"/>
    <w:rsid w:val="00272E03"/>
    <w:rsid w:val="00281795"/>
    <w:rsid w:val="002850E3"/>
    <w:rsid w:val="00285640"/>
    <w:rsid w:val="00287E2F"/>
    <w:rsid w:val="002955E6"/>
    <w:rsid w:val="002A1948"/>
    <w:rsid w:val="002C0877"/>
    <w:rsid w:val="002C2AE2"/>
    <w:rsid w:val="002C6A01"/>
    <w:rsid w:val="002D0DCE"/>
    <w:rsid w:val="002E2B10"/>
    <w:rsid w:val="002E2CF3"/>
    <w:rsid w:val="002F1502"/>
    <w:rsid w:val="002F169D"/>
    <w:rsid w:val="002F2069"/>
    <w:rsid w:val="002F3D87"/>
    <w:rsid w:val="002F6F92"/>
    <w:rsid w:val="003041AD"/>
    <w:rsid w:val="0031279F"/>
    <w:rsid w:val="00312D63"/>
    <w:rsid w:val="003161B9"/>
    <w:rsid w:val="00317DAD"/>
    <w:rsid w:val="0032697F"/>
    <w:rsid w:val="00327D05"/>
    <w:rsid w:val="00335EBD"/>
    <w:rsid w:val="00336D96"/>
    <w:rsid w:val="003371F4"/>
    <w:rsid w:val="003429C3"/>
    <w:rsid w:val="00344F07"/>
    <w:rsid w:val="003469C8"/>
    <w:rsid w:val="00355EA4"/>
    <w:rsid w:val="003635BE"/>
    <w:rsid w:val="00366B5E"/>
    <w:rsid w:val="00372844"/>
    <w:rsid w:val="0038560A"/>
    <w:rsid w:val="003B48D6"/>
    <w:rsid w:val="003C31C9"/>
    <w:rsid w:val="003C3D1C"/>
    <w:rsid w:val="003C4961"/>
    <w:rsid w:val="003C4B89"/>
    <w:rsid w:val="003C7C5D"/>
    <w:rsid w:val="003D0AD2"/>
    <w:rsid w:val="003E4383"/>
    <w:rsid w:val="003E4E7D"/>
    <w:rsid w:val="003E5D57"/>
    <w:rsid w:val="003F5913"/>
    <w:rsid w:val="00400C2C"/>
    <w:rsid w:val="004024F8"/>
    <w:rsid w:val="0040426A"/>
    <w:rsid w:val="0041159A"/>
    <w:rsid w:val="00414772"/>
    <w:rsid w:val="00415AF4"/>
    <w:rsid w:val="0042604A"/>
    <w:rsid w:val="004305A8"/>
    <w:rsid w:val="0043150B"/>
    <w:rsid w:val="0043417A"/>
    <w:rsid w:val="0044277C"/>
    <w:rsid w:val="00443CA0"/>
    <w:rsid w:val="00446AA4"/>
    <w:rsid w:val="00450E14"/>
    <w:rsid w:val="004621E6"/>
    <w:rsid w:val="00462C65"/>
    <w:rsid w:val="00467B14"/>
    <w:rsid w:val="00474EDA"/>
    <w:rsid w:val="0047536D"/>
    <w:rsid w:val="004824FA"/>
    <w:rsid w:val="00484011"/>
    <w:rsid w:val="004841F1"/>
    <w:rsid w:val="00487E55"/>
    <w:rsid w:val="004960D8"/>
    <w:rsid w:val="00497BC1"/>
    <w:rsid w:val="004A1E3A"/>
    <w:rsid w:val="004A519B"/>
    <w:rsid w:val="004B1D39"/>
    <w:rsid w:val="004B4EB5"/>
    <w:rsid w:val="004C129D"/>
    <w:rsid w:val="004C4AEA"/>
    <w:rsid w:val="004D2B02"/>
    <w:rsid w:val="004D533E"/>
    <w:rsid w:val="004D70EE"/>
    <w:rsid w:val="004E003C"/>
    <w:rsid w:val="004E16EB"/>
    <w:rsid w:val="004E6665"/>
    <w:rsid w:val="004F27F8"/>
    <w:rsid w:val="004F634E"/>
    <w:rsid w:val="004F67A8"/>
    <w:rsid w:val="004F7A73"/>
    <w:rsid w:val="0051182F"/>
    <w:rsid w:val="00522A50"/>
    <w:rsid w:val="00527225"/>
    <w:rsid w:val="0053557D"/>
    <w:rsid w:val="00537F29"/>
    <w:rsid w:val="00544BAA"/>
    <w:rsid w:val="005463DE"/>
    <w:rsid w:val="00546DC2"/>
    <w:rsid w:val="00550B75"/>
    <w:rsid w:val="005542E8"/>
    <w:rsid w:val="00556630"/>
    <w:rsid w:val="0055686D"/>
    <w:rsid w:val="005800EE"/>
    <w:rsid w:val="00581DA1"/>
    <w:rsid w:val="005869D6"/>
    <w:rsid w:val="00593E85"/>
    <w:rsid w:val="005A33F6"/>
    <w:rsid w:val="005A59E5"/>
    <w:rsid w:val="005A5A1B"/>
    <w:rsid w:val="005B7440"/>
    <w:rsid w:val="005C6E9D"/>
    <w:rsid w:val="005E11E7"/>
    <w:rsid w:val="005E2150"/>
    <w:rsid w:val="005E2995"/>
    <w:rsid w:val="005F0163"/>
    <w:rsid w:val="005F3ADE"/>
    <w:rsid w:val="005F3FEF"/>
    <w:rsid w:val="00601392"/>
    <w:rsid w:val="006075F6"/>
    <w:rsid w:val="00607F7C"/>
    <w:rsid w:val="006102DA"/>
    <w:rsid w:val="006161CF"/>
    <w:rsid w:val="00621F93"/>
    <w:rsid w:val="006315A3"/>
    <w:rsid w:val="006379E9"/>
    <w:rsid w:val="00637CC1"/>
    <w:rsid w:val="006450F4"/>
    <w:rsid w:val="006466BA"/>
    <w:rsid w:val="006556AE"/>
    <w:rsid w:val="006579A2"/>
    <w:rsid w:val="00667C89"/>
    <w:rsid w:val="006711EE"/>
    <w:rsid w:val="006809BB"/>
    <w:rsid w:val="006809FD"/>
    <w:rsid w:val="00683C7C"/>
    <w:rsid w:val="00687C5F"/>
    <w:rsid w:val="006909AE"/>
    <w:rsid w:val="00691031"/>
    <w:rsid w:val="00691D1F"/>
    <w:rsid w:val="0069580C"/>
    <w:rsid w:val="00697BAE"/>
    <w:rsid w:val="006A1D6B"/>
    <w:rsid w:val="006A63FD"/>
    <w:rsid w:val="006B4DDC"/>
    <w:rsid w:val="006B5E55"/>
    <w:rsid w:val="006C1771"/>
    <w:rsid w:val="006C2895"/>
    <w:rsid w:val="006D25A1"/>
    <w:rsid w:val="006D6932"/>
    <w:rsid w:val="006E28F8"/>
    <w:rsid w:val="006E4BB7"/>
    <w:rsid w:val="006F23AF"/>
    <w:rsid w:val="006F6856"/>
    <w:rsid w:val="0071190E"/>
    <w:rsid w:val="007145D0"/>
    <w:rsid w:val="00716F94"/>
    <w:rsid w:val="00750A7A"/>
    <w:rsid w:val="00760E12"/>
    <w:rsid w:val="00763CF3"/>
    <w:rsid w:val="0076638A"/>
    <w:rsid w:val="00772293"/>
    <w:rsid w:val="00773E18"/>
    <w:rsid w:val="00783A3C"/>
    <w:rsid w:val="00783C75"/>
    <w:rsid w:val="00784619"/>
    <w:rsid w:val="0078627B"/>
    <w:rsid w:val="00794E32"/>
    <w:rsid w:val="007A14EB"/>
    <w:rsid w:val="007A6EE6"/>
    <w:rsid w:val="007B0968"/>
    <w:rsid w:val="007B305A"/>
    <w:rsid w:val="007E3F71"/>
    <w:rsid w:val="00800993"/>
    <w:rsid w:val="008016B5"/>
    <w:rsid w:val="00804EEB"/>
    <w:rsid w:val="00806232"/>
    <w:rsid w:val="008100F2"/>
    <w:rsid w:val="00810FBF"/>
    <w:rsid w:val="00815C7D"/>
    <w:rsid w:val="00817941"/>
    <w:rsid w:val="00822136"/>
    <w:rsid w:val="008261AB"/>
    <w:rsid w:val="00835CA7"/>
    <w:rsid w:val="008370D4"/>
    <w:rsid w:val="008414AD"/>
    <w:rsid w:val="008428D9"/>
    <w:rsid w:val="00865573"/>
    <w:rsid w:val="0087354D"/>
    <w:rsid w:val="008759F6"/>
    <w:rsid w:val="00876B98"/>
    <w:rsid w:val="00884DB9"/>
    <w:rsid w:val="00885E0C"/>
    <w:rsid w:val="0089676F"/>
    <w:rsid w:val="008A3835"/>
    <w:rsid w:val="008A6910"/>
    <w:rsid w:val="008C67D2"/>
    <w:rsid w:val="008E0683"/>
    <w:rsid w:val="00902DD9"/>
    <w:rsid w:val="00911466"/>
    <w:rsid w:val="00911486"/>
    <w:rsid w:val="009129CA"/>
    <w:rsid w:val="009206B6"/>
    <w:rsid w:val="009263C1"/>
    <w:rsid w:val="00931C02"/>
    <w:rsid w:val="00935FFD"/>
    <w:rsid w:val="00941B4F"/>
    <w:rsid w:val="0095795E"/>
    <w:rsid w:val="00963CE3"/>
    <w:rsid w:val="0096438B"/>
    <w:rsid w:val="00964F18"/>
    <w:rsid w:val="00965651"/>
    <w:rsid w:val="0097039F"/>
    <w:rsid w:val="0097254D"/>
    <w:rsid w:val="00974424"/>
    <w:rsid w:val="009759F3"/>
    <w:rsid w:val="00984CFF"/>
    <w:rsid w:val="00987F76"/>
    <w:rsid w:val="00991BF9"/>
    <w:rsid w:val="00993088"/>
    <w:rsid w:val="0099664F"/>
    <w:rsid w:val="00997398"/>
    <w:rsid w:val="00997D5D"/>
    <w:rsid w:val="009A0447"/>
    <w:rsid w:val="009A5E22"/>
    <w:rsid w:val="009B034F"/>
    <w:rsid w:val="009B081E"/>
    <w:rsid w:val="009B4A51"/>
    <w:rsid w:val="009C28B1"/>
    <w:rsid w:val="009C61AD"/>
    <w:rsid w:val="009D373D"/>
    <w:rsid w:val="009D77CD"/>
    <w:rsid w:val="009E1D05"/>
    <w:rsid w:val="009E435B"/>
    <w:rsid w:val="009F2C17"/>
    <w:rsid w:val="009F7283"/>
    <w:rsid w:val="00A00C86"/>
    <w:rsid w:val="00A11B0C"/>
    <w:rsid w:val="00A305CE"/>
    <w:rsid w:val="00A33B35"/>
    <w:rsid w:val="00A36419"/>
    <w:rsid w:val="00A37AE0"/>
    <w:rsid w:val="00A56106"/>
    <w:rsid w:val="00A578C2"/>
    <w:rsid w:val="00A70EBC"/>
    <w:rsid w:val="00A72652"/>
    <w:rsid w:val="00A75D1C"/>
    <w:rsid w:val="00A76CA6"/>
    <w:rsid w:val="00A809AA"/>
    <w:rsid w:val="00A81BF7"/>
    <w:rsid w:val="00A849B3"/>
    <w:rsid w:val="00A8510D"/>
    <w:rsid w:val="00A86AF3"/>
    <w:rsid w:val="00A90BDC"/>
    <w:rsid w:val="00A95477"/>
    <w:rsid w:val="00A975A9"/>
    <w:rsid w:val="00AA3192"/>
    <w:rsid w:val="00AB3608"/>
    <w:rsid w:val="00AC5C48"/>
    <w:rsid w:val="00AE7295"/>
    <w:rsid w:val="00AF0CF4"/>
    <w:rsid w:val="00AF1633"/>
    <w:rsid w:val="00AF2252"/>
    <w:rsid w:val="00B1129F"/>
    <w:rsid w:val="00B11D61"/>
    <w:rsid w:val="00B12F51"/>
    <w:rsid w:val="00B22710"/>
    <w:rsid w:val="00B26D50"/>
    <w:rsid w:val="00B2751E"/>
    <w:rsid w:val="00B310B0"/>
    <w:rsid w:val="00B3650C"/>
    <w:rsid w:val="00B37CE6"/>
    <w:rsid w:val="00B40F52"/>
    <w:rsid w:val="00B50A2B"/>
    <w:rsid w:val="00B64BFA"/>
    <w:rsid w:val="00B65C38"/>
    <w:rsid w:val="00B8216F"/>
    <w:rsid w:val="00B853F1"/>
    <w:rsid w:val="00B85DE4"/>
    <w:rsid w:val="00B8656C"/>
    <w:rsid w:val="00B91A31"/>
    <w:rsid w:val="00BA6DB4"/>
    <w:rsid w:val="00BC016A"/>
    <w:rsid w:val="00BC3F3C"/>
    <w:rsid w:val="00BC5BB2"/>
    <w:rsid w:val="00BC6896"/>
    <w:rsid w:val="00BD0EE1"/>
    <w:rsid w:val="00BD43E6"/>
    <w:rsid w:val="00BD6445"/>
    <w:rsid w:val="00BD6687"/>
    <w:rsid w:val="00BF3F54"/>
    <w:rsid w:val="00C00697"/>
    <w:rsid w:val="00C0376C"/>
    <w:rsid w:val="00C06D77"/>
    <w:rsid w:val="00C06E7F"/>
    <w:rsid w:val="00C125BF"/>
    <w:rsid w:val="00C14BA6"/>
    <w:rsid w:val="00C347E7"/>
    <w:rsid w:val="00C3485C"/>
    <w:rsid w:val="00C420D4"/>
    <w:rsid w:val="00C552C9"/>
    <w:rsid w:val="00C71876"/>
    <w:rsid w:val="00C71C6A"/>
    <w:rsid w:val="00C84DC3"/>
    <w:rsid w:val="00C9089D"/>
    <w:rsid w:val="00CA2004"/>
    <w:rsid w:val="00CB334D"/>
    <w:rsid w:val="00CB4DA8"/>
    <w:rsid w:val="00CB56D5"/>
    <w:rsid w:val="00CC5B90"/>
    <w:rsid w:val="00CD0771"/>
    <w:rsid w:val="00CD1EA8"/>
    <w:rsid w:val="00CE4D54"/>
    <w:rsid w:val="00CF0CE8"/>
    <w:rsid w:val="00CF2EDD"/>
    <w:rsid w:val="00CF5ABD"/>
    <w:rsid w:val="00CF63CE"/>
    <w:rsid w:val="00D067C1"/>
    <w:rsid w:val="00D13B13"/>
    <w:rsid w:val="00D16E78"/>
    <w:rsid w:val="00D201D3"/>
    <w:rsid w:val="00D24BCF"/>
    <w:rsid w:val="00D26A64"/>
    <w:rsid w:val="00D328FA"/>
    <w:rsid w:val="00D33BF9"/>
    <w:rsid w:val="00D4221A"/>
    <w:rsid w:val="00D52B80"/>
    <w:rsid w:val="00D52B9A"/>
    <w:rsid w:val="00D5367E"/>
    <w:rsid w:val="00D54BB6"/>
    <w:rsid w:val="00D57C7E"/>
    <w:rsid w:val="00D669FB"/>
    <w:rsid w:val="00D724CC"/>
    <w:rsid w:val="00D7285C"/>
    <w:rsid w:val="00D739C7"/>
    <w:rsid w:val="00D77D27"/>
    <w:rsid w:val="00D861ED"/>
    <w:rsid w:val="00D873E0"/>
    <w:rsid w:val="00D94F8B"/>
    <w:rsid w:val="00DA147A"/>
    <w:rsid w:val="00DA4EA9"/>
    <w:rsid w:val="00DA5988"/>
    <w:rsid w:val="00DB5CF4"/>
    <w:rsid w:val="00DC317C"/>
    <w:rsid w:val="00DC4FF2"/>
    <w:rsid w:val="00DC79CC"/>
    <w:rsid w:val="00DE2D45"/>
    <w:rsid w:val="00E134F4"/>
    <w:rsid w:val="00E23568"/>
    <w:rsid w:val="00E245B5"/>
    <w:rsid w:val="00E24C20"/>
    <w:rsid w:val="00E3340B"/>
    <w:rsid w:val="00E33BBA"/>
    <w:rsid w:val="00E33E1B"/>
    <w:rsid w:val="00E34D3E"/>
    <w:rsid w:val="00E42F3A"/>
    <w:rsid w:val="00E81C5E"/>
    <w:rsid w:val="00E83B3C"/>
    <w:rsid w:val="00E8736B"/>
    <w:rsid w:val="00E90275"/>
    <w:rsid w:val="00E925D4"/>
    <w:rsid w:val="00E97226"/>
    <w:rsid w:val="00EB63B3"/>
    <w:rsid w:val="00EC45F0"/>
    <w:rsid w:val="00ED6878"/>
    <w:rsid w:val="00EF0EC8"/>
    <w:rsid w:val="00EF33CD"/>
    <w:rsid w:val="00F068A0"/>
    <w:rsid w:val="00F109D3"/>
    <w:rsid w:val="00F22337"/>
    <w:rsid w:val="00F2267A"/>
    <w:rsid w:val="00F27049"/>
    <w:rsid w:val="00F300CB"/>
    <w:rsid w:val="00F30CFB"/>
    <w:rsid w:val="00F40AE2"/>
    <w:rsid w:val="00F41AE0"/>
    <w:rsid w:val="00F42C3A"/>
    <w:rsid w:val="00F44A79"/>
    <w:rsid w:val="00F52BCC"/>
    <w:rsid w:val="00F5313F"/>
    <w:rsid w:val="00F57581"/>
    <w:rsid w:val="00F725B5"/>
    <w:rsid w:val="00F81A48"/>
    <w:rsid w:val="00FB1DB3"/>
    <w:rsid w:val="00FB6672"/>
    <w:rsid w:val="00FC5B1F"/>
    <w:rsid w:val="00FD17C9"/>
    <w:rsid w:val="00FD1EF0"/>
    <w:rsid w:val="00FD2A5B"/>
    <w:rsid w:val="00FD632C"/>
    <w:rsid w:val="00FE0E1C"/>
    <w:rsid w:val="00FE3CB3"/>
    <w:rsid w:val="00FE6A5C"/>
    <w:rsid w:val="00FF4D83"/>
    <w:rsid w:val="00FF7B1A"/>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EndnoteText">
    <w:name w:val="endnote text"/>
    <w:basedOn w:val="Normal"/>
    <w:link w:val="EndnoteTextChar"/>
    <w:uiPriority w:val="99"/>
    <w:semiHidden/>
    <w:unhideWhenUsed/>
    <w:rsid w:val="00BD43E6"/>
    <w:pPr>
      <w:tabs>
        <w:tab w:val="right" w:pos="9360"/>
      </w:tabs>
      <w:spacing w:line="240" w:lineRule="auto"/>
    </w:pPr>
    <w:rPr>
      <w:sz w:val="20"/>
      <w:szCs w:val="20"/>
    </w:rPr>
  </w:style>
  <w:style w:type="character" w:customStyle="1" w:styleId="EndnoteTextChar">
    <w:name w:val="Endnote Text Char"/>
    <w:basedOn w:val="DefaultParagraphFont"/>
    <w:link w:val="EndnoteText"/>
    <w:uiPriority w:val="99"/>
    <w:semiHidden/>
    <w:rsid w:val="00BD43E6"/>
    <w:rPr>
      <w:rFonts w:asciiTheme="majorHAnsi" w:hAnsiTheme="majorHAnsi"/>
      <w:sz w:val="20"/>
      <w:szCs w:val="20"/>
    </w:rPr>
  </w:style>
  <w:style w:type="character" w:styleId="EndnoteReference">
    <w:name w:val="endnote reference"/>
    <w:basedOn w:val="DefaultParagraphFont"/>
    <w:uiPriority w:val="99"/>
    <w:semiHidden/>
    <w:unhideWhenUsed/>
    <w:rsid w:val="00BD43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EndnoteText">
    <w:name w:val="endnote text"/>
    <w:basedOn w:val="Normal"/>
    <w:link w:val="EndnoteTextChar"/>
    <w:uiPriority w:val="99"/>
    <w:semiHidden/>
    <w:unhideWhenUsed/>
    <w:rsid w:val="00BD43E6"/>
    <w:pPr>
      <w:tabs>
        <w:tab w:val="right" w:pos="9360"/>
      </w:tabs>
      <w:spacing w:line="240" w:lineRule="auto"/>
    </w:pPr>
    <w:rPr>
      <w:sz w:val="20"/>
      <w:szCs w:val="20"/>
    </w:rPr>
  </w:style>
  <w:style w:type="character" w:customStyle="1" w:styleId="EndnoteTextChar">
    <w:name w:val="Endnote Text Char"/>
    <w:basedOn w:val="DefaultParagraphFont"/>
    <w:link w:val="EndnoteText"/>
    <w:uiPriority w:val="99"/>
    <w:semiHidden/>
    <w:rsid w:val="00BD43E6"/>
    <w:rPr>
      <w:rFonts w:asciiTheme="majorHAnsi" w:hAnsiTheme="majorHAnsi"/>
      <w:sz w:val="20"/>
      <w:szCs w:val="20"/>
    </w:rPr>
  </w:style>
  <w:style w:type="character" w:styleId="EndnoteReference">
    <w:name w:val="endnote reference"/>
    <w:basedOn w:val="DefaultParagraphFont"/>
    <w:uiPriority w:val="99"/>
    <w:semiHidden/>
    <w:unhideWhenUsed/>
    <w:rsid w:val="00BD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75937">
      <w:bodyDiv w:val="1"/>
      <w:marLeft w:val="0"/>
      <w:marRight w:val="0"/>
      <w:marTop w:val="0"/>
      <w:marBottom w:val="0"/>
      <w:divBdr>
        <w:top w:val="none" w:sz="0" w:space="0" w:color="auto"/>
        <w:left w:val="none" w:sz="0" w:space="0" w:color="auto"/>
        <w:bottom w:val="none" w:sz="0" w:space="0" w:color="auto"/>
        <w:right w:val="none" w:sz="0" w:space="0" w:color="auto"/>
      </w:divBdr>
      <w:divsChild>
        <w:div w:id="1101225155">
          <w:marLeft w:val="0"/>
          <w:marRight w:val="0"/>
          <w:marTop w:val="0"/>
          <w:marBottom w:val="0"/>
          <w:divBdr>
            <w:top w:val="none" w:sz="0" w:space="0" w:color="auto"/>
            <w:left w:val="none" w:sz="0" w:space="0" w:color="auto"/>
            <w:bottom w:val="none" w:sz="0" w:space="0" w:color="auto"/>
            <w:right w:val="none" w:sz="0" w:space="0" w:color="auto"/>
          </w:divBdr>
          <w:divsChild>
            <w:div w:id="100809342">
              <w:marLeft w:val="0"/>
              <w:marRight w:val="0"/>
              <w:marTop w:val="0"/>
              <w:marBottom w:val="300"/>
              <w:divBdr>
                <w:top w:val="single" w:sz="6" w:space="0" w:color="BEBEBE"/>
                <w:left w:val="single" w:sz="6" w:space="0" w:color="BEBEBE"/>
                <w:bottom w:val="single" w:sz="6" w:space="0" w:color="BEBEBE"/>
                <w:right w:val="single" w:sz="6" w:space="0" w:color="BEBEBE"/>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310447039">
                      <w:marLeft w:val="0"/>
                      <w:marRight w:val="0"/>
                      <w:marTop w:val="0"/>
                      <w:marBottom w:val="0"/>
                      <w:divBdr>
                        <w:top w:val="none" w:sz="0" w:space="0" w:color="auto"/>
                        <w:left w:val="none" w:sz="0" w:space="0" w:color="auto"/>
                        <w:bottom w:val="none" w:sz="0" w:space="0" w:color="auto"/>
                        <w:right w:val="none" w:sz="0" w:space="0" w:color="auto"/>
                      </w:divBdr>
                      <w:divsChild>
                        <w:div w:id="2082410621">
                          <w:marLeft w:val="0"/>
                          <w:marRight w:val="0"/>
                          <w:marTop w:val="0"/>
                          <w:marBottom w:val="0"/>
                          <w:divBdr>
                            <w:top w:val="none" w:sz="0" w:space="0" w:color="auto"/>
                            <w:left w:val="none" w:sz="0" w:space="0" w:color="auto"/>
                            <w:bottom w:val="none" w:sz="0" w:space="0" w:color="auto"/>
                            <w:right w:val="none" w:sz="0" w:space="0" w:color="auto"/>
                          </w:divBdr>
                          <w:divsChild>
                            <w:div w:id="12008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phaboard.org/news-room/accredited-health-departments/" TargetMode="External"/><Relationship Id="rId1" Type="http://schemas.openxmlformats.org/officeDocument/2006/relationships/hyperlink" Target="http://www.phaboard.org/news-room/accredited-health-depar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OSTLTSDOC-727-165</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https://esp.cdc.gov/sites/ostlts/pip/osc/_layouts/15/DocIdRedir.aspx?ID=OSTLTSDOC-727-165</Url>
      <Description>OSTLTSDOC-727-165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E8E8-8073-4A2E-916E-4927A6BA4EDF}">
  <ds:schemaRefs>
    <ds:schemaRef ds:uri="http://schemas.microsoft.com/sharepoint/v3/contenttype/forms"/>
  </ds:schemaRefs>
</ds:datastoreItem>
</file>

<file path=customXml/itemProps2.xml><?xml version="1.0" encoding="utf-8"?>
<ds:datastoreItem xmlns:ds="http://schemas.openxmlformats.org/officeDocument/2006/customXml" ds:itemID="{6D76985E-124D-4EFB-9536-8BD9975CBF1E}">
  <ds:schemaRefs>
    <ds:schemaRef ds:uri="http://schemas.microsoft.com/office/2006/metadata/customXsn"/>
  </ds:schemaRefs>
</ds:datastoreItem>
</file>

<file path=customXml/itemProps3.xml><?xml version="1.0" encoding="utf-8"?>
<ds:datastoreItem xmlns:ds="http://schemas.openxmlformats.org/officeDocument/2006/customXml" ds:itemID="{4D383EB5-812D-4A99-8830-1B0E61E88575}">
  <ds:schemaRefs>
    <ds:schemaRef ds:uri="http://schemas.microsoft.com/sharepoint/events"/>
  </ds:schemaRefs>
</ds:datastoreItem>
</file>

<file path=customXml/itemProps4.xml><?xml version="1.0" encoding="utf-8"?>
<ds:datastoreItem xmlns:ds="http://schemas.openxmlformats.org/officeDocument/2006/customXml" ds:itemID="{854F2C6D-BD8B-45D7-9621-70DE1263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1CCB0F-DD79-4402-9896-AFEBF083B015}">
  <ds:schemaRefs>
    <ds:schemaRef ds:uri="bd99c180-279b-44c3-9486-dd050336677e"/>
    <ds:schemaRef ds:uri="b5c0ca00-073d-4463-9985-b654f14791fe"/>
    <ds:schemaRef ds:uri="http://purl.org/dc/terms/"/>
    <ds:schemaRef ds:uri="http://schemas.microsoft.com/office/2006/metadata/properties"/>
    <ds:schemaRef ds:uri="http://schemas.microsoft.com/office/2006/documentManagement/types"/>
    <ds:schemaRef ds:uri="15b1c282-9287-45cb-9b41-eae3a76919a0"/>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C7EB588F-885B-42AE-91AA-E04CC272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PHE-AT-HD-SSB</vt:lpstr>
    </vt:vector>
  </TitlesOfParts>
  <Company>CDC</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PHE-AT-HD-SSB</dc:title>
  <dc:creator>khx2</dc:creator>
  <cp:lastModifiedBy>SYSTEM</cp:lastModifiedBy>
  <cp:revision>2</cp:revision>
  <cp:lastPrinted>2018-03-08T20:27:00Z</cp:lastPrinted>
  <dcterms:created xsi:type="dcterms:W3CDTF">2018-05-04T14:25:00Z</dcterms:created>
  <dcterms:modified xsi:type="dcterms:W3CDTF">2018-05-04T14:25:00Z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7452137d-fb90-4ced-8f28-345301cdc642</vt:lpwstr>
  </property>
</Properties>
</file>