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CD2D8E" w:rsidRDefault="009B4A51" w14:paraId="2CE66927" w14:textId="6DE9A7DD">
      <w:pPr>
        <w:ind w:left="0"/>
      </w:pPr>
      <w:bookmarkStart w:name="_GoBack" w:id="0"/>
      <w:bookmarkEnd w:id="0"/>
    </w:p>
    <w:p w:rsidRPr="007F62D6" w:rsidR="00716F94" w:rsidP="007F62D6" w:rsidRDefault="007F62D6" w14:paraId="1E5CB79D" w14:textId="5B460A66">
      <w:pPr>
        <w:jc w:val="center"/>
        <w:rPr>
          <w:color w:val="0070C0"/>
          <w:sz w:val="40"/>
          <w:szCs w:val="40"/>
        </w:rPr>
      </w:pPr>
      <w:r w:rsidRPr="00366EC4">
        <w:rPr>
          <w:sz w:val="40"/>
          <w:szCs w:val="40"/>
        </w:rPr>
        <w:t>2020 Carbapenem Resistance Veterinary Diagnostic Laboratory Survey</w:t>
      </w:r>
    </w:p>
    <w:p w:rsidR="00AA3192" w:rsidP="00BC6896" w:rsidRDefault="00AA3192" w14:paraId="65FCCF95" w14:textId="77777777"/>
    <w:p w:rsidRPr="00AA3192" w:rsidR="00716F94" w:rsidP="00BC6896" w:rsidRDefault="00484011" w14:paraId="2EB48742" w14:textId="6E106B0B">
      <w:pPr>
        <w:ind w:left="0"/>
        <w:jc w:val="center"/>
      </w:pPr>
      <w:r w:rsidRPr="00AA3192">
        <w:t xml:space="preserve">OSTLTS Generic </w:t>
      </w:r>
      <w:r w:rsidR="00487E55">
        <w:t>Data collection</w:t>
      </w:r>
      <w:r w:rsidRPr="00AA3192">
        <w:t xml:space="preserve"> Request</w:t>
      </w:r>
    </w:p>
    <w:p w:rsidRPr="00AA3192" w:rsidR="00484011" w:rsidP="00BC6896" w:rsidRDefault="00484011" w14:paraId="5EB5B9AE" w14:textId="77777777">
      <w:pPr>
        <w:pStyle w:val="Header"/>
        <w:ind w:left="0"/>
        <w:jc w:val="center"/>
      </w:pPr>
      <w:r w:rsidRPr="00AA3192">
        <w:t>OMB No. 0920-0879</w:t>
      </w:r>
    </w:p>
    <w:p w:rsidR="009B4A51" w:rsidP="00BC6896" w:rsidRDefault="009B4A51" w14:paraId="7CA125B8" w14:textId="77777777"/>
    <w:p w:rsidR="00AA3192" w:rsidP="00BC6896" w:rsidRDefault="00AA3192" w14:paraId="764247A8" w14:textId="77777777"/>
    <w:p w:rsidRPr="00BC6896" w:rsidR="009B4A51" w:rsidP="00BC6896" w:rsidRDefault="009B4A51" w14:paraId="67C3F948" w14:textId="77777777">
      <w:pPr>
        <w:pStyle w:val="Heading2"/>
      </w:pPr>
      <w:r w:rsidRPr="00BC6896">
        <w:t xml:space="preserve">Supporting Statement – Section </w:t>
      </w:r>
      <w:r w:rsidRPr="00BC6896" w:rsidR="00601392">
        <w:t>B</w:t>
      </w:r>
    </w:p>
    <w:p w:rsidR="009B4A51" w:rsidP="00BC6896" w:rsidRDefault="009B4A51" w14:paraId="643F25BB" w14:textId="77777777"/>
    <w:p w:rsidRPr="00BC6896" w:rsidR="009B4A51" w:rsidP="00BC6896" w:rsidRDefault="009B4A51" w14:paraId="031B1731" w14:textId="6BF7BD4C">
      <w:pPr>
        <w:ind w:left="0"/>
        <w:jc w:val="center"/>
      </w:pPr>
      <w:r w:rsidRPr="00AA3192">
        <w:t xml:space="preserve">Submitted: </w:t>
      </w:r>
      <w:r w:rsidR="00E605BA">
        <w:t>09.28.20</w:t>
      </w:r>
    </w:p>
    <w:p w:rsidR="009B4A51" w:rsidP="00BC6896" w:rsidRDefault="009B4A51" w14:paraId="415560A8" w14:textId="77777777"/>
    <w:p w:rsidR="009B4A51" w:rsidP="00BC6896" w:rsidRDefault="009B4A51" w14:paraId="0369ED2C" w14:textId="77777777"/>
    <w:p w:rsidR="009B4A51" w:rsidP="00BC6896" w:rsidRDefault="009B4A51" w14:paraId="11BC56D4" w14:textId="77777777"/>
    <w:p w:rsidR="007F62D6" w:rsidP="007F62D6" w:rsidRDefault="007F62D6" w14:paraId="5C7B86AA" w14:textId="77777777">
      <w:pPr>
        <w:ind w:left="0"/>
        <w:rPr>
          <w:b/>
          <w:u w:val="single"/>
        </w:rPr>
      </w:pPr>
      <w:r w:rsidRPr="00CA5840">
        <w:rPr>
          <w:b/>
          <w:u w:val="single"/>
        </w:rPr>
        <w:t>Project Officer</w:t>
      </w:r>
      <w:r>
        <w:rPr>
          <w:b/>
          <w:u w:val="single"/>
        </w:rPr>
        <w:t>:</w:t>
      </w:r>
    </w:p>
    <w:p w:rsidRPr="00366EC4" w:rsidR="007F62D6" w:rsidP="007F62D6" w:rsidRDefault="007F62D6" w14:paraId="09EA0C04" w14:textId="77777777">
      <w:pPr>
        <w:ind w:left="0"/>
      </w:pPr>
      <w:r w:rsidRPr="00366EC4">
        <w:t>Michelle Waltenburg, DVM, MPH</w:t>
      </w:r>
    </w:p>
    <w:p w:rsidR="007F62D6" w:rsidP="007F62D6" w:rsidRDefault="007F62D6" w14:paraId="72DBAA46" w14:textId="77777777">
      <w:pPr>
        <w:ind w:left="0"/>
      </w:pPr>
      <w:r w:rsidRPr="00366EC4">
        <w:t>Epidemic Intelligence Service Officer</w:t>
      </w:r>
    </w:p>
    <w:p w:rsidRPr="00366EC4" w:rsidR="007F62D6" w:rsidP="007F62D6" w:rsidRDefault="007F62D6" w14:paraId="702041CD" w14:textId="77777777">
      <w:pPr>
        <w:ind w:left="0"/>
      </w:pPr>
      <w:r w:rsidRPr="00366EC4">
        <w:t>Outbreak Response and Prevention Branch</w:t>
      </w:r>
    </w:p>
    <w:p w:rsidRPr="00366EC4" w:rsidR="007F62D6" w:rsidP="007F62D6" w:rsidRDefault="007F62D6" w14:paraId="208957C6" w14:textId="77777777">
      <w:pPr>
        <w:ind w:left="0"/>
      </w:pPr>
      <w:r w:rsidRPr="00366EC4">
        <w:t>Division of Foodborne, Waterborne, and Environmental Diseases</w:t>
      </w:r>
    </w:p>
    <w:p w:rsidRPr="00366EC4" w:rsidR="007F62D6" w:rsidP="007F62D6" w:rsidRDefault="007F62D6" w14:paraId="4FF91BF9" w14:textId="77777777">
      <w:pPr>
        <w:ind w:left="0"/>
      </w:pPr>
      <w:r w:rsidRPr="00366EC4">
        <w:t>Centers for Disease Control and Prevention</w:t>
      </w:r>
    </w:p>
    <w:p w:rsidRPr="00366EC4" w:rsidR="007F62D6" w:rsidP="007F62D6" w:rsidRDefault="007F62D6" w14:paraId="22B2FF84" w14:textId="77777777">
      <w:pPr>
        <w:ind w:left="0"/>
      </w:pPr>
      <w:r w:rsidRPr="00366EC4">
        <w:t>1600 Clifton Road NE</w:t>
      </w:r>
    </w:p>
    <w:p w:rsidRPr="00366EC4" w:rsidR="007F62D6" w:rsidP="007F62D6" w:rsidRDefault="007F62D6" w14:paraId="48013F8C" w14:textId="77777777">
      <w:pPr>
        <w:ind w:left="0"/>
      </w:pPr>
      <w:r w:rsidRPr="00366EC4">
        <w:t>Atlanta, GA 30329</w:t>
      </w:r>
    </w:p>
    <w:p w:rsidRPr="00366EC4" w:rsidR="007F62D6" w:rsidP="007F62D6" w:rsidRDefault="007F62D6" w14:paraId="72EFBA78" w14:textId="77777777">
      <w:pPr>
        <w:ind w:left="0"/>
      </w:pPr>
      <w:r w:rsidRPr="00366EC4">
        <w:t>Phone number: 404-498-2800</w:t>
      </w:r>
    </w:p>
    <w:p w:rsidRPr="00366EC4" w:rsidR="007F62D6" w:rsidP="007F62D6" w:rsidRDefault="007F62D6" w14:paraId="71D17AE9" w14:textId="77777777">
      <w:pPr>
        <w:ind w:left="0"/>
      </w:pPr>
      <w:r w:rsidRPr="00366EC4">
        <w:t>Email: nvr6@cdc.gov</w:t>
      </w:r>
    </w:p>
    <w:p w:rsidR="00691031" w:rsidP="00BC6896" w:rsidRDefault="00691031" w14:paraId="52A3C4F0" w14:textId="77777777">
      <w:pPr>
        <w:ind w:left="0"/>
        <w:rPr>
          <w:color w:val="0070C0"/>
        </w:rPr>
      </w:pPr>
    </w:p>
    <w:p w:rsidRPr="0042604A" w:rsidR="00EC45F0" w:rsidP="00BC6896" w:rsidRDefault="00EC45F0" w14:paraId="2A4AFA23" w14:textId="77777777">
      <w:pPr>
        <w:ind w:left="0"/>
        <w:rPr>
          <w:color w:val="0070C0"/>
        </w:rPr>
      </w:pPr>
    </w:p>
    <w:p w:rsidR="002D3841" w:rsidRDefault="002D3841" w14:paraId="0CCF9823" w14:textId="77777777">
      <w:pPr>
        <w:spacing w:after="200"/>
        <w:ind w:left="0"/>
        <w:rPr>
          <w:b/>
          <w:sz w:val="28"/>
        </w:rPr>
      </w:pPr>
      <w:bookmarkStart w:name="_Toc413847909" w:id="1"/>
      <w:r>
        <w:br w:type="page"/>
      </w:r>
    </w:p>
    <w:p w:rsidRPr="000A538D" w:rsidR="00245F1F" w:rsidP="00BC6896" w:rsidRDefault="00245F1F" w14:paraId="6B5884A0" w14:textId="46E2FB4D">
      <w:pPr>
        <w:pStyle w:val="Heading3"/>
      </w:pPr>
      <w:r>
        <w:lastRenderedPageBreak/>
        <w:t>Table of Contents</w:t>
      </w:r>
      <w:bookmarkEnd w:id="1"/>
    </w:p>
    <w:p w:rsidRPr="000A538D" w:rsidR="00245F1F" w:rsidP="006F23AF" w:rsidRDefault="00245F1F" w14:paraId="3DE4D30E" w14:textId="2D627480">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88308A" w14:paraId="0E818D57" w14:textId="45870ABF">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88308A" w14:paraId="1B180080" w14:textId="196E42F4">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_Toc413847911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88308A" w14:paraId="02D7E354" w14:textId="14D24522">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_Toc413847912 \h </w:instrText>
        </w:r>
        <w:r w:rsidRPr="000A538D" w:rsidR="00245F1F">
          <w:rPr>
            <w:noProof/>
            <w:webHidden/>
          </w:rPr>
        </w:r>
        <w:r w:rsidRPr="000A538D" w:rsidR="00245F1F">
          <w:rPr>
            <w:noProof/>
            <w:webHidden/>
          </w:rPr>
          <w:fldChar w:fldCharType="separate"/>
        </w:r>
        <w:r w:rsidR="007C1CB7">
          <w:rPr>
            <w:noProof/>
            <w:webHidden/>
          </w:rPr>
          <w:t>3</w:t>
        </w:r>
        <w:r w:rsidRPr="000A538D" w:rsidR="00245F1F">
          <w:rPr>
            <w:noProof/>
            <w:webHidden/>
          </w:rPr>
          <w:fldChar w:fldCharType="end"/>
        </w:r>
      </w:hyperlink>
    </w:p>
    <w:p w:rsidRPr="000A538D" w:rsidR="00245F1F" w:rsidP="00245F1F" w:rsidRDefault="0088308A" w14:paraId="2F38C32A" w14:textId="6A3C679E">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_Toc413847913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P="00245F1F" w:rsidRDefault="0088308A" w14:paraId="2FA3FE33" w14:textId="1A0DE024">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_Toc413847914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P="00245F1F" w:rsidRDefault="0088308A" w14:paraId="415BB023" w14:textId="54CAD71F">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Pr="000A538D" w:rsidR="00245F1F">
          <w:rPr>
            <w:noProof/>
            <w:webHidden/>
          </w:rPr>
          <w:fldChar w:fldCharType="begin"/>
        </w:r>
        <w:r w:rsidRPr="000A538D" w:rsidR="00245F1F">
          <w:rPr>
            <w:noProof/>
            <w:webHidden/>
          </w:rPr>
          <w:instrText xml:space="preserve"> PAGEREF _Toc413847915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Pr="000A538D" w:rsidR="00245F1F" w:rsidRDefault="0088308A" w14:paraId="7580FEBC" w14:textId="5B9841E3">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_Toc413847916 \h </w:instrText>
        </w:r>
        <w:r w:rsidRPr="000A538D" w:rsidR="00245F1F">
          <w:rPr>
            <w:noProof/>
            <w:webHidden/>
          </w:rPr>
        </w:r>
        <w:r w:rsidRPr="000A538D" w:rsidR="00245F1F">
          <w:rPr>
            <w:noProof/>
            <w:webHidden/>
          </w:rPr>
          <w:fldChar w:fldCharType="separate"/>
        </w:r>
        <w:r w:rsidR="007C1CB7">
          <w:rPr>
            <w:noProof/>
            <w:webHidden/>
          </w:rPr>
          <w:t>4</w:t>
        </w:r>
        <w:r w:rsidRPr="000A538D" w:rsidR="00245F1F">
          <w:rPr>
            <w:noProof/>
            <w:webHidden/>
          </w:rPr>
          <w:fldChar w:fldCharType="end"/>
        </w:r>
      </w:hyperlink>
    </w:p>
    <w:p w:rsidR="00245F1F" w:rsidP="00BC6896" w:rsidRDefault="00245F1F" w14:paraId="70B97232" w14:textId="77777777">
      <w:pPr>
        <w:pStyle w:val="Heading3"/>
      </w:pPr>
      <w:r w:rsidRPr="000A538D">
        <w:fldChar w:fldCharType="end"/>
      </w:r>
    </w:p>
    <w:p w:rsidR="00245F1F" w:rsidRDefault="00245F1F" w14:paraId="155EEAC4" w14:textId="77777777">
      <w:pPr>
        <w:spacing w:after="200"/>
        <w:ind w:left="0"/>
        <w:rPr>
          <w:b/>
          <w:sz w:val="28"/>
        </w:rPr>
      </w:pPr>
      <w:bookmarkStart w:name="_Toc413847910" w:id="2"/>
      <w:r>
        <w:br w:type="page"/>
      </w:r>
    </w:p>
    <w:p w:rsidRPr="00BC6896" w:rsidR="00B12F51" w:rsidP="00BC6896" w:rsidRDefault="00B12F51" w14:paraId="75612BC1" w14:textId="3F4D1465">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2BD8810D" w14:textId="77777777">
      <w:pPr>
        <w:spacing w:line="240" w:lineRule="auto"/>
      </w:pPr>
    </w:p>
    <w:p w:rsidRPr="00BC6896" w:rsidR="00A75D1C" w:rsidP="002955E6" w:rsidRDefault="009759F3" w14:paraId="2BDBA5F7" w14:textId="0FB26171">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67F70FD0" w14:textId="77777777">
      <w:pPr>
        <w:spacing w:line="240" w:lineRule="auto"/>
        <w:ind w:left="360"/>
        <w:rPr>
          <w:b/>
          <w:color w:val="0070C0"/>
        </w:rPr>
      </w:pPr>
    </w:p>
    <w:p w:rsidR="00CB4003" w:rsidP="007F62D6" w:rsidRDefault="007F62D6" w14:paraId="4CBC3456" w14:textId="55EEEB5E">
      <w:pPr>
        <w:pStyle w:val="ListParagraph"/>
        <w:tabs>
          <w:tab w:val="right" w:pos="9360"/>
        </w:tabs>
        <w:ind w:left="360"/>
      </w:pPr>
      <w:r w:rsidRPr="006B0209">
        <w:t>Respondents will consist of</w:t>
      </w:r>
      <w:r>
        <w:t xml:space="preserve"> veterinary diagnostic</w:t>
      </w:r>
      <w:r w:rsidRPr="006B0209">
        <w:t xml:space="preserve"> laboratory </w:t>
      </w:r>
      <w:r>
        <w:t>officials from 5</w:t>
      </w:r>
      <w:r w:rsidR="007F73D8">
        <w:t>1</w:t>
      </w:r>
      <w:r>
        <w:t xml:space="preserve"> accredited veterinary diagnostics laboratories in 32 states.</w:t>
      </w:r>
      <w:r w:rsidRPr="006B0209">
        <w:t xml:space="preserve"> </w:t>
      </w:r>
      <w:r w:rsidR="00CB4003">
        <w:t>All respondents work for a state laboratory or publicly funded state university laboratory, aligning to the approved respondent universe of 0920-0879</w:t>
      </w:r>
      <w:r w:rsidR="00CC6D7B">
        <w:t>.</w:t>
      </w:r>
      <w:r w:rsidR="00CB4003">
        <w:t xml:space="preserve"> </w:t>
      </w:r>
    </w:p>
    <w:p w:rsidR="00CB4003" w:rsidP="007F62D6" w:rsidRDefault="00CB4003" w14:paraId="45021B66" w14:textId="77777777">
      <w:pPr>
        <w:pStyle w:val="ListParagraph"/>
        <w:tabs>
          <w:tab w:val="right" w:pos="9360"/>
        </w:tabs>
        <w:ind w:left="360"/>
      </w:pPr>
    </w:p>
    <w:p w:rsidR="007F62D6" w:rsidP="007F62D6" w:rsidRDefault="007F62D6" w14:paraId="07832C0A" w14:textId="6B30AA4C">
      <w:pPr>
        <w:pStyle w:val="ListParagraph"/>
        <w:tabs>
          <w:tab w:val="right" w:pos="9360"/>
        </w:tabs>
        <w:ind w:left="360"/>
      </w:pPr>
      <w:r w:rsidRPr="006B0209">
        <w:t>Officials asked to respond to the web-based assessment may hold the titles of laboratory director, administrator, chief, commissioner, or supervi</w:t>
      </w:r>
      <w:r>
        <w:t>sor</w:t>
      </w:r>
      <w:r w:rsidRPr="006B0209">
        <w:t xml:space="preserve">. Regardless of title, the individuals asked to participate in the assessment were chosen because of </w:t>
      </w:r>
      <w:r>
        <w:t>their managerial role in a veterinary diagnostic laboratory</w:t>
      </w:r>
      <w:r w:rsidRPr="00364575">
        <w:t>. Laboratory officials are the staff most likely to have complete knowledge of isolate submissions</w:t>
      </w:r>
      <w:r>
        <w:t xml:space="preserve"> received by their laboratory</w:t>
      </w:r>
      <w:r w:rsidRPr="00364575">
        <w:t>, so they are the ideal respondents for this information collection.</w:t>
      </w:r>
    </w:p>
    <w:p w:rsidR="007F62D6" w:rsidP="007F62D6" w:rsidRDefault="007F62D6" w14:paraId="4E3D2F55" w14:textId="77777777">
      <w:pPr>
        <w:ind w:left="0"/>
      </w:pPr>
    </w:p>
    <w:p w:rsidRPr="007F62D6" w:rsidR="00176E14" w:rsidP="007F62D6" w:rsidRDefault="007F62D6" w14:paraId="204F0FBD" w14:textId="3DB699EA">
      <w:pPr>
        <w:ind w:left="360"/>
      </w:pPr>
      <w:r>
        <w:t>To identify the respondent universe (n=5</w:t>
      </w:r>
      <w:r w:rsidR="007F73D8">
        <w:t>1</w:t>
      </w:r>
      <w:r>
        <w:t>), investigators contacted the American Association of Veterinary Laboratory Diagnosticians (AAVLD) to obtain a list of accredited veterinary laboratories and laboratory directors (</w:t>
      </w:r>
      <w:r w:rsidRPr="001E074B">
        <w:rPr>
          <w:b/>
        </w:rPr>
        <w:t>see</w:t>
      </w:r>
      <w:r w:rsidRPr="00205D13">
        <w:rPr>
          <w:b/>
        </w:rPr>
        <w:t xml:space="preserve"> Attachment A: </w:t>
      </w:r>
      <w:r>
        <w:rPr>
          <w:b/>
        </w:rPr>
        <w:t>Veterinary Diagnostic</w:t>
      </w:r>
      <w:r w:rsidRPr="00205D13">
        <w:rPr>
          <w:b/>
        </w:rPr>
        <w:t xml:space="preserve"> Laboratory Name</w:t>
      </w:r>
      <w:r>
        <w:rPr>
          <w:b/>
        </w:rPr>
        <w:t xml:space="preserve">, </w:t>
      </w:r>
      <w:r w:rsidRPr="00205D13">
        <w:rPr>
          <w:b/>
        </w:rPr>
        <w:t>Location</w:t>
      </w:r>
      <w:r>
        <w:rPr>
          <w:b/>
        </w:rPr>
        <w:t>, and Type</w:t>
      </w:r>
      <w:r w:rsidRPr="00205D13">
        <w:rPr>
          <w:b/>
        </w:rPr>
        <w:t xml:space="preserve"> List</w:t>
      </w:r>
      <w:r>
        <w:t xml:space="preserve">). </w:t>
      </w:r>
      <w:r w:rsidR="005E5E11">
        <w:t xml:space="preserve">The web-based assessment </w:t>
      </w:r>
      <w:r w:rsidRPr="0067331B" w:rsidR="005E5E11">
        <w:t xml:space="preserve">will be emailed to </w:t>
      </w:r>
      <w:r w:rsidR="005E5E11">
        <w:t>accredited veterinary diagnostic</w:t>
      </w:r>
      <w:r w:rsidRPr="0067331B" w:rsidR="005E5E11">
        <w:t xml:space="preserve"> laboratory officials</w:t>
      </w:r>
      <w:r w:rsidR="005E5E11">
        <w:t xml:space="preserve"> through the AAVLD network. </w:t>
      </w:r>
      <w:r>
        <w:t>No sampling methods will be utilized as the entire universe will be included in this collection.</w:t>
      </w:r>
    </w:p>
    <w:p w:rsidR="00F52BCC" w:rsidP="002955E6" w:rsidRDefault="00F52BCC" w14:paraId="16B82430" w14:textId="77777777">
      <w:pPr>
        <w:spacing w:line="240" w:lineRule="auto"/>
        <w:ind w:left="360"/>
      </w:pPr>
    </w:p>
    <w:p w:rsidRPr="009759F3" w:rsidR="00287E2F" w:rsidP="002955E6" w:rsidRDefault="00287E2F" w14:paraId="315101AE" w14:textId="77777777">
      <w:pPr>
        <w:pStyle w:val="Heading4"/>
        <w:spacing w:after="0" w:line="240" w:lineRule="auto"/>
      </w:pPr>
      <w:bookmarkStart w:name="_Toc413847912" w:id="4"/>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1D461D" w:rsidP="002955E6" w:rsidRDefault="001D461D" w14:paraId="260C996C" w14:textId="77777777">
      <w:pPr>
        <w:spacing w:line="240" w:lineRule="auto"/>
        <w:ind w:left="360"/>
      </w:pPr>
    </w:p>
    <w:p w:rsidR="005E5E11" w:rsidP="00E33BBA" w:rsidRDefault="00E33BBA" w14:paraId="5C63D6ED" w14:textId="229123DB">
      <w:pPr>
        <w:ind w:left="360"/>
      </w:pPr>
      <w:r>
        <w:t>D</w:t>
      </w:r>
      <w:r w:rsidRPr="003163A2">
        <w:t xml:space="preserve">ata will be collected </w:t>
      </w:r>
      <w:r>
        <w:t>via</w:t>
      </w:r>
      <w:r w:rsidR="005E5E11">
        <w:t xml:space="preserve"> a one-time web-based assessment</w:t>
      </w:r>
      <w:r w:rsidRPr="003163A2">
        <w:t xml:space="preserve"> and</w:t>
      </w:r>
      <w:r>
        <w:t xml:space="preserve"> respondents</w:t>
      </w:r>
      <w:r w:rsidRPr="003163A2">
        <w:t xml:space="preserve"> will be recruited </w:t>
      </w:r>
      <w:r w:rsidR="005E5E11">
        <w:t>through an introductory email (</w:t>
      </w:r>
      <w:r w:rsidRPr="008446F6" w:rsidR="005E5E11">
        <w:rPr>
          <w:b/>
        </w:rPr>
        <w:t>see Attachment</w:t>
      </w:r>
      <w:r w:rsidR="001E074B">
        <w:rPr>
          <w:b/>
        </w:rPr>
        <w:t xml:space="preserve"> E</w:t>
      </w:r>
      <w:r w:rsidRPr="008446F6" w:rsidR="005E5E11">
        <w:rPr>
          <w:b/>
        </w:rPr>
        <w:t>: Email Introduction Letter</w:t>
      </w:r>
      <w:r w:rsidR="005E5E11">
        <w:t>).</w:t>
      </w:r>
    </w:p>
    <w:p w:rsidRPr="009011A8" w:rsidR="00E33BBA" w:rsidP="00E33BBA" w:rsidRDefault="00E33BBA" w14:paraId="71219EF4" w14:textId="735D12C8">
      <w:pPr>
        <w:ind w:left="360"/>
      </w:pPr>
      <w:r w:rsidRPr="009011A8">
        <w:t xml:space="preserve">The </w:t>
      </w:r>
      <w:r w:rsidR="005E5E11">
        <w:t xml:space="preserve">introductory </w:t>
      </w:r>
      <w:r w:rsidRPr="009011A8">
        <w:t>email will explain:</w:t>
      </w:r>
    </w:p>
    <w:p w:rsidR="00E33BBA" w:rsidP="00E33BBA" w:rsidRDefault="00E33BBA" w14:paraId="31DBDEB8" w14:textId="1EE9F79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rsidRPr="009011A8" w:rsidR="00E33BBA" w:rsidP="00E33BBA" w:rsidRDefault="00E33BBA" w14:paraId="5AFBF7DB" w14:textId="77777777">
      <w:pPr>
        <w:pStyle w:val="ListParagraph"/>
        <w:numPr>
          <w:ilvl w:val="0"/>
          <w:numId w:val="24"/>
        </w:numPr>
        <w:ind w:left="1080"/>
      </w:pPr>
      <w:r>
        <w:t>Instructions for participating</w:t>
      </w:r>
    </w:p>
    <w:p w:rsidRPr="009011A8" w:rsidR="00E33BBA" w:rsidP="00E33BBA" w:rsidRDefault="00E33BBA" w14:paraId="0F60838C" w14:textId="77777777">
      <w:pPr>
        <w:pStyle w:val="ListParagraph"/>
        <w:numPr>
          <w:ilvl w:val="0"/>
          <w:numId w:val="24"/>
        </w:numPr>
        <w:ind w:left="1080"/>
      </w:pPr>
      <w:r w:rsidRPr="009011A8">
        <w:t xml:space="preserve">Method to safeguard their responses </w:t>
      </w:r>
    </w:p>
    <w:p w:rsidRPr="009011A8" w:rsidR="00E33BBA" w:rsidP="00E33BBA" w:rsidRDefault="00E33BBA" w14:paraId="04A3566C" w14:textId="77777777">
      <w:pPr>
        <w:pStyle w:val="ListParagraph"/>
        <w:numPr>
          <w:ilvl w:val="0"/>
          <w:numId w:val="24"/>
        </w:numPr>
        <w:ind w:left="1080"/>
      </w:pPr>
      <w:r w:rsidRPr="009011A8">
        <w:t>That participation is voluntary</w:t>
      </w:r>
    </w:p>
    <w:p w:rsidR="000279A9" w:rsidP="000279A9" w:rsidRDefault="00E33BBA" w14:paraId="1AA9CF1B" w14:textId="13FB9525">
      <w:pPr>
        <w:pStyle w:val="ListParagraph"/>
        <w:numPr>
          <w:ilvl w:val="0"/>
          <w:numId w:val="24"/>
        </w:numPr>
        <w:ind w:left="1080"/>
      </w:pPr>
      <w:r w:rsidRPr="009011A8">
        <w:t xml:space="preserve">The expected time to complete the </w:t>
      </w:r>
      <w:r w:rsidR="006C1771">
        <w:t>instrument</w:t>
      </w:r>
      <w:r w:rsidRPr="009011A8">
        <w:t xml:space="preserve"> </w:t>
      </w:r>
    </w:p>
    <w:p w:rsidR="00691031" w:rsidP="005E5E11" w:rsidRDefault="00E33BBA" w14:paraId="29586EB8" w14:textId="5F64099D">
      <w:pPr>
        <w:pStyle w:val="ListParagraph"/>
        <w:numPr>
          <w:ilvl w:val="0"/>
          <w:numId w:val="24"/>
        </w:numPr>
        <w:ind w:left="1080"/>
      </w:pPr>
      <w:r w:rsidRPr="009011A8">
        <w:t xml:space="preserve">Contact information for the </w:t>
      </w:r>
      <w:r w:rsidR="006C1771">
        <w:t>project</w:t>
      </w:r>
      <w:r w:rsidRPr="009011A8">
        <w:t xml:space="preserve"> team</w:t>
      </w:r>
    </w:p>
    <w:p w:rsidR="00691031" w:rsidP="002955E6" w:rsidRDefault="00691031" w14:paraId="409C569F" w14:textId="77777777">
      <w:pPr>
        <w:spacing w:line="240" w:lineRule="auto"/>
        <w:ind w:left="360"/>
      </w:pPr>
    </w:p>
    <w:p w:rsidR="003444AB" w:rsidP="003444AB" w:rsidRDefault="005E5E11" w14:paraId="5D14F7C6" w14:textId="77777777">
      <w:pPr>
        <w:ind w:left="360"/>
      </w:pPr>
      <w:r>
        <w:t>The link to the assessment will be included at the end of the introductory email (</w:t>
      </w:r>
      <w:r w:rsidRPr="008446F6">
        <w:rPr>
          <w:b/>
        </w:rPr>
        <w:t>see Attachment</w:t>
      </w:r>
      <w:r w:rsidR="001E074B">
        <w:rPr>
          <w:b/>
        </w:rPr>
        <w:t xml:space="preserve"> E</w:t>
      </w:r>
      <w:r w:rsidRPr="008446F6">
        <w:rPr>
          <w:b/>
        </w:rPr>
        <w:t>:</w:t>
      </w:r>
      <w:r>
        <w:t xml:space="preserve"> </w:t>
      </w:r>
      <w:r w:rsidRPr="005E5E11">
        <w:rPr>
          <w:b/>
          <w:bCs/>
        </w:rPr>
        <w:t>Email Introduction Letter</w:t>
      </w:r>
      <w:r>
        <w:t xml:space="preserve">), with instructions for assessment completion, and request for completion within six weeks. A second follow-up email </w:t>
      </w:r>
      <w:r w:rsidRPr="008446F6">
        <w:rPr>
          <w:b/>
        </w:rPr>
        <w:t xml:space="preserve">(see Attachment </w:t>
      </w:r>
      <w:r w:rsidR="001E074B">
        <w:rPr>
          <w:b/>
        </w:rPr>
        <w:t>F</w:t>
      </w:r>
      <w:r w:rsidRPr="008446F6">
        <w:rPr>
          <w:b/>
        </w:rPr>
        <w:t>:</w:t>
      </w:r>
      <w:r>
        <w:t xml:space="preserve"> </w:t>
      </w:r>
      <w:r w:rsidRPr="008446F6">
        <w:rPr>
          <w:b/>
        </w:rPr>
        <w:t>Email Introduction</w:t>
      </w:r>
      <w:r>
        <w:t xml:space="preserve"> </w:t>
      </w:r>
      <w:r w:rsidRPr="008446F6">
        <w:rPr>
          <w:b/>
        </w:rPr>
        <w:t>Reminder Letter</w:t>
      </w:r>
      <w:r>
        <w:t xml:space="preserve">) will be sent three weeks after the initial email, reminding the laboratory official about the assessment and participation deadline. This reminder will be sent to those laboratories who have not yet submitted an assessment and will contain the same content of the initial email, with an extra introduction stating that this is a reminder of the approaching assessment deadline. </w:t>
      </w:r>
      <w:r w:rsidRPr="004C3256">
        <w:t xml:space="preserve">The assessment was designed to collect the minimum </w:t>
      </w:r>
      <w:r w:rsidRPr="004C3256">
        <w:lastRenderedPageBreak/>
        <w:t>information necessary</w:t>
      </w:r>
      <w:r>
        <w:t xml:space="preserve"> while fulfilling</w:t>
      </w:r>
      <w:r w:rsidRPr="004C3256">
        <w:t xml:space="preserve"> the purposes of this project.</w:t>
      </w:r>
      <w:r>
        <w:t xml:space="preserve"> Those who do not respond within two weeks of the reminder email will be considered non-responders.</w:t>
      </w:r>
    </w:p>
    <w:p w:rsidR="003444AB" w:rsidP="003444AB" w:rsidRDefault="003444AB" w14:paraId="24F1974C" w14:textId="77777777">
      <w:pPr>
        <w:ind w:left="360"/>
      </w:pPr>
    </w:p>
    <w:p w:rsidRPr="005E5E11" w:rsidR="00691031" w:rsidP="003444AB" w:rsidRDefault="005E5E11" w14:paraId="003DC115" w14:textId="7351B742">
      <w:pPr>
        <w:ind w:left="360"/>
      </w:pPr>
      <w:r>
        <w:t xml:space="preserve">The assessment will be created in </w:t>
      </w:r>
      <w:proofErr w:type="spellStart"/>
      <w:r>
        <w:t>REDCap</w:t>
      </w:r>
      <w:proofErr w:type="spellEnd"/>
      <w:r w:rsidR="003444AB">
        <w:t>, and laboratory guidelines will be embedded within the assessment for respondents to reference as they complete the survey (</w:t>
      </w:r>
      <w:r w:rsidRPr="003444AB" w:rsidR="003444AB">
        <w:rPr>
          <w:b/>
          <w:bCs/>
        </w:rPr>
        <w:t>see</w:t>
      </w:r>
      <w:r w:rsidR="003444AB">
        <w:t xml:space="preserve"> </w:t>
      </w:r>
      <w:r w:rsidRPr="003444AB" w:rsidR="003444AB">
        <w:rPr>
          <w:rFonts w:ascii="Cambria" w:hAnsi="Cambria"/>
          <w:b/>
        </w:rPr>
        <w:t>Attachment D – CRE Instrument Attachment Laboratory Guidelines</w:t>
      </w:r>
      <w:r w:rsidR="003444AB">
        <w:rPr>
          <w:rFonts w:ascii="Cambria" w:hAnsi="Cambria"/>
          <w:b/>
        </w:rPr>
        <w:t>)</w:t>
      </w:r>
      <w:r w:rsidRPr="003444AB" w:rsidR="003444AB">
        <w:rPr>
          <w:rFonts w:ascii="Cambria" w:hAnsi="Cambria"/>
          <w:bCs/>
        </w:rPr>
        <w:t xml:space="preserve">. </w:t>
      </w:r>
      <w:r w:rsidR="003444AB">
        <w:t>D</w:t>
      </w:r>
      <w:r>
        <w:t xml:space="preserve">ata will be exported and stored </w:t>
      </w:r>
      <w:r w:rsidRPr="004C3256">
        <w:t>on internal CDC servers tha</w:t>
      </w:r>
      <w:r>
        <w:t>t are fully CDC compliant.</w:t>
      </w:r>
      <w:r w:rsidR="0077532C">
        <w:t xml:space="preserve"> </w:t>
      </w:r>
      <w:r w:rsidRPr="004C3256">
        <w:t xml:space="preserve">Only </w:t>
      </w:r>
      <w:r>
        <w:t>four project</w:t>
      </w:r>
      <w:r w:rsidRPr="004C3256">
        <w:t xml:space="preserve"> staff </w:t>
      </w:r>
      <w:r>
        <w:t>members (two in the Division of Foodborne, Waterborne, and Environmental diseases</w:t>
      </w:r>
      <w:r w:rsidR="00A61C13">
        <w:t xml:space="preserve"> (DFWED)</w:t>
      </w:r>
      <w:r>
        <w:t>, and two in the Division of Healthcare Quality Promotion</w:t>
      </w:r>
      <w:r w:rsidR="00A61C13">
        <w:t xml:space="preserve"> (DHQP)</w:t>
      </w:r>
      <w:r>
        <w:t xml:space="preserve">) </w:t>
      </w:r>
      <w:r w:rsidRPr="004C3256">
        <w:t>who work directly on the project will have access to the folder. A</w:t>
      </w:r>
      <w:r>
        <w:t>fter assessment collection is completed, a</w:t>
      </w:r>
      <w:r w:rsidRPr="004C3256">
        <w:t xml:space="preserve"> report will be created</w:t>
      </w:r>
      <w:r>
        <w:t xml:space="preserve"> using </w:t>
      </w:r>
      <w:proofErr w:type="spellStart"/>
      <w:r>
        <w:t>REDCap</w:t>
      </w:r>
      <w:proofErr w:type="spellEnd"/>
      <w:r>
        <w:t xml:space="preserve"> and Excel data analysis tools. Data will be disseminated in a report to AAVLD laboratories showing summary statistics and results for each question. Data collected during the assessment will be shared only in aggregate form. The information gathered in this survey may also be published; data will also be published in aggregate form without identifying any individual laboratory in order to protect the privacy of the laboratory and maintain confidentiality.</w:t>
      </w:r>
    </w:p>
    <w:p w:rsidR="001D461D" w:rsidP="00176E14" w:rsidRDefault="001D461D" w14:paraId="16300312" w14:textId="77777777">
      <w:pPr>
        <w:spacing w:line="240" w:lineRule="auto"/>
        <w:ind w:left="0"/>
      </w:pPr>
    </w:p>
    <w:p w:rsidRPr="009759F3" w:rsidR="009759F3" w:rsidP="002955E6" w:rsidRDefault="00287E2F" w14:paraId="2E71A48E" w14:textId="15E30D14">
      <w:pPr>
        <w:pStyle w:val="Heading4"/>
        <w:spacing w:after="0" w:line="240" w:lineRule="auto"/>
      </w:pPr>
      <w:bookmarkStart w:name="_Toc413847913" w:id="5"/>
      <w:r w:rsidRPr="00D26A64">
        <w:t>Methods to Maximize Response Rates</w:t>
      </w:r>
      <w:r w:rsidR="00F725B5">
        <w:t xml:space="preserve"> </w:t>
      </w:r>
      <w:r w:rsidRPr="009759F3" w:rsidR="009759F3">
        <w:t>Deal with Nonresponse</w:t>
      </w:r>
      <w:bookmarkEnd w:id="5"/>
    </w:p>
    <w:p w:rsidR="001D461D" w:rsidP="002955E6" w:rsidRDefault="001D461D" w14:paraId="4AF28A6D" w14:textId="77777777">
      <w:pPr>
        <w:spacing w:line="240" w:lineRule="auto"/>
        <w:ind w:left="360"/>
        <w:rPr>
          <w:b/>
          <w:color w:val="0070C0"/>
        </w:rPr>
      </w:pPr>
    </w:p>
    <w:p w:rsidRPr="001D2951" w:rsidR="00991BF9" w:rsidP="001D461D" w:rsidRDefault="00991BF9" w14:paraId="58C2AAA2" w14:textId="2DC35E4E">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Pr="001D2951" w:rsidR="00687C5F">
        <w:rPr>
          <w:rFonts w:cs="Times New Roman"/>
        </w:rPr>
        <w:t>data collection instrument</w:t>
      </w:r>
      <w:r w:rsidRPr="001D2951">
        <w:rPr>
          <w:rFonts w:cs="Times New Roman"/>
        </w:rPr>
        <w:t xml:space="preserve"> was designed with </w:t>
      </w:r>
      <w:proofErr w:type="gramStart"/>
      <w:r w:rsidRPr="001D2951">
        <w:rPr>
          <w:rFonts w:cs="Times New Roman"/>
        </w:rPr>
        <w:t>particular focus</w:t>
      </w:r>
      <w:proofErr w:type="gramEnd"/>
      <w:r w:rsidRPr="001D2951">
        <w:rPr>
          <w:rFonts w:cs="Times New Roman"/>
        </w:rPr>
        <w:t xml:space="preserve"> on streamlining questions to allow for skipping questions based on responses to previous questions, thereby minimizing response burden. </w:t>
      </w:r>
    </w:p>
    <w:p w:rsidRPr="001D2951" w:rsidR="00687C5F" w:rsidP="001D461D" w:rsidRDefault="00687C5F" w14:paraId="16AC71A3" w14:textId="77777777">
      <w:pPr>
        <w:pStyle w:val="ListParagraph"/>
        <w:spacing w:line="240" w:lineRule="auto"/>
        <w:ind w:left="360"/>
        <w:rPr>
          <w:rFonts w:cs="Times New Roman"/>
        </w:rPr>
      </w:pPr>
    </w:p>
    <w:p w:rsidRPr="00A61C13" w:rsidR="005E5E11" w:rsidP="00A61C13" w:rsidRDefault="001D461D" w14:paraId="0BB03988" w14:textId="6E01D573">
      <w:pPr>
        <w:spacing w:line="240" w:lineRule="auto"/>
        <w:ind w:left="360"/>
        <w:rPr>
          <w:bCs/>
        </w:rPr>
      </w:pPr>
      <w:r w:rsidRPr="001D2951">
        <w:t xml:space="preserve">Following the distribution of the invitation to participate in the </w:t>
      </w:r>
      <w:r w:rsidR="00487E55">
        <w:t>data collection</w:t>
      </w:r>
      <w:r w:rsidRPr="001D2951">
        <w:t xml:space="preserve">, </w:t>
      </w:r>
      <w:r w:rsidR="005E5E11">
        <w:t>(</w:t>
      </w:r>
      <w:r w:rsidRPr="005E5E11" w:rsidR="005E5E11">
        <w:rPr>
          <w:b/>
          <w:bCs/>
        </w:rPr>
        <w:t>see</w:t>
      </w:r>
      <w:r w:rsidR="005E5E11">
        <w:t xml:space="preserve"> </w:t>
      </w:r>
      <w:r w:rsidRPr="008446F6" w:rsidR="005E5E11">
        <w:rPr>
          <w:b/>
        </w:rPr>
        <w:t xml:space="preserve">Attachment </w:t>
      </w:r>
      <w:r w:rsidR="001E074B">
        <w:rPr>
          <w:b/>
        </w:rPr>
        <w:t>E</w:t>
      </w:r>
      <w:r w:rsidRPr="008446F6" w:rsidR="005E5E11">
        <w:rPr>
          <w:b/>
        </w:rPr>
        <w:t>:</w:t>
      </w:r>
      <w:r w:rsidR="005E5E11">
        <w:t xml:space="preserve"> </w:t>
      </w:r>
      <w:r w:rsidRPr="005E5E11" w:rsidR="005E5E11">
        <w:rPr>
          <w:b/>
          <w:bCs/>
        </w:rPr>
        <w:t>Email Introduction Letter</w:t>
      </w:r>
      <w:r w:rsidR="005E5E11">
        <w:t xml:space="preserve">), </w:t>
      </w:r>
      <w:r w:rsidRPr="003161B9" w:rsidR="00687C5F">
        <w:t xml:space="preserve">respondents will </w:t>
      </w:r>
      <w:r w:rsidRPr="00A61C13" w:rsidR="00687C5F">
        <w:t xml:space="preserve">have </w:t>
      </w:r>
      <w:r w:rsidRPr="00A61C13" w:rsidR="00A61C13">
        <w:t>six weeks</w:t>
      </w:r>
      <w:r w:rsidRPr="00A61C13" w:rsidR="00687C5F">
        <w:t xml:space="preserve"> to </w:t>
      </w:r>
      <w:r w:rsidRPr="003161B9" w:rsidR="00687C5F">
        <w:t xml:space="preserve">complete the instrument. </w:t>
      </w:r>
      <w:r w:rsidR="00A61C13">
        <w:t>Those who do not respond within three weeks will receive a reminder email (</w:t>
      </w:r>
      <w:r w:rsidRPr="008446F6" w:rsidR="00A61C13">
        <w:rPr>
          <w:rFonts w:cs="Times New Roman"/>
          <w:b/>
        </w:rPr>
        <w:t xml:space="preserve">see </w:t>
      </w:r>
      <w:r w:rsidRPr="008446F6" w:rsidR="00A61C13">
        <w:rPr>
          <w:b/>
        </w:rPr>
        <w:t xml:space="preserve">Attachment </w:t>
      </w:r>
      <w:r w:rsidR="001E074B">
        <w:rPr>
          <w:b/>
        </w:rPr>
        <w:t>F</w:t>
      </w:r>
      <w:r w:rsidRPr="008446F6" w:rsidR="00A61C13">
        <w:rPr>
          <w:b/>
        </w:rPr>
        <w:t>:</w:t>
      </w:r>
      <w:r w:rsidR="00A61C13">
        <w:t xml:space="preserve"> </w:t>
      </w:r>
      <w:r w:rsidRPr="008446F6" w:rsidR="00A61C13">
        <w:rPr>
          <w:b/>
        </w:rPr>
        <w:t>Email Introduction Reminder Letter</w:t>
      </w:r>
      <w:r w:rsidR="00A61C13">
        <w:rPr>
          <w:bCs/>
        </w:rPr>
        <w:t>) urging them to complete the instrument.</w:t>
      </w:r>
      <w:r w:rsidRPr="00A61C13" w:rsidR="00A61C13">
        <w:t xml:space="preserve"> </w:t>
      </w:r>
      <w:r w:rsidR="00A61C13">
        <w:t>Those who do not respond within two weeks of the reminder email will be considered non-responders.</w:t>
      </w:r>
    </w:p>
    <w:p w:rsidRPr="00176E14" w:rsidR="00691031" w:rsidP="001D461D" w:rsidRDefault="00691031" w14:paraId="5AD60BAD" w14:textId="77777777">
      <w:pPr>
        <w:spacing w:line="240" w:lineRule="auto"/>
        <w:ind w:left="360"/>
        <w:rPr>
          <w:rFonts w:cs="Arial"/>
        </w:rPr>
      </w:pPr>
    </w:p>
    <w:p w:rsidRPr="009759F3" w:rsidR="00F52BCC" w:rsidP="002955E6" w:rsidRDefault="00287E2F" w14:paraId="3C5DE833" w14:textId="77777777">
      <w:pPr>
        <w:pStyle w:val="Heading4"/>
        <w:spacing w:after="0" w:line="240" w:lineRule="auto"/>
      </w:pPr>
      <w:bookmarkStart w:name="_Toc413847914" w:id="6"/>
      <w:r w:rsidRPr="005F3FEF">
        <w:t xml:space="preserve">Test of Procedures </w:t>
      </w:r>
      <w:r w:rsidRPr="009759F3" w:rsidR="009759F3">
        <w:t>or Methods to be Undertaken</w:t>
      </w:r>
      <w:bookmarkEnd w:id="6"/>
    </w:p>
    <w:p w:rsidR="00865573" w:rsidP="002955E6" w:rsidRDefault="00865573" w14:paraId="72649700" w14:textId="77777777">
      <w:pPr>
        <w:spacing w:line="240" w:lineRule="auto"/>
        <w:ind w:left="360"/>
        <w:rPr>
          <w:color w:val="000000"/>
          <w:lang w:eastAsia="zh-CN"/>
        </w:rPr>
      </w:pPr>
    </w:p>
    <w:p w:rsidRPr="00EF3B04" w:rsidR="004D70EE" w:rsidP="00A61C13" w:rsidRDefault="00991BF9" w14:paraId="63AC01B8" w14:textId="45B6F397">
      <w:pPr>
        <w:spacing w:line="240" w:lineRule="auto"/>
        <w:ind w:left="360"/>
      </w:pPr>
      <w:r w:rsidRPr="001D2951">
        <w:rPr>
          <w:color w:val="000000"/>
          <w:lang w:eastAsia="zh-CN"/>
        </w:rPr>
        <w:t xml:space="preserve">The estimate for burden hours is based on a pilot test of the </w:t>
      </w:r>
      <w:r w:rsidR="00487E55">
        <w:rPr>
          <w:color w:val="000000"/>
          <w:lang w:eastAsia="zh-CN"/>
        </w:rPr>
        <w:t>data collection</w:t>
      </w:r>
      <w:r w:rsidRPr="001D2951">
        <w:rPr>
          <w:color w:val="000000"/>
          <w:lang w:eastAsia="zh-CN"/>
        </w:rPr>
        <w:t xml:space="preserve"> </w:t>
      </w:r>
      <w:r w:rsidRPr="00EF3B04">
        <w:rPr>
          <w:lang w:eastAsia="zh-CN"/>
        </w:rPr>
        <w:t xml:space="preserve">instrument by </w:t>
      </w:r>
      <w:r w:rsidRPr="00EF3B04" w:rsidR="002303B0">
        <w:rPr>
          <w:lang w:eastAsia="zh-CN"/>
        </w:rPr>
        <w:t>two</w:t>
      </w:r>
      <w:r w:rsidRPr="00EF3B04">
        <w:rPr>
          <w:lang w:eastAsia="zh-CN"/>
        </w:rPr>
        <w:t xml:space="preserve"> </w:t>
      </w:r>
      <w:r w:rsidRPr="00EF3B04" w:rsidR="00A61C13">
        <w:rPr>
          <w:lang w:eastAsia="zh-CN"/>
        </w:rPr>
        <w:t>veterinary diagnostic laboratory officials</w:t>
      </w:r>
      <w:r w:rsidRPr="00EF3B04">
        <w:rPr>
          <w:lang w:eastAsia="zh-CN"/>
        </w:rPr>
        <w:t xml:space="preserve">. In the pilot test, the average time to complete the instrument including time for reviewing instructions, gathering needed information and completing the instrument, was approximately </w:t>
      </w:r>
      <w:r w:rsidRPr="00EF3B04" w:rsidR="002303B0">
        <w:rPr>
          <w:lang w:eastAsia="zh-CN"/>
        </w:rPr>
        <w:t>20</w:t>
      </w:r>
      <w:r w:rsidRPr="00EF3B04">
        <w:rPr>
          <w:lang w:eastAsia="zh-CN"/>
        </w:rPr>
        <w:t xml:space="preserve"> minutes</w:t>
      </w:r>
      <w:r w:rsidRPr="00EF3B04" w:rsidR="0069580C">
        <w:rPr>
          <w:lang w:eastAsia="zh-CN"/>
        </w:rPr>
        <w:t xml:space="preserve"> (range: </w:t>
      </w:r>
      <w:r w:rsidRPr="00EF3B04" w:rsidR="00EF3B04">
        <w:rPr>
          <w:lang w:eastAsia="zh-CN"/>
        </w:rPr>
        <w:t>15</w:t>
      </w:r>
      <w:r w:rsidRPr="00EF3B04" w:rsidR="0069580C">
        <w:rPr>
          <w:lang w:eastAsia="zh-CN"/>
        </w:rPr>
        <w:t xml:space="preserve"> to </w:t>
      </w:r>
      <w:r w:rsidRPr="00EF3B04" w:rsidR="00EF3B04">
        <w:rPr>
          <w:lang w:eastAsia="zh-CN"/>
        </w:rPr>
        <w:t>20</w:t>
      </w:r>
      <w:r w:rsidRPr="00EF3B04" w:rsidR="0069580C">
        <w:rPr>
          <w:lang w:eastAsia="zh-CN"/>
        </w:rPr>
        <w:t xml:space="preserve"> minutes)</w:t>
      </w:r>
      <w:r w:rsidRPr="00EF3B04">
        <w:rPr>
          <w:lang w:eastAsia="zh-CN"/>
        </w:rPr>
        <w:t xml:space="preserve">. For the purposes of estimating burden hours, the upper limit of this range (i.e., </w:t>
      </w:r>
      <w:r w:rsidRPr="00EF3B04" w:rsidR="00EF3B04">
        <w:rPr>
          <w:lang w:eastAsia="zh-CN"/>
        </w:rPr>
        <w:t>20</w:t>
      </w:r>
      <w:r w:rsidRPr="00EF3B04">
        <w:rPr>
          <w:lang w:eastAsia="zh-CN"/>
        </w:rPr>
        <w:t xml:space="preserve"> minutes) is used.</w:t>
      </w:r>
    </w:p>
    <w:p w:rsidR="004D70EE" w:rsidP="004D70EE" w:rsidRDefault="004D70EE" w14:paraId="55A3999F" w14:textId="77777777">
      <w:pPr>
        <w:spacing w:line="240" w:lineRule="auto"/>
        <w:ind w:left="360"/>
      </w:pPr>
    </w:p>
    <w:p w:rsidR="009759F3" w:rsidP="002955E6" w:rsidRDefault="009759F3" w14:paraId="4A6A5476" w14:textId="79299631">
      <w:pPr>
        <w:pStyle w:val="Heading4"/>
        <w:spacing w:after="0" w:line="240" w:lineRule="auto"/>
      </w:pPr>
      <w:bookmarkStart w:name="_Toc413847915" w:id="7"/>
      <w:r w:rsidRPr="009759F3">
        <w:t>Individuals Consulted on Statistical Aspects and Individuals Collecting and/or Analyzing Data</w:t>
      </w:r>
      <w:bookmarkEnd w:id="7"/>
    </w:p>
    <w:p w:rsidRPr="00A61C13" w:rsidR="00A61C13" w:rsidP="00A61C13" w:rsidRDefault="00A61C13" w14:paraId="4B73CECF" w14:textId="77777777"/>
    <w:tbl>
      <w:tblPr>
        <w:tblStyle w:val="TableGrid"/>
        <w:tblW w:w="0" w:type="auto"/>
        <w:tblInd w:w="360" w:type="dxa"/>
        <w:tblLook w:val="04A0" w:firstRow="1" w:lastRow="0" w:firstColumn="1" w:lastColumn="0" w:noHBand="0" w:noVBand="1"/>
      </w:tblPr>
      <w:tblGrid>
        <w:gridCol w:w="1512"/>
        <w:gridCol w:w="1632"/>
        <w:gridCol w:w="1551"/>
        <w:gridCol w:w="1392"/>
        <w:gridCol w:w="1333"/>
        <w:gridCol w:w="1570"/>
      </w:tblGrid>
      <w:tr w:rsidRPr="00A61C13" w:rsidR="00A61C13" w:rsidTr="00A61C13" w14:paraId="46342701" w14:textId="77777777">
        <w:tc>
          <w:tcPr>
            <w:tcW w:w="1545" w:type="dxa"/>
          </w:tcPr>
          <w:p w:rsidRPr="00A61C13" w:rsidR="00A61C13" w:rsidP="002955E6" w:rsidRDefault="00A61C13" w14:paraId="0C56227A" w14:textId="6710C9B2">
            <w:pPr>
              <w:ind w:left="0"/>
              <w:rPr>
                <w:b/>
              </w:rPr>
            </w:pPr>
            <w:r w:rsidRPr="00A61C13">
              <w:rPr>
                <w:b/>
              </w:rPr>
              <w:t>Name</w:t>
            </w:r>
          </w:p>
        </w:tc>
        <w:tc>
          <w:tcPr>
            <w:tcW w:w="1534" w:type="dxa"/>
          </w:tcPr>
          <w:p w:rsidRPr="00A61C13" w:rsidR="00A61C13" w:rsidP="002955E6" w:rsidRDefault="00A61C13" w14:paraId="5F755C17" w14:textId="20CCEE23">
            <w:pPr>
              <w:ind w:left="0"/>
              <w:rPr>
                <w:b/>
              </w:rPr>
            </w:pPr>
            <w:r w:rsidRPr="00A61C13">
              <w:rPr>
                <w:b/>
              </w:rPr>
              <w:t>Title</w:t>
            </w:r>
          </w:p>
        </w:tc>
        <w:tc>
          <w:tcPr>
            <w:tcW w:w="1554" w:type="dxa"/>
          </w:tcPr>
          <w:p w:rsidRPr="00A61C13" w:rsidR="00A61C13" w:rsidP="002955E6" w:rsidRDefault="00A61C13" w14:paraId="345AB9EB" w14:textId="6095698B">
            <w:pPr>
              <w:ind w:left="0"/>
              <w:rPr>
                <w:b/>
              </w:rPr>
            </w:pPr>
            <w:r w:rsidRPr="00A61C13">
              <w:rPr>
                <w:b/>
              </w:rPr>
              <w:t>Organization</w:t>
            </w:r>
          </w:p>
        </w:tc>
        <w:tc>
          <w:tcPr>
            <w:tcW w:w="1475" w:type="dxa"/>
          </w:tcPr>
          <w:p w:rsidRPr="00A61C13" w:rsidR="00A61C13" w:rsidP="002955E6" w:rsidRDefault="00A61C13" w14:paraId="179B44DD" w14:textId="6A260376">
            <w:pPr>
              <w:ind w:left="0"/>
              <w:rPr>
                <w:b/>
              </w:rPr>
            </w:pPr>
            <w:r w:rsidRPr="00A61C13">
              <w:rPr>
                <w:b/>
              </w:rPr>
              <w:t>Address</w:t>
            </w:r>
          </w:p>
        </w:tc>
        <w:tc>
          <w:tcPr>
            <w:tcW w:w="1446" w:type="dxa"/>
          </w:tcPr>
          <w:p w:rsidRPr="00A61C13" w:rsidR="00A61C13" w:rsidP="002955E6" w:rsidRDefault="00A61C13" w14:paraId="3AAD999E" w14:textId="2AE9DAC8">
            <w:pPr>
              <w:ind w:left="0"/>
              <w:rPr>
                <w:b/>
              </w:rPr>
            </w:pPr>
            <w:r w:rsidRPr="00A61C13">
              <w:rPr>
                <w:b/>
              </w:rPr>
              <w:t>Phone</w:t>
            </w:r>
          </w:p>
        </w:tc>
        <w:tc>
          <w:tcPr>
            <w:tcW w:w="1436" w:type="dxa"/>
          </w:tcPr>
          <w:p w:rsidRPr="00A61C13" w:rsidR="00A61C13" w:rsidP="002955E6" w:rsidRDefault="00A61C13" w14:paraId="30EB193E" w14:textId="4BE58CDB">
            <w:pPr>
              <w:ind w:left="0"/>
              <w:rPr>
                <w:b/>
              </w:rPr>
            </w:pPr>
            <w:r w:rsidRPr="00A61C13">
              <w:rPr>
                <w:b/>
              </w:rPr>
              <w:t>Email</w:t>
            </w:r>
          </w:p>
        </w:tc>
      </w:tr>
      <w:tr w:rsidRPr="00A61C13" w:rsidR="00A61C13" w:rsidTr="00A61C13" w14:paraId="53F8EAA8" w14:textId="77777777">
        <w:tc>
          <w:tcPr>
            <w:tcW w:w="1545" w:type="dxa"/>
          </w:tcPr>
          <w:p w:rsidRPr="00A61C13" w:rsidR="00A61C13" w:rsidP="002955E6" w:rsidRDefault="00A61C13" w14:paraId="59C93624" w14:textId="27251914">
            <w:pPr>
              <w:ind w:left="0"/>
              <w:rPr>
                <w:bCs/>
              </w:rPr>
            </w:pPr>
            <w:r w:rsidRPr="00A61C13">
              <w:rPr>
                <w:bCs/>
              </w:rPr>
              <w:t>Michelle Waltenburg, DVM, MPH</w:t>
            </w:r>
          </w:p>
        </w:tc>
        <w:tc>
          <w:tcPr>
            <w:tcW w:w="1534" w:type="dxa"/>
          </w:tcPr>
          <w:p w:rsidRPr="00A61C13" w:rsidR="00A61C13" w:rsidP="002955E6" w:rsidRDefault="00A61C13" w14:paraId="172EE8AF" w14:textId="1F9ED3A4">
            <w:pPr>
              <w:ind w:left="0"/>
              <w:rPr>
                <w:bCs/>
              </w:rPr>
            </w:pPr>
            <w:r w:rsidRPr="00A61C13">
              <w:rPr>
                <w:bCs/>
              </w:rPr>
              <w:t>Epidemic Intelligence Service Officer</w:t>
            </w:r>
          </w:p>
        </w:tc>
        <w:tc>
          <w:tcPr>
            <w:tcW w:w="1554" w:type="dxa"/>
          </w:tcPr>
          <w:p w:rsidRPr="00A61C13" w:rsidR="00A61C13" w:rsidP="002955E6" w:rsidRDefault="00A61C13" w14:paraId="7DA140BC" w14:textId="7E90F5BB">
            <w:pPr>
              <w:ind w:left="0"/>
              <w:rPr>
                <w:bCs/>
              </w:rPr>
            </w:pPr>
            <w:r w:rsidRPr="00A61C13">
              <w:rPr>
                <w:bCs/>
              </w:rPr>
              <w:t>DFWED, CDC</w:t>
            </w:r>
          </w:p>
        </w:tc>
        <w:tc>
          <w:tcPr>
            <w:tcW w:w="1475" w:type="dxa"/>
          </w:tcPr>
          <w:p w:rsidRPr="00A61C13" w:rsidR="00A61C13" w:rsidP="002955E6" w:rsidRDefault="00A61C13" w14:paraId="2E3D7139" w14:textId="2E7958C7">
            <w:pPr>
              <w:ind w:left="0"/>
              <w:rPr>
                <w:bCs/>
              </w:rPr>
            </w:pPr>
            <w:r w:rsidRPr="00A61C13">
              <w:rPr>
                <w:bCs/>
              </w:rPr>
              <w:t>1600 Clifton Rd NE, Atlanta, GA, 30329</w:t>
            </w:r>
          </w:p>
        </w:tc>
        <w:tc>
          <w:tcPr>
            <w:tcW w:w="1446" w:type="dxa"/>
          </w:tcPr>
          <w:p w:rsidRPr="00A61C13" w:rsidR="00A61C13" w:rsidP="002955E6" w:rsidRDefault="00A61C13" w14:paraId="062D542E" w14:textId="30F207E1">
            <w:pPr>
              <w:ind w:left="0"/>
              <w:rPr>
                <w:bCs/>
              </w:rPr>
            </w:pPr>
            <w:r w:rsidRPr="00A61C13">
              <w:rPr>
                <w:bCs/>
              </w:rPr>
              <w:t>404-498-2800</w:t>
            </w:r>
          </w:p>
        </w:tc>
        <w:tc>
          <w:tcPr>
            <w:tcW w:w="1436" w:type="dxa"/>
          </w:tcPr>
          <w:p w:rsidRPr="00A61C13" w:rsidR="00A61C13" w:rsidP="002955E6" w:rsidRDefault="00A61C13" w14:paraId="14030C3B" w14:textId="309F3488">
            <w:pPr>
              <w:ind w:left="0"/>
              <w:rPr>
                <w:bCs/>
              </w:rPr>
            </w:pPr>
            <w:r>
              <w:rPr>
                <w:bCs/>
              </w:rPr>
              <w:t>nvr6@cdc.gov</w:t>
            </w:r>
          </w:p>
        </w:tc>
      </w:tr>
      <w:tr w:rsidRPr="00A61C13" w:rsidR="00A61C13" w:rsidTr="00A61C13" w14:paraId="7B2CCBAC" w14:textId="77777777">
        <w:tc>
          <w:tcPr>
            <w:tcW w:w="1545" w:type="dxa"/>
          </w:tcPr>
          <w:p w:rsidRPr="00A61C13" w:rsidR="00A61C13" w:rsidP="00A61C13" w:rsidRDefault="00A61C13" w14:paraId="0F4F03DA" w14:textId="4B237479">
            <w:pPr>
              <w:ind w:left="0"/>
              <w:rPr>
                <w:bCs/>
              </w:rPr>
            </w:pPr>
            <w:r w:rsidRPr="00A61C13">
              <w:rPr>
                <w:bCs/>
              </w:rPr>
              <w:lastRenderedPageBreak/>
              <w:t>Megin Nichols, DVM, MPH</w:t>
            </w:r>
          </w:p>
        </w:tc>
        <w:tc>
          <w:tcPr>
            <w:tcW w:w="1534" w:type="dxa"/>
          </w:tcPr>
          <w:p w:rsidRPr="00A61C13" w:rsidR="00A61C13" w:rsidP="00A61C13" w:rsidRDefault="00A61C13" w14:paraId="65538D59" w14:textId="2F6309AA">
            <w:pPr>
              <w:ind w:left="0"/>
              <w:rPr>
                <w:bCs/>
              </w:rPr>
            </w:pPr>
            <w:r w:rsidRPr="00A61C13">
              <w:rPr>
                <w:bCs/>
              </w:rPr>
              <w:t>Epi Coordinator</w:t>
            </w:r>
          </w:p>
        </w:tc>
        <w:tc>
          <w:tcPr>
            <w:tcW w:w="1554" w:type="dxa"/>
          </w:tcPr>
          <w:p w:rsidRPr="00A61C13" w:rsidR="00A61C13" w:rsidP="00A61C13" w:rsidRDefault="00A61C13" w14:paraId="5162704A" w14:textId="50CA936D">
            <w:pPr>
              <w:ind w:left="0"/>
              <w:rPr>
                <w:bCs/>
              </w:rPr>
            </w:pPr>
            <w:r w:rsidRPr="00A61C13">
              <w:rPr>
                <w:bCs/>
              </w:rPr>
              <w:t>DFWED, CDC</w:t>
            </w:r>
          </w:p>
        </w:tc>
        <w:tc>
          <w:tcPr>
            <w:tcW w:w="1475" w:type="dxa"/>
          </w:tcPr>
          <w:p w:rsidRPr="00A61C13" w:rsidR="00A61C13" w:rsidP="00A61C13" w:rsidRDefault="00A61C13" w14:paraId="487AA25F" w14:textId="5CA6483B">
            <w:pPr>
              <w:ind w:left="0"/>
              <w:rPr>
                <w:bCs/>
              </w:rPr>
            </w:pPr>
            <w:r w:rsidRPr="00A61C13">
              <w:rPr>
                <w:bCs/>
              </w:rPr>
              <w:t>1600 Clifton Rd NE, Atlanta, GA, 30329</w:t>
            </w:r>
          </w:p>
        </w:tc>
        <w:tc>
          <w:tcPr>
            <w:tcW w:w="1446" w:type="dxa"/>
          </w:tcPr>
          <w:p w:rsidRPr="00A61C13" w:rsidR="00A61C13" w:rsidP="00A61C13" w:rsidRDefault="00A61C13" w14:paraId="23B3E809" w14:textId="695123B4">
            <w:pPr>
              <w:ind w:left="0"/>
              <w:rPr>
                <w:bCs/>
              </w:rPr>
            </w:pPr>
            <w:r>
              <w:rPr>
                <w:bCs/>
              </w:rPr>
              <w:t>404-639-4194</w:t>
            </w:r>
          </w:p>
        </w:tc>
        <w:tc>
          <w:tcPr>
            <w:tcW w:w="1436" w:type="dxa"/>
          </w:tcPr>
          <w:p w:rsidRPr="00A61C13" w:rsidR="00A61C13" w:rsidP="00A61C13" w:rsidRDefault="00A61C13" w14:paraId="47D96CB9" w14:textId="5960043B">
            <w:pPr>
              <w:ind w:left="0"/>
              <w:rPr>
                <w:bCs/>
              </w:rPr>
            </w:pPr>
            <w:r>
              <w:rPr>
                <w:bCs/>
              </w:rPr>
              <w:t>gpg6@cdc.gov</w:t>
            </w:r>
          </w:p>
        </w:tc>
      </w:tr>
      <w:tr w:rsidRPr="00A61C13" w:rsidR="00A61C13" w:rsidTr="00A61C13" w14:paraId="4D0F10FC" w14:textId="77777777">
        <w:tc>
          <w:tcPr>
            <w:tcW w:w="1545" w:type="dxa"/>
          </w:tcPr>
          <w:p w:rsidRPr="00A61C13" w:rsidR="00A61C13" w:rsidP="00A61C13" w:rsidRDefault="00A61C13" w14:paraId="008E76DB" w14:textId="16F1E508">
            <w:pPr>
              <w:ind w:left="0"/>
              <w:rPr>
                <w:bCs/>
              </w:rPr>
            </w:pPr>
            <w:r w:rsidRPr="00A61C13">
              <w:rPr>
                <w:bCs/>
              </w:rPr>
              <w:t xml:space="preserve">Alicia Shugart, </w:t>
            </w:r>
            <w:r>
              <w:rPr>
                <w:bCs/>
              </w:rPr>
              <w:t>MA</w:t>
            </w:r>
          </w:p>
        </w:tc>
        <w:tc>
          <w:tcPr>
            <w:tcW w:w="1534" w:type="dxa"/>
          </w:tcPr>
          <w:p w:rsidRPr="00A61C13" w:rsidR="00A61C13" w:rsidP="00A61C13" w:rsidRDefault="00A61C13" w14:paraId="74725C4A" w14:textId="5D160540">
            <w:pPr>
              <w:ind w:left="0"/>
              <w:rPr>
                <w:bCs/>
              </w:rPr>
            </w:pPr>
            <w:r w:rsidRPr="00A61C13">
              <w:rPr>
                <w:bCs/>
              </w:rPr>
              <w:t>Health Scientist</w:t>
            </w:r>
          </w:p>
        </w:tc>
        <w:tc>
          <w:tcPr>
            <w:tcW w:w="1554" w:type="dxa"/>
          </w:tcPr>
          <w:p w:rsidRPr="00A61C13" w:rsidR="00A61C13" w:rsidP="00A61C13" w:rsidRDefault="00A61C13" w14:paraId="624B6D95" w14:textId="2EACE082">
            <w:pPr>
              <w:ind w:left="0"/>
              <w:rPr>
                <w:bCs/>
              </w:rPr>
            </w:pPr>
            <w:r w:rsidRPr="00A61C13">
              <w:rPr>
                <w:bCs/>
              </w:rPr>
              <w:t>DHQP, CDC</w:t>
            </w:r>
          </w:p>
        </w:tc>
        <w:tc>
          <w:tcPr>
            <w:tcW w:w="1475" w:type="dxa"/>
          </w:tcPr>
          <w:p w:rsidRPr="00A61C13" w:rsidR="00A61C13" w:rsidP="00A61C13" w:rsidRDefault="00A61C13" w14:paraId="02B7C553" w14:textId="722DD79F">
            <w:pPr>
              <w:ind w:left="0"/>
              <w:rPr>
                <w:bCs/>
              </w:rPr>
            </w:pPr>
            <w:r w:rsidRPr="00A61C13">
              <w:rPr>
                <w:bCs/>
              </w:rPr>
              <w:t>1600 Clifton Rd NE, Atlanta, GA, 30329</w:t>
            </w:r>
          </w:p>
        </w:tc>
        <w:tc>
          <w:tcPr>
            <w:tcW w:w="1446" w:type="dxa"/>
          </w:tcPr>
          <w:p w:rsidRPr="00A61C13" w:rsidR="00A61C13" w:rsidP="00A61C13" w:rsidRDefault="00A61C13" w14:paraId="5F19AC9C" w14:textId="30C9E38A">
            <w:pPr>
              <w:ind w:left="0"/>
              <w:rPr>
                <w:bCs/>
              </w:rPr>
            </w:pPr>
            <w:r>
              <w:rPr>
                <w:bCs/>
              </w:rPr>
              <w:t>404-639-4051</w:t>
            </w:r>
          </w:p>
        </w:tc>
        <w:tc>
          <w:tcPr>
            <w:tcW w:w="1436" w:type="dxa"/>
          </w:tcPr>
          <w:p w:rsidRPr="00A61C13" w:rsidR="00A61C13" w:rsidP="00A61C13" w:rsidRDefault="00A61C13" w14:paraId="76FFC3FF" w14:textId="687747B4">
            <w:pPr>
              <w:ind w:left="0"/>
              <w:rPr>
                <w:bCs/>
              </w:rPr>
            </w:pPr>
            <w:r>
              <w:rPr>
                <w:bCs/>
              </w:rPr>
              <w:t>vet2@cdc.gov</w:t>
            </w:r>
          </w:p>
        </w:tc>
      </w:tr>
      <w:tr w:rsidRPr="00A61C13" w:rsidR="00A61C13" w:rsidTr="00A61C13" w14:paraId="7798D65A" w14:textId="77777777">
        <w:tc>
          <w:tcPr>
            <w:tcW w:w="1545" w:type="dxa"/>
          </w:tcPr>
          <w:p w:rsidRPr="00A61C13" w:rsidR="00A61C13" w:rsidP="00A61C13" w:rsidRDefault="00A61C13" w14:paraId="560B7D6B" w14:textId="6FE32C5B">
            <w:pPr>
              <w:ind w:left="0"/>
              <w:rPr>
                <w:bCs/>
              </w:rPr>
            </w:pPr>
            <w:r w:rsidRPr="00A61C13">
              <w:rPr>
                <w:bCs/>
              </w:rPr>
              <w:t>Maroya Walters</w:t>
            </w:r>
            <w:r>
              <w:rPr>
                <w:bCs/>
              </w:rPr>
              <w:t>, PhD</w:t>
            </w:r>
          </w:p>
        </w:tc>
        <w:tc>
          <w:tcPr>
            <w:tcW w:w="1534" w:type="dxa"/>
          </w:tcPr>
          <w:p w:rsidRPr="00A61C13" w:rsidR="00A61C13" w:rsidP="00A61C13" w:rsidRDefault="00A61C13" w14:paraId="11D764F7" w14:textId="659A3B2F">
            <w:pPr>
              <w:ind w:left="0"/>
              <w:rPr>
                <w:bCs/>
              </w:rPr>
            </w:pPr>
            <w:r w:rsidRPr="00A61C13">
              <w:rPr>
                <w:bCs/>
              </w:rPr>
              <w:t>Epidemiologist</w:t>
            </w:r>
          </w:p>
        </w:tc>
        <w:tc>
          <w:tcPr>
            <w:tcW w:w="1554" w:type="dxa"/>
          </w:tcPr>
          <w:p w:rsidRPr="00A61C13" w:rsidR="00A61C13" w:rsidP="00A61C13" w:rsidRDefault="00A61C13" w14:paraId="0F490B36" w14:textId="57EC934E">
            <w:pPr>
              <w:ind w:left="0"/>
              <w:rPr>
                <w:bCs/>
              </w:rPr>
            </w:pPr>
            <w:r w:rsidRPr="00A61C13">
              <w:rPr>
                <w:bCs/>
              </w:rPr>
              <w:t>DHQP, CDC</w:t>
            </w:r>
          </w:p>
        </w:tc>
        <w:tc>
          <w:tcPr>
            <w:tcW w:w="1475" w:type="dxa"/>
          </w:tcPr>
          <w:p w:rsidRPr="00A61C13" w:rsidR="00A61C13" w:rsidP="00A61C13" w:rsidRDefault="00A61C13" w14:paraId="003FC1EE" w14:textId="63B5E6F2">
            <w:pPr>
              <w:ind w:left="0"/>
              <w:rPr>
                <w:bCs/>
              </w:rPr>
            </w:pPr>
            <w:r w:rsidRPr="00A61C13">
              <w:rPr>
                <w:bCs/>
              </w:rPr>
              <w:t>1600 Clifton Rd NE, Atlanta, GA, 30329</w:t>
            </w:r>
          </w:p>
        </w:tc>
        <w:tc>
          <w:tcPr>
            <w:tcW w:w="1446" w:type="dxa"/>
          </w:tcPr>
          <w:p w:rsidRPr="00A61C13" w:rsidR="00A61C13" w:rsidP="00A61C13" w:rsidRDefault="00A61C13" w14:paraId="28FF7A7D" w14:textId="300C2666">
            <w:pPr>
              <w:ind w:left="0"/>
              <w:rPr>
                <w:bCs/>
              </w:rPr>
            </w:pPr>
            <w:r>
              <w:rPr>
                <w:bCs/>
              </w:rPr>
              <w:t>404-639-3539</w:t>
            </w:r>
          </w:p>
        </w:tc>
        <w:tc>
          <w:tcPr>
            <w:tcW w:w="1436" w:type="dxa"/>
          </w:tcPr>
          <w:p w:rsidRPr="00A61C13" w:rsidR="00A61C13" w:rsidP="00A61C13" w:rsidRDefault="00A61C13" w14:paraId="6C0ADBA2" w14:textId="5BEEB941">
            <w:pPr>
              <w:ind w:left="0"/>
              <w:rPr>
                <w:bCs/>
              </w:rPr>
            </w:pPr>
            <w:r>
              <w:rPr>
                <w:bCs/>
              </w:rPr>
              <w:t>vii0@cdc.gov</w:t>
            </w:r>
          </w:p>
        </w:tc>
      </w:tr>
    </w:tbl>
    <w:p w:rsidRPr="00865573" w:rsidR="00865573" w:rsidP="00A61C13" w:rsidRDefault="00865573" w14:paraId="1D7B86DC" w14:textId="77777777">
      <w:pPr>
        <w:spacing w:line="240" w:lineRule="auto"/>
        <w:ind w:left="0"/>
        <w:rPr>
          <w:rStyle w:val="Hyperlink"/>
          <w:b/>
          <w:color w:val="0070C0"/>
        </w:rPr>
      </w:pPr>
    </w:p>
    <w:p w:rsidRPr="00BC6896" w:rsidR="00A36419" w:rsidP="002955E6" w:rsidRDefault="00A36419" w14:paraId="1E82E35E" w14:textId="77777777">
      <w:pPr>
        <w:pStyle w:val="Heading3"/>
        <w:spacing w:line="240" w:lineRule="auto"/>
      </w:pPr>
      <w:bookmarkStart w:name="_Toc413847916" w:id="8"/>
      <w:r w:rsidRPr="00BC6896">
        <w:t>LIST OF ATTACHMENTS</w:t>
      </w:r>
      <w:r w:rsidRPr="00BC6896" w:rsidR="00E24C20">
        <w:t xml:space="preserve"> – Section B</w:t>
      </w:r>
      <w:bookmarkEnd w:id="8"/>
    </w:p>
    <w:p w:rsidRPr="00A61C13" w:rsidR="00400C2C" w:rsidP="002955E6" w:rsidRDefault="00400C2C" w14:paraId="435407BF" w14:textId="1CFD9A24">
      <w:pPr>
        <w:spacing w:line="240" w:lineRule="auto"/>
        <w:ind w:left="0"/>
      </w:pPr>
      <w:r w:rsidRPr="00CD1EA8">
        <w:t>Note:</w:t>
      </w:r>
      <w:r>
        <w:t xml:space="preserve"> </w:t>
      </w:r>
      <w:r w:rsidRPr="00A61C13">
        <w:t>Attachments are included as separate files as instructed.</w:t>
      </w:r>
    </w:p>
    <w:p w:rsidR="003444AB" w:rsidP="00400C2C" w:rsidRDefault="003444AB" w14:paraId="740FA0B4" w14:textId="39C63BA5">
      <w:pPr>
        <w:pStyle w:val="ListParagraph"/>
        <w:numPr>
          <w:ilvl w:val="0"/>
          <w:numId w:val="34"/>
        </w:numPr>
        <w:spacing w:line="240" w:lineRule="auto"/>
        <w:rPr>
          <w:rFonts w:ascii="Cambria" w:hAnsi="Cambria"/>
          <w:b/>
        </w:rPr>
      </w:pPr>
      <w:r>
        <w:rPr>
          <w:rFonts w:ascii="Cambria" w:hAnsi="Cambria"/>
          <w:b/>
        </w:rPr>
        <w:t>Attachment D – CRE Instrument Attachment Laboratory Guidelines</w:t>
      </w:r>
    </w:p>
    <w:p w:rsidRPr="00A61C13" w:rsidR="00865573" w:rsidP="00400C2C" w:rsidRDefault="00400C2C" w14:paraId="65A9CF0F" w14:textId="165FCB86">
      <w:pPr>
        <w:pStyle w:val="ListParagraph"/>
        <w:numPr>
          <w:ilvl w:val="0"/>
          <w:numId w:val="34"/>
        </w:numPr>
        <w:spacing w:line="240" w:lineRule="auto"/>
        <w:rPr>
          <w:rFonts w:ascii="Cambria" w:hAnsi="Cambria"/>
          <w:b/>
        </w:rPr>
      </w:pPr>
      <w:r w:rsidRPr="00A61C13">
        <w:rPr>
          <w:rFonts w:ascii="Cambria" w:hAnsi="Cambria"/>
          <w:b/>
        </w:rPr>
        <w:t xml:space="preserve">Attachment </w:t>
      </w:r>
      <w:r w:rsidR="001E074B">
        <w:rPr>
          <w:rFonts w:ascii="Cambria" w:hAnsi="Cambria"/>
          <w:b/>
        </w:rPr>
        <w:t>E</w:t>
      </w:r>
      <w:r w:rsidRPr="00A61C13" w:rsidR="00D24BCF">
        <w:rPr>
          <w:rFonts w:ascii="Cambria" w:hAnsi="Cambria"/>
          <w:b/>
        </w:rPr>
        <w:t xml:space="preserve"> –</w:t>
      </w:r>
      <w:r w:rsidRPr="00A61C13" w:rsidR="00865573">
        <w:rPr>
          <w:rFonts w:ascii="Cambria" w:hAnsi="Cambria"/>
          <w:b/>
        </w:rPr>
        <w:t xml:space="preserve"> </w:t>
      </w:r>
      <w:r w:rsidRPr="00A61C13" w:rsidR="00A61C13">
        <w:rPr>
          <w:rFonts w:ascii="Cambria" w:hAnsi="Cambria"/>
          <w:b/>
        </w:rPr>
        <w:t>Email Introduction Letter</w:t>
      </w:r>
    </w:p>
    <w:p w:rsidRPr="00A61C13" w:rsidR="00400C2C" w:rsidP="00400C2C" w:rsidRDefault="00400C2C" w14:paraId="759C7D9D" w14:textId="13DF242F">
      <w:pPr>
        <w:pStyle w:val="ListParagraph"/>
        <w:numPr>
          <w:ilvl w:val="0"/>
          <w:numId w:val="34"/>
        </w:numPr>
        <w:spacing w:line="240" w:lineRule="auto"/>
        <w:rPr>
          <w:rFonts w:ascii="Cambria" w:hAnsi="Cambria"/>
          <w:b/>
        </w:rPr>
      </w:pPr>
      <w:r w:rsidRPr="00A61C13">
        <w:rPr>
          <w:rFonts w:ascii="Cambria" w:hAnsi="Cambria"/>
          <w:b/>
        </w:rPr>
        <w:t xml:space="preserve">Attachment </w:t>
      </w:r>
      <w:r w:rsidR="001E074B">
        <w:rPr>
          <w:rFonts w:ascii="Cambria" w:hAnsi="Cambria"/>
          <w:b/>
        </w:rPr>
        <w:t>F</w:t>
      </w:r>
      <w:r w:rsidRPr="00A61C13" w:rsidR="00D24BCF">
        <w:rPr>
          <w:rFonts w:ascii="Cambria" w:hAnsi="Cambria"/>
          <w:b/>
        </w:rPr>
        <w:t xml:space="preserve"> –</w:t>
      </w:r>
      <w:r w:rsidRPr="00A61C13">
        <w:rPr>
          <w:rFonts w:ascii="Cambria" w:hAnsi="Cambria"/>
          <w:b/>
        </w:rPr>
        <w:t xml:space="preserve"> </w:t>
      </w:r>
      <w:r w:rsidRPr="00A61C13" w:rsidR="00A61C13">
        <w:rPr>
          <w:rFonts w:ascii="Cambria" w:hAnsi="Cambria"/>
          <w:b/>
        </w:rPr>
        <w:t>Email Introduction Reminder Letter</w:t>
      </w:r>
    </w:p>
    <w:p w:rsidR="00865573" w:rsidP="002955E6" w:rsidRDefault="00865573" w14:paraId="504ACF37" w14:textId="77777777">
      <w:pPr>
        <w:spacing w:line="240" w:lineRule="auto"/>
        <w:ind w:left="0" w:firstLine="360"/>
        <w:rPr>
          <w:rFonts w:ascii="Cambria" w:hAnsi="Cambria"/>
          <w:color w:val="0070C0"/>
        </w:rPr>
      </w:pPr>
    </w:p>
    <w:sectPr w:rsidR="00865573"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91763" w14:textId="77777777" w:rsidR="00822D7A" w:rsidRDefault="00822D7A" w:rsidP="00BC6896">
      <w:r>
        <w:separator/>
      </w:r>
    </w:p>
    <w:p w14:paraId="7752E1E4" w14:textId="77777777" w:rsidR="00822D7A" w:rsidRDefault="00822D7A" w:rsidP="00BC6896"/>
  </w:endnote>
  <w:endnote w:type="continuationSeparator" w:id="0">
    <w:p w14:paraId="38864651" w14:textId="77777777" w:rsidR="00822D7A" w:rsidRDefault="00822D7A" w:rsidP="00BC6896">
      <w:r>
        <w:continuationSeparator/>
      </w:r>
    </w:p>
    <w:p w14:paraId="124452EB" w14:textId="77777777" w:rsidR="00822D7A" w:rsidRDefault="00822D7A"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7FDC9B6F"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484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4843">
              <w:rPr>
                <w:b/>
                <w:bCs/>
                <w:noProof/>
              </w:rPr>
              <w:t>4</w:t>
            </w:r>
            <w:r>
              <w:rPr>
                <w:b/>
                <w:bCs/>
                <w:sz w:val="24"/>
                <w:szCs w:val="24"/>
              </w:rPr>
              <w:fldChar w:fldCharType="end"/>
            </w:r>
          </w:p>
        </w:sdtContent>
      </w:sdt>
    </w:sdtContent>
  </w:sdt>
  <w:p w14:paraId="44222E07" w14:textId="77777777" w:rsidR="006075F6" w:rsidRDefault="006075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0A275" w14:textId="77777777" w:rsidR="00822D7A" w:rsidRDefault="00822D7A" w:rsidP="00BC6896">
      <w:r>
        <w:separator/>
      </w:r>
    </w:p>
    <w:p w14:paraId="10F5560C" w14:textId="77777777" w:rsidR="00822D7A" w:rsidRDefault="00822D7A" w:rsidP="00BC6896"/>
  </w:footnote>
  <w:footnote w:type="continuationSeparator" w:id="0">
    <w:p w14:paraId="31EDC677" w14:textId="77777777" w:rsidR="00822D7A" w:rsidRDefault="00822D7A" w:rsidP="00BC6896">
      <w:r>
        <w:continuationSeparator/>
      </w:r>
    </w:p>
    <w:p w14:paraId="09E39EDF" w14:textId="77777777" w:rsidR="00822D7A" w:rsidRDefault="00822D7A"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2A4D9" w14:textId="77777777" w:rsidR="00783A3C" w:rsidRPr="00716F94" w:rsidRDefault="00783A3C" w:rsidP="00BC6896">
    <w:pPr>
      <w:pStyle w:val="Header"/>
      <w:rPr>
        <w:color w:val="0033CC"/>
      </w:rPr>
    </w:pPr>
    <w:r>
      <w:tab/>
    </w:r>
  </w:p>
  <w:p w14:paraId="653AF48B" w14:textId="77777777" w:rsidR="006075F6" w:rsidRDefault="006075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6"/>
  </w:num>
  <w:num w:numId="4">
    <w:abstractNumId w:val="12"/>
  </w:num>
  <w:num w:numId="5">
    <w:abstractNumId w:val="26"/>
  </w:num>
  <w:num w:numId="6">
    <w:abstractNumId w:val="7"/>
  </w:num>
  <w:num w:numId="7">
    <w:abstractNumId w:val="0"/>
  </w:num>
  <w:num w:numId="8">
    <w:abstractNumId w:val="5"/>
  </w:num>
  <w:num w:numId="9">
    <w:abstractNumId w:val="10"/>
  </w:num>
  <w:num w:numId="10">
    <w:abstractNumId w:val="29"/>
  </w:num>
  <w:num w:numId="11">
    <w:abstractNumId w:val="2"/>
  </w:num>
  <w:num w:numId="12">
    <w:abstractNumId w:val="34"/>
  </w:num>
  <w:num w:numId="13">
    <w:abstractNumId w:val="6"/>
  </w:num>
  <w:num w:numId="14">
    <w:abstractNumId w:val="3"/>
  </w:num>
  <w:num w:numId="15">
    <w:abstractNumId w:val="32"/>
  </w:num>
  <w:num w:numId="16">
    <w:abstractNumId w:val="38"/>
  </w:num>
  <w:num w:numId="17">
    <w:abstractNumId w:val="9"/>
  </w:num>
  <w:num w:numId="18">
    <w:abstractNumId w:val="14"/>
  </w:num>
  <w:num w:numId="19">
    <w:abstractNumId w:val="4"/>
  </w:num>
  <w:num w:numId="20">
    <w:abstractNumId w:val="16"/>
  </w:num>
  <w:num w:numId="21">
    <w:abstractNumId w:val="37"/>
  </w:num>
  <w:num w:numId="22">
    <w:abstractNumId w:val="30"/>
  </w:num>
  <w:num w:numId="23">
    <w:abstractNumId w:val="13"/>
  </w:num>
  <w:num w:numId="24">
    <w:abstractNumId w:val="31"/>
  </w:num>
  <w:num w:numId="25">
    <w:abstractNumId w:val="33"/>
  </w:num>
  <w:num w:numId="26">
    <w:abstractNumId w:val="20"/>
  </w:num>
  <w:num w:numId="27">
    <w:abstractNumId w:val="24"/>
  </w:num>
  <w:num w:numId="28">
    <w:abstractNumId w:val="21"/>
  </w:num>
  <w:num w:numId="29">
    <w:abstractNumId w:val="27"/>
  </w:num>
  <w:num w:numId="30">
    <w:abstractNumId w:val="23"/>
  </w:num>
  <w:num w:numId="31">
    <w:abstractNumId w:val="11"/>
  </w:num>
  <w:num w:numId="32">
    <w:abstractNumId w:val="25"/>
  </w:num>
  <w:num w:numId="33">
    <w:abstractNumId w:val="19"/>
  </w:num>
  <w:num w:numId="34">
    <w:abstractNumId w:val="17"/>
  </w:num>
  <w:num w:numId="35">
    <w:abstractNumId w:val="28"/>
  </w:num>
  <w:num w:numId="36">
    <w:abstractNumId w:val="22"/>
  </w:num>
  <w:num w:numId="37">
    <w:abstractNumId w:val="8"/>
  </w:num>
  <w:num w:numId="38">
    <w:abstractNumId w:val="3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69C1"/>
    <w:rsid w:val="00010420"/>
    <w:rsid w:val="00011A98"/>
    <w:rsid w:val="00011F8D"/>
    <w:rsid w:val="000130B4"/>
    <w:rsid w:val="00014361"/>
    <w:rsid w:val="000279A9"/>
    <w:rsid w:val="000474FB"/>
    <w:rsid w:val="00052A34"/>
    <w:rsid w:val="00053A92"/>
    <w:rsid w:val="00054765"/>
    <w:rsid w:val="000557D0"/>
    <w:rsid w:val="0005605E"/>
    <w:rsid w:val="00057F36"/>
    <w:rsid w:val="000A1F30"/>
    <w:rsid w:val="000A538D"/>
    <w:rsid w:val="000E6577"/>
    <w:rsid w:val="000E7A19"/>
    <w:rsid w:val="000F36A3"/>
    <w:rsid w:val="001030FC"/>
    <w:rsid w:val="00104A1B"/>
    <w:rsid w:val="001177DD"/>
    <w:rsid w:val="001308EB"/>
    <w:rsid w:val="001412D4"/>
    <w:rsid w:val="00144F64"/>
    <w:rsid w:val="00151567"/>
    <w:rsid w:val="00163E17"/>
    <w:rsid w:val="00166F9E"/>
    <w:rsid w:val="00175844"/>
    <w:rsid w:val="00176E14"/>
    <w:rsid w:val="00187D5A"/>
    <w:rsid w:val="001960AE"/>
    <w:rsid w:val="001972D7"/>
    <w:rsid w:val="001A28F6"/>
    <w:rsid w:val="001A7D0E"/>
    <w:rsid w:val="001B2831"/>
    <w:rsid w:val="001C0493"/>
    <w:rsid w:val="001C28AD"/>
    <w:rsid w:val="001D2951"/>
    <w:rsid w:val="001D461D"/>
    <w:rsid w:val="001D7FCB"/>
    <w:rsid w:val="001E074B"/>
    <w:rsid w:val="001E2B99"/>
    <w:rsid w:val="001E69B6"/>
    <w:rsid w:val="001F4DBB"/>
    <w:rsid w:val="001F501E"/>
    <w:rsid w:val="001F7C89"/>
    <w:rsid w:val="0020312D"/>
    <w:rsid w:val="0020495F"/>
    <w:rsid w:val="00206E33"/>
    <w:rsid w:val="00210519"/>
    <w:rsid w:val="002303B0"/>
    <w:rsid w:val="00230CEF"/>
    <w:rsid w:val="00237CA1"/>
    <w:rsid w:val="00241B17"/>
    <w:rsid w:val="00241C81"/>
    <w:rsid w:val="00245F1F"/>
    <w:rsid w:val="00252BF8"/>
    <w:rsid w:val="00256392"/>
    <w:rsid w:val="00257A1C"/>
    <w:rsid w:val="002721C7"/>
    <w:rsid w:val="0027234C"/>
    <w:rsid w:val="00272E03"/>
    <w:rsid w:val="00281795"/>
    <w:rsid w:val="002850E3"/>
    <w:rsid w:val="00287E2F"/>
    <w:rsid w:val="002955E6"/>
    <w:rsid w:val="002A1948"/>
    <w:rsid w:val="002C0877"/>
    <w:rsid w:val="002C2AE2"/>
    <w:rsid w:val="002D0DCE"/>
    <w:rsid w:val="002D3841"/>
    <w:rsid w:val="002E2B10"/>
    <w:rsid w:val="002E2CF3"/>
    <w:rsid w:val="002F1502"/>
    <w:rsid w:val="002F169D"/>
    <w:rsid w:val="002F2069"/>
    <w:rsid w:val="002F3D87"/>
    <w:rsid w:val="002F6F92"/>
    <w:rsid w:val="003041AD"/>
    <w:rsid w:val="0031279F"/>
    <w:rsid w:val="00312D63"/>
    <w:rsid w:val="003161B9"/>
    <w:rsid w:val="00327D05"/>
    <w:rsid w:val="00335EBD"/>
    <w:rsid w:val="00336D96"/>
    <w:rsid w:val="003403B4"/>
    <w:rsid w:val="003429C3"/>
    <w:rsid w:val="003444AB"/>
    <w:rsid w:val="00344F07"/>
    <w:rsid w:val="003469C8"/>
    <w:rsid w:val="00355EA4"/>
    <w:rsid w:val="003635BE"/>
    <w:rsid w:val="00366B5E"/>
    <w:rsid w:val="00372844"/>
    <w:rsid w:val="0038560A"/>
    <w:rsid w:val="003C31C9"/>
    <w:rsid w:val="003C3D1C"/>
    <w:rsid w:val="003C4961"/>
    <w:rsid w:val="003C7C5D"/>
    <w:rsid w:val="003D0AD2"/>
    <w:rsid w:val="003E4383"/>
    <w:rsid w:val="003E4E7D"/>
    <w:rsid w:val="003E5D57"/>
    <w:rsid w:val="003F5913"/>
    <w:rsid w:val="00400C2C"/>
    <w:rsid w:val="004024F8"/>
    <w:rsid w:val="0041159A"/>
    <w:rsid w:val="00414772"/>
    <w:rsid w:val="004170FF"/>
    <w:rsid w:val="0042604A"/>
    <w:rsid w:val="004305A8"/>
    <w:rsid w:val="0043150B"/>
    <w:rsid w:val="0043417A"/>
    <w:rsid w:val="00443CA0"/>
    <w:rsid w:val="00450E14"/>
    <w:rsid w:val="00462C65"/>
    <w:rsid w:val="00467B14"/>
    <w:rsid w:val="00474EDA"/>
    <w:rsid w:val="0047536D"/>
    <w:rsid w:val="004824FA"/>
    <w:rsid w:val="00484011"/>
    <w:rsid w:val="004841F1"/>
    <w:rsid w:val="00487E55"/>
    <w:rsid w:val="00497BC1"/>
    <w:rsid w:val="004A1E3A"/>
    <w:rsid w:val="004B1D39"/>
    <w:rsid w:val="004B4EB5"/>
    <w:rsid w:val="004C4AEA"/>
    <w:rsid w:val="004D70EE"/>
    <w:rsid w:val="004E003C"/>
    <w:rsid w:val="004E16EB"/>
    <w:rsid w:val="004E6665"/>
    <w:rsid w:val="004F634E"/>
    <w:rsid w:val="004F67A8"/>
    <w:rsid w:val="0051394B"/>
    <w:rsid w:val="00522A50"/>
    <w:rsid w:val="00527225"/>
    <w:rsid w:val="0052724C"/>
    <w:rsid w:val="0053557D"/>
    <w:rsid w:val="005463DE"/>
    <w:rsid w:val="00546DC2"/>
    <w:rsid w:val="005542E8"/>
    <w:rsid w:val="00556630"/>
    <w:rsid w:val="0055686D"/>
    <w:rsid w:val="00570C41"/>
    <w:rsid w:val="005800EE"/>
    <w:rsid w:val="005869D6"/>
    <w:rsid w:val="00593E85"/>
    <w:rsid w:val="005A33F6"/>
    <w:rsid w:val="005A59E5"/>
    <w:rsid w:val="005B7440"/>
    <w:rsid w:val="005C6E9D"/>
    <w:rsid w:val="005E2150"/>
    <w:rsid w:val="005E2995"/>
    <w:rsid w:val="005E5E11"/>
    <w:rsid w:val="005F105A"/>
    <w:rsid w:val="005F3ADE"/>
    <w:rsid w:val="005F3FEF"/>
    <w:rsid w:val="00601392"/>
    <w:rsid w:val="006075F6"/>
    <w:rsid w:val="00607F7C"/>
    <w:rsid w:val="006102DA"/>
    <w:rsid w:val="006161CF"/>
    <w:rsid w:val="00621F93"/>
    <w:rsid w:val="006315A3"/>
    <w:rsid w:val="006379E9"/>
    <w:rsid w:val="00637CC1"/>
    <w:rsid w:val="006466BA"/>
    <w:rsid w:val="006579A2"/>
    <w:rsid w:val="00667C89"/>
    <w:rsid w:val="006711EE"/>
    <w:rsid w:val="006809BB"/>
    <w:rsid w:val="006809FD"/>
    <w:rsid w:val="00683C7C"/>
    <w:rsid w:val="00687C5F"/>
    <w:rsid w:val="00691031"/>
    <w:rsid w:val="00691D1F"/>
    <w:rsid w:val="0069580C"/>
    <w:rsid w:val="006975BC"/>
    <w:rsid w:val="00697BAE"/>
    <w:rsid w:val="006A63FD"/>
    <w:rsid w:val="006B4DDC"/>
    <w:rsid w:val="006B5E55"/>
    <w:rsid w:val="006C1771"/>
    <w:rsid w:val="006D25A1"/>
    <w:rsid w:val="006D6932"/>
    <w:rsid w:val="006E4BB7"/>
    <w:rsid w:val="006F23AF"/>
    <w:rsid w:val="006F6856"/>
    <w:rsid w:val="0071190E"/>
    <w:rsid w:val="007145D0"/>
    <w:rsid w:val="00716F94"/>
    <w:rsid w:val="00760E12"/>
    <w:rsid w:val="00763CF3"/>
    <w:rsid w:val="00772293"/>
    <w:rsid w:val="0077532C"/>
    <w:rsid w:val="00783A3C"/>
    <w:rsid w:val="00783C75"/>
    <w:rsid w:val="00784619"/>
    <w:rsid w:val="0078627B"/>
    <w:rsid w:val="00794E32"/>
    <w:rsid w:val="007B305A"/>
    <w:rsid w:val="007B5742"/>
    <w:rsid w:val="007C1CB7"/>
    <w:rsid w:val="007E3F71"/>
    <w:rsid w:val="007F62D6"/>
    <w:rsid w:val="007F73D8"/>
    <w:rsid w:val="00800993"/>
    <w:rsid w:val="00810FBF"/>
    <w:rsid w:val="00815C7D"/>
    <w:rsid w:val="00817941"/>
    <w:rsid w:val="00822D7A"/>
    <w:rsid w:val="008261AB"/>
    <w:rsid w:val="00835CA7"/>
    <w:rsid w:val="008370D4"/>
    <w:rsid w:val="008414AD"/>
    <w:rsid w:val="008428D9"/>
    <w:rsid w:val="00865573"/>
    <w:rsid w:val="008759F6"/>
    <w:rsid w:val="00876B98"/>
    <w:rsid w:val="0088308A"/>
    <w:rsid w:val="00884DB9"/>
    <w:rsid w:val="0089676F"/>
    <w:rsid w:val="008C67D2"/>
    <w:rsid w:val="008E0683"/>
    <w:rsid w:val="00902DD9"/>
    <w:rsid w:val="00911466"/>
    <w:rsid w:val="00911486"/>
    <w:rsid w:val="009129CA"/>
    <w:rsid w:val="009206B6"/>
    <w:rsid w:val="009263C1"/>
    <w:rsid w:val="00931C02"/>
    <w:rsid w:val="00935FFD"/>
    <w:rsid w:val="00941B4F"/>
    <w:rsid w:val="00963CE3"/>
    <w:rsid w:val="00964F18"/>
    <w:rsid w:val="0097039F"/>
    <w:rsid w:val="00974424"/>
    <w:rsid w:val="009759F3"/>
    <w:rsid w:val="00987F76"/>
    <w:rsid w:val="00991BF9"/>
    <w:rsid w:val="00993088"/>
    <w:rsid w:val="0099664F"/>
    <w:rsid w:val="00997D5D"/>
    <w:rsid w:val="009A0447"/>
    <w:rsid w:val="009B034F"/>
    <w:rsid w:val="009B4A51"/>
    <w:rsid w:val="009C28B1"/>
    <w:rsid w:val="009C61AD"/>
    <w:rsid w:val="009D373D"/>
    <w:rsid w:val="009D77CD"/>
    <w:rsid w:val="009E1D05"/>
    <w:rsid w:val="009F7283"/>
    <w:rsid w:val="00A00C86"/>
    <w:rsid w:val="00A11B0C"/>
    <w:rsid w:val="00A305CE"/>
    <w:rsid w:val="00A33B35"/>
    <w:rsid w:val="00A36419"/>
    <w:rsid w:val="00A37AE0"/>
    <w:rsid w:val="00A578C2"/>
    <w:rsid w:val="00A61C13"/>
    <w:rsid w:val="00A70EBC"/>
    <w:rsid w:val="00A72652"/>
    <w:rsid w:val="00A75D1C"/>
    <w:rsid w:val="00A809AA"/>
    <w:rsid w:val="00A81BF7"/>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460B8"/>
    <w:rsid w:val="00B50A2B"/>
    <w:rsid w:val="00B64BFA"/>
    <w:rsid w:val="00B65C38"/>
    <w:rsid w:val="00B8216F"/>
    <w:rsid w:val="00B853F1"/>
    <w:rsid w:val="00B85DE4"/>
    <w:rsid w:val="00B8656C"/>
    <w:rsid w:val="00B91A31"/>
    <w:rsid w:val="00BA6DB4"/>
    <w:rsid w:val="00BC016A"/>
    <w:rsid w:val="00BC3F3C"/>
    <w:rsid w:val="00BC5BB2"/>
    <w:rsid w:val="00BC6896"/>
    <w:rsid w:val="00BD2703"/>
    <w:rsid w:val="00BF3F54"/>
    <w:rsid w:val="00C00697"/>
    <w:rsid w:val="00C0376C"/>
    <w:rsid w:val="00C06D77"/>
    <w:rsid w:val="00C06E7F"/>
    <w:rsid w:val="00C14BA6"/>
    <w:rsid w:val="00C347E7"/>
    <w:rsid w:val="00C3485C"/>
    <w:rsid w:val="00C420D4"/>
    <w:rsid w:val="00C71C6A"/>
    <w:rsid w:val="00C84DC3"/>
    <w:rsid w:val="00CA2004"/>
    <w:rsid w:val="00CB334D"/>
    <w:rsid w:val="00CB4003"/>
    <w:rsid w:val="00CB56D5"/>
    <w:rsid w:val="00CC6D7B"/>
    <w:rsid w:val="00CD0771"/>
    <w:rsid w:val="00CD1EA8"/>
    <w:rsid w:val="00CD2D8E"/>
    <w:rsid w:val="00CF0CE8"/>
    <w:rsid w:val="00CF5ABD"/>
    <w:rsid w:val="00CF63CE"/>
    <w:rsid w:val="00D067C1"/>
    <w:rsid w:val="00D13B13"/>
    <w:rsid w:val="00D16E78"/>
    <w:rsid w:val="00D201D3"/>
    <w:rsid w:val="00D24BCF"/>
    <w:rsid w:val="00D26A64"/>
    <w:rsid w:val="00D328FA"/>
    <w:rsid w:val="00D33BF9"/>
    <w:rsid w:val="00D4221A"/>
    <w:rsid w:val="00D52B9A"/>
    <w:rsid w:val="00D5367E"/>
    <w:rsid w:val="00D54843"/>
    <w:rsid w:val="00D57C7E"/>
    <w:rsid w:val="00D724CC"/>
    <w:rsid w:val="00D7285C"/>
    <w:rsid w:val="00D77D27"/>
    <w:rsid w:val="00D861ED"/>
    <w:rsid w:val="00D873E0"/>
    <w:rsid w:val="00D94F8B"/>
    <w:rsid w:val="00DA147A"/>
    <w:rsid w:val="00DA4EA9"/>
    <w:rsid w:val="00DA5988"/>
    <w:rsid w:val="00DC317C"/>
    <w:rsid w:val="00DC4FF2"/>
    <w:rsid w:val="00DC79CC"/>
    <w:rsid w:val="00DE2D45"/>
    <w:rsid w:val="00E134F4"/>
    <w:rsid w:val="00E23568"/>
    <w:rsid w:val="00E245B5"/>
    <w:rsid w:val="00E24C20"/>
    <w:rsid w:val="00E33BBA"/>
    <w:rsid w:val="00E33E1B"/>
    <w:rsid w:val="00E34D3E"/>
    <w:rsid w:val="00E35B1C"/>
    <w:rsid w:val="00E42F3A"/>
    <w:rsid w:val="00E605BA"/>
    <w:rsid w:val="00E81C5E"/>
    <w:rsid w:val="00E83B3C"/>
    <w:rsid w:val="00E8736B"/>
    <w:rsid w:val="00E90275"/>
    <w:rsid w:val="00E925D4"/>
    <w:rsid w:val="00E97226"/>
    <w:rsid w:val="00EA1CCB"/>
    <w:rsid w:val="00EB63B3"/>
    <w:rsid w:val="00EC45F0"/>
    <w:rsid w:val="00ED52F6"/>
    <w:rsid w:val="00ED6878"/>
    <w:rsid w:val="00EF0EC8"/>
    <w:rsid w:val="00EF33CD"/>
    <w:rsid w:val="00EF3B04"/>
    <w:rsid w:val="00F2267A"/>
    <w:rsid w:val="00F27049"/>
    <w:rsid w:val="00F300CB"/>
    <w:rsid w:val="00F42C3A"/>
    <w:rsid w:val="00F52BCC"/>
    <w:rsid w:val="00F5313F"/>
    <w:rsid w:val="00F57581"/>
    <w:rsid w:val="00F725B5"/>
    <w:rsid w:val="00F81A48"/>
    <w:rsid w:val="00FB1DB3"/>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e410d977b0fc8c704b6b475f4ea6a278">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95bb2280e359a4e91743e7963053dbf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61CF-2FBD-4248-AF4C-4B2B680E02B7}">
  <ds:schemaRefs>
    <ds:schemaRef ds:uri="http://schemas.microsoft.com/office/2006/documentManagement/types"/>
    <ds:schemaRef ds:uri="http://purl.org/dc/dcmitype/"/>
    <ds:schemaRef ds:uri="ce0cc384-7d90-49d2-886c-ed1b3f79e86e"/>
    <ds:schemaRef ds:uri="http://www.w3.org/XML/1998/namespace"/>
    <ds:schemaRef ds:uri="http://purl.org/dc/elements/1.1/"/>
    <ds:schemaRef ds:uri="http://purl.org/dc/terms/"/>
    <ds:schemaRef ds:uri="b0563af3-add7-4ba1-9257-34f88286e773"/>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905E439-EF96-4C8F-8BBD-A8CA3EF763E9}">
  <ds:schemaRefs>
    <ds:schemaRef ds:uri="http://schemas.microsoft.com/sharepoint/v3/contenttype/forms"/>
  </ds:schemaRefs>
</ds:datastoreItem>
</file>

<file path=customXml/itemProps3.xml><?xml version="1.0" encoding="utf-8"?>
<ds:datastoreItem xmlns:ds="http://schemas.openxmlformats.org/officeDocument/2006/customXml" ds:itemID="{9042E7C6-01B6-44B6-9EB2-EFA986805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DBF1C-C148-46B9-AF0A-72101910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1131</Words>
  <Characters>6448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Wigington, Corinne J. (CDC/DDPHSIS/CSTLTS/OD)</cp:lastModifiedBy>
  <cp:revision>2</cp:revision>
  <cp:lastPrinted>2011-06-07T15:53:00Z</cp:lastPrinted>
  <dcterms:created xsi:type="dcterms:W3CDTF">2020-10-01T13:17:00Z</dcterms:created>
  <dcterms:modified xsi:type="dcterms:W3CDTF">2020-10-01T13:17:00Z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