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6F94" w:rsidP="00BC6896" w:rsidRDefault="00716F94" w14:paraId="41581170" w14:textId="4D602445"/>
    <w:p w:rsidR="009B4A51" w:rsidP="00BC6896" w:rsidRDefault="009B4A51" w14:paraId="6AA1C855" w14:textId="77777777"/>
    <w:p w:rsidR="009B4A51" w:rsidP="00BC6896" w:rsidRDefault="009B4A51" w14:paraId="5B8F4C21" w14:textId="77777777"/>
    <w:p w:rsidR="009B4A51" w:rsidP="00BC6896" w:rsidRDefault="009B4A51" w14:paraId="2368735E" w14:textId="77777777"/>
    <w:p w:rsidR="009B4A51" w:rsidP="00BC6896" w:rsidRDefault="009B4A51" w14:paraId="791EADC5" w14:textId="77777777"/>
    <w:p w:rsidRPr="00A76CFA" w:rsidR="00B334A9" w:rsidP="00B334A9" w:rsidRDefault="00B334A9" w14:paraId="7A02040B" w14:textId="77777777">
      <w:pPr>
        <w:pStyle w:val="Heading1"/>
      </w:pPr>
      <w:r w:rsidRPr="00A76CFA">
        <w:t>Assessment of STLT Public Health Agencies to Guide the Update of CDC/ATSDR Cancer Cluster Guidelines</w:t>
      </w:r>
    </w:p>
    <w:p w:rsidR="00AA3192" w:rsidP="00BC6896" w:rsidRDefault="00AA3192" w14:paraId="17F9220B" w14:textId="77777777"/>
    <w:p w:rsidRPr="00AA3192" w:rsidR="00716F94" w:rsidP="00BC6896" w:rsidRDefault="00B60E8C" w14:paraId="4B9BCD79" w14:textId="77777777">
      <w:pPr>
        <w:ind w:left="0"/>
        <w:jc w:val="center"/>
      </w:pPr>
      <w:r>
        <w:t>C</w:t>
      </w:r>
      <w:r w:rsidRPr="00AA3192" w:rsidR="00484011">
        <w:t xml:space="preserve">STLTS Generic </w:t>
      </w:r>
      <w:r w:rsidR="00487E55">
        <w:t>Data collection</w:t>
      </w:r>
      <w:r w:rsidRPr="00AA3192" w:rsidR="00484011">
        <w:t xml:space="preserve"> Request</w:t>
      </w:r>
    </w:p>
    <w:p w:rsidRPr="00AA3192" w:rsidR="00484011" w:rsidP="00BC6896" w:rsidRDefault="00484011" w14:paraId="33266DC1" w14:textId="77777777">
      <w:pPr>
        <w:pStyle w:val="Header"/>
        <w:ind w:left="0"/>
        <w:jc w:val="center"/>
      </w:pPr>
      <w:r w:rsidRPr="00AA3192">
        <w:t>OMB No. 0920-0879</w:t>
      </w:r>
    </w:p>
    <w:p w:rsidR="009B4A51" w:rsidP="00BC6896" w:rsidRDefault="009B4A51" w14:paraId="644D53F0" w14:textId="77777777"/>
    <w:p w:rsidR="00AA3192" w:rsidP="00BC6896" w:rsidRDefault="00AA3192" w14:paraId="0599FB54" w14:textId="77777777"/>
    <w:p w:rsidRPr="00BC6896" w:rsidR="009B4A51" w:rsidP="00BC6896" w:rsidRDefault="009B4A51" w14:paraId="7F4B7085" w14:textId="77777777">
      <w:pPr>
        <w:pStyle w:val="Heading2"/>
      </w:pPr>
      <w:r w:rsidRPr="00BC6896">
        <w:t xml:space="preserve">Supporting Statement – Section </w:t>
      </w:r>
      <w:r w:rsidRPr="00BC6896" w:rsidR="00601392">
        <w:t>B</w:t>
      </w:r>
    </w:p>
    <w:p w:rsidR="009B4A51" w:rsidP="00BC6896" w:rsidRDefault="009B4A51" w14:paraId="0C28A890" w14:textId="77777777"/>
    <w:p w:rsidRPr="00BC6896" w:rsidR="009B4A51" w:rsidP="00BC6896" w:rsidRDefault="009B4A51" w14:paraId="0ED754BD" w14:textId="6FF02DD6">
      <w:pPr>
        <w:ind w:left="0"/>
        <w:jc w:val="center"/>
      </w:pPr>
      <w:r w:rsidRPr="00AA3192">
        <w:t xml:space="preserve">Submitted: </w:t>
      </w:r>
      <w:r w:rsidR="004266EF">
        <w:t xml:space="preserve"> </w:t>
      </w:r>
      <w:r w:rsidR="006E09BC">
        <w:t>6/29/2020</w:t>
      </w:r>
    </w:p>
    <w:p w:rsidR="009B4A51" w:rsidP="00BC6896" w:rsidRDefault="009B4A51" w14:paraId="5AA7A142" w14:textId="77777777"/>
    <w:p w:rsidR="009B4A51" w:rsidP="00BC6896" w:rsidRDefault="009B4A51" w14:paraId="6BE24800" w14:textId="77777777"/>
    <w:p w:rsidR="00B24144" w:rsidP="00A81BF7" w:rsidRDefault="00B24144" w14:paraId="5AA11FDA" w14:textId="77777777">
      <w:pPr>
        <w:ind w:left="0"/>
        <w:rPr>
          <w:b/>
          <w:u w:val="single"/>
        </w:rPr>
      </w:pPr>
    </w:p>
    <w:p w:rsidR="00B24144" w:rsidP="00A81BF7" w:rsidRDefault="00B24144" w14:paraId="7C2F569E" w14:textId="77777777">
      <w:pPr>
        <w:ind w:left="0"/>
        <w:rPr>
          <w:b/>
          <w:u w:val="single"/>
        </w:rPr>
      </w:pPr>
    </w:p>
    <w:p w:rsidR="00B24144" w:rsidP="00A81BF7" w:rsidRDefault="00B24144" w14:paraId="03B9A822" w14:textId="77777777">
      <w:pPr>
        <w:ind w:left="0"/>
        <w:rPr>
          <w:b/>
          <w:u w:val="single"/>
        </w:rPr>
      </w:pPr>
    </w:p>
    <w:p w:rsidR="00B24144" w:rsidP="00A81BF7" w:rsidRDefault="00B24144" w14:paraId="0DA22717" w14:textId="77777777">
      <w:pPr>
        <w:ind w:left="0"/>
        <w:rPr>
          <w:b/>
          <w:u w:val="single"/>
        </w:rPr>
      </w:pPr>
    </w:p>
    <w:p w:rsidR="00B24144" w:rsidP="00A81BF7" w:rsidRDefault="00B24144" w14:paraId="59C92B5E" w14:textId="77777777">
      <w:pPr>
        <w:ind w:left="0"/>
        <w:rPr>
          <w:b/>
          <w:u w:val="single"/>
        </w:rPr>
      </w:pPr>
    </w:p>
    <w:p w:rsidR="00B24144" w:rsidP="00A81BF7" w:rsidRDefault="00B24144" w14:paraId="0F8E4A66" w14:textId="77777777">
      <w:pPr>
        <w:ind w:left="0"/>
        <w:rPr>
          <w:b/>
          <w:u w:val="single"/>
        </w:rPr>
      </w:pPr>
    </w:p>
    <w:p w:rsidR="00A81BF7" w:rsidP="00A81BF7" w:rsidRDefault="00A81BF7" w14:paraId="62F11ED6" w14:textId="6A5FE792">
      <w:pPr>
        <w:ind w:left="0"/>
        <w:rPr>
          <w:b/>
          <w:u w:val="single"/>
        </w:rPr>
      </w:pPr>
      <w:r w:rsidRPr="00BC6896">
        <w:rPr>
          <w:b/>
          <w:u w:val="single"/>
        </w:rPr>
        <w:t>Program Official/Project Officer</w:t>
      </w:r>
      <w:bookmarkStart w:name="_GoBack" w:id="0"/>
      <w:bookmarkEnd w:id="0"/>
    </w:p>
    <w:p w:rsidRPr="00BC6896" w:rsidR="00320FF8" w:rsidP="00A81BF7" w:rsidRDefault="00320FF8" w14:paraId="7C43C2A6" w14:textId="77777777">
      <w:pPr>
        <w:ind w:left="0"/>
        <w:rPr>
          <w:b/>
          <w:u w:val="single"/>
        </w:rPr>
      </w:pPr>
    </w:p>
    <w:p w:rsidRPr="00493585" w:rsidR="00B334A9" w:rsidP="00B334A9" w:rsidRDefault="00B334A9" w14:paraId="1CD538DE" w14:textId="77777777">
      <w:pPr>
        <w:ind w:left="0"/>
      </w:pPr>
      <w:r w:rsidRPr="00493585">
        <w:t>Alisha Etheredge, MS, MPH</w:t>
      </w:r>
    </w:p>
    <w:p w:rsidRPr="00493585" w:rsidR="00B334A9" w:rsidP="00B334A9" w:rsidRDefault="00B334A9" w14:paraId="3AF3502A" w14:textId="77777777">
      <w:pPr>
        <w:ind w:left="0"/>
      </w:pPr>
      <w:r w:rsidRPr="00493585">
        <w:t>Public Health Advisor</w:t>
      </w:r>
    </w:p>
    <w:p w:rsidRPr="00493585" w:rsidR="00B334A9" w:rsidP="00B334A9" w:rsidRDefault="00B334A9" w14:paraId="23571D3C" w14:textId="77777777">
      <w:pPr>
        <w:ind w:left="0"/>
      </w:pPr>
      <w:r w:rsidRPr="00493585">
        <w:t>Centers for Disease Control and Prevention</w:t>
      </w:r>
    </w:p>
    <w:p w:rsidRPr="00493585" w:rsidR="00B334A9" w:rsidP="00B334A9" w:rsidRDefault="00B334A9" w14:paraId="60094AFB" w14:textId="77777777">
      <w:pPr>
        <w:ind w:left="0"/>
      </w:pPr>
      <w:r w:rsidRPr="00493585">
        <w:t>4770 Buford Highway, S106-6, Atlanta, GA 30341</w:t>
      </w:r>
    </w:p>
    <w:p w:rsidRPr="00493585" w:rsidR="00B334A9" w:rsidP="00B334A9" w:rsidRDefault="00B334A9" w14:paraId="5F8E6443" w14:textId="77777777">
      <w:pPr>
        <w:ind w:left="0"/>
      </w:pPr>
      <w:r w:rsidRPr="00493585">
        <w:t>Office: 770-488-7884</w:t>
      </w:r>
    </w:p>
    <w:p w:rsidRPr="00493585" w:rsidR="00B334A9" w:rsidP="00B334A9" w:rsidRDefault="00B334A9" w14:paraId="74A93973" w14:textId="77777777">
      <w:pPr>
        <w:ind w:left="0"/>
      </w:pPr>
      <w:r w:rsidRPr="00493585">
        <w:t>Fax: 770-488-0333</w:t>
      </w:r>
    </w:p>
    <w:p w:rsidR="00B334A9" w:rsidP="00B334A9" w:rsidRDefault="00F82676" w14:paraId="1B0DEC30" w14:textId="5C368551">
      <w:pPr>
        <w:ind w:left="0"/>
        <w:rPr>
          <w:color w:val="0070C0"/>
        </w:rPr>
      </w:pPr>
      <w:hyperlink w:history="1" r:id="rId13">
        <w:r w:rsidRPr="00194385" w:rsidR="00B334A9">
          <w:rPr>
            <w:rStyle w:val="Hyperlink"/>
          </w:rPr>
          <w:t>aetheredge@cdc.gov</w:t>
        </w:r>
      </w:hyperlink>
      <w:r w:rsidR="00B334A9">
        <w:rPr>
          <w:color w:val="0070C0"/>
        </w:rPr>
        <w:t xml:space="preserve"> </w:t>
      </w:r>
    </w:p>
    <w:p w:rsidR="00320FF8" w:rsidP="00B334A9" w:rsidRDefault="00320FF8" w14:paraId="32A558E8" w14:textId="0C508604">
      <w:pPr>
        <w:ind w:left="0"/>
        <w:rPr>
          <w:color w:val="0070C0"/>
        </w:rPr>
      </w:pPr>
    </w:p>
    <w:p w:rsidR="00320FF8" w:rsidP="00B334A9" w:rsidRDefault="00320FF8" w14:paraId="0831F0BE" w14:textId="44D076BF">
      <w:pPr>
        <w:ind w:left="0"/>
        <w:rPr>
          <w:color w:val="0070C0"/>
        </w:rPr>
      </w:pPr>
    </w:p>
    <w:p w:rsidR="00320FF8" w:rsidP="00B334A9" w:rsidRDefault="00320FF8" w14:paraId="0C6862C5" w14:textId="31127EF6">
      <w:pPr>
        <w:ind w:left="0"/>
        <w:rPr>
          <w:color w:val="0070C0"/>
        </w:rPr>
      </w:pPr>
    </w:p>
    <w:p w:rsidR="00320FF8" w:rsidP="00B334A9" w:rsidRDefault="00320FF8" w14:paraId="2D9D69E0" w14:textId="1FD84153">
      <w:pPr>
        <w:ind w:left="0"/>
        <w:rPr>
          <w:color w:val="0070C0"/>
        </w:rPr>
      </w:pPr>
    </w:p>
    <w:p w:rsidR="00320FF8" w:rsidP="00B334A9" w:rsidRDefault="00320FF8" w14:paraId="464ECCC4" w14:textId="23328798">
      <w:pPr>
        <w:ind w:left="0"/>
        <w:rPr>
          <w:color w:val="0070C0"/>
        </w:rPr>
      </w:pPr>
    </w:p>
    <w:p w:rsidR="00320FF8" w:rsidP="00B334A9" w:rsidRDefault="00320FF8" w14:paraId="6488A2EA" w14:textId="05431729">
      <w:pPr>
        <w:ind w:left="0"/>
        <w:rPr>
          <w:color w:val="0070C0"/>
        </w:rPr>
      </w:pPr>
    </w:p>
    <w:p w:rsidR="00320FF8" w:rsidP="00B334A9" w:rsidRDefault="00320FF8" w14:paraId="79DC2CEC" w14:textId="6F468304">
      <w:pPr>
        <w:ind w:left="0"/>
        <w:rPr>
          <w:color w:val="0070C0"/>
        </w:rPr>
      </w:pPr>
    </w:p>
    <w:p w:rsidRPr="00713412" w:rsidR="00320FF8" w:rsidP="00B334A9" w:rsidRDefault="00320FF8" w14:paraId="7F1D1E85" w14:textId="77777777">
      <w:pPr>
        <w:ind w:left="0"/>
        <w:rPr>
          <w:color w:val="0070C0"/>
        </w:rPr>
      </w:pPr>
    </w:p>
    <w:p w:rsidRPr="000A538D" w:rsidR="00245F1F" w:rsidP="00BC6896" w:rsidRDefault="00245F1F" w14:paraId="08B8E64D" w14:textId="77777777">
      <w:pPr>
        <w:pStyle w:val="Heading3"/>
      </w:pPr>
      <w:bookmarkStart w:name="_Toc413847909" w:id="1"/>
      <w:r>
        <w:lastRenderedPageBreak/>
        <w:t>Table of Contents</w:t>
      </w:r>
      <w:bookmarkEnd w:id="1"/>
    </w:p>
    <w:p w:rsidRPr="000A538D" w:rsidR="00245F1F" w:rsidP="006F23AF" w:rsidRDefault="00245F1F" w14:paraId="3867D8C9" w14:textId="77777777">
      <w:pPr>
        <w:ind w:left="0"/>
        <w:rPr>
          <w:rFonts w:asciiTheme="minorHAnsi" w:hAnsiTheme="minorHAnsi"/>
          <w:noProof/>
        </w:rPr>
      </w:pPr>
      <w:r w:rsidRPr="000A538D">
        <w:fldChar w:fldCharType="begin"/>
      </w:r>
      <w:r w:rsidRPr="000A538D">
        <w:instrText xml:space="preserve"> TOC \h \z \u \t "Heading 3,1,Heading 4,2" </w:instrText>
      </w:r>
      <w:r w:rsidRPr="000A538D">
        <w:fldChar w:fldCharType="separate"/>
      </w:r>
    </w:p>
    <w:p w:rsidRPr="000A538D" w:rsidR="00245F1F" w:rsidRDefault="00F82676" w14:paraId="02F4756F" w14:textId="77777777">
      <w:pPr>
        <w:pStyle w:val="TOC1"/>
        <w:tabs>
          <w:tab w:val="right" w:leader="dot" w:pos="9350"/>
        </w:tabs>
        <w:rPr>
          <w:rFonts w:asciiTheme="minorHAnsi" w:hAnsiTheme="minorHAnsi"/>
          <w:noProof/>
        </w:rPr>
      </w:pPr>
      <w:hyperlink w:history="1" w:anchor="_Toc413847910">
        <w:r w:rsidRPr="000A538D" w:rsidR="00245F1F">
          <w:rPr>
            <w:rStyle w:val="Hyperlink"/>
            <w:noProof/>
            <w:color w:val="auto"/>
          </w:rPr>
          <w:t xml:space="preserve">Section B – </w:t>
        </w:r>
        <w:r w:rsidRPr="000A538D" w:rsidR="00487E55">
          <w:rPr>
            <w:rStyle w:val="Hyperlink"/>
            <w:noProof/>
            <w:color w:val="auto"/>
          </w:rPr>
          <w:t>Data collection</w:t>
        </w:r>
        <w:r w:rsidRPr="000A538D" w:rsidR="00245F1F">
          <w:rPr>
            <w:rStyle w:val="Hyperlink"/>
            <w:noProof/>
            <w:color w:val="auto"/>
          </w:rPr>
          <w:t xml:space="preserve"> Procedures</w:t>
        </w:r>
        <w:r w:rsidRPr="000A538D" w:rsidR="00245F1F">
          <w:rPr>
            <w:noProof/>
            <w:webHidden/>
          </w:rPr>
          <w:tab/>
        </w:r>
        <w:r w:rsidRPr="000A538D" w:rsidR="00245F1F">
          <w:rPr>
            <w:noProof/>
            <w:webHidden/>
          </w:rPr>
          <w:fldChar w:fldCharType="begin"/>
        </w:r>
        <w:r w:rsidRPr="000A538D" w:rsidR="00245F1F">
          <w:rPr>
            <w:noProof/>
            <w:webHidden/>
          </w:rPr>
          <w:instrText xml:space="preserve"> PAGEREF _Toc413847910 \h </w:instrText>
        </w:r>
        <w:r w:rsidRPr="000A538D" w:rsidR="00245F1F">
          <w:rPr>
            <w:noProof/>
            <w:webHidden/>
          </w:rPr>
        </w:r>
        <w:r w:rsidRPr="000A538D" w:rsidR="00245F1F">
          <w:rPr>
            <w:noProof/>
            <w:webHidden/>
          </w:rPr>
          <w:fldChar w:fldCharType="separate"/>
        </w:r>
        <w:r w:rsidR="00EF5694">
          <w:rPr>
            <w:noProof/>
            <w:webHidden/>
          </w:rPr>
          <w:t>2</w:t>
        </w:r>
        <w:r w:rsidRPr="000A538D" w:rsidR="00245F1F">
          <w:rPr>
            <w:noProof/>
            <w:webHidden/>
          </w:rPr>
          <w:fldChar w:fldCharType="end"/>
        </w:r>
      </w:hyperlink>
    </w:p>
    <w:p w:rsidRPr="000A538D" w:rsidR="00245F1F" w:rsidP="00245F1F" w:rsidRDefault="00F82676" w14:paraId="7749D1B4" w14:textId="252F46B3">
      <w:pPr>
        <w:pStyle w:val="TOC2"/>
        <w:rPr>
          <w:noProof/>
        </w:rPr>
      </w:pPr>
      <w:hyperlink w:history="1" w:anchor="_Toc413847911">
        <w:r w:rsidRPr="000A538D" w:rsidR="00245F1F">
          <w:rPr>
            <w:rStyle w:val="Hyperlink"/>
            <w:noProof/>
            <w:color w:val="auto"/>
          </w:rPr>
          <w:t>1.</w:t>
        </w:r>
        <w:r w:rsidRPr="000A538D" w:rsidR="00245F1F">
          <w:rPr>
            <w:noProof/>
          </w:rPr>
          <w:tab/>
        </w:r>
        <w:r w:rsidRPr="000A538D" w:rsidR="00245F1F">
          <w:rPr>
            <w:rStyle w:val="Hyperlink"/>
            <w:noProof/>
            <w:color w:val="auto"/>
          </w:rPr>
          <w:t>Respondent Universe and Sampling Methods</w:t>
        </w:r>
        <w:r w:rsidRPr="000A538D" w:rsidR="00245F1F">
          <w:rPr>
            <w:noProof/>
            <w:webHidden/>
          </w:rPr>
          <w:tab/>
        </w:r>
        <w:r w:rsidR="00320FF8">
          <w:rPr>
            <w:noProof/>
            <w:webHidden/>
          </w:rPr>
          <w:t>3</w:t>
        </w:r>
      </w:hyperlink>
    </w:p>
    <w:p w:rsidRPr="000A538D" w:rsidR="00245F1F" w:rsidP="00245F1F" w:rsidRDefault="00F82676" w14:paraId="65FED0F0" w14:textId="2C4246F9">
      <w:pPr>
        <w:pStyle w:val="TOC2"/>
        <w:rPr>
          <w:noProof/>
        </w:rPr>
      </w:pPr>
      <w:hyperlink w:history="1" w:anchor="_Toc413847912">
        <w:r w:rsidRPr="000A538D" w:rsidR="00245F1F">
          <w:rPr>
            <w:rStyle w:val="Hyperlink"/>
            <w:noProof/>
            <w:color w:val="auto"/>
          </w:rPr>
          <w:t>2.</w:t>
        </w:r>
        <w:r w:rsidRPr="000A538D" w:rsidR="00245F1F">
          <w:rPr>
            <w:noProof/>
          </w:rPr>
          <w:tab/>
        </w:r>
        <w:r w:rsidRPr="000A538D" w:rsidR="00245F1F">
          <w:rPr>
            <w:rStyle w:val="Hyperlink"/>
            <w:noProof/>
            <w:color w:val="auto"/>
          </w:rPr>
          <w:t>Procedures for the Collection of Information</w:t>
        </w:r>
        <w:r w:rsidRPr="000A538D" w:rsidR="00245F1F">
          <w:rPr>
            <w:noProof/>
            <w:webHidden/>
          </w:rPr>
          <w:tab/>
        </w:r>
        <w:r w:rsidR="00320FF8">
          <w:rPr>
            <w:noProof/>
            <w:webHidden/>
          </w:rPr>
          <w:t>3</w:t>
        </w:r>
      </w:hyperlink>
    </w:p>
    <w:p w:rsidRPr="000A538D" w:rsidR="00245F1F" w:rsidP="00245F1F" w:rsidRDefault="00F82676" w14:paraId="7BA28357" w14:textId="5316F1E1">
      <w:pPr>
        <w:pStyle w:val="TOC2"/>
        <w:rPr>
          <w:noProof/>
        </w:rPr>
      </w:pPr>
      <w:hyperlink w:history="1" w:anchor="_Toc413847913">
        <w:r w:rsidRPr="000A538D" w:rsidR="00245F1F">
          <w:rPr>
            <w:rStyle w:val="Hyperlink"/>
            <w:noProof/>
            <w:color w:val="auto"/>
          </w:rPr>
          <w:t>3.</w:t>
        </w:r>
        <w:r w:rsidRPr="000A538D" w:rsidR="00245F1F">
          <w:rPr>
            <w:noProof/>
          </w:rPr>
          <w:tab/>
        </w:r>
        <w:r w:rsidRPr="000A538D" w:rsidR="00245F1F">
          <w:rPr>
            <w:rStyle w:val="Hyperlink"/>
            <w:noProof/>
            <w:color w:val="auto"/>
          </w:rPr>
          <w:t>Methods to Maximize Response Rates  Deal with Nonresponse</w:t>
        </w:r>
        <w:r w:rsidRPr="000A538D" w:rsidR="00245F1F">
          <w:rPr>
            <w:noProof/>
            <w:webHidden/>
          </w:rPr>
          <w:tab/>
        </w:r>
        <w:r w:rsidR="00320FF8">
          <w:rPr>
            <w:noProof/>
            <w:webHidden/>
          </w:rPr>
          <w:t>4</w:t>
        </w:r>
      </w:hyperlink>
    </w:p>
    <w:p w:rsidRPr="000A538D" w:rsidR="00245F1F" w:rsidP="00245F1F" w:rsidRDefault="00F82676" w14:paraId="24959FFC" w14:textId="62BFEBB3">
      <w:pPr>
        <w:pStyle w:val="TOC2"/>
        <w:rPr>
          <w:noProof/>
        </w:rPr>
      </w:pPr>
      <w:hyperlink w:history="1" w:anchor="_Toc413847914">
        <w:r w:rsidRPr="000A538D" w:rsidR="00245F1F">
          <w:rPr>
            <w:rStyle w:val="Hyperlink"/>
            <w:noProof/>
            <w:color w:val="auto"/>
          </w:rPr>
          <w:t>4.</w:t>
        </w:r>
        <w:r w:rsidRPr="000A538D" w:rsidR="00245F1F">
          <w:rPr>
            <w:noProof/>
          </w:rPr>
          <w:tab/>
        </w:r>
        <w:r w:rsidRPr="000A538D" w:rsidR="00245F1F">
          <w:rPr>
            <w:rStyle w:val="Hyperlink"/>
            <w:noProof/>
            <w:color w:val="auto"/>
          </w:rPr>
          <w:t>Test of Procedures or Methods to be Undertaken</w:t>
        </w:r>
        <w:r w:rsidRPr="000A538D" w:rsidR="00245F1F">
          <w:rPr>
            <w:noProof/>
            <w:webHidden/>
          </w:rPr>
          <w:tab/>
        </w:r>
        <w:r w:rsidR="00320FF8">
          <w:rPr>
            <w:noProof/>
            <w:webHidden/>
          </w:rPr>
          <w:t>5</w:t>
        </w:r>
      </w:hyperlink>
    </w:p>
    <w:p w:rsidRPr="000A538D" w:rsidR="00245F1F" w:rsidP="00245F1F" w:rsidRDefault="00F82676" w14:paraId="1B27584C" w14:textId="6DD1CCD7">
      <w:pPr>
        <w:pStyle w:val="TOC2"/>
        <w:rPr>
          <w:noProof/>
        </w:rPr>
      </w:pPr>
      <w:hyperlink w:history="1" w:anchor="_Toc413847915">
        <w:r w:rsidRPr="000A538D" w:rsidR="00245F1F">
          <w:rPr>
            <w:rStyle w:val="Hyperlink"/>
            <w:noProof/>
            <w:color w:val="auto"/>
          </w:rPr>
          <w:t>5.</w:t>
        </w:r>
        <w:r w:rsidRPr="000A538D" w:rsidR="00245F1F">
          <w:rPr>
            <w:noProof/>
          </w:rPr>
          <w:tab/>
        </w:r>
        <w:r w:rsidRPr="000A538D" w:rsidR="00245F1F">
          <w:rPr>
            <w:rStyle w:val="Hyperlink"/>
            <w:noProof/>
            <w:color w:val="auto"/>
          </w:rPr>
          <w:t>Individuals Consulted on Statistical Aspects and Individuals Collecting and/or Analyzing Data</w:t>
        </w:r>
        <w:r w:rsidRPr="000A538D" w:rsidR="00245F1F">
          <w:rPr>
            <w:rStyle w:val="Hyperlink"/>
            <w:noProof/>
            <w:color w:val="auto"/>
          </w:rPr>
          <w:tab/>
        </w:r>
        <w:r w:rsidR="00320FF8">
          <w:rPr>
            <w:noProof/>
            <w:webHidden/>
          </w:rPr>
          <w:t>5</w:t>
        </w:r>
      </w:hyperlink>
    </w:p>
    <w:p w:rsidRPr="000A538D" w:rsidR="00245F1F" w:rsidRDefault="00F82676" w14:paraId="4F73159A" w14:textId="7E87D658">
      <w:pPr>
        <w:pStyle w:val="TOC1"/>
        <w:tabs>
          <w:tab w:val="right" w:leader="dot" w:pos="9350"/>
        </w:tabs>
        <w:rPr>
          <w:rFonts w:asciiTheme="minorHAnsi" w:hAnsiTheme="minorHAnsi"/>
          <w:noProof/>
        </w:rPr>
      </w:pPr>
      <w:hyperlink w:history="1" w:anchor="_Toc413847916">
        <w:r w:rsidRPr="000A538D" w:rsidR="00245F1F">
          <w:rPr>
            <w:rStyle w:val="Hyperlink"/>
            <w:noProof/>
            <w:color w:val="auto"/>
          </w:rPr>
          <w:t>LIST OF ATTACHMENTS – Section B</w:t>
        </w:r>
        <w:r w:rsidRPr="000A538D" w:rsidR="00245F1F">
          <w:rPr>
            <w:noProof/>
            <w:webHidden/>
          </w:rPr>
          <w:tab/>
        </w:r>
        <w:r w:rsidR="00320FF8">
          <w:rPr>
            <w:noProof/>
            <w:webHidden/>
          </w:rPr>
          <w:t>6</w:t>
        </w:r>
      </w:hyperlink>
    </w:p>
    <w:p w:rsidR="00245F1F" w:rsidP="00BC6896" w:rsidRDefault="00245F1F" w14:paraId="0D10A56B" w14:textId="77777777">
      <w:pPr>
        <w:pStyle w:val="Heading3"/>
      </w:pPr>
      <w:r w:rsidRPr="000A538D">
        <w:fldChar w:fldCharType="end"/>
      </w:r>
    </w:p>
    <w:p w:rsidR="00245F1F" w:rsidRDefault="00245F1F" w14:paraId="52A69FA2" w14:textId="77777777">
      <w:pPr>
        <w:spacing w:after="200"/>
        <w:ind w:left="0"/>
        <w:rPr>
          <w:b/>
          <w:sz w:val="28"/>
        </w:rPr>
      </w:pPr>
      <w:bookmarkStart w:name="_Toc413847910" w:id="2"/>
      <w:r>
        <w:br w:type="page"/>
      </w:r>
    </w:p>
    <w:p w:rsidRPr="00BC6896" w:rsidR="00B12F51" w:rsidP="00BC6896" w:rsidRDefault="00B12F51" w14:paraId="5D46F8AB" w14:textId="77777777">
      <w:pPr>
        <w:pStyle w:val="Heading3"/>
      </w:pPr>
      <w:r w:rsidRPr="00BC6896">
        <w:lastRenderedPageBreak/>
        <w:t xml:space="preserve">Section B – </w:t>
      </w:r>
      <w:r w:rsidR="00487E55">
        <w:t>Data collection</w:t>
      </w:r>
      <w:r w:rsidRPr="00BC6896" w:rsidR="00287E2F">
        <w:t xml:space="preserve"> Procedures</w:t>
      </w:r>
      <w:bookmarkEnd w:id="2"/>
    </w:p>
    <w:p w:rsidR="00287E2F" w:rsidP="002955E6" w:rsidRDefault="00287E2F" w14:paraId="06BEAAC4" w14:textId="77777777">
      <w:pPr>
        <w:spacing w:line="240" w:lineRule="auto"/>
      </w:pPr>
    </w:p>
    <w:p w:rsidRPr="00BC6896" w:rsidR="00A75D1C" w:rsidP="002955E6" w:rsidRDefault="009759F3" w14:paraId="5BA9D13B" w14:textId="77777777">
      <w:pPr>
        <w:pStyle w:val="Heading4"/>
        <w:spacing w:after="0" w:line="240" w:lineRule="auto"/>
      </w:pPr>
      <w:bookmarkStart w:name="_Toc413847911" w:id="3"/>
      <w:r w:rsidRPr="00BC6896">
        <w:t xml:space="preserve">Respondent </w:t>
      </w:r>
      <w:r w:rsidR="00DE2D45">
        <w:t>Uni</w:t>
      </w:r>
      <w:r w:rsidRPr="00BC6896" w:rsidR="001960AE">
        <w:t xml:space="preserve">verse and </w:t>
      </w:r>
      <w:r w:rsidRPr="00991BF9" w:rsidR="001960AE">
        <w:t>Sampling</w:t>
      </w:r>
      <w:r w:rsidRPr="00BC6896" w:rsidR="001960AE">
        <w:t xml:space="preserve"> Methods </w:t>
      </w:r>
      <w:bookmarkEnd w:id="3"/>
    </w:p>
    <w:p w:rsidR="002955E6" w:rsidP="002955E6" w:rsidRDefault="002955E6" w14:paraId="1CCCAED6" w14:textId="77777777">
      <w:pPr>
        <w:spacing w:line="240" w:lineRule="auto"/>
        <w:ind w:left="360"/>
        <w:rPr>
          <w:b/>
          <w:color w:val="0070C0"/>
        </w:rPr>
      </w:pPr>
    </w:p>
    <w:p w:rsidRPr="00BB7EC5" w:rsidR="00BB7EC5" w:rsidP="002955E6" w:rsidRDefault="00BB7EC5" w14:paraId="74F3E5B0" w14:textId="5B4E4D28">
      <w:pPr>
        <w:spacing w:line="240" w:lineRule="auto"/>
        <w:ind w:left="360"/>
        <w:rPr>
          <w:u w:val="single"/>
        </w:rPr>
      </w:pPr>
      <w:r w:rsidRPr="00BB7EC5">
        <w:rPr>
          <w:u w:val="single"/>
        </w:rPr>
        <w:t>Electronic Assessment</w:t>
      </w:r>
    </w:p>
    <w:p w:rsidR="004D70EE" w:rsidP="002955E6" w:rsidRDefault="00CD6E76" w14:paraId="735BF885" w14:textId="2C39D14B">
      <w:pPr>
        <w:spacing w:line="240" w:lineRule="auto"/>
        <w:ind w:left="360"/>
      </w:pPr>
      <w:r w:rsidRPr="00CD6E76">
        <w:t xml:space="preserve">Data will be </w:t>
      </w:r>
      <w:r w:rsidR="001549D7">
        <w:t>collected from 3,07</w:t>
      </w:r>
      <w:r w:rsidR="00120F8A">
        <w:t>0</w:t>
      </w:r>
      <w:r w:rsidR="00DC5411">
        <w:t xml:space="preserve"> respondents across 3,070</w:t>
      </w:r>
      <w:r w:rsidR="001549D7">
        <w:t xml:space="preserve"> (50 state, 3000 local, 12 tribal epi</w:t>
      </w:r>
      <w:r w:rsidR="00DC5411">
        <w:t>demiology</w:t>
      </w:r>
      <w:r w:rsidR="001549D7">
        <w:t xml:space="preserve"> centers,</w:t>
      </w:r>
      <w:r w:rsidR="00DC5411">
        <w:t xml:space="preserve"> 5 territorial</w:t>
      </w:r>
      <w:r w:rsidR="001549D7">
        <w:t xml:space="preserve"> and </w:t>
      </w:r>
      <w:r w:rsidR="00DC5411">
        <w:t>3 freely associated state</w:t>
      </w:r>
      <w:r w:rsidR="001549D7">
        <w:t>) health departments.  Participants will include individuals designated as “epidemiologists” within their agencies for the electronic assessment, or those most knowledgeable on the processes and procedures for assessing and responding to cancer cluster inquiries at the agency.</w:t>
      </w:r>
      <w:r w:rsidR="00DC5411">
        <w:t xml:space="preserve">  There will be only one respondent per health department and the respondent will complete the electronic assessment from the point of view of the health department.  </w:t>
      </w:r>
    </w:p>
    <w:p w:rsidR="001549D7" w:rsidP="002955E6" w:rsidRDefault="001549D7" w14:paraId="5885849C" w14:textId="153D4704">
      <w:pPr>
        <w:spacing w:line="240" w:lineRule="auto"/>
        <w:ind w:left="360"/>
      </w:pPr>
    </w:p>
    <w:p w:rsidRPr="00CD6E76" w:rsidR="001549D7" w:rsidP="002955E6" w:rsidRDefault="001549D7" w14:paraId="6ADA1EF8" w14:textId="462CD01C">
      <w:pPr>
        <w:spacing w:line="240" w:lineRule="auto"/>
        <w:ind w:left="360"/>
      </w:pPr>
      <w:r>
        <w:t xml:space="preserve">Sampling methods will not be used, as the entire universe of United States </w:t>
      </w:r>
      <w:r w:rsidR="00570BCE">
        <w:t>state, tribal, local, and territorial (</w:t>
      </w:r>
      <w:r>
        <w:t>STLT</w:t>
      </w:r>
      <w:r w:rsidR="00570BCE">
        <w:t>)</w:t>
      </w:r>
      <w:r>
        <w:t xml:space="preserve"> health departments will be included in this collection.  We have chosen not to sample for several reasons, including </w:t>
      </w:r>
      <w:r w:rsidR="00BB7EC5">
        <w:t xml:space="preserve">widely differing health department structures/operations across different STLTs; a lack of knowledge about innovative practices (which may be missed if we sampled); and a desire to allow all STLT health departments to have the opportunity to provide their feedback on the current federal guidelines for assessing and responding to cancer cluster inquiries.  </w:t>
      </w:r>
    </w:p>
    <w:p w:rsidR="00CD6E76" w:rsidP="002955E6" w:rsidRDefault="00CD6E76" w14:paraId="57E10977" w14:textId="65F2E021">
      <w:pPr>
        <w:spacing w:line="240" w:lineRule="auto"/>
        <w:ind w:left="360"/>
      </w:pPr>
    </w:p>
    <w:p w:rsidRPr="00BB7EC5" w:rsidR="00BB7EC5" w:rsidP="002955E6" w:rsidRDefault="00BB7EC5" w14:paraId="318D41B5" w14:textId="702E6C7C">
      <w:pPr>
        <w:spacing w:line="240" w:lineRule="auto"/>
        <w:ind w:left="360"/>
        <w:rPr>
          <w:u w:val="single"/>
        </w:rPr>
      </w:pPr>
      <w:r w:rsidRPr="00BB7EC5">
        <w:rPr>
          <w:u w:val="single"/>
        </w:rPr>
        <w:t>Focus Groups</w:t>
      </w:r>
    </w:p>
    <w:p w:rsidRPr="001E33DA" w:rsidR="00691031" w:rsidP="002955E6" w:rsidRDefault="00BB7EC5" w14:paraId="499A5114" w14:textId="60C2BA5A">
      <w:pPr>
        <w:spacing w:line="240" w:lineRule="auto"/>
        <w:ind w:left="360"/>
      </w:pPr>
      <w:r w:rsidRPr="001E33DA">
        <w:t xml:space="preserve">Data will be collected from </w:t>
      </w:r>
      <w:r w:rsidRPr="001E33DA" w:rsidR="00120F8A">
        <w:t>up to 1</w:t>
      </w:r>
      <w:r w:rsidRPr="001E33DA" w:rsidR="00903174">
        <w:t>2</w:t>
      </w:r>
      <w:r w:rsidRPr="001E33DA" w:rsidR="00120F8A">
        <w:t>0 multi-disciplinary STLT public health agency staff representing</w:t>
      </w:r>
      <w:r w:rsidRPr="001E33DA">
        <w:t xml:space="preserve"> </w:t>
      </w:r>
      <w:r w:rsidRPr="001E33DA" w:rsidR="00120F8A">
        <w:t>50 state</w:t>
      </w:r>
      <w:r w:rsidRPr="001E33DA" w:rsidR="00C33649">
        <w:t>, five territorial, and two freely associated state</w:t>
      </w:r>
      <w:r w:rsidRPr="001E33DA" w:rsidR="00120F8A">
        <w:t xml:space="preserve"> </w:t>
      </w:r>
      <w:r w:rsidRPr="001E33DA">
        <w:t xml:space="preserve">health departments.  </w:t>
      </w:r>
      <w:r w:rsidRPr="001E33DA" w:rsidR="00AC2F3A">
        <w:t>A representative</w:t>
      </w:r>
      <w:r w:rsidRPr="001E33DA" w:rsidR="00E81BC3">
        <w:t xml:space="preserve"> from each </w:t>
      </w:r>
      <w:r w:rsidRPr="001E33DA" w:rsidR="00AC2F3A">
        <w:t xml:space="preserve">health department in each </w:t>
      </w:r>
      <w:r w:rsidRPr="001E33DA" w:rsidR="00E81BC3">
        <w:t xml:space="preserve">of </w:t>
      </w:r>
      <w:r w:rsidRPr="001E33DA" w:rsidR="00120F8A">
        <w:t>ATSDR’s</w:t>
      </w:r>
      <w:r w:rsidRPr="001E33DA" w:rsidR="00AC2F3A">
        <w:t xml:space="preserve"> </w:t>
      </w:r>
      <w:r w:rsidRPr="001E33DA" w:rsidR="00120F8A">
        <w:t>ten</w:t>
      </w:r>
      <w:r w:rsidRPr="001E33DA" w:rsidR="00AC2F3A">
        <w:t xml:space="preserve"> regional offices will be invited to participate in the focus groups</w:t>
      </w:r>
      <w:r w:rsidRPr="001E33DA" w:rsidR="005138BB">
        <w:t xml:space="preserve"> (see </w:t>
      </w:r>
      <w:r w:rsidRPr="001E33DA" w:rsidR="005138BB">
        <w:rPr>
          <w:b/>
        </w:rPr>
        <w:t>Figure 1. ATSDR Regional Office Map</w:t>
      </w:r>
      <w:r w:rsidRPr="001E33DA" w:rsidR="005138BB">
        <w:t>)</w:t>
      </w:r>
      <w:r w:rsidRPr="001E33DA" w:rsidR="00AC2F3A">
        <w:t>.</w:t>
      </w:r>
      <w:r w:rsidRPr="001E33DA" w:rsidR="003B07C9">
        <w:t xml:space="preserve">  </w:t>
      </w:r>
      <w:r w:rsidRPr="001E33DA" w:rsidR="00513139">
        <w:t>ATSDR regional</w:t>
      </w:r>
      <w:r w:rsidRPr="001E33DA" w:rsidR="00D31FF4">
        <w:t xml:space="preserve"> office directors will identify the appropriate </w:t>
      </w:r>
      <w:r w:rsidRPr="001E33DA" w:rsidR="001E33DA">
        <w:t>representative from health departments in each region, based on the potential representative’s experience with assessing and responding to cancer cluster inquiries in their health department</w:t>
      </w:r>
      <w:r w:rsidRPr="001E33DA" w:rsidR="00513139">
        <w:t>.  T</w:t>
      </w:r>
      <w:r w:rsidRPr="001E33DA" w:rsidR="003B07C9">
        <w:t>en focus groups will be held – one for each of the ten ATSDR regional offices</w:t>
      </w:r>
      <w:r w:rsidRPr="001E33DA" w:rsidR="005138BB">
        <w:t xml:space="preserve"> (see </w:t>
      </w:r>
      <w:r w:rsidRPr="001E33DA" w:rsidR="003B65B5">
        <w:rPr>
          <w:b/>
        </w:rPr>
        <w:t>Attachment G -</w:t>
      </w:r>
      <w:r w:rsidRPr="001E33DA" w:rsidR="005138BB">
        <w:rPr>
          <w:b/>
        </w:rPr>
        <w:t xml:space="preserve"> ATSDR Region</w:t>
      </w:r>
      <w:r w:rsidRPr="001E33DA" w:rsidR="00322CEE">
        <w:rPr>
          <w:b/>
        </w:rPr>
        <w:t>s</w:t>
      </w:r>
      <w:r w:rsidRPr="001E33DA" w:rsidR="005138BB">
        <w:t>)</w:t>
      </w:r>
      <w:r w:rsidRPr="001E33DA" w:rsidR="003B07C9">
        <w:t>.</w:t>
      </w:r>
      <w:r w:rsidRPr="001E33DA" w:rsidR="00AE050D">
        <w:t xml:space="preserve"> </w:t>
      </w:r>
      <w:r w:rsidRPr="001E33DA" w:rsidR="00513139">
        <w:t xml:space="preserve">  </w:t>
      </w:r>
      <w:r w:rsidRPr="001E33DA" w:rsidR="00AE050D">
        <w:t>The multi-disciplinary staff will include any staff involved in assessing and responding to cancer cluster inquiries, which could include health communicators, epidemiologists, program coordinators, cancer registry administrators and directors, cancer program managers, or research and statistical analysts.</w:t>
      </w:r>
    </w:p>
    <w:p w:rsidR="00BB7EC5" w:rsidP="002B3919" w:rsidRDefault="00BB7EC5" w14:paraId="12EF50D1" w14:textId="482C24C2">
      <w:pPr>
        <w:spacing w:line="240" w:lineRule="auto"/>
        <w:ind w:left="360"/>
        <w:jc w:val="center"/>
      </w:pPr>
    </w:p>
    <w:p w:rsidR="00AC2F3A" w:rsidP="00322E66" w:rsidRDefault="00AC2F3A" w14:paraId="1E0D8476" w14:textId="77777777">
      <w:pPr>
        <w:pStyle w:val="ListParagraph"/>
        <w:ind w:left="360"/>
        <w:rPr>
          <w:highlight w:val="yellow"/>
        </w:rPr>
      </w:pPr>
    </w:p>
    <w:p w:rsidRPr="009759F3" w:rsidR="00287E2F" w:rsidP="002955E6" w:rsidRDefault="00287E2F" w14:paraId="438B3371" w14:textId="77777777">
      <w:pPr>
        <w:pStyle w:val="Heading4"/>
        <w:spacing w:after="0" w:line="240" w:lineRule="auto"/>
      </w:pPr>
      <w:bookmarkStart w:name="_Toc413847912" w:id="4"/>
      <w:r w:rsidRPr="009759F3">
        <w:t xml:space="preserve">Procedures for </w:t>
      </w:r>
      <w:r w:rsidRPr="009759F3" w:rsidR="009759F3">
        <w:t xml:space="preserve">the </w:t>
      </w:r>
      <w:r w:rsidRPr="009759F3">
        <w:t>Collecti</w:t>
      </w:r>
      <w:r w:rsidRPr="009759F3" w:rsidR="009759F3">
        <w:t>on</w:t>
      </w:r>
      <w:r w:rsidRPr="009759F3">
        <w:t xml:space="preserve"> of Information</w:t>
      </w:r>
      <w:bookmarkEnd w:id="4"/>
      <w:r w:rsidRPr="009759F3" w:rsidR="00F725B5">
        <w:t xml:space="preserve"> </w:t>
      </w:r>
      <w:r w:rsidRPr="009759F3" w:rsidR="009759F3">
        <w:t xml:space="preserve">  </w:t>
      </w:r>
    </w:p>
    <w:p w:rsidR="001D461D" w:rsidP="002955E6" w:rsidRDefault="001D461D" w14:paraId="4E414061" w14:textId="77777777">
      <w:pPr>
        <w:spacing w:line="240" w:lineRule="auto"/>
        <w:ind w:left="360"/>
      </w:pPr>
    </w:p>
    <w:p w:rsidR="00BB7EC5" w:rsidP="00E33BBA" w:rsidRDefault="00BB7EC5" w14:paraId="3B380FE9" w14:textId="58754F8A">
      <w:pPr>
        <w:ind w:left="360"/>
      </w:pPr>
      <w:r w:rsidRPr="00BB7EC5">
        <w:rPr>
          <w:u w:val="single"/>
        </w:rPr>
        <w:t>Electronic Assessment</w:t>
      </w:r>
    </w:p>
    <w:p w:rsidRPr="009011A8" w:rsidR="00E33BBA" w:rsidP="00E33BBA" w:rsidRDefault="00E33BBA" w14:paraId="384FAA45" w14:textId="7367327F">
      <w:pPr>
        <w:ind w:left="360"/>
      </w:pPr>
      <w:r>
        <w:t>D</w:t>
      </w:r>
      <w:r w:rsidRPr="003163A2">
        <w:t xml:space="preserve">ata will be collected </w:t>
      </w:r>
      <w:r w:rsidRPr="00BB7EC5">
        <w:t xml:space="preserve">via </w:t>
      </w:r>
      <w:r w:rsidRPr="00BB7EC5" w:rsidR="00BB7EC5">
        <w:t>electronic assessment</w:t>
      </w:r>
      <w:r w:rsidR="00AB02FB">
        <w:t xml:space="preserve"> using </w:t>
      </w:r>
      <w:proofErr w:type="spellStart"/>
      <w:r w:rsidR="00AB02FB">
        <w:t>REDCap</w:t>
      </w:r>
      <w:proofErr w:type="spellEnd"/>
      <w:r w:rsidR="00AB02FB">
        <w:t>,</w:t>
      </w:r>
      <w:r w:rsidRPr="00BB7EC5">
        <w:t xml:space="preserve"> </w:t>
      </w:r>
      <w:r w:rsidRPr="003163A2">
        <w:t>and</w:t>
      </w:r>
      <w:r>
        <w:t xml:space="preserve"> respondents</w:t>
      </w:r>
      <w:r w:rsidRPr="003163A2">
        <w:t xml:space="preserve"> will be </w:t>
      </w:r>
      <w:r w:rsidR="00C33649">
        <w:t>invited</w:t>
      </w:r>
      <w:r w:rsidRPr="003163A2" w:rsidR="00C33649">
        <w:t xml:space="preserve"> </w:t>
      </w:r>
      <w:r w:rsidRPr="003163A2">
        <w:t>through a</w:t>
      </w:r>
      <w:r>
        <w:t xml:space="preserve"> notification</w:t>
      </w:r>
      <w:r w:rsidRPr="003163A2">
        <w:t xml:space="preserve"> </w:t>
      </w:r>
      <w:r w:rsidRPr="009011A8">
        <w:t xml:space="preserve">(see </w:t>
      </w:r>
      <w:r w:rsidRPr="009011A8">
        <w:rPr>
          <w:b/>
        </w:rPr>
        <w:t xml:space="preserve">Attachment </w:t>
      </w:r>
      <w:r w:rsidRPr="00BB7EC5" w:rsidR="00BB7EC5">
        <w:rPr>
          <w:b/>
        </w:rPr>
        <w:t>D – Invitation Email</w:t>
      </w:r>
      <w:r w:rsidRPr="009011A8">
        <w:t>)</w:t>
      </w:r>
      <w:r w:rsidRPr="0069580C">
        <w:t xml:space="preserve"> </w:t>
      </w:r>
      <w:r>
        <w:t>to the respondent universe</w:t>
      </w:r>
      <w:r w:rsidRPr="009011A8">
        <w:t xml:space="preserve">.  The notification email will explain: </w:t>
      </w:r>
    </w:p>
    <w:p w:rsidR="00E33BBA" w:rsidP="00E33BBA" w:rsidRDefault="00E33BBA" w14:paraId="6343FB85" w14:textId="77777777">
      <w:pPr>
        <w:pStyle w:val="ListParagraph"/>
        <w:numPr>
          <w:ilvl w:val="0"/>
          <w:numId w:val="24"/>
        </w:numPr>
        <w:ind w:left="1080"/>
      </w:pPr>
      <w:r w:rsidRPr="009011A8">
        <w:t xml:space="preserve">The purpose of the </w:t>
      </w:r>
      <w:r w:rsidR="006C1771">
        <w:t>data collection</w:t>
      </w:r>
      <w:r w:rsidRPr="009011A8">
        <w:t xml:space="preserve">, and why their participation is important </w:t>
      </w:r>
    </w:p>
    <w:p w:rsidRPr="009011A8" w:rsidR="00E33BBA" w:rsidP="00E33BBA" w:rsidRDefault="00E33BBA" w14:paraId="42151115" w14:textId="77777777">
      <w:pPr>
        <w:pStyle w:val="ListParagraph"/>
        <w:numPr>
          <w:ilvl w:val="0"/>
          <w:numId w:val="24"/>
        </w:numPr>
        <w:ind w:left="1080"/>
      </w:pPr>
      <w:r>
        <w:t>Instructions for participating</w:t>
      </w:r>
    </w:p>
    <w:p w:rsidRPr="009011A8" w:rsidR="00E33BBA" w:rsidP="00E33BBA" w:rsidRDefault="00E33BBA" w14:paraId="3D3D1E75" w14:textId="77777777">
      <w:pPr>
        <w:pStyle w:val="ListParagraph"/>
        <w:numPr>
          <w:ilvl w:val="0"/>
          <w:numId w:val="24"/>
        </w:numPr>
        <w:ind w:left="1080"/>
      </w:pPr>
      <w:r w:rsidRPr="009011A8">
        <w:t xml:space="preserve">Method to safeguard their responses </w:t>
      </w:r>
    </w:p>
    <w:p w:rsidRPr="009011A8" w:rsidR="00E33BBA" w:rsidP="00E33BBA" w:rsidRDefault="00E33BBA" w14:paraId="6CC64172" w14:textId="77777777">
      <w:pPr>
        <w:pStyle w:val="ListParagraph"/>
        <w:numPr>
          <w:ilvl w:val="0"/>
          <w:numId w:val="24"/>
        </w:numPr>
        <w:ind w:left="1080"/>
      </w:pPr>
      <w:r w:rsidRPr="009011A8">
        <w:t>That participation is voluntary</w:t>
      </w:r>
    </w:p>
    <w:p w:rsidR="000279A9" w:rsidP="000279A9" w:rsidRDefault="00E33BBA" w14:paraId="0CC9B58B" w14:textId="77777777">
      <w:pPr>
        <w:pStyle w:val="ListParagraph"/>
        <w:numPr>
          <w:ilvl w:val="0"/>
          <w:numId w:val="24"/>
        </w:numPr>
        <w:ind w:left="1080"/>
      </w:pPr>
      <w:r w:rsidRPr="009011A8">
        <w:t xml:space="preserve">The expected time to complete the </w:t>
      </w:r>
      <w:r w:rsidR="006C1771">
        <w:t>instrument</w:t>
      </w:r>
      <w:r w:rsidRPr="009011A8">
        <w:t xml:space="preserve"> </w:t>
      </w:r>
    </w:p>
    <w:p w:rsidR="00691031" w:rsidP="000279A9" w:rsidRDefault="00E33BBA" w14:paraId="3146442D" w14:textId="77777777">
      <w:pPr>
        <w:pStyle w:val="ListParagraph"/>
        <w:numPr>
          <w:ilvl w:val="0"/>
          <w:numId w:val="24"/>
        </w:numPr>
        <w:ind w:left="1080"/>
      </w:pPr>
      <w:r w:rsidRPr="009011A8">
        <w:t xml:space="preserve">Contact information for the </w:t>
      </w:r>
      <w:r w:rsidR="006C1771">
        <w:t>project</w:t>
      </w:r>
      <w:r w:rsidRPr="009011A8">
        <w:t xml:space="preserve"> team</w:t>
      </w:r>
    </w:p>
    <w:p w:rsidR="005138BB" w:rsidP="005138BB" w:rsidRDefault="005138BB" w14:paraId="31CC22BF" w14:textId="276BE489">
      <w:pPr>
        <w:spacing w:line="240" w:lineRule="auto"/>
        <w:ind w:left="0"/>
      </w:pPr>
    </w:p>
    <w:p w:rsidR="00691031" w:rsidP="002955E6" w:rsidRDefault="00BB7EC5" w14:paraId="27103461" w14:textId="532E49A5">
      <w:pPr>
        <w:spacing w:line="240" w:lineRule="auto"/>
        <w:ind w:left="360"/>
      </w:pPr>
      <w:r>
        <w:t>The email will also include a link to the instrument.  Respondents will be asked to complete the assessment within a four-week period.  Respondents may complete the assessment in multiple sessions, if necessary.</w:t>
      </w:r>
    </w:p>
    <w:p w:rsidR="00BB7EC5" w:rsidP="002955E6" w:rsidRDefault="00BB7EC5" w14:paraId="2D4D24E9" w14:textId="038DC12F">
      <w:pPr>
        <w:spacing w:line="240" w:lineRule="auto"/>
        <w:ind w:left="360"/>
      </w:pPr>
    </w:p>
    <w:p w:rsidR="00BB7EC5" w:rsidP="002955E6" w:rsidRDefault="00AB02FB" w14:paraId="7038E6F0" w14:textId="2C4C6239">
      <w:pPr>
        <w:spacing w:line="240" w:lineRule="auto"/>
        <w:ind w:left="360"/>
      </w:pPr>
      <w:r>
        <w:t>Reminder emails</w:t>
      </w:r>
      <w:r w:rsidR="00BB7EC5">
        <w:t xml:space="preserve"> (see </w:t>
      </w:r>
      <w:r w:rsidRPr="00BB7EC5" w:rsidR="00BB7EC5">
        <w:rPr>
          <w:b/>
        </w:rPr>
        <w:t>Attachment E – Reminder Email</w:t>
      </w:r>
      <w:r w:rsidR="00BB7EC5">
        <w:t>)</w:t>
      </w:r>
      <w:r>
        <w:t xml:space="preserve"> encouraging participation in the electronic survey will be distributed during week 2 of the information collection period</w:t>
      </w:r>
      <w:r w:rsidR="00BB7EC5">
        <w:t>.  Those who do not respond by the end of the 4-week information collection period will be considered non-responders.</w:t>
      </w:r>
    </w:p>
    <w:p w:rsidR="00BB7EC5" w:rsidP="002955E6" w:rsidRDefault="00BB7EC5" w14:paraId="46832FAF" w14:textId="31C931A7">
      <w:pPr>
        <w:spacing w:line="240" w:lineRule="auto"/>
        <w:ind w:left="360"/>
      </w:pPr>
    </w:p>
    <w:p w:rsidR="00BB7EC5" w:rsidP="002955E6" w:rsidRDefault="00BB7EC5" w14:paraId="0E82AEC9" w14:textId="0960F602">
      <w:pPr>
        <w:spacing w:line="240" w:lineRule="auto"/>
        <w:ind w:left="360"/>
      </w:pPr>
      <w:r>
        <w:t xml:space="preserve">Once the 4-week data collection period has closed, respondent data will be downloaded, exported to an Excel spreadsheet, and stored in a secure environment maintained by CDC.  Data will be analyzed using Microsoft Excel and/or </w:t>
      </w:r>
      <w:proofErr w:type="spellStart"/>
      <w:r>
        <w:t>R</w:t>
      </w:r>
      <w:r w:rsidR="00301233">
        <w:t>ED</w:t>
      </w:r>
      <w:r>
        <w:t>Cap</w:t>
      </w:r>
      <w:proofErr w:type="spellEnd"/>
      <w:r>
        <w:t xml:space="preserve"> to create summary reports showing the frequency and counts of responses for each question of the electronic assessment.  Descriptive statistical analyses will be conducted on responses to multiple-choice questions and qualitative analyses on responses to open-ended questions.  Data collected during the assessment will be shared only in </w:t>
      </w:r>
      <w:r w:rsidR="005B7343">
        <w:t>aggregate form.</w:t>
      </w:r>
      <w:r>
        <w:t xml:space="preserve"> </w:t>
      </w:r>
    </w:p>
    <w:p w:rsidR="00750B27" w:rsidP="002955E6" w:rsidRDefault="00750B27" w14:paraId="28FB8332" w14:textId="77777777">
      <w:pPr>
        <w:spacing w:line="240" w:lineRule="auto"/>
        <w:ind w:left="360"/>
        <w:rPr>
          <w:u w:val="single"/>
        </w:rPr>
      </w:pPr>
    </w:p>
    <w:p w:rsidRPr="00BB7EC5" w:rsidR="001D461D" w:rsidP="002955E6" w:rsidRDefault="00BB7EC5" w14:paraId="216DD7DE" w14:textId="1BBFD282">
      <w:pPr>
        <w:spacing w:line="240" w:lineRule="auto"/>
        <w:ind w:left="360"/>
        <w:rPr>
          <w:u w:val="single"/>
        </w:rPr>
      </w:pPr>
      <w:r w:rsidRPr="00BB7EC5">
        <w:rPr>
          <w:u w:val="single"/>
        </w:rPr>
        <w:t>Focus groups</w:t>
      </w:r>
    </w:p>
    <w:p w:rsidR="00DC36E9" w:rsidP="003B07C9" w:rsidRDefault="004D3B12" w14:paraId="1BBA52F3" w14:textId="05883DFE">
      <w:pPr>
        <w:spacing w:line="240" w:lineRule="auto"/>
        <w:ind w:left="360"/>
      </w:pPr>
      <w:r>
        <w:t>A representative from each</w:t>
      </w:r>
      <w:r w:rsidR="003B07C9">
        <w:t xml:space="preserve"> </w:t>
      </w:r>
      <w:r>
        <w:t>health department</w:t>
      </w:r>
      <w:r w:rsidR="003B07C9">
        <w:t xml:space="preserve"> included within ATSDR’s ten regional offices will be invited to participate in </w:t>
      </w:r>
      <w:r w:rsidR="005B1F03">
        <w:t>focus group discussions</w:t>
      </w:r>
      <w:r w:rsidR="006D3FF7">
        <w:t xml:space="preserve"> (see </w:t>
      </w:r>
      <w:r w:rsidR="00322CEE">
        <w:rPr>
          <w:b/>
        </w:rPr>
        <w:t>Attachment G – A</w:t>
      </w:r>
      <w:r w:rsidRPr="006D3FF7" w:rsidR="006D3FF7">
        <w:rPr>
          <w:b/>
        </w:rPr>
        <w:t>TSDR Region</w:t>
      </w:r>
      <w:r>
        <w:rPr>
          <w:b/>
        </w:rPr>
        <w:t>s</w:t>
      </w:r>
      <w:r w:rsidR="006D3FF7">
        <w:t>)</w:t>
      </w:r>
      <w:r w:rsidR="003B07C9">
        <w:t>.</w:t>
      </w:r>
      <w:r w:rsidR="00D7376F">
        <w:t xml:space="preserve">  </w:t>
      </w:r>
      <w:r w:rsidR="005C388F">
        <w:t xml:space="preserve">Focus group discussions will occur after the electronic assessment has closed.  </w:t>
      </w:r>
      <w:r w:rsidR="00D7376F">
        <w:t>Participants in the focus group</w:t>
      </w:r>
      <w:r w:rsidR="00752E8A">
        <w:t xml:space="preserve"> discussions</w:t>
      </w:r>
      <w:r w:rsidR="00D7376F">
        <w:t xml:space="preserve"> may have </w:t>
      </w:r>
      <w:r w:rsidR="004F6AD4">
        <w:t>completed</w:t>
      </w:r>
      <w:r w:rsidR="00D7376F">
        <w:t xml:space="preserve"> the electronic assessment</w:t>
      </w:r>
      <w:r w:rsidR="00FF79FD">
        <w:t xml:space="preserve"> on behalf of their agency.  However, since only one electronic assessment is completed per agency and the focus group discussions may include up to two representatives from each health department, there may be some focus group participants who did not complete the electronic assessment on behalf of their agency.</w:t>
      </w:r>
      <w:r w:rsidR="00347DCE">
        <w:t xml:space="preserve">  Completing the electronic assessment is not a requirement or prerequisite for participating in the focus group discussions. </w:t>
      </w:r>
      <w:r w:rsidR="00526F52">
        <w:t xml:space="preserve"> Results from the electronic assessment may inform the focus group discussion</w:t>
      </w:r>
      <w:r w:rsidR="00AA43CC">
        <w:t xml:space="preserve">.  </w:t>
      </w:r>
    </w:p>
    <w:p w:rsidR="006D3FF7" w:rsidP="003B07C9" w:rsidRDefault="006D3FF7" w14:paraId="7CED6926" w14:textId="77777777">
      <w:pPr>
        <w:spacing w:line="240" w:lineRule="auto"/>
        <w:ind w:left="360"/>
      </w:pPr>
    </w:p>
    <w:p w:rsidR="00DC36E9" w:rsidP="00DC36E9" w:rsidRDefault="00DC36E9" w14:paraId="49237D46" w14:textId="5D97A091">
      <w:pPr>
        <w:spacing w:line="240" w:lineRule="auto"/>
        <w:ind w:left="360"/>
      </w:pPr>
      <w:r>
        <w:t xml:space="preserve">Following OMB </w:t>
      </w:r>
      <w:r w:rsidR="00301233">
        <w:t>PRA clearance</w:t>
      </w:r>
      <w:r w:rsidR="00D7376F">
        <w:t xml:space="preserve"> and administration of the electronic assessment</w:t>
      </w:r>
      <w:r>
        <w:t xml:space="preserve">, ICF will conduct ten focus group discussions </w:t>
      </w:r>
      <w:r w:rsidR="006D3FF7">
        <w:t xml:space="preserve">(one for each ATSDR region) </w:t>
      </w:r>
      <w:r>
        <w:t xml:space="preserve">via a web conferencing software.  Participants will be able to join the discussion through their phones or audio on their personal computers while following along with a visual presentation.  The facilitator will display the questions on the screen and lead the discussion via audio. </w:t>
      </w:r>
    </w:p>
    <w:p w:rsidR="00DC36E9" w:rsidP="00DC36E9" w:rsidRDefault="00DC36E9" w14:paraId="61A7C5AC" w14:textId="281CBB73">
      <w:pPr>
        <w:spacing w:line="240" w:lineRule="auto"/>
        <w:ind w:left="360"/>
      </w:pPr>
    </w:p>
    <w:p w:rsidR="00DC36E9" w:rsidP="00DC36E9" w:rsidRDefault="00DC36E9" w14:paraId="714FF507" w14:textId="18B4A148">
      <w:pPr>
        <w:spacing w:line="240" w:lineRule="auto"/>
        <w:ind w:left="360"/>
      </w:pPr>
      <w:r>
        <w:t xml:space="preserve">The focus groups </w:t>
      </w:r>
      <w:r w:rsidR="00301233">
        <w:t>will</w:t>
      </w:r>
      <w:r w:rsidR="00964A13">
        <w:t xml:space="preserve"> </w:t>
      </w:r>
      <w:r>
        <w:t xml:space="preserve">be recorded by ICF, who will store the recordings on a password-protected system </w:t>
      </w:r>
      <w:r w:rsidR="006D3FF7">
        <w:t>for transcription.  ICF will also take detailed notes during the focus groups, which will be stored on their password-protected computers and secure ICF server.  ICF will remove any PII from the focus group transcriptions, such as participant names.  The de-identified Microsoft Excel data and focus group documents will be shared with NCEH/ATSDR via secure email.  NCEH/ATSDR will download all documents on their personal password-protected CDC-issued computers and share them on a SharePoint page accessible to only CDC staff directly involved in this project.</w:t>
      </w:r>
    </w:p>
    <w:p w:rsidR="006C1771" w:rsidP="002955E6" w:rsidRDefault="006C1771" w14:paraId="0F4B1041" w14:textId="77777777">
      <w:pPr>
        <w:spacing w:line="240" w:lineRule="auto"/>
        <w:ind w:left="360"/>
      </w:pPr>
    </w:p>
    <w:p w:rsidR="001D461D" w:rsidP="00176E14" w:rsidRDefault="001D461D" w14:paraId="25AE2AA8" w14:textId="77777777">
      <w:pPr>
        <w:spacing w:line="240" w:lineRule="auto"/>
        <w:ind w:left="0"/>
      </w:pPr>
    </w:p>
    <w:p w:rsidRPr="009759F3" w:rsidR="009759F3" w:rsidP="002955E6" w:rsidRDefault="00287E2F" w14:paraId="25A73205" w14:textId="77777777">
      <w:pPr>
        <w:pStyle w:val="Heading4"/>
        <w:spacing w:after="0" w:line="240" w:lineRule="auto"/>
      </w:pPr>
      <w:bookmarkStart w:name="_Toc413847913" w:id="5"/>
      <w:r w:rsidRPr="00D26A64">
        <w:t>Methods to Maximize Response Rates</w:t>
      </w:r>
      <w:r w:rsidR="00F725B5">
        <w:t xml:space="preserve"> </w:t>
      </w:r>
      <w:r w:rsidRPr="009759F3" w:rsidR="009759F3">
        <w:t>Deal with Nonresponse</w:t>
      </w:r>
      <w:bookmarkEnd w:id="5"/>
    </w:p>
    <w:p w:rsidR="001D461D" w:rsidP="002955E6" w:rsidRDefault="001D461D" w14:paraId="1A36AC21" w14:textId="77777777">
      <w:pPr>
        <w:spacing w:line="240" w:lineRule="auto"/>
        <w:ind w:left="360"/>
        <w:rPr>
          <w:b/>
          <w:color w:val="0070C0"/>
        </w:rPr>
      </w:pPr>
    </w:p>
    <w:p w:rsidRPr="001D2951" w:rsidR="00991BF9" w:rsidP="001D461D" w:rsidRDefault="00991BF9" w14:paraId="3E763E50" w14:textId="66C0B0D6">
      <w:pPr>
        <w:pStyle w:val="ListParagraph"/>
        <w:spacing w:line="240" w:lineRule="auto"/>
        <w:ind w:left="360"/>
        <w:rPr>
          <w:rFonts w:cs="Times New Roman"/>
        </w:rPr>
      </w:pPr>
      <w:r w:rsidRPr="001D2951">
        <w:rPr>
          <w:rFonts w:cs="Times New Roman"/>
        </w:rPr>
        <w:t xml:space="preserve">Although participation in the </w:t>
      </w:r>
      <w:r w:rsidRPr="001D2951" w:rsidR="00687C5F">
        <w:rPr>
          <w:rFonts w:cs="Times New Roman"/>
        </w:rPr>
        <w:t xml:space="preserve">data collection </w:t>
      </w:r>
      <w:r w:rsidRPr="001D2951">
        <w:rPr>
          <w:rFonts w:cs="Times New Roman"/>
        </w:rPr>
        <w:t xml:space="preserve">is voluntary, the </w:t>
      </w:r>
      <w:r w:rsidRPr="001D2951" w:rsidR="00687C5F">
        <w:rPr>
          <w:rFonts w:cs="Times New Roman"/>
        </w:rPr>
        <w:t xml:space="preserve">project team </w:t>
      </w:r>
      <w:r w:rsidR="006C1771">
        <w:rPr>
          <w:rFonts w:cs="Times New Roman"/>
        </w:rPr>
        <w:t xml:space="preserve">will make every </w:t>
      </w:r>
      <w:r w:rsidRPr="001D2951">
        <w:rPr>
          <w:rFonts w:cs="Times New Roman"/>
        </w:rPr>
        <w:t xml:space="preserve">effort to maximize the rate of response. The </w:t>
      </w:r>
      <w:r w:rsidR="00964A13">
        <w:rPr>
          <w:rFonts w:cs="Times New Roman"/>
        </w:rPr>
        <w:t xml:space="preserve">electronic assessment </w:t>
      </w:r>
      <w:r w:rsidRPr="001D2951">
        <w:rPr>
          <w:rFonts w:cs="Times New Roman"/>
        </w:rPr>
        <w:t xml:space="preserve">was designed with </w:t>
      </w:r>
      <w:proofErr w:type="gramStart"/>
      <w:r w:rsidRPr="001D2951">
        <w:rPr>
          <w:rFonts w:cs="Times New Roman"/>
        </w:rPr>
        <w:t xml:space="preserve">particular </w:t>
      </w:r>
      <w:r w:rsidRPr="001D2951">
        <w:rPr>
          <w:rFonts w:cs="Times New Roman"/>
        </w:rPr>
        <w:lastRenderedPageBreak/>
        <w:t>focus</w:t>
      </w:r>
      <w:proofErr w:type="gramEnd"/>
      <w:r w:rsidRPr="001D2951">
        <w:rPr>
          <w:rFonts w:cs="Times New Roman"/>
        </w:rPr>
        <w:t xml:space="preserve"> on streamlining questions to allow for skipping questions based on responses to previous questions, thereby minimizing response burden. </w:t>
      </w:r>
    </w:p>
    <w:p w:rsidRPr="001D2951" w:rsidR="00687C5F" w:rsidP="001D461D" w:rsidRDefault="00687C5F" w14:paraId="5941521C" w14:textId="77777777">
      <w:pPr>
        <w:pStyle w:val="ListParagraph"/>
        <w:spacing w:line="240" w:lineRule="auto"/>
        <w:ind w:left="360"/>
        <w:rPr>
          <w:rFonts w:cs="Times New Roman"/>
        </w:rPr>
      </w:pPr>
    </w:p>
    <w:p w:rsidR="00991BF9" w:rsidP="001D461D" w:rsidRDefault="001D461D" w14:paraId="39F7EE37" w14:textId="68330673">
      <w:pPr>
        <w:spacing w:line="240" w:lineRule="auto"/>
        <w:ind w:left="360"/>
        <w:rPr>
          <w:rFonts w:cs="Arial"/>
        </w:rPr>
      </w:pPr>
      <w:r w:rsidRPr="001D2951">
        <w:t xml:space="preserve">Following the distribution of the invitation to participate in the </w:t>
      </w:r>
      <w:r w:rsidR="001B7C16">
        <w:t>electronic assessment</w:t>
      </w:r>
      <w:r w:rsidRPr="001D2951">
        <w:t xml:space="preserve">, </w:t>
      </w:r>
      <w:r w:rsidRPr="00A5157B" w:rsidR="00687C5F">
        <w:t>(</w:t>
      </w:r>
      <w:r w:rsidRPr="00A5157B" w:rsidR="00A5157B">
        <w:t xml:space="preserve">see </w:t>
      </w:r>
      <w:r w:rsidRPr="009011A8" w:rsidR="00A5157B">
        <w:rPr>
          <w:b/>
        </w:rPr>
        <w:t xml:space="preserve">Attachment </w:t>
      </w:r>
      <w:r w:rsidRPr="00BB7EC5" w:rsidR="00A5157B">
        <w:rPr>
          <w:b/>
        </w:rPr>
        <w:t>D – Invitation Email</w:t>
      </w:r>
      <w:r w:rsidRPr="00A5157B">
        <w:t>)</w:t>
      </w:r>
      <w:r w:rsidRPr="003161B9" w:rsidR="00687C5F">
        <w:t xml:space="preserve">, respondents will have </w:t>
      </w:r>
      <w:r w:rsidR="00A5157B">
        <w:t>four weeks</w:t>
      </w:r>
      <w:r w:rsidRPr="003161B9" w:rsidR="00687C5F">
        <w:t xml:space="preserve"> to complete the instrument. </w:t>
      </w:r>
      <w:r w:rsidR="00301233">
        <w:t xml:space="preserve">A reminder email will be sent to all participants two weeks after the invitation email </w:t>
      </w:r>
      <w:r w:rsidRPr="00A5157B">
        <w:t>(</w:t>
      </w:r>
      <w:r w:rsidRPr="00A5157B" w:rsidR="00A5157B">
        <w:t xml:space="preserve">see </w:t>
      </w:r>
      <w:r w:rsidRPr="00BB7EC5" w:rsidR="00A5157B">
        <w:rPr>
          <w:b/>
        </w:rPr>
        <w:t>Attachment E – Reminder Email</w:t>
      </w:r>
      <w:r w:rsidRPr="00A5157B">
        <w:t>)</w:t>
      </w:r>
      <w:r w:rsidR="00301233">
        <w:t>,</w:t>
      </w:r>
      <w:r w:rsidRPr="003161B9" w:rsidR="00687C5F">
        <w:t xml:space="preserve"> urging them to complete the </w:t>
      </w:r>
      <w:r w:rsidRPr="003161B9" w:rsidR="006C1771">
        <w:t>instrument</w:t>
      </w:r>
      <w:r w:rsidRPr="003161B9" w:rsidR="00687C5F">
        <w:t xml:space="preserve">. </w:t>
      </w:r>
      <w:r w:rsidRPr="003161B9" w:rsidR="00687C5F">
        <w:rPr>
          <w:rFonts w:cs="Arial"/>
        </w:rPr>
        <w:t xml:space="preserve">Those who do not respond </w:t>
      </w:r>
      <w:r w:rsidRPr="00A5157B" w:rsidR="00687C5F">
        <w:rPr>
          <w:rFonts w:cs="Arial"/>
        </w:rPr>
        <w:t xml:space="preserve">within </w:t>
      </w:r>
      <w:r w:rsidRPr="00A5157B" w:rsidR="00A5157B">
        <w:rPr>
          <w:rFonts w:cs="Arial"/>
        </w:rPr>
        <w:t>two weeks</w:t>
      </w:r>
      <w:r w:rsidRPr="00A5157B" w:rsidR="00687C5F">
        <w:rPr>
          <w:rFonts w:cs="Arial"/>
        </w:rPr>
        <w:t xml:space="preserve"> from </w:t>
      </w:r>
      <w:r w:rsidRPr="001D2951" w:rsidR="00687C5F">
        <w:rPr>
          <w:rFonts w:cs="Arial"/>
        </w:rPr>
        <w:t>the reminder email</w:t>
      </w:r>
      <w:r w:rsidRPr="001D2951">
        <w:rPr>
          <w:rFonts w:cs="Arial"/>
        </w:rPr>
        <w:t xml:space="preserve"> </w:t>
      </w:r>
      <w:r w:rsidRPr="001D2951" w:rsidR="00687C5F">
        <w:rPr>
          <w:rFonts w:cs="Arial"/>
        </w:rPr>
        <w:t>will be considered non-responders.</w:t>
      </w:r>
    </w:p>
    <w:p w:rsidR="006D3FF7" w:rsidP="001D461D" w:rsidRDefault="006D3FF7" w14:paraId="64715887" w14:textId="6B5E157F">
      <w:pPr>
        <w:spacing w:line="240" w:lineRule="auto"/>
        <w:ind w:left="360"/>
        <w:rPr>
          <w:rFonts w:cs="Arial"/>
        </w:rPr>
      </w:pPr>
    </w:p>
    <w:p w:rsidRPr="001D2951" w:rsidR="006D3FF7" w:rsidP="001D461D" w:rsidRDefault="006D3FF7" w14:paraId="136B9CE7" w14:textId="2F31F611">
      <w:pPr>
        <w:spacing w:line="240" w:lineRule="auto"/>
        <w:ind w:left="360"/>
        <w:rPr>
          <w:rFonts w:cs="Arial"/>
        </w:rPr>
      </w:pPr>
      <w:r>
        <w:rPr>
          <w:rFonts w:cs="Arial"/>
        </w:rPr>
        <w:t xml:space="preserve">A reminder email (see </w:t>
      </w:r>
      <w:r w:rsidRPr="006D3FF7">
        <w:rPr>
          <w:rFonts w:cs="Arial"/>
          <w:b/>
        </w:rPr>
        <w:t>Attachment F – Focus Group Discussion Reminder Email</w:t>
      </w:r>
      <w:r>
        <w:rPr>
          <w:rFonts w:cs="Arial"/>
        </w:rPr>
        <w:t xml:space="preserve">) will be sent two days before each focus group discussion to maximize response rate for the discussions.  In order to account for schedule conflicts and no shows, up to </w:t>
      </w:r>
      <w:r w:rsidR="00EC3871">
        <w:rPr>
          <w:rFonts w:cs="Arial"/>
        </w:rPr>
        <w:t>two</w:t>
      </w:r>
      <w:r>
        <w:rPr>
          <w:rFonts w:cs="Arial"/>
        </w:rPr>
        <w:t xml:space="preserve"> participants from each health department represented in the ATSDR region </w:t>
      </w:r>
      <w:r w:rsidR="001B7C16">
        <w:rPr>
          <w:rFonts w:cs="Arial"/>
        </w:rPr>
        <w:t>will be invited</w:t>
      </w:r>
      <w:r>
        <w:rPr>
          <w:rFonts w:cs="Arial"/>
        </w:rPr>
        <w:t>, with a target to achieve an ideal number 8-10 participants in each focus group discussion.</w:t>
      </w:r>
    </w:p>
    <w:p w:rsidRPr="00176E14" w:rsidR="001D461D" w:rsidP="001D461D" w:rsidRDefault="001D461D" w14:paraId="777A78FD" w14:textId="77777777">
      <w:pPr>
        <w:spacing w:line="240" w:lineRule="auto"/>
        <w:ind w:left="360"/>
        <w:rPr>
          <w:rFonts w:cs="Arial"/>
        </w:rPr>
      </w:pPr>
    </w:p>
    <w:p w:rsidRPr="00176E14" w:rsidR="00691031" w:rsidP="001D461D" w:rsidRDefault="00691031" w14:paraId="308066EA" w14:textId="77777777">
      <w:pPr>
        <w:spacing w:line="240" w:lineRule="auto"/>
        <w:ind w:left="360"/>
        <w:rPr>
          <w:rFonts w:cs="Arial"/>
        </w:rPr>
      </w:pPr>
    </w:p>
    <w:p w:rsidRPr="009759F3" w:rsidR="00F52BCC" w:rsidP="002955E6" w:rsidRDefault="00287E2F" w14:paraId="48F8F327" w14:textId="77777777">
      <w:pPr>
        <w:pStyle w:val="Heading4"/>
        <w:spacing w:after="0" w:line="240" w:lineRule="auto"/>
      </w:pPr>
      <w:bookmarkStart w:name="_Toc413847914" w:id="6"/>
      <w:r w:rsidRPr="005F3FEF">
        <w:t xml:space="preserve">Test of Procedures </w:t>
      </w:r>
      <w:r w:rsidRPr="009759F3" w:rsidR="009759F3">
        <w:t>or Methods to be Undertaken</w:t>
      </w:r>
      <w:bookmarkEnd w:id="6"/>
    </w:p>
    <w:p w:rsidR="00865573" w:rsidP="002955E6" w:rsidRDefault="00865573" w14:paraId="1194F856" w14:textId="77777777">
      <w:pPr>
        <w:spacing w:line="240" w:lineRule="auto"/>
        <w:ind w:left="360"/>
        <w:rPr>
          <w:color w:val="000000"/>
          <w:lang w:eastAsia="zh-CN"/>
        </w:rPr>
      </w:pPr>
    </w:p>
    <w:p w:rsidR="004D70EE" w:rsidP="002955E6" w:rsidRDefault="00991BF9" w14:paraId="1B07B491" w14:textId="330F05B9">
      <w:pPr>
        <w:spacing w:line="240" w:lineRule="auto"/>
        <w:ind w:left="360"/>
        <w:rPr>
          <w:color w:val="000000"/>
          <w:lang w:eastAsia="zh-CN"/>
        </w:rPr>
      </w:pPr>
      <w:r w:rsidRPr="001D2951">
        <w:rPr>
          <w:color w:val="000000"/>
          <w:lang w:eastAsia="zh-CN"/>
        </w:rPr>
        <w:t xml:space="preserve">The estimate for burden hours is based on a pilot test of the </w:t>
      </w:r>
      <w:r w:rsidR="009C4D14">
        <w:rPr>
          <w:color w:val="000000"/>
          <w:lang w:eastAsia="zh-CN"/>
        </w:rPr>
        <w:t>electronic assessment</w:t>
      </w:r>
      <w:r w:rsidRPr="001D2951">
        <w:rPr>
          <w:color w:val="000000"/>
          <w:lang w:eastAsia="zh-CN"/>
        </w:rPr>
        <w:t xml:space="preserve"> by </w:t>
      </w:r>
      <w:r w:rsidRPr="00F7634B" w:rsidR="00803954">
        <w:rPr>
          <w:lang w:eastAsia="zh-CN"/>
        </w:rPr>
        <w:t xml:space="preserve">five </w:t>
      </w:r>
      <w:r w:rsidRPr="003161B9">
        <w:rPr>
          <w:color w:val="000000"/>
          <w:lang w:eastAsia="zh-CN"/>
        </w:rPr>
        <w:t xml:space="preserve">public health professionals. In the pilot test, the average time to complete the instrument including time for reviewing instructions, gathering needed information and completing the instrument, was </w:t>
      </w:r>
      <w:r w:rsidRPr="00F7634B">
        <w:rPr>
          <w:lang w:eastAsia="zh-CN"/>
        </w:rPr>
        <w:t xml:space="preserve">approximately </w:t>
      </w:r>
      <w:r w:rsidR="005138BB">
        <w:rPr>
          <w:lang w:eastAsia="zh-CN"/>
        </w:rPr>
        <w:t>25</w:t>
      </w:r>
      <w:r w:rsidRPr="00F7634B" w:rsidR="00F7634B">
        <w:rPr>
          <w:lang w:eastAsia="zh-CN"/>
        </w:rPr>
        <w:t xml:space="preserve"> </w:t>
      </w:r>
      <w:r w:rsidRPr="003161B9">
        <w:rPr>
          <w:color w:val="000000"/>
          <w:lang w:eastAsia="zh-CN"/>
        </w:rPr>
        <w:t>minutes</w:t>
      </w:r>
      <w:r w:rsidRPr="003161B9" w:rsidR="0069580C">
        <w:rPr>
          <w:color w:val="000000"/>
          <w:lang w:eastAsia="zh-CN"/>
        </w:rPr>
        <w:t xml:space="preserve"> (range: </w:t>
      </w:r>
      <w:r w:rsidR="005138BB">
        <w:rPr>
          <w:color w:val="000000"/>
          <w:lang w:eastAsia="zh-CN"/>
        </w:rPr>
        <w:t>2</w:t>
      </w:r>
      <w:r w:rsidR="00F7634B">
        <w:rPr>
          <w:color w:val="000000"/>
          <w:lang w:eastAsia="zh-CN"/>
        </w:rPr>
        <w:t>0</w:t>
      </w:r>
      <w:r w:rsidRPr="003161B9" w:rsidR="0069580C">
        <w:rPr>
          <w:color w:val="000000"/>
          <w:lang w:eastAsia="zh-CN"/>
        </w:rPr>
        <w:t xml:space="preserve"> to </w:t>
      </w:r>
      <w:r w:rsidR="005138BB">
        <w:rPr>
          <w:color w:val="000000"/>
          <w:lang w:eastAsia="zh-CN"/>
        </w:rPr>
        <w:t>30</w:t>
      </w:r>
      <w:r w:rsidRPr="003161B9" w:rsidR="0069580C">
        <w:rPr>
          <w:color w:val="000000"/>
          <w:lang w:eastAsia="zh-CN"/>
        </w:rPr>
        <w:t xml:space="preserve"> minutes)</w:t>
      </w:r>
      <w:r w:rsidRPr="003161B9">
        <w:rPr>
          <w:color w:val="000000"/>
          <w:lang w:eastAsia="zh-CN"/>
        </w:rPr>
        <w:t xml:space="preserve">. For the purposes of estimating burden hours, the upper limit of this range (i.e., </w:t>
      </w:r>
      <w:r w:rsidR="005138BB">
        <w:rPr>
          <w:color w:val="000000"/>
          <w:lang w:eastAsia="zh-CN"/>
        </w:rPr>
        <w:t>30</w:t>
      </w:r>
      <w:r w:rsidRPr="001D2951">
        <w:rPr>
          <w:color w:val="0070C0"/>
          <w:lang w:eastAsia="zh-CN"/>
        </w:rPr>
        <w:t xml:space="preserve"> </w:t>
      </w:r>
      <w:r w:rsidRPr="001D2951">
        <w:rPr>
          <w:color w:val="000000"/>
          <w:lang w:eastAsia="zh-CN"/>
        </w:rPr>
        <w:t>minutes) is used.</w:t>
      </w:r>
    </w:p>
    <w:p w:rsidR="003B5A68" w:rsidP="002955E6" w:rsidRDefault="003B5A68" w14:paraId="3E9A6765" w14:textId="447D5AF1">
      <w:pPr>
        <w:spacing w:line="240" w:lineRule="auto"/>
        <w:ind w:left="360"/>
        <w:rPr>
          <w:color w:val="000000"/>
          <w:lang w:eastAsia="zh-CN"/>
        </w:rPr>
      </w:pPr>
    </w:p>
    <w:p w:rsidR="004D70EE" w:rsidP="004D70EE" w:rsidRDefault="008E6A1A" w14:paraId="11A6D06E" w14:textId="4A42B8C3">
      <w:pPr>
        <w:spacing w:line="240" w:lineRule="auto"/>
        <w:ind w:left="360"/>
      </w:pPr>
      <w:r w:rsidRPr="008E6A1A">
        <w:rPr>
          <w:color w:val="000000"/>
          <w:lang w:eastAsia="zh-CN"/>
        </w:rPr>
        <w:t xml:space="preserve">The estimate for burden hours of the focus group virtual interview is based on a subject matter expert review conducted by three public health professionals. In the review, the average time determined to complete the focus group interviews </w:t>
      </w:r>
      <w:r w:rsidR="00535E29">
        <w:rPr>
          <w:color w:val="000000"/>
          <w:lang w:eastAsia="zh-CN"/>
        </w:rPr>
        <w:t xml:space="preserve">(inclusive of focus group questions and probes) </w:t>
      </w:r>
      <w:r w:rsidRPr="008E6A1A">
        <w:rPr>
          <w:color w:val="000000"/>
          <w:lang w:eastAsia="zh-CN"/>
        </w:rPr>
        <w:t>was determined by subject matter experts to be approximately 90 minutes. For the purpose of estimating burden hours, 90 minutes is used.</w:t>
      </w:r>
    </w:p>
    <w:p w:rsidR="004D70EE" w:rsidP="004D70EE" w:rsidRDefault="004D70EE" w14:paraId="4796D6D0" w14:textId="77777777">
      <w:pPr>
        <w:spacing w:line="240" w:lineRule="auto"/>
        <w:ind w:left="360"/>
      </w:pPr>
    </w:p>
    <w:p w:rsidR="009759F3" w:rsidP="002955E6" w:rsidRDefault="009759F3" w14:paraId="00BBD504" w14:textId="77777777">
      <w:pPr>
        <w:pStyle w:val="Heading4"/>
        <w:spacing w:after="0" w:line="240" w:lineRule="auto"/>
      </w:pPr>
      <w:bookmarkStart w:name="_Toc413847915" w:id="7"/>
      <w:r w:rsidRPr="009759F3">
        <w:t>Individuals Consulted on Statistical Aspects and Individuals Collecting and/or Analyzing Data</w:t>
      </w:r>
      <w:bookmarkEnd w:id="7"/>
    </w:p>
    <w:p w:rsidR="00F27049" w:rsidP="002955E6" w:rsidRDefault="00F27049" w14:paraId="40E799B3" w14:textId="77777777">
      <w:pPr>
        <w:spacing w:line="240" w:lineRule="auto"/>
        <w:ind w:left="360"/>
        <w:rPr>
          <w:b/>
          <w:color w:val="0070C0"/>
        </w:rPr>
      </w:pPr>
    </w:p>
    <w:p w:rsidR="005138BB" w:rsidP="002955E6" w:rsidRDefault="005138BB" w14:paraId="04D1B9BA" w14:textId="5E978698">
      <w:pPr>
        <w:spacing w:line="240" w:lineRule="auto"/>
        <w:ind w:left="360"/>
      </w:pPr>
      <w:r>
        <w:t>Tegan Boehmer, PhD, MPH</w:t>
      </w:r>
    </w:p>
    <w:p w:rsidR="005138BB" w:rsidP="002955E6" w:rsidRDefault="005138BB" w14:paraId="76136229" w14:textId="1E7044C8">
      <w:pPr>
        <w:spacing w:line="240" w:lineRule="auto"/>
        <w:ind w:left="360"/>
      </w:pPr>
      <w:r>
        <w:t>CDR, US Public Health Service</w:t>
      </w:r>
    </w:p>
    <w:p w:rsidR="005138BB" w:rsidP="002955E6" w:rsidRDefault="005138BB" w14:paraId="1E7C872F" w14:textId="441B18F0">
      <w:pPr>
        <w:spacing w:line="240" w:lineRule="auto"/>
        <w:ind w:left="360"/>
      </w:pPr>
      <w:r>
        <w:t>National Center for Environmental Health</w:t>
      </w:r>
    </w:p>
    <w:p w:rsidR="005138BB" w:rsidP="002955E6" w:rsidRDefault="005138BB" w14:paraId="5E987518" w14:textId="540B7EED">
      <w:pPr>
        <w:spacing w:line="240" w:lineRule="auto"/>
        <w:ind w:left="360"/>
      </w:pPr>
      <w:r>
        <w:t>Centers for Disease Control and Prevention</w:t>
      </w:r>
    </w:p>
    <w:p w:rsidR="005138BB" w:rsidP="002955E6" w:rsidRDefault="005138BB" w14:paraId="581134DF" w14:textId="7F2A4C55">
      <w:pPr>
        <w:spacing w:line="240" w:lineRule="auto"/>
        <w:ind w:left="360"/>
      </w:pPr>
      <w:r>
        <w:t>4770 Buford Highway, MS S106-6</w:t>
      </w:r>
    </w:p>
    <w:p w:rsidR="005138BB" w:rsidP="002955E6" w:rsidRDefault="005138BB" w14:paraId="580B3242" w14:textId="45CE6B5A">
      <w:pPr>
        <w:spacing w:line="240" w:lineRule="auto"/>
        <w:ind w:left="360"/>
      </w:pPr>
      <w:r>
        <w:t>Atlanta, GA 30341</w:t>
      </w:r>
    </w:p>
    <w:p w:rsidR="005138BB" w:rsidP="002955E6" w:rsidRDefault="00F82676" w14:paraId="1AF92CB2" w14:textId="262E5025">
      <w:pPr>
        <w:spacing w:line="240" w:lineRule="auto"/>
        <w:ind w:left="360"/>
      </w:pPr>
      <w:hyperlink w:history="1" r:id="rId14">
        <w:r w:rsidRPr="00AA51A2" w:rsidR="005138BB">
          <w:rPr>
            <w:rStyle w:val="Hyperlink"/>
          </w:rPr>
          <w:t>toc4@cdc.gov</w:t>
        </w:r>
      </w:hyperlink>
      <w:r w:rsidR="005138BB">
        <w:t xml:space="preserve">  </w:t>
      </w:r>
    </w:p>
    <w:p w:rsidR="005138BB" w:rsidP="002955E6" w:rsidRDefault="005138BB" w14:paraId="6CED465F" w14:textId="65B18D31">
      <w:pPr>
        <w:spacing w:line="240" w:lineRule="auto"/>
        <w:ind w:left="360"/>
      </w:pPr>
    </w:p>
    <w:p w:rsidR="005138BB" w:rsidP="002955E6" w:rsidRDefault="005138BB" w14:paraId="6782732E" w14:textId="645392D4">
      <w:pPr>
        <w:spacing w:line="240" w:lineRule="auto"/>
        <w:ind w:left="360"/>
      </w:pPr>
      <w:r>
        <w:t>Stephanie Foster, MPH, MA</w:t>
      </w:r>
    </w:p>
    <w:p w:rsidR="005138BB" w:rsidP="002955E6" w:rsidRDefault="005138BB" w14:paraId="7534CD91" w14:textId="156F8CC5">
      <w:pPr>
        <w:spacing w:line="240" w:lineRule="auto"/>
        <w:ind w:left="360"/>
      </w:pPr>
      <w:r>
        <w:t>Epidemiologist</w:t>
      </w:r>
    </w:p>
    <w:p w:rsidR="005138BB" w:rsidP="002955E6" w:rsidRDefault="005138BB" w14:paraId="7378236D" w14:textId="11851A3F">
      <w:pPr>
        <w:spacing w:line="240" w:lineRule="auto"/>
        <w:ind w:left="360"/>
      </w:pPr>
      <w:r>
        <w:t>Geospatial Research, Analysis, and Services Program</w:t>
      </w:r>
    </w:p>
    <w:p w:rsidR="005138BB" w:rsidP="002955E6" w:rsidRDefault="005138BB" w14:paraId="3A4C8E92" w14:textId="274E6D8F">
      <w:pPr>
        <w:spacing w:line="240" w:lineRule="auto"/>
        <w:ind w:left="360"/>
      </w:pPr>
      <w:r>
        <w:t>Division of Toxicology and Human Health Sciences</w:t>
      </w:r>
    </w:p>
    <w:p w:rsidR="005138BB" w:rsidP="002955E6" w:rsidRDefault="005138BB" w14:paraId="06CDCC90" w14:textId="25F8EBB0">
      <w:pPr>
        <w:spacing w:line="240" w:lineRule="auto"/>
        <w:ind w:left="360"/>
      </w:pPr>
      <w:r>
        <w:t>Agency for Toxic Substances &amp; Disease Registry</w:t>
      </w:r>
    </w:p>
    <w:p w:rsidR="005138BB" w:rsidP="005138BB" w:rsidRDefault="005138BB" w14:paraId="463A4442" w14:textId="33B5B006">
      <w:pPr>
        <w:spacing w:line="240" w:lineRule="auto"/>
        <w:ind w:left="360"/>
      </w:pPr>
      <w:r>
        <w:t xml:space="preserve">4770 Buford Highway, MS </w:t>
      </w:r>
    </w:p>
    <w:p w:rsidR="005138BB" w:rsidP="005138BB" w:rsidRDefault="005138BB" w14:paraId="44595F9C" w14:textId="031AF9E8">
      <w:pPr>
        <w:spacing w:line="240" w:lineRule="auto"/>
        <w:ind w:left="360"/>
      </w:pPr>
      <w:r>
        <w:t>Atlanta, GA 30341</w:t>
      </w:r>
    </w:p>
    <w:p w:rsidR="005138BB" w:rsidP="005138BB" w:rsidRDefault="00F82676" w14:paraId="3CF1D947" w14:textId="2687E0F9">
      <w:pPr>
        <w:spacing w:line="240" w:lineRule="auto"/>
        <w:ind w:left="360"/>
      </w:pPr>
      <w:hyperlink w:history="1" r:id="rId15">
        <w:r w:rsidRPr="00AA51A2" w:rsidR="005138BB">
          <w:rPr>
            <w:rStyle w:val="Hyperlink"/>
          </w:rPr>
          <w:t>sob4@cdc.gov</w:t>
        </w:r>
      </w:hyperlink>
      <w:r w:rsidR="005138BB">
        <w:t xml:space="preserve"> </w:t>
      </w:r>
    </w:p>
    <w:p w:rsidR="005138BB" w:rsidP="002955E6" w:rsidRDefault="005138BB" w14:paraId="04375FAB" w14:textId="5B5DE881">
      <w:pPr>
        <w:spacing w:line="240" w:lineRule="auto"/>
        <w:ind w:left="360"/>
      </w:pPr>
    </w:p>
    <w:p w:rsidR="005138BB" w:rsidP="002955E6" w:rsidRDefault="005138BB" w14:paraId="0F03D50E" w14:textId="53431E25">
      <w:pPr>
        <w:spacing w:line="240" w:lineRule="auto"/>
        <w:ind w:left="360"/>
      </w:pPr>
      <w:r>
        <w:t>Alisha Etheredge, MS, MPH</w:t>
      </w:r>
    </w:p>
    <w:p w:rsidR="005138BB" w:rsidP="002955E6" w:rsidRDefault="005138BB" w14:paraId="50E866B4" w14:textId="31952D24">
      <w:pPr>
        <w:spacing w:line="240" w:lineRule="auto"/>
        <w:ind w:left="360"/>
      </w:pPr>
      <w:r>
        <w:t>Public Health Advisor</w:t>
      </w:r>
    </w:p>
    <w:p w:rsidR="005138BB" w:rsidP="002955E6" w:rsidRDefault="005138BB" w14:paraId="42F196A5" w14:textId="62CCA887">
      <w:pPr>
        <w:spacing w:line="240" w:lineRule="auto"/>
        <w:ind w:left="360"/>
      </w:pPr>
      <w:r>
        <w:t xml:space="preserve">National Center for Environmental Health </w:t>
      </w:r>
    </w:p>
    <w:p w:rsidR="005138BB" w:rsidP="005138BB" w:rsidRDefault="005138BB" w14:paraId="4F24786A" w14:textId="77777777">
      <w:pPr>
        <w:spacing w:line="240" w:lineRule="auto"/>
        <w:ind w:left="360"/>
      </w:pPr>
      <w:r>
        <w:t>Centers for Disease Control and Prevention</w:t>
      </w:r>
    </w:p>
    <w:p w:rsidR="005138BB" w:rsidP="005138BB" w:rsidRDefault="005138BB" w14:paraId="452C4F7A" w14:textId="77777777">
      <w:pPr>
        <w:spacing w:line="240" w:lineRule="auto"/>
        <w:ind w:left="360"/>
      </w:pPr>
      <w:r>
        <w:t>4770 Buford Highway, MS S106-6</w:t>
      </w:r>
    </w:p>
    <w:p w:rsidR="005138BB" w:rsidP="005138BB" w:rsidRDefault="005138BB" w14:paraId="4FF1D469" w14:textId="77777777">
      <w:pPr>
        <w:spacing w:line="240" w:lineRule="auto"/>
        <w:ind w:left="360"/>
      </w:pPr>
      <w:r>
        <w:t>Atlanta, GA 30341</w:t>
      </w:r>
    </w:p>
    <w:p w:rsidR="005138BB" w:rsidP="002955E6" w:rsidRDefault="00F82676" w14:paraId="2CEB0C29" w14:textId="7FD08F82">
      <w:pPr>
        <w:spacing w:line="240" w:lineRule="auto"/>
        <w:ind w:left="360"/>
      </w:pPr>
      <w:hyperlink w:history="1" r:id="rId16">
        <w:r w:rsidRPr="00AA51A2" w:rsidR="005138BB">
          <w:rPr>
            <w:rStyle w:val="Hyperlink"/>
          </w:rPr>
          <w:t>epq5@cdc.gov</w:t>
        </w:r>
      </w:hyperlink>
      <w:r w:rsidR="005138BB">
        <w:t xml:space="preserve"> </w:t>
      </w:r>
    </w:p>
    <w:p w:rsidR="005138BB" w:rsidP="002955E6" w:rsidRDefault="005138BB" w14:paraId="6785625A" w14:textId="77777777">
      <w:pPr>
        <w:spacing w:line="240" w:lineRule="auto"/>
        <w:ind w:left="360"/>
      </w:pPr>
    </w:p>
    <w:p w:rsidR="00DD0433" w:rsidP="002955E6" w:rsidRDefault="00DD0433" w14:paraId="2D485692" w14:textId="77777777">
      <w:pPr>
        <w:spacing w:line="240" w:lineRule="auto"/>
        <w:ind w:left="360"/>
      </w:pPr>
    </w:p>
    <w:p w:rsidR="005138BB" w:rsidP="002955E6" w:rsidRDefault="005138BB" w14:paraId="00DE6A7C" w14:textId="541B102C">
      <w:pPr>
        <w:spacing w:line="240" w:lineRule="auto"/>
        <w:ind w:left="360"/>
      </w:pPr>
      <w:r>
        <w:t>Brian Kennedy</w:t>
      </w:r>
    </w:p>
    <w:p w:rsidR="005138BB" w:rsidP="002955E6" w:rsidRDefault="005138BB" w14:paraId="06AA9B6A" w14:textId="2617F068">
      <w:pPr>
        <w:spacing w:line="240" w:lineRule="auto"/>
        <w:ind w:left="360"/>
      </w:pPr>
      <w:r>
        <w:t>Public Health Advisor</w:t>
      </w:r>
    </w:p>
    <w:p w:rsidR="005138BB" w:rsidP="005138BB" w:rsidRDefault="005138BB" w14:paraId="11B1F7D9" w14:textId="77777777">
      <w:pPr>
        <w:spacing w:line="240" w:lineRule="auto"/>
        <w:ind w:left="360"/>
      </w:pPr>
      <w:r>
        <w:t xml:space="preserve">National Center for Environmental Health </w:t>
      </w:r>
    </w:p>
    <w:p w:rsidR="005138BB" w:rsidP="005138BB" w:rsidRDefault="005138BB" w14:paraId="737DF866" w14:textId="77777777">
      <w:pPr>
        <w:spacing w:line="240" w:lineRule="auto"/>
        <w:ind w:left="360"/>
      </w:pPr>
      <w:r>
        <w:t>Centers for Disease Control and Prevention</w:t>
      </w:r>
    </w:p>
    <w:p w:rsidR="005138BB" w:rsidP="005138BB" w:rsidRDefault="005138BB" w14:paraId="42AF6694" w14:textId="77777777">
      <w:pPr>
        <w:spacing w:line="240" w:lineRule="auto"/>
        <w:ind w:left="360"/>
      </w:pPr>
      <w:r>
        <w:t>4770 Buford Highway, MS S106-6</w:t>
      </w:r>
    </w:p>
    <w:p w:rsidR="005138BB" w:rsidP="005138BB" w:rsidRDefault="005138BB" w14:paraId="5DFF099D" w14:textId="7F1E7AA3">
      <w:pPr>
        <w:spacing w:line="240" w:lineRule="auto"/>
        <w:ind w:left="360"/>
      </w:pPr>
      <w:r>
        <w:t>Atlanta, GA 30341</w:t>
      </w:r>
    </w:p>
    <w:p w:rsidR="005138BB" w:rsidP="005138BB" w:rsidRDefault="00F82676" w14:paraId="4F53CEB4" w14:textId="35164B34">
      <w:pPr>
        <w:spacing w:line="240" w:lineRule="auto"/>
        <w:ind w:left="360"/>
      </w:pPr>
      <w:hyperlink w:history="1" r:id="rId17">
        <w:r w:rsidRPr="00AA51A2" w:rsidR="005138BB">
          <w:rPr>
            <w:rStyle w:val="Hyperlink"/>
          </w:rPr>
          <w:t>xko3@cdc.gov</w:t>
        </w:r>
      </w:hyperlink>
      <w:r w:rsidR="005138BB">
        <w:t xml:space="preserve"> </w:t>
      </w:r>
    </w:p>
    <w:p w:rsidR="006A6664" w:rsidP="005138BB" w:rsidRDefault="006A6664" w14:paraId="334FCC47" w14:textId="2F79B6CA">
      <w:pPr>
        <w:spacing w:line="240" w:lineRule="auto"/>
        <w:ind w:left="360"/>
      </w:pPr>
    </w:p>
    <w:p w:rsidR="006A6664" w:rsidP="005138BB" w:rsidRDefault="006A6664" w14:paraId="6B6624DE" w14:textId="275BC740">
      <w:pPr>
        <w:spacing w:line="240" w:lineRule="auto"/>
        <w:ind w:left="360"/>
      </w:pPr>
      <w:r>
        <w:t>Diana Diaz, MSPH</w:t>
      </w:r>
    </w:p>
    <w:p w:rsidR="006A6664" w:rsidP="005138BB" w:rsidRDefault="006A6664" w14:paraId="06F7974E" w14:textId="341D9D97">
      <w:pPr>
        <w:spacing w:line="240" w:lineRule="auto"/>
        <w:ind w:left="360"/>
      </w:pPr>
      <w:r>
        <w:t>ORISE Fellow, Health Studies Section</w:t>
      </w:r>
    </w:p>
    <w:p w:rsidR="006A6664" w:rsidP="005138BB" w:rsidRDefault="006A6664" w14:paraId="0EF9DFD4" w14:textId="4004AB7D">
      <w:pPr>
        <w:spacing w:line="240" w:lineRule="auto"/>
        <w:ind w:left="360"/>
      </w:pPr>
      <w:r>
        <w:t>National Center for Environmental Health</w:t>
      </w:r>
    </w:p>
    <w:p w:rsidR="006A6664" w:rsidP="006A6664" w:rsidRDefault="006A6664" w14:paraId="46BB5386" w14:textId="77777777">
      <w:pPr>
        <w:spacing w:line="240" w:lineRule="auto"/>
        <w:ind w:left="360"/>
      </w:pPr>
      <w:r>
        <w:t>Centers for Disease Control and Prevention</w:t>
      </w:r>
    </w:p>
    <w:p w:rsidR="006A6664" w:rsidP="006A6664" w:rsidRDefault="006A6664" w14:paraId="1B80130C" w14:textId="77777777">
      <w:pPr>
        <w:spacing w:line="240" w:lineRule="auto"/>
        <w:ind w:left="360"/>
      </w:pPr>
      <w:r>
        <w:t>4770 Buford Highway, MS S106-6</w:t>
      </w:r>
    </w:p>
    <w:p w:rsidR="006A6664" w:rsidP="006A6664" w:rsidRDefault="006A6664" w14:paraId="1B678542" w14:textId="77777777">
      <w:pPr>
        <w:spacing w:line="240" w:lineRule="auto"/>
        <w:ind w:left="360"/>
      </w:pPr>
      <w:r>
        <w:t>Atlanta, GA 30341</w:t>
      </w:r>
    </w:p>
    <w:p w:rsidR="00114AEC" w:rsidP="005138BB" w:rsidRDefault="00F82676" w14:paraId="40ADEDFF" w14:textId="55BA28A0">
      <w:pPr>
        <w:spacing w:line="240" w:lineRule="auto"/>
        <w:ind w:left="360"/>
      </w:pPr>
      <w:hyperlink w:history="1" r:id="rId18">
        <w:r w:rsidRPr="00BE655F" w:rsidR="004E126B">
          <w:rPr>
            <w:rStyle w:val="Hyperlink"/>
          </w:rPr>
          <w:t>ddiaz@cdc.gov</w:t>
        </w:r>
      </w:hyperlink>
    </w:p>
    <w:p w:rsidR="004E126B" w:rsidP="005138BB" w:rsidRDefault="004E126B" w14:paraId="4E79352C" w14:textId="77777777">
      <w:pPr>
        <w:spacing w:line="240" w:lineRule="auto"/>
        <w:ind w:left="360"/>
      </w:pPr>
    </w:p>
    <w:p w:rsidR="00777479" w:rsidP="00777479" w:rsidRDefault="00F7634B" w14:paraId="63EC9F4A" w14:textId="3FBA5CEC">
      <w:pPr>
        <w:spacing w:line="240" w:lineRule="auto"/>
        <w:ind w:left="360"/>
      </w:pPr>
      <w:r w:rsidRPr="003B07C9">
        <w:t>Suzanne Condon</w:t>
      </w:r>
      <w:r w:rsidR="00D344F0">
        <w:t>, MSM</w:t>
      </w:r>
    </w:p>
    <w:p w:rsidR="00777479" w:rsidP="00777479" w:rsidRDefault="00777479" w14:paraId="6B8BB10F" w14:textId="4F560C2B">
      <w:pPr>
        <w:spacing w:line="240" w:lineRule="auto"/>
        <w:ind w:left="360"/>
      </w:pPr>
      <w:r>
        <w:t>Associate Commissioner (retired)</w:t>
      </w:r>
    </w:p>
    <w:p w:rsidR="00D344F0" w:rsidP="002955E6" w:rsidRDefault="00D344F0" w14:paraId="34706D6A" w14:textId="3B986B44">
      <w:pPr>
        <w:spacing w:line="240" w:lineRule="auto"/>
        <w:ind w:left="360"/>
      </w:pPr>
      <w:r>
        <w:t>Massachusetts Department of Public Health</w:t>
      </w:r>
    </w:p>
    <w:p w:rsidR="00777479" w:rsidP="002955E6" w:rsidRDefault="00777479" w14:paraId="6157DE00" w14:textId="59087069">
      <w:pPr>
        <w:spacing w:line="240" w:lineRule="auto"/>
        <w:ind w:left="360"/>
      </w:pPr>
      <w:r>
        <w:t>250 Washington Street</w:t>
      </w:r>
    </w:p>
    <w:p w:rsidR="00777479" w:rsidP="002955E6" w:rsidRDefault="00777479" w14:paraId="33CD4649" w14:textId="614478E4">
      <w:pPr>
        <w:spacing w:line="240" w:lineRule="auto"/>
        <w:ind w:left="360"/>
      </w:pPr>
      <w:r>
        <w:t>Boston, MA 02108</w:t>
      </w:r>
    </w:p>
    <w:p w:rsidR="00777479" w:rsidP="002955E6" w:rsidRDefault="00F82676" w14:paraId="1ADEA31E" w14:textId="4446DBDE">
      <w:pPr>
        <w:spacing w:line="240" w:lineRule="auto"/>
        <w:ind w:left="360"/>
      </w:pPr>
      <w:hyperlink w:history="1" r:id="rId19">
        <w:r w:rsidRPr="00AA51A2" w:rsidR="00777479">
          <w:rPr>
            <w:rStyle w:val="Hyperlink"/>
          </w:rPr>
          <w:t>lrl8@cdc.gov</w:t>
        </w:r>
      </w:hyperlink>
      <w:r w:rsidR="00777479">
        <w:t xml:space="preserve"> </w:t>
      </w:r>
    </w:p>
    <w:p w:rsidR="00C33649" w:rsidP="002955E6" w:rsidRDefault="00C33649" w14:paraId="6D6DA89D" w14:textId="22EA8E7E">
      <w:pPr>
        <w:spacing w:line="240" w:lineRule="auto"/>
        <w:ind w:left="360"/>
      </w:pPr>
    </w:p>
    <w:p w:rsidR="00C33649" w:rsidP="002955E6" w:rsidRDefault="00C33649" w14:paraId="0676F98C" w14:textId="3840343C">
      <w:pPr>
        <w:spacing w:line="240" w:lineRule="auto"/>
        <w:ind w:left="360"/>
      </w:pPr>
      <w:r>
        <w:t>Isabela Ribeiro Lucas, PhD</w:t>
      </w:r>
    </w:p>
    <w:p w:rsidR="00C33649" w:rsidP="002955E6" w:rsidRDefault="00C03F09" w14:paraId="1220C3A8" w14:textId="31AE2336">
      <w:pPr>
        <w:spacing w:line="240" w:lineRule="auto"/>
        <w:ind w:left="360"/>
      </w:pPr>
      <w:r>
        <w:t>Manager, Research Science</w:t>
      </w:r>
    </w:p>
    <w:p w:rsidR="00C33649" w:rsidP="002955E6" w:rsidRDefault="00C33649" w14:paraId="4FDF23C6" w14:textId="52F5F15E">
      <w:pPr>
        <w:spacing w:line="240" w:lineRule="auto"/>
        <w:ind w:left="360"/>
      </w:pPr>
      <w:r>
        <w:t>ICF</w:t>
      </w:r>
    </w:p>
    <w:p w:rsidR="00C03F09" w:rsidP="002955E6" w:rsidRDefault="00C03F09" w14:paraId="4039957D" w14:textId="4B974D8D">
      <w:pPr>
        <w:spacing w:line="240" w:lineRule="auto"/>
        <w:ind w:left="360"/>
      </w:pPr>
      <w:r>
        <w:t>3 Corporate Square NE, Suite 370</w:t>
      </w:r>
    </w:p>
    <w:p w:rsidR="00C03F09" w:rsidP="002955E6" w:rsidRDefault="00C03F09" w14:paraId="0686F377" w14:textId="4C4AAAFC">
      <w:pPr>
        <w:spacing w:line="240" w:lineRule="auto"/>
        <w:ind w:left="360"/>
      </w:pPr>
      <w:r>
        <w:t>Atlanta, GA 30329</w:t>
      </w:r>
    </w:p>
    <w:p w:rsidR="00C33649" w:rsidP="002955E6" w:rsidRDefault="00F82676" w14:paraId="1B692A34" w14:textId="1B68F4EB">
      <w:pPr>
        <w:spacing w:line="240" w:lineRule="auto"/>
        <w:ind w:left="360"/>
      </w:pPr>
      <w:hyperlink w:history="1" r:id="rId20">
        <w:r w:rsidRPr="005354DD" w:rsidR="00C33649">
          <w:rPr>
            <w:rStyle w:val="Hyperlink"/>
          </w:rPr>
          <w:t>Isabela.Lucas@icf.com</w:t>
        </w:r>
      </w:hyperlink>
      <w:r w:rsidR="00C33649">
        <w:t xml:space="preserve"> </w:t>
      </w:r>
    </w:p>
    <w:p w:rsidR="003345C4" w:rsidP="002955E6" w:rsidRDefault="003345C4" w14:paraId="2488AD62" w14:textId="2A7047CE">
      <w:pPr>
        <w:spacing w:line="240" w:lineRule="auto"/>
        <w:ind w:left="360"/>
      </w:pPr>
    </w:p>
    <w:p w:rsidR="003345C4" w:rsidP="002955E6" w:rsidRDefault="003345C4" w14:paraId="307F78B3" w14:textId="77777777">
      <w:pPr>
        <w:spacing w:line="240" w:lineRule="auto"/>
        <w:ind w:left="360"/>
      </w:pPr>
    </w:p>
    <w:p w:rsidRPr="003B07C9" w:rsidR="00D344F0" w:rsidP="002955E6" w:rsidRDefault="00D344F0" w14:paraId="1342CB32" w14:textId="77777777">
      <w:pPr>
        <w:spacing w:line="240" w:lineRule="auto"/>
        <w:ind w:left="360"/>
      </w:pPr>
    </w:p>
    <w:p w:rsidRPr="00BC6896" w:rsidR="00A36419" w:rsidP="002955E6" w:rsidRDefault="00A36419" w14:paraId="7F84C304" w14:textId="77777777">
      <w:pPr>
        <w:pStyle w:val="Heading3"/>
        <w:spacing w:line="240" w:lineRule="auto"/>
      </w:pPr>
      <w:bookmarkStart w:name="_Toc413847916" w:id="8"/>
      <w:r w:rsidRPr="00BC6896">
        <w:t>LIST OF ATTACHMENTS</w:t>
      </w:r>
      <w:r w:rsidRPr="00BC6896" w:rsidR="00E24C20">
        <w:t xml:space="preserve"> – Section B</w:t>
      </w:r>
      <w:bookmarkEnd w:id="8"/>
    </w:p>
    <w:p w:rsidRPr="003C3D1C" w:rsidR="00400C2C" w:rsidP="002955E6" w:rsidRDefault="00400C2C" w14:paraId="233A5EC0" w14:textId="77777777">
      <w:pPr>
        <w:spacing w:line="240" w:lineRule="auto"/>
        <w:ind w:left="0"/>
      </w:pPr>
      <w:r w:rsidRPr="00CD1EA8">
        <w:t>Note:</w:t>
      </w:r>
      <w:r>
        <w:t xml:space="preserve"> Attachments are included as separate files as instructed.</w:t>
      </w:r>
    </w:p>
    <w:p w:rsidRPr="005B1F03" w:rsidR="00865573" w:rsidP="003345C4" w:rsidRDefault="00400C2C" w14:paraId="1151AD9D" w14:textId="1EE0FE10">
      <w:pPr>
        <w:pStyle w:val="ListParagraph"/>
        <w:numPr>
          <w:ilvl w:val="0"/>
          <w:numId w:val="40"/>
        </w:numPr>
        <w:spacing w:line="240" w:lineRule="auto"/>
        <w:rPr>
          <w:rFonts w:ascii="Cambria" w:hAnsi="Cambria"/>
          <w:b/>
        </w:rPr>
      </w:pPr>
      <w:r w:rsidRPr="005B1F03">
        <w:rPr>
          <w:rFonts w:ascii="Cambria" w:hAnsi="Cambria"/>
          <w:b/>
        </w:rPr>
        <w:t>Attachment D</w:t>
      </w:r>
      <w:r w:rsidRPr="005B1F03" w:rsidR="00B8656C">
        <w:rPr>
          <w:rFonts w:ascii="Cambria" w:hAnsi="Cambria"/>
          <w:b/>
        </w:rPr>
        <w:t xml:space="preserve"> </w:t>
      </w:r>
      <w:r w:rsidRPr="005B1F03">
        <w:rPr>
          <w:rFonts w:ascii="Cambria" w:hAnsi="Cambria"/>
          <w:b/>
        </w:rPr>
        <w:t>–</w:t>
      </w:r>
      <w:r w:rsidRPr="005B1F03" w:rsidR="00B8656C">
        <w:rPr>
          <w:rFonts w:ascii="Cambria" w:hAnsi="Cambria"/>
          <w:b/>
        </w:rPr>
        <w:t xml:space="preserve"> </w:t>
      </w:r>
      <w:r w:rsidRPr="005B1F03" w:rsidR="005B1F03">
        <w:rPr>
          <w:rFonts w:ascii="Cambria" w:hAnsi="Cambria"/>
          <w:b/>
        </w:rPr>
        <w:t>Invitation Email</w:t>
      </w:r>
      <w:r w:rsidRPr="005B1F03">
        <w:rPr>
          <w:rFonts w:ascii="Cambria" w:hAnsi="Cambria"/>
          <w:b/>
        </w:rPr>
        <w:t xml:space="preserve"> </w:t>
      </w:r>
    </w:p>
    <w:p w:rsidRPr="005B1F03" w:rsidR="00865573" w:rsidP="003345C4" w:rsidRDefault="00400C2C" w14:paraId="057E2CEA" w14:textId="65586B3A">
      <w:pPr>
        <w:pStyle w:val="ListParagraph"/>
        <w:numPr>
          <w:ilvl w:val="0"/>
          <w:numId w:val="40"/>
        </w:numPr>
        <w:spacing w:line="240" w:lineRule="auto"/>
        <w:rPr>
          <w:rFonts w:ascii="Cambria" w:hAnsi="Cambria"/>
          <w:b/>
        </w:rPr>
      </w:pPr>
      <w:r w:rsidRPr="005B1F03">
        <w:rPr>
          <w:rFonts w:ascii="Cambria" w:hAnsi="Cambria"/>
          <w:b/>
        </w:rPr>
        <w:t>Attachment E</w:t>
      </w:r>
      <w:r w:rsidRPr="005B1F03" w:rsidR="00D24BCF">
        <w:rPr>
          <w:rFonts w:ascii="Cambria" w:hAnsi="Cambria"/>
          <w:b/>
        </w:rPr>
        <w:t xml:space="preserve"> –</w:t>
      </w:r>
      <w:r w:rsidRPr="005B1F03" w:rsidR="00865573">
        <w:rPr>
          <w:rFonts w:ascii="Cambria" w:hAnsi="Cambria"/>
          <w:b/>
        </w:rPr>
        <w:t xml:space="preserve"> </w:t>
      </w:r>
      <w:r w:rsidRPr="005B1F03" w:rsidR="005B1F03">
        <w:rPr>
          <w:rFonts w:ascii="Cambria" w:hAnsi="Cambria"/>
          <w:b/>
        </w:rPr>
        <w:t>Reminder Email</w:t>
      </w:r>
    </w:p>
    <w:p w:rsidRPr="004E126B" w:rsidR="00400C2C" w:rsidP="003345C4" w:rsidRDefault="00400C2C" w14:paraId="5F34CEAA" w14:textId="286814FC">
      <w:pPr>
        <w:pStyle w:val="ListParagraph"/>
        <w:numPr>
          <w:ilvl w:val="0"/>
          <w:numId w:val="40"/>
        </w:numPr>
        <w:spacing w:line="240" w:lineRule="auto"/>
        <w:rPr>
          <w:rFonts w:ascii="Cambria" w:hAnsi="Cambria"/>
          <w:b/>
          <w:color w:val="0070C0"/>
        </w:rPr>
      </w:pPr>
      <w:r w:rsidRPr="005138BB">
        <w:rPr>
          <w:rFonts w:ascii="Cambria" w:hAnsi="Cambria"/>
          <w:b/>
        </w:rPr>
        <w:t>Attachment F</w:t>
      </w:r>
      <w:r w:rsidRPr="005138BB" w:rsidR="00D24BCF">
        <w:rPr>
          <w:rFonts w:ascii="Cambria" w:hAnsi="Cambria"/>
          <w:b/>
        </w:rPr>
        <w:t xml:space="preserve"> –</w:t>
      </w:r>
      <w:r w:rsidRPr="005138BB">
        <w:rPr>
          <w:rFonts w:ascii="Cambria" w:hAnsi="Cambria"/>
          <w:b/>
        </w:rPr>
        <w:t xml:space="preserve"> </w:t>
      </w:r>
      <w:r w:rsidRPr="006D3FF7" w:rsidR="005138BB">
        <w:rPr>
          <w:rFonts w:cs="Arial"/>
          <w:b/>
        </w:rPr>
        <w:t>Focus Group Discussion Reminder Email</w:t>
      </w:r>
    </w:p>
    <w:p w:rsidRPr="003345C4" w:rsidR="004E126B" w:rsidP="003345C4" w:rsidRDefault="004E126B" w14:paraId="3BF9DE04" w14:textId="5850CE3F">
      <w:pPr>
        <w:pStyle w:val="ListParagraph"/>
        <w:numPr>
          <w:ilvl w:val="0"/>
          <w:numId w:val="40"/>
        </w:numPr>
        <w:spacing w:line="240" w:lineRule="auto"/>
        <w:rPr>
          <w:rFonts w:ascii="Cambria" w:hAnsi="Cambria"/>
          <w:b/>
        </w:rPr>
      </w:pPr>
      <w:r>
        <w:rPr>
          <w:rFonts w:ascii="Cambria" w:hAnsi="Cambria"/>
          <w:b/>
        </w:rPr>
        <w:t>Attachment G –</w:t>
      </w:r>
      <w:r>
        <w:rPr>
          <w:rFonts w:ascii="Cambria" w:hAnsi="Cambria"/>
          <w:b/>
          <w:color w:val="0070C0"/>
        </w:rPr>
        <w:t xml:space="preserve"> </w:t>
      </w:r>
      <w:r w:rsidRPr="003345C4">
        <w:rPr>
          <w:rFonts w:ascii="Cambria" w:hAnsi="Cambria"/>
          <w:b/>
        </w:rPr>
        <w:t xml:space="preserve">ATSDR Regions </w:t>
      </w:r>
    </w:p>
    <w:p w:rsidRPr="0071006D" w:rsidR="00865573" w:rsidP="0071006D" w:rsidRDefault="00865573" w14:paraId="07E929E6" w14:textId="574AEEE1">
      <w:pPr>
        <w:spacing w:line="240" w:lineRule="auto"/>
        <w:ind w:left="0"/>
        <w:rPr>
          <w:rFonts w:ascii="Cambria" w:hAnsi="Cambria"/>
          <w:color w:val="0070C0"/>
        </w:rPr>
      </w:pPr>
    </w:p>
    <w:sectPr w:rsidRPr="0071006D" w:rsidR="00865573" w:rsidSect="003E5D57">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9E7A0E" w14:textId="77777777" w:rsidR="00F82676" w:rsidRDefault="00F82676" w:rsidP="00BC6896">
      <w:r>
        <w:separator/>
      </w:r>
    </w:p>
    <w:p w14:paraId="2EBD4B85" w14:textId="77777777" w:rsidR="00F82676" w:rsidRDefault="00F82676" w:rsidP="00BC6896"/>
  </w:endnote>
  <w:endnote w:type="continuationSeparator" w:id="0">
    <w:p w14:paraId="3A5A0A56" w14:textId="77777777" w:rsidR="00F82676" w:rsidRDefault="00F82676" w:rsidP="00BC6896">
      <w:r>
        <w:continuationSeparator/>
      </w:r>
    </w:p>
    <w:p w14:paraId="2B4B4E13" w14:textId="77777777" w:rsidR="00F82676" w:rsidRDefault="00F82676" w:rsidP="00BC68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Corbe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F544" w14:textId="77777777" w:rsidR="00526F52" w:rsidRDefault="00526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642A8EE3" w14:textId="77777777" w:rsidR="00526F52" w:rsidRDefault="00526F52">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w:t>
            </w:r>
            <w:r>
              <w:rPr>
                <w:b/>
                <w:bCs/>
                <w:sz w:val="24"/>
                <w:szCs w:val="24"/>
              </w:rPr>
              <w:fldChar w:fldCharType="end"/>
            </w:r>
          </w:p>
        </w:sdtContent>
      </w:sdt>
    </w:sdtContent>
  </w:sdt>
  <w:p w14:paraId="4FB8913A" w14:textId="77777777" w:rsidR="00526F52" w:rsidRDefault="00526F52" w:rsidP="00BC68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B08DC" w14:textId="77777777" w:rsidR="00526F52" w:rsidRDefault="00526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8E27AE" w14:textId="77777777" w:rsidR="00F82676" w:rsidRDefault="00F82676" w:rsidP="00BC6896">
      <w:r>
        <w:separator/>
      </w:r>
    </w:p>
    <w:p w14:paraId="1C95059F" w14:textId="77777777" w:rsidR="00F82676" w:rsidRDefault="00F82676" w:rsidP="00BC6896"/>
  </w:footnote>
  <w:footnote w:type="continuationSeparator" w:id="0">
    <w:p w14:paraId="14AF46FB" w14:textId="77777777" w:rsidR="00F82676" w:rsidRDefault="00F82676" w:rsidP="00BC6896">
      <w:r>
        <w:continuationSeparator/>
      </w:r>
    </w:p>
    <w:p w14:paraId="2342C9FA" w14:textId="77777777" w:rsidR="00F82676" w:rsidRDefault="00F82676" w:rsidP="00BC68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BC23DD" w14:textId="77777777" w:rsidR="00526F52" w:rsidRDefault="00526F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65116" w14:textId="77777777" w:rsidR="00526F52" w:rsidRPr="00716F94" w:rsidRDefault="00526F52" w:rsidP="00BC6896">
    <w:pPr>
      <w:pStyle w:val="Header"/>
      <w:rPr>
        <w:color w:val="0033CC"/>
      </w:rPr>
    </w:pPr>
    <w:r>
      <w:tab/>
    </w:r>
  </w:p>
  <w:p w14:paraId="2431AA49" w14:textId="77777777" w:rsidR="00526F52" w:rsidRDefault="00526F52" w:rsidP="00BC689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4721C2" w14:textId="77777777" w:rsidR="00526F52" w:rsidRDefault="00526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9D2A65"/>
    <w:multiLevelType w:val="hybridMultilevel"/>
    <w:tmpl w:val="5798E242"/>
    <w:lvl w:ilvl="0" w:tplc="41223222">
      <w:start w:val="1"/>
      <w:numFmt w:val="bullet"/>
      <w:lvlText w:val=""/>
      <w:lvlJc w:val="left"/>
      <w:pPr>
        <w:ind w:left="1080" w:hanging="360"/>
      </w:pPr>
      <w:rPr>
        <w:rFonts w:ascii="Symbol" w:hAnsi="Symbol" w:hint="default"/>
        <w:color w:val="0070C0"/>
      </w:rPr>
    </w:lvl>
    <w:lvl w:ilvl="1" w:tplc="8D86DBA4">
      <w:start w:val="1"/>
      <w:numFmt w:val="bullet"/>
      <w:lvlText w:val="–"/>
      <w:lvlJc w:val="left"/>
      <w:pPr>
        <w:ind w:left="1800" w:hanging="360"/>
      </w:pPr>
      <w:rPr>
        <w:rFonts w:ascii="Calibri" w:hAnsi="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BF0903"/>
    <w:multiLevelType w:val="hybridMultilevel"/>
    <w:tmpl w:val="6386AB6E"/>
    <w:lvl w:ilvl="0" w:tplc="41223222">
      <w:start w:val="1"/>
      <w:numFmt w:val="bullet"/>
      <w:lvlText w:val=""/>
      <w:lvlJc w:val="left"/>
      <w:pPr>
        <w:ind w:left="1440" w:hanging="360"/>
      </w:pPr>
      <w:rPr>
        <w:rFonts w:ascii="Symbol" w:hAnsi="Symbol" w:hint="default"/>
        <w:color w:val="0070C0"/>
      </w:rPr>
    </w:lvl>
    <w:lvl w:ilvl="1" w:tplc="C7B2827E">
      <w:start w:val="1"/>
      <w:numFmt w:val="bullet"/>
      <w:lvlText w:val="-"/>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4511F0"/>
    <w:multiLevelType w:val="hybridMultilevel"/>
    <w:tmpl w:val="CFE87EFA"/>
    <w:lvl w:ilvl="0" w:tplc="04090001">
      <w:start w:val="1"/>
      <w:numFmt w:val="bullet"/>
      <w:lvlText w:val=""/>
      <w:lvlJc w:val="left"/>
      <w:pPr>
        <w:ind w:left="720" w:hanging="360"/>
      </w:pPr>
      <w:rPr>
        <w:rFonts w:ascii="Symbol" w:hAnsi="Symbo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B02FC"/>
    <w:multiLevelType w:val="hybridMultilevel"/>
    <w:tmpl w:val="C1FA1C9E"/>
    <w:lvl w:ilvl="0" w:tplc="2F90F7FA">
      <w:start w:val="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CC22BD"/>
    <w:multiLevelType w:val="hybridMultilevel"/>
    <w:tmpl w:val="A3BA9CB4"/>
    <w:lvl w:ilvl="0" w:tplc="134A480E">
      <w:start w:val="4"/>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F44473"/>
    <w:multiLevelType w:val="hybridMultilevel"/>
    <w:tmpl w:val="402A0FF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7D182F"/>
    <w:multiLevelType w:val="hybridMultilevel"/>
    <w:tmpl w:val="F5A457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127DF9"/>
    <w:multiLevelType w:val="hybridMultilevel"/>
    <w:tmpl w:val="348C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DF33B7"/>
    <w:multiLevelType w:val="hybridMultilevel"/>
    <w:tmpl w:val="73C8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EC02FE"/>
    <w:multiLevelType w:val="hybridMultilevel"/>
    <w:tmpl w:val="CDC81A0E"/>
    <w:lvl w:ilvl="0" w:tplc="41223222">
      <w:start w:val="1"/>
      <w:numFmt w:val="bullet"/>
      <w:lvlText w:val=""/>
      <w:lvlJc w:val="left"/>
      <w:pPr>
        <w:ind w:left="144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EFE31F8"/>
    <w:multiLevelType w:val="hybridMultilevel"/>
    <w:tmpl w:val="F642C5E4"/>
    <w:lvl w:ilvl="0" w:tplc="7B922C7C">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28" w15:restartNumberingAfterBreak="0">
    <w:nsid w:val="5809270F"/>
    <w:multiLevelType w:val="hybridMultilevel"/>
    <w:tmpl w:val="21565CCA"/>
    <w:lvl w:ilvl="0" w:tplc="41223222">
      <w:start w:val="1"/>
      <w:numFmt w:val="bullet"/>
      <w:lvlText w:val=""/>
      <w:lvlJc w:val="left"/>
      <w:pPr>
        <w:ind w:left="1080" w:hanging="360"/>
      </w:pPr>
      <w:rPr>
        <w:rFonts w:ascii="Symbol" w:hAnsi="Symbol" w:hint="default"/>
        <w:color w:val="0070C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59997E39"/>
    <w:multiLevelType w:val="hybridMultilevel"/>
    <w:tmpl w:val="40EC0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981BE2"/>
    <w:multiLevelType w:val="hybridMultilevel"/>
    <w:tmpl w:val="DC2AED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9"/>
  </w:num>
  <w:num w:numId="3">
    <w:abstractNumId w:val="37"/>
  </w:num>
  <w:num w:numId="4">
    <w:abstractNumId w:val="13"/>
  </w:num>
  <w:num w:numId="5">
    <w:abstractNumId w:val="27"/>
  </w:num>
  <w:num w:numId="6">
    <w:abstractNumId w:val="7"/>
  </w:num>
  <w:num w:numId="7">
    <w:abstractNumId w:val="0"/>
  </w:num>
  <w:num w:numId="8">
    <w:abstractNumId w:val="5"/>
  </w:num>
  <w:num w:numId="9">
    <w:abstractNumId w:val="10"/>
  </w:num>
  <w:num w:numId="10">
    <w:abstractNumId w:val="30"/>
  </w:num>
  <w:num w:numId="11">
    <w:abstractNumId w:val="2"/>
  </w:num>
  <w:num w:numId="12">
    <w:abstractNumId w:val="35"/>
  </w:num>
  <w:num w:numId="13">
    <w:abstractNumId w:val="6"/>
  </w:num>
  <w:num w:numId="14">
    <w:abstractNumId w:val="3"/>
  </w:num>
  <w:num w:numId="15">
    <w:abstractNumId w:val="33"/>
  </w:num>
  <w:num w:numId="16">
    <w:abstractNumId w:val="39"/>
  </w:num>
  <w:num w:numId="17">
    <w:abstractNumId w:val="9"/>
  </w:num>
  <w:num w:numId="18">
    <w:abstractNumId w:val="16"/>
  </w:num>
  <w:num w:numId="19">
    <w:abstractNumId w:val="4"/>
  </w:num>
  <w:num w:numId="20">
    <w:abstractNumId w:val="17"/>
  </w:num>
  <w:num w:numId="21">
    <w:abstractNumId w:val="38"/>
  </w:num>
  <w:num w:numId="22">
    <w:abstractNumId w:val="31"/>
  </w:num>
  <w:num w:numId="23">
    <w:abstractNumId w:val="14"/>
  </w:num>
  <w:num w:numId="24">
    <w:abstractNumId w:val="32"/>
  </w:num>
  <w:num w:numId="25">
    <w:abstractNumId w:val="34"/>
  </w:num>
  <w:num w:numId="26">
    <w:abstractNumId w:val="21"/>
  </w:num>
  <w:num w:numId="27">
    <w:abstractNumId w:val="25"/>
  </w:num>
  <w:num w:numId="28">
    <w:abstractNumId w:val="22"/>
  </w:num>
  <w:num w:numId="29">
    <w:abstractNumId w:val="28"/>
  </w:num>
  <w:num w:numId="30">
    <w:abstractNumId w:val="24"/>
  </w:num>
  <w:num w:numId="31">
    <w:abstractNumId w:val="11"/>
  </w:num>
  <w:num w:numId="32">
    <w:abstractNumId w:val="26"/>
  </w:num>
  <w:num w:numId="33">
    <w:abstractNumId w:val="20"/>
  </w:num>
  <w:num w:numId="34">
    <w:abstractNumId w:val="18"/>
  </w:num>
  <w:num w:numId="35">
    <w:abstractNumId w:val="29"/>
  </w:num>
  <w:num w:numId="36">
    <w:abstractNumId w:val="23"/>
  </w:num>
  <w:num w:numId="37">
    <w:abstractNumId w:val="8"/>
  </w:num>
  <w:num w:numId="38">
    <w:abstractNumId w:val="36"/>
  </w:num>
  <w:num w:numId="39">
    <w:abstractNumId w:val="15"/>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694"/>
    <w:rsid w:val="00001A78"/>
    <w:rsid w:val="0000767E"/>
    <w:rsid w:val="00010420"/>
    <w:rsid w:val="00011A98"/>
    <w:rsid w:val="00011F8D"/>
    <w:rsid w:val="000130B4"/>
    <w:rsid w:val="00014361"/>
    <w:rsid w:val="000279A9"/>
    <w:rsid w:val="000474FB"/>
    <w:rsid w:val="00052A34"/>
    <w:rsid w:val="00053A92"/>
    <w:rsid w:val="000557D0"/>
    <w:rsid w:val="0005605E"/>
    <w:rsid w:val="00057F36"/>
    <w:rsid w:val="00064EEF"/>
    <w:rsid w:val="00092A51"/>
    <w:rsid w:val="000A1F0E"/>
    <w:rsid w:val="000A1F30"/>
    <w:rsid w:val="000A538D"/>
    <w:rsid w:val="000B0D68"/>
    <w:rsid w:val="000C2480"/>
    <w:rsid w:val="000E1013"/>
    <w:rsid w:val="000E6577"/>
    <w:rsid w:val="000E7A19"/>
    <w:rsid w:val="000F36A3"/>
    <w:rsid w:val="000F6166"/>
    <w:rsid w:val="001030FC"/>
    <w:rsid w:val="00104A1B"/>
    <w:rsid w:val="00114AEC"/>
    <w:rsid w:val="001177DD"/>
    <w:rsid w:val="00120F8A"/>
    <w:rsid w:val="001308EB"/>
    <w:rsid w:val="001412D4"/>
    <w:rsid w:val="00144F64"/>
    <w:rsid w:val="00151567"/>
    <w:rsid w:val="001549D7"/>
    <w:rsid w:val="00163E17"/>
    <w:rsid w:val="00166F9E"/>
    <w:rsid w:val="00175844"/>
    <w:rsid w:val="00176E14"/>
    <w:rsid w:val="00187D5A"/>
    <w:rsid w:val="001960AE"/>
    <w:rsid w:val="0019674D"/>
    <w:rsid w:val="001972D7"/>
    <w:rsid w:val="001A28F6"/>
    <w:rsid w:val="001A7D0E"/>
    <w:rsid w:val="001B2831"/>
    <w:rsid w:val="001B7C16"/>
    <w:rsid w:val="001C0493"/>
    <w:rsid w:val="001C28AD"/>
    <w:rsid w:val="001D2951"/>
    <w:rsid w:val="001D461D"/>
    <w:rsid w:val="001D7FCB"/>
    <w:rsid w:val="001E2B99"/>
    <w:rsid w:val="001E33DA"/>
    <w:rsid w:val="001E69B6"/>
    <w:rsid w:val="001F3C77"/>
    <w:rsid w:val="001F4DBB"/>
    <w:rsid w:val="001F501E"/>
    <w:rsid w:val="001F7C89"/>
    <w:rsid w:val="0020312D"/>
    <w:rsid w:val="0020495F"/>
    <w:rsid w:val="00206E33"/>
    <w:rsid w:val="00210519"/>
    <w:rsid w:val="00230CEF"/>
    <w:rsid w:val="002336B6"/>
    <w:rsid w:val="00237CA1"/>
    <w:rsid w:val="00241B17"/>
    <w:rsid w:val="00241C81"/>
    <w:rsid w:val="00243E7E"/>
    <w:rsid w:val="00245F1F"/>
    <w:rsid w:val="00252BF8"/>
    <w:rsid w:val="00255C36"/>
    <w:rsid w:val="00256392"/>
    <w:rsid w:val="00257A1C"/>
    <w:rsid w:val="002721C7"/>
    <w:rsid w:val="0027234C"/>
    <w:rsid w:val="00272E03"/>
    <w:rsid w:val="00281795"/>
    <w:rsid w:val="002850E3"/>
    <w:rsid w:val="00287E2F"/>
    <w:rsid w:val="00291672"/>
    <w:rsid w:val="002955E6"/>
    <w:rsid w:val="002A1948"/>
    <w:rsid w:val="002B289D"/>
    <w:rsid w:val="002B3919"/>
    <w:rsid w:val="002B76B5"/>
    <w:rsid w:val="002C0877"/>
    <w:rsid w:val="002C2AE2"/>
    <w:rsid w:val="002D0DCE"/>
    <w:rsid w:val="002E2B10"/>
    <w:rsid w:val="002E2CF3"/>
    <w:rsid w:val="002F1502"/>
    <w:rsid w:val="002F169D"/>
    <w:rsid w:val="002F2069"/>
    <w:rsid w:val="002F3D87"/>
    <w:rsid w:val="002F6F92"/>
    <w:rsid w:val="00301233"/>
    <w:rsid w:val="003041AD"/>
    <w:rsid w:val="00307E80"/>
    <w:rsid w:val="0031279F"/>
    <w:rsid w:val="00312D63"/>
    <w:rsid w:val="003143FE"/>
    <w:rsid w:val="003161B9"/>
    <w:rsid w:val="00320FF8"/>
    <w:rsid w:val="00322CEE"/>
    <w:rsid w:val="00322E66"/>
    <w:rsid w:val="00327D05"/>
    <w:rsid w:val="003345C4"/>
    <w:rsid w:val="00335EBD"/>
    <w:rsid w:val="00336D96"/>
    <w:rsid w:val="00337657"/>
    <w:rsid w:val="003429C3"/>
    <w:rsid w:val="00344F07"/>
    <w:rsid w:val="0034545B"/>
    <w:rsid w:val="003469C8"/>
    <w:rsid w:val="00347DCE"/>
    <w:rsid w:val="00355EA4"/>
    <w:rsid w:val="003635BE"/>
    <w:rsid w:val="00366B5E"/>
    <w:rsid w:val="00372844"/>
    <w:rsid w:val="0038560A"/>
    <w:rsid w:val="003B07C9"/>
    <w:rsid w:val="003B5A68"/>
    <w:rsid w:val="003B65B5"/>
    <w:rsid w:val="003C31C9"/>
    <w:rsid w:val="003C3D1C"/>
    <w:rsid w:val="003C4961"/>
    <w:rsid w:val="003C7C5D"/>
    <w:rsid w:val="003D0AD2"/>
    <w:rsid w:val="003E4383"/>
    <w:rsid w:val="003E4E7D"/>
    <w:rsid w:val="003E5D57"/>
    <w:rsid w:val="003F5913"/>
    <w:rsid w:val="00400C2C"/>
    <w:rsid w:val="00401E4B"/>
    <w:rsid w:val="004024F8"/>
    <w:rsid w:val="0041159A"/>
    <w:rsid w:val="00414772"/>
    <w:rsid w:val="00422479"/>
    <w:rsid w:val="0042604A"/>
    <w:rsid w:val="004266EF"/>
    <w:rsid w:val="004305A8"/>
    <w:rsid w:val="0043150B"/>
    <w:rsid w:val="0043417A"/>
    <w:rsid w:val="00443CA0"/>
    <w:rsid w:val="00450E14"/>
    <w:rsid w:val="0045621C"/>
    <w:rsid w:val="00462C65"/>
    <w:rsid w:val="00467B14"/>
    <w:rsid w:val="00474EDA"/>
    <w:rsid w:val="0047536D"/>
    <w:rsid w:val="004824FA"/>
    <w:rsid w:val="00484011"/>
    <w:rsid w:val="004841F1"/>
    <w:rsid w:val="00487E55"/>
    <w:rsid w:val="00497A43"/>
    <w:rsid w:val="00497BC1"/>
    <w:rsid w:val="004A1E3A"/>
    <w:rsid w:val="004A3CB9"/>
    <w:rsid w:val="004B1D39"/>
    <w:rsid w:val="004B4EB5"/>
    <w:rsid w:val="004C4AEA"/>
    <w:rsid w:val="004D3B12"/>
    <w:rsid w:val="004D70EE"/>
    <w:rsid w:val="004E003C"/>
    <w:rsid w:val="004E126B"/>
    <w:rsid w:val="004E16EB"/>
    <w:rsid w:val="004E6665"/>
    <w:rsid w:val="004F634E"/>
    <w:rsid w:val="004F67A8"/>
    <w:rsid w:val="004F6AD4"/>
    <w:rsid w:val="00513139"/>
    <w:rsid w:val="005138BB"/>
    <w:rsid w:val="00522A50"/>
    <w:rsid w:val="00526F52"/>
    <w:rsid w:val="00527225"/>
    <w:rsid w:val="0053557D"/>
    <w:rsid w:val="00535E29"/>
    <w:rsid w:val="00536B78"/>
    <w:rsid w:val="00537FE8"/>
    <w:rsid w:val="005463DE"/>
    <w:rsid w:val="00546DC2"/>
    <w:rsid w:val="005542E8"/>
    <w:rsid w:val="00556630"/>
    <w:rsid w:val="0055686D"/>
    <w:rsid w:val="00563594"/>
    <w:rsid w:val="00570BCE"/>
    <w:rsid w:val="005800EE"/>
    <w:rsid w:val="005869D6"/>
    <w:rsid w:val="00593E85"/>
    <w:rsid w:val="005A33F6"/>
    <w:rsid w:val="005A59E5"/>
    <w:rsid w:val="005B1F03"/>
    <w:rsid w:val="005B7343"/>
    <w:rsid w:val="005B7440"/>
    <w:rsid w:val="005C388F"/>
    <w:rsid w:val="005C6E9D"/>
    <w:rsid w:val="005D60C2"/>
    <w:rsid w:val="005E2150"/>
    <w:rsid w:val="005E2995"/>
    <w:rsid w:val="005F3ADE"/>
    <w:rsid w:val="005F3FEF"/>
    <w:rsid w:val="00601392"/>
    <w:rsid w:val="006040E0"/>
    <w:rsid w:val="006075F6"/>
    <w:rsid w:val="00607F7C"/>
    <w:rsid w:val="006102DA"/>
    <w:rsid w:val="006161CF"/>
    <w:rsid w:val="00621F93"/>
    <w:rsid w:val="006262A4"/>
    <w:rsid w:val="006315A3"/>
    <w:rsid w:val="006379E9"/>
    <w:rsid w:val="00637CC1"/>
    <w:rsid w:val="006466BA"/>
    <w:rsid w:val="006579A2"/>
    <w:rsid w:val="00667C89"/>
    <w:rsid w:val="006711EE"/>
    <w:rsid w:val="006809BB"/>
    <w:rsid w:val="006809FD"/>
    <w:rsid w:val="00683C7C"/>
    <w:rsid w:val="00687C5F"/>
    <w:rsid w:val="00691031"/>
    <w:rsid w:val="00691D1F"/>
    <w:rsid w:val="0069580C"/>
    <w:rsid w:val="00697BAE"/>
    <w:rsid w:val="006A28E4"/>
    <w:rsid w:val="006A63FD"/>
    <w:rsid w:val="006A6664"/>
    <w:rsid w:val="006B4DDC"/>
    <w:rsid w:val="006B5E55"/>
    <w:rsid w:val="006C1771"/>
    <w:rsid w:val="006D25A1"/>
    <w:rsid w:val="006D3FF7"/>
    <w:rsid w:val="006D6932"/>
    <w:rsid w:val="006E09BC"/>
    <w:rsid w:val="006E4BB7"/>
    <w:rsid w:val="006E75F6"/>
    <w:rsid w:val="006F23AF"/>
    <w:rsid w:val="006F6856"/>
    <w:rsid w:val="0071006D"/>
    <w:rsid w:val="0071190E"/>
    <w:rsid w:val="007145D0"/>
    <w:rsid w:val="00716F94"/>
    <w:rsid w:val="00750B27"/>
    <w:rsid w:val="00752E8A"/>
    <w:rsid w:val="00760E12"/>
    <w:rsid w:val="00763CF3"/>
    <w:rsid w:val="00772293"/>
    <w:rsid w:val="00777479"/>
    <w:rsid w:val="00782FD5"/>
    <w:rsid w:val="00783A3C"/>
    <w:rsid w:val="00783C75"/>
    <w:rsid w:val="00784619"/>
    <w:rsid w:val="0078627B"/>
    <w:rsid w:val="00794E32"/>
    <w:rsid w:val="007B305A"/>
    <w:rsid w:val="007C1CB7"/>
    <w:rsid w:val="007C7559"/>
    <w:rsid w:val="007D1C46"/>
    <w:rsid w:val="007E3F71"/>
    <w:rsid w:val="00800993"/>
    <w:rsid w:val="00803954"/>
    <w:rsid w:val="00810FBF"/>
    <w:rsid w:val="00815C7D"/>
    <w:rsid w:val="00817941"/>
    <w:rsid w:val="008261AB"/>
    <w:rsid w:val="00835CA7"/>
    <w:rsid w:val="008370D4"/>
    <w:rsid w:val="008414AD"/>
    <w:rsid w:val="008428D9"/>
    <w:rsid w:val="0085061C"/>
    <w:rsid w:val="00865573"/>
    <w:rsid w:val="008759F6"/>
    <w:rsid w:val="00876B98"/>
    <w:rsid w:val="00884DB9"/>
    <w:rsid w:val="0089676F"/>
    <w:rsid w:val="008A31B8"/>
    <w:rsid w:val="008C3FBC"/>
    <w:rsid w:val="008C67D2"/>
    <w:rsid w:val="008E0683"/>
    <w:rsid w:val="008E6A1A"/>
    <w:rsid w:val="008F7B87"/>
    <w:rsid w:val="00902DD9"/>
    <w:rsid w:val="00903174"/>
    <w:rsid w:val="00911466"/>
    <w:rsid w:val="00911486"/>
    <w:rsid w:val="009129CA"/>
    <w:rsid w:val="009206B6"/>
    <w:rsid w:val="009263C1"/>
    <w:rsid w:val="00931C02"/>
    <w:rsid w:val="00935FFD"/>
    <w:rsid w:val="00941B4F"/>
    <w:rsid w:val="009435F4"/>
    <w:rsid w:val="00963CE3"/>
    <w:rsid w:val="00964A13"/>
    <w:rsid w:val="00964F18"/>
    <w:rsid w:val="0097039F"/>
    <w:rsid w:val="00974424"/>
    <w:rsid w:val="0097572F"/>
    <w:rsid w:val="009759F3"/>
    <w:rsid w:val="00987F76"/>
    <w:rsid w:val="00991BF9"/>
    <w:rsid w:val="00993088"/>
    <w:rsid w:val="0099664F"/>
    <w:rsid w:val="00997D5D"/>
    <w:rsid w:val="009A0447"/>
    <w:rsid w:val="009A77D1"/>
    <w:rsid w:val="009B034F"/>
    <w:rsid w:val="009B4A51"/>
    <w:rsid w:val="009C28B1"/>
    <w:rsid w:val="009C4D14"/>
    <w:rsid w:val="009C61AD"/>
    <w:rsid w:val="009D373D"/>
    <w:rsid w:val="009D77CD"/>
    <w:rsid w:val="009E1D05"/>
    <w:rsid w:val="009F7283"/>
    <w:rsid w:val="00A00C86"/>
    <w:rsid w:val="00A00E7F"/>
    <w:rsid w:val="00A11B0C"/>
    <w:rsid w:val="00A27906"/>
    <w:rsid w:val="00A305CE"/>
    <w:rsid w:val="00A33B35"/>
    <w:rsid w:val="00A36419"/>
    <w:rsid w:val="00A37AE0"/>
    <w:rsid w:val="00A5157B"/>
    <w:rsid w:val="00A578C2"/>
    <w:rsid w:val="00A61CF6"/>
    <w:rsid w:val="00A70EBC"/>
    <w:rsid w:val="00A72652"/>
    <w:rsid w:val="00A75D1C"/>
    <w:rsid w:val="00A76CFA"/>
    <w:rsid w:val="00A77231"/>
    <w:rsid w:val="00A809AA"/>
    <w:rsid w:val="00A80CD5"/>
    <w:rsid w:val="00A81BF7"/>
    <w:rsid w:val="00A849B3"/>
    <w:rsid w:val="00A8510D"/>
    <w:rsid w:val="00A86AF3"/>
    <w:rsid w:val="00A90BDC"/>
    <w:rsid w:val="00A95477"/>
    <w:rsid w:val="00A955D1"/>
    <w:rsid w:val="00A975A9"/>
    <w:rsid w:val="00AA3192"/>
    <w:rsid w:val="00AA43CC"/>
    <w:rsid w:val="00AB02FB"/>
    <w:rsid w:val="00AB3608"/>
    <w:rsid w:val="00AC2F3A"/>
    <w:rsid w:val="00AC5C48"/>
    <w:rsid w:val="00AE050D"/>
    <w:rsid w:val="00AF0CF4"/>
    <w:rsid w:val="00AF2252"/>
    <w:rsid w:val="00B1129F"/>
    <w:rsid w:val="00B11D61"/>
    <w:rsid w:val="00B12F51"/>
    <w:rsid w:val="00B24144"/>
    <w:rsid w:val="00B247E9"/>
    <w:rsid w:val="00B2751E"/>
    <w:rsid w:val="00B334A9"/>
    <w:rsid w:val="00B3650C"/>
    <w:rsid w:val="00B460B8"/>
    <w:rsid w:val="00B50A2B"/>
    <w:rsid w:val="00B5518F"/>
    <w:rsid w:val="00B57A44"/>
    <w:rsid w:val="00B60E8C"/>
    <w:rsid w:val="00B64BFA"/>
    <w:rsid w:val="00B65C38"/>
    <w:rsid w:val="00B8216F"/>
    <w:rsid w:val="00B853F1"/>
    <w:rsid w:val="00B85DE4"/>
    <w:rsid w:val="00B8656C"/>
    <w:rsid w:val="00B91A31"/>
    <w:rsid w:val="00B921C5"/>
    <w:rsid w:val="00B95768"/>
    <w:rsid w:val="00BA6DB4"/>
    <w:rsid w:val="00BB3CBC"/>
    <w:rsid w:val="00BB7EC5"/>
    <w:rsid w:val="00BC016A"/>
    <w:rsid w:val="00BC3F3C"/>
    <w:rsid w:val="00BC5BB2"/>
    <w:rsid w:val="00BC6896"/>
    <w:rsid w:val="00BF3F54"/>
    <w:rsid w:val="00C00697"/>
    <w:rsid w:val="00C0376C"/>
    <w:rsid w:val="00C03F09"/>
    <w:rsid w:val="00C06D77"/>
    <w:rsid w:val="00C06E7F"/>
    <w:rsid w:val="00C1109F"/>
    <w:rsid w:val="00C14BA6"/>
    <w:rsid w:val="00C33649"/>
    <w:rsid w:val="00C347E7"/>
    <w:rsid w:val="00C3485C"/>
    <w:rsid w:val="00C41DA1"/>
    <w:rsid w:val="00C420D4"/>
    <w:rsid w:val="00C71C6A"/>
    <w:rsid w:val="00C84DC3"/>
    <w:rsid w:val="00CA2004"/>
    <w:rsid w:val="00CB334D"/>
    <w:rsid w:val="00CB3C44"/>
    <w:rsid w:val="00CB56D5"/>
    <w:rsid w:val="00CD0771"/>
    <w:rsid w:val="00CD1CEB"/>
    <w:rsid w:val="00CD1EA8"/>
    <w:rsid w:val="00CD6E76"/>
    <w:rsid w:val="00CE3515"/>
    <w:rsid w:val="00CF0CE8"/>
    <w:rsid w:val="00CF5ABD"/>
    <w:rsid w:val="00CF63CE"/>
    <w:rsid w:val="00D067C1"/>
    <w:rsid w:val="00D13B13"/>
    <w:rsid w:val="00D16D46"/>
    <w:rsid w:val="00D16E78"/>
    <w:rsid w:val="00D201D3"/>
    <w:rsid w:val="00D20C2A"/>
    <w:rsid w:val="00D24BCF"/>
    <w:rsid w:val="00D26A64"/>
    <w:rsid w:val="00D31FF4"/>
    <w:rsid w:val="00D328FA"/>
    <w:rsid w:val="00D33BF9"/>
    <w:rsid w:val="00D344F0"/>
    <w:rsid w:val="00D4221A"/>
    <w:rsid w:val="00D52B9A"/>
    <w:rsid w:val="00D5367E"/>
    <w:rsid w:val="00D57C7E"/>
    <w:rsid w:val="00D724CC"/>
    <w:rsid w:val="00D7285C"/>
    <w:rsid w:val="00D7376F"/>
    <w:rsid w:val="00D77D27"/>
    <w:rsid w:val="00D861ED"/>
    <w:rsid w:val="00D873E0"/>
    <w:rsid w:val="00D94F8B"/>
    <w:rsid w:val="00DA147A"/>
    <w:rsid w:val="00DA4EA9"/>
    <w:rsid w:val="00DA5988"/>
    <w:rsid w:val="00DC317C"/>
    <w:rsid w:val="00DC36E9"/>
    <w:rsid w:val="00DC4FF2"/>
    <w:rsid w:val="00DC5411"/>
    <w:rsid w:val="00DC79CC"/>
    <w:rsid w:val="00DD0433"/>
    <w:rsid w:val="00DD325A"/>
    <w:rsid w:val="00DE2D45"/>
    <w:rsid w:val="00DE68D2"/>
    <w:rsid w:val="00DF6956"/>
    <w:rsid w:val="00E134F4"/>
    <w:rsid w:val="00E23568"/>
    <w:rsid w:val="00E245B5"/>
    <w:rsid w:val="00E24C20"/>
    <w:rsid w:val="00E33BBA"/>
    <w:rsid w:val="00E33E1B"/>
    <w:rsid w:val="00E34D3E"/>
    <w:rsid w:val="00E42D96"/>
    <w:rsid w:val="00E42DC3"/>
    <w:rsid w:val="00E42F3A"/>
    <w:rsid w:val="00E81BC3"/>
    <w:rsid w:val="00E81C5E"/>
    <w:rsid w:val="00E83B3C"/>
    <w:rsid w:val="00E8736B"/>
    <w:rsid w:val="00E87A1D"/>
    <w:rsid w:val="00E90275"/>
    <w:rsid w:val="00E925D4"/>
    <w:rsid w:val="00E97226"/>
    <w:rsid w:val="00EA1CCB"/>
    <w:rsid w:val="00EB4B57"/>
    <w:rsid w:val="00EB63B3"/>
    <w:rsid w:val="00EC3871"/>
    <w:rsid w:val="00EC3BF9"/>
    <w:rsid w:val="00EC45F0"/>
    <w:rsid w:val="00ED2502"/>
    <w:rsid w:val="00ED6878"/>
    <w:rsid w:val="00ED7562"/>
    <w:rsid w:val="00EF0EC8"/>
    <w:rsid w:val="00EF14C8"/>
    <w:rsid w:val="00EF33CD"/>
    <w:rsid w:val="00EF5694"/>
    <w:rsid w:val="00F1473B"/>
    <w:rsid w:val="00F2267A"/>
    <w:rsid w:val="00F27049"/>
    <w:rsid w:val="00F300CB"/>
    <w:rsid w:val="00F42C3A"/>
    <w:rsid w:val="00F52BCC"/>
    <w:rsid w:val="00F5313F"/>
    <w:rsid w:val="00F57581"/>
    <w:rsid w:val="00F725B5"/>
    <w:rsid w:val="00F7634B"/>
    <w:rsid w:val="00F81A48"/>
    <w:rsid w:val="00F82676"/>
    <w:rsid w:val="00FB1DB3"/>
    <w:rsid w:val="00FC5B1F"/>
    <w:rsid w:val="00FD17C9"/>
    <w:rsid w:val="00FD1EF0"/>
    <w:rsid w:val="00FD2A5B"/>
    <w:rsid w:val="00FD632C"/>
    <w:rsid w:val="00FE0E1C"/>
    <w:rsid w:val="00FE30EC"/>
    <w:rsid w:val="00FE6A5C"/>
    <w:rsid w:val="00FF79FD"/>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F40D7F"/>
  <w15:docId w15:val="{A1566413-8115-48EA-A4F0-AA43C3D3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aliases w:val="Bullet List,FooterText,List Paragraph1"/>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245F1F"/>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 w:type="character" w:styleId="UnresolvedMention">
    <w:name w:val="Unresolved Mention"/>
    <w:basedOn w:val="DefaultParagraphFont"/>
    <w:uiPriority w:val="99"/>
    <w:semiHidden/>
    <w:unhideWhenUsed/>
    <w:rsid w:val="005138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aetheredge@cdc.gov" TargetMode="External"/><Relationship Id="rId18" Type="http://schemas.openxmlformats.org/officeDocument/2006/relationships/hyperlink" Target="mailto:ddiaz@cdc.gov"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xko3@cdc.gov"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epq5@cdc.gov" TargetMode="External"/><Relationship Id="rId20" Type="http://schemas.openxmlformats.org/officeDocument/2006/relationships/hyperlink" Target="mailto:Isabela.Lucas@icf.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mailto:sob4@cdc.go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lrl8@cdc.gov"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oc4@cdc.gov" TargetMode="External"/><Relationship Id="rId22" Type="http://schemas.openxmlformats.org/officeDocument/2006/relationships/header" Target="header2.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2.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OSTLTSDOC-727-208</_dlc_DocId>
    <_dlc_DocIdUrl xmlns="b5c0ca00-073d-4463-9985-b654f14791fe">
      <Url>https://esp.cdc.gov/sites/ostlts/pip/osc/_layouts/15/DocIdRedir.aspx?ID=OSTLTSDOC-727-208</Url>
      <Description>OSTLTSDOC-727-208</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925CB-368E-4B24-8D1B-D121B22503A8}">
  <ds:schemaRefs>
    <ds:schemaRef ds:uri="http://schemas.microsoft.com/office/2006/metadata/customXsn"/>
  </ds:schemaRefs>
</ds:datastoreItem>
</file>

<file path=customXml/itemProps2.xml><?xml version="1.0" encoding="utf-8"?>
<ds:datastoreItem xmlns:ds="http://schemas.openxmlformats.org/officeDocument/2006/customXml" ds:itemID="{8B95B777-3F42-4897-A121-B3BDBD28A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2922CF-B29C-4956-A028-BC7AB2BC4045}">
  <ds:schemaRefs>
    <ds:schemaRef ds:uri="http://schemas.microsoft.com/sharepoint/events"/>
  </ds:schemaRefs>
</ds:datastoreItem>
</file>

<file path=customXml/itemProps4.xml><?xml version="1.0" encoding="utf-8"?>
<ds:datastoreItem xmlns:ds="http://schemas.openxmlformats.org/officeDocument/2006/customXml" ds:itemID="{CD8E0FC4-2662-41C8-808D-8F2802945D10}">
  <ds:schemaRefs>
    <ds:schemaRef ds:uri="http://schemas.microsoft.com/office/2006/metadata/properties"/>
    <ds:schemaRef ds:uri="http://schemas.microsoft.com/office/infopath/2007/PartnerControls"/>
    <ds:schemaRef ds:uri="bd99c180-279b-44c3-9486-dd050336677e"/>
    <ds:schemaRef ds:uri="15b1c282-9287-45cb-9b41-eae3a76919a0"/>
    <ds:schemaRef ds:uri="b5c0ca00-073d-4463-9985-b654f14791fe"/>
  </ds:schemaRefs>
</ds:datastoreItem>
</file>

<file path=customXml/itemProps5.xml><?xml version="1.0" encoding="utf-8"?>
<ds:datastoreItem xmlns:ds="http://schemas.openxmlformats.org/officeDocument/2006/customXml" ds:itemID="{ECEB76EF-30D2-4593-85A2-AA2938519516}">
  <ds:schemaRefs>
    <ds:schemaRef ds:uri="http://schemas.microsoft.com/sharepoint/v3/contenttype/forms"/>
  </ds:schemaRefs>
</ds:datastoreItem>
</file>

<file path=customXml/itemProps6.xml><?xml version="1.0" encoding="utf-8"?>
<ds:datastoreItem xmlns:ds="http://schemas.openxmlformats.org/officeDocument/2006/customXml" ds:itemID="{2D0ADFCA-5460-4E70-B691-B57C2087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TotalTime>
  <Pages>6</Pages>
  <Words>1694</Words>
  <Characters>9658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Gilliam, Adzua H. (CDC/DDPHSIS/CSTLTS/OD)</dc:creator>
  <cp:lastModifiedBy>Anderson, Brittany (CDC/DDPHSIS/CSTLTS/OD)</cp:lastModifiedBy>
  <cp:revision>5</cp:revision>
  <cp:lastPrinted>2011-06-07T15:53:00Z</cp:lastPrinted>
  <dcterms:created xsi:type="dcterms:W3CDTF">2020-06-26T17:54:00Z</dcterms:created>
  <dcterms:modified xsi:type="dcterms:W3CDTF">2020-06-29T18:36:00Z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c852d5d2-1948-4f94-8bf3-e03b415e3ea5</vt:lpwstr>
  </property>
  <property fmtid="{D5CDD505-2E9C-101B-9397-08002B2CF9AE}" pid="4" name="MSIP_Label_7b94a7b8-f06c-4dfe-bdcc-9b548fd58c31_Enabled">
    <vt:lpwstr>True</vt:lpwstr>
  </property>
  <property fmtid="{D5CDD505-2E9C-101B-9397-08002B2CF9AE}" pid="5" name="MSIP_Label_7b94a7b8-f06c-4dfe-bdcc-9b548fd58c31_SiteId">
    <vt:lpwstr>9ce70869-60db-44fd-abe8-d2767077fc8f</vt:lpwstr>
  </property>
  <property fmtid="{D5CDD505-2E9C-101B-9397-08002B2CF9AE}" pid="6" name="MSIP_Label_7b94a7b8-f06c-4dfe-bdcc-9b548fd58c31_Owner">
    <vt:lpwstr>njg6@cdc.gov</vt:lpwstr>
  </property>
  <property fmtid="{D5CDD505-2E9C-101B-9397-08002B2CF9AE}" pid="7" name="MSIP_Label_7b94a7b8-f06c-4dfe-bdcc-9b548fd58c31_SetDate">
    <vt:lpwstr>2020-06-19T14:31:18.5536517Z</vt:lpwstr>
  </property>
  <property fmtid="{D5CDD505-2E9C-101B-9397-08002B2CF9AE}" pid="8" name="MSIP_Label_7b94a7b8-f06c-4dfe-bdcc-9b548fd58c31_Name">
    <vt:lpwstr>General</vt:lpwstr>
  </property>
  <property fmtid="{D5CDD505-2E9C-101B-9397-08002B2CF9AE}" pid="9" name="MSIP_Label_7b94a7b8-f06c-4dfe-bdcc-9b548fd58c31_Application">
    <vt:lpwstr>Microsoft Azure Information Protection</vt:lpwstr>
  </property>
  <property fmtid="{D5CDD505-2E9C-101B-9397-08002B2CF9AE}" pid="10" name="MSIP_Label_7b94a7b8-f06c-4dfe-bdcc-9b548fd58c31_ActionId">
    <vt:lpwstr>aa399231-19ff-4d80-a6c3-8fdb0e01f77b</vt:lpwstr>
  </property>
  <property fmtid="{D5CDD505-2E9C-101B-9397-08002B2CF9AE}" pid="11" name="MSIP_Label_7b94a7b8-f06c-4dfe-bdcc-9b548fd58c31_Extended_MSFT_Method">
    <vt:lpwstr>Manual</vt:lpwstr>
  </property>
  <property fmtid="{D5CDD505-2E9C-101B-9397-08002B2CF9AE}" pid="12" name="Sensitivity">
    <vt:lpwstr>General</vt:lpwstr>
  </property>
</Properties>
</file>