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A51" w:rsidP="00A1453A" w:rsidRDefault="009B4A51" w14:paraId="10888FE7" w14:textId="05670603">
      <w:pPr>
        <w:ind w:left="0"/>
      </w:pPr>
    </w:p>
    <w:p w:rsidR="00667C89" w:rsidP="00A1453A" w:rsidRDefault="00667C89" w14:paraId="62055567" w14:textId="77777777">
      <w:pPr>
        <w:ind w:left="0"/>
      </w:pPr>
    </w:p>
    <w:p w:rsidR="009B4A51" w:rsidP="004135D5" w:rsidRDefault="009B4A51" w14:paraId="01AA2B03" w14:textId="77777777">
      <w:pPr>
        <w:pStyle w:val="Heading6"/>
      </w:pPr>
    </w:p>
    <w:p w:rsidRPr="00A1453A" w:rsidR="00A1453A" w:rsidP="00A1453A" w:rsidRDefault="00A1453A" w14:paraId="7840B65A" w14:textId="77777777"/>
    <w:p w:rsidR="009B4A51" w:rsidP="00CA5840" w:rsidRDefault="009B4A51" w14:paraId="65A0979A" w14:textId="77777777">
      <w:pPr>
        <w:ind w:left="0"/>
      </w:pPr>
    </w:p>
    <w:p w:rsidRPr="00941640" w:rsidR="00716F94" w:rsidP="00CA5840" w:rsidRDefault="000A5EDA" w14:paraId="5CE4CC88" w14:textId="639C7432">
      <w:pPr>
        <w:pStyle w:val="Heading1"/>
        <w:ind w:left="0"/>
      </w:pPr>
      <w:r w:rsidRPr="00941640">
        <w:t>Assessment of STLT Public Health Agencies to Guide the Update of CDC/ATSDR Cancer Cluster Guidelines</w:t>
      </w:r>
    </w:p>
    <w:p w:rsidR="00AA3192" w:rsidP="00CA5840" w:rsidRDefault="00AA3192" w14:paraId="50875239" w14:textId="77777777">
      <w:pPr>
        <w:ind w:left="0"/>
      </w:pPr>
    </w:p>
    <w:p w:rsidRPr="00AA3192" w:rsidR="00716F94" w:rsidP="00CA5840" w:rsidRDefault="00A96F35" w14:paraId="726A4638" w14:textId="683B1C63">
      <w:pPr>
        <w:ind w:left="0"/>
        <w:jc w:val="center"/>
      </w:pPr>
      <w:r>
        <w:t>CSTLTS</w:t>
      </w:r>
      <w:r w:rsidR="00316F00">
        <w:t xml:space="preserve"> Generic Information Collection</w:t>
      </w:r>
      <w:r w:rsidRPr="00AA3192" w:rsidR="00484011">
        <w:t xml:space="preserve"> Request</w:t>
      </w:r>
    </w:p>
    <w:p w:rsidRPr="00AA3192" w:rsidR="00484011" w:rsidP="00CA5840" w:rsidRDefault="00484011" w14:paraId="7214D9A9" w14:textId="77777777">
      <w:pPr>
        <w:ind w:left="0"/>
        <w:jc w:val="center"/>
      </w:pPr>
      <w:r w:rsidRPr="00AA3192">
        <w:t>OMB No. 0920-0879</w:t>
      </w:r>
    </w:p>
    <w:p w:rsidR="009B4A51" w:rsidP="00CA5840" w:rsidRDefault="009B4A51" w14:paraId="24EF2A66" w14:textId="77777777">
      <w:pPr>
        <w:ind w:left="0"/>
      </w:pPr>
    </w:p>
    <w:p w:rsidR="00AA3192" w:rsidP="00CA5840" w:rsidRDefault="00AA3192" w14:paraId="063A443B" w14:textId="77777777">
      <w:pPr>
        <w:ind w:left="0"/>
      </w:pPr>
    </w:p>
    <w:p w:rsidR="009B4A51" w:rsidP="00A1453A" w:rsidRDefault="009B4A51" w14:paraId="04582F41" w14:textId="77777777">
      <w:pPr>
        <w:pStyle w:val="Heading2"/>
        <w:ind w:left="0"/>
      </w:pPr>
      <w:r w:rsidRPr="007D6163">
        <w:t>Supporting Statement – Section A</w:t>
      </w:r>
    </w:p>
    <w:p w:rsidR="00187D5A" w:rsidP="00CA5840" w:rsidRDefault="00187D5A" w14:paraId="46197D58" w14:textId="77777777">
      <w:pPr>
        <w:ind w:left="0"/>
      </w:pPr>
    </w:p>
    <w:p w:rsidRPr="00D558CD" w:rsidR="009B4A51" w:rsidP="00CA5840" w:rsidRDefault="009B4A51" w14:paraId="5AEA83AA" w14:textId="610DDD7B">
      <w:pPr>
        <w:ind w:left="0"/>
        <w:jc w:val="center"/>
      </w:pPr>
      <w:r w:rsidRPr="00AA3192">
        <w:t>Submitted:</w:t>
      </w:r>
      <w:r w:rsidRPr="00713412">
        <w:rPr>
          <w:color w:val="0070C0"/>
        </w:rPr>
        <w:t xml:space="preserve"> </w:t>
      </w:r>
      <w:r w:rsidRPr="00D558CD" w:rsidR="00D558CD">
        <w:t>6/29/2020</w:t>
      </w:r>
    </w:p>
    <w:p w:rsidR="0023613C" w:rsidP="00D36535" w:rsidRDefault="0023613C" w14:paraId="492146F5" w14:textId="19A3A410">
      <w:pPr>
        <w:ind w:left="0"/>
      </w:pPr>
    </w:p>
    <w:p w:rsidR="00D36535" w:rsidP="00D36535" w:rsidRDefault="00D36535" w14:paraId="35D9B3A8" w14:textId="7BCE168F">
      <w:pPr>
        <w:ind w:left="0"/>
      </w:pPr>
    </w:p>
    <w:p w:rsidR="00D36535" w:rsidP="00D36535" w:rsidRDefault="00D36535" w14:paraId="2C4466AF" w14:textId="57240F6E">
      <w:pPr>
        <w:ind w:left="0"/>
      </w:pPr>
    </w:p>
    <w:p w:rsidR="00D36535" w:rsidP="00D36535" w:rsidRDefault="00D36535" w14:paraId="1D70D038" w14:textId="0BF0C558">
      <w:pPr>
        <w:ind w:left="0"/>
      </w:pPr>
    </w:p>
    <w:p w:rsidR="00D36535" w:rsidP="00D36535" w:rsidRDefault="00D36535" w14:paraId="2ECF8202" w14:textId="69BB53AD">
      <w:pPr>
        <w:ind w:left="0"/>
      </w:pPr>
    </w:p>
    <w:p w:rsidR="00D36535" w:rsidP="00D36535" w:rsidRDefault="00D36535" w14:paraId="1121B7CB" w14:textId="77777777">
      <w:pPr>
        <w:ind w:left="0"/>
      </w:pPr>
    </w:p>
    <w:p w:rsidR="00AA3192" w:rsidP="00A1453A" w:rsidRDefault="00AA3192" w14:paraId="6DFF95CC" w14:textId="77777777">
      <w:pPr>
        <w:ind w:left="0"/>
      </w:pPr>
    </w:p>
    <w:p w:rsidR="00441CC3" w:rsidP="00CA5840" w:rsidRDefault="00716F94" w14:paraId="4ADAC43E" w14:textId="7E9260FB">
      <w:pPr>
        <w:ind w:left="0"/>
        <w:rPr>
          <w:b/>
          <w:u w:val="single"/>
        </w:rPr>
      </w:pPr>
      <w:r w:rsidRPr="00CA5840">
        <w:rPr>
          <w:b/>
          <w:u w:val="single"/>
        </w:rPr>
        <w:t>P</w:t>
      </w:r>
      <w:r w:rsidRPr="00CA5840" w:rsidR="00667C89">
        <w:rPr>
          <w:b/>
          <w:u w:val="single"/>
        </w:rPr>
        <w:t>rogram Official/Project Officer</w:t>
      </w:r>
    </w:p>
    <w:p w:rsidR="00D22492" w:rsidP="00CA5840" w:rsidRDefault="00D22492" w14:paraId="509F8013" w14:textId="77777777">
      <w:pPr>
        <w:ind w:left="0"/>
        <w:rPr>
          <w:b/>
          <w:u w:val="single"/>
        </w:rPr>
      </w:pPr>
    </w:p>
    <w:p w:rsidRPr="00493585" w:rsidR="00321B51" w:rsidP="00CA5840" w:rsidRDefault="004C57AB" w14:paraId="45A76703" w14:textId="74C3FC05">
      <w:pPr>
        <w:ind w:left="0"/>
      </w:pPr>
      <w:r w:rsidRPr="00493585">
        <w:t>Alisha Etheredge, MS, MPH</w:t>
      </w:r>
    </w:p>
    <w:p w:rsidRPr="00493585" w:rsidR="00321B51" w:rsidP="00CA5840" w:rsidRDefault="004C57AB" w14:paraId="4227B036" w14:textId="1085F972">
      <w:pPr>
        <w:ind w:left="0"/>
      </w:pPr>
      <w:r w:rsidRPr="00493585">
        <w:t>Public Health Advisor</w:t>
      </w:r>
    </w:p>
    <w:p w:rsidRPr="00493585" w:rsidR="00321B51" w:rsidP="00CA5840" w:rsidRDefault="004C57AB" w14:paraId="079FE475" w14:textId="02B23667">
      <w:pPr>
        <w:ind w:left="0"/>
      </w:pPr>
      <w:r w:rsidRPr="00493585">
        <w:t>Centers for Disease Control and Prevention</w:t>
      </w:r>
    </w:p>
    <w:p w:rsidRPr="00493585" w:rsidR="00321B51" w:rsidP="00CA5840" w:rsidRDefault="004C57AB" w14:paraId="1C0C1201" w14:textId="639C5AF1">
      <w:pPr>
        <w:ind w:left="0"/>
      </w:pPr>
      <w:r w:rsidRPr="00493585">
        <w:t>4770 Buford Highway, S106-6, Atlanta, GA 30341</w:t>
      </w:r>
    </w:p>
    <w:p w:rsidRPr="00493585" w:rsidR="00321B51" w:rsidP="00CA5840" w:rsidRDefault="004C57AB" w14:paraId="161B7E5E" w14:textId="55A4151D">
      <w:pPr>
        <w:ind w:left="0"/>
      </w:pPr>
      <w:r w:rsidRPr="00493585">
        <w:t>Office: 770-488-7884</w:t>
      </w:r>
    </w:p>
    <w:p w:rsidRPr="00493585" w:rsidR="00321B51" w:rsidP="00CA5840" w:rsidRDefault="00321B51" w14:paraId="37CB92FF" w14:textId="79E41B71">
      <w:pPr>
        <w:ind w:left="0"/>
      </w:pPr>
      <w:r w:rsidRPr="00493585">
        <w:t>Fax</w:t>
      </w:r>
      <w:r w:rsidRPr="00493585" w:rsidR="004C57AB">
        <w:t>: 770-488-0333</w:t>
      </w:r>
    </w:p>
    <w:p w:rsidR="00321B51" w:rsidP="00CA5840" w:rsidRDefault="00DA767D" w14:paraId="17D318FB" w14:textId="5429D047">
      <w:pPr>
        <w:ind w:left="0"/>
        <w:rPr>
          <w:color w:val="0070C0"/>
        </w:rPr>
      </w:pPr>
      <w:hyperlink w:history="1" r:id="rId13">
        <w:r w:rsidRPr="00194385" w:rsidR="004C57AB">
          <w:rPr>
            <w:rStyle w:val="Hyperlink"/>
          </w:rPr>
          <w:t>aetheredge@cdc.gov</w:t>
        </w:r>
      </w:hyperlink>
      <w:r w:rsidR="004C57AB">
        <w:rPr>
          <w:color w:val="0070C0"/>
        </w:rPr>
        <w:t xml:space="preserve"> </w:t>
      </w:r>
    </w:p>
    <w:p w:rsidR="00D36535" w:rsidP="00CA5840" w:rsidRDefault="00D36535" w14:paraId="632819A8" w14:textId="146D2CBB">
      <w:pPr>
        <w:ind w:left="0"/>
        <w:rPr>
          <w:color w:val="0070C0"/>
        </w:rPr>
      </w:pPr>
    </w:p>
    <w:p w:rsidR="00D36535" w:rsidP="00CA5840" w:rsidRDefault="00D36535" w14:paraId="3B59CE96" w14:textId="7F57235C">
      <w:pPr>
        <w:ind w:left="0"/>
        <w:rPr>
          <w:color w:val="0070C0"/>
        </w:rPr>
      </w:pPr>
    </w:p>
    <w:p w:rsidR="00D36535" w:rsidP="00CA5840" w:rsidRDefault="00D36535" w14:paraId="4CF47C94" w14:textId="5A5C12DB">
      <w:pPr>
        <w:ind w:left="0"/>
        <w:rPr>
          <w:color w:val="0070C0"/>
        </w:rPr>
      </w:pPr>
    </w:p>
    <w:p w:rsidR="00D36535" w:rsidP="00CA5840" w:rsidRDefault="00D36535" w14:paraId="194C3447" w14:textId="1B7E3DAB">
      <w:pPr>
        <w:ind w:left="0"/>
        <w:rPr>
          <w:color w:val="0070C0"/>
        </w:rPr>
      </w:pPr>
    </w:p>
    <w:p w:rsidR="00D36535" w:rsidP="00CA5840" w:rsidRDefault="00D36535" w14:paraId="55109399" w14:textId="77FB438C">
      <w:pPr>
        <w:ind w:left="0"/>
        <w:rPr>
          <w:color w:val="0070C0"/>
        </w:rPr>
      </w:pPr>
    </w:p>
    <w:p w:rsidR="00D36535" w:rsidP="003860A5" w:rsidRDefault="00D36535" w14:paraId="25A62B06" w14:textId="77777777">
      <w:pPr>
        <w:pStyle w:val="Heading3"/>
        <w:ind w:left="0"/>
      </w:pPr>
      <w:bookmarkStart w:name="_Toc427752811" w:id="0"/>
    </w:p>
    <w:p w:rsidR="00D36535" w:rsidP="003860A5" w:rsidRDefault="00D36535" w14:paraId="49FA090D" w14:textId="77777777">
      <w:pPr>
        <w:pStyle w:val="Heading3"/>
        <w:ind w:left="0"/>
      </w:pPr>
    </w:p>
    <w:p w:rsidR="00D36535" w:rsidP="003860A5" w:rsidRDefault="00D36535" w14:paraId="07280E55" w14:textId="77777777">
      <w:pPr>
        <w:pStyle w:val="Heading3"/>
        <w:ind w:left="0"/>
      </w:pPr>
    </w:p>
    <w:p w:rsidR="003860A5" w:rsidP="003860A5" w:rsidRDefault="003860A5" w14:paraId="0293CBEF" w14:textId="183A1443">
      <w:pPr>
        <w:pStyle w:val="Heading3"/>
        <w:ind w:left="0"/>
      </w:pPr>
      <w:r>
        <w:lastRenderedPageBreak/>
        <w:t>Tab</w:t>
      </w:r>
      <w:bookmarkStart w:name="_GoBack" w:id="1"/>
      <w:bookmarkEnd w:id="1"/>
      <w:r>
        <w:t>le of Contents</w:t>
      </w:r>
      <w:bookmarkEnd w:id="0"/>
    </w:p>
    <w:p w:rsidRPr="003860A5" w:rsidR="003860A5" w:rsidP="003860A5" w:rsidRDefault="003860A5" w14:paraId="7B032EEB" w14:textId="77777777"/>
    <w:p w:rsidR="00CC4DAB" w:rsidRDefault="003860A5" w14:paraId="442BD5D3" w14:textId="102D6E85">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history="1" w:anchor="_Toc427752811">
        <w:r w:rsidRPr="00A94C41" w:rsidR="00CC4DAB">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576E3A">
          <w:rPr>
            <w:noProof/>
            <w:webHidden/>
          </w:rPr>
          <w:t>2</w:t>
        </w:r>
        <w:r w:rsidR="00CC4DAB">
          <w:rPr>
            <w:noProof/>
            <w:webHidden/>
          </w:rPr>
          <w:fldChar w:fldCharType="end"/>
        </w:r>
      </w:hyperlink>
    </w:p>
    <w:p w:rsidR="00CC4DAB" w:rsidRDefault="00DA767D" w14:paraId="60B6D226" w14:textId="702F55CF">
      <w:pPr>
        <w:pStyle w:val="TOC1"/>
        <w:tabs>
          <w:tab w:val="right" w:leader="dot" w:pos="9350"/>
        </w:tabs>
        <w:rPr>
          <w:rFonts w:asciiTheme="minorHAnsi" w:hAnsiTheme="minorHAnsi"/>
          <w:noProof/>
        </w:rPr>
      </w:pPr>
      <w:hyperlink w:history="1" w:anchor="_Toc427752813">
        <w:r w:rsidRPr="00A94C41" w:rsidR="00CC4DAB">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576E3A">
          <w:rPr>
            <w:noProof/>
            <w:webHidden/>
          </w:rPr>
          <w:t>3</w:t>
        </w:r>
        <w:r w:rsidR="00CC4DAB">
          <w:rPr>
            <w:noProof/>
            <w:webHidden/>
          </w:rPr>
          <w:fldChar w:fldCharType="end"/>
        </w:r>
      </w:hyperlink>
    </w:p>
    <w:p w:rsidR="00CC4DAB" w:rsidRDefault="00DA767D" w14:paraId="60A8D51E" w14:textId="7033C3AB">
      <w:pPr>
        <w:pStyle w:val="TOC2"/>
        <w:rPr>
          <w:rFonts w:asciiTheme="minorHAnsi" w:hAnsiTheme="minorHAnsi"/>
          <w:noProof/>
        </w:rPr>
      </w:pPr>
      <w:hyperlink w:history="1" w:anchor="_Toc427752814">
        <w:r w:rsidRPr="00A94C41" w:rsidR="00CC4DAB">
          <w:rPr>
            <w:rStyle w:val="Hyperlink"/>
            <w:noProof/>
          </w:rPr>
          <w:t>1.</w:t>
        </w:r>
        <w:r w:rsidR="00CC4DAB">
          <w:rPr>
            <w:rFonts w:asciiTheme="minorHAnsi" w:hAnsiTheme="minorHAnsi"/>
            <w:noProof/>
          </w:rPr>
          <w:tab/>
        </w:r>
        <w:r w:rsidRPr="00A94C41" w:rsidR="00CC4DAB">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576E3A">
          <w:rPr>
            <w:noProof/>
            <w:webHidden/>
          </w:rPr>
          <w:t>3</w:t>
        </w:r>
        <w:r w:rsidR="00CC4DAB">
          <w:rPr>
            <w:noProof/>
            <w:webHidden/>
          </w:rPr>
          <w:fldChar w:fldCharType="end"/>
        </w:r>
      </w:hyperlink>
    </w:p>
    <w:p w:rsidR="00CC4DAB" w:rsidRDefault="00DA767D" w14:paraId="4804CD85" w14:textId="69752D3B">
      <w:pPr>
        <w:pStyle w:val="TOC2"/>
        <w:rPr>
          <w:rFonts w:asciiTheme="minorHAnsi" w:hAnsiTheme="minorHAnsi"/>
          <w:noProof/>
        </w:rPr>
      </w:pPr>
      <w:hyperlink w:history="1" w:anchor="_Toc427752815">
        <w:r w:rsidRPr="00A94C41" w:rsidR="00CC4DAB">
          <w:rPr>
            <w:rStyle w:val="Hyperlink"/>
            <w:noProof/>
          </w:rPr>
          <w:t>2.</w:t>
        </w:r>
        <w:r w:rsidR="00CC4DAB">
          <w:rPr>
            <w:rFonts w:asciiTheme="minorHAnsi" w:hAnsiTheme="minorHAnsi"/>
            <w:noProof/>
          </w:rPr>
          <w:tab/>
        </w:r>
        <w:r w:rsidRPr="00A94C41" w:rsidR="00CC4DAB">
          <w:rPr>
            <w:rStyle w:val="Hyperlink"/>
            <w:noProof/>
          </w:rPr>
          <w:t>Purpose and Use of the Information Collection</w:t>
        </w:r>
        <w:r w:rsidR="00CC4DAB">
          <w:rPr>
            <w:noProof/>
            <w:webHidden/>
          </w:rPr>
          <w:tab/>
        </w:r>
        <w:r w:rsidR="006E6CE0">
          <w:rPr>
            <w:noProof/>
            <w:webHidden/>
          </w:rPr>
          <w:t>9</w:t>
        </w:r>
      </w:hyperlink>
    </w:p>
    <w:p w:rsidR="00CC4DAB" w:rsidRDefault="00DA767D" w14:paraId="7B4D3730" w14:textId="7338A1DC">
      <w:pPr>
        <w:pStyle w:val="TOC2"/>
        <w:rPr>
          <w:rFonts w:asciiTheme="minorHAnsi" w:hAnsiTheme="minorHAnsi"/>
          <w:noProof/>
        </w:rPr>
      </w:pPr>
      <w:hyperlink w:history="1" w:anchor="_Toc427752816">
        <w:r w:rsidRPr="00A94C41" w:rsidR="00CC4DAB">
          <w:rPr>
            <w:rStyle w:val="Hyperlink"/>
            <w:noProof/>
          </w:rPr>
          <w:t>3.</w:t>
        </w:r>
        <w:r w:rsidR="00CC4DAB">
          <w:rPr>
            <w:rFonts w:asciiTheme="minorHAnsi" w:hAnsiTheme="minorHAnsi"/>
            <w:noProof/>
          </w:rPr>
          <w:tab/>
        </w:r>
        <w:r w:rsidRPr="00A94C41" w:rsidR="00CC4DAB">
          <w:rPr>
            <w:rStyle w:val="Hyperlink"/>
            <w:noProof/>
          </w:rPr>
          <w:t>Use of Improved Information Technology and Burden Reduction</w:t>
        </w:r>
        <w:r w:rsidR="00CC4DAB">
          <w:rPr>
            <w:noProof/>
            <w:webHidden/>
          </w:rPr>
          <w:tab/>
        </w:r>
        <w:r w:rsidR="00CC4DAB">
          <w:rPr>
            <w:noProof/>
            <w:webHidden/>
          </w:rPr>
          <w:fldChar w:fldCharType="begin"/>
        </w:r>
        <w:r w:rsidR="00CC4DAB">
          <w:rPr>
            <w:noProof/>
            <w:webHidden/>
          </w:rPr>
          <w:instrText xml:space="preserve"> PAGEREF _Toc427752816 \h </w:instrText>
        </w:r>
        <w:r w:rsidR="00CC4DAB">
          <w:rPr>
            <w:noProof/>
            <w:webHidden/>
          </w:rPr>
        </w:r>
        <w:r w:rsidR="00CC4DAB">
          <w:rPr>
            <w:noProof/>
            <w:webHidden/>
          </w:rPr>
          <w:fldChar w:fldCharType="separate"/>
        </w:r>
        <w:r w:rsidR="00576E3A">
          <w:rPr>
            <w:noProof/>
            <w:webHidden/>
          </w:rPr>
          <w:t>9</w:t>
        </w:r>
        <w:r w:rsidR="00CC4DAB">
          <w:rPr>
            <w:noProof/>
            <w:webHidden/>
          </w:rPr>
          <w:fldChar w:fldCharType="end"/>
        </w:r>
      </w:hyperlink>
    </w:p>
    <w:p w:rsidR="00CC4DAB" w:rsidRDefault="00DA767D" w14:paraId="5C4B1E67" w14:textId="33FC11F5">
      <w:pPr>
        <w:pStyle w:val="TOC2"/>
        <w:rPr>
          <w:rFonts w:asciiTheme="minorHAnsi" w:hAnsiTheme="minorHAnsi"/>
          <w:noProof/>
        </w:rPr>
      </w:pPr>
      <w:hyperlink w:history="1" w:anchor="_Toc427752817">
        <w:r w:rsidRPr="00A94C41" w:rsidR="00CC4DAB">
          <w:rPr>
            <w:rStyle w:val="Hyperlink"/>
            <w:noProof/>
          </w:rPr>
          <w:t>4.</w:t>
        </w:r>
        <w:r w:rsidR="00CC4DAB">
          <w:rPr>
            <w:rFonts w:asciiTheme="minorHAnsi" w:hAnsiTheme="minorHAnsi"/>
            <w:noProof/>
          </w:rPr>
          <w:tab/>
        </w:r>
        <w:r w:rsidRPr="00A94C41" w:rsidR="00CC4DAB">
          <w:rPr>
            <w:rStyle w:val="Hyperlink"/>
            <w:noProof/>
          </w:rPr>
          <w:t>Efforts to Identify Duplication and Use of Similar Information</w:t>
        </w:r>
        <w:r w:rsidR="00CC4DAB">
          <w:rPr>
            <w:noProof/>
            <w:webHidden/>
          </w:rPr>
          <w:tab/>
        </w:r>
        <w:r w:rsidR="00CC4DAB">
          <w:rPr>
            <w:noProof/>
            <w:webHidden/>
          </w:rPr>
          <w:fldChar w:fldCharType="begin"/>
        </w:r>
        <w:r w:rsidR="00CC4DAB">
          <w:rPr>
            <w:noProof/>
            <w:webHidden/>
          </w:rPr>
          <w:instrText xml:space="preserve"> PAGEREF _Toc427752817 \h </w:instrText>
        </w:r>
        <w:r w:rsidR="00CC4DAB">
          <w:rPr>
            <w:noProof/>
            <w:webHidden/>
          </w:rPr>
        </w:r>
        <w:r w:rsidR="00CC4DAB">
          <w:rPr>
            <w:noProof/>
            <w:webHidden/>
          </w:rPr>
          <w:fldChar w:fldCharType="separate"/>
        </w:r>
        <w:r w:rsidR="00576E3A">
          <w:rPr>
            <w:noProof/>
            <w:webHidden/>
          </w:rPr>
          <w:t>9</w:t>
        </w:r>
        <w:r w:rsidR="00CC4DAB">
          <w:rPr>
            <w:noProof/>
            <w:webHidden/>
          </w:rPr>
          <w:fldChar w:fldCharType="end"/>
        </w:r>
      </w:hyperlink>
    </w:p>
    <w:p w:rsidR="00CC4DAB" w:rsidRDefault="00DA767D" w14:paraId="48DA39E6" w14:textId="6F330294">
      <w:pPr>
        <w:pStyle w:val="TOC2"/>
        <w:rPr>
          <w:rFonts w:asciiTheme="minorHAnsi" w:hAnsiTheme="minorHAnsi"/>
          <w:noProof/>
        </w:rPr>
      </w:pPr>
      <w:hyperlink w:history="1" w:anchor="_Toc427752818">
        <w:r w:rsidRPr="00A94C41" w:rsidR="00CC4DAB">
          <w:rPr>
            <w:rStyle w:val="Hyperlink"/>
            <w:noProof/>
          </w:rPr>
          <w:t>5.</w:t>
        </w:r>
        <w:r w:rsidR="00CC4DAB">
          <w:rPr>
            <w:rFonts w:asciiTheme="minorHAnsi" w:hAnsiTheme="minorHAnsi"/>
            <w:noProof/>
          </w:rPr>
          <w:tab/>
        </w:r>
        <w:r w:rsidRPr="00A94C41" w:rsidR="00CC4DAB">
          <w:rPr>
            <w:rStyle w:val="Hyperlink"/>
            <w:noProof/>
          </w:rPr>
          <w:t>Impact on Small Businesses or Other Small Entities</w:t>
        </w:r>
        <w:r w:rsidR="00CC4DAB">
          <w:rPr>
            <w:noProof/>
            <w:webHidden/>
          </w:rPr>
          <w:tab/>
        </w:r>
        <w:r w:rsidR="00CC4DAB">
          <w:rPr>
            <w:noProof/>
            <w:webHidden/>
          </w:rPr>
          <w:fldChar w:fldCharType="begin"/>
        </w:r>
        <w:r w:rsidR="00CC4DAB">
          <w:rPr>
            <w:noProof/>
            <w:webHidden/>
          </w:rPr>
          <w:instrText xml:space="preserve"> PAGEREF _Toc427752818 \h </w:instrText>
        </w:r>
        <w:r w:rsidR="00CC4DAB">
          <w:rPr>
            <w:noProof/>
            <w:webHidden/>
          </w:rPr>
        </w:r>
        <w:r w:rsidR="00CC4DAB">
          <w:rPr>
            <w:noProof/>
            <w:webHidden/>
          </w:rPr>
          <w:fldChar w:fldCharType="separate"/>
        </w:r>
        <w:r w:rsidR="00576E3A">
          <w:rPr>
            <w:noProof/>
            <w:webHidden/>
          </w:rPr>
          <w:t>10</w:t>
        </w:r>
        <w:r w:rsidR="00CC4DAB">
          <w:rPr>
            <w:noProof/>
            <w:webHidden/>
          </w:rPr>
          <w:fldChar w:fldCharType="end"/>
        </w:r>
      </w:hyperlink>
    </w:p>
    <w:p w:rsidR="00CC4DAB" w:rsidRDefault="00DA767D" w14:paraId="76EBF648" w14:textId="2433D205">
      <w:pPr>
        <w:pStyle w:val="TOC2"/>
        <w:rPr>
          <w:rFonts w:asciiTheme="minorHAnsi" w:hAnsiTheme="minorHAnsi"/>
          <w:noProof/>
        </w:rPr>
      </w:pPr>
      <w:hyperlink w:history="1" w:anchor="_Toc427752819">
        <w:r w:rsidRPr="00A94C41" w:rsidR="00CC4DAB">
          <w:rPr>
            <w:rStyle w:val="Hyperlink"/>
            <w:noProof/>
          </w:rPr>
          <w:t>6.</w:t>
        </w:r>
        <w:r w:rsidR="00CC4DAB">
          <w:rPr>
            <w:rFonts w:asciiTheme="minorHAnsi" w:hAnsiTheme="minorHAnsi"/>
            <w:noProof/>
          </w:rPr>
          <w:tab/>
        </w:r>
        <w:r w:rsidRPr="00A94C41" w:rsidR="00CC4DAB">
          <w:rPr>
            <w:rStyle w:val="Hyperlink"/>
            <w:noProof/>
          </w:rPr>
          <w:t xml:space="preserve">Consequences of Collecting the Information Less Frequently   </w:t>
        </w:r>
        <w:r w:rsidR="00CC4DAB">
          <w:rPr>
            <w:noProof/>
            <w:webHidden/>
          </w:rPr>
          <w:tab/>
        </w:r>
        <w:r w:rsidR="00CC4DAB">
          <w:rPr>
            <w:noProof/>
            <w:webHidden/>
          </w:rPr>
          <w:fldChar w:fldCharType="begin"/>
        </w:r>
        <w:r w:rsidR="00CC4DAB">
          <w:rPr>
            <w:noProof/>
            <w:webHidden/>
          </w:rPr>
          <w:instrText xml:space="preserve"> PAGEREF _Toc427752819 \h </w:instrText>
        </w:r>
        <w:r w:rsidR="00CC4DAB">
          <w:rPr>
            <w:noProof/>
            <w:webHidden/>
          </w:rPr>
        </w:r>
        <w:r w:rsidR="00CC4DAB">
          <w:rPr>
            <w:noProof/>
            <w:webHidden/>
          </w:rPr>
          <w:fldChar w:fldCharType="separate"/>
        </w:r>
        <w:r w:rsidR="00576E3A">
          <w:rPr>
            <w:noProof/>
            <w:webHidden/>
          </w:rPr>
          <w:t>10</w:t>
        </w:r>
        <w:r w:rsidR="00CC4DAB">
          <w:rPr>
            <w:noProof/>
            <w:webHidden/>
          </w:rPr>
          <w:fldChar w:fldCharType="end"/>
        </w:r>
      </w:hyperlink>
    </w:p>
    <w:p w:rsidR="00CC4DAB" w:rsidRDefault="00DA767D" w14:paraId="55541E2B" w14:textId="4CB241CE">
      <w:pPr>
        <w:pStyle w:val="TOC2"/>
        <w:rPr>
          <w:rFonts w:asciiTheme="minorHAnsi" w:hAnsiTheme="minorHAnsi"/>
          <w:noProof/>
        </w:rPr>
      </w:pPr>
      <w:hyperlink w:history="1" w:anchor="_Toc427752820">
        <w:r w:rsidRPr="00A94C41" w:rsidR="00CC4DAB">
          <w:rPr>
            <w:rStyle w:val="Hyperlink"/>
            <w:noProof/>
          </w:rPr>
          <w:t>7.</w:t>
        </w:r>
        <w:r w:rsidR="00CC4DAB">
          <w:rPr>
            <w:rFonts w:asciiTheme="minorHAnsi" w:hAnsiTheme="minorHAnsi"/>
            <w:noProof/>
          </w:rPr>
          <w:tab/>
        </w:r>
        <w:r w:rsidRPr="00A94C41" w:rsidR="00CC4DAB">
          <w:rPr>
            <w:rStyle w:val="Hyperlink"/>
            <w:noProof/>
          </w:rPr>
          <w:t>Special Circumstances Relating to the Guidelines of 5 CFR 1320.5</w:t>
        </w:r>
        <w:r w:rsidR="00CC4DAB">
          <w:rPr>
            <w:noProof/>
            <w:webHidden/>
          </w:rPr>
          <w:tab/>
        </w:r>
        <w:r w:rsidR="00CC4DAB">
          <w:rPr>
            <w:noProof/>
            <w:webHidden/>
          </w:rPr>
          <w:fldChar w:fldCharType="begin"/>
        </w:r>
        <w:r w:rsidR="00CC4DAB">
          <w:rPr>
            <w:noProof/>
            <w:webHidden/>
          </w:rPr>
          <w:instrText xml:space="preserve"> PAGEREF _Toc427752820 \h </w:instrText>
        </w:r>
        <w:r w:rsidR="00CC4DAB">
          <w:rPr>
            <w:noProof/>
            <w:webHidden/>
          </w:rPr>
        </w:r>
        <w:r w:rsidR="00CC4DAB">
          <w:rPr>
            <w:noProof/>
            <w:webHidden/>
          </w:rPr>
          <w:fldChar w:fldCharType="separate"/>
        </w:r>
        <w:r w:rsidR="00576E3A">
          <w:rPr>
            <w:noProof/>
            <w:webHidden/>
          </w:rPr>
          <w:t>10</w:t>
        </w:r>
        <w:r w:rsidR="00CC4DAB">
          <w:rPr>
            <w:noProof/>
            <w:webHidden/>
          </w:rPr>
          <w:fldChar w:fldCharType="end"/>
        </w:r>
      </w:hyperlink>
    </w:p>
    <w:p w:rsidR="00CC4DAB" w:rsidRDefault="00DA767D" w14:paraId="171634C3" w14:textId="461CF89C">
      <w:pPr>
        <w:pStyle w:val="TOC2"/>
        <w:rPr>
          <w:rFonts w:asciiTheme="minorHAnsi" w:hAnsiTheme="minorHAnsi"/>
          <w:noProof/>
        </w:rPr>
      </w:pPr>
      <w:hyperlink w:history="1" w:anchor="_Toc427752821">
        <w:r w:rsidRPr="00A94C41" w:rsidR="00CC4DAB">
          <w:rPr>
            <w:rStyle w:val="Hyperlink"/>
            <w:noProof/>
          </w:rPr>
          <w:t>8.</w:t>
        </w:r>
        <w:r w:rsidR="00CC4DAB">
          <w:rPr>
            <w:rFonts w:asciiTheme="minorHAnsi" w:hAnsiTheme="minorHAnsi"/>
            <w:noProof/>
          </w:rPr>
          <w:tab/>
        </w:r>
        <w:r w:rsidRPr="00A94C41" w:rsidR="00CC4DAB">
          <w:rPr>
            <w:rStyle w:val="Hyperlink"/>
            <w:noProof/>
          </w:rPr>
          <w:t>Comments in Response to the Federal Register Notice and Efforts to Consult Outside the Agency</w:t>
        </w:r>
        <w:r w:rsidR="00CC4DAB">
          <w:rPr>
            <w:noProof/>
            <w:webHidden/>
          </w:rPr>
          <w:tab/>
        </w:r>
        <w:r w:rsidR="00CC4DAB">
          <w:rPr>
            <w:noProof/>
            <w:webHidden/>
          </w:rPr>
          <w:fldChar w:fldCharType="begin"/>
        </w:r>
        <w:r w:rsidR="00CC4DAB">
          <w:rPr>
            <w:noProof/>
            <w:webHidden/>
          </w:rPr>
          <w:instrText xml:space="preserve"> PAGEREF _Toc427752821 \h </w:instrText>
        </w:r>
        <w:r w:rsidR="00CC4DAB">
          <w:rPr>
            <w:noProof/>
            <w:webHidden/>
          </w:rPr>
        </w:r>
        <w:r w:rsidR="00CC4DAB">
          <w:rPr>
            <w:noProof/>
            <w:webHidden/>
          </w:rPr>
          <w:fldChar w:fldCharType="separate"/>
        </w:r>
        <w:r w:rsidR="00576E3A">
          <w:rPr>
            <w:noProof/>
            <w:webHidden/>
          </w:rPr>
          <w:t>10</w:t>
        </w:r>
        <w:r w:rsidR="00CC4DAB">
          <w:rPr>
            <w:noProof/>
            <w:webHidden/>
          </w:rPr>
          <w:fldChar w:fldCharType="end"/>
        </w:r>
      </w:hyperlink>
    </w:p>
    <w:p w:rsidR="00CC4DAB" w:rsidRDefault="00DA767D" w14:paraId="49F2C7D9" w14:textId="4EBF48A4">
      <w:pPr>
        <w:pStyle w:val="TOC2"/>
        <w:rPr>
          <w:rFonts w:asciiTheme="minorHAnsi" w:hAnsiTheme="minorHAnsi"/>
          <w:noProof/>
        </w:rPr>
      </w:pPr>
      <w:hyperlink w:history="1" w:anchor="_Toc427752822">
        <w:r w:rsidRPr="00A94C41" w:rsidR="00CC4DAB">
          <w:rPr>
            <w:rStyle w:val="Hyperlink"/>
            <w:noProof/>
          </w:rPr>
          <w:t>9.</w:t>
        </w:r>
        <w:r w:rsidR="00CC4DAB">
          <w:rPr>
            <w:rFonts w:asciiTheme="minorHAnsi" w:hAnsiTheme="minorHAnsi"/>
            <w:noProof/>
          </w:rPr>
          <w:tab/>
        </w:r>
        <w:r w:rsidRPr="00A94C41" w:rsidR="00CC4DAB">
          <w:rPr>
            <w:rStyle w:val="Hyperlink"/>
            <w:noProof/>
          </w:rPr>
          <w:t>Explanation of Any Payment or Gift to Respondents</w:t>
        </w:r>
        <w:r w:rsidR="00CC4DAB">
          <w:rPr>
            <w:noProof/>
            <w:webHidden/>
          </w:rPr>
          <w:tab/>
        </w:r>
        <w:r w:rsidR="00CC4DAB">
          <w:rPr>
            <w:noProof/>
            <w:webHidden/>
          </w:rPr>
          <w:fldChar w:fldCharType="begin"/>
        </w:r>
        <w:r w:rsidR="00CC4DAB">
          <w:rPr>
            <w:noProof/>
            <w:webHidden/>
          </w:rPr>
          <w:instrText xml:space="preserve"> PAGEREF _Toc427752822 \h </w:instrText>
        </w:r>
        <w:r w:rsidR="00CC4DAB">
          <w:rPr>
            <w:noProof/>
            <w:webHidden/>
          </w:rPr>
        </w:r>
        <w:r w:rsidR="00CC4DAB">
          <w:rPr>
            <w:noProof/>
            <w:webHidden/>
          </w:rPr>
          <w:fldChar w:fldCharType="separate"/>
        </w:r>
        <w:r w:rsidR="00576E3A">
          <w:rPr>
            <w:noProof/>
            <w:webHidden/>
          </w:rPr>
          <w:t>11</w:t>
        </w:r>
        <w:r w:rsidR="00CC4DAB">
          <w:rPr>
            <w:noProof/>
            <w:webHidden/>
          </w:rPr>
          <w:fldChar w:fldCharType="end"/>
        </w:r>
      </w:hyperlink>
    </w:p>
    <w:p w:rsidR="00CC4DAB" w:rsidRDefault="00DA767D" w14:paraId="01E9B3B7" w14:textId="4CC49E51">
      <w:pPr>
        <w:pStyle w:val="TOC2"/>
        <w:rPr>
          <w:rFonts w:asciiTheme="minorHAnsi" w:hAnsiTheme="minorHAnsi"/>
          <w:noProof/>
        </w:rPr>
      </w:pPr>
      <w:hyperlink w:history="1" w:anchor="_Toc427752823">
        <w:r w:rsidRPr="00A94C41" w:rsidR="00CC4DAB">
          <w:rPr>
            <w:rStyle w:val="Hyperlink"/>
            <w:noProof/>
          </w:rPr>
          <w:t>10.</w:t>
        </w:r>
        <w:r w:rsidR="00CC4DAB">
          <w:rPr>
            <w:rFonts w:asciiTheme="minorHAnsi" w:hAnsiTheme="minorHAnsi"/>
            <w:noProof/>
          </w:rPr>
          <w:tab/>
        </w:r>
        <w:r w:rsidRPr="00A94C41" w:rsidR="00CC4DAB">
          <w:rPr>
            <w:rStyle w:val="Hyperlink"/>
            <w:noProof/>
          </w:rPr>
          <w:t>Protection of the Privacy and Confidentiality of Information Provided by Respondents</w:t>
        </w:r>
        <w:r w:rsidR="00CC4DAB">
          <w:rPr>
            <w:noProof/>
            <w:webHidden/>
          </w:rPr>
          <w:tab/>
        </w:r>
        <w:r w:rsidR="00CC4DAB">
          <w:rPr>
            <w:noProof/>
            <w:webHidden/>
          </w:rPr>
          <w:fldChar w:fldCharType="begin"/>
        </w:r>
        <w:r w:rsidR="00CC4DAB">
          <w:rPr>
            <w:noProof/>
            <w:webHidden/>
          </w:rPr>
          <w:instrText xml:space="preserve"> PAGEREF _Toc427752823 \h </w:instrText>
        </w:r>
        <w:r w:rsidR="00CC4DAB">
          <w:rPr>
            <w:noProof/>
            <w:webHidden/>
          </w:rPr>
        </w:r>
        <w:r w:rsidR="00CC4DAB">
          <w:rPr>
            <w:noProof/>
            <w:webHidden/>
          </w:rPr>
          <w:fldChar w:fldCharType="separate"/>
        </w:r>
        <w:r w:rsidR="00576E3A">
          <w:rPr>
            <w:noProof/>
            <w:webHidden/>
          </w:rPr>
          <w:t>11</w:t>
        </w:r>
        <w:r w:rsidR="00CC4DAB">
          <w:rPr>
            <w:noProof/>
            <w:webHidden/>
          </w:rPr>
          <w:fldChar w:fldCharType="end"/>
        </w:r>
      </w:hyperlink>
    </w:p>
    <w:p w:rsidR="00CC4DAB" w:rsidRDefault="00DA767D" w14:paraId="7DA02BD3" w14:textId="78158C83">
      <w:pPr>
        <w:pStyle w:val="TOC2"/>
        <w:rPr>
          <w:rFonts w:asciiTheme="minorHAnsi" w:hAnsiTheme="minorHAnsi"/>
          <w:noProof/>
        </w:rPr>
      </w:pPr>
      <w:hyperlink w:history="1" w:anchor="_Toc427752824">
        <w:r w:rsidRPr="00A94C41" w:rsidR="00CC4DAB">
          <w:rPr>
            <w:rStyle w:val="Hyperlink"/>
            <w:noProof/>
          </w:rPr>
          <w:t>11.</w:t>
        </w:r>
        <w:r w:rsidR="00CC4DAB">
          <w:rPr>
            <w:rFonts w:asciiTheme="minorHAnsi" w:hAnsiTheme="minorHAnsi"/>
            <w:noProof/>
          </w:rPr>
          <w:tab/>
        </w:r>
        <w:r w:rsidRPr="00A94C41" w:rsidR="00CC4DAB">
          <w:rPr>
            <w:rStyle w:val="Hyperlink"/>
            <w:noProof/>
          </w:rPr>
          <w:t>Institutional Review Board (IRB) and Justification for Sensitive Questions</w:t>
        </w:r>
        <w:r w:rsidR="00CC4DAB">
          <w:rPr>
            <w:noProof/>
            <w:webHidden/>
          </w:rPr>
          <w:tab/>
        </w:r>
        <w:r w:rsidR="00CC4DAB">
          <w:rPr>
            <w:noProof/>
            <w:webHidden/>
          </w:rPr>
          <w:fldChar w:fldCharType="begin"/>
        </w:r>
        <w:r w:rsidR="00CC4DAB">
          <w:rPr>
            <w:noProof/>
            <w:webHidden/>
          </w:rPr>
          <w:instrText xml:space="preserve"> PAGEREF _Toc427752824 \h </w:instrText>
        </w:r>
        <w:r w:rsidR="00CC4DAB">
          <w:rPr>
            <w:noProof/>
            <w:webHidden/>
          </w:rPr>
        </w:r>
        <w:r w:rsidR="00CC4DAB">
          <w:rPr>
            <w:noProof/>
            <w:webHidden/>
          </w:rPr>
          <w:fldChar w:fldCharType="separate"/>
        </w:r>
        <w:r w:rsidR="00576E3A">
          <w:rPr>
            <w:noProof/>
            <w:webHidden/>
          </w:rPr>
          <w:t>11</w:t>
        </w:r>
        <w:r w:rsidR="00CC4DAB">
          <w:rPr>
            <w:noProof/>
            <w:webHidden/>
          </w:rPr>
          <w:fldChar w:fldCharType="end"/>
        </w:r>
      </w:hyperlink>
    </w:p>
    <w:p w:rsidR="00CC4DAB" w:rsidRDefault="00DA767D" w14:paraId="04BE2E47" w14:textId="728BEDFE">
      <w:pPr>
        <w:pStyle w:val="TOC2"/>
        <w:rPr>
          <w:rFonts w:asciiTheme="minorHAnsi" w:hAnsiTheme="minorHAnsi"/>
          <w:noProof/>
        </w:rPr>
      </w:pPr>
      <w:hyperlink w:history="1" w:anchor="_Toc427752825">
        <w:r w:rsidRPr="00A94C41" w:rsidR="00CC4DAB">
          <w:rPr>
            <w:rStyle w:val="Hyperlink"/>
            <w:noProof/>
          </w:rPr>
          <w:t>12.</w:t>
        </w:r>
        <w:r w:rsidR="00CC4DAB">
          <w:rPr>
            <w:rFonts w:asciiTheme="minorHAnsi" w:hAnsiTheme="minorHAnsi"/>
            <w:noProof/>
          </w:rPr>
          <w:tab/>
        </w:r>
        <w:r w:rsidRPr="00A94C41" w:rsidR="00CC4DAB">
          <w:rPr>
            <w:rStyle w:val="Hyperlink"/>
            <w:noProof/>
          </w:rPr>
          <w:t>Estimates of Annualized Burden Hours and Costs</w:t>
        </w:r>
        <w:r w:rsidR="00CC4DAB">
          <w:rPr>
            <w:noProof/>
            <w:webHidden/>
          </w:rPr>
          <w:tab/>
        </w:r>
        <w:r w:rsidR="00CC4DAB">
          <w:rPr>
            <w:noProof/>
            <w:webHidden/>
          </w:rPr>
          <w:fldChar w:fldCharType="begin"/>
        </w:r>
        <w:r w:rsidR="00CC4DAB">
          <w:rPr>
            <w:noProof/>
            <w:webHidden/>
          </w:rPr>
          <w:instrText xml:space="preserve"> PAGEREF _Toc427752825 \h </w:instrText>
        </w:r>
        <w:r w:rsidR="00CC4DAB">
          <w:rPr>
            <w:noProof/>
            <w:webHidden/>
          </w:rPr>
        </w:r>
        <w:r w:rsidR="00CC4DAB">
          <w:rPr>
            <w:noProof/>
            <w:webHidden/>
          </w:rPr>
          <w:fldChar w:fldCharType="separate"/>
        </w:r>
        <w:r w:rsidR="00576E3A">
          <w:rPr>
            <w:noProof/>
            <w:webHidden/>
          </w:rPr>
          <w:t>11</w:t>
        </w:r>
        <w:r w:rsidR="00CC4DAB">
          <w:rPr>
            <w:noProof/>
            <w:webHidden/>
          </w:rPr>
          <w:fldChar w:fldCharType="end"/>
        </w:r>
      </w:hyperlink>
    </w:p>
    <w:p w:rsidR="00CC4DAB" w:rsidRDefault="00DA767D" w14:paraId="0F01FE23" w14:textId="1B1219C5">
      <w:pPr>
        <w:pStyle w:val="TOC2"/>
        <w:rPr>
          <w:rFonts w:asciiTheme="minorHAnsi" w:hAnsiTheme="minorHAnsi"/>
          <w:noProof/>
        </w:rPr>
      </w:pPr>
      <w:hyperlink w:history="1" w:anchor="_Toc427752826">
        <w:r w:rsidRPr="00A94C41" w:rsidR="00CC4DAB">
          <w:rPr>
            <w:rStyle w:val="Hyperlink"/>
            <w:noProof/>
          </w:rPr>
          <w:t>13.</w:t>
        </w:r>
        <w:r w:rsidR="00CC4DAB">
          <w:rPr>
            <w:rFonts w:asciiTheme="minorHAnsi" w:hAnsiTheme="minorHAnsi"/>
            <w:noProof/>
          </w:rPr>
          <w:tab/>
        </w:r>
        <w:r w:rsidRPr="00A94C41" w:rsidR="00CC4DAB">
          <w:rPr>
            <w:rStyle w:val="Hyperlink"/>
            <w:noProof/>
          </w:rPr>
          <w:t>Estimates of Other Total Annual Cost Burden to Respondents or Record Keepers</w:t>
        </w:r>
        <w:r w:rsidR="00CC4DAB">
          <w:rPr>
            <w:noProof/>
            <w:webHidden/>
          </w:rPr>
          <w:tab/>
        </w:r>
        <w:r w:rsidR="00CC4DAB">
          <w:rPr>
            <w:noProof/>
            <w:webHidden/>
          </w:rPr>
          <w:fldChar w:fldCharType="begin"/>
        </w:r>
        <w:r w:rsidR="00CC4DAB">
          <w:rPr>
            <w:noProof/>
            <w:webHidden/>
          </w:rPr>
          <w:instrText xml:space="preserve"> PAGEREF _Toc427752826 \h </w:instrText>
        </w:r>
        <w:r w:rsidR="00CC4DAB">
          <w:rPr>
            <w:noProof/>
            <w:webHidden/>
          </w:rPr>
        </w:r>
        <w:r w:rsidR="00CC4DAB">
          <w:rPr>
            <w:noProof/>
            <w:webHidden/>
          </w:rPr>
          <w:fldChar w:fldCharType="separate"/>
        </w:r>
        <w:r w:rsidR="00576E3A">
          <w:rPr>
            <w:noProof/>
            <w:webHidden/>
          </w:rPr>
          <w:t>1</w:t>
        </w:r>
        <w:r w:rsidR="00526683">
          <w:rPr>
            <w:noProof/>
            <w:webHidden/>
          </w:rPr>
          <w:t>3</w:t>
        </w:r>
        <w:r w:rsidR="00CC4DAB">
          <w:rPr>
            <w:noProof/>
            <w:webHidden/>
          </w:rPr>
          <w:fldChar w:fldCharType="end"/>
        </w:r>
      </w:hyperlink>
    </w:p>
    <w:p w:rsidR="00CC4DAB" w:rsidRDefault="00DA767D" w14:paraId="5A7F3BDC" w14:textId="036BC353">
      <w:pPr>
        <w:pStyle w:val="TOC2"/>
        <w:rPr>
          <w:rFonts w:asciiTheme="minorHAnsi" w:hAnsiTheme="minorHAnsi"/>
          <w:noProof/>
        </w:rPr>
      </w:pPr>
      <w:hyperlink w:history="1" w:anchor="_Toc427752827">
        <w:r w:rsidRPr="00A94C41" w:rsidR="00CC4DAB">
          <w:rPr>
            <w:rStyle w:val="Hyperlink"/>
            <w:noProof/>
          </w:rPr>
          <w:t>14.</w:t>
        </w:r>
        <w:r w:rsidR="00CC4DAB">
          <w:rPr>
            <w:rFonts w:asciiTheme="minorHAnsi" w:hAnsiTheme="minorHAnsi"/>
            <w:noProof/>
          </w:rPr>
          <w:tab/>
        </w:r>
        <w:r w:rsidRPr="00A94C41" w:rsidR="00CC4DAB">
          <w:rPr>
            <w:rStyle w:val="Hyperlink"/>
            <w:noProof/>
          </w:rPr>
          <w:t>Annualized Cost to the Government</w:t>
        </w:r>
        <w:r w:rsidR="00CC4DAB">
          <w:rPr>
            <w:noProof/>
            <w:webHidden/>
          </w:rPr>
          <w:tab/>
        </w:r>
        <w:r w:rsidR="00CC4DAB">
          <w:rPr>
            <w:noProof/>
            <w:webHidden/>
          </w:rPr>
          <w:fldChar w:fldCharType="begin"/>
        </w:r>
        <w:r w:rsidR="00CC4DAB">
          <w:rPr>
            <w:noProof/>
            <w:webHidden/>
          </w:rPr>
          <w:instrText xml:space="preserve"> PAGEREF _Toc427752827 \h </w:instrText>
        </w:r>
        <w:r w:rsidR="00CC4DAB">
          <w:rPr>
            <w:noProof/>
            <w:webHidden/>
          </w:rPr>
        </w:r>
        <w:r w:rsidR="00CC4DAB">
          <w:rPr>
            <w:noProof/>
            <w:webHidden/>
          </w:rPr>
          <w:fldChar w:fldCharType="separate"/>
        </w:r>
        <w:r w:rsidR="00576E3A">
          <w:rPr>
            <w:noProof/>
            <w:webHidden/>
          </w:rPr>
          <w:t>1</w:t>
        </w:r>
        <w:r w:rsidR="00526683">
          <w:rPr>
            <w:noProof/>
            <w:webHidden/>
          </w:rPr>
          <w:t>3</w:t>
        </w:r>
        <w:r w:rsidR="00CC4DAB">
          <w:rPr>
            <w:noProof/>
            <w:webHidden/>
          </w:rPr>
          <w:fldChar w:fldCharType="end"/>
        </w:r>
      </w:hyperlink>
    </w:p>
    <w:p w:rsidR="00CC4DAB" w:rsidRDefault="00DA767D" w14:paraId="5E285B22" w14:textId="6C506A09">
      <w:pPr>
        <w:pStyle w:val="TOC2"/>
        <w:rPr>
          <w:rFonts w:asciiTheme="minorHAnsi" w:hAnsiTheme="minorHAnsi"/>
          <w:noProof/>
        </w:rPr>
      </w:pPr>
      <w:hyperlink w:history="1" w:anchor="_Toc427752828">
        <w:r w:rsidRPr="00A94C41" w:rsidR="00CC4DAB">
          <w:rPr>
            <w:rStyle w:val="Hyperlink"/>
            <w:noProof/>
          </w:rPr>
          <w:t>15.</w:t>
        </w:r>
        <w:r w:rsidR="00CC4DAB">
          <w:rPr>
            <w:rFonts w:asciiTheme="minorHAnsi" w:hAnsiTheme="minorHAnsi"/>
            <w:noProof/>
          </w:rPr>
          <w:tab/>
        </w:r>
        <w:r w:rsidRPr="00A94C41" w:rsidR="00CC4DAB">
          <w:rPr>
            <w:rStyle w:val="Hyperlink"/>
            <w:noProof/>
          </w:rPr>
          <w:t>Explanation for Program Changes or Adjustments</w:t>
        </w:r>
        <w:r w:rsidR="00CC4DAB">
          <w:rPr>
            <w:noProof/>
            <w:webHidden/>
          </w:rPr>
          <w:tab/>
        </w:r>
        <w:r w:rsidR="00CC4DAB">
          <w:rPr>
            <w:noProof/>
            <w:webHidden/>
          </w:rPr>
          <w:fldChar w:fldCharType="begin"/>
        </w:r>
        <w:r w:rsidR="00CC4DAB">
          <w:rPr>
            <w:noProof/>
            <w:webHidden/>
          </w:rPr>
          <w:instrText xml:space="preserve"> PAGEREF _Toc427752828 \h </w:instrText>
        </w:r>
        <w:r w:rsidR="00CC4DAB">
          <w:rPr>
            <w:noProof/>
            <w:webHidden/>
          </w:rPr>
        </w:r>
        <w:r w:rsidR="00CC4DAB">
          <w:rPr>
            <w:noProof/>
            <w:webHidden/>
          </w:rPr>
          <w:fldChar w:fldCharType="separate"/>
        </w:r>
        <w:r w:rsidR="00576E3A">
          <w:rPr>
            <w:noProof/>
            <w:webHidden/>
          </w:rPr>
          <w:t>1</w:t>
        </w:r>
        <w:r w:rsidR="00526683">
          <w:rPr>
            <w:noProof/>
            <w:webHidden/>
          </w:rPr>
          <w:t>4</w:t>
        </w:r>
        <w:r w:rsidR="00CC4DAB">
          <w:rPr>
            <w:noProof/>
            <w:webHidden/>
          </w:rPr>
          <w:fldChar w:fldCharType="end"/>
        </w:r>
      </w:hyperlink>
    </w:p>
    <w:p w:rsidR="00CC4DAB" w:rsidRDefault="00DA767D" w14:paraId="4D3D1CFD" w14:textId="0BDA31C8">
      <w:pPr>
        <w:pStyle w:val="TOC2"/>
        <w:rPr>
          <w:rFonts w:asciiTheme="minorHAnsi" w:hAnsiTheme="minorHAnsi"/>
          <w:noProof/>
        </w:rPr>
      </w:pPr>
      <w:hyperlink w:history="1" w:anchor="_Toc427752829">
        <w:r w:rsidRPr="00A94C41" w:rsidR="00CC4DAB">
          <w:rPr>
            <w:rStyle w:val="Hyperlink"/>
            <w:noProof/>
          </w:rPr>
          <w:t>16.</w:t>
        </w:r>
        <w:r w:rsidR="00CC4DAB">
          <w:rPr>
            <w:rFonts w:asciiTheme="minorHAnsi" w:hAnsiTheme="minorHAnsi"/>
            <w:noProof/>
          </w:rPr>
          <w:tab/>
        </w:r>
        <w:r w:rsidRPr="00A94C41" w:rsidR="00CC4DAB">
          <w:rPr>
            <w:rStyle w:val="Hyperlink"/>
            <w:noProof/>
          </w:rPr>
          <w:t>Plans for Tabulation and Publication and Project Time Schedule</w:t>
        </w:r>
        <w:r w:rsidR="00CC4DAB">
          <w:rPr>
            <w:noProof/>
            <w:webHidden/>
          </w:rPr>
          <w:tab/>
        </w:r>
        <w:r w:rsidR="00CC4DAB">
          <w:rPr>
            <w:noProof/>
            <w:webHidden/>
          </w:rPr>
          <w:fldChar w:fldCharType="begin"/>
        </w:r>
        <w:r w:rsidR="00CC4DAB">
          <w:rPr>
            <w:noProof/>
            <w:webHidden/>
          </w:rPr>
          <w:instrText xml:space="preserve"> PAGEREF _Toc427752829 \h </w:instrText>
        </w:r>
        <w:r w:rsidR="00CC4DAB">
          <w:rPr>
            <w:noProof/>
            <w:webHidden/>
          </w:rPr>
        </w:r>
        <w:r w:rsidR="00CC4DAB">
          <w:rPr>
            <w:noProof/>
            <w:webHidden/>
          </w:rPr>
          <w:fldChar w:fldCharType="separate"/>
        </w:r>
        <w:r w:rsidR="00576E3A">
          <w:rPr>
            <w:noProof/>
            <w:webHidden/>
          </w:rPr>
          <w:t>1</w:t>
        </w:r>
        <w:r w:rsidR="00526683">
          <w:rPr>
            <w:noProof/>
            <w:webHidden/>
          </w:rPr>
          <w:t>4</w:t>
        </w:r>
        <w:r w:rsidR="00CC4DAB">
          <w:rPr>
            <w:noProof/>
            <w:webHidden/>
          </w:rPr>
          <w:fldChar w:fldCharType="end"/>
        </w:r>
      </w:hyperlink>
    </w:p>
    <w:p w:rsidR="00CC4DAB" w:rsidRDefault="00DA767D" w14:paraId="3C8DF67E" w14:textId="19B4681B">
      <w:pPr>
        <w:pStyle w:val="TOC2"/>
        <w:rPr>
          <w:rFonts w:asciiTheme="minorHAnsi" w:hAnsiTheme="minorHAnsi"/>
          <w:noProof/>
        </w:rPr>
      </w:pPr>
      <w:hyperlink w:history="1" w:anchor="_Toc427752830">
        <w:r w:rsidRPr="00A94C41" w:rsidR="00CC4DAB">
          <w:rPr>
            <w:rStyle w:val="Hyperlink"/>
            <w:noProof/>
          </w:rPr>
          <w:t>17.</w:t>
        </w:r>
        <w:r w:rsidR="00CC4DAB">
          <w:rPr>
            <w:rFonts w:asciiTheme="minorHAnsi" w:hAnsiTheme="minorHAnsi"/>
            <w:noProof/>
          </w:rPr>
          <w:tab/>
        </w:r>
        <w:r w:rsidRPr="00A94C41" w:rsidR="00CC4DAB">
          <w:rPr>
            <w:rStyle w:val="Hyperlink"/>
            <w:noProof/>
          </w:rPr>
          <w:t>Reason(s) Display of OMB Expiration Date is Inappropriate</w:t>
        </w:r>
        <w:r w:rsidR="00CC4DAB">
          <w:rPr>
            <w:noProof/>
            <w:webHidden/>
          </w:rPr>
          <w:tab/>
        </w:r>
        <w:r w:rsidR="00CC4DAB">
          <w:rPr>
            <w:noProof/>
            <w:webHidden/>
          </w:rPr>
          <w:fldChar w:fldCharType="begin"/>
        </w:r>
        <w:r w:rsidR="00CC4DAB">
          <w:rPr>
            <w:noProof/>
            <w:webHidden/>
          </w:rPr>
          <w:instrText xml:space="preserve"> PAGEREF _Toc427752830 \h </w:instrText>
        </w:r>
        <w:r w:rsidR="00CC4DAB">
          <w:rPr>
            <w:noProof/>
            <w:webHidden/>
          </w:rPr>
        </w:r>
        <w:r w:rsidR="00CC4DAB">
          <w:rPr>
            <w:noProof/>
            <w:webHidden/>
          </w:rPr>
          <w:fldChar w:fldCharType="separate"/>
        </w:r>
        <w:r w:rsidR="00576E3A">
          <w:rPr>
            <w:noProof/>
            <w:webHidden/>
          </w:rPr>
          <w:t>1</w:t>
        </w:r>
        <w:r w:rsidR="004D5162">
          <w:rPr>
            <w:noProof/>
            <w:webHidden/>
          </w:rPr>
          <w:t>5</w:t>
        </w:r>
        <w:r w:rsidR="00CC4DAB">
          <w:rPr>
            <w:noProof/>
            <w:webHidden/>
          </w:rPr>
          <w:fldChar w:fldCharType="end"/>
        </w:r>
      </w:hyperlink>
    </w:p>
    <w:p w:rsidR="00CC4DAB" w:rsidRDefault="00DA767D" w14:paraId="2D361EC9" w14:textId="72EB7288">
      <w:pPr>
        <w:pStyle w:val="TOC2"/>
        <w:rPr>
          <w:rFonts w:asciiTheme="minorHAnsi" w:hAnsiTheme="minorHAnsi"/>
          <w:noProof/>
        </w:rPr>
      </w:pPr>
      <w:hyperlink w:history="1" w:anchor="_Toc427752831">
        <w:r w:rsidRPr="00A94C41" w:rsidR="00CC4DAB">
          <w:rPr>
            <w:rStyle w:val="Hyperlink"/>
            <w:noProof/>
          </w:rPr>
          <w:t>18.</w:t>
        </w:r>
        <w:r w:rsidR="00CC4DAB">
          <w:rPr>
            <w:rFonts w:asciiTheme="minorHAnsi" w:hAnsiTheme="minorHAnsi"/>
            <w:noProof/>
          </w:rPr>
          <w:tab/>
        </w:r>
        <w:r w:rsidRPr="00A94C41" w:rsidR="00CC4DAB">
          <w:rPr>
            <w:rStyle w:val="Hyperlink"/>
            <w:noProof/>
          </w:rPr>
          <w:t>Exceptions to Certification for Paperwork Reduction Act Submissions</w:t>
        </w:r>
        <w:r w:rsidR="00CC4DAB">
          <w:rPr>
            <w:noProof/>
            <w:webHidden/>
          </w:rPr>
          <w:tab/>
        </w:r>
        <w:r w:rsidR="00CC4DAB">
          <w:rPr>
            <w:noProof/>
            <w:webHidden/>
          </w:rPr>
          <w:fldChar w:fldCharType="begin"/>
        </w:r>
        <w:r w:rsidR="00CC4DAB">
          <w:rPr>
            <w:noProof/>
            <w:webHidden/>
          </w:rPr>
          <w:instrText xml:space="preserve"> PAGEREF _Toc427752831 \h </w:instrText>
        </w:r>
        <w:r w:rsidR="00CC4DAB">
          <w:rPr>
            <w:noProof/>
            <w:webHidden/>
          </w:rPr>
        </w:r>
        <w:r w:rsidR="00CC4DAB">
          <w:rPr>
            <w:noProof/>
            <w:webHidden/>
          </w:rPr>
          <w:fldChar w:fldCharType="separate"/>
        </w:r>
        <w:r w:rsidR="00576E3A">
          <w:rPr>
            <w:noProof/>
            <w:webHidden/>
          </w:rPr>
          <w:t>15</w:t>
        </w:r>
        <w:r w:rsidR="00CC4DAB">
          <w:rPr>
            <w:noProof/>
            <w:webHidden/>
          </w:rPr>
          <w:fldChar w:fldCharType="end"/>
        </w:r>
      </w:hyperlink>
    </w:p>
    <w:p w:rsidR="00CC4DAB" w:rsidRDefault="00DA767D" w14:paraId="1047C4C9" w14:textId="634854F3">
      <w:pPr>
        <w:pStyle w:val="TOC1"/>
        <w:tabs>
          <w:tab w:val="right" w:leader="dot" w:pos="9350"/>
        </w:tabs>
        <w:rPr>
          <w:rFonts w:asciiTheme="minorHAnsi" w:hAnsiTheme="minorHAnsi"/>
          <w:noProof/>
        </w:rPr>
      </w:pPr>
      <w:hyperlink w:history="1" w:anchor="_Toc427752832">
        <w:r w:rsidRPr="00A94C41" w:rsidR="00CC4DAB">
          <w:rPr>
            <w:rStyle w:val="Hyperlink"/>
            <w:noProof/>
          </w:rPr>
          <w:t>LIST OF ATTACHMENTS – Section A</w:t>
        </w:r>
        <w:r w:rsidR="00CC4DAB">
          <w:rPr>
            <w:noProof/>
            <w:webHidden/>
          </w:rPr>
          <w:tab/>
        </w:r>
        <w:r w:rsidR="00CC4DAB">
          <w:rPr>
            <w:noProof/>
            <w:webHidden/>
          </w:rPr>
          <w:fldChar w:fldCharType="begin"/>
        </w:r>
        <w:r w:rsidR="00CC4DAB">
          <w:rPr>
            <w:noProof/>
            <w:webHidden/>
          </w:rPr>
          <w:instrText xml:space="preserve"> PAGEREF _Toc427752832 \h </w:instrText>
        </w:r>
        <w:r w:rsidR="00CC4DAB">
          <w:rPr>
            <w:noProof/>
            <w:webHidden/>
          </w:rPr>
        </w:r>
        <w:r w:rsidR="00CC4DAB">
          <w:rPr>
            <w:noProof/>
            <w:webHidden/>
          </w:rPr>
          <w:fldChar w:fldCharType="separate"/>
        </w:r>
        <w:r w:rsidR="00576E3A">
          <w:rPr>
            <w:noProof/>
            <w:webHidden/>
          </w:rPr>
          <w:t>1</w:t>
        </w:r>
        <w:r w:rsidR="004D5162">
          <w:rPr>
            <w:noProof/>
            <w:webHidden/>
          </w:rPr>
          <w:t>6</w:t>
        </w:r>
        <w:r w:rsidR="00CC4DAB">
          <w:rPr>
            <w:noProof/>
            <w:webHidden/>
          </w:rPr>
          <w:fldChar w:fldCharType="end"/>
        </w:r>
      </w:hyperlink>
    </w:p>
    <w:p w:rsidR="00CC4DAB" w:rsidRDefault="00DA767D" w14:paraId="2C551C9A" w14:textId="545B1BDC">
      <w:pPr>
        <w:pStyle w:val="TOC1"/>
        <w:tabs>
          <w:tab w:val="right" w:leader="dot" w:pos="9350"/>
        </w:tabs>
        <w:rPr>
          <w:rFonts w:asciiTheme="minorHAnsi" w:hAnsiTheme="minorHAnsi"/>
          <w:noProof/>
        </w:rPr>
      </w:pPr>
      <w:hyperlink w:history="1" w:anchor="_Toc427752833">
        <w:r w:rsidRPr="00A94C41" w:rsidR="00CC4DAB">
          <w:rPr>
            <w:rStyle w:val="Hyperlink"/>
            <w:noProof/>
          </w:rPr>
          <w:t xml:space="preserve">REFERENCE LIST </w:t>
        </w:r>
        <w:r w:rsidR="00CC4DAB">
          <w:rPr>
            <w:noProof/>
            <w:webHidden/>
          </w:rPr>
          <w:tab/>
        </w:r>
        <w:r w:rsidR="00CC4DAB">
          <w:rPr>
            <w:noProof/>
            <w:webHidden/>
          </w:rPr>
          <w:fldChar w:fldCharType="begin"/>
        </w:r>
        <w:r w:rsidR="00CC4DAB">
          <w:rPr>
            <w:noProof/>
            <w:webHidden/>
          </w:rPr>
          <w:instrText xml:space="preserve"> PAGEREF _Toc427752833 \h </w:instrText>
        </w:r>
        <w:r w:rsidR="00CC4DAB">
          <w:rPr>
            <w:noProof/>
            <w:webHidden/>
          </w:rPr>
        </w:r>
        <w:r w:rsidR="00CC4DAB">
          <w:rPr>
            <w:noProof/>
            <w:webHidden/>
          </w:rPr>
          <w:fldChar w:fldCharType="separate"/>
        </w:r>
        <w:r w:rsidR="00576E3A">
          <w:rPr>
            <w:noProof/>
            <w:webHidden/>
          </w:rPr>
          <w:t>1</w:t>
        </w:r>
        <w:r w:rsidR="004D5162">
          <w:rPr>
            <w:noProof/>
            <w:webHidden/>
          </w:rPr>
          <w:t>6</w:t>
        </w:r>
        <w:r w:rsidR="00CC4DAB">
          <w:rPr>
            <w:noProof/>
            <w:webHidden/>
          </w:rPr>
          <w:fldChar w:fldCharType="end"/>
        </w:r>
      </w:hyperlink>
    </w:p>
    <w:p w:rsidR="003860A5" w:rsidP="00CA5840" w:rsidRDefault="003860A5" w14:paraId="583701A8" w14:textId="77777777">
      <w:pPr>
        <w:pStyle w:val="Heading3"/>
        <w:ind w:left="0"/>
      </w:pPr>
      <w:r>
        <w:fldChar w:fldCharType="end"/>
      </w:r>
    </w:p>
    <w:bookmarkStart w:name="_Toc413847747" w:id="2"/>
    <w:bookmarkStart w:name="_Toc427752812" w:id="3"/>
    <w:p w:rsidR="00487937" w:rsidP="00CA5840" w:rsidRDefault="00487937" w14:paraId="51476F55" w14:textId="77777777">
      <w:pPr>
        <w:pStyle w:val="Heading3"/>
        <w:ind w:left="0"/>
      </w:pPr>
      <w:r w:rsidRPr="00487937">
        <w:rPr>
          <w:rFonts w:ascii="Calibri" w:hAnsi="Calibri" w:eastAsia="Calibri" w:cs="Times New Roman"/>
          <w:b w:val="0"/>
          <w:noProof/>
          <w:sz w:val="22"/>
        </w:rPr>
        <w:lastRenderedPageBreak/>
        <mc:AlternateContent>
          <mc:Choice Requires="wps">
            <w:drawing>
              <wp:inline distT="0" distB="0" distL="0" distR="0" wp14:anchorId="5E389F59" wp14:editId="2439CF33">
                <wp:extent cx="6162675" cy="5715000"/>
                <wp:effectExtent l="0" t="0" r="28575"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715000"/>
                        </a:xfrm>
                        <a:prstGeom prst="rect">
                          <a:avLst/>
                        </a:prstGeom>
                        <a:solidFill>
                          <a:srgbClr val="FFFFFF"/>
                        </a:solidFill>
                        <a:ln w="9525">
                          <a:solidFill>
                            <a:srgbClr val="000000"/>
                          </a:solidFill>
                          <a:miter lim="800000"/>
                          <a:headEnd/>
                          <a:tailEnd/>
                        </a:ln>
                      </wps:spPr>
                      <wps:txbx>
                        <w:txbxContent>
                          <w:p w:rsidRPr="004C57AB" w:rsidR="007053CF" w:rsidP="00782FBD" w:rsidRDefault="007053CF" w14:paraId="5FFCBC4D" w14:textId="082F335B">
                            <w:pPr>
                              <w:pStyle w:val="ListParagraph"/>
                              <w:numPr>
                                <w:ilvl w:val="0"/>
                                <w:numId w:val="8"/>
                              </w:numPr>
                              <w:tabs>
                                <w:tab w:val="clear" w:pos="9360"/>
                              </w:tabs>
                              <w:spacing w:after="200"/>
                              <w:rPr>
                                <w:sz w:val="24"/>
                                <w:szCs w:val="24"/>
                              </w:rPr>
                            </w:pPr>
                            <w:r w:rsidRPr="004C57AB">
                              <w:rPr>
                                <w:b/>
                                <w:sz w:val="24"/>
                                <w:szCs w:val="24"/>
                              </w:rPr>
                              <w:t xml:space="preserve">Purpose of the data collection </w:t>
                            </w:r>
                          </w:p>
                          <w:p w:rsidRPr="004C57AB" w:rsidR="007053CF" w:rsidP="00235D1E" w:rsidRDefault="007053CF" w14:paraId="15D1D632" w14:textId="6568F743">
                            <w:pPr>
                              <w:pStyle w:val="ListParagraph"/>
                              <w:tabs>
                                <w:tab w:val="clear" w:pos="9360"/>
                              </w:tabs>
                              <w:spacing w:after="200"/>
                              <w:ind w:left="360"/>
                              <w:rPr>
                                <w:sz w:val="24"/>
                                <w:szCs w:val="24"/>
                              </w:rPr>
                            </w:pPr>
                            <w:r w:rsidRPr="004C57AB">
                              <w:rPr>
                                <w:sz w:val="24"/>
                                <w:szCs w:val="24"/>
                              </w:rPr>
                              <w:t xml:space="preserve">The purpose of this proposed data collection is to assess current state, tribal, local, and territorial (STLT) public health agency’s </w:t>
                            </w:r>
                            <w:r w:rsidRPr="004C57AB">
                              <w:rPr>
                                <w:rFonts w:cstheme="minorHAnsi"/>
                                <w:sz w:val="24"/>
                                <w:szCs w:val="24"/>
                              </w:rPr>
                              <w:t>current approaches, best practices, and capacity for addressing cancer cluster inquiries that can be used to inform CDC/ATSDR’s update of federal cancer cluster guidelines.</w:t>
                            </w:r>
                          </w:p>
                          <w:p w:rsidRPr="004C57AB" w:rsidR="007053CF" w:rsidP="00782FBD" w:rsidRDefault="007053CF" w14:paraId="4D5F68EB" w14:textId="77777777">
                            <w:pPr>
                              <w:pStyle w:val="ListParagraph"/>
                              <w:numPr>
                                <w:ilvl w:val="0"/>
                                <w:numId w:val="8"/>
                              </w:numPr>
                              <w:tabs>
                                <w:tab w:val="clear" w:pos="9360"/>
                              </w:tabs>
                              <w:rPr>
                                <w:sz w:val="24"/>
                                <w:szCs w:val="24"/>
                              </w:rPr>
                            </w:pPr>
                            <w:r w:rsidRPr="004C57AB">
                              <w:rPr>
                                <w:b/>
                                <w:sz w:val="24"/>
                                <w:szCs w:val="24"/>
                              </w:rPr>
                              <w:t xml:space="preserve">Intended use of the resulting data </w:t>
                            </w:r>
                          </w:p>
                          <w:p w:rsidRPr="004C57AB" w:rsidR="007053CF" w:rsidP="00235D1E" w:rsidRDefault="007053CF" w14:paraId="6048E619" w14:textId="6435C56E">
                            <w:pPr>
                              <w:tabs>
                                <w:tab w:val="clear" w:pos="9360"/>
                              </w:tabs>
                              <w:ind w:left="360"/>
                              <w:rPr>
                                <w:sz w:val="24"/>
                                <w:szCs w:val="24"/>
                              </w:rPr>
                            </w:pPr>
                            <w:r w:rsidRPr="004C57AB">
                              <w:rPr>
                                <w:sz w:val="24"/>
                                <w:szCs w:val="24"/>
                              </w:rPr>
                              <w:t>The information collected will aid in understanding some of the challenges faced and best practices used when STLT public health agencies respond to cancer cluster inquiries in their communities.  This information will help inform CDC/ATSDR’s update of federal cancer cluster guidelines and assist in understanding STLT public health agency needs for other tools</w:t>
                            </w:r>
                            <w:r>
                              <w:rPr>
                                <w:sz w:val="24"/>
                                <w:szCs w:val="24"/>
                              </w:rPr>
                              <w:t xml:space="preserve"> and </w:t>
                            </w:r>
                            <w:r w:rsidRPr="004C57AB">
                              <w:rPr>
                                <w:sz w:val="24"/>
                                <w:szCs w:val="24"/>
                              </w:rPr>
                              <w:t xml:space="preserve">guidance </w:t>
                            </w:r>
                            <w:r>
                              <w:rPr>
                                <w:sz w:val="24"/>
                                <w:szCs w:val="24"/>
                              </w:rPr>
                              <w:t>to assist them in better preparing for and responding to</w:t>
                            </w:r>
                            <w:r w:rsidRPr="004C57AB">
                              <w:rPr>
                                <w:sz w:val="24"/>
                                <w:szCs w:val="24"/>
                              </w:rPr>
                              <w:t xml:space="preserve"> cancer cluster</w:t>
                            </w:r>
                            <w:r>
                              <w:rPr>
                                <w:sz w:val="24"/>
                                <w:szCs w:val="24"/>
                              </w:rPr>
                              <w:t>s</w:t>
                            </w:r>
                            <w:r w:rsidRPr="004C57AB">
                              <w:rPr>
                                <w:sz w:val="24"/>
                                <w:szCs w:val="24"/>
                              </w:rPr>
                              <w:t xml:space="preserve">.  </w:t>
                            </w:r>
                          </w:p>
                          <w:p w:rsidRPr="004C57AB" w:rsidR="007053CF" w:rsidP="00782FBD" w:rsidRDefault="007053CF" w14:paraId="67B0280B" w14:textId="77777777">
                            <w:pPr>
                              <w:pStyle w:val="ListParagraph"/>
                              <w:numPr>
                                <w:ilvl w:val="0"/>
                                <w:numId w:val="8"/>
                              </w:numPr>
                              <w:tabs>
                                <w:tab w:val="clear" w:pos="9360"/>
                              </w:tabs>
                              <w:rPr>
                                <w:sz w:val="24"/>
                                <w:szCs w:val="24"/>
                              </w:rPr>
                            </w:pPr>
                            <w:r w:rsidRPr="004C57AB">
                              <w:rPr>
                                <w:b/>
                                <w:sz w:val="24"/>
                                <w:szCs w:val="24"/>
                              </w:rPr>
                              <w:t xml:space="preserve">Methods to be used to collect data </w:t>
                            </w:r>
                          </w:p>
                          <w:p w:rsidRPr="004C57AB" w:rsidR="007053CF" w:rsidP="00235D1E" w:rsidRDefault="007053CF" w14:paraId="6954DC05" w14:textId="7F6D78DF">
                            <w:pPr>
                              <w:pStyle w:val="ListParagraph"/>
                              <w:tabs>
                                <w:tab w:val="clear" w:pos="9360"/>
                              </w:tabs>
                              <w:spacing w:after="200"/>
                              <w:ind w:left="360"/>
                              <w:rPr>
                                <w:sz w:val="24"/>
                                <w:szCs w:val="24"/>
                              </w:rPr>
                            </w:pPr>
                            <w:r>
                              <w:rPr>
                                <w:sz w:val="24"/>
                                <w:szCs w:val="24"/>
                              </w:rPr>
                              <w:t>Data will be collected via a</w:t>
                            </w:r>
                            <w:r w:rsidRPr="004C57AB">
                              <w:rPr>
                                <w:sz w:val="24"/>
                                <w:szCs w:val="24"/>
                              </w:rPr>
                              <w:t xml:space="preserve">n electronic assessment and virtual group interviews. </w:t>
                            </w:r>
                          </w:p>
                          <w:p w:rsidRPr="004C57AB" w:rsidR="007053CF" w:rsidP="00782FBD" w:rsidRDefault="007053CF" w14:paraId="68138C87" w14:textId="7EE83AC5">
                            <w:pPr>
                              <w:pStyle w:val="ListParagraph"/>
                              <w:numPr>
                                <w:ilvl w:val="0"/>
                                <w:numId w:val="8"/>
                              </w:numPr>
                              <w:tabs>
                                <w:tab w:val="clear" w:pos="9360"/>
                              </w:tabs>
                              <w:rPr>
                                <w:sz w:val="24"/>
                                <w:szCs w:val="24"/>
                              </w:rPr>
                            </w:pPr>
                            <w:r w:rsidRPr="004C57AB">
                              <w:rPr>
                                <w:b/>
                                <w:sz w:val="24"/>
                                <w:szCs w:val="24"/>
                              </w:rPr>
                              <w:t xml:space="preserve">Respondent Universe </w:t>
                            </w:r>
                          </w:p>
                          <w:p w:rsidRPr="004C57AB" w:rsidR="007053CF" w:rsidP="004C57AB" w:rsidRDefault="007053CF" w14:paraId="2E238A5C" w14:textId="64917A55">
                            <w:pPr>
                              <w:pStyle w:val="ListParagraph"/>
                              <w:tabs>
                                <w:tab w:val="clear" w:pos="9360"/>
                              </w:tabs>
                              <w:ind w:left="360"/>
                              <w:rPr>
                                <w:sz w:val="24"/>
                                <w:szCs w:val="24"/>
                              </w:rPr>
                            </w:pPr>
                            <w:r w:rsidRPr="004C57AB">
                              <w:rPr>
                                <w:sz w:val="24"/>
                                <w:szCs w:val="24"/>
                              </w:rPr>
                              <w:t xml:space="preserve">The respondent universe </w:t>
                            </w:r>
                            <w:r>
                              <w:rPr>
                                <w:sz w:val="24"/>
                                <w:szCs w:val="24"/>
                              </w:rPr>
                              <w:t xml:space="preserve">for the electronic assessment includes a total of </w:t>
                            </w:r>
                            <w:r w:rsidRPr="001C35B6">
                              <w:rPr>
                                <w:sz w:val="24"/>
                                <w:szCs w:val="24"/>
                              </w:rPr>
                              <w:t xml:space="preserve">3,070 (50 state, 3000 local, 12 tribal epidemiology centers, </w:t>
                            </w:r>
                            <w:r>
                              <w:rPr>
                                <w:sz w:val="24"/>
                                <w:szCs w:val="24"/>
                              </w:rPr>
                              <w:t>5 territorial and 3 freely associated state</w:t>
                            </w:r>
                            <w:r w:rsidRPr="001C35B6">
                              <w:rPr>
                                <w:sz w:val="24"/>
                                <w:szCs w:val="24"/>
                              </w:rPr>
                              <w:t>)</w:t>
                            </w:r>
                            <w:r>
                              <w:rPr>
                                <w:sz w:val="24"/>
                                <w:szCs w:val="24"/>
                              </w:rPr>
                              <w:t xml:space="preserve"> health departments.  The respondent universe for the virtual group interviews include up to 120 multi-disciplinary STLT public health agency staff involved in assessing and responding to cancer cluster inquiries.  The total respondent universe for the electronic assessment and virtual interviews is 3,190. All respondents will be acting in their official capacities.</w:t>
                            </w:r>
                          </w:p>
                          <w:p w:rsidRPr="004C57AB" w:rsidR="007053CF" w:rsidP="00782FBD" w:rsidRDefault="007053CF" w14:paraId="7DB9A7E7" w14:textId="5BD97754">
                            <w:pPr>
                              <w:pStyle w:val="ListParagraph"/>
                              <w:numPr>
                                <w:ilvl w:val="0"/>
                                <w:numId w:val="8"/>
                              </w:numPr>
                              <w:tabs>
                                <w:tab w:val="clear" w:pos="9360"/>
                              </w:tabs>
                              <w:rPr>
                                <w:sz w:val="24"/>
                                <w:szCs w:val="24"/>
                              </w:rPr>
                            </w:pPr>
                            <w:r w:rsidRPr="004C57AB">
                              <w:rPr>
                                <w:b/>
                                <w:sz w:val="24"/>
                                <w:szCs w:val="24"/>
                              </w:rPr>
                              <w:t xml:space="preserve">How data will be analyzed </w:t>
                            </w:r>
                          </w:p>
                          <w:p w:rsidRPr="004C57AB" w:rsidR="007053CF" w:rsidP="00235D1E" w:rsidRDefault="007053CF" w14:paraId="076EC7A7" w14:textId="77777777">
                            <w:pPr>
                              <w:pStyle w:val="ListParagraph"/>
                              <w:tabs>
                                <w:tab w:val="clear" w:pos="9360"/>
                              </w:tabs>
                              <w:ind w:left="360"/>
                              <w:rPr>
                                <w:sz w:val="24"/>
                                <w:szCs w:val="24"/>
                              </w:rPr>
                            </w:pPr>
                            <w:r w:rsidRPr="004C57AB">
                              <w:rPr>
                                <w:sz w:val="24"/>
                                <w:szCs w:val="24"/>
                              </w:rPr>
                              <w:t>Both quantitative and qualitative methods will be used to analyze the data. Close-ended questions will be analyzed using quantitative methods, specifically descriptive and inferential statistics. Open ended questions will be analyzed using qualitative methods, specifically thematic analysis to extract themes among participant responses.</w:t>
                            </w:r>
                          </w:p>
                          <w:p w:rsidR="007053CF" w:rsidP="00235D1E" w:rsidRDefault="007053CF" w14:paraId="40C3C8CD" w14:textId="77777777">
                            <w:pPr>
                              <w:pStyle w:val="ListParagraph"/>
                              <w:tabs>
                                <w:tab w:val="clear" w:pos="9360"/>
                              </w:tabs>
                              <w:ind w:left="360"/>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5E389F59">
                <v:stroke joinstyle="miter"/>
                <v:path gradientshapeok="t" o:connecttype="rect"/>
              </v:shapetype>
              <v:shape id="Text Box 2" style="width:485.25pt;height:450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">
                <v:textbox>
                  <w:txbxContent>
                    <w:p w:rsidRPr="004C57AB" w:rsidR="007053CF" w:rsidP="00782FBD" w:rsidRDefault="007053CF" w14:paraId="5FFCBC4D" w14:textId="082F335B">
                      <w:pPr>
                        <w:pStyle w:val="ListParagraph"/>
                        <w:numPr>
                          <w:ilvl w:val="0"/>
                          <w:numId w:val="8"/>
                        </w:numPr>
                        <w:tabs>
                          <w:tab w:val="clear" w:pos="9360"/>
                        </w:tabs>
                        <w:spacing w:after="200"/>
                        <w:rPr>
                          <w:sz w:val="24"/>
                          <w:szCs w:val="24"/>
                        </w:rPr>
                      </w:pPr>
                      <w:r w:rsidRPr="004C57AB">
                        <w:rPr>
                          <w:b/>
                          <w:sz w:val="24"/>
                          <w:szCs w:val="24"/>
                        </w:rPr>
                        <w:t xml:space="preserve">Purpose of the data collection </w:t>
                      </w:r>
                    </w:p>
                    <w:p w:rsidRPr="004C57AB" w:rsidR="007053CF" w:rsidP="00235D1E" w:rsidRDefault="007053CF" w14:paraId="15D1D632" w14:textId="6568F743">
                      <w:pPr>
                        <w:pStyle w:val="ListParagraph"/>
                        <w:tabs>
                          <w:tab w:val="clear" w:pos="9360"/>
                        </w:tabs>
                        <w:spacing w:after="200"/>
                        <w:ind w:left="360"/>
                        <w:rPr>
                          <w:sz w:val="24"/>
                          <w:szCs w:val="24"/>
                        </w:rPr>
                      </w:pPr>
                      <w:r w:rsidRPr="004C57AB">
                        <w:rPr>
                          <w:sz w:val="24"/>
                          <w:szCs w:val="24"/>
                        </w:rPr>
                        <w:t xml:space="preserve">The purpose of this proposed data collection is to assess current state, tribal, local, and territorial (STLT) public health agency’s </w:t>
                      </w:r>
                      <w:r w:rsidRPr="004C57AB">
                        <w:rPr>
                          <w:rFonts w:cstheme="minorHAnsi"/>
                          <w:sz w:val="24"/>
                          <w:szCs w:val="24"/>
                        </w:rPr>
                        <w:t>current approaches, best practices, and capacity for addressing cancer cluster inquiries that can be used to inform CDC/ATSDR’s update of federal cancer cluster guidelines.</w:t>
                      </w:r>
                    </w:p>
                    <w:p w:rsidRPr="004C57AB" w:rsidR="007053CF" w:rsidP="00782FBD" w:rsidRDefault="007053CF" w14:paraId="4D5F68EB" w14:textId="77777777">
                      <w:pPr>
                        <w:pStyle w:val="ListParagraph"/>
                        <w:numPr>
                          <w:ilvl w:val="0"/>
                          <w:numId w:val="8"/>
                        </w:numPr>
                        <w:tabs>
                          <w:tab w:val="clear" w:pos="9360"/>
                        </w:tabs>
                        <w:rPr>
                          <w:sz w:val="24"/>
                          <w:szCs w:val="24"/>
                        </w:rPr>
                      </w:pPr>
                      <w:r w:rsidRPr="004C57AB">
                        <w:rPr>
                          <w:b/>
                          <w:sz w:val="24"/>
                          <w:szCs w:val="24"/>
                        </w:rPr>
                        <w:t xml:space="preserve">Intended use of the resulting data </w:t>
                      </w:r>
                    </w:p>
                    <w:p w:rsidRPr="004C57AB" w:rsidR="007053CF" w:rsidP="00235D1E" w:rsidRDefault="007053CF" w14:paraId="6048E619" w14:textId="6435C56E">
                      <w:pPr>
                        <w:tabs>
                          <w:tab w:val="clear" w:pos="9360"/>
                        </w:tabs>
                        <w:ind w:left="360"/>
                        <w:rPr>
                          <w:sz w:val="24"/>
                          <w:szCs w:val="24"/>
                        </w:rPr>
                      </w:pPr>
                      <w:r w:rsidRPr="004C57AB">
                        <w:rPr>
                          <w:sz w:val="24"/>
                          <w:szCs w:val="24"/>
                        </w:rPr>
                        <w:t>The information collected will aid in understanding some of the challenges faced and best practices used when STLT public health agencies respond to cancer cluster inquiries in their communities.  This information will help inform CDC/ATSDR’s update of federal cancer cluster guidelines and assist in understanding STLT public health agency needs for other tools</w:t>
                      </w:r>
                      <w:r>
                        <w:rPr>
                          <w:sz w:val="24"/>
                          <w:szCs w:val="24"/>
                        </w:rPr>
                        <w:t xml:space="preserve"> and </w:t>
                      </w:r>
                      <w:r w:rsidRPr="004C57AB">
                        <w:rPr>
                          <w:sz w:val="24"/>
                          <w:szCs w:val="24"/>
                        </w:rPr>
                        <w:t xml:space="preserve">guidance </w:t>
                      </w:r>
                      <w:r>
                        <w:rPr>
                          <w:sz w:val="24"/>
                          <w:szCs w:val="24"/>
                        </w:rPr>
                        <w:t>to assist them in better preparing for and responding to</w:t>
                      </w:r>
                      <w:r w:rsidRPr="004C57AB">
                        <w:rPr>
                          <w:sz w:val="24"/>
                          <w:szCs w:val="24"/>
                        </w:rPr>
                        <w:t xml:space="preserve"> cancer cluster</w:t>
                      </w:r>
                      <w:r>
                        <w:rPr>
                          <w:sz w:val="24"/>
                          <w:szCs w:val="24"/>
                        </w:rPr>
                        <w:t>s</w:t>
                      </w:r>
                      <w:r w:rsidRPr="004C57AB">
                        <w:rPr>
                          <w:sz w:val="24"/>
                          <w:szCs w:val="24"/>
                        </w:rPr>
                        <w:t xml:space="preserve">.  </w:t>
                      </w:r>
                    </w:p>
                    <w:p w:rsidRPr="004C57AB" w:rsidR="007053CF" w:rsidP="00782FBD" w:rsidRDefault="007053CF" w14:paraId="67B0280B" w14:textId="77777777">
                      <w:pPr>
                        <w:pStyle w:val="ListParagraph"/>
                        <w:numPr>
                          <w:ilvl w:val="0"/>
                          <w:numId w:val="8"/>
                        </w:numPr>
                        <w:tabs>
                          <w:tab w:val="clear" w:pos="9360"/>
                        </w:tabs>
                        <w:rPr>
                          <w:sz w:val="24"/>
                          <w:szCs w:val="24"/>
                        </w:rPr>
                      </w:pPr>
                      <w:r w:rsidRPr="004C57AB">
                        <w:rPr>
                          <w:b/>
                          <w:sz w:val="24"/>
                          <w:szCs w:val="24"/>
                        </w:rPr>
                        <w:t xml:space="preserve">Methods to be used to collect data </w:t>
                      </w:r>
                    </w:p>
                    <w:p w:rsidRPr="004C57AB" w:rsidR="007053CF" w:rsidP="00235D1E" w:rsidRDefault="007053CF" w14:paraId="6954DC05" w14:textId="7F6D78DF">
                      <w:pPr>
                        <w:pStyle w:val="ListParagraph"/>
                        <w:tabs>
                          <w:tab w:val="clear" w:pos="9360"/>
                        </w:tabs>
                        <w:spacing w:after="200"/>
                        <w:ind w:left="360"/>
                        <w:rPr>
                          <w:sz w:val="24"/>
                          <w:szCs w:val="24"/>
                        </w:rPr>
                      </w:pPr>
                      <w:r>
                        <w:rPr>
                          <w:sz w:val="24"/>
                          <w:szCs w:val="24"/>
                        </w:rPr>
                        <w:t>Data will be collected via a</w:t>
                      </w:r>
                      <w:r w:rsidRPr="004C57AB">
                        <w:rPr>
                          <w:sz w:val="24"/>
                          <w:szCs w:val="24"/>
                        </w:rPr>
                        <w:t xml:space="preserve">n electronic assessment and virtual group interviews. </w:t>
                      </w:r>
                    </w:p>
                    <w:p w:rsidRPr="004C57AB" w:rsidR="007053CF" w:rsidP="00782FBD" w:rsidRDefault="007053CF" w14:paraId="68138C87" w14:textId="7EE83AC5">
                      <w:pPr>
                        <w:pStyle w:val="ListParagraph"/>
                        <w:numPr>
                          <w:ilvl w:val="0"/>
                          <w:numId w:val="8"/>
                        </w:numPr>
                        <w:tabs>
                          <w:tab w:val="clear" w:pos="9360"/>
                        </w:tabs>
                        <w:rPr>
                          <w:sz w:val="24"/>
                          <w:szCs w:val="24"/>
                        </w:rPr>
                      </w:pPr>
                      <w:r w:rsidRPr="004C57AB">
                        <w:rPr>
                          <w:b/>
                          <w:sz w:val="24"/>
                          <w:szCs w:val="24"/>
                        </w:rPr>
                        <w:t xml:space="preserve">Respondent Universe </w:t>
                      </w:r>
                    </w:p>
                    <w:p w:rsidRPr="004C57AB" w:rsidR="007053CF" w:rsidP="004C57AB" w:rsidRDefault="007053CF" w14:paraId="2E238A5C" w14:textId="64917A55">
                      <w:pPr>
                        <w:pStyle w:val="ListParagraph"/>
                        <w:tabs>
                          <w:tab w:val="clear" w:pos="9360"/>
                        </w:tabs>
                        <w:ind w:left="360"/>
                        <w:rPr>
                          <w:sz w:val="24"/>
                          <w:szCs w:val="24"/>
                        </w:rPr>
                      </w:pPr>
                      <w:r w:rsidRPr="004C57AB">
                        <w:rPr>
                          <w:sz w:val="24"/>
                          <w:szCs w:val="24"/>
                        </w:rPr>
                        <w:t xml:space="preserve">The respondent universe </w:t>
                      </w:r>
                      <w:r>
                        <w:rPr>
                          <w:sz w:val="24"/>
                          <w:szCs w:val="24"/>
                        </w:rPr>
                        <w:t xml:space="preserve">for the electronic assessment includes a total of </w:t>
                      </w:r>
                      <w:r w:rsidRPr="001C35B6">
                        <w:rPr>
                          <w:sz w:val="24"/>
                          <w:szCs w:val="24"/>
                        </w:rPr>
                        <w:t xml:space="preserve">3,070 (50 state, 3000 local, 12 tribal epidemiology centers, </w:t>
                      </w:r>
                      <w:r>
                        <w:rPr>
                          <w:sz w:val="24"/>
                          <w:szCs w:val="24"/>
                        </w:rPr>
                        <w:t>5 territorial and 3 freely associated state</w:t>
                      </w:r>
                      <w:r w:rsidRPr="001C35B6">
                        <w:rPr>
                          <w:sz w:val="24"/>
                          <w:szCs w:val="24"/>
                        </w:rPr>
                        <w:t>)</w:t>
                      </w:r>
                      <w:r>
                        <w:rPr>
                          <w:sz w:val="24"/>
                          <w:szCs w:val="24"/>
                        </w:rPr>
                        <w:t xml:space="preserve"> health departments.  The respondent universe for the virtual group interviews include up to 120 multi-disciplinary STLT public health agency staff </w:t>
                      </w:r>
                      <w:r>
                        <w:rPr>
                          <w:rStyle w:val="CommentReference"/>
                        </w:rPr>
                        <w:t/>
                      </w:r>
                      <w:r>
                        <w:rPr>
                          <w:sz w:val="24"/>
                          <w:szCs w:val="24"/>
                        </w:rPr>
                        <w:t>involved in assessing and responding to cancer cluster inquiries.  The total respondent universe for the electronic assessment and virtual interviews is 3,190. All respondents will be acting in their official capacities.</w:t>
                      </w:r>
                    </w:p>
                    <w:p w:rsidRPr="004C57AB" w:rsidR="007053CF" w:rsidP="00782FBD" w:rsidRDefault="007053CF" w14:paraId="7DB9A7E7" w14:textId="5BD97754">
                      <w:pPr>
                        <w:pStyle w:val="ListParagraph"/>
                        <w:numPr>
                          <w:ilvl w:val="0"/>
                          <w:numId w:val="8"/>
                        </w:numPr>
                        <w:tabs>
                          <w:tab w:val="clear" w:pos="9360"/>
                        </w:tabs>
                        <w:rPr>
                          <w:sz w:val="24"/>
                          <w:szCs w:val="24"/>
                        </w:rPr>
                      </w:pPr>
                      <w:r w:rsidRPr="004C57AB">
                        <w:rPr>
                          <w:b/>
                          <w:sz w:val="24"/>
                          <w:szCs w:val="24"/>
                        </w:rPr>
                        <w:t xml:space="preserve">How data will be analyzed </w:t>
                      </w:r>
                    </w:p>
                    <w:p w:rsidRPr="004C57AB" w:rsidR="007053CF" w:rsidP="00235D1E" w:rsidRDefault="007053CF" w14:paraId="076EC7A7" w14:textId="77777777">
                      <w:pPr>
                        <w:pStyle w:val="ListParagraph"/>
                        <w:tabs>
                          <w:tab w:val="clear" w:pos="9360"/>
                        </w:tabs>
                        <w:ind w:left="360"/>
                        <w:rPr>
                          <w:sz w:val="24"/>
                          <w:szCs w:val="24"/>
                        </w:rPr>
                      </w:pPr>
                      <w:r w:rsidRPr="004C57AB">
                        <w:rPr>
                          <w:sz w:val="24"/>
                          <w:szCs w:val="24"/>
                        </w:rPr>
                        <w:t>Both quantitative and qualitative methods will be used to analyze the data. Close-ended questions will be analyzed using quantitative methods, specifically descriptive and inferential statistics. Open ended questions will be analyzed using qualitative methods, specifically thematic analysis to extract themes among participant responses.</w:t>
                      </w:r>
                    </w:p>
                    <w:p w:rsidR="007053CF" w:rsidP="00235D1E" w:rsidRDefault="007053CF" w14:paraId="40C3C8CD" w14:textId="77777777">
                      <w:pPr>
                        <w:pStyle w:val="ListParagraph"/>
                        <w:tabs>
                          <w:tab w:val="clear" w:pos="9360"/>
                        </w:tabs>
                        <w:ind w:left="360"/>
                      </w:pPr>
                    </w:p>
                  </w:txbxContent>
                </v:textbox>
                <w10:anchorlock/>
              </v:shape>
            </w:pict>
          </mc:Fallback>
        </mc:AlternateContent>
      </w:r>
      <w:bookmarkEnd w:id="2"/>
      <w:bookmarkEnd w:id="3"/>
    </w:p>
    <w:p w:rsidR="00487937" w:rsidP="00CA5840" w:rsidRDefault="00487937" w14:paraId="3C86FFE6" w14:textId="77777777">
      <w:pPr>
        <w:pStyle w:val="Heading3"/>
        <w:ind w:left="0"/>
      </w:pPr>
    </w:p>
    <w:p w:rsidRPr="007D6163" w:rsidR="00CD1EA8" w:rsidP="00CA5840" w:rsidRDefault="00CD1EA8" w14:paraId="2213E33D" w14:textId="77777777">
      <w:pPr>
        <w:pStyle w:val="Heading3"/>
        <w:ind w:left="0"/>
      </w:pPr>
      <w:bookmarkStart w:name="_Toc427752813" w:id="4"/>
      <w:r w:rsidRPr="007D6163">
        <w:t>Section A</w:t>
      </w:r>
      <w:r w:rsidRPr="007D6163" w:rsidR="00B12F51">
        <w:t xml:space="preserve"> – Justification</w:t>
      </w:r>
      <w:bookmarkEnd w:id="4"/>
    </w:p>
    <w:p w:rsidR="00B12F51" w:rsidP="007D6163" w:rsidRDefault="00B12F51" w14:paraId="700155FA" w14:textId="77777777"/>
    <w:p w:rsidRPr="005A7004" w:rsidR="00CD1EA8" w:rsidP="00692DEB" w:rsidRDefault="00B12F51" w14:paraId="7E4C4836" w14:textId="77777777">
      <w:pPr>
        <w:pStyle w:val="Heading4"/>
        <w:rPr>
          <w:sz w:val="24"/>
          <w:szCs w:val="24"/>
        </w:rPr>
      </w:pPr>
      <w:bookmarkStart w:name="_Toc427752814" w:id="5"/>
      <w:r w:rsidRPr="005A7004">
        <w:rPr>
          <w:sz w:val="24"/>
          <w:szCs w:val="24"/>
        </w:rPr>
        <w:t>Circumstances Making the Collection of Information Necessary</w:t>
      </w:r>
      <w:bookmarkEnd w:id="5"/>
    </w:p>
    <w:p w:rsidRPr="005A7004" w:rsidR="00E33E1B" w:rsidP="007B7C44" w:rsidRDefault="00E33E1B" w14:paraId="4F7B2B24" w14:textId="77777777">
      <w:pPr>
        <w:pStyle w:val="Heading5"/>
        <w:spacing w:after="120"/>
        <w:ind w:left="360"/>
        <w:rPr>
          <w:sz w:val="24"/>
          <w:szCs w:val="24"/>
        </w:rPr>
      </w:pPr>
      <w:r w:rsidRPr="005A7004">
        <w:rPr>
          <w:sz w:val="24"/>
          <w:szCs w:val="24"/>
        </w:rPr>
        <w:t>Background</w:t>
      </w:r>
    </w:p>
    <w:p w:rsidRPr="005A7004" w:rsidR="0019164D" w:rsidP="007B7C44" w:rsidRDefault="002929D3" w14:paraId="4332D0BB" w14:textId="0B93D05D">
      <w:pPr>
        <w:ind w:left="360"/>
        <w:rPr>
          <w:sz w:val="24"/>
          <w:szCs w:val="24"/>
        </w:rPr>
      </w:pPr>
      <w:r w:rsidRPr="005A7004">
        <w:rPr>
          <w:sz w:val="24"/>
          <w:szCs w:val="24"/>
        </w:rPr>
        <w:t xml:space="preserve">This information collection is being conducted using OMB No. 0920-0879 “Information Collections to Advance State, Tribal, Local and Territorial Governmental Agency System Performance, Capacity, and Program Delivery” nicknamed the “CSTLTS Generic.” </w:t>
      </w:r>
      <w:r w:rsidRPr="005A7004" w:rsidR="009252DC">
        <w:rPr>
          <w:sz w:val="24"/>
          <w:szCs w:val="24"/>
        </w:rPr>
        <w:t xml:space="preserve">The respondent universe for this </w:t>
      </w:r>
      <w:r w:rsidRPr="005A7004" w:rsidR="00157413">
        <w:rPr>
          <w:sz w:val="24"/>
          <w:szCs w:val="24"/>
        </w:rPr>
        <w:t xml:space="preserve">information collection aligns with that of the </w:t>
      </w:r>
      <w:r w:rsidRPr="005A7004" w:rsidR="00614CAE">
        <w:rPr>
          <w:sz w:val="24"/>
          <w:szCs w:val="24"/>
        </w:rPr>
        <w:t>CSTLTS Generic</w:t>
      </w:r>
      <w:r w:rsidRPr="005A7004" w:rsidR="00157413">
        <w:rPr>
          <w:sz w:val="24"/>
          <w:szCs w:val="24"/>
        </w:rPr>
        <w:t>.</w:t>
      </w:r>
      <w:r w:rsidRPr="005A7004" w:rsidR="009252DC">
        <w:rPr>
          <w:sz w:val="24"/>
          <w:szCs w:val="24"/>
        </w:rPr>
        <w:t xml:space="preserve"> </w:t>
      </w:r>
      <w:r w:rsidRPr="005A7004" w:rsidR="0019164D">
        <w:rPr>
          <w:sz w:val="24"/>
          <w:szCs w:val="24"/>
        </w:rPr>
        <w:t xml:space="preserve">Data will be collected from </w:t>
      </w:r>
      <w:r w:rsidRPr="005A7004" w:rsidR="008B12FA">
        <w:rPr>
          <w:sz w:val="24"/>
          <w:szCs w:val="24"/>
        </w:rPr>
        <w:t xml:space="preserve">a total </w:t>
      </w:r>
      <w:r w:rsidRPr="00DB6B99" w:rsidR="008B12FA">
        <w:rPr>
          <w:sz w:val="24"/>
          <w:szCs w:val="24"/>
        </w:rPr>
        <w:t xml:space="preserve">of </w:t>
      </w:r>
      <w:r w:rsidRPr="00DB6B99" w:rsidR="00DB6B99">
        <w:rPr>
          <w:sz w:val="24"/>
          <w:szCs w:val="24"/>
        </w:rPr>
        <w:t>3,</w:t>
      </w:r>
      <w:r w:rsidR="00523172">
        <w:rPr>
          <w:sz w:val="24"/>
          <w:szCs w:val="24"/>
        </w:rPr>
        <w:t>190 respondents across 3,</w:t>
      </w:r>
      <w:r w:rsidRPr="00DB6B99" w:rsidR="00DB6B99">
        <w:rPr>
          <w:sz w:val="24"/>
          <w:szCs w:val="24"/>
        </w:rPr>
        <w:t>070</w:t>
      </w:r>
      <w:r w:rsidR="00043C4F">
        <w:rPr>
          <w:sz w:val="24"/>
          <w:szCs w:val="24"/>
        </w:rPr>
        <w:t xml:space="preserve"> </w:t>
      </w:r>
      <w:r w:rsidRPr="001C35B6" w:rsidR="00043C4F">
        <w:rPr>
          <w:sz w:val="24"/>
          <w:szCs w:val="24"/>
        </w:rPr>
        <w:t xml:space="preserve">(50 state, </w:t>
      </w:r>
      <w:r w:rsidRPr="001C35B6" w:rsidR="00043C4F">
        <w:rPr>
          <w:sz w:val="24"/>
          <w:szCs w:val="24"/>
        </w:rPr>
        <w:lastRenderedPageBreak/>
        <w:t xml:space="preserve">3000 local, 12 tribal epidemiology centers, </w:t>
      </w:r>
      <w:r w:rsidR="00AB366B">
        <w:rPr>
          <w:sz w:val="24"/>
          <w:szCs w:val="24"/>
        </w:rPr>
        <w:t>5 territorial, and 3 freely associated state</w:t>
      </w:r>
      <w:r w:rsidRPr="001C35B6" w:rsidR="00043C4F">
        <w:rPr>
          <w:sz w:val="24"/>
          <w:szCs w:val="24"/>
        </w:rPr>
        <w:t>)</w:t>
      </w:r>
      <w:r w:rsidRPr="00DB6B99" w:rsidR="00B56BA7">
        <w:rPr>
          <w:sz w:val="24"/>
          <w:szCs w:val="24"/>
        </w:rPr>
        <w:t xml:space="preserve"> health departments</w:t>
      </w:r>
      <w:r w:rsidR="00043C4F">
        <w:rPr>
          <w:sz w:val="24"/>
          <w:szCs w:val="24"/>
        </w:rPr>
        <w:t>.</w:t>
      </w:r>
      <w:r w:rsidRPr="00DB6B99" w:rsidR="008B12FA">
        <w:rPr>
          <w:sz w:val="24"/>
          <w:szCs w:val="24"/>
        </w:rPr>
        <w:t xml:space="preserve"> </w:t>
      </w:r>
      <w:r w:rsidR="005A7004">
        <w:rPr>
          <w:sz w:val="24"/>
          <w:szCs w:val="24"/>
        </w:rPr>
        <w:t>All r</w:t>
      </w:r>
      <w:r w:rsidRPr="005A7004" w:rsidR="008B12FA">
        <w:rPr>
          <w:sz w:val="24"/>
          <w:szCs w:val="24"/>
        </w:rPr>
        <w:t>espondents</w:t>
      </w:r>
      <w:r w:rsidR="005A7004">
        <w:rPr>
          <w:sz w:val="24"/>
          <w:szCs w:val="24"/>
        </w:rPr>
        <w:t xml:space="preserve"> will be</w:t>
      </w:r>
      <w:r w:rsidRPr="005A7004" w:rsidR="008B12FA">
        <w:rPr>
          <w:sz w:val="24"/>
          <w:szCs w:val="24"/>
        </w:rPr>
        <w:t xml:space="preserve"> acting in their official capacities</w:t>
      </w:r>
      <w:r w:rsidR="005A7004">
        <w:rPr>
          <w:sz w:val="24"/>
          <w:szCs w:val="24"/>
        </w:rPr>
        <w:t>.</w:t>
      </w:r>
    </w:p>
    <w:p w:rsidR="009252DC" w:rsidP="007B7C44" w:rsidRDefault="009252DC" w14:paraId="0F7E68CF" w14:textId="77777777">
      <w:pPr>
        <w:ind w:left="1080"/>
      </w:pPr>
    </w:p>
    <w:p w:rsidRPr="005A7004" w:rsidR="001E7537" w:rsidP="007B7C44" w:rsidRDefault="00350C8C" w14:paraId="7F877CA0" w14:textId="77777777">
      <w:pPr>
        <w:ind w:left="360"/>
        <w:rPr>
          <w:i/>
          <w:iCs/>
          <w:sz w:val="24"/>
          <w:szCs w:val="24"/>
        </w:rPr>
      </w:pPr>
      <w:r w:rsidRPr="005A7004">
        <w:rPr>
          <w:sz w:val="24"/>
          <w:szCs w:val="24"/>
        </w:rPr>
        <w:t xml:space="preserve">This </w:t>
      </w:r>
      <w:r w:rsidRPr="005A7004" w:rsidR="00157413">
        <w:rPr>
          <w:sz w:val="24"/>
          <w:szCs w:val="24"/>
        </w:rPr>
        <w:t>information collection</w:t>
      </w:r>
      <w:r w:rsidRPr="005A7004">
        <w:rPr>
          <w:sz w:val="24"/>
          <w:szCs w:val="24"/>
        </w:rPr>
        <w:t xml:space="preserve"> is authorized by Section 301 of the Public Health Service Act (42 U.S.C. 241).</w:t>
      </w:r>
      <w:r w:rsidRPr="005A7004" w:rsidR="001E7537">
        <w:rPr>
          <w:sz w:val="24"/>
          <w:szCs w:val="24"/>
        </w:rPr>
        <w:t xml:space="preserve"> </w:t>
      </w:r>
      <w:r w:rsidRPr="005A7004" w:rsidR="001E7537">
        <w:rPr>
          <w:iCs/>
          <w:sz w:val="24"/>
          <w:szCs w:val="24"/>
        </w:rPr>
        <w:t xml:space="preserve">This information collection falls under the essential public health service(s) of </w:t>
      </w:r>
    </w:p>
    <w:p w:rsidRPr="00774689" w:rsidR="00350C8C" w:rsidP="007B7C44" w:rsidRDefault="00350C8C" w14:paraId="0BC50582" w14:textId="77777777">
      <w:pPr>
        <w:ind w:left="360"/>
      </w:pPr>
    </w:p>
    <w:p w:rsidRPr="00774689" w:rsidR="00587C72" w:rsidP="007B7C44" w:rsidRDefault="00B63CF3" w14:paraId="2070F79D" w14:textId="77777777">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bookmarkStart w:name="Check25" w:id="6"/>
      <w:r w:rsidRPr="00774689">
        <w:rPr>
          <w:rFonts w:ascii="Shruti" w:hAnsi="Shruti" w:eastAsia="Times New Roman" w:cs="Shruti"/>
          <w:sz w:val="16"/>
          <w:szCs w:val="14"/>
        </w:rPr>
        <w:instrText xml:space="preserve"> FORMCHECKBOX </w:instrText>
      </w:r>
      <w:r w:rsidR="00DA767D">
        <w:rPr>
          <w:rFonts w:ascii="Shruti" w:hAnsi="Shruti" w:eastAsia="Times New Roman" w:cs="Shruti"/>
          <w:sz w:val="16"/>
          <w:szCs w:val="14"/>
        </w:rPr>
      </w:r>
      <w:r w:rsidR="00DA767D">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bookmarkEnd w:id="6"/>
      <w:r w:rsidRPr="00774689">
        <w:rPr>
          <w:rFonts w:ascii="Shruti" w:hAnsi="Shruti" w:eastAsia="Times New Roman" w:cs="Shruti"/>
          <w:sz w:val="16"/>
          <w:szCs w:val="14"/>
        </w:rPr>
        <w:t xml:space="preserve"> </w:t>
      </w:r>
      <w:r w:rsidRPr="00774689" w:rsidR="00F45451">
        <w:t>1. M</w:t>
      </w:r>
      <w:r w:rsidRPr="00774689" w:rsidR="00587C72">
        <w:t>onitoring health status to identify community health problems</w:t>
      </w:r>
    </w:p>
    <w:p w:rsidRPr="00774689" w:rsidR="00587C72" w:rsidP="007B7C44" w:rsidRDefault="00235D1E" w14:paraId="28D7FC08" w14:textId="3362DCB9">
      <w:pPr>
        <w:ind w:left="360"/>
      </w:pPr>
      <w:r>
        <w:rPr>
          <w:rFonts w:ascii="Shruti" w:hAnsi="Shruti" w:eastAsia="Times New Roman" w:cs="Shruti"/>
          <w:sz w:val="16"/>
          <w:szCs w:val="14"/>
        </w:rPr>
        <w:fldChar w:fldCharType="begin">
          <w:ffData>
            <w:name w:val=""/>
            <w:enabled/>
            <w:calcOnExit w:val="0"/>
            <w:checkBox>
              <w:sizeAuto/>
              <w:default w:val="1"/>
            </w:checkBox>
          </w:ffData>
        </w:fldChar>
      </w:r>
      <w:r>
        <w:rPr>
          <w:rFonts w:ascii="Shruti" w:hAnsi="Shruti" w:eastAsia="Times New Roman" w:cs="Shruti"/>
          <w:sz w:val="16"/>
          <w:szCs w:val="14"/>
        </w:rPr>
        <w:instrText xml:space="preserve"> FORMCHECKBOX </w:instrText>
      </w:r>
      <w:r w:rsidR="00DA767D">
        <w:rPr>
          <w:rFonts w:ascii="Shruti" w:hAnsi="Shruti" w:eastAsia="Times New Roman" w:cs="Shruti"/>
          <w:sz w:val="16"/>
          <w:szCs w:val="14"/>
        </w:rPr>
      </w:r>
      <w:r w:rsidR="00DA767D">
        <w:rPr>
          <w:rFonts w:ascii="Shruti" w:hAnsi="Shruti" w:eastAsia="Times New Roman" w:cs="Shruti"/>
          <w:sz w:val="16"/>
          <w:szCs w:val="14"/>
        </w:rPr>
        <w:fldChar w:fldCharType="separate"/>
      </w:r>
      <w:r>
        <w:rPr>
          <w:rFonts w:ascii="Shruti" w:hAnsi="Shruti" w:eastAsia="Times New Roman" w:cs="Shruti"/>
          <w:sz w:val="16"/>
          <w:szCs w:val="14"/>
        </w:rPr>
        <w:fldChar w:fldCharType="end"/>
      </w:r>
      <w:r w:rsidRPr="00774689" w:rsidR="00B63CF3">
        <w:rPr>
          <w:rFonts w:ascii="Shruti" w:hAnsi="Shruti" w:eastAsia="Times New Roman" w:cs="Shruti"/>
          <w:sz w:val="16"/>
          <w:szCs w:val="14"/>
        </w:rPr>
        <w:t xml:space="preserve"> </w:t>
      </w:r>
      <w:r w:rsidRPr="00774689" w:rsidR="00F45451">
        <w:t>2. D</w:t>
      </w:r>
      <w:r w:rsidRPr="00774689" w:rsidR="00587C72">
        <w:t>iagnosing and investigating health problems and health hazards in the community</w:t>
      </w:r>
    </w:p>
    <w:p w:rsidRPr="00774689" w:rsidR="00587C72" w:rsidP="007B7C44" w:rsidRDefault="00B63CF3" w14:paraId="00EC8904" w14:textId="77777777">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DA767D">
        <w:rPr>
          <w:rFonts w:ascii="Shruti" w:hAnsi="Shruti" w:eastAsia="Times New Roman" w:cs="Shruti"/>
          <w:sz w:val="16"/>
          <w:szCs w:val="14"/>
        </w:rPr>
      </w:r>
      <w:r w:rsidR="00DA767D">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F45451">
        <w:t>3. I</w:t>
      </w:r>
      <w:r w:rsidRPr="00774689" w:rsidR="00587C72">
        <w:t>nforming, educating, and empowering people about health issues</w:t>
      </w:r>
    </w:p>
    <w:p w:rsidRPr="00774689" w:rsidR="00587C72" w:rsidP="007B7C44" w:rsidRDefault="00B63CF3" w14:paraId="0D510438" w14:textId="77777777">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DA767D">
        <w:rPr>
          <w:rFonts w:ascii="Shruti" w:hAnsi="Shruti" w:eastAsia="Times New Roman" w:cs="Shruti"/>
          <w:sz w:val="16"/>
          <w:szCs w:val="14"/>
        </w:rPr>
      </w:r>
      <w:r w:rsidR="00DA767D">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4. M</w:t>
      </w:r>
      <w:r w:rsidRPr="00774689" w:rsidR="00587C72">
        <w:t>obilizing community partnerships to identify and solve health problems</w:t>
      </w:r>
    </w:p>
    <w:p w:rsidRPr="00774689" w:rsidR="00587C72" w:rsidP="007B7C44" w:rsidRDefault="00235D1E" w14:paraId="781BA0CC" w14:textId="45A01F85">
      <w:pPr>
        <w:ind w:left="360"/>
      </w:pPr>
      <w:r>
        <w:rPr>
          <w:rFonts w:ascii="Shruti" w:hAnsi="Shruti" w:eastAsia="Times New Roman" w:cs="Shruti"/>
          <w:sz w:val="16"/>
          <w:szCs w:val="14"/>
        </w:rPr>
        <w:fldChar w:fldCharType="begin">
          <w:ffData>
            <w:name w:val=""/>
            <w:enabled/>
            <w:calcOnExit w:val="0"/>
            <w:checkBox>
              <w:sizeAuto/>
              <w:default w:val="1"/>
            </w:checkBox>
          </w:ffData>
        </w:fldChar>
      </w:r>
      <w:r>
        <w:rPr>
          <w:rFonts w:ascii="Shruti" w:hAnsi="Shruti" w:eastAsia="Times New Roman" w:cs="Shruti"/>
          <w:sz w:val="16"/>
          <w:szCs w:val="14"/>
        </w:rPr>
        <w:instrText xml:space="preserve"> FORMCHECKBOX </w:instrText>
      </w:r>
      <w:r w:rsidR="00DA767D">
        <w:rPr>
          <w:rFonts w:ascii="Shruti" w:hAnsi="Shruti" w:eastAsia="Times New Roman" w:cs="Shruti"/>
          <w:sz w:val="16"/>
          <w:szCs w:val="14"/>
        </w:rPr>
      </w:r>
      <w:r w:rsidR="00DA767D">
        <w:rPr>
          <w:rFonts w:ascii="Shruti" w:hAnsi="Shruti" w:eastAsia="Times New Roman" w:cs="Shruti"/>
          <w:sz w:val="16"/>
          <w:szCs w:val="14"/>
        </w:rPr>
        <w:fldChar w:fldCharType="separate"/>
      </w:r>
      <w:r>
        <w:rPr>
          <w:rFonts w:ascii="Shruti" w:hAnsi="Shruti" w:eastAsia="Times New Roman" w:cs="Shruti"/>
          <w:sz w:val="16"/>
          <w:szCs w:val="14"/>
        </w:rPr>
        <w:fldChar w:fldCharType="end"/>
      </w:r>
      <w:r w:rsidRPr="00774689" w:rsidR="00B63CF3">
        <w:rPr>
          <w:rFonts w:ascii="Shruti" w:hAnsi="Shruti" w:eastAsia="Times New Roman" w:cs="Shruti"/>
          <w:sz w:val="16"/>
          <w:szCs w:val="14"/>
        </w:rPr>
        <w:t xml:space="preserve"> </w:t>
      </w:r>
      <w:r w:rsidRPr="00774689" w:rsidR="00481D80">
        <w:t>5. D</w:t>
      </w:r>
      <w:r w:rsidRPr="00774689" w:rsidR="00587C72">
        <w:t>evelopment of policies and plans that support individual and community health efforts</w:t>
      </w:r>
    </w:p>
    <w:p w:rsidRPr="00774689" w:rsidR="00587C72" w:rsidP="007B7C44" w:rsidRDefault="00B63CF3" w14:paraId="56F4B040" w14:textId="77777777">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DA767D">
        <w:rPr>
          <w:rFonts w:ascii="Shruti" w:hAnsi="Shruti" w:eastAsia="Times New Roman" w:cs="Shruti"/>
          <w:sz w:val="16"/>
          <w:szCs w:val="14"/>
        </w:rPr>
      </w:r>
      <w:r w:rsidR="00DA767D">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6. E</w:t>
      </w:r>
      <w:r w:rsidRPr="00774689" w:rsidR="00587C72">
        <w:t>nforcement of laws and regulations that pr</w:t>
      </w:r>
      <w:r w:rsidRPr="00774689" w:rsidR="008E3D8D">
        <w:t>otect health and ensure safety</w:t>
      </w:r>
    </w:p>
    <w:p w:rsidRPr="00774689" w:rsidR="00481D80" w:rsidP="007B7C44" w:rsidRDefault="00B63CF3" w14:paraId="041A6C55" w14:textId="77777777">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DA767D">
        <w:rPr>
          <w:rFonts w:ascii="Shruti" w:hAnsi="Shruti" w:eastAsia="Times New Roman" w:cs="Shruti"/>
          <w:sz w:val="16"/>
          <w:szCs w:val="14"/>
        </w:rPr>
      </w:r>
      <w:r w:rsidR="00DA767D">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7. L</w:t>
      </w:r>
      <w:r w:rsidRPr="00774689" w:rsidR="00587C72">
        <w:t xml:space="preserve">inking people to needed personal health services and assure the provision of health care </w:t>
      </w:r>
    </w:p>
    <w:p w:rsidRPr="00774689" w:rsidR="00587C72" w:rsidP="00EA3A4A" w:rsidRDefault="00481D80" w14:paraId="04BAADA2" w14:textId="77777777">
      <w:pPr>
        <w:ind w:left="360"/>
      </w:pPr>
      <w:r w:rsidRPr="00774689">
        <w:t xml:space="preserve">            </w:t>
      </w:r>
      <w:r w:rsidRPr="00774689" w:rsidR="00587C72">
        <w:t>when otherwise unavailable</w:t>
      </w:r>
    </w:p>
    <w:p w:rsidRPr="00774689" w:rsidR="00587C72" w:rsidP="007B7C44" w:rsidRDefault="00B63CF3" w14:paraId="08A3CE89" w14:textId="77777777">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DA767D">
        <w:rPr>
          <w:rFonts w:ascii="Shruti" w:hAnsi="Shruti" w:eastAsia="Times New Roman" w:cs="Shruti"/>
          <w:sz w:val="16"/>
          <w:szCs w:val="14"/>
        </w:rPr>
      </w:r>
      <w:r w:rsidR="00DA767D">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8. A</w:t>
      </w:r>
      <w:r w:rsidRPr="00774689" w:rsidR="00587C72">
        <w:t>ssuring a competent public health and personal health care workforce</w:t>
      </w:r>
    </w:p>
    <w:p w:rsidR="00EA3A4A" w:rsidP="00EA3A4A" w:rsidRDefault="00B63CF3" w14:paraId="0F371778" w14:textId="77777777">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DA767D">
        <w:rPr>
          <w:rFonts w:ascii="Shruti" w:hAnsi="Shruti" w:eastAsia="Times New Roman" w:cs="Shruti"/>
          <w:sz w:val="16"/>
          <w:szCs w:val="14"/>
        </w:rPr>
      </w:r>
      <w:r w:rsidR="00DA767D">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9. E</w:t>
      </w:r>
      <w:r w:rsidRPr="00774689" w:rsidR="00587C72">
        <w:t>valuating effectiveness, accessibility, and quality o</w:t>
      </w:r>
      <w:r w:rsidR="00EA3A4A">
        <w:t xml:space="preserve">f personal and population-based  </w:t>
      </w:r>
    </w:p>
    <w:p w:rsidRPr="00774689" w:rsidR="00587C72" w:rsidP="00EA3A4A" w:rsidRDefault="00EA3A4A" w14:paraId="4F8C04D3" w14:textId="77777777">
      <w:r>
        <w:t xml:space="preserve">     </w:t>
      </w:r>
      <w:r w:rsidRPr="00774689">
        <w:t>health services</w:t>
      </w:r>
    </w:p>
    <w:p w:rsidR="00481D80" w:rsidP="007B7C44" w:rsidRDefault="00B63CF3" w14:paraId="49A1EF43" w14:textId="77777777">
      <w:pPr>
        <w:ind w:left="360"/>
        <w:rPr>
          <w:iCs/>
          <w:vertAlign w:val="superscript"/>
        </w:rPr>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DA767D">
        <w:rPr>
          <w:rFonts w:ascii="Shruti" w:hAnsi="Shruti" w:eastAsia="Times New Roman" w:cs="Shruti"/>
          <w:sz w:val="16"/>
          <w:szCs w:val="14"/>
        </w:rPr>
      </w:r>
      <w:r w:rsidR="00DA767D">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10. R</w:t>
      </w:r>
      <w:r w:rsidRPr="00774689" w:rsidR="00587C72">
        <w:t>esearch for new insights and innovative solutions to health problems</w:t>
      </w:r>
      <w:r w:rsidRPr="00774689" w:rsidR="00587C72">
        <w:rPr>
          <w:iCs/>
          <w:vertAlign w:val="superscript"/>
        </w:rPr>
        <w:t xml:space="preserve"> 1</w:t>
      </w:r>
    </w:p>
    <w:p w:rsidR="006372E5" w:rsidP="00A616F2" w:rsidRDefault="006372E5" w14:paraId="61647E13" w14:textId="6F26F219">
      <w:pPr>
        <w:ind w:left="0"/>
        <w:rPr>
          <w:sz w:val="24"/>
          <w:szCs w:val="24"/>
        </w:rPr>
      </w:pPr>
    </w:p>
    <w:p w:rsidR="006372E5" w:rsidP="00235D1E" w:rsidRDefault="006372E5" w14:paraId="6FC87C19" w14:textId="77777777">
      <w:pPr>
        <w:rPr>
          <w:sz w:val="24"/>
          <w:szCs w:val="24"/>
        </w:rPr>
      </w:pPr>
    </w:p>
    <w:p w:rsidR="006372E5" w:rsidP="006372E5" w:rsidRDefault="006372E5" w14:paraId="40C1D288" w14:textId="51D9C84A">
      <w:pPr>
        <w:ind w:left="360"/>
        <w:rPr>
          <w:sz w:val="24"/>
        </w:rPr>
      </w:pPr>
      <w:r w:rsidRPr="00772CED">
        <w:rPr>
          <w:sz w:val="24"/>
        </w:rPr>
        <w:t xml:space="preserve">In 2018, there were approximately 1,735,350 incident cases of cancer and 609,640 deaths caused by cancer in the United States.  </w:t>
      </w:r>
      <w:r>
        <w:rPr>
          <w:sz w:val="24"/>
        </w:rPr>
        <w:t xml:space="preserve">While 38.4 percent of men and women will be diagnosed with a cancer at some point in their lifetime, communities are often alarmed by suspected cancer clusters.  Due to the relatively common nature of cancer and many analytical challenges with confirming a cluster, it is often difficult to conclude if a suspected cluster of cancers is a true cancer cluster, and to further identify a potential cause.  </w:t>
      </w:r>
    </w:p>
    <w:p w:rsidR="006372E5" w:rsidP="006372E5" w:rsidRDefault="006372E5" w14:paraId="05503A79" w14:textId="77777777">
      <w:pPr>
        <w:ind w:left="360"/>
        <w:rPr>
          <w:sz w:val="24"/>
        </w:rPr>
      </w:pPr>
    </w:p>
    <w:p w:rsidR="006372E5" w:rsidP="006372E5" w:rsidRDefault="006372E5" w14:paraId="06BE5226" w14:textId="77777777">
      <w:pPr>
        <w:ind w:left="360"/>
        <w:rPr>
          <w:sz w:val="24"/>
        </w:rPr>
      </w:pPr>
      <w:r>
        <w:rPr>
          <w:sz w:val="24"/>
        </w:rPr>
        <w:t xml:space="preserve">CDC’s National Center for Environmental Health and Agency for Toxic Substances and Disease Registry (NCEH/ATSDR) are at the forefront of providing technical assistance to public health practitioners in STLT public health agencies to investigate suspected cancer clusters.   In September 2013, NCEH/ATSDR and the Council of State and Territorial Epidemiologists (CSTE) published guidelines in the </w:t>
      </w:r>
      <w:r w:rsidRPr="007E0E3F">
        <w:rPr>
          <w:sz w:val="24"/>
          <w:szCs w:val="24"/>
        </w:rPr>
        <w:t>Morbidity and Mortality Weekly Report</w:t>
      </w:r>
      <w:r>
        <w:rPr>
          <w:sz w:val="24"/>
        </w:rPr>
        <w:t xml:space="preserve"> for public health agencies to respond to and investigate suspected cancer clusters in their communities in a systematic way – </w:t>
      </w:r>
      <w:r w:rsidRPr="007E0E3F">
        <w:rPr>
          <w:i/>
          <w:sz w:val="24"/>
          <w:szCs w:val="24"/>
        </w:rPr>
        <w:t>Investigating Suspected Cancer Clusters and Responding to Community Concerns: Guidelines from CDC and the Council of State and Territorial Epidemiologists</w:t>
      </w:r>
      <w:r>
        <w:rPr>
          <w:i/>
          <w:sz w:val="24"/>
          <w:szCs w:val="24"/>
        </w:rPr>
        <w:t xml:space="preserve"> </w:t>
      </w:r>
      <w:r w:rsidRPr="006372E5">
        <w:rPr>
          <w:sz w:val="24"/>
          <w:szCs w:val="24"/>
        </w:rPr>
        <w:t>(2013 Guidelines)</w:t>
      </w:r>
      <w:r w:rsidRPr="006372E5">
        <w:rPr>
          <w:sz w:val="24"/>
        </w:rPr>
        <w:t xml:space="preserve">.  </w:t>
      </w:r>
      <w:r>
        <w:rPr>
          <w:sz w:val="24"/>
        </w:rPr>
        <w:t xml:space="preserve">The 2013 Guidelines outline four key steps for evaluating suspected cancer clusters, including: initial contact </w:t>
      </w:r>
      <w:r>
        <w:rPr>
          <w:sz w:val="24"/>
        </w:rPr>
        <w:lastRenderedPageBreak/>
        <w:t xml:space="preserve">and response, assessment, determining the feasibility of conducting an epidemiologic study, and conducting an epidemiologic study to assess the association between cancers and environmental causes.   </w:t>
      </w:r>
    </w:p>
    <w:p w:rsidR="006372E5" w:rsidP="006372E5" w:rsidRDefault="006372E5" w14:paraId="261621D7" w14:textId="77777777">
      <w:pPr>
        <w:ind w:left="360"/>
        <w:rPr>
          <w:sz w:val="24"/>
        </w:rPr>
      </w:pPr>
    </w:p>
    <w:p w:rsidR="006372E5" w:rsidP="006372E5" w:rsidRDefault="006372E5" w14:paraId="1E27353D" w14:textId="35D3A090">
      <w:pPr>
        <w:ind w:left="360"/>
        <w:rPr>
          <w:sz w:val="24"/>
          <w:szCs w:val="24"/>
        </w:rPr>
      </w:pPr>
      <w:r>
        <w:rPr>
          <w:sz w:val="24"/>
        </w:rPr>
        <w:t xml:space="preserve">While </w:t>
      </w:r>
      <w:r w:rsidR="00A616F2">
        <w:rPr>
          <w:sz w:val="24"/>
        </w:rPr>
        <w:t>the 2013</w:t>
      </w:r>
      <w:r>
        <w:rPr>
          <w:sz w:val="24"/>
        </w:rPr>
        <w:t xml:space="preserve"> </w:t>
      </w:r>
      <w:r w:rsidR="00A616F2">
        <w:rPr>
          <w:sz w:val="24"/>
        </w:rPr>
        <w:t>G</w:t>
      </w:r>
      <w:r>
        <w:rPr>
          <w:sz w:val="24"/>
        </w:rPr>
        <w:t xml:space="preserve">uidelines have provided many public health agencies with valuable resources for investigating cancer clusters, new technical and scientific innovations in the field (e.g., cancer genomics, new biological markers for cancer tumors, advances in geographic information system methodologies and spatial statistics, new systems for residential history searches) warrant review and revision of the 2013 CDC/CSTE guidelines. </w:t>
      </w:r>
      <w:r>
        <w:rPr>
          <w:sz w:val="24"/>
          <w:szCs w:val="24"/>
        </w:rPr>
        <w:t xml:space="preserve"> </w:t>
      </w:r>
      <w:r w:rsidRPr="007E0E3F">
        <w:rPr>
          <w:sz w:val="24"/>
          <w:szCs w:val="24"/>
        </w:rPr>
        <w:t xml:space="preserve">To ensure that STLT public health agencies and stakeholders have access to information about current scientific tools and approaches to assess and respond to potential cancer clusters in communities, </w:t>
      </w:r>
      <w:r>
        <w:rPr>
          <w:sz w:val="24"/>
          <w:szCs w:val="24"/>
        </w:rPr>
        <w:t>NCEH</w:t>
      </w:r>
      <w:r w:rsidRPr="007E0E3F">
        <w:rPr>
          <w:sz w:val="24"/>
          <w:szCs w:val="24"/>
        </w:rPr>
        <w:t xml:space="preserve"> is working with ATSDR to update the 2013 Guidelines.</w:t>
      </w:r>
    </w:p>
    <w:p w:rsidR="006372E5" w:rsidP="006372E5" w:rsidRDefault="006372E5" w14:paraId="49D4E4B8" w14:textId="4E622444">
      <w:pPr>
        <w:ind w:left="360"/>
        <w:rPr>
          <w:sz w:val="24"/>
        </w:rPr>
      </w:pPr>
    </w:p>
    <w:p w:rsidR="00235D1E" w:rsidP="006372E5" w:rsidRDefault="00235D1E" w14:paraId="2DDB451A" w14:textId="44B69EFC">
      <w:pPr>
        <w:ind w:left="360"/>
        <w:rPr>
          <w:sz w:val="24"/>
          <w:szCs w:val="24"/>
        </w:rPr>
      </w:pPr>
      <w:r w:rsidRPr="007E0E3F">
        <w:rPr>
          <w:sz w:val="24"/>
          <w:szCs w:val="24"/>
        </w:rPr>
        <w:t xml:space="preserve">In the fall of 2018, </w:t>
      </w:r>
      <w:r w:rsidR="006372E5">
        <w:rPr>
          <w:sz w:val="24"/>
          <w:szCs w:val="24"/>
        </w:rPr>
        <w:t>NCEH/ATSDR</w:t>
      </w:r>
      <w:r w:rsidRPr="007E0E3F">
        <w:rPr>
          <w:sz w:val="24"/>
          <w:szCs w:val="24"/>
        </w:rPr>
        <w:t xml:space="preserve"> began working to update federal guidelines for investigating potential cancer clusters, in accordance with $1</w:t>
      </w:r>
      <w:r>
        <w:rPr>
          <w:sz w:val="24"/>
          <w:szCs w:val="24"/>
        </w:rPr>
        <w:t xml:space="preserve"> </w:t>
      </w:r>
      <w:r w:rsidRPr="007E0E3F">
        <w:rPr>
          <w:sz w:val="24"/>
          <w:szCs w:val="24"/>
        </w:rPr>
        <w:t>million FY2019 Congressional appropriation to CDC to implement section 399V-6(c) of the Public Health Service Act, also known as “Trevor’s Law.”  Trevor’s Law was passed in 2016 as a provision within the Frank R. Lautenberg Chemical Safety for the 21</w:t>
      </w:r>
      <w:r w:rsidRPr="007E0E3F">
        <w:rPr>
          <w:sz w:val="24"/>
          <w:szCs w:val="24"/>
          <w:vertAlign w:val="superscript"/>
        </w:rPr>
        <w:t>st</w:t>
      </w:r>
      <w:r w:rsidRPr="007E0E3F">
        <w:rPr>
          <w:sz w:val="24"/>
          <w:szCs w:val="24"/>
        </w:rPr>
        <w:t xml:space="preserve"> Century Act. </w:t>
      </w:r>
    </w:p>
    <w:p w:rsidRPr="007E0E3F" w:rsidR="00235D1E" w:rsidP="006372E5" w:rsidRDefault="00235D1E" w14:paraId="3D1E489C" w14:textId="77777777">
      <w:pPr>
        <w:ind w:left="360"/>
        <w:rPr>
          <w:sz w:val="24"/>
          <w:szCs w:val="24"/>
        </w:rPr>
      </w:pPr>
    </w:p>
    <w:p w:rsidR="00235D1E" w:rsidP="006372E5" w:rsidRDefault="00235D1E" w14:paraId="46AA9FD8" w14:textId="4F514D65">
      <w:pPr>
        <w:ind w:left="360"/>
        <w:rPr>
          <w:sz w:val="24"/>
          <w:szCs w:val="24"/>
        </w:rPr>
      </w:pPr>
      <w:r>
        <w:rPr>
          <w:sz w:val="24"/>
          <w:szCs w:val="24"/>
        </w:rPr>
        <w:t xml:space="preserve">To guide the update of the 2013 Guidelines and assist in developing other tools and guidance that can be used by STLT public health agencies, </w:t>
      </w:r>
      <w:r w:rsidR="00C43D32">
        <w:rPr>
          <w:sz w:val="24"/>
          <w:szCs w:val="24"/>
        </w:rPr>
        <w:t>NCEH</w:t>
      </w:r>
      <w:r>
        <w:rPr>
          <w:sz w:val="24"/>
          <w:szCs w:val="24"/>
        </w:rPr>
        <w:t>/ATSDR will collect two types of information:</w:t>
      </w:r>
    </w:p>
    <w:p w:rsidR="00235D1E" w:rsidP="0043575E" w:rsidRDefault="00235D1E" w14:paraId="1AC2F7CA" w14:textId="5A2A2A1A">
      <w:pPr>
        <w:pStyle w:val="ListParagraph"/>
        <w:numPr>
          <w:ilvl w:val="0"/>
          <w:numId w:val="17"/>
        </w:numPr>
        <w:tabs>
          <w:tab w:val="clear" w:pos="9360"/>
        </w:tabs>
        <w:spacing w:before="240" w:after="120" w:line="264" w:lineRule="auto"/>
        <w:ind w:left="525"/>
        <w:rPr>
          <w:sz w:val="24"/>
          <w:szCs w:val="24"/>
        </w:rPr>
      </w:pPr>
      <w:r>
        <w:rPr>
          <w:sz w:val="24"/>
          <w:szCs w:val="24"/>
        </w:rPr>
        <w:t xml:space="preserve">An electronic </w:t>
      </w:r>
      <w:r w:rsidR="00AB366B">
        <w:rPr>
          <w:sz w:val="24"/>
          <w:szCs w:val="24"/>
        </w:rPr>
        <w:t xml:space="preserve">assessment </w:t>
      </w:r>
      <w:r>
        <w:rPr>
          <w:sz w:val="24"/>
          <w:szCs w:val="24"/>
        </w:rPr>
        <w:t xml:space="preserve">of </w:t>
      </w:r>
      <w:r w:rsidRPr="00DB6B99" w:rsidR="00DC2D28">
        <w:rPr>
          <w:sz w:val="24"/>
          <w:szCs w:val="24"/>
        </w:rPr>
        <w:t>3,</w:t>
      </w:r>
      <w:r w:rsidRPr="00DB6B99" w:rsidR="00DB6B99">
        <w:rPr>
          <w:sz w:val="24"/>
          <w:szCs w:val="24"/>
        </w:rPr>
        <w:t>070</w:t>
      </w:r>
      <w:r>
        <w:rPr>
          <w:sz w:val="24"/>
          <w:szCs w:val="24"/>
        </w:rPr>
        <w:t xml:space="preserve"> STLT public health agencies</w:t>
      </w:r>
      <w:r w:rsidR="00AA5AC7">
        <w:rPr>
          <w:sz w:val="24"/>
          <w:szCs w:val="24"/>
        </w:rPr>
        <w:t xml:space="preserve"> </w:t>
      </w:r>
      <w:r w:rsidR="00AA5AC7">
        <w:t>(i.e., 50 state, 3000 local, 12 tribal, 5 territorial and 3 freely associated states</w:t>
      </w:r>
      <w:r w:rsidR="0043575E">
        <w:t>)</w:t>
      </w:r>
      <w:r>
        <w:rPr>
          <w:sz w:val="24"/>
          <w:szCs w:val="24"/>
        </w:rPr>
        <w:t xml:space="preserve"> will be conducted to understand the </w:t>
      </w:r>
      <w:r w:rsidRPr="00080F20">
        <w:rPr>
          <w:sz w:val="24"/>
          <w:szCs w:val="24"/>
        </w:rPr>
        <w:t>current activities related to cancer cluster inquiries, available and needed resources, and ways to improve how STLT public health agencies address cancer cluster inquiries.</w:t>
      </w:r>
      <w:r w:rsidR="00C56912">
        <w:rPr>
          <w:sz w:val="24"/>
          <w:szCs w:val="24"/>
        </w:rPr>
        <w:t xml:space="preserve">  One epidemiologist (or their designee) will complete the assessment on behalf of their public health agency (one response per agency).</w:t>
      </w:r>
    </w:p>
    <w:p w:rsidR="00235D1E" w:rsidP="006372E5" w:rsidRDefault="00235D1E" w14:paraId="44A8BD73" w14:textId="2A061173">
      <w:pPr>
        <w:pStyle w:val="ListParagraph"/>
        <w:numPr>
          <w:ilvl w:val="0"/>
          <w:numId w:val="17"/>
        </w:numPr>
        <w:tabs>
          <w:tab w:val="clear" w:pos="9360"/>
        </w:tabs>
        <w:spacing w:after="120" w:line="264" w:lineRule="auto"/>
        <w:ind w:left="525"/>
        <w:rPr>
          <w:sz w:val="24"/>
          <w:szCs w:val="24"/>
        </w:rPr>
      </w:pPr>
      <w:r>
        <w:rPr>
          <w:sz w:val="24"/>
          <w:szCs w:val="24"/>
        </w:rPr>
        <w:t xml:space="preserve">Up to ten focus groups will be conducted with </w:t>
      </w:r>
      <w:r w:rsidR="00CC26C9">
        <w:rPr>
          <w:sz w:val="24"/>
          <w:szCs w:val="24"/>
        </w:rPr>
        <w:t xml:space="preserve">a total of </w:t>
      </w:r>
      <w:r w:rsidR="00576E3A">
        <w:rPr>
          <w:sz w:val="24"/>
          <w:szCs w:val="24"/>
        </w:rPr>
        <w:t xml:space="preserve">up to 120 </w:t>
      </w:r>
      <w:r>
        <w:rPr>
          <w:sz w:val="24"/>
          <w:szCs w:val="24"/>
        </w:rPr>
        <w:t>STLT public health agency professionals and staff who have a role in responding to cancer clusters in their communities.</w:t>
      </w:r>
      <w:r w:rsidR="00CC26C9">
        <w:rPr>
          <w:sz w:val="24"/>
          <w:szCs w:val="24"/>
        </w:rPr>
        <w:t xml:space="preserve">  </w:t>
      </w:r>
    </w:p>
    <w:p w:rsidRPr="009951C8" w:rsidR="00235D1E" w:rsidP="006372E5" w:rsidRDefault="00A616F2" w14:paraId="1878C00B" w14:textId="0AECCC85">
      <w:pPr>
        <w:ind w:left="360"/>
        <w:rPr>
          <w:sz w:val="24"/>
          <w:szCs w:val="24"/>
        </w:rPr>
      </w:pPr>
      <w:r>
        <w:rPr>
          <w:sz w:val="24"/>
          <w:szCs w:val="24"/>
        </w:rPr>
        <w:t>NCEH</w:t>
      </w:r>
      <w:r w:rsidR="00235D1E">
        <w:rPr>
          <w:sz w:val="24"/>
          <w:szCs w:val="24"/>
        </w:rPr>
        <w:t xml:space="preserve">/ATSDR has funded a contract with ICF, a global consulting services company, to assist with the planning, facilitation, and reporting of the focus groups.  </w:t>
      </w:r>
      <w:r w:rsidR="00C43D32">
        <w:rPr>
          <w:sz w:val="24"/>
          <w:szCs w:val="24"/>
        </w:rPr>
        <w:t xml:space="preserve">NCEH/ATSDR will provide oversight of all contractor activities and ensure completion of the data collection.  In addition to ICF, </w:t>
      </w:r>
      <w:r w:rsidR="009702A2">
        <w:rPr>
          <w:sz w:val="24"/>
          <w:szCs w:val="24"/>
        </w:rPr>
        <w:t>eight</w:t>
      </w:r>
      <w:r w:rsidR="00C43D32">
        <w:rPr>
          <w:sz w:val="24"/>
          <w:szCs w:val="24"/>
        </w:rPr>
        <w:t xml:space="preserve"> subject matter experts were consulted on the development of the data collection instruments.  These individuals volunteered their support.  NCEH</w:t>
      </w:r>
      <w:r w:rsidR="00235D1E">
        <w:rPr>
          <w:sz w:val="24"/>
          <w:szCs w:val="24"/>
        </w:rPr>
        <w:t xml:space="preserve">/ATSDR will </w:t>
      </w:r>
      <w:r w:rsidR="00A73A38">
        <w:rPr>
          <w:sz w:val="24"/>
          <w:szCs w:val="24"/>
        </w:rPr>
        <w:t xml:space="preserve">develop and </w:t>
      </w:r>
      <w:r w:rsidR="00235D1E">
        <w:rPr>
          <w:sz w:val="24"/>
          <w:szCs w:val="24"/>
        </w:rPr>
        <w:t xml:space="preserve">conduct the electronic </w:t>
      </w:r>
      <w:r w:rsidR="00013ECA">
        <w:rPr>
          <w:sz w:val="24"/>
          <w:szCs w:val="24"/>
        </w:rPr>
        <w:t>assessment</w:t>
      </w:r>
      <w:r w:rsidR="00C43D32">
        <w:rPr>
          <w:sz w:val="24"/>
          <w:szCs w:val="24"/>
        </w:rPr>
        <w:t xml:space="preserve"> independently</w:t>
      </w:r>
      <w:r w:rsidR="00235D1E">
        <w:rPr>
          <w:sz w:val="24"/>
          <w:szCs w:val="24"/>
        </w:rPr>
        <w:t xml:space="preserve">.  </w:t>
      </w:r>
    </w:p>
    <w:p w:rsidR="00387059" w:rsidP="00387059" w:rsidRDefault="00387059" w14:paraId="315569E1" w14:textId="4838B5EC">
      <w:pPr>
        <w:ind w:left="360"/>
        <w:rPr>
          <w:bCs/>
          <w:sz w:val="24"/>
          <w:szCs w:val="24"/>
        </w:rPr>
      </w:pPr>
      <w:r>
        <w:rPr>
          <w:sz w:val="24"/>
          <w:szCs w:val="24"/>
        </w:rPr>
        <w:lastRenderedPageBreak/>
        <w:t xml:space="preserve">The purpose of this </w:t>
      </w:r>
      <w:r>
        <w:rPr>
          <w:sz w:val="24"/>
        </w:rPr>
        <w:t>NCEH/ATSDR-led</w:t>
      </w:r>
      <w:r w:rsidRPr="00013ECA">
        <w:rPr>
          <w:sz w:val="24"/>
        </w:rPr>
        <w:t xml:space="preserve"> information</w:t>
      </w:r>
      <w:r>
        <w:rPr>
          <w:sz w:val="24"/>
          <w:szCs w:val="24"/>
        </w:rPr>
        <w:t xml:space="preserve"> collection is to </w:t>
      </w:r>
      <w:r w:rsidRPr="004C57AB">
        <w:rPr>
          <w:sz w:val="24"/>
          <w:szCs w:val="24"/>
        </w:rPr>
        <w:t xml:space="preserve">assess current state, tribal, local, and territorial (STLT) public health agency’s </w:t>
      </w:r>
      <w:r w:rsidRPr="004C57AB">
        <w:rPr>
          <w:rFonts w:cstheme="minorHAnsi"/>
          <w:sz w:val="24"/>
          <w:szCs w:val="24"/>
        </w:rPr>
        <w:t>current approaches, best practices, and capacity for addressing cancer cluster inquiries that can be used to inform CDC/ATSDR’s update of federal cancer cluster guidelines.</w:t>
      </w:r>
      <w:r>
        <w:rPr>
          <w:rFonts w:cstheme="minorHAnsi"/>
          <w:sz w:val="24"/>
          <w:szCs w:val="24"/>
        </w:rPr>
        <w:t xml:space="preserve">  </w:t>
      </w:r>
      <w:r>
        <w:rPr>
          <w:bCs/>
          <w:sz w:val="24"/>
          <w:szCs w:val="24"/>
        </w:rPr>
        <w:t>In accordance with the Trevor’s Law provision within the Frank R. Lautenberg Chemical Safety for the 21</w:t>
      </w:r>
      <w:r w:rsidRPr="00043BBE">
        <w:rPr>
          <w:bCs/>
          <w:sz w:val="24"/>
          <w:szCs w:val="24"/>
          <w:vertAlign w:val="superscript"/>
        </w:rPr>
        <w:t>st</w:t>
      </w:r>
      <w:r>
        <w:rPr>
          <w:bCs/>
          <w:sz w:val="24"/>
          <w:szCs w:val="24"/>
        </w:rPr>
        <w:t xml:space="preserve"> Century Act,</w:t>
      </w:r>
      <w:r w:rsidRPr="00043BBE">
        <w:rPr>
          <w:bCs/>
          <w:sz w:val="24"/>
          <w:szCs w:val="24"/>
        </w:rPr>
        <w:t xml:space="preserve"> CDC</w:t>
      </w:r>
      <w:r>
        <w:rPr>
          <w:bCs/>
          <w:sz w:val="24"/>
          <w:szCs w:val="24"/>
        </w:rPr>
        <w:t>/ATSDR</w:t>
      </w:r>
      <w:r w:rsidRPr="00043BBE">
        <w:rPr>
          <w:bCs/>
          <w:sz w:val="24"/>
          <w:szCs w:val="24"/>
        </w:rPr>
        <w:t xml:space="preserve"> </w:t>
      </w:r>
      <w:r>
        <w:rPr>
          <w:bCs/>
          <w:sz w:val="24"/>
          <w:szCs w:val="24"/>
        </w:rPr>
        <w:t>is updating its</w:t>
      </w:r>
      <w:r w:rsidRPr="00043BBE">
        <w:rPr>
          <w:bCs/>
          <w:sz w:val="24"/>
          <w:szCs w:val="24"/>
        </w:rPr>
        <w:t xml:space="preserve"> federal guidelines for investigating potential cancer clusters.  </w:t>
      </w:r>
    </w:p>
    <w:p w:rsidR="007053CF" w:rsidP="00387059" w:rsidRDefault="007053CF" w14:paraId="42A80CCE" w14:textId="77777777">
      <w:pPr>
        <w:ind w:left="360"/>
        <w:rPr>
          <w:bCs/>
          <w:sz w:val="24"/>
          <w:szCs w:val="24"/>
        </w:rPr>
      </w:pPr>
    </w:p>
    <w:p w:rsidR="00613BCF" w:rsidP="00A62C98" w:rsidRDefault="00387059" w14:paraId="49EC703A" w14:textId="57B6F2C2">
      <w:pPr>
        <w:ind w:left="360"/>
      </w:pPr>
      <w:r>
        <w:rPr>
          <w:sz w:val="24"/>
          <w:szCs w:val="24"/>
        </w:rPr>
        <w:t xml:space="preserve">The information collected will be used by NCEH/ATSDR to inform and improve the current 2013 Guidelines, and to </w:t>
      </w:r>
      <w:r>
        <w:rPr>
          <w:sz w:val="24"/>
        </w:rPr>
        <w:t>determine the need for additional tools and guidance to assist STLT public health agencies in assessing and responding to cancer cluster inquiries in their communities</w:t>
      </w:r>
      <w:r w:rsidRPr="00013ECA">
        <w:rPr>
          <w:sz w:val="24"/>
        </w:rPr>
        <w:t xml:space="preserve">.  </w:t>
      </w:r>
      <w:r>
        <w:rPr>
          <w:sz w:val="24"/>
          <w:szCs w:val="24"/>
        </w:rPr>
        <w:t xml:space="preserve"> </w:t>
      </w:r>
    </w:p>
    <w:p w:rsidRPr="001A28F6" w:rsidR="007053CF" w:rsidP="00A62C98" w:rsidRDefault="007053CF" w14:paraId="512BEDC5" w14:textId="77777777">
      <w:pPr>
        <w:ind w:left="360"/>
      </w:pPr>
    </w:p>
    <w:p w:rsidRPr="0077295D" w:rsidR="00376290" w:rsidP="00376290" w:rsidRDefault="006102DA" w14:paraId="0E9A3BBD" w14:textId="77777777">
      <w:pPr>
        <w:pStyle w:val="Heading5"/>
        <w:spacing w:after="120"/>
        <w:ind w:left="360"/>
        <w:rPr>
          <w:sz w:val="24"/>
          <w:szCs w:val="24"/>
        </w:rPr>
      </w:pPr>
      <w:r w:rsidRPr="0077295D">
        <w:rPr>
          <w:sz w:val="24"/>
          <w:szCs w:val="24"/>
        </w:rPr>
        <w:t xml:space="preserve">Overview of the </w:t>
      </w:r>
      <w:r w:rsidRPr="0077295D" w:rsidR="007F5776">
        <w:rPr>
          <w:sz w:val="24"/>
          <w:szCs w:val="24"/>
        </w:rPr>
        <w:t>Information C</w:t>
      </w:r>
      <w:r w:rsidRPr="0077295D" w:rsidR="00157413">
        <w:rPr>
          <w:sz w:val="24"/>
          <w:szCs w:val="24"/>
        </w:rPr>
        <w:t>ollection</w:t>
      </w:r>
      <w:r w:rsidRPr="0077295D">
        <w:rPr>
          <w:sz w:val="24"/>
          <w:szCs w:val="24"/>
        </w:rPr>
        <w:t xml:space="preserve"> System</w:t>
      </w:r>
      <w:r w:rsidRPr="0077295D" w:rsidR="00151567">
        <w:rPr>
          <w:sz w:val="24"/>
          <w:szCs w:val="24"/>
        </w:rPr>
        <w:t xml:space="preserve"> </w:t>
      </w:r>
    </w:p>
    <w:p w:rsidRPr="008F3ECB" w:rsidR="008F3ECB" w:rsidP="008B65FF" w:rsidRDefault="008F3ECB" w14:paraId="75E7BE46" w14:textId="0E0B57F8">
      <w:pPr>
        <w:ind w:left="360"/>
        <w:rPr>
          <w:sz w:val="24"/>
          <w:szCs w:val="24"/>
          <w:u w:val="single"/>
        </w:rPr>
      </w:pPr>
      <w:r w:rsidRPr="008F3ECB">
        <w:rPr>
          <w:sz w:val="24"/>
          <w:szCs w:val="24"/>
          <w:u w:val="single"/>
        </w:rPr>
        <w:t xml:space="preserve">Electronic </w:t>
      </w:r>
      <w:r w:rsidR="00A2770D">
        <w:rPr>
          <w:sz w:val="24"/>
          <w:szCs w:val="24"/>
          <w:u w:val="single"/>
        </w:rPr>
        <w:t>Assessment</w:t>
      </w:r>
      <w:r w:rsidRPr="008F3ECB">
        <w:rPr>
          <w:sz w:val="24"/>
          <w:szCs w:val="24"/>
          <w:u w:val="single"/>
        </w:rPr>
        <w:t>:</w:t>
      </w:r>
    </w:p>
    <w:p w:rsidR="00DC2AD2" w:rsidP="008B65FF" w:rsidRDefault="00692DEB" w14:paraId="4DF26CE5" w14:textId="608B6F1F">
      <w:pPr>
        <w:ind w:left="360"/>
        <w:rPr>
          <w:sz w:val="24"/>
          <w:szCs w:val="24"/>
        </w:rPr>
      </w:pPr>
      <w:r w:rsidRPr="0077295D">
        <w:rPr>
          <w:sz w:val="24"/>
          <w:szCs w:val="24"/>
        </w:rPr>
        <w:t>Data will be collected</w:t>
      </w:r>
      <w:r w:rsidRPr="0077295D" w:rsidR="00376290">
        <w:rPr>
          <w:sz w:val="24"/>
          <w:szCs w:val="24"/>
        </w:rPr>
        <w:t xml:space="preserve"> from</w:t>
      </w:r>
      <w:r w:rsidRPr="0077295D" w:rsidR="0077295D">
        <w:rPr>
          <w:sz w:val="24"/>
          <w:szCs w:val="24"/>
        </w:rPr>
        <w:t xml:space="preserve"> </w:t>
      </w:r>
      <w:r w:rsidR="004A4C05">
        <w:rPr>
          <w:sz w:val="24"/>
          <w:szCs w:val="24"/>
        </w:rPr>
        <w:t>3,0</w:t>
      </w:r>
      <w:r w:rsidR="00DB6B99">
        <w:rPr>
          <w:sz w:val="24"/>
          <w:szCs w:val="24"/>
        </w:rPr>
        <w:t>70</w:t>
      </w:r>
      <w:r w:rsidR="004A4C05">
        <w:rPr>
          <w:sz w:val="24"/>
          <w:szCs w:val="24"/>
        </w:rPr>
        <w:t xml:space="preserve"> (50 state, 3000 local, </w:t>
      </w:r>
      <w:r w:rsidR="00EC169B">
        <w:rPr>
          <w:sz w:val="24"/>
          <w:szCs w:val="24"/>
        </w:rPr>
        <w:t>12</w:t>
      </w:r>
      <w:r w:rsidR="004A4C05">
        <w:rPr>
          <w:sz w:val="24"/>
          <w:szCs w:val="24"/>
        </w:rPr>
        <w:t xml:space="preserve"> tribal</w:t>
      </w:r>
      <w:r w:rsidR="00AB366B">
        <w:rPr>
          <w:sz w:val="24"/>
          <w:szCs w:val="24"/>
        </w:rPr>
        <w:t xml:space="preserve"> epidemiology centers</w:t>
      </w:r>
      <w:r w:rsidR="004A4C05">
        <w:rPr>
          <w:sz w:val="24"/>
          <w:szCs w:val="24"/>
        </w:rPr>
        <w:t xml:space="preserve">, </w:t>
      </w:r>
      <w:r w:rsidR="00AB366B">
        <w:rPr>
          <w:sz w:val="24"/>
          <w:szCs w:val="24"/>
        </w:rPr>
        <w:t xml:space="preserve">5 territorial </w:t>
      </w:r>
      <w:r w:rsidR="004A4C05">
        <w:rPr>
          <w:sz w:val="24"/>
          <w:szCs w:val="24"/>
        </w:rPr>
        <w:t xml:space="preserve">and </w:t>
      </w:r>
      <w:r w:rsidR="00AB366B">
        <w:rPr>
          <w:sz w:val="24"/>
          <w:szCs w:val="24"/>
        </w:rPr>
        <w:t>3 freely associated state</w:t>
      </w:r>
      <w:r w:rsidR="004A4C05">
        <w:rPr>
          <w:sz w:val="24"/>
          <w:szCs w:val="24"/>
        </w:rPr>
        <w:t>)</w:t>
      </w:r>
      <w:r w:rsidRPr="0077295D" w:rsidR="0077295D">
        <w:rPr>
          <w:sz w:val="24"/>
          <w:szCs w:val="24"/>
        </w:rPr>
        <w:t xml:space="preserve"> health department epidemiologists (or their designated representatives)</w:t>
      </w:r>
      <w:r w:rsidR="008F3ECB">
        <w:rPr>
          <w:sz w:val="24"/>
          <w:szCs w:val="24"/>
        </w:rPr>
        <w:t xml:space="preserve"> via electronic </w:t>
      </w:r>
      <w:r w:rsidR="004A4C05">
        <w:rPr>
          <w:sz w:val="24"/>
          <w:szCs w:val="24"/>
        </w:rPr>
        <w:t>assessment</w:t>
      </w:r>
      <w:r w:rsidR="008F3ECB">
        <w:rPr>
          <w:sz w:val="24"/>
          <w:szCs w:val="24"/>
        </w:rPr>
        <w:t xml:space="preserve"> (see </w:t>
      </w:r>
      <w:r w:rsidRPr="008F3ECB" w:rsidR="008F3ECB">
        <w:rPr>
          <w:b/>
          <w:sz w:val="24"/>
          <w:szCs w:val="24"/>
        </w:rPr>
        <w:t xml:space="preserve">Attachment </w:t>
      </w:r>
      <w:r w:rsidR="004A4C05">
        <w:rPr>
          <w:b/>
          <w:sz w:val="24"/>
          <w:szCs w:val="24"/>
        </w:rPr>
        <w:t>A</w:t>
      </w:r>
      <w:r w:rsidRPr="008F3ECB" w:rsidR="008F3ECB">
        <w:rPr>
          <w:b/>
          <w:sz w:val="24"/>
          <w:szCs w:val="24"/>
        </w:rPr>
        <w:t xml:space="preserve"> – </w:t>
      </w:r>
      <w:r w:rsidR="00AB366B">
        <w:rPr>
          <w:b/>
          <w:sz w:val="24"/>
          <w:szCs w:val="24"/>
        </w:rPr>
        <w:t>Assessment</w:t>
      </w:r>
      <w:r w:rsidR="004A4C05">
        <w:rPr>
          <w:b/>
          <w:sz w:val="24"/>
          <w:szCs w:val="24"/>
        </w:rPr>
        <w:t>: Word Version</w:t>
      </w:r>
      <w:r w:rsidRPr="004A4C05" w:rsidR="004A4C05">
        <w:rPr>
          <w:sz w:val="24"/>
          <w:szCs w:val="24"/>
        </w:rPr>
        <w:t xml:space="preserve"> and</w:t>
      </w:r>
      <w:r w:rsidR="004A4C05">
        <w:rPr>
          <w:b/>
          <w:sz w:val="24"/>
          <w:szCs w:val="24"/>
        </w:rPr>
        <w:t xml:space="preserve"> Attachment B – </w:t>
      </w:r>
      <w:r w:rsidR="00AB366B">
        <w:rPr>
          <w:b/>
          <w:sz w:val="24"/>
          <w:szCs w:val="24"/>
        </w:rPr>
        <w:t>Assessment</w:t>
      </w:r>
      <w:r w:rsidR="004A4C05">
        <w:rPr>
          <w:b/>
          <w:sz w:val="24"/>
          <w:szCs w:val="24"/>
        </w:rPr>
        <w:t>: Web Version</w:t>
      </w:r>
      <w:r w:rsidR="008F3ECB">
        <w:rPr>
          <w:sz w:val="24"/>
          <w:szCs w:val="24"/>
        </w:rPr>
        <w:t>)</w:t>
      </w:r>
      <w:r w:rsidR="00E950B2">
        <w:rPr>
          <w:sz w:val="24"/>
          <w:szCs w:val="24"/>
        </w:rPr>
        <w:t xml:space="preserve"> using </w:t>
      </w:r>
      <w:proofErr w:type="spellStart"/>
      <w:r w:rsidR="00E950B2">
        <w:rPr>
          <w:sz w:val="24"/>
          <w:szCs w:val="24"/>
        </w:rPr>
        <w:t>REDCap</w:t>
      </w:r>
      <w:proofErr w:type="spellEnd"/>
      <w:r w:rsidR="00E950B2">
        <w:rPr>
          <w:sz w:val="24"/>
          <w:szCs w:val="24"/>
        </w:rPr>
        <w:t xml:space="preserve">, a </w:t>
      </w:r>
      <w:r w:rsidR="000357BA">
        <w:rPr>
          <w:sz w:val="24"/>
          <w:szCs w:val="24"/>
        </w:rPr>
        <w:t>secure web application for building and managing online surveys and databases</w:t>
      </w:r>
      <w:r w:rsidRPr="0077295D" w:rsidR="0077295D">
        <w:rPr>
          <w:sz w:val="24"/>
          <w:szCs w:val="24"/>
        </w:rPr>
        <w:t xml:space="preserve">.  </w:t>
      </w:r>
      <w:r w:rsidRPr="0077295D">
        <w:rPr>
          <w:sz w:val="24"/>
          <w:szCs w:val="24"/>
        </w:rPr>
        <w:t xml:space="preserve">The instrument will be used to gather information from </w:t>
      </w:r>
      <w:r w:rsidR="004A4C05">
        <w:rPr>
          <w:sz w:val="24"/>
          <w:szCs w:val="24"/>
        </w:rPr>
        <w:t xml:space="preserve">STLT </w:t>
      </w:r>
      <w:r w:rsidRPr="008F3ECB" w:rsidR="008F3ECB">
        <w:rPr>
          <w:sz w:val="24"/>
          <w:szCs w:val="24"/>
        </w:rPr>
        <w:t xml:space="preserve">health departments </w:t>
      </w:r>
      <w:r w:rsidRPr="008F3ECB">
        <w:rPr>
          <w:sz w:val="24"/>
          <w:szCs w:val="24"/>
        </w:rPr>
        <w:t>regarding</w:t>
      </w:r>
      <w:r w:rsidRPr="008F3ECB" w:rsidR="008C59E7">
        <w:rPr>
          <w:sz w:val="24"/>
          <w:szCs w:val="24"/>
        </w:rPr>
        <w:t xml:space="preserve"> </w:t>
      </w:r>
      <w:r w:rsidRPr="0077295D" w:rsidR="00235D1E">
        <w:rPr>
          <w:sz w:val="24"/>
          <w:szCs w:val="24"/>
        </w:rPr>
        <w:t xml:space="preserve">their current activities related to cancer cluster inquiries, available and needed resources, and ways to improve how STLT public health agencies address cancer cluster inquiries. </w:t>
      </w:r>
    </w:p>
    <w:p w:rsidR="00EA23FE" w:rsidP="008B65FF" w:rsidRDefault="00EA23FE" w14:paraId="6ED4F59D" w14:textId="7ADF6E29">
      <w:pPr>
        <w:ind w:left="360"/>
        <w:rPr>
          <w:sz w:val="24"/>
          <w:szCs w:val="24"/>
        </w:rPr>
      </w:pPr>
    </w:p>
    <w:p w:rsidRPr="0077295D" w:rsidR="00272E3E" w:rsidP="00383542" w:rsidRDefault="00692DEB" w14:paraId="3B88DC62" w14:textId="2591E303">
      <w:pPr>
        <w:ind w:left="360"/>
        <w:rPr>
          <w:sz w:val="24"/>
          <w:szCs w:val="24"/>
        </w:rPr>
      </w:pPr>
      <w:r w:rsidRPr="0077295D">
        <w:rPr>
          <w:sz w:val="24"/>
          <w:szCs w:val="24"/>
        </w:rPr>
        <w:t xml:space="preserve">The information collection instrument </w:t>
      </w:r>
      <w:r w:rsidR="005D5844">
        <w:rPr>
          <w:sz w:val="24"/>
          <w:szCs w:val="24"/>
        </w:rPr>
        <w:t xml:space="preserve">for the electronic assessment </w:t>
      </w:r>
      <w:r w:rsidRPr="0077295D">
        <w:rPr>
          <w:sz w:val="24"/>
          <w:szCs w:val="24"/>
        </w:rPr>
        <w:t xml:space="preserve">was pilot tested by </w:t>
      </w:r>
      <w:r w:rsidRPr="00EA23FE" w:rsidR="00EA23FE">
        <w:rPr>
          <w:sz w:val="24"/>
          <w:szCs w:val="24"/>
        </w:rPr>
        <w:t>five</w:t>
      </w:r>
      <w:r w:rsidRPr="00EA23FE">
        <w:rPr>
          <w:sz w:val="24"/>
          <w:szCs w:val="24"/>
        </w:rPr>
        <w:t xml:space="preserve"> </w:t>
      </w:r>
      <w:r w:rsidRPr="0077295D">
        <w:rPr>
          <w:sz w:val="24"/>
          <w:szCs w:val="24"/>
        </w:rPr>
        <w:t>public health professionals. Feedback from this group was used to refine questions as needed, ensure accurate programming and skip patterns and establish the estimated time required to complete the information collection instrument.</w:t>
      </w:r>
    </w:p>
    <w:p w:rsidRPr="0077295D" w:rsidR="00383542" w:rsidP="00383542" w:rsidRDefault="00383542" w14:paraId="0C7B66FC" w14:textId="08D55AE3">
      <w:pPr>
        <w:ind w:left="360"/>
        <w:rPr>
          <w:sz w:val="24"/>
          <w:szCs w:val="24"/>
        </w:rPr>
      </w:pPr>
    </w:p>
    <w:p w:rsidRPr="00EA23FE" w:rsidR="00EA23FE" w:rsidP="00235D1E" w:rsidRDefault="00EA23FE" w14:paraId="37D1BE58" w14:textId="3AAE0CD8">
      <w:pPr>
        <w:ind w:left="360"/>
        <w:rPr>
          <w:sz w:val="24"/>
          <w:szCs w:val="24"/>
          <w:u w:val="single"/>
        </w:rPr>
      </w:pPr>
      <w:r w:rsidRPr="00EA23FE">
        <w:rPr>
          <w:sz w:val="24"/>
          <w:szCs w:val="24"/>
          <w:u w:val="single"/>
        </w:rPr>
        <w:t>Focus Groups:</w:t>
      </w:r>
    </w:p>
    <w:p w:rsidRPr="0077295D" w:rsidR="005868B1" w:rsidP="00235D1E" w:rsidRDefault="00DB6B99" w14:paraId="7DC4FFFC" w14:textId="6032D3F9">
      <w:pPr>
        <w:ind w:left="360"/>
        <w:rPr>
          <w:sz w:val="24"/>
          <w:szCs w:val="24"/>
        </w:rPr>
      </w:pPr>
      <w:r>
        <w:rPr>
          <w:sz w:val="24"/>
          <w:szCs w:val="24"/>
        </w:rPr>
        <w:t>Data will be collected from up to 1</w:t>
      </w:r>
      <w:r w:rsidR="00576E3A">
        <w:rPr>
          <w:sz w:val="24"/>
          <w:szCs w:val="24"/>
        </w:rPr>
        <w:t>2</w:t>
      </w:r>
      <w:r>
        <w:rPr>
          <w:sz w:val="24"/>
          <w:szCs w:val="24"/>
        </w:rPr>
        <w:t>0 multi-disciplinary STLT public health agency staff involved in assessing and responding to cancer cluster inquiries</w:t>
      </w:r>
      <w:r w:rsidR="00E83BC0">
        <w:rPr>
          <w:sz w:val="24"/>
          <w:szCs w:val="24"/>
        </w:rPr>
        <w:t xml:space="preserve"> across 50 state, five territorial, and two freely associated state health departments</w:t>
      </w:r>
      <w:r>
        <w:rPr>
          <w:sz w:val="24"/>
          <w:szCs w:val="24"/>
        </w:rPr>
        <w:t xml:space="preserve">, </w:t>
      </w:r>
      <w:r w:rsidRPr="0077295D" w:rsidR="00235D1E">
        <w:rPr>
          <w:sz w:val="24"/>
          <w:szCs w:val="24"/>
        </w:rPr>
        <w:t xml:space="preserve">via </w:t>
      </w:r>
      <w:r w:rsidRPr="007A11E4" w:rsidR="00235D1E">
        <w:rPr>
          <w:sz w:val="24"/>
          <w:szCs w:val="24"/>
        </w:rPr>
        <w:t xml:space="preserve">small discussion groups </w:t>
      </w:r>
      <w:r w:rsidRPr="0077295D" w:rsidR="00235D1E">
        <w:rPr>
          <w:sz w:val="24"/>
          <w:szCs w:val="24"/>
        </w:rPr>
        <w:t>(</w:t>
      </w:r>
      <w:r w:rsidRPr="00C74E9C" w:rsidR="00235D1E">
        <w:rPr>
          <w:sz w:val="24"/>
          <w:szCs w:val="24"/>
        </w:rPr>
        <w:t>see</w:t>
      </w:r>
      <w:r w:rsidRPr="0077295D" w:rsidR="00235D1E">
        <w:rPr>
          <w:sz w:val="24"/>
          <w:szCs w:val="24"/>
        </w:rPr>
        <w:t xml:space="preserve"> </w:t>
      </w:r>
      <w:r w:rsidRPr="0077295D" w:rsidR="00235D1E">
        <w:rPr>
          <w:b/>
          <w:sz w:val="24"/>
          <w:szCs w:val="24"/>
        </w:rPr>
        <w:t xml:space="preserve">Attachment </w:t>
      </w:r>
      <w:r w:rsidR="0015687E">
        <w:rPr>
          <w:b/>
          <w:sz w:val="24"/>
          <w:szCs w:val="24"/>
        </w:rPr>
        <w:t>C</w:t>
      </w:r>
      <w:r w:rsidR="0015687E">
        <w:rPr>
          <w:color w:val="0070C0"/>
          <w:sz w:val="24"/>
          <w:szCs w:val="24"/>
        </w:rPr>
        <w:t xml:space="preserve"> </w:t>
      </w:r>
      <w:r w:rsidRPr="0015687E" w:rsidR="0015687E">
        <w:rPr>
          <w:b/>
          <w:sz w:val="24"/>
          <w:szCs w:val="24"/>
        </w:rPr>
        <w:t>– Focus Group Facilitator’s Guide</w:t>
      </w:r>
      <w:r w:rsidRPr="0077295D" w:rsidR="00235D1E">
        <w:rPr>
          <w:sz w:val="24"/>
          <w:szCs w:val="24"/>
        </w:rPr>
        <w:t>).</w:t>
      </w:r>
      <w:r w:rsidR="00D23C82">
        <w:rPr>
          <w:sz w:val="24"/>
          <w:szCs w:val="24"/>
        </w:rPr>
        <w:t xml:space="preserve">  The multi-disciplinary staff will include any staff involved in assessing and responding to cancer cluster inquiries, which could include health communicators, epidemiologists, </w:t>
      </w:r>
      <w:r w:rsidR="00225EA6">
        <w:rPr>
          <w:sz w:val="24"/>
          <w:szCs w:val="24"/>
        </w:rPr>
        <w:t xml:space="preserve">program coordinators, cancer registry administrators and directors, cancer program managers, or research and statistical analysts. </w:t>
      </w:r>
      <w:r w:rsidRPr="0077295D" w:rsidR="00235D1E">
        <w:rPr>
          <w:sz w:val="24"/>
          <w:szCs w:val="24"/>
        </w:rPr>
        <w:t xml:space="preserve"> </w:t>
      </w:r>
      <w:r w:rsidR="000F7A2C">
        <w:rPr>
          <w:sz w:val="24"/>
          <w:szCs w:val="24"/>
        </w:rPr>
        <w:t xml:space="preserve"> Up to ten focus groups will be conducted.  </w:t>
      </w:r>
      <w:r w:rsidRPr="0077295D" w:rsidR="00235D1E">
        <w:rPr>
          <w:sz w:val="24"/>
          <w:szCs w:val="24"/>
        </w:rPr>
        <w:t xml:space="preserve">The </w:t>
      </w:r>
      <w:r w:rsidRPr="0077295D" w:rsidR="00235D1E">
        <w:rPr>
          <w:sz w:val="24"/>
          <w:szCs w:val="24"/>
        </w:rPr>
        <w:lastRenderedPageBreak/>
        <w:t xml:space="preserve">instrument will be used to gather information </w:t>
      </w:r>
      <w:r w:rsidRPr="00EA23FE" w:rsidR="00235D1E">
        <w:rPr>
          <w:sz w:val="24"/>
          <w:szCs w:val="24"/>
        </w:rPr>
        <w:t xml:space="preserve">from </w:t>
      </w:r>
      <w:r w:rsidRPr="00EA23FE" w:rsidR="00EA23FE">
        <w:rPr>
          <w:sz w:val="24"/>
          <w:szCs w:val="24"/>
        </w:rPr>
        <w:t>health department staff involved in assessing and responding to cancer cluster inquiries,</w:t>
      </w:r>
      <w:r w:rsidRPr="00EA23FE" w:rsidR="00235D1E">
        <w:rPr>
          <w:sz w:val="24"/>
          <w:szCs w:val="24"/>
        </w:rPr>
        <w:t xml:space="preserve"> regarding how</w:t>
      </w:r>
      <w:r w:rsidRPr="00EA23FE" w:rsidR="00221CBD">
        <w:rPr>
          <w:sz w:val="24"/>
          <w:szCs w:val="24"/>
        </w:rPr>
        <w:t xml:space="preserve"> public health agencies address cancer cluster inquiries, best practices, and ways to improve how STLT public health agencies address cancer cluster inquiries.</w:t>
      </w:r>
      <w:r w:rsidR="00F074CB">
        <w:rPr>
          <w:sz w:val="24"/>
          <w:szCs w:val="24"/>
        </w:rPr>
        <w:t xml:space="preserve">  </w:t>
      </w:r>
      <w:r w:rsidRPr="00A4269E" w:rsidR="005868B1">
        <w:rPr>
          <w:sz w:val="24"/>
          <w:szCs w:val="24"/>
        </w:rPr>
        <w:t>The focus groups will serve as an opportunity to collect more detailed information than would be possible with a</w:t>
      </w:r>
      <w:r w:rsidR="00AB366B">
        <w:rPr>
          <w:sz w:val="24"/>
          <w:szCs w:val="24"/>
        </w:rPr>
        <w:t>n assessment</w:t>
      </w:r>
      <w:r w:rsidRPr="00A4269E" w:rsidR="005868B1">
        <w:rPr>
          <w:sz w:val="24"/>
          <w:szCs w:val="24"/>
        </w:rPr>
        <w:t>.</w:t>
      </w:r>
      <w:r w:rsidR="005D5844">
        <w:rPr>
          <w:sz w:val="24"/>
          <w:szCs w:val="24"/>
        </w:rPr>
        <w:t xml:space="preserve">  </w:t>
      </w:r>
      <w:r w:rsidR="00225EA6">
        <w:rPr>
          <w:sz w:val="24"/>
          <w:szCs w:val="24"/>
        </w:rPr>
        <w:t>Because each jurisdiction and their proces</w:t>
      </w:r>
      <w:r w:rsidR="00847F26">
        <w:rPr>
          <w:sz w:val="24"/>
          <w:szCs w:val="24"/>
        </w:rPr>
        <w:t>s</w:t>
      </w:r>
      <w:r w:rsidR="00225EA6">
        <w:rPr>
          <w:sz w:val="24"/>
          <w:szCs w:val="24"/>
        </w:rPr>
        <w:t xml:space="preserve"> for assessing and responding to cancer cluster inquiries is different, some information cannot be gleaned solely from an </w:t>
      </w:r>
      <w:r w:rsidR="00847F26">
        <w:rPr>
          <w:sz w:val="24"/>
          <w:szCs w:val="24"/>
        </w:rPr>
        <w:t xml:space="preserve">electronic </w:t>
      </w:r>
      <w:r w:rsidR="00225EA6">
        <w:rPr>
          <w:sz w:val="24"/>
          <w:szCs w:val="24"/>
        </w:rPr>
        <w:t>assessment</w:t>
      </w:r>
      <w:r w:rsidR="00C3216E">
        <w:rPr>
          <w:sz w:val="24"/>
          <w:szCs w:val="24"/>
        </w:rPr>
        <w:t xml:space="preserve">.  Therefore, a focus group will allow more detailed information to be collected regarding current processes and procedures and resources needed to assist each jurisdiction. </w:t>
      </w:r>
      <w:r w:rsidR="00847F26">
        <w:rPr>
          <w:sz w:val="24"/>
          <w:szCs w:val="24"/>
        </w:rPr>
        <w:t xml:space="preserve"> Additionally, the focus groups will encourage discussion among health department</w:t>
      </w:r>
      <w:r w:rsidR="000F7A2C">
        <w:rPr>
          <w:sz w:val="24"/>
          <w:szCs w:val="24"/>
        </w:rPr>
        <w:t xml:space="preserve"> staff, offer an opportunity to seek clarification from responses obtained in the electronic assessment, and provide a deeper understanding of the true needs and concerns of health department staff.  </w:t>
      </w:r>
      <w:r w:rsidR="005D5844">
        <w:rPr>
          <w:sz w:val="24"/>
          <w:szCs w:val="24"/>
        </w:rPr>
        <w:t xml:space="preserve">Each focus group will be limited to no more than two participants per </w:t>
      </w:r>
      <w:r w:rsidR="000F7A2C">
        <w:rPr>
          <w:sz w:val="24"/>
          <w:szCs w:val="24"/>
        </w:rPr>
        <w:t>health department</w:t>
      </w:r>
      <w:r w:rsidR="005D5844">
        <w:rPr>
          <w:sz w:val="24"/>
          <w:szCs w:val="24"/>
        </w:rPr>
        <w:t xml:space="preserve">.  </w:t>
      </w:r>
    </w:p>
    <w:p w:rsidRPr="0077295D" w:rsidR="00235D1E" w:rsidP="00383542" w:rsidRDefault="00235D1E" w14:paraId="7C0C6059" w14:textId="77777777">
      <w:pPr>
        <w:ind w:left="360"/>
        <w:rPr>
          <w:sz w:val="24"/>
          <w:szCs w:val="24"/>
        </w:rPr>
      </w:pPr>
    </w:p>
    <w:p w:rsidRPr="0077295D" w:rsidR="00235D1E" w:rsidP="00235D1E" w:rsidRDefault="00235D1E" w14:paraId="2FC59755" w14:textId="63EDB17F">
      <w:pPr>
        <w:ind w:left="360"/>
        <w:rPr>
          <w:sz w:val="24"/>
          <w:szCs w:val="24"/>
        </w:rPr>
      </w:pPr>
      <w:r w:rsidRPr="0077295D">
        <w:rPr>
          <w:sz w:val="24"/>
          <w:szCs w:val="24"/>
        </w:rPr>
        <w:t>The information collection instrument</w:t>
      </w:r>
      <w:r w:rsidR="00C26166">
        <w:rPr>
          <w:sz w:val="24"/>
          <w:szCs w:val="24"/>
        </w:rPr>
        <w:t xml:space="preserve"> for the focus group</w:t>
      </w:r>
      <w:r w:rsidRPr="0077295D">
        <w:rPr>
          <w:sz w:val="24"/>
          <w:szCs w:val="24"/>
        </w:rPr>
        <w:t xml:space="preserve"> was pilot tested by </w:t>
      </w:r>
      <w:r w:rsidRPr="00EA23FE" w:rsidR="00EA23FE">
        <w:rPr>
          <w:sz w:val="24"/>
          <w:szCs w:val="24"/>
        </w:rPr>
        <w:t>three</w:t>
      </w:r>
      <w:r w:rsidRPr="0077295D">
        <w:rPr>
          <w:color w:val="0070C0"/>
          <w:sz w:val="24"/>
          <w:szCs w:val="24"/>
        </w:rPr>
        <w:t xml:space="preserve"> </w:t>
      </w:r>
      <w:r w:rsidRPr="0077295D">
        <w:rPr>
          <w:sz w:val="24"/>
          <w:szCs w:val="24"/>
        </w:rPr>
        <w:t>public health professionals. Feedback from this group was used to refine questions as needed</w:t>
      </w:r>
      <w:r w:rsidRPr="0077295D" w:rsidR="00221CBD">
        <w:rPr>
          <w:sz w:val="24"/>
          <w:szCs w:val="24"/>
        </w:rPr>
        <w:t xml:space="preserve"> </w:t>
      </w:r>
      <w:r w:rsidRPr="0077295D">
        <w:rPr>
          <w:sz w:val="24"/>
          <w:szCs w:val="24"/>
        </w:rPr>
        <w:t>and establish the estimated time required to complete the information collection instrument.</w:t>
      </w:r>
    </w:p>
    <w:p w:rsidRPr="0077295D" w:rsidR="00272E3E" w:rsidP="008B65FF" w:rsidRDefault="00272E3E" w14:paraId="752A7AAE" w14:textId="77777777">
      <w:pPr>
        <w:ind w:left="360"/>
        <w:rPr>
          <w:sz w:val="24"/>
          <w:szCs w:val="24"/>
        </w:rPr>
      </w:pPr>
    </w:p>
    <w:p w:rsidRPr="00EA23FE" w:rsidR="00692DEB" w:rsidP="008B65FF" w:rsidRDefault="00692DEB" w14:paraId="79B15AB2" w14:textId="77777777">
      <w:pPr>
        <w:pStyle w:val="Heading5"/>
        <w:spacing w:after="120"/>
        <w:ind w:left="360"/>
        <w:rPr>
          <w:sz w:val="24"/>
          <w:szCs w:val="24"/>
        </w:rPr>
      </w:pPr>
      <w:r w:rsidRPr="00D208A9">
        <w:rPr>
          <w:sz w:val="24"/>
          <w:szCs w:val="24"/>
        </w:rPr>
        <w:t>Items of Information to be Collected</w:t>
      </w:r>
    </w:p>
    <w:p w:rsidR="00D208A9" w:rsidP="00D208A9" w:rsidRDefault="00221CBD" w14:paraId="32114088" w14:textId="18FADDE3">
      <w:pPr>
        <w:ind w:left="360"/>
        <w:rPr>
          <w:b/>
          <w:sz w:val="24"/>
          <w:szCs w:val="24"/>
        </w:rPr>
      </w:pPr>
      <w:r w:rsidRPr="00EA23FE">
        <w:rPr>
          <w:sz w:val="24"/>
          <w:szCs w:val="24"/>
        </w:rPr>
        <w:t xml:space="preserve">The first primary data collection for this assessment is the electronic assessment instrument (see </w:t>
      </w:r>
      <w:r w:rsidRPr="008F3ECB" w:rsidR="00D208A9">
        <w:rPr>
          <w:b/>
          <w:sz w:val="24"/>
          <w:szCs w:val="24"/>
        </w:rPr>
        <w:t xml:space="preserve">Attachment </w:t>
      </w:r>
      <w:r w:rsidR="00D208A9">
        <w:rPr>
          <w:b/>
          <w:sz w:val="24"/>
          <w:szCs w:val="24"/>
        </w:rPr>
        <w:t>A</w:t>
      </w:r>
      <w:r w:rsidRPr="008F3ECB" w:rsidR="00D208A9">
        <w:rPr>
          <w:b/>
          <w:sz w:val="24"/>
          <w:szCs w:val="24"/>
        </w:rPr>
        <w:t xml:space="preserve"> – </w:t>
      </w:r>
      <w:r w:rsidR="00AB366B">
        <w:rPr>
          <w:b/>
          <w:sz w:val="24"/>
          <w:szCs w:val="24"/>
        </w:rPr>
        <w:t>Assessment</w:t>
      </w:r>
      <w:r w:rsidR="00D208A9">
        <w:rPr>
          <w:b/>
          <w:sz w:val="24"/>
          <w:szCs w:val="24"/>
        </w:rPr>
        <w:t>: Word Version</w:t>
      </w:r>
      <w:r w:rsidRPr="004A4C05" w:rsidR="00D208A9">
        <w:rPr>
          <w:sz w:val="24"/>
          <w:szCs w:val="24"/>
        </w:rPr>
        <w:t xml:space="preserve"> and</w:t>
      </w:r>
      <w:r w:rsidR="00D208A9">
        <w:rPr>
          <w:b/>
          <w:sz w:val="24"/>
          <w:szCs w:val="24"/>
        </w:rPr>
        <w:t xml:space="preserve"> Attachment B – </w:t>
      </w:r>
    </w:p>
    <w:p w:rsidR="001175CB" w:rsidP="00D208A9" w:rsidRDefault="00AB366B" w14:paraId="23C301D6" w14:textId="21317B2E">
      <w:pPr>
        <w:ind w:left="360"/>
        <w:rPr>
          <w:rFonts w:eastAsiaTheme="majorEastAsia" w:cstheme="majorBidi"/>
          <w:sz w:val="24"/>
          <w:szCs w:val="24"/>
        </w:rPr>
      </w:pPr>
      <w:r>
        <w:rPr>
          <w:b/>
          <w:sz w:val="24"/>
          <w:szCs w:val="24"/>
        </w:rPr>
        <w:t>Assessment</w:t>
      </w:r>
      <w:r w:rsidR="00D208A9">
        <w:rPr>
          <w:b/>
          <w:sz w:val="24"/>
          <w:szCs w:val="24"/>
        </w:rPr>
        <w:t>: Web Version</w:t>
      </w:r>
      <w:r w:rsidRPr="00D208A9" w:rsidR="00221CBD">
        <w:rPr>
          <w:sz w:val="24"/>
          <w:szCs w:val="24"/>
        </w:rPr>
        <w:t>)</w:t>
      </w:r>
      <w:r w:rsidRPr="00EA23FE" w:rsidR="00221CBD">
        <w:rPr>
          <w:b/>
          <w:sz w:val="24"/>
          <w:szCs w:val="24"/>
        </w:rPr>
        <w:t xml:space="preserve">. </w:t>
      </w:r>
      <w:r w:rsidRPr="00EA23FE" w:rsidR="00692DEB">
        <w:rPr>
          <w:sz w:val="24"/>
          <w:szCs w:val="24"/>
        </w:rPr>
        <w:t xml:space="preserve">The data collection instrument consists of </w:t>
      </w:r>
      <w:r w:rsidR="00EC381D">
        <w:rPr>
          <w:sz w:val="24"/>
          <w:szCs w:val="24"/>
        </w:rPr>
        <w:t>55</w:t>
      </w:r>
      <w:r w:rsidRPr="00EA23FE" w:rsidR="00692DEB">
        <w:rPr>
          <w:sz w:val="24"/>
          <w:szCs w:val="24"/>
        </w:rPr>
        <w:t xml:space="preserve"> main questions of various types, including</w:t>
      </w:r>
      <w:r w:rsidRPr="00EA23FE" w:rsidR="008C59E7">
        <w:rPr>
          <w:sz w:val="24"/>
          <w:szCs w:val="24"/>
        </w:rPr>
        <w:t xml:space="preserve"> dichotomous (yes/no), multiple response, interval (rating scales), </w:t>
      </w:r>
      <w:r w:rsidRPr="00EA23FE" w:rsidR="008C59E7">
        <w:rPr>
          <w:rFonts w:eastAsiaTheme="majorEastAsia" w:cstheme="majorBidi"/>
          <w:sz w:val="24"/>
          <w:szCs w:val="24"/>
        </w:rPr>
        <w:t>open-ended</w:t>
      </w:r>
      <w:r w:rsidR="00EA23FE">
        <w:rPr>
          <w:rFonts w:eastAsiaTheme="majorEastAsia" w:cstheme="majorBidi"/>
          <w:sz w:val="24"/>
          <w:szCs w:val="24"/>
        </w:rPr>
        <w:t xml:space="preserve"> text entry</w:t>
      </w:r>
      <w:r w:rsidRPr="00EA23FE" w:rsidR="00692DEB">
        <w:rPr>
          <w:rFonts w:eastAsiaTheme="majorEastAsia" w:cstheme="majorBidi"/>
          <w:sz w:val="24"/>
          <w:szCs w:val="24"/>
        </w:rPr>
        <w:t xml:space="preserve">. </w:t>
      </w:r>
    </w:p>
    <w:p w:rsidR="001175CB" w:rsidP="008B65FF" w:rsidRDefault="001175CB" w14:paraId="6D2FD054" w14:textId="77777777">
      <w:pPr>
        <w:ind w:left="360"/>
        <w:rPr>
          <w:rFonts w:eastAsiaTheme="majorEastAsia" w:cstheme="majorBidi"/>
          <w:sz w:val="24"/>
          <w:szCs w:val="24"/>
        </w:rPr>
      </w:pPr>
    </w:p>
    <w:p w:rsidRPr="00EA23FE" w:rsidR="00692DEB" w:rsidP="008B65FF" w:rsidRDefault="001175CB" w14:paraId="23F157AD" w14:textId="1998F3E0">
      <w:pPr>
        <w:ind w:left="360"/>
        <w:rPr>
          <w:sz w:val="24"/>
          <w:szCs w:val="24"/>
        </w:rPr>
      </w:pPr>
      <w:r>
        <w:rPr>
          <w:rFonts w:eastAsiaTheme="majorEastAsia" w:cstheme="majorBidi"/>
          <w:sz w:val="24"/>
          <w:szCs w:val="24"/>
        </w:rPr>
        <w:t xml:space="preserve">In order to assess the current processes and practices used when responding to cancer cluster inquiries, and to determine the areas that may need the most attention in the guideline update, the instrument </w:t>
      </w:r>
      <w:r w:rsidRPr="00EA23FE" w:rsidR="00692DEB">
        <w:rPr>
          <w:sz w:val="24"/>
          <w:szCs w:val="24"/>
        </w:rPr>
        <w:t xml:space="preserve">will collect </w:t>
      </w:r>
      <w:r w:rsidRPr="00EA23FE" w:rsidR="006C20E8">
        <w:rPr>
          <w:sz w:val="24"/>
          <w:szCs w:val="24"/>
        </w:rPr>
        <w:t>data</w:t>
      </w:r>
      <w:r w:rsidRPr="00EA23FE" w:rsidR="00692DEB">
        <w:rPr>
          <w:sz w:val="24"/>
          <w:szCs w:val="24"/>
        </w:rPr>
        <w:t xml:space="preserve"> on the following</w:t>
      </w:r>
      <w:r>
        <w:rPr>
          <w:sz w:val="24"/>
          <w:szCs w:val="24"/>
        </w:rPr>
        <w:t xml:space="preserve"> areas</w:t>
      </w:r>
      <w:r w:rsidRPr="00EA23FE" w:rsidR="00692DEB">
        <w:rPr>
          <w:sz w:val="24"/>
          <w:szCs w:val="24"/>
        </w:rPr>
        <w:t xml:space="preserve">: </w:t>
      </w:r>
    </w:p>
    <w:p w:rsidRPr="00EA23FE" w:rsidR="008C59E7" w:rsidP="00782FBD" w:rsidRDefault="00221CBD" w14:paraId="7CBD48CF" w14:textId="0D4E18D4">
      <w:pPr>
        <w:pStyle w:val="ListParagraph"/>
        <w:numPr>
          <w:ilvl w:val="0"/>
          <w:numId w:val="6"/>
        </w:numPr>
        <w:tabs>
          <w:tab w:val="clear" w:pos="9360"/>
        </w:tabs>
        <w:spacing w:line="240" w:lineRule="auto"/>
        <w:ind w:left="1080"/>
        <w:rPr>
          <w:sz w:val="24"/>
          <w:szCs w:val="24"/>
        </w:rPr>
      </w:pPr>
      <w:r w:rsidRPr="00EA23FE">
        <w:rPr>
          <w:sz w:val="24"/>
          <w:szCs w:val="24"/>
        </w:rPr>
        <w:t>Agency background information (e.g., agency name, jurisdiction type)</w:t>
      </w:r>
    </w:p>
    <w:p w:rsidRPr="00EA23FE" w:rsidR="00221CBD" w:rsidP="00782FBD" w:rsidRDefault="00221CBD" w14:paraId="263019F3" w14:textId="7119C4C7">
      <w:pPr>
        <w:pStyle w:val="ListParagraph"/>
        <w:numPr>
          <w:ilvl w:val="0"/>
          <w:numId w:val="6"/>
        </w:numPr>
        <w:tabs>
          <w:tab w:val="clear" w:pos="9360"/>
        </w:tabs>
        <w:spacing w:line="240" w:lineRule="auto"/>
        <w:ind w:left="1080"/>
        <w:rPr>
          <w:sz w:val="24"/>
          <w:szCs w:val="24"/>
        </w:rPr>
      </w:pPr>
      <w:r w:rsidRPr="00EA23FE">
        <w:rPr>
          <w:sz w:val="24"/>
          <w:szCs w:val="24"/>
        </w:rPr>
        <w:t xml:space="preserve">Use of 2013 CDC/CSTE Cancer Cluster Guidelines (e.g., are STLT agency protocols modeled after 2013 Guidelines?) </w:t>
      </w:r>
    </w:p>
    <w:p w:rsidRPr="002942A6" w:rsidR="004724AB" w:rsidP="004724AB" w:rsidRDefault="00221CBD" w14:paraId="283EBB14" w14:textId="29343226">
      <w:pPr>
        <w:pStyle w:val="ListParagraph"/>
        <w:numPr>
          <w:ilvl w:val="0"/>
          <w:numId w:val="6"/>
        </w:numPr>
        <w:tabs>
          <w:tab w:val="clear" w:pos="9360"/>
        </w:tabs>
        <w:spacing w:line="240" w:lineRule="auto"/>
        <w:ind w:left="1080"/>
        <w:rPr>
          <w:sz w:val="24"/>
          <w:szCs w:val="24"/>
        </w:rPr>
      </w:pPr>
      <w:r w:rsidRPr="00EA23FE">
        <w:rPr>
          <w:sz w:val="24"/>
          <w:szCs w:val="24"/>
        </w:rPr>
        <w:t xml:space="preserve">Cancer </w:t>
      </w:r>
      <w:r w:rsidR="00D208A9">
        <w:rPr>
          <w:sz w:val="24"/>
          <w:szCs w:val="24"/>
        </w:rPr>
        <w:t>c</w:t>
      </w:r>
      <w:r w:rsidRPr="00EA23FE">
        <w:rPr>
          <w:sz w:val="24"/>
          <w:szCs w:val="24"/>
        </w:rPr>
        <w:t xml:space="preserve">luster </w:t>
      </w:r>
      <w:r w:rsidR="00D208A9">
        <w:rPr>
          <w:sz w:val="24"/>
          <w:szCs w:val="24"/>
        </w:rPr>
        <w:t>i</w:t>
      </w:r>
      <w:r w:rsidRPr="00EA23FE">
        <w:rPr>
          <w:sz w:val="24"/>
          <w:szCs w:val="24"/>
        </w:rPr>
        <w:t xml:space="preserve">nquiries and </w:t>
      </w:r>
      <w:r w:rsidR="00D208A9">
        <w:rPr>
          <w:sz w:val="24"/>
          <w:szCs w:val="24"/>
        </w:rPr>
        <w:t>r</w:t>
      </w:r>
      <w:r w:rsidRPr="00EA23FE">
        <w:rPr>
          <w:sz w:val="24"/>
          <w:szCs w:val="24"/>
        </w:rPr>
        <w:t xml:space="preserve">esponse </w:t>
      </w:r>
      <w:r w:rsidR="00D208A9">
        <w:rPr>
          <w:sz w:val="24"/>
          <w:szCs w:val="24"/>
        </w:rPr>
        <w:t>a</w:t>
      </w:r>
      <w:r w:rsidRPr="00EA23FE">
        <w:rPr>
          <w:sz w:val="24"/>
          <w:szCs w:val="24"/>
        </w:rPr>
        <w:t xml:space="preserve">ctivities (e.g., </w:t>
      </w:r>
      <w:r w:rsidRPr="00EA23FE" w:rsidR="00DA1193">
        <w:rPr>
          <w:sz w:val="24"/>
          <w:szCs w:val="24"/>
        </w:rPr>
        <w:t>frequency of cancer cluster concerns from the public</w:t>
      </w:r>
      <w:r w:rsidR="004724AB">
        <w:rPr>
          <w:sz w:val="24"/>
          <w:szCs w:val="24"/>
        </w:rPr>
        <w:t>, tracking system for inquiries, number of inquiries about excess cancer received in 2019 and source of inquiries)</w:t>
      </w:r>
    </w:p>
    <w:p w:rsidRPr="00EA23FE" w:rsidR="00221CBD" w:rsidP="00782FBD" w:rsidRDefault="00221CBD" w14:paraId="20E2D25D" w14:textId="0D97938C">
      <w:pPr>
        <w:pStyle w:val="ListParagraph"/>
        <w:numPr>
          <w:ilvl w:val="0"/>
          <w:numId w:val="6"/>
        </w:numPr>
        <w:tabs>
          <w:tab w:val="clear" w:pos="9360"/>
        </w:tabs>
        <w:spacing w:line="240" w:lineRule="auto"/>
        <w:ind w:left="1080"/>
        <w:rPr>
          <w:sz w:val="24"/>
          <w:szCs w:val="24"/>
        </w:rPr>
      </w:pPr>
      <w:r w:rsidRPr="00EA23FE">
        <w:rPr>
          <w:sz w:val="24"/>
          <w:szCs w:val="24"/>
        </w:rPr>
        <w:t xml:space="preserve">Communication with the </w:t>
      </w:r>
      <w:r w:rsidR="00D208A9">
        <w:rPr>
          <w:sz w:val="24"/>
          <w:szCs w:val="24"/>
        </w:rPr>
        <w:t>p</w:t>
      </w:r>
      <w:r w:rsidRPr="00EA23FE">
        <w:rPr>
          <w:sz w:val="24"/>
          <w:szCs w:val="24"/>
        </w:rPr>
        <w:t>ublic</w:t>
      </w:r>
      <w:r w:rsidRPr="00EA23FE" w:rsidR="00DA1193">
        <w:rPr>
          <w:sz w:val="24"/>
          <w:szCs w:val="24"/>
        </w:rPr>
        <w:t xml:space="preserve"> (e.g., use of CDC cancer cluster investigation communications toolkit)</w:t>
      </w:r>
    </w:p>
    <w:p w:rsidRPr="00EA23FE" w:rsidR="00221CBD" w:rsidP="00782FBD" w:rsidRDefault="00221CBD" w14:paraId="04D7A02E" w14:textId="74AF5DBC">
      <w:pPr>
        <w:pStyle w:val="ListParagraph"/>
        <w:numPr>
          <w:ilvl w:val="0"/>
          <w:numId w:val="6"/>
        </w:numPr>
        <w:tabs>
          <w:tab w:val="clear" w:pos="9360"/>
        </w:tabs>
        <w:spacing w:line="240" w:lineRule="auto"/>
        <w:ind w:left="1080"/>
        <w:rPr>
          <w:sz w:val="24"/>
          <w:szCs w:val="24"/>
        </w:rPr>
      </w:pPr>
      <w:r w:rsidRPr="00EA23FE">
        <w:rPr>
          <w:sz w:val="24"/>
          <w:szCs w:val="24"/>
        </w:rPr>
        <w:t xml:space="preserve">Cancer </w:t>
      </w:r>
      <w:r w:rsidR="00D208A9">
        <w:rPr>
          <w:sz w:val="24"/>
          <w:szCs w:val="24"/>
        </w:rPr>
        <w:t>c</w:t>
      </w:r>
      <w:r w:rsidRPr="00EA23FE">
        <w:rPr>
          <w:sz w:val="24"/>
          <w:szCs w:val="24"/>
        </w:rPr>
        <w:t xml:space="preserve">luster </w:t>
      </w:r>
      <w:r w:rsidR="00D208A9">
        <w:rPr>
          <w:sz w:val="24"/>
          <w:szCs w:val="24"/>
        </w:rPr>
        <w:t>r</w:t>
      </w:r>
      <w:r w:rsidRPr="00EA23FE">
        <w:rPr>
          <w:sz w:val="24"/>
          <w:szCs w:val="24"/>
        </w:rPr>
        <w:t xml:space="preserve">esponse </w:t>
      </w:r>
      <w:r w:rsidR="00D208A9">
        <w:rPr>
          <w:sz w:val="24"/>
          <w:szCs w:val="24"/>
        </w:rPr>
        <w:t>s</w:t>
      </w:r>
      <w:r w:rsidRPr="00EA23FE">
        <w:rPr>
          <w:sz w:val="24"/>
          <w:szCs w:val="24"/>
        </w:rPr>
        <w:t>taffing</w:t>
      </w:r>
      <w:r w:rsidRPr="00EA23FE" w:rsidR="00DA1193">
        <w:rPr>
          <w:sz w:val="24"/>
          <w:szCs w:val="24"/>
        </w:rPr>
        <w:t xml:space="preserve"> (e.g.</w:t>
      </w:r>
      <w:r w:rsidR="001175CB">
        <w:rPr>
          <w:sz w:val="24"/>
          <w:szCs w:val="24"/>
        </w:rPr>
        <w:t>,</w:t>
      </w:r>
      <w:r w:rsidRPr="00EA23FE" w:rsidR="00DA1193">
        <w:rPr>
          <w:sz w:val="24"/>
          <w:szCs w:val="24"/>
        </w:rPr>
        <w:t xml:space="preserve"> type of STLT public health agency personnel who are involved with cancer cluster inquiries)</w:t>
      </w:r>
    </w:p>
    <w:p w:rsidRPr="00EA23FE" w:rsidR="008C59E7" w:rsidP="00782FBD" w:rsidRDefault="00221CBD" w14:paraId="049F198D" w14:textId="27CA4C29">
      <w:pPr>
        <w:pStyle w:val="ListParagraph"/>
        <w:numPr>
          <w:ilvl w:val="0"/>
          <w:numId w:val="6"/>
        </w:numPr>
        <w:tabs>
          <w:tab w:val="clear" w:pos="9360"/>
        </w:tabs>
        <w:spacing w:line="240" w:lineRule="auto"/>
        <w:ind w:left="1080"/>
        <w:rPr>
          <w:sz w:val="24"/>
          <w:szCs w:val="24"/>
        </w:rPr>
      </w:pPr>
      <w:r w:rsidRPr="00EA23FE">
        <w:rPr>
          <w:sz w:val="24"/>
          <w:szCs w:val="24"/>
        </w:rPr>
        <w:lastRenderedPageBreak/>
        <w:t xml:space="preserve">Barriers, </w:t>
      </w:r>
      <w:r w:rsidR="00D208A9">
        <w:rPr>
          <w:sz w:val="24"/>
          <w:szCs w:val="24"/>
        </w:rPr>
        <w:t>f</w:t>
      </w:r>
      <w:r w:rsidRPr="00EA23FE">
        <w:rPr>
          <w:sz w:val="24"/>
          <w:szCs w:val="24"/>
        </w:rPr>
        <w:t xml:space="preserve">acilitators, and </w:t>
      </w:r>
      <w:r w:rsidR="00E81DB9">
        <w:rPr>
          <w:sz w:val="24"/>
          <w:szCs w:val="24"/>
        </w:rPr>
        <w:t xml:space="preserve">needed </w:t>
      </w:r>
      <w:r w:rsidR="00D208A9">
        <w:rPr>
          <w:sz w:val="24"/>
          <w:szCs w:val="24"/>
        </w:rPr>
        <w:t>r</w:t>
      </w:r>
      <w:r w:rsidRPr="00EA23FE">
        <w:rPr>
          <w:sz w:val="24"/>
          <w:szCs w:val="24"/>
        </w:rPr>
        <w:t xml:space="preserve">esources for </w:t>
      </w:r>
      <w:r w:rsidR="00D208A9">
        <w:rPr>
          <w:sz w:val="24"/>
          <w:szCs w:val="24"/>
        </w:rPr>
        <w:t>a</w:t>
      </w:r>
      <w:r w:rsidRPr="00EA23FE">
        <w:rPr>
          <w:sz w:val="24"/>
          <w:szCs w:val="24"/>
        </w:rPr>
        <w:t xml:space="preserve">ddressing </w:t>
      </w:r>
      <w:r w:rsidR="00D208A9">
        <w:rPr>
          <w:sz w:val="24"/>
          <w:szCs w:val="24"/>
        </w:rPr>
        <w:t>c</w:t>
      </w:r>
      <w:r w:rsidRPr="00EA23FE">
        <w:rPr>
          <w:sz w:val="24"/>
          <w:szCs w:val="24"/>
        </w:rPr>
        <w:t xml:space="preserve">ancer </w:t>
      </w:r>
      <w:r w:rsidR="00D208A9">
        <w:rPr>
          <w:sz w:val="24"/>
          <w:szCs w:val="24"/>
        </w:rPr>
        <w:t>c</w:t>
      </w:r>
      <w:r w:rsidRPr="00EA23FE">
        <w:rPr>
          <w:sz w:val="24"/>
          <w:szCs w:val="24"/>
        </w:rPr>
        <w:t xml:space="preserve">luster </w:t>
      </w:r>
      <w:r w:rsidR="00D208A9">
        <w:rPr>
          <w:sz w:val="24"/>
          <w:szCs w:val="24"/>
        </w:rPr>
        <w:t>i</w:t>
      </w:r>
      <w:r w:rsidRPr="00EA23FE">
        <w:rPr>
          <w:sz w:val="24"/>
          <w:szCs w:val="24"/>
        </w:rPr>
        <w:t>nquiries</w:t>
      </w:r>
      <w:r w:rsidRPr="00EA23FE" w:rsidR="00DA1193">
        <w:rPr>
          <w:sz w:val="24"/>
          <w:szCs w:val="24"/>
        </w:rPr>
        <w:t xml:space="preserve"> (e.g.</w:t>
      </w:r>
      <w:r w:rsidR="001175CB">
        <w:rPr>
          <w:sz w:val="24"/>
          <w:szCs w:val="24"/>
        </w:rPr>
        <w:t>,</w:t>
      </w:r>
      <w:r w:rsidRPr="00EA23FE" w:rsidR="00DA1193">
        <w:rPr>
          <w:sz w:val="24"/>
          <w:szCs w:val="24"/>
        </w:rPr>
        <w:t xml:space="preserve"> what can CDC do to assist STLT public health agencies to more effectively respond to cancer cluster inquiries?)</w:t>
      </w:r>
    </w:p>
    <w:p w:rsidRPr="00EA23FE" w:rsidR="008C59E7" w:rsidP="00782FBD" w:rsidRDefault="00221CBD" w14:paraId="66A3DC82" w14:textId="40DD2380">
      <w:pPr>
        <w:pStyle w:val="ListParagraph"/>
        <w:numPr>
          <w:ilvl w:val="0"/>
          <w:numId w:val="6"/>
        </w:numPr>
        <w:tabs>
          <w:tab w:val="clear" w:pos="9360"/>
        </w:tabs>
        <w:spacing w:line="240" w:lineRule="auto"/>
        <w:ind w:left="1080"/>
        <w:rPr>
          <w:sz w:val="24"/>
          <w:szCs w:val="24"/>
        </w:rPr>
      </w:pPr>
      <w:r w:rsidRPr="00EA23FE">
        <w:rPr>
          <w:sz w:val="24"/>
          <w:szCs w:val="24"/>
        </w:rPr>
        <w:t xml:space="preserve">Best </w:t>
      </w:r>
      <w:r w:rsidR="00D208A9">
        <w:rPr>
          <w:sz w:val="24"/>
          <w:szCs w:val="24"/>
        </w:rPr>
        <w:t>p</w:t>
      </w:r>
      <w:r w:rsidRPr="00EA23FE">
        <w:rPr>
          <w:sz w:val="24"/>
          <w:szCs w:val="24"/>
        </w:rPr>
        <w:t xml:space="preserve">ractices </w:t>
      </w:r>
      <w:r w:rsidR="00E81DB9">
        <w:rPr>
          <w:sz w:val="24"/>
          <w:szCs w:val="24"/>
        </w:rPr>
        <w:t>and recommendations for updated Guidelines</w:t>
      </w:r>
      <w:r w:rsidRPr="00EA23FE" w:rsidR="00DA1193">
        <w:rPr>
          <w:sz w:val="24"/>
          <w:szCs w:val="24"/>
        </w:rPr>
        <w:t xml:space="preserve"> (e.g., what does your STLT public health agency do to respond to cancer cluster inquiries that you believe is a best practice?)</w:t>
      </w:r>
    </w:p>
    <w:p w:rsidRPr="00EA23FE" w:rsidR="00692DEB" w:rsidP="008B65FF" w:rsidRDefault="00692DEB" w14:paraId="374F6076" w14:textId="17A5BE71">
      <w:pPr>
        <w:pStyle w:val="ListParagraph"/>
        <w:ind w:left="1080"/>
        <w:rPr>
          <w:sz w:val="24"/>
          <w:szCs w:val="24"/>
          <w:lang w:eastAsia="zh-CN"/>
        </w:rPr>
      </w:pPr>
    </w:p>
    <w:p w:rsidR="00DA1193" w:rsidP="001175CB" w:rsidRDefault="001175CB" w14:paraId="4C87B5CA" w14:textId="280D4AEE">
      <w:pPr>
        <w:ind w:left="360"/>
        <w:rPr>
          <w:sz w:val="24"/>
          <w:szCs w:val="24"/>
          <w:lang w:eastAsia="zh-CN"/>
        </w:rPr>
      </w:pPr>
      <w:r>
        <w:rPr>
          <w:sz w:val="24"/>
          <w:szCs w:val="24"/>
          <w:lang w:eastAsia="zh-CN"/>
        </w:rPr>
        <w:t xml:space="preserve">The final method of primary data collection is the virtual focus group discussion instrument (see </w:t>
      </w:r>
      <w:r w:rsidRPr="0077295D" w:rsidR="00C74E9C">
        <w:rPr>
          <w:b/>
          <w:sz w:val="24"/>
          <w:szCs w:val="24"/>
        </w:rPr>
        <w:t xml:space="preserve">Attachment </w:t>
      </w:r>
      <w:r w:rsidR="00C74E9C">
        <w:rPr>
          <w:b/>
          <w:sz w:val="24"/>
          <w:szCs w:val="24"/>
        </w:rPr>
        <w:t>C</w:t>
      </w:r>
      <w:r w:rsidR="00C74E9C">
        <w:rPr>
          <w:color w:val="0070C0"/>
          <w:sz w:val="24"/>
          <w:szCs w:val="24"/>
        </w:rPr>
        <w:t xml:space="preserve"> </w:t>
      </w:r>
      <w:r w:rsidRPr="0015687E" w:rsidR="00C74E9C">
        <w:rPr>
          <w:b/>
          <w:sz w:val="24"/>
          <w:szCs w:val="24"/>
        </w:rPr>
        <w:t>– Focus Group Facilitator’s Guide</w:t>
      </w:r>
      <w:r>
        <w:rPr>
          <w:sz w:val="24"/>
          <w:szCs w:val="24"/>
          <w:lang w:eastAsia="zh-CN"/>
        </w:rPr>
        <w:t xml:space="preserve">).  This consists of </w:t>
      </w:r>
      <w:r w:rsidR="00CD54D5">
        <w:rPr>
          <w:sz w:val="24"/>
          <w:szCs w:val="24"/>
          <w:lang w:eastAsia="zh-CN"/>
        </w:rPr>
        <w:t xml:space="preserve">nine </w:t>
      </w:r>
      <w:r>
        <w:rPr>
          <w:sz w:val="24"/>
          <w:szCs w:val="24"/>
          <w:lang w:eastAsia="zh-CN"/>
        </w:rPr>
        <w:t>main, open-ended questions</w:t>
      </w:r>
      <w:r w:rsidR="00CD54D5">
        <w:rPr>
          <w:sz w:val="24"/>
          <w:szCs w:val="24"/>
          <w:lang w:eastAsia="zh-CN"/>
        </w:rPr>
        <w:t>, along with several</w:t>
      </w:r>
      <w:r w:rsidR="004537F8">
        <w:rPr>
          <w:sz w:val="24"/>
          <w:szCs w:val="24"/>
          <w:lang w:eastAsia="zh-CN"/>
        </w:rPr>
        <w:t xml:space="preserve"> sub questions and</w:t>
      </w:r>
      <w:r w:rsidR="00CD54D5">
        <w:rPr>
          <w:sz w:val="24"/>
          <w:szCs w:val="24"/>
          <w:lang w:eastAsia="zh-CN"/>
        </w:rPr>
        <w:t xml:space="preserve"> probes</w:t>
      </w:r>
      <w:r>
        <w:rPr>
          <w:sz w:val="24"/>
          <w:szCs w:val="24"/>
          <w:lang w:eastAsia="zh-CN"/>
        </w:rPr>
        <w:t xml:space="preserve">.  </w:t>
      </w:r>
      <w:r w:rsidR="004148AA">
        <w:rPr>
          <w:sz w:val="24"/>
          <w:szCs w:val="24"/>
          <w:lang w:eastAsia="zh-CN"/>
        </w:rPr>
        <w:t>In order to gather in-depth information on current health department processes and practices when responding to cancer cluster inquiries and how CDC can update the current guidelines to address challenges and opportunities, the focus groups will collect data on the following topics:</w:t>
      </w:r>
    </w:p>
    <w:p w:rsidR="001175CB" w:rsidP="001175CB" w:rsidRDefault="001175CB" w14:paraId="347BDDE6" w14:textId="210058E4">
      <w:pPr>
        <w:pStyle w:val="ListParagraph"/>
        <w:numPr>
          <w:ilvl w:val="0"/>
          <w:numId w:val="19"/>
        </w:numPr>
        <w:rPr>
          <w:sz w:val="24"/>
          <w:szCs w:val="24"/>
          <w:lang w:eastAsia="zh-CN"/>
        </w:rPr>
      </w:pPr>
      <w:r>
        <w:rPr>
          <w:sz w:val="24"/>
          <w:szCs w:val="24"/>
          <w:lang w:eastAsia="zh-CN"/>
        </w:rPr>
        <w:t xml:space="preserve">Overall response to </w:t>
      </w:r>
      <w:r w:rsidR="00CD54D5">
        <w:rPr>
          <w:sz w:val="24"/>
          <w:szCs w:val="24"/>
          <w:lang w:eastAsia="zh-CN"/>
        </w:rPr>
        <w:t>inquiries about excess cancer</w:t>
      </w:r>
    </w:p>
    <w:p w:rsidR="00C17A96" w:rsidP="00EF4FA2" w:rsidRDefault="00C17A96" w14:paraId="293F74F0" w14:textId="255EE0CC">
      <w:pPr>
        <w:pStyle w:val="ListParagraph"/>
        <w:numPr>
          <w:ilvl w:val="1"/>
          <w:numId w:val="19"/>
        </w:numPr>
        <w:rPr>
          <w:sz w:val="24"/>
          <w:szCs w:val="24"/>
          <w:lang w:eastAsia="zh-CN"/>
        </w:rPr>
      </w:pPr>
      <w:r>
        <w:rPr>
          <w:sz w:val="24"/>
          <w:szCs w:val="24"/>
          <w:lang w:eastAsia="zh-CN"/>
        </w:rPr>
        <w:t xml:space="preserve">How jurisdiction </w:t>
      </w:r>
      <w:r w:rsidR="00CD54D5">
        <w:rPr>
          <w:sz w:val="24"/>
          <w:szCs w:val="24"/>
          <w:lang w:eastAsia="zh-CN"/>
        </w:rPr>
        <w:t xml:space="preserve">manages and </w:t>
      </w:r>
      <w:r>
        <w:rPr>
          <w:sz w:val="24"/>
          <w:szCs w:val="24"/>
          <w:lang w:eastAsia="zh-CN"/>
        </w:rPr>
        <w:t xml:space="preserve">responds to </w:t>
      </w:r>
      <w:r w:rsidR="00CD54D5">
        <w:rPr>
          <w:sz w:val="24"/>
          <w:szCs w:val="24"/>
          <w:lang w:eastAsia="zh-CN"/>
        </w:rPr>
        <w:t>inquiries about excess cancer</w:t>
      </w:r>
      <w:r>
        <w:rPr>
          <w:sz w:val="24"/>
          <w:szCs w:val="24"/>
          <w:lang w:eastAsia="zh-CN"/>
        </w:rPr>
        <w:t xml:space="preserve"> (step-by-step process);</w:t>
      </w:r>
    </w:p>
    <w:p w:rsidR="00C17A96" w:rsidP="00EF4FA2" w:rsidRDefault="009702A2" w14:paraId="0706F44A" w14:textId="2A95B699">
      <w:pPr>
        <w:pStyle w:val="ListParagraph"/>
        <w:numPr>
          <w:ilvl w:val="1"/>
          <w:numId w:val="19"/>
        </w:numPr>
        <w:rPr>
          <w:sz w:val="24"/>
          <w:szCs w:val="24"/>
          <w:lang w:eastAsia="zh-CN"/>
        </w:rPr>
      </w:pPr>
      <w:r>
        <w:rPr>
          <w:sz w:val="24"/>
          <w:szCs w:val="24"/>
          <w:lang w:eastAsia="zh-CN"/>
        </w:rPr>
        <w:t>Information provided to inquirer during the initial communication response;</w:t>
      </w:r>
    </w:p>
    <w:p w:rsidR="00CD54D5" w:rsidP="00EF4FA2" w:rsidRDefault="00CD54D5" w14:paraId="4C8AD204" w14:textId="39F9D9ED">
      <w:pPr>
        <w:pStyle w:val="ListParagraph"/>
        <w:numPr>
          <w:ilvl w:val="1"/>
          <w:numId w:val="19"/>
        </w:numPr>
        <w:rPr>
          <w:sz w:val="24"/>
          <w:szCs w:val="24"/>
          <w:lang w:eastAsia="zh-CN"/>
        </w:rPr>
      </w:pPr>
      <w:r>
        <w:rPr>
          <w:sz w:val="24"/>
          <w:szCs w:val="24"/>
          <w:lang w:eastAsia="zh-CN"/>
        </w:rPr>
        <w:t xml:space="preserve">Information elicited from the inquirer during the initial communication; </w:t>
      </w:r>
    </w:p>
    <w:p w:rsidR="00CD54D5" w:rsidP="00EF4FA2" w:rsidRDefault="00CD54D5" w14:paraId="412A2167" w14:textId="24C359FD">
      <w:pPr>
        <w:pStyle w:val="ListParagraph"/>
        <w:numPr>
          <w:ilvl w:val="1"/>
          <w:numId w:val="19"/>
        </w:numPr>
        <w:rPr>
          <w:sz w:val="24"/>
          <w:szCs w:val="24"/>
          <w:lang w:eastAsia="zh-CN"/>
        </w:rPr>
      </w:pPr>
      <w:r>
        <w:rPr>
          <w:sz w:val="24"/>
          <w:szCs w:val="24"/>
          <w:lang w:eastAsia="zh-CN"/>
        </w:rPr>
        <w:t>Actions taken by the agency after receiving and responding to the initial inquiry;</w:t>
      </w:r>
    </w:p>
    <w:p w:rsidR="009702A2" w:rsidP="00EF4FA2" w:rsidRDefault="009702A2" w14:paraId="02BC4810" w14:textId="2BB06E0A">
      <w:pPr>
        <w:pStyle w:val="ListParagraph"/>
        <w:numPr>
          <w:ilvl w:val="1"/>
          <w:numId w:val="19"/>
        </w:numPr>
        <w:rPr>
          <w:sz w:val="24"/>
          <w:szCs w:val="24"/>
          <w:lang w:eastAsia="zh-CN"/>
        </w:rPr>
      </w:pPr>
      <w:r>
        <w:rPr>
          <w:sz w:val="24"/>
          <w:szCs w:val="24"/>
          <w:lang w:eastAsia="zh-CN"/>
        </w:rPr>
        <w:t xml:space="preserve">Who </w:t>
      </w:r>
      <w:r w:rsidR="002522AF">
        <w:rPr>
          <w:sz w:val="24"/>
          <w:szCs w:val="24"/>
          <w:lang w:eastAsia="zh-CN"/>
        </w:rPr>
        <w:t>reviews, triages, and addresses inquiries about excess cancer</w:t>
      </w:r>
      <w:r>
        <w:rPr>
          <w:sz w:val="24"/>
          <w:szCs w:val="24"/>
          <w:lang w:eastAsia="zh-CN"/>
        </w:rPr>
        <w:t>;</w:t>
      </w:r>
    </w:p>
    <w:p w:rsidR="002522AF" w:rsidP="00EF4FA2" w:rsidRDefault="002522AF" w14:paraId="50AE4E97" w14:textId="60D917EA">
      <w:pPr>
        <w:pStyle w:val="ListParagraph"/>
        <w:numPr>
          <w:ilvl w:val="1"/>
          <w:numId w:val="19"/>
        </w:numPr>
        <w:rPr>
          <w:sz w:val="24"/>
          <w:szCs w:val="24"/>
          <w:lang w:eastAsia="zh-CN"/>
        </w:rPr>
      </w:pPr>
      <w:r>
        <w:rPr>
          <w:sz w:val="24"/>
          <w:szCs w:val="24"/>
          <w:lang w:eastAsia="zh-CN"/>
        </w:rPr>
        <w:t>When and how cancer data is evaluated;</w:t>
      </w:r>
    </w:p>
    <w:p w:rsidR="002522AF" w:rsidP="00EF4FA2" w:rsidRDefault="002522AF" w14:paraId="037762FF" w14:textId="1027AF95">
      <w:pPr>
        <w:pStyle w:val="ListParagraph"/>
        <w:numPr>
          <w:ilvl w:val="1"/>
          <w:numId w:val="19"/>
        </w:numPr>
        <w:rPr>
          <w:sz w:val="24"/>
          <w:szCs w:val="24"/>
          <w:lang w:eastAsia="zh-CN"/>
        </w:rPr>
      </w:pPr>
      <w:r>
        <w:rPr>
          <w:sz w:val="24"/>
          <w:szCs w:val="24"/>
          <w:lang w:eastAsia="zh-CN"/>
        </w:rPr>
        <w:t xml:space="preserve">When and how environmental data is reviewed; </w:t>
      </w:r>
    </w:p>
    <w:p w:rsidR="009702A2" w:rsidP="00EF4FA2" w:rsidRDefault="009702A2" w14:paraId="26C5F775" w14:textId="54E0C97D">
      <w:pPr>
        <w:pStyle w:val="ListParagraph"/>
        <w:numPr>
          <w:ilvl w:val="1"/>
          <w:numId w:val="19"/>
        </w:numPr>
        <w:rPr>
          <w:sz w:val="24"/>
          <w:szCs w:val="24"/>
          <w:lang w:eastAsia="zh-CN"/>
        </w:rPr>
      </w:pPr>
      <w:r>
        <w:rPr>
          <w:sz w:val="24"/>
          <w:szCs w:val="24"/>
          <w:lang w:eastAsia="zh-CN"/>
        </w:rPr>
        <w:t>The process for determining when and how inquiries are closed;</w:t>
      </w:r>
    </w:p>
    <w:p w:rsidR="009702A2" w:rsidP="00EF4FA2" w:rsidRDefault="009702A2" w14:paraId="4E9E9E25" w14:textId="2A7A3A1E">
      <w:pPr>
        <w:pStyle w:val="ListParagraph"/>
        <w:numPr>
          <w:ilvl w:val="1"/>
          <w:numId w:val="19"/>
        </w:numPr>
        <w:rPr>
          <w:sz w:val="24"/>
          <w:szCs w:val="24"/>
          <w:lang w:eastAsia="zh-CN"/>
        </w:rPr>
      </w:pPr>
      <w:r>
        <w:rPr>
          <w:sz w:val="24"/>
          <w:szCs w:val="24"/>
          <w:lang w:eastAsia="zh-CN"/>
        </w:rPr>
        <w:t>The process for determining a satisfactory outcome of a cancer cluster inquiry</w:t>
      </w:r>
      <w:r w:rsidR="000803CE">
        <w:rPr>
          <w:sz w:val="24"/>
          <w:szCs w:val="24"/>
          <w:lang w:eastAsia="zh-CN"/>
        </w:rPr>
        <w:t>;</w:t>
      </w:r>
    </w:p>
    <w:p w:rsidR="000803CE" w:rsidP="00EF4FA2" w:rsidRDefault="000803CE" w14:paraId="11FDBC59" w14:textId="4E7C1A25">
      <w:pPr>
        <w:pStyle w:val="ListParagraph"/>
        <w:numPr>
          <w:ilvl w:val="1"/>
          <w:numId w:val="19"/>
        </w:numPr>
        <w:rPr>
          <w:sz w:val="24"/>
          <w:szCs w:val="24"/>
          <w:lang w:eastAsia="zh-CN"/>
        </w:rPr>
      </w:pPr>
      <w:r>
        <w:rPr>
          <w:sz w:val="24"/>
          <w:szCs w:val="24"/>
          <w:lang w:eastAsia="zh-CN"/>
        </w:rPr>
        <w:t>Approaches that work well for communicating with the public about potential cancer clusters.</w:t>
      </w:r>
    </w:p>
    <w:p w:rsidR="001175CB" w:rsidP="001175CB" w:rsidRDefault="000803CE" w14:paraId="107F968F" w14:textId="396D072D">
      <w:pPr>
        <w:pStyle w:val="ListParagraph"/>
        <w:numPr>
          <w:ilvl w:val="0"/>
          <w:numId w:val="19"/>
        </w:numPr>
        <w:rPr>
          <w:sz w:val="24"/>
          <w:szCs w:val="24"/>
          <w:lang w:eastAsia="zh-CN"/>
        </w:rPr>
      </w:pPr>
      <w:r>
        <w:rPr>
          <w:sz w:val="24"/>
          <w:szCs w:val="24"/>
          <w:lang w:eastAsia="zh-CN"/>
        </w:rPr>
        <w:t>Federal Support and Updated Guidelines</w:t>
      </w:r>
    </w:p>
    <w:p w:rsidR="00EF4FA2" w:rsidP="00EF4FA2" w:rsidRDefault="000803CE" w14:paraId="754788CE" w14:textId="278DFEEC">
      <w:pPr>
        <w:pStyle w:val="ListParagraph"/>
        <w:numPr>
          <w:ilvl w:val="1"/>
          <w:numId w:val="19"/>
        </w:numPr>
        <w:rPr>
          <w:sz w:val="24"/>
          <w:szCs w:val="24"/>
          <w:lang w:eastAsia="zh-CN"/>
        </w:rPr>
      </w:pPr>
      <w:r>
        <w:rPr>
          <w:sz w:val="24"/>
          <w:szCs w:val="24"/>
          <w:lang w:eastAsia="zh-CN"/>
        </w:rPr>
        <w:t>Under what circumstances the agency requested assistance from CDC or ATSDR related to inquiries about excess cancer;</w:t>
      </w:r>
    </w:p>
    <w:p w:rsidR="000803CE" w:rsidP="00EF4FA2" w:rsidRDefault="000803CE" w14:paraId="72868AC0" w14:textId="103C3CAC">
      <w:pPr>
        <w:pStyle w:val="ListParagraph"/>
        <w:numPr>
          <w:ilvl w:val="1"/>
          <w:numId w:val="19"/>
        </w:numPr>
        <w:rPr>
          <w:sz w:val="24"/>
          <w:szCs w:val="24"/>
          <w:lang w:eastAsia="zh-CN"/>
        </w:rPr>
      </w:pPr>
      <w:r>
        <w:rPr>
          <w:sz w:val="24"/>
          <w:szCs w:val="24"/>
          <w:lang w:eastAsia="zh-CN"/>
        </w:rPr>
        <w:t>How CDC/ATSDR can best support the agency’s response to inquiries;</w:t>
      </w:r>
    </w:p>
    <w:p w:rsidR="004148AA" w:rsidP="004148AA" w:rsidRDefault="004148AA" w14:paraId="0F6E6CDB" w14:textId="09541733">
      <w:pPr>
        <w:pStyle w:val="ListParagraph"/>
        <w:numPr>
          <w:ilvl w:val="1"/>
          <w:numId w:val="19"/>
        </w:numPr>
        <w:rPr>
          <w:sz w:val="24"/>
          <w:szCs w:val="24"/>
          <w:lang w:eastAsia="zh-CN"/>
        </w:rPr>
      </w:pPr>
      <w:r>
        <w:rPr>
          <w:sz w:val="24"/>
          <w:szCs w:val="24"/>
          <w:lang w:eastAsia="zh-CN"/>
        </w:rPr>
        <w:t>Aspects of the 2013 CDC/CSTE Guidelines that should be retained or removed or revised;</w:t>
      </w:r>
    </w:p>
    <w:p w:rsidR="004148AA" w:rsidP="004148AA" w:rsidRDefault="009702A2" w14:paraId="7F384D6D" w14:textId="4A101181">
      <w:pPr>
        <w:pStyle w:val="ListParagraph"/>
        <w:numPr>
          <w:ilvl w:val="1"/>
          <w:numId w:val="19"/>
        </w:numPr>
        <w:rPr>
          <w:sz w:val="24"/>
          <w:szCs w:val="24"/>
          <w:lang w:eastAsia="zh-CN"/>
        </w:rPr>
      </w:pPr>
      <w:r>
        <w:rPr>
          <w:sz w:val="24"/>
          <w:szCs w:val="24"/>
          <w:lang w:eastAsia="zh-CN"/>
        </w:rPr>
        <w:t>Aspects of the 2013 CDC/CSTE Guidelines that should be changed or improved upon.</w:t>
      </w:r>
    </w:p>
    <w:p w:rsidR="001175CB" w:rsidP="001175CB" w:rsidRDefault="001175CB" w14:paraId="10089AA8" w14:textId="1E7C32FB">
      <w:pPr>
        <w:ind w:left="0"/>
        <w:rPr>
          <w:sz w:val="24"/>
          <w:szCs w:val="24"/>
          <w:lang w:eastAsia="zh-CN"/>
        </w:rPr>
      </w:pPr>
    </w:p>
    <w:p w:rsidRPr="001175CB" w:rsidR="006E6CE0" w:rsidP="001175CB" w:rsidRDefault="006E6CE0" w14:paraId="1DBC82E7" w14:textId="77777777">
      <w:pPr>
        <w:ind w:left="0"/>
        <w:rPr>
          <w:sz w:val="24"/>
          <w:szCs w:val="24"/>
          <w:lang w:eastAsia="zh-CN"/>
        </w:rPr>
      </w:pPr>
    </w:p>
    <w:p w:rsidRPr="00014361" w:rsidR="00B12F51" w:rsidP="00692DEB" w:rsidRDefault="00B12F51" w14:paraId="24068069" w14:textId="77777777">
      <w:pPr>
        <w:pStyle w:val="Heading4"/>
      </w:pPr>
      <w:bookmarkStart w:name="_Toc427752815" w:id="7"/>
      <w:r w:rsidRPr="00014361">
        <w:lastRenderedPageBreak/>
        <w:t>Purpose and Use of the Information Collection</w:t>
      </w:r>
      <w:bookmarkEnd w:id="7"/>
    </w:p>
    <w:p w:rsidR="006102DA" w:rsidP="00A62C98" w:rsidRDefault="006102DA" w14:paraId="28790DE5" w14:textId="77777777">
      <w:pPr>
        <w:ind w:left="360"/>
      </w:pPr>
    </w:p>
    <w:p w:rsidR="00BC4B64" w:rsidP="00DC2D28" w:rsidRDefault="00DC2D28" w14:paraId="19D2DBAC" w14:textId="061C84F6">
      <w:pPr>
        <w:ind w:left="360"/>
        <w:rPr>
          <w:bCs/>
          <w:sz w:val="24"/>
          <w:szCs w:val="24"/>
        </w:rPr>
      </w:pPr>
      <w:r>
        <w:rPr>
          <w:sz w:val="24"/>
          <w:szCs w:val="24"/>
        </w:rPr>
        <w:t xml:space="preserve">The purpose of this </w:t>
      </w:r>
      <w:r w:rsidR="006A0B7E">
        <w:rPr>
          <w:sz w:val="24"/>
        </w:rPr>
        <w:t>NCEH/ATSDR-led</w:t>
      </w:r>
      <w:r w:rsidRPr="00013ECA" w:rsidR="006A0B7E">
        <w:rPr>
          <w:sz w:val="24"/>
        </w:rPr>
        <w:t xml:space="preserve"> information</w:t>
      </w:r>
      <w:r>
        <w:rPr>
          <w:sz w:val="24"/>
          <w:szCs w:val="24"/>
        </w:rPr>
        <w:t xml:space="preserve"> collection is to </w:t>
      </w:r>
      <w:r w:rsidRPr="004C57AB">
        <w:rPr>
          <w:sz w:val="24"/>
          <w:szCs w:val="24"/>
        </w:rPr>
        <w:t xml:space="preserve">assess current state, tribal, local, and territorial (STLT) public health agency’s </w:t>
      </w:r>
      <w:r w:rsidRPr="004C57AB">
        <w:rPr>
          <w:rFonts w:cstheme="minorHAnsi"/>
          <w:sz w:val="24"/>
          <w:szCs w:val="24"/>
        </w:rPr>
        <w:t>current approaches, best practices, and capacity for addressing cancer cluster inquiries that can be used to inform CDC/ATSDR’s update of federal cancer cluster guidelines.</w:t>
      </w:r>
      <w:r>
        <w:rPr>
          <w:rFonts w:cstheme="minorHAnsi"/>
          <w:sz w:val="24"/>
          <w:szCs w:val="24"/>
        </w:rPr>
        <w:t xml:space="preserve">  </w:t>
      </w:r>
      <w:r w:rsidR="00A3581A">
        <w:rPr>
          <w:bCs/>
          <w:sz w:val="24"/>
          <w:szCs w:val="24"/>
        </w:rPr>
        <w:t>In accordance with the Trevor’s Law provision within the Frank R. Lautenberg Chemical Safety for the 21</w:t>
      </w:r>
      <w:r w:rsidRPr="00043BBE" w:rsidR="00A3581A">
        <w:rPr>
          <w:bCs/>
          <w:sz w:val="24"/>
          <w:szCs w:val="24"/>
          <w:vertAlign w:val="superscript"/>
        </w:rPr>
        <w:t>st</w:t>
      </w:r>
      <w:r w:rsidR="00A3581A">
        <w:rPr>
          <w:bCs/>
          <w:sz w:val="24"/>
          <w:szCs w:val="24"/>
        </w:rPr>
        <w:t xml:space="preserve"> Century Act,</w:t>
      </w:r>
      <w:r w:rsidRPr="00043BBE" w:rsidR="00A3581A">
        <w:rPr>
          <w:bCs/>
          <w:sz w:val="24"/>
          <w:szCs w:val="24"/>
        </w:rPr>
        <w:t xml:space="preserve"> CDC</w:t>
      </w:r>
      <w:r w:rsidR="004537F8">
        <w:rPr>
          <w:bCs/>
          <w:sz w:val="24"/>
          <w:szCs w:val="24"/>
        </w:rPr>
        <w:t>/ATSDR</w:t>
      </w:r>
      <w:r w:rsidRPr="00043BBE" w:rsidR="00A3581A">
        <w:rPr>
          <w:bCs/>
          <w:sz w:val="24"/>
          <w:szCs w:val="24"/>
        </w:rPr>
        <w:t xml:space="preserve"> </w:t>
      </w:r>
      <w:r w:rsidR="00A3581A">
        <w:rPr>
          <w:bCs/>
          <w:sz w:val="24"/>
          <w:szCs w:val="24"/>
        </w:rPr>
        <w:t>is updating its</w:t>
      </w:r>
      <w:r w:rsidRPr="00043BBE" w:rsidR="00A3581A">
        <w:rPr>
          <w:bCs/>
          <w:sz w:val="24"/>
          <w:szCs w:val="24"/>
        </w:rPr>
        <w:t xml:space="preserve"> federal guidelines for investigating potential cancer clusters.  </w:t>
      </w:r>
    </w:p>
    <w:p w:rsidR="00DA1193" w:rsidP="00DC2D28" w:rsidRDefault="00DA1193" w14:paraId="251F4408" w14:textId="2C9D1FC1">
      <w:pPr>
        <w:ind w:left="360"/>
        <w:rPr>
          <w:sz w:val="24"/>
          <w:szCs w:val="24"/>
        </w:rPr>
      </w:pPr>
      <w:r>
        <w:rPr>
          <w:sz w:val="24"/>
          <w:szCs w:val="24"/>
        </w:rPr>
        <w:t xml:space="preserve">The information collected will be used by </w:t>
      </w:r>
      <w:r w:rsidR="00DC2D28">
        <w:rPr>
          <w:sz w:val="24"/>
          <w:szCs w:val="24"/>
        </w:rPr>
        <w:t>NCEH</w:t>
      </w:r>
      <w:r>
        <w:rPr>
          <w:sz w:val="24"/>
          <w:szCs w:val="24"/>
        </w:rPr>
        <w:t xml:space="preserve">/ATSDR to inform and improve the current 2013 Guidelines, and to </w:t>
      </w:r>
      <w:r w:rsidR="004537F8">
        <w:rPr>
          <w:sz w:val="24"/>
        </w:rPr>
        <w:t>determine the need for additional tools and guidance to assist STLT public health agencies in assessing and responding to cancer cluster inquiries in their communities</w:t>
      </w:r>
      <w:r w:rsidRPr="00013ECA" w:rsidR="004537F8">
        <w:rPr>
          <w:sz w:val="24"/>
        </w:rPr>
        <w:t xml:space="preserve">.  </w:t>
      </w:r>
      <w:r>
        <w:rPr>
          <w:sz w:val="24"/>
          <w:szCs w:val="24"/>
        </w:rPr>
        <w:t xml:space="preserve"> </w:t>
      </w:r>
    </w:p>
    <w:p w:rsidR="00DA1193" w:rsidP="00DC2D28" w:rsidRDefault="00DA1193" w14:paraId="26A7F7F0" w14:textId="77777777">
      <w:pPr>
        <w:ind w:left="360"/>
        <w:rPr>
          <w:b/>
          <w:sz w:val="24"/>
          <w:szCs w:val="24"/>
          <w:u w:val="single"/>
        </w:rPr>
      </w:pPr>
    </w:p>
    <w:p w:rsidRPr="00FF5BF1" w:rsidR="00B47055" w:rsidP="00692DEB" w:rsidRDefault="00B47055" w14:paraId="50ADDD53" w14:textId="77777777">
      <w:pPr>
        <w:pStyle w:val="Heading4"/>
      </w:pPr>
      <w:bookmarkStart w:name="_Toc427752816" w:id="8"/>
      <w:r w:rsidRPr="00FF5BF1">
        <w:t>Use of Improved Information Technology and Burden Reduction</w:t>
      </w:r>
      <w:bookmarkEnd w:id="8"/>
    </w:p>
    <w:p w:rsidRPr="00ED3D51" w:rsidR="00391D7C" w:rsidP="00391D7C" w:rsidRDefault="00DA1193" w14:paraId="246EF681" w14:textId="22E001EA">
      <w:pPr>
        <w:ind w:left="360"/>
        <w:rPr>
          <w:sz w:val="24"/>
        </w:rPr>
      </w:pPr>
      <w:r w:rsidRPr="00ED3D51">
        <w:rPr>
          <w:rFonts w:eastAsiaTheme="majorEastAsia" w:cstheme="majorBidi"/>
          <w:sz w:val="24"/>
        </w:rPr>
        <w:t xml:space="preserve">An electronic assessment was deemed the most appropriate method to gather information from a large audience to quantify and prioritize STLT public health agency needs for assessing and responding to cancer cluster inquiries. </w:t>
      </w:r>
      <w:r w:rsidRPr="00ED3D51">
        <w:rPr>
          <w:sz w:val="24"/>
        </w:rPr>
        <w:t>The electronic assessment will provide the CDC with</w:t>
      </w:r>
      <w:r w:rsidRPr="00ED3D51" w:rsidR="00391D7C">
        <w:rPr>
          <w:sz w:val="24"/>
        </w:rPr>
        <w:t xml:space="preserve"> quantitative information on best practices, and ways to improve how STLT public health agencies address cancer cluster inquiries.</w:t>
      </w:r>
      <w:r w:rsidR="00920421">
        <w:rPr>
          <w:sz w:val="24"/>
        </w:rPr>
        <w:t xml:space="preserve"> The electronic data collection instrument was designed to collect the minimum information necessary for the purposes of the project (i.e., limited to </w:t>
      </w:r>
      <w:r w:rsidR="00621AC0">
        <w:rPr>
          <w:sz w:val="24"/>
        </w:rPr>
        <w:t>5</w:t>
      </w:r>
      <w:r w:rsidR="00920421">
        <w:rPr>
          <w:sz w:val="24"/>
        </w:rPr>
        <w:t>5 questions).</w:t>
      </w:r>
    </w:p>
    <w:p w:rsidRPr="00ED3D51" w:rsidR="00DA1193" w:rsidP="00391D7C" w:rsidRDefault="00DA1193" w14:paraId="7B9C57E7" w14:textId="37E53C6B">
      <w:pPr>
        <w:ind w:left="0"/>
        <w:rPr>
          <w:sz w:val="24"/>
        </w:rPr>
      </w:pPr>
    </w:p>
    <w:p w:rsidRPr="00ED3D51" w:rsidR="00DA1193" w:rsidP="00DA1193" w:rsidRDefault="00DA1193" w14:paraId="21385C47" w14:textId="7D3000FD">
      <w:pPr>
        <w:ind w:left="360"/>
        <w:rPr>
          <w:sz w:val="24"/>
        </w:rPr>
      </w:pPr>
      <w:r w:rsidRPr="00ED3D51">
        <w:rPr>
          <w:sz w:val="24"/>
        </w:rPr>
        <w:t xml:space="preserve">The </w:t>
      </w:r>
      <w:r w:rsidR="007D6014">
        <w:rPr>
          <w:sz w:val="24"/>
        </w:rPr>
        <w:t>focus groups</w:t>
      </w:r>
      <w:r w:rsidRPr="00ED3D51">
        <w:rPr>
          <w:sz w:val="24"/>
        </w:rPr>
        <w:t xml:space="preserve"> were </w:t>
      </w:r>
      <w:r w:rsidRPr="00ED3D51" w:rsidR="00391D7C">
        <w:rPr>
          <w:sz w:val="24"/>
        </w:rPr>
        <w:t>selected</w:t>
      </w:r>
      <w:r w:rsidRPr="00ED3D51">
        <w:rPr>
          <w:sz w:val="24"/>
        </w:rPr>
        <w:t xml:space="preserve"> to provide CDC with more insight into the quantitative results, capture in-depth detail regarding how the CDC can best </w:t>
      </w:r>
      <w:r w:rsidRPr="00ED3D51" w:rsidR="00391D7C">
        <w:rPr>
          <w:sz w:val="24"/>
        </w:rPr>
        <w:t xml:space="preserve">update the current cancer cluster investigation guidelines to meet the needs of STLT public health agencies, </w:t>
      </w:r>
      <w:r w:rsidRPr="00ED3D51">
        <w:rPr>
          <w:sz w:val="24"/>
        </w:rPr>
        <w:t>as well as uncover information that could not be effectively asked in electronic assessment form</w:t>
      </w:r>
      <w:r w:rsidRPr="00ED3D51" w:rsidR="00391D7C">
        <w:rPr>
          <w:sz w:val="24"/>
        </w:rPr>
        <w:t>.</w:t>
      </w:r>
      <w:r w:rsidRPr="00ED3D51">
        <w:rPr>
          <w:sz w:val="24"/>
        </w:rPr>
        <w:t xml:space="preserve"> The </w:t>
      </w:r>
      <w:r w:rsidR="00920421">
        <w:rPr>
          <w:sz w:val="24"/>
        </w:rPr>
        <w:t xml:space="preserve">focus group </w:t>
      </w:r>
      <w:r w:rsidRPr="00ED3D51">
        <w:rPr>
          <w:sz w:val="24"/>
        </w:rPr>
        <w:t>data collection instrument</w:t>
      </w:r>
      <w:r w:rsidR="00920421">
        <w:rPr>
          <w:sz w:val="24"/>
        </w:rPr>
        <w:t xml:space="preserve"> was</w:t>
      </w:r>
      <w:r w:rsidRPr="00ED3D51">
        <w:rPr>
          <w:sz w:val="24"/>
        </w:rPr>
        <w:t xml:space="preserve"> designed to collect the minimum information necessary for the purposes of this project (i.e., limited to </w:t>
      </w:r>
      <w:r w:rsidR="00057F25">
        <w:rPr>
          <w:sz w:val="24"/>
        </w:rPr>
        <w:t xml:space="preserve">26 </w:t>
      </w:r>
      <w:r w:rsidR="001B5A6F">
        <w:rPr>
          <w:sz w:val="24"/>
        </w:rPr>
        <w:t>questions</w:t>
      </w:r>
      <w:r w:rsidRPr="00ED3D51">
        <w:rPr>
          <w:sz w:val="24"/>
        </w:rPr>
        <w:t xml:space="preserve">).   </w:t>
      </w:r>
    </w:p>
    <w:p w:rsidR="00DA1193" w:rsidP="007B7C44" w:rsidRDefault="00DA1193" w14:paraId="704BA651" w14:textId="77777777">
      <w:pPr>
        <w:ind w:left="360"/>
      </w:pPr>
    </w:p>
    <w:p w:rsidR="00383542" w:rsidP="006A09E0" w:rsidRDefault="00383542" w14:paraId="125920FB" w14:textId="77777777">
      <w:pPr>
        <w:ind w:left="0"/>
      </w:pPr>
    </w:p>
    <w:p w:rsidRPr="00D42A92" w:rsidR="00B47055" w:rsidP="00692DEB" w:rsidRDefault="00B47055" w14:paraId="0052F2D6" w14:textId="77777777">
      <w:pPr>
        <w:pStyle w:val="Heading4"/>
      </w:pPr>
      <w:bookmarkStart w:name="_Toc427752817" w:id="9"/>
      <w:r w:rsidRPr="00D42A92">
        <w:t>Efforts to Identify Duplication and Use of Similar Information</w:t>
      </w:r>
      <w:bookmarkEnd w:id="9"/>
    </w:p>
    <w:p w:rsidR="00BD4599" w:rsidP="00383542" w:rsidRDefault="00BD4599" w14:paraId="093AB152" w14:textId="77777777">
      <w:pPr>
        <w:ind w:left="0"/>
      </w:pPr>
    </w:p>
    <w:p w:rsidR="00391D7C" w:rsidP="002F411A" w:rsidRDefault="00391D7C" w14:paraId="5D2E5DAD" w14:textId="06BEC836">
      <w:pPr>
        <w:autoSpaceDE w:val="0"/>
        <w:autoSpaceDN w:val="0"/>
        <w:adjustRightInd w:val="0"/>
        <w:spacing w:line="240" w:lineRule="auto"/>
        <w:ind w:left="360"/>
        <w:rPr>
          <w:rFonts w:cs="ITCFranklinGothicStd-Book"/>
          <w:sz w:val="24"/>
          <w:szCs w:val="24"/>
        </w:rPr>
      </w:pPr>
      <w:r>
        <w:rPr>
          <w:rFonts w:cs="ITCFranklinGothicStd-Book"/>
          <w:sz w:val="24"/>
          <w:szCs w:val="24"/>
        </w:rPr>
        <w:t xml:space="preserve">There are no recent similar data available for this </w:t>
      </w:r>
      <w:r w:rsidR="00D06995">
        <w:rPr>
          <w:rFonts w:cs="ITCFranklinGothicStd-Book"/>
          <w:sz w:val="24"/>
          <w:szCs w:val="24"/>
        </w:rPr>
        <w:t>project</w:t>
      </w:r>
      <w:r>
        <w:rPr>
          <w:rFonts w:cs="ITCFranklinGothicStd-Book"/>
          <w:sz w:val="24"/>
          <w:szCs w:val="24"/>
        </w:rPr>
        <w:t>.  A survey of STLT public health agencies was conducted by the Council of State and Territorial Epidemiologists (CSTE) in 2010 (</w:t>
      </w:r>
      <w:hyperlink w:history="1" r:id="rId14">
        <w:r w:rsidRPr="000024D2">
          <w:rPr>
            <w:rStyle w:val="Hyperlink"/>
            <w:rFonts w:cs="ITCFranklinGothicStd-Book"/>
            <w:sz w:val="24"/>
            <w:szCs w:val="24"/>
          </w:rPr>
          <w:t>http://www.cste2.org/webpdfs/ASynopsisofthe2010NationalAssessmentofStateCancerClusterInvestigationsandProtocols.pdf</w:t>
        </w:r>
      </w:hyperlink>
      <w:r>
        <w:rPr>
          <w:rFonts w:cs="ITCFranklinGothicStd-Book"/>
          <w:sz w:val="24"/>
          <w:szCs w:val="24"/>
        </w:rPr>
        <w:t xml:space="preserve">) and a summary of that data is publicly available.  However, since 2010, there has been an increase in the number of cancer </w:t>
      </w:r>
      <w:r>
        <w:rPr>
          <w:rFonts w:cs="ITCFranklinGothicStd-Book"/>
          <w:sz w:val="24"/>
          <w:szCs w:val="24"/>
        </w:rPr>
        <w:lastRenderedPageBreak/>
        <w:t xml:space="preserve">cluster inquiries received by STLT public health agencies and increasing attention surrounding perceived cancer clusters or perception of increased cancer rates in communities.  Additionally, new </w:t>
      </w:r>
      <w:r w:rsidRPr="00EA54DA">
        <w:rPr>
          <w:rFonts w:cs="ITCFranklinGothicStd-Book"/>
          <w:sz w:val="24"/>
          <w:szCs w:val="24"/>
        </w:rPr>
        <w:t xml:space="preserve">scientific tools and approaches </w:t>
      </w:r>
      <w:r>
        <w:rPr>
          <w:rFonts w:cs="ITCFranklinGothicStd-Book"/>
          <w:sz w:val="24"/>
          <w:szCs w:val="24"/>
        </w:rPr>
        <w:t xml:space="preserve">have been developed </w:t>
      </w:r>
      <w:r w:rsidRPr="00EA54DA">
        <w:rPr>
          <w:rFonts w:cs="ITCFranklinGothicStd-Book"/>
          <w:sz w:val="24"/>
          <w:szCs w:val="24"/>
        </w:rPr>
        <w:t>to assess and respond to potential cancer clusters in communities, including potential cancer clusters among pediatric populations</w:t>
      </w:r>
      <w:r>
        <w:rPr>
          <w:rFonts w:cs="ITCFranklinGothicStd-Book"/>
          <w:sz w:val="24"/>
          <w:szCs w:val="24"/>
        </w:rPr>
        <w:t xml:space="preserve">. Understanding </w:t>
      </w:r>
      <w:r w:rsidR="0039734E">
        <w:rPr>
          <w:rFonts w:cs="ITCFranklinGothicStd-Book"/>
          <w:sz w:val="24"/>
          <w:szCs w:val="24"/>
        </w:rPr>
        <w:t xml:space="preserve">current </w:t>
      </w:r>
      <w:r>
        <w:rPr>
          <w:rFonts w:cs="ITCFranklinGothicStd-Book"/>
          <w:sz w:val="24"/>
          <w:szCs w:val="24"/>
        </w:rPr>
        <w:t xml:space="preserve">STLT public health agency processes and use of current technologies will help </w:t>
      </w:r>
      <w:r w:rsidR="00AC784A">
        <w:rPr>
          <w:rFonts w:cs="ITCFranklinGothicStd-Book"/>
          <w:sz w:val="24"/>
          <w:szCs w:val="24"/>
        </w:rPr>
        <w:t>NCEH</w:t>
      </w:r>
      <w:r>
        <w:rPr>
          <w:rFonts w:cs="ITCFranklinGothicStd-Book"/>
          <w:sz w:val="24"/>
          <w:szCs w:val="24"/>
        </w:rPr>
        <w:t>/ATSDR to update and improve current federal guidelines.</w:t>
      </w:r>
    </w:p>
    <w:p w:rsidRPr="002544F0" w:rsidR="00391D7C" w:rsidP="00391D7C" w:rsidRDefault="00391D7C" w14:paraId="01DA98C2" w14:textId="77777777">
      <w:pPr>
        <w:autoSpaceDE w:val="0"/>
        <w:autoSpaceDN w:val="0"/>
        <w:adjustRightInd w:val="0"/>
        <w:spacing w:line="240" w:lineRule="auto"/>
        <w:rPr>
          <w:rFonts w:cs="ITCFranklinGothicStd-Book"/>
          <w:sz w:val="24"/>
          <w:szCs w:val="24"/>
        </w:rPr>
      </w:pPr>
    </w:p>
    <w:p w:rsidR="00675F9A" w:rsidP="005D6F14" w:rsidRDefault="00675F9A" w14:paraId="46DEB891" w14:textId="77777777"/>
    <w:p w:rsidRPr="00B47055" w:rsidR="00B12F51" w:rsidP="00692DEB" w:rsidRDefault="00B47055" w14:paraId="695B6B8A" w14:textId="77777777">
      <w:pPr>
        <w:pStyle w:val="Heading4"/>
      </w:pPr>
      <w:bookmarkStart w:name="_Toc427752818" w:id="10"/>
      <w:r w:rsidRPr="00B47055">
        <w:t>Impact on Small Businesses or Other Small Entities</w:t>
      </w:r>
      <w:bookmarkEnd w:id="10"/>
    </w:p>
    <w:p w:rsidRPr="002F411A" w:rsidR="00BD4599" w:rsidP="00383542" w:rsidRDefault="00D26A64" w14:paraId="7339774E" w14:textId="77777777">
      <w:pPr>
        <w:ind w:left="360"/>
        <w:rPr>
          <w:sz w:val="24"/>
        </w:rPr>
      </w:pPr>
      <w:r w:rsidRPr="002F411A">
        <w:rPr>
          <w:sz w:val="24"/>
        </w:rPr>
        <w:t>N</w:t>
      </w:r>
      <w:r w:rsidRPr="002F411A" w:rsidR="00AF2252">
        <w:rPr>
          <w:sz w:val="24"/>
        </w:rPr>
        <w:t xml:space="preserve">o small businesses will be involved in this </w:t>
      </w:r>
      <w:r w:rsidRPr="002F411A" w:rsidR="00157413">
        <w:rPr>
          <w:sz w:val="24"/>
        </w:rPr>
        <w:t>information collection</w:t>
      </w:r>
      <w:r w:rsidRPr="002F411A">
        <w:rPr>
          <w:sz w:val="24"/>
        </w:rPr>
        <w:t>.</w:t>
      </w:r>
    </w:p>
    <w:p w:rsidR="00BD4599" w:rsidP="005D6F14" w:rsidRDefault="00BD4599" w14:paraId="7EA2D3EF" w14:textId="77777777"/>
    <w:p w:rsidRPr="00D95FBF" w:rsidR="00675F9A" w:rsidP="00383542" w:rsidRDefault="00675F9A" w14:paraId="47A9678B" w14:textId="77777777">
      <w:pPr>
        <w:ind w:left="0"/>
      </w:pPr>
    </w:p>
    <w:p w:rsidRPr="00B47055" w:rsidR="00B12F51" w:rsidP="00692DEB" w:rsidRDefault="00B47055" w14:paraId="48F612BE" w14:textId="77777777">
      <w:pPr>
        <w:pStyle w:val="Heading4"/>
      </w:pPr>
      <w:bookmarkStart w:name="_Toc427752819" w:id="11"/>
      <w:r w:rsidRPr="00B47055">
        <w:t xml:space="preserve">Consequences of Collecting the Information Less Frequently </w:t>
      </w:r>
      <w:r w:rsidRPr="00B47055" w:rsidR="00D95FBF">
        <w:t xml:space="preserve">  </w:t>
      </w:r>
      <w:bookmarkEnd w:id="11"/>
      <w:r w:rsidRPr="00B47055" w:rsidR="00D95FBF">
        <w:t xml:space="preserve"> </w:t>
      </w:r>
    </w:p>
    <w:p w:rsidR="000058E0" w:rsidP="007B7C44" w:rsidRDefault="000058E0" w14:paraId="2339D54C" w14:textId="0BA6C6FB">
      <w:pPr>
        <w:ind w:left="360"/>
        <w:rPr>
          <w:sz w:val="24"/>
        </w:rPr>
      </w:pPr>
      <w:r w:rsidRPr="002F411A">
        <w:rPr>
          <w:sz w:val="24"/>
        </w:rPr>
        <w:t xml:space="preserve">This request is for a </w:t>
      </w:r>
      <w:r w:rsidRPr="002F411A" w:rsidR="00391D7C">
        <w:rPr>
          <w:sz w:val="24"/>
        </w:rPr>
        <w:t>one-time</w:t>
      </w:r>
      <w:r w:rsidRPr="002F411A">
        <w:rPr>
          <w:sz w:val="24"/>
        </w:rPr>
        <w:t xml:space="preserve"> </w:t>
      </w:r>
      <w:r w:rsidRPr="002F411A" w:rsidR="005212E5">
        <w:rPr>
          <w:sz w:val="24"/>
        </w:rPr>
        <w:t>data</w:t>
      </w:r>
      <w:r w:rsidRPr="002F411A">
        <w:rPr>
          <w:sz w:val="24"/>
        </w:rPr>
        <w:t xml:space="preserve"> collection.  There are no legal obstacles to reduce the burden. If no data are collected, CDC will be unable to:</w:t>
      </w:r>
    </w:p>
    <w:p w:rsidRPr="002F411A" w:rsidR="002F411A" w:rsidP="007B7C44" w:rsidRDefault="002F411A" w14:paraId="182C49C0" w14:textId="77777777">
      <w:pPr>
        <w:ind w:left="360"/>
        <w:rPr>
          <w:sz w:val="24"/>
        </w:rPr>
      </w:pPr>
    </w:p>
    <w:p w:rsidRPr="002F411A" w:rsidR="008C59E7" w:rsidP="002F411A" w:rsidRDefault="00391D7C" w14:paraId="7CB88904" w14:textId="126546AB">
      <w:pPr>
        <w:pStyle w:val="ListParagraph"/>
        <w:numPr>
          <w:ilvl w:val="0"/>
          <w:numId w:val="6"/>
        </w:numPr>
        <w:tabs>
          <w:tab w:val="clear" w:pos="9360"/>
        </w:tabs>
        <w:spacing w:line="240" w:lineRule="auto"/>
        <w:ind w:left="1440"/>
        <w:rPr>
          <w:sz w:val="24"/>
        </w:rPr>
      </w:pPr>
      <w:r w:rsidRPr="002F411A">
        <w:rPr>
          <w:sz w:val="24"/>
        </w:rPr>
        <w:t>Adequately update the CDC cancer cluster investigation guidelines to meet the needs of STLT public health agencies</w:t>
      </w:r>
      <w:r w:rsidR="00AC784A">
        <w:rPr>
          <w:sz w:val="24"/>
        </w:rPr>
        <w:t>;</w:t>
      </w:r>
    </w:p>
    <w:p w:rsidRPr="002F411A" w:rsidR="00391D7C" w:rsidP="002F411A" w:rsidRDefault="00391D7C" w14:paraId="46211574" w14:textId="17BC45F5">
      <w:pPr>
        <w:pStyle w:val="ListParagraph"/>
        <w:numPr>
          <w:ilvl w:val="0"/>
          <w:numId w:val="6"/>
        </w:numPr>
        <w:tabs>
          <w:tab w:val="clear" w:pos="9360"/>
        </w:tabs>
        <w:spacing w:line="240" w:lineRule="auto"/>
        <w:ind w:left="1440"/>
        <w:rPr>
          <w:sz w:val="24"/>
        </w:rPr>
      </w:pPr>
      <w:r w:rsidRPr="002F411A">
        <w:rPr>
          <w:sz w:val="24"/>
        </w:rPr>
        <w:t>Identify best practices for STLT public health agencies when assessing and responding to cancer cluster inquiries</w:t>
      </w:r>
      <w:r w:rsidR="00AC784A">
        <w:rPr>
          <w:sz w:val="24"/>
        </w:rPr>
        <w:t>;</w:t>
      </w:r>
    </w:p>
    <w:p w:rsidRPr="002F411A" w:rsidR="00391D7C" w:rsidP="002F411A" w:rsidRDefault="00391D7C" w14:paraId="7661DB52" w14:textId="6ED40C61">
      <w:pPr>
        <w:pStyle w:val="ListParagraph"/>
        <w:numPr>
          <w:ilvl w:val="0"/>
          <w:numId w:val="6"/>
        </w:numPr>
        <w:tabs>
          <w:tab w:val="clear" w:pos="9360"/>
        </w:tabs>
        <w:spacing w:line="240" w:lineRule="auto"/>
        <w:ind w:left="1440"/>
        <w:rPr>
          <w:sz w:val="24"/>
        </w:rPr>
      </w:pPr>
      <w:r w:rsidRPr="002F411A">
        <w:rPr>
          <w:sz w:val="24"/>
        </w:rPr>
        <w:t>Identify barriers for STLT public health agencies to effectively assess and respond to cancer cluster inquiries</w:t>
      </w:r>
      <w:r w:rsidR="00AC784A">
        <w:rPr>
          <w:sz w:val="24"/>
        </w:rPr>
        <w:t>;</w:t>
      </w:r>
    </w:p>
    <w:p w:rsidRPr="002F411A" w:rsidR="00391D7C" w:rsidP="002F411A" w:rsidRDefault="00391D7C" w14:paraId="27327A21" w14:textId="0048D828">
      <w:pPr>
        <w:pStyle w:val="ListParagraph"/>
        <w:numPr>
          <w:ilvl w:val="0"/>
          <w:numId w:val="6"/>
        </w:numPr>
        <w:tabs>
          <w:tab w:val="clear" w:pos="9360"/>
        </w:tabs>
        <w:spacing w:line="240" w:lineRule="auto"/>
        <w:ind w:left="1440"/>
        <w:rPr>
          <w:sz w:val="24"/>
        </w:rPr>
      </w:pPr>
      <w:r w:rsidRPr="002F411A">
        <w:rPr>
          <w:sz w:val="24"/>
        </w:rPr>
        <w:t>Identify resources needed or other CDC support for STLT public health agencies to effectively assess and respond to cancer cluster inquiries</w:t>
      </w:r>
      <w:r w:rsidR="002F411A">
        <w:rPr>
          <w:sz w:val="24"/>
        </w:rPr>
        <w:t>.</w:t>
      </w:r>
    </w:p>
    <w:p w:rsidR="00BD4599" w:rsidP="00383542" w:rsidRDefault="00BD4599" w14:paraId="4F1991DB" w14:textId="77777777">
      <w:pPr>
        <w:ind w:left="0"/>
        <w:rPr>
          <w:lang w:eastAsia="zh-CN"/>
        </w:rPr>
      </w:pPr>
    </w:p>
    <w:p w:rsidR="00BD4599" w:rsidP="00675F9A" w:rsidRDefault="00BD4599" w14:paraId="22FD540E" w14:textId="77777777">
      <w:pPr>
        <w:pStyle w:val="ListParagraph"/>
        <w:ind w:left="360"/>
        <w:rPr>
          <w:lang w:eastAsia="zh-CN"/>
        </w:rPr>
      </w:pPr>
    </w:p>
    <w:p w:rsidRPr="00B47055" w:rsidR="00B12F51" w:rsidP="00692DEB" w:rsidRDefault="00B47055" w14:paraId="6B8E5A3A" w14:textId="77777777">
      <w:pPr>
        <w:pStyle w:val="Heading4"/>
      </w:pPr>
      <w:bookmarkStart w:name="_Toc427752820" w:id="12"/>
      <w:r w:rsidRPr="00B47055">
        <w:t>Special Circumstances Relating to the Guidelines of 5 CFR 1320.5</w:t>
      </w:r>
      <w:bookmarkEnd w:id="12"/>
    </w:p>
    <w:p w:rsidRPr="002F411A" w:rsidR="00F52BCC" w:rsidP="007B7C44" w:rsidRDefault="00A809AA" w14:paraId="4F28454D" w14:textId="77777777">
      <w:pPr>
        <w:ind w:left="360"/>
        <w:rPr>
          <w:sz w:val="24"/>
        </w:rPr>
      </w:pPr>
      <w:r w:rsidRPr="002F411A">
        <w:rPr>
          <w:sz w:val="24"/>
        </w:rPr>
        <w:t xml:space="preserve">There are no special circumstances with this </w:t>
      </w:r>
      <w:r w:rsidRPr="002F411A" w:rsidR="002E2EDD">
        <w:rPr>
          <w:sz w:val="24"/>
        </w:rPr>
        <w:t>data</w:t>
      </w:r>
      <w:r w:rsidRPr="002F411A">
        <w:rPr>
          <w:sz w:val="24"/>
        </w:rPr>
        <w:t xml:space="preserve"> collection package. </w:t>
      </w:r>
      <w:r w:rsidRPr="002F411A" w:rsidR="00835CA7">
        <w:rPr>
          <w:sz w:val="24"/>
        </w:rPr>
        <w:t>This request fully complies with the regulation 5 CFR 1320.5</w:t>
      </w:r>
      <w:r w:rsidRPr="002F411A" w:rsidR="00D95FBF">
        <w:rPr>
          <w:sz w:val="24"/>
        </w:rPr>
        <w:t xml:space="preserve"> and will be voluntary</w:t>
      </w:r>
      <w:r w:rsidRPr="002F411A" w:rsidR="00835CA7">
        <w:rPr>
          <w:sz w:val="24"/>
        </w:rPr>
        <w:t>.</w:t>
      </w:r>
    </w:p>
    <w:p w:rsidR="00F52BCC" w:rsidP="00675F9A" w:rsidRDefault="00F52BCC" w14:paraId="56F779E8" w14:textId="77777777">
      <w:pPr>
        <w:ind w:left="360"/>
      </w:pPr>
    </w:p>
    <w:p w:rsidR="00383542" w:rsidP="00383542" w:rsidRDefault="00383542" w14:paraId="6F0C9870" w14:textId="77777777">
      <w:pPr>
        <w:ind w:left="0"/>
      </w:pPr>
    </w:p>
    <w:p w:rsidRPr="0088467A" w:rsidR="00B12F51" w:rsidP="00692DEB" w:rsidRDefault="0088467A" w14:paraId="5140F4C0" w14:textId="77777777">
      <w:pPr>
        <w:pStyle w:val="Heading4"/>
      </w:pPr>
      <w:bookmarkStart w:name="_Toc427752821" w:id="13"/>
      <w:r w:rsidRPr="0088467A">
        <w:t>Comments in Response to the Federal Register Notice and Efforts to Consult Outside the Agency</w:t>
      </w:r>
      <w:bookmarkEnd w:id="13"/>
    </w:p>
    <w:p w:rsidRPr="00AC784A" w:rsidR="00A809AA" w:rsidP="007B7C44" w:rsidRDefault="00C768E5" w14:paraId="43FA5187" w14:textId="77777777">
      <w:pPr>
        <w:ind w:left="360"/>
        <w:rPr>
          <w:color w:val="FF0000"/>
          <w:sz w:val="24"/>
        </w:rPr>
      </w:pPr>
      <w:r w:rsidRPr="00AC784A">
        <w:rPr>
          <w:sz w:val="24"/>
        </w:rPr>
        <w:t xml:space="preserve">This </w:t>
      </w:r>
      <w:r w:rsidRPr="00AC784A" w:rsidR="002E2EDD">
        <w:rPr>
          <w:sz w:val="24"/>
        </w:rPr>
        <w:t>data</w:t>
      </w:r>
      <w:r w:rsidRPr="00AC784A" w:rsidR="00157413">
        <w:rPr>
          <w:sz w:val="24"/>
        </w:rPr>
        <w:t xml:space="preserve"> collection</w:t>
      </w:r>
      <w:r w:rsidRPr="00AC784A">
        <w:rPr>
          <w:sz w:val="24"/>
        </w:rPr>
        <w:t xml:space="preserve"> is being conducted using the Generic Information Collection mecha</w:t>
      </w:r>
      <w:r w:rsidRPr="00AC784A" w:rsidR="00157413">
        <w:rPr>
          <w:sz w:val="24"/>
        </w:rPr>
        <w:t xml:space="preserve">nism of the </w:t>
      </w:r>
      <w:r w:rsidRPr="00AC784A" w:rsidR="00614CAE">
        <w:rPr>
          <w:sz w:val="24"/>
        </w:rPr>
        <w:t>CSTLTS Generic</w:t>
      </w:r>
      <w:r w:rsidRPr="00AC784A" w:rsidR="00925CD1">
        <w:rPr>
          <w:sz w:val="24"/>
        </w:rPr>
        <w:t xml:space="preserve"> Information Collection Service</w:t>
      </w:r>
      <w:r w:rsidRPr="00AC784A">
        <w:rPr>
          <w:sz w:val="24"/>
        </w:rPr>
        <w:t xml:space="preserve"> (</w:t>
      </w:r>
      <w:r w:rsidRPr="00AC784A" w:rsidR="00614CAE">
        <w:rPr>
          <w:sz w:val="24"/>
        </w:rPr>
        <w:t>CSTLTS Generic</w:t>
      </w:r>
      <w:r w:rsidRPr="00AC784A">
        <w:rPr>
          <w:sz w:val="24"/>
        </w:rPr>
        <w:t xml:space="preserve">) – OMB No. 0920-0879. </w:t>
      </w:r>
      <w:r w:rsidRPr="00AC784A" w:rsidR="00D21203">
        <w:rPr>
          <w:sz w:val="24"/>
        </w:rPr>
        <w:t>A 60-day Federal Register Notice was published in the Federal Register on April 27, 2017, Vol. 82, No. 80, pp 19371-19373.  One non-substantive comment was received.  CDC sent forward the standard CDC response.</w:t>
      </w:r>
    </w:p>
    <w:p w:rsidRPr="00AC784A" w:rsidR="00A809AA" w:rsidP="00692DEB" w:rsidRDefault="00A809AA" w14:paraId="75167178" w14:textId="77777777">
      <w:pPr>
        <w:ind w:left="0"/>
        <w:rPr>
          <w:sz w:val="24"/>
        </w:rPr>
      </w:pPr>
    </w:p>
    <w:p w:rsidRPr="00AC784A" w:rsidR="00A809AA" w:rsidP="007B7C44" w:rsidRDefault="00A809AA" w14:paraId="790C0918" w14:textId="77777777">
      <w:pPr>
        <w:ind w:left="360"/>
        <w:rPr>
          <w:sz w:val="24"/>
        </w:rPr>
      </w:pPr>
      <w:r w:rsidRPr="00AC784A">
        <w:rPr>
          <w:sz w:val="24"/>
        </w:rPr>
        <w:lastRenderedPageBreak/>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Pr="00A809AA" w:rsidR="00675F9A" w:rsidP="007B7C44" w:rsidRDefault="00675F9A" w14:paraId="5DC5CB56" w14:textId="77777777">
      <w:pPr>
        <w:ind w:left="360"/>
      </w:pPr>
    </w:p>
    <w:p w:rsidRPr="00A809AA" w:rsidR="00F52BCC" w:rsidP="00675F9A" w:rsidRDefault="00F52BCC" w14:paraId="0816988F" w14:textId="77777777">
      <w:pPr>
        <w:ind w:left="360"/>
      </w:pPr>
    </w:p>
    <w:p w:rsidRPr="0088467A" w:rsidR="00B12F51" w:rsidP="00692DEB" w:rsidRDefault="0088467A" w14:paraId="65E75228" w14:textId="77777777">
      <w:pPr>
        <w:pStyle w:val="Heading4"/>
      </w:pPr>
      <w:bookmarkStart w:name="_Toc427752822" w:id="14"/>
      <w:r w:rsidRPr="0088467A">
        <w:t>Explanation of Any Payment or Gift to Respondents</w:t>
      </w:r>
      <w:bookmarkEnd w:id="14"/>
    </w:p>
    <w:p w:rsidRPr="00AC784A" w:rsidR="00675F9A" w:rsidP="005212E5" w:rsidRDefault="00A809AA" w14:paraId="7647A8D0" w14:textId="77777777">
      <w:pPr>
        <w:ind w:left="360"/>
        <w:rPr>
          <w:sz w:val="24"/>
        </w:rPr>
      </w:pPr>
      <w:r w:rsidRPr="00AC784A">
        <w:rPr>
          <w:sz w:val="24"/>
        </w:rPr>
        <w:t>CDC will not provide p</w:t>
      </w:r>
      <w:r w:rsidRPr="00AC784A" w:rsidR="00D26A64">
        <w:rPr>
          <w:sz w:val="24"/>
        </w:rPr>
        <w:t>ayments or gifts to respondents.</w:t>
      </w:r>
    </w:p>
    <w:p w:rsidR="006A09E0" w:rsidP="005212E5" w:rsidRDefault="006A09E0" w14:paraId="36241D10" w14:textId="77777777">
      <w:pPr>
        <w:ind w:left="360"/>
      </w:pPr>
    </w:p>
    <w:p w:rsidR="00C4416B" w:rsidP="005212E5" w:rsidRDefault="00C4416B" w14:paraId="227BBF10" w14:textId="77777777">
      <w:pPr>
        <w:ind w:left="360"/>
      </w:pPr>
    </w:p>
    <w:p w:rsidRPr="00D16E78" w:rsidR="00B12F51" w:rsidP="00692DEB" w:rsidRDefault="0088467A" w14:paraId="005D90E6" w14:textId="77777777">
      <w:pPr>
        <w:pStyle w:val="Heading4"/>
      </w:pPr>
      <w:r>
        <w:t xml:space="preserve"> </w:t>
      </w:r>
      <w:bookmarkStart w:name="_Toc427752823" w:id="15"/>
      <w:r w:rsidRPr="009D5927" w:rsidR="009D5927">
        <w:t>Protection of the Privacy and Confidentiality of Information Provided by Respondents</w:t>
      </w:r>
      <w:bookmarkEnd w:id="15"/>
    </w:p>
    <w:p w:rsidRPr="00AC784A" w:rsidR="003C31C9" w:rsidP="006A09E0" w:rsidRDefault="003C31C9" w14:paraId="208C70FE" w14:textId="77777777">
      <w:pPr>
        <w:ind w:left="360"/>
        <w:rPr>
          <w:sz w:val="24"/>
        </w:rPr>
      </w:pPr>
      <w:r w:rsidRPr="00AC784A">
        <w:rPr>
          <w:sz w:val="24"/>
        </w:rPr>
        <w:t xml:space="preserve">The Privacy Act does not apply to this </w:t>
      </w:r>
      <w:r w:rsidRPr="00AC784A" w:rsidR="002E2EDD">
        <w:rPr>
          <w:sz w:val="24"/>
        </w:rPr>
        <w:t>data</w:t>
      </w:r>
      <w:r w:rsidRPr="00AC784A" w:rsidR="00157413">
        <w:rPr>
          <w:sz w:val="24"/>
        </w:rPr>
        <w:t xml:space="preserve"> collection</w:t>
      </w:r>
      <w:r w:rsidRPr="00AC784A">
        <w:rPr>
          <w:sz w:val="24"/>
        </w:rPr>
        <w:t xml:space="preserve">.  </w:t>
      </w:r>
      <w:r w:rsidRPr="00AC784A" w:rsidR="007F5776">
        <w:rPr>
          <w:sz w:val="24"/>
        </w:rPr>
        <w:t xml:space="preserve">STLT governmental staff and / or delegates </w:t>
      </w:r>
      <w:r w:rsidRPr="00AC784A">
        <w:rPr>
          <w:sz w:val="24"/>
        </w:rPr>
        <w:t>will be speaking from their official roles</w:t>
      </w:r>
      <w:r w:rsidRPr="00AC784A" w:rsidR="00D06816">
        <w:rPr>
          <w:sz w:val="24"/>
        </w:rPr>
        <w:t xml:space="preserve">.  </w:t>
      </w:r>
      <w:r w:rsidRPr="00AC784A">
        <w:rPr>
          <w:sz w:val="24"/>
        </w:rPr>
        <w:t xml:space="preserve"> </w:t>
      </w:r>
    </w:p>
    <w:p w:rsidRPr="003C31C9" w:rsidR="006A09E0" w:rsidP="006A09E0" w:rsidRDefault="006A09E0" w14:paraId="46D784E9" w14:textId="77777777">
      <w:pPr>
        <w:ind w:left="360"/>
      </w:pPr>
    </w:p>
    <w:p w:rsidR="002E2EDD" w:rsidP="00383542" w:rsidRDefault="002E2EDD" w14:paraId="5512AF31" w14:textId="77777777">
      <w:pPr>
        <w:ind w:left="0"/>
      </w:pPr>
    </w:p>
    <w:p w:rsidRPr="0088467A" w:rsidR="00B12F51" w:rsidP="00692DEB" w:rsidRDefault="009D5927" w14:paraId="1A23A7CB" w14:textId="77777777">
      <w:pPr>
        <w:pStyle w:val="Heading4"/>
      </w:pPr>
      <w:bookmarkStart w:name="_Toc427752824" w:id="16"/>
      <w:r w:rsidRPr="009D5927">
        <w:t>Institutional Review Board (IRB) and Justification for Sensitive Questions</w:t>
      </w:r>
      <w:bookmarkEnd w:id="16"/>
    </w:p>
    <w:p w:rsidRPr="004A662E" w:rsidR="002A1CF5" w:rsidP="002A1CF5" w:rsidRDefault="003C31C9" w14:paraId="64E8DCE1" w14:textId="77777777">
      <w:pPr>
        <w:ind w:left="360"/>
        <w:rPr>
          <w:sz w:val="24"/>
        </w:rPr>
      </w:pPr>
      <w:r w:rsidRPr="004A662E">
        <w:rPr>
          <w:sz w:val="24"/>
        </w:rPr>
        <w:t>No information will be collected</w:t>
      </w:r>
      <w:r w:rsidRPr="004A662E" w:rsidR="00616090">
        <w:rPr>
          <w:sz w:val="24"/>
        </w:rPr>
        <w:t xml:space="preserve"> that are of personal or sensitive nature</w:t>
      </w:r>
      <w:r w:rsidRPr="004A662E" w:rsidR="00D26A64">
        <w:rPr>
          <w:sz w:val="24"/>
        </w:rPr>
        <w:t>.</w:t>
      </w:r>
      <w:r w:rsidRPr="004A662E" w:rsidR="002A1CF5">
        <w:rPr>
          <w:sz w:val="24"/>
        </w:rPr>
        <w:t xml:space="preserve"> This data collection is not research involving human subjects.</w:t>
      </w:r>
    </w:p>
    <w:p w:rsidR="00F52BCC" w:rsidP="008B65FF" w:rsidRDefault="00F52BCC" w14:paraId="546E7E2D" w14:textId="77777777">
      <w:pPr>
        <w:ind w:left="360"/>
      </w:pPr>
    </w:p>
    <w:p w:rsidRPr="0088467A" w:rsidR="00E20294" w:rsidP="005D6F14" w:rsidRDefault="00E20294" w14:paraId="3AEAB934" w14:textId="77777777"/>
    <w:p w:rsidRPr="0088467A" w:rsidR="00B64BFA" w:rsidP="00692DEB" w:rsidRDefault="0088467A" w14:paraId="59CFD11D" w14:textId="77777777">
      <w:pPr>
        <w:pStyle w:val="Heading4"/>
      </w:pPr>
      <w:bookmarkStart w:name="_Toc427752825" w:id="17"/>
      <w:r w:rsidRPr="0088467A">
        <w:t>Estimates of Annualized Burden Hours and Costs</w:t>
      </w:r>
      <w:bookmarkEnd w:id="17"/>
    </w:p>
    <w:p w:rsidR="004A662E" w:rsidP="008B65FF" w:rsidRDefault="004A662E" w14:paraId="0928E85B" w14:textId="36AB023A">
      <w:pPr>
        <w:ind w:left="360"/>
        <w:rPr>
          <w:rFonts w:cs="ITCFranklinGothicStd-DmCd"/>
          <w:sz w:val="24"/>
          <w:szCs w:val="24"/>
        </w:rPr>
      </w:pPr>
      <w:r>
        <w:rPr>
          <w:rFonts w:cs="ITCFranklinGothicStd-DmCd"/>
          <w:sz w:val="24"/>
          <w:szCs w:val="24"/>
        </w:rPr>
        <w:t xml:space="preserve">This collection includes two components: 1) electronic assessment of STLT public health agencies, and 2) virtual focus groups of multi-disciplinary STLT public health agency staff and professionals who are involved in assessing and responding to cancer cluster inquiries in their communities.  </w:t>
      </w:r>
    </w:p>
    <w:p w:rsidR="004A662E" w:rsidP="008B65FF" w:rsidRDefault="004A662E" w14:paraId="567B5ADB" w14:textId="77777777">
      <w:pPr>
        <w:ind w:left="360"/>
        <w:rPr>
          <w:rFonts w:cs="ITCFranklinGothicStd-DmCd"/>
          <w:sz w:val="24"/>
          <w:szCs w:val="24"/>
        </w:rPr>
      </w:pPr>
    </w:p>
    <w:p w:rsidR="000058E0" w:rsidP="008B65FF" w:rsidRDefault="000058E0" w14:paraId="14961B7B" w14:textId="3EC26894">
      <w:pPr>
        <w:ind w:left="360"/>
        <w:rPr>
          <w:sz w:val="24"/>
        </w:rPr>
      </w:pPr>
      <w:r w:rsidRPr="004A662E">
        <w:rPr>
          <w:color w:val="000000"/>
          <w:sz w:val="24"/>
        </w:rPr>
        <w:t xml:space="preserve">The estimate for burden hours </w:t>
      </w:r>
      <w:r w:rsidR="004A662E">
        <w:rPr>
          <w:color w:val="000000"/>
          <w:sz w:val="24"/>
        </w:rPr>
        <w:t xml:space="preserve">of the electronic assessment </w:t>
      </w:r>
      <w:r w:rsidRPr="004A662E">
        <w:rPr>
          <w:color w:val="000000"/>
          <w:sz w:val="24"/>
        </w:rPr>
        <w:t xml:space="preserve">is based on a pilot test of </w:t>
      </w:r>
      <w:r w:rsidRPr="004A662E">
        <w:rPr>
          <w:sz w:val="24"/>
        </w:rPr>
        <w:t xml:space="preserve">the </w:t>
      </w:r>
      <w:r w:rsidRPr="004A662E" w:rsidR="002E2EDD">
        <w:rPr>
          <w:sz w:val="24"/>
        </w:rPr>
        <w:t>data</w:t>
      </w:r>
      <w:r w:rsidRPr="004A662E">
        <w:rPr>
          <w:sz w:val="24"/>
        </w:rPr>
        <w:t xml:space="preserve"> collection instrument </w:t>
      </w:r>
      <w:r w:rsidRPr="004A662E">
        <w:rPr>
          <w:color w:val="000000"/>
          <w:sz w:val="24"/>
        </w:rPr>
        <w:t xml:space="preserve">by </w:t>
      </w:r>
      <w:r w:rsidRPr="004A662E" w:rsidR="004A662E">
        <w:rPr>
          <w:sz w:val="24"/>
        </w:rPr>
        <w:t>five</w:t>
      </w:r>
      <w:r w:rsidRPr="004A662E">
        <w:rPr>
          <w:sz w:val="24"/>
        </w:rPr>
        <w:t xml:space="preserve"> public health professionals. In the pilot test, the average time to complete the instrument including time for reviewing instructions, gathering needed information and completing the instrument, was </w:t>
      </w:r>
      <w:r w:rsidRPr="00EA28F4">
        <w:rPr>
          <w:sz w:val="24"/>
        </w:rPr>
        <w:t xml:space="preserve">approximately </w:t>
      </w:r>
      <w:r w:rsidR="00AC784A">
        <w:rPr>
          <w:sz w:val="24"/>
        </w:rPr>
        <w:t>25</w:t>
      </w:r>
      <w:r w:rsidRPr="00EA28F4" w:rsidR="00EA28F4">
        <w:rPr>
          <w:sz w:val="24"/>
        </w:rPr>
        <w:t xml:space="preserve"> </w:t>
      </w:r>
      <w:r w:rsidRPr="004A662E">
        <w:rPr>
          <w:sz w:val="24"/>
        </w:rPr>
        <w:t>minutes</w:t>
      </w:r>
      <w:r w:rsidRPr="004A662E" w:rsidR="00A242DB">
        <w:rPr>
          <w:sz w:val="24"/>
        </w:rPr>
        <w:t xml:space="preserve"> (range:</w:t>
      </w:r>
      <w:r w:rsidR="00EA28F4">
        <w:rPr>
          <w:sz w:val="24"/>
        </w:rPr>
        <w:t xml:space="preserve"> </w:t>
      </w:r>
      <w:r w:rsidR="00AC784A">
        <w:rPr>
          <w:sz w:val="24"/>
        </w:rPr>
        <w:t>2</w:t>
      </w:r>
      <w:r w:rsidR="00EA28F4">
        <w:rPr>
          <w:sz w:val="24"/>
        </w:rPr>
        <w:t xml:space="preserve">0 - </w:t>
      </w:r>
      <w:r w:rsidR="00AC784A">
        <w:rPr>
          <w:sz w:val="24"/>
        </w:rPr>
        <w:t>30</w:t>
      </w:r>
      <w:r w:rsidRPr="004A662E" w:rsidR="00721719">
        <w:rPr>
          <w:sz w:val="24"/>
        </w:rPr>
        <w:t>)</w:t>
      </w:r>
      <w:r w:rsidRPr="004A662E">
        <w:rPr>
          <w:sz w:val="24"/>
        </w:rPr>
        <w:t xml:space="preserve">. For the purposes of estimating burden hours, the upper limit of this range (i.e., </w:t>
      </w:r>
      <w:r w:rsidR="00AC784A">
        <w:rPr>
          <w:sz w:val="24"/>
        </w:rPr>
        <w:t>30</w:t>
      </w:r>
      <w:r w:rsidRPr="004A662E" w:rsidR="008C59E7">
        <w:rPr>
          <w:color w:val="0070C0"/>
          <w:sz w:val="24"/>
        </w:rPr>
        <w:t xml:space="preserve"> </w:t>
      </w:r>
      <w:r w:rsidRPr="004A662E">
        <w:rPr>
          <w:sz w:val="24"/>
        </w:rPr>
        <w:t>minutes) is used.</w:t>
      </w:r>
      <w:r w:rsidR="00715E27">
        <w:rPr>
          <w:sz w:val="24"/>
        </w:rPr>
        <w:t xml:space="preserve">  </w:t>
      </w:r>
    </w:p>
    <w:p w:rsidR="00CF24D7" w:rsidP="008B65FF" w:rsidRDefault="00CF24D7" w14:paraId="2B159F9C" w14:textId="7798FFE8">
      <w:pPr>
        <w:ind w:left="360"/>
        <w:rPr>
          <w:sz w:val="24"/>
        </w:rPr>
      </w:pPr>
    </w:p>
    <w:p w:rsidRPr="004A662E" w:rsidR="00CF24D7" w:rsidP="008B65FF" w:rsidRDefault="008A1C3D" w14:paraId="439E5820" w14:textId="13A8E67E">
      <w:pPr>
        <w:ind w:left="360"/>
        <w:rPr>
          <w:color w:val="000000"/>
          <w:sz w:val="24"/>
        </w:rPr>
      </w:pPr>
      <w:r>
        <w:rPr>
          <w:sz w:val="24"/>
        </w:rPr>
        <w:t>The estimate for burden hours of the focus group virtual interview is based on a</w:t>
      </w:r>
      <w:r w:rsidR="009A0F66">
        <w:rPr>
          <w:sz w:val="24"/>
        </w:rPr>
        <w:t xml:space="preserve"> subject matter expert review conducted by </w:t>
      </w:r>
      <w:r w:rsidR="00340867">
        <w:rPr>
          <w:sz w:val="24"/>
        </w:rPr>
        <w:t>three</w:t>
      </w:r>
      <w:r w:rsidR="00A97CC0">
        <w:rPr>
          <w:sz w:val="24"/>
        </w:rPr>
        <w:t xml:space="preserve"> public health professionals. </w:t>
      </w:r>
      <w:r w:rsidR="00A44088">
        <w:rPr>
          <w:sz w:val="24"/>
        </w:rPr>
        <w:t xml:space="preserve">In the review, the average time determined to complete the </w:t>
      </w:r>
      <w:r w:rsidR="00E35C4B">
        <w:rPr>
          <w:sz w:val="24"/>
        </w:rPr>
        <w:t xml:space="preserve">focus group interviews was determined by </w:t>
      </w:r>
      <w:r w:rsidR="00F36D25">
        <w:rPr>
          <w:sz w:val="24"/>
        </w:rPr>
        <w:lastRenderedPageBreak/>
        <w:t xml:space="preserve">subject matter experts to be approximately </w:t>
      </w:r>
      <w:r w:rsidR="00340867">
        <w:rPr>
          <w:sz w:val="24"/>
        </w:rPr>
        <w:t>90</w:t>
      </w:r>
      <w:r w:rsidR="00F36D25">
        <w:rPr>
          <w:sz w:val="24"/>
        </w:rPr>
        <w:t xml:space="preserve"> minutes. For the purpose of estimating burden hours, </w:t>
      </w:r>
      <w:r w:rsidR="00340867">
        <w:rPr>
          <w:sz w:val="24"/>
        </w:rPr>
        <w:t>90</w:t>
      </w:r>
      <w:r w:rsidR="00855BF5">
        <w:rPr>
          <w:sz w:val="24"/>
        </w:rPr>
        <w:t xml:space="preserve"> minutes is used. </w:t>
      </w:r>
    </w:p>
    <w:p w:rsidR="000058E0" w:rsidP="000058E0" w:rsidRDefault="000058E0" w14:paraId="5DA8FE45" w14:textId="2C4A284A">
      <w:pPr>
        <w:ind w:left="0"/>
        <w:rPr>
          <w:sz w:val="24"/>
        </w:rPr>
      </w:pPr>
    </w:p>
    <w:p w:rsidRPr="00254771" w:rsidR="00254771" w:rsidP="000058E0" w:rsidRDefault="00254771" w14:paraId="33F87653" w14:textId="36E7B867">
      <w:pPr>
        <w:ind w:left="0"/>
        <w:rPr>
          <w:sz w:val="24"/>
          <w:u w:val="single"/>
        </w:rPr>
      </w:pPr>
      <w:r>
        <w:rPr>
          <w:sz w:val="24"/>
        </w:rPr>
        <w:t xml:space="preserve">       </w:t>
      </w:r>
      <w:r w:rsidRPr="00254771">
        <w:rPr>
          <w:sz w:val="24"/>
          <w:u w:val="single"/>
        </w:rPr>
        <w:t>Electronic Assessment:</w:t>
      </w:r>
    </w:p>
    <w:p w:rsidR="00254771" w:rsidP="008B65FF" w:rsidRDefault="008C408E" w14:paraId="7FF50EBC" w14:textId="132E22BA">
      <w:pPr>
        <w:ind w:left="360"/>
        <w:rPr>
          <w:sz w:val="24"/>
        </w:rPr>
      </w:pPr>
      <w:r w:rsidRPr="004A662E">
        <w:rPr>
          <w:sz w:val="24"/>
        </w:rPr>
        <w:t>Estimates for the average hourly wage for respondents are based on the Department of Labor (DOL) Bureau of Labor Statisti</w:t>
      </w:r>
      <w:r w:rsidRPr="004A662E" w:rsidR="008F3D10">
        <w:rPr>
          <w:sz w:val="24"/>
        </w:rPr>
        <w:t xml:space="preserve">cs for occupational employment </w:t>
      </w:r>
      <w:r w:rsidRPr="004A662E">
        <w:rPr>
          <w:sz w:val="24"/>
        </w:rPr>
        <w:t>fo</w:t>
      </w:r>
      <w:r w:rsidR="00974243">
        <w:rPr>
          <w:sz w:val="24"/>
        </w:rPr>
        <w:t xml:space="preserve">r epidemiologists </w:t>
      </w:r>
      <w:hyperlink w:history="1" r:id="rId15">
        <w:r w:rsidRPr="008752AC" w:rsidR="00974243">
          <w:rPr>
            <w:rStyle w:val="Hyperlink"/>
            <w:sz w:val="24"/>
            <w:szCs w:val="24"/>
          </w:rPr>
          <w:t>https://www.bls.gov/ooh/life-physical-and-social-science/epidemiologists.htm</w:t>
        </w:r>
      </w:hyperlink>
      <w:r w:rsidRPr="004A662E">
        <w:rPr>
          <w:sz w:val="24"/>
        </w:rPr>
        <w:t xml:space="preserve">.  </w:t>
      </w:r>
      <w:r w:rsidRPr="004A662E" w:rsidR="000058E0">
        <w:rPr>
          <w:sz w:val="24"/>
        </w:rPr>
        <w:t xml:space="preserve">Based on DOL data, an average hourly wage </w:t>
      </w:r>
      <w:r w:rsidRPr="00DB121D" w:rsidR="000058E0">
        <w:rPr>
          <w:sz w:val="24"/>
        </w:rPr>
        <w:t>of</w:t>
      </w:r>
      <w:r w:rsidRPr="00DB121D" w:rsidR="00974243">
        <w:rPr>
          <w:sz w:val="24"/>
        </w:rPr>
        <w:t xml:space="preserve"> $33.49</w:t>
      </w:r>
      <w:r w:rsidRPr="00DB121D" w:rsidR="000058E0">
        <w:rPr>
          <w:sz w:val="24"/>
        </w:rPr>
        <w:t xml:space="preserve"> is estimated for </w:t>
      </w:r>
      <w:r w:rsidRPr="00DB121D" w:rsidR="00974243">
        <w:rPr>
          <w:sz w:val="24"/>
        </w:rPr>
        <w:t>the 3,0</w:t>
      </w:r>
      <w:r w:rsidRPr="00DB121D" w:rsidR="00EA28F4">
        <w:rPr>
          <w:sz w:val="24"/>
        </w:rPr>
        <w:t>7</w:t>
      </w:r>
      <w:r w:rsidRPr="00DB121D" w:rsidR="00974243">
        <w:rPr>
          <w:sz w:val="24"/>
        </w:rPr>
        <w:t>0</w:t>
      </w:r>
      <w:r w:rsidRPr="00DB121D" w:rsidR="000058E0">
        <w:rPr>
          <w:color w:val="0070C0"/>
          <w:sz w:val="24"/>
        </w:rPr>
        <w:t xml:space="preserve"> </w:t>
      </w:r>
      <w:r w:rsidRPr="00DB121D" w:rsidR="000058E0">
        <w:rPr>
          <w:sz w:val="24"/>
        </w:rPr>
        <w:t>respondents</w:t>
      </w:r>
      <w:r w:rsidRPr="00DB121D" w:rsidR="00974243">
        <w:rPr>
          <w:sz w:val="24"/>
        </w:rPr>
        <w:t xml:space="preserve"> who will complete the electronic assessment</w:t>
      </w:r>
      <w:r w:rsidRPr="00DB121D" w:rsidR="000058E0">
        <w:rPr>
          <w:sz w:val="24"/>
        </w:rPr>
        <w:t>.</w:t>
      </w:r>
      <w:r w:rsidRPr="004A662E" w:rsidR="000058E0">
        <w:rPr>
          <w:sz w:val="24"/>
        </w:rPr>
        <w:t xml:space="preserve"> </w:t>
      </w:r>
    </w:p>
    <w:p w:rsidR="00254771" w:rsidP="00DB121D" w:rsidRDefault="00254771" w14:paraId="1BB5F597" w14:textId="180A6BA1">
      <w:pPr>
        <w:ind w:left="360"/>
        <w:rPr>
          <w:sz w:val="24"/>
        </w:rPr>
      </w:pPr>
      <w:r w:rsidRPr="00DB121D">
        <w:rPr>
          <w:sz w:val="24"/>
        </w:rPr>
        <w:t xml:space="preserve">To account for potential increases due to the COVID- 19 response, the hourly wage rate has been doubled to $66.98 to account for fringe benefits and overhead </w:t>
      </w:r>
      <w:r w:rsidRPr="00DB121D">
        <w:rPr>
          <w:sz w:val="24"/>
          <w:szCs w:val="24"/>
        </w:rPr>
        <w:t>(</w:t>
      </w:r>
      <w:hyperlink w:history="1" r:id="rId16">
        <w:r w:rsidRPr="00DB121D">
          <w:rPr>
            <w:rStyle w:val="Hyperlink"/>
            <w:sz w:val="24"/>
            <w:szCs w:val="24"/>
          </w:rPr>
          <w:t>https://aspe.hhs.gov/pdf-report/guidelines-regulatory-impact-analysis</w:t>
        </w:r>
      </w:hyperlink>
      <w:r w:rsidRPr="00DB121D">
        <w:rPr>
          <w:sz w:val="24"/>
          <w:szCs w:val="24"/>
        </w:rPr>
        <w:t>).</w:t>
      </w:r>
    </w:p>
    <w:p w:rsidR="00254771" w:rsidP="008B65FF" w:rsidRDefault="00254771" w14:paraId="6BF6F3A3" w14:textId="77777777">
      <w:pPr>
        <w:ind w:left="360"/>
        <w:rPr>
          <w:sz w:val="24"/>
        </w:rPr>
      </w:pPr>
    </w:p>
    <w:p w:rsidRPr="00254771" w:rsidR="00254771" w:rsidP="008B65FF" w:rsidRDefault="00254771" w14:paraId="56556F74" w14:textId="7EDEE5D5">
      <w:pPr>
        <w:ind w:left="360"/>
        <w:rPr>
          <w:sz w:val="24"/>
          <w:u w:val="single"/>
        </w:rPr>
      </w:pPr>
      <w:r w:rsidRPr="00254771">
        <w:rPr>
          <w:sz w:val="24"/>
          <w:u w:val="single"/>
        </w:rPr>
        <w:t>Focus Groups:</w:t>
      </w:r>
    </w:p>
    <w:p w:rsidR="00254771" w:rsidP="00254771" w:rsidRDefault="00974243" w14:paraId="792575BD" w14:textId="739564EA">
      <w:pPr>
        <w:ind w:left="360"/>
        <w:rPr>
          <w:sz w:val="24"/>
        </w:rPr>
      </w:pPr>
      <w:r w:rsidRPr="00974243">
        <w:rPr>
          <w:sz w:val="24"/>
        </w:rPr>
        <w:t>Focus group participants will encompass a wide range of occupations within STLT public health agencies, including epidemiologists, cancer registry administrators, and communicators.</w:t>
      </w:r>
      <w:r w:rsidR="004203C7">
        <w:rPr>
          <w:sz w:val="24"/>
        </w:rPr>
        <w:t xml:space="preserve"> Focus group participants will include staff who</w:t>
      </w:r>
      <w:r w:rsidR="003C53F1">
        <w:rPr>
          <w:sz w:val="24"/>
        </w:rPr>
        <w:t xml:space="preserve"> are</w:t>
      </w:r>
      <w:r w:rsidR="004203C7">
        <w:rPr>
          <w:sz w:val="24"/>
        </w:rPr>
        <w:t xml:space="preserve"> involved in assessing and responding to cancer cluster inquiries in their health departments. </w:t>
      </w:r>
      <w:r w:rsidRPr="00974243">
        <w:rPr>
          <w:sz w:val="24"/>
        </w:rPr>
        <w:t xml:space="preserve"> The hourly wage rate </w:t>
      </w:r>
      <w:r w:rsidR="0072226A">
        <w:rPr>
          <w:sz w:val="24"/>
        </w:rPr>
        <w:t xml:space="preserve">for focus group participants </w:t>
      </w:r>
      <w:r w:rsidRPr="00974243">
        <w:rPr>
          <w:sz w:val="24"/>
        </w:rPr>
        <w:t xml:space="preserve">was calculated by averaging the wage rates for </w:t>
      </w:r>
      <w:r w:rsidRPr="00DB121D">
        <w:rPr>
          <w:sz w:val="24"/>
        </w:rPr>
        <w:t>epidemiologists ($33.49 per</w:t>
      </w:r>
      <w:r w:rsidRPr="00974243">
        <w:rPr>
          <w:sz w:val="24"/>
        </w:rPr>
        <w:t xml:space="preserve"> hour, </w:t>
      </w:r>
      <w:hyperlink w:history="1" r:id="rId17">
        <w:r w:rsidRPr="007D08AC">
          <w:rPr>
            <w:rStyle w:val="Hyperlink"/>
            <w:sz w:val="24"/>
          </w:rPr>
          <w:t>https://www.bls.gov/ooh/life-physical-and-social-science/epidemiologists.htm</w:t>
        </w:r>
      </w:hyperlink>
      <w:r w:rsidRPr="00974243">
        <w:rPr>
          <w:sz w:val="24"/>
        </w:rPr>
        <w:t xml:space="preserve">), environmental </w:t>
      </w:r>
      <w:r w:rsidRPr="00DB121D">
        <w:rPr>
          <w:sz w:val="24"/>
        </w:rPr>
        <w:t>scientists ($34.20</w:t>
      </w:r>
      <w:r w:rsidRPr="00974243">
        <w:rPr>
          <w:sz w:val="24"/>
        </w:rPr>
        <w:t xml:space="preserve">/hour, </w:t>
      </w:r>
      <w:hyperlink w:history="1" r:id="rId18">
        <w:r w:rsidRPr="007D08AC">
          <w:rPr>
            <w:rStyle w:val="Hyperlink"/>
            <w:sz w:val="24"/>
          </w:rPr>
          <w:t>https://www.bls.gov/ooh/life-physical-and-social-science/environmental-scientists-and-specialists.htm</w:t>
        </w:r>
      </w:hyperlink>
      <w:r w:rsidRPr="00974243">
        <w:rPr>
          <w:sz w:val="24"/>
        </w:rPr>
        <w:t xml:space="preserve">), statisticians </w:t>
      </w:r>
      <w:r w:rsidRPr="00DB121D">
        <w:rPr>
          <w:sz w:val="24"/>
        </w:rPr>
        <w:t>($42.40 per</w:t>
      </w:r>
      <w:r w:rsidRPr="00974243">
        <w:rPr>
          <w:sz w:val="24"/>
        </w:rPr>
        <w:t xml:space="preserve"> hour, </w:t>
      </w:r>
      <w:hyperlink w:history="1" r:id="rId19">
        <w:r w:rsidRPr="007D08AC">
          <w:rPr>
            <w:rStyle w:val="Hyperlink"/>
            <w:sz w:val="24"/>
          </w:rPr>
          <w:t>https://www.bls.gov/ooh/math/mathematicians-and-statisticians.htm</w:t>
        </w:r>
      </w:hyperlink>
      <w:r w:rsidRPr="00974243">
        <w:rPr>
          <w:sz w:val="24"/>
        </w:rPr>
        <w:t xml:space="preserve">), and public relations specialists </w:t>
      </w:r>
      <w:r w:rsidRPr="00DB121D">
        <w:rPr>
          <w:sz w:val="24"/>
        </w:rPr>
        <w:t>($28.85</w:t>
      </w:r>
      <w:r w:rsidRPr="00974243">
        <w:rPr>
          <w:sz w:val="24"/>
        </w:rPr>
        <w:t xml:space="preserve"> per hour, </w:t>
      </w:r>
      <w:hyperlink w:history="1" r:id="rId20">
        <w:r w:rsidRPr="007D08AC">
          <w:rPr>
            <w:rStyle w:val="Hyperlink"/>
            <w:sz w:val="24"/>
          </w:rPr>
          <w:t>https://www.bls.gov/ooh/media-and-communication/public-relations-specialists.htm</w:t>
        </w:r>
      </w:hyperlink>
      <w:r w:rsidRPr="00974243">
        <w:rPr>
          <w:sz w:val="24"/>
        </w:rPr>
        <w:t>).</w:t>
      </w:r>
      <w:r w:rsidR="0072226A">
        <w:rPr>
          <w:sz w:val="24"/>
        </w:rPr>
        <w:t xml:space="preserve">  By averaging the hourly wage for the four occupations above, an average hourly wage rate </w:t>
      </w:r>
      <w:r w:rsidRPr="00DB121D" w:rsidR="0072226A">
        <w:rPr>
          <w:sz w:val="24"/>
        </w:rPr>
        <w:t>of $34.74</w:t>
      </w:r>
      <w:r w:rsidR="0072226A">
        <w:rPr>
          <w:sz w:val="24"/>
        </w:rPr>
        <w:t xml:space="preserve"> was calculated </w:t>
      </w:r>
      <w:r w:rsidR="00416821">
        <w:rPr>
          <w:sz w:val="24"/>
        </w:rPr>
        <w:t xml:space="preserve">and used for estimating </w:t>
      </w:r>
      <w:proofErr w:type="gramStart"/>
      <w:r w:rsidR="00416821">
        <w:rPr>
          <w:sz w:val="24"/>
        </w:rPr>
        <w:t>burden</w:t>
      </w:r>
      <w:r w:rsidR="009905D0">
        <w:rPr>
          <w:sz w:val="24"/>
        </w:rPr>
        <w:t>(</w:t>
      </w:r>
      <w:proofErr w:type="gramEnd"/>
      <w:r w:rsidR="0072226A">
        <w:rPr>
          <w:sz w:val="24"/>
        </w:rPr>
        <w:t>($33.49 + $34.20 + $42.40 + $28.85</w:t>
      </w:r>
      <w:r w:rsidR="009905D0">
        <w:rPr>
          <w:sz w:val="24"/>
        </w:rPr>
        <w:t xml:space="preserve">)/4 = $34.74). </w:t>
      </w:r>
    </w:p>
    <w:p w:rsidRPr="00297F4C" w:rsidR="00254771" w:rsidP="00416821" w:rsidRDefault="00416821" w14:paraId="08B1C906" w14:textId="3D0668BD">
      <w:pPr>
        <w:ind w:left="360" w:hanging="360"/>
        <w:rPr>
          <w:sz w:val="28"/>
          <w:szCs w:val="24"/>
        </w:rPr>
      </w:pPr>
      <w:r>
        <w:rPr>
          <w:sz w:val="24"/>
        </w:rPr>
        <w:tab/>
      </w:r>
      <w:r w:rsidRPr="00297F4C" w:rsidR="00254771">
        <w:rPr>
          <w:sz w:val="24"/>
          <w:szCs w:val="24"/>
        </w:rPr>
        <w:t>To account for potential increases due to the COVID- 19 response, the hourly wage rate has been doubled to $</w:t>
      </w:r>
      <w:r w:rsidRPr="00297F4C">
        <w:rPr>
          <w:sz w:val="24"/>
          <w:szCs w:val="24"/>
        </w:rPr>
        <w:t>69.48</w:t>
      </w:r>
      <w:r w:rsidRPr="00297F4C" w:rsidR="00254771">
        <w:rPr>
          <w:sz w:val="24"/>
          <w:szCs w:val="24"/>
        </w:rPr>
        <w:t xml:space="preserve"> to account for fringe benefits and overhead (</w:t>
      </w:r>
      <w:hyperlink w:history="1" r:id="rId21">
        <w:r w:rsidRPr="00297F4C" w:rsidR="00254771">
          <w:rPr>
            <w:rStyle w:val="Hyperlink"/>
            <w:sz w:val="24"/>
            <w:szCs w:val="24"/>
          </w:rPr>
          <w:t>https://aspe.hhs.gov/pdf-report/guidelines-regulatory-impact-analysis</w:t>
        </w:r>
      </w:hyperlink>
      <w:r w:rsidRPr="00297F4C" w:rsidR="00254771">
        <w:rPr>
          <w:sz w:val="24"/>
          <w:szCs w:val="24"/>
        </w:rPr>
        <w:t>).</w:t>
      </w:r>
    </w:p>
    <w:p w:rsidR="00254771" w:rsidP="00254771" w:rsidRDefault="00254771" w14:paraId="01E7AC44" w14:textId="77777777">
      <w:pPr>
        <w:ind w:left="360"/>
        <w:rPr>
          <w:sz w:val="24"/>
        </w:rPr>
      </w:pPr>
    </w:p>
    <w:p w:rsidRPr="004A662E" w:rsidR="00BB090C" w:rsidP="00254771" w:rsidRDefault="000058E0" w14:paraId="372F8CEF" w14:textId="61941335">
      <w:pPr>
        <w:ind w:left="360"/>
        <w:rPr>
          <w:sz w:val="24"/>
        </w:rPr>
      </w:pPr>
      <w:r w:rsidRPr="004A662E">
        <w:rPr>
          <w:sz w:val="24"/>
        </w:rPr>
        <w:t>Table A-12 shows estimated burden and cost information.</w:t>
      </w:r>
    </w:p>
    <w:p w:rsidRPr="004A662E" w:rsidR="00383542" w:rsidP="008B65FF" w:rsidRDefault="00383542" w14:paraId="363E8DEF" w14:textId="77777777">
      <w:pPr>
        <w:ind w:left="360"/>
        <w:rPr>
          <w:sz w:val="24"/>
        </w:rPr>
      </w:pPr>
    </w:p>
    <w:p w:rsidR="00383542" w:rsidP="00383542" w:rsidRDefault="00383542" w14:paraId="18D7CCE3" w14:textId="62FD165F">
      <w:pPr>
        <w:ind w:left="360"/>
        <w:rPr>
          <w:rFonts w:ascii="Cambria" w:hAnsi="Cambria"/>
          <w:sz w:val="24"/>
        </w:rPr>
      </w:pPr>
      <w:r w:rsidRPr="004A662E">
        <w:rPr>
          <w:rFonts w:ascii="Cambria" w:hAnsi="Cambria"/>
          <w:sz w:val="24"/>
        </w:rPr>
        <w:t>There will be a total of</w:t>
      </w:r>
      <w:r w:rsidR="0089415F">
        <w:rPr>
          <w:rFonts w:ascii="Cambria" w:hAnsi="Cambria"/>
          <w:sz w:val="24"/>
        </w:rPr>
        <w:t xml:space="preserve"> 3,</w:t>
      </w:r>
      <w:r w:rsidR="00EA28F4">
        <w:rPr>
          <w:rFonts w:ascii="Cambria" w:hAnsi="Cambria"/>
          <w:sz w:val="24"/>
        </w:rPr>
        <w:t>1</w:t>
      </w:r>
      <w:r w:rsidR="005E0CD2">
        <w:rPr>
          <w:rFonts w:ascii="Cambria" w:hAnsi="Cambria"/>
          <w:sz w:val="24"/>
        </w:rPr>
        <w:t>9</w:t>
      </w:r>
      <w:r w:rsidR="0089415F">
        <w:rPr>
          <w:rFonts w:ascii="Cambria" w:hAnsi="Cambria"/>
          <w:sz w:val="24"/>
        </w:rPr>
        <w:t>0</w:t>
      </w:r>
      <w:r w:rsidRPr="004A662E">
        <w:rPr>
          <w:rFonts w:ascii="Cambria" w:hAnsi="Cambria"/>
          <w:sz w:val="24"/>
        </w:rPr>
        <w:t xml:space="preserve"> respondents and </w:t>
      </w:r>
      <w:r w:rsidRPr="0089415F" w:rsidR="0089415F">
        <w:rPr>
          <w:rFonts w:ascii="Cambria" w:hAnsi="Cambria"/>
          <w:sz w:val="24"/>
        </w:rPr>
        <w:t>3,</w:t>
      </w:r>
      <w:r w:rsidR="00EA28F4">
        <w:rPr>
          <w:rFonts w:ascii="Cambria" w:hAnsi="Cambria"/>
          <w:sz w:val="24"/>
        </w:rPr>
        <w:t>1</w:t>
      </w:r>
      <w:r w:rsidR="005E0CD2">
        <w:rPr>
          <w:rFonts w:ascii="Cambria" w:hAnsi="Cambria"/>
          <w:sz w:val="24"/>
        </w:rPr>
        <w:t>9</w:t>
      </w:r>
      <w:r w:rsidR="00EA28F4">
        <w:rPr>
          <w:rFonts w:ascii="Cambria" w:hAnsi="Cambria"/>
          <w:sz w:val="24"/>
        </w:rPr>
        <w:t>0</w:t>
      </w:r>
      <w:r w:rsidRPr="0089415F">
        <w:rPr>
          <w:rFonts w:ascii="Cambria" w:hAnsi="Cambria"/>
          <w:sz w:val="24"/>
        </w:rPr>
        <w:t xml:space="preserve"> </w:t>
      </w:r>
      <w:r w:rsidRPr="004A662E">
        <w:rPr>
          <w:rFonts w:ascii="Cambria" w:hAnsi="Cambria"/>
          <w:sz w:val="24"/>
        </w:rPr>
        <w:t>responses.</w:t>
      </w:r>
    </w:p>
    <w:p w:rsidR="00DB121D" w:rsidP="00383542" w:rsidRDefault="00DB121D" w14:paraId="22502C54" w14:textId="78C168FB">
      <w:pPr>
        <w:ind w:left="360"/>
        <w:rPr>
          <w:rFonts w:ascii="Cambria" w:hAnsi="Cambria"/>
          <w:sz w:val="24"/>
        </w:rPr>
      </w:pPr>
    </w:p>
    <w:p w:rsidR="00DB121D" w:rsidP="00383542" w:rsidRDefault="00DB121D" w14:paraId="2EE5568D" w14:textId="2F363252">
      <w:pPr>
        <w:ind w:left="360"/>
        <w:rPr>
          <w:rFonts w:ascii="Cambria" w:hAnsi="Cambria"/>
          <w:sz w:val="24"/>
        </w:rPr>
      </w:pPr>
    </w:p>
    <w:p w:rsidR="00DB121D" w:rsidP="00383542" w:rsidRDefault="00DB121D" w14:paraId="4D353820" w14:textId="0DB6F048">
      <w:pPr>
        <w:ind w:left="360"/>
        <w:rPr>
          <w:rFonts w:ascii="Cambria" w:hAnsi="Cambria"/>
          <w:sz w:val="24"/>
        </w:rPr>
      </w:pPr>
    </w:p>
    <w:p w:rsidRPr="004A662E" w:rsidR="00DB121D" w:rsidP="00383542" w:rsidRDefault="00DB121D" w14:paraId="3E2CA6AA" w14:textId="77777777">
      <w:pPr>
        <w:ind w:left="360"/>
        <w:rPr>
          <w:sz w:val="24"/>
        </w:rPr>
      </w:pPr>
    </w:p>
    <w:p w:rsidR="005A59E5" w:rsidP="00692DEB" w:rsidRDefault="005A59E5" w14:paraId="29DBE9BF" w14:textId="77777777">
      <w:pPr>
        <w:ind w:left="0"/>
      </w:pPr>
    </w:p>
    <w:p w:rsidR="00E41812" w:rsidP="006A09E0" w:rsidRDefault="005A59E5" w14:paraId="74A31096" w14:textId="77777777">
      <w:pPr>
        <w:pStyle w:val="CommentText"/>
        <w:ind w:left="360"/>
      </w:pPr>
      <w:r w:rsidRPr="008E0683">
        <w:rPr>
          <w:b/>
          <w:u w:val="single"/>
        </w:rPr>
        <w:lastRenderedPageBreak/>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p w:rsidR="005A59E5" w:rsidP="008B65FF" w:rsidRDefault="005A59E5" w14:paraId="2EC04048" w14:textId="77777777">
      <w:pPr>
        <w:pStyle w:val="ListParagraph"/>
        <w:ind w:left="360"/>
      </w:pPr>
    </w:p>
    <w:tbl>
      <w:tblPr>
        <w:tblW w:w="10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50"/>
        <w:gridCol w:w="1350"/>
        <w:gridCol w:w="1440"/>
        <w:gridCol w:w="1350"/>
        <w:gridCol w:w="1350"/>
        <w:gridCol w:w="990"/>
        <w:gridCol w:w="1128"/>
        <w:gridCol w:w="1350"/>
      </w:tblGrid>
      <w:tr w:rsidRPr="006F6856" w:rsidR="0043229B" w:rsidTr="008C6447" w14:paraId="1676C7B7" w14:textId="77777777">
        <w:trPr>
          <w:trHeight w:val="1493"/>
          <w:jc w:val="center"/>
        </w:trPr>
        <w:tc>
          <w:tcPr>
            <w:tcW w:w="1350" w:type="dxa"/>
            <w:shd w:val="clear" w:color="auto" w:fill="D9D9D9" w:themeFill="background1" w:themeFillShade="D9"/>
          </w:tcPr>
          <w:p w:rsidRPr="00E647FB" w:rsidR="003B2200" w:rsidP="000058E0" w:rsidRDefault="002E2EDD" w14:paraId="206ED250" w14:textId="77777777">
            <w:pPr>
              <w:ind w:left="-18"/>
              <w:rPr>
                <w:b/>
                <w:sz w:val="20"/>
                <w:szCs w:val="20"/>
              </w:rPr>
            </w:pPr>
            <w:r>
              <w:rPr>
                <w:b/>
                <w:sz w:val="20"/>
                <w:szCs w:val="20"/>
              </w:rPr>
              <w:t>Data</w:t>
            </w:r>
            <w:r w:rsidRPr="00E647FB" w:rsidR="00157413">
              <w:rPr>
                <w:b/>
                <w:sz w:val="20"/>
                <w:szCs w:val="20"/>
              </w:rPr>
              <w:t xml:space="preserve"> collection</w:t>
            </w:r>
            <w:r w:rsidRPr="00E647FB" w:rsidR="003B2200">
              <w:rPr>
                <w:b/>
                <w:sz w:val="20"/>
                <w:szCs w:val="20"/>
              </w:rPr>
              <w:t xml:space="preserve"> Instrument: Form Name</w:t>
            </w:r>
          </w:p>
        </w:tc>
        <w:tc>
          <w:tcPr>
            <w:tcW w:w="1350" w:type="dxa"/>
            <w:shd w:val="clear" w:color="auto" w:fill="D9D9D9" w:themeFill="background1" w:themeFillShade="D9"/>
            <w:vAlign w:val="center"/>
          </w:tcPr>
          <w:p w:rsidRPr="00E647FB" w:rsidR="003B2200" w:rsidP="000058E0" w:rsidRDefault="003B2200" w14:paraId="56871DD4" w14:textId="77777777">
            <w:pPr>
              <w:ind w:left="-18"/>
              <w:rPr>
                <w:b/>
                <w:sz w:val="20"/>
                <w:szCs w:val="20"/>
              </w:rPr>
            </w:pPr>
            <w:r w:rsidRPr="00E647FB">
              <w:rPr>
                <w:b/>
                <w:sz w:val="20"/>
                <w:szCs w:val="20"/>
              </w:rPr>
              <w:t>Type of Respondent</w:t>
            </w:r>
          </w:p>
        </w:tc>
        <w:tc>
          <w:tcPr>
            <w:tcW w:w="1440" w:type="dxa"/>
            <w:shd w:val="clear" w:color="auto" w:fill="D9D9D9" w:themeFill="background1" w:themeFillShade="D9"/>
            <w:vAlign w:val="center"/>
          </w:tcPr>
          <w:p w:rsidRPr="00E647FB" w:rsidR="003B2200" w:rsidP="000058E0" w:rsidRDefault="003B2200" w14:paraId="189034E5" w14:textId="77777777">
            <w:pPr>
              <w:ind w:left="-18"/>
              <w:rPr>
                <w:b/>
                <w:sz w:val="20"/>
                <w:szCs w:val="20"/>
              </w:rPr>
            </w:pPr>
            <w:r w:rsidRPr="00E647FB">
              <w:rPr>
                <w:b/>
                <w:sz w:val="20"/>
                <w:szCs w:val="20"/>
              </w:rPr>
              <w:t>No. of Respondents</w:t>
            </w:r>
          </w:p>
        </w:tc>
        <w:tc>
          <w:tcPr>
            <w:tcW w:w="1350" w:type="dxa"/>
            <w:shd w:val="clear" w:color="auto" w:fill="D9D9D9" w:themeFill="background1" w:themeFillShade="D9"/>
            <w:vAlign w:val="center"/>
          </w:tcPr>
          <w:p w:rsidRPr="00E647FB" w:rsidR="003B2200" w:rsidP="000058E0" w:rsidRDefault="003B2200" w14:paraId="6F49F7BA" w14:textId="77777777">
            <w:pPr>
              <w:ind w:left="-18"/>
              <w:rPr>
                <w:b/>
                <w:sz w:val="20"/>
                <w:szCs w:val="20"/>
              </w:rPr>
            </w:pPr>
            <w:r w:rsidRPr="00E647FB">
              <w:rPr>
                <w:b/>
                <w:sz w:val="20"/>
                <w:szCs w:val="20"/>
              </w:rPr>
              <w:t>No. of Responses per Respondent</w:t>
            </w:r>
          </w:p>
        </w:tc>
        <w:tc>
          <w:tcPr>
            <w:tcW w:w="1350" w:type="dxa"/>
            <w:shd w:val="clear" w:color="auto" w:fill="D9D9D9" w:themeFill="background1" w:themeFillShade="D9"/>
            <w:vAlign w:val="center"/>
          </w:tcPr>
          <w:p w:rsidRPr="00E647FB" w:rsidR="003B2200" w:rsidP="000058E0" w:rsidRDefault="003B2200" w14:paraId="03B17FCD" w14:textId="77777777">
            <w:pPr>
              <w:ind w:left="-18"/>
              <w:rPr>
                <w:b/>
                <w:sz w:val="20"/>
                <w:szCs w:val="20"/>
              </w:rPr>
            </w:pPr>
            <w:r w:rsidRPr="00E647FB">
              <w:rPr>
                <w:b/>
                <w:sz w:val="20"/>
                <w:szCs w:val="20"/>
              </w:rPr>
              <w:t>Average Burden per Response (in hours)</w:t>
            </w:r>
          </w:p>
        </w:tc>
        <w:tc>
          <w:tcPr>
            <w:tcW w:w="990" w:type="dxa"/>
            <w:shd w:val="clear" w:color="auto" w:fill="D9D9D9" w:themeFill="background1" w:themeFillShade="D9"/>
            <w:vAlign w:val="center"/>
          </w:tcPr>
          <w:p w:rsidRPr="00E647FB" w:rsidR="003B2200" w:rsidP="000058E0" w:rsidRDefault="003B2200" w14:paraId="4B809E3C" w14:textId="77777777">
            <w:pPr>
              <w:ind w:left="-18"/>
              <w:rPr>
                <w:b/>
                <w:sz w:val="20"/>
                <w:szCs w:val="20"/>
              </w:rPr>
            </w:pPr>
            <w:r w:rsidRPr="00E647FB">
              <w:rPr>
                <w:b/>
                <w:sz w:val="20"/>
                <w:szCs w:val="20"/>
              </w:rPr>
              <w:t>Total Burden Hours</w:t>
            </w:r>
          </w:p>
        </w:tc>
        <w:tc>
          <w:tcPr>
            <w:tcW w:w="1128" w:type="dxa"/>
            <w:shd w:val="clear" w:color="auto" w:fill="D9D9D9" w:themeFill="background1" w:themeFillShade="D9"/>
            <w:vAlign w:val="center"/>
          </w:tcPr>
          <w:p w:rsidRPr="00E647FB" w:rsidR="003B2200" w:rsidP="000058E0" w:rsidRDefault="003B2200" w14:paraId="20433792" w14:textId="77777777">
            <w:pPr>
              <w:ind w:left="-18"/>
              <w:rPr>
                <w:b/>
                <w:sz w:val="20"/>
                <w:szCs w:val="20"/>
              </w:rPr>
            </w:pPr>
            <w:r w:rsidRPr="00E647FB">
              <w:rPr>
                <w:b/>
                <w:sz w:val="20"/>
                <w:szCs w:val="20"/>
              </w:rPr>
              <w:t>Hourly Wage Rate</w:t>
            </w:r>
          </w:p>
        </w:tc>
        <w:tc>
          <w:tcPr>
            <w:tcW w:w="1350" w:type="dxa"/>
            <w:shd w:val="clear" w:color="auto" w:fill="D9D9D9" w:themeFill="background1" w:themeFillShade="D9"/>
            <w:vAlign w:val="center"/>
          </w:tcPr>
          <w:p w:rsidRPr="00E647FB" w:rsidR="003B2200" w:rsidP="000058E0" w:rsidRDefault="003B2200" w14:paraId="4DB7925D" w14:textId="77777777">
            <w:pPr>
              <w:ind w:left="-18"/>
              <w:rPr>
                <w:b/>
                <w:sz w:val="20"/>
                <w:szCs w:val="20"/>
              </w:rPr>
            </w:pPr>
            <w:r w:rsidRPr="00E647FB">
              <w:rPr>
                <w:b/>
                <w:sz w:val="20"/>
                <w:szCs w:val="20"/>
              </w:rPr>
              <w:t>Total Respondent Costs</w:t>
            </w:r>
          </w:p>
        </w:tc>
      </w:tr>
      <w:tr w:rsidRPr="006F6856" w:rsidR="007778CD" w:rsidTr="008C6447" w14:paraId="4FB9644E" w14:textId="77777777">
        <w:trPr>
          <w:jc w:val="center"/>
        </w:trPr>
        <w:tc>
          <w:tcPr>
            <w:tcW w:w="1350" w:type="dxa"/>
          </w:tcPr>
          <w:p w:rsidRPr="00974243" w:rsidR="007778CD" w:rsidP="00471642" w:rsidRDefault="005E0CD2" w14:paraId="65D8675C" w14:textId="7C15AE4D">
            <w:pPr>
              <w:ind w:left="0"/>
              <w:rPr>
                <w:sz w:val="20"/>
                <w:szCs w:val="20"/>
              </w:rPr>
            </w:pPr>
            <w:r>
              <w:rPr>
                <w:sz w:val="20"/>
                <w:szCs w:val="20"/>
              </w:rPr>
              <w:t xml:space="preserve">Electronic </w:t>
            </w:r>
            <w:r w:rsidR="008C4574">
              <w:rPr>
                <w:sz w:val="20"/>
                <w:szCs w:val="20"/>
              </w:rPr>
              <w:t>Assessment</w:t>
            </w:r>
          </w:p>
        </w:tc>
        <w:tc>
          <w:tcPr>
            <w:tcW w:w="1350" w:type="dxa"/>
          </w:tcPr>
          <w:p w:rsidRPr="00974243" w:rsidR="007778CD" w:rsidP="00471642" w:rsidRDefault="007778CD" w14:paraId="6EA03D12" w14:textId="77777777">
            <w:pPr>
              <w:ind w:left="0"/>
              <w:rPr>
                <w:sz w:val="20"/>
                <w:szCs w:val="20"/>
              </w:rPr>
            </w:pPr>
            <w:r w:rsidRPr="00974243">
              <w:rPr>
                <w:sz w:val="20"/>
                <w:szCs w:val="20"/>
              </w:rPr>
              <w:t>STLT Public Health Agencies</w:t>
            </w:r>
          </w:p>
          <w:p w:rsidRPr="00974243" w:rsidR="007778CD" w:rsidP="00E41812" w:rsidRDefault="007778CD" w14:paraId="3A0210E2" w14:textId="172059F1">
            <w:pPr>
              <w:ind w:left="0"/>
              <w:rPr>
                <w:sz w:val="20"/>
                <w:szCs w:val="20"/>
              </w:rPr>
            </w:pPr>
          </w:p>
        </w:tc>
        <w:tc>
          <w:tcPr>
            <w:tcW w:w="1440" w:type="dxa"/>
          </w:tcPr>
          <w:p w:rsidRPr="00974243" w:rsidR="007778CD" w:rsidP="00BD31A4" w:rsidRDefault="007778CD" w14:paraId="7C4E8D7B" w14:textId="403BFBE5">
            <w:pPr>
              <w:ind w:left="0"/>
              <w:jc w:val="center"/>
              <w:rPr>
                <w:sz w:val="20"/>
                <w:szCs w:val="20"/>
              </w:rPr>
            </w:pPr>
            <w:r>
              <w:rPr>
                <w:sz w:val="20"/>
                <w:szCs w:val="20"/>
              </w:rPr>
              <w:t>3,070</w:t>
            </w:r>
          </w:p>
        </w:tc>
        <w:tc>
          <w:tcPr>
            <w:tcW w:w="1350" w:type="dxa"/>
          </w:tcPr>
          <w:p w:rsidRPr="00974243" w:rsidR="007778CD" w:rsidP="008C6447" w:rsidRDefault="007778CD" w14:paraId="6C96B0A6" w14:textId="77777777">
            <w:pPr>
              <w:ind w:left="0"/>
              <w:jc w:val="center"/>
              <w:rPr>
                <w:sz w:val="20"/>
                <w:szCs w:val="20"/>
              </w:rPr>
            </w:pPr>
            <w:r w:rsidRPr="00974243">
              <w:rPr>
                <w:sz w:val="20"/>
                <w:szCs w:val="20"/>
              </w:rPr>
              <w:t>1</w:t>
            </w:r>
          </w:p>
        </w:tc>
        <w:tc>
          <w:tcPr>
            <w:tcW w:w="1350" w:type="dxa"/>
          </w:tcPr>
          <w:p w:rsidRPr="00974243" w:rsidR="007778CD" w:rsidP="008C6447" w:rsidRDefault="007778CD" w14:paraId="6C03D201" w14:textId="751CB78E">
            <w:pPr>
              <w:ind w:left="0"/>
              <w:jc w:val="center"/>
              <w:rPr>
                <w:sz w:val="20"/>
                <w:szCs w:val="20"/>
              </w:rPr>
            </w:pPr>
            <w:r>
              <w:rPr>
                <w:sz w:val="20"/>
                <w:szCs w:val="20"/>
              </w:rPr>
              <w:t>30</w:t>
            </w:r>
            <w:r w:rsidRPr="00974243">
              <w:rPr>
                <w:sz w:val="20"/>
                <w:szCs w:val="20"/>
              </w:rPr>
              <w:t xml:space="preserve"> / 60</w:t>
            </w:r>
          </w:p>
        </w:tc>
        <w:tc>
          <w:tcPr>
            <w:tcW w:w="990" w:type="dxa"/>
          </w:tcPr>
          <w:p w:rsidRPr="00974243" w:rsidR="007778CD" w:rsidP="008C6447" w:rsidRDefault="007778CD" w14:paraId="699C5A62" w14:textId="0E0A91EB">
            <w:pPr>
              <w:ind w:left="0"/>
              <w:jc w:val="center"/>
              <w:rPr>
                <w:sz w:val="20"/>
                <w:szCs w:val="20"/>
              </w:rPr>
            </w:pPr>
            <w:r>
              <w:rPr>
                <w:sz w:val="20"/>
                <w:szCs w:val="20"/>
              </w:rPr>
              <w:t>1,535</w:t>
            </w:r>
          </w:p>
        </w:tc>
        <w:tc>
          <w:tcPr>
            <w:tcW w:w="1128" w:type="dxa"/>
          </w:tcPr>
          <w:p w:rsidRPr="00974243" w:rsidR="007778CD" w:rsidP="008C6447" w:rsidRDefault="007778CD" w14:paraId="2E4462B4" w14:textId="66CCB515">
            <w:pPr>
              <w:ind w:left="0"/>
              <w:jc w:val="center"/>
              <w:rPr>
                <w:sz w:val="20"/>
                <w:szCs w:val="20"/>
              </w:rPr>
            </w:pPr>
            <w:r>
              <w:rPr>
                <w:sz w:val="20"/>
                <w:szCs w:val="20"/>
              </w:rPr>
              <w:t>$</w:t>
            </w:r>
            <w:r w:rsidR="00416821">
              <w:rPr>
                <w:sz w:val="20"/>
                <w:szCs w:val="20"/>
              </w:rPr>
              <w:t>66.98</w:t>
            </w:r>
          </w:p>
        </w:tc>
        <w:tc>
          <w:tcPr>
            <w:tcW w:w="1350" w:type="dxa"/>
          </w:tcPr>
          <w:p w:rsidRPr="00974243" w:rsidR="007778CD" w:rsidP="008C6447" w:rsidRDefault="007778CD" w14:paraId="108B6BF6" w14:textId="564BE33C">
            <w:pPr>
              <w:ind w:left="0"/>
              <w:jc w:val="center"/>
              <w:rPr>
                <w:sz w:val="20"/>
                <w:szCs w:val="20"/>
              </w:rPr>
            </w:pPr>
            <w:r w:rsidRPr="00974243">
              <w:rPr>
                <w:sz w:val="20"/>
                <w:szCs w:val="20"/>
              </w:rPr>
              <w:t>$</w:t>
            </w:r>
            <w:r w:rsidR="00416821">
              <w:rPr>
                <w:sz w:val="20"/>
                <w:szCs w:val="20"/>
              </w:rPr>
              <w:t>102,814</w:t>
            </w:r>
          </w:p>
        </w:tc>
      </w:tr>
      <w:tr w:rsidRPr="006F6856" w:rsidR="007778CD" w:rsidTr="008C6447" w14:paraId="6C213001" w14:textId="77777777">
        <w:trPr>
          <w:jc w:val="center"/>
        </w:trPr>
        <w:tc>
          <w:tcPr>
            <w:tcW w:w="1350" w:type="dxa"/>
          </w:tcPr>
          <w:p w:rsidRPr="00974243" w:rsidR="007778CD" w:rsidP="00E41812" w:rsidRDefault="007778CD" w14:paraId="1649D70F" w14:textId="5688E0EF">
            <w:pPr>
              <w:ind w:left="0"/>
              <w:rPr>
                <w:sz w:val="20"/>
                <w:szCs w:val="20"/>
              </w:rPr>
            </w:pPr>
            <w:r w:rsidRPr="00974243">
              <w:rPr>
                <w:sz w:val="20"/>
                <w:szCs w:val="20"/>
              </w:rPr>
              <w:t>Focus Group Facilitator’s Guide</w:t>
            </w:r>
          </w:p>
        </w:tc>
        <w:tc>
          <w:tcPr>
            <w:tcW w:w="1350" w:type="dxa"/>
          </w:tcPr>
          <w:p w:rsidRPr="00974243" w:rsidR="007778CD" w:rsidP="00E41812" w:rsidRDefault="00D82B6D" w14:paraId="29CC224F" w14:textId="37ACFD12">
            <w:pPr>
              <w:ind w:left="0"/>
              <w:rPr>
                <w:sz w:val="20"/>
                <w:szCs w:val="20"/>
              </w:rPr>
            </w:pPr>
            <w:r>
              <w:rPr>
                <w:sz w:val="20"/>
                <w:szCs w:val="20"/>
              </w:rPr>
              <w:t>STLT Staff involved in Assessing and Responding to Cancer Cluster Inquiries</w:t>
            </w:r>
          </w:p>
        </w:tc>
        <w:tc>
          <w:tcPr>
            <w:tcW w:w="1440" w:type="dxa"/>
          </w:tcPr>
          <w:p w:rsidRPr="00974243" w:rsidR="007778CD" w:rsidP="008C6447" w:rsidRDefault="007778CD" w14:paraId="174CEB98" w14:textId="1BA88C0C">
            <w:pPr>
              <w:ind w:left="0"/>
              <w:jc w:val="center"/>
              <w:rPr>
                <w:sz w:val="20"/>
                <w:szCs w:val="20"/>
              </w:rPr>
            </w:pPr>
            <w:r>
              <w:rPr>
                <w:sz w:val="20"/>
                <w:szCs w:val="20"/>
              </w:rPr>
              <w:t>1</w:t>
            </w:r>
            <w:r w:rsidR="00122A69">
              <w:rPr>
                <w:sz w:val="20"/>
                <w:szCs w:val="20"/>
              </w:rPr>
              <w:t>20</w:t>
            </w:r>
          </w:p>
        </w:tc>
        <w:tc>
          <w:tcPr>
            <w:tcW w:w="1350" w:type="dxa"/>
          </w:tcPr>
          <w:p w:rsidRPr="00974243" w:rsidR="007778CD" w:rsidP="008C6447" w:rsidRDefault="007778CD" w14:paraId="7CF6F736" w14:textId="77777777">
            <w:pPr>
              <w:ind w:left="0"/>
              <w:jc w:val="center"/>
              <w:rPr>
                <w:sz w:val="20"/>
                <w:szCs w:val="20"/>
              </w:rPr>
            </w:pPr>
            <w:r w:rsidRPr="00974243">
              <w:rPr>
                <w:sz w:val="20"/>
                <w:szCs w:val="20"/>
              </w:rPr>
              <w:t>1</w:t>
            </w:r>
          </w:p>
        </w:tc>
        <w:tc>
          <w:tcPr>
            <w:tcW w:w="1350" w:type="dxa"/>
          </w:tcPr>
          <w:p w:rsidRPr="00974243" w:rsidR="007778CD" w:rsidP="008C6447" w:rsidRDefault="00715E27" w14:paraId="2976E062" w14:textId="69BAAB09">
            <w:pPr>
              <w:ind w:left="0"/>
              <w:jc w:val="center"/>
              <w:rPr>
                <w:sz w:val="20"/>
                <w:szCs w:val="20"/>
              </w:rPr>
            </w:pPr>
            <w:r>
              <w:rPr>
                <w:sz w:val="20"/>
                <w:szCs w:val="20"/>
              </w:rPr>
              <w:t>9</w:t>
            </w:r>
            <w:r w:rsidR="007778CD">
              <w:rPr>
                <w:sz w:val="20"/>
                <w:szCs w:val="20"/>
              </w:rPr>
              <w:t>0 / 60</w:t>
            </w:r>
          </w:p>
        </w:tc>
        <w:tc>
          <w:tcPr>
            <w:tcW w:w="990" w:type="dxa"/>
          </w:tcPr>
          <w:p w:rsidRPr="00974243" w:rsidR="007778CD" w:rsidP="008C6447" w:rsidRDefault="007778CD" w14:paraId="508ADC8D" w14:textId="558F305C">
            <w:pPr>
              <w:ind w:left="0"/>
              <w:jc w:val="center"/>
              <w:rPr>
                <w:sz w:val="20"/>
                <w:szCs w:val="20"/>
              </w:rPr>
            </w:pPr>
            <w:r>
              <w:rPr>
                <w:sz w:val="20"/>
                <w:szCs w:val="20"/>
              </w:rPr>
              <w:t>1</w:t>
            </w:r>
            <w:r w:rsidR="004203C7">
              <w:rPr>
                <w:sz w:val="20"/>
                <w:szCs w:val="20"/>
              </w:rPr>
              <w:t>8</w:t>
            </w:r>
            <w:r w:rsidR="00122A69">
              <w:rPr>
                <w:sz w:val="20"/>
                <w:szCs w:val="20"/>
              </w:rPr>
              <w:t>0</w:t>
            </w:r>
          </w:p>
        </w:tc>
        <w:tc>
          <w:tcPr>
            <w:tcW w:w="1128" w:type="dxa"/>
          </w:tcPr>
          <w:p w:rsidRPr="00974243" w:rsidR="007778CD" w:rsidP="008C6447" w:rsidRDefault="007778CD" w14:paraId="7A3BFBF7" w14:textId="713F1C06">
            <w:pPr>
              <w:ind w:left="0"/>
              <w:jc w:val="center"/>
              <w:rPr>
                <w:sz w:val="20"/>
                <w:szCs w:val="20"/>
              </w:rPr>
            </w:pPr>
            <w:r w:rsidRPr="00974243">
              <w:rPr>
                <w:sz w:val="20"/>
                <w:szCs w:val="20"/>
              </w:rPr>
              <w:t>$</w:t>
            </w:r>
            <w:r w:rsidR="00416821">
              <w:rPr>
                <w:sz w:val="20"/>
                <w:szCs w:val="20"/>
              </w:rPr>
              <w:t>69.48</w:t>
            </w:r>
          </w:p>
        </w:tc>
        <w:tc>
          <w:tcPr>
            <w:tcW w:w="1350" w:type="dxa"/>
          </w:tcPr>
          <w:p w:rsidRPr="00974243" w:rsidR="007778CD" w:rsidP="008C6447" w:rsidRDefault="007778CD" w14:paraId="6A3E1E66" w14:textId="1D2313E2">
            <w:pPr>
              <w:ind w:left="0"/>
              <w:jc w:val="center"/>
              <w:rPr>
                <w:sz w:val="20"/>
                <w:szCs w:val="20"/>
              </w:rPr>
            </w:pPr>
            <w:r w:rsidRPr="00974243">
              <w:rPr>
                <w:sz w:val="20"/>
                <w:szCs w:val="20"/>
              </w:rPr>
              <w:t>$</w:t>
            </w:r>
            <w:r w:rsidR="00416821">
              <w:rPr>
                <w:sz w:val="20"/>
                <w:szCs w:val="20"/>
              </w:rPr>
              <w:t>12,506</w:t>
            </w:r>
          </w:p>
        </w:tc>
      </w:tr>
      <w:tr w:rsidRPr="006F6856" w:rsidR="0043229B" w:rsidTr="008C6447" w14:paraId="404D94A8" w14:textId="77777777">
        <w:trPr>
          <w:trHeight w:val="1072" w:hRule="exact"/>
          <w:jc w:val="center"/>
        </w:trPr>
        <w:tc>
          <w:tcPr>
            <w:tcW w:w="1350" w:type="dxa"/>
          </w:tcPr>
          <w:p w:rsidRPr="00974243" w:rsidR="003B2200" w:rsidP="000058E0" w:rsidRDefault="003B2200" w14:paraId="503B875B" w14:textId="77777777">
            <w:pPr>
              <w:ind w:left="0"/>
              <w:rPr>
                <w:b/>
                <w:sz w:val="20"/>
                <w:szCs w:val="20"/>
              </w:rPr>
            </w:pPr>
          </w:p>
        </w:tc>
        <w:tc>
          <w:tcPr>
            <w:tcW w:w="1350" w:type="dxa"/>
            <w:vAlign w:val="center"/>
          </w:tcPr>
          <w:p w:rsidRPr="00297F4C" w:rsidR="003B2200" w:rsidP="000058E0" w:rsidRDefault="003B2200" w14:paraId="16C4849B" w14:textId="77777777">
            <w:pPr>
              <w:ind w:left="0"/>
              <w:rPr>
                <w:b/>
                <w:sz w:val="20"/>
                <w:szCs w:val="20"/>
              </w:rPr>
            </w:pPr>
            <w:r w:rsidRPr="00297F4C">
              <w:rPr>
                <w:b/>
                <w:sz w:val="20"/>
                <w:szCs w:val="20"/>
              </w:rPr>
              <w:t>TOTALS</w:t>
            </w:r>
          </w:p>
        </w:tc>
        <w:tc>
          <w:tcPr>
            <w:tcW w:w="1440" w:type="dxa"/>
            <w:vAlign w:val="center"/>
          </w:tcPr>
          <w:p w:rsidRPr="00297F4C" w:rsidR="003B2200" w:rsidP="008C6447" w:rsidRDefault="00974243" w14:paraId="0C1FD9EC" w14:textId="2C8676F0">
            <w:pPr>
              <w:ind w:left="0"/>
              <w:jc w:val="center"/>
              <w:rPr>
                <w:b/>
                <w:sz w:val="20"/>
                <w:szCs w:val="20"/>
              </w:rPr>
            </w:pPr>
            <w:r w:rsidRPr="00297F4C">
              <w:rPr>
                <w:b/>
                <w:sz w:val="20"/>
                <w:szCs w:val="20"/>
              </w:rPr>
              <w:t>3,</w:t>
            </w:r>
            <w:r w:rsidRPr="00297F4C" w:rsidR="00EA28F4">
              <w:rPr>
                <w:b/>
                <w:sz w:val="20"/>
                <w:szCs w:val="20"/>
              </w:rPr>
              <w:t>1</w:t>
            </w:r>
            <w:r w:rsidRPr="00297F4C" w:rsidR="00B92BEA">
              <w:rPr>
                <w:b/>
                <w:sz w:val="20"/>
                <w:szCs w:val="20"/>
              </w:rPr>
              <w:t>90</w:t>
            </w:r>
          </w:p>
        </w:tc>
        <w:tc>
          <w:tcPr>
            <w:tcW w:w="1350" w:type="dxa"/>
            <w:shd w:val="clear" w:color="auto" w:fill="auto"/>
            <w:vAlign w:val="center"/>
          </w:tcPr>
          <w:p w:rsidRPr="00974243" w:rsidR="003B2200" w:rsidP="008C6447" w:rsidRDefault="00471642" w14:paraId="3CF7DB45" w14:textId="77777777">
            <w:pPr>
              <w:ind w:left="0"/>
              <w:jc w:val="center"/>
              <w:rPr>
                <w:b/>
                <w:sz w:val="20"/>
                <w:szCs w:val="20"/>
              </w:rPr>
            </w:pPr>
            <w:r w:rsidRPr="00974243">
              <w:rPr>
                <w:b/>
                <w:sz w:val="20"/>
                <w:szCs w:val="20"/>
              </w:rPr>
              <w:t>1</w:t>
            </w:r>
          </w:p>
        </w:tc>
        <w:tc>
          <w:tcPr>
            <w:tcW w:w="1350" w:type="dxa"/>
            <w:shd w:val="clear" w:color="auto" w:fill="D9D9D9" w:themeFill="background1" w:themeFillShade="D9"/>
            <w:vAlign w:val="center"/>
          </w:tcPr>
          <w:p w:rsidRPr="00974243" w:rsidR="003B2200" w:rsidP="008C6447" w:rsidRDefault="003B2200" w14:paraId="0BA3CA2D" w14:textId="77777777">
            <w:pPr>
              <w:ind w:left="0"/>
              <w:jc w:val="center"/>
              <w:rPr>
                <w:b/>
                <w:sz w:val="20"/>
                <w:szCs w:val="20"/>
              </w:rPr>
            </w:pPr>
          </w:p>
        </w:tc>
        <w:tc>
          <w:tcPr>
            <w:tcW w:w="990" w:type="dxa"/>
            <w:vAlign w:val="center"/>
          </w:tcPr>
          <w:p w:rsidRPr="00974243" w:rsidR="003B2200" w:rsidP="008C6447" w:rsidRDefault="00416821" w14:paraId="258FC73D" w14:textId="226A3B45">
            <w:pPr>
              <w:ind w:left="0"/>
              <w:jc w:val="center"/>
              <w:rPr>
                <w:b/>
                <w:sz w:val="20"/>
                <w:szCs w:val="20"/>
              </w:rPr>
            </w:pPr>
            <w:r>
              <w:rPr>
                <w:b/>
                <w:sz w:val="20"/>
                <w:szCs w:val="20"/>
              </w:rPr>
              <w:t>1715</w:t>
            </w:r>
          </w:p>
        </w:tc>
        <w:tc>
          <w:tcPr>
            <w:tcW w:w="1128" w:type="dxa"/>
            <w:shd w:val="clear" w:color="auto" w:fill="D9D9D9" w:themeFill="background1" w:themeFillShade="D9"/>
            <w:vAlign w:val="center"/>
          </w:tcPr>
          <w:p w:rsidRPr="00974243" w:rsidR="003B2200" w:rsidP="008C6447" w:rsidRDefault="003B2200" w14:paraId="17DB2D0E" w14:textId="77777777">
            <w:pPr>
              <w:ind w:left="0"/>
              <w:jc w:val="center"/>
              <w:rPr>
                <w:b/>
                <w:sz w:val="20"/>
                <w:szCs w:val="20"/>
              </w:rPr>
            </w:pPr>
          </w:p>
        </w:tc>
        <w:tc>
          <w:tcPr>
            <w:tcW w:w="1350" w:type="dxa"/>
            <w:vAlign w:val="center"/>
          </w:tcPr>
          <w:p w:rsidRPr="00974243" w:rsidR="003B2200" w:rsidP="008C6447" w:rsidRDefault="00416821" w14:paraId="4E5C26E9" w14:textId="3D3BD576">
            <w:pPr>
              <w:ind w:left="0"/>
              <w:jc w:val="center"/>
              <w:rPr>
                <w:b/>
                <w:sz w:val="20"/>
                <w:szCs w:val="20"/>
              </w:rPr>
            </w:pPr>
            <w:r>
              <w:rPr>
                <w:b/>
                <w:sz w:val="20"/>
                <w:szCs w:val="20"/>
              </w:rPr>
              <w:t>$115,32</w:t>
            </w:r>
            <w:r w:rsidR="00297F4C">
              <w:rPr>
                <w:b/>
                <w:sz w:val="20"/>
                <w:szCs w:val="20"/>
              </w:rPr>
              <w:t>0</w:t>
            </w:r>
          </w:p>
        </w:tc>
      </w:tr>
    </w:tbl>
    <w:p w:rsidRPr="004F6AFA" w:rsidR="00130D45" w:rsidP="00383542" w:rsidRDefault="00130D45" w14:paraId="7B4CCCF7" w14:textId="77777777">
      <w:pPr>
        <w:ind w:left="0"/>
      </w:pPr>
      <w:bookmarkStart w:name="_Toc427752826" w:id="18"/>
    </w:p>
    <w:p w:rsidRPr="0088467A" w:rsidR="00B12F51" w:rsidP="00692DEB" w:rsidRDefault="0088467A" w14:paraId="4C601B10" w14:textId="77777777">
      <w:pPr>
        <w:pStyle w:val="Heading4"/>
      </w:pPr>
      <w:r w:rsidRPr="0088467A">
        <w:t>Estimates of Other Total Annual Cost Burden to Respondents or Record Keepers</w:t>
      </w:r>
      <w:bookmarkEnd w:id="18"/>
    </w:p>
    <w:p w:rsidRPr="007778CD" w:rsidR="003C31C9" w:rsidP="008B65FF" w:rsidRDefault="003C31C9" w14:paraId="1DFB0E0E" w14:textId="77777777">
      <w:pPr>
        <w:ind w:left="360"/>
        <w:rPr>
          <w:sz w:val="24"/>
        </w:rPr>
      </w:pPr>
      <w:r w:rsidRPr="007778CD">
        <w:rPr>
          <w:sz w:val="24"/>
        </w:rPr>
        <w:t xml:space="preserve">There will be no direct costs to the respondents other than their time to participate in each </w:t>
      </w:r>
      <w:r w:rsidRPr="007778CD" w:rsidR="002E2EDD">
        <w:rPr>
          <w:sz w:val="24"/>
        </w:rPr>
        <w:t>data</w:t>
      </w:r>
      <w:r w:rsidRPr="007778CD" w:rsidR="00157413">
        <w:rPr>
          <w:sz w:val="24"/>
        </w:rPr>
        <w:t xml:space="preserve"> collection</w:t>
      </w:r>
      <w:r w:rsidRPr="007778CD">
        <w:rPr>
          <w:sz w:val="24"/>
        </w:rPr>
        <w:t>.</w:t>
      </w:r>
    </w:p>
    <w:p w:rsidR="00721719" w:rsidP="00692DEB" w:rsidRDefault="00721719" w14:paraId="4356EF60" w14:textId="77777777">
      <w:pPr>
        <w:ind w:left="0"/>
      </w:pPr>
    </w:p>
    <w:p w:rsidR="00383542" w:rsidP="00692DEB" w:rsidRDefault="00383542" w14:paraId="792A09DE" w14:textId="77777777">
      <w:pPr>
        <w:ind w:left="0"/>
      </w:pPr>
    </w:p>
    <w:p w:rsidRPr="0088467A" w:rsidR="00B12F51" w:rsidP="00692DEB" w:rsidRDefault="0088467A" w14:paraId="5CC97B3D" w14:textId="77777777">
      <w:pPr>
        <w:pStyle w:val="Heading4"/>
      </w:pPr>
      <w:bookmarkStart w:name="_Toc427752827" w:id="19"/>
      <w:r w:rsidRPr="0088467A">
        <w:t>Annualized Cost to the Government</w:t>
      </w:r>
      <w:bookmarkEnd w:id="19"/>
      <w:r w:rsidR="00D75750">
        <w:t xml:space="preserve"> </w:t>
      </w:r>
    </w:p>
    <w:p w:rsidRPr="007778CD" w:rsidR="008B65FF" w:rsidP="008B65FF" w:rsidRDefault="000058E0" w14:paraId="3889BB16" w14:textId="7028D133">
      <w:pPr>
        <w:ind w:left="360"/>
        <w:rPr>
          <w:sz w:val="24"/>
          <w:szCs w:val="24"/>
        </w:rPr>
      </w:pPr>
      <w:r w:rsidRPr="007778CD">
        <w:rPr>
          <w:rFonts w:cs="Arial"/>
          <w:sz w:val="24"/>
          <w:szCs w:val="24"/>
        </w:rPr>
        <w:t xml:space="preserve">There are no equipment or overhead costs. </w:t>
      </w:r>
      <w:r w:rsidRPr="007778CD">
        <w:rPr>
          <w:rFonts w:cs="Arial"/>
          <w:color w:val="0070C0"/>
          <w:sz w:val="24"/>
          <w:szCs w:val="24"/>
        </w:rPr>
        <w:t xml:space="preserve"> </w:t>
      </w:r>
      <w:r w:rsidRPr="007778CD">
        <w:rPr>
          <w:rFonts w:cs="Arial"/>
          <w:sz w:val="24"/>
          <w:szCs w:val="24"/>
        </w:rPr>
        <w:t>The only cost to the federal government would be the salary of CDC staff and contractors</w:t>
      </w:r>
      <w:r w:rsidRPr="007778CD" w:rsidR="00CF6092">
        <w:rPr>
          <w:rFonts w:cs="Arial"/>
          <w:color w:val="0070C0"/>
          <w:sz w:val="24"/>
          <w:szCs w:val="24"/>
        </w:rPr>
        <w:t xml:space="preserve"> </w:t>
      </w:r>
      <w:r w:rsidRPr="007778CD" w:rsidR="00CF6092">
        <w:rPr>
          <w:rFonts w:cs="Arial"/>
          <w:sz w:val="24"/>
          <w:szCs w:val="24"/>
        </w:rPr>
        <w:t>to develop the data collection instrument, collect data, and perform data analysis</w:t>
      </w:r>
      <w:r w:rsidRPr="007778CD">
        <w:rPr>
          <w:rFonts w:cs="Arial"/>
          <w:sz w:val="24"/>
          <w:szCs w:val="24"/>
        </w:rPr>
        <w:t xml:space="preserve">. </w:t>
      </w:r>
      <w:r w:rsidRPr="007778CD" w:rsidR="00842DFE">
        <w:rPr>
          <w:rFonts w:cs="Arial"/>
          <w:sz w:val="24"/>
          <w:szCs w:val="24"/>
        </w:rPr>
        <w:t xml:space="preserve"> </w:t>
      </w:r>
      <w:r w:rsidRPr="007778CD" w:rsidR="003B3CBD">
        <w:rPr>
          <w:rFonts w:cs="Arial"/>
          <w:sz w:val="24"/>
          <w:szCs w:val="24"/>
        </w:rPr>
        <w:t xml:space="preserve">ICF </w:t>
      </w:r>
      <w:r w:rsidRPr="007778CD" w:rsidR="00842DFE">
        <w:rPr>
          <w:rFonts w:cs="Arial"/>
          <w:sz w:val="24"/>
          <w:szCs w:val="24"/>
        </w:rPr>
        <w:t xml:space="preserve">(contractor) is being used to support the following tasks: </w:t>
      </w:r>
      <w:r w:rsidRPr="007778CD" w:rsidR="003B3CBD">
        <w:rPr>
          <w:rFonts w:cs="Arial"/>
          <w:sz w:val="24"/>
          <w:szCs w:val="24"/>
        </w:rPr>
        <w:t>review</w:t>
      </w:r>
      <w:r w:rsidRPr="007778CD" w:rsidR="00842DFE">
        <w:rPr>
          <w:rFonts w:cs="Arial"/>
          <w:sz w:val="24"/>
          <w:szCs w:val="24"/>
        </w:rPr>
        <w:t>ing</w:t>
      </w:r>
      <w:r w:rsidRPr="007778CD" w:rsidR="003B3CBD">
        <w:rPr>
          <w:rFonts w:cs="Arial"/>
          <w:sz w:val="24"/>
          <w:szCs w:val="24"/>
        </w:rPr>
        <w:t xml:space="preserve"> the focus group facilitator’s guide</w:t>
      </w:r>
      <w:r w:rsidRPr="007778CD" w:rsidR="00842DFE">
        <w:rPr>
          <w:rFonts w:cs="Arial"/>
          <w:sz w:val="24"/>
          <w:szCs w:val="24"/>
        </w:rPr>
        <w:t>; facilitating</w:t>
      </w:r>
      <w:r w:rsidRPr="007778CD" w:rsidR="003B3CBD">
        <w:rPr>
          <w:rFonts w:cs="Arial"/>
          <w:sz w:val="24"/>
          <w:szCs w:val="24"/>
        </w:rPr>
        <w:t xml:space="preserve"> the focus groups</w:t>
      </w:r>
      <w:r w:rsidRPr="007778CD" w:rsidR="00842DFE">
        <w:rPr>
          <w:rFonts w:cs="Arial"/>
          <w:sz w:val="24"/>
          <w:szCs w:val="24"/>
        </w:rPr>
        <w:t>; transcribing focus group discussions; conducting qualitative analyses to identify common themes and issues.</w:t>
      </w:r>
      <w:r w:rsidRPr="007778CD" w:rsidR="003B3CBD">
        <w:rPr>
          <w:rFonts w:cs="Arial"/>
          <w:sz w:val="24"/>
          <w:szCs w:val="24"/>
        </w:rPr>
        <w:t xml:space="preserve">  </w:t>
      </w:r>
      <w:r w:rsidRPr="007778CD">
        <w:rPr>
          <w:rFonts w:cs="Arial"/>
          <w:sz w:val="24"/>
          <w:szCs w:val="24"/>
        </w:rPr>
        <w:t>The total estimated cost to the federal government is</w:t>
      </w:r>
      <w:r w:rsidRPr="007778CD" w:rsidR="008C59E7">
        <w:rPr>
          <w:rFonts w:cs="Arial"/>
          <w:sz w:val="24"/>
          <w:szCs w:val="24"/>
        </w:rPr>
        <w:t xml:space="preserve"> $</w:t>
      </w:r>
      <w:r w:rsidRPr="007778CD" w:rsidR="005818F7">
        <w:rPr>
          <w:rFonts w:cs="Arial"/>
          <w:sz w:val="24"/>
          <w:szCs w:val="24"/>
        </w:rPr>
        <w:t>47,019</w:t>
      </w:r>
      <w:r w:rsidRPr="007778CD">
        <w:rPr>
          <w:rFonts w:cs="Arial"/>
          <w:sz w:val="24"/>
          <w:szCs w:val="24"/>
        </w:rPr>
        <w:t>. Table A-14 describes how this cost estimate was calculated.</w:t>
      </w:r>
    </w:p>
    <w:p w:rsidR="008B65FF" w:rsidP="008B65FF" w:rsidRDefault="008B65FF" w14:paraId="16DB125D" w14:textId="77777777">
      <w:pPr>
        <w:ind w:left="360"/>
      </w:pPr>
    </w:p>
    <w:p w:rsidRPr="00D75750" w:rsidR="003C31C9" w:rsidP="008B65FF" w:rsidRDefault="008E0683" w14:paraId="6D5C2551" w14:textId="77777777">
      <w:pPr>
        <w:ind w:left="360"/>
      </w:pPr>
      <w:r w:rsidRPr="00692DEB">
        <w:rPr>
          <w:b/>
          <w:u w:val="single"/>
        </w:rPr>
        <w:t>Table A-14</w:t>
      </w:r>
      <w:r w:rsidRPr="00692DEB">
        <w:rPr>
          <w:b/>
        </w:rPr>
        <w:t>:</w:t>
      </w:r>
      <w:r w:rsidRPr="008E0683">
        <w:t xml:space="preserve"> Estimated Annualized Cost to the Federal Government</w:t>
      </w:r>
    </w:p>
    <w:tbl>
      <w:tblPr>
        <w:tblStyle w:val="TableGrid"/>
        <w:tblW w:w="9434" w:type="dxa"/>
        <w:tblInd w:w="355" w:type="dxa"/>
        <w:tblLook w:val="04A0" w:firstRow="1" w:lastRow="0" w:firstColumn="1" w:lastColumn="0" w:noHBand="0" w:noVBand="1"/>
      </w:tblPr>
      <w:tblGrid>
        <w:gridCol w:w="3100"/>
        <w:gridCol w:w="1539"/>
        <w:gridCol w:w="1157"/>
        <w:gridCol w:w="236"/>
        <w:gridCol w:w="236"/>
        <w:gridCol w:w="3166"/>
      </w:tblGrid>
      <w:tr w:rsidRPr="004841F1" w:rsidR="004841F1" w:rsidTr="002D27D0" w14:paraId="1C93D440" w14:textId="77777777">
        <w:trPr>
          <w:trHeight w:val="593"/>
        </w:trPr>
        <w:tc>
          <w:tcPr>
            <w:tcW w:w="3100" w:type="dxa"/>
            <w:tcBorders>
              <w:bottom w:val="single" w:color="auto" w:sz="12" w:space="0"/>
            </w:tcBorders>
            <w:shd w:val="clear" w:color="auto" w:fill="D9D9D9" w:themeFill="background1" w:themeFillShade="D9"/>
            <w:vAlign w:val="center"/>
          </w:tcPr>
          <w:p w:rsidRPr="00E647FB" w:rsidR="004841F1" w:rsidP="005D6F14" w:rsidRDefault="004841F1" w14:paraId="031082B9" w14:textId="77777777">
            <w:pPr>
              <w:ind w:left="0"/>
              <w:jc w:val="center"/>
              <w:rPr>
                <w:b/>
                <w:sz w:val="20"/>
                <w:szCs w:val="20"/>
              </w:rPr>
            </w:pPr>
            <w:r w:rsidRPr="00E647FB">
              <w:rPr>
                <w:b/>
                <w:sz w:val="20"/>
                <w:szCs w:val="20"/>
              </w:rPr>
              <w:t>Staff (FTE)</w:t>
            </w:r>
          </w:p>
        </w:tc>
        <w:tc>
          <w:tcPr>
            <w:tcW w:w="1539" w:type="dxa"/>
            <w:tcBorders>
              <w:bottom w:val="single" w:color="auto" w:sz="12" w:space="0"/>
            </w:tcBorders>
            <w:shd w:val="clear" w:color="auto" w:fill="D9D9D9" w:themeFill="background1" w:themeFillShade="D9"/>
            <w:vAlign w:val="center"/>
          </w:tcPr>
          <w:p w:rsidRPr="00E647FB" w:rsidR="004841F1" w:rsidP="005D6F14" w:rsidRDefault="004841F1" w14:paraId="2B73B512" w14:textId="77777777">
            <w:pPr>
              <w:ind w:left="0"/>
              <w:jc w:val="center"/>
              <w:rPr>
                <w:b/>
                <w:sz w:val="20"/>
                <w:szCs w:val="20"/>
              </w:rPr>
            </w:pPr>
            <w:r w:rsidRPr="00E647FB">
              <w:rPr>
                <w:b/>
                <w:sz w:val="20"/>
                <w:szCs w:val="20"/>
              </w:rPr>
              <w:t>Average Hours per Collection</w:t>
            </w:r>
          </w:p>
        </w:tc>
        <w:tc>
          <w:tcPr>
            <w:tcW w:w="1629" w:type="dxa"/>
            <w:gridSpan w:val="3"/>
            <w:tcBorders>
              <w:bottom w:val="single" w:color="auto" w:sz="12" w:space="0"/>
            </w:tcBorders>
            <w:shd w:val="clear" w:color="auto" w:fill="D9D9D9" w:themeFill="background1" w:themeFillShade="D9"/>
            <w:vAlign w:val="center"/>
          </w:tcPr>
          <w:p w:rsidRPr="00E647FB" w:rsidR="004841F1" w:rsidP="005D6F14" w:rsidRDefault="004841F1" w14:paraId="10F6406C" w14:textId="77777777">
            <w:pPr>
              <w:ind w:left="0"/>
              <w:jc w:val="center"/>
              <w:rPr>
                <w:b/>
                <w:sz w:val="20"/>
                <w:szCs w:val="20"/>
              </w:rPr>
            </w:pPr>
            <w:r w:rsidRPr="00E647FB">
              <w:rPr>
                <w:b/>
                <w:sz w:val="20"/>
                <w:szCs w:val="20"/>
              </w:rPr>
              <w:t>Average Hourly Rate</w:t>
            </w:r>
          </w:p>
        </w:tc>
        <w:tc>
          <w:tcPr>
            <w:tcW w:w="3166" w:type="dxa"/>
            <w:tcBorders>
              <w:bottom w:val="single" w:color="auto" w:sz="12" w:space="0"/>
            </w:tcBorders>
            <w:shd w:val="clear" w:color="auto" w:fill="D9D9D9" w:themeFill="background1" w:themeFillShade="D9"/>
            <w:vAlign w:val="center"/>
          </w:tcPr>
          <w:p w:rsidRPr="00E647FB" w:rsidR="004841F1" w:rsidP="005D6F14" w:rsidRDefault="003A2555" w14:paraId="52122149" w14:textId="77777777">
            <w:pPr>
              <w:ind w:left="0"/>
              <w:jc w:val="center"/>
              <w:rPr>
                <w:b/>
                <w:sz w:val="20"/>
                <w:szCs w:val="20"/>
              </w:rPr>
            </w:pPr>
            <w:r>
              <w:rPr>
                <w:b/>
                <w:sz w:val="20"/>
                <w:szCs w:val="20"/>
              </w:rPr>
              <w:t xml:space="preserve">Total </w:t>
            </w:r>
            <w:r w:rsidRPr="00E647FB" w:rsidR="004841F1">
              <w:rPr>
                <w:b/>
                <w:sz w:val="20"/>
                <w:szCs w:val="20"/>
              </w:rPr>
              <w:t>Average Cost</w:t>
            </w:r>
          </w:p>
        </w:tc>
      </w:tr>
      <w:tr w:rsidRPr="004841F1" w:rsidR="00A83315" w:rsidTr="002D27D0" w14:paraId="1E4373A9" w14:textId="77777777">
        <w:tc>
          <w:tcPr>
            <w:tcW w:w="3100" w:type="dxa"/>
            <w:tcBorders>
              <w:top w:val="single" w:color="auto" w:sz="12" w:space="0"/>
            </w:tcBorders>
          </w:tcPr>
          <w:p w:rsidRPr="003B3CBD" w:rsidR="00A83315" w:rsidP="008E5226" w:rsidRDefault="00A83315" w14:paraId="678E075A" w14:textId="6488D43B">
            <w:pPr>
              <w:ind w:left="0"/>
              <w:rPr>
                <w:sz w:val="20"/>
                <w:szCs w:val="20"/>
              </w:rPr>
            </w:pPr>
            <w:r w:rsidRPr="003B3CBD">
              <w:rPr>
                <w:sz w:val="20"/>
                <w:szCs w:val="20"/>
              </w:rPr>
              <w:t>Project Manager– GS-14, Step 5</w:t>
            </w:r>
            <w:r w:rsidR="002D27D0">
              <w:rPr>
                <w:sz w:val="20"/>
                <w:szCs w:val="20"/>
              </w:rPr>
              <w:t xml:space="preserve"> (x2 staff)</w:t>
            </w:r>
            <w:r w:rsidRPr="003B3CBD">
              <w:rPr>
                <w:sz w:val="20"/>
                <w:szCs w:val="20"/>
              </w:rPr>
              <w:t>;</w:t>
            </w:r>
          </w:p>
          <w:p w:rsidRPr="003B3CBD" w:rsidR="00A83315" w:rsidP="008E5226" w:rsidRDefault="002D27D0" w14:paraId="54FBB497" w14:textId="2C152FEE">
            <w:pPr>
              <w:ind w:left="0"/>
              <w:rPr>
                <w:sz w:val="20"/>
                <w:szCs w:val="20"/>
              </w:rPr>
            </w:pPr>
            <w:r>
              <w:rPr>
                <w:sz w:val="20"/>
                <w:szCs w:val="20"/>
              </w:rPr>
              <w:lastRenderedPageBreak/>
              <w:t>Responsible</w:t>
            </w:r>
            <w:r w:rsidR="00B20927">
              <w:rPr>
                <w:sz w:val="20"/>
                <w:szCs w:val="20"/>
              </w:rPr>
              <w:t xml:space="preserve"> </w:t>
            </w:r>
            <w:r w:rsidR="003B3CBD">
              <w:rPr>
                <w:sz w:val="20"/>
                <w:szCs w:val="20"/>
              </w:rPr>
              <w:t>for oversight and execution of the data collection activity; developing data collection instruments</w:t>
            </w:r>
          </w:p>
        </w:tc>
        <w:tc>
          <w:tcPr>
            <w:tcW w:w="1539" w:type="dxa"/>
            <w:tcBorders>
              <w:top w:val="single" w:color="auto" w:sz="12" w:space="0"/>
            </w:tcBorders>
          </w:tcPr>
          <w:p w:rsidRPr="00196622" w:rsidR="00A83315" w:rsidP="005A3933" w:rsidRDefault="00BA1A49" w14:paraId="574BDE2B" w14:textId="43DC9307">
            <w:pPr>
              <w:ind w:left="0"/>
              <w:jc w:val="center"/>
              <w:rPr>
                <w:color w:val="0070C0"/>
                <w:sz w:val="20"/>
                <w:szCs w:val="20"/>
              </w:rPr>
            </w:pPr>
            <w:r>
              <w:rPr>
                <w:rFonts w:cs="ITCFranklinGothicStd-Book"/>
                <w:sz w:val="24"/>
                <w:szCs w:val="24"/>
              </w:rPr>
              <w:lastRenderedPageBreak/>
              <w:t>4</w:t>
            </w:r>
            <w:r w:rsidR="004D0DE6">
              <w:rPr>
                <w:rFonts w:cs="ITCFranklinGothicStd-Book"/>
                <w:sz w:val="24"/>
                <w:szCs w:val="24"/>
              </w:rPr>
              <w:t>0</w:t>
            </w:r>
          </w:p>
        </w:tc>
        <w:tc>
          <w:tcPr>
            <w:tcW w:w="1629" w:type="dxa"/>
            <w:gridSpan w:val="3"/>
            <w:tcBorders>
              <w:top w:val="single" w:color="auto" w:sz="12" w:space="0"/>
            </w:tcBorders>
          </w:tcPr>
          <w:p w:rsidRPr="003A2555" w:rsidR="00A83315" w:rsidP="002D27D0" w:rsidRDefault="00B716DC" w14:paraId="1497053F" w14:textId="0CBE0DFB">
            <w:pPr>
              <w:ind w:left="0"/>
              <w:jc w:val="center"/>
              <w:rPr>
                <w:sz w:val="20"/>
                <w:szCs w:val="20"/>
              </w:rPr>
            </w:pPr>
            <w:r w:rsidRPr="003A2555">
              <w:rPr>
                <w:sz w:val="20"/>
                <w:szCs w:val="20"/>
              </w:rPr>
              <w:t>$</w:t>
            </w:r>
            <w:r>
              <w:rPr>
                <w:sz w:val="20"/>
                <w:szCs w:val="20"/>
              </w:rPr>
              <w:t>61.68</w:t>
            </w:r>
            <w:r w:rsidRPr="004F6AFA">
              <w:rPr>
                <w:sz w:val="20"/>
                <w:szCs w:val="20"/>
              </w:rPr>
              <w:t>/hour</w:t>
            </w:r>
          </w:p>
        </w:tc>
        <w:tc>
          <w:tcPr>
            <w:tcW w:w="3166" w:type="dxa"/>
            <w:tcBorders>
              <w:top w:val="single" w:color="auto" w:sz="12" w:space="0"/>
            </w:tcBorders>
          </w:tcPr>
          <w:p w:rsidRPr="003A2555" w:rsidR="00A83315" w:rsidP="002D27D0" w:rsidRDefault="005818F7" w14:paraId="00B0EB67" w14:textId="4F809D90">
            <w:pPr>
              <w:ind w:left="0"/>
              <w:jc w:val="center"/>
              <w:rPr>
                <w:sz w:val="20"/>
                <w:szCs w:val="20"/>
              </w:rPr>
            </w:pPr>
            <w:r>
              <w:rPr>
                <w:sz w:val="20"/>
                <w:szCs w:val="20"/>
              </w:rPr>
              <w:t>$</w:t>
            </w:r>
            <w:r w:rsidR="00BA1A49">
              <w:rPr>
                <w:sz w:val="20"/>
                <w:szCs w:val="20"/>
              </w:rPr>
              <w:t>2,467.20</w:t>
            </w:r>
          </w:p>
        </w:tc>
      </w:tr>
      <w:tr w:rsidRPr="004841F1" w:rsidR="00A83315" w:rsidTr="002D27D0" w14:paraId="50C34850" w14:textId="77777777">
        <w:tc>
          <w:tcPr>
            <w:tcW w:w="3100" w:type="dxa"/>
            <w:tcBorders>
              <w:top w:val="single" w:color="auto" w:sz="12" w:space="0"/>
            </w:tcBorders>
          </w:tcPr>
          <w:p w:rsidRPr="003B3CBD" w:rsidR="00A83315" w:rsidP="008E5226" w:rsidRDefault="003B3CBD" w14:paraId="43C84108" w14:textId="27398064">
            <w:pPr>
              <w:ind w:left="0"/>
              <w:rPr>
                <w:sz w:val="20"/>
                <w:szCs w:val="20"/>
              </w:rPr>
            </w:pPr>
            <w:r>
              <w:rPr>
                <w:sz w:val="20"/>
                <w:szCs w:val="20"/>
              </w:rPr>
              <w:t xml:space="preserve">Science Project Coordinator </w:t>
            </w:r>
            <w:r w:rsidRPr="003B3CBD" w:rsidR="00A83315">
              <w:rPr>
                <w:sz w:val="20"/>
                <w:szCs w:val="20"/>
              </w:rPr>
              <w:t>– GS-1</w:t>
            </w:r>
            <w:r>
              <w:rPr>
                <w:sz w:val="20"/>
                <w:szCs w:val="20"/>
              </w:rPr>
              <w:t>3</w:t>
            </w:r>
            <w:r w:rsidRPr="003B3CBD" w:rsidR="00A83315">
              <w:rPr>
                <w:sz w:val="20"/>
                <w:szCs w:val="20"/>
              </w:rPr>
              <w:t xml:space="preserve">, Step </w:t>
            </w:r>
            <w:r>
              <w:rPr>
                <w:sz w:val="20"/>
                <w:szCs w:val="20"/>
              </w:rPr>
              <w:t>2</w:t>
            </w:r>
            <w:r w:rsidRPr="003B3CBD" w:rsidR="00A83315">
              <w:rPr>
                <w:sz w:val="20"/>
                <w:szCs w:val="20"/>
              </w:rPr>
              <w:t>;</w:t>
            </w:r>
          </w:p>
          <w:p w:rsidRPr="003B3CBD" w:rsidR="00A83315" w:rsidP="008E5226" w:rsidRDefault="003B3CBD" w14:paraId="624340D8" w14:textId="78806787">
            <w:pPr>
              <w:ind w:left="0"/>
              <w:rPr>
                <w:sz w:val="20"/>
                <w:szCs w:val="20"/>
              </w:rPr>
            </w:pPr>
            <w:r>
              <w:rPr>
                <w:sz w:val="20"/>
                <w:szCs w:val="20"/>
              </w:rPr>
              <w:t>Responsible for oversight and execution of the data collection activity</w:t>
            </w:r>
            <w:r w:rsidR="00B716DC">
              <w:rPr>
                <w:sz w:val="20"/>
                <w:szCs w:val="20"/>
              </w:rPr>
              <w:t>; developing data collection instruments; analysis of electronic assessment data</w:t>
            </w:r>
          </w:p>
        </w:tc>
        <w:tc>
          <w:tcPr>
            <w:tcW w:w="1539" w:type="dxa"/>
            <w:tcBorders>
              <w:top w:val="single" w:color="auto" w:sz="12" w:space="0"/>
            </w:tcBorders>
          </w:tcPr>
          <w:p w:rsidRPr="003B3CBD" w:rsidR="00A83315" w:rsidP="005A3933" w:rsidRDefault="004D0DE6" w14:paraId="491B8259" w14:textId="246638FA">
            <w:pPr>
              <w:ind w:left="0"/>
              <w:jc w:val="center"/>
              <w:rPr>
                <w:sz w:val="20"/>
                <w:szCs w:val="20"/>
              </w:rPr>
            </w:pPr>
            <w:r>
              <w:rPr>
                <w:sz w:val="20"/>
                <w:szCs w:val="20"/>
              </w:rPr>
              <w:t>120</w:t>
            </w:r>
          </w:p>
        </w:tc>
        <w:tc>
          <w:tcPr>
            <w:tcW w:w="1629" w:type="dxa"/>
            <w:gridSpan w:val="3"/>
            <w:tcBorders>
              <w:top w:val="single" w:color="auto" w:sz="12" w:space="0"/>
            </w:tcBorders>
          </w:tcPr>
          <w:p w:rsidRPr="003A2555" w:rsidR="00A83315" w:rsidP="002D27D0" w:rsidRDefault="00B716DC" w14:paraId="3F646F0B" w14:textId="394C3CD7">
            <w:pPr>
              <w:ind w:left="0"/>
              <w:jc w:val="center"/>
              <w:rPr>
                <w:sz w:val="20"/>
                <w:szCs w:val="20"/>
              </w:rPr>
            </w:pPr>
            <w:r w:rsidRPr="003A2555">
              <w:rPr>
                <w:sz w:val="20"/>
                <w:szCs w:val="20"/>
              </w:rPr>
              <w:t>$</w:t>
            </w:r>
            <w:r>
              <w:rPr>
                <w:sz w:val="20"/>
                <w:szCs w:val="20"/>
              </w:rPr>
              <w:t>47.59</w:t>
            </w:r>
            <w:r w:rsidRPr="004F6AFA">
              <w:rPr>
                <w:sz w:val="20"/>
                <w:szCs w:val="20"/>
              </w:rPr>
              <w:t>/hour</w:t>
            </w:r>
          </w:p>
        </w:tc>
        <w:tc>
          <w:tcPr>
            <w:tcW w:w="3166" w:type="dxa"/>
            <w:tcBorders>
              <w:top w:val="single" w:color="auto" w:sz="12" w:space="0"/>
            </w:tcBorders>
          </w:tcPr>
          <w:p w:rsidRPr="003A2555" w:rsidR="00A83315" w:rsidP="002D27D0" w:rsidRDefault="005818F7" w14:paraId="0B04C341" w14:textId="7EBF5CFA">
            <w:pPr>
              <w:ind w:left="0"/>
              <w:jc w:val="center"/>
              <w:rPr>
                <w:sz w:val="20"/>
                <w:szCs w:val="20"/>
              </w:rPr>
            </w:pPr>
            <w:r>
              <w:rPr>
                <w:sz w:val="20"/>
                <w:szCs w:val="20"/>
              </w:rPr>
              <w:t>$5,710.80</w:t>
            </w:r>
          </w:p>
        </w:tc>
      </w:tr>
      <w:tr w:rsidRPr="004841F1" w:rsidR="00A83315" w:rsidTr="002D27D0" w14:paraId="054D56B2" w14:textId="77777777">
        <w:tc>
          <w:tcPr>
            <w:tcW w:w="3100" w:type="dxa"/>
            <w:tcBorders>
              <w:top w:val="single" w:color="auto" w:sz="12" w:space="0"/>
            </w:tcBorders>
          </w:tcPr>
          <w:p w:rsidRPr="003B3CBD" w:rsidR="00A83315" w:rsidP="008E5226" w:rsidRDefault="003B3CBD" w14:paraId="12190F06" w14:textId="741F17A0">
            <w:pPr>
              <w:ind w:left="0"/>
              <w:rPr>
                <w:sz w:val="20"/>
                <w:szCs w:val="20"/>
              </w:rPr>
            </w:pPr>
            <w:r>
              <w:rPr>
                <w:sz w:val="20"/>
                <w:szCs w:val="20"/>
              </w:rPr>
              <w:t>Policy Project Coordinator</w:t>
            </w:r>
            <w:r w:rsidRPr="003B3CBD" w:rsidR="00A83315">
              <w:rPr>
                <w:sz w:val="20"/>
                <w:szCs w:val="20"/>
              </w:rPr>
              <w:t>– GS-1</w:t>
            </w:r>
            <w:r>
              <w:rPr>
                <w:sz w:val="20"/>
                <w:szCs w:val="20"/>
              </w:rPr>
              <w:t>1</w:t>
            </w:r>
            <w:r w:rsidRPr="003B3CBD" w:rsidR="00A83315">
              <w:rPr>
                <w:sz w:val="20"/>
                <w:szCs w:val="20"/>
              </w:rPr>
              <w:t xml:space="preserve">, Step </w:t>
            </w:r>
            <w:r>
              <w:rPr>
                <w:sz w:val="20"/>
                <w:szCs w:val="20"/>
              </w:rPr>
              <w:t>5</w:t>
            </w:r>
            <w:r w:rsidRPr="003B3CBD" w:rsidR="00A83315">
              <w:rPr>
                <w:sz w:val="20"/>
                <w:szCs w:val="20"/>
              </w:rPr>
              <w:t>;</w:t>
            </w:r>
          </w:p>
          <w:p w:rsidRPr="003B3CBD" w:rsidR="00A83315" w:rsidP="008E5226" w:rsidRDefault="003B3CBD" w14:paraId="3AEE3EE4" w14:textId="194128D1">
            <w:pPr>
              <w:ind w:left="0"/>
              <w:rPr>
                <w:sz w:val="20"/>
                <w:szCs w:val="20"/>
              </w:rPr>
            </w:pPr>
            <w:r>
              <w:rPr>
                <w:sz w:val="20"/>
                <w:szCs w:val="20"/>
              </w:rPr>
              <w:t>Responsible for oversight and execution of the data collection activity.</w:t>
            </w:r>
          </w:p>
        </w:tc>
        <w:tc>
          <w:tcPr>
            <w:tcW w:w="1539" w:type="dxa"/>
            <w:tcBorders>
              <w:top w:val="single" w:color="auto" w:sz="12" w:space="0"/>
            </w:tcBorders>
          </w:tcPr>
          <w:p w:rsidRPr="003B3CBD" w:rsidR="00A83315" w:rsidP="005A3933" w:rsidRDefault="004D0DE6" w14:paraId="60EF83EC" w14:textId="215E0151">
            <w:pPr>
              <w:ind w:left="0"/>
              <w:jc w:val="center"/>
              <w:rPr>
                <w:sz w:val="20"/>
                <w:szCs w:val="20"/>
              </w:rPr>
            </w:pPr>
            <w:r>
              <w:rPr>
                <w:sz w:val="20"/>
                <w:szCs w:val="20"/>
              </w:rPr>
              <w:t>40</w:t>
            </w:r>
          </w:p>
        </w:tc>
        <w:tc>
          <w:tcPr>
            <w:tcW w:w="1629" w:type="dxa"/>
            <w:gridSpan w:val="3"/>
            <w:tcBorders>
              <w:top w:val="single" w:color="auto" w:sz="12" w:space="0"/>
            </w:tcBorders>
          </w:tcPr>
          <w:p w:rsidRPr="003A2555" w:rsidR="00A83315" w:rsidP="002D27D0" w:rsidRDefault="00B716DC" w14:paraId="5FA4DF6E" w14:textId="7807F94B">
            <w:pPr>
              <w:ind w:left="0"/>
              <w:jc w:val="center"/>
              <w:rPr>
                <w:sz w:val="20"/>
                <w:szCs w:val="20"/>
              </w:rPr>
            </w:pPr>
            <w:r w:rsidRPr="003A2555">
              <w:rPr>
                <w:sz w:val="20"/>
                <w:szCs w:val="20"/>
              </w:rPr>
              <w:t>$</w:t>
            </w:r>
            <w:r>
              <w:rPr>
                <w:sz w:val="20"/>
                <w:szCs w:val="20"/>
              </w:rPr>
              <w:t>36.62</w:t>
            </w:r>
            <w:r w:rsidRPr="004F6AFA">
              <w:rPr>
                <w:sz w:val="20"/>
                <w:szCs w:val="20"/>
              </w:rPr>
              <w:t>/hour</w:t>
            </w:r>
          </w:p>
        </w:tc>
        <w:tc>
          <w:tcPr>
            <w:tcW w:w="3166" w:type="dxa"/>
            <w:tcBorders>
              <w:top w:val="single" w:color="auto" w:sz="12" w:space="0"/>
            </w:tcBorders>
          </w:tcPr>
          <w:p w:rsidRPr="003A2555" w:rsidR="00A83315" w:rsidP="002D27D0" w:rsidRDefault="005818F7" w14:paraId="531C71FA" w14:textId="075E0A0A">
            <w:pPr>
              <w:ind w:left="0"/>
              <w:jc w:val="center"/>
              <w:rPr>
                <w:sz w:val="20"/>
                <w:szCs w:val="20"/>
              </w:rPr>
            </w:pPr>
            <w:r>
              <w:rPr>
                <w:sz w:val="20"/>
                <w:szCs w:val="20"/>
              </w:rPr>
              <w:t>$1,464.80</w:t>
            </w:r>
          </w:p>
        </w:tc>
      </w:tr>
      <w:tr w:rsidRPr="004841F1" w:rsidR="00A83315" w:rsidTr="002D27D0" w14:paraId="629AB348" w14:textId="77777777">
        <w:tc>
          <w:tcPr>
            <w:tcW w:w="3100" w:type="dxa"/>
          </w:tcPr>
          <w:p w:rsidR="00A83315" w:rsidP="008E5226" w:rsidRDefault="00A83315" w14:paraId="74399C2C" w14:textId="77777777">
            <w:pPr>
              <w:ind w:left="0"/>
              <w:rPr>
                <w:rFonts w:cs="ITCFranklinGothicStd-Book"/>
                <w:sz w:val="20"/>
                <w:szCs w:val="20"/>
              </w:rPr>
            </w:pPr>
            <w:r w:rsidRPr="003B3CBD">
              <w:rPr>
                <w:rFonts w:cs="ITCFranklinGothicStd-Book"/>
                <w:sz w:val="20"/>
                <w:szCs w:val="20"/>
              </w:rPr>
              <w:t>ORISE Fellow GS-9 Equivalent Project Support</w:t>
            </w:r>
            <w:r w:rsidR="003B3CBD">
              <w:rPr>
                <w:rFonts w:cs="ITCFranklinGothicStd-Book"/>
                <w:sz w:val="20"/>
                <w:szCs w:val="20"/>
              </w:rPr>
              <w:t>;</w:t>
            </w:r>
          </w:p>
          <w:p w:rsidRPr="003B3CBD" w:rsidR="003B3CBD" w:rsidP="008E5226" w:rsidRDefault="003B3CBD" w14:paraId="17295930" w14:textId="3C0057EB">
            <w:pPr>
              <w:ind w:left="0"/>
              <w:rPr>
                <w:sz w:val="20"/>
                <w:szCs w:val="20"/>
              </w:rPr>
            </w:pPr>
          </w:p>
        </w:tc>
        <w:tc>
          <w:tcPr>
            <w:tcW w:w="1539" w:type="dxa"/>
          </w:tcPr>
          <w:p w:rsidRPr="003B3CBD" w:rsidR="00A83315" w:rsidP="005A3933" w:rsidRDefault="004D0DE6" w14:paraId="284F450B" w14:textId="058D81E2">
            <w:pPr>
              <w:ind w:left="0"/>
              <w:jc w:val="center"/>
              <w:rPr>
                <w:sz w:val="20"/>
                <w:szCs w:val="20"/>
              </w:rPr>
            </w:pPr>
            <w:r>
              <w:rPr>
                <w:sz w:val="20"/>
                <w:szCs w:val="20"/>
              </w:rPr>
              <w:t>120</w:t>
            </w:r>
          </w:p>
        </w:tc>
        <w:tc>
          <w:tcPr>
            <w:tcW w:w="1629" w:type="dxa"/>
            <w:gridSpan w:val="3"/>
          </w:tcPr>
          <w:p w:rsidR="00A83315" w:rsidP="002D27D0" w:rsidRDefault="00B716DC" w14:paraId="0418747B" w14:textId="5CFE3BD9">
            <w:pPr>
              <w:ind w:left="0"/>
              <w:jc w:val="center"/>
              <w:rPr>
                <w:color w:val="0070C0"/>
                <w:sz w:val="20"/>
                <w:szCs w:val="20"/>
              </w:rPr>
            </w:pPr>
            <w:r w:rsidRPr="003A2555">
              <w:rPr>
                <w:sz w:val="20"/>
                <w:szCs w:val="20"/>
              </w:rPr>
              <w:t>$</w:t>
            </w:r>
            <w:r>
              <w:rPr>
                <w:sz w:val="20"/>
                <w:szCs w:val="20"/>
              </w:rPr>
              <w:t>26.71</w:t>
            </w:r>
            <w:r w:rsidRPr="004F6AFA">
              <w:rPr>
                <w:sz w:val="20"/>
                <w:szCs w:val="20"/>
              </w:rPr>
              <w:t>/hour</w:t>
            </w:r>
          </w:p>
        </w:tc>
        <w:tc>
          <w:tcPr>
            <w:tcW w:w="3166" w:type="dxa"/>
          </w:tcPr>
          <w:p w:rsidRPr="003A2555" w:rsidR="00A83315" w:rsidP="002D27D0" w:rsidRDefault="005818F7" w14:paraId="3939345D" w14:textId="339953B2">
            <w:pPr>
              <w:ind w:left="0"/>
              <w:jc w:val="center"/>
              <w:rPr>
                <w:sz w:val="20"/>
                <w:szCs w:val="20"/>
              </w:rPr>
            </w:pPr>
            <w:r>
              <w:rPr>
                <w:sz w:val="20"/>
                <w:szCs w:val="20"/>
              </w:rPr>
              <w:t>$3,205.20</w:t>
            </w:r>
          </w:p>
        </w:tc>
      </w:tr>
      <w:tr w:rsidRPr="004841F1" w:rsidR="00B716DC" w:rsidTr="00B716DC" w14:paraId="3766950D" w14:textId="77777777">
        <w:tc>
          <w:tcPr>
            <w:tcW w:w="9434" w:type="dxa"/>
            <w:gridSpan w:val="6"/>
            <w:shd w:val="clear" w:color="auto" w:fill="D9D9D9" w:themeFill="background1" w:themeFillShade="D9"/>
          </w:tcPr>
          <w:p w:rsidRPr="00B716DC" w:rsidR="00B716DC" w:rsidP="008E5226" w:rsidRDefault="00B716DC" w14:paraId="6B18F471" w14:textId="09E38BB2">
            <w:pPr>
              <w:ind w:left="0"/>
              <w:rPr>
                <w:b/>
                <w:sz w:val="20"/>
                <w:szCs w:val="20"/>
              </w:rPr>
            </w:pPr>
            <w:r w:rsidRPr="00B716DC">
              <w:rPr>
                <w:b/>
                <w:sz w:val="20"/>
                <w:szCs w:val="20"/>
              </w:rPr>
              <w:t>Contractors</w:t>
            </w:r>
          </w:p>
        </w:tc>
      </w:tr>
      <w:tr w:rsidRPr="004841F1" w:rsidR="002D27D0" w:rsidTr="002D27D0" w14:paraId="6210697A" w14:textId="77777777">
        <w:tc>
          <w:tcPr>
            <w:tcW w:w="3100" w:type="dxa"/>
          </w:tcPr>
          <w:p w:rsidRPr="003B3CBD" w:rsidR="002D27D0" w:rsidP="008E5226" w:rsidRDefault="002D27D0" w14:paraId="6B3E149B" w14:textId="73764D2C">
            <w:pPr>
              <w:ind w:left="0"/>
              <w:rPr>
                <w:color w:val="0070C0"/>
                <w:sz w:val="20"/>
                <w:szCs w:val="20"/>
              </w:rPr>
            </w:pPr>
            <w:r w:rsidRPr="003B3CBD">
              <w:rPr>
                <w:sz w:val="20"/>
                <w:szCs w:val="20"/>
              </w:rPr>
              <w:t xml:space="preserve">ICF Global Consulting Services </w:t>
            </w:r>
            <w:r w:rsidR="00EA6D7B">
              <w:rPr>
                <w:sz w:val="20"/>
                <w:szCs w:val="20"/>
              </w:rPr>
              <w:t xml:space="preserve">(x2 staff) </w:t>
            </w:r>
            <w:r w:rsidRPr="003B3CBD">
              <w:rPr>
                <w:sz w:val="20"/>
                <w:szCs w:val="20"/>
              </w:rPr>
              <w:t>– Facilitate focus groups; record and transcribe focus group discussions; conduct qualitative analyses to identify common themes and issues.</w:t>
            </w:r>
          </w:p>
        </w:tc>
        <w:tc>
          <w:tcPr>
            <w:tcW w:w="1539" w:type="dxa"/>
          </w:tcPr>
          <w:p w:rsidRPr="003B3CBD" w:rsidR="002D27D0" w:rsidP="005A3933" w:rsidRDefault="002D27D0" w14:paraId="47A95CB8" w14:textId="7AFF8CA9">
            <w:pPr>
              <w:ind w:left="0"/>
              <w:jc w:val="center"/>
              <w:rPr>
                <w:sz w:val="20"/>
                <w:szCs w:val="20"/>
              </w:rPr>
            </w:pPr>
          </w:p>
        </w:tc>
        <w:tc>
          <w:tcPr>
            <w:tcW w:w="1629" w:type="dxa"/>
            <w:gridSpan w:val="3"/>
          </w:tcPr>
          <w:p w:rsidRPr="00E647FB" w:rsidR="002D27D0" w:rsidP="003B3CBD" w:rsidRDefault="002D27D0" w14:paraId="160A208F" w14:textId="38C417C5">
            <w:pPr>
              <w:ind w:left="0"/>
              <w:jc w:val="center"/>
              <w:rPr>
                <w:sz w:val="20"/>
                <w:szCs w:val="20"/>
              </w:rPr>
            </w:pPr>
          </w:p>
        </w:tc>
        <w:tc>
          <w:tcPr>
            <w:tcW w:w="3166" w:type="dxa"/>
          </w:tcPr>
          <w:p w:rsidRPr="00E647FB" w:rsidR="002D27D0" w:rsidP="003B3CBD" w:rsidRDefault="002D27D0" w14:paraId="001FE13C" w14:textId="5F54A212">
            <w:pPr>
              <w:ind w:left="0"/>
              <w:jc w:val="center"/>
              <w:rPr>
                <w:sz w:val="20"/>
                <w:szCs w:val="20"/>
              </w:rPr>
            </w:pPr>
            <w:r>
              <w:rPr>
                <w:sz w:val="20"/>
                <w:szCs w:val="20"/>
              </w:rPr>
              <w:t>Contractor Sub-total: $34,171.00</w:t>
            </w:r>
          </w:p>
        </w:tc>
      </w:tr>
      <w:tr w:rsidRPr="004841F1" w:rsidR="005D6F14" w:rsidTr="002D27D0" w14:paraId="50CCE0CD" w14:textId="77777777">
        <w:trPr>
          <w:trHeight w:val="332"/>
        </w:trPr>
        <w:tc>
          <w:tcPr>
            <w:tcW w:w="5796" w:type="dxa"/>
            <w:gridSpan w:val="3"/>
            <w:tcBorders>
              <w:right w:val="nil"/>
            </w:tcBorders>
            <w:vAlign w:val="center"/>
          </w:tcPr>
          <w:p w:rsidRPr="00E647FB" w:rsidR="005D6F14" w:rsidP="005D6F14" w:rsidRDefault="005D6F14" w14:paraId="2AAB4D62" w14:textId="77777777">
            <w:pPr>
              <w:ind w:left="0"/>
              <w:jc w:val="right"/>
              <w:rPr>
                <w:b/>
                <w:sz w:val="20"/>
                <w:szCs w:val="20"/>
              </w:rPr>
            </w:pPr>
            <w:r w:rsidRPr="00E647FB">
              <w:rPr>
                <w:b/>
                <w:sz w:val="20"/>
                <w:szCs w:val="20"/>
              </w:rPr>
              <w:t>Estimated Total Cost of Information Collection</w:t>
            </w:r>
          </w:p>
        </w:tc>
        <w:tc>
          <w:tcPr>
            <w:tcW w:w="236" w:type="dxa"/>
            <w:tcBorders>
              <w:left w:val="nil"/>
              <w:right w:val="nil"/>
            </w:tcBorders>
            <w:vAlign w:val="center"/>
          </w:tcPr>
          <w:p w:rsidRPr="00E647FB" w:rsidR="005D6F14" w:rsidP="00CA5840" w:rsidRDefault="005D6F14" w14:paraId="08C46539" w14:textId="77777777">
            <w:pPr>
              <w:ind w:left="0"/>
              <w:rPr>
                <w:b/>
                <w:sz w:val="20"/>
                <w:szCs w:val="20"/>
              </w:rPr>
            </w:pPr>
          </w:p>
        </w:tc>
        <w:tc>
          <w:tcPr>
            <w:tcW w:w="236" w:type="dxa"/>
            <w:tcBorders>
              <w:left w:val="nil"/>
            </w:tcBorders>
            <w:vAlign w:val="center"/>
          </w:tcPr>
          <w:p w:rsidRPr="00E647FB" w:rsidR="005D6F14" w:rsidP="00CA5840" w:rsidRDefault="005D6F14" w14:paraId="716BED28" w14:textId="77777777">
            <w:pPr>
              <w:ind w:left="0"/>
              <w:rPr>
                <w:b/>
                <w:sz w:val="20"/>
                <w:szCs w:val="20"/>
              </w:rPr>
            </w:pPr>
          </w:p>
        </w:tc>
        <w:tc>
          <w:tcPr>
            <w:tcW w:w="3166" w:type="dxa"/>
            <w:vAlign w:val="center"/>
          </w:tcPr>
          <w:p w:rsidRPr="003A2555" w:rsidR="005D6F14" w:rsidP="005D6F14" w:rsidRDefault="005818F7" w14:paraId="5476133D" w14:textId="261BA9EA">
            <w:pPr>
              <w:ind w:left="0"/>
              <w:jc w:val="center"/>
              <w:rPr>
                <w:b/>
                <w:sz w:val="20"/>
                <w:szCs w:val="20"/>
              </w:rPr>
            </w:pPr>
            <w:r>
              <w:rPr>
                <w:b/>
                <w:sz w:val="20"/>
                <w:szCs w:val="20"/>
              </w:rPr>
              <w:t>$47,019.00</w:t>
            </w:r>
          </w:p>
        </w:tc>
      </w:tr>
    </w:tbl>
    <w:p w:rsidR="0042500C" w:rsidP="001C7607" w:rsidRDefault="0042500C" w14:paraId="5ED909EA" w14:textId="77777777">
      <w:pPr>
        <w:ind w:left="360"/>
      </w:pPr>
    </w:p>
    <w:p w:rsidR="00734D99" w:rsidP="001C7607" w:rsidRDefault="00734D99" w14:paraId="475E2FFF" w14:textId="77777777">
      <w:pPr>
        <w:ind w:left="360"/>
      </w:pPr>
    </w:p>
    <w:p w:rsidRPr="00D75750" w:rsidR="00B12F51" w:rsidP="00692DEB" w:rsidRDefault="00D75750" w14:paraId="03642940" w14:textId="77777777">
      <w:pPr>
        <w:pStyle w:val="Heading4"/>
      </w:pPr>
      <w:bookmarkStart w:name="_Toc427752828" w:id="20"/>
      <w:r w:rsidRPr="00D75750">
        <w:t>Explanation for Program Changes or Adjustments</w:t>
      </w:r>
      <w:bookmarkEnd w:id="20"/>
    </w:p>
    <w:p w:rsidRPr="007778CD" w:rsidR="00F52BCC" w:rsidP="008B65FF" w:rsidRDefault="003C7C5D" w14:paraId="348F2709" w14:textId="77777777">
      <w:pPr>
        <w:ind w:left="360"/>
        <w:rPr>
          <w:sz w:val="24"/>
        </w:rPr>
      </w:pPr>
      <w:r w:rsidRPr="007778CD">
        <w:rPr>
          <w:sz w:val="24"/>
        </w:rPr>
        <w:t xml:space="preserve">This is a new </w:t>
      </w:r>
      <w:r w:rsidRPr="007778CD" w:rsidR="002E2EDD">
        <w:rPr>
          <w:sz w:val="24"/>
        </w:rPr>
        <w:t>data</w:t>
      </w:r>
      <w:r w:rsidRPr="007778CD" w:rsidR="00157413">
        <w:rPr>
          <w:sz w:val="24"/>
        </w:rPr>
        <w:t xml:space="preserve"> collection</w:t>
      </w:r>
      <w:r w:rsidRPr="007778CD">
        <w:rPr>
          <w:sz w:val="24"/>
        </w:rPr>
        <w:t>.</w:t>
      </w:r>
    </w:p>
    <w:p w:rsidR="00721719" w:rsidP="005D6F14" w:rsidRDefault="00721719" w14:paraId="72D9533E" w14:textId="77777777"/>
    <w:p w:rsidR="00734D99" w:rsidP="001C7607" w:rsidRDefault="00734D99" w14:paraId="165B5C99" w14:textId="77777777"/>
    <w:p w:rsidR="00B12F51" w:rsidP="00692DEB" w:rsidRDefault="00616090" w14:paraId="49FC22C9" w14:textId="6D5C4EDD">
      <w:pPr>
        <w:pStyle w:val="Heading4"/>
      </w:pPr>
      <w:bookmarkStart w:name="_Toc427752829" w:id="21"/>
      <w:r w:rsidRPr="007B6A12">
        <w:t>Plan</w:t>
      </w:r>
      <w:r w:rsidRPr="007B6A12" w:rsidR="00D75750">
        <w:t>s for Tabulation and Publication and Project Time Schedule</w:t>
      </w:r>
      <w:bookmarkEnd w:id="21"/>
    </w:p>
    <w:p w:rsidRPr="004136DA" w:rsidR="00A83315" w:rsidP="000F7926" w:rsidRDefault="004136DA" w14:paraId="094A6E6C" w14:textId="54124F9C">
      <w:pPr>
        <w:ind w:left="360" w:hanging="360"/>
        <w:rPr>
          <w:rFonts w:cs="Arial"/>
          <w:sz w:val="24"/>
          <w:szCs w:val="24"/>
        </w:rPr>
      </w:pPr>
      <w:r>
        <w:rPr>
          <w:sz w:val="24"/>
          <w:szCs w:val="24"/>
        </w:rPr>
        <w:tab/>
      </w:r>
      <w:r w:rsidRPr="004136DA" w:rsidR="000F7926">
        <w:rPr>
          <w:rFonts w:cs="Arial"/>
          <w:sz w:val="24"/>
          <w:szCs w:val="24"/>
        </w:rPr>
        <w:t>As resources and respondents may be impacted by the COVID-19 pandemic, we</w:t>
      </w:r>
      <w:r>
        <w:rPr>
          <w:rFonts w:cs="Arial"/>
          <w:sz w:val="24"/>
          <w:szCs w:val="24"/>
        </w:rPr>
        <w:t xml:space="preserve"> </w:t>
      </w:r>
      <w:r w:rsidRPr="004136DA" w:rsidR="000F7926">
        <w:rPr>
          <w:rFonts w:cs="Arial"/>
          <w:sz w:val="24"/>
          <w:szCs w:val="24"/>
        </w:rPr>
        <w:t>propose that data collection begin in</w:t>
      </w:r>
      <w:r w:rsidR="0022139E">
        <w:rPr>
          <w:rFonts w:cs="Arial"/>
          <w:sz w:val="24"/>
          <w:szCs w:val="24"/>
        </w:rPr>
        <w:t xml:space="preserve"> August 2020.  </w:t>
      </w:r>
    </w:p>
    <w:p w:rsidR="0022139E" w:rsidP="000F7926" w:rsidRDefault="0022139E" w14:paraId="39BA0CBA" w14:textId="77777777">
      <w:pPr>
        <w:ind w:left="360" w:hanging="360"/>
      </w:pPr>
    </w:p>
    <w:p w:rsidRPr="007778CD" w:rsidR="00162866" w:rsidP="0078500A" w:rsidRDefault="00162866" w14:paraId="592A40A3" w14:textId="6A6A29E0">
      <w:pPr>
        <w:ind w:left="360"/>
        <w:rPr>
          <w:sz w:val="24"/>
          <w:u w:val="single"/>
        </w:rPr>
      </w:pPr>
      <w:r w:rsidRPr="007778CD">
        <w:rPr>
          <w:sz w:val="24"/>
          <w:u w:val="single"/>
        </w:rPr>
        <w:t>Electronic Assessment</w:t>
      </w:r>
    </w:p>
    <w:p w:rsidRPr="007778CD" w:rsidR="00162866" w:rsidP="0078500A" w:rsidRDefault="00162866" w14:paraId="05D5534A" w14:textId="6AFEF78C">
      <w:pPr>
        <w:ind w:left="360"/>
        <w:rPr>
          <w:sz w:val="24"/>
        </w:rPr>
      </w:pPr>
      <w:r w:rsidRPr="007778CD">
        <w:rPr>
          <w:sz w:val="24"/>
        </w:rPr>
        <w:t>After the data collection period has ended, respondent data will be downloaded and exported to an Excel spreadsheet and subsequently cleaned and coded for analysis.  Univariate analysis will be conducted for each question of the electronic assessment.  Descriptive statistical analyses (counts and frequencies) will be conducted using Microsoft Excel on responses to dichotomous and multiple-choice questions.  Qualitive analyses will be conducted on responses to open-ended questions.</w:t>
      </w:r>
    </w:p>
    <w:p w:rsidRPr="007778CD" w:rsidR="0003403C" w:rsidP="0078500A" w:rsidRDefault="0003403C" w14:paraId="24891ACF" w14:textId="3AD63D8F">
      <w:pPr>
        <w:ind w:left="360"/>
        <w:rPr>
          <w:sz w:val="24"/>
        </w:rPr>
      </w:pPr>
    </w:p>
    <w:p w:rsidRPr="007778CD" w:rsidR="00162866" w:rsidP="0078500A" w:rsidRDefault="00162866" w14:paraId="6F83F667" w14:textId="44FE95AA">
      <w:pPr>
        <w:ind w:left="360"/>
        <w:rPr>
          <w:sz w:val="24"/>
          <w:u w:val="single"/>
        </w:rPr>
      </w:pPr>
      <w:r w:rsidRPr="007778CD">
        <w:rPr>
          <w:sz w:val="24"/>
          <w:u w:val="single"/>
        </w:rPr>
        <w:t>Focus Groups</w:t>
      </w:r>
    </w:p>
    <w:p w:rsidRPr="007778CD" w:rsidR="00A83315" w:rsidP="0078500A" w:rsidRDefault="00A83315" w14:paraId="474CB02F" w14:textId="31B579DE">
      <w:pPr>
        <w:ind w:left="360"/>
        <w:rPr>
          <w:sz w:val="24"/>
        </w:rPr>
      </w:pPr>
      <w:r w:rsidRPr="007778CD">
        <w:rPr>
          <w:sz w:val="24"/>
        </w:rPr>
        <w:lastRenderedPageBreak/>
        <w:t xml:space="preserve">De-identified data collected from ICF will be stored on the password-protected computers of staff and on secure CDC servers. CDC will analyze the data </w:t>
      </w:r>
      <w:r w:rsidRPr="007778CD" w:rsidR="0003403C">
        <w:rPr>
          <w:sz w:val="24"/>
        </w:rPr>
        <w:t>using</w:t>
      </w:r>
      <w:r w:rsidRPr="007778CD">
        <w:rPr>
          <w:sz w:val="24"/>
        </w:rPr>
        <w:t xml:space="preserve"> qualitative methods and thematic analysis, for open-ended questions.</w:t>
      </w:r>
    </w:p>
    <w:p w:rsidRPr="007778CD" w:rsidR="00A83315" w:rsidP="00A83315" w:rsidRDefault="00A83315" w14:paraId="18036CA1" w14:textId="566B27CA">
      <w:pPr>
        <w:rPr>
          <w:sz w:val="24"/>
        </w:rPr>
      </w:pPr>
    </w:p>
    <w:p w:rsidRPr="007778CD" w:rsidR="0035454C" w:rsidP="0035454C" w:rsidRDefault="00A83315" w14:paraId="491A6017" w14:textId="10F5F7AB">
      <w:pPr>
        <w:tabs>
          <w:tab w:val="clear" w:pos="9360"/>
        </w:tabs>
        <w:ind w:left="360"/>
        <w:rPr>
          <w:sz w:val="24"/>
        </w:rPr>
      </w:pPr>
      <w:r w:rsidRPr="007778CD">
        <w:rPr>
          <w:sz w:val="24"/>
        </w:rPr>
        <w:t xml:space="preserve">All information shared with stakeholders will be reported in aggregate form. Formal reports will be written for view and use by CDC. The data will be used to </w:t>
      </w:r>
      <w:r w:rsidRPr="007778CD" w:rsidR="0035454C">
        <w:rPr>
          <w:sz w:val="24"/>
        </w:rPr>
        <w:t xml:space="preserve">inform </w:t>
      </w:r>
      <w:r w:rsidRPr="007778CD" w:rsidR="0003403C">
        <w:rPr>
          <w:sz w:val="24"/>
        </w:rPr>
        <w:t>NCEH</w:t>
      </w:r>
      <w:r w:rsidRPr="007778CD" w:rsidR="0035454C">
        <w:rPr>
          <w:sz w:val="24"/>
        </w:rPr>
        <w:t xml:space="preserve">/ATSDR’s update of federal cancer cluster guidelines and assist in understanding STLT public health agency needs for other tools/guidance around cancer clusters.  </w:t>
      </w:r>
    </w:p>
    <w:p w:rsidRPr="00A83315" w:rsidR="00A83315" w:rsidP="00A83315" w:rsidRDefault="00A83315" w14:paraId="67E25F46" w14:textId="642AE0BA"/>
    <w:p w:rsidRPr="00BB090C" w:rsidR="008C59E7" w:rsidP="008B65FF" w:rsidRDefault="008C59E7" w14:paraId="68CF649D" w14:textId="77777777">
      <w:pPr>
        <w:ind w:left="360"/>
        <w:rPr>
          <w:rFonts w:cs="Arial"/>
          <w:color w:val="0070C0"/>
        </w:rPr>
      </w:pPr>
    </w:p>
    <w:tbl>
      <w:tblPr>
        <w:tblStyle w:val="GridTable1Light"/>
        <w:tblW w:w="8640" w:type="dxa"/>
        <w:tblInd w:w="714" w:type="dxa"/>
        <w:tblLook w:val="0620" w:firstRow="1" w:lastRow="0" w:firstColumn="0" w:lastColumn="0" w:noHBand="1" w:noVBand="1"/>
      </w:tblPr>
      <w:tblGrid>
        <w:gridCol w:w="4855"/>
        <w:gridCol w:w="2160"/>
        <w:gridCol w:w="1625"/>
      </w:tblGrid>
      <w:tr w:rsidRPr="001E0765" w:rsidR="00A83315" w:rsidTr="004C57AB" w14:paraId="2B2495AC" w14:textId="77777777">
        <w:trPr>
          <w:cnfStyle w:val="100000000000" w:firstRow="1" w:lastRow="0" w:firstColumn="0" w:lastColumn="0" w:oddVBand="0" w:evenVBand="0" w:oddHBand="0" w:evenHBand="0" w:firstRowFirstColumn="0" w:firstRowLastColumn="0" w:lastRowFirstColumn="0" w:lastRowLastColumn="0"/>
          <w:trHeight w:val="287"/>
          <w:tblHeader/>
        </w:trPr>
        <w:tc>
          <w:tcPr>
            <w:tcW w:w="4855" w:type="dxa"/>
          </w:tcPr>
          <w:p w:rsidRPr="001E0765" w:rsidR="00A83315" w:rsidP="004C57AB" w:rsidRDefault="00A83315" w14:paraId="16CBAD53" w14:textId="77777777">
            <w:pPr>
              <w:ind w:left="0"/>
              <w:rPr>
                <w:rFonts w:cs="Arial"/>
                <w:b w:val="0"/>
              </w:rPr>
            </w:pPr>
            <w:r w:rsidRPr="001E0765">
              <w:rPr>
                <w:rFonts w:cs="Arial"/>
                <w:b w:val="0"/>
              </w:rPr>
              <w:t>Task</w:t>
            </w:r>
          </w:p>
        </w:tc>
        <w:tc>
          <w:tcPr>
            <w:tcW w:w="2160" w:type="dxa"/>
          </w:tcPr>
          <w:p w:rsidRPr="001E0765" w:rsidR="00A83315" w:rsidP="004C57AB" w:rsidRDefault="00A83315" w14:paraId="1EC5119C" w14:textId="77777777">
            <w:pPr>
              <w:ind w:left="0"/>
              <w:rPr>
                <w:rFonts w:cs="Arial"/>
                <w:b w:val="0"/>
              </w:rPr>
            </w:pPr>
            <w:r w:rsidRPr="001E0765">
              <w:rPr>
                <w:rFonts w:cs="Arial"/>
                <w:b w:val="0"/>
              </w:rPr>
              <w:t>Timeline</w:t>
            </w:r>
          </w:p>
        </w:tc>
        <w:tc>
          <w:tcPr>
            <w:tcW w:w="1625" w:type="dxa"/>
          </w:tcPr>
          <w:p w:rsidRPr="001E0765" w:rsidR="00A83315" w:rsidP="004C57AB" w:rsidRDefault="00A83315" w14:paraId="094159F4" w14:textId="77777777">
            <w:pPr>
              <w:ind w:left="0"/>
              <w:rPr>
                <w:rFonts w:cs="Arial"/>
                <w:b w:val="0"/>
              </w:rPr>
            </w:pPr>
            <w:r w:rsidRPr="001E0765">
              <w:rPr>
                <w:rFonts w:cs="Arial"/>
                <w:b w:val="0"/>
              </w:rPr>
              <w:t>Status</w:t>
            </w:r>
          </w:p>
        </w:tc>
      </w:tr>
      <w:tr w:rsidRPr="001E0765" w:rsidR="00A83315" w:rsidTr="004C57AB" w14:paraId="5CB3B815" w14:textId="77777777">
        <w:tc>
          <w:tcPr>
            <w:tcW w:w="4855" w:type="dxa"/>
          </w:tcPr>
          <w:p w:rsidRPr="002617B5" w:rsidR="00A83315" w:rsidP="004C57AB" w:rsidRDefault="00A83315" w14:paraId="358EAB85" w14:textId="77777777">
            <w:pPr>
              <w:ind w:left="0"/>
              <w:rPr>
                <w:rFonts w:ascii="Cambria" w:hAnsi="Cambria" w:eastAsiaTheme="majorEastAsia" w:cstheme="majorBidi"/>
              </w:rPr>
            </w:pPr>
            <w:r w:rsidRPr="002617B5">
              <w:rPr>
                <w:rFonts w:ascii="Cambria" w:hAnsi="Cambria" w:eastAsiaTheme="majorEastAsia" w:cstheme="majorBidi"/>
              </w:rPr>
              <w:t>Design instruments</w:t>
            </w:r>
          </w:p>
          <w:p w:rsidRPr="002617B5" w:rsidR="00A83315" w:rsidP="004C57AB" w:rsidRDefault="00A83315" w14:paraId="3D56E475" w14:textId="77777777">
            <w:pPr>
              <w:ind w:left="0"/>
              <w:rPr>
                <w:rFonts w:ascii="Cambria" w:hAnsi="Cambria" w:cs="Arial"/>
              </w:rPr>
            </w:pPr>
          </w:p>
        </w:tc>
        <w:tc>
          <w:tcPr>
            <w:tcW w:w="2160" w:type="dxa"/>
          </w:tcPr>
          <w:p w:rsidRPr="002617B5" w:rsidR="00A83315" w:rsidP="004C57AB" w:rsidRDefault="00A83315" w14:paraId="49873FDC" w14:textId="77777777">
            <w:pPr>
              <w:ind w:left="0"/>
              <w:rPr>
                <w:rFonts w:ascii="Cambria" w:hAnsi="Cambria" w:cs="Arial"/>
              </w:rPr>
            </w:pPr>
            <w:r>
              <w:rPr>
                <w:rFonts w:ascii="Cambria" w:hAnsi="Cambria" w:cs="Arial"/>
              </w:rPr>
              <w:t>8</w:t>
            </w:r>
            <w:r w:rsidRPr="002617B5">
              <w:rPr>
                <w:rFonts w:ascii="Cambria" w:hAnsi="Cambria" w:cs="Arial"/>
              </w:rPr>
              <w:t xml:space="preserve"> weeks</w:t>
            </w:r>
          </w:p>
        </w:tc>
        <w:tc>
          <w:tcPr>
            <w:tcW w:w="1625" w:type="dxa"/>
          </w:tcPr>
          <w:p w:rsidRPr="002617B5" w:rsidR="00A83315" w:rsidP="004C57AB" w:rsidRDefault="00A83315" w14:paraId="64A9AF37" w14:textId="77777777">
            <w:pPr>
              <w:ind w:left="0"/>
              <w:rPr>
                <w:rFonts w:ascii="Cambria" w:hAnsi="Cambria" w:cs="Arial"/>
              </w:rPr>
            </w:pPr>
            <w:r w:rsidRPr="002617B5">
              <w:rPr>
                <w:rFonts w:ascii="Cambria" w:hAnsi="Cambria" w:cs="Arial"/>
              </w:rPr>
              <w:t xml:space="preserve">COMPLETE   </w:t>
            </w:r>
            <w:r w:rsidRPr="002617B5">
              <w:rPr>
                <w:rFonts w:ascii="Cambria" w:hAnsi="Cambria" w:cs="Arial"/>
              </w:rPr>
              <w:sym w:font="Wingdings" w:char="F0FC"/>
            </w:r>
          </w:p>
        </w:tc>
      </w:tr>
      <w:tr w:rsidRPr="001E0765" w:rsidR="00A83315" w:rsidTr="004C57AB" w14:paraId="792067C9" w14:textId="77777777">
        <w:tc>
          <w:tcPr>
            <w:tcW w:w="4855" w:type="dxa"/>
          </w:tcPr>
          <w:p w:rsidRPr="002617B5" w:rsidR="00A83315" w:rsidP="004C57AB" w:rsidRDefault="00A83315" w14:paraId="75A9D511" w14:textId="77777777">
            <w:pPr>
              <w:ind w:left="0"/>
              <w:rPr>
                <w:rFonts w:ascii="Cambria" w:hAnsi="Cambria" w:eastAsiaTheme="majorEastAsia" w:cstheme="majorBidi"/>
              </w:rPr>
            </w:pPr>
            <w:r w:rsidRPr="002617B5">
              <w:rPr>
                <w:rFonts w:ascii="Cambria" w:hAnsi="Cambria" w:eastAsiaTheme="majorEastAsia" w:cstheme="majorBidi"/>
              </w:rPr>
              <w:t>Develop protocol, instructions, and analysis plan</w:t>
            </w:r>
          </w:p>
          <w:p w:rsidRPr="002617B5" w:rsidR="00A83315" w:rsidP="004C57AB" w:rsidRDefault="00A83315" w14:paraId="0F5FEC68" w14:textId="77777777">
            <w:pPr>
              <w:ind w:left="0"/>
              <w:rPr>
                <w:rFonts w:ascii="Cambria" w:hAnsi="Cambria" w:cs="Arial"/>
              </w:rPr>
            </w:pPr>
          </w:p>
        </w:tc>
        <w:tc>
          <w:tcPr>
            <w:tcW w:w="2160" w:type="dxa"/>
          </w:tcPr>
          <w:p w:rsidRPr="002617B5" w:rsidR="00A83315" w:rsidP="004C57AB" w:rsidRDefault="00A83315" w14:paraId="6DFD15BD" w14:textId="77777777">
            <w:pPr>
              <w:ind w:left="0"/>
              <w:rPr>
                <w:rFonts w:ascii="Cambria" w:hAnsi="Cambria" w:cs="Arial"/>
              </w:rPr>
            </w:pPr>
            <w:r>
              <w:rPr>
                <w:rFonts w:ascii="Cambria" w:hAnsi="Cambria" w:cs="Arial"/>
              </w:rPr>
              <w:t>8</w:t>
            </w:r>
            <w:r w:rsidRPr="002617B5">
              <w:rPr>
                <w:rFonts w:ascii="Cambria" w:hAnsi="Cambria" w:cs="Arial"/>
              </w:rPr>
              <w:t xml:space="preserve"> weeks</w:t>
            </w:r>
          </w:p>
        </w:tc>
        <w:tc>
          <w:tcPr>
            <w:tcW w:w="1625" w:type="dxa"/>
          </w:tcPr>
          <w:p w:rsidRPr="002617B5" w:rsidR="00A83315" w:rsidP="004C57AB" w:rsidRDefault="00A83315" w14:paraId="2137EA33" w14:textId="77777777">
            <w:pPr>
              <w:ind w:left="0"/>
              <w:rPr>
                <w:rFonts w:ascii="Cambria" w:hAnsi="Cambria" w:cs="Arial"/>
              </w:rPr>
            </w:pPr>
            <w:r w:rsidRPr="002617B5">
              <w:rPr>
                <w:rFonts w:ascii="Cambria" w:hAnsi="Cambria" w:cs="Arial"/>
              </w:rPr>
              <w:t xml:space="preserve">COMPLETE   </w:t>
            </w:r>
            <w:r w:rsidRPr="002617B5">
              <w:rPr>
                <w:rFonts w:ascii="Cambria" w:hAnsi="Cambria" w:cs="Arial"/>
              </w:rPr>
              <w:sym w:font="Wingdings" w:char="F0FC"/>
            </w:r>
          </w:p>
        </w:tc>
      </w:tr>
      <w:tr w:rsidRPr="001E0765" w:rsidR="00A83315" w:rsidTr="004C57AB" w14:paraId="2E752503" w14:textId="77777777">
        <w:tc>
          <w:tcPr>
            <w:tcW w:w="4855" w:type="dxa"/>
          </w:tcPr>
          <w:p w:rsidRPr="002617B5" w:rsidR="00A83315" w:rsidP="004C57AB" w:rsidRDefault="00A83315" w14:paraId="6B3A923D" w14:textId="77777777">
            <w:pPr>
              <w:ind w:left="0"/>
              <w:rPr>
                <w:rFonts w:ascii="Cambria" w:hAnsi="Cambria" w:eastAsiaTheme="majorEastAsia" w:cstheme="majorBidi"/>
              </w:rPr>
            </w:pPr>
            <w:r w:rsidRPr="002617B5">
              <w:rPr>
                <w:rFonts w:ascii="Cambria" w:hAnsi="Cambria" w:eastAsiaTheme="majorEastAsia" w:cstheme="majorBidi"/>
              </w:rPr>
              <w:t>Pilot test instruments</w:t>
            </w:r>
          </w:p>
          <w:p w:rsidRPr="002617B5" w:rsidR="00A83315" w:rsidP="004C57AB" w:rsidRDefault="00A83315" w14:paraId="410910B1" w14:textId="77777777">
            <w:pPr>
              <w:ind w:left="0"/>
              <w:rPr>
                <w:rFonts w:ascii="Cambria" w:hAnsi="Cambria" w:cs="Arial"/>
              </w:rPr>
            </w:pPr>
          </w:p>
        </w:tc>
        <w:tc>
          <w:tcPr>
            <w:tcW w:w="2160" w:type="dxa"/>
          </w:tcPr>
          <w:p w:rsidRPr="002617B5" w:rsidR="00A83315" w:rsidP="004C57AB" w:rsidRDefault="00A83315" w14:paraId="13D22ABF" w14:textId="77777777">
            <w:pPr>
              <w:ind w:left="0"/>
              <w:rPr>
                <w:rFonts w:ascii="Cambria" w:hAnsi="Cambria" w:cs="Arial"/>
              </w:rPr>
            </w:pPr>
            <w:r w:rsidRPr="002617B5">
              <w:rPr>
                <w:rFonts w:ascii="Cambria" w:hAnsi="Cambria" w:cs="Arial"/>
              </w:rPr>
              <w:t>2 weeks</w:t>
            </w:r>
          </w:p>
        </w:tc>
        <w:tc>
          <w:tcPr>
            <w:tcW w:w="1625" w:type="dxa"/>
          </w:tcPr>
          <w:p w:rsidRPr="002617B5" w:rsidR="00A83315" w:rsidP="004C57AB" w:rsidRDefault="00A83315" w14:paraId="00BEB011" w14:textId="77777777">
            <w:pPr>
              <w:ind w:left="0"/>
              <w:rPr>
                <w:rFonts w:ascii="Cambria" w:hAnsi="Cambria" w:cs="Arial"/>
              </w:rPr>
            </w:pPr>
            <w:r w:rsidRPr="002617B5">
              <w:rPr>
                <w:rFonts w:ascii="Cambria" w:hAnsi="Cambria" w:cs="Arial"/>
              </w:rPr>
              <w:t xml:space="preserve">COMPLETE   </w:t>
            </w:r>
            <w:r w:rsidRPr="002617B5">
              <w:rPr>
                <w:rFonts w:ascii="Cambria" w:hAnsi="Cambria" w:cs="Arial"/>
              </w:rPr>
              <w:sym w:font="Wingdings" w:char="F0FC"/>
            </w:r>
          </w:p>
        </w:tc>
      </w:tr>
      <w:tr w:rsidRPr="001E0765" w:rsidR="00A83315" w:rsidTr="004C57AB" w14:paraId="020BA5B6" w14:textId="77777777">
        <w:tc>
          <w:tcPr>
            <w:tcW w:w="4855" w:type="dxa"/>
          </w:tcPr>
          <w:p w:rsidRPr="002617B5" w:rsidR="00A83315" w:rsidP="004C57AB" w:rsidRDefault="00A83315" w14:paraId="5F19BDB4" w14:textId="77777777">
            <w:pPr>
              <w:ind w:left="0"/>
              <w:rPr>
                <w:rFonts w:ascii="Cambria" w:hAnsi="Cambria" w:eastAsiaTheme="majorEastAsia" w:cstheme="majorBidi"/>
              </w:rPr>
            </w:pPr>
            <w:r w:rsidRPr="002617B5">
              <w:rPr>
                <w:rFonts w:ascii="Cambria" w:hAnsi="Cambria" w:eastAsiaTheme="majorEastAsia" w:cstheme="majorBidi"/>
              </w:rPr>
              <w:t>Prepare OMB package</w:t>
            </w:r>
          </w:p>
          <w:p w:rsidRPr="002617B5" w:rsidR="00A83315" w:rsidP="004C57AB" w:rsidRDefault="00A83315" w14:paraId="798F9105" w14:textId="77777777">
            <w:pPr>
              <w:ind w:left="0"/>
              <w:rPr>
                <w:rFonts w:ascii="Cambria" w:hAnsi="Cambria" w:cs="Arial"/>
              </w:rPr>
            </w:pPr>
          </w:p>
        </w:tc>
        <w:tc>
          <w:tcPr>
            <w:tcW w:w="2160" w:type="dxa"/>
          </w:tcPr>
          <w:p w:rsidRPr="002617B5" w:rsidR="00A83315" w:rsidP="004C57AB" w:rsidRDefault="00A83315" w14:paraId="13BB6142" w14:textId="77777777">
            <w:pPr>
              <w:ind w:left="0"/>
              <w:rPr>
                <w:rFonts w:ascii="Cambria" w:hAnsi="Cambria" w:cs="Arial"/>
              </w:rPr>
            </w:pPr>
            <w:r>
              <w:rPr>
                <w:rFonts w:ascii="Cambria" w:hAnsi="Cambria" w:cs="Arial"/>
              </w:rPr>
              <w:t>16 weeks</w:t>
            </w:r>
          </w:p>
        </w:tc>
        <w:tc>
          <w:tcPr>
            <w:tcW w:w="1625" w:type="dxa"/>
          </w:tcPr>
          <w:p w:rsidRPr="002617B5" w:rsidR="00A83315" w:rsidP="004C57AB" w:rsidRDefault="00A83315" w14:paraId="168EDEF2" w14:textId="77777777">
            <w:pPr>
              <w:ind w:left="0"/>
              <w:rPr>
                <w:rFonts w:ascii="Cambria" w:hAnsi="Cambria" w:cs="Arial"/>
              </w:rPr>
            </w:pPr>
            <w:r w:rsidRPr="002617B5">
              <w:rPr>
                <w:rFonts w:ascii="Cambria" w:hAnsi="Cambria" w:cs="Arial"/>
              </w:rPr>
              <w:t xml:space="preserve">COMPLETE   </w:t>
            </w:r>
            <w:r w:rsidRPr="002617B5">
              <w:rPr>
                <w:rFonts w:ascii="Cambria" w:hAnsi="Cambria" w:cs="Arial"/>
              </w:rPr>
              <w:sym w:font="Wingdings" w:char="F0FC"/>
            </w:r>
          </w:p>
        </w:tc>
      </w:tr>
      <w:tr w:rsidRPr="001E0765" w:rsidR="00A83315" w:rsidTr="004C57AB" w14:paraId="4A7219A2" w14:textId="77777777">
        <w:tc>
          <w:tcPr>
            <w:tcW w:w="4855" w:type="dxa"/>
          </w:tcPr>
          <w:p w:rsidRPr="002617B5" w:rsidR="00A83315" w:rsidP="004C57AB" w:rsidRDefault="00A83315" w14:paraId="13E0E8A6" w14:textId="77777777">
            <w:pPr>
              <w:ind w:left="0"/>
              <w:rPr>
                <w:rFonts w:ascii="Cambria" w:hAnsi="Cambria" w:eastAsiaTheme="majorEastAsia" w:cstheme="majorBidi"/>
              </w:rPr>
            </w:pPr>
            <w:r w:rsidRPr="002617B5">
              <w:rPr>
                <w:rFonts w:ascii="Cambria" w:hAnsi="Cambria" w:eastAsiaTheme="majorEastAsia" w:cstheme="majorBidi"/>
              </w:rPr>
              <w:t>Submit OMB package</w:t>
            </w:r>
          </w:p>
          <w:p w:rsidRPr="002617B5" w:rsidR="00A83315" w:rsidP="004C57AB" w:rsidRDefault="00A83315" w14:paraId="3649DE42" w14:textId="77777777">
            <w:pPr>
              <w:ind w:left="0"/>
              <w:rPr>
                <w:rFonts w:ascii="Cambria" w:hAnsi="Cambria" w:cs="Arial"/>
              </w:rPr>
            </w:pPr>
          </w:p>
        </w:tc>
        <w:tc>
          <w:tcPr>
            <w:tcW w:w="2160" w:type="dxa"/>
          </w:tcPr>
          <w:p w:rsidRPr="002617B5" w:rsidR="00A83315" w:rsidP="004C57AB" w:rsidRDefault="00A83315" w14:paraId="4AE04C10" w14:textId="77777777">
            <w:pPr>
              <w:ind w:left="0"/>
              <w:rPr>
                <w:rFonts w:ascii="Cambria" w:hAnsi="Cambria" w:cs="Arial"/>
              </w:rPr>
            </w:pPr>
            <w:r w:rsidRPr="002617B5">
              <w:rPr>
                <w:rFonts w:ascii="Cambria" w:hAnsi="Cambria" w:cs="Arial"/>
              </w:rPr>
              <w:t>4 weeks</w:t>
            </w:r>
          </w:p>
        </w:tc>
        <w:tc>
          <w:tcPr>
            <w:tcW w:w="1625" w:type="dxa"/>
          </w:tcPr>
          <w:p w:rsidRPr="002617B5" w:rsidR="00A83315" w:rsidP="004C57AB" w:rsidRDefault="00A83315" w14:paraId="19D2E399" w14:textId="77777777">
            <w:pPr>
              <w:ind w:left="0"/>
              <w:rPr>
                <w:rFonts w:ascii="Cambria" w:hAnsi="Cambria" w:cs="Arial"/>
              </w:rPr>
            </w:pPr>
            <w:r>
              <w:rPr>
                <w:rFonts w:ascii="Cambria" w:hAnsi="Cambria" w:cs="Arial"/>
              </w:rPr>
              <w:t xml:space="preserve">    TBD        </w:t>
            </w:r>
            <w:r w:rsidRPr="00F8492F">
              <w:rPr>
                <w:rFonts w:ascii="Cambria" w:hAnsi="Cambria" w:cs="Arial"/>
                <w:b/>
              </w:rPr>
              <w:t xml:space="preserve"> --</w:t>
            </w:r>
          </w:p>
        </w:tc>
      </w:tr>
      <w:tr w:rsidRPr="001E0765" w:rsidR="00A83315" w:rsidTr="004C57AB" w14:paraId="2C3CBBEE" w14:textId="77777777">
        <w:tc>
          <w:tcPr>
            <w:tcW w:w="4855" w:type="dxa"/>
          </w:tcPr>
          <w:p w:rsidRPr="002617B5" w:rsidR="00A83315" w:rsidP="004C57AB" w:rsidRDefault="00A83315" w14:paraId="164E2668" w14:textId="77777777">
            <w:pPr>
              <w:ind w:left="0"/>
              <w:rPr>
                <w:rFonts w:ascii="Cambria" w:hAnsi="Cambria" w:eastAsiaTheme="majorEastAsia" w:cstheme="majorBidi"/>
              </w:rPr>
            </w:pPr>
            <w:r w:rsidRPr="002617B5">
              <w:rPr>
                <w:rFonts w:ascii="Cambria" w:hAnsi="Cambria" w:eastAsiaTheme="majorEastAsia" w:cstheme="majorBidi"/>
              </w:rPr>
              <w:t>OMB approval</w:t>
            </w:r>
          </w:p>
          <w:p w:rsidRPr="002617B5" w:rsidR="00A83315" w:rsidP="004C57AB" w:rsidRDefault="00A83315" w14:paraId="4F24335B" w14:textId="77777777">
            <w:pPr>
              <w:ind w:left="0"/>
              <w:rPr>
                <w:rFonts w:ascii="Cambria" w:hAnsi="Cambria" w:cs="Arial"/>
              </w:rPr>
            </w:pPr>
          </w:p>
        </w:tc>
        <w:tc>
          <w:tcPr>
            <w:tcW w:w="2160" w:type="dxa"/>
          </w:tcPr>
          <w:p w:rsidRPr="002617B5" w:rsidR="00A83315" w:rsidP="004C57AB" w:rsidRDefault="00A83315" w14:paraId="3AD30027" w14:textId="77777777">
            <w:pPr>
              <w:ind w:left="0"/>
              <w:rPr>
                <w:rFonts w:ascii="Cambria" w:hAnsi="Cambria" w:cs="Arial"/>
              </w:rPr>
            </w:pPr>
            <w:r w:rsidRPr="002617B5">
              <w:rPr>
                <w:rFonts w:ascii="Cambria" w:hAnsi="Cambria" w:cs="Arial"/>
              </w:rPr>
              <w:t>In process</w:t>
            </w:r>
          </w:p>
        </w:tc>
        <w:tc>
          <w:tcPr>
            <w:tcW w:w="1625" w:type="dxa"/>
          </w:tcPr>
          <w:p w:rsidRPr="002617B5" w:rsidR="00A83315" w:rsidP="004C57AB" w:rsidRDefault="00A83315" w14:paraId="4BB9A6B1" w14:textId="77777777">
            <w:pPr>
              <w:ind w:left="0"/>
              <w:jc w:val="center"/>
              <w:rPr>
                <w:rFonts w:ascii="Cambria" w:hAnsi="Cambria" w:cs="Arial"/>
              </w:rPr>
            </w:pPr>
            <w:r w:rsidRPr="002617B5">
              <w:rPr>
                <w:rFonts w:ascii="Cambria" w:hAnsi="Cambria" w:cs="Arial"/>
              </w:rPr>
              <w:t xml:space="preserve">TBD         </w:t>
            </w:r>
            <w:r w:rsidRPr="002617B5">
              <w:rPr>
                <w:rFonts w:ascii="Cambria" w:hAnsi="Cambria" w:cs="Arial"/>
                <w:b/>
              </w:rPr>
              <w:t>--</w:t>
            </w:r>
          </w:p>
        </w:tc>
      </w:tr>
      <w:tr w:rsidRPr="001E0765" w:rsidR="00A83315" w:rsidTr="004C57AB" w14:paraId="2209C1FC" w14:textId="77777777">
        <w:tc>
          <w:tcPr>
            <w:tcW w:w="4855" w:type="dxa"/>
          </w:tcPr>
          <w:p w:rsidRPr="002617B5" w:rsidR="00A83315" w:rsidP="004C57AB" w:rsidRDefault="00A83315" w14:paraId="310254F5" w14:textId="77777777">
            <w:pPr>
              <w:ind w:left="0"/>
              <w:rPr>
                <w:rFonts w:ascii="Cambria" w:hAnsi="Cambria" w:cs="Arial"/>
              </w:rPr>
            </w:pPr>
            <w:r w:rsidRPr="002617B5">
              <w:rPr>
                <w:rFonts w:ascii="Cambria" w:hAnsi="Cambria" w:eastAsiaTheme="majorEastAsia" w:cstheme="majorBidi"/>
              </w:rPr>
              <w:t xml:space="preserve">Conduct </w:t>
            </w:r>
            <w:r>
              <w:rPr>
                <w:rFonts w:ascii="Cambria" w:hAnsi="Cambria" w:eastAsiaTheme="majorEastAsia" w:cstheme="majorBidi"/>
              </w:rPr>
              <w:t>data collection</w:t>
            </w:r>
          </w:p>
        </w:tc>
        <w:tc>
          <w:tcPr>
            <w:tcW w:w="2160" w:type="dxa"/>
          </w:tcPr>
          <w:p w:rsidRPr="002617B5" w:rsidR="00A83315" w:rsidP="004C57AB" w:rsidRDefault="005825A7" w14:paraId="4181F706" w14:textId="702F57E0">
            <w:pPr>
              <w:ind w:left="0"/>
              <w:rPr>
                <w:rFonts w:ascii="Cambria" w:hAnsi="Cambria" w:cs="Arial"/>
              </w:rPr>
            </w:pPr>
            <w:r>
              <w:rPr>
                <w:rFonts w:ascii="Cambria" w:hAnsi="Cambria" w:cs="Arial"/>
              </w:rPr>
              <w:t>Within</w:t>
            </w:r>
            <w:r w:rsidR="00A83315">
              <w:rPr>
                <w:rFonts w:ascii="Cambria" w:hAnsi="Cambria" w:cs="Arial"/>
              </w:rPr>
              <w:t xml:space="preserve"> </w:t>
            </w:r>
            <w:r w:rsidR="00EA28F4">
              <w:rPr>
                <w:rFonts w:ascii="Cambria" w:hAnsi="Cambria" w:cs="Arial"/>
              </w:rPr>
              <w:t>4</w:t>
            </w:r>
            <w:r w:rsidR="001A5355">
              <w:rPr>
                <w:rFonts w:ascii="Cambria" w:hAnsi="Cambria" w:cs="Arial"/>
              </w:rPr>
              <w:t xml:space="preserve"> week</w:t>
            </w:r>
            <w:r w:rsidR="00EA28F4">
              <w:rPr>
                <w:rFonts w:ascii="Cambria" w:hAnsi="Cambria" w:cs="Arial"/>
              </w:rPr>
              <w:t>s</w:t>
            </w:r>
            <w:r w:rsidRPr="002617B5" w:rsidR="00A83315">
              <w:rPr>
                <w:rFonts w:ascii="Cambria" w:hAnsi="Cambria" w:cs="Arial"/>
              </w:rPr>
              <w:t xml:space="preserve"> after OMB approval</w:t>
            </w:r>
          </w:p>
        </w:tc>
        <w:tc>
          <w:tcPr>
            <w:tcW w:w="1625" w:type="dxa"/>
          </w:tcPr>
          <w:p w:rsidRPr="002617B5" w:rsidR="00A83315" w:rsidP="004C57AB" w:rsidRDefault="00A83315" w14:paraId="31EE679D" w14:textId="77777777">
            <w:pPr>
              <w:ind w:left="0"/>
              <w:jc w:val="center"/>
              <w:rPr>
                <w:rFonts w:ascii="Cambria" w:hAnsi="Cambria" w:cs="Arial"/>
              </w:rPr>
            </w:pPr>
            <w:r w:rsidRPr="002617B5">
              <w:rPr>
                <w:rFonts w:ascii="Cambria" w:hAnsi="Cambria" w:cs="Arial"/>
              </w:rPr>
              <w:t xml:space="preserve">TBD         </w:t>
            </w:r>
            <w:r w:rsidRPr="002617B5">
              <w:rPr>
                <w:rFonts w:ascii="Cambria" w:hAnsi="Cambria" w:cs="Arial"/>
                <w:b/>
              </w:rPr>
              <w:t>--</w:t>
            </w:r>
          </w:p>
        </w:tc>
      </w:tr>
      <w:tr w:rsidRPr="001E0765" w:rsidR="00A83315" w:rsidTr="004C57AB" w14:paraId="5C6EB3CF" w14:textId="77777777">
        <w:tc>
          <w:tcPr>
            <w:tcW w:w="4855" w:type="dxa"/>
          </w:tcPr>
          <w:p w:rsidRPr="002617B5" w:rsidR="00A83315" w:rsidP="004C57AB" w:rsidRDefault="00A83315" w14:paraId="6B63B31E" w14:textId="77777777">
            <w:pPr>
              <w:ind w:left="0"/>
              <w:rPr>
                <w:rFonts w:ascii="Cambria" w:hAnsi="Cambria" w:cs="Arial"/>
              </w:rPr>
            </w:pPr>
            <w:r w:rsidRPr="002617B5">
              <w:rPr>
                <w:rFonts w:ascii="Cambria" w:hAnsi="Cambria" w:eastAsiaTheme="majorEastAsia" w:cstheme="majorBidi"/>
              </w:rPr>
              <w:t>Code, quality control, and analyze data</w:t>
            </w:r>
          </w:p>
        </w:tc>
        <w:tc>
          <w:tcPr>
            <w:tcW w:w="2160" w:type="dxa"/>
          </w:tcPr>
          <w:p w:rsidRPr="002617B5" w:rsidR="00A83315" w:rsidP="004C57AB" w:rsidRDefault="00A83315" w14:paraId="6ADB662E" w14:textId="77777777">
            <w:pPr>
              <w:ind w:left="0"/>
              <w:rPr>
                <w:rFonts w:ascii="Cambria" w:hAnsi="Cambria" w:cs="Arial"/>
              </w:rPr>
            </w:pPr>
            <w:r w:rsidRPr="002617B5">
              <w:rPr>
                <w:rFonts w:ascii="Cambria" w:hAnsi="Cambria" w:cs="Arial"/>
              </w:rPr>
              <w:t xml:space="preserve">Within </w:t>
            </w:r>
            <w:r>
              <w:rPr>
                <w:rFonts w:ascii="Cambria" w:hAnsi="Cambria" w:cs="Arial"/>
              </w:rPr>
              <w:t>4 weeks</w:t>
            </w:r>
            <w:r w:rsidRPr="002617B5">
              <w:rPr>
                <w:rFonts w:ascii="Cambria" w:hAnsi="Cambria" w:cs="Arial"/>
              </w:rPr>
              <w:t xml:space="preserve"> after data collection</w:t>
            </w:r>
          </w:p>
        </w:tc>
        <w:tc>
          <w:tcPr>
            <w:tcW w:w="1625" w:type="dxa"/>
          </w:tcPr>
          <w:p w:rsidRPr="002617B5" w:rsidR="00A83315" w:rsidP="004C57AB" w:rsidRDefault="00A83315" w14:paraId="7DEBDC48" w14:textId="77777777">
            <w:pPr>
              <w:ind w:left="0"/>
              <w:jc w:val="center"/>
              <w:rPr>
                <w:rFonts w:ascii="Cambria" w:hAnsi="Cambria" w:cs="Arial"/>
              </w:rPr>
            </w:pPr>
            <w:r w:rsidRPr="002617B5">
              <w:rPr>
                <w:rFonts w:ascii="Cambria" w:hAnsi="Cambria" w:cs="Arial"/>
              </w:rPr>
              <w:t xml:space="preserve">TBD         </w:t>
            </w:r>
            <w:r w:rsidRPr="002617B5">
              <w:rPr>
                <w:rFonts w:ascii="Cambria" w:hAnsi="Cambria" w:cs="Arial"/>
                <w:b/>
              </w:rPr>
              <w:t>--</w:t>
            </w:r>
          </w:p>
        </w:tc>
      </w:tr>
      <w:tr w:rsidRPr="001E0765" w:rsidR="00A83315" w:rsidTr="004C57AB" w14:paraId="755A4CB9" w14:textId="77777777">
        <w:tc>
          <w:tcPr>
            <w:tcW w:w="4855" w:type="dxa"/>
          </w:tcPr>
          <w:p w:rsidRPr="002617B5" w:rsidR="00A83315" w:rsidP="004C57AB" w:rsidRDefault="00A83315" w14:paraId="1DF4FD91" w14:textId="77777777">
            <w:pPr>
              <w:ind w:left="0"/>
              <w:rPr>
                <w:rFonts w:ascii="Cambria" w:hAnsi="Cambria" w:eastAsiaTheme="majorEastAsia" w:cstheme="majorBidi"/>
              </w:rPr>
            </w:pPr>
            <w:r w:rsidRPr="002617B5">
              <w:rPr>
                <w:rFonts w:ascii="Cambria" w:hAnsi="Cambria" w:eastAsiaTheme="majorEastAsia" w:cstheme="majorBidi"/>
              </w:rPr>
              <w:t>Prepare summary reports</w:t>
            </w:r>
          </w:p>
          <w:p w:rsidRPr="002617B5" w:rsidR="00A83315" w:rsidP="004C57AB" w:rsidRDefault="00A83315" w14:paraId="5AB076B2" w14:textId="77777777">
            <w:pPr>
              <w:ind w:left="0"/>
              <w:rPr>
                <w:rFonts w:ascii="Cambria" w:hAnsi="Cambria" w:eastAsiaTheme="majorEastAsia" w:cstheme="majorBidi"/>
              </w:rPr>
            </w:pPr>
          </w:p>
        </w:tc>
        <w:tc>
          <w:tcPr>
            <w:tcW w:w="2160" w:type="dxa"/>
          </w:tcPr>
          <w:p w:rsidRPr="002617B5" w:rsidR="00A83315" w:rsidP="004C57AB" w:rsidRDefault="00A83315" w14:paraId="3EC66E65" w14:textId="77777777">
            <w:pPr>
              <w:ind w:left="0"/>
              <w:rPr>
                <w:rFonts w:ascii="Cambria" w:hAnsi="Cambria" w:cs="Arial"/>
              </w:rPr>
            </w:pPr>
            <w:r w:rsidRPr="002617B5">
              <w:rPr>
                <w:rFonts w:ascii="Cambria" w:hAnsi="Cambria" w:cs="Arial"/>
              </w:rPr>
              <w:t xml:space="preserve">Within </w:t>
            </w:r>
            <w:r>
              <w:rPr>
                <w:rFonts w:ascii="Cambria" w:hAnsi="Cambria" w:cs="Arial"/>
              </w:rPr>
              <w:t>8</w:t>
            </w:r>
            <w:r w:rsidRPr="002617B5">
              <w:rPr>
                <w:rFonts w:ascii="Cambria" w:hAnsi="Cambria" w:cs="Arial"/>
              </w:rPr>
              <w:t xml:space="preserve"> weeks after data analysis</w:t>
            </w:r>
          </w:p>
        </w:tc>
        <w:tc>
          <w:tcPr>
            <w:tcW w:w="1625" w:type="dxa"/>
          </w:tcPr>
          <w:p w:rsidRPr="002617B5" w:rsidR="00A83315" w:rsidP="004C57AB" w:rsidRDefault="00A83315" w14:paraId="5D85E976" w14:textId="77777777">
            <w:pPr>
              <w:ind w:left="0"/>
              <w:jc w:val="center"/>
              <w:rPr>
                <w:rFonts w:ascii="Cambria" w:hAnsi="Cambria" w:cs="Arial"/>
              </w:rPr>
            </w:pPr>
            <w:r w:rsidRPr="002617B5">
              <w:rPr>
                <w:rFonts w:ascii="Cambria" w:hAnsi="Cambria" w:cs="Arial"/>
              </w:rPr>
              <w:t xml:space="preserve">TBD         </w:t>
            </w:r>
            <w:r w:rsidRPr="002617B5">
              <w:rPr>
                <w:rFonts w:ascii="Cambria" w:hAnsi="Cambria" w:cs="Arial"/>
                <w:b/>
              </w:rPr>
              <w:t>--</w:t>
            </w:r>
          </w:p>
        </w:tc>
      </w:tr>
      <w:tr w:rsidRPr="001E0765" w:rsidR="00A83315" w:rsidTr="004C57AB" w14:paraId="7893BD3A" w14:textId="77777777">
        <w:tc>
          <w:tcPr>
            <w:tcW w:w="4855" w:type="dxa"/>
          </w:tcPr>
          <w:p w:rsidRPr="002617B5" w:rsidR="00A83315" w:rsidP="004C57AB" w:rsidRDefault="00A83315" w14:paraId="243E54E3" w14:textId="77777777">
            <w:pPr>
              <w:ind w:left="0"/>
              <w:rPr>
                <w:rFonts w:ascii="Cambria" w:hAnsi="Cambria" w:eastAsiaTheme="majorEastAsia" w:cstheme="majorBidi"/>
              </w:rPr>
            </w:pPr>
            <w:r w:rsidRPr="002617B5">
              <w:rPr>
                <w:rFonts w:ascii="Cambria" w:hAnsi="Cambria" w:eastAsiaTheme="majorEastAsia" w:cstheme="majorBidi"/>
              </w:rPr>
              <w:t xml:space="preserve">Disseminate </w:t>
            </w:r>
            <w:proofErr w:type="gramStart"/>
            <w:r w:rsidRPr="002617B5">
              <w:rPr>
                <w:rFonts w:ascii="Cambria" w:hAnsi="Cambria" w:eastAsiaTheme="majorEastAsia" w:cstheme="majorBidi"/>
              </w:rPr>
              <w:t>final results</w:t>
            </w:r>
            <w:proofErr w:type="gramEnd"/>
            <w:r w:rsidRPr="002617B5">
              <w:rPr>
                <w:rFonts w:ascii="Cambria" w:hAnsi="Cambria" w:eastAsiaTheme="majorEastAsia" w:cstheme="majorBidi"/>
              </w:rPr>
              <w:t>/reports</w:t>
            </w:r>
          </w:p>
        </w:tc>
        <w:tc>
          <w:tcPr>
            <w:tcW w:w="2160" w:type="dxa"/>
          </w:tcPr>
          <w:p w:rsidRPr="002617B5" w:rsidR="00A83315" w:rsidP="004C57AB" w:rsidRDefault="00A83315" w14:paraId="064B4FBA" w14:textId="77777777">
            <w:pPr>
              <w:ind w:left="0"/>
              <w:rPr>
                <w:rFonts w:ascii="Cambria" w:hAnsi="Cambria" w:cs="Arial"/>
              </w:rPr>
            </w:pPr>
            <w:r w:rsidRPr="002617B5">
              <w:rPr>
                <w:rFonts w:ascii="Cambria" w:hAnsi="Cambria" w:cs="Arial"/>
              </w:rPr>
              <w:t xml:space="preserve">Within </w:t>
            </w:r>
            <w:r>
              <w:rPr>
                <w:rFonts w:ascii="Cambria" w:hAnsi="Cambria" w:cs="Arial"/>
              </w:rPr>
              <w:t>4</w:t>
            </w:r>
            <w:r w:rsidRPr="002617B5">
              <w:rPr>
                <w:rFonts w:ascii="Cambria" w:hAnsi="Cambria" w:cs="Arial"/>
              </w:rPr>
              <w:t xml:space="preserve"> weeks after summary reports prepared</w:t>
            </w:r>
          </w:p>
        </w:tc>
        <w:tc>
          <w:tcPr>
            <w:tcW w:w="1625" w:type="dxa"/>
          </w:tcPr>
          <w:p w:rsidRPr="002617B5" w:rsidR="00A83315" w:rsidP="004C57AB" w:rsidRDefault="00A83315" w14:paraId="123E3C15" w14:textId="77777777">
            <w:pPr>
              <w:ind w:left="0"/>
              <w:jc w:val="center"/>
              <w:rPr>
                <w:rFonts w:ascii="Cambria" w:hAnsi="Cambria" w:cs="Arial"/>
              </w:rPr>
            </w:pPr>
            <w:r w:rsidRPr="002617B5">
              <w:rPr>
                <w:rFonts w:ascii="Cambria" w:hAnsi="Cambria" w:cs="Arial"/>
              </w:rPr>
              <w:t xml:space="preserve">TBD         </w:t>
            </w:r>
            <w:r w:rsidRPr="002617B5">
              <w:rPr>
                <w:rFonts w:ascii="Cambria" w:hAnsi="Cambria" w:cs="Arial"/>
                <w:b/>
              </w:rPr>
              <w:t>--</w:t>
            </w:r>
          </w:p>
        </w:tc>
      </w:tr>
    </w:tbl>
    <w:p w:rsidR="000058E0" w:rsidP="008B65FF" w:rsidRDefault="000058E0" w14:paraId="7753D4F1" w14:textId="77777777">
      <w:pPr>
        <w:ind w:left="360"/>
        <w:rPr>
          <w:rFonts w:cs="Arial"/>
          <w:b/>
        </w:rPr>
      </w:pPr>
    </w:p>
    <w:p w:rsidR="000A71DF" w:rsidP="00526683" w:rsidRDefault="000A71DF" w14:paraId="243B486D" w14:textId="77777777">
      <w:pPr>
        <w:ind w:left="0"/>
      </w:pPr>
    </w:p>
    <w:p w:rsidR="00F0000D" w:rsidP="005D6F14" w:rsidRDefault="00F0000D" w14:paraId="115651AC" w14:textId="77777777"/>
    <w:p w:rsidRPr="00D75750" w:rsidR="00B12F51" w:rsidP="00692DEB" w:rsidRDefault="00D75750" w14:paraId="3787DF51" w14:textId="77777777">
      <w:pPr>
        <w:pStyle w:val="Heading4"/>
      </w:pPr>
      <w:bookmarkStart w:name="_Toc427752830" w:id="22"/>
      <w:r w:rsidRPr="00D75750">
        <w:t xml:space="preserve">Reason(s) Display of OMB Expiration </w:t>
      </w:r>
      <w:r>
        <w:t xml:space="preserve">Date </w:t>
      </w:r>
      <w:r w:rsidRPr="00D75750">
        <w:t>is Inappropriate</w:t>
      </w:r>
      <w:bookmarkEnd w:id="22"/>
    </w:p>
    <w:p w:rsidR="00F52BCC" w:rsidP="008B65FF" w:rsidRDefault="00180D45" w14:paraId="728F0A3A" w14:textId="77777777">
      <w:pPr>
        <w:ind w:left="360"/>
      </w:pPr>
      <w:r>
        <w:t>We are requesting no exemption.</w:t>
      </w:r>
    </w:p>
    <w:p w:rsidR="00F52BCC" w:rsidP="005D6F14" w:rsidRDefault="00F52BCC" w14:paraId="7488512C" w14:textId="77777777"/>
    <w:p w:rsidR="003705DF" w:rsidP="005D6F14" w:rsidRDefault="003705DF" w14:paraId="2C9EF9CD" w14:textId="77777777"/>
    <w:p w:rsidRPr="00D26A64" w:rsidR="00B12F51" w:rsidP="00692DEB" w:rsidRDefault="00B12F51" w14:paraId="69E1E7D7" w14:textId="77777777">
      <w:pPr>
        <w:pStyle w:val="Heading4"/>
      </w:pPr>
      <w:bookmarkStart w:name="_Toc427752831" w:id="23"/>
      <w:r w:rsidRPr="00D26A64">
        <w:t>Exceptions to Certification for Paperwork Reduction Act Submissions</w:t>
      </w:r>
      <w:bookmarkEnd w:id="23"/>
    </w:p>
    <w:p w:rsidR="00D1343B" w:rsidP="00DD5E65" w:rsidRDefault="0031279F" w14:paraId="1A88100E" w14:textId="77777777">
      <w:pPr>
        <w:ind w:left="360"/>
      </w:pPr>
      <w:r>
        <w:t>There are no exceptions to the certification.</w:t>
      </w:r>
      <w:r w:rsidR="00180D45">
        <w:t xml:space="preserve">  These activities comply with the requirements in 5 CFR 1320.9.</w:t>
      </w:r>
    </w:p>
    <w:p w:rsidR="008B12FA" w:rsidP="00DD5E65" w:rsidRDefault="008B12FA" w14:paraId="70DCA09B" w14:textId="54E113B3">
      <w:pPr>
        <w:ind w:left="360"/>
      </w:pPr>
    </w:p>
    <w:p w:rsidR="004D5162" w:rsidP="00DD5E65" w:rsidRDefault="004D5162" w14:paraId="59BD954A" w14:textId="77777777">
      <w:pPr>
        <w:ind w:left="360"/>
      </w:pPr>
    </w:p>
    <w:p w:rsidR="00A36419" w:rsidP="008C59E7" w:rsidRDefault="00A36419" w14:paraId="5B0A4B00" w14:textId="77777777">
      <w:pPr>
        <w:pStyle w:val="Heading3"/>
        <w:ind w:left="0"/>
      </w:pPr>
      <w:bookmarkStart w:name="_Toc427752832" w:id="24"/>
      <w:r>
        <w:lastRenderedPageBreak/>
        <w:t>LIST OF ATTACHMENTS</w:t>
      </w:r>
      <w:r w:rsidR="00A33E90">
        <w:t xml:space="preserve"> – Section A</w:t>
      </w:r>
      <w:bookmarkEnd w:id="24"/>
    </w:p>
    <w:p w:rsidRPr="00187B90" w:rsidR="000058E0" w:rsidP="008C59E7" w:rsidRDefault="000058E0" w14:paraId="34EC2008" w14:textId="77777777">
      <w:pPr>
        <w:ind w:left="0"/>
        <w:rPr>
          <w:sz w:val="24"/>
          <w:szCs w:val="24"/>
        </w:rPr>
      </w:pPr>
      <w:r w:rsidRPr="00187B90">
        <w:rPr>
          <w:sz w:val="24"/>
          <w:szCs w:val="24"/>
        </w:rPr>
        <w:t>Note: Attachments are included as separate files as instructed.</w:t>
      </w:r>
    </w:p>
    <w:p w:rsidRPr="00187B90" w:rsidR="00E647FB" w:rsidP="004136DA" w:rsidRDefault="00A1453A" w14:paraId="6195B55C" w14:textId="526B952B">
      <w:pPr>
        <w:pStyle w:val="ListParagraph"/>
        <w:numPr>
          <w:ilvl w:val="0"/>
          <w:numId w:val="20"/>
        </w:numPr>
        <w:tabs>
          <w:tab w:val="clear" w:pos="9360"/>
        </w:tabs>
        <w:spacing w:line="240" w:lineRule="auto"/>
        <w:rPr>
          <w:b/>
          <w:sz w:val="24"/>
          <w:szCs w:val="24"/>
        </w:rPr>
      </w:pPr>
      <w:r w:rsidRPr="00187B90">
        <w:rPr>
          <w:b/>
          <w:sz w:val="24"/>
          <w:szCs w:val="24"/>
        </w:rPr>
        <w:t xml:space="preserve">Attachment A </w:t>
      </w:r>
      <w:r w:rsidRPr="00187B90">
        <w:rPr>
          <w:rFonts w:ascii="Cambria" w:hAnsi="Cambria"/>
          <w:b/>
          <w:sz w:val="24"/>
          <w:szCs w:val="24"/>
        </w:rPr>
        <w:t xml:space="preserve">– </w:t>
      </w:r>
      <w:r w:rsidRPr="00187B90" w:rsidR="00AB366B">
        <w:rPr>
          <w:b/>
          <w:sz w:val="24"/>
          <w:szCs w:val="24"/>
        </w:rPr>
        <w:t>Assessment</w:t>
      </w:r>
      <w:r w:rsidRPr="00187B90" w:rsidR="0078500A">
        <w:rPr>
          <w:b/>
          <w:sz w:val="24"/>
          <w:szCs w:val="24"/>
        </w:rPr>
        <w:t>: Word Version</w:t>
      </w:r>
    </w:p>
    <w:p w:rsidRPr="00187B90" w:rsidR="00E647FB" w:rsidP="004136DA" w:rsidRDefault="00A1453A" w14:paraId="475B7E30" w14:textId="04466E43">
      <w:pPr>
        <w:pStyle w:val="ListParagraph"/>
        <w:numPr>
          <w:ilvl w:val="0"/>
          <w:numId w:val="20"/>
        </w:numPr>
        <w:tabs>
          <w:tab w:val="clear" w:pos="9360"/>
        </w:tabs>
        <w:spacing w:line="240" w:lineRule="auto"/>
        <w:rPr>
          <w:b/>
          <w:sz w:val="24"/>
          <w:szCs w:val="24"/>
        </w:rPr>
      </w:pPr>
      <w:r w:rsidRPr="00187B90">
        <w:rPr>
          <w:b/>
          <w:sz w:val="24"/>
          <w:szCs w:val="24"/>
        </w:rPr>
        <w:t xml:space="preserve">Attachment B </w:t>
      </w:r>
      <w:r w:rsidRPr="00187B90">
        <w:rPr>
          <w:rFonts w:ascii="Cambria" w:hAnsi="Cambria"/>
          <w:b/>
          <w:sz w:val="24"/>
          <w:szCs w:val="24"/>
        </w:rPr>
        <w:t xml:space="preserve">– </w:t>
      </w:r>
      <w:r w:rsidRPr="00187B90" w:rsidR="00AB366B">
        <w:rPr>
          <w:b/>
          <w:sz w:val="24"/>
          <w:szCs w:val="24"/>
        </w:rPr>
        <w:t>Assessment</w:t>
      </w:r>
      <w:r w:rsidRPr="00187B90" w:rsidR="0078500A">
        <w:rPr>
          <w:b/>
          <w:sz w:val="24"/>
          <w:szCs w:val="24"/>
        </w:rPr>
        <w:t>: Web Version</w:t>
      </w:r>
    </w:p>
    <w:p w:rsidRPr="00187B90" w:rsidR="00E647FB" w:rsidP="004136DA" w:rsidRDefault="00A1453A" w14:paraId="1C04C344" w14:textId="7699277D">
      <w:pPr>
        <w:pStyle w:val="ListParagraph"/>
        <w:numPr>
          <w:ilvl w:val="0"/>
          <w:numId w:val="20"/>
        </w:numPr>
        <w:tabs>
          <w:tab w:val="clear" w:pos="9360"/>
        </w:tabs>
        <w:spacing w:line="240" w:lineRule="auto"/>
        <w:rPr>
          <w:b/>
          <w:sz w:val="24"/>
          <w:szCs w:val="24"/>
        </w:rPr>
      </w:pPr>
      <w:r w:rsidRPr="00187B90">
        <w:rPr>
          <w:b/>
          <w:sz w:val="24"/>
          <w:szCs w:val="24"/>
        </w:rPr>
        <w:t xml:space="preserve">Attachment C </w:t>
      </w:r>
      <w:r w:rsidRPr="00187B90">
        <w:rPr>
          <w:rFonts w:ascii="Cambria" w:hAnsi="Cambria"/>
          <w:b/>
          <w:sz w:val="24"/>
          <w:szCs w:val="24"/>
        </w:rPr>
        <w:t xml:space="preserve">– </w:t>
      </w:r>
      <w:r w:rsidRPr="00187B90" w:rsidR="0078500A">
        <w:rPr>
          <w:b/>
          <w:sz w:val="24"/>
          <w:szCs w:val="24"/>
        </w:rPr>
        <w:t>Focus Group Facilitator’s Guide</w:t>
      </w:r>
    </w:p>
    <w:p w:rsidR="00CC7188" w:rsidP="005D6F14" w:rsidRDefault="00CC7188" w14:paraId="7DC3DAA5" w14:textId="77777777"/>
    <w:p w:rsidR="003705DF" w:rsidP="005D6F14" w:rsidRDefault="003705DF" w14:paraId="5DA7EF10" w14:textId="77777777"/>
    <w:p w:rsidR="00CC7188" w:rsidP="003860A5" w:rsidRDefault="00CC7188" w14:paraId="0E8B3439" w14:textId="77777777">
      <w:pPr>
        <w:pStyle w:val="Heading3"/>
        <w:ind w:left="0"/>
      </w:pPr>
      <w:bookmarkStart w:name="_Toc427752833" w:id="25"/>
      <w:r w:rsidRPr="00CC7188">
        <w:t xml:space="preserve">REFERENCE LIST </w:t>
      </w:r>
      <w:bookmarkEnd w:id="25"/>
    </w:p>
    <w:p w:rsidRPr="00187B90" w:rsidR="0078500A" w:rsidP="0078500A" w:rsidRDefault="0078500A" w14:paraId="2964672D" w14:textId="69F6F261">
      <w:pPr>
        <w:pStyle w:val="ListParagraph"/>
        <w:numPr>
          <w:ilvl w:val="2"/>
          <w:numId w:val="1"/>
        </w:numPr>
        <w:tabs>
          <w:tab w:val="clear" w:pos="9360"/>
        </w:tabs>
        <w:spacing w:line="240" w:lineRule="auto"/>
        <w:ind w:hanging="360"/>
        <w:rPr>
          <w:sz w:val="24"/>
          <w:szCs w:val="24"/>
        </w:rPr>
      </w:pPr>
      <w:r w:rsidRPr="00187B90">
        <w:rPr>
          <w:sz w:val="24"/>
          <w:szCs w:val="24"/>
        </w:rPr>
        <w:t xml:space="preserve">National Cancer Institute.  “Cancer Statistics.”  Available at </w:t>
      </w:r>
      <w:hyperlink w:history="1" r:id="rId22">
        <w:r w:rsidRPr="00187B90">
          <w:rPr>
            <w:rStyle w:val="Hyperlink"/>
            <w:sz w:val="24"/>
            <w:szCs w:val="24"/>
          </w:rPr>
          <w:t>https://www.cancer.gov/about-cancer/understanding/statistics</w:t>
        </w:r>
      </w:hyperlink>
      <w:r w:rsidRPr="00187B90">
        <w:rPr>
          <w:sz w:val="24"/>
          <w:szCs w:val="24"/>
        </w:rPr>
        <w:t>.  Accessed on 1/24/20.</w:t>
      </w:r>
    </w:p>
    <w:p w:rsidRPr="00187B90" w:rsidR="0035454C" w:rsidP="00782FBD" w:rsidRDefault="0035454C" w14:paraId="42708EA7" w14:textId="48063241">
      <w:pPr>
        <w:pStyle w:val="ListParagraph"/>
        <w:numPr>
          <w:ilvl w:val="2"/>
          <w:numId w:val="1"/>
        </w:numPr>
        <w:tabs>
          <w:tab w:val="clear" w:pos="9360"/>
        </w:tabs>
        <w:spacing w:line="240" w:lineRule="auto"/>
        <w:ind w:hanging="360"/>
        <w:rPr>
          <w:sz w:val="24"/>
          <w:szCs w:val="24"/>
        </w:rPr>
      </w:pPr>
      <w:r w:rsidRPr="00187B90">
        <w:rPr>
          <w:sz w:val="24"/>
          <w:szCs w:val="24"/>
        </w:rPr>
        <w:t xml:space="preserve">Centers for Disease Control and </w:t>
      </w:r>
      <w:r w:rsidRPr="00187B90" w:rsidR="0078500A">
        <w:rPr>
          <w:sz w:val="24"/>
          <w:szCs w:val="24"/>
        </w:rPr>
        <w:t>P</w:t>
      </w:r>
      <w:r w:rsidRPr="00187B90">
        <w:rPr>
          <w:sz w:val="24"/>
          <w:szCs w:val="24"/>
        </w:rPr>
        <w:t xml:space="preserve">revention (CDC). </w:t>
      </w:r>
      <w:r w:rsidRPr="00187B90" w:rsidR="0078500A">
        <w:rPr>
          <w:sz w:val="24"/>
          <w:szCs w:val="24"/>
        </w:rPr>
        <w:t xml:space="preserve">“Investigating Suspected Cancer Clusters and Responding to Community Concerns: Guidelines from CDC and the Council of State and Territorial Epidemiologists.”  Available at </w:t>
      </w:r>
      <w:hyperlink w:history="1" r:id="rId23">
        <w:r w:rsidRPr="00187B90" w:rsidR="0078500A">
          <w:rPr>
            <w:rStyle w:val="Hyperlink"/>
            <w:sz w:val="24"/>
            <w:szCs w:val="24"/>
          </w:rPr>
          <w:t>https://www.cdc.gov/mmwr/preview/mmwrhtml/rr6208a1.htm</w:t>
        </w:r>
      </w:hyperlink>
      <w:r w:rsidRPr="00187B90" w:rsidR="0078500A">
        <w:rPr>
          <w:sz w:val="24"/>
          <w:szCs w:val="24"/>
        </w:rPr>
        <w:t>.  Accessed on 1/24/20.</w:t>
      </w:r>
    </w:p>
    <w:p w:rsidRPr="00187B90" w:rsidR="0035454C" w:rsidP="00782FBD" w:rsidRDefault="00493585" w14:paraId="5B281B6C" w14:textId="1D0C6ED7">
      <w:pPr>
        <w:pStyle w:val="ListParagraph"/>
        <w:numPr>
          <w:ilvl w:val="2"/>
          <w:numId w:val="1"/>
        </w:numPr>
        <w:tabs>
          <w:tab w:val="clear" w:pos="9360"/>
        </w:tabs>
        <w:spacing w:line="240" w:lineRule="auto"/>
        <w:ind w:hanging="360"/>
        <w:rPr>
          <w:sz w:val="24"/>
          <w:szCs w:val="24"/>
        </w:rPr>
      </w:pPr>
      <w:r w:rsidRPr="00187B90">
        <w:rPr>
          <w:sz w:val="24"/>
          <w:szCs w:val="24"/>
        </w:rPr>
        <w:t>Goodman, Michael</w:t>
      </w:r>
      <w:r w:rsidRPr="00187B90" w:rsidR="001A077C">
        <w:rPr>
          <w:sz w:val="24"/>
          <w:szCs w:val="24"/>
        </w:rPr>
        <w:t xml:space="preserve">.  “Cancer Clusters in the USA: What do the Last Twenty Years of State and Federal Investigations Tell Us?” </w:t>
      </w:r>
      <w:r w:rsidRPr="00187B90" w:rsidR="001A077C">
        <w:rPr>
          <w:i/>
          <w:sz w:val="24"/>
          <w:szCs w:val="24"/>
        </w:rPr>
        <w:t>Critical Reviews in Toxicology</w:t>
      </w:r>
      <w:r w:rsidRPr="00187B90" w:rsidR="001A077C">
        <w:rPr>
          <w:sz w:val="24"/>
          <w:szCs w:val="24"/>
        </w:rPr>
        <w:t xml:space="preserve">, vol. 42, no. 6, 2012, </w:t>
      </w:r>
      <w:hyperlink w:history="1" r:id="rId24">
        <w:r w:rsidRPr="00187B90" w:rsidR="001A077C">
          <w:rPr>
            <w:rStyle w:val="Hyperlink"/>
            <w:sz w:val="24"/>
            <w:szCs w:val="24"/>
          </w:rPr>
          <w:t>https://www.ncbi.nlm.nih.gov/pmc/articles/PMC3408895/</w:t>
        </w:r>
      </w:hyperlink>
      <w:r w:rsidRPr="00187B90" w:rsidR="001A077C">
        <w:rPr>
          <w:sz w:val="24"/>
          <w:szCs w:val="24"/>
        </w:rPr>
        <w:t xml:space="preserve"> </w:t>
      </w:r>
    </w:p>
    <w:p w:rsidRPr="00187B90" w:rsidR="001A077C" w:rsidP="00782FBD" w:rsidRDefault="001A077C" w14:paraId="0104F8BD" w14:textId="11D68020">
      <w:pPr>
        <w:pStyle w:val="ListParagraph"/>
        <w:numPr>
          <w:ilvl w:val="2"/>
          <w:numId w:val="1"/>
        </w:numPr>
        <w:tabs>
          <w:tab w:val="clear" w:pos="9360"/>
        </w:tabs>
        <w:spacing w:line="240" w:lineRule="auto"/>
        <w:ind w:hanging="360"/>
        <w:rPr>
          <w:sz w:val="24"/>
          <w:szCs w:val="24"/>
        </w:rPr>
      </w:pPr>
      <w:r w:rsidRPr="00187B90">
        <w:rPr>
          <w:sz w:val="24"/>
          <w:szCs w:val="24"/>
        </w:rPr>
        <w:t xml:space="preserve">Goodman, Michael.  “Cancer Cluster Investigations: Review of the Past and Proposals for the Future.”  </w:t>
      </w:r>
      <w:r w:rsidRPr="00187B90">
        <w:rPr>
          <w:i/>
          <w:sz w:val="24"/>
          <w:szCs w:val="24"/>
        </w:rPr>
        <w:t>International Journal of Environmental Research and Public Health</w:t>
      </w:r>
      <w:r w:rsidRPr="00187B90">
        <w:rPr>
          <w:sz w:val="24"/>
          <w:szCs w:val="24"/>
        </w:rPr>
        <w:t xml:space="preserve">, vol. 11, no. 2, 2014, </w:t>
      </w:r>
      <w:hyperlink w:history="1" r:id="rId25">
        <w:r w:rsidRPr="00187B90">
          <w:rPr>
            <w:rStyle w:val="Hyperlink"/>
            <w:sz w:val="24"/>
            <w:szCs w:val="24"/>
          </w:rPr>
          <w:t>https://jhu.pure.elsevier.com/en/publications/cancer-cluster-investigations-review-of-the-past-and-proposals-fo-4</w:t>
        </w:r>
      </w:hyperlink>
      <w:r w:rsidRPr="00187B90">
        <w:rPr>
          <w:sz w:val="24"/>
          <w:szCs w:val="24"/>
        </w:rPr>
        <w:t xml:space="preserve"> </w:t>
      </w:r>
    </w:p>
    <w:p w:rsidRPr="00187B90" w:rsidR="000058E0" w:rsidP="00782FBD" w:rsidRDefault="000058E0" w14:paraId="0D5F2868" w14:textId="6BA8E407">
      <w:pPr>
        <w:pStyle w:val="ListParagraph"/>
        <w:numPr>
          <w:ilvl w:val="2"/>
          <w:numId w:val="1"/>
        </w:numPr>
        <w:tabs>
          <w:tab w:val="clear" w:pos="9360"/>
        </w:tabs>
        <w:spacing w:line="240" w:lineRule="auto"/>
        <w:ind w:hanging="360"/>
        <w:rPr>
          <w:sz w:val="24"/>
          <w:szCs w:val="24"/>
        </w:rPr>
      </w:pPr>
      <w:r w:rsidRPr="00187B90">
        <w:rPr>
          <w:sz w:val="24"/>
          <w:szCs w:val="24"/>
        </w:rPr>
        <w:t xml:space="preserve">Centers for Disease Control and Prevention (CDC). "National Public Health Performance Standards Program (NPHPSP): 10 Essential Public Health Services." Available at </w:t>
      </w:r>
      <w:hyperlink w:history="1" r:id="rId26">
        <w:r w:rsidRPr="00187B90" w:rsidR="0078500A">
          <w:rPr>
            <w:rStyle w:val="Hyperlink"/>
            <w:sz w:val="24"/>
            <w:szCs w:val="24"/>
          </w:rPr>
          <w:t>http://www.cdc.gov/nphpsp/essentialservices.html</w:t>
        </w:r>
      </w:hyperlink>
      <w:r w:rsidRPr="00187B90">
        <w:rPr>
          <w:sz w:val="24"/>
          <w:szCs w:val="24"/>
        </w:rPr>
        <w:t>. Accessed on 8/14/14.</w:t>
      </w:r>
    </w:p>
    <w:sectPr w:rsidRPr="00187B90" w:rsidR="000058E0" w:rsidSect="00385BB5">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CC360" w14:textId="77777777" w:rsidR="00DA767D" w:rsidRDefault="00DA767D" w:rsidP="007D6163">
      <w:r>
        <w:separator/>
      </w:r>
    </w:p>
    <w:p w14:paraId="7FBFE807" w14:textId="77777777" w:rsidR="00DA767D" w:rsidRDefault="00DA767D" w:rsidP="007D6163"/>
  </w:endnote>
  <w:endnote w:type="continuationSeparator" w:id="0">
    <w:p w14:paraId="185FFC61" w14:textId="77777777" w:rsidR="00DA767D" w:rsidRDefault="00DA767D" w:rsidP="007D6163">
      <w:r>
        <w:continuationSeparator/>
      </w:r>
    </w:p>
    <w:p w14:paraId="3561CFD6" w14:textId="77777777" w:rsidR="00DA767D" w:rsidRDefault="00DA767D"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Shruti">
    <w:panose1 w:val="02000500000000000000"/>
    <w:charset w:val="00"/>
    <w:family w:val="swiss"/>
    <w:pitch w:val="variable"/>
    <w:sig w:usb0="00040003" w:usb1="00000000" w:usb2="00000000" w:usb3="00000000" w:csb0="00000001" w:csb1="00000000"/>
  </w:font>
  <w:font w:name="ITCFranklinGothicStd-Book">
    <w:panose1 w:val="00000000000000000000"/>
    <w:charset w:val="00"/>
    <w:family w:val="swiss"/>
    <w:notTrueType/>
    <w:pitch w:val="default"/>
    <w:sig w:usb0="00000003" w:usb1="00000000" w:usb2="00000000" w:usb3="00000000" w:csb0="00000001" w:csb1="00000000"/>
  </w:font>
  <w:font w:name="ITCFranklinGothicStd-Dm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2D73A" w14:textId="77777777" w:rsidR="007053CF" w:rsidRDefault="007053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70D4CBCD" w14:textId="77777777" w:rsidR="007053CF" w:rsidRDefault="007053C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w:t>
            </w:r>
            <w:r>
              <w:rPr>
                <w:b/>
                <w:bCs/>
                <w:sz w:val="24"/>
                <w:szCs w:val="24"/>
              </w:rPr>
              <w:fldChar w:fldCharType="end"/>
            </w:r>
          </w:p>
        </w:sdtContent>
      </w:sdt>
    </w:sdtContent>
  </w:sdt>
  <w:p w14:paraId="2E9B6099" w14:textId="77777777" w:rsidR="007053CF" w:rsidRDefault="007053CF" w:rsidP="007D616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EB15F" w14:textId="77777777" w:rsidR="007053CF" w:rsidRDefault="00705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6573D" w14:textId="77777777" w:rsidR="00DA767D" w:rsidRDefault="00DA767D" w:rsidP="007D6163">
      <w:r>
        <w:separator/>
      </w:r>
    </w:p>
    <w:p w14:paraId="717DA7D5" w14:textId="77777777" w:rsidR="00DA767D" w:rsidRDefault="00DA767D" w:rsidP="007D6163"/>
  </w:footnote>
  <w:footnote w:type="continuationSeparator" w:id="0">
    <w:p w14:paraId="1CDC943A" w14:textId="77777777" w:rsidR="00DA767D" w:rsidRDefault="00DA767D" w:rsidP="007D6163">
      <w:r>
        <w:continuationSeparator/>
      </w:r>
    </w:p>
    <w:p w14:paraId="552F40D2" w14:textId="77777777" w:rsidR="00DA767D" w:rsidRDefault="00DA767D" w:rsidP="007D61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CEE89" w14:textId="77777777" w:rsidR="007053CF" w:rsidRDefault="007053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5A3B5" w14:textId="77777777" w:rsidR="007053CF" w:rsidRPr="00716F94" w:rsidRDefault="007053CF" w:rsidP="007D6163">
    <w:pPr>
      <w:pStyle w:val="Header"/>
      <w:rPr>
        <w:color w:val="0033CC"/>
      </w:rPr>
    </w:pPr>
    <w:r>
      <w:tab/>
    </w:r>
  </w:p>
  <w:p w14:paraId="71162B7F" w14:textId="77777777" w:rsidR="007053CF" w:rsidRDefault="007053CF" w:rsidP="007D61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3E451" w14:textId="77777777" w:rsidR="007053CF" w:rsidRDefault="00705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C0C14"/>
    <w:multiLevelType w:val="hybridMultilevel"/>
    <w:tmpl w:val="3A0EBA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561803"/>
    <w:multiLevelType w:val="hybridMultilevel"/>
    <w:tmpl w:val="B64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F0FA1"/>
    <w:multiLevelType w:val="hybridMultilevel"/>
    <w:tmpl w:val="596AC156"/>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6" w15:restartNumberingAfterBreak="0">
    <w:nsid w:val="35357F7C"/>
    <w:multiLevelType w:val="hybridMultilevel"/>
    <w:tmpl w:val="082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A1319AD"/>
    <w:multiLevelType w:val="hybridMultilevel"/>
    <w:tmpl w:val="5C40863E"/>
    <w:lvl w:ilvl="0" w:tplc="04090001">
      <w:start w:val="1"/>
      <w:numFmt w:val="bullet"/>
      <w:lvlText w:val=""/>
      <w:lvlJc w:val="left"/>
      <w:pPr>
        <w:ind w:left="1080" w:hanging="360"/>
      </w:pPr>
      <w:rPr>
        <w:rFonts w:ascii="Symbol" w:hAnsi="Symbol"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1" w15:restartNumberingAfterBreak="0">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B4A41"/>
    <w:multiLevelType w:val="hybridMultilevel"/>
    <w:tmpl w:val="B97C830C"/>
    <w:lvl w:ilvl="0" w:tplc="0409000F">
      <w:start w:val="1"/>
      <w:numFmt w:val="decimal"/>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7" w15:restartNumberingAfterBreak="0">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15:restartNumberingAfterBreak="0">
    <w:nsid w:val="76C94696"/>
    <w:multiLevelType w:val="hybridMultilevel"/>
    <w:tmpl w:val="345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2574CC"/>
    <w:multiLevelType w:val="hybridMultilevel"/>
    <w:tmpl w:val="968CF33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abstractNumId w:val="5"/>
  </w:num>
  <w:num w:numId="2">
    <w:abstractNumId w:val="13"/>
  </w:num>
  <w:num w:numId="3">
    <w:abstractNumId w:val="15"/>
  </w:num>
  <w:num w:numId="4">
    <w:abstractNumId w:val="4"/>
  </w:num>
  <w:num w:numId="5">
    <w:abstractNumId w:val="12"/>
  </w:num>
  <w:num w:numId="6">
    <w:abstractNumId w:val="0"/>
  </w:num>
  <w:num w:numId="7">
    <w:abstractNumId w:val="7"/>
  </w:num>
  <w:num w:numId="8">
    <w:abstractNumId w:val="3"/>
  </w:num>
  <w:num w:numId="9">
    <w:abstractNumId w:val="11"/>
  </w:num>
  <w:num w:numId="10">
    <w:abstractNumId w:val="2"/>
  </w:num>
  <w:num w:numId="11">
    <w:abstractNumId w:val="6"/>
  </w:num>
  <w:num w:numId="12">
    <w:abstractNumId w:val="18"/>
  </w:num>
  <w:num w:numId="13">
    <w:abstractNumId w:val="17"/>
  </w:num>
  <w:num w:numId="14">
    <w:abstractNumId w:val="10"/>
  </w:num>
  <w:num w:numId="15">
    <w:abstractNumId w:val="9"/>
  </w:num>
  <w:num w:numId="16">
    <w:abstractNumId w:val="14"/>
  </w:num>
  <w:num w:numId="17">
    <w:abstractNumId w:val="16"/>
  </w:num>
  <w:num w:numId="18">
    <w:abstractNumId w:val="19"/>
  </w:num>
  <w:num w:numId="19">
    <w:abstractNumId w:val="1"/>
  </w:num>
  <w:num w:numId="2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2CA"/>
    <w:rsid w:val="00003ED5"/>
    <w:rsid w:val="000058E0"/>
    <w:rsid w:val="00005AC7"/>
    <w:rsid w:val="00011A98"/>
    <w:rsid w:val="00011F8D"/>
    <w:rsid w:val="000130B4"/>
    <w:rsid w:val="00013ECA"/>
    <w:rsid w:val="00014361"/>
    <w:rsid w:val="00014579"/>
    <w:rsid w:val="00014944"/>
    <w:rsid w:val="000324C8"/>
    <w:rsid w:val="0003403C"/>
    <w:rsid w:val="000357BA"/>
    <w:rsid w:val="00040611"/>
    <w:rsid w:val="00042FCD"/>
    <w:rsid w:val="0004305C"/>
    <w:rsid w:val="00043C4F"/>
    <w:rsid w:val="0004634F"/>
    <w:rsid w:val="00046C74"/>
    <w:rsid w:val="00046CCD"/>
    <w:rsid w:val="000474FB"/>
    <w:rsid w:val="00050240"/>
    <w:rsid w:val="00053A92"/>
    <w:rsid w:val="00054839"/>
    <w:rsid w:val="00055DAE"/>
    <w:rsid w:val="00057F25"/>
    <w:rsid w:val="00057F36"/>
    <w:rsid w:val="00060E3F"/>
    <w:rsid w:val="000742CA"/>
    <w:rsid w:val="00077F71"/>
    <w:rsid w:val="000803CE"/>
    <w:rsid w:val="00081FCE"/>
    <w:rsid w:val="000966AC"/>
    <w:rsid w:val="00097A88"/>
    <w:rsid w:val="000A1F30"/>
    <w:rsid w:val="000A2D0C"/>
    <w:rsid w:val="000A5EDA"/>
    <w:rsid w:val="000A71DF"/>
    <w:rsid w:val="000B0962"/>
    <w:rsid w:val="000B2CBC"/>
    <w:rsid w:val="000E6577"/>
    <w:rsid w:val="000E7A19"/>
    <w:rsid w:val="000F7926"/>
    <w:rsid w:val="000F7A2C"/>
    <w:rsid w:val="00104A1B"/>
    <w:rsid w:val="001175CB"/>
    <w:rsid w:val="001177DD"/>
    <w:rsid w:val="00122A69"/>
    <w:rsid w:val="00130D45"/>
    <w:rsid w:val="00135334"/>
    <w:rsid w:val="001412D4"/>
    <w:rsid w:val="00141730"/>
    <w:rsid w:val="00144F64"/>
    <w:rsid w:val="00145D62"/>
    <w:rsid w:val="001507CE"/>
    <w:rsid w:val="00151567"/>
    <w:rsid w:val="0015687E"/>
    <w:rsid w:val="0015715D"/>
    <w:rsid w:val="00157413"/>
    <w:rsid w:val="00162866"/>
    <w:rsid w:val="00163E17"/>
    <w:rsid w:val="00166F9E"/>
    <w:rsid w:val="00167880"/>
    <w:rsid w:val="00180D45"/>
    <w:rsid w:val="00187870"/>
    <w:rsid w:val="00187B90"/>
    <w:rsid w:val="00187D5A"/>
    <w:rsid w:val="001909A1"/>
    <w:rsid w:val="0019164D"/>
    <w:rsid w:val="00196622"/>
    <w:rsid w:val="001972D7"/>
    <w:rsid w:val="001A077C"/>
    <w:rsid w:val="001A28F6"/>
    <w:rsid w:val="001A2F30"/>
    <w:rsid w:val="001A5355"/>
    <w:rsid w:val="001B2831"/>
    <w:rsid w:val="001B4065"/>
    <w:rsid w:val="001B5910"/>
    <w:rsid w:val="001B5A6F"/>
    <w:rsid w:val="001B70B4"/>
    <w:rsid w:val="001C0493"/>
    <w:rsid w:val="001C28AD"/>
    <w:rsid w:val="001C35B6"/>
    <w:rsid w:val="001C7607"/>
    <w:rsid w:val="001D5697"/>
    <w:rsid w:val="001D7FCB"/>
    <w:rsid w:val="001E2075"/>
    <w:rsid w:val="001E2B99"/>
    <w:rsid w:val="001E69B6"/>
    <w:rsid w:val="001E7537"/>
    <w:rsid w:val="001F4DBB"/>
    <w:rsid w:val="001F7E00"/>
    <w:rsid w:val="00202D07"/>
    <w:rsid w:val="0020312D"/>
    <w:rsid w:val="00206E33"/>
    <w:rsid w:val="00210519"/>
    <w:rsid w:val="00212B10"/>
    <w:rsid w:val="0022139E"/>
    <w:rsid w:val="00221CBD"/>
    <w:rsid w:val="002232BF"/>
    <w:rsid w:val="00225EA6"/>
    <w:rsid w:val="00227259"/>
    <w:rsid w:val="00235D1E"/>
    <w:rsid w:val="0023613C"/>
    <w:rsid w:val="00241B17"/>
    <w:rsid w:val="00241C81"/>
    <w:rsid w:val="00244557"/>
    <w:rsid w:val="00245477"/>
    <w:rsid w:val="002522AF"/>
    <w:rsid w:val="002540EE"/>
    <w:rsid w:val="00254771"/>
    <w:rsid w:val="00257A1C"/>
    <w:rsid w:val="00270ED7"/>
    <w:rsid w:val="00270FE4"/>
    <w:rsid w:val="0027234C"/>
    <w:rsid w:val="00272E3E"/>
    <w:rsid w:val="00275A37"/>
    <w:rsid w:val="00276327"/>
    <w:rsid w:val="00281795"/>
    <w:rsid w:val="002850E3"/>
    <w:rsid w:val="00287E2F"/>
    <w:rsid w:val="002929D3"/>
    <w:rsid w:val="002942A6"/>
    <w:rsid w:val="00297F4C"/>
    <w:rsid w:val="002A0034"/>
    <w:rsid w:val="002A1948"/>
    <w:rsid w:val="002A1CF5"/>
    <w:rsid w:val="002C0877"/>
    <w:rsid w:val="002C2AE2"/>
    <w:rsid w:val="002C2BA1"/>
    <w:rsid w:val="002D0DCE"/>
    <w:rsid w:val="002D27D0"/>
    <w:rsid w:val="002D2A7D"/>
    <w:rsid w:val="002E2B10"/>
    <w:rsid w:val="002E2EDD"/>
    <w:rsid w:val="002E72B9"/>
    <w:rsid w:val="002E73B0"/>
    <w:rsid w:val="002F1502"/>
    <w:rsid w:val="002F2069"/>
    <w:rsid w:val="002F411A"/>
    <w:rsid w:val="002F71A2"/>
    <w:rsid w:val="00301503"/>
    <w:rsid w:val="003041AD"/>
    <w:rsid w:val="003115F1"/>
    <w:rsid w:val="0031279F"/>
    <w:rsid w:val="00316F00"/>
    <w:rsid w:val="003179F7"/>
    <w:rsid w:val="00321B51"/>
    <w:rsid w:val="00322D7D"/>
    <w:rsid w:val="00336D96"/>
    <w:rsid w:val="00340867"/>
    <w:rsid w:val="00344F07"/>
    <w:rsid w:val="003469C8"/>
    <w:rsid w:val="00350C8C"/>
    <w:rsid w:val="0035454C"/>
    <w:rsid w:val="00355EA4"/>
    <w:rsid w:val="003623D2"/>
    <w:rsid w:val="00362814"/>
    <w:rsid w:val="003635BE"/>
    <w:rsid w:val="00365045"/>
    <w:rsid w:val="00366B5E"/>
    <w:rsid w:val="003705DF"/>
    <w:rsid w:val="0037437D"/>
    <w:rsid w:val="00375A3E"/>
    <w:rsid w:val="00376290"/>
    <w:rsid w:val="00383542"/>
    <w:rsid w:val="00385BB5"/>
    <w:rsid w:val="003860A5"/>
    <w:rsid w:val="00386BC2"/>
    <w:rsid w:val="00387059"/>
    <w:rsid w:val="00387CA6"/>
    <w:rsid w:val="00391D7C"/>
    <w:rsid w:val="0039734E"/>
    <w:rsid w:val="003A2555"/>
    <w:rsid w:val="003B019D"/>
    <w:rsid w:val="003B125E"/>
    <w:rsid w:val="003B1BE3"/>
    <w:rsid w:val="003B2200"/>
    <w:rsid w:val="003B2AE6"/>
    <w:rsid w:val="003B3CBD"/>
    <w:rsid w:val="003C1B94"/>
    <w:rsid w:val="003C31C9"/>
    <w:rsid w:val="003C4961"/>
    <w:rsid w:val="003C53F1"/>
    <w:rsid w:val="003C7C5D"/>
    <w:rsid w:val="003D0AD2"/>
    <w:rsid w:val="003D2767"/>
    <w:rsid w:val="003E0F5E"/>
    <w:rsid w:val="003F0CC1"/>
    <w:rsid w:val="003F5913"/>
    <w:rsid w:val="004024F8"/>
    <w:rsid w:val="00402768"/>
    <w:rsid w:val="00405696"/>
    <w:rsid w:val="0041159A"/>
    <w:rsid w:val="004135D5"/>
    <w:rsid w:val="004136DA"/>
    <w:rsid w:val="004148AA"/>
    <w:rsid w:val="00416821"/>
    <w:rsid w:val="004203C7"/>
    <w:rsid w:val="004226DA"/>
    <w:rsid w:val="00422903"/>
    <w:rsid w:val="0042500C"/>
    <w:rsid w:val="004305A8"/>
    <w:rsid w:val="0043229B"/>
    <w:rsid w:val="00432C1C"/>
    <w:rsid w:val="004353D5"/>
    <w:rsid w:val="0043575E"/>
    <w:rsid w:val="00436B8A"/>
    <w:rsid w:val="0044130D"/>
    <w:rsid w:val="00441CC3"/>
    <w:rsid w:val="00443CA0"/>
    <w:rsid w:val="004504FC"/>
    <w:rsid w:val="00450E14"/>
    <w:rsid w:val="004537F8"/>
    <w:rsid w:val="00462C65"/>
    <w:rsid w:val="004674E7"/>
    <w:rsid w:val="00467B14"/>
    <w:rsid w:val="00467D07"/>
    <w:rsid w:val="004711BF"/>
    <w:rsid w:val="00471642"/>
    <w:rsid w:val="004724AB"/>
    <w:rsid w:val="00474EDA"/>
    <w:rsid w:val="00476C7D"/>
    <w:rsid w:val="00481D80"/>
    <w:rsid w:val="004824FA"/>
    <w:rsid w:val="00484011"/>
    <w:rsid w:val="004841F1"/>
    <w:rsid w:val="00487937"/>
    <w:rsid w:val="00493585"/>
    <w:rsid w:val="00497A1B"/>
    <w:rsid w:val="004A1E3A"/>
    <w:rsid w:val="004A30CE"/>
    <w:rsid w:val="004A4C05"/>
    <w:rsid w:val="004A662E"/>
    <w:rsid w:val="004B46D6"/>
    <w:rsid w:val="004C06B9"/>
    <w:rsid w:val="004C0BF6"/>
    <w:rsid w:val="004C39EE"/>
    <w:rsid w:val="004C4464"/>
    <w:rsid w:val="004C4AEA"/>
    <w:rsid w:val="004C57AB"/>
    <w:rsid w:val="004D0430"/>
    <w:rsid w:val="004D0DE6"/>
    <w:rsid w:val="004D1DAA"/>
    <w:rsid w:val="004D4EB1"/>
    <w:rsid w:val="004D5162"/>
    <w:rsid w:val="004E003C"/>
    <w:rsid w:val="004E16EB"/>
    <w:rsid w:val="004E524A"/>
    <w:rsid w:val="004E6665"/>
    <w:rsid w:val="004F5FB6"/>
    <w:rsid w:val="004F601A"/>
    <w:rsid w:val="004F634E"/>
    <w:rsid w:val="004F67A8"/>
    <w:rsid w:val="004F6AFA"/>
    <w:rsid w:val="005070F6"/>
    <w:rsid w:val="005115FA"/>
    <w:rsid w:val="00511D02"/>
    <w:rsid w:val="0051582C"/>
    <w:rsid w:val="005212E5"/>
    <w:rsid w:val="00522A50"/>
    <w:rsid w:val="00523172"/>
    <w:rsid w:val="00525E61"/>
    <w:rsid w:val="00526683"/>
    <w:rsid w:val="00527225"/>
    <w:rsid w:val="0053557D"/>
    <w:rsid w:val="005410E3"/>
    <w:rsid w:val="005463DE"/>
    <w:rsid w:val="00546DC2"/>
    <w:rsid w:val="005542E8"/>
    <w:rsid w:val="00556630"/>
    <w:rsid w:val="0055686D"/>
    <w:rsid w:val="00575F41"/>
    <w:rsid w:val="00576075"/>
    <w:rsid w:val="00576E3A"/>
    <w:rsid w:val="005800EE"/>
    <w:rsid w:val="005818F7"/>
    <w:rsid w:val="005825A7"/>
    <w:rsid w:val="005868B1"/>
    <w:rsid w:val="005869D6"/>
    <w:rsid w:val="00587C72"/>
    <w:rsid w:val="0059331E"/>
    <w:rsid w:val="00594619"/>
    <w:rsid w:val="005A33F6"/>
    <w:rsid w:val="005A3933"/>
    <w:rsid w:val="005A59E5"/>
    <w:rsid w:val="005A7004"/>
    <w:rsid w:val="005B7440"/>
    <w:rsid w:val="005D5844"/>
    <w:rsid w:val="005D6F14"/>
    <w:rsid w:val="005E0CD2"/>
    <w:rsid w:val="005E2150"/>
    <w:rsid w:val="005E2236"/>
    <w:rsid w:val="005E2995"/>
    <w:rsid w:val="005F3FEF"/>
    <w:rsid w:val="00600C4F"/>
    <w:rsid w:val="0060287B"/>
    <w:rsid w:val="00605D50"/>
    <w:rsid w:val="006071C9"/>
    <w:rsid w:val="00607F7C"/>
    <w:rsid w:val="006102DA"/>
    <w:rsid w:val="00613BCF"/>
    <w:rsid w:val="00614CAE"/>
    <w:rsid w:val="00616090"/>
    <w:rsid w:val="00621AC0"/>
    <w:rsid w:val="006315A3"/>
    <w:rsid w:val="006372E5"/>
    <w:rsid w:val="00647899"/>
    <w:rsid w:val="00651309"/>
    <w:rsid w:val="006579A2"/>
    <w:rsid w:val="00667C89"/>
    <w:rsid w:val="006703F0"/>
    <w:rsid w:val="006711EE"/>
    <w:rsid w:val="00671645"/>
    <w:rsid w:val="00675F9A"/>
    <w:rsid w:val="006809BB"/>
    <w:rsid w:val="006809FD"/>
    <w:rsid w:val="00691D1F"/>
    <w:rsid w:val="00692DEB"/>
    <w:rsid w:val="00695869"/>
    <w:rsid w:val="00697BAE"/>
    <w:rsid w:val="006A09E0"/>
    <w:rsid w:val="006A0B7E"/>
    <w:rsid w:val="006A5E1B"/>
    <w:rsid w:val="006B4DDC"/>
    <w:rsid w:val="006B51BD"/>
    <w:rsid w:val="006B5E55"/>
    <w:rsid w:val="006C1E0A"/>
    <w:rsid w:val="006C20E8"/>
    <w:rsid w:val="006C4DA7"/>
    <w:rsid w:val="006D25A1"/>
    <w:rsid w:val="006E14E9"/>
    <w:rsid w:val="006E6CE0"/>
    <w:rsid w:val="006F09A2"/>
    <w:rsid w:val="006F0E6D"/>
    <w:rsid w:val="006F217E"/>
    <w:rsid w:val="006F36C6"/>
    <w:rsid w:val="006F6856"/>
    <w:rsid w:val="006F752C"/>
    <w:rsid w:val="007053CF"/>
    <w:rsid w:val="00713412"/>
    <w:rsid w:val="0071430D"/>
    <w:rsid w:val="007145D0"/>
    <w:rsid w:val="00715E27"/>
    <w:rsid w:val="00716CB4"/>
    <w:rsid w:val="00716F94"/>
    <w:rsid w:val="00721180"/>
    <w:rsid w:val="00721719"/>
    <w:rsid w:val="0072226A"/>
    <w:rsid w:val="00722675"/>
    <w:rsid w:val="00734D99"/>
    <w:rsid w:val="00743C2F"/>
    <w:rsid w:val="0075188E"/>
    <w:rsid w:val="0076001C"/>
    <w:rsid w:val="00760E12"/>
    <w:rsid w:val="00763CF3"/>
    <w:rsid w:val="0076557F"/>
    <w:rsid w:val="00766AD3"/>
    <w:rsid w:val="00772293"/>
    <w:rsid w:val="0077295D"/>
    <w:rsid w:val="00772CED"/>
    <w:rsid w:val="00774689"/>
    <w:rsid w:val="00776981"/>
    <w:rsid w:val="007778CD"/>
    <w:rsid w:val="00781AE3"/>
    <w:rsid w:val="00782FBD"/>
    <w:rsid w:val="00783C75"/>
    <w:rsid w:val="00784619"/>
    <w:rsid w:val="00784735"/>
    <w:rsid w:val="0078500A"/>
    <w:rsid w:val="0078627B"/>
    <w:rsid w:val="0078765B"/>
    <w:rsid w:val="007921F1"/>
    <w:rsid w:val="00794E32"/>
    <w:rsid w:val="007A0D73"/>
    <w:rsid w:val="007A11E4"/>
    <w:rsid w:val="007B305A"/>
    <w:rsid w:val="007B6A12"/>
    <w:rsid w:val="007B7C44"/>
    <w:rsid w:val="007C5666"/>
    <w:rsid w:val="007C58E7"/>
    <w:rsid w:val="007D6014"/>
    <w:rsid w:val="007D6163"/>
    <w:rsid w:val="007E575D"/>
    <w:rsid w:val="007E57CD"/>
    <w:rsid w:val="007E6AEF"/>
    <w:rsid w:val="007F5776"/>
    <w:rsid w:val="008007E6"/>
    <w:rsid w:val="00803858"/>
    <w:rsid w:val="00815C7D"/>
    <w:rsid w:val="00817941"/>
    <w:rsid w:val="008229E4"/>
    <w:rsid w:val="00823547"/>
    <w:rsid w:val="0082435D"/>
    <w:rsid w:val="008261AB"/>
    <w:rsid w:val="008269AB"/>
    <w:rsid w:val="00834C91"/>
    <w:rsid w:val="00835CA7"/>
    <w:rsid w:val="008370D4"/>
    <w:rsid w:val="008414AD"/>
    <w:rsid w:val="008428D9"/>
    <w:rsid w:val="00842DFE"/>
    <w:rsid w:val="00847F26"/>
    <w:rsid w:val="00855BF5"/>
    <w:rsid w:val="00855F79"/>
    <w:rsid w:val="008705AC"/>
    <w:rsid w:val="008715E7"/>
    <w:rsid w:val="008748B4"/>
    <w:rsid w:val="0088467A"/>
    <w:rsid w:val="00884DB9"/>
    <w:rsid w:val="0089415F"/>
    <w:rsid w:val="00894251"/>
    <w:rsid w:val="00896AB5"/>
    <w:rsid w:val="008A1C3D"/>
    <w:rsid w:val="008B12FA"/>
    <w:rsid w:val="008B65FF"/>
    <w:rsid w:val="008C408E"/>
    <w:rsid w:val="008C4261"/>
    <w:rsid w:val="008C4574"/>
    <w:rsid w:val="008C59E7"/>
    <w:rsid w:val="008C6447"/>
    <w:rsid w:val="008C67D2"/>
    <w:rsid w:val="008E0683"/>
    <w:rsid w:val="008E3D8D"/>
    <w:rsid w:val="008E5226"/>
    <w:rsid w:val="008F3D10"/>
    <w:rsid w:val="008F3ECB"/>
    <w:rsid w:val="00902DD9"/>
    <w:rsid w:val="00911486"/>
    <w:rsid w:val="009129CA"/>
    <w:rsid w:val="00915C4D"/>
    <w:rsid w:val="00920421"/>
    <w:rsid w:val="009206B6"/>
    <w:rsid w:val="00923E4A"/>
    <w:rsid w:val="009252DC"/>
    <w:rsid w:val="009252F5"/>
    <w:rsid w:val="00925CD1"/>
    <w:rsid w:val="009263C1"/>
    <w:rsid w:val="00941640"/>
    <w:rsid w:val="00941B4F"/>
    <w:rsid w:val="00945B19"/>
    <w:rsid w:val="00950397"/>
    <w:rsid w:val="009518C0"/>
    <w:rsid w:val="00954637"/>
    <w:rsid w:val="00963CE3"/>
    <w:rsid w:val="00964F18"/>
    <w:rsid w:val="009702A2"/>
    <w:rsid w:val="00972CE6"/>
    <w:rsid w:val="00974243"/>
    <w:rsid w:val="00974424"/>
    <w:rsid w:val="00987F76"/>
    <w:rsid w:val="009905D0"/>
    <w:rsid w:val="00993088"/>
    <w:rsid w:val="00995976"/>
    <w:rsid w:val="0099664F"/>
    <w:rsid w:val="00997D5D"/>
    <w:rsid w:val="009A0447"/>
    <w:rsid w:val="009A0F66"/>
    <w:rsid w:val="009A2CE5"/>
    <w:rsid w:val="009A4B59"/>
    <w:rsid w:val="009A737F"/>
    <w:rsid w:val="009B4A51"/>
    <w:rsid w:val="009C28B1"/>
    <w:rsid w:val="009C61AD"/>
    <w:rsid w:val="009C6697"/>
    <w:rsid w:val="009D373D"/>
    <w:rsid w:val="009D436B"/>
    <w:rsid w:val="009D5927"/>
    <w:rsid w:val="009D7B2C"/>
    <w:rsid w:val="009E0801"/>
    <w:rsid w:val="009E1D05"/>
    <w:rsid w:val="009E2165"/>
    <w:rsid w:val="009E6C80"/>
    <w:rsid w:val="009F06F5"/>
    <w:rsid w:val="009F62F7"/>
    <w:rsid w:val="009F7DE0"/>
    <w:rsid w:val="00A0222E"/>
    <w:rsid w:val="00A05973"/>
    <w:rsid w:val="00A06BCB"/>
    <w:rsid w:val="00A1050C"/>
    <w:rsid w:val="00A11B0C"/>
    <w:rsid w:val="00A1453A"/>
    <w:rsid w:val="00A16B74"/>
    <w:rsid w:val="00A20BA8"/>
    <w:rsid w:val="00A242DB"/>
    <w:rsid w:val="00A2770D"/>
    <w:rsid w:val="00A33B35"/>
    <w:rsid w:val="00A33E90"/>
    <w:rsid w:val="00A3581A"/>
    <w:rsid w:val="00A36419"/>
    <w:rsid w:val="00A44088"/>
    <w:rsid w:val="00A44921"/>
    <w:rsid w:val="00A44AD9"/>
    <w:rsid w:val="00A578C2"/>
    <w:rsid w:val="00A616F2"/>
    <w:rsid w:val="00A62C98"/>
    <w:rsid w:val="00A632D6"/>
    <w:rsid w:val="00A70B3C"/>
    <w:rsid w:val="00A72652"/>
    <w:rsid w:val="00A73A38"/>
    <w:rsid w:val="00A75D1C"/>
    <w:rsid w:val="00A7606B"/>
    <w:rsid w:val="00A809AA"/>
    <w:rsid w:val="00A83315"/>
    <w:rsid w:val="00A849B3"/>
    <w:rsid w:val="00A8510D"/>
    <w:rsid w:val="00A86AF3"/>
    <w:rsid w:val="00A90AFF"/>
    <w:rsid w:val="00A90BDC"/>
    <w:rsid w:val="00A95477"/>
    <w:rsid w:val="00A96F35"/>
    <w:rsid w:val="00A975A9"/>
    <w:rsid w:val="00A9782E"/>
    <w:rsid w:val="00A97CC0"/>
    <w:rsid w:val="00AA3192"/>
    <w:rsid w:val="00AA56D9"/>
    <w:rsid w:val="00AA5AC7"/>
    <w:rsid w:val="00AB0486"/>
    <w:rsid w:val="00AB251E"/>
    <w:rsid w:val="00AB3608"/>
    <w:rsid w:val="00AB366B"/>
    <w:rsid w:val="00AC1272"/>
    <w:rsid w:val="00AC5C48"/>
    <w:rsid w:val="00AC63E3"/>
    <w:rsid w:val="00AC784A"/>
    <w:rsid w:val="00AC7ECF"/>
    <w:rsid w:val="00AD3F08"/>
    <w:rsid w:val="00AF0CF4"/>
    <w:rsid w:val="00AF2252"/>
    <w:rsid w:val="00B0098C"/>
    <w:rsid w:val="00B00B12"/>
    <w:rsid w:val="00B1129F"/>
    <w:rsid w:val="00B118C3"/>
    <w:rsid w:val="00B11D61"/>
    <w:rsid w:val="00B11F7B"/>
    <w:rsid w:val="00B12F51"/>
    <w:rsid w:val="00B20927"/>
    <w:rsid w:val="00B2751E"/>
    <w:rsid w:val="00B320DB"/>
    <w:rsid w:val="00B3650C"/>
    <w:rsid w:val="00B43AFE"/>
    <w:rsid w:val="00B46345"/>
    <w:rsid w:val="00B47055"/>
    <w:rsid w:val="00B56BA7"/>
    <w:rsid w:val="00B612DE"/>
    <w:rsid w:val="00B63CF3"/>
    <w:rsid w:val="00B64BFA"/>
    <w:rsid w:val="00B716DC"/>
    <w:rsid w:val="00B71E63"/>
    <w:rsid w:val="00B73672"/>
    <w:rsid w:val="00B83212"/>
    <w:rsid w:val="00B85DE4"/>
    <w:rsid w:val="00B8783F"/>
    <w:rsid w:val="00B87AAD"/>
    <w:rsid w:val="00B91A31"/>
    <w:rsid w:val="00B92BEA"/>
    <w:rsid w:val="00B9300C"/>
    <w:rsid w:val="00B94202"/>
    <w:rsid w:val="00B97BF9"/>
    <w:rsid w:val="00BA1A49"/>
    <w:rsid w:val="00BA50D9"/>
    <w:rsid w:val="00BA6325"/>
    <w:rsid w:val="00BA6C28"/>
    <w:rsid w:val="00BA6DB4"/>
    <w:rsid w:val="00BA6DF4"/>
    <w:rsid w:val="00BB0813"/>
    <w:rsid w:val="00BB090C"/>
    <w:rsid w:val="00BC3F3C"/>
    <w:rsid w:val="00BC4B64"/>
    <w:rsid w:val="00BC5BB2"/>
    <w:rsid w:val="00BD31A4"/>
    <w:rsid w:val="00BD4599"/>
    <w:rsid w:val="00BD56AF"/>
    <w:rsid w:val="00BE5A15"/>
    <w:rsid w:val="00BE738E"/>
    <w:rsid w:val="00BF11A1"/>
    <w:rsid w:val="00BF3F54"/>
    <w:rsid w:val="00C00697"/>
    <w:rsid w:val="00C0376C"/>
    <w:rsid w:val="00C06D77"/>
    <w:rsid w:val="00C12B17"/>
    <w:rsid w:val="00C14BA6"/>
    <w:rsid w:val="00C17A96"/>
    <w:rsid w:val="00C24AC8"/>
    <w:rsid w:val="00C26166"/>
    <w:rsid w:val="00C3216E"/>
    <w:rsid w:val="00C3485C"/>
    <w:rsid w:val="00C43D32"/>
    <w:rsid w:val="00C4416B"/>
    <w:rsid w:val="00C538C3"/>
    <w:rsid w:val="00C54305"/>
    <w:rsid w:val="00C544A4"/>
    <w:rsid w:val="00C54888"/>
    <w:rsid w:val="00C56912"/>
    <w:rsid w:val="00C74E9C"/>
    <w:rsid w:val="00C768E5"/>
    <w:rsid w:val="00CA2004"/>
    <w:rsid w:val="00CA5840"/>
    <w:rsid w:val="00CA5B99"/>
    <w:rsid w:val="00CB0933"/>
    <w:rsid w:val="00CB334D"/>
    <w:rsid w:val="00CB56D5"/>
    <w:rsid w:val="00CC26C9"/>
    <w:rsid w:val="00CC4DAB"/>
    <w:rsid w:val="00CC4FF0"/>
    <w:rsid w:val="00CC7188"/>
    <w:rsid w:val="00CC76CD"/>
    <w:rsid w:val="00CD1EA8"/>
    <w:rsid w:val="00CD54D5"/>
    <w:rsid w:val="00CF24D7"/>
    <w:rsid w:val="00CF5ABD"/>
    <w:rsid w:val="00CF6092"/>
    <w:rsid w:val="00CF63CE"/>
    <w:rsid w:val="00D0537C"/>
    <w:rsid w:val="00D065B1"/>
    <w:rsid w:val="00D067C1"/>
    <w:rsid w:val="00D06816"/>
    <w:rsid w:val="00D06995"/>
    <w:rsid w:val="00D1343B"/>
    <w:rsid w:val="00D13B13"/>
    <w:rsid w:val="00D16D40"/>
    <w:rsid w:val="00D16E78"/>
    <w:rsid w:val="00D201D3"/>
    <w:rsid w:val="00D208A9"/>
    <w:rsid w:val="00D21203"/>
    <w:rsid w:val="00D22492"/>
    <w:rsid w:val="00D23C82"/>
    <w:rsid w:val="00D267D5"/>
    <w:rsid w:val="00D26A64"/>
    <w:rsid w:val="00D31720"/>
    <w:rsid w:val="00D33E00"/>
    <w:rsid w:val="00D36535"/>
    <w:rsid w:val="00D42657"/>
    <w:rsid w:val="00D42A92"/>
    <w:rsid w:val="00D52B9A"/>
    <w:rsid w:val="00D5367E"/>
    <w:rsid w:val="00D53B1E"/>
    <w:rsid w:val="00D558CD"/>
    <w:rsid w:val="00D6105F"/>
    <w:rsid w:val="00D61AD2"/>
    <w:rsid w:val="00D61EA5"/>
    <w:rsid w:val="00D7102E"/>
    <w:rsid w:val="00D71C1C"/>
    <w:rsid w:val="00D75750"/>
    <w:rsid w:val="00D82B6D"/>
    <w:rsid w:val="00D84EF0"/>
    <w:rsid w:val="00D861ED"/>
    <w:rsid w:val="00D873E0"/>
    <w:rsid w:val="00D941E3"/>
    <w:rsid w:val="00D94F8B"/>
    <w:rsid w:val="00D95FBF"/>
    <w:rsid w:val="00DA1193"/>
    <w:rsid w:val="00DA5988"/>
    <w:rsid w:val="00DA762F"/>
    <w:rsid w:val="00DA767D"/>
    <w:rsid w:val="00DB121D"/>
    <w:rsid w:val="00DB6B99"/>
    <w:rsid w:val="00DB7F78"/>
    <w:rsid w:val="00DC0184"/>
    <w:rsid w:val="00DC2AD2"/>
    <w:rsid w:val="00DC2D28"/>
    <w:rsid w:val="00DC317C"/>
    <w:rsid w:val="00DC4FF2"/>
    <w:rsid w:val="00DC79CC"/>
    <w:rsid w:val="00DD2EF4"/>
    <w:rsid w:val="00DD5E65"/>
    <w:rsid w:val="00DD7BF0"/>
    <w:rsid w:val="00E1007A"/>
    <w:rsid w:val="00E10D39"/>
    <w:rsid w:val="00E134F4"/>
    <w:rsid w:val="00E147D9"/>
    <w:rsid w:val="00E162E0"/>
    <w:rsid w:val="00E20294"/>
    <w:rsid w:val="00E20D75"/>
    <w:rsid w:val="00E23568"/>
    <w:rsid w:val="00E245B5"/>
    <w:rsid w:val="00E30EBC"/>
    <w:rsid w:val="00E314CB"/>
    <w:rsid w:val="00E31EF7"/>
    <w:rsid w:val="00E33E1B"/>
    <w:rsid w:val="00E34632"/>
    <w:rsid w:val="00E34D3E"/>
    <w:rsid w:val="00E35AB7"/>
    <w:rsid w:val="00E35C4B"/>
    <w:rsid w:val="00E41812"/>
    <w:rsid w:val="00E46BAF"/>
    <w:rsid w:val="00E5146F"/>
    <w:rsid w:val="00E62BD2"/>
    <w:rsid w:val="00E6331C"/>
    <w:rsid w:val="00E647FB"/>
    <w:rsid w:val="00E720E9"/>
    <w:rsid w:val="00E7262B"/>
    <w:rsid w:val="00E7655F"/>
    <w:rsid w:val="00E81C5E"/>
    <w:rsid w:val="00E81DB9"/>
    <w:rsid w:val="00E83B3C"/>
    <w:rsid w:val="00E83BC0"/>
    <w:rsid w:val="00E8736B"/>
    <w:rsid w:val="00E90275"/>
    <w:rsid w:val="00E925D4"/>
    <w:rsid w:val="00E9465D"/>
    <w:rsid w:val="00E950B2"/>
    <w:rsid w:val="00E97226"/>
    <w:rsid w:val="00EA23FE"/>
    <w:rsid w:val="00EA28F4"/>
    <w:rsid w:val="00EA2B44"/>
    <w:rsid w:val="00EA33EF"/>
    <w:rsid w:val="00EA3A4A"/>
    <w:rsid w:val="00EA6D7B"/>
    <w:rsid w:val="00EC169B"/>
    <w:rsid w:val="00EC381D"/>
    <w:rsid w:val="00EC4FFD"/>
    <w:rsid w:val="00EC58F5"/>
    <w:rsid w:val="00EC5EFC"/>
    <w:rsid w:val="00EC74A4"/>
    <w:rsid w:val="00ED3D51"/>
    <w:rsid w:val="00ED57D1"/>
    <w:rsid w:val="00ED6DF6"/>
    <w:rsid w:val="00EE40C6"/>
    <w:rsid w:val="00EE54FA"/>
    <w:rsid w:val="00EE7BFB"/>
    <w:rsid w:val="00EF33CD"/>
    <w:rsid w:val="00EF4FA2"/>
    <w:rsid w:val="00F0000D"/>
    <w:rsid w:val="00F01A0C"/>
    <w:rsid w:val="00F025F2"/>
    <w:rsid w:val="00F074CB"/>
    <w:rsid w:val="00F12924"/>
    <w:rsid w:val="00F20C9B"/>
    <w:rsid w:val="00F26BE8"/>
    <w:rsid w:val="00F300CB"/>
    <w:rsid w:val="00F31310"/>
    <w:rsid w:val="00F36D25"/>
    <w:rsid w:val="00F425FF"/>
    <w:rsid w:val="00F42C3A"/>
    <w:rsid w:val="00F436B6"/>
    <w:rsid w:val="00F45451"/>
    <w:rsid w:val="00F52BCC"/>
    <w:rsid w:val="00F5313F"/>
    <w:rsid w:val="00F6484C"/>
    <w:rsid w:val="00F6759A"/>
    <w:rsid w:val="00F81135"/>
    <w:rsid w:val="00F81A48"/>
    <w:rsid w:val="00F82C5C"/>
    <w:rsid w:val="00FB5283"/>
    <w:rsid w:val="00FB62BC"/>
    <w:rsid w:val="00FC55AF"/>
    <w:rsid w:val="00FD17C9"/>
    <w:rsid w:val="00FD2A5B"/>
    <w:rsid w:val="00FD731A"/>
    <w:rsid w:val="00FE4C23"/>
    <w:rsid w:val="00FE6A5C"/>
    <w:rsid w:val="00FF4049"/>
    <w:rsid w:val="00FF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E3FB4"/>
  <w15:docId w15:val="{1F8AEBC4-F2BC-4A0C-81B6-151B89E4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aliases w:val="Bullet List,FooterText,List Paragraph1"/>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table" w:styleId="GridTable1Light">
    <w:name w:val="Grid Table 1 Light"/>
    <w:basedOn w:val="TableNormal"/>
    <w:uiPriority w:val="46"/>
    <w:rsid w:val="00A8331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4C5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etheredge@cdc.gov" TargetMode="External"/><Relationship Id="rId18" Type="http://schemas.openxmlformats.org/officeDocument/2006/relationships/hyperlink" Target="https://www.bls.gov/ooh/life-physical-and-social-science/environmental-scientists-and-specialists.htm" TargetMode="External"/><Relationship Id="rId26" Type="http://schemas.openxmlformats.org/officeDocument/2006/relationships/hyperlink" Target="http://www.cdc.gov/nphpsp/essentialservices.html" TargetMode="External"/><Relationship Id="rId3" Type="http://schemas.openxmlformats.org/officeDocument/2006/relationships/customXml" Target="../customXml/item3.xml"/><Relationship Id="rId21" Type="http://schemas.openxmlformats.org/officeDocument/2006/relationships/hyperlink" Target="https://aspe.hhs.gov/pdf-report/guidelines-regulatory-impact-analysis"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bls.gov/ooh/life-physical-and-social-science/epidemiologists.htm" TargetMode="External"/><Relationship Id="rId25" Type="http://schemas.openxmlformats.org/officeDocument/2006/relationships/hyperlink" Target="https://jhu.pure.elsevier.com/en/publications/cancer-cluster-investigations-review-of-the-past-and-proposals-fo-4"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spe.hhs.gov/pdf-report/guidelines-regulatory-impact-analysis" TargetMode="External"/><Relationship Id="rId20" Type="http://schemas.openxmlformats.org/officeDocument/2006/relationships/hyperlink" Target="https://www.bls.gov/ooh/media-and-communication/public-relations-specialists.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ncbi.nlm.nih.gov/pmc/articles/PMC3408895/"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bls.gov/ooh/life-physical-and-social-science/epidemiologists.htm" TargetMode="External"/><Relationship Id="rId23" Type="http://schemas.openxmlformats.org/officeDocument/2006/relationships/hyperlink" Target="https://www.cdc.gov/mmwr/preview/mmwrhtml/rr6208a1.htm" TargetMode="External"/><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www.bls.gov/ooh/math/mathematicians-and-statisticians.htm"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ste2.org/webpdfs/ASynopsisofthe2010NationalAssessmentofStateCancerClusterInvestigationsandProtocols.pdf" TargetMode="External"/><Relationship Id="rId22" Type="http://schemas.openxmlformats.org/officeDocument/2006/relationships/hyperlink" Target="https://www.cancer.gov/about-cancer/understanding/statistics"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Url xmlns="b5c0ca00-073d-4463-9985-b654f14791fe">
      <Url>https://esp.cdc.gov/sites/ostlts/pip/osc/_layouts/15/DocIdRedir.aspx?ID=OSTLTSDOC-726-255</Url>
      <Description>OSTLTSDOC-726-255</Description>
    </_dlc_DocIdUrl>
    <_dlc_DocId xmlns="b5c0ca00-073d-4463-9985-b654f14791fe">OSTLTSDOC-726-255</_dlc_DocId>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A1EE2-2774-4D8A-AE0A-81537E912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0CE337-05FA-4B63-88C4-4A8983023024}">
  <ds:schemaRefs>
    <ds:schemaRef ds:uri="http://schemas.microsoft.com/sharepoint/v3/contenttype/forms"/>
  </ds:schemaRefs>
</ds:datastoreItem>
</file>

<file path=customXml/itemProps3.xml><?xml version="1.0" encoding="utf-8"?>
<ds:datastoreItem xmlns:ds="http://schemas.openxmlformats.org/officeDocument/2006/customXml" ds:itemID="{33E5B6D4-CAD0-4109-8CB0-0F9CC1AF8987}">
  <ds:schemaRefs>
    <ds:schemaRef ds:uri="http://schemas.microsoft.com/office/2006/metadata/customXsn"/>
  </ds:schemaRefs>
</ds:datastoreItem>
</file>

<file path=customXml/itemProps4.xml><?xml version="1.0" encoding="utf-8"?>
<ds:datastoreItem xmlns:ds="http://schemas.openxmlformats.org/officeDocument/2006/customXml" ds:itemID="{17277E06-6BE6-4972-B332-E7E386FE7CF4}">
  <ds:schemaRefs>
    <ds:schemaRef ds:uri="http://schemas.microsoft.com/sharepoint/events"/>
  </ds:schemaRefs>
</ds:datastoreItem>
</file>

<file path=customXml/itemProps5.xml><?xml version="1.0" encoding="utf-8"?>
<ds:datastoreItem xmlns:ds="http://schemas.openxmlformats.org/officeDocument/2006/customXml" ds:itemID="{B17062E4-CBDC-45BD-9FA4-5761471BF147}">
  <ds:schemaRefs>
    <ds:schemaRef ds:uri="http://schemas.microsoft.com/office/2006/metadata/properties"/>
    <ds:schemaRef ds:uri="http://schemas.microsoft.com/office/infopath/2007/PartnerControls"/>
    <ds:schemaRef ds:uri="bd99c180-279b-44c3-9486-dd050336677e"/>
    <ds:schemaRef ds:uri="ce849d94-b00b-4457-8fdf-7e9e81e05b5e"/>
    <ds:schemaRef ds:uri="15b1c282-9287-45cb-9b41-eae3a76919a0"/>
    <ds:schemaRef ds:uri="b5c0ca00-073d-4463-9985-b654f14791fe"/>
  </ds:schemaRefs>
</ds:datastoreItem>
</file>

<file path=customXml/itemProps6.xml><?xml version="1.0" encoding="utf-8"?>
<ds:datastoreItem xmlns:ds="http://schemas.openxmlformats.org/officeDocument/2006/customXml" ds:itemID="{479247E1-769B-4C28-90DE-B1FB01976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4927</Words>
  <Characters>28090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Gilliam, Adzua H. (CDC/DDPHSIS/CSTLTS/OD)</dc:creator>
  <cp:lastModifiedBy>Anderson, Brittany (CDC/DDPHSIS/CSTLTS/OD)</cp:lastModifiedBy>
  <cp:revision>8</cp:revision>
  <cp:lastPrinted>2020-01-27T16:28:00Z</cp:lastPrinted>
  <dcterms:created xsi:type="dcterms:W3CDTF">2020-06-25T22:22:00Z</dcterms:created>
  <dcterms:modified xsi:type="dcterms:W3CDTF">2020-06-29T18:36:00Z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a3d4184a-98e6-4fc1-9030-351b202a7dcc</vt:lpwstr>
  </property>
  <property fmtid="{D5CDD505-2E9C-101B-9397-08002B2CF9AE}" pid="4" name="MSIP_Label_7b94a7b8-f06c-4dfe-bdcc-9b548fd58c31_Enabled">
    <vt:lpwstr>True</vt:lpwstr>
  </property>
  <property fmtid="{D5CDD505-2E9C-101B-9397-08002B2CF9AE}" pid="5" name="MSIP_Label_7b94a7b8-f06c-4dfe-bdcc-9b548fd58c31_SiteId">
    <vt:lpwstr>9ce70869-60db-44fd-abe8-d2767077fc8f</vt:lpwstr>
  </property>
  <property fmtid="{D5CDD505-2E9C-101B-9397-08002B2CF9AE}" pid="6" name="MSIP_Label_7b94a7b8-f06c-4dfe-bdcc-9b548fd58c31_Owner">
    <vt:lpwstr>njg6@cdc.gov</vt:lpwstr>
  </property>
  <property fmtid="{D5CDD505-2E9C-101B-9397-08002B2CF9AE}" pid="7" name="MSIP_Label_7b94a7b8-f06c-4dfe-bdcc-9b548fd58c31_SetDate">
    <vt:lpwstr>2020-06-18T14:56:25.7587831Z</vt:lpwstr>
  </property>
  <property fmtid="{D5CDD505-2E9C-101B-9397-08002B2CF9AE}" pid="8" name="MSIP_Label_7b94a7b8-f06c-4dfe-bdcc-9b548fd58c31_Name">
    <vt:lpwstr>General</vt:lpwstr>
  </property>
  <property fmtid="{D5CDD505-2E9C-101B-9397-08002B2CF9AE}" pid="9" name="MSIP_Label_7b94a7b8-f06c-4dfe-bdcc-9b548fd58c31_Application">
    <vt:lpwstr>Microsoft Azure Information Protection</vt:lpwstr>
  </property>
  <property fmtid="{D5CDD505-2E9C-101B-9397-08002B2CF9AE}" pid="10" name="MSIP_Label_7b94a7b8-f06c-4dfe-bdcc-9b548fd58c31_ActionId">
    <vt:lpwstr>b28bc1ac-fd0b-40f3-bc18-e79c5558a95c</vt:lpwstr>
  </property>
  <property fmtid="{D5CDD505-2E9C-101B-9397-08002B2CF9AE}" pid="11" name="MSIP_Label_7b94a7b8-f06c-4dfe-bdcc-9b548fd58c31_Extended_MSFT_Method">
    <vt:lpwstr>Manual</vt:lpwstr>
  </property>
  <property fmtid="{D5CDD505-2E9C-101B-9397-08002B2CF9AE}" pid="12" name="Sensitivity">
    <vt:lpwstr>General</vt:lpwstr>
  </property>
</Properties>
</file>