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A01" w:rsidP="00ED07E6" w:rsidRDefault="00804A01" w14:paraId="3BE73D91" w14:textId="77777777">
      <w:pPr>
        <w:pStyle w:val="Heading1"/>
      </w:pPr>
    </w:p>
    <w:p w:rsidR="00804A01" w:rsidP="00ED07E6" w:rsidRDefault="00804A01" w14:paraId="0A5454BC" w14:textId="77777777">
      <w:pPr>
        <w:pStyle w:val="Heading1"/>
      </w:pPr>
    </w:p>
    <w:p w:rsidR="00804A01" w:rsidP="00ED07E6" w:rsidRDefault="00804A01" w14:paraId="398A8628" w14:textId="77777777">
      <w:pPr>
        <w:pStyle w:val="Heading1"/>
      </w:pPr>
    </w:p>
    <w:p w:rsidR="00804A01" w:rsidP="00ED07E6" w:rsidRDefault="00804A01" w14:paraId="5AE8F6DE" w14:textId="77777777">
      <w:pPr>
        <w:pStyle w:val="Heading1"/>
      </w:pPr>
    </w:p>
    <w:p w:rsidR="00804A01" w:rsidP="00ED07E6" w:rsidRDefault="00804A01" w14:paraId="3417E876" w14:textId="77777777">
      <w:pPr>
        <w:pStyle w:val="Heading1"/>
      </w:pPr>
    </w:p>
    <w:p w:rsidR="00804A01" w:rsidP="00ED07E6" w:rsidRDefault="00804A01" w14:paraId="4D70424A" w14:textId="77777777">
      <w:pPr>
        <w:pStyle w:val="Heading1"/>
      </w:pPr>
    </w:p>
    <w:p w:rsidRPr="00440FD2" w:rsidR="00ED07E6" w:rsidP="00ED07E6" w:rsidRDefault="00ED07E6" w14:paraId="221FF97B" w14:textId="675D1749">
      <w:pPr>
        <w:pStyle w:val="Heading1"/>
      </w:pPr>
      <w:r w:rsidRPr="00440FD2">
        <w:t>National Comprehensive Cancer Control</w:t>
      </w:r>
      <w:r w:rsidR="00A329B7">
        <w:t>: Program Improvement Assessment</w:t>
      </w:r>
    </w:p>
    <w:p w:rsidRPr="00440FD2" w:rsidR="00716F94" w:rsidP="00BC6896" w:rsidRDefault="00716F94" w14:paraId="1E5CB79D" w14:textId="1D583EC2">
      <w:pPr>
        <w:pStyle w:val="Heading1"/>
      </w:pPr>
    </w:p>
    <w:p w:rsidRPr="00440FD2" w:rsidR="00AA3192" w:rsidP="00BC6896" w:rsidRDefault="00AA3192" w14:paraId="65FCCF95" w14:textId="77777777"/>
    <w:p w:rsidRPr="00440FD2" w:rsidR="00716F94" w:rsidP="00BC6896" w:rsidRDefault="00544790" w14:paraId="2EB48742" w14:textId="0E748DFA">
      <w:pPr>
        <w:ind w:left="0"/>
        <w:jc w:val="center"/>
      </w:pPr>
      <w:r>
        <w:t>C</w:t>
      </w:r>
      <w:r w:rsidRPr="00440FD2" w:rsidR="00484011">
        <w:t xml:space="preserve">STLTS Generic </w:t>
      </w:r>
      <w:r w:rsidRPr="00440FD2" w:rsidR="00487E55">
        <w:t>Data collection</w:t>
      </w:r>
      <w:r w:rsidRPr="00440FD2" w:rsidR="00484011">
        <w:t xml:space="preserve"> Request</w:t>
      </w:r>
    </w:p>
    <w:p w:rsidRPr="00440FD2" w:rsidR="00484011" w:rsidP="00BC6896" w:rsidRDefault="00484011" w14:paraId="5EB5B9AE" w14:textId="77777777">
      <w:pPr>
        <w:pStyle w:val="Header"/>
        <w:ind w:left="0"/>
        <w:jc w:val="center"/>
      </w:pPr>
      <w:r w:rsidRPr="00440FD2">
        <w:t>OMB No. 0920-0879</w:t>
      </w:r>
    </w:p>
    <w:p w:rsidRPr="00440FD2" w:rsidR="009B4A51" w:rsidP="00BC6896" w:rsidRDefault="009B4A51" w14:paraId="7CA125B8" w14:textId="77777777"/>
    <w:p w:rsidRPr="00440FD2" w:rsidR="00AA3192" w:rsidP="00BC6896" w:rsidRDefault="00AA3192" w14:paraId="764247A8" w14:textId="77777777"/>
    <w:p w:rsidRPr="00440FD2" w:rsidR="009B4A51" w:rsidP="00BC6896" w:rsidRDefault="009B4A51" w14:paraId="67C3F948" w14:textId="77777777">
      <w:pPr>
        <w:pStyle w:val="Heading2"/>
      </w:pPr>
      <w:r w:rsidRPr="00440FD2">
        <w:t xml:space="preserve">Supporting Statement – Section </w:t>
      </w:r>
      <w:r w:rsidRPr="00440FD2" w:rsidR="00601392">
        <w:t>B</w:t>
      </w:r>
    </w:p>
    <w:p w:rsidRPr="00440FD2" w:rsidR="009B4A51" w:rsidP="00BC6896" w:rsidRDefault="009B4A51" w14:paraId="643F25BB" w14:textId="77777777"/>
    <w:p w:rsidRPr="00440FD2" w:rsidR="009B4A51" w:rsidP="00440FD2" w:rsidRDefault="009B4A51" w14:paraId="415560A8" w14:textId="5F5497F2">
      <w:pPr>
        <w:ind w:left="0"/>
        <w:jc w:val="center"/>
      </w:pPr>
      <w:r w:rsidRPr="00440FD2">
        <w:t xml:space="preserve">Submitted: </w:t>
      </w:r>
      <w:r w:rsidR="003D34A1">
        <w:t>6/18/2020</w:t>
      </w:r>
    </w:p>
    <w:p w:rsidR="00840A3A" w:rsidP="00BC6896" w:rsidRDefault="00840A3A" w14:paraId="31431944" w14:textId="0679EABC"/>
    <w:p w:rsidRPr="00440FD2" w:rsidR="00517433" w:rsidP="00BC6896" w:rsidRDefault="00517433" w14:paraId="0E2EDE67" w14:textId="77777777"/>
    <w:p w:rsidRPr="00440FD2" w:rsidR="009B4A51" w:rsidP="00BC6896" w:rsidRDefault="009B4A51" w14:paraId="11BC56D4" w14:textId="77777777"/>
    <w:p w:rsidR="00A81BF7" w:rsidP="00A81BF7" w:rsidRDefault="00A81BF7" w14:paraId="7D9EECF2" w14:textId="3716E06C">
      <w:pPr>
        <w:ind w:left="0"/>
        <w:rPr>
          <w:b/>
          <w:u w:val="single"/>
        </w:rPr>
      </w:pPr>
      <w:r w:rsidRPr="00440FD2">
        <w:rPr>
          <w:b/>
          <w:u w:val="single"/>
        </w:rPr>
        <w:t>Program Official/Project Officer</w:t>
      </w:r>
    </w:p>
    <w:p w:rsidRPr="00440FD2" w:rsidR="00517433" w:rsidP="00A81BF7" w:rsidRDefault="00517433" w14:paraId="03AC6242" w14:textId="77777777">
      <w:pPr>
        <w:ind w:left="0"/>
        <w:rPr>
          <w:b/>
          <w:u w:val="single"/>
        </w:rPr>
      </w:pPr>
    </w:p>
    <w:p w:rsidRPr="00440FD2" w:rsidR="000279C5" w:rsidP="000279C5" w:rsidRDefault="000279C5" w14:paraId="0EEA0B3F" w14:textId="77777777">
      <w:pPr>
        <w:ind w:left="0"/>
      </w:pPr>
      <w:r w:rsidRPr="00440FD2">
        <w:t>Angela Moore</w:t>
      </w:r>
    </w:p>
    <w:p w:rsidRPr="00440FD2" w:rsidR="000279C5" w:rsidP="000279C5" w:rsidRDefault="000279C5" w14:paraId="43BE3665" w14:textId="77777777">
      <w:pPr>
        <w:ind w:left="0"/>
      </w:pPr>
      <w:r w:rsidRPr="00440FD2">
        <w:t>Lead Public Health Advisor</w:t>
      </w:r>
    </w:p>
    <w:p w:rsidRPr="00440FD2" w:rsidR="000279C5" w:rsidP="000279C5" w:rsidRDefault="000279C5" w14:paraId="7339979B" w14:textId="77777777">
      <w:pPr>
        <w:ind w:left="0"/>
      </w:pPr>
      <w:r w:rsidRPr="00440FD2">
        <w:t>Division of Cancer Prevention and Control</w:t>
      </w:r>
    </w:p>
    <w:p w:rsidRPr="00440FD2" w:rsidR="000279C5" w:rsidP="000279C5" w:rsidRDefault="000279C5" w14:paraId="037A0A20" w14:textId="77777777">
      <w:pPr>
        <w:ind w:left="0"/>
      </w:pPr>
      <w:r w:rsidRPr="00440FD2">
        <w:t>National Center for Chronic Disease Prevention and Health Promotion</w:t>
      </w:r>
    </w:p>
    <w:p w:rsidRPr="00440FD2" w:rsidR="000279C5" w:rsidP="000279C5" w:rsidRDefault="000279C5" w14:paraId="7BE327FE" w14:textId="77777777">
      <w:pPr>
        <w:ind w:left="0"/>
      </w:pPr>
      <w:r w:rsidRPr="00440FD2">
        <w:t>4770 Buford Hwy NE, MS-F75</w:t>
      </w:r>
    </w:p>
    <w:p w:rsidRPr="00440FD2" w:rsidR="000279C5" w:rsidP="000279C5" w:rsidRDefault="000279C5" w14:paraId="54822838" w14:textId="77777777">
      <w:pPr>
        <w:ind w:left="0"/>
      </w:pPr>
      <w:r w:rsidRPr="00440FD2">
        <w:t>Atlanta, GA 30341-3717</w:t>
      </w:r>
    </w:p>
    <w:p w:rsidRPr="00440FD2" w:rsidR="000279C5" w:rsidP="000279C5" w:rsidRDefault="000279C5" w14:paraId="204DCA62" w14:textId="77777777">
      <w:pPr>
        <w:ind w:left="0"/>
      </w:pPr>
      <w:r w:rsidRPr="00440FD2">
        <w:t>OFFICE: 770-488-3094</w:t>
      </w:r>
    </w:p>
    <w:p w:rsidRPr="00440FD2" w:rsidR="000279C5" w:rsidP="000279C5" w:rsidRDefault="000279C5" w14:paraId="6359C381" w14:textId="77777777">
      <w:pPr>
        <w:ind w:left="0"/>
      </w:pPr>
      <w:r w:rsidRPr="00440FD2">
        <w:t>FAX: 770-488-4335</w:t>
      </w:r>
    </w:p>
    <w:p w:rsidRPr="00440FD2" w:rsidR="00691031" w:rsidP="000279C5" w:rsidRDefault="000279C5" w14:paraId="52A3C4F0" w14:textId="05AE04A8">
      <w:pPr>
        <w:ind w:left="0"/>
      </w:pPr>
      <w:r w:rsidRPr="00440FD2">
        <w:t>cyq6@cdc.gov</w:t>
      </w:r>
    </w:p>
    <w:p w:rsidRPr="00440FD2" w:rsidR="00691031" w:rsidP="00BC6896" w:rsidRDefault="00691031" w14:paraId="6FC715CF" w14:textId="77777777">
      <w:pPr>
        <w:ind w:left="0"/>
      </w:pPr>
    </w:p>
    <w:p w:rsidRPr="00440FD2" w:rsidR="00691031" w:rsidP="00BC6896" w:rsidRDefault="00691031" w14:paraId="439C923F" w14:textId="77777777">
      <w:pPr>
        <w:ind w:left="0"/>
      </w:pPr>
    </w:p>
    <w:p w:rsidR="00EC45F0" w:rsidP="00BC6896" w:rsidRDefault="00EC45F0" w14:paraId="6C26DF22" w14:textId="2F04646C">
      <w:pPr>
        <w:ind w:left="0"/>
      </w:pPr>
    </w:p>
    <w:p w:rsidRPr="00440FD2" w:rsidR="00EC45F0" w:rsidP="00BC6896" w:rsidRDefault="00012BC9" w14:paraId="2A4AFA23" w14:textId="6D2A9E84">
      <w:pPr>
        <w:ind w:left="0"/>
      </w:pPr>
      <w:r>
        <w:br/>
      </w:r>
    </w:p>
    <w:p w:rsidRPr="00440FD2" w:rsidR="00245F1F" w:rsidP="00BC6896" w:rsidRDefault="00245F1F" w14:paraId="6B5884A0" w14:textId="77777777">
      <w:pPr>
        <w:pStyle w:val="Heading3"/>
      </w:pPr>
      <w:bookmarkStart w:name="_Toc413847909" w:id="0"/>
      <w:r w:rsidRPr="00440FD2">
        <w:lastRenderedPageBreak/>
        <w:t>Table of Contents</w:t>
      </w:r>
      <w:bookmarkEnd w:id="0"/>
    </w:p>
    <w:p w:rsidRPr="00440FD2" w:rsidR="00245F1F" w:rsidP="006F23AF" w:rsidRDefault="00245F1F" w14:paraId="3DE4D30E" w14:textId="2D627480">
      <w:pPr>
        <w:ind w:left="0"/>
        <w:rPr>
          <w:rFonts w:asciiTheme="minorHAnsi" w:hAnsiTheme="minorHAnsi"/>
          <w:noProof/>
        </w:rPr>
      </w:pPr>
      <w:r w:rsidRPr="00440FD2">
        <w:fldChar w:fldCharType="begin"/>
      </w:r>
      <w:r w:rsidRPr="00440FD2">
        <w:instrText xml:space="preserve"> TOC \h \z \u \t "Heading 3,1,Heading 4,2" </w:instrText>
      </w:r>
      <w:r w:rsidRPr="00440FD2">
        <w:fldChar w:fldCharType="separate"/>
      </w:r>
    </w:p>
    <w:p w:rsidRPr="00440FD2" w:rsidR="00245F1F" w:rsidRDefault="00611C90" w14:paraId="0E818D57" w14:textId="1227ACA9">
      <w:pPr>
        <w:pStyle w:val="TOC1"/>
        <w:tabs>
          <w:tab w:val="right" w:leader="dot" w:pos="9350"/>
        </w:tabs>
        <w:rPr>
          <w:rFonts w:asciiTheme="minorHAnsi" w:hAnsiTheme="minorHAnsi"/>
          <w:noProof/>
        </w:rPr>
      </w:pPr>
      <w:hyperlink w:history="1" w:anchor="_Toc413847910">
        <w:r w:rsidRPr="00440FD2" w:rsidR="00245F1F">
          <w:rPr>
            <w:rStyle w:val="Hyperlink"/>
            <w:noProof/>
            <w:color w:val="auto"/>
          </w:rPr>
          <w:t xml:space="preserve">Section B – </w:t>
        </w:r>
        <w:r w:rsidRPr="00440FD2" w:rsidR="00487E55">
          <w:rPr>
            <w:rStyle w:val="Hyperlink"/>
            <w:noProof/>
            <w:color w:val="auto"/>
          </w:rPr>
          <w:t>Data collection</w:t>
        </w:r>
        <w:r w:rsidRPr="00440FD2" w:rsidR="00245F1F">
          <w:rPr>
            <w:rStyle w:val="Hyperlink"/>
            <w:noProof/>
            <w:color w:val="auto"/>
          </w:rPr>
          <w:t xml:space="preserve"> Procedures</w:t>
        </w:r>
        <w:r w:rsidRPr="00440FD2" w:rsidR="00245F1F">
          <w:rPr>
            <w:noProof/>
            <w:webHidden/>
          </w:rPr>
          <w:tab/>
        </w:r>
        <w:r w:rsidRPr="00440FD2" w:rsidR="00245F1F">
          <w:rPr>
            <w:noProof/>
            <w:webHidden/>
          </w:rPr>
          <w:fldChar w:fldCharType="begin"/>
        </w:r>
        <w:r w:rsidRPr="00440FD2" w:rsidR="00245F1F">
          <w:rPr>
            <w:noProof/>
            <w:webHidden/>
          </w:rPr>
          <w:instrText xml:space="preserve"> PAGEREF _Toc413847910 \h </w:instrText>
        </w:r>
        <w:r w:rsidRPr="00440FD2" w:rsidR="00245F1F">
          <w:rPr>
            <w:noProof/>
            <w:webHidden/>
          </w:rPr>
        </w:r>
        <w:r w:rsidRPr="00440FD2" w:rsidR="00245F1F">
          <w:rPr>
            <w:noProof/>
            <w:webHidden/>
          </w:rPr>
          <w:fldChar w:fldCharType="separate"/>
        </w:r>
        <w:r w:rsidR="0069152B">
          <w:rPr>
            <w:noProof/>
            <w:webHidden/>
          </w:rPr>
          <w:t>3</w:t>
        </w:r>
        <w:r w:rsidRPr="00440FD2" w:rsidR="00245F1F">
          <w:rPr>
            <w:noProof/>
            <w:webHidden/>
          </w:rPr>
          <w:fldChar w:fldCharType="end"/>
        </w:r>
      </w:hyperlink>
    </w:p>
    <w:p w:rsidRPr="00440FD2" w:rsidR="00245F1F" w:rsidP="00245F1F" w:rsidRDefault="00611C90" w14:paraId="1B180080" w14:textId="45D7121B">
      <w:pPr>
        <w:pStyle w:val="TOC2"/>
        <w:rPr>
          <w:noProof/>
        </w:rPr>
      </w:pPr>
      <w:hyperlink w:history="1" w:anchor="_Toc413847911">
        <w:r w:rsidRPr="00440FD2" w:rsidR="00245F1F">
          <w:rPr>
            <w:rStyle w:val="Hyperlink"/>
            <w:noProof/>
            <w:color w:val="auto"/>
          </w:rPr>
          <w:t>1.</w:t>
        </w:r>
        <w:r w:rsidRPr="00440FD2" w:rsidR="00245F1F">
          <w:rPr>
            <w:noProof/>
          </w:rPr>
          <w:tab/>
        </w:r>
        <w:r w:rsidRPr="00440FD2" w:rsidR="00245F1F">
          <w:rPr>
            <w:rStyle w:val="Hyperlink"/>
            <w:noProof/>
            <w:color w:val="auto"/>
          </w:rPr>
          <w:t>Respondent Universe and Sampling Methods</w:t>
        </w:r>
        <w:r w:rsidRPr="00440FD2" w:rsidR="00245F1F">
          <w:rPr>
            <w:noProof/>
            <w:webHidden/>
          </w:rPr>
          <w:tab/>
        </w:r>
        <w:r w:rsidRPr="00440FD2" w:rsidR="00245F1F">
          <w:rPr>
            <w:noProof/>
            <w:webHidden/>
          </w:rPr>
          <w:fldChar w:fldCharType="begin"/>
        </w:r>
        <w:r w:rsidRPr="00440FD2" w:rsidR="00245F1F">
          <w:rPr>
            <w:noProof/>
            <w:webHidden/>
          </w:rPr>
          <w:instrText xml:space="preserve"> PAGEREF _Toc413847911 \h </w:instrText>
        </w:r>
        <w:r w:rsidRPr="00440FD2" w:rsidR="00245F1F">
          <w:rPr>
            <w:noProof/>
            <w:webHidden/>
          </w:rPr>
        </w:r>
        <w:r w:rsidRPr="00440FD2" w:rsidR="00245F1F">
          <w:rPr>
            <w:noProof/>
            <w:webHidden/>
          </w:rPr>
          <w:fldChar w:fldCharType="separate"/>
        </w:r>
        <w:r w:rsidR="0069152B">
          <w:rPr>
            <w:noProof/>
            <w:webHidden/>
          </w:rPr>
          <w:t>3</w:t>
        </w:r>
        <w:r w:rsidRPr="00440FD2" w:rsidR="00245F1F">
          <w:rPr>
            <w:noProof/>
            <w:webHidden/>
          </w:rPr>
          <w:fldChar w:fldCharType="end"/>
        </w:r>
      </w:hyperlink>
    </w:p>
    <w:p w:rsidRPr="00440FD2" w:rsidR="00245F1F" w:rsidP="00245F1F" w:rsidRDefault="00611C90" w14:paraId="02D7E354" w14:textId="106222FD">
      <w:pPr>
        <w:pStyle w:val="TOC2"/>
        <w:rPr>
          <w:noProof/>
        </w:rPr>
      </w:pPr>
      <w:hyperlink w:history="1" w:anchor="_Toc413847912">
        <w:r w:rsidRPr="00440FD2" w:rsidR="00245F1F">
          <w:rPr>
            <w:rStyle w:val="Hyperlink"/>
            <w:noProof/>
            <w:color w:val="auto"/>
          </w:rPr>
          <w:t>2.</w:t>
        </w:r>
        <w:r w:rsidRPr="00440FD2" w:rsidR="00245F1F">
          <w:rPr>
            <w:noProof/>
          </w:rPr>
          <w:tab/>
        </w:r>
        <w:r w:rsidRPr="00440FD2" w:rsidR="00245F1F">
          <w:rPr>
            <w:rStyle w:val="Hyperlink"/>
            <w:noProof/>
            <w:color w:val="auto"/>
          </w:rPr>
          <w:t>Procedures for the Collection of Information</w:t>
        </w:r>
        <w:r w:rsidRPr="00440FD2" w:rsidR="00245F1F">
          <w:rPr>
            <w:noProof/>
            <w:webHidden/>
          </w:rPr>
          <w:tab/>
        </w:r>
        <w:r w:rsidR="00FA3C5E">
          <w:rPr>
            <w:noProof/>
            <w:webHidden/>
          </w:rPr>
          <w:t>4</w:t>
        </w:r>
      </w:hyperlink>
    </w:p>
    <w:p w:rsidRPr="00440FD2" w:rsidR="00245F1F" w:rsidP="00245F1F" w:rsidRDefault="00611C90" w14:paraId="2F38C32A" w14:textId="4C95F7E4">
      <w:pPr>
        <w:pStyle w:val="TOC2"/>
        <w:rPr>
          <w:noProof/>
        </w:rPr>
      </w:pPr>
      <w:hyperlink w:history="1" w:anchor="_Toc413847913">
        <w:r w:rsidRPr="00440FD2" w:rsidR="00245F1F">
          <w:rPr>
            <w:rStyle w:val="Hyperlink"/>
            <w:noProof/>
            <w:color w:val="auto"/>
          </w:rPr>
          <w:t>3.</w:t>
        </w:r>
        <w:r w:rsidRPr="00440FD2" w:rsidR="00245F1F">
          <w:rPr>
            <w:noProof/>
          </w:rPr>
          <w:tab/>
        </w:r>
        <w:r w:rsidRPr="00440FD2" w:rsidR="00245F1F">
          <w:rPr>
            <w:rStyle w:val="Hyperlink"/>
            <w:noProof/>
            <w:color w:val="auto"/>
          </w:rPr>
          <w:t>Methods to Maximize Response Rates  Deal with Nonresponse</w:t>
        </w:r>
        <w:r w:rsidRPr="00440FD2" w:rsidR="00245F1F">
          <w:rPr>
            <w:noProof/>
            <w:webHidden/>
          </w:rPr>
          <w:tab/>
        </w:r>
        <w:r w:rsidRPr="00440FD2" w:rsidR="00245F1F">
          <w:rPr>
            <w:noProof/>
            <w:webHidden/>
          </w:rPr>
          <w:fldChar w:fldCharType="begin"/>
        </w:r>
        <w:r w:rsidRPr="00440FD2" w:rsidR="00245F1F">
          <w:rPr>
            <w:noProof/>
            <w:webHidden/>
          </w:rPr>
          <w:instrText xml:space="preserve"> PAGEREF _Toc413847913 \h </w:instrText>
        </w:r>
        <w:r w:rsidRPr="00440FD2" w:rsidR="00245F1F">
          <w:rPr>
            <w:noProof/>
            <w:webHidden/>
          </w:rPr>
        </w:r>
        <w:r w:rsidRPr="00440FD2" w:rsidR="00245F1F">
          <w:rPr>
            <w:noProof/>
            <w:webHidden/>
          </w:rPr>
          <w:fldChar w:fldCharType="separate"/>
        </w:r>
        <w:r w:rsidR="0069152B">
          <w:rPr>
            <w:noProof/>
            <w:webHidden/>
          </w:rPr>
          <w:t>4</w:t>
        </w:r>
        <w:r w:rsidRPr="00440FD2" w:rsidR="00245F1F">
          <w:rPr>
            <w:noProof/>
            <w:webHidden/>
          </w:rPr>
          <w:fldChar w:fldCharType="end"/>
        </w:r>
      </w:hyperlink>
    </w:p>
    <w:p w:rsidRPr="00440FD2" w:rsidR="00245F1F" w:rsidP="00245F1F" w:rsidRDefault="00611C90" w14:paraId="2FA3FE33" w14:textId="2C63D49D">
      <w:pPr>
        <w:pStyle w:val="TOC2"/>
        <w:rPr>
          <w:noProof/>
        </w:rPr>
      </w:pPr>
      <w:hyperlink w:history="1" w:anchor="_Toc413847914">
        <w:r w:rsidRPr="00440FD2" w:rsidR="00245F1F">
          <w:rPr>
            <w:rStyle w:val="Hyperlink"/>
            <w:noProof/>
            <w:color w:val="auto"/>
          </w:rPr>
          <w:t>4.</w:t>
        </w:r>
        <w:r w:rsidRPr="00440FD2" w:rsidR="00245F1F">
          <w:rPr>
            <w:noProof/>
          </w:rPr>
          <w:tab/>
        </w:r>
        <w:r w:rsidRPr="00440FD2" w:rsidR="00245F1F">
          <w:rPr>
            <w:rStyle w:val="Hyperlink"/>
            <w:noProof/>
            <w:color w:val="auto"/>
          </w:rPr>
          <w:t>Test of Procedures or Methods to be Undertaken</w:t>
        </w:r>
        <w:r w:rsidRPr="00440FD2" w:rsidR="00245F1F">
          <w:rPr>
            <w:noProof/>
            <w:webHidden/>
          </w:rPr>
          <w:tab/>
        </w:r>
        <w:r w:rsidR="00FA3C5E">
          <w:rPr>
            <w:noProof/>
            <w:webHidden/>
          </w:rPr>
          <w:t>5</w:t>
        </w:r>
      </w:hyperlink>
    </w:p>
    <w:p w:rsidRPr="00440FD2" w:rsidR="00245F1F" w:rsidP="00245F1F" w:rsidRDefault="00611C90" w14:paraId="415BB023" w14:textId="03887696">
      <w:pPr>
        <w:pStyle w:val="TOC2"/>
        <w:rPr>
          <w:noProof/>
        </w:rPr>
      </w:pPr>
      <w:hyperlink w:history="1" w:anchor="_Toc413847915">
        <w:r w:rsidRPr="00440FD2" w:rsidR="00245F1F">
          <w:rPr>
            <w:rStyle w:val="Hyperlink"/>
            <w:noProof/>
            <w:color w:val="auto"/>
          </w:rPr>
          <w:t>5.</w:t>
        </w:r>
        <w:r w:rsidRPr="00440FD2" w:rsidR="00245F1F">
          <w:rPr>
            <w:noProof/>
          </w:rPr>
          <w:tab/>
        </w:r>
        <w:r w:rsidRPr="00440FD2" w:rsidR="00245F1F">
          <w:rPr>
            <w:rStyle w:val="Hyperlink"/>
            <w:noProof/>
            <w:color w:val="auto"/>
          </w:rPr>
          <w:t>Individuals Consulted on Statistical Aspects and Individuals Collecting and/or Analyzing Data</w:t>
        </w:r>
        <w:r w:rsidRPr="00440FD2" w:rsidR="00245F1F">
          <w:rPr>
            <w:rStyle w:val="Hyperlink"/>
            <w:noProof/>
            <w:color w:val="auto"/>
          </w:rPr>
          <w:tab/>
        </w:r>
        <w:r w:rsidR="002B5D5C">
          <w:rPr>
            <w:noProof/>
            <w:webHidden/>
          </w:rPr>
          <w:t>5</w:t>
        </w:r>
      </w:hyperlink>
    </w:p>
    <w:p w:rsidRPr="00440FD2" w:rsidR="00245F1F" w:rsidRDefault="00611C90" w14:paraId="7580FEBC" w14:textId="15D7581B">
      <w:pPr>
        <w:pStyle w:val="TOC1"/>
        <w:tabs>
          <w:tab w:val="right" w:leader="dot" w:pos="9350"/>
        </w:tabs>
        <w:rPr>
          <w:rFonts w:asciiTheme="minorHAnsi" w:hAnsiTheme="minorHAnsi"/>
          <w:noProof/>
        </w:rPr>
      </w:pPr>
      <w:hyperlink w:history="1" w:anchor="_Toc413847916">
        <w:r w:rsidRPr="00440FD2" w:rsidR="00245F1F">
          <w:rPr>
            <w:rStyle w:val="Hyperlink"/>
            <w:noProof/>
            <w:color w:val="auto"/>
          </w:rPr>
          <w:t>LIST OF ATTACHMENTS – Section B</w:t>
        </w:r>
        <w:r w:rsidRPr="00440FD2" w:rsidR="00245F1F">
          <w:rPr>
            <w:noProof/>
            <w:webHidden/>
          </w:rPr>
          <w:tab/>
        </w:r>
        <w:r w:rsidR="002B5D5C">
          <w:rPr>
            <w:noProof/>
            <w:webHidden/>
          </w:rPr>
          <w:t>6</w:t>
        </w:r>
      </w:hyperlink>
    </w:p>
    <w:p w:rsidR="00245F1F" w:rsidP="00440FD2" w:rsidRDefault="00245F1F" w14:paraId="155EEAC4" w14:textId="2055CAE9">
      <w:pPr>
        <w:pStyle w:val="Heading3"/>
      </w:pPr>
      <w:r w:rsidRPr="00440FD2">
        <w:fldChar w:fldCharType="end"/>
      </w:r>
      <w:bookmarkStart w:name="_Toc413847910" w:id="1"/>
    </w:p>
    <w:p w:rsidR="000F2533" w:rsidP="000F2533" w:rsidRDefault="000F2533" w14:paraId="16561D92" w14:textId="20BA6048"/>
    <w:p w:rsidR="000F2533" w:rsidP="000F2533" w:rsidRDefault="000F2533" w14:paraId="290C7E14" w14:textId="22588BEB"/>
    <w:p w:rsidR="000F2533" w:rsidP="000F2533" w:rsidRDefault="000F2533" w14:paraId="39FC6FC4" w14:textId="11BDAF55"/>
    <w:p w:rsidR="000F2533" w:rsidP="000F2533" w:rsidRDefault="000F2533" w14:paraId="34FBFF03" w14:textId="7C7265B8"/>
    <w:p w:rsidR="000F2533" w:rsidP="000F2533" w:rsidRDefault="000F2533" w14:paraId="4BB5398E" w14:textId="73B10C8C"/>
    <w:p w:rsidR="000F2533" w:rsidP="000F2533" w:rsidRDefault="000F2533" w14:paraId="6A3B47D9" w14:textId="3E3A8A4C"/>
    <w:p w:rsidR="000F2533" w:rsidP="000F2533" w:rsidRDefault="000F2533" w14:paraId="66D85A80" w14:textId="56313FD6"/>
    <w:p w:rsidR="000F2533" w:rsidP="000F2533" w:rsidRDefault="000F2533" w14:paraId="3A6AE8A8" w14:textId="0B071484"/>
    <w:p w:rsidR="000F2533" w:rsidP="000F2533" w:rsidRDefault="000F2533" w14:paraId="29AAC666" w14:textId="736D42DE"/>
    <w:p w:rsidR="000F2533" w:rsidP="000F2533" w:rsidRDefault="000F2533" w14:paraId="41AB40A6" w14:textId="2403DE9B"/>
    <w:p w:rsidR="000F2533" w:rsidP="000F2533" w:rsidRDefault="000F2533" w14:paraId="437F9D27" w14:textId="7C8D22F4"/>
    <w:p w:rsidR="000F2533" w:rsidP="000F2533" w:rsidRDefault="000F2533" w14:paraId="4D82D364" w14:textId="26D3CDC3"/>
    <w:p w:rsidR="000F2533" w:rsidP="000F2533" w:rsidRDefault="000F2533" w14:paraId="268977C0" w14:textId="15B76203"/>
    <w:p w:rsidR="000F2533" w:rsidP="000F2533" w:rsidRDefault="000F2533" w14:paraId="3737BF4B" w14:textId="03CE08B3"/>
    <w:p w:rsidR="000F2533" w:rsidP="000F2533" w:rsidRDefault="000F2533" w14:paraId="1230751A" w14:textId="16C151D5"/>
    <w:p w:rsidR="000F2533" w:rsidP="000F2533" w:rsidRDefault="000F2533" w14:paraId="116D1839" w14:textId="5EFD1AA7"/>
    <w:p w:rsidR="000F2533" w:rsidP="000F2533" w:rsidRDefault="000F2533" w14:paraId="2EF45967" w14:textId="56FB0029"/>
    <w:p w:rsidR="000F2533" w:rsidP="000F2533" w:rsidRDefault="000F2533" w14:paraId="7641F8A9" w14:textId="53A320F3"/>
    <w:p w:rsidR="000F2533" w:rsidP="000F2533" w:rsidRDefault="000F2533" w14:paraId="3433FBF2" w14:textId="1D399998"/>
    <w:p w:rsidR="000F2533" w:rsidP="000F2533" w:rsidRDefault="000F2533" w14:paraId="45C6141D" w14:textId="718E42E1"/>
    <w:p w:rsidR="000F2533" w:rsidP="000F2533" w:rsidRDefault="000F2533" w14:paraId="79A8A68C" w14:textId="44D61245"/>
    <w:p w:rsidR="00971425" w:rsidP="000F2533" w:rsidRDefault="00971425" w14:paraId="6387B5A9" w14:textId="6850F101"/>
    <w:p w:rsidR="00971425" w:rsidP="000F2533" w:rsidRDefault="00971425" w14:paraId="043AA0B0" w14:textId="583333F0"/>
    <w:p w:rsidR="00971425" w:rsidP="000F2533" w:rsidRDefault="00971425" w14:paraId="3F5C5A46" w14:textId="77777777"/>
    <w:p w:rsidR="000F2533" w:rsidP="000F2533" w:rsidRDefault="000F2533" w14:paraId="1443E0C3" w14:textId="572CC1E3"/>
    <w:p w:rsidR="000F2533" w:rsidP="000F2533" w:rsidRDefault="000F2533" w14:paraId="6B1705CB" w14:textId="3646DB8D"/>
    <w:p w:rsidR="000F2533" w:rsidP="000F2533" w:rsidRDefault="000F2533" w14:paraId="5761748E" w14:textId="4B0CAFD8"/>
    <w:p w:rsidR="000F2533" w:rsidP="000F2533" w:rsidRDefault="000F2533" w14:paraId="40C2BF52" w14:textId="61D5269C"/>
    <w:p w:rsidR="000F2533" w:rsidP="000F2533" w:rsidRDefault="000F2533" w14:paraId="49371121" w14:textId="1A333960"/>
    <w:p w:rsidRPr="00440FD2" w:rsidR="00B12F51" w:rsidP="00BC6896" w:rsidRDefault="00B12F51" w14:paraId="75612BC1" w14:textId="3F4D1465">
      <w:pPr>
        <w:pStyle w:val="Heading3"/>
      </w:pPr>
      <w:r w:rsidRPr="00440FD2">
        <w:lastRenderedPageBreak/>
        <w:t xml:space="preserve">Section B – </w:t>
      </w:r>
      <w:r w:rsidRPr="00440FD2" w:rsidR="00487E55">
        <w:t>Data collection</w:t>
      </w:r>
      <w:r w:rsidRPr="00440FD2" w:rsidR="00287E2F">
        <w:t xml:space="preserve"> Procedures</w:t>
      </w:r>
      <w:bookmarkEnd w:id="1"/>
    </w:p>
    <w:p w:rsidRPr="00440FD2" w:rsidR="00287E2F" w:rsidP="002955E6" w:rsidRDefault="00287E2F" w14:paraId="2BD8810D" w14:textId="77777777">
      <w:pPr>
        <w:spacing w:line="240" w:lineRule="auto"/>
      </w:pPr>
    </w:p>
    <w:p w:rsidRPr="00440FD2" w:rsidR="00A75D1C" w:rsidP="002955E6" w:rsidRDefault="009759F3" w14:paraId="2BDBA5F7" w14:textId="0FB26171">
      <w:pPr>
        <w:pStyle w:val="Heading4"/>
        <w:spacing w:after="0" w:line="240" w:lineRule="auto"/>
      </w:pPr>
      <w:bookmarkStart w:name="_Toc413847911" w:id="2"/>
      <w:r w:rsidRPr="00440FD2">
        <w:t xml:space="preserve">Respondent </w:t>
      </w:r>
      <w:r w:rsidRPr="00440FD2" w:rsidR="00DE2D45">
        <w:t>Uni</w:t>
      </w:r>
      <w:r w:rsidRPr="00440FD2" w:rsidR="001960AE">
        <w:t xml:space="preserve">verse and Sampling Methods </w:t>
      </w:r>
      <w:bookmarkEnd w:id="2"/>
    </w:p>
    <w:p w:rsidRPr="00440FD2" w:rsidR="002955E6" w:rsidP="002955E6" w:rsidRDefault="002955E6" w14:paraId="67F70FD0" w14:textId="77777777">
      <w:pPr>
        <w:spacing w:line="240" w:lineRule="auto"/>
        <w:ind w:left="360"/>
        <w:rPr>
          <w:b/>
        </w:rPr>
      </w:pPr>
    </w:p>
    <w:p w:rsidR="00B25CEF" w:rsidP="00490E61" w:rsidRDefault="00544469" w14:paraId="52D48210" w14:textId="77777777">
      <w:pPr>
        <w:spacing w:line="240" w:lineRule="auto"/>
        <w:ind w:left="360"/>
      </w:pPr>
      <w:bookmarkStart w:name="_Hlk33774687" w:id="3"/>
      <w:r w:rsidRPr="00440FD2">
        <w:t xml:space="preserve">Data will be collected from </w:t>
      </w:r>
      <w:r w:rsidRPr="00F777AC" w:rsidR="00926EA4">
        <w:t>67</w:t>
      </w:r>
      <w:r w:rsidRPr="00440FD2" w:rsidR="00B57E8A">
        <w:t xml:space="preserve"> </w:t>
      </w:r>
      <w:r w:rsidR="00000794">
        <w:t xml:space="preserve">National Comprehensive Cancer Control Program (NCCCP </w:t>
      </w:r>
      <w:r w:rsidRPr="00F777AC" w:rsidR="00B57E8A">
        <w:rPr>
          <w:color w:val="000000" w:themeColor="text1"/>
        </w:rPr>
        <w:t>DP17-1701</w:t>
      </w:r>
      <w:r w:rsidRPr="00F777AC" w:rsidR="00000794">
        <w:t>)</w:t>
      </w:r>
      <w:r w:rsidRPr="00DF47AA" w:rsidR="00B57E8A">
        <w:rPr>
          <w:color w:val="FF0000"/>
        </w:rPr>
        <w:t xml:space="preserve"> </w:t>
      </w:r>
      <w:r w:rsidRPr="00440FD2" w:rsidR="00B57E8A">
        <w:t>program directors, representing 6</w:t>
      </w:r>
      <w:r w:rsidR="00FF6930">
        <w:t>3</w:t>
      </w:r>
      <w:r w:rsidRPr="00440FD2" w:rsidR="00B57E8A">
        <w:t xml:space="preserve"> funded </w:t>
      </w:r>
      <w:r w:rsidR="002D7797">
        <w:t>programs. The funded programs</w:t>
      </w:r>
      <w:r w:rsidRPr="00440FD2" w:rsidR="00B57E8A">
        <w:t xml:space="preserve"> includ</w:t>
      </w:r>
      <w:r w:rsidR="002D7797">
        <w:t>e</w:t>
      </w:r>
      <w:r w:rsidRPr="00440FD2" w:rsidR="00B57E8A">
        <w:t xml:space="preserve"> all 50 states, the District of Columbia,</w:t>
      </w:r>
      <w:r w:rsidR="004B0004">
        <w:t xml:space="preserve"> </w:t>
      </w:r>
      <w:r w:rsidR="00FF6930">
        <w:t>5</w:t>
      </w:r>
      <w:r w:rsidRPr="00440FD2" w:rsidR="004B0004">
        <w:t xml:space="preserve"> tribes or tribal organizations</w:t>
      </w:r>
      <w:r w:rsidR="004B0004">
        <w:t xml:space="preserve">, </w:t>
      </w:r>
      <w:r w:rsidR="00636B9C">
        <w:t xml:space="preserve">and </w:t>
      </w:r>
      <w:r w:rsidR="004B0004">
        <w:t>7</w:t>
      </w:r>
      <w:r w:rsidRPr="00440FD2" w:rsidR="00B57E8A">
        <w:t xml:space="preserve"> </w:t>
      </w:r>
      <w:r w:rsidR="004B0004">
        <w:t>terri</w:t>
      </w:r>
      <w:r w:rsidR="007619A6">
        <w:t>tories</w:t>
      </w:r>
      <w:r w:rsidRPr="00440FD2" w:rsidR="00B57E8A">
        <w:t xml:space="preserve">. </w:t>
      </w:r>
      <w:r w:rsidR="00D74A06">
        <w:t xml:space="preserve">There are </w:t>
      </w:r>
      <w:r w:rsidR="00D33F88">
        <w:t>67</w:t>
      </w:r>
      <w:r w:rsidR="00D642A1">
        <w:t xml:space="preserve"> </w:t>
      </w:r>
      <w:r w:rsidR="00D74A06">
        <w:t xml:space="preserve">program directors because one </w:t>
      </w:r>
      <w:r w:rsidR="000C18B8">
        <w:t>territory</w:t>
      </w:r>
      <w:r w:rsidR="00856593">
        <w:t>, the Federated States of Micronesia</w:t>
      </w:r>
      <w:r w:rsidR="000009FB">
        <w:t>, has four constituent states (Yap, Chuuk, Pohnpei, and Kosrae) independently implementing the program and reporting to CDC in addition to the national program</w:t>
      </w:r>
      <w:r w:rsidR="00113035">
        <w:t>.</w:t>
      </w:r>
      <w:r w:rsidR="00D50C38">
        <w:t xml:space="preserve"> </w:t>
      </w:r>
    </w:p>
    <w:p w:rsidR="00B25CEF" w:rsidP="00490E61" w:rsidRDefault="00B25CEF" w14:paraId="1FE8F5CE" w14:textId="77777777">
      <w:pPr>
        <w:spacing w:line="240" w:lineRule="auto"/>
        <w:ind w:left="360"/>
      </w:pPr>
    </w:p>
    <w:p w:rsidRPr="00454A3D" w:rsidR="00454A3D" w:rsidP="00454A3D" w:rsidRDefault="00454A3D" w14:paraId="2AE415A6" w14:textId="77777777">
      <w:pPr>
        <w:spacing w:line="240" w:lineRule="auto"/>
        <w:ind w:left="360"/>
      </w:pPr>
      <w:bookmarkStart w:name="_Hlk42077029" w:id="4"/>
      <w:r w:rsidRPr="00454A3D">
        <w:t xml:space="preserve">Six respondents are delegates acting on behalf of their local health agency. All meet the approved delegate definition of 0920-0879 for the following reasons: </w:t>
      </w:r>
    </w:p>
    <w:bookmarkEnd w:id="4"/>
    <w:p w:rsidR="00FD0D84" w:rsidP="00490E61" w:rsidRDefault="00FD0D84" w14:paraId="43A9830F" w14:textId="5915B6A8">
      <w:pPr>
        <w:spacing w:line="240" w:lineRule="auto"/>
        <w:ind w:left="360"/>
      </w:pPr>
    </w:p>
    <w:p w:rsidR="00FD0D84" w:rsidP="00FD0D84" w:rsidRDefault="00E833EC" w14:paraId="5FAE9823" w14:textId="52BDA3C2">
      <w:pPr>
        <w:pStyle w:val="ListParagraph"/>
        <w:numPr>
          <w:ilvl w:val="0"/>
          <w:numId w:val="43"/>
        </w:numPr>
        <w:spacing w:line="240" w:lineRule="auto"/>
      </w:pPr>
      <w:r>
        <w:t>Three</w:t>
      </w:r>
      <w:r w:rsidR="00FD0D84">
        <w:t xml:space="preserve"> delegates serve as Bona Fide Fiscal Agents of their local health agencies. </w:t>
      </w:r>
      <w:r w:rsidRPr="00440FD2" w:rsidR="00804C41">
        <w:t>Louisiana State University</w:t>
      </w:r>
      <w:r w:rsidRPr="00440FD2" w:rsidR="00544469">
        <w:t xml:space="preserve"> serves as </w:t>
      </w:r>
      <w:r w:rsidRPr="00440FD2" w:rsidR="00804C41">
        <w:t xml:space="preserve">a </w:t>
      </w:r>
      <w:r w:rsidRPr="00440FD2" w:rsidR="00544469">
        <w:t xml:space="preserve">delegate for </w:t>
      </w:r>
      <w:r w:rsidRPr="00440FD2" w:rsidR="00804C41">
        <w:t>Louisiana Department of Health</w:t>
      </w:r>
      <w:r w:rsidR="006630D9">
        <w:t>.</w:t>
      </w:r>
      <w:r w:rsidR="00350347">
        <w:t xml:space="preserve"> T</w:t>
      </w:r>
      <w:r w:rsidRPr="00440FD2" w:rsidR="00350347">
        <w:t>he University of Kentucky serves as a delegate for the Kentucky Department of Public Health</w:t>
      </w:r>
      <w:r w:rsidR="00121F54">
        <w:t xml:space="preserve">. </w:t>
      </w:r>
      <w:r w:rsidR="00140064">
        <w:t xml:space="preserve">Last, the </w:t>
      </w:r>
      <w:r w:rsidRPr="00440FD2" w:rsidR="00804C41">
        <w:t>University of Puerto Rico Comprehensive Cancer Center serves as a delegate for the Puerto Rico Department of Health</w:t>
      </w:r>
      <w:r w:rsidR="00140064">
        <w:t xml:space="preserve"> </w:t>
      </w:r>
      <w:r w:rsidRPr="00440FD2" w:rsidR="00544469">
        <w:t xml:space="preserve">(see </w:t>
      </w:r>
      <w:r w:rsidRPr="00FD0D84" w:rsidR="00B315A7">
        <w:rPr>
          <w:b/>
        </w:rPr>
        <w:t xml:space="preserve">Attachment </w:t>
      </w:r>
      <w:r w:rsidRPr="00FD0D84" w:rsidR="005074EF">
        <w:rPr>
          <w:b/>
        </w:rPr>
        <w:t>B</w:t>
      </w:r>
      <w:r w:rsidRPr="00FD0D84" w:rsidR="00B315A7">
        <w:rPr>
          <w:b/>
        </w:rPr>
        <w:t xml:space="preserve"> – Letter for Bona Fide Fiscal Agent</w:t>
      </w:r>
      <w:r w:rsidRPr="00440FD2" w:rsidR="00B315A7">
        <w:t>)</w:t>
      </w:r>
      <w:r w:rsidRPr="00440FD2" w:rsidR="00544469">
        <w:t>.</w:t>
      </w:r>
      <w:r w:rsidR="00B25CEF">
        <w:t xml:space="preserve"> All 3 meet the approved delegate definition of 0920-</w:t>
      </w:r>
      <w:r w:rsidR="00BC2114">
        <w:t>0879 and</w:t>
      </w:r>
      <w:r w:rsidR="00DD5711">
        <w:t xml:space="preserve"> have been tasked by health agencies to fulfil duties for the following reasons</w:t>
      </w:r>
      <w:r w:rsidR="00B25CEF">
        <w:t xml:space="preserve">: </w:t>
      </w:r>
    </w:p>
    <w:p w:rsidR="00B25CEF" w:rsidP="00454A3D" w:rsidRDefault="00B25CEF" w14:paraId="34FA986E" w14:textId="1B0310F7">
      <w:pPr>
        <w:pStyle w:val="ListParagraph"/>
        <w:numPr>
          <w:ilvl w:val="1"/>
          <w:numId w:val="43"/>
        </w:numPr>
        <w:spacing w:line="240" w:lineRule="auto"/>
      </w:pPr>
      <w:r>
        <w:t>Delegates are able to mobilize community partnerships in a way that the health agency cannot (e.g., the University of Kentucky has a demonstrated record in facilitating collaboration among state and regional partners, which is essential to the work of comprehensive cancer. Without these collaborative partnerships, the state would be unable to implement key strategies and activities)</w:t>
      </w:r>
    </w:p>
    <w:p w:rsidR="00B25CEF" w:rsidP="00B25CEF" w:rsidRDefault="00B25CEF" w14:paraId="1606B96C" w14:textId="3D482362">
      <w:pPr>
        <w:pStyle w:val="ListParagraph"/>
        <w:numPr>
          <w:ilvl w:val="0"/>
          <w:numId w:val="42"/>
        </w:numPr>
        <w:spacing w:line="240" w:lineRule="auto"/>
      </w:pPr>
      <w:r>
        <w:t>Delegates have demonstrated records of facilitating collaboration among state and regional partnerships in a way the health departments have not been able to (e.g., Louisiana’s state health department, Louisiana State University has a demonstrated record of developing statewide strategies to reduce cancer burden, of providing overall state coordination of cancer prevention and control activities among partners, of leading and directing communities, and directing and overseeing interventions. Without this delegate’s expertise, Louisiana’s state department of health would be unable to fulfill core objectives of the cooperative agreement)</w:t>
      </w:r>
    </w:p>
    <w:p w:rsidR="00B25CEF" w:rsidP="00454A3D" w:rsidRDefault="00B25CEF" w14:paraId="7257A231" w14:textId="65287DBD">
      <w:pPr>
        <w:pStyle w:val="ListParagraph"/>
        <w:numPr>
          <w:ilvl w:val="0"/>
          <w:numId w:val="42"/>
        </w:numPr>
        <w:spacing w:line="240" w:lineRule="auto"/>
      </w:pPr>
      <w:r>
        <w:t>Delegates have expertise and capabilities to support data / infrastructure in ways the health department cannot (e</w:t>
      </w:r>
      <w:r w:rsidR="00F51C1E">
        <w:t>.</w:t>
      </w:r>
      <w:r>
        <w:t>g</w:t>
      </w:r>
      <w:r w:rsidR="00F51C1E">
        <w:t>.</w:t>
      </w:r>
      <w:r>
        <w:t>, University of Puerto Rico manages and maintains the cancer surveillance system).</w:t>
      </w:r>
    </w:p>
    <w:p w:rsidR="00B25CEF" w:rsidP="00490E61" w:rsidRDefault="00B25CEF" w14:paraId="524284F4" w14:textId="77777777">
      <w:pPr>
        <w:spacing w:line="240" w:lineRule="auto"/>
        <w:ind w:left="360"/>
      </w:pPr>
    </w:p>
    <w:p w:rsidR="00FD0D84" w:rsidP="00454A3D" w:rsidRDefault="00B84A07" w14:paraId="5C0CCE69" w14:textId="157871AF">
      <w:pPr>
        <w:pStyle w:val="ListParagraph"/>
        <w:numPr>
          <w:ilvl w:val="0"/>
          <w:numId w:val="44"/>
        </w:numPr>
        <w:spacing w:line="240" w:lineRule="auto"/>
      </w:pPr>
      <w:r>
        <w:t>Three</w:t>
      </w:r>
      <w:r w:rsidR="00FD0D84">
        <w:t xml:space="preserve"> delegates are health consortiums or boards delegated to act on behalf of their tribal communities (i.e.</w:t>
      </w:r>
      <w:r w:rsidR="0095290C">
        <w:t>,</w:t>
      </w:r>
      <w:r w:rsidR="00FD0D84">
        <w:t xml:space="preserve"> Alaska Native Tribal Health Consortium, California Rural Indian Health Board Inc., and Northwest Portland Indian Health Board). In these cases, the consortiums or boards are tasked </w:t>
      </w:r>
      <w:r w:rsidRPr="0040501B" w:rsidR="00FD0D84">
        <w:t xml:space="preserve">to </w:t>
      </w:r>
      <w:r w:rsidRPr="00454A3D" w:rsidR="0095290C">
        <w:t>work with comprehensive cancer control coalitions and partners to plan, implement, and evaluate priorities, strategies, and activities,</w:t>
      </w:r>
      <w:r w:rsidRPr="0040501B" w:rsidR="00F51C1E">
        <w:rPr>
          <w:i/>
          <w:iCs/>
        </w:rPr>
        <w:t xml:space="preserve"> </w:t>
      </w:r>
      <w:r w:rsidRPr="00F51C1E" w:rsidR="00FD0D84">
        <w:t>per</w:t>
      </w:r>
      <w:r w:rsidR="00FD0D84">
        <w:t xml:space="preserve"> </w:t>
      </w:r>
      <w:r w:rsidRPr="00B90174" w:rsidR="00FD0D84">
        <w:rPr>
          <w:rFonts w:cs="Times New Roman"/>
        </w:rPr>
        <w:t>Public Law 93-638: T</w:t>
      </w:r>
      <w:r w:rsidRPr="00B90174" w:rsidR="00FD0D84">
        <w:t xml:space="preserve">he </w:t>
      </w:r>
      <w:r w:rsidRPr="002A5874" w:rsidR="00FD0D84">
        <w:rPr>
          <w:i/>
          <w:iCs/>
        </w:rPr>
        <w:t>Indian Self-determination and Education Assistance Act (ISDEAA)</w:t>
      </w:r>
      <w:r w:rsidRPr="002A5874" w:rsidR="00FD0D84">
        <w:t>.</w:t>
      </w:r>
      <w:r w:rsidR="00FD0D84">
        <w:t xml:space="preserve"> Health agencies cannot fulfil these duties </w:t>
      </w:r>
      <w:r w:rsidR="00F51C1E">
        <w:t>due to limited resources</w:t>
      </w:r>
      <w:r w:rsidR="00FD0D84">
        <w:t xml:space="preserve">. </w:t>
      </w:r>
    </w:p>
    <w:p w:rsidRPr="0025731C" w:rsidR="00B90174" w:rsidP="0025731C" w:rsidRDefault="00B90174" w14:paraId="3AA32F0B" w14:textId="18619B4F">
      <w:pPr>
        <w:spacing w:line="240" w:lineRule="auto"/>
        <w:ind w:left="360"/>
      </w:pPr>
    </w:p>
    <w:p w:rsidRPr="00440FD2" w:rsidR="004D70EE" w:rsidP="0025731C" w:rsidRDefault="004D70EE" w14:paraId="425C373F" w14:textId="140563A0">
      <w:pPr>
        <w:spacing w:line="240" w:lineRule="auto"/>
        <w:ind w:left="0"/>
      </w:pPr>
    </w:p>
    <w:p w:rsidRPr="00440FD2" w:rsidR="00B315A7" w:rsidP="0025731C" w:rsidRDefault="00B315A7" w14:paraId="56D4C950" w14:textId="3F20964C">
      <w:pPr>
        <w:spacing w:line="240" w:lineRule="auto"/>
        <w:ind w:left="360"/>
      </w:pPr>
      <w:r w:rsidRPr="00440FD2">
        <w:lastRenderedPageBreak/>
        <w:t>Each pro</w:t>
      </w:r>
      <w:r w:rsidR="001D6AB2">
        <w:t xml:space="preserve">gram </w:t>
      </w:r>
      <w:r w:rsidRPr="00440FD2">
        <w:t>director will respond to the assessment in his or her official capacity.  Pro</w:t>
      </w:r>
      <w:r w:rsidR="001D6AB2">
        <w:t xml:space="preserve">gram </w:t>
      </w:r>
      <w:r w:rsidRPr="00440FD2">
        <w:t xml:space="preserve">directors are equipped with the knowledge necessary to answer the assessment questions and are familiar with reporting to CDC.  </w:t>
      </w:r>
    </w:p>
    <w:bookmarkEnd w:id="3"/>
    <w:p w:rsidRPr="00440FD2" w:rsidR="00B315A7" w:rsidP="002955E6" w:rsidRDefault="00B315A7" w14:paraId="6EE80A01" w14:textId="77777777">
      <w:pPr>
        <w:spacing w:line="240" w:lineRule="auto"/>
        <w:ind w:left="360"/>
        <w:rPr>
          <w:b/>
        </w:rPr>
      </w:pPr>
    </w:p>
    <w:p w:rsidRPr="00440FD2" w:rsidR="00784A36" w:rsidP="002955E6" w:rsidRDefault="00B315A7" w14:paraId="20368AB3" w14:textId="4A865B8C">
      <w:pPr>
        <w:spacing w:line="240" w:lineRule="auto"/>
        <w:ind w:left="360"/>
      </w:pPr>
      <w:r w:rsidRPr="00440FD2">
        <w:t xml:space="preserve">No sampling will be used, as all </w:t>
      </w:r>
      <w:r w:rsidR="006222A3">
        <w:t xml:space="preserve">eligible </w:t>
      </w:r>
      <w:r w:rsidR="000004B9">
        <w:t xml:space="preserve">NCCCP </w:t>
      </w:r>
      <w:r w:rsidRPr="00440FD2">
        <w:t xml:space="preserve">DP17-1701 program directors will receive the </w:t>
      </w:r>
      <w:r w:rsidR="000F2533">
        <w:t>assessment</w:t>
      </w:r>
      <w:r w:rsidRPr="00440FD2">
        <w:t>.</w:t>
      </w:r>
      <w:r w:rsidR="002866CD">
        <w:t xml:space="preserve"> </w:t>
      </w:r>
      <w:r w:rsidR="001833D0">
        <w:t>CDC owns the distribut</w:t>
      </w:r>
      <w:r w:rsidR="003B584F">
        <w:t xml:space="preserve">ion list of program directors and will share the information with ICF to contact program directors by email. </w:t>
      </w:r>
    </w:p>
    <w:p w:rsidRPr="00440FD2" w:rsidR="004D70EE" w:rsidP="005074EF" w:rsidRDefault="004D70EE" w14:paraId="77EF715F" w14:textId="77777777">
      <w:pPr>
        <w:spacing w:line="240" w:lineRule="auto"/>
        <w:ind w:left="0"/>
        <w:rPr>
          <w:b/>
        </w:rPr>
      </w:pPr>
    </w:p>
    <w:p w:rsidRPr="00440FD2" w:rsidR="00691031" w:rsidP="002955E6" w:rsidRDefault="00691031" w14:paraId="4C667273" w14:textId="77777777">
      <w:pPr>
        <w:spacing w:line="240" w:lineRule="auto"/>
        <w:ind w:left="360"/>
        <w:rPr>
          <w:b/>
        </w:rPr>
      </w:pPr>
    </w:p>
    <w:p w:rsidRPr="00440FD2" w:rsidR="00287E2F" w:rsidP="002955E6" w:rsidRDefault="00287E2F" w14:paraId="315101AE" w14:textId="77777777">
      <w:pPr>
        <w:pStyle w:val="Heading4"/>
        <w:spacing w:after="0" w:line="240" w:lineRule="auto"/>
      </w:pPr>
      <w:bookmarkStart w:name="_Toc413847912" w:id="5"/>
      <w:r w:rsidRPr="00440FD2">
        <w:t xml:space="preserve">Procedures for </w:t>
      </w:r>
      <w:r w:rsidRPr="00440FD2" w:rsidR="009759F3">
        <w:t xml:space="preserve">the </w:t>
      </w:r>
      <w:r w:rsidRPr="00440FD2">
        <w:t>Collecti</w:t>
      </w:r>
      <w:r w:rsidRPr="00440FD2" w:rsidR="009759F3">
        <w:t>on</w:t>
      </w:r>
      <w:r w:rsidRPr="00440FD2">
        <w:t xml:space="preserve"> of Information</w:t>
      </w:r>
      <w:bookmarkEnd w:id="5"/>
      <w:r w:rsidRPr="00440FD2" w:rsidR="00F725B5">
        <w:t xml:space="preserve"> </w:t>
      </w:r>
      <w:r w:rsidRPr="00440FD2" w:rsidR="009759F3">
        <w:t xml:space="preserve">  </w:t>
      </w:r>
    </w:p>
    <w:p w:rsidRPr="00440FD2" w:rsidR="001D461D" w:rsidP="002955E6" w:rsidRDefault="001D461D" w14:paraId="260C996C" w14:textId="77777777">
      <w:pPr>
        <w:spacing w:line="240" w:lineRule="auto"/>
        <w:ind w:left="360"/>
      </w:pPr>
    </w:p>
    <w:p w:rsidRPr="00440FD2" w:rsidR="00E33BBA" w:rsidP="00E33BBA" w:rsidRDefault="00E33BBA" w14:paraId="71219EF4" w14:textId="4EB78CCB">
      <w:pPr>
        <w:ind w:left="360"/>
      </w:pPr>
      <w:r w:rsidRPr="00440FD2">
        <w:t xml:space="preserve">Data will be collected via </w:t>
      </w:r>
      <w:r w:rsidRPr="00440FD2" w:rsidR="00784A36">
        <w:t xml:space="preserve">web-based </w:t>
      </w:r>
      <w:r w:rsidR="00DF47AA">
        <w:t xml:space="preserve">assessment </w:t>
      </w:r>
      <w:r w:rsidRPr="00440FD2">
        <w:t xml:space="preserve">and respondents will be recruited through a notification (see </w:t>
      </w:r>
      <w:r w:rsidRPr="00440FD2">
        <w:rPr>
          <w:b/>
        </w:rPr>
        <w:t xml:space="preserve">Attachment </w:t>
      </w:r>
      <w:r w:rsidRPr="00440FD2" w:rsidR="005074EF">
        <w:rPr>
          <w:b/>
        </w:rPr>
        <w:t>E</w:t>
      </w:r>
      <w:r w:rsidRPr="00440FD2">
        <w:rPr>
          <w:b/>
        </w:rPr>
        <w:t>—</w:t>
      </w:r>
      <w:r w:rsidRPr="00440FD2" w:rsidR="005074EF">
        <w:rPr>
          <w:b/>
        </w:rPr>
        <w:t>Introductory Email</w:t>
      </w:r>
      <w:r w:rsidRPr="00440FD2">
        <w:t xml:space="preserve">) to the respondent universe.  The </w:t>
      </w:r>
      <w:r w:rsidRPr="00440FD2" w:rsidR="00772797">
        <w:t xml:space="preserve">introductory </w:t>
      </w:r>
      <w:r w:rsidRPr="00440FD2">
        <w:t xml:space="preserve">notification email will explain: </w:t>
      </w:r>
    </w:p>
    <w:p w:rsidRPr="00440FD2" w:rsidR="00E33BBA" w:rsidP="00E33BBA" w:rsidRDefault="00E33BBA" w14:paraId="31DBDEB8" w14:textId="1EE9F79A">
      <w:pPr>
        <w:pStyle w:val="ListParagraph"/>
        <w:numPr>
          <w:ilvl w:val="0"/>
          <w:numId w:val="24"/>
        </w:numPr>
        <w:ind w:left="1080"/>
      </w:pPr>
      <w:r w:rsidRPr="00440FD2">
        <w:t xml:space="preserve">The purpose of the </w:t>
      </w:r>
      <w:r w:rsidRPr="00440FD2" w:rsidR="006C1771">
        <w:t>data collection</w:t>
      </w:r>
      <w:r w:rsidRPr="00440FD2">
        <w:t xml:space="preserve">, and why their participation is important </w:t>
      </w:r>
    </w:p>
    <w:p w:rsidRPr="00440FD2" w:rsidR="00E33BBA" w:rsidP="00E33BBA" w:rsidRDefault="00E33BBA" w14:paraId="5AFBF7DB" w14:textId="77777777">
      <w:pPr>
        <w:pStyle w:val="ListParagraph"/>
        <w:numPr>
          <w:ilvl w:val="0"/>
          <w:numId w:val="24"/>
        </w:numPr>
        <w:ind w:left="1080"/>
      </w:pPr>
      <w:r w:rsidRPr="00440FD2">
        <w:t>Instructions for participating</w:t>
      </w:r>
    </w:p>
    <w:p w:rsidRPr="00440FD2" w:rsidR="00E33BBA" w:rsidP="00E33BBA" w:rsidRDefault="00E33BBA" w14:paraId="0F60838C" w14:textId="77777777">
      <w:pPr>
        <w:pStyle w:val="ListParagraph"/>
        <w:numPr>
          <w:ilvl w:val="0"/>
          <w:numId w:val="24"/>
        </w:numPr>
        <w:ind w:left="1080"/>
      </w:pPr>
      <w:r w:rsidRPr="00440FD2">
        <w:t xml:space="preserve">Method to safeguard their responses </w:t>
      </w:r>
    </w:p>
    <w:p w:rsidRPr="00440FD2" w:rsidR="00E33BBA" w:rsidP="00E33BBA" w:rsidRDefault="00E33BBA" w14:paraId="04A3566C" w14:textId="77777777">
      <w:pPr>
        <w:pStyle w:val="ListParagraph"/>
        <w:numPr>
          <w:ilvl w:val="0"/>
          <w:numId w:val="24"/>
        </w:numPr>
        <w:ind w:left="1080"/>
      </w:pPr>
      <w:r w:rsidRPr="00440FD2">
        <w:t>That participation is voluntary</w:t>
      </w:r>
    </w:p>
    <w:p w:rsidRPr="00440FD2" w:rsidR="000279A9" w:rsidP="000279A9" w:rsidRDefault="00E33BBA" w14:paraId="1AA9CF1B" w14:textId="13FB9525">
      <w:pPr>
        <w:pStyle w:val="ListParagraph"/>
        <w:numPr>
          <w:ilvl w:val="0"/>
          <w:numId w:val="24"/>
        </w:numPr>
        <w:ind w:left="1080"/>
      </w:pPr>
      <w:r w:rsidRPr="00440FD2">
        <w:t xml:space="preserve">The expected time to complete the </w:t>
      </w:r>
      <w:r w:rsidRPr="00440FD2" w:rsidR="006C1771">
        <w:t>instrument</w:t>
      </w:r>
      <w:r w:rsidRPr="00440FD2">
        <w:t xml:space="preserve"> </w:t>
      </w:r>
    </w:p>
    <w:p w:rsidRPr="00440FD2" w:rsidR="00691031" w:rsidP="000279A9" w:rsidRDefault="00E33BBA" w14:paraId="1617C7CB" w14:textId="421FA2EB">
      <w:pPr>
        <w:pStyle w:val="ListParagraph"/>
        <w:numPr>
          <w:ilvl w:val="0"/>
          <w:numId w:val="24"/>
        </w:numPr>
        <w:ind w:left="1080"/>
      </w:pPr>
      <w:r w:rsidRPr="00440FD2">
        <w:t xml:space="preserve">Contact information for the </w:t>
      </w:r>
      <w:r w:rsidRPr="00440FD2" w:rsidR="006C1771">
        <w:t>project</w:t>
      </w:r>
      <w:r w:rsidRPr="00440FD2">
        <w:t xml:space="preserve"> team</w:t>
      </w:r>
    </w:p>
    <w:p w:rsidRPr="00440FD2" w:rsidR="00691031" w:rsidP="00ED07E6" w:rsidRDefault="00691031" w14:paraId="409C569F" w14:textId="77777777">
      <w:pPr>
        <w:spacing w:line="240" w:lineRule="auto"/>
        <w:ind w:left="0"/>
      </w:pPr>
    </w:p>
    <w:p w:rsidRPr="00440FD2" w:rsidR="00D97210" w:rsidP="00D97210" w:rsidRDefault="00343F9B" w14:paraId="51515DFA" w14:textId="5A5F12D1">
      <w:pPr>
        <w:spacing w:line="240" w:lineRule="auto"/>
        <w:ind w:left="360"/>
      </w:pPr>
      <w:r>
        <w:t>ICF</w:t>
      </w:r>
      <w:r w:rsidRPr="00440FD2" w:rsidR="00D97210">
        <w:t xml:space="preserve"> will manage the information collection process on CDC’s behalf. All potential respondents will receive the following rounds of communication</w:t>
      </w:r>
      <w:r w:rsidRPr="00440FD2" w:rsidR="00772797">
        <w:t xml:space="preserve"> following the introductory email</w:t>
      </w:r>
      <w:r w:rsidRPr="00440FD2" w:rsidR="00D97210">
        <w:t xml:space="preserve">: an invitation email with the </w:t>
      </w:r>
      <w:r>
        <w:t>assessment</w:t>
      </w:r>
      <w:r w:rsidRPr="00440FD2">
        <w:t xml:space="preserve"> </w:t>
      </w:r>
      <w:r w:rsidRPr="00440FD2" w:rsidR="00D97210">
        <w:t>link (</w:t>
      </w:r>
      <w:r w:rsidRPr="00440FD2" w:rsidR="00D97210">
        <w:rPr>
          <w:b/>
        </w:rPr>
        <w:t xml:space="preserve">Attachment </w:t>
      </w:r>
      <w:r w:rsidRPr="00440FD2" w:rsidR="005074EF">
        <w:rPr>
          <w:b/>
        </w:rPr>
        <w:t>F</w:t>
      </w:r>
      <w:r w:rsidRPr="00440FD2" w:rsidR="00772797">
        <w:t xml:space="preserve"> </w:t>
      </w:r>
      <w:r w:rsidRPr="00440FD2" w:rsidR="00772797">
        <w:rPr>
          <w:b/>
        </w:rPr>
        <w:t>—Invitation Email</w:t>
      </w:r>
      <w:r w:rsidRPr="00440FD2" w:rsidR="00D97210">
        <w:t xml:space="preserve">); a first reminder email sent </w:t>
      </w:r>
      <w:r w:rsidR="00341BD9">
        <w:t>one</w:t>
      </w:r>
      <w:r w:rsidRPr="00440FD2" w:rsidR="00D97210">
        <w:t xml:space="preserve"> week after the invitation email (if they have not yet responded to the </w:t>
      </w:r>
      <w:r>
        <w:t>assessment</w:t>
      </w:r>
      <w:r w:rsidRPr="00440FD2">
        <w:t xml:space="preserve"> </w:t>
      </w:r>
      <w:r w:rsidRPr="00440FD2" w:rsidR="00D97210">
        <w:t xml:space="preserve">and a second reminder </w:t>
      </w:r>
      <w:r w:rsidRPr="00866817" w:rsidR="00D97210">
        <w:t xml:space="preserve">email sent </w:t>
      </w:r>
      <w:r w:rsidR="00341BD9">
        <w:t>one</w:t>
      </w:r>
      <w:r w:rsidRPr="00866817" w:rsidR="00D97210">
        <w:t xml:space="preserve"> week after the first reminder</w:t>
      </w:r>
      <w:r w:rsidRPr="00440FD2" w:rsidR="00D97210">
        <w:t xml:space="preserve"> (if they have not yet responded to the </w:t>
      </w:r>
      <w:r>
        <w:t>assessment</w:t>
      </w:r>
      <w:r w:rsidRPr="00440FD2" w:rsidR="00D97210">
        <w:t>) (</w:t>
      </w:r>
      <w:r w:rsidRPr="00440FD2" w:rsidR="00D97210">
        <w:rPr>
          <w:b/>
        </w:rPr>
        <w:t xml:space="preserve">Attachment </w:t>
      </w:r>
      <w:r w:rsidRPr="00440FD2" w:rsidR="005074EF">
        <w:rPr>
          <w:b/>
        </w:rPr>
        <w:t>G</w:t>
      </w:r>
      <w:r w:rsidRPr="00440FD2" w:rsidR="00772797">
        <w:rPr>
          <w:b/>
        </w:rPr>
        <w:t>— Reminder Email</w:t>
      </w:r>
      <w:r w:rsidRPr="00440FD2" w:rsidR="00D97210">
        <w:t xml:space="preserve">); and a thank you email sent within </w:t>
      </w:r>
      <w:r w:rsidR="00341BD9">
        <w:t>one</w:t>
      </w:r>
      <w:r w:rsidRPr="00440FD2" w:rsidR="00D97210">
        <w:t xml:space="preserve"> week of completion of the </w:t>
      </w:r>
      <w:r>
        <w:t>assessment</w:t>
      </w:r>
      <w:r w:rsidRPr="00440FD2" w:rsidR="00D97210">
        <w:t xml:space="preserve"> (</w:t>
      </w:r>
      <w:r w:rsidRPr="00440FD2" w:rsidR="00D97210">
        <w:rPr>
          <w:b/>
        </w:rPr>
        <w:t xml:space="preserve">Attachment </w:t>
      </w:r>
      <w:r w:rsidRPr="00440FD2" w:rsidR="005074EF">
        <w:rPr>
          <w:b/>
        </w:rPr>
        <w:t>H</w:t>
      </w:r>
      <w:r w:rsidRPr="00440FD2" w:rsidR="00772797">
        <w:rPr>
          <w:b/>
        </w:rPr>
        <w:t>—Thank You Email</w:t>
      </w:r>
      <w:r w:rsidRPr="00440FD2" w:rsidR="00D97210">
        <w:t>).</w:t>
      </w:r>
      <w:r w:rsidRPr="00440FD2" w:rsidR="00F86267">
        <w:t xml:space="preserve"> </w:t>
      </w:r>
      <w:r w:rsidRPr="00440FD2" w:rsidR="00F86267">
        <w:rPr>
          <w:rFonts w:ascii="Cambria" w:hAnsi="Cambria"/>
        </w:rPr>
        <w:t xml:space="preserve"> T</w:t>
      </w:r>
      <w:r w:rsidRPr="00440FD2" w:rsidR="00F86267">
        <w:rPr>
          <w:rFonts w:cs="Arial"/>
        </w:rPr>
        <w:t>hose who do not respond within two weeks</w:t>
      </w:r>
      <w:r w:rsidR="006E3DE2">
        <w:rPr>
          <w:rFonts w:cs="Arial"/>
        </w:rPr>
        <w:t xml:space="preserve"> to</w:t>
      </w:r>
      <w:r w:rsidRPr="00440FD2" w:rsidR="00F86267">
        <w:rPr>
          <w:rFonts w:cs="Arial"/>
        </w:rPr>
        <w:t xml:space="preserve"> the final reminder email will be considered non-responders.</w:t>
      </w:r>
    </w:p>
    <w:p w:rsidRPr="00440FD2" w:rsidR="00D97210" w:rsidP="00D97210" w:rsidRDefault="00D97210" w14:paraId="398F1D42" w14:textId="77777777">
      <w:pPr>
        <w:spacing w:line="240" w:lineRule="auto"/>
        <w:ind w:left="360"/>
      </w:pPr>
    </w:p>
    <w:p w:rsidRPr="00440FD2" w:rsidR="00440FD2" w:rsidP="00343F9B" w:rsidRDefault="00D97210" w14:paraId="1140A26E" w14:textId="7FC3F8DD">
      <w:pPr>
        <w:spacing w:line="240" w:lineRule="auto"/>
        <w:ind w:left="360"/>
      </w:pPr>
      <w:r w:rsidRPr="00440FD2">
        <w:t xml:space="preserve">Information will be collected, stored, and maintained by </w:t>
      </w:r>
      <w:r w:rsidR="00343F9B">
        <w:t>ICF</w:t>
      </w:r>
      <w:r w:rsidR="000004B9">
        <w:t>.</w:t>
      </w:r>
      <w:r w:rsidRPr="00440FD2">
        <w:t xml:space="preserve"> Both quantitative and qualitative analyses will be performed. Quantitative analyses will involve using descriptive statistics to determine frequency distributions and corresponding variances for responses to each web-based </w:t>
      </w:r>
      <w:r w:rsidR="00343F9B">
        <w:t>assessment</w:t>
      </w:r>
      <w:r w:rsidRPr="00440FD2">
        <w:t xml:space="preserve"> question and will be conducted using a statistical software package for data management and analysis. Qualitative thematic analyses will be conducted on open-ended questions. </w:t>
      </w:r>
      <w:r w:rsidRPr="00440FD2" w:rsidR="00F86267">
        <w:t xml:space="preserve">The data will be kept secure throughout the analysis and reporting process. The data will be stored in a secure environment maintained by </w:t>
      </w:r>
      <w:r w:rsidR="00343F9B">
        <w:t>ICF</w:t>
      </w:r>
      <w:r w:rsidRPr="00440FD2" w:rsidR="00F86267">
        <w:t>.</w:t>
      </w:r>
    </w:p>
    <w:p w:rsidRPr="00440FD2" w:rsidR="001D461D" w:rsidP="00176E14" w:rsidRDefault="001D461D" w14:paraId="16300312" w14:textId="77777777">
      <w:pPr>
        <w:spacing w:line="240" w:lineRule="auto"/>
        <w:ind w:left="0"/>
      </w:pPr>
    </w:p>
    <w:p w:rsidRPr="00440FD2" w:rsidR="009759F3" w:rsidP="002955E6" w:rsidRDefault="00287E2F" w14:paraId="2E71A48E" w14:textId="15E30D14">
      <w:pPr>
        <w:pStyle w:val="Heading4"/>
        <w:spacing w:after="0" w:line="240" w:lineRule="auto"/>
      </w:pPr>
      <w:bookmarkStart w:name="_Toc413847913" w:id="6"/>
      <w:r w:rsidRPr="00440FD2">
        <w:t>Methods to Maximize Response Rates</w:t>
      </w:r>
      <w:r w:rsidRPr="00440FD2" w:rsidR="00F725B5">
        <w:t xml:space="preserve"> </w:t>
      </w:r>
      <w:r w:rsidRPr="00440FD2" w:rsidR="009759F3">
        <w:t>Deal with Nonresponse</w:t>
      </w:r>
      <w:bookmarkEnd w:id="6"/>
    </w:p>
    <w:p w:rsidRPr="00440FD2" w:rsidR="001D461D" w:rsidP="002955E6" w:rsidRDefault="001D461D" w14:paraId="4AF28A6D" w14:textId="77777777">
      <w:pPr>
        <w:spacing w:line="240" w:lineRule="auto"/>
        <w:ind w:left="360"/>
        <w:rPr>
          <w:b/>
        </w:rPr>
      </w:pPr>
    </w:p>
    <w:p w:rsidRPr="00440FD2" w:rsidR="00991BF9" w:rsidP="001D461D" w:rsidRDefault="00991BF9" w14:paraId="58C2AAA2" w14:textId="2DC35E4E">
      <w:pPr>
        <w:pStyle w:val="ListParagraph"/>
        <w:spacing w:line="240" w:lineRule="auto"/>
        <w:ind w:left="360"/>
        <w:rPr>
          <w:rFonts w:cs="Times New Roman"/>
        </w:rPr>
      </w:pPr>
      <w:r w:rsidRPr="00440FD2">
        <w:rPr>
          <w:rFonts w:cs="Times New Roman"/>
        </w:rPr>
        <w:t xml:space="preserve">Although participation in the </w:t>
      </w:r>
      <w:r w:rsidRPr="00440FD2" w:rsidR="00687C5F">
        <w:rPr>
          <w:rFonts w:cs="Times New Roman"/>
        </w:rPr>
        <w:t xml:space="preserve">data collection </w:t>
      </w:r>
      <w:r w:rsidRPr="00440FD2">
        <w:rPr>
          <w:rFonts w:cs="Times New Roman"/>
        </w:rPr>
        <w:t xml:space="preserve">is voluntary, the </w:t>
      </w:r>
      <w:r w:rsidRPr="00440FD2" w:rsidR="00687C5F">
        <w:rPr>
          <w:rFonts w:cs="Times New Roman"/>
        </w:rPr>
        <w:t xml:space="preserve">project team </w:t>
      </w:r>
      <w:r w:rsidRPr="00440FD2" w:rsidR="006C1771">
        <w:rPr>
          <w:rFonts w:cs="Times New Roman"/>
        </w:rPr>
        <w:t xml:space="preserve">will make every </w:t>
      </w:r>
      <w:r w:rsidRPr="00440FD2">
        <w:rPr>
          <w:rFonts w:cs="Times New Roman"/>
        </w:rPr>
        <w:t xml:space="preserve">effort to maximize the rate of response. The </w:t>
      </w:r>
      <w:r w:rsidRPr="00440FD2" w:rsidR="00687C5F">
        <w:rPr>
          <w:rFonts w:cs="Times New Roman"/>
        </w:rPr>
        <w:t>data collection instrument</w:t>
      </w:r>
      <w:r w:rsidRPr="00440FD2">
        <w:rPr>
          <w:rFonts w:cs="Times New Roman"/>
        </w:rPr>
        <w:t xml:space="preserve"> was designed with particular focus on streamlining questions to allow for skipping questions based on responses to previous questions, thereby minimizing response burden. </w:t>
      </w:r>
    </w:p>
    <w:p w:rsidRPr="00440FD2" w:rsidR="00687C5F" w:rsidP="001D461D" w:rsidRDefault="00687C5F" w14:paraId="16AC71A3" w14:textId="77777777">
      <w:pPr>
        <w:pStyle w:val="ListParagraph"/>
        <w:spacing w:line="240" w:lineRule="auto"/>
        <w:ind w:left="360"/>
        <w:rPr>
          <w:rFonts w:cs="Times New Roman"/>
        </w:rPr>
      </w:pPr>
    </w:p>
    <w:p w:rsidRPr="00440FD2" w:rsidR="00991BF9" w:rsidP="001D461D" w:rsidRDefault="001D461D" w14:paraId="3F18FAE5" w14:textId="621A02F5">
      <w:pPr>
        <w:spacing w:line="240" w:lineRule="auto"/>
        <w:ind w:left="360"/>
        <w:rPr>
          <w:rFonts w:cs="Arial"/>
        </w:rPr>
      </w:pPr>
      <w:r w:rsidRPr="00440FD2">
        <w:t xml:space="preserve">Following the distribution of the invitation to participate in the </w:t>
      </w:r>
      <w:r w:rsidRPr="00440FD2" w:rsidR="00487E55">
        <w:t>data collection</w:t>
      </w:r>
      <w:r w:rsidRPr="00440FD2">
        <w:t xml:space="preserve">, </w:t>
      </w:r>
      <w:r w:rsidRPr="00440FD2" w:rsidR="00687C5F">
        <w:t>(</w:t>
      </w:r>
      <w:r w:rsidRPr="00440FD2" w:rsidR="001832DD">
        <w:rPr>
          <w:b/>
        </w:rPr>
        <w:t>Attachment F</w:t>
      </w:r>
      <w:r w:rsidRPr="00440FD2" w:rsidR="001832DD">
        <w:t xml:space="preserve"> </w:t>
      </w:r>
      <w:r w:rsidRPr="00440FD2" w:rsidR="001832DD">
        <w:rPr>
          <w:b/>
        </w:rPr>
        <w:t xml:space="preserve">—Invitation </w:t>
      </w:r>
      <w:r w:rsidRPr="00440FD2" w:rsidR="00A86450">
        <w:rPr>
          <w:b/>
        </w:rPr>
        <w:t>Email</w:t>
      </w:r>
      <w:r w:rsidR="008D6C55">
        <w:rPr>
          <w:bCs/>
        </w:rPr>
        <w:t>)</w:t>
      </w:r>
      <w:bookmarkStart w:name="_GoBack" w:id="7"/>
      <w:bookmarkEnd w:id="7"/>
      <w:r w:rsidRPr="00343F9B" w:rsidR="00687C5F">
        <w:rPr>
          <w:color w:val="FF0000"/>
        </w:rPr>
        <w:t xml:space="preserve"> </w:t>
      </w:r>
      <w:r w:rsidRPr="00440FD2" w:rsidR="00687C5F">
        <w:t xml:space="preserve">respondents will have </w:t>
      </w:r>
      <w:r w:rsidRPr="00440FD2" w:rsidR="00F86267">
        <w:t>30</w:t>
      </w:r>
      <w:r w:rsidRPr="00440FD2" w:rsidR="00687C5F">
        <w:t xml:space="preserve"> business days to complete the instrument. Those </w:t>
      </w:r>
      <w:r w:rsidRPr="00440FD2" w:rsidR="00687C5F">
        <w:lastRenderedPageBreak/>
        <w:t xml:space="preserve">who do not respond within </w:t>
      </w:r>
      <w:r w:rsidR="00866817">
        <w:t>one week</w:t>
      </w:r>
      <w:r w:rsidRPr="00440FD2" w:rsidR="00687C5F">
        <w:t xml:space="preserve"> will receive a reminder</w:t>
      </w:r>
      <w:r w:rsidR="002D0E00">
        <w:t xml:space="preserve"> email</w:t>
      </w:r>
      <w:r w:rsidRPr="00440FD2" w:rsidR="00687C5F">
        <w:t xml:space="preserve"> </w:t>
      </w:r>
      <w:r w:rsidRPr="00440FD2">
        <w:t>(</w:t>
      </w:r>
      <w:r w:rsidRPr="00440FD2" w:rsidR="002D0E00">
        <w:rPr>
          <w:b/>
        </w:rPr>
        <w:t>Attachment G— Reminder Email</w:t>
      </w:r>
      <w:r w:rsidRPr="002F66AF">
        <w:t>)</w:t>
      </w:r>
      <w:r w:rsidRPr="00343F9B" w:rsidR="00687C5F">
        <w:rPr>
          <w:color w:val="FF0000"/>
        </w:rPr>
        <w:t xml:space="preserve"> </w:t>
      </w:r>
      <w:r w:rsidRPr="00440FD2" w:rsidR="00687C5F">
        <w:t xml:space="preserve">urging them to complete the </w:t>
      </w:r>
      <w:r w:rsidRPr="00440FD2" w:rsidR="006C1771">
        <w:t>instrument</w:t>
      </w:r>
      <w:r w:rsidRPr="00440FD2" w:rsidR="00F86267">
        <w:t xml:space="preserve">, and additional reminder </w:t>
      </w:r>
      <w:r w:rsidR="00866817">
        <w:t>one week later</w:t>
      </w:r>
      <w:r w:rsidRPr="00440FD2" w:rsidR="00687C5F">
        <w:t xml:space="preserve">. </w:t>
      </w:r>
      <w:r w:rsidRPr="00440FD2" w:rsidR="00687C5F">
        <w:rPr>
          <w:rFonts w:cs="Arial"/>
        </w:rPr>
        <w:t xml:space="preserve">Those who do not respond within </w:t>
      </w:r>
      <w:r w:rsidRPr="00440FD2" w:rsidR="00F86267">
        <w:rPr>
          <w:rFonts w:cs="Arial"/>
        </w:rPr>
        <w:t>10</w:t>
      </w:r>
      <w:r w:rsidRPr="00440FD2" w:rsidR="00687C5F">
        <w:rPr>
          <w:rFonts w:cs="Arial"/>
        </w:rPr>
        <w:t xml:space="preserve"> business days from the</w:t>
      </w:r>
      <w:r w:rsidR="00806190">
        <w:rPr>
          <w:rFonts w:cs="Arial"/>
        </w:rPr>
        <w:t xml:space="preserve"> final</w:t>
      </w:r>
      <w:r w:rsidRPr="00440FD2" w:rsidR="00687C5F">
        <w:rPr>
          <w:rFonts w:cs="Arial"/>
        </w:rPr>
        <w:t xml:space="preserve"> reminder email</w:t>
      </w:r>
      <w:r w:rsidRPr="00440FD2">
        <w:rPr>
          <w:rFonts w:cs="Arial"/>
        </w:rPr>
        <w:t xml:space="preserve"> </w:t>
      </w:r>
      <w:r w:rsidRPr="00440FD2" w:rsidR="00687C5F">
        <w:rPr>
          <w:rFonts w:cs="Arial"/>
        </w:rPr>
        <w:t>will be considered non-responders.</w:t>
      </w:r>
    </w:p>
    <w:p w:rsidRPr="00440FD2" w:rsidR="001D461D" w:rsidP="001D461D" w:rsidRDefault="001D461D" w14:paraId="417CE5D4" w14:textId="77777777">
      <w:pPr>
        <w:spacing w:line="240" w:lineRule="auto"/>
        <w:ind w:left="360"/>
        <w:rPr>
          <w:rFonts w:cs="Arial"/>
        </w:rPr>
      </w:pPr>
    </w:p>
    <w:p w:rsidRPr="00440FD2" w:rsidR="00691031" w:rsidP="001D461D" w:rsidRDefault="00691031" w14:paraId="5AD60BAD" w14:textId="77777777">
      <w:pPr>
        <w:spacing w:line="240" w:lineRule="auto"/>
        <w:ind w:left="360"/>
        <w:rPr>
          <w:rFonts w:cs="Arial"/>
        </w:rPr>
      </w:pPr>
    </w:p>
    <w:p w:rsidRPr="00440FD2" w:rsidR="00F52BCC" w:rsidP="002955E6" w:rsidRDefault="00287E2F" w14:paraId="3C5DE833" w14:textId="77777777">
      <w:pPr>
        <w:pStyle w:val="Heading4"/>
        <w:spacing w:after="0" w:line="240" w:lineRule="auto"/>
      </w:pPr>
      <w:bookmarkStart w:name="_Toc413847914" w:id="8"/>
      <w:r w:rsidRPr="00440FD2">
        <w:t xml:space="preserve">Test of Procedures </w:t>
      </w:r>
      <w:r w:rsidRPr="00440FD2" w:rsidR="009759F3">
        <w:t>or Methods to be Undertaken</w:t>
      </w:r>
      <w:bookmarkEnd w:id="8"/>
    </w:p>
    <w:p w:rsidRPr="00440FD2" w:rsidR="00865573" w:rsidP="002955E6" w:rsidRDefault="00865573" w14:paraId="72649700" w14:textId="77777777">
      <w:pPr>
        <w:spacing w:line="240" w:lineRule="auto"/>
        <w:ind w:left="360"/>
        <w:rPr>
          <w:lang w:eastAsia="zh-CN"/>
        </w:rPr>
      </w:pPr>
    </w:p>
    <w:p w:rsidRPr="00440FD2" w:rsidR="004D70EE" w:rsidP="002955E6" w:rsidRDefault="00991BF9" w14:paraId="18AD02DF" w14:textId="0F4A04AB">
      <w:pPr>
        <w:spacing w:line="240" w:lineRule="auto"/>
        <w:ind w:left="360"/>
      </w:pPr>
      <w:r w:rsidRPr="00440FD2">
        <w:rPr>
          <w:lang w:eastAsia="zh-CN"/>
        </w:rPr>
        <w:t xml:space="preserve">The estimate for burden hours is based on a pilot test of the </w:t>
      </w:r>
      <w:r w:rsidRPr="00440FD2" w:rsidR="00487E55">
        <w:rPr>
          <w:lang w:eastAsia="zh-CN"/>
        </w:rPr>
        <w:t>data collection</w:t>
      </w:r>
      <w:r w:rsidRPr="00440FD2">
        <w:rPr>
          <w:lang w:eastAsia="zh-CN"/>
        </w:rPr>
        <w:t xml:space="preserve"> instrument by </w:t>
      </w:r>
      <w:r w:rsidRPr="00440FD2" w:rsidR="00F86267">
        <w:rPr>
          <w:lang w:eastAsia="zh-CN"/>
        </w:rPr>
        <w:t xml:space="preserve">5 </w:t>
      </w:r>
      <w:r w:rsidRPr="00440FD2">
        <w:rPr>
          <w:lang w:eastAsia="zh-CN"/>
        </w:rPr>
        <w:t xml:space="preserve">public health professionals. In the pilot test, the average time to complete the instrument including time for reviewing instructions, gathering needed information and completing the instrument, was </w:t>
      </w:r>
      <w:r w:rsidRPr="00440FD2" w:rsidR="00F86267">
        <w:rPr>
          <w:lang w:eastAsia="zh-CN"/>
        </w:rPr>
        <w:t>3</w:t>
      </w:r>
      <w:r w:rsidRPr="00440FD2" w:rsidR="00B735B9">
        <w:rPr>
          <w:lang w:eastAsia="zh-CN"/>
        </w:rPr>
        <w:t>5</w:t>
      </w:r>
      <w:r w:rsidRPr="00440FD2" w:rsidR="00F86267">
        <w:rPr>
          <w:lang w:eastAsia="zh-CN"/>
        </w:rPr>
        <w:t xml:space="preserve"> </w:t>
      </w:r>
      <w:r w:rsidRPr="00440FD2">
        <w:rPr>
          <w:lang w:eastAsia="zh-CN"/>
        </w:rPr>
        <w:t>minutes</w:t>
      </w:r>
      <w:r w:rsidRPr="00440FD2" w:rsidR="0069580C">
        <w:rPr>
          <w:lang w:eastAsia="zh-CN"/>
        </w:rPr>
        <w:t xml:space="preserve"> (range: </w:t>
      </w:r>
      <w:r w:rsidRPr="00440FD2" w:rsidR="00F86267">
        <w:rPr>
          <w:lang w:eastAsia="zh-CN"/>
        </w:rPr>
        <w:t>2</w:t>
      </w:r>
      <w:r w:rsidRPr="00440FD2" w:rsidR="00B735B9">
        <w:rPr>
          <w:lang w:eastAsia="zh-CN"/>
        </w:rPr>
        <w:t>5</w:t>
      </w:r>
      <w:r w:rsidRPr="00440FD2" w:rsidR="0069580C">
        <w:rPr>
          <w:lang w:eastAsia="zh-CN"/>
        </w:rPr>
        <w:t xml:space="preserve"> to </w:t>
      </w:r>
      <w:r w:rsidRPr="00440FD2" w:rsidR="00F86267">
        <w:rPr>
          <w:lang w:eastAsia="zh-CN"/>
        </w:rPr>
        <w:t>4</w:t>
      </w:r>
      <w:r w:rsidRPr="00440FD2" w:rsidR="00B735B9">
        <w:rPr>
          <w:lang w:eastAsia="zh-CN"/>
        </w:rPr>
        <w:t>5</w:t>
      </w:r>
      <w:r w:rsidRPr="00440FD2" w:rsidR="0069580C">
        <w:rPr>
          <w:lang w:eastAsia="zh-CN"/>
        </w:rPr>
        <w:t xml:space="preserve"> minutes)</w:t>
      </w:r>
      <w:r w:rsidRPr="00440FD2">
        <w:rPr>
          <w:lang w:eastAsia="zh-CN"/>
        </w:rPr>
        <w:t xml:space="preserve">. For the purposes of estimating burden hours, the upper limit of this range (i.e., </w:t>
      </w:r>
      <w:r w:rsidRPr="00440FD2" w:rsidR="00F86267">
        <w:rPr>
          <w:lang w:eastAsia="zh-CN"/>
        </w:rPr>
        <w:t>4</w:t>
      </w:r>
      <w:r w:rsidR="00343F9B">
        <w:rPr>
          <w:lang w:eastAsia="zh-CN"/>
        </w:rPr>
        <w:t>5</w:t>
      </w:r>
      <w:r w:rsidRPr="00440FD2">
        <w:rPr>
          <w:lang w:eastAsia="zh-CN"/>
        </w:rPr>
        <w:t xml:space="preserve"> minutes) is used.</w:t>
      </w:r>
    </w:p>
    <w:p w:rsidR="00B521FD" w:rsidRDefault="00B521FD" w14:paraId="401D9C97" w14:textId="77777777">
      <w:pPr>
        <w:spacing w:line="240" w:lineRule="auto"/>
        <w:ind w:left="0"/>
      </w:pPr>
      <w:bookmarkStart w:name="_Toc413847915" w:id="9"/>
    </w:p>
    <w:p w:rsidRPr="00440FD2" w:rsidR="00F86267" w:rsidP="00971425" w:rsidRDefault="009759F3" w14:paraId="58D6B782" w14:textId="7BFE8949">
      <w:pPr>
        <w:pStyle w:val="Heading4"/>
      </w:pPr>
      <w:r w:rsidRPr="00440FD2">
        <w:t>Individuals Consulted on Statistical Aspects and Individuals Collecting and/or Analyzing Data</w:t>
      </w:r>
      <w:bookmarkEnd w:id="9"/>
    </w:p>
    <w:p w:rsidRPr="00440FD2" w:rsidR="00497BC1" w:rsidP="002955E6" w:rsidRDefault="00F86267" w14:paraId="7D4869E0" w14:textId="5DC18317">
      <w:pPr>
        <w:spacing w:line="240" w:lineRule="auto"/>
        <w:ind w:left="360"/>
      </w:pPr>
      <w:r w:rsidRPr="00440FD2">
        <w:t>Angela Moore, MPH</w:t>
      </w:r>
    </w:p>
    <w:p w:rsidRPr="00440FD2" w:rsidR="00F86267" w:rsidP="002955E6" w:rsidRDefault="00F86267" w14:paraId="1E2712EB" w14:textId="77777777">
      <w:pPr>
        <w:spacing w:line="240" w:lineRule="auto"/>
        <w:ind w:left="360"/>
      </w:pPr>
      <w:r w:rsidRPr="00440FD2">
        <w:t xml:space="preserve">Lead Public Health Advisor </w:t>
      </w:r>
    </w:p>
    <w:p w:rsidRPr="00440FD2" w:rsidR="00F86267" w:rsidP="002955E6" w:rsidRDefault="00F86267" w14:paraId="7423D0AF" w14:textId="77777777">
      <w:pPr>
        <w:spacing w:line="240" w:lineRule="auto"/>
        <w:ind w:left="360"/>
      </w:pPr>
      <w:r w:rsidRPr="00440FD2">
        <w:t>Division of Cancer Prevention and Control</w:t>
      </w:r>
    </w:p>
    <w:p w:rsidRPr="00440FD2" w:rsidR="00497BC1" w:rsidP="002955E6" w:rsidRDefault="00F86267" w14:paraId="0F073CAF" w14:textId="353DF29D">
      <w:pPr>
        <w:spacing w:line="240" w:lineRule="auto"/>
        <w:ind w:left="360"/>
      </w:pPr>
      <w:r w:rsidRPr="00440FD2">
        <w:t xml:space="preserve">Centers for Disease Control and Prevention </w:t>
      </w:r>
    </w:p>
    <w:p w:rsidRPr="00440FD2" w:rsidR="00F86267" w:rsidP="00F86267" w:rsidRDefault="00F86267" w14:paraId="374CB1B2" w14:textId="77777777">
      <w:pPr>
        <w:spacing w:line="240" w:lineRule="auto"/>
        <w:ind w:left="360"/>
      </w:pPr>
      <w:r w:rsidRPr="00440FD2">
        <w:t>4770 Buford Hwy NE, MS-F75</w:t>
      </w:r>
    </w:p>
    <w:p w:rsidRPr="00440FD2" w:rsidR="00F86267" w:rsidP="00F86267" w:rsidRDefault="00F86267" w14:paraId="5EB2C421" w14:textId="77777777">
      <w:pPr>
        <w:spacing w:line="240" w:lineRule="auto"/>
        <w:ind w:left="360"/>
      </w:pPr>
      <w:r w:rsidRPr="00440FD2">
        <w:t>Atlanta, GA 30341-3717</w:t>
      </w:r>
    </w:p>
    <w:p w:rsidRPr="00440FD2" w:rsidR="00F86267" w:rsidP="00F86267" w:rsidRDefault="00F86267" w14:paraId="3B6E0FC0" w14:textId="00D31402">
      <w:pPr>
        <w:spacing w:line="240" w:lineRule="auto"/>
        <w:ind w:left="360"/>
      </w:pPr>
      <w:r w:rsidRPr="00440FD2">
        <w:t>Phone: 770</w:t>
      </w:r>
      <w:r w:rsidR="00C27367">
        <w:t>.</w:t>
      </w:r>
      <w:r w:rsidRPr="00440FD2">
        <w:t>488</w:t>
      </w:r>
      <w:r w:rsidR="00C27367">
        <w:t>.</w:t>
      </w:r>
      <w:r w:rsidRPr="00440FD2">
        <w:t>3094</w:t>
      </w:r>
    </w:p>
    <w:p w:rsidRPr="00440FD2" w:rsidR="00F86267" w:rsidP="00F86267" w:rsidRDefault="00F86267" w14:paraId="1F4C09A5" w14:textId="77777777">
      <w:pPr>
        <w:spacing w:line="240" w:lineRule="auto"/>
        <w:ind w:left="360"/>
      </w:pPr>
      <w:r w:rsidRPr="00440FD2">
        <w:t xml:space="preserve">Email: </w:t>
      </w:r>
      <w:hyperlink w:history="1" r:id="rId11">
        <w:r w:rsidRPr="00440FD2">
          <w:rPr>
            <w:rStyle w:val="Hyperlink"/>
            <w:color w:val="auto"/>
          </w:rPr>
          <w:t>cyq6@cdc.gov</w:t>
        </w:r>
      </w:hyperlink>
    </w:p>
    <w:p w:rsidRPr="00440FD2" w:rsidR="00F86267" w:rsidP="00F86267" w:rsidRDefault="00F86267" w14:paraId="752CA2A8" w14:textId="77777777">
      <w:pPr>
        <w:spacing w:line="240" w:lineRule="auto"/>
        <w:ind w:left="360"/>
      </w:pPr>
    </w:p>
    <w:p w:rsidRPr="00440FD2" w:rsidR="00F86267" w:rsidP="00F86267" w:rsidRDefault="00F86267" w14:paraId="4E3F091B" w14:textId="431AC60C">
      <w:pPr>
        <w:spacing w:line="240" w:lineRule="auto"/>
        <w:ind w:left="360"/>
      </w:pPr>
      <w:r w:rsidRPr="00440FD2">
        <w:t>Trina Pyron, MA</w:t>
      </w:r>
    </w:p>
    <w:p w:rsidRPr="00440FD2" w:rsidR="00F86267" w:rsidP="00F86267" w:rsidRDefault="00F86267" w14:paraId="2C981D55" w14:textId="25EB5A0F">
      <w:pPr>
        <w:spacing w:line="240" w:lineRule="auto"/>
        <w:ind w:left="360"/>
      </w:pPr>
      <w:r w:rsidRPr="00440FD2">
        <w:t>Public Health Advisor</w:t>
      </w:r>
    </w:p>
    <w:p w:rsidRPr="00440FD2" w:rsidR="00F86267" w:rsidP="00F86267" w:rsidRDefault="00F86267" w14:paraId="5885FE93" w14:textId="77777777">
      <w:pPr>
        <w:spacing w:line="240" w:lineRule="auto"/>
        <w:ind w:left="360"/>
      </w:pPr>
      <w:r w:rsidRPr="00440FD2">
        <w:t>Division of Cancer Prevention and Control</w:t>
      </w:r>
    </w:p>
    <w:p w:rsidRPr="00440FD2" w:rsidR="00F86267" w:rsidP="00F86267" w:rsidRDefault="00F86267" w14:paraId="27842B70" w14:textId="77777777">
      <w:pPr>
        <w:spacing w:line="240" w:lineRule="auto"/>
        <w:ind w:left="360"/>
      </w:pPr>
      <w:r w:rsidRPr="00440FD2">
        <w:t xml:space="preserve">Centers for Disease Control and Prevention </w:t>
      </w:r>
    </w:p>
    <w:p w:rsidRPr="00440FD2" w:rsidR="00F86267" w:rsidP="00F86267" w:rsidRDefault="00F86267" w14:paraId="14833FF5" w14:textId="77777777">
      <w:pPr>
        <w:spacing w:line="240" w:lineRule="auto"/>
        <w:ind w:left="360"/>
      </w:pPr>
      <w:r w:rsidRPr="00440FD2">
        <w:t>4770 Buford Hwy NE, MS-F75</w:t>
      </w:r>
    </w:p>
    <w:p w:rsidRPr="00440FD2" w:rsidR="00F86267" w:rsidP="00F86267" w:rsidRDefault="00F86267" w14:paraId="35310893" w14:textId="77777777">
      <w:pPr>
        <w:spacing w:line="240" w:lineRule="auto"/>
        <w:ind w:left="360"/>
      </w:pPr>
      <w:r w:rsidRPr="00440FD2">
        <w:t>Atlanta, GA 30341-3717</w:t>
      </w:r>
    </w:p>
    <w:p w:rsidRPr="00440FD2" w:rsidR="00F86267" w:rsidP="00F86267" w:rsidRDefault="00F86267" w14:paraId="4008742A" w14:textId="4429D21E">
      <w:pPr>
        <w:spacing w:line="240" w:lineRule="auto"/>
        <w:ind w:left="360"/>
      </w:pPr>
      <w:r w:rsidRPr="00440FD2">
        <w:t>Phone: 770</w:t>
      </w:r>
      <w:r w:rsidR="00C27367">
        <w:t>.</w:t>
      </w:r>
      <w:r w:rsidRPr="00440FD2">
        <w:t>488</w:t>
      </w:r>
      <w:r w:rsidR="00C27367">
        <w:t>.</w:t>
      </w:r>
      <w:r w:rsidRPr="00440FD2">
        <w:t>0971</w:t>
      </w:r>
    </w:p>
    <w:p w:rsidRPr="00440FD2" w:rsidR="00F86267" w:rsidP="00F86267" w:rsidRDefault="00F86267" w14:paraId="44756FF0" w14:textId="4C930489">
      <w:pPr>
        <w:spacing w:line="240" w:lineRule="auto"/>
        <w:ind w:left="360"/>
      </w:pPr>
      <w:r w:rsidRPr="00440FD2">
        <w:t>Email:</w:t>
      </w:r>
      <w:r w:rsidR="00622017">
        <w:t xml:space="preserve"> </w:t>
      </w:r>
      <w:r w:rsidRPr="00440FD2">
        <w:t>dfo4@cdc.gov</w:t>
      </w:r>
    </w:p>
    <w:p w:rsidRPr="00440FD2" w:rsidR="00F86267" w:rsidP="00F86267" w:rsidRDefault="00F86267" w14:paraId="7FD16862" w14:textId="77777777">
      <w:pPr>
        <w:spacing w:line="240" w:lineRule="auto"/>
        <w:ind w:left="360"/>
      </w:pPr>
    </w:p>
    <w:p w:rsidRPr="00440FD2" w:rsidR="00F86267" w:rsidP="00F86267" w:rsidRDefault="00F86267" w14:paraId="7D6EFAC2" w14:textId="1F9E7110">
      <w:pPr>
        <w:spacing w:line="240" w:lineRule="auto"/>
        <w:ind w:left="360"/>
      </w:pPr>
      <w:r w:rsidRPr="00440FD2">
        <w:t>Jamila Fonseka, MPH</w:t>
      </w:r>
    </w:p>
    <w:p w:rsidRPr="00440FD2" w:rsidR="00F86267" w:rsidP="00F86267" w:rsidRDefault="00F86267" w14:paraId="3F7EC597" w14:textId="6CCA901B">
      <w:pPr>
        <w:spacing w:line="240" w:lineRule="auto"/>
        <w:ind w:left="360"/>
      </w:pPr>
      <w:r w:rsidRPr="00440FD2">
        <w:t>Public Health Advisor</w:t>
      </w:r>
    </w:p>
    <w:p w:rsidRPr="00440FD2" w:rsidR="00F86267" w:rsidP="00F86267" w:rsidRDefault="00F86267" w14:paraId="5F677094" w14:textId="77777777">
      <w:pPr>
        <w:spacing w:line="240" w:lineRule="auto"/>
        <w:ind w:left="360"/>
      </w:pPr>
      <w:r w:rsidRPr="00440FD2">
        <w:t>Division of Cancer Prevention and Control</w:t>
      </w:r>
    </w:p>
    <w:p w:rsidRPr="00440FD2" w:rsidR="00F86267" w:rsidP="00F86267" w:rsidRDefault="00F86267" w14:paraId="1E56B5E2" w14:textId="77777777">
      <w:pPr>
        <w:spacing w:line="240" w:lineRule="auto"/>
        <w:ind w:left="360"/>
      </w:pPr>
      <w:r w:rsidRPr="00440FD2">
        <w:t xml:space="preserve">Centers for Disease Control and Prevention </w:t>
      </w:r>
    </w:p>
    <w:p w:rsidRPr="00440FD2" w:rsidR="00F86267" w:rsidP="00F86267" w:rsidRDefault="00F86267" w14:paraId="7F8C69F4" w14:textId="77777777">
      <w:pPr>
        <w:spacing w:line="240" w:lineRule="auto"/>
        <w:ind w:left="360"/>
      </w:pPr>
      <w:r w:rsidRPr="00440FD2">
        <w:t>4770 Buford Hwy NE, MS-F75</w:t>
      </w:r>
    </w:p>
    <w:p w:rsidRPr="00440FD2" w:rsidR="00F86267" w:rsidP="00F86267" w:rsidRDefault="00F86267" w14:paraId="6460E36A" w14:textId="77777777">
      <w:pPr>
        <w:spacing w:line="240" w:lineRule="auto"/>
        <w:ind w:left="360"/>
      </w:pPr>
      <w:r w:rsidRPr="00440FD2">
        <w:t>Atlanta, GA 30341-3717</w:t>
      </w:r>
    </w:p>
    <w:p w:rsidRPr="00440FD2" w:rsidR="00F86267" w:rsidP="00F86267" w:rsidRDefault="00F86267" w14:paraId="24309496" w14:textId="1CB4EFD1">
      <w:pPr>
        <w:spacing w:line="240" w:lineRule="auto"/>
        <w:ind w:left="360"/>
      </w:pPr>
      <w:r w:rsidRPr="00440FD2">
        <w:t>Phone: 770.488.4296</w:t>
      </w:r>
    </w:p>
    <w:p w:rsidRPr="00440FD2" w:rsidR="00F86267" w:rsidP="00F86267" w:rsidRDefault="00F86267" w14:paraId="7E5190D9" w14:textId="497B2B6E">
      <w:pPr>
        <w:spacing w:line="240" w:lineRule="auto"/>
        <w:ind w:left="360"/>
        <w:rPr>
          <w:rStyle w:val="Hyperlink"/>
          <w:color w:val="auto"/>
        </w:rPr>
      </w:pPr>
      <w:r w:rsidRPr="00440FD2">
        <w:t xml:space="preserve">Email: </w:t>
      </w:r>
      <w:hyperlink w:history="1" r:id="rId12">
        <w:r w:rsidRPr="00440FD2">
          <w:rPr>
            <w:rStyle w:val="Hyperlink"/>
            <w:color w:val="auto"/>
          </w:rPr>
          <w:t>jcf0@cdc.gov</w:t>
        </w:r>
      </w:hyperlink>
    </w:p>
    <w:p w:rsidRPr="00440FD2" w:rsidR="00F86267" w:rsidP="00F86267" w:rsidRDefault="00F86267" w14:paraId="036D33AE" w14:textId="77777777">
      <w:pPr>
        <w:spacing w:line="240" w:lineRule="auto"/>
        <w:ind w:left="360"/>
      </w:pPr>
    </w:p>
    <w:p w:rsidR="00F35D59" w:rsidP="00F86267" w:rsidRDefault="00F35D59" w14:paraId="6109E717" w14:textId="3265DE96">
      <w:pPr>
        <w:spacing w:line="240" w:lineRule="auto"/>
        <w:ind w:left="360"/>
      </w:pPr>
    </w:p>
    <w:p w:rsidR="00642C42" w:rsidP="00F86267" w:rsidRDefault="00642C42" w14:paraId="03D49B71" w14:textId="55E77A7B">
      <w:pPr>
        <w:spacing w:line="240" w:lineRule="auto"/>
        <w:ind w:left="360"/>
      </w:pPr>
      <w:r>
        <w:t>Marnie House, EdD</w:t>
      </w:r>
    </w:p>
    <w:p w:rsidR="009E472A" w:rsidP="00F86267" w:rsidRDefault="009E472A" w14:paraId="2C52A9BC" w14:textId="1737CCF8">
      <w:pPr>
        <w:spacing w:line="240" w:lineRule="auto"/>
        <w:ind w:left="360"/>
      </w:pPr>
      <w:r>
        <w:t>Director, Research Science</w:t>
      </w:r>
    </w:p>
    <w:p w:rsidR="00610CFE" w:rsidP="00F86267" w:rsidRDefault="00610CFE" w14:paraId="52BF01D0" w14:textId="0904577D">
      <w:pPr>
        <w:spacing w:line="240" w:lineRule="auto"/>
        <w:ind w:left="360"/>
      </w:pPr>
      <w:r>
        <w:t>ICF</w:t>
      </w:r>
    </w:p>
    <w:p w:rsidR="00610CFE" w:rsidP="00F86267" w:rsidRDefault="00610CFE" w14:paraId="069CF8E2" w14:textId="35BBF10E">
      <w:pPr>
        <w:spacing w:line="240" w:lineRule="auto"/>
        <w:ind w:left="360"/>
      </w:pPr>
      <w:r>
        <w:t>Carmel, IN 46033</w:t>
      </w:r>
    </w:p>
    <w:p w:rsidR="00B93D09" w:rsidP="00F86267" w:rsidRDefault="00B93D09" w14:paraId="061B7E35" w14:textId="42A907A3">
      <w:pPr>
        <w:spacing w:line="240" w:lineRule="auto"/>
        <w:ind w:left="360"/>
      </w:pPr>
      <w:r>
        <w:t>Phone: 404</w:t>
      </w:r>
      <w:r w:rsidR="005379CF">
        <w:t>.592.218</w:t>
      </w:r>
      <w:r w:rsidR="00613F20">
        <w:t>3</w:t>
      </w:r>
    </w:p>
    <w:p w:rsidR="00613F20" w:rsidP="00F86267" w:rsidRDefault="00613F20" w14:paraId="6996BEDF" w14:textId="2FF293B4">
      <w:pPr>
        <w:spacing w:line="240" w:lineRule="auto"/>
        <w:ind w:left="360"/>
      </w:pPr>
      <w:r>
        <w:lastRenderedPageBreak/>
        <w:t>Marnie.House@icf.com</w:t>
      </w:r>
    </w:p>
    <w:p w:rsidR="00D91982" w:rsidP="00F86267" w:rsidRDefault="00D91982" w14:paraId="3998D0FC" w14:textId="77777777">
      <w:pPr>
        <w:spacing w:line="240" w:lineRule="auto"/>
        <w:ind w:left="360"/>
      </w:pPr>
    </w:p>
    <w:p w:rsidR="00F35D59" w:rsidP="00F86267" w:rsidRDefault="00F35D59" w14:paraId="23A24589" w14:textId="2B8505D9">
      <w:pPr>
        <w:spacing w:line="240" w:lineRule="auto"/>
        <w:ind w:left="360"/>
      </w:pPr>
      <w:r>
        <w:t>Janice Vick, PhD</w:t>
      </w:r>
    </w:p>
    <w:p w:rsidR="00F35D59" w:rsidP="00F86267" w:rsidRDefault="00F35D59" w14:paraId="293E2EC6" w14:textId="52AE6350">
      <w:pPr>
        <w:spacing w:line="240" w:lineRule="auto"/>
        <w:ind w:left="360"/>
      </w:pPr>
      <w:r>
        <w:t>Lead Research Scientist</w:t>
      </w:r>
    </w:p>
    <w:p w:rsidR="00766282" w:rsidP="00F86267" w:rsidRDefault="00766282" w14:paraId="0724DA45" w14:textId="0FBAF86F">
      <w:pPr>
        <w:spacing w:line="240" w:lineRule="auto"/>
        <w:ind w:left="360"/>
      </w:pPr>
      <w:r>
        <w:t>ICF</w:t>
      </w:r>
    </w:p>
    <w:p w:rsidRPr="00440FD2" w:rsidR="00766282" w:rsidP="00766282" w:rsidRDefault="0069152B" w14:paraId="38C6951F" w14:textId="007C8BCD">
      <w:pPr>
        <w:spacing w:line="240" w:lineRule="auto"/>
        <w:ind w:left="360"/>
      </w:pPr>
      <w:r>
        <w:t xml:space="preserve">2635 </w:t>
      </w:r>
      <w:r w:rsidR="00596509">
        <w:t>Century Parkway, Suite 1000</w:t>
      </w:r>
    </w:p>
    <w:p w:rsidRPr="00440FD2" w:rsidR="00766282" w:rsidP="00766282" w:rsidRDefault="00766282" w14:paraId="35539D08" w14:textId="5506AA26">
      <w:pPr>
        <w:spacing w:line="240" w:lineRule="auto"/>
        <w:ind w:left="360"/>
      </w:pPr>
      <w:r w:rsidRPr="00440FD2">
        <w:t>Atlanta, GA 303</w:t>
      </w:r>
      <w:r w:rsidR="00596509">
        <w:t>45</w:t>
      </w:r>
    </w:p>
    <w:p w:rsidR="00766282" w:rsidP="00766282" w:rsidRDefault="00766282" w14:paraId="12D96363" w14:textId="0B771285">
      <w:pPr>
        <w:spacing w:line="240" w:lineRule="auto"/>
        <w:ind w:left="360"/>
      </w:pPr>
      <w:r w:rsidRPr="00440FD2">
        <w:t>Phone: 404.</w:t>
      </w:r>
      <w:r>
        <w:t>592.2296</w:t>
      </w:r>
    </w:p>
    <w:p w:rsidR="00060B5C" w:rsidP="00766282" w:rsidRDefault="00060B5C" w14:paraId="720E35E8" w14:textId="68231C78">
      <w:pPr>
        <w:spacing w:line="240" w:lineRule="auto"/>
        <w:ind w:left="360"/>
      </w:pPr>
      <w:r>
        <w:t>Janice.Vick@icf.com</w:t>
      </w:r>
    </w:p>
    <w:p w:rsidR="00C27367" w:rsidP="00766282" w:rsidRDefault="00C27367" w14:paraId="7853A51A" w14:textId="3BF1D0F4">
      <w:pPr>
        <w:spacing w:line="240" w:lineRule="auto"/>
        <w:ind w:left="360"/>
      </w:pPr>
    </w:p>
    <w:p w:rsidR="00C27367" w:rsidP="00766282" w:rsidRDefault="00C27367" w14:paraId="46E9F9E1" w14:textId="1515FEE8">
      <w:pPr>
        <w:spacing w:line="240" w:lineRule="auto"/>
        <w:ind w:left="360"/>
      </w:pPr>
      <w:r>
        <w:t>Sharanya Thummalapally, MPH</w:t>
      </w:r>
    </w:p>
    <w:p w:rsidR="00C27367" w:rsidP="00766282" w:rsidRDefault="00C27367" w14:paraId="71FD2C27" w14:textId="1BA06CB1">
      <w:pPr>
        <w:spacing w:line="240" w:lineRule="auto"/>
        <w:ind w:left="360"/>
      </w:pPr>
      <w:r>
        <w:t>Senior Research Scientist</w:t>
      </w:r>
    </w:p>
    <w:p w:rsidR="00C27367" w:rsidP="00766282" w:rsidRDefault="00C27367" w14:paraId="74769265" w14:textId="06CEE61F">
      <w:pPr>
        <w:spacing w:line="240" w:lineRule="auto"/>
        <w:ind w:left="360"/>
      </w:pPr>
      <w:r>
        <w:t>ICF</w:t>
      </w:r>
    </w:p>
    <w:p w:rsidRPr="00440FD2" w:rsidR="009C50B0" w:rsidP="009C50B0" w:rsidRDefault="009C50B0" w14:paraId="657AC636" w14:textId="77777777">
      <w:pPr>
        <w:spacing w:line="240" w:lineRule="auto"/>
        <w:ind w:left="360"/>
      </w:pPr>
      <w:r>
        <w:t>2635 Century Parkway, Suite 1000</w:t>
      </w:r>
    </w:p>
    <w:p w:rsidR="009C50B0" w:rsidP="009C50B0" w:rsidRDefault="009C50B0" w14:paraId="3212F6E9" w14:textId="014C71D3">
      <w:pPr>
        <w:spacing w:line="240" w:lineRule="auto"/>
        <w:ind w:left="360"/>
      </w:pPr>
      <w:r w:rsidRPr="00440FD2">
        <w:t>Atlanta, GA 303</w:t>
      </w:r>
      <w:r>
        <w:t>45</w:t>
      </w:r>
    </w:p>
    <w:p w:rsidR="00060B5C" w:rsidP="009C50B0" w:rsidRDefault="00060B5C" w14:paraId="6CB75F0D" w14:textId="2E055453">
      <w:pPr>
        <w:spacing w:line="240" w:lineRule="auto"/>
        <w:ind w:left="360"/>
      </w:pPr>
      <w:r>
        <w:t>Phone: 404.929.8307</w:t>
      </w:r>
    </w:p>
    <w:p w:rsidRPr="00440FD2" w:rsidR="00B521FD" w:rsidP="009C50B0" w:rsidRDefault="00B521FD" w14:paraId="1D80CB12" w14:textId="2C7D0266">
      <w:pPr>
        <w:spacing w:line="240" w:lineRule="auto"/>
        <w:ind w:left="360"/>
      </w:pPr>
      <w:r>
        <w:t>Sharanya.Thummalapally@icf.com</w:t>
      </w:r>
    </w:p>
    <w:p w:rsidRPr="00440FD2" w:rsidR="00F86267" w:rsidP="00971425" w:rsidRDefault="00F86267" w14:paraId="58D6D04B" w14:textId="61B6A08A">
      <w:pPr>
        <w:spacing w:line="240" w:lineRule="auto"/>
        <w:ind w:left="0"/>
        <w:rPr>
          <w:rStyle w:val="Hyperlink"/>
          <w:b/>
          <w:color w:val="auto"/>
        </w:rPr>
      </w:pPr>
    </w:p>
    <w:p w:rsidRPr="00440FD2" w:rsidR="00F86267" w:rsidP="00F86267" w:rsidRDefault="00F86267" w14:paraId="3639C3FF" w14:textId="77777777">
      <w:pPr>
        <w:spacing w:line="240" w:lineRule="auto"/>
        <w:ind w:left="360"/>
        <w:rPr>
          <w:rStyle w:val="Hyperlink"/>
          <w:b/>
          <w:color w:val="auto"/>
        </w:rPr>
      </w:pPr>
    </w:p>
    <w:p w:rsidRPr="00440FD2" w:rsidR="00A36419" w:rsidP="002955E6" w:rsidRDefault="00A36419" w14:paraId="1E82E35E" w14:textId="77777777">
      <w:pPr>
        <w:pStyle w:val="Heading3"/>
        <w:spacing w:line="240" w:lineRule="auto"/>
      </w:pPr>
      <w:bookmarkStart w:name="_Toc413847916" w:id="10"/>
      <w:r w:rsidRPr="00440FD2">
        <w:t>LIST OF ATTACHMENTS</w:t>
      </w:r>
      <w:r w:rsidRPr="00440FD2" w:rsidR="00E24C20">
        <w:t xml:space="preserve"> – Section B</w:t>
      </w:r>
      <w:bookmarkEnd w:id="10"/>
    </w:p>
    <w:p w:rsidRPr="00C674CC" w:rsidR="00772797" w:rsidP="00C674CC" w:rsidRDefault="00772797" w14:paraId="0C2C6FED" w14:textId="4417B67C">
      <w:pPr>
        <w:spacing w:line="240" w:lineRule="auto"/>
        <w:ind w:left="360"/>
        <w:rPr>
          <w:rFonts w:ascii="Cambria" w:hAnsi="Cambria"/>
        </w:rPr>
      </w:pPr>
      <w:r w:rsidRPr="00C674CC">
        <w:rPr>
          <w:rFonts w:ascii="Cambria" w:hAnsi="Cambria"/>
        </w:rPr>
        <w:t>Attachment B – Letter for Bona Fide Fiscal Agent</w:t>
      </w:r>
    </w:p>
    <w:p w:rsidRPr="00C674CC" w:rsidR="00865573" w:rsidP="00C674CC" w:rsidRDefault="00400C2C" w14:paraId="772DFEFB" w14:textId="28D4F0F3">
      <w:pPr>
        <w:spacing w:line="240" w:lineRule="auto"/>
        <w:ind w:left="360"/>
        <w:rPr>
          <w:rFonts w:ascii="Cambria" w:hAnsi="Cambria"/>
        </w:rPr>
      </w:pPr>
      <w:r w:rsidRPr="00C674CC">
        <w:rPr>
          <w:rFonts w:ascii="Cambria" w:hAnsi="Cambria"/>
        </w:rPr>
        <w:t xml:space="preserve">Attachment </w:t>
      </w:r>
      <w:r w:rsidRPr="00C674CC" w:rsidR="00772797">
        <w:rPr>
          <w:rFonts w:ascii="Cambria" w:hAnsi="Cambria"/>
        </w:rPr>
        <w:t>E</w:t>
      </w:r>
      <w:r w:rsidRPr="00C674CC" w:rsidR="00B8656C">
        <w:rPr>
          <w:rFonts w:ascii="Cambria" w:hAnsi="Cambria"/>
        </w:rPr>
        <w:t xml:space="preserve"> </w:t>
      </w:r>
      <w:r w:rsidRPr="00C674CC">
        <w:rPr>
          <w:rFonts w:ascii="Cambria" w:hAnsi="Cambria"/>
        </w:rPr>
        <w:t>–</w:t>
      </w:r>
      <w:r w:rsidRPr="00C674CC" w:rsidR="00B8656C">
        <w:rPr>
          <w:rFonts w:ascii="Cambria" w:hAnsi="Cambria"/>
        </w:rPr>
        <w:t xml:space="preserve"> </w:t>
      </w:r>
      <w:r w:rsidRPr="00C674CC" w:rsidR="00772797">
        <w:t>Introductory Email</w:t>
      </w:r>
    </w:p>
    <w:p w:rsidRPr="00C674CC" w:rsidR="00865573" w:rsidP="00C674CC" w:rsidRDefault="00400C2C" w14:paraId="65A9CF0F" w14:textId="5A0A1807">
      <w:pPr>
        <w:spacing w:line="240" w:lineRule="auto"/>
        <w:ind w:left="360"/>
        <w:rPr>
          <w:rFonts w:ascii="Cambria" w:hAnsi="Cambria"/>
        </w:rPr>
      </w:pPr>
      <w:r w:rsidRPr="00C674CC">
        <w:rPr>
          <w:rFonts w:ascii="Cambria" w:hAnsi="Cambria"/>
        </w:rPr>
        <w:t xml:space="preserve">Attachment </w:t>
      </w:r>
      <w:r w:rsidRPr="00C674CC" w:rsidR="00772797">
        <w:rPr>
          <w:rFonts w:ascii="Cambria" w:hAnsi="Cambria"/>
        </w:rPr>
        <w:t>F</w:t>
      </w:r>
      <w:r w:rsidRPr="00C674CC" w:rsidR="00D24BCF">
        <w:rPr>
          <w:rFonts w:ascii="Cambria" w:hAnsi="Cambria"/>
        </w:rPr>
        <w:t xml:space="preserve"> –</w:t>
      </w:r>
      <w:r w:rsidRPr="00C674CC" w:rsidR="00865573">
        <w:rPr>
          <w:rFonts w:ascii="Cambria" w:hAnsi="Cambria"/>
        </w:rPr>
        <w:t xml:space="preserve"> </w:t>
      </w:r>
      <w:r w:rsidRPr="00C674CC" w:rsidR="00772797">
        <w:rPr>
          <w:rFonts w:ascii="Cambria" w:hAnsi="Cambria"/>
        </w:rPr>
        <w:t>Invitation Email</w:t>
      </w:r>
    </w:p>
    <w:p w:rsidRPr="00C674CC" w:rsidR="00400C2C" w:rsidP="00C674CC" w:rsidRDefault="00400C2C" w14:paraId="759C7D9D" w14:textId="195683F7">
      <w:pPr>
        <w:spacing w:line="240" w:lineRule="auto"/>
        <w:ind w:left="360"/>
        <w:rPr>
          <w:rFonts w:ascii="Cambria" w:hAnsi="Cambria"/>
        </w:rPr>
      </w:pPr>
      <w:r w:rsidRPr="00C674CC">
        <w:rPr>
          <w:rFonts w:ascii="Cambria" w:hAnsi="Cambria"/>
        </w:rPr>
        <w:t xml:space="preserve">Attachment </w:t>
      </w:r>
      <w:r w:rsidRPr="00C674CC" w:rsidR="00772797">
        <w:rPr>
          <w:rFonts w:ascii="Cambria" w:hAnsi="Cambria"/>
        </w:rPr>
        <w:t xml:space="preserve">G </w:t>
      </w:r>
      <w:r w:rsidRPr="00C674CC" w:rsidR="00D24BCF">
        <w:rPr>
          <w:rFonts w:ascii="Cambria" w:hAnsi="Cambria"/>
        </w:rPr>
        <w:t>–</w:t>
      </w:r>
      <w:r w:rsidRPr="00C674CC">
        <w:rPr>
          <w:rFonts w:ascii="Cambria" w:hAnsi="Cambria"/>
        </w:rPr>
        <w:t xml:space="preserve"> </w:t>
      </w:r>
      <w:r w:rsidRPr="00C674CC" w:rsidR="00772797">
        <w:rPr>
          <w:rFonts w:ascii="Cambria" w:hAnsi="Cambria"/>
        </w:rPr>
        <w:t xml:space="preserve">Reminder Email </w:t>
      </w:r>
    </w:p>
    <w:p w:rsidRPr="00C674CC" w:rsidR="00772797" w:rsidP="00C674CC" w:rsidRDefault="00772797" w14:paraId="15FE2D9B" w14:textId="7265C186">
      <w:pPr>
        <w:spacing w:line="240" w:lineRule="auto"/>
        <w:ind w:left="360"/>
        <w:rPr>
          <w:rFonts w:ascii="Cambria" w:hAnsi="Cambria"/>
        </w:rPr>
      </w:pPr>
      <w:r w:rsidRPr="00C674CC">
        <w:rPr>
          <w:rFonts w:ascii="Cambria" w:hAnsi="Cambria"/>
        </w:rPr>
        <w:t>Attachment H –</w:t>
      </w:r>
      <w:r w:rsidR="00FB269B">
        <w:rPr>
          <w:rFonts w:ascii="Cambria" w:hAnsi="Cambria"/>
        </w:rPr>
        <w:t xml:space="preserve"> </w:t>
      </w:r>
      <w:r w:rsidRPr="00C674CC">
        <w:rPr>
          <w:rFonts w:ascii="Cambria" w:hAnsi="Cambria"/>
        </w:rPr>
        <w:t xml:space="preserve">Thank you Email </w:t>
      </w:r>
    </w:p>
    <w:p w:rsidRPr="00C674CC" w:rsidR="00400C2C" w:rsidP="00C674CC" w:rsidRDefault="00400C2C" w14:paraId="196A1590" w14:textId="77777777">
      <w:pPr>
        <w:pStyle w:val="ListParagraph"/>
        <w:spacing w:line="240" w:lineRule="auto"/>
        <w:rPr>
          <w:rFonts w:ascii="Cambria" w:hAnsi="Cambria"/>
        </w:rPr>
      </w:pPr>
    </w:p>
    <w:p w:rsidRPr="00440FD2" w:rsidR="00865573" w:rsidP="002955E6" w:rsidRDefault="00865573" w14:paraId="504ACF37" w14:textId="77777777">
      <w:pPr>
        <w:spacing w:line="240" w:lineRule="auto"/>
        <w:ind w:left="0" w:firstLine="360"/>
        <w:rPr>
          <w:rFonts w:ascii="Cambria" w:hAnsi="Cambria"/>
        </w:rPr>
      </w:pPr>
    </w:p>
    <w:sectPr w:rsidRPr="00440FD2" w:rsidR="00865573" w:rsidSect="003E5D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9064" w16cex:dateUtc="2020-06-17T16: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E962" w14:textId="77777777" w:rsidR="00611C90" w:rsidRDefault="00611C90" w:rsidP="00BC6896">
      <w:r>
        <w:separator/>
      </w:r>
    </w:p>
    <w:p w14:paraId="60B703F4" w14:textId="77777777" w:rsidR="00611C90" w:rsidRDefault="00611C90" w:rsidP="00BC6896"/>
  </w:endnote>
  <w:endnote w:type="continuationSeparator" w:id="0">
    <w:p w14:paraId="204BF6FB" w14:textId="77777777" w:rsidR="00611C90" w:rsidRDefault="00611C90" w:rsidP="00BC6896">
      <w:r>
        <w:continuationSeparator/>
      </w:r>
    </w:p>
    <w:p w14:paraId="1D4EB003" w14:textId="77777777" w:rsidR="00611C90" w:rsidRDefault="00611C90" w:rsidP="00BC6896"/>
  </w:endnote>
  <w:endnote w:type="continuationNotice" w:id="1">
    <w:p w14:paraId="4D98E699" w14:textId="77777777" w:rsidR="00611C90" w:rsidRDefault="00611C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9ED2" w14:textId="77777777" w:rsidR="00544790" w:rsidRDefault="0054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13B959B2" w:rsidR="00F96BEB" w:rsidRDefault="00F96B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D180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44222E07" w14:textId="77777777" w:rsidR="00F96BEB" w:rsidRDefault="00F96BEB" w:rsidP="00BC68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3D05" w14:textId="77777777" w:rsidR="00544790" w:rsidRDefault="0054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58AC" w14:textId="77777777" w:rsidR="00611C90" w:rsidRDefault="00611C90" w:rsidP="00BC6896">
      <w:r>
        <w:separator/>
      </w:r>
    </w:p>
    <w:p w14:paraId="41A5B399" w14:textId="77777777" w:rsidR="00611C90" w:rsidRDefault="00611C90" w:rsidP="00BC6896"/>
  </w:footnote>
  <w:footnote w:type="continuationSeparator" w:id="0">
    <w:p w14:paraId="335CDD1D" w14:textId="77777777" w:rsidR="00611C90" w:rsidRDefault="00611C90" w:rsidP="00BC6896">
      <w:r>
        <w:continuationSeparator/>
      </w:r>
    </w:p>
    <w:p w14:paraId="0C9B80EC" w14:textId="77777777" w:rsidR="00611C90" w:rsidRDefault="00611C90" w:rsidP="00BC6896"/>
  </w:footnote>
  <w:footnote w:type="continuationNotice" w:id="1">
    <w:p w14:paraId="52F8E728" w14:textId="77777777" w:rsidR="00611C90" w:rsidRDefault="00611C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5D26" w14:textId="77777777" w:rsidR="00544790" w:rsidRDefault="00544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F96BEB" w:rsidRPr="00716F94" w:rsidRDefault="00F96BEB" w:rsidP="00BC6896">
    <w:pPr>
      <w:pStyle w:val="Header"/>
      <w:rPr>
        <w:color w:val="0033CC"/>
      </w:rPr>
    </w:pPr>
    <w:r>
      <w:tab/>
    </w:r>
  </w:p>
  <w:p w14:paraId="653AF48B" w14:textId="77777777" w:rsidR="00F96BEB" w:rsidRDefault="00F96BEB" w:rsidP="00BC68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A951" w14:textId="77777777" w:rsidR="00544790" w:rsidRDefault="00544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E5DE4"/>
    <w:multiLevelType w:val="hybridMultilevel"/>
    <w:tmpl w:val="72E89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81CCF"/>
    <w:multiLevelType w:val="hybridMultilevel"/>
    <w:tmpl w:val="6BBC74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862A7"/>
    <w:multiLevelType w:val="hybridMultilevel"/>
    <w:tmpl w:val="CD3AD4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BE2B3D"/>
    <w:multiLevelType w:val="hybridMultilevel"/>
    <w:tmpl w:val="BBFA04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561E96"/>
    <w:multiLevelType w:val="hybridMultilevel"/>
    <w:tmpl w:val="544EC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024F18"/>
    <w:multiLevelType w:val="hybridMultilevel"/>
    <w:tmpl w:val="4514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0"/>
  </w:num>
  <w:num w:numId="4">
    <w:abstractNumId w:val="12"/>
  </w:num>
  <w:num w:numId="5">
    <w:abstractNumId w:val="27"/>
  </w:num>
  <w:num w:numId="6">
    <w:abstractNumId w:val="7"/>
  </w:num>
  <w:num w:numId="7">
    <w:abstractNumId w:val="0"/>
  </w:num>
  <w:num w:numId="8">
    <w:abstractNumId w:val="5"/>
  </w:num>
  <w:num w:numId="9">
    <w:abstractNumId w:val="10"/>
  </w:num>
  <w:num w:numId="10">
    <w:abstractNumId w:val="30"/>
  </w:num>
  <w:num w:numId="11">
    <w:abstractNumId w:val="2"/>
  </w:num>
  <w:num w:numId="12">
    <w:abstractNumId w:val="38"/>
  </w:num>
  <w:num w:numId="13">
    <w:abstractNumId w:val="6"/>
  </w:num>
  <w:num w:numId="14">
    <w:abstractNumId w:val="3"/>
  </w:num>
  <w:num w:numId="15">
    <w:abstractNumId w:val="34"/>
  </w:num>
  <w:num w:numId="16">
    <w:abstractNumId w:val="42"/>
  </w:num>
  <w:num w:numId="17">
    <w:abstractNumId w:val="9"/>
  </w:num>
  <w:num w:numId="18">
    <w:abstractNumId w:val="15"/>
  </w:num>
  <w:num w:numId="19">
    <w:abstractNumId w:val="4"/>
  </w:num>
  <w:num w:numId="20">
    <w:abstractNumId w:val="16"/>
  </w:num>
  <w:num w:numId="21">
    <w:abstractNumId w:val="41"/>
  </w:num>
  <w:num w:numId="22">
    <w:abstractNumId w:val="31"/>
  </w:num>
  <w:num w:numId="23">
    <w:abstractNumId w:val="14"/>
  </w:num>
  <w:num w:numId="24">
    <w:abstractNumId w:val="33"/>
  </w:num>
  <w:num w:numId="25">
    <w:abstractNumId w:val="35"/>
  </w:num>
  <w:num w:numId="26">
    <w:abstractNumId w:val="20"/>
  </w:num>
  <w:num w:numId="27">
    <w:abstractNumId w:val="25"/>
  </w:num>
  <w:num w:numId="28">
    <w:abstractNumId w:val="22"/>
  </w:num>
  <w:num w:numId="29">
    <w:abstractNumId w:val="28"/>
  </w:num>
  <w:num w:numId="30">
    <w:abstractNumId w:val="24"/>
  </w:num>
  <w:num w:numId="31">
    <w:abstractNumId w:val="11"/>
  </w:num>
  <w:num w:numId="32">
    <w:abstractNumId w:val="26"/>
  </w:num>
  <w:num w:numId="33">
    <w:abstractNumId w:val="19"/>
  </w:num>
  <w:num w:numId="34">
    <w:abstractNumId w:val="17"/>
  </w:num>
  <w:num w:numId="35">
    <w:abstractNumId w:val="29"/>
  </w:num>
  <w:num w:numId="36">
    <w:abstractNumId w:val="23"/>
  </w:num>
  <w:num w:numId="37">
    <w:abstractNumId w:val="8"/>
  </w:num>
  <w:num w:numId="38">
    <w:abstractNumId w:val="39"/>
  </w:num>
  <w:num w:numId="39">
    <w:abstractNumId w:val="43"/>
  </w:num>
  <w:num w:numId="40">
    <w:abstractNumId w:val="21"/>
  </w:num>
  <w:num w:numId="41">
    <w:abstractNumId w:val="13"/>
  </w:num>
  <w:num w:numId="42">
    <w:abstractNumId w:val="36"/>
  </w:num>
  <w:num w:numId="43">
    <w:abstractNumId w:val="3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04B9"/>
    <w:rsid w:val="00000794"/>
    <w:rsid w:val="000009FB"/>
    <w:rsid w:val="00004C6A"/>
    <w:rsid w:val="0000524C"/>
    <w:rsid w:val="00010420"/>
    <w:rsid w:val="00011A98"/>
    <w:rsid w:val="00011F8D"/>
    <w:rsid w:val="00012BC9"/>
    <w:rsid w:val="000130B4"/>
    <w:rsid w:val="00014361"/>
    <w:rsid w:val="000279A9"/>
    <w:rsid w:val="000279C5"/>
    <w:rsid w:val="00040EBF"/>
    <w:rsid w:val="00046D5C"/>
    <w:rsid w:val="000474FB"/>
    <w:rsid w:val="00052A34"/>
    <w:rsid w:val="00053A92"/>
    <w:rsid w:val="000557D0"/>
    <w:rsid w:val="0005605E"/>
    <w:rsid w:val="0005755E"/>
    <w:rsid w:val="00057F36"/>
    <w:rsid w:val="00060B5C"/>
    <w:rsid w:val="000A1F30"/>
    <w:rsid w:val="000A538D"/>
    <w:rsid w:val="000B6BE8"/>
    <w:rsid w:val="000C18B8"/>
    <w:rsid w:val="000C5D65"/>
    <w:rsid w:val="000C60E2"/>
    <w:rsid w:val="000E6577"/>
    <w:rsid w:val="000E746A"/>
    <w:rsid w:val="000E7A19"/>
    <w:rsid w:val="000F05D5"/>
    <w:rsid w:val="000F2533"/>
    <w:rsid w:val="000F36A3"/>
    <w:rsid w:val="001030FC"/>
    <w:rsid w:val="00104A1B"/>
    <w:rsid w:val="00113035"/>
    <w:rsid w:val="001177DD"/>
    <w:rsid w:val="00121F54"/>
    <w:rsid w:val="00126690"/>
    <w:rsid w:val="001308EB"/>
    <w:rsid w:val="001322AD"/>
    <w:rsid w:val="00140064"/>
    <w:rsid w:val="001412D4"/>
    <w:rsid w:val="00144F64"/>
    <w:rsid w:val="00151567"/>
    <w:rsid w:val="00163E17"/>
    <w:rsid w:val="00166F9E"/>
    <w:rsid w:val="00174D49"/>
    <w:rsid w:val="00175844"/>
    <w:rsid w:val="00176E14"/>
    <w:rsid w:val="001832DD"/>
    <w:rsid w:val="001833D0"/>
    <w:rsid w:val="00187D5A"/>
    <w:rsid w:val="0019194B"/>
    <w:rsid w:val="001960AE"/>
    <w:rsid w:val="001972D7"/>
    <w:rsid w:val="001A28F6"/>
    <w:rsid w:val="001A7D0E"/>
    <w:rsid w:val="001B2831"/>
    <w:rsid w:val="001C0493"/>
    <w:rsid w:val="001C28AD"/>
    <w:rsid w:val="001C54E9"/>
    <w:rsid w:val="001D2951"/>
    <w:rsid w:val="001D461D"/>
    <w:rsid w:val="001D6AB2"/>
    <w:rsid w:val="001D7FCB"/>
    <w:rsid w:val="001E2B99"/>
    <w:rsid w:val="001E69B6"/>
    <w:rsid w:val="001F3773"/>
    <w:rsid w:val="001F4DBB"/>
    <w:rsid w:val="001F501E"/>
    <w:rsid w:val="001F7C89"/>
    <w:rsid w:val="0020312D"/>
    <w:rsid w:val="0020495F"/>
    <w:rsid w:val="00206E33"/>
    <w:rsid w:val="00210519"/>
    <w:rsid w:val="00230CEF"/>
    <w:rsid w:val="00237CA1"/>
    <w:rsid w:val="00241B17"/>
    <w:rsid w:val="00241C81"/>
    <w:rsid w:val="00245F1F"/>
    <w:rsid w:val="00252BF8"/>
    <w:rsid w:val="002541D5"/>
    <w:rsid w:val="00256392"/>
    <w:rsid w:val="0025731C"/>
    <w:rsid w:val="00257A1C"/>
    <w:rsid w:val="002721C7"/>
    <w:rsid w:val="0027234C"/>
    <w:rsid w:val="00272E03"/>
    <w:rsid w:val="00281795"/>
    <w:rsid w:val="002850E3"/>
    <w:rsid w:val="002866CD"/>
    <w:rsid w:val="00287E2F"/>
    <w:rsid w:val="002955E6"/>
    <w:rsid w:val="002A1948"/>
    <w:rsid w:val="002A5874"/>
    <w:rsid w:val="002B5D5C"/>
    <w:rsid w:val="002C0877"/>
    <w:rsid w:val="002C2AE2"/>
    <w:rsid w:val="002C7C68"/>
    <w:rsid w:val="002D0DCE"/>
    <w:rsid w:val="002D0E00"/>
    <w:rsid w:val="002D7797"/>
    <w:rsid w:val="002E2B10"/>
    <w:rsid w:val="002E2CF3"/>
    <w:rsid w:val="002F1502"/>
    <w:rsid w:val="002F169D"/>
    <w:rsid w:val="002F2069"/>
    <w:rsid w:val="002F3D87"/>
    <w:rsid w:val="002F66AF"/>
    <w:rsid w:val="002F6F92"/>
    <w:rsid w:val="00302839"/>
    <w:rsid w:val="003041AD"/>
    <w:rsid w:val="00306C2E"/>
    <w:rsid w:val="0031279F"/>
    <w:rsid w:val="00312D63"/>
    <w:rsid w:val="003161B9"/>
    <w:rsid w:val="00327D05"/>
    <w:rsid w:val="0033426A"/>
    <w:rsid w:val="00334706"/>
    <w:rsid w:val="00335EBD"/>
    <w:rsid w:val="00336D96"/>
    <w:rsid w:val="003375BB"/>
    <w:rsid w:val="00341BD9"/>
    <w:rsid w:val="003429C3"/>
    <w:rsid w:val="00343F9B"/>
    <w:rsid w:val="00344F07"/>
    <w:rsid w:val="00345E3E"/>
    <w:rsid w:val="003469C8"/>
    <w:rsid w:val="00350347"/>
    <w:rsid w:val="00355EA4"/>
    <w:rsid w:val="0035727A"/>
    <w:rsid w:val="003635BE"/>
    <w:rsid w:val="00366B5E"/>
    <w:rsid w:val="00372844"/>
    <w:rsid w:val="0038560A"/>
    <w:rsid w:val="003928D6"/>
    <w:rsid w:val="003A5D9A"/>
    <w:rsid w:val="003A667E"/>
    <w:rsid w:val="003A7587"/>
    <w:rsid w:val="003B584F"/>
    <w:rsid w:val="003C31C9"/>
    <w:rsid w:val="003C3D1C"/>
    <w:rsid w:val="003C4961"/>
    <w:rsid w:val="003C7C5D"/>
    <w:rsid w:val="003D0AD2"/>
    <w:rsid w:val="003D34A1"/>
    <w:rsid w:val="003E4383"/>
    <w:rsid w:val="003E4E7D"/>
    <w:rsid w:val="003E5D57"/>
    <w:rsid w:val="003F5913"/>
    <w:rsid w:val="00400C2C"/>
    <w:rsid w:val="004024F8"/>
    <w:rsid w:val="0040501B"/>
    <w:rsid w:val="0041159A"/>
    <w:rsid w:val="00414772"/>
    <w:rsid w:val="0042604A"/>
    <w:rsid w:val="004305A8"/>
    <w:rsid w:val="0043150B"/>
    <w:rsid w:val="0043417A"/>
    <w:rsid w:val="00440FD2"/>
    <w:rsid w:val="00443CA0"/>
    <w:rsid w:val="00450E14"/>
    <w:rsid w:val="00450FE1"/>
    <w:rsid w:val="00454A3D"/>
    <w:rsid w:val="00462C65"/>
    <w:rsid w:val="00467B14"/>
    <w:rsid w:val="00474EDA"/>
    <w:rsid w:val="0047536D"/>
    <w:rsid w:val="004824FA"/>
    <w:rsid w:val="00484011"/>
    <w:rsid w:val="004841F1"/>
    <w:rsid w:val="00487E55"/>
    <w:rsid w:val="00490E61"/>
    <w:rsid w:val="00497BC1"/>
    <w:rsid w:val="004A1E3A"/>
    <w:rsid w:val="004A5CAA"/>
    <w:rsid w:val="004B0004"/>
    <w:rsid w:val="004B1D39"/>
    <w:rsid w:val="004B4EB5"/>
    <w:rsid w:val="004C1B45"/>
    <w:rsid w:val="004C4AEA"/>
    <w:rsid w:val="004D70EE"/>
    <w:rsid w:val="004E003C"/>
    <w:rsid w:val="004E16EB"/>
    <w:rsid w:val="004E4026"/>
    <w:rsid w:val="004E6665"/>
    <w:rsid w:val="004F634E"/>
    <w:rsid w:val="004F67A8"/>
    <w:rsid w:val="005074EF"/>
    <w:rsid w:val="00517433"/>
    <w:rsid w:val="00522A50"/>
    <w:rsid w:val="00527225"/>
    <w:rsid w:val="0053557D"/>
    <w:rsid w:val="005379CF"/>
    <w:rsid w:val="0054299C"/>
    <w:rsid w:val="00544469"/>
    <w:rsid w:val="00544790"/>
    <w:rsid w:val="005463DE"/>
    <w:rsid w:val="00546DC2"/>
    <w:rsid w:val="005542E8"/>
    <w:rsid w:val="00556630"/>
    <w:rsid w:val="0055686D"/>
    <w:rsid w:val="005600AD"/>
    <w:rsid w:val="005800EE"/>
    <w:rsid w:val="005869D6"/>
    <w:rsid w:val="00590300"/>
    <w:rsid w:val="00593E85"/>
    <w:rsid w:val="00596509"/>
    <w:rsid w:val="005A1EE5"/>
    <w:rsid w:val="005A33F6"/>
    <w:rsid w:val="005A59E5"/>
    <w:rsid w:val="005B68AD"/>
    <w:rsid w:val="005B7440"/>
    <w:rsid w:val="005C6E9D"/>
    <w:rsid w:val="005D233C"/>
    <w:rsid w:val="005E2150"/>
    <w:rsid w:val="005E2995"/>
    <w:rsid w:val="005F05F2"/>
    <w:rsid w:val="005F33CB"/>
    <w:rsid w:val="005F3ADE"/>
    <w:rsid w:val="005F3FEF"/>
    <w:rsid w:val="00601392"/>
    <w:rsid w:val="006029DE"/>
    <w:rsid w:val="006075F6"/>
    <w:rsid w:val="00607F7C"/>
    <w:rsid w:val="006102DA"/>
    <w:rsid w:val="00610CFE"/>
    <w:rsid w:val="00611C90"/>
    <w:rsid w:val="0061272C"/>
    <w:rsid w:val="00613F20"/>
    <w:rsid w:val="006161CF"/>
    <w:rsid w:val="00621F93"/>
    <w:rsid w:val="00622017"/>
    <w:rsid w:val="006222A3"/>
    <w:rsid w:val="006315A3"/>
    <w:rsid w:val="00636B9C"/>
    <w:rsid w:val="006379E9"/>
    <w:rsid w:val="00637CC1"/>
    <w:rsid w:val="00642C42"/>
    <w:rsid w:val="006466BA"/>
    <w:rsid w:val="006579A2"/>
    <w:rsid w:val="006630D9"/>
    <w:rsid w:val="006648CC"/>
    <w:rsid w:val="00667C89"/>
    <w:rsid w:val="00667ED4"/>
    <w:rsid w:val="006711EE"/>
    <w:rsid w:val="006809BB"/>
    <w:rsid w:val="006809FD"/>
    <w:rsid w:val="00683C7C"/>
    <w:rsid w:val="00687C5F"/>
    <w:rsid w:val="00691031"/>
    <w:rsid w:val="0069152B"/>
    <w:rsid w:val="00691D1F"/>
    <w:rsid w:val="0069580C"/>
    <w:rsid w:val="00697BAE"/>
    <w:rsid w:val="006A63FD"/>
    <w:rsid w:val="006B4DDC"/>
    <w:rsid w:val="006B5E55"/>
    <w:rsid w:val="006C1771"/>
    <w:rsid w:val="006C5733"/>
    <w:rsid w:val="006D25A1"/>
    <w:rsid w:val="006D4442"/>
    <w:rsid w:val="006D6932"/>
    <w:rsid w:val="006E269B"/>
    <w:rsid w:val="006E3A82"/>
    <w:rsid w:val="006E3DE2"/>
    <w:rsid w:val="006E4BB7"/>
    <w:rsid w:val="006F23AF"/>
    <w:rsid w:val="006F56FD"/>
    <w:rsid w:val="006F6856"/>
    <w:rsid w:val="0071190E"/>
    <w:rsid w:val="007145D0"/>
    <w:rsid w:val="00716F94"/>
    <w:rsid w:val="00760E12"/>
    <w:rsid w:val="007619A6"/>
    <w:rsid w:val="00763CF3"/>
    <w:rsid w:val="00765CD6"/>
    <w:rsid w:val="00766282"/>
    <w:rsid w:val="00766D8C"/>
    <w:rsid w:val="00772293"/>
    <w:rsid w:val="00772797"/>
    <w:rsid w:val="0077394A"/>
    <w:rsid w:val="00783A3C"/>
    <w:rsid w:val="00783C75"/>
    <w:rsid w:val="00784619"/>
    <w:rsid w:val="00784A36"/>
    <w:rsid w:val="0078627B"/>
    <w:rsid w:val="00794E32"/>
    <w:rsid w:val="00795EB4"/>
    <w:rsid w:val="00797B8E"/>
    <w:rsid w:val="007B305A"/>
    <w:rsid w:val="007B6B3A"/>
    <w:rsid w:val="007C1CB7"/>
    <w:rsid w:val="007D19D6"/>
    <w:rsid w:val="007E1ADE"/>
    <w:rsid w:val="007E3F71"/>
    <w:rsid w:val="00800993"/>
    <w:rsid w:val="00804A01"/>
    <w:rsid w:val="00804C41"/>
    <w:rsid w:val="00806190"/>
    <w:rsid w:val="00810FBF"/>
    <w:rsid w:val="00815C7D"/>
    <w:rsid w:val="00817941"/>
    <w:rsid w:val="00820E35"/>
    <w:rsid w:val="008212A8"/>
    <w:rsid w:val="00824402"/>
    <w:rsid w:val="008261AB"/>
    <w:rsid w:val="00826ED8"/>
    <w:rsid w:val="00835CA7"/>
    <w:rsid w:val="008370D4"/>
    <w:rsid w:val="00840A3A"/>
    <w:rsid w:val="008414AD"/>
    <w:rsid w:val="008428D9"/>
    <w:rsid w:val="00856593"/>
    <w:rsid w:val="00865573"/>
    <w:rsid w:val="00866817"/>
    <w:rsid w:val="0087159E"/>
    <w:rsid w:val="008759F6"/>
    <w:rsid w:val="00875A0F"/>
    <w:rsid w:val="00876B98"/>
    <w:rsid w:val="00884DB9"/>
    <w:rsid w:val="00886A5B"/>
    <w:rsid w:val="008957E2"/>
    <w:rsid w:val="0089676F"/>
    <w:rsid w:val="008C115B"/>
    <w:rsid w:val="008C67D2"/>
    <w:rsid w:val="008D56BC"/>
    <w:rsid w:val="008D6C55"/>
    <w:rsid w:val="008E0683"/>
    <w:rsid w:val="008E2955"/>
    <w:rsid w:val="00901F94"/>
    <w:rsid w:val="00902DD9"/>
    <w:rsid w:val="00911466"/>
    <w:rsid w:val="00911486"/>
    <w:rsid w:val="009129CA"/>
    <w:rsid w:val="009206B6"/>
    <w:rsid w:val="009263C1"/>
    <w:rsid w:val="00926EA4"/>
    <w:rsid w:val="00931C02"/>
    <w:rsid w:val="00935FFD"/>
    <w:rsid w:val="00941B4F"/>
    <w:rsid w:val="009422BA"/>
    <w:rsid w:val="0095290C"/>
    <w:rsid w:val="00952935"/>
    <w:rsid w:val="009619A8"/>
    <w:rsid w:val="00963CE3"/>
    <w:rsid w:val="00964F18"/>
    <w:rsid w:val="0097039F"/>
    <w:rsid w:val="00971425"/>
    <w:rsid w:val="00972249"/>
    <w:rsid w:val="00974424"/>
    <w:rsid w:val="009759F3"/>
    <w:rsid w:val="00987F76"/>
    <w:rsid w:val="00991BF9"/>
    <w:rsid w:val="009928B2"/>
    <w:rsid w:val="00993088"/>
    <w:rsid w:val="0099664F"/>
    <w:rsid w:val="00997D5D"/>
    <w:rsid w:val="009A0447"/>
    <w:rsid w:val="009B034F"/>
    <w:rsid w:val="009B4A51"/>
    <w:rsid w:val="009C28B1"/>
    <w:rsid w:val="009C50B0"/>
    <w:rsid w:val="009C61AD"/>
    <w:rsid w:val="009D1231"/>
    <w:rsid w:val="009D1710"/>
    <w:rsid w:val="009D373D"/>
    <w:rsid w:val="009D77CD"/>
    <w:rsid w:val="009E1D05"/>
    <w:rsid w:val="009E2F4E"/>
    <w:rsid w:val="009E472A"/>
    <w:rsid w:val="009F3752"/>
    <w:rsid w:val="009F7283"/>
    <w:rsid w:val="00A00C86"/>
    <w:rsid w:val="00A11B0C"/>
    <w:rsid w:val="00A24548"/>
    <w:rsid w:val="00A305CE"/>
    <w:rsid w:val="00A329B7"/>
    <w:rsid w:val="00A33B35"/>
    <w:rsid w:val="00A36419"/>
    <w:rsid w:val="00A37AE0"/>
    <w:rsid w:val="00A41D66"/>
    <w:rsid w:val="00A55FAA"/>
    <w:rsid w:val="00A575F1"/>
    <w:rsid w:val="00A578C2"/>
    <w:rsid w:val="00A70EBC"/>
    <w:rsid w:val="00A72652"/>
    <w:rsid w:val="00A75D1C"/>
    <w:rsid w:val="00A809AA"/>
    <w:rsid w:val="00A81BF7"/>
    <w:rsid w:val="00A849B3"/>
    <w:rsid w:val="00A8510D"/>
    <w:rsid w:val="00A85651"/>
    <w:rsid w:val="00A86450"/>
    <w:rsid w:val="00A86AF3"/>
    <w:rsid w:val="00A90BDC"/>
    <w:rsid w:val="00A91097"/>
    <w:rsid w:val="00A95477"/>
    <w:rsid w:val="00A975A9"/>
    <w:rsid w:val="00AA3192"/>
    <w:rsid w:val="00AB3608"/>
    <w:rsid w:val="00AC5C48"/>
    <w:rsid w:val="00AD0376"/>
    <w:rsid w:val="00AD08DC"/>
    <w:rsid w:val="00AF0CF4"/>
    <w:rsid w:val="00AF2252"/>
    <w:rsid w:val="00AF331D"/>
    <w:rsid w:val="00B05508"/>
    <w:rsid w:val="00B1129F"/>
    <w:rsid w:val="00B11D61"/>
    <w:rsid w:val="00B12F51"/>
    <w:rsid w:val="00B25CEF"/>
    <w:rsid w:val="00B2751E"/>
    <w:rsid w:val="00B31237"/>
    <w:rsid w:val="00B315A7"/>
    <w:rsid w:val="00B3650C"/>
    <w:rsid w:val="00B460B8"/>
    <w:rsid w:val="00B50A2B"/>
    <w:rsid w:val="00B521FD"/>
    <w:rsid w:val="00B57E8A"/>
    <w:rsid w:val="00B64BFA"/>
    <w:rsid w:val="00B65C38"/>
    <w:rsid w:val="00B735B9"/>
    <w:rsid w:val="00B8216F"/>
    <w:rsid w:val="00B84A07"/>
    <w:rsid w:val="00B853F1"/>
    <w:rsid w:val="00B85DE4"/>
    <w:rsid w:val="00B8656C"/>
    <w:rsid w:val="00B90174"/>
    <w:rsid w:val="00B91A31"/>
    <w:rsid w:val="00B93D09"/>
    <w:rsid w:val="00BA17AA"/>
    <w:rsid w:val="00BA6DB4"/>
    <w:rsid w:val="00BC016A"/>
    <w:rsid w:val="00BC2114"/>
    <w:rsid w:val="00BC3F3C"/>
    <w:rsid w:val="00BC5BB2"/>
    <w:rsid w:val="00BC6896"/>
    <w:rsid w:val="00BD52BA"/>
    <w:rsid w:val="00BD6B4F"/>
    <w:rsid w:val="00BE78DE"/>
    <w:rsid w:val="00BF3F54"/>
    <w:rsid w:val="00C00697"/>
    <w:rsid w:val="00C0376C"/>
    <w:rsid w:val="00C06D77"/>
    <w:rsid w:val="00C06E7F"/>
    <w:rsid w:val="00C122A5"/>
    <w:rsid w:val="00C14BA6"/>
    <w:rsid w:val="00C27367"/>
    <w:rsid w:val="00C347E7"/>
    <w:rsid w:val="00C3485C"/>
    <w:rsid w:val="00C367CA"/>
    <w:rsid w:val="00C420D4"/>
    <w:rsid w:val="00C54A70"/>
    <w:rsid w:val="00C612BA"/>
    <w:rsid w:val="00C674CC"/>
    <w:rsid w:val="00C71C6A"/>
    <w:rsid w:val="00C73A73"/>
    <w:rsid w:val="00C84DC3"/>
    <w:rsid w:val="00C95880"/>
    <w:rsid w:val="00C97046"/>
    <w:rsid w:val="00CA2004"/>
    <w:rsid w:val="00CB334D"/>
    <w:rsid w:val="00CB56D5"/>
    <w:rsid w:val="00CD0771"/>
    <w:rsid w:val="00CD1EA8"/>
    <w:rsid w:val="00CD3C99"/>
    <w:rsid w:val="00CF0CE8"/>
    <w:rsid w:val="00CF5ABD"/>
    <w:rsid w:val="00CF63CE"/>
    <w:rsid w:val="00D067C1"/>
    <w:rsid w:val="00D109BA"/>
    <w:rsid w:val="00D1343E"/>
    <w:rsid w:val="00D13B13"/>
    <w:rsid w:val="00D16E78"/>
    <w:rsid w:val="00D201D3"/>
    <w:rsid w:val="00D24BCF"/>
    <w:rsid w:val="00D26A64"/>
    <w:rsid w:val="00D328FA"/>
    <w:rsid w:val="00D33BF9"/>
    <w:rsid w:val="00D33F88"/>
    <w:rsid w:val="00D4221A"/>
    <w:rsid w:val="00D47764"/>
    <w:rsid w:val="00D50C38"/>
    <w:rsid w:val="00D52B9A"/>
    <w:rsid w:val="00D5367E"/>
    <w:rsid w:val="00D538CF"/>
    <w:rsid w:val="00D57C7E"/>
    <w:rsid w:val="00D642A1"/>
    <w:rsid w:val="00D70B5F"/>
    <w:rsid w:val="00D724CC"/>
    <w:rsid w:val="00D7285C"/>
    <w:rsid w:val="00D74A06"/>
    <w:rsid w:val="00D77D27"/>
    <w:rsid w:val="00D82265"/>
    <w:rsid w:val="00D846FD"/>
    <w:rsid w:val="00D861ED"/>
    <w:rsid w:val="00D873E0"/>
    <w:rsid w:val="00D91982"/>
    <w:rsid w:val="00D94F8B"/>
    <w:rsid w:val="00D97210"/>
    <w:rsid w:val="00DA147A"/>
    <w:rsid w:val="00DA4EA9"/>
    <w:rsid w:val="00DA5988"/>
    <w:rsid w:val="00DB755C"/>
    <w:rsid w:val="00DC317C"/>
    <w:rsid w:val="00DC4FF2"/>
    <w:rsid w:val="00DC79CC"/>
    <w:rsid w:val="00DD0F88"/>
    <w:rsid w:val="00DD1804"/>
    <w:rsid w:val="00DD1DDF"/>
    <w:rsid w:val="00DD34ED"/>
    <w:rsid w:val="00DD5711"/>
    <w:rsid w:val="00DE2D45"/>
    <w:rsid w:val="00DF47AA"/>
    <w:rsid w:val="00DF7C46"/>
    <w:rsid w:val="00E0397D"/>
    <w:rsid w:val="00E04DE7"/>
    <w:rsid w:val="00E06DCB"/>
    <w:rsid w:val="00E07EE6"/>
    <w:rsid w:val="00E134F4"/>
    <w:rsid w:val="00E23568"/>
    <w:rsid w:val="00E245B5"/>
    <w:rsid w:val="00E24C20"/>
    <w:rsid w:val="00E33BBA"/>
    <w:rsid w:val="00E33E1B"/>
    <w:rsid w:val="00E34D3E"/>
    <w:rsid w:val="00E42F3A"/>
    <w:rsid w:val="00E511B7"/>
    <w:rsid w:val="00E653AB"/>
    <w:rsid w:val="00E80B10"/>
    <w:rsid w:val="00E81C5E"/>
    <w:rsid w:val="00E82B49"/>
    <w:rsid w:val="00E833EC"/>
    <w:rsid w:val="00E83B3C"/>
    <w:rsid w:val="00E8736B"/>
    <w:rsid w:val="00E90275"/>
    <w:rsid w:val="00E925D4"/>
    <w:rsid w:val="00E94955"/>
    <w:rsid w:val="00E97226"/>
    <w:rsid w:val="00EA1CCB"/>
    <w:rsid w:val="00EA2C81"/>
    <w:rsid w:val="00EA59FF"/>
    <w:rsid w:val="00EB63B3"/>
    <w:rsid w:val="00EC45F0"/>
    <w:rsid w:val="00ED07E6"/>
    <w:rsid w:val="00ED6878"/>
    <w:rsid w:val="00ED6EAF"/>
    <w:rsid w:val="00EF0EC8"/>
    <w:rsid w:val="00EF33CD"/>
    <w:rsid w:val="00F01720"/>
    <w:rsid w:val="00F1296F"/>
    <w:rsid w:val="00F2267A"/>
    <w:rsid w:val="00F243C4"/>
    <w:rsid w:val="00F267C2"/>
    <w:rsid w:val="00F27049"/>
    <w:rsid w:val="00F300CB"/>
    <w:rsid w:val="00F35D59"/>
    <w:rsid w:val="00F36394"/>
    <w:rsid w:val="00F42C3A"/>
    <w:rsid w:val="00F45FD5"/>
    <w:rsid w:val="00F47AEE"/>
    <w:rsid w:val="00F51C1E"/>
    <w:rsid w:val="00F52BCC"/>
    <w:rsid w:val="00F5313F"/>
    <w:rsid w:val="00F57581"/>
    <w:rsid w:val="00F725B5"/>
    <w:rsid w:val="00F777AC"/>
    <w:rsid w:val="00F81A48"/>
    <w:rsid w:val="00F85398"/>
    <w:rsid w:val="00F86267"/>
    <w:rsid w:val="00F96BEB"/>
    <w:rsid w:val="00FA3C5E"/>
    <w:rsid w:val="00FB1DB3"/>
    <w:rsid w:val="00FB269B"/>
    <w:rsid w:val="00FB671F"/>
    <w:rsid w:val="00FC5B1F"/>
    <w:rsid w:val="00FD0D84"/>
    <w:rsid w:val="00FD17C9"/>
    <w:rsid w:val="00FD1EF0"/>
    <w:rsid w:val="00FD2A5B"/>
    <w:rsid w:val="00FD632C"/>
    <w:rsid w:val="00FE0E1C"/>
    <w:rsid w:val="00FE6A5C"/>
    <w:rsid w:val="00FF3CFE"/>
    <w:rsid w:val="00FF693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UnresolvedMention1">
    <w:name w:val="Unresolved Mention1"/>
    <w:basedOn w:val="DefaultParagraphFont"/>
    <w:uiPriority w:val="99"/>
    <w:semiHidden/>
    <w:unhideWhenUsed/>
    <w:rsid w:val="00F86267"/>
    <w:rPr>
      <w:color w:val="605E5C"/>
      <w:shd w:val="clear" w:color="auto" w:fill="E1DFDD"/>
    </w:rPr>
  </w:style>
  <w:style w:type="character" w:styleId="UnresolvedMention">
    <w:name w:val="Unresolved Mention"/>
    <w:basedOn w:val="DefaultParagraphFont"/>
    <w:uiPriority w:val="99"/>
    <w:semiHidden/>
    <w:unhideWhenUsed/>
    <w:rsid w:val="00F3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2230">
      <w:bodyDiv w:val="1"/>
      <w:marLeft w:val="0"/>
      <w:marRight w:val="0"/>
      <w:marTop w:val="0"/>
      <w:marBottom w:val="0"/>
      <w:divBdr>
        <w:top w:val="none" w:sz="0" w:space="0" w:color="auto"/>
        <w:left w:val="none" w:sz="0" w:space="0" w:color="auto"/>
        <w:bottom w:val="none" w:sz="0" w:space="0" w:color="auto"/>
        <w:right w:val="none" w:sz="0" w:space="0" w:color="auto"/>
      </w:divBdr>
    </w:div>
    <w:div w:id="9249954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f0@cdc.gov"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q6@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9" ma:contentTypeDescription="Create a new document." ma:contentTypeScope="" ma:versionID="e7578140133e87ef2734920ae473fbf1">
  <xsd:schema xmlns:xsd="http://www.w3.org/2001/XMLSchema" xmlns:xs="http://www.w3.org/2001/XMLSchema" xmlns:p="http://schemas.microsoft.com/office/2006/metadata/properties" xmlns:ns2="305a0028-7312-4fca-a323-09606142e5fe" targetNamespace="http://schemas.microsoft.com/office/2006/metadata/properties" ma:root="true" ma:fieldsID="03c2d2b4033eddd5e59c4f5b45a687b9"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AC32-865A-45BC-B279-7A9A4EF3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A560A-BC84-4D43-89B2-42DFEC5BD793}">
  <ds:schemaRefs>
    <ds:schemaRef ds:uri="http://schemas.microsoft.com/sharepoint/v3/contenttype/forms"/>
  </ds:schemaRefs>
</ds:datastoreItem>
</file>

<file path=customXml/itemProps3.xml><?xml version="1.0" encoding="utf-8"?>
<ds:datastoreItem xmlns:ds="http://schemas.openxmlformats.org/officeDocument/2006/customXml" ds:itemID="{9D8C18AE-CF1A-4064-A51D-E26DB841F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ADF8E-4ECC-4E4C-8722-17D31DDE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Anderson, Brittany (CDC/DDPHSIS/CSTLTS/OD)</cp:lastModifiedBy>
  <cp:revision>12</cp:revision>
  <cp:lastPrinted>2020-02-13T15:21:00Z</cp:lastPrinted>
  <dcterms:created xsi:type="dcterms:W3CDTF">2020-06-17T16:49:00Z</dcterms:created>
  <dcterms:modified xsi:type="dcterms:W3CDTF">2020-06-18T18:27:00Z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0x0101002C73C7B88788D348A8DA3CE58F646914</vt:lpwstr>
  </property>
  <property fmtid="{D5CDD505-2E9C-101B-9397-08002B2CF9AE}" pid="3" name="_dlc_DocIdItemGuid">
    <vt:lpwstr>10d7df6f-bc98-4ebc-b5a6-abb9a9e09d8e</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2020-06-17T14:44:01.7462588Z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a23eef3a-77aa-4a61-b811-6edc5aed2b03</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