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94" w:rsidP="00BC6896" w:rsidRDefault="00716F94" w14:paraId="6070602F" w14:textId="18A797B7"/>
    <w:p w:rsidR="009B4A51" w:rsidP="00BC6896" w:rsidRDefault="009B4A51" w14:paraId="5226E505" w14:textId="77777777">
      <w:bookmarkStart w:name="_GoBack" w:id="0"/>
      <w:bookmarkEnd w:id="0"/>
    </w:p>
    <w:p w:rsidR="009B4A51" w:rsidP="00BC6896" w:rsidRDefault="009B4A51" w14:paraId="392CCF3A" w14:textId="77777777"/>
    <w:p w:rsidR="009B4A51" w:rsidP="00BC6896" w:rsidRDefault="009B4A51" w14:paraId="0716B8D1" w14:textId="77777777"/>
    <w:p w:rsidR="009B4A51" w:rsidP="00BC6896" w:rsidRDefault="009B4A51" w14:paraId="0DBCEE1D" w14:textId="77777777"/>
    <w:p w:rsidRPr="00130EDD" w:rsidR="00716F94" w:rsidP="00BC6896" w:rsidRDefault="008F1742" w14:paraId="24078D41" w14:textId="6BFB2C75">
      <w:pPr>
        <w:pStyle w:val="Heading1"/>
      </w:pPr>
      <w:r w:rsidRPr="00130EDD">
        <w:rPr>
          <w:sz w:val="32"/>
        </w:rPr>
        <w:t>Determining the Landscape of Quality Management Systems for Public Health Laboratories Performing Next-Generation Sequencing</w:t>
      </w:r>
    </w:p>
    <w:p w:rsidR="00AA3192" w:rsidP="00BC6896" w:rsidRDefault="00AA3192" w14:paraId="50C2AB5D" w14:textId="77777777"/>
    <w:p w:rsidRPr="00AA3192" w:rsidR="00716F94" w:rsidP="00BC6896" w:rsidRDefault="00B60E8C" w14:paraId="5734E3D4" w14:textId="77777777">
      <w:pPr>
        <w:ind w:left="0"/>
        <w:jc w:val="center"/>
      </w:pPr>
      <w:r>
        <w:t>C</w:t>
      </w:r>
      <w:r w:rsidRPr="00AA3192" w:rsidR="00484011">
        <w:t xml:space="preserve">STLTS Generic </w:t>
      </w:r>
      <w:r w:rsidR="00487E55">
        <w:t>Data collection</w:t>
      </w:r>
      <w:r w:rsidRPr="00AA3192" w:rsidR="00484011">
        <w:t xml:space="preserve"> Request</w:t>
      </w:r>
    </w:p>
    <w:p w:rsidRPr="00AA3192" w:rsidR="00484011" w:rsidP="00BC6896" w:rsidRDefault="00484011" w14:paraId="23151C13" w14:textId="77777777">
      <w:pPr>
        <w:pStyle w:val="Header"/>
        <w:ind w:left="0"/>
        <w:jc w:val="center"/>
      </w:pPr>
      <w:r w:rsidRPr="00AA3192">
        <w:t>OMB No. 0920-0879</w:t>
      </w:r>
    </w:p>
    <w:p w:rsidR="009B4A51" w:rsidP="00BC6896" w:rsidRDefault="009B4A51" w14:paraId="7BE2D97E" w14:textId="77777777"/>
    <w:p w:rsidR="00AA3192" w:rsidP="00BC6896" w:rsidRDefault="00AA3192" w14:paraId="48BEB9BF" w14:textId="77777777"/>
    <w:p w:rsidRPr="00BC6896" w:rsidR="009B4A51" w:rsidP="00BC6896" w:rsidRDefault="009B4A51" w14:paraId="57E8C1B5" w14:textId="77777777">
      <w:pPr>
        <w:pStyle w:val="Heading2"/>
      </w:pPr>
      <w:r w:rsidRPr="00BC6896">
        <w:t xml:space="preserve">Supporting Statement – Section </w:t>
      </w:r>
      <w:r w:rsidRPr="00BC6896" w:rsidR="00601392">
        <w:t>B</w:t>
      </w:r>
    </w:p>
    <w:p w:rsidR="009B4A51" w:rsidP="00BC6896" w:rsidRDefault="009B4A51" w14:paraId="175C171F" w14:textId="77777777"/>
    <w:p w:rsidRPr="00BC6896" w:rsidR="009B4A51" w:rsidP="00BC6896" w:rsidRDefault="009B4A51" w14:paraId="42EFB5FC" w14:textId="5B96E7C0">
      <w:pPr>
        <w:ind w:left="0"/>
        <w:jc w:val="center"/>
      </w:pPr>
      <w:r w:rsidRPr="00AA3192">
        <w:t xml:space="preserve">Submitted: </w:t>
      </w:r>
      <w:r w:rsidR="0062303B">
        <w:t>6/4/2020</w:t>
      </w:r>
    </w:p>
    <w:p w:rsidR="009B4A51" w:rsidP="00BC6896" w:rsidRDefault="009B4A51" w14:paraId="01256775" w14:textId="77777777"/>
    <w:p w:rsidR="009B4A51" w:rsidP="00BC6896" w:rsidRDefault="009B4A51" w14:paraId="12FE9DFE" w14:textId="3D83740F"/>
    <w:p w:rsidR="00130EDD" w:rsidP="00BC6896" w:rsidRDefault="00130EDD" w14:paraId="770840A8" w14:textId="77777777"/>
    <w:p w:rsidR="009B4A51" w:rsidP="00BC6896" w:rsidRDefault="009B4A51" w14:paraId="4CFFCC60" w14:textId="77777777"/>
    <w:p w:rsidR="00A81BF7" w:rsidP="00A81BF7" w:rsidRDefault="00A81BF7" w14:paraId="0C505F93" w14:textId="50571D96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:rsidRPr="00BC6896" w:rsidR="00130EDD" w:rsidP="00A81BF7" w:rsidRDefault="00130EDD" w14:paraId="3916DF5B" w14:textId="77777777">
      <w:pPr>
        <w:ind w:left="0"/>
        <w:rPr>
          <w:b/>
          <w:u w:val="single"/>
        </w:rPr>
      </w:pPr>
    </w:p>
    <w:p w:rsidRPr="00130EDD" w:rsidR="008F1742" w:rsidP="008F1742" w:rsidRDefault="008F1742" w14:paraId="42FF1486" w14:textId="77777777">
      <w:pPr>
        <w:ind w:left="0"/>
      </w:pPr>
      <w:r w:rsidRPr="00130EDD">
        <w:t>Diego Arambula</w:t>
      </w:r>
      <w:r w:rsidRPr="00130EDD">
        <w:tab/>
      </w:r>
    </w:p>
    <w:p w:rsidRPr="00130EDD" w:rsidR="008F1742" w:rsidP="008F1742" w:rsidRDefault="008F1742" w14:paraId="4EC327A7" w14:textId="77777777">
      <w:pPr>
        <w:ind w:left="0"/>
      </w:pPr>
      <w:r w:rsidRPr="00130EDD">
        <w:t>Biologist</w:t>
      </w:r>
    </w:p>
    <w:p w:rsidRPr="00130EDD" w:rsidR="008F1742" w:rsidP="008F1742" w:rsidRDefault="008F1742" w14:paraId="2FD51CBE" w14:textId="77777777">
      <w:pPr>
        <w:ind w:left="0"/>
      </w:pPr>
      <w:r w:rsidRPr="00130EDD">
        <w:t>Division of Laboratory Systems</w:t>
      </w:r>
    </w:p>
    <w:p w:rsidRPr="00130EDD" w:rsidR="008F1742" w:rsidP="008F1742" w:rsidRDefault="008F1742" w14:paraId="1DBC6E28" w14:textId="77777777">
      <w:pPr>
        <w:ind w:left="0"/>
      </w:pPr>
      <w:r w:rsidRPr="00130EDD">
        <w:t>Center for Surveillance, Epidemiology, and Laboratory Services</w:t>
      </w:r>
    </w:p>
    <w:p w:rsidRPr="00130EDD" w:rsidR="008F1742" w:rsidP="008F1742" w:rsidRDefault="008F1742" w14:paraId="60DAB2CC" w14:textId="77777777">
      <w:pPr>
        <w:ind w:left="0"/>
      </w:pPr>
      <w:r w:rsidRPr="00130EDD">
        <w:t>1600 Clifton Rd.</w:t>
      </w:r>
    </w:p>
    <w:p w:rsidRPr="00130EDD" w:rsidR="008F1742" w:rsidP="008F1742" w:rsidRDefault="008F1742" w14:paraId="410A13C7" w14:textId="77777777">
      <w:pPr>
        <w:ind w:left="0"/>
      </w:pPr>
      <w:r w:rsidRPr="00130EDD">
        <w:t>V24-3</w:t>
      </w:r>
    </w:p>
    <w:p w:rsidRPr="00130EDD" w:rsidR="008F1742" w:rsidP="008F1742" w:rsidRDefault="008F1742" w14:paraId="3AA580B3" w14:textId="77777777">
      <w:pPr>
        <w:ind w:left="0"/>
      </w:pPr>
      <w:r w:rsidRPr="00130EDD">
        <w:t>404.498.0691</w:t>
      </w:r>
    </w:p>
    <w:p w:rsidRPr="00130EDD" w:rsidR="00F725B5" w:rsidP="00BC6896" w:rsidRDefault="00941A03" w14:paraId="120D3FFE" w14:textId="236971F4">
      <w:pPr>
        <w:ind w:left="0"/>
      </w:pPr>
      <w:r w:rsidRPr="00130EDD">
        <w:t>DArambula@cdc.gov</w:t>
      </w:r>
    </w:p>
    <w:p w:rsidR="00691031" w:rsidP="00BC6896" w:rsidRDefault="00691031" w14:paraId="215CB2E4" w14:textId="77777777">
      <w:pPr>
        <w:ind w:left="0"/>
        <w:rPr>
          <w:color w:val="0070C0"/>
        </w:rPr>
      </w:pPr>
    </w:p>
    <w:p w:rsidR="00691031" w:rsidP="00BC6896" w:rsidRDefault="00691031" w14:paraId="7C479078" w14:textId="77777777">
      <w:pPr>
        <w:ind w:left="0"/>
        <w:rPr>
          <w:color w:val="0070C0"/>
        </w:rPr>
      </w:pPr>
    </w:p>
    <w:p w:rsidR="00691031" w:rsidP="00BC6896" w:rsidRDefault="00691031" w14:paraId="607E3BE9" w14:textId="77777777">
      <w:pPr>
        <w:ind w:left="0"/>
        <w:rPr>
          <w:color w:val="0070C0"/>
        </w:rPr>
      </w:pPr>
    </w:p>
    <w:p w:rsidR="00EC45F0" w:rsidP="00BC6896" w:rsidRDefault="00EC45F0" w14:paraId="65CD3E45" w14:textId="382DA5B8">
      <w:pPr>
        <w:ind w:left="0"/>
        <w:rPr>
          <w:color w:val="0070C0"/>
        </w:rPr>
      </w:pPr>
    </w:p>
    <w:p w:rsidR="00342491" w:rsidP="00BC6896" w:rsidRDefault="00342491" w14:paraId="4A3B59A3" w14:textId="63AADD11">
      <w:pPr>
        <w:ind w:left="0"/>
        <w:rPr>
          <w:color w:val="0070C0"/>
        </w:rPr>
      </w:pPr>
    </w:p>
    <w:p w:rsidR="00342491" w:rsidP="00BC6896" w:rsidRDefault="00342491" w14:paraId="2CEFC5A5" w14:textId="057E2575">
      <w:pPr>
        <w:ind w:left="0"/>
        <w:rPr>
          <w:color w:val="0070C0"/>
        </w:rPr>
      </w:pPr>
    </w:p>
    <w:p w:rsidR="00342491" w:rsidP="00BC6896" w:rsidRDefault="00342491" w14:paraId="536FBD2A" w14:textId="00B8CEED">
      <w:pPr>
        <w:ind w:left="0"/>
        <w:rPr>
          <w:color w:val="0070C0"/>
        </w:rPr>
      </w:pPr>
    </w:p>
    <w:p w:rsidR="00342491" w:rsidP="00BC6896" w:rsidRDefault="00342491" w14:paraId="4CE70555" w14:textId="55C4604D">
      <w:pPr>
        <w:ind w:left="0"/>
        <w:rPr>
          <w:color w:val="0070C0"/>
        </w:rPr>
      </w:pPr>
    </w:p>
    <w:p w:rsidR="00342491" w:rsidP="00BC6896" w:rsidRDefault="00342491" w14:paraId="69AF47C8" w14:textId="0461AD62">
      <w:pPr>
        <w:ind w:left="0"/>
        <w:rPr>
          <w:color w:val="0070C0"/>
        </w:rPr>
      </w:pPr>
    </w:p>
    <w:p w:rsidR="00342491" w:rsidP="00BC6896" w:rsidRDefault="00342491" w14:paraId="32454765" w14:textId="26D0A969">
      <w:pPr>
        <w:ind w:left="0"/>
        <w:rPr>
          <w:color w:val="0070C0"/>
        </w:rPr>
      </w:pPr>
    </w:p>
    <w:p w:rsidR="00342491" w:rsidP="00BC6896" w:rsidRDefault="00342491" w14:paraId="2DFFF212" w14:textId="77777777">
      <w:pPr>
        <w:ind w:left="0"/>
        <w:rPr>
          <w:color w:val="0070C0"/>
        </w:rPr>
      </w:pPr>
    </w:p>
    <w:p w:rsidR="00EC45F0" w:rsidP="00BC6896" w:rsidRDefault="00EC45F0" w14:paraId="0DDADB19" w14:textId="77777777">
      <w:pPr>
        <w:ind w:left="0"/>
        <w:rPr>
          <w:color w:val="0070C0"/>
        </w:rPr>
      </w:pPr>
    </w:p>
    <w:p w:rsidRPr="0042604A" w:rsidR="00EC45F0" w:rsidP="00BC6896" w:rsidRDefault="00EC45F0" w14:paraId="2014157E" w14:textId="77777777">
      <w:pPr>
        <w:ind w:left="0"/>
        <w:rPr>
          <w:color w:val="0070C0"/>
        </w:rPr>
      </w:pPr>
    </w:p>
    <w:p w:rsidRPr="000A538D" w:rsidR="00245F1F" w:rsidP="00BC6896" w:rsidRDefault="00245F1F" w14:paraId="3D893A39" w14:textId="77777777">
      <w:pPr>
        <w:pStyle w:val="Heading3"/>
      </w:pPr>
      <w:bookmarkStart w:name="_Toc413847909" w:id="1"/>
      <w:r>
        <w:t>Table of Contents</w:t>
      </w:r>
      <w:bookmarkEnd w:id="1"/>
    </w:p>
    <w:p w:rsidRPr="000A538D" w:rsidR="00245F1F" w:rsidP="006F23AF" w:rsidRDefault="00245F1F" w14:paraId="548B6011" w14:textId="77777777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:rsidRPr="000A538D" w:rsidR="00245F1F" w:rsidRDefault="007E704F" w14:paraId="01F15155" w14:textId="77777777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0">
        <w:r w:rsidRPr="000A538D" w:rsidR="00245F1F">
          <w:rPr>
            <w:rStyle w:val="Hyperlink"/>
            <w:noProof/>
            <w:color w:val="auto"/>
          </w:rPr>
          <w:t xml:space="preserve">Section B – </w:t>
        </w:r>
        <w:r w:rsidRPr="000A538D" w:rsidR="00487E55">
          <w:rPr>
            <w:rStyle w:val="Hyperlink"/>
            <w:noProof/>
            <w:color w:val="auto"/>
          </w:rPr>
          <w:t>Data collection</w:t>
        </w:r>
        <w:r w:rsidRPr="000A538D" w:rsidR="00245F1F">
          <w:rPr>
            <w:rStyle w:val="Hyperlink"/>
            <w:noProof/>
            <w:color w:val="auto"/>
          </w:rPr>
          <w:t xml:space="preserve"> Procedures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_Toc413847910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B12D7A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7E704F" w14:paraId="21C9E599" w14:textId="77777777">
      <w:pPr>
        <w:pStyle w:val="TOC2"/>
        <w:rPr>
          <w:noProof/>
        </w:rPr>
      </w:pPr>
      <w:hyperlink w:history="1" w:anchor="_Toc413847911">
        <w:r w:rsidRPr="000A538D" w:rsidR="00245F1F">
          <w:rPr>
            <w:rStyle w:val="Hyperlink"/>
            <w:noProof/>
            <w:color w:val="auto"/>
          </w:rPr>
          <w:t>1.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Respondent Universe and Sampling Methods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_Toc413847911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B12D7A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7E704F" w14:paraId="5979EF81" w14:textId="77777777">
      <w:pPr>
        <w:pStyle w:val="TOC2"/>
        <w:rPr>
          <w:noProof/>
        </w:rPr>
      </w:pPr>
      <w:hyperlink w:history="1" w:anchor="_Toc413847912">
        <w:r w:rsidRPr="000A538D" w:rsidR="00245F1F">
          <w:rPr>
            <w:rStyle w:val="Hyperlink"/>
            <w:noProof/>
            <w:color w:val="auto"/>
          </w:rPr>
          <w:t>2.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Procedures for the Collection of Information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_Toc413847912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B12D7A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7E704F" w14:paraId="35E61F4D" w14:textId="6187EBCF">
      <w:pPr>
        <w:pStyle w:val="TOC2"/>
        <w:rPr>
          <w:noProof/>
        </w:rPr>
      </w:pPr>
      <w:hyperlink w:history="1" w:anchor="_Toc413847913">
        <w:r w:rsidRPr="000A538D" w:rsidR="00245F1F">
          <w:rPr>
            <w:rStyle w:val="Hyperlink"/>
            <w:noProof/>
            <w:color w:val="auto"/>
          </w:rPr>
          <w:t>3.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Methods to Maximize Response Rates  Deal with Nonresponse</w:t>
        </w:r>
        <w:r w:rsidRPr="000A538D" w:rsidR="00245F1F">
          <w:rPr>
            <w:noProof/>
            <w:webHidden/>
          </w:rPr>
          <w:tab/>
        </w:r>
        <w:r w:rsidR="00297966">
          <w:rPr>
            <w:noProof/>
            <w:webHidden/>
          </w:rPr>
          <w:t>3</w:t>
        </w:r>
      </w:hyperlink>
    </w:p>
    <w:p w:rsidRPr="000A538D" w:rsidR="00245F1F" w:rsidP="00245F1F" w:rsidRDefault="007E704F" w14:paraId="584B94FA" w14:textId="77777777">
      <w:pPr>
        <w:pStyle w:val="TOC2"/>
        <w:rPr>
          <w:noProof/>
        </w:rPr>
      </w:pPr>
      <w:hyperlink w:history="1" w:anchor="_Toc413847914">
        <w:r w:rsidRPr="000A538D" w:rsidR="00245F1F">
          <w:rPr>
            <w:rStyle w:val="Hyperlink"/>
            <w:noProof/>
            <w:color w:val="auto"/>
          </w:rPr>
          <w:t>4.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Test of Procedures or Methods to be Undertaken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_Toc413847914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B12D7A">
          <w:rPr>
            <w:noProof/>
            <w:webHidden/>
          </w:rPr>
          <w:t>4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7E704F" w14:paraId="669F2A03" w14:textId="77777777">
      <w:pPr>
        <w:pStyle w:val="TOC2"/>
        <w:rPr>
          <w:noProof/>
        </w:rPr>
      </w:pPr>
      <w:hyperlink w:history="1" w:anchor="_Toc413847915">
        <w:r w:rsidRPr="000A538D" w:rsidR="00245F1F">
          <w:rPr>
            <w:rStyle w:val="Hyperlink"/>
            <w:noProof/>
            <w:color w:val="auto"/>
          </w:rPr>
          <w:t>5.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Pr="000A538D" w:rsidR="00245F1F">
          <w:rPr>
            <w:rStyle w:val="Hyperlink"/>
            <w:noProof/>
            <w:color w:val="auto"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_Toc413847915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B12D7A">
          <w:rPr>
            <w:noProof/>
            <w:webHidden/>
          </w:rPr>
          <w:t>4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RDefault="007E704F" w14:paraId="031BA436" w14:textId="409C1CCB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6">
        <w:r w:rsidRPr="000A538D" w:rsidR="00245F1F">
          <w:rPr>
            <w:rStyle w:val="Hyperlink"/>
            <w:noProof/>
            <w:color w:val="auto"/>
          </w:rPr>
          <w:t>LIST OF ATTACHMENTS – Section B</w:t>
        </w:r>
        <w:r w:rsidRPr="000A538D" w:rsidR="00245F1F">
          <w:rPr>
            <w:noProof/>
            <w:webHidden/>
          </w:rPr>
          <w:tab/>
        </w:r>
        <w:r w:rsidR="00297966">
          <w:rPr>
            <w:noProof/>
            <w:webHidden/>
          </w:rPr>
          <w:t>5</w:t>
        </w:r>
      </w:hyperlink>
    </w:p>
    <w:p w:rsidR="00245F1F" w:rsidP="00BC6896" w:rsidRDefault="00245F1F" w14:paraId="56776D67" w14:textId="77777777">
      <w:pPr>
        <w:pStyle w:val="Heading3"/>
      </w:pPr>
      <w:r w:rsidRPr="000A538D">
        <w:fldChar w:fldCharType="end"/>
      </w:r>
    </w:p>
    <w:p w:rsidR="00245F1F" w:rsidRDefault="00245F1F" w14:paraId="3EACF4B1" w14:textId="77777777">
      <w:pPr>
        <w:spacing w:after="200"/>
        <w:ind w:left="0"/>
        <w:rPr>
          <w:b/>
          <w:sz w:val="28"/>
        </w:rPr>
      </w:pPr>
      <w:bookmarkStart w:name="_Toc413847910" w:id="2"/>
      <w:r>
        <w:br w:type="page"/>
      </w:r>
    </w:p>
    <w:p w:rsidRPr="00BC6896" w:rsidR="00B12F51" w:rsidP="00BC6896" w:rsidRDefault="00B12F51" w14:paraId="0C3406D7" w14:textId="77777777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Pr="00BC6896" w:rsidR="00287E2F">
        <w:t xml:space="preserve"> Procedures</w:t>
      </w:r>
      <w:bookmarkEnd w:id="2"/>
    </w:p>
    <w:p w:rsidR="00287E2F" w:rsidP="002955E6" w:rsidRDefault="00287E2F" w14:paraId="42F72618" w14:textId="77777777">
      <w:pPr>
        <w:spacing w:line="240" w:lineRule="auto"/>
      </w:pPr>
    </w:p>
    <w:p w:rsidRPr="00BC6896" w:rsidR="00A75D1C" w:rsidP="002955E6" w:rsidRDefault="009759F3" w14:paraId="1E7D4535" w14:textId="77777777">
      <w:pPr>
        <w:pStyle w:val="Heading4"/>
        <w:spacing w:after="0" w:line="240" w:lineRule="auto"/>
      </w:pPr>
      <w:bookmarkStart w:name="_Toc413847911" w:id="3"/>
      <w:r w:rsidRPr="00BC6896">
        <w:t xml:space="preserve">Respondent </w:t>
      </w:r>
      <w:r w:rsidR="00DE2D45">
        <w:t>Uni</w:t>
      </w:r>
      <w:r w:rsidRPr="00BC6896" w:rsidR="001960AE">
        <w:t xml:space="preserve">verse and </w:t>
      </w:r>
      <w:r w:rsidRPr="00991BF9" w:rsidR="001960AE">
        <w:t>Sampling</w:t>
      </w:r>
      <w:r w:rsidRPr="00BC6896" w:rsidR="001960AE">
        <w:t xml:space="preserve"> Methods </w:t>
      </w:r>
      <w:bookmarkEnd w:id="3"/>
    </w:p>
    <w:p w:rsidR="002955E6" w:rsidP="002955E6" w:rsidRDefault="002955E6" w14:paraId="46D4B79A" w14:textId="77777777">
      <w:pPr>
        <w:spacing w:line="240" w:lineRule="auto"/>
        <w:ind w:left="360"/>
        <w:rPr>
          <w:b/>
          <w:color w:val="0070C0"/>
        </w:rPr>
      </w:pPr>
    </w:p>
    <w:p w:rsidRPr="00963679" w:rsidR="00941A03" w:rsidP="00941A03" w:rsidRDefault="00941A03" w14:paraId="4A4E899A" w14:textId="3301D997">
      <w:pPr>
        <w:spacing w:line="240" w:lineRule="auto"/>
        <w:ind w:left="360"/>
      </w:pPr>
      <w:r w:rsidRPr="00963679">
        <w:t xml:space="preserve">The respondent universe for this </w:t>
      </w:r>
      <w:r w:rsidRPr="00963679" w:rsidR="009E08AF">
        <w:t xml:space="preserve">generic </w:t>
      </w:r>
      <w:r w:rsidRPr="00963679">
        <w:t>information collection</w:t>
      </w:r>
      <w:r w:rsidRPr="00963679" w:rsidR="00FB5413">
        <w:t xml:space="preserve"> </w:t>
      </w:r>
      <w:r w:rsidRPr="00963679" w:rsidR="009E08AF">
        <w:t>(GenIC)</w:t>
      </w:r>
      <w:r w:rsidRPr="00963679">
        <w:t xml:space="preserve"> consists of </w:t>
      </w:r>
      <w:r w:rsidRPr="00963679" w:rsidR="00DF44FE">
        <w:t>57</w:t>
      </w:r>
      <w:r w:rsidRPr="00963679" w:rsidR="00261B42">
        <w:t xml:space="preserve"> </w:t>
      </w:r>
      <w:r w:rsidRPr="00963679">
        <w:t>laboratory directors</w:t>
      </w:r>
      <w:r w:rsidRPr="00963679" w:rsidR="00FB5413">
        <w:t xml:space="preserve"> </w:t>
      </w:r>
      <w:r w:rsidRPr="00963679" w:rsidR="00261B42">
        <w:t>representing</w:t>
      </w:r>
      <w:r w:rsidRPr="00963679" w:rsidR="00DF44FE">
        <w:t xml:space="preserve"> </w:t>
      </w:r>
      <w:r w:rsidRPr="00963679" w:rsidR="00FB5413">
        <w:t>57</w:t>
      </w:r>
      <w:r w:rsidRPr="00963679">
        <w:t xml:space="preserve"> </w:t>
      </w:r>
      <w:r w:rsidRPr="00963679" w:rsidR="005A3E9D">
        <w:t>state</w:t>
      </w:r>
      <w:r w:rsidRPr="00963679" w:rsidR="006754A7">
        <w:t xml:space="preserve">, </w:t>
      </w:r>
      <w:r w:rsidRPr="00963679" w:rsidR="005A3E9D">
        <w:t>local</w:t>
      </w:r>
      <w:r w:rsidRPr="00963679" w:rsidR="006754A7">
        <w:t>, or territorial</w:t>
      </w:r>
      <w:r w:rsidRPr="00963679" w:rsidR="005A3E9D">
        <w:t xml:space="preserve"> </w:t>
      </w:r>
      <w:r w:rsidRPr="00963679">
        <w:t>public health laboratories (PHLs).</w:t>
      </w:r>
      <w:r w:rsidRPr="00963679" w:rsidR="00413A63">
        <w:t xml:space="preserve"> </w:t>
      </w:r>
      <w:r w:rsidRPr="00963679" w:rsidR="00406353">
        <w:t>All</w:t>
      </w:r>
      <w:r w:rsidRPr="00963679">
        <w:t xml:space="preserve"> PHL</w:t>
      </w:r>
      <w:r w:rsidRPr="00963679" w:rsidR="00406353">
        <w:t>s</w:t>
      </w:r>
      <w:r w:rsidRPr="00963679">
        <w:t xml:space="preserve"> </w:t>
      </w:r>
      <w:r w:rsidRPr="00963679" w:rsidR="005A3E9D">
        <w:t xml:space="preserve">to be </w:t>
      </w:r>
      <w:r w:rsidRPr="00963679" w:rsidR="00F63016">
        <w:t xml:space="preserve">surveyed are </w:t>
      </w:r>
      <w:r w:rsidRPr="00963679">
        <w:t xml:space="preserve">affiliated with </w:t>
      </w:r>
      <w:r w:rsidRPr="00963679" w:rsidR="00FC425F">
        <w:t>the Association of Public Health Laboratories (</w:t>
      </w:r>
      <w:r w:rsidRPr="00963679">
        <w:t>APHL</w:t>
      </w:r>
      <w:r w:rsidRPr="00963679" w:rsidR="00FC425F">
        <w:t>)</w:t>
      </w:r>
      <w:r w:rsidRPr="00963679" w:rsidR="00391267">
        <w:t xml:space="preserve"> and have been previously identified by APHL as performing or starting to implement NGS-based testing; this eliminates the inappropriate surveying of laboratory personnel while ensuring representative PHLs are included in this </w:t>
      </w:r>
      <w:r w:rsidRPr="00963679" w:rsidR="002A2B2B">
        <w:t>data</w:t>
      </w:r>
      <w:r w:rsidRPr="00963679" w:rsidR="00391267">
        <w:t xml:space="preserve"> collection </w:t>
      </w:r>
      <w:r w:rsidRPr="00963679" w:rsidR="00391267">
        <w:fldChar w:fldCharType="begin"/>
      </w:r>
      <w:r w:rsidRPr="00963679" w:rsidR="00391267">
        <w:instrText xml:space="preserve"> ADDIN EN.CITE &lt;EndNote&gt;&lt;Cite&gt;&lt;Author&gt;Collins&lt;/Author&gt;&lt;Year&gt;2016&lt;/Year&gt;&lt;RecNum&gt;12&lt;/RecNum&gt;&lt;DisplayText&gt;(1)&lt;/DisplayText&gt;&lt;record&gt;&lt;rec-number&gt;12&lt;/rec-number&gt;&lt;foreign-keys&gt;&lt;key app="EN" db-id="dvzd9ztaot2vsiezzwo5dt09tardswxtz5aw" timestamp="1554905345"&gt;12&lt;/key&gt;&lt;/foreign-keys&gt;&lt;ref-type name="Journal Article"&gt;17&lt;/ref-type&gt;&lt;contributors&gt;&lt;authors&gt;&lt;author&gt;Collins, G. S.&lt;/author&gt;&lt;author&gt;Ogundimu, E. O.&lt;/author&gt;&lt;author&gt;Altman, D. G.&lt;/author&gt;&lt;/authors&gt;&lt;/contributors&gt;&lt;auth-address&gt;Centre for Statistics in Medicine, Nuffield Department of Orthopaedics, Rheumatology and Musculoskeletal Sciences, Botnar Research Centre, University of Oxford, Windmill Road, Oxford, OX3 7LD, U.K.&lt;/auth-address&gt;&lt;titles&gt;&lt;title&gt;Sample size considerations for the external validation of a multivariable prognostic model: a resampling study&lt;/title&gt;&lt;secondary-title&gt;Stat Med&lt;/secondary-title&gt;&lt;/titles&gt;&lt;periodical&gt;&lt;full-title&gt;Stat Med&lt;/full-title&gt;&lt;/periodical&gt;&lt;pages&gt;214-26&lt;/pages&gt;&lt;volume&gt;35&lt;/volume&gt;&lt;number&gt;2&lt;/number&gt;&lt;edition&gt;2015/11/11&lt;/edition&gt;&lt;keywords&gt;&lt;keyword&gt;Biostatistics/methods&lt;/keyword&gt;&lt;keyword&gt;Cardiovascular Diseases/etiology&lt;/keyword&gt;&lt;keyword&gt;Databases, Factual&lt;/keyword&gt;&lt;keyword&gt;Diabetes Mellitus, Type 2/etiology&lt;/keyword&gt;&lt;keyword&gt;Humans&lt;/keyword&gt;&lt;keyword&gt;*Models, Statistical&lt;/keyword&gt;&lt;keyword&gt;Multivariate Analysis&lt;/keyword&gt;&lt;keyword&gt;*Prognosis&lt;/keyword&gt;&lt;keyword&gt;Risk Factors&lt;/keyword&gt;&lt;keyword&gt;*Sample Size&lt;/keyword&gt;&lt;keyword&gt;Validation Studies as Topic&lt;/keyword&gt;&lt;keyword&gt;external validation&lt;/keyword&gt;&lt;keyword&gt;prognostic model&lt;/keyword&gt;&lt;keyword&gt;sample size&lt;/keyword&gt;&lt;/keywords&gt;&lt;dates&gt;&lt;year&gt;2016&lt;/year&gt;&lt;pub-dates&gt;&lt;date&gt;Jan 30&lt;/date&gt;&lt;/pub-dates&gt;&lt;/dates&gt;&lt;isbn&gt;1097-0258 (Electronic)&amp;#xD;0277-6715 (Linking)&lt;/isbn&gt;&lt;accession-num&gt;26553135&lt;/accession-num&gt;&lt;urls&gt;&lt;related-urls&gt;&lt;url&gt;https://www.ncbi.nlm.nih.gov/pubmed/26553135&lt;/url&gt;&lt;/related-urls&gt;&lt;/urls&gt;&lt;custom2&gt;PMC4738418&lt;/custom2&gt;&lt;electronic-resource-num&gt;10.1002/sim.6787&lt;/electronic-resource-num&gt;&lt;/record&gt;&lt;/Cite&gt;&lt;/EndNote&gt;</w:instrText>
      </w:r>
      <w:r w:rsidRPr="00963679" w:rsidR="00391267">
        <w:fldChar w:fldCharType="separate"/>
      </w:r>
      <w:r w:rsidRPr="00963679" w:rsidR="00391267">
        <w:rPr>
          <w:noProof/>
        </w:rPr>
        <w:t>(1)</w:t>
      </w:r>
      <w:r w:rsidRPr="00963679" w:rsidR="00391267">
        <w:fldChar w:fldCharType="end"/>
      </w:r>
      <w:r w:rsidRPr="00963679">
        <w:t xml:space="preserve">. Please see </w:t>
      </w:r>
      <w:r w:rsidRPr="00963679">
        <w:rPr>
          <w:b/>
          <w:bCs/>
        </w:rPr>
        <w:t xml:space="preserve">Attachment </w:t>
      </w:r>
      <w:r w:rsidRPr="00963679" w:rsidR="00F63016">
        <w:rPr>
          <w:b/>
          <w:bCs/>
        </w:rPr>
        <w:t>A</w:t>
      </w:r>
      <w:r w:rsidRPr="00963679" w:rsidR="00F63016">
        <w:t xml:space="preserve"> </w:t>
      </w:r>
      <w:r w:rsidRPr="00963679">
        <w:t>for the list of respondents.</w:t>
      </w:r>
    </w:p>
    <w:p w:rsidR="004D70EE" w:rsidP="002955E6" w:rsidRDefault="004D70EE" w14:paraId="7F67A2F6" w14:textId="154A8BAC">
      <w:pPr>
        <w:spacing w:line="240" w:lineRule="auto"/>
        <w:ind w:left="360"/>
        <w:rPr>
          <w:b/>
          <w:color w:val="0070C0"/>
        </w:rPr>
      </w:pPr>
    </w:p>
    <w:p w:rsidRPr="009759F3" w:rsidR="00287E2F" w:rsidP="002955E6" w:rsidRDefault="00287E2F" w14:paraId="62F2763F" w14:textId="77777777">
      <w:pPr>
        <w:pStyle w:val="Heading4"/>
        <w:spacing w:after="0" w:line="240" w:lineRule="auto"/>
      </w:pPr>
      <w:bookmarkStart w:name="_Toc413847912" w:id="4"/>
      <w:r w:rsidRPr="009759F3">
        <w:t xml:space="preserve">Procedures for </w:t>
      </w:r>
      <w:r w:rsidRPr="009759F3" w:rsidR="009759F3">
        <w:t xml:space="preserve">the </w:t>
      </w:r>
      <w:r w:rsidRPr="009759F3">
        <w:t>Collecti</w:t>
      </w:r>
      <w:r w:rsidRPr="009759F3" w:rsidR="009759F3">
        <w:t>on</w:t>
      </w:r>
      <w:r w:rsidRPr="009759F3">
        <w:t xml:space="preserve"> of Information</w:t>
      </w:r>
      <w:bookmarkEnd w:id="4"/>
      <w:r w:rsidRPr="009759F3" w:rsidR="00F725B5">
        <w:t xml:space="preserve"> </w:t>
      </w:r>
      <w:r w:rsidRPr="009759F3" w:rsidR="009759F3">
        <w:t xml:space="preserve">  </w:t>
      </w:r>
    </w:p>
    <w:p w:rsidR="001D461D" w:rsidP="002955E6" w:rsidRDefault="001D461D" w14:paraId="0AAF2B21" w14:textId="77777777">
      <w:pPr>
        <w:spacing w:line="240" w:lineRule="auto"/>
        <w:ind w:left="360"/>
      </w:pPr>
    </w:p>
    <w:p w:rsidRPr="009011A8" w:rsidR="00E33BBA" w:rsidP="00E33BBA" w:rsidRDefault="00E33BBA" w14:paraId="7D16351A" w14:textId="7A98D375">
      <w:pPr>
        <w:ind w:left="360"/>
      </w:pPr>
      <w:r>
        <w:t>D</w:t>
      </w:r>
      <w:r w:rsidRPr="003163A2">
        <w:t xml:space="preserve">ata will be collected </w:t>
      </w:r>
      <w:r w:rsidRPr="00963679">
        <w:t xml:space="preserve">via </w:t>
      </w:r>
      <w:r w:rsidRPr="00963679" w:rsidR="00346629">
        <w:t>online survey</w:t>
      </w:r>
      <w:r w:rsidRPr="00963679">
        <w:t xml:space="preserve"> and respondents will be recruited through a notification (see </w:t>
      </w:r>
      <w:r w:rsidRPr="00963679" w:rsidR="006754A7">
        <w:rPr>
          <w:b/>
          <w:bCs/>
        </w:rPr>
        <w:t xml:space="preserve">Attachment D – </w:t>
      </w:r>
      <w:r w:rsidRPr="00963679" w:rsidR="00123525">
        <w:rPr>
          <w:b/>
          <w:bCs/>
        </w:rPr>
        <w:t xml:space="preserve">Survey </w:t>
      </w:r>
      <w:r w:rsidRPr="00963679" w:rsidR="00E2585A">
        <w:rPr>
          <w:b/>
          <w:bCs/>
        </w:rPr>
        <w:t>Invitation Email</w:t>
      </w:r>
      <w:r w:rsidRPr="00963679">
        <w:t xml:space="preserve">) </w:t>
      </w:r>
      <w:r>
        <w:t>to the respondent universe</w:t>
      </w:r>
      <w:r w:rsidRPr="009011A8">
        <w:t xml:space="preserve">.  The notification email will explain: </w:t>
      </w:r>
    </w:p>
    <w:p w:rsidR="00E33BBA" w:rsidP="00E33BBA" w:rsidRDefault="00E33BBA" w14:paraId="5800156A" w14:textId="77777777">
      <w:pPr>
        <w:pStyle w:val="ListParagraph"/>
        <w:numPr>
          <w:ilvl w:val="0"/>
          <w:numId w:val="24"/>
        </w:numPr>
        <w:ind w:left="1080"/>
      </w:pPr>
      <w:r w:rsidRPr="009011A8">
        <w:t xml:space="preserve">The purpose of the </w:t>
      </w:r>
      <w:r w:rsidR="006C1771">
        <w:t>data collection</w:t>
      </w:r>
      <w:r w:rsidRPr="009011A8">
        <w:t xml:space="preserve">, and why their participation is important </w:t>
      </w:r>
    </w:p>
    <w:p w:rsidRPr="009011A8" w:rsidR="00E33BBA" w:rsidP="00E33BBA" w:rsidRDefault="00E33BBA" w14:paraId="16425DCD" w14:textId="77777777">
      <w:pPr>
        <w:pStyle w:val="ListParagraph"/>
        <w:numPr>
          <w:ilvl w:val="0"/>
          <w:numId w:val="24"/>
        </w:numPr>
        <w:ind w:left="1080"/>
      </w:pPr>
      <w:r>
        <w:t>Instructions for participating</w:t>
      </w:r>
    </w:p>
    <w:p w:rsidRPr="009011A8" w:rsidR="00E33BBA" w:rsidP="00E33BBA" w:rsidRDefault="00E33BBA" w14:paraId="0B15303B" w14:textId="77777777">
      <w:pPr>
        <w:pStyle w:val="ListParagraph"/>
        <w:numPr>
          <w:ilvl w:val="0"/>
          <w:numId w:val="24"/>
        </w:numPr>
        <w:ind w:left="1080"/>
      </w:pPr>
      <w:r w:rsidRPr="009011A8">
        <w:t xml:space="preserve">Method to safeguard their responses </w:t>
      </w:r>
    </w:p>
    <w:p w:rsidRPr="009011A8" w:rsidR="00E33BBA" w:rsidP="00E33BBA" w:rsidRDefault="00E33BBA" w14:paraId="46E80819" w14:textId="77777777">
      <w:pPr>
        <w:pStyle w:val="ListParagraph"/>
        <w:numPr>
          <w:ilvl w:val="0"/>
          <w:numId w:val="24"/>
        </w:numPr>
        <w:ind w:left="1080"/>
      </w:pPr>
      <w:r w:rsidRPr="009011A8">
        <w:t>That participation is voluntary</w:t>
      </w:r>
    </w:p>
    <w:p w:rsidR="000279A9" w:rsidP="000279A9" w:rsidRDefault="00E33BBA" w14:paraId="4E8B778E" w14:textId="77777777">
      <w:pPr>
        <w:pStyle w:val="ListParagraph"/>
        <w:numPr>
          <w:ilvl w:val="0"/>
          <w:numId w:val="24"/>
        </w:numPr>
        <w:ind w:left="1080"/>
      </w:pPr>
      <w:r w:rsidRPr="009011A8">
        <w:t xml:space="preserve">The expected time to complete the </w:t>
      </w:r>
      <w:r w:rsidR="006C1771">
        <w:t>instrument</w:t>
      </w:r>
      <w:r w:rsidRPr="009011A8">
        <w:t xml:space="preserve"> </w:t>
      </w:r>
    </w:p>
    <w:p w:rsidR="00691031" w:rsidP="000279A9" w:rsidRDefault="00E33BBA" w14:paraId="57765F92" w14:textId="77777777">
      <w:pPr>
        <w:pStyle w:val="ListParagraph"/>
        <w:numPr>
          <w:ilvl w:val="0"/>
          <w:numId w:val="24"/>
        </w:numPr>
        <w:ind w:left="1080"/>
      </w:pPr>
      <w:r w:rsidRPr="009011A8">
        <w:t xml:space="preserve">Contact information for the </w:t>
      </w:r>
      <w:r w:rsidR="006C1771">
        <w:t>project</w:t>
      </w:r>
      <w:r w:rsidRPr="009011A8">
        <w:t xml:space="preserve"> team</w:t>
      </w:r>
    </w:p>
    <w:p w:rsidR="00691031" w:rsidP="002955E6" w:rsidRDefault="00691031" w14:paraId="733D4DD6" w14:textId="77777777">
      <w:pPr>
        <w:spacing w:line="240" w:lineRule="auto"/>
        <w:ind w:left="360"/>
      </w:pPr>
    </w:p>
    <w:p w:rsidRPr="00963679" w:rsidR="007C451C" w:rsidP="002955E6" w:rsidRDefault="00E2585A" w14:paraId="7203C68E" w14:textId="7DAF8D05">
      <w:pPr>
        <w:spacing w:line="240" w:lineRule="auto"/>
        <w:ind w:left="360"/>
      </w:pPr>
      <w:r w:rsidRPr="00963679">
        <w:t>The invitation email, addressed from APHL and CDC</w:t>
      </w:r>
      <w:r w:rsidRPr="00963679" w:rsidR="0046439A">
        <w:t>,</w:t>
      </w:r>
      <w:r w:rsidRPr="00963679">
        <w:t xml:space="preserve"> will be sent to the each PHL director</w:t>
      </w:r>
      <w:r w:rsidRPr="00963679" w:rsidR="0046439A">
        <w:t xml:space="preserve"> and will contain </w:t>
      </w:r>
      <w:r w:rsidRPr="00963679">
        <w:t>a hyperlink</w:t>
      </w:r>
      <w:r w:rsidRPr="00963679" w:rsidR="0046439A">
        <w:t xml:space="preserve"> that is</w:t>
      </w:r>
      <w:r w:rsidRPr="00963679">
        <w:t xml:space="preserve"> unique to </w:t>
      </w:r>
      <w:r w:rsidRPr="00963679" w:rsidR="009E1DD4">
        <w:t xml:space="preserve">their </w:t>
      </w:r>
      <w:r w:rsidRPr="00963679">
        <w:t xml:space="preserve">laboratory. </w:t>
      </w:r>
      <w:r w:rsidRPr="00963679" w:rsidR="0010458A">
        <w:t xml:space="preserve">Each </w:t>
      </w:r>
      <w:r w:rsidRPr="00963679" w:rsidR="002303C1">
        <w:t xml:space="preserve">laboratory </w:t>
      </w:r>
      <w:r w:rsidRPr="00963679" w:rsidR="0010458A">
        <w:t>targeted</w:t>
      </w:r>
      <w:r w:rsidRPr="00963679" w:rsidR="004733B2">
        <w:t xml:space="preserve"> in this GenIC</w:t>
      </w:r>
      <w:r w:rsidRPr="00963679" w:rsidR="0010458A">
        <w:t xml:space="preserve"> has been previously surveyed by APHL and </w:t>
      </w:r>
      <w:r w:rsidRPr="00963679" w:rsidR="00123525">
        <w:t xml:space="preserve">has been </w:t>
      </w:r>
      <w:r w:rsidRPr="00963679" w:rsidR="002303C1">
        <w:t>responsive to communications from APHL</w:t>
      </w:r>
      <w:bookmarkStart w:name="_Hlk34299892" w:id="5"/>
      <w:r w:rsidRPr="00963679" w:rsidR="007853B3">
        <w:t>.</w:t>
      </w:r>
      <w:bookmarkEnd w:id="5"/>
      <w:r w:rsidRPr="00963679" w:rsidR="00123525">
        <w:t xml:space="preserve"> </w:t>
      </w:r>
      <w:r w:rsidRPr="00963679" w:rsidR="007C451C">
        <w:t>One survey will be completed per public health laboratory (n=57) with the PHL Director</w:t>
      </w:r>
      <w:r w:rsidRPr="00963679" w:rsidR="005D723A">
        <w:t xml:space="preserve"> serving</w:t>
      </w:r>
      <w:r w:rsidRPr="00963679" w:rsidR="007C451C">
        <w:t xml:space="preserve"> as the primary respondent. If necessary, the laboratory director may gather information/input from quality managers or </w:t>
      </w:r>
      <w:r w:rsidRPr="00963679" w:rsidR="00713017">
        <w:t xml:space="preserve">other </w:t>
      </w:r>
      <w:r w:rsidRPr="00963679" w:rsidR="007C451C">
        <w:t xml:space="preserve">laboratory personnel. Each laboratory will have six weeks to complete the survey and will only be considered non-responders if the survey has not been submitted by the end of that time period. One week after the invitation email has been sent, a reminder email (see </w:t>
      </w:r>
      <w:r w:rsidRPr="00963679" w:rsidR="007C451C">
        <w:rPr>
          <w:b/>
          <w:bCs/>
        </w:rPr>
        <w:t xml:space="preserve">Attachment E </w:t>
      </w:r>
      <w:r w:rsidRPr="00963679" w:rsidR="007C451C">
        <w:rPr>
          <w:rFonts w:ascii="Cambria" w:hAnsi="Cambria"/>
          <w:b/>
          <w:bCs/>
        </w:rPr>
        <w:t>– Reminder Email</w:t>
      </w:r>
      <w:r w:rsidRPr="00963679" w:rsidR="007C451C">
        <w:t xml:space="preserve">) will be sent to the laboratory directors. One week prior to the closing of the survey period, another reminder email will be sent to the PHL directors (see </w:t>
      </w:r>
      <w:r w:rsidRPr="00963679" w:rsidR="007C451C">
        <w:rPr>
          <w:b/>
          <w:bCs/>
        </w:rPr>
        <w:t xml:space="preserve">Attachment E </w:t>
      </w:r>
      <w:r w:rsidRPr="00963679" w:rsidR="007C451C">
        <w:rPr>
          <w:rFonts w:ascii="Cambria" w:hAnsi="Cambria"/>
          <w:b/>
          <w:bCs/>
        </w:rPr>
        <w:t>– Reminder Email</w:t>
      </w:r>
      <w:r w:rsidRPr="00963679" w:rsidR="007C451C">
        <w:t>). Qualtrics will be used as the survey platform.</w:t>
      </w:r>
    </w:p>
    <w:p w:rsidRPr="00963679" w:rsidR="007C451C" w:rsidP="002955E6" w:rsidRDefault="007C451C" w14:paraId="6D2B823E" w14:textId="77777777">
      <w:pPr>
        <w:spacing w:line="240" w:lineRule="auto"/>
        <w:ind w:left="360"/>
      </w:pPr>
    </w:p>
    <w:p w:rsidRPr="00963679" w:rsidR="00691031" w:rsidP="002955E6" w:rsidRDefault="00DF0903" w14:paraId="0FDE9B7D" w14:textId="3DE268A3">
      <w:pPr>
        <w:spacing w:line="240" w:lineRule="auto"/>
        <w:ind w:left="360"/>
      </w:pPr>
      <w:r w:rsidRPr="00963679">
        <w:t>Once the survey period has closed</w:t>
      </w:r>
      <w:r w:rsidRPr="00963679" w:rsidR="000D6BAB">
        <w:t>,</w:t>
      </w:r>
      <w:r w:rsidRPr="00963679">
        <w:t xml:space="preserve"> de-</w:t>
      </w:r>
      <w:r w:rsidRPr="00963679" w:rsidR="00713017">
        <w:t>identified</w:t>
      </w:r>
      <w:r w:rsidRPr="00963679">
        <w:t>, aggregated results</w:t>
      </w:r>
      <w:r w:rsidRPr="00963679" w:rsidR="00B42719">
        <w:t xml:space="preserve"> f</w:t>
      </w:r>
      <w:r w:rsidRPr="00963679" w:rsidR="00B36FF2">
        <w:t>rom</w:t>
      </w:r>
      <w:r w:rsidRPr="00963679" w:rsidR="00B42719">
        <w:t xml:space="preserve"> all participating PHLs</w:t>
      </w:r>
      <w:r w:rsidRPr="00963679">
        <w:t xml:space="preserve"> will be transferred from</w:t>
      </w:r>
      <w:r w:rsidRPr="00963679" w:rsidR="006B4182">
        <w:t xml:space="preserve"> secured</w:t>
      </w:r>
      <w:r w:rsidRPr="00963679">
        <w:t xml:space="preserve"> APHL</w:t>
      </w:r>
      <w:r w:rsidRPr="00963679" w:rsidR="006B4182">
        <w:t xml:space="preserve"> servers</w:t>
      </w:r>
      <w:r w:rsidRPr="00963679">
        <w:t xml:space="preserve"> to CDC for analysis. </w:t>
      </w:r>
      <w:r w:rsidRPr="00963679" w:rsidR="008158AC">
        <w:t>Survey responses will be analyzed by descriptive and inferential statistics. Linking collected data to existing data sources by non-personal identifiers (i.e. laboratory characteristic</w:t>
      </w:r>
      <w:r w:rsidRPr="00963679" w:rsidR="00830509">
        <w:t>s</w:t>
      </w:r>
      <w:r w:rsidRPr="00963679" w:rsidR="008158AC">
        <w:t xml:space="preserve">) may be used to increase the overall utility of </w:t>
      </w:r>
      <w:r w:rsidRPr="00963679" w:rsidR="00B36FF2">
        <w:t xml:space="preserve">the </w:t>
      </w:r>
      <w:r w:rsidRPr="00963679" w:rsidR="008158AC">
        <w:t xml:space="preserve">data collection. </w:t>
      </w:r>
    </w:p>
    <w:p w:rsidR="004D70EE" w:rsidP="002955E6" w:rsidRDefault="004D70EE" w14:paraId="69FFD377" w14:textId="734F2BB6">
      <w:pPr>
        <w:spacing w:line="240" w:lineRule="auto"/>
        <w:ind w:left="360"/>
      </w:pPr>
    </w:p>
    <w:p w:rsidR="007C451C" w:rsidP="002955E6" w:rsidRDefault="007C451C" w14:paraId="3F4CD583" w14:textId="01A7C7C1">
      <w:pPr>
        <w:spacing w:line="240" w:lineRule="auto"/>
        <w:ind w:left="360"/>
      </w:pPr>
    </w:p>
    <w:p w:rsidRPr="009759F3" w:rsidR="009759F3" w:rsidP="002955E6" w:rsidRDefault="00287E2F" w14:paraId="35AC17B3" w14:textId="77777777">
      <w:pPr>
        <w:pStyle w:val="Heading4"/>
        <w:spacing w:after="0" w:line="240" w:lineRule="auto"/>
      </w:pPr>
      <w:bookmarkStart w:name="_Toc413847913" w:id="6"/>
      <w:r w:rsidRPr="00D26A64">
        <w:t>Methods to Maximize Response Rates</w:t>
      </w:r>
      <w:r w:rsidR="00F725B5">
        <w:t xml:space="preserve"> </w:t>
      </w:r>
      <w:r w:rsidRPr="009759F3" w:rsidR="009759F3">
        <w:t>Deal with Nonresponse</w:t>
      </w:r>
      <w:bookmarkEnd w:id="6"/>
    </w:p>
    <w:p w:rsidR="001D461D" w:rsidP="002955E6" w:rsidRDefault="001D461D" w14:paraId="2615F19D" w14:textId="77777777">
      <w:pPr>
        <w:spacing w:line="240" w:lineRule="auto"/>
        <w:ind w:left="360"/>
        <w:rPr>
          <w:b/>
          <w:color w:val="0070C0"/>
        </w:rPr>
      </w:pPr>
    </w:p>
    <w:p w:rsidRPr="001D2951" w:rsidR="00991BF9" w:rsidP="001D461D" w:rsidRDefault="00991BF9" w14:paraId="32E2E7BB" w14:textId="77777777">
      <w:pPr>
        <w:pStyle w:val="ListParagraph"/>
        <w:spacing w:line="240" w:lineRule="auto"/>
        <w:ind w:left="360"/>
        <w:rPr>
          <w:rFonts w:cs="Times New Roman"/>
        </w:rPr>
      </w:pPr>
      <w:r w:rsidRPr="001D2951">
        <w:rPr>
          <w:rFonts w:cs="Times New Roman"/>
        </w:rPr>
        <w:t xml:space="preserve">Although participation in the </w:t>
      </w:r>
      <w:r w:rsidRPr="001D2951" w:rsidR="00687C5F">
        <w:rPr>
          <w:rFonts w:cs="Times New Roman"/>
        </w:rPr>
        <w:t xml:space="preserve">data collection </w:t>
      </w:r>
      <w:r w:rsidRPr="001D2951">
        <w:rPr>
          <w:rFonts w:cs="Times New Roman"/>
        </w:rPr>
        <w:t xml:space="preserve">is voluntary, the </w:t>
      </w:r>
      <w:r w:rsidRPr="001D2951" w:rsidR="00687C5F">
        <w:rPr>
          <w:rFonts w:cs="Times New Roman"/>
        </w:rPr>
        <w:t xml:space="preserve">project team </w:t>
      </w:r>
      <w:r w:rsidR="006C1771">
        <w:rPr>
          <w:rFonts w:cs="Times New Roman"/>
        </w:rPr>
        <w:t xml:space="preserve">will make every </w:t>
      </w:r>
      <w:r w:rsidRPr="001D2951">
        <w:rPr>
          <w:rFonts w:cs="Times New Roman"/>
        </w:rPr>
        <w:t xml:space="preserve">effort to maximize the rate of response. The </w:t>
      </w:r>
      <w:r w:rsidRPr="001D2951" w:rsidR="00687C5F">
        <w:rPr>
          <w:rFonts w:cs="Times New Roman"/>
        </w:rPr>
        <w:t>data collection instrument</w:t>
      </w:r>
      <w:r w:rsidRPr="001D2951">
        <w:rPr>
          <w:rFonts w:cs="Times New Roman"/>
        </w:rPr>
        <w:t xml:space="preserve"> was designed with </w:t>
      </w:r>
      <w:r w:rsidRPr="001D2951">
        <w:rPr>
          <w:rFonts w:cs="Times New Roman"/>
        </w:rPr>
        <w:lastRenderedPageBreak/>
        <w:t xml:space="preserve">particular focus on streamlining questions to allow for skipping questions based on responses to previous questions, thereby minimizing response burden. </w:t>
      </w:r>
    </w:p>
    <w:p w:rsidRPr="001D2951" w:rsidR="00687C5F" w:rsidP="001D461D" w:rsidRDefault="00687C5F" w14:paraId="45E0C6A7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Pr="00963679" w:rsidR="00991BF9" w:rsidP="001D461D" w:rsidRDefault="001D461D" w14:paraId="5B31C6B7" w14:textId="7E7E4DD3">
      <w:pPr>
        <w:spacing w:line="240" w:lineRule="auto"/>
        <w:ind w:left="360"/>
        <w:rPr>
          <w:rFonts w:cs="Arial"/>
        </w:rPr>
      </w:pPr>
      <w:r w:rsidRPr="00963679">
        <w:t xml:space="preserve">Following the distribution of the invitation to participate in the </w:t>
      </w:r>
      <w:r w:rsidRPr="00963679" w:rsidR="00487E55">
        <w:t>data collection</w:t>
      </w:r>
      <w:r w:rsidRPr="00963679">
        <w:t xml:space="preserve">, </w:t>
      </w:r>
      <w:r w:rsidRPr="00963679" w:rsidR="00687C5F">
        <w:t>(</w:t>
      </w:r>
      <w:r w:rsidRPr="00963679" w:rsidR="00E41178">
        <w:t xml:space="preserve">see </w:t>
      </w:r>
      <w:r w:rsidRPr="00963679" w:rsidR="00E41178">
        <w:rPr>
          <w:b/>
          <w:bCs/>
        </w:rPr>
        <w:t>A</w:t>
      </w:r>
      <w:r w:rsidRPr="00963679">
        <w:rPr>
          <w:b/>
          <w:bCs/>
        </w:rPr>
        <w:t>ttachment</w:t>
      </w:r>
      <w:r w:rsidRPr="00963679" w:rsidR="00E41178">
        <w:rPr>
          <w:b/>
          <w:bCs/>
        </w:rPr>
        <w:t xml:space="preserve"> D</w:t>
      </w:r>
      <w:r w:rsidRPr="00963679" w:rsidR="009E219D">
        <w:rPr>
          <w:b/>
          <w:bCs/>
        </w:rPr>
        <w:t xml:space="preserve"> – </w:t>
      </w:r>
      <w:r w:rsidRPr="00963679" w:rsidR="00B36FF2">
        <w:rPr>
          <w:b/>
          <w:bCs/>
        </w:rPr>
        <w:t xml:space="preserve">Survey </w:t>
      </w:r>
      <w:r w:rsidRPr="00963679" w:rsidR="009E219D">
        <w:rPr>
          <w:b/>
          <w:bCs/>
        </w:rPr>
        <w:t>Invitation Email</w:t>
      </w:r>
      <w:r w:rsidRPr="00963679">
        <w:t>)</w:t>
      </w:r>
      <w:r w:rsidRPr="00963679" w:rsidR="00687C5F">
        <w:t xml:space="preserve">, respondents will have </w:t>
      </w:r>
      <w:r w:rsidRPr="00963679" w:rsidR="00E41178">
        <w:t>30</w:t>
      </w:r>
      <w:r w:rsidRPr="00963679" w:rsidR="00687C5F">
        <w:t xml:space="preserve"> business days to complete the instrument. Those who do not respond within </w:t>
      </w:r>
      <w:r w:rsidRPr="00963679" w:rsidR="00A8543A">
        <w:t>5 and 25</w:t>
      </w:r>
      <w:r w:rsidRPr="00963679" w:rsidR="00687C5F">
        <w:t xml:space="preserve"> business days will receive reminder </w:t>
      </w:r>
      <w:r w:rsidRPr="00963679" w:rsidR="00A8543A">
        <w:t>email</w:t>
      </w:r>
      <w:r w:rsidRPr="00963679" w:rsidR="00E31492">
        <w:t>s</w:t>
      </w:r>
      <w:r w:rsidRPr="00963679" w:rsidR="00A8543A">
        <w:t xml:space="preserve"> </w:t>
      </w:r>
      <w:r w:rsidRPr="00963679">
        <w:t>(</w:t>
      </w:r>
      <w:r w:rsidRPr="00963679" w:rsidR="00A8543A">
        <w:t>see</w:t>
      </w:r>
      <w:r w:rsidRPr="00963679">
        <w:t xml:space="preserve"> </w:t>
      </w:r>
      <w:r w:rsidRPr="00963679">
        <w:rPr>
          <w:b/>
          <w:bCs/>
        </w:rPr>
        <w:t>Attachment</w:t>
      </w:r>
      <w:r w:rsidRPr="00963679" w:rsidR="00A8543A">
        <w:rPr>
          <w:b/>
          <w:bCs/>
        </w:rPr>
        <w:t xml:space="preserve"> E</w:t>
      </w:r>
      <w:r w:rsidRPr="00963679" w:rsidR="005D723A">
        <w:rPr>
          <w:b/>
          <w:bCs/>
        </w:rPr>
        <w:t xml:space="preserve"> </w:t>
      </w:r>
      <w:r w:rsidRPr="00963679" w:rsidR="005D723A">
        <w:rPr>
          <w:rFonts w:ascii="Cambria" w:hAnsi="Cambria"/>
          <w:b/>
          <w:bCs/>
        </w:rPr>
        <w:t>– Reminder Email</w:t>
      </w:r>
      <w:r w:rsidRPr="00963679">
        <w:t>)</w:t>
      </w:r>
      <w:r w:rsidRPr="00963679" w:rsidR="00687C5F">
        <w:t xml:space="preserve"> urging them to complete the </w:t>
      </w:r>
      <w:r w:rsidRPr="00963679" w:rsidR="006C1771">
        <w:t>instrument</w:t>
      </w:r>
      <w:r w:rsidRPr="00963679" w:rsidR="00687C5F">
        <w:t xml:space="preserve">. </w:t>
      </w:r>
      <w:r w:rsidRPr="00963679" w:rsidR="00687C5F">
        <w:rPr>
          <w:rFonts w:cs="Arial"/>
        </w:rPr>
        <w:t xml:space="preserve">Those who do not respond within </w:t>
      </w:r>
      <w:r w:rsidRPr="00963679" w:rsidR="009E219D">
        <w:rPr>
          <w:rFonts w:cs="Arial"/>
        </w:rPr>
        <w:t>30</w:t>
      </w:r>
      <w:r w:rsidRPr="00963679" w:rsidR="00687C5F">
        <w:rPr>
          <w:rFonts w:cs="Arial"/>
        </w:rPr>
        <w:t xml:space="preserve"> business days from the </w:t>
      </w:r>
      <w:r w:rsidRPr="00963679" w:rsidR="009E219D">
        <w:rPr>
          <w:rFonts w:cs="Arial"/>
        </w:rPr>
        <w:t>invitation</w:t>
      </w:r>
      <w:r w:rsidRPr="00963679" w:rsidR="00687C5F">
        <w:rPr>
          <w:rFonts w:cs="Arial"/>
        </w:rPr>
        <w:t xml:space="preserve"> email</w:t>
      </w:r>
      <w:r w:rsidRPr="00963679">
        <w:rPr>
          <w:rFonts w:cs="Arial"/>
        </w:rPr>
        <w:t xml:space="preserve"> </w:t>
      </w:r>
      <w:r w:rsidRPr="00963679" w:rsidR="00687C5F">
        <w:rPr>
          <w:rFonts w:cs="Arial"/>
        </w:rPr>
        <w:t>will be considered non-responders.</w:t>
      </w:r>
    </w:p>
    <w:p w:rsidRPr="00963679" w:rsidR="00A8543A" w:rsidP="001D461D" w:rsidRDefault="00A8543A" w14:paraId="0092F0FA" w14:textId="20336995">
      <w:pPr>
        <w:spacing w:line="240" w:lineRule="auto"/>
        <w:ind w:left="360"/>
        <w:rPr>
          <w:rFonts w:cs="Arial"/>
        </w:rPr>
      </w:pPr>
    </w:p>
    <w:p w:rsidRPr="00963679" w:rsidR="00A8543A" w:rsidP="001D461D" w:rsidRDefault="00CB2199" w14:paraId="6F664CE6" w14:textId="1A35BE2A">
      <w:pPr>
        <w:spacing w:line="240" w:lineRule="auto"/>
        <w:ind w:left="360"/>
        <w:rPr>
          <w:rFonts w:cs="Arial"/>
        </w:rPr>
      </w:pPr>
      <w:r w:rsidRPr="00963679">
        <w:rPr>
          <w:rFonts w:cs="Arial"/>
        </w:rPr>
        <w:t xml:space="preserve">Four </w:t>
      </w:r>
      <w:r w:rsidRPr="00963679" w:rsidR="00A8543A">
        <w:rPr>
          <w:rFonts w:cs="Arial"/>
        </w:rPr>
        <w:t>weeks prior to sending the invitation email, APHL will announce and encourage PHL participation through a promotional campaign</w:t>
      </w:r>
      <w:r w:rsidRPr="00963679" w:rsidR="007162F3">
        <w:rPr>
          <w:rFonts w:cs="Arial"/>
        </w:rPr>
        <w:t xml:space="preserve"> (</w:t>
      </w:r>
      <w:r w:rsidRPr="00963679" w:rsidR="007162F3">
        <w:rPr>
          <w:rFonts w:cs="Arial"/>
          <w:b/>
          <w:bCs/>
        </w:rPr>
        <w:t>Attachment F</w:t>
      </w:r>
      <w:r w:rsidRPr="00963679" w:rsidR="008E777F">
        <w:rPr>
          <w:rFonts w:cs="Arial"/>
          <w:b/>
          <w:bCs/>
        </w:rPr>
        <w:t xml:space="preserve"> </w:t>
      </w:r>
      <w:r w:rsidRPr="00963679" w:rsidR="008E777F">
        <w:rPr>
          <w:rFonts w:cs="Arial"/>
        </w:rPr>
        <w:t xml:space="preserve">for </w:t>
      </w:r>
      <w:r w:rsidRPr="00963679" w:rsidR="00B43680">
        <w:rPr>
          <w:rFonts w:cs="Arial"/>
        </w:rPr>
        <w:t xml:space="preserve">promotional </w:t>
      </w:r>
      <w:r w:rsidRPr="00963679" w:rsidR="008E777F">
        <w:rPr>
          <w:rFonts w:cs="Arial"/>
        </w:rPr>
        <w:t xml:space="preserve">announcement 1 and 2, and </w:t>
      </w:r>
      <w:r w:rsidRPr="00963679" w:rsidR="008E777F">
        <w:rPr>
          <w:rFonts w:cs="Arial"/>
          <w:b/>
          <w:bCs/>
        </w:rPr>
        <w:t xml:space="preserve">Attachment G </w:t>
      </w:r>
      <w:r w:rsidRPr="00963679" w:rsidR="008E777F">
        <w:rPr>
          <w:rFonts w:cs="Arial"/>
        </w:rPr>
        <w:t>for announcement 3 and 4</w:t>
      </w:r>
      <w:r w:rsidRPr="00963679" w:rsidR="007162F3">
        <w:rPr>
          <w:rFonts w:cs="Arial"/>
        </w:rPr>
        <w:t>)</w:t>
      </w:r>
      <w:r w:rsidRPr="00963679" w:rsidR="00A8543A">
        <w:rPr>
          <w:rFonts w:cs="Arial"/>
        </w:rPr>
        <w:t xml:space="preserve"> in its weekly newsletter. These campaign announcements will occur biweekly for </w:t>
      </w:r>
      <w:r w:rsidRPr="00963679">
        <w:rPr>
          <w:rFonts w:cs="Arial"/>
        </w:rPr>
        <w:t xml:space="preserve">six </w:t>
      </w:r>
      <w:r w:rsidRPr="00963679" w:rsidR="00A8543A">
        <w:rPr>
          <w:rFonts w:cs="Arial"/>
        </w:rPr>
        <w:t xml:space="preserve">weeks, see </w:t>
      </w:r>
      <w:r w:rsidRPr="00963679" w:rsidR="00902E52">
        <w:rPr>
          <w:rFonts w:cs="Arial"/>
        </w:rPr>
        <w:t xml:space="preserve">the </w:t>
      </w:r>
      <w:r w:rsidRPr="00963679" w:rsidR="00A8543A">
        <w:rPr>
          <w:rFonts w:cs="Arial"/>
        </w:rPr>
        <w:t>below figure for a graphical representation of the timeline.</w:t>
      </w:r>
      <w:r w:rsidRPr="00963679" w:rsidR="00A86A04">
        <w:rPr>
          <w:rFonts w:cs="Arial"/>
        </w:rPr>
        <w:t xml:space="preserve"> The promotional campaign is primarily informative to raise awareness of the NGS Quality Initiatives products but will also serve as a reminder for solicited laboratories to complete the survey; please note that laboratories </w:t>
      </w:r>
      <w:r w:rsidRPr="00963679" w:rsidR="00D34967">
        <w:rPr>
          <w:rFonts w:cs="Arial"/>
        </w:rPr>
        <w:t xml:space="preserve">other than the 57 included in Attachment A </w:t>
      </w:r>
      <w:r w:rsidRPr="00963679" w:rsidR="00A86A04">
        <w:rPr>
          <w:rFonts w:cs="Arial"/>
        </w:rPr>
        <w:t>will not be able</w:t>
      </w:r>
      <w:r w:rsidRPr="00963679" w:rsidR="00D50985">
        <w:rPr>
          <w:rFonts w:cs="Arial"/>
        </w:rPr>
        <w:t xml:space="preserve"> to</w:t>
      </w:r>
      <w:r w:rsidRPr="00963679" w:rsidR="00A86A04">
        <w:rPr>
          <w:rFonts w:cs="Arial"/>
        </w:rPr>
        <w:t xml:space="preserve"> volunteer to participate in the online survey.</w:t>
      </w:r>
    </w:p>
    <w:p w:rsidR="00A8543A" w:rsidP="001D461D" w:rsidRDefault="00A8543A" w14:paraId="0B6F5524" w14:textId="49220970">
      <w:pPr>
        <w:spacing w:line="240" w:lineRule="auto"/>
        <w:ind w:left="360"/>
        <w:rPr>
          <w:rFonts w:cs="Arial"/>
        </w:rPr>
      </w:pPr>
    </w:p>
    <w:p w:rsidRPr="001D2951" w:rsidR="00A8543A" w:rsidP="00CB2199" w:rsidRDefault="00CB2199" w14:paraId="39D0F2D7" w14:textId="37E5B8F6">
      <w:pPr>
        <w:spacing w:line="240" w:lineRule="auto"/>
        <w:ind w:left="360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F418C49" wp14:editId="02F58F83">
            <wp:extent cx="5323862" cy="1919827"/>
            <wp:effectExtent l="19050" t="19050" r="10160" b="23495"/>
            <wp:docPr id="2" name="Picture 2" descr="A picture containing screenshot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entation1.ti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" t="11913" r="13241" b="36219"/>
                    <a:stretch/>
                  </pic:blipFill>
                  <pic:spPr bwMode="auto">
                    <a:xfrm>
                      <a:off x="0" y="0"/>
                      <a:ext cx="5348878" cy="19288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76E14" w:rsidR="001D461D" w:rsidP="001D461D" w:rsidRDefault="001D461D" w14:paraId="1FA1305A" w14:textId="77777777">
      <w:pPr>
        <w:spacing w:line="240" w:lineRule="auto"/>
        <w:ind w:left="360"/>
        <w:rPr>
          <w:rFonts w:cs="Arial"/>
        </w:rPr>
      </w:pPr>
    </w:p>
    <w:p w:rsidRPr="00176E14" w:rsidR="00691031" w:rsidP="001D461D" w:rsidRDefault="00691031" w14:paraId="05C8A652" w14:textId="77777777">
      <w:pPr>
        <w:spacing w:line="240" w:lineRule="auto"/>
        <w:ind w:left="360"/>
        <w:rPr>
          <w:rFonts w:cs="Arial"/>
        </w:rPr>
      </w:pPr>
    </w:p>
    <w:p w:rsidRPr="009759F3" w:rsidR="00F52BCC" w:rsidP="002955E6" w:rsidRDefault="00287E2F" w14:paraId="7DA13F0C" w14:textId="77777777">
      <w:pPr>
        <w:pStyle w:val="Heading4"/>
        <w:spacing w:after="0" w:line="240" w:lineRule="auto"/>
      </w:pPr>
      <w:bookmarkStart w:name="_Toc413847914" w:id="7"/>
      <w:r w:rsidRPr="005F3FEF">
        <w:t xml:space="preserve">Test of Procedures </w:t>
      </w:r>
      <w:r w:rsidRPr="009759F3" w:rsidR="009759F3">
        <w:t>or Methods to be Undertaken</w:t>
      </w:r>
      <w:bookmarkEnd w:id="7"/>
    </w:p>
    <w:p w:rsidRPr="00963679" w:rsidR="00865573" w:rsidP="002955E6" w:rsidRDefault="00865573" w14:paraId="2DFCB675" w14:textId="77777777">
      <w:pPr>
        <w:spacing w:line="240" w:lineRule="auto"/>
        <w:ind w:left="360"/>
        <w:rPr>
          <w:lang w:eastAsia="zh-CN"/>
        </w:rPr>
      </w:pPr>
    </w:p>
    <w:p w:rsidRPr="00963679" w:rsidR="004D70EE" w:rsidP="002955E6" w:rsidRDefault="00991BF9" w14:paraId="52F06D29" w14:textId="2F3D3538">
      <w:pPr>
        <w:spacing w:line="240" w:lineRule="auto"/>
        <w:ind w:left="360"/>
      </w:pPr>
      <w:r w:rsidRPr="00963679">
        <w:rPr>
          <w:lang w:eastAsia="zh-CN"/>
        </w:rPr>
        <w:t xml:space="preserve">The estimate for burden hours is based on a pilot test of the </w:t>
      </w:r>
      <w:r w:rsidRPr="00963679" w:rsidR="00487E55">
        <w:rPr>
          <w:lang w:eastAsia="zh-CN"/>
        </w:rPr>
        <w:t>data collection</w:t>
      </w:r>
      <w:r w:rsidRPr="00963679">
        <w:rPr>
          <w:lang w:eastAsia="zh-CN"/>
        </w:rPr>
        <w:t xml:space="preserve"> instrument by </w:t>
      </w:r>
      <w:r w:rsidRPr="00963679" w:rsidR="00A8543A">
        <w:rPr>
          <w:lang w:eastAsia="zh-CN"/>
        </w:rPr>
        <w:t>two</w:t>
      </w:r>
      <w:r w:rsidRPr="00963679">
        <w:rPr>
          <w:lang w:eastAsia="zh-CN"/>
        </w:rPr>
        <w:t xml:space="preserve"> public health professionals. In the pilot test, the average time to complete the instrument including time for reviewing instructions, gathering needed information and completing the instrument, was approximately </w:t>
      </w:r>
      <w:r w:rsidRPr="00963679" w:rsidR="00FC425F">
        <w:rPr>
          <w:lang w:eastAsia="zh-CN"/>
        </w:rPr>
        <w:t>40</w:t>
      </w:r>
      <w:r w:rsidRPr="00963679">
        <w:rPr>
          <w:lang w:eastAsia="zh-CN"/>
        </w:rPr>
        <w:t xml:space="preserve"> minutes</w:t>
      </w:r>
      <w:r w:rsidRPr="00963679" w:rsidR="0069580C">
        <w:rPr>
          <w:lang w:eastAsia="zh-CN"/>
        </w:rPr>
        <w:t xml:space="preserve"> (range: </w:t>
      </w:r>
      <w:r w:rsidRPr="00963679" w:rsidR="00FC425F">
        <w:rPr>
          <w:lang w:eastAsia="zh-CN"/>
        </w:rPr>
        <w:t>3</w:t>
      </w:r>
      <w:r w:rsidRPr="00963679" w:rsidR="00CE1F77">
        <w:rPr>
          <w:lang w:eastAsia="zh-CN"/>
        </w:rPr>
        <w:t xml:space="preserve">8 </w:t>
      </w:r>
      <w:r w:rsidRPr="00963679" w:rsidR="0069580C">
        <w:rPr>
          <w:lang w:eastAsia="zh-CN"/>
        </w:rPr>
        <w:t xml:space="preserve">to </w:t>
      </w:r>
      <w:r w:rsidRPr="00963679" w:rsidR="00FC425F">
        <w:rPr>
          <w:lang w:eastAsia="zh-CN"/>
        </w:rPr>
        <w:t>4</w:t>
      </w:r>
      <w:r w:rsidRPr="00963679" w:rsidR="00CE1F77">
        <w:rPr>
          <w:lang w:eastAsia="zh-CN"/>
        </w:rPr>
        <w:t xml:space="preserve">0 </w:t>
      </w:r>
      <w:r w:rsidRPr="00963679" w:rsidR="0069580C">
        <w:rPr>
          <w:lang w:eastAsia="zh-CN"/>
        </w:rPr>
        <w:t>minutes)</w:t>
      </w:r>
      <w:r w:rsidRPr="00963679">
        <w:rPr>
          <w:lang w:eastAsia="zh-CN"/>
        </w:rPr>
        <w:t xml:space="preserve">. For the purposes of estimating burden hours, the upper limit of this range (i.e., </w:t>
      </w:r>
      <w:r w:rsidRPr="00963679" w:rsidR="00FC425F">
        <w:rPr>
          <w:lang w:eastAsia="zh-CN"/>
        </w:rPr>
        <w:t>4</w:t>
      </w:r>
      <w:r w:rsidRPr="00963679" w:rsidR="00CE1F77">
        <w:rPr>
          <w:lang w:eastAsia="zh-CN"/>
        </w:rPr>
        <w:t xml:space="preserve">0 </w:t>
      </w:r>
      <w:r w:rsidRPr="00963679">
        <w:rPr>
          <w:lang w:eastAsia="zh-CN"/>
        </w:rPr>
        <w:t>minutes) is used.</w:t>
      </w:r>
    </w:p>
    <w:p w:rsidR="004D70EE" w:rsidP="004D70EE" w:rsidRDefault="004D70EE" w14:paraId="6C98A2BF" w14:textId="77777777">
      <w:pPr>
        <w:spacing w:line="240" w:lineRule="auto"/>
        <w:ind w:left="360"/>
      </w:pPr>
    </w:p>
    <w:p w:rsidR="004D70EE" w:rsidP="004D70EE" w:rsidRDefault="004D70EE" w14:paraId="36A865F5" w14:textId="77777777">
      <w:pPr>
        <w:spacing w:line="240" w:lineRule="auto"/>
        <w:ind w:left="360"/>
      </w:pPr>
    </w:p>
    <w:p w:rsidR="009759F3" w:rsidP="002955E6" w:rsidRDefault="009759F3" w14:paraId="755C497C" w14:textId="77777777">
      <w:pPr>
        <w:pStyle w:val="Heading4"/>
        <w:spacing w:after="0" w:line="240" w:lineRule="auto"/>
      </w:pPr>
      <w:bookmarkStart w:name="_Toc413847915" w:id="8"/>
      <w:bookmarkStart w:name="_Hlk36025047" w:id="9"/>
      <w:r w:rsidRPr="009759F3">
        <w:t>Individuals Consulted on Statistical Aspects and Individuals Collecting and/or Analyzing Data</w:t>
      </w:r>
      <w:bookmarkEnd w:id="8"/>
    </w:p>
    <w:bookmarkEnd w:id="9"/>
    <w:p w:rsidR="00F27049" w:rsidP="002955E6" w:rsidRDefault="00F27049" w14:paraId="707BFFF2" w14:textId="77777777">
      <w:pPr>
        <w:spacing w:line="240" w:lineRule="auto"/>
        <w:ind w:left="360"/>
        <w:rPr>
          <w:b/>
          <w:color w:val="0070C0"/>
        </w:rPr>
      </w:pPr>
    </w:p>
    <w:p w:rsidRPr="00963679" w:rsidR="007B33A3" w:rsidP="00A8543A" w:rsidRDefault="0047647F" w14:paraId="0B4B6635" w14:textId="65041DDF">
      <w:pPr>
        <w:spacing w:line="240" w:lineRule="auto"/>
        <w:ind w:left="360"/>
      </w:pPr>
      <w:r w:rsidRPr="00963679">
        <w:t>Collette Leaumont</w:t>
      </w:r>
    </w:p>
    <w:p w:rsidRPr="00963679" w:rsidR="0047647F" w:rsidP="00A8543A" w:rsidRDefault="00D55607" w14:paraId="69FACFCC" w14:textId="3C3F3876">
      <w:pPr>
        <w:spacing w:line="240" w:lineRule="auto"/>
        <w:ind w:left="360"/>
      </w:pPr>
      <w:r w:rsidRPr="00963679">
        <w:t>Deputy</w:t>
      </w:r>
      <w:r w:rsidRPr="00963679" w:rsidR="0047647F">
        <w:t xml:space="preserve"> Director for Science</w:t>
      </w:r>
    </w:p>
    <w:p w:rsidRPr="00963679" w:rsidR="0047647F" w:rsidP="00A8543A" w:rsidRDefault="0047647F" w14:paraId="2115A336" w14:textId="2CEACE0A">
      <w:pPr>
        <w:spacing w:line="240" w:lineRule="auto"/>
        <w:ind w:left="360"/>
      </w:pPr>
      <w:r w:rsidRPr="00963679">
        <w:t>Division of Laboratory Services</w:t>
      </w:r>
    </w:p>
    <w:p w:rsidRPr="00963679" w:rsidR="0047647F" w:rsidP="00A8543A" w:rsidRDefault="0047647F" w14:paraId="46EF2F66" w14:textId="0F95D131">
      <w:pPr>
        <w:spacing w:line="240" w:lineRule="auto"/>
        <w:ind w:left="360"/>
      </w:pPr>
      <w:r w:rsidRPr="00963679">
        <w:t>Centers for Disease Control and Prevention</w:t>
      </w:r>
    </w:p>
    <w:p w:rsidRPr="00963679" w:rsidR="0047647F" w:rsidP="00A8543A" w:rsidRDefault="0047647F" w14:paraId="018705C5" w14:textId="55A3CED4">
      <w:pPr>
        <w:spacing w:line="240" w:lineRule="auto"/>
        <w:ind w:left="360"/>
      </w:pPr>
      <w:r w:rsidRPr="00963679">
        <w:t>2400 Century Center, V24-3, Atlanta, GA 30345</w:t>
      </w:r>
    </w:p>
    <w:p w:rsidRPr="00963679" w:rsidR="0047647F" w:rsidP="00A8543A" w:rsidRDefault="0047647F" w14:paraId="08CE594D" w14:textId="3D9F39D2">
      <w:pPr>
        <w:spacing w:line="240" w:lineRule="auto"/>
        <w:ind w:left="360"/>
      </w:pPr>
      <w:r w:rsidRPr="00963679">
        <w:lastRenderedPageBreak/>
        <w:t>Office – 404.639.0838</w:t>
      </w:r>
    </w:p>
    <w:p w:rsidRPr="00963679" w:rsidR="0047647F" w:rsidP="00A8543A" w:rsidRDefault="007E704F" w14:paraId="08427442" w14:textId="1A9936A7">
      <w:pPr>
        <w:spacing w:line="240" w:lineRule="auto"/>
        <w:ind w:left="360"/>
      </w:pPr>
      <w:hyperlink w:history="1" r:id="rId14">
        <w:r w:rsidRPr="00963679" w:rsidR="0047647F">
          <w:rPr>
            <w:rStyle w:val="Hyperlink"/>
            <w:color w:val="auto"/>
          </w:rPr>
          <w:t>chf3@cdc.gov</w:t>
        </w:r>
      </w:hyperlink>
    </w:p>
    <w:p w:rsidRPr="00963679" w:rsidR="0047647F" w:rsidP="00A8543A" w:rsidRDefault="0047647F" w14:paraId="7490E63E" w14:textId="6CA9ED56">
      <w:pPr>
        <w:spacing w:line="240" w:lineRule="auto"/>
        <w:ind w:left="360"/>
      </w:pPr>
    </w:p>
    <w:p w:rsidRPr="00963679" w:rsidR="00B70873" w:rsidP="00A8543A" w:rsidRDefault="00B70873" w14:paraId="61049E62" w14:textId="68850236">
      <w:pPr>
        <w:spacing w:line="240" w:lineRule="auto"/>
        <w:ind w:left="360"/>
      </w:pPr>
      <w:r w:rsidRPr="00963679">
        <w:t>Rebecca Hutchins</w:t>
      </w:r>
    </w:p>
    <w:p w:rsidRPr="00963679" w:rsidR="00B70873" w:rsidP="00A8543A" w:rsidRDefault="00B70873" w14:paraId="51B2C382" w14:textId="6FBAD24E">
      <w:pPr>
        <w:spacing w:line="240" w:lineRule="auto"/>
        <w:ind w:left="360"/>
      </w:pPr>
      <w:r w:rsidRPr="00963679">
        <w:t>Clinical Research Associate</w:t>
      </w:r>
    </w:p>
    <w:p w:rsidRPr="00963679" w:rsidR="00B70873" w:rsidP="00A8543A" w:rsidRDefault="00A77180" w14:paraId="6D22DCA4" w14:textId="1ACD0F3A">
      <w:pPr>
        <w:spacing w:line="240" w:lineRule="auto"/>
        <w:ind w:left="360"/>
      </w:pPr>
      <w:r w:rsidRPr="00963679">
        <w:t>Booz Allen Hamilton</w:t>
      </w:r>
    </w:p>
    <w:p w:rsidRPr="00963679" w:rsidR="00B70873" w:rsidP="00A8543A" w:rsidRDefault="008E6C88" w14:paraId="358B048D" w14:textId="0C910FAA">
      <w:pPr>
        <w:spacing w:line="240" w:lineRule="auto"/>
        <w:ind w:left="360"/>
      </w:pPr>
      <w:r w:rsidRPr="00963679">
        <w:t>1349 West Peachtree Street, NW, Suite 1400, Atlanta, GA 30309</w:t>
      </w:r>
      <w:r w:rsidRPr="00963679" w:rsidDel="008E6C88">
        <w:t xml:space="preserve"> </w:t>
      </w:r>
      <w:r w:rsidRPr="00963679" w:rsidR="00B70873">
        <w:t xml:space="preserve">Office – </w:t>
      </w:r>
      <w:r w:rsidRPr="00963679" w:rsidR="006B216C">
        <w:t>404.909.5748</w:t>
      </w:r>
    </w:p>
    <w:p w:rsidRPr="00963679" w:rsidR="00B70873" w:rsidP="00A8543A" w:rsidRDefault="00B70873" w14:paraId="73D3F5C7" w14:textId="2AA2AD19">
      <w:pPr>
        <w:spacing w:line="240" w:lineRule="auto"/>
        <w:ind w:left="360"/>
      </w:pPr>
      <w:r w:rsidRPr="00963679">
        <w:t>ibo7@cdc.gov</w:t>
      </w:r>
    </w:p>
    <w:p w:rsidRPr="00963679" w:rsidR="00B70873" w:rsidP="00A8543A" w:rsidRDefault="00B70873" w14:paraId="016A1759" w14:textId="77777777">
      <w:pPr>
        <w:spacing w:line="240" w:lineRule="auto"/>
        <w:ind w:left="360"/>
      </w:pPr>
    </w:p>
    <w:p w:rsidRPr="00963679" w:rsidR="0047647F" w:rsidP="00A8543A" w:rsidRDefault="0047647F" w14:paraId="4E02DEFF" w14:textId="093CED59">
      <w:pPr>
        <w:spacing w:line="240" w:lineRule="auto"/>
        <w:ind w:left="360"/>
      </w:pPr>
      <w:r w:rsidRPr="00963679">
        <w:t>Oladayo (Dayo) Omosa</w:t>
      </w:r>
    </w:p>
    <w:p w:rsidRPr="00963679" w:rsidR="0047647F" w:rsidP="00A8543A" w:rsidRDefault="0047647F" w14:paraId="7B326C68" w14:textId="7188E9C0">
      <w:pPr>
        <w:spacing w:line="240" w:lineRule="auto"/>
        <w:ind w:left="360"/>
      </w:pPr>
      <w:r w:rsidRPr="00963679">
        <w:t>Evaluation Fellow</w:t>
      </w:r>
    </w:p>
    <w:p w:rsidRPr="00963679" w:rsidR="0047647F" w:rsidP="0047647F" w:rsidRDefault="0047647F" w14:paraId="56012B97" w14:textId="77777777">
      <w:pPr>
        <w:spacing w:line="240" w:lineRule="auto"/>
        <w:ind w:left="360"/>
      </w:pPr>
      <w:r w:rsidRPr="00963679">
        <w:t>Division of Laboratory Services</w:t>
      </w:r>
    </w:p>
    <w:p w:rsidRPr="00963679" w:rsidR="0047647F" w:rsidP="0047647F" w:rsidRDefault="0047647F" w14:paraId="05F2338C" w14:textId="77777777">
      <w:pPr>
        <w:spacing w:line="240" w:lineRule="auto"/>
        <w:ind w:left="360"/>
      </w:pPr>
      <w:r w:rsidRPr="00963679">
        <w:t>Centers for Disease Control and Prevention</w:t>
      </w:r>
    </w:p>
    <w:p w:rsidRPr="00963679" w:rsidR="0047647F" w:rsidP="0047647F" w:rsidRDefault="0047647F" w14:paraId="37B046B8" w14:textId="77777777">
      <w:pPr>
        <w:spacing w:line="240" w:lineRule="auto"/>
        <w:ind w:left="360"/>
      </w:pPr>
      <w:r w:rsidRPr="00963679">
        <w:t>2400 Century Center, V24-3, Atlanta, GA 30345</w:t>
      </w:r>
    </w:p>
    <w:p w:rsidRPr="00963679" w:rsidR="0047647F" w:rsidP="00A8543A" w:rsidRDefault="0047647F" w14:paraId="3C6FB200" w14:textId="35A25576">
      <w:pPr>
        <w:spacing w:line="240" w:lineRule="auto"/>
        <w:ind w:left="360"/>
      </w:pPr>
      <w:r w:rsidRPr="00963679">
        <w:t>Office – 404.498.2882</w:t>
      </w:r>
    </w:p>
    <w:p w:rsidRPr="00963679" w:rsidR="0047647F" w:rsidP="00A8543A" w:rsidRDefault="007E704F" w14:paraId="2FB56523" w14:textId="7D70A57D">
      <w:pPr>
        <w:spacing w:line="240" w:lineRule="auto"/>
        <w:ind w:left="360"/>
      </w:pPr>
      <w:hyperlink w:history="1" r:id="rId15">
        <w:r w:rsidRPr="00963679" w:rsidR="0047647F">
          <w:rPr>
            <w:rStyle w:val="Hyperlink"/>
            <w:color w:val="auto"/>
          </w:rPr>
          <w:t>prp5@cdc.gov</w:t>
        </w:r>
      </w:hyperlink>
    </w:p>
    <w:p w:rsidRPr="00963679" w:rsidR="00A8543A" w:rsidP="00A8543A" w:rsidRDefault="00A8543A" w14:paraId="3BDB2719" w14:textId="77777777">
      <w:pPr>
        <w:spacing w:line="240" w:lineRule="auto"/>
        <w:ind w:left="360"/>
      </w:pPr>
    </w:p>
    <w:p w:rsidRPr="00963679" w:rsidR="00B70873" w:rsidP="002955E6" w:rsidRDefault="00B70873" w14:paraId="5C776166" w14:textId="77777777">
      <w:pPr>
        <w:spacing w:line="240" w:lineRule="auto"/>
        <w:ind w:left="360"/>
      </w:pPr>
      <w:r w:rsidRPr="00963679">
        <w:t>Diego Arambula</w:t>
      </w:r>
    </w:p>
    <w:p w:rsidRPr="00963679" w:rsidR="00B70873" w:rsidP="002955E6" w:rsidRDefault="00B70873" w14:paraId="3C0B0E87" w14:textId="5AC1FA09">
      <w:pPr>
        <w:spacing w:line="240" w:lineRule="auto"/>
        <w:ind w:left="360"/>
      </w:pPr>
      <w:r w:rsidRPr="00963679">
        <w:t>Biologist</w:t>
      </w:r>
    </w:p>
    <w:p w:rsidRPr="00963679" w:rsidR="00B70873" w:rsidP="00B70873" w:rsidRDefault="00B70873" w14:paraId="6FCB34B5" w14:textId="77777777">
      <w:pPr>
        <w:spacing w:line="240" w:lineRule="auto"/>
        <w:ind w:left="360"/>
      </w:pPr>
      <w:r w:rsidRPr="00963679">
        <w:t>Division of Laboratory Services</w:t>
      </w:r>
    </w:p>
    <w:p w:rsidRPr="00963679" w:rsidR="00B70873" w:rsidP="00B70873" w:rsidRDefault="00B70873" w14:paraId="61B1E589" w14:textId="77777777">
      <w:pPr>
        <w:spacing w:line="240" w:lineRule="auto"/>
        <w:ind w:left="360"/>
      </w:pPr>
      <w:r w:rsidRPr="00963679">
        <w:t>Centers for Disease Control and Prevention</w:t>
      </w:r>
    </w:p>
    <w:p w:rsidRPr="00963679" w:rsidR="00B70873" w:rsidP="00B70873" w:rsidRDefault="00B70873" w14:paraId="00BF9443" w14:textId="77777777">
      <w:pPr>
        <w:spacing w:line="240" w:lineRule="auto"/>
        <w:ind w:left="360"/>
      </w:pPr>
      <w:r w:rsidRPr="00963679">
        <w:t>2400 Century Center, V24-3, Atlanta, GA 30345</w:t>
      </w:r>
    </w:p>
    <w:p w:rsidRPr="00963679" w:rsidR="00B70873" w:rsidP="002955E6" w:rsidRDefault="00B70873" w14:paraId="5EA20B07" w14:textId="1BB6685A">
      <w:pPr>
        <w:spacing w:line="240" w:lineRule="auto"/>
        <w:ind w:left="360"/>
      </w:pPr>
      <w:r w:rsidRPr="00963679">
        <w:t>Office – 404.498.0691</w:t>
      </w:r>
    </w:p>
    <w:p w:rsidRPr="00963679" w:rsidR="00B70873" w:rsidP="002955E6" w:rsidRDefault="007E704F" w14:paraId="3FCE134C" w14:textId="7B806B94">
      <w:pPr>
        <w:spacing w:line="240" w:lineRule="auto"/>
        <w:ind w:left="360"/>
      </w:pPr>
      <w:hyperlink w:history="1" r:id="rId16">
        <w:r w:rsidRPr="00963679" w:rsidR="00BA7560">
          <w:rPr>
            <w:rStyle w:val="Hyperlink"/>
            <w:color w:val="auto"/>
          </w:rPr>
          <w:t>oco4@cdc.gov</w:t>
        </w:r>
      </w:hyperlink>
    </w:p>
    <w:p w:rsidRPr="00963679" w:rsidR="00BA7560" w:rsidP="002955E6" w:rsidRDefault="00BA7560" w14:paraId="2112C97D" w14:textId="77777777">
      <w:pPr>
        <w:spacing w:line="240" w:lineRule="auto"/>
        <w:ind w:left="360"/>
      </w:pPr>
    </w:p>
    <w:p w:rsidRPr="00963679" w:rsidR="00865573" w:rsidP="002955E6" w:rsidRDefault="004260CB" w14:paraId="5635D3A9" w14:textId="2C792BA0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Christin Hanigan</w:t>
      </w:r>
    </w:p>
    <w:p w:rsidRPr="00963679" w:rsidR="004260CB" w:rsidP="004260CB" w:rsidRDefault="004260CB" w14:paraId="36D7E8FE" w14:textId="77777777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Sr. Specialist, Advanced Molecular Detection</w:t>
      </w:r>
    </w:p>
    <w:p w:rsidRPr="00963679" w:rsidR="004260CB" w:rsidP="004260CB" w:rsidRDefault="004260CB" w14:paraId="66D0DAEC" w14:textId="5FC58C73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Association of Public Health Laboratories</w:t>
      </w:r>
    </w:p>
    <w:p w:rsidRPr="00963679" w:rsidR="004260CB" w:rsidP="004260CB" w:rsidRDefault="004260CB" w14:paraId="3F8B6DB8" w14:textId="3DB67920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8515 Georgia Avenue, Suite 700, Silver Spring, MD 20910</w:t>
      </w:r>
    </w:p>
    <w:p w:rsidRPr="00963679" w:rsidR="004733B2" w:rsidP="004733B2" w:rsidRDefault="004733B2" w14:paraId="025A7080" w14:textId="77777777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 xml:space="preserve">Office </w:t>
      </w:r>
      <w:r w:rsidRPr="00963679">
        <w:t>–</w:t>
      </w:r>
      <w:r w:rsidRPr="00963679">
        <w:rPr>
          <w:rStyle w:val="Hyperlink"/>
          <w:color w:val="auto"/>
          <w:u w:val="none"/>
        </w:rPr>
        <w:t xml:space="preserve"> 240.485.2748</w:t>
      </w:r>
    </w:p>
    <w:p w:rsidRPr="00963679" w:rsidR="004260CB" w:rsidP="004260CB" w:rsidRDefault="007E704F" w14:paraId="439CDDA3" w14:textId="22C5B6E5">
      <w:pPr>
        <w:spacing w:line="240" w:lineRule="auto"/>
        <w:ind w:left="360"/>
        <w:rPr>
          <w:rStyle w:val="Hyperlink"/>
          <w:color w:val="auto"/>
          <w:u w:val="none"/>
        </w:rPr>
      </w:pPr>
      <w:hyperlink w:history="1" r:id="rId17">
        <w:r w:rsidRPr="00963679" w:rsidR="004260CB">
          <w:rPr>
            <w:rStyle w:val="Hyperlink"/>
            <w:color w:val="auto"/>
            <w:u w:val="none"/>
          </w:rPr>
          <w:t>Christin.Hanigan@aphl.org</w:t>
        </w:r>
      </w:hyperlink>
    </w:p>
    <w:p w:rsidRPr="00963679" w:rsidR="004260CB" w:rsidP="004260CB" w:rsidRDefault="004260CB" w14:paraId="28083AD5" w14:textId="5EC5C47C">
      <w:pPr>
        <w:spacing w:line="240" w:lineRule="auto"/>
        <w:ind w:left="360"/>
        <w:rPr>
          <w:rStyle w:val="Hyperlink"/>
          <w:color w:val="auto"/>
        </w:rPr>
      </w:pPr>
    </w:p>
    <w:p w:rsidRPr="00963679" w:rsidR="004260CB" w:rsidP="004260CB" w:rsidRDefault="004260CB" w14:paraId="2C394C7E" w14:textId="7484E734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Sudaba Parnian</w:t>
      </w:r>
    </w:p>
    <w:p w:rsidRPr="00963679" w:rsidR="004260CB" w:rsidP="004260CB" w:rsidRDefault="004260CB" w14:paraId="2D384D59" w14:textId="77777777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Sr. Specialist, Monitoring and Evaluation</w:t>
      </w:r>
    </w:p>
    <w:p w:rsidRPr="00963679" w:rsidR="004260CB" w:rsidP="004260CB" w:rsidRDefault="004260CB" w14:paraId="24A0BF53" w14:textId="77777777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Association of Public Health Laboratories</w:t>
      </w:r>
    </w:p>
    <w:p w:rsidRPr="00963679" w:rsidR="004260CB" w:rsidP="004260CB" w:rsidRDefault="004260CB" w14:paraId="640FB158" w14:textId="48A8E2F8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>8515 Georgia Avenue, Suite 700, Silver Spring, MD 20910</w:t>
      </w:r>
    </w:p>
    <w:p w:rsidRPr="00963679" w:rsidR="004260CB" w:rsidP="004260CB" w:rsidRDefault="004260CB" w14:paraId="1218261A" w14:textId="77777777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 xml:space="preserve">Office - 240.485.3854 </w:t>
      </w:r>
    </w:p>
    <w:p w:rsidRPr="00963679" w:rsidR="004260CB" w:rsidP="004260CB" w:rsidRDefault="004260CB" w14:paraId="437A7D66" w14:textId="4D29969C">
      <w:pPr>
        <w:spacing w:line="240" w:lineRule="auto"/>
        <w:ind w:left="360"/>
        <w:rPr>
          <w:rStyle w:val="Hyperlink"/>
          <w:color w:val="auto"/>
          <w:u w:val="none"/>
        </w:rPr>
      </w:pPr>
      <w:r w:rsidRPr="00963679">
        <w:rPr>
          <w:rStyle w:val="Hyperlink"/>
          <w:color w:val="auto"/>
          <w:u w:val="none"/>
        </w:rPr>
        <w:t xml:space="preserve">sudaba.parnian@aphl.org </w:t>
      </w:r>
    </w:p>
    <w:p w:rsidRPr="004260CB" w:rsidR="004260CB" w:rsidP="004260CB" w:rsidRDefault="004260CB" w14:paraId="6D646C83" w14:textId="77777777">
      <w:pPr>
        <w:spacing w:line="240" w:lineRule="auto"/>
        <w:ind w:left="360"/>
        <w:rPr>
          <w:rStyle w:val="Hyperlink"/>
          <w:color w:val="0070C0"/>
        </w:rPr>
      </w:pPr>
    </w:p>
    <w:p w:rsidRPr="004D70EE" w:rsidR="004260CB" w:rsidP="004260CB" w:rsidRDefault="004260CB" w14:paraId="2D9837AE" w14:textId="77777777">
      <w:pPr>
        <w:spacing w:line="240" w:lineRule="auto"/>
        <w:ind w:left="360"/>
        <w:rPr>
          <w:rStyle w:val="Hyperlink"/>
          <w:color w:val="0070C0"/>
        </w:rPr>
      </w:pPr>
    </w:p>
    <w:p w:rsidRPr="00865573" w:rsidR="00865573" w:rsidP="002955E6" w:rsidRDefault="00865573" w14:paraId="6A05E1DE" w14:textId="77777777">
      <w:pPr>
        <w:spacing w:line="240" w:lineRule="auto"/>
        <w:ind w:left="360"/>
        <w:rPr>
          <w:rStyle w:val="Hyperlink"/>
          <w:b/>
          <w:color w:val="0070C0"/>
        </w:rPr>
      </w:pPr>
    </w:p>
    <w:p w:rsidRPr="00BC6896" w:rsidR="00A36419" w:rsidP="002955E6" w:rsidRDefault="00A36419" w14:paraId="7EB6FBEE" w14:textId="77777777">
      <w:pPr>
        <w:pStyle w:val="Heading3"/>
        <w:spacing w:line="240" w:lineRule="auto"/>
      </w:pPr>
      <w:bookmarkStart w:name="_Toc413847916" w:id="10"/>
      <w:r w:rsidRPr="00BC6896">
        <w:t>LIST OF ATTACHMENTS</w:t>
      </w:r>
      <w:r w:rsidRPr="00BC6896" w:rsidR="00E24C20">
        <w:t xml:space="preserve"> – Section B</w:t>
      </w:r>
      <w:bookmarkEnd w:id="10"/>
    </w:p>
    <w:p w:rsidR="00400C2C" w:rsidP="002955E6" w:rsidRDefault="00400C2C" w14:paraId="4CEBC415" w14:textId="437C0941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:rsidRPr="00963679" w:rsidR="009509DB" w:rsidP="009509DB" w:rsidRDefault="009509DB" w14:paraId="111EA136" w14:textId="77777777">
      <w:pPr>
        <w:pStyle w:val="ListParagraph"/>
        <w:numPr>
          <w:ilvl w:val="0"/>
          <w:numId w:val="39"/>
        </w:numPr>
        <w:spacing w:line="240" w:lineRule="auto"/>
        <w:ind w:left="720"/>
        <w:rPr>
          <w:b/>
        </w:rPr>
      </w:pPr>
      <w:r w:rsidRPr="00963679">
        <w:rPr>
          <w:b/>
        </w:rPr>
        <w:t xml:space="preserve">Attachment A </w:t>
      </w:r>
      <w:r w:rsidRPr="00963679">
        <w:rPr>
          <w:rFonts w:ascii="Cambria" w:hAnsi="Cambria"/>
          <w:b/>
        </w:rPr>
        <w:t xml:space="preserve">– </w:t>
      </w:r>
      <w:r w:rsidRPr="00963679">
        <w:rPr>
          <w:b/>
        </w:rPr>
        <w:t xml:space="preserve">List of Public Health Laboratories Associated with APHL </w:t>
      </w:r>
    </w:p>
    <w:p w:rsidRPr="00963679" w:rsidR="00865573" w:rsidP="009509DB" w:rsidRDefault="00400C2C" w14:paraId="0BCE45C1" w14:textId="7F775270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b/>
        </w:rPr>
      </w:pPr>
      <w:r w:rsidRPr="00963679">
        <w:rPr>
          <w:rFonts w:ascii="Cambria" w:hAnsi="Cambria"/>
          <w:b/>
        </w:rPr>
        <w:t>Attachment D</w:t>
      </w:r>
      <w:r w:rsidRPr="00963679" w:rsidR="00B8656C">
        <w:rPr>
          <w:rFonts w:ascii="Cambria" w:hAnsi="Cambria"/>
          <w:b/>
        </w:rPr>
        <w:t xml:space="preserve"> </w:t>
      </w:r>
      <w:r w:rsidRPr="00963679">
        <w:rPr>
          <w:rFonts w:ascii="Cambria" w:hAnsi="Cambria"/>
          <w:b/>
        </w:rPr>
        <w:t>–</w:t>
      </w:r>
      <w:r w:rsidRPr="00963679" w:rsidR="00B8656C">
        <w:rPr>
          <w:rFonts w:ascii="Cambria" w:hAnsi="Cambria"/>
          <w:b/>
        </w:rPr>
        <w:t xml:space="preserve"> </w:t>
      </w:r>
      <w:r w:rsidRPr="00963679" w:rsidR="00771B52">
        <w:rPr>
          <w:rFonts w:ascii="Cambria" w:hAnsi="Cambria"/>
          <w:b/>
        </w:rPr>
        <w:t xml:space="preserve">Survey </w:t>
      </w:r>
      <w:r w:rsidRPr="00963679" w:rsidR="00E2585A">
        <w:rPr>
          <w:rFonts w:ascii="Cambria" w:hAnsi="Cambria"/>
          <w:b/>
        </w:rPr>
        <w:t>Invitation Email</w:t>
      </w:r>
      <w:r w:rsidRPr="00963679">
        <w:rPr>
          <w:rFonts w:ascii="Cambria" w:hAnsi="Cambria"/>
          <w:b/>
        </w:rPr>
        <w:t xml:space="preserve"> </w:t>
      </w:r>
    </w:p>
    <w:p w:rsidRPr="00963679" w:rsidR="00865573" w:rsidP="009509DB" w:rsidRDefault="00400C2C" w14:paraId="0356B4B7" w14:textId="5B783EB4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b/>
        </w:rPr>
      </w:pPr>
      <w:r w:rsidRPr="00963679">
        <w:rPr>
          <w:rFonts w:ascii="Cambria" w:hAnsi="Cambria"/>
          <w:b/>
        </w:rPr>
        <w:t>Attachment E</w:t>
      </w:r>
      <w:r w:rsidRPr="00963679" w:rsidR="00D24BCF">
        <w:rPr>
          <w:rFonts w:ascii="Cambria" w:hAnsi="Cambria"/>
          <w:b/>
        </w:rPr>
        <w:t xml:space="preserve"> –</w:t>
      </w:r>
      <w:r w:rsidRPr="00963679" w:rsidR="00865573">
        <w:rPr>
          <w:rFonts w:ascii="Cambria" w:hAnsi="Cambria"/>
          <w:b/>
        </w:rPr>
        <w:t xml:space="preserve"> </w:t>
      </w:r>
      <w:r w:rsidRPr="00963679" w:rsidR="00771B52">
        <w:rPr>
          <w:rFonts w:ascii="Cambria" w:hAnsi="Cambria"/>
          <w:b/>
        </w:rPr>
        <w:t xml:space="preserve">Survey </w:t>
      </w:r>
      <w:r w:rsidRPr="00963679" w:rsidR="0039140D">
        <w:rPr>
          <w:rFonts w:ascii="Cambria" w:hAnsi="Cambria"/>
          <w:b/>
        </w:rPr>
        <w:t>Reminder Email</w:t>
      </w:r>
    </w:p>
    <w:p w:rsidRPr="00963679" w:rsidR="007D724D" w:rsidP="009509DB" w:rsidRDefault="007D724D" w14:paraId="49F6570F" w14:textId="73D48C33">
      <w:pPr>
        <w:pStyle w:val="ListParagraph"/>
        <w:numPr>
          <w:ilvl w:val="0"/>
          <w:numId w:val="41"/>
        </w:numPr>
        <w:spacing w:line="240" w:lineRule="auto"/>
        <w:rPr>
          <w:b/>
        </w:rPr>
      </w:pPr>
      <w:bookmarkStart w:name="_Hlk32868524" w:id="11"/>
      <w:r w:rsidRPr="00963679">
        <w:rPr>
          <w:b/>
        </w:rPr>
        <w:t xml:space="preserve">Attachment </w:t>
      </w:r>
      <w:r w:rsidRPr="00963679" w:rsidR="00C75FF8">
        <w:rPr>
          <w:b/>
        </w:rPr>
        <w:t>F</w:t>
      </w:r>
      <w:r w:rsidRPr="00963679">
        <w:rPr>
          <w:b/>
        </w:rPr>
        <w:t xml:space="preserve"> – </w:t>
      </w:r>
      <w:bookmarkStart w:name="_Hlk34040170" w:id="12"/>
      <w:r w:rsidRPr="00963679">
        <w:rPr>
          <w:b/>
        </w:rPr>
        <w:t xml:space="preserve">APHL Survey </w:t>
      </w:r>
      <w:r w:rsidRPr="00963679" w:rsidR="008C7D0E">
        <w:rPr>
          <w:b/>
        </w:rPr>
        <w:t xml:space="preserve">Promotional Campaign </w:t>
      </w:r>
      <w:r w:rsidRPr="00963679">
        <w:rPr>
          <w:b/>
        </w:rPr>
        <w:t xml:space="preserve">Announcement </w:t>
      </w:r>
      <w:bookmarkEnd w:id="12"/>
    </w:p>
    <w:p w:rsidRPr="00A60F6B" w:rsidR="00400C2C" w:rsidP="00A60F6B" w:rsidRDefault="008E777F" w14:paraId="5A0E6E6B" w14:textId="43796880">
      <w:pPr>
        <w:pStyle w:val="ListParagraph"/>
        <w:numPr>
          <w:ilvl w:val="0"/>
          <w:numId w:val="41"/>
        </w:numPr>
        <w:spacing w:line="240" w:lineRule="auto"/>
        <w:rPr>
          <w:b/>
        </w:rPr>
      </w:pPr>
      <w:r w:rsidRPr="00963679">
        <w:rPr>
          <w:b/>
        </w:rPr>
        <w:t>Attachment G – APHL Survey Promotional Campaign Announcement</w:t>
      </w:r>
      <w:r w:rsidRPr="00963679" w:rsidR="00553CCD">
        <w:rPr>
          <w:b/>
        </w:rPr>
        <w:t xml:space="preserve"> Post-launch</w:t>
      </w:r>
      <w:r w:rsidRPr="00963679">
        <w:rPr>
          <w:b/>
        </w:rPr>
        <w:t xml:space="preserve"> </w:t>
      </w:r>
      <w:bookmarkEnd w:id="11"/>
    </w:p>
    <w:p w:rsidR="00FB5413" w:rsidP="002955E6" w:rsidRDefault="00FB5413" w14:paraId="63B2DA93" w14:textId="77777777">
      <w:pPr>
        <w:spacing w:line="240" w:lineRule="auto"/>
        <w:ind w:left="0" w:firstLine="360"/>
        <w:rPr>
          <w:rFonts w:ascii="Cambria" w:hAnsi="Cambria"/>
          <w:color w:val="0070C0"/>
        </w:rPr>
      </w:pPr>
    </w:p>
    <w:p w:rsidR="00274B47" w:rsidP="00274B47" w:rsidRDefault="00274B47" w14:paraId="5E94909C" w14:textId="23AAC4CD">
      <w:pPr>
        <w:pStyle w:val="Heading3"/>
      </w:pPr>
      <w:bookmarkStart w:name="_Toc427752833" w:id="13"/>
      <w:r w:rsidRPr="00CC7188">
        <w:lastRenderedPageBreak/>
        <w:t xml:space="preserve">REFERENCE LIST </w:t>
      </w:r>
      <w:bookmarkEnd w:id="13"/>
    </w:p>
    <w:p w:rsidRPr="00A60F6B" w:rsidR="00A60F6B" w:rsidP="00A60F6B" w:rsidRDefault="00A60F6B" w14:paraId="694CBF31" w14:textId="77777777"/>
    <w:p w:rsidRPr="004733B2" w:rsidR="004733B2" w:rsidP="004733B2" w:rsidRDefault="00FB5413" w14:paraId="1C99286F" w14:textId="77777777">
      <w:pPr>
        <w:pStyle w:val="EndNoteBibliography"/>
        <w:ind w:hanging="720"/>
      </w:pPr>
      <w:r>
        <w:rPr>
          <w:color w:val="0070C0"/>
        </w:rPr>
        <w:fldChar w:fldCharType="begin"/>
      </w:r>
      <w:r>
        <w:rPr>
          <w:color w:val="0070C0"/>
        </w:rPr>
        <w:instrText xml:space="preserve"> ADDIN EN.REFLIST </w:instrText>
      </w:r>
      <w:r>
        <w:rPr>
          <w:color w:val="0070C0"/>
        </w:rPr>
        <w:fldChar w:fldCharType="separate"/>
      </w:r>
      <w:r w:rsidRPr="004733B2" w:rsidR="004733B2">
        <w:t>1.</w:t>
      </w:r>
      <w:r w:rsidRPr="004733B2" w:rsidR="004733B2">
        <w:tab/>
        <w:t>Collins GS, Ogundimu EO, Altman DG.</w:t>
      </w:r>
      <w:r w:rsidRPr="004733B2" w:rsidR="004733B2">
        <w:rPr>
          <w:b/>
        </w:rPr>
        <w:t xml:space="preserve"> </w:t>
      </w:r>
      <w:r w:rsidRPr="004733B2" w:rsidR="004733B2">
        <w:t>2016. Sample size considerations for the external validation of a multivariable prognostic model: a resampling study. Stat Med 35:214-26.</w:t>
      </w:r>
    </w:p>
    <w:p w:rsidR="00865573" w:rsidP="004C7296" w:rsidRDefault="00FB5413" w14:paraId="76AEE1B3" w14:textId="3A3EF711">
      <w:pPr>
        <w:spacing w:line="240" w:lineRule="auto"/>
        <w:ind w:left="0"/>
        <w:rPr>
          <w:rFonts w:ascii="Cambria" w:hAnsi="Cambria"/>
          <w:color w:val="0070C0"/>
        </w:rPr>
      </w:pPr>
      <w:r>
        <w:rPr>
          <w:rFonts w:ascii="Cambria" w:hAnsi="Cambria"/>
          <w:color w:val="0070C0"/>
        </w:rPr>
        <w:fldChar w:fldCharType="end"/>
      </w:r>
    </w:p>
    <w:sectPr w:rsidR="00865573" w:rsidSect="003E5D5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D1C6F" w14:textId="77777777" w:rsidR="007E704F" w:rsidRDefault="007E704F" w:rsidP="00BC6896">
      <w:r>
        <w:separator/>
      </w:r>
    </w:p>
    <w:p w14:paraId="4D388EFD" w14:textId="77777777" w:rsidR="007E704F" w:rsidRDefault="007E704F" w:rsidP="00BC6896"/>
  </w:endnote>
  <w:endnote w:type="continuationSeparator" w:id="0">
    <w:p w14:paraId="58629C96" w14:textId="77777777" w:rsidR="007E704F" w:rsidRDefault="007E704F" w:rsidP="00BC6896">
      <w:r>
        <w:continuationSeparator/>
      </w:r>
    </w:p>
    <w:p w14:paraId="5A1E104A" w14:textId="77777777" w:rsidR="007E704F" w:rsidRDefault="007E704F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CEA4C3" w14:textId="77777777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7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7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3B0B9" w14:textId="77777777" w:rsidR="006075F6" w:rsidRDefault="006075F6" w:rsidP="00BC6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0D638" w14:textId="77777777" w:rsidR="007E704F" w:rsidRDefault="007E704F" w:rsidP="00BC6896">
      <w:r>
        <w:separator/>
      </w:r>
    </w:p>
    <w:p w14:paraId="7446FFC7" w14:textId="77777777" w:rsidR="007E704F" w:rsidRDefault="007E704F" w:rsidP="00BC6896"/>
  </w:footnote>
  <w:footnote w:type="continuationSeparator" w:id="0">
    <w:p w14:paraId="49041BAD" w14:textId="77777777" w:rsidR="007E704F" w:rsidRDefault="007E704F" w:rsidP="00BC6896">
      <w:r>
        <w:continuationSeparator/>
      </w:r>
    </w:p>
    <w:p w14:paraId="3DA6A9FE" w14:textId="77777777" w:rsidR="007E704F" w:rsidRDefault="007E704F" w:rsidP="00BC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2F699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13AB40C6" w14:textId="77777777" w:rsidR="006075F6" w:rsidRDefault="006075F6" w:rsidP="00BC6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22BD"/>
    <w:multiLevelType w:val="hybridMultilevel"/>
    <w:tmpl w:val="7BA05006"/>
    <w:lvl w:ilvl="0" w:tplc="F13E8AF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9413C"/>
    <w:multiLevelType w:val="hybridMultilevel"/>
    <w:tmpl w:val="DE40EA1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 w15:restartNumberingAfterBreak="0">
    <w:nsid w:val="51B9739A"/>
    <w:multiLevelType w:val="hybridMultilevel"/>
    <w:tmpl w:val="788E4518"/>
    <w:lvl w:ilvl="0" w:tplc="B1CA02B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81BE2"/>
    <w:multiLevelType w:val="hybridMultilevel"/>
    <w:tmpl w:val="DC2AE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8"/>
  </w:num>
  <w:num w:numId="4">
    <w:abstractNumId w:val="12"/>
  </w:num>
  <w:num w:numId="5">
    <w:abstractNumId w:val="27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31"/>
  </w:num>
  <w:num w:numId="11">
    <w:abstractNumId w:val="2"/>
  </w:num>
  <w:num w:numId="12">
    <w:abstractNumId w:val="36"/>
  </w:num>
  <w:num w:numId="13">
    <w:abstractNumId w:val="6"/>
  </w:num>
  <w:num w:numId="14">
    <w:abstractNumId w:val="3"/>
  </w:num>
  <w:num w:numId="15">
    <w:abstractNumId w:val="34"/>
  </w:num>
  <w:num w:numId="16">
    <w:abstractNumId w:val="40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39"/>
  </w:num>
  <w:num w:numId="22">
    <w:abstractNumId w:val="32"/>
  </w:num>
  <w:num w:numId="23">
    <w:abstractNumId w:val="13"/>
  </w:num>
  <w:num w:numId="24">
    <w:abstractNumId w:val="33"/>
  </w:num>
  <w:num w:numId="25">
    <w:abstractNumId w:val="35"/>
  </w:num>
  <w:num w:numId="26">
    <w:abstractNumId w:val="21"/>
  </w:num>
  <w:num w:numId="27">
    <w:abstractNumId w:val="25"/>
  </w:num>
  <w:num w:numId="28">
    <w:abstractNumId w:val="22"/>
  </w:num>
  <w:num w:numId="29">
    <w:abstractNumId w:val="29"/>
  </w:num>
  <w:num w:numId="30">
    <w:abstractNumId w:val="24"/>
  </w:num>
  <w:num w:numId="31">
    <w:abstractNumId w:val="11"/>
  </w:num>
  <w:num w:numId="32">
    <w:abstractNumId w:val="26"/>
  </w:num>
  <w:num w:numId="33">
    <w:abstractNumId w:val="19"/>
  </w:num>
  <w:num w:numId="34">
    <w:abstractNumId w:val="16"/>
  </w:num>
  <w:num w:numId="35">
    <w:abstractNumId w:val="30"/>
  </w:num>
  <w:num w:numId="36">
    <w:abstractNumId w:val="23"/>
  </w:num>
  <w:num w:numId="37">
    <w:abstractNumId w:val="8"/>
  </w:num>
  <w:num w:numId="38">
    <w:abstractNumId w:val="37"/>
  </w:num>
  <w:num w:numId="39">
    <w:abstractNumId w:val="20"/>
  </w:num>
  <w:num w:numId="40">
    <w:abstractNumId w:val="1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linical Microbio Reviews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zd9ztaot2vsiezzwo5dt09tardswxtz5aw&quot;&gt;My EndNote Library&lt;record-ids&gt;&lt;item&gt;12&lt;/item&gt;&lt;/record-ids&gt;&lt;/item&gt;&lt;/Libraries&gt;"/>
  </w:docVars>
  <w:rsids>
    <w:rsidRoot w:val="00B12D7A"/>
    <w:rsid w:val="000012BC"/>
    <w:rsid w:val="0000767E"/>
    <w:rsid w:val="00010420"/>
    <w:rsid w:val="00011A98"/>
    <w:rsid w:val="00011F8D"/>
    <w:rsid w:val="000130B4"/>
    <w:rsid w:val="00014361"/>
    <w:rsid w:val="000279A9"/>
    <w:rsid w:val="000474FB"/>
    <w:rsid w:val="00052A34"/>
    <w:rsid w:val="00053A92"/>
    <w:rsid w:val="000557D0"/>
    <w:rsid w:val="0005605E"/>
    <w:rsid w:val="00057F36"/>
    <w:rsid w:val="00074AE7"/>
    <w:rsid w:val="00075DEB"/>
    <w:rsid w:val="000A1F30"/>
    <w:rsid w:val="000A3FCC"/>
    <w:rsid w:val="000A538D"/>
    <w:rsid w:val="000D1E4C"/>
    <w:rsid w:val="000D483C"/>
    <w:rsid w:val="000D6BAB"/>
    <w:rsid w:val="000E6577"/>
    <w:rsid w:val="000E7A19"/>
    <w:rsid w:val="000F36A3"/>
    <w:rsid w:val="001030FC"/>
    <w:rsid w:val="0010458A"/>
    <w:rsid w:val="00104A1B"/>
    <w:rsid w:val="0010538B"/>
    <w:rsid w:val="001177DD"/>
    <w:rsid w:val="00123525"/>
    <w:rsid w:val="001308EB"/>
    <w:rsid w:val="00130EDD"/>
    <w:rsid w:val="001412D4"/>
    <w:rsid w:val="00144C0A"/>
    <w:rsid w:val="00144F64"/>
    <w:rsid w:val="00151567"/>
    <w:rsid w:val="0015264D"/>
    <w:rsid w:val="00163E17"/>
    <w:rsid w:val="00166F9E"/>
    <w:rsid w:val="00175844"/>
    <w:rsid w:val="00176E14"/>
    <w:rsid w:val="00187D5A"/>
    <w:rsid w:val="001960AE"/>
    <w:rsid w:val="001972D7"/>
    <w:rsid w:val="001A28F6"/>
    <w:rsid w:val="001A7D0E"/>
    <w:rsid w:val="001B2831"/>
    <w:rsid w:val="001B47EE"/>
    <w:rsid w:val="001C0493"/>
    <w:rsid w:val="001C28AD"/>
    <w:rsid w:val="001D2951"/>
    <w:rsid w:val="001D461D"/>
    <w:rsid w:val="001D7FCB"/>
    <w:rsid w:val="001E2B99"/>
    <w:rsid w:val="001E69B6"/>
    <w:rsid w:val="001F4DBB"/>
    <w:rsid w:val="001F501E"/>
    <w:rsid w:val="001F7C89"/>
    <w:rsid w:val="00200BD9"/>
    <w:rsid w:val="00202834"/>
    <w:rsid w:val="0020312D"/>
    <w:rsid w:val="0020495F"/>
    <w:rsid w:val="00206E33"/>
    <w:rsid w:val="00210519"/>
    <w:rsid w:val="002129F9"/>
    <w:rsid w:val="00220C11"/>
    <w:rsid w:val="002303C1"/>
    <w:rsid w:val="00230CEF"/>
    <w:rsid w:val="00237CA1"/>
    <w:rsid w:val="00241B17"/>
    <w:rsid w:val="00241C81"/>
    <w:rsid w:val="00245F1F"/>
    <w:rsid w:val="00252BF8"/>
    <w:rsid w:val="00256392"/>
    <w:rsid w:val="00257A1C"/>
    <w:rsid w:val="00261B42"/>
    <w:rsid w:val="002655FD"/>
    <w:rsid w:val="002721C7"/>
    <w:rsid w:val="0027234C"/>
    <w:rsid w:val="00272E03"/>
    <w:rsid w:val="00273765"/>
    <w:rsid w:val="00274B47"/>
    <w:rsid w:val="00275476"/>
    <w:rsid w:val="00281795"/>
    <w:rsid w:val="002850E3"/>
    <w:rsid w:val="00287E2F"/>
    <w:rsid w:val="002955E6"/>
    <w:rsid w:val="00297966"/>
    <w:rsid w:val="002A1948"/>
    <w:rsid w:val="002A2B2B"/>
    <w:rsid w:val="002A5CBF"/>
    <w:rsid w:val="002B5B52"/>
    <w:rsid w:val="002C0877"/>
    <w:rsid w:val="002C2AE2"/>
    <w:rsid w:val="002D0DCE"/>
    <w:rsid w:val="002D21B9"/>
    <w:rsid w:val="002E2B10"/>
    <w:rsid w:val="002E2CF3"/>
    <w:rsid w:val="002F1502"/>
    <w:rsid w:val="002F169D"/>
    <w:rsid w:val="002F2069"/>
    <w:rsid w:val="002F3D87"/>
    <w:rsid w:val="002F6F92"/>
    <w:rsid w:val="003041AD"/>
    <w:rsid w:val="0031279F"/>
    <w:rsid w:val="00312D63"/>
    <w:rsid w:val="003143FE"/>
    <w:rsid w:val="003161B9"/>
    <w:rsid w:val="00327417"/>
    <w:rsid w:val="00327D05"/>
    <w:rsid w:val="00335EBD"/>
    <w:rsid w:val="00336D96"/>
    <w:rsid w:val="00337F4A"/>
    <w:rsid w:val="00340A07"/>
    <w:rsid w:val="00342491"/>
    <w:rsid w:val="003429C3"/>
    <w:rsid w:val="00344F07"/>
    <w:rsid w:val="00346629"/>
    <w:rsid w:val="003469C8"/>
    <w:rsid w:val="00355EA4"/>
    <w:rsid w:val="003635BE"/>
    <w:rsid w:val="00366B5E"/>
    <w:rsid w:val="00372844"/>
    <w:rsid w:val="0038560A"/>
    <w:rsid w:val="003908DC"/>
    <w:rsid w:val="00391267"/>
    <w:rsid w:val="0039140D"/>
    <w:rsid w:val="003C31C9"/>
    <w:rsid w:val="003C33D9"/>
    <w:rsid w:val="003C3D1C"/>
    <w:rsid w:val="003C4961"/>
    <w:rsid w:val="003C7C5D"/>
    <w:rsid w:val="003D0AD2"/>
    <w:rsid w:val="003E4383"/>
    <w:rsid w:val="003E4E7D"/>
    <w:rsid w:val="003E5D57"/>
    <w:rsid w:val="003F3BD2"/>
    <w:rsid w:val="003F5913"/>
    <w:rsid w:val="00400C2C"/>
    <w:rsid w:val="004024F8"/>
    <w:rsid w:val="00406353"/>
    <w:rsid w:val="00407BF0"/>
    <w:rsid w:val="0041159A"/>
    <w:rsid w:val="00412372"/>
    <w:rsid w:val="00413A63"/>
    <w:rsid w:val="00414772"/>
    <w:rsid w:val="0042604A"/>
    <w:rsid w:val="004260CB"/>
    <w:rsid w:val="004305A8"/>
    <w:rsid w:val="0043150B"/>
    <w:rsid w:val="00431C07"/>
    <w:rsid w:val="0043417A"/>
    <w:rsid w:val="0044364E"/>
    <w:rsid w:val="00443CA0"/>
    <w:rsid w:val="00450E14"/>
    <w:rsid w:val="00460041"/>
    <w:rsid w:val="00462C65"/>
    <w:rsid w:val="0046439A"/>
    <w:rsid w:val="00467B14"/>
    <w:rsid w:val="004733B2"/>
    <w:rsid w:val="00474EDA"/>
    <w:rsid w:val="0047536D"/>
    <w:rsid w:val="0047647F"/>
    <w:rsid w:val="004824FA"/>
    <w:rsid w:val="00484011"/>
    <w:rsid w:val="004841F1"/>
    <w:rsid w:val="00487E55"/>
    <w:rsid w:val="004970EC"/>
    <w:rsid w:val="00497BC1"/>
    <w:rsid w:val="004A1E3A"/>
    <w:rsid w:val="004A2AC7"/>
    <w:rsid w:val="004A4AE2"/>
    <w:rsid w:val="004B1D39"/>
    <w:rsid w:val="004B4EB5"/>
    <w:rsid w:val="004C4AEA"/>
    <w:rsid w:val="004C7296"/>
    <w:rsid w:val="004D70EE"/>
    <w:rsid w:val="004E003C"/>
    <w:rsid w:val="004E16EB"/>
    <w:rsid w:val="004E4ED4"/>
    <w:rsid w:val="004E6665"/>
    <w:rsid w:val="004F634E"/>
    <w:rsid w:val="004F67A8"/>
    <w:rsid w:val="00503A02"/>
    <w:rsid w:val="00522A50"/>
    <w:rsid w:val="00527225"/>
    <w:rsid w:val="0053557D"/>
    <w:rsid w:val="005463DE"/>
    <w:rsid w:val="00546DC2"/>
    <w:rsid w:val="00553CCD"/>
    <w:rsid w:val="005542E8"/>
    <w:rsid w:val="00556630"/>
    <w:rsid w:val="0055686D"/>
    <w:rsid w:val="005800EE"/>
    <w:rsid w:val="005869D6"/>
    <w:rsid w:val="00593E85"/>
    <w:rsid w:val="005A33F6"/>
    <w:rsid w:val="005A3E9D"/>
    <w:rsid w:val="005A59E5"/>
    <w:rsid w:val="005B7440"/>
    <w:rsid w:val="005C6E9D"/>
    <w:rsid w:val="005D723A"/>
    <w:rsid w:val="005E2150"/>
    <w:rsid w:val="005E2995"/>
    <w:rsid w:val="005F3ADE"/>
    <w:rsid w:val="005F3FEF"/>
    <w:rsid w:val="00601392"/>
    <w:rsid w:val="00603260"/>
    <w:rsid w:val="006075F6"/>
    <w:rsid w:val="00607F7C"/>
    <w:rsid w:val="006102DA"/>
    <w:rsid w:val="006161CF"/>
    <w:rsid w:val="00621F93"/>
    <w:rsid w:val="0062303B"/>
    <w:rsid w:val="006315A3"/>
    <w:rsid w:val="006379E9"/>
    <w:rsid w:val="00637CC1"/>
    <w:rsid w:val="006466BA"/>
    <w:rsid w:val="00647A02"/>
    <w:rsid w:val="006579A2"/>
    <w:rsid w:val="00667C89"/>
    <w:rsid w:val="006711EE"/>
    <w:rsid w:val="006754A7"/>
    <w:rsid w:val="006809BB"/>
    <w:rsid w:val="006809FD"/>
    <w:rsid w:val="00683C7C"/>
    <w:rsid w:val="00687C5F"/>
    <w:rsid w:val="00691031"/>
    <w:rsid w:val="00691D1F"/>
    <w:rsid w:val="0069580C"/>
    <w:rsid w:val="00697BAE"/>
    <w:rsid w:val="006A63FD"/>
    <w:rsid w:val="006B216C"/>
    <w:rsid w:val="006B4182"/>
    <w:rsid w:val="006B4DDC"/>
    <w:rsid w:val="006B5E55"/>
    <w:rsid w:val="006C1771"/>
    <w:rsid w:val="006D25A1"/>
    <w:rsid w:val="006D6932"/>
    <w:rsid w:val="006E4BB7"/>
    <w:rsid w:val="006F0904"/>
    <w:rsid w:val="006F23AF"/>
    <w:rsid w:val="006F4637"/>
    <w:rsid w:val="006F6856"/>
    <w:rsid w:val="0070163D"/>
    <w:rsid w:val="0071190E"/>
    <w:rsid w:val="00713017"/>
    <w:rsid w:val="007145D0"/>
    <w:rsid w:val="007162F3"/>
    <w:rsid w:val="00716F94"/>
    <w:rsid w:val="00734E38"/>
    <w:rsid w:val="00736ADB"/>
    <w:rsid w:val="007375D1"/>
    <w:rsid w:val="00760E12"/>
    <w:rsid w:val="00763CF3"/>
    <w:rsid w:val="00771B52"/>
    <w:rsid w:val="00772293"/>
    <w:rsid w:val="00783A3C"/>
    <w:rsid w:val="00783C75"/>
    <w:rsid w:val="00784619"/>
    <w:rsid w:val="007853B3"/>
    <w:rsid w:val="0078627B"/>
    <w:rsid w:val="00787E4A"/>
    <w:rsid w:val="00794E32"/>
    <w:rsid w:val="007B305A"/>
    <w:rsid w:val="007B33A3"/>
    <w:rsid w:val="007C0092"/>
    <w:rsid w:val="007C1239"/>
    <w:rsid w:val="007C1CB7"/>
    <w:rsid w:val="007C3EC4"/>
    <w:rsid w:val="007C451C"/>
    <w:rsid w:val="007D5BA5"/>
    <w:rsid w:val="007D724D"/>
    <w:rsid w:val="007E3F71"/>
    <w:rsid w:val="007E704F"/>
    <w:rsid w:val="007F699B"/>
    <w:rsid w:val="00800993"/>
    <w:rsid w:val="00806013"/>
    <w:rsid w:val="00810FBF"/>
    <w:rsid w:val="008158AC"/>
    <w:rsid w:val="00815C7D"/>
    <w:rsid w:val="00817941"/>
    <w:rsid w:val="008261AB"/>
    <w:rsid w:val="00830509"/>
    <w:rsid w:val="00835CA7"/>
    <w:rsid w:val="008370D4"/>
    <w:rsid w:val="008414AD"/>
    <w:rsid w:val="008428D9"/>
    <w:rsid w:val="00865573"/>
    <w:rsid w:val="008759F6"/>
    <w:rsid w:val="00876B98"/>
    <w:rsid w:val="00884DB9"/>
    <w:rsid w:val="0089676F"/>
    <w:rsid w:val="008C244F"/>
    <w:rsid w:val="008C67D2"/>
    <w:rsid w:val="008C7D0E"/>
    <w:rsid w:val="008E0683"/>
    <w:rsid w:val="008E227B"/>
    <w:rsid w:val="008E4781"/>
    <w:rsid w:val="008E6C88"/>
    <w:rsid w:val="008E777F"/>
    <w:rsid w:val="008F1742"/>
    <w:rsid w:val="00902DD9"/>
    <w:rsid w:val="00902E52"/>
    <w:rsid w:val="00911466"/>
    <w:rsid w:val="00911486"/>
    <w:rsid w:val="009129CA"/>
    <w:rsid w:val="009206B6"/>
    <w:rsid w:val="009263C1"/>
    <w:rsid w:val="00931C02"/>
    <w:rsid w:val="00932C77"/>
    <w:rsid w:val="00935FFD"/>
    <w:rsid w:val="00941A03"/>
    <w:rsid w:val="00941B4F"/>
    <w:rsid w:val="009435F4"/>
    <w:rsid w:val="009509DB"/>
    <w:rsid w:val="00963679"/>
    <w:rsid w:val="00963CE3"/>
    <w:rsid w:val="00964F18"/>
    <w:rsid w:val="009677E5"/>
    <w:rsid w:val="0097039F"/>
    <w:rsid w:val="00974424"/>
    <w:rsid w:val="009759F3"/>
    <w:rsid w:val="00981258"/>
    <w:rsid w:val="00987F76"/>
    <w:rsid w:val="0099153B"/>
    <w:rsid w:val="00991BF9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D77CD"/>
    <w:rsid w:val="009E08AF"/>
    <w:rsid w:val="009E1D05"/>
    <w:rsid w:val="009E1DD4"/>
    <w:rsid w:val="009E219D"/>
    <w:rsid w:val="009F0A57"/>
    <w:rsid w:val="009F7283"/>
    <w:rsid w:val="00A00C86"/>
    <w:rsid w:val="00A11B0C"/>
    <w:rsid w:val="00A305CE"/>
    <w:rsid w:val="00A32D31"/>
    <w:rsid w:val="00A33B35"/>
    <w:rsid w:val="00A36419"/>
    <w:rsid w:val="00A37AE0"/>
    <w:rsid w:val="00A42A76"/>
    <w:rsid w:val="00A578C2"/>
    <w:rsid w:val="00A60F6B"/>
    <w:rsid w:val="00A70EBC"/>
    <w:rsid w:val="00A72652"/>
    <w:rsid w:val="00A75D1C"/>
    <w:rsid w:val="00A77180"/>
    <w:rsid w:val="00A809AA"/>
    <w:rsid w:val="00A81BF7"/>
    <w:rsid w:val="00A849B3"/>
    <w:rsid w:val="00A8510D"/>
    <w:rsid w:val="00A8543A"/>
    <w:rsid w:val="00A86A04"/>
    <w:rsid w:val="00A86AF3"/>
    <w:rsid w:val="00A90BDC"/>
    <w:rsid w:val="00A94901"/>
    <w:rsid w:val="00A95477"/>
    <w:rsid w:val="00A95B9D"/>
    <w:rsid w:val="00A975A9"/>
    <w:rsid w:val="00AA3192"/>
    <w:rsid w:val="00AB3608"/>
    <w:rsid w:val="00AC343D"/>
    <w:rsid w:val="00AC5C48"/>
    <w:rsid w:val="00AF0CF4"/>
    <w:rsid w:val="00AF2252"/>
    <w:rsid w:val="00AF4FB4"/>
    <w:rsid w:val="00B1129F"/>
    <w:rsid w:val="00B11D61"/>
    <w:rsid w:val="00B12D7A"/>
    <w:rsid w:val="00B12F51"/>
    <w:rsid w:val="00B222AA"/>
    <w:rsid w:val="00B2751E"/>
    <w:rsid w:val="00B3650C"/>
    <w:rsid w:val="00B36FF2"/>
    <w:rsid w:val="00B42719"/>
    <w:rsid w:val="00B43680"/>
    <w:rsid w:val="00B460B8"/>
    <w:rsid w:val="00B50A2B"/>
    <w:rsid w:val="00B60E8C"/>
    <w:rsid w:val="00B61133"/>
    <w:rsid w:val="00B64BFA"/>
    <w:rsid w:val="00B65C38"/>
    <w:rsid w:val="00B70873"/>
    <w:rsid w:val="00B8216F"/>
    <w:rsid w:val="00B853F1"/>
    <w:rsid w:val="00B85DE4"/>
    <w:rsid w:val="00B8656C"/>
    <w:rsid w:val="00B91A31"/>
    <w:rsid w:val="00B9481F"/>
    <w:rsid w:val="00BA6DB4"/>
    <w:rsid w:val="00BA7560"/>
    <w:rsid w:val="00BB0E0A"/>
    <w:rsid w:val="00BB68AD"/>
    <w:rsid w:val="00BC016A"/>
    <w:rsid w:val="00BC3F3C"/>
    <w:rsid w:val="00BC5BB2"/>
    <w:rsid w:val="00BC6896"/>
    <w:rsid w:val="00BC7E2E"/>
    <w:rsid w:val="00BE69D2"/>
    <w:rsid w:val="00BF3F54"/>
    <w:rsid w:val="00C00697"/>
    <w:rsid w:val="00C0376C"/>
    <w:rsid w:val="00C06D77"/>
    <w:rsid w:val="00C06E7F"/>
    <w:rsid w:val="00C14BA6"/>
    <w:rsid w:val="00C21C6B"/>
    <w:rsid w:val="00C25CB7"/>
    <w:rsid w:val="00C347E7"/>
    <w:rsid w:val="00C3485C"/>
    <w:rsid w:val="00C420D4"/>
    <w:rsid w:val="00C57A36"/>
    <w:rsid w:val="00C71C6A"/>
    <w:rsid w:val="00C75FF8"/>
    <w:rsid w:val="00C84DC3"/>
    <w:rsid w:val="00CA1D0E"/>
    <w:rsid w:val="00CA2004"/>
    <w:rsid w:val="00CB2199"/>
    <w:rsid w:val="00CB334D"/>
    <w:rsid w:val="00CB56D5"/>
    <w:rsid w:val="00CD0771"/>
    <w:rsid w:val="00CD1EA8"/>
    <w:rsid w:val="00CE1F77"/>
    <w:rsid w:val="00CF0CE8"/>
    <w:rsid w:val="00CF5ABD"/>
    <w:rsid w:val="00CF63CE"/>
    <w:rsid w:val="00D067C1"/>
    <w:rsid w:val="00D13B13"/>
    <w:rsid w:val="00D16E78"/>
    <w:rsid w:val="00D170BC"/>
    <w:rsid w:val="00D201D3"/>
    <w:rsid w:val="00D23239"/>
    <w:rsid w:val="00D24BCF"/>
    <w:rsid w:val="00D26A64"/>
    <w:rsid w:val="00D328FA"/>
    <w:rsid w:val="00D32951"/>
    <w:rsid w:val="00D33BF9"/>
    <w:rsid w:val="00D34967"/>
    <w:rsid w:val="00D4221A"/>
    <w:rsid w:val="00D46F5F"/>
    <w:rsid w:val="00D50985"/>
    <w:rsid w:val="00D52B9A"/>
    <w:rsid w:val="00D5367E"/>
    <w:rsid w:val="00D55607"/>
    <w:rsid w:val="00D57703"/>
    <w:rsid w:val="00D57C7E"/>
    <w:rsid w:val="00D677F8"/>
    <w:rsid w:val="00D72269"/>
    <w:rsid w:val="00D724CC"/>
    <w:rsid w:val="00D7285C"/>
    <w:rsid w:val="00D77D27"/>
    <w:rsid w:val="00D861ED"/>
    <w:rsid w:val="00D873E0"/>
    <w:rsid w:val="00D94F8B"/>
    <w:rsid w:val="00DA147A"/>
    <w:rsid w:val="00DA4EA9"/>
    <w:rsid w:val="00DA5988"/>
    <w:rsid w:val="00DC317C"/>
    <w:rsid w:val="00DC4FF2"/>
    <w:rsid w:val="00DC69F9"/>
    <w:rsid w:val="00DC79CC"/>
    <w:rsid w:val="00DE2D45"/>
    <w:rsid w:val="00DF0903"/>
    <w:rsid w:val="00DF44FE"/>
    <w:rsid w:val="00E134F4"/>
    <w:rsid w:val="00E23568"/>
    <w:rsid w:val="00E245B5"/>
    <w:rsid w:val="00E24C20"/>
    <w:rsid w:val="00E2585A"/>
    <w:rsid w:val="00E31492"/>
    <w:rsid w:val="00E33BBA"/>
    <w:rsid w:val="00E33E1B"/>
    <w:rsid w:val="00E34D3E"/>
    <w:rsid w:val="00E41178"/>
    <w:rsid w:val="00E42F3A"/>
    <w:rsid w:val="00E81C5E"/>
    <w:rsid w:val="00E83B3C"/>
    <w:rsid w:val="00E8736B"/>
    <w:rsid w:val="00E90275"/>
    <w:rsid w:val="00E925D4"/>
    <w:rsid w:val="00E97226"/>
    <w:rsid w:val="00EA1CCB"/>
    <w:rsid w:val="00EB6133"/>
    <w:rsid w:val="00EB63B3"/>
    <w:rsid w:val="00EC45F0"/>
    <w:rsid w:val="00ED6878"/>
    <w:rsid w:val="00EF0EC8"/>
    <w:rsid w:val="00EF33CD"/>
    <w:rsid w:val="00F2267A"/>
    <w:rsid w:val="00F27049"/>
    <w:rsid w:val="00F2708C"/>
    <w:rsid w:val="00F300CB"/>
    <w:rsid w:val="00F42C3A"/>
    <w:rsid w:val="00F52BCC"/>
    <w:rsid w:val="00F5313F"/>
    <w:rsid w:val="00F57581"/>
    <w:rsid w:val="00F63016"/>
    <w:rsid w:val="00F6554C"/>
    <w:rsid w:val="00F725B5"/>
    <w:rsid w:val="00F75545"/>
    <w:rsid w:val="00F81A48"/>
    <w:rsid w:val="00FA4906"/>
    <w:rsid w:val="00FB1DB3"/>
    <w:rsid w:val="00FB39D6"/>
    <w:rsid w:val="00FB5413"/>
    <w:rsid w:val="00FC425F"/>
    <w:rsid w:val="00FC5B1F"/>
    <w:rsid w:val="00FD17C9"/>
    <w:rsid w:val="00FD1EF0"/>
    <w:rsid w:val="00FD2A5B"/>
    <w:rsid w:val="00FD632C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08FBC"/>
  <w15:docId w15:val="{8FBAF130-FA79-41C8-8696-46E43D8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paragraph" w:customStyle="1" w:styleId="EndNoteBibliographyTitle">
    <w:name w:val="EndNote Bibliography Title"/>
    <w:basedOn w:val="Normal"/>
    <w:link w:val="EndNoteBibliographyTitleChar"/>
    <w:rsid w:val="00FB5413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5413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FB5413"/>
    <w:pPr>
      <w:spacing w:line="240" w:lineRule="auto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B5413"/>
    <w:rPr>
      <w:rFonts w:ascii="Cambria" w:hAnsi="Cambria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A8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hristin.Hanigan@aph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co4@cd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p5@cdc.gov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hf3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OSTLTSDOC-727-209</_dlc_DocId>
    <_dlc_DocIdUrl xmlns="b5c0ca00-073d-4463-9985-b654f14791fe">
      <Url>https://esp.cdc.gov/sites/ostlts/pip/osc/_layouts/15/DocIdRedir.aspx?ID=OSTLTSDOC-727-209</Url>
      <Description>OSTLTSDOC-727-209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CE67-73B1-4A90-9F39-978D7693D5F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D8E0FC4-2662-41C8-808D-8F2802945D10}">
  <ds:schemaRefs>
    <ds:schemaRef ds:uri="http://schemas.microsoft.com/office/2006/metadata/properties"/>
    <ds:schemaRef ds:uri="http://schemas.microsoft.com/office/infopath/2007/PartnerControls"/>
    <ds:schemaRef ds:uri="bd99c180-279b-44c3-9486-dd050336677e"/>
    <ds:schemaRef ds:uri="15b1c282-9287-45cb-9b41-eae3a76919a0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ECEB76EF-30D2-4593-85A2-AA2938519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34A2E-F67A-4B14-92FC-745F92A5D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DABEA3-6824-4CA7-9156-7D61476D14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A6613C-3EFE-4116-B64A-E80DA4EE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Gilliam, Adzua H. (CDC/DDPHSIS/CSTLTS/OD)</dc:creator>
  <cp:lastModifiedBy>Anderson, Brittany (CDC/DDPHSIS/CSTLTS/OD)</cp:lastModifiedBy>
  <cp:revision>8</cp:revision>
  <cp:lastPrinted>2011-06-07T15:53:00Z</cp:lastPrinted>
  <dcterms:created xsi:type="dcterms:W3CDTF">2020-05-07T14:19:00Z</dcterms:created>
  <dcterms:modified xsi:type="dcterms:W3CDTF">2020-06-04T15:06:00Z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35fe0a0c-18f2-4b15-9200-3f12f022ae15</vt:lpwstr>
  </property>
</Properties>
</file>