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F94" w:rsidP="00BC6896" w:rsidRDefault="00716F94" w14:paraId="2E7F059B" w14:textId="0303FF80">
      <w:pPr>
        <w:rPr>
          <w:b/>
          <w:u w:val="single"/>
        </w:rPr>
      </w:pPr>
    </w:p>
    <w:p w:rsidR="00B2046B" w:rsidP="00BC6896" w:rsidRDefault="00B2046B" w14:paraId="4B6D94B6" w14:textId="63C01DFB">
      <w:pPr>
        <w:rPr>
          <w:b/>
          <w:u w:val="single"/>
        </w:rPr>
      </w:pPr>
    </w:p>
    <w:p w:rsidR="00B2046B" w:rsidP="00BC6896" w:rsidRDefault="00B2046B" w14:paraId="5C4B10E1" w14:textId="0EC43083">
      <w:pPr>
        <w:rPr>
          <w:b/>
          <w:u w:val="single"/>
        </w:rPr>
      </w:pPr>
    </w:p>
    <w:p w:rsidR="00B2046B" w:rsidP="00BC6896" w:rsidRDefault="00B2046B" w14:paraId="1785CB96" w14:textId="41AD16E7">
      <w:pPr>
        <w:rPr>
          <w:b/>
          <w:u w:val="single"/>
        </w:rPr>
      </w:pPr>
    </w:p>
    <w:p w:rsidR="00B2046B" w:rsidP="00BC6896" w:rsidRDefault="00B2046B" w14:paraId="285460C7" w14:textId="5FB55F49">
      <w:pPr>
        <w:rPr>
          <w:b/>
          <w:u w:val="single"/>
        </w:rPr>
      </w:pPr>
    </w:p>
    <w:p w:rsidR="00B2046B" w:rsidP="00BC6896" w:rsidRDefault="00B2046B" w14:paraId="4C1563B0" w14:textId="2690FEAE">
      <w:pPr>
        <w:rPr>
          <w:b/>
          <w:u w:val="single"/>
        </w:rPr>
      </w:pPr>
    </w:p>
    <w:p w:rsidR="00B2046B" w:rsidP="00BC6896" w:rsidRDefault="00B2046B" w14:paraId="23872976" w14:textId="77777777"/>
    <w:p w:rsidR="009B4A51" w:rsidP="00BC6896" w:rsidRDefault="009B4A51" w14:paraId="5A06CC1F" w14:textId="03E8E7EA"/>
    <w:p w:rsidR="009B4A51" w:rsidP="00BC6896" w:rsidRDefault="009B4A51" w14:paraId="51D19FAC" w14:textId="14F1D50D"/>
    <w:p w:rsidR="009B4A51" w:rsidP="00BC6896" w:rsidRDefault="009B4A51" w14:paraId="3674762D" w14:textId="61A37D60"/>
    <w:p w:rsidR="009B4A51" w:rsidP="00BC6896" w:rsidRDefault="009B4A51" w14:paraId="2CE66927" w14:textId="0C06F92C"/>
    <w:p w:rsidR="00B2046B" w:rsidP="00BC6896" w:rsidRDefault="00B2046B" w14:paraId="0291C6C2" w14:textId="429560F6"/>
    <w:p w:rsidR="00B2046B" w:rsidP="00BC6896" w:rsidRDefault="00B2046B" w14:paraId="77B5A43E" w14:textId="77777777"/>
    <w:p w:rsidRPr="004376E0" w:rsidR="00872326" w:rsidP="00872326" w:rsidRDefault="00B2046B" w14:paraId="3B33EFCC" w14:textId="79189C23">
      <w:pPr>
        <w:tabs>
          <w:tab w:val="right" w:pos="9360"/>
        </w:tabs>
        <w:ind w:left="0"/>
        <w:jc w:val="center"/>
        <w:outlineLvl w:val="0"/>
        <w:rPr>
          <w:b/>
          <w:sz w:val="40"/>
        </w:rPr>
      </w:pPr>
      <w:r w:rsidRPr="004376E0">
        <w:rPr>
          <w:b/>
          <w:sz w:val="40"/>
        </w:rPr>
        <w:t>Assessment of</w:t>
      </w:r>
      <w:r w:rsidRPr="004376E0" w:rsidR="00872326">
        <w:rPr>
          <w:b/>
          <w:sz w:val="40"/>
        </w:rPr>
        <w:t xml:space="preserve"> the National Health Security Index for Public Health Preparedness</w:t>
      </w:r>
    </w:p>
    <w:p w:rsidR="00AA3192" w:rsidP="00BC6896" w:rsidRDefault="00AA3192" w14:paraId="65FCCF95" w14:textId="77777777"/>
    <w:p w:rsidRPr="00AA3192" w:rsidR="00716F94" w:rsidP="00BC6896" w:rsidRDefault="00484011" w14:paraId="2EB48742" w14:textId="6E106B0B">
      <w:pPr>
        <w:ind w:left="0"/>
        <w:jc w:val="center"/>
      </w:pPr>
      <w:r w:rsidRPr="00AA3192">
        <w:t xml:space="preserve">OSTLTS Generic </w:t>
      </w:r>
      <w:r w:rsidR="00487E55">
        <w:t>Data collection</w:t>
      </w:r>
      <w:r w:rsidRPr="00AA3192">
        <w:t xml:space="preserve"> Request</w:t>
      </w:r>
    </w:p>
    <w:p w:rsidRPr="00AA3192" w:rsidR="00484011" w:rsidP="00BC6896" w:rsidRDefault="00484011" w14:paraId="5EB5B9AE" w14:textId="77777777">
      <w:pPr>
        <w:pStyle w:val="Header"/>
        <w:ind w:left="0"/>
        <w:jc w:val="center"/>
      </w:pPr>
      <w:r w:rsidRPr="00AA3192">
        <w:t>OMB No. 0920-0879</w:t>
      </w:r>
    </w:p>
    <w:p w:rsidR="009B4A51" w:rsidP="00BC6896" w:rsidRDefault="009B4A51" w14:paraId="7CA125B8" w14:textId="77777777"/>
    <w:p w:rsidR="00AA3192" w:rsidP="00BC6896" w:rsidRDefault="00AA3192" w14:paraId="764247A8" w14:textId="77777777"/>
    <w:p w:rsidRPr="00BC6896" w:rsidR="009B4A51" w:rsidP="00BC6896" w:rsidRDefault="009B4A51" w14:paraId="67C3F948" w14:textId="77777777">
      <w:pPr>
        <w:pStyle w:val="Heading2"/>
      </w:pPr>
      <w:r w:rsidRPr="00BC6896">
        <w:t xml:space="preserve">Supporting Statement – Section </w:t>
      </w:r>
      <w:r w:rsidRPr="00BC6896" w:rsidR="00601392">
        <w:t>B</w:t>
      </w:r>
    </w:p>
    <w:p w:rsidR="009B4A51" w:rsidP="00BC6896" w:rsidRDefault="009B4A51" w14:paraId="643F25BB" w14:textId="77777777"/>
    <w:p w:rsidRPr="00BC6896" w:rsidR="009B4A51" w:rsidP="00BC6896" w:rsidRDefault="009B4A51" w14:paraId="031B1731" w14:textId="5BE28E71">
      <w:pPr>
        <w:ind w:left="0"/>
        <w:jc w:val="center"/>
      </w:pPr>
      <w:r w:rsidRPr="00AA3192">
        <w:t xml:space="preserve">Submitted: </w:t>
      </w:r>
      <w:r w:rsidR="005B376B">
        <w:t>6/9/2020</w:t>
      </w:r>
    </w:p>
    <w:p w:rsidR="009B4A51" w:rsidP="00BC6896" w:rsidRDefault="009B4A51" w14:paraId="415560A8" w14:textId="77777777"/>
    <w:p w:rsidR="009B4A51" w:rsidP="00BC6896" w:rsidRDefault="009B4A51" w14:paraId="0369ED2C" w14:textId="77777777"/>
    <w:p w:rsidR="009B4A51" w:rsidP="00BC6896" w:rsidRDefault="009B4A51" w14:paraId="11BC56D4" w14:textId="77777777"/>
    <w:p w:rsidRPr="00BC6896" w:rsidR="00A81BF7" w:rsidP="00A81BF7" w:rsidRDefault="00A81BF7" w14:paraId="7D9EECF2" w14:textId="77777777">
      <w:pPr>
        <w:ind w:left="0"/>
        <w:rPr>
          <w:b/>
          <w:u w:val="single"/>
        </w:rPr>
      </w:pPr>
      <w:r w:rsidRPr="00BC6896">
        <w:rPr>
          <w:b/>
          <w:u w:val="single"/>
        </w:rPr>
        <w:t>Program Official/Project Officer</w:t>
      </w:r>
    </w:p>
    <w:p w:rsidR="00382555" w:rsidP="00382555" w:rsidRDefault="00382555" w14:paraId="35F8D2F1" w14:textId="61561A21">
      <w:pPr>
        <w:tabs>
          <w:tab w:val="right" w:pos="9360"/>
        </w:tabs>
        <w:ind w:left="0"/>
      </w:pPr>
      <w:r w:rsidRPr="00382555">
        <w:t xml:space="preserve"> </w:t>
      </w:r>
    </w:p>
    <w:p w:rsidR="00382555" w:rsidP="00382555" w:rsidRDefault="00382555" w14:paraId="0A2CE0C8" w14:textId="7AFC23DD">
      <w:pPr>
        <w:tabs>
          <w:tab w:val="right" w:pos="9360"/>
        </w:tabs>
        <w:ind w:left="0"/>
      </w:pPr>
      <w:r>
        <w:t>Shoukat Qari, DVM, PhD</w:t>
      </w:r>
    </w:p>
    <w:p w:rsidR="00382555" w:rsidP="00382555" w:rsidRDefault="00382555" w14:paraId="76B802FD" w14:textId="77777777">
      <w:pPr>
        <w:tabs>
          <w:tab w:val="right" w:pos="9360"/>
        </w:tabs>
        <w:ind w:left="0"/>
      </w:pPr>
      <w:r>
        <w:t>Senior Health Scientist</w:t>
      </w:r>
    </w:p>
    <w:p w:rsidR="00382555" w:rsidP="00382555" w:rsidRDefault="00382555" w14:paraId="0C5795CE" w14:textId="77777777">
      <w:pPr>
        <w:tabs>
          <w:tab w:val="right" w:pos="9360"/>
        </w:tabs>
        <w:ind w:left="0"/>
      </w:pPr>
      <w:r>
        <w:t>Office of Applied Research (OAR)</w:t>
      </w:r>
    </w:p>
    <w:p w:rsidR="00382555" w:rsidP="00382555" w:rsidRDefault="00382555" w14:paraId="76E7CF86" w14:textId="77777777">
      <w:pPr>
        <w:tabs>
          <w:tab w:val="right" w:pos="9360"/>
        </w:tabs>
        <w:ind w:left="0"/>
      </w:pPr>
      <w:r>
        <w:t>Office of Science and Public Health Practice (OSPHP)</w:t>
      </w:r>
    </w:p>
    <w:p w:rsidR="00382555" w:rsidP="00382555" w:rsidRDefault="00382555" w14:paraId="36114170" w14:textId="77777777">
      <w:pPr>
        <w:tabs>
          <w:tab w:val="right" w:pos="9360"/>
        </w:tabs>
        <w:ind w:left="0"/>
      </w:pPr>
      <w:r>
        <w:t>Center for Preparedness and Response (CPR)</w:t>
      </w:r>
    </w:p>
    <w:p w:rsidR="00382555" w:rsidP="00382555" w:rsidRDefault="00382555" w14:paraId="4F0845F8" w14:textId="77777777">
      <w:pPr>
        <w:tabs>
          <w:tab w:val="right" w:pos="9360"/>
        </w:tabs>
        <w:ind w:left="0"/>
      </w:pPr>
      <w:r>
        <w:t>Centers for Disease Control and Prevention</w:t>
      </w:r>
    </w:p>
    <w:p w:rsidR="00382555" w:rsidP="00382555" w:rsidRDefault="00382555" w14:paraId="0B712499" w14:textId="77777777">
      <w:pPr>
        <w:tabs>
          <w:tab w:val="right" w:pos="9360"/>
        </w:tabs>
        <w:ind w:left="0"/>
      </w:pPr>
      <w:r>
        <w:t>(770) 488-8808</w:t>
      </w:r>
    </w:p>
    <w:p w:rsidR="00382555" w:rsidP="00382555" w:rsidRDefault="00382555" w14:paraId="0E95AB78" w14:textId="77777777">
      <w:pPr>
        <w:tabs>
          <w:tab w:val="right" w:pos="9360"/>
        </w:tabs>
        <w:ind w:left="0"/>
      </w:pPr>
      <w:r>
        <w:t>SQari@cdc.gov</w:t>
      </w:r>
    </w:p>
    <w:p w:rsidR="00382555" w:rsidP="00382555" w:rsidRDefault="00382555" w14:paraId="1EDFE2AD" w14:textId="77777777">
      <w:pPr>
        <w:tabs>
          <w:tab w:val="right" w:pos="9360"/>
        </w:tabs>
        <w:ind w:left="0"/>
      </w:pPr>
      <w:r>
        <w:t>1600 Clifton Road Mail Stop H21-6</w:t>
      </w:r>
    </w:p>
    <w:p w:rsidR="00382555" w:rsidP="00382555" w:rsidRDefault="00382555" w14:paraId="0E07D6A6" w14:textId="77777777">
      <w:pPr>
        <w:tabs>
          <w:tab w:val="right" w:pos="9360"/>
        </w:tabs>
        <w:ind w:left="0"/>
      </w:pPr>
      <w:r>
        <w:t>Room 6224</w:t>
      </w:r>
    </w:p>
    <w:p w:rsidR="00691031" w:rsidP="00382555" w:rsidRDefault="00382555" w14:paraId="6FC715CF" w14:textId="5DC262F0">
      <w:pPr>
        <w:tabs>
          <w:tab w:val="right" w:pos="9360"/>
        </w:tabs>
        <w:ind w:left="0"/>
        <w:rPr>
          <w:color w:val="0070C0"/>
        </w:rPr>
      </w:pPr>
      <w:r>
        <w:t>Atlanta, Georgia 30329</w:t>
      </w:r>
    </w:p>
    <w:p w:rsidR="00EC45F0" w:rsidP="00BC6896" w:rsidRDefault="00EC45F0" w14:paraId="6C26DF22" w14:textId="77777777">
      <w:pPr>
        <w:ind w:left="0"/>
        <w:rPr>
          <w:color w:val="0070C0"/>
        </w:rPr>
      </w:pPr>
    </w:p>
    <w:p w:rsidRPr="0042604A" w:rsidR="00EC45F0" w:rsidP="00BC6896" w:rsidRDefault="00EC45F0" w14:paraId="2A4AFA23" w14:textId="77777777">
      <w:pPr>
        <w:ind w:left="0"/>
        <w:rPr>
          <w:color w:val="0070C0"/>
        </w:rPr>
      </w:pPr>
    </w:p>
    <w:p w:rsidRPr="000A538D" w:rsidR="00245F1F" w:rsidP="00BC6896" w:rsidRDefault="00245F1F" w14:paraId="6B5884A0" w14:textId="77777777">
      <w:pPr>
        <w:pStyle w:val="Heading3"/>
      </w:pPr>
      <w:bookmarkStart w:name="_Toc413847909" w:id="0"/>
      <w:r>
        <w:lastRenderedPageBreak/>
        <w:t>Table of Contents</w:t>
      </w:r>
      <w:bookmarkEnd w:id="0"/>
    </w:p>
    <w:p w:rsidRPr="000A538D" w:rsidR="00245F1F" w:rsidP="006F23AF" w:rsidRDefault="00245F1F" w14:paraId="3DE4D30E" w14:textId="2D627480">
      <w:pPr>
        <w:ind w:left="0"/>
        <w:rPr>
          <w:rFonts w:asciiTheme="minorHAnsi" w:hAnsiTheme="minorHAnsi"/>
          <w:noProof/>
        </w:rPr>
      </w:pPr>
      <w:r w:rsidRPr="000A538D">
        <w:fldChar w:fldCharType="begin"/>
      </w:r>
      <w:r w:rsidRPr="000A538D">
        <w:instrText xml:space="preserve"> TOC \h \z \u \t "Heading 3,1,Heading 4,2" </w:instrText>
      </w:r>
      <w:r w:rsidRPr="000A538D">
        <w:fldChar w:fldCharType="separate"/>
      </w:r>
    </w:p>
    <w:p w:rsidRPr="000A538D" w:rsidR="00245F1F" w:rsidRDefault="005B376B" w14:paraId="0E818D57" w14:textId="6ABD9BA8">
      <w:pPr>
        <w:pStyle w:val="TOC1"/>
        <w:tabs>
          <w:tab w:val="right" w:leader="dot" w:pos="9350"/>
        </w:tabs>
        <w:rPr>
          <w:rFonts w:asciiTheme="minorHAnsi" w:hAnsiTheme="minorHAnsi"/>
          <w:noProof/>
        </w:rPr>
      </w:pPr>
      <w:hyperlink w:history="1" w:anchor="_Toc413847910">
        <w:r w:rsidRPr="000A538D" w:rsidR="00245F1F">
          <w:rPr>
            <w:rStyle w:val="Hyperlink"/>
            <w:noProof/>
            <w:color w:val="auto"/>
          </w:rPr>
          <w:t xml:space="preserve">Section B – </w:t>
        </w:r>
        <w:r w:rsidRPr="000A538D" w:rsidR="00487E55">
          <w:rPr>
            <w:rStyle w:val="Hyperlink"/>
            <w:noProof/>
            <w:color w:val="auto"/>
          </w:rPr>
          <w:t>Data collection</w:t>
        </w:r>
        <w:r w:rsidRPr="000A538D" w:rsidR="00245F1F">
          <w:rPr>
            <w:rStyle w:val="Hyperlink"/>
            <w:noProof/>
            <w:color w:val="auto"/>
          </w:rPr>
          <w:t xml:space="preserve"> Procedures</w:t>
        </w:r>
        <w:r w:rsidRPr="000A538D" w:rsidR="00245F1F">
          <w:rPr>
            <w:noProof/>
            <w:webHidden/>
          </w:rPr>
          <w:tab/>
        </w:r>
        <w:r w:rsidRPr="000A538D" w:rsidR="00245F1F">
          <w:rPr>
            <w:noProof/>
            <w:webHidden/>
          </w:rPr>
          <w:fldChar w:fldCharType="begin"/>
        </w:r>
        <w:r w:rsidRPr="000A538D" w:rsidR="00245F1F">
          <w:rPr>
            <w:noProof/>
            <w:webHidden/>
          </w:rPr>
          <w:instrText xml:space="preserve"> PAGEREF _Toc413847910 \h </w:instrText>
        </w:r>
        <w:r w:rsidRPr="000A538D" w:rsidR="00245F1F">
          <w:rPr>
            <w:noProof/>
            <w:webHidden/>
          </w:rPr>
        </w:r>
        <w:r w:rsidRPr="000A538D" w:rsidR="00245F1F">
          <w:rPr>
            <w:noProof/>
            <w:webHidden/>
          </w:rPr>
          <w:fldChar w:fldCharType="separate"/>
        </w:r>
        <w:r w:rsidR="0007735E">
          <w:rPr>
            <w:noProof/>
            <w:webHidden/>
          </w:rPr>
          <w:t>3</w:t>
        </w:r>
        <w:r w:rsidRPr="000A538D" w:rsidR="00245F1F">
          <w:rPr>
            <w:noProof/>
            <w:webHidden/>
          </w:rPr>
          <w:fldChar w:fldCharType="end"/>
        </w:r>
      </w:hyperlink>
    </w:p>
    <w:p w:rsidRPr="000A538D" w:rsidR="00245F1F" w:rsidP="00245F1F" w:rsidRDefault="005B376B" w14:paraId="1B180080" w14:textId="18F51244">
      <w:pPr>
        <w:pStyle w:val="TOC2"/>
        <w:rPr>
          <w:noProof/>
        </w:rPr>
      </w:pPr>
      <w:hyperlink w:history="1" w:anchor="_Toc413847911">
        <w:r w:rsidRPr="000A538D" w:rsidR="00245F1F">
          <w:rPr>
            <w:rStyle w:val="Hyperlink"/>
            <w:noProof/>
            <w:color w:val="auto"/>
          </w:rPr>
          <w:t>1.</w:t>
        </w:r>
        <w:r w:rsidRPr="000A538D" w:rsidR="00245F1F">
          <w:rPr>
            <w:noProof/>
          </w:rPr>
          <w:tab/>
        </w:r>
        <w:r w:rsidRPr="000A538D" w:rsidR="00245F1F">
          <w:rPr>
            <w:rStyle w:val="Hyperlink"/>
            <w:noProof/>
            <w:color w:val="auto"/>
          </w:rPr>
          <w:t>Respondent Universe and Sampling Methods</w:t>
        </w:r>
        <w:r w:rsidRPr="000A538D" w:rsidR="00245F1F">
          <w:rPr>
            <w:noProof/>
            <w:webHidden/>
          </w:rPr>
          <w:tab/>
        </w:r>
        <w:r w:rsidRPr="000A538D" w:rsidR="00245F1F">
          <w:rPr>
            <w:noProof/>
            <w:webHidden/>
          </w:rPr>
          <w:fldChar w:fldCharType="begin"/>
        </w:r>
        <w:r w:rsidRPr="000A538D" w:rsidR="00245F1F">
          <w:rPr>
            <w:noProof/>
            <w:webHidden/>
          </w:rPr>
          <w:instrText xml:space="preserve"> PAGEREF _Toc413847911 \h </w:instrText>
        </w:r>
        <w:r w:rsidRPr="000A538D" w:rsidR="00245F1F">
          <w:rPr>
            <w:noProof/>
            <w:webHidden/>
          </w:rPr>
        </w:r>
        <w:r w:rsidRPr="000A538D" w:rsidR="00245F1F">
          <w:rPr>
            <w:noProof/>
            <w:webHidden/>
          </w:rPr>
          <w:fldChar w:fldCharType="separate"/>
        </w:r>
        <w:r w:rsidR="0007735E">
          <w:rPr>
            <w:noProof/>
            <w:webHidden/>
          </w:rPr>
          <w:t>3</w:t>
        </w:r>
        <w:r w:rsidRPr="000A538D" w:rsidR="00245F1F">
          <w:rPr>
            <w:noProof/>
            <w:webHidden/>
          </w:rPr>
          <w:fldChar w:fldCharType="end"/>
        </w:r>
      </w:hyperlink>
    </w:p>
    <w:p w:rsidRPr="000A538D" w:rsidR="00245F1F" w:rsidP="00245F1F" w:rsidRDefault="005B376B" w14:paraId="02D7E354" w14:textId="2B46B661">
      <w:pPr>
        <w:pStyle w:val="TOC2"/>
        <w:rPr>
          <w:noProof/>
        </w:rPr>
      </w:pPr>
      <w:hyperlink w:history="1" w:anchor="_Toc413847912">
        <w:r w:rsidRPr="000A538D" w:rsidR="00245F1F">
          <w:rPr>
            <w:rStyle w:val="Hyperlink"/>
            <w:noProof/>
            <w:color w:val="auto"/>
          </w:rPr>
          <w:t>2.</w:t>
        </w:r>
        <w:r w:rsidRPr="000A538D" w:rsidR="00245F1F">
          <w:rPr>
            <w:noProof/>
          </w:rPr>
          <w:tab/>
        </w:r>
        <w:r w:rsidRPr="000A538D" w:rsidR="00245F1F">
          <w:rPr>
            <w:rStyle w:val="Hyperlink"/>
            <w:noProof/>
            <w:color w:val="auto"/>
          </w:rPr>
          <w:t>Procedures for the Collection of Information</w:t>
        </w:r>
        <w:r w:rsidRPr="000A538D" w:rsidR="00245F1F">
          <w:rPr>
            <w:noProof/>
            <w:webHidden/>
          </w:rPr>
          <w:tab/>
        </w:r>
        <w:r w:rsidR="00C61668">
          <w:rPr>
            <w:noProof/>
            <w:webHidden/>
          </w:rPr>
          <w:t>4</w:t>
        </w:r>
      </w:hyperlink>
    </w:p>
    <w:p w:rsidRPr="000A538D" w:rsidR="00245F1F" w:rsidP="00245F1F" w:rsidRDefault="005B376B" w14:paraId="2F38C32A" w14:textId="5780A52B">
      <w:pPr>
        <w:pStyle w:val="TOC2"/>
        <w:rPr>
          <w:noProof/>
        </w:rPr>
      </w:pPr>
      <w:hyperlink w:history="1" w:anchor="_Toc413847913">
        <w:r w:rsidRPr="000A538D" w:rsidR="00245F1F">
          <w:rPr>
            <w:rStyle w:val="Hyperlink"/>
            <w:noProof/>
            <w:color w:val="auto"/>
          </w:rPr>
          <w:t>3.</w:t>
        </w:r>
        <w:r w:rsidRPr="000A538D" w:rsidR="00245F1F">
          <w:rPr>
            <w:noProof/>
          </w:rPr>
          <w:tab/>
        </w:r>
        <w:r w:rsidRPr="000A538D" w:rsidR="00245F1F">
          <w:rPr>
            <w:rStyle w:val="Hyperlink"/>
            <w:noProof/>
            <w:color w:val="auto"/>
          </w:rPr>
          <w:t>Methods to Maximize Response Rates  Deal with Nonresponse</w:t>
        </w:r>
        <w:r w:rsidRPr="000A538D" w:rsidR="00245F1F">
          <w:rPr>
            <w:noProof/>
            <w:webHidden/>
          </w:rPr>
          <w:tab/>
        </w:r>
        <w:r w:rsidR="00C61668">
          <w:rPr>
            <w:noProof/>
            <w:webHidden/>
          </w:rPr>
          <w:t>6</w:t>
        </w:r>
      </w:hyperlink>
    </w:p>
    <w:p w:rsidRPr="000A538D" w:rsidR="00245F1F" w:rsidP="00245F1F" w:rsidRDefault="005B376B" w14:paraId="2FA3FE33" w14:textId="33DE489E">
      <w:pPr>
        <w:pStyle w:val="TOC2"/>
        <w:rPr>
          <w:noProof/>
        </w:rPr>
      </w:pPr>
      <w:hyperlink w:history="1" w:anchor="_Toc413847914">
        <w:r w:rsidRPr="000A538D" w:rsidR="00245F1F">
          <w:rPr>
            <w:rStyle w:val="Hyperlink"/>
            <w:noProof/>
            <w:color w:val="auto"/>
          </w:rPr>
          <w:t>4.</w:t>
        </w:r>
        <w:r w:rsidRPr="000A538D" w:rsidR="00245F1F">
          <w:rPr>
            <w:noProof/>
          </w:rPr>
          <w:tab/>
        </w:r>
        <w:r w:rsidRPr="000A538D" w:rsidR="00245F1F">
          <w:rPr>
            <w:rStyle w:val="Hyperlink"/>
            <w:noProof/>
            <w:color w:val="auto"/>
          </w:rPr>
          <w:t>Test of Procedures or Methods to be Undertaken</w:t>
        </w:r>
        <w:r w:rsidRPr="000A538D" w:rsidR="00245F1F">
          <w:rPr>
            <w:noProof/>
            <w:webHidden/>
          </w:rPr>
          <w:tab/>
        </w:r>
        <w:r w:rsidR="00C61668">
          <w:rPr>
            <w:noProof/>
            <w:webHidden/>
          </w:rPr>
          <w:t>7</w:t>
        </w:r>
      </w:hyperlink>
    </w:p>
    <w:p w:rsidRPr="000A538D" w:rsidR="00245F1F" w:rsidP="00245F1F" w:rsidRDefault="005B376B" w14:paraId="415BB023" w14:textId="6E4D5D43">
      <w:pPr>
        <w:pStyle w:val="TOC2"/>
        <w:rPr>
          <w:noProof/>
        </w:rPr>
      </w:pPr>
      <w:hyperlink w:history="1" w:anchor="_Toc413847915">
        <w:r w:rsidRPr="000A538D" w:rsidR="00245F1F">
          <w:rPr>
            <w:rStyle w:val="Hyperlink"/>
            <w:noProof/>
            <w:color w:val="auto"/>
          </w:rPr>
          <w:t>5.</w:t>
        </w:r>
        <w:r w:rsidRPr="000A538D" w:rsidR="00245F1F">
          <w:rPr>
            <w:noProof/>
          </w:rPr>
          <w:tab/>
        </w:r>
        <w:r w:rsidRPr="000A538D" w:rsidR="00245F1F">
          <w:rPr>
            <w:rStyle w:val="Hyperlink"/>
            <w:noProof/>
            <w:color w:val="auto"/>
          </w:rPr>
          <w:t>Individuals Consulted on Statistical Aspects and Individuals Collecting and/or Analyzing Data</w:t>
        </w:r>
        <w:r w:rsidRPr="000A538D" w:rsidR="00245F1F">
          <w:rPr>
            <w:rStyle w:val="Hyperlink"/>
            <w:noProof/>
            <w:color w:val="auto"/>
          </w:rPr>
          <w:tab/>
        </w:r>
        <w:r w:rsidR="00C61668">
          <w:rPr>
            <w:noProof/>
            <w:webHidden/>
          </w:rPr>
          <w:t>7</w:t>
        </w:r>
      </w:hyperlink>
    </w:p>
    <w:p w:rsidRPr="000A538D" w:rsidR="00245F1F" w:rsidRDefault="005B376B" w14:paraId="7580FEBC" w14:textId="7929CFD4">
      <w:pPr>
        <w:pStyle w:val="TOC1"/>
        <w:tabs>
          <w:tab w:val="right" w:leader="dot" w:pos="9350"/>
        </w:tabs>
        <w:rPr>
          <w:rFonts w:asciiTheme="minorHAnsi" w:hAnsiTheme="minorHAnsi"/>
          <w:noProof/>
        </w:rPr>
      </w:pPr>
      <w:hyperlink w:history="1" w:anchor="_Toc413847916">
        <w:r w:rsidRPr="000A538D" w:rsidR="00245F1F">
          <w:rPr>
            <w:rStyle w:val="Hyperlink"/>
            <w:noProof/>
            <w:color w:val="auto"/>
          </w:rPr>
          <w:t>LIST OF ATTACHMENTS – Section B</w:t>
        </w:r>
        <w:r w:rsidRPr="000A538D" w:rsidR="00245F1F">
          <w:rPr>
            <w:noProof/>
            <w:webHidden/>
          </w:rPr>
          <w:tab/>
        </w:r>
        <w:r w:rsidR="00C61668">
          <w:rPr>
            <w:noProof/>
            <w:webHidden/>
          </w:rPr>
          <w:t>8</w:t>
        </w:r>
      </w:hyperlink>
    </w:p>
    <w:p w:rsidR="00245F1F" w:rsidP="00BC6896" w:rsidRDefault="00245F1F" w14:paraId="70B97232" w14:textId="77777777">
      <w:pPr>
        <w:pStyle w:val="Heading3"/>
      </w:pPr>
      <w:r w:rsidRPr="000A538D">
        <w:fldChar w:fldCharType="end"/>
      </w:r>
    </w:p>
    <w:p w:rsidR="00245F1F" w:rsidRDefault="00245F1F" w14:paraId="155EEAC4" w14:textId="77777777">
      <w:pPr>
        <w:spacing w:after="200"/>
        <w:ind w:left="0"/>
        <w:rPr>
          <w:b/>
          <w:sz w:val="28"/>
        </w:rPr>
      </w:pPr>
      <w:bookmarkStart w:name="_Toc413847910" w:id="1"/>
      <w:r>
        <w:br w:type="page"/>
      </w:r>
    </w:p>
    <w:p w:rsidRPr="00BC6896" w:rsidR="00B12F51" w:rsidP="00BC6896" w:rsidRDefault="00B12F51" w14:paraId="75612BC1" w14:textId="3F4D1465">
      <w:pPr>
        <w:pStyle w:val="Heading3"/>
      </w:pPr>
      <w:r w:rsidRPr="00BC6896">
        <w:lastRenderedPageBreak/>
        <w:t xml:space="preserve">Section B – </w:t>
      </w:r>
      <w:r w:rsidR="00487E55">
        <w:t>Data collection</w:t>
      </w:r>
      <w:r w:rsidRPr="00BC6896" w:rsidR="00287E2F">
        <w:t xml:space="preserve"> Procedures</w:t>
      </w:r>
      <w:bookmarkEnd w:id="1"/>
    </w:p>
    <w:p w:rsidR="00287E2F" w:rsidP="002955E6" w:rsidRDefault="00287E2F" w14:paraId="2BD8810D" w14:textId="77777777">
      <w:pPr>
        <w:spacing w:line="240" w:lineRule="auto"/>
      </w:pPr>
      <w:bookmarkStart w:name="_Hlk23393502" w:id="2"/>
    </w:p>
    <w:p w:rsidRPr="00BC6896" w:rsidR="00A75D1C" w:rsidP="002955E6" w:rsidRDefault="009759F3" w14:paraId="2BDBA5F7" w14:textId="0FB26171">
      <w:pPr>
        <w:pStyle w:val="Heading4"/>
        <w:spacing w:after="0" w:line="240" w:lineRule="auto"/>
      </w:pPr>
      <w:bookmarkStart w:name="_Toc413847911" w:id="3"/>
      <w:r w:rsidRPr="00BC6896">
        <w:t xml:space="preserve">Respondent </w:t>
      </w:r>
      <w:r w:rsidR="00DE2D45">
        <w:t>Uni</w:t>
      </w:r>
      <w:r w:rsidRPr="00BC6896" w:rsidR="001960AE">
        <w:t xml:space="preserve">verse and </w:t>
      </w:r>
      <w:r w:rsidRPr="00991BF9" w:rsidR="001960AE">
        <w:t>Sampling</w:t>
      </w:r>
      <w:r w:rsidRPr="00BC6896" w:rsidR="001960AE">
        <w:t xml:space="preserve"> Methods </w:t>
      </w:r>
      <w:bookmarkEnd w:id="3"/>
    </w:p>
    <w:p w:rsidR="002955E6" w:rsidP="002955E6" w:rsidRDefault="002955E6" w14:paraId="67F70FD0" w14:textId="77777777">
      <w:pPr>
        <w:spacing w:line="240" w:lineRule="auto"/>
        <w:ind w:left="360"/>
        <w:rPr>
          <w:b/>
          <w:color w:val="0070C0"/>
        </w:rPr>
      </w:pPr>
    </w:p>
    <w:p w:rsidRPr="00C61668" w:rsidR="000B781D" w:rsidP="002955E6" w:rsidRDefault="00190EB1" w14:paraId="6BA5A4EA" w14:textId="7B212233">
      <w:pPr>
        <w:spacing w:line="240" w:lineRule="auto"/>
        <w:ind w:left="360"/>
      </w:pPr>
      <w:r w:rsidRPr="00C61668">
        <w:t>The respondent universe consists of</w:t>
      </w:r>
      <w:r w:rsidRPr="00C61668" w:rsidR="00B2046B">
        <w:t xml:space="preserve"> </w:t>
      </w:r>
      <w:r w:rsidRPr="00C61668" w:rsidR="00277736">
        <w:t xml:space="preserve">a total of </w:t>
      </w:r>
      <w:r w:rsidRPr="00C61668" w:rsidR="00BD2EA1">
        <w:t>278</w:t>
      </w:r>
      <w:r w:rsidRPr="00C61668" w:rsidR="00277736">
        <w:t xml:space="preserve"> respondents, representing </w:t>
      </w:r>
      <w:r w:rsidRPr="00C61668" w:rsidR="003E136D">
        <w:t>26</w:t>
      </w:r>
      <w:r w:rsidRPr="00C61668">
        <w:t xml:space="preserve"> state, </w:t>
      </w:r>
      <w:r w:rsidRPr="00C61668" w:rsidR="003E136D">
        <w:t>8</w:t>
      </w:r>
      <w:r w:rsidRPr="00C61668" w:rsidR="00B2046B">
        <w:t xml:space="preserve"> </w:t>
      </w:r>
      <w:r w:rsidRPr="00C61668">
        <w:t>territorial, and</w:t>
      </w:r>
      <w:r w:rsidRPr="00C61668" w:rsidR="00B2046B">
        <w:t xml:space="preserve"> </w:t>
      </w:r>
      <w:r w:rsidRPr="00C61668" w:rsidR="003E136D">
        <w:t>244</w:t>
      </w:r>
      <w:r w:rsidRPr="00C61668">
        <w:t xml:space="preserve"> local government employees who have primary responsibility for overseeing public health emergency preparedness and response </w:t>
      </w:r>
      <w:r w:rsidRPr="00C61668" w:rsidR="000B781D">
        <w:t xml:space="preserve">(PHEP) </w:t>
      </w:r>
      <w:r w:rsidRPr="00C61668">
        <w:t xml:space="preserve">activities for their jurisdiction.  </w:t>
      </w:r>
      <w:r w:rsidRPr="00C61668" w:rsidR="00B2046B">
        <w:t xml:space="preserve">These roles include </w:t>
      </w:r>
      <w:r w:rsidRPr="00C61668" w:rsidR="003E136D">
        <w:t>state and territorial directors of public health preparedness, as well as county, city, and regional public health preparedness coordinators</w:t>
      </w:r>
      <w:r w:rsidRPr="00C61668" w:rsidR="00B2046B">
        <w:t xml:space="preserve">. </w:t>
      </w:r>
      <w:r w:rsidRPr="00C61668" w:rsidR="003E136D">
        <w:t xml:space="preserve"> Two separate data collection methods will be used to collect data from these respondents: (1) an </w:t>
      </w:r>
      <w:r w:rsidRPr="00C61668" w:rsidR="004B437E">
        <w:t xml:space="preserve">Online Assessment </w:t>
      </w:r>
      <w:r w:rsidRPr="00C61668" w:rsidR="003E136D">
        <w:t xml:space="preserve">Instrument; and (2) </w:t>
      </w:r>
      <w:r w:rsidRPr="00C61668" w:rsidR="0073706B">
        <w:t xml:space="preserve">a Semi-Structured Interview Guide Instrument.  </w:t>
      </w:r>
    </w:p>
    <w:p w:rsidRPr="00C61668" w:rsidR="000B781D" w:rsidP="002955E6" w:rsidRDefault="000B781D" w14:paraId="4A6E9FF8" w14:textId="77777777">
      <w:pPr>
        <w:spacing w:line="240" w:lineRule="auto"/>
        <w:ind w:left="360"/>
      </w:pPr>
    </w:p>
    <w:p w:rsidRPr="00C61668" w:rsidR="00816107" w:rsidP="002955E6" w:rsidRDefault="000B781D" w14:paraId="02B553EA" w14:textId="77777777">
      <w:pPr>
        <w:spacing w:line="240" w:lineRule="auto"/>
        <w:ind w:left="360"/>
      </w:pPr>
      <w:r w:rsidRPr="00C61668">
        <w:t xml:space="preserve">The respondent types to be recruited for the </w:t>
      </w:r>
      <w:r w:rsidRPr="00C61668" w:rsidR="004B437E">
        <w:t>Online Assessment</w:t>
      </w:r>
      <w:r w:rsidRPr="00C61668">
        <w:t xml:space="preserve"> Instrument include </w:t>
      </w:r>
      <w:r w:rsidRPr="00C61668" w:rsidR="0073706B">
        <w:t>public health preparedness</w:t>
      </w:r>
      <w:r w:rsidRPr="00C61668" w:rsidR="0038316A">
        <w:t xml:space="preserve"> officials from </w:t>
      </w:r>
      <w:r w:rsidRPr="00C61668">
        <w:t xml:space="preserve">26 state </w:t>
      </w:r>
      <w:r w:rsidRPr="00C61668" w:rsidR="0038316A">
        <w:t>governments</w:t>
      </w:r>
      <w:r w:rsidRPr="00C61668">
        <w:t>, 24</w:t>
      </w:r>
      <w:r w:rsidRPr="00C61668" w:rsidR="0073706B">
        <w:t>4</w:t>
      </w:r>
      <w:r w:rsidRPr="00C61668">
        <w:t xml:space="preserve"> local </w:t>
      </w:r>
      <w:r w:rsidRPr="00C61668" w:rsidR="0038316A">
        <w:t>governments</w:t>
      </w:r>
      <w:r w:rsidRPr="00C61668">
        <w:t xml:space="preserve">, </w:t>
      </w:r>
      <w:r w:rsidRPr="00C61668" w:rsidR="0073706B">
        <w:t xml:space="preserve">and </w:t>
      </w:r>
      <w:r w:rsidRPr="00C61668">
        <w:t xml:space="preserve">8 territorial </w:t>
      </w:r>
      <w:r w:rsidRPr="00C61668" w:rsidR="0038316A">
        <w:t>governments</w:t>
      </w:r>
      <w:r w:rsidRPr="00C61668">
        <w:t xml:space="preserve">.  </w:t>
      </w:r>
    </w:p>
    <w:p w:rsidRPr="00C61668" w:rsidR="00816107" w:rsidP="002955E6" w:rsidRDefault="00816107" w14:paraId="7D1769A5" w14:textId="77777777">
      <w:pPr>
        <w:spacing w:line="240" w:lineRule="auto"/>
        <w:ind w:left="360"/>
      </w:pPr>
    </w:p>
    <w:p w:rsidRPr="00C61668" w:rsidR="004D70EE" w:rsidP="002955E6" w:rsidRDefault="000B781D" w14:paraId="425C373F" w14:textId="056C6C27">
      <w:pPr>
        <w:spacing w:line="240" w:lineRule="auto"/>
        <w:ind w:left="360"/>
      </w:pPr>
      <w:r w:rsidRPr="00C61668">
        <w:t xml:space="preserve">The respondent types to be recruited for the Semi-Structured Interview Guide Instrument </w:t>
      </w:r>
      <w:r w:rsidRPr="00C61668" w:rsidR="0073706B">
        <w:t>consist of</w:t>
      </w:r>
      <w:r w:rsidRPr="00C61668">
        <w:t xml:space="preserve"> </w:t>
      </w:r>
      <w:r w:rsidRPr="00C61668" w:rsidR="0073706B">
        <w:t xml:space="preserve">a small subset </w:t>
      </w:r>
      <w:r w:rsidRPr="00C61668" w:rsidR="0031137F">
        <w:t>(n=42</w:t>
      </w:r>
      <w:r w:rsidRPr="00C61668" w:rsidR="005B376B">
        <w:t>) who</w:t>
      </w:r>
      <w:bookmarkStart w:name="_GoBack" w:id="4"/>
      <w:bookmarkEnd w:id="4"/>
      <w:r w:rsidRPr="00C61668" w:rsidR="003E25A8">
        <w:t xml:space="preserve"> complete </w:t>
      </w:r>
      <w:r w:rsidRPr="00C61668" w:rsidR="0073706B">
        <w:t xml:space="preserve">the </w:t>
      </w:r>
      <w:r w:rsidRPr="00C61668" w:rsidR="004B437E">
        <w:t>Online Assessment</w:t>
      </w:r>
      <w:r w:rsidRPr="00C61668" w:rsidR="0073706B">
        <w:t xml:space="preserve"> Instrument</w:t>
      </w:r>
      <w:r w:rsidRPr="00C61668" w:rsidR="0031137F">
        <w:t xml:space="preserve"> and will include</w:t>
      </w:r>
      <w:r w:rsidRPr="00C61668" w:rsidR="0073706B">
        <w:t xml:space="preserve"> </w:t>
      </w:r>
      <w:r w:rsidRPr="00C61668">
        <w:t xml:space="preserve">5 state </w:t>
      </w:r>
      <w:r w:rsidRPr="00C61668" w:rsidR="00BD2EA1">
        <w:t>preparedness directors</w:t>
      </w:r>
      <w:r w:rsidRPr="00C61668">
        <w:t xml:space="preserve">, 1 territorial </w:t>
      </w:r>
      <w:r w:rsidRPr="00C61668" w:rsidR="00BD2EA1">
        <w:t>preparedness director</w:t>
      </w:r>
      <w:r w:rsidRPr="00C61668" w:rsidR="00A743AE">
        <w:t>,</w:t>
      </w:r>
      <w:r w:rsidRPr="00C61668">
        <w:t xml:space="preserve"> and </w:t>
      </w:r>
      <w:r w:rsidRPr="00C61668" w:rsidR="00BD2EA1">
        <w:t xml:space="preserve">36 </w:t>
      </w:r>
      <w:r w:rsidRPr="00C61668">
        <w:t xml:space="preserve">local </w:t>
      </w:r>
      <w:r w:rsidRPr="00C61668" w:rsidR="00BD2EA1">
        <w:t>preparedness coordinators</w:t>
      </w:r>
      <w:r w:rsidRPr="00C61668" w:rsidR="0038316A">
        <w:t xml:space="preserve">. </w:t>
      </w:r>
      <w:r w:rsidRPr="00C61668">
        <w:t xml:space="preserve"> </w:t>
      </w:r>
    </w:p>
    <w:p w:rsidRPr="00C61668" w:rsidR="008879D1" w:rsidP="002955E6" w:rsidRDefault="008879D1" w14:paraId="51F4904B" w14:textId="24217E46">
      <w:pPr>
        <w:spacing w:line="240" w:lineRule="auto"/>
        <w:ind w:left="360"/>
      </w:pPr>
    </w:p>
    <w:p w:rsidRPr="00C61668" w:rsidR="008879D1" w:rsidP="002955E6" w:rsidRDefault="004B437E" w14:paraId="33F6061E" w14:textId="2C44E961">
      <w:pPr>
        <w:spacing w:line="240" w:lineRule="auto"/>
        <w:ind w:left="360"/>
        <w:rPr>
          <w:b/>
          <w:bCs/>
        </w:rPr>
      </w:pPr>
      <w:r w:rsidRPr="00C61668">
        <w:rPr>
          <w:b/>
          <w:bCs/>
        </w:rPr>
        <w:t>Online Assessment</w:t>
      </w:r>
      <w:r w:rsidRPr="00C61668" w:rsidR="008879D1">
        <w:rPr>
          <w:b/>
          <w:bCs/>
        </w:rPr>
        <w:t xml:space="preserve"> Instrument</w:t>
      </w:r>
    </w:p>
    <w:p w:rsidR="008879D1" w:rsidP="002955E6" w:rsidRDefault="008879D1" w14:paraId="64280DAF" w14:textId="5DB1D7B3">
      <w:pPr>
        <w:spacing w:line="240" w:lineRule="auto"/>
        <w:ind w:left="360"/>
        <w:rPr>
          <w:color w:val="0070C0"/>
        </w:rPr>
      </w:pPr>
    </w:p>
    <w:p w:rsidRPr="00C61668" w:rsidR="008879D1" w:rsidP="002955E6" w:rsidRDefault="008879D1" w14:paraId="0AACD4C2" w14:textId="0F54CF90">
      <w:pPr>
        <w:spacing w:line="240" w:lineRule="auto"/>
        <w:ind w:left="360"/>
      </w:pPr>
      <w:r w:rsidRPr="00C61668">
        <w:t xml:space="preserve">A total </w:t>
      </w:r>
      <w:r w:rsidRPr="00C61668" w:rsidR="00277736">
        <w:t xml:space="preserve">of 278 </w:t>
      </w:r>
      <w:r w:rsidRPr="00C61668">
        <w:t xml:space="preserve">respondents will receive the </w:t>
      </w:r>
      <w:r w:rsidRPr="00C61668" w:rsidR="004B437E">
        <w:t>Online Assessment</w:t>
      </w:r>
      <w:r w:rsidRPr="00C61668" w:rsidR="0073706B">
        <w:t xml:space="preserve"> Instrument</w:t>
      </w:r>
      <w:r w:rsidRPr="00C61668">
        <w:t xml:space="preserve">.  The selection </w:t>
      </w:r>
      <w:r w:rsidRPr="00C61668" w:rsidR="004B5AD6">
        <w:t>c</w:t>
      </w:r>
      <w:r w:rsidRPr="00C61668">
        <w:t>riteria for this sample is as follows:</w:t>
      </w:r>
    </w:p>
    <w:p w:rsidRPr="00C61668" w:rsidR="008879D1" w:rsidP="008879D1" w:rsidRDefault="00277736" w14:paraId="33B96C0F" w14:textId="0DFC6443">
      <w:pPr>
        <w:pStyle w:val="ListParagraph"/>
        <w:numPr>
          <w:ilvl w:val="0"/>
          <w:numId w:val="39"/>
        </w:numPr>
        <w:spacing w:line="240" w:lineRule="auto"/>
      </w:pPr>
      <w:r w:rsidRPr="00C61668">
        <w:t>Six</w:t>
      </w:r>
      <w:r w:rsidRPr="00C61668" w:rsidR="00687F52">
        <w:t xml:space="preserve"> states will be randomly selected from each of the 4 U.S. Census regions, with 2 additional states randomly selected from the more populous Southern region. The state public health preparedness director in each of the 26 sampled states will receive the </w:t>
      </w:r>
      <w:r w:rsidRPr="00C61668" w:rsidR="004B437E">
        <w:t>assessment</w:t>
      </w:r>
      <w:r w:rsidRPr="00C61668" w:rsidR="00687F52">
        <w:t xml:space="preserve">.   </w:t>
      </w:r>
    </w:p>
    <w:p w:rsidRPr="00C61668" w:rsidR="008879D1" w:rsidP="008879D1" w:rsidRDefault="006D7A2B" w14:paraId="4B5EA0E6" w14:textId="269F1EEE">
      <w:pPr>
        <w:pStyle w:val="ListParagraph"/>
        <w:numPr>
          <w:ilvl w:val="0"/>
          <w:numId w:val="39"/>
        </w:numPr>
        <w:spacing w:line="240" w:lineRule="auto"/>
      </w:pPr>
      <w:r w:rsidRPr="00C61668">
        <w:t xml:space="preserve">U.S. local government public health agencies will be stratified into the 4 U.S. Census regions, and further stratified into metropolitan, micropolitan, and non-metropolitan area classifications based on Census definitions, for a total of 12 strata.  From each of the 12 strata, 20 local health departments will be randomly selected without replacement, for a total of 240 agencies.   The designated local PHEP coordinator in each selected local agency will receive the </w:t>
      </w:r>
      <w:r w:rsidRPr="00C61668" w:rsidR="004B437E">
        <w:t xml:space="preserve">assessment. </w:t>
      </w:r>
    </w:p>
    <w:p w:rsidRPr="00C61668" w:rsidR="008879D1" w:rsidP="008879D1" w:rsidRDefault="006D7A2B" w14:paraId="7761F3D8" w14:textId="417259F7">
      <w:pPr>
        <w:pStyle w:val="ListParagraph"/>
        <w:numPr>
          <w:ilvl w:val="0"/>
          <w:numId w:val="39"/>
        </w:numPr>
        <w:spacing w:line="240" w:lineRule="auto"/>
      </w:pPr>
      <w:r w:rsidRPr="00C61668">
        <w:t xml:space="preserve">The local public health preparedness director in each of the four large metropolitan local public health agencies that are directly funded by the CDC PHEP program (New York, District of Columbia, Los Angeles, and Chicago) will be purposefully selected to receive the </w:t>
      </w:r>
      <w:r w:rsidRPr="00C61668" w:rsidR="004B437E">
        <w:t>assessment</w:t>
      </w:r>
      <w:r w:rsidRPr="00C61668">
        <w:t xml:space="preserve">.  </w:t>
      </w:r>
    </w:p>
    <w:p w:rsidRPr="00C61668" w:rsidR="006D7A2B" w:rsidP="008879D1" w:rsidRDefault="006D7A2B" w14:paraId="334CF6CB" w14:textId="5AF239D6">
      <w:pPr>
        <w:pStyle w:val="ListParagraph"/>
        <w:numPr>
          <w:ilvl w:val="0"/>
          <w:numId w:val="39"/>
        </w:numPr>
        <w:spacing w:line="240" w:lineRule="auto"/>
      </w:pPr>
      <w:r w:rsidRPr="00C61668">
        <w:t xml:space="preserve">The territorial public health preparedness director in each of the 8 U.S. territories that receive CDC PHEP program funding will be purposefully selected to receive the </w:t>
      </w:r>
      <w:r w:rsidRPr="00C61668" w:rsidR="004B437E">
        <w:t>assessment</w:t>
      </w:r>
      <w:r w:rsidRPr="00C61668">
        <w:t xml:space="preserve">.  </w:t>
      </w:r>
    </w:p>
    <w:p w:rsidR="008879D1" w:rsidP="008879D1" w:rsidRDefault="008879D1" w14:paraId="67EF592E" w14:textId="2BB60B7E">
      <w:pPr>
        <w:spacing w:line="240" w:lineRule="auto"/>
        <w:ind w:left="0"/>
        <w:rPr>
          <w:color w:val="0070C0"/>
        </w:rPr>
      </w:pPr>
    </w:p>
    <w:p w:rsidRPr="00C61668" w:rsidR="008879D1" w:rsidP="00703B67" w:rsidRDefault="00703B67" w14:paraId="01E39D9F" w14:textId="449FB90A">
      <w:pPr>
        <w:spacing w:line="240" w:lineRule="auto"/>
        <w:ind w:left="360"/>
        <w:rPr>
          <w:b/>
          <w:bCs/>
        </w:rPr>
      </w:pPr>
      <w:r w:rsidRPr="00C61668">
        <w:rPr>
          <w:b/>
          <w:bCs/>
        </w:rPr>
        <w:t>Semi-Structured</w:t>
      </w:r>
      <w:r w:rsidRPr="00C61668" w:rsidR="001E582E">
        <w:rPr>
          <w:b/>
          <w:bCs/>
        </w:rPr>
        <w:t xml:space="preserve"> </w:t>
      </w:r>
      <w:r w:rsidRPr="00C61668" w:rsidR="008879D1">
        <w:rPr>
          <w:b/>
          <w:bCs/>
        </w:rPr>
        <w:t>Interview Guide</w:t>
      </w:r>
    </w:p>
    <w:p w:rsidRPr="00C61668" w:rsidR="008879D1" w:rsidP="00703B67" w:rsidRDefault="008879D1" w14:paraId="37DB8450" w14:textId="2D19AFC3">
      <w:pPr>
        <w:spacing w:line="240" w:lineRule="auto"/>
        <w:ind w:left="360"/>
      </w:pPr>
    </w:p>
    <w:p w:rsidRPr="00C61668" w:rsidR="00953C81" w:rsidP="00703B67" w:rsidRDefault="006654C5" w14:paraId="6C2B6B7A" w14:textId="5C6104AD">
      <w:pPr>
        <w:spacing w:line="240" w:lineRule="auto"/>
        <w:ind w:left="360"/>
      </w:pPr>
      <w:r w:rsidRPr="00C61668">
        <w:t xml:space="preserve">Respondents from five </w:t>
      </w:r>
      <w:r w:rsidRPr="00C61668" w:rsidR="00E76216">
        <w:t xml:space="preserve">state </w:t>
      </w:r>
      <w:r w:rsidRPr="00C61668">
        <w:t xml:space="preserve">jurisdictions </w:t>
      </w:r>
      <w:r w:rsidRPr="00C61668" w:rsidR="00E76216">
        <w:t xml:space="preserve">and </w:t>
      </w:r>
      <w:r w:rsidRPr="00C61668">
        <w:t xml:space="preserve">one </w:t>
      </w:r>
      <w:r w:rsidRPr="00C61668" w:rsidR="00E76216">
        <w:t xml:space="preserve">territorial jurisdiction </w:t>
      </w:r>
      <w:r w:rsidRPr="00C61668" w:rsidR="00953C81">
        <w:t>will be selected to participate in interviews</w:t>
      </w:r>
      <w:r w:rsidRPr="00C61668">
        <w:t>. These selected jurisdictions are</w:t>
      </w:r>
      <w:r w:rsidRPr="00C61668" w:rsidR="00E76216">
        <w:t xml:space="preserve"> California, Florida, Kentucky, New York, Texas, and Puerto Rico</w:t>
      </w:r>
      <w:r w:rsidRPr="00C61668" w:rsidR="00953C81">
        <w:t xml:space="preserve">. </w:t>
      </w:r>
      <w:r w:rsidRPr="00C61668" w:rsidR="00E76216">
        <w:t>These jurisdictions were</w:t>
      </w:r>
      <w:r w:rsidRPr="00C61668" w:rsidR="00953C81">
        <w:t xml:space="preserve"> purposefully selected to reflect diversity in geographic region, and </w:t>
      </w:r>
      <w:r w:rsidRPr="00C61668" w:rsidR="00E76216">
        <w:t xml:space="preserve">recent </w:t>
      </w:r>
      <w:r w:rsidRPr="00C61668" w:rsidR="00953C81">
        <w:t xml:space="preserve">past experience with public health emergencies. Within each </w:t>
      </w:r>
      <w:r w:rsidRPr="00C61668" w:rsidR="00E76216">
        <w:lastRenderedPageBreak/>
        <w:t>jurisdiction</w:t>
      </w:r>
      <w:r w:rsidRPr="00C61668" w:rsidR="00953C81">
        <w:t xml:space="preserve">, 7 individuals will be </w:t>
      </w:r>
      <w:r w:rsidRPr="00C61668">
        <w:t xml:space="preserve">purposefully </w:t>
      </w:r>
      <w:r w:rsidRPr="00C61668" w:rsidR="00953C81">
        <w:t xml:space="preserve">selected to participate in interviews, resulting in a total of 42 respondents for the semi-structured interview portion of this information collection. </w:t>
      </w:r>
      <w:r w:rsidRPr="00C61668">
        <w:t xml:space="preserve"> These respondents will be selected from the larger pool of respondents that respond to the Online Assessment Instrument</w:t>
      </w:r>
      <w:r w:rsidRPr="00C61668" w:rsidR="008416A3">
        <w:t xml:space="preserve"> to as to achieve diversity with respect to rural and urban jurisdiction designation and familiarity and experiences with the Index use as reported in the Online Assessment</w:t>
      </w:r>
      <w:r w:rsidRPr="00C61668">
        <w:t xml:space="preserve">.  </w:t>
      </w:r>
    </w:p>
    <w:p w:rsidRPr="00C61668" w:rsidR="00953C81" w:rsidP="00703B67" w:rsidRDefault="00953C81" w14:paraId="67A95B03" w14:textId="77777777">
      <w:pPr>
        <w:spacing w:line="240" w:lineRule="auto"/>
        <w:ind w:left="360"/>
      </w:pPr>
    </w:p>
    <w:p w:rsidRPr="00C61668" w:rsidR="008879D1" w:rsidP="00703B67" w:rsidRDefault="008879D1" w14:paraId="6DD76D02" w14:textId="2CD7FAF3">
      <w:pPr>
        <w:spacing w:line="240" w:lineRule="auto"/>
        <w:ind w:left="360"/>
      </w:pPr>
      <w:r w:rsidRPr="00C61668">
        <w:t xml:space="preserve">The selection </w:t>
      </w:r>
      <w:r w:rsidRPr="00C61668" w:rsidR="00FD4902">
        <w:t>c</w:t>
      </w:r>
      <w:r w:rsidRPr="00C61668">
        <w:t>riteria for</w:t>
      </w:r>
      <w:r w:rsidRPr="00C61668" w:rsidR="001E582E">
        <w:t xml:space="preserve"> </w:t>
      </w:r>
      <w:r w:rsidRPr="00C61668" w:rsidR="006D1763">
        <w:t>respondents</w:t>
      </w:r>
      <w:r w:rsidRPr="00C61668">
        <w:t xml:space="preserve"> </w:t>
      </w:r>
      <w:r w:rsidRPr="00C61668" w:rsidR="006D1763">
        <w:t xml:space="preserve">in each state/territory </w:t>
      </w:r>
      <w:r w:rsidRPr="00C61668">
        <w:t>is as follows:</w:t>
      </w:r>
    </w:p>
    <w:p w:rsidRPr="00C61668" w:rsidR="008879D1" w:rsidP="008879D1" w:rsidRDefault="006D1763" w14:paraId="7C7DE3C1" w14:textId="74C306C1">
      <w:pPr>
        <w:numPr>
          <w:ilvl w:val="0"/>
          <w:numId w:val="39"/>
        </w:numPr>
        <w:spacing w:line="240" w:lineRule="auto"/>
      </w:pPr>
      <w:r w:rsidRPr="00C61668">
        <w:t xml:space="preserve">The director of public health preparedness </w:t>
      </w:r>
      <w:r w:rsidRPr="00C61668" w:rsidR="006654C5">
        <w:t xml:space="preserve">for </w:t>
      </w:r>
      <w:r w:rsidRPr="00C61668">
        <w:t xml:space="preserve">each selected state and territory.  </w:t>
      </w:r>
    </w:p>
    <w:p w:rsidRPr="00C61668" w:rsidR="008879D1" w:rsidP="008879D1" w:rsidRDefault="00226965" w14:paraId="04975109" w14:textId="7B543C8A">
      <w:pPr>
        <w:numPr>
          <w:ilvl w:val="0"/>
          <w:numId w:val="39"/>
        </w:numPr>
        <w:spacing w:line="240" w:lineRule="auto"/>
      </w:pPr>
      <w:r w:rsidRPr="00C61668">
        <w:t>Three</w:t>
      </w:r>
      <w:r w:rsidRPr="00C61668" w:rsidR="006D1763">
        <w:t xml:space="preserve"> local public health preparedness </w:t>
      </w:r>
      <w:r w:rsidRPr="00C61668" w:rsidR="00A743AE">
        <w:t xml:space="preserve">coordinators </w:t>
      </w:r>
      <w:r w:rsidRPr="00C61668" w:rsidR="006D1763">
        <w:t>that serve rural jurisdiction</w:t>
      </w:r>
      <w:r w:rsidRPr="00C61668" w:rsidR="00A743AE">
        <w:t>s</w:t>
      </w:r>
      <w:r w:rsidRPr="00C61668" w:rsidR="006D1763">
        <w:t xml:space="preserve"> in each selected state and territory</w:t>
      </w:r>
      <w:r w:rsidRPr="00C61668" w:rsidR="006654C5">
        <w:t>, and that responded to the Online Assessment Instrument</w:t>
      </w:r>
      <w:r w:rsidRPr="00C61668" w:rsidR="006D1763">
        <w:t xml:space="preserve">. </w:t>
      </w:r>
      <w:r w:rsidRPr="00C61668" w:rsidR="006654C5">
        <w:t xml:space="preserve"> </w:t>
      </w:r>
    </w:p>
    <w:p w:rsidRPr="00C61668" w:rsidR="006D1763" w:rsidP="006D1763" w:rsidRDefault="00226965" w14:paraId="75AC4C82" w14:textId="78E70914">
      <w:pPr>
        <w:numPr>
          <w:ilvl w:val="0"/>
          <w:numId w:val="39"/>
        </w:numPr>
        <w:spacing w:line="240" w:lineRule="auto"/>
      </w:pPr>
      <w:r w:rsidRPr="00C61668">
        <w:t>Three</w:t>
      </w:r>
      <w:r w:rsidRPr="00C61668" w:rsidR="006D1763">
        <w:t xml:space="preserve"> local public health preparedness </w:t>
      </w:r>
      <w:r w:rsidRPr="00C61668" w:rsidR="00A743AE">
        <w:t xml:space="preserve">coordinators </w:t>
      </w:r>
      <w:r w:rsidRPr="00C61668" w:rsidR="006D1763">
        <w:t>that serve urban jurisdiction</w:t>
      </w:r>
      <w:r w:rsidRPr="00C61668" w:rsidR="00A743AE">
        <w:t>s</w:t>
      </w:r>
      <w:r w:rsidRPr="00C61668" w:rsidR="006D1763">
        <w:t xml:space="preserve"> in each selected state and territory</w:t>
      </w:r>
      <w:r w:rsidRPr="00C61668" w:rsidR="006654C5">
        <w:t>, and that responded to the Online Assessment Instrument.</w:t>
      </w:r>
      <w:r w:rsidRPr="00C61668" w:rsidR="006D1763">
        <w:t xml:space="preserve"> </w:t>
      </w:r>
    </w:p>
    <w:p w:rsidR="00E601B1" w:rsidP="002955E6" w:rsidRDefault="00E601B1" w14:paraId="6193CB59" w14:textId="5E527DAA">
      <w:pPr>
        <w:spacing w:line="240" w:lineRule="auto"/>
        <w:ind w:left="360"/>
        <w:rPr>
          <w:color w:val="0070C0"/>
        </w:rPr>
      </w:pPr>
    </w:p>
    <w:p w:rsidRPr="00C61668" w:rsidR="00277736" w:rsidP="00277736" w:rsidRDefault="00277736" w14:paraId="06761472" w14:textId="05E4C092">
      <w:pPr>
        <w:spacing w:line="240" w:lineRule="auto"/>
        <w:ind w:left="360"/>
      </w:pPr>
      <w:r w:rsidRPr="00C61668">
        <w:t xml:space="preserve">The total number of unique respondents to be recruited for qualitative data collection using the Semi-Structured Interview Guide Instrument will be 42 persons.  Respondents will be </w:t>
      </w:r>
      <w:r w:rsidRPr="00C61668" w:rsidR="00E76216">
        <w:t xml:space="preserve">assigned </w:t>
      </w:r>
      <w:r w:rsidRPr="00C61668">
        <w:t xml:space="preserve">to </w:t>
      </w:r>
      <w:r w:rsidRPr="00C61668" w:rsidR="00E76216">
        <w:t xml:space="preserve">one of </w:t>
      </w:r>
      <w:r w:rsidRPr="00C61668">
        <w:t xml:space="preserve">three respondent subgroups corresponding to the three types of qualitative data to be collected using the Semi-Structured Interview Guide Instrument: </w:t>
      </w:r>
    </w:p>
    <w:p w:rsidRPr="00C61668" w:rsidR="00277736" w:rsidP="00277736" w:rsidRDefault="00277736" w14:paraId="7AFB162D" w14:textId="77777777">
      <w:pPr>
        <w:spacing w:line="240" w:lineRule="auto"/>
        <w:rPr>
          <w:rFonts w:eastAsia="MalgunGothicBold" w:cs="MalgunGothicBold"/>
          <w:bCs/>
        </w:rPr>
      </w:pPr>
      <w:r w:rsidRPr="00C61668">
        <w:t xml:space="preserve">Subgroup 1: </w:t>
      </w:r>
      <w:r w:rsidRPr="00C61668">
        <w:rPr>
          <w:rFonts w:eastAsia="MalgunGothicBold" w:cs="MalgunGothicBold"/>
          <w:bCs/>
        </w:rPr>
        <w:t>Index Use and Utility Subgroup: key informant interviews 18 respondents</w:t>
      </w:r>
    </w:p>
    <w:p w:rsidRPr="00C61668" w:rsidR="00277736" w:rsidP="00277736" w:rsidRDefault="00277736" w14:paraId="0D8EC878" w14:textId="62F5CE27">
      <w:pPr>
        <w:spacing w:line="240" w:lineRule="auto"/>
        <w:rPr>
          <w:rFonts w:eastAsia="MalgunGothicBold" w:cs="MalgunGothicBold"/>
          <w:bCs/>
        </w:rPr>
      </w:pPr>
      <w:r w:rsidRPr="00C61668">
        <w:t xml:space="preserve">Subgroup 2: </w:t>
      </w:r>
      <w:r w:rsidRPr="00C61668">
        <w:rPr>
          <w:rFonts w:eastAsia="MalgunGothicBold" w:cs="MalgunGothicBold"/>
          <w:bCs/>
        </w:rPr>
        <w:t>Core Metrics Subgroup key informant interviews 18 respondents</w:t>
      </w:r>
    </w:p>
    <w:p w:rsidRPr="00C61668" w:rsidR="00277736" w:rsidP="00277736" w:rsidRDefault="00277736" w14:paraId="39AD4A7B" w14:textId="1A0CF037">
      <w:pPr>
        <w:spacing w:line="240" w:lineRule="auto"/>
        <w:rPr>
          <w:rFonts w:eastAsia="MalgunGothicBold" w:cs="MalgunGothicBold"/>
          <w:bCs/>
        </w:rPr>
      </w:pPr>
      <w:r w:rsidRPr="00C61668">
        <w:t>Sub</w:t>
      </w:r>
      <w:r w:rsidRPr="00C61668">
        <w:rPr>
          <w:rFonts w:eastAsia="MalgunGothicBold" w:cs="MalgunGothicBold"/>
          <w:bCs/>
        </w:rPr>
        <w:t>group 3:</w:t>
      </w:r>
      <w:r w:rsidRPr="00C61668" w:rsidR="00A743AE">
        <w:rPr>
          <w:rFonts w:eastAsia="MalgunGothicBold" w:cs="MalgunGothicBold"/>
          <w:bCs/>
        </w:rPr>
        <w:t xml:space="preserve"> I</w:t>
      </w:r>
      <w:r w:rsidRPr="00C61668">
        <w:rPr>
          <w:rFonts w:eastAsia="MalgunGothicBold" w:cs="MalgunGothicBold"/>
          <w:bCs/>
        </w:rPr>
        <w:t xml:space="preserve">ndex Tools Subgroup: 8 </w:t>
      </w:r>
      <w:r w:rsidRPr="00C61668" w:rsidR="00A743AE">
        <w:rPr>
          <w:rFonts w:eastAsia="MalgunGothicBold" w:cs="MalgunGothicBold"/>
          <w:bCs/>
        </w:rPr>
        <w:t>key informant interviews</w:t>
      </w:r>
      <w:r w:rsidRPr="00C61668">
        <w:rPr>
          <w:rFonts w:eastAsia="MalgunGothicBold" w:cs="MalgunGothicBold"/>
          <w:bCs/>
        </w:rPr>
        <w:t xml:space="preserve">. </w:t>
      </w:r>
    </w:p>
    <w:p w:rsidRPr="00C61668" w:rsidR="00277736" w:rsidP="004522B1" w:rsidRDefault="00CC10EC" w14:paraId="480F34F0" w14:textId="33BC424F">
      <w:pPr>
        <w:spacing w:line="240" w:lineRule="auto"/>
        <w:ind w:left="360"/>
        <w:rPr>
          <w:rFonts w:eastAsia="MalgunGothicBold" w:cs="MalgunGothicBold"/>
          <w:bCs/>
        </w:rPr>
      </w:pPr>
      <w:r w:rsidRPr="00C61668">
        <w:t>Respondents will be assigned to one of the three subgroups based on their knowledge and use of the Index as self-reported on the Online Assessment</w:t>
      </w:r>
      <w:r w:rsidRPr="00C61668" w:rsidR="00484112">
        <w:t xml:space="preserve"> </w:t>
      </w:r>
      <w:r w:rsidRPr="00C61668" w:rsidR="008416A3">
        <w:t xml:space="preserve">and </w:t>
      </w:r>
      <w:r w:rsidRPr="00C61668" w:rsidR="00484112">
        <w:t>based on the recommendation of the state PHEP director</w:t>
      </w:r>
      <w:r w:rsidRPr="00C61668">
        <w:t xml:space="preserve">.  </w:t>
      </w:r>
      <w:r w:rsidRPr="00C61668" w:rsidR="006654C5">
        <w:t xml:space="preserve">Each respondent will be asked to answer only the questions for their assigned subgroup and will not be asked to answer questions for other subgroups.  </w:t>
      </w:r>
    </w:p>
    <w:p w:rsidRPr="00190EB1" w:rsidR="0038316A" w:rsidP="002955E6" w:rsidRDefault="0038316A" w14:paraId="188C8794" w14:textId="77777777">
      <w:pPr>
        <w:spacing w:line="240" w:lineRule="auto"/>
        <w:ind w:left="360"/>
        <w:rPr>
          <w:color w:val="0070C0"/>
        </w:rPr>
      </w:pPr>
    </w:p>
    <w:p w:rsidR="00F52BCC" w:rsidP="002955E6" w:rsidRDefault="00F52BCC" w14:paraId="16B82430" w14:textId="77777777">
      <w:pPr>
        <w:spacing w:line="240" w:lineRule="auto"/>
        <w:ind w:left="360"/>
      </w:pPr>
    </w:p>
    <w:p w:rsidRPr="009759F3" w:rsidR="00287E2F" w:rsidP="002955E6" w:rsidRDefault="00287E2F" w14:paraId="315101AE" w14:textId="77777777">
      <w:pPr>
        <w:pStyle w:val="Heading4"/>
        <w:spacing w:after="0" w:line="240" w:lineRule="auto"/>
      </w:pPr>
      <w:bookmarkStart w:name="_Toc413847912" w:id="5"/>
      <w:r w:rsidRPr="009759F3">
        <w:t xml:space="preserve">Procedures for </w:t>
      </w:r>
      <w:r w:rsidRPr="009759F3" w:rsidR="009759F3">
        <w:t xml:space="preserve">the </w:t>
      </w:r>
      <w:r w:rsidRPr="009759F3">
        <w:t>Collecti</w:t>
      </w:r>
      <w:r w:rsidRPr="009759F3" w:rsidR="009759F3">
        <w:t>on</w:t>
      </w:r>
      <w:r w:rsidRPr="009759F3">
        <w:t xml:space="preserve"> of Information</w:t>
      </w:r>
      <w:bookmarkEnd w:id="5"/>
      <w:r w:rsidRPr="009759F3" w:rsidR="00F725B5">
        <w:t xml:space="preserve"> </w:t>
      </w:r>
      <w:r w:rsidRPr="009759F3" w:rsidR="009759F3">
        <w:t xml:space="preserve">  </w:t>
      </w:r>
    </w:p>
    <w:p w:rsidRPr="00C61668" w:rsidR="001D461D" w:rsidP="002955E6" w:rsidRDefault="001D461D" w14:paraId="260C996C" w14:textId="77777777">
      <w:pPr>
        <w:spacing w:line="240" w:lineRule="auto"/>
        <w:ind w:left="360"/>
      </w:pPr>
    </w:p>
    <w:p w:rsidRPr="009011A8" w:rsidR="00E33BBA" w:rsidP="00E33BBA" w:rsidRDefault="00E33BBA" w14:paraId="71219EF4" w14:textId="2BF5746E">
      <w:pPr>
        <w:ind w:left="360"/>
      </w:pPr>
      <w:r w:rsidRPr="00C61668">
        <w:t xml:space="preserve">Data will be collected via </w:t>
      </w:r>
      <w:r w:rsidRPr="00C61668" w:rsidR="008B627F">
        <w:t xml:space="preserve">an </w:t>
      </w:r>
      <w:r w:rsidRPr="00C61668" w:rsidR="000631D1">
        <w:t>online assessment</w:t>
      </w:r>
      <w:r w:rsidRPr="00C61668" w:rsidR="00226965">
        <w:t xml:space="preserve"> and</w:t>
      </w:r>
      <w:r w:rsidRPr="00C61668" w:rsidR="008B627F">
        <w:t xml:space="preserve"> key informant interviews,</w:t>
      </w:r>
      <w:r w:rsidRPr="00C61668">
        <w:t xml:space="preserve"> and respondents will be recruited through a notification (see </w:t>
      </w:r>
      <w:r w:rsidRPr="00C61668">
        <w:rPr>
          <w:b/>
        </w:rPr>
        <w:t xml:space="preserve">Attachment </w:t>
      </w:r>
      <w:r w:rsidRPr="00C61668" w:rsidR="005F0CDF">
        <w:rPr>
          <w:b/>
        </w:rPr>
        <w:t>D</w:t>
      </w:r>
      <w:r w:rsidRPr="00C61668">
        <w:rPr>
          <w:b/>
        </w:rPr>
        <w:t>—</w:t>
      </w:r>
      <w:r w:rsidRPr="00C61668" w:rsidR="00BA46A8">
        <w:rPr>
          <w:b/>
        </w:rPr>
        <w:t>Online Assessment</w:t>
      </w:r>
      <w:r w:rsidRPr="00C61668" w:rsidR="008B627F">
        <w:rPr>
          <w:b/>
        </w:rPr>
        <w:t xml:space="preserve"> Information Letter</w:t>
      </w:r>
      <w:r w:rsidRPr="00C61668" w:rsidR="00BA46A8">
        <w:rPr>
          <w:b/>
        </w:rPr>
        <w:t xml:space="preserve"> </w:t>
      </w:r>
      <w:r w:rsidRPr="00C61668" w:rsidR="00BA46A8">
        <w:rPr>
          <w:bCs/>
        </w:rPr>
        <w:t>and</w:t>
      </w:r>
      <w:r w:rsidRPr="00C61668" w:rsidR="00BA46A8">
        <w:rPr>
          <w:b/>
        </w:rPr>
        <w:t xml:space="preserve"> Attachment </w:t>
      </w:r>
      <w:r w:rsidRPr="00C61668" w:rsidR="005F0CDF">
        <w:rPr>
          <w:b/>
        </w:rPr>
        <w:t>E</w:t>
      </w:r>
      <w:r w:rsidRPr="00C61668" w:rsidR="00BA46A8">
        <w:rPr>
          <w:b/>
        </w:rPr>
        <w:t>—Interview Information Letter</w:t>
      </w:r>
      <w:r w:rsidRPr="00C61668">
        <w:t xml:space="preserve">) to the respondent universe.  The </w:t>
      </w:r>
      <w:r w:rsidRPr="009011A8">
        <w:t xml:space="preserve">notification email will explain: </w:t>
      </w:r>
    </w:p>
    <w:p w:rsidR="00E33BBA" w:rsidP="00E33BBA" w:rsidRDefault="00E33BBA" w14:paraId="31DBDEB8" w14:textId="1EE9F79A">
      <w:pPr>
        <w:pStyle w:val="ListParagraph"/>
        <w:numPr>
          <w:ilvl w:val="0"/>
          <w:numId w:val="24"/>
        </w:numPr>
        <w:ind w:left="1080"/>
      </w:pPr>
      <w:r w:rsidRPr="009011A8">
        <w:t xml:space="preserve">The purpose of the </w:t>
      </w:r>
      <w:r w:rsidR="006C1771">
        <w:t>data collection</w:t>
      </w:r>
      <w:r w:rsidRPr="009011A8">
        <w:t xml:space="preserve">, and why their participation is important </w:t>
      </w:r>
    </w:p>
    <w:p w:rsidRPr="009011A8" w:rsidR="00E33BBA" w:rsidP="00E33BBA" w:rsidRDefault="00E33BBA" w14:paraId="5AFBF7DB" w14:textId="77777777">
      <w:pPr>
        <w:pStyle w:val="ListParagraph"/>
        <w:numPr>
          <w:ilvl w:val="0"/>
          <w:numId w:val="24"/>
        </w:numPr>
        <w:ind w:left="1080"/>
      </w:pPr>
      <w:r>
        <w:t>Instructions for participating</w:t>
      </w:r>
    </w:p>
    <w:p w:rsidRPr="009011A8" w:rsidR="00E33BBA" w:rsidP="00E33BBA" w:rsidRDefault="00E33BBA" w14:paraId="0F60838C" w14:textId="77777777">
      <w:pPr>
        <w:pStyle w:val="ListParagraph"/>
        <w:numPr>
          <w:ilvl w:val="0"/>
          <w:numId w:val="24"/>
        </w:numPr>
        <w:ind w:left="1080"/>
      </w:pPr>
      <w:r w:rsidRPr="009011A8">
        <w:t xml:space="preserve">Method to safeguard their responses </w:t>
      </w:r>
    </w:p>
    <w:p w:rsidRPr="009011A8" w:rsidR="00E33BBA" w:rsidP="00E33BBA" w:rsidRDefault="00E33BBA" w14:paraId="04A3566C" w14:textId="77777777">
      <w:pPr>
        <w:pStyle w:val="ListParagraph"/>
        <w:numPr>
          <w:ilvl w:val="0"/>
          <w:numId w:val="24"/>
        </w:numPr>
        <w:ind w:left="1080"/>
      </w:pPr>
      <w:r w:rsidRPr="009011A8">
        <w:t>That participation is voluntary</w:t>
      </w:r>
    </w:p>
    <w:p w:rsidR="000279A9" w:rsidP="000279A9" w:rsidRDefault="00E33BBA" w14:paraId="1AA9CF1B" w14:textId="13FB9525">
      <w:pPr>
        <w:pStyle w:val="ListParagraph"/>
        <w:numPr>
          <w:ilvl w:val="0"/>
          <w:numId w:val="24"/>
        </w:numPr>
        <w:ind w:left="1080"/>
      </w:pPr>
      <w:r w:rsidRPr="009011A8">
        <w:t xml:space="preserve">The expected time to complete the </w:t>
      </w:r>
      <w:r w:rsidR="006C1771">
        <w:t>instrument</w:t>
      </w:r>
      <w:r w:rsidRPr="009011A8">
        <w:t xml:space="preserve"> </w:t>
      </w:r>
    </w:p>
    <w:p w:rsidR="00691031" w:rsidP="000279A9" w:rsidRDefault="00E33BBA" w14:paraId="1617C7CB" w14:textId="421FA2EB">
      <w:pPr>
        <w:pStyle w:val="ListParagraph"/>
        <w:numPr>
          <w:ilvl w:val="0"/>
          <w:numId w:val="24"/>
        </w:numPr>
        <w:ind w:left="1080"/>
      </w:pPr>
      <w:r w:rsidRPr="009011A8">
        <w:t xml:space="preserve">Contact information for the </w:t>
      </w:r>
      <w:r w:rsidR="006C1771">
        <w:t>project</w:t>
      </w:r>
      <w:r w:rsidRPr="009011A8">
        <w:t xml:space="preserve"> team</w:t>
      </w:r>
    </w:p>
    <w:p w:rsidR="00691031" w:rsidP="002955E6" w:rsidRDefault="00691031" w14:paraId="29586EB8" w14:textId="77777777">
      <w:pPr>
        <w:spacing w:line="240" w:lineRule="auto"/>
        <w:ind w:left="360"/>
      </w:pPr>
    </w:p>
    <w:p w:rsidRPr="00C61668" w:rsidR="0090787B" w:rsidP="002955E6" w:rsidRDefault="0052050C" w14:paraId="0ACA0E57" w14:textId="719DB709">
      <w:pPr>
        <w:spacing w:line="240" w:lineRule="auto"/>
        <w:ind w:left="360"/>
      </w:pPr>
      <w:r w:rsidRPr="00C61668">
        <w:t xml:space="preserve">For the </w:t>
      </w:r>
      <w:r w:rsidRPr="00C61668" w:rsidR="000631D1">
        <w:t>Online Assessment</w:t>
      </w:r>
      <w:r w:rsidRPr="00C61668">
        <w:t xml:space="preserve"> Instrument data collection process, </w:t>
      </w:r>
      <w:r w:rsidRPr="00C61668" w:rsidR="0090787B">
        <w:t xml:space="preserve">all sampled </w:t>
      </w:r>
      <w:r w:rsidRPr="00C61668">
        <w:t>respondents will be emailed and mailed the Study Information Letter</w:t>
      </w:r>
      <w:r w:rsidRPr="00C61668" w:rsidR="00EE441D">
        <w:t xml:space="preserve"> </w:t>
      </w:r>
      <w:r w:rsidRPr="00C61668" w:rsidR="00226965">
        <w:t xml:space="preserve">(Attachment </w:t>
      </w:r>
      <w:r w:rsidRPr="00C61668" w:rsidR="005F0CDF">
        <w:t>D</w:t>
      </w:r>
      <w:r w:rsidRPr="00C61668" w:rsidR="00226965">
        <w:t xml:space="preserve">) to ensure that respondents are contacted in the event of incorrect or blocked email addresses.  The Letter </w:t>
      </w:r>
      <w:r w:rsidRPr="00C61668" w:rsidR="00EE441D">
        <w:t>includes information on how to opt out immediately from the study via email, phone, or web link</w:t>
      </w:r>
      <w:r w:rsidRPr="00C61668" w:rsidR="00690BAE">
        <w:t>, and how to nominate an alternative respondent from the sampled agency</w:t>
      </w:r>
      <w:r w:rsidRPr="00C61668" w:rsidR="00EE441D">
        <w:t xml:space="preserve">. Approximately one week later, respondents who do not opt out will receive a second email containing the secure, </w:t>
      </w:r>
      <w:r w:rsidRPr="00C61668" w:rsidR="00EE441D">
        <w:lastRenderedPageBreak/>
        <w:t>encrypted REDCAP web link</w:t>
      </w:r>
      <w:r w:rsidRPr="00C61668">
        <w:t xml:space="preserve"> </w:t>
      </w:r>
      <w:r w:rsidRPr="00C61668" w:rsidR="00EE441D">
        <w:t xml:space="preserve">to the </w:t>
      </w:r>
      <w:r w:rsidRPr="00C61668" w:rsidR="000631D1">
        <w:t>assessment</w:t>
      </w:r>
      <w:r w:rsidRPr="00C61668" w:rsidR="00EE441D">
        <w:t xml:space="preserve">. </w:t>
      </w:r>
      <w:r w:rsidRPr="00C61668" w:rsidR="00690BAE">
        <w:t>If a sampled respondent nominates an alternative respondent from their agency, this alternative respondent will receive the second email and all subsequent data collection communications.</w:t>
      </w:r>
      <w:r w:rsidRPr="00C61668" w:rsidR="00EE441D">
        <w:t xml:space="preserve"> </w:t>
      </w:r>
      <w:r w:rsidRPr="00C61668" w:rsidR="00690BAE">
        <w:t>Respondents</w:t>
      </w:r>
      <w:r w:rsidRPr="00C61668" w:rsidR="00EE441D">
        <w:t xml:space="preserve"> will be given an initial period of 14 days to complete the </w:t>
      </w:r>
      <w:r w:rsidRPr="00C61668" w:rsidR="005B376B">
        <w:t>assessment and</w:t>
      </w:r>
      <w:r w:rsidRPr="00C61668" w:rsidR="00EE441D">
        <w:t xml:space="preserve"> will receive 1 email reminder after the first 7 days.  Non-responde</w:t>
      </w:r>
      <w:r w:rsidRPr="00C61668" w:rsidR="00E73E13">
        <w:t>rs</w:t>
      </w:r>
      <w:r w:rsidRPr="00C61668" w:rsidR="00EE441D">
        <w:t xml:space="preserve"> after the initial </w:t>
      </w:r>
      <w:r w:rsidRPr="00C61668" w:rsidR="005B376B">
        <w:t>14-day</w:t>
      </w:r>
      <w:r w:rsidRPr="00C61668" w:rsidR="00EE441D">
        <w:t xml:space="preserve"> period will receive a second email reminder and an additional 7 days to complete the </w:t>
      </w:r>
      <w:r w:rsidRPr="00C61668" w:rsidR="000631D1">
        <w:t>assessment</w:t>
      </w:r>
      <w:r w:rsidRPr="00C61668" w:rsidR="00EE441D">
        <w:t>.  Non-responde</w:t>
      </w:r>
      <w:r w:rsidRPr="00C61668" w:rsidR="00E73E13">
        <w:t>r</w:t>
      </w:r>
      <w:r w:rsidRPr="00C61668" w:rsidR="00EE441D">
        <w:t xml:space="preserve">s after 21 days will receive a third email reminder and a telephone call along with an additional 7 days to complete the </w:t>
      </w:r>
      <w:r w:rsidRPr="00C61668" w:rsidR="000631D1">
        <w:t>assessment</w:t>
      </w:r>
      <w:r w:rsidRPr="00C61668" w:rsidR="00EE441D">
        <w:t xml:space="preserve">.  If the target response rate of 80% has not been reached </w:t>
      </w:r>
      <w:r w:rsidRPr="00C61668" w:rsidR="0090787B">
        <w:t xml:space="preserve">by day 28, a fourth email reminder and a second telephone call reminder will be used, along with an additional </w:t>
      </w:r>
      <w:r w:rsidRPr="00C61668" w:rsidR="005B376B">
        <w:t>7-day</w:t>
      </w:r>
      <w:r w:rsidRPr="00C61668" w:rsidR="0090787B">
        <w:t xml:space="preserve"> response period.  Data </w:t>
      </w:r>
      <w:r w:rsidRPr="00C61668" w:rsidR="00793351">
        <w:t xml:space="preserve">review and data cleaning </w:t>
      </w:r>
      <w:r w:rsidRPr="00C61668" w:rsidR="0090787B">
        <w:t xml:space="preserve">will </w:t>
      </w:r>
      <w:r w:rsidRPr="00C61668" w:rsidR="00793351">
        <w:t xml:space="preserve">begin </w:t>
      </w:r>
      <w:r w:rsidRPr="00C61668" w:rsidR="0090787B">
        <w:t xml:space="preserve">on or after day 35, but </w:t>
      </w:r>
      <w:r w:rsidRPr="00C61668" w:rsidR="00793351">
        <w:t xml:space="preserve">the data collection system will remain open to accept </w:t>
      </w:r>
      <w:r w:rsidRPr="00C61668" w:rsidR="0090787B">
        <w:t xml:space="preserve">late responses through day 60. </w:t>
      </w:r>
      <w:r w:rsidRPr="00C61668" w:rsidR="00E73E13">
        <w:t xml:space="preserve">Sampled respondents who do not submit a usable response within 60 days will be coded as non-responders to the </w:t>
      </w:r>
      <w:r w:rsidRPr="00C61668" w:rsidR="000631D1">
        <w:t>assessment</w:t>
      </w:r>
      <w:r w:rsidRPr="00C61668" w:rsidR="00E73E13">
        <w:t xml:space="preserve">.  </w:t>
      </w:r>
      <w:r w:rsidRPr="00C61668" w:rsidR="0090787B">
        <w:t xml:space="preserve"> </w:t>
      </w:r>
    </w:p>
    <w:p w:rsidR="00691031" w:rsidP="002955E6" w:rsidRDefault="00691031" w14:paraId="35EDD629" w14:textId="77777777">
      <w:pPr>
        <w:spacing w:line="240" w:lineRule="auto"/>
        <w:ind w:left="360"/>
      </w:pPr>
    </w:p>
    <w:p w:rsidRPr="00C61668" w:rsidR="00732FE6" w:rsidP="002955E6" w:rsidRDefault="00E73E13" w14:paraId="1595C0FC" w14:textId="0A81BDF8">
      <w:pPr>
        <w:spacing w:line="240" w:lineRule="auto"/>
        <w:ind w:left="360"/>
      </w:pPr>
      <w:r w:rsidRPr="00C61668">
        <w:t xml:space="preserve">Data collection using the </w:t>
      </w:r>
      <w:r w:rsidRPr="00C61668" w:rsidR="000631D1">
        <w:t>Online Assessment</w:t>
      </w:r>
      <w:r w:rsidRPr="00C61668">
        <w:t xml:space="preserve"> Instrument will occur using the NIH-developed REDCAP electronic data capture system, hosted on a secure computer server at the University of </w:t>
      </w:r>
      <w:r w:rsidRPr="00C61668" w:rsidR="000E6E81">
        <w:t>Colorado</w:t>
      </w:r>
      <w:r w:rsidRPr="00C61668">
        <w:t xml:space="preserve">.  </w:t>
      </w:r>
      <w:r w:rsidRPr="00C61668" w:rsidR="00E71F70">
        <w:t xml:space="preserve">Respondents will submit their responses through an easy to use, encrypted, web-based interface to the REDCAP server.  Each respondent will be assigned a unique study identification number that will be used to track responses, so that no identifying information about the respondent or the jurisdiction will be collected through the REDCAP data system.  Once the </w:t>
      </w:r>
      <w:r w:rsidRPr="00C61668" w:rsidR="005B376B">
        <w:t>60-day</w:t>
      </w:r>
      <w:r w:rsidRPr="00C61668" w:rsidR="00E71F70">
        <w:t xml:space="preserve"> data collection win</w:t>
      </w:r>
      <w:r w:rsidRPr="00C61668" w:rsidR="005A12F5">
        <w:t xml:space="preserve">dow has ended for </w:t>
      </w:r>
      <w:r w:rsidRPr="00C61668" w:rsidR="00E71F70">
        <w:t xml:space="preserve">the </w:t>
      </w:r>
      <w:r w:rsidRPr="00C61668" w:rsidR="000631D1">
        <w:t>assessment</w:t>
      </w:r>
      <w:r w:rsidRPr="00C61668" w:rsidR="00E71F70">
        <w:t xml:space="preserve">, </w:t>
      </w:r>
      <w:r w:rsidRPr="00C61668" w:rsidR="000E6E81">
        <w:t>t</w:t>
      </w:r>
      <w:r w:rsidRPr="00C61668" w:rsidR="00E71F70">
        <w:t>he data file will be transferred from the REDCAP server to a secure data analysis server that also resides behind the university data protection firewall.  Only the approved members of the project team</w:t>
      </w:r>
      <w:r w:rsidRPr="00C61668" w:rsidR="005A12F5">
        <w:t xml:space="preserve"> will be able to access data on the REDCAP server and the analysis server, using login and password credentials that are tightly monitored by the university data security system. </w:t>
      </w:r>
      <w:r w:rsidRPr="00C61668" w:rsidR="0045050B">
        <w:t>The analysis file will be stored and analyzed only on secure, encrypted and password-protected file servers and computers maintained at the university behind the data security firewall that meet all requirements for data security.  All analyses will be conducted using SAS, Stata, and R statistical software.  Because the project team includes members from three universities who will be involved in data analysis (Univer</w:t>
      </w:r>
      <w:r w:rsidRPr="00C61668" w:rsidR="005532AC">
        <w:t xml:space="preserve">sity of </w:t>
      </w:r>
      <w:r w:rsidRPr="00C61668" w:rsidR="000E6E81">
        <w:t>Colorado</w:t>
      </w:r>
      <w:r w:rsidRPr="00C61668" w:rsidR="0045050B">
        <w:t xml:space="preserve">, UCLA, and New York University), the final de-identified analytical data file will be </w:t>
      </w:r>
      <w:r w:rsidRPr="00C61668" w:rsidR="005532AC">
        <w:t xml:space="preserve">created at the University of </w:t>
      </w:r>
      <w:r w:rsidRPr="00C61668" w:rsidR="000E6E81">
        <w:t>Colorado</w:t>
      </w:r>
      <w:r w:rsidRPr="00C61668" w:rsidR="005532AC">
        <w:t xml:space="preserve"> and then shared with team members at the two other universities,</w:t>
      </w:r>
      <w:r w:rsidRPr="00C61668" w:rsidR="0045050B">
        <w:t xml:space="preserve"> so that analyses can be performed in parallel.  The REDCAP data system</w:t>
      </w:r>
      <w:r w:rsidRPr="00C61668" w:rsidR="004265A8">
        <w:t xml:space="preserve"> is deployed at all three universities and</w:t>
      </w:r>
      <w:r w:rsidRPr="00C61668" w:rsidR="0045050B">
        <w:t xml:space="preserve"> will be used to exchange </w:t>
      </w:r>
      <w:r w:rsidRPr="00C61668" w:rsidR="005532AC">
        <w:t xml:space="preserve">the final de-identified analytical data file across the universities using a secure, </w:t>
      </w:r>
      <w:r w:rsidRPr="00C61668" w:rsidR="005B376B">
        <w:t>encrypted protocol</w:t>
      </w:r>
      <w:r w:rsidRPr="00C61668" w:rsidR="005532AC">
        <w:t xml:space="preserve">.  </w:t>
      </w:r>
      <w:r w:rsidRPr="00C61668" w:rsidR="000F5B9E">
        <w:t>After data exchange, t</w:t>
      </w:r>
      <w:r w:rsidRPr="00C61668" w:rsidR="005532AC">
        <w:t xml:space="preserve">eam members at UCLA and New York University will store and analyze the de-identified data file on secure, encrypted and password protected servers and computers that meet requirements for data security.   </w:t>
      </w:r>
    </w:p>
    <w:p w:rsidR="00732FE6" w:rsidP="002955E6" w:rsidRDefault="00732FE6" w14:paraId="3D135D7D" w14:textId="77777777">
      <w:pPr>
        <w:spacing w:line="240" w:lineRule="auto"/>
        <w:ind w:left="360"/>
        <w:rPr>
          <w:color w:val="0070C0"/>
        </w:rPr>
      </w:pPr>
    </w:p>
    <w:p w:rsidRPr="00C61668" w:rsidR="00691031" w:rsidP="002955E6" w:rsidRDefault="00732FE6" w14:paraId="003DC115" w14:textId="41DE96EE">
      <w:pPr>
        <w:spacing w:line="240" w:lineRule="auto"/>
        <w:ind w:left="360"/>
      </w:pPr>
      <w:r w:rsidRPr="00C61668">
        <w:t xml:space="preserve">Qualitative data collection using the Semi-Structured Interview Guide Instrument will begin approximately 6 months after completion of </w:t>
      </w:r>
      <w:r w:rsidRPr="00C61668" w:rsidR="00793351">
        <w:t xml:space="preserve">the Online Assessment </w:t>
      </w:r>
      <w:r w:rsidRPr="00C61668">
        <w:t xml:space="preserve">data collection.  Respondent identification and recruitment for the qualitative data collection will begin approximately 2 months before data collection begins.  In each of the </w:t>
      </w:r>
      <w:r w:rsidRPr="00C61668" w:rsidR="00106C39">
        <w:t>5</w:t>
      </w:r>
      <w:r w:rsidRPr="00C61668">
        <w:t xml:space="preserve"> selected states and </w:t>
      </w:r>
      <w:r w:rsidRPr="00C61668" w:rsidR="00106C39">
        <w:t xml:space="preserve">one </w:t>
      </w:r>
      <w:r w:rsidRPr="00C61668">
        <w:t>territor</w:t>
      </w:r>
      <w:r w:rsidRPr="00C61668" w:rsidR="00106C39">
        <w:t>y</w:t>
      </w:r>
      <w:r w:rsidRPr="00C61668">
        <w:t xml:space="preserve">, we will </w:t>
      </w:r>
      <w:r w:rsidRPr="00C61668" w:rsidR="007F4458">
        <w:t xml:space="preserve">use a snowball respondent selection process that </w:t>
      </w:r>
      <w:r w:rsidRPr="00C61668">
        <w:t>begin</w:t>
      </w:r>
      <w:r w:rsidRPr="00C61668" w:rsidR="007F4458">
        <w:t>s</w:t>
      </w:r>
      <w:r w:rsidRPr="00C61668">
        <w:t xml:space="preserve"> by contacting the designated PHEP director </w:t>
      </w:r>
      <w:r w:rsidRPr="00C61668" w:rsidR="00CB2D1A">
        <w:t xml:space="preserve">for each state and territory </w:t>
      </w:r>
      <w:r w:rsidRPr="00C61668">
        <w:t xml:space="preserve">(see Attachment </w:t>
      </w:r>
      <w:r w:rsidRPr="00C61668" w:rsidR="00106C39">
        <w:t>E</w:t>
      </w:r>
      <w:r w:rsidRPr="00C61668">
        <w:t xml:space="preserve"> - Interview Information Letter) via email and phone to recruit their participation.  </w:t>
      </w:r>
      <w:r w:rsidRPr="00C61668" w:rsidR="007F4458">
        <w:t xml:space="preserve">During </w:t>
      </w:r>
      <w:r w:rsidRPr="00C61668" w:rsidR="00CB2D1A">
        <w:t>a</w:t>
      </w:r>
      <w:r w:rsidRPr="00C61668" w:rsidR="007F4458">
        <w:t xml:space="preserve"> follow-up phone call to confirm participation, we will identify dates to schedule the interview and solicit recommendations about additional local PHEP stakeholders to include in the qualitative data collection.  The </w:t>
      </w:r>
      <w:r w:rsidRPr="00C61668" w:rsidR="00106C39">
        <w:t xml:space="preserve">nominated </w:t>
      </w:r>
      <w:r w:rsidRPr="00C61668" w:rsidR="007F4458">
        <w:t xml:space="preserve">respondents will then be </w:t>
      </w:r>
      <w:r w:rsidRPr="00C61668" w:rsidR="00106C39">
        <w:t xml:space="preserve">classified based on rural or urban jurisdiction designation and based on levels of Index familiarity and use as reported on the Online Assessment.  Six </w:t>
      </w:r>
      <w:r w:rsidRPr="00C61668" w:rsidR="00CB2D1A">
        <w:t xml:space="preserve">local </w:t>
      </w:r>
      <w:r w:rsidRPr="00C61668" w:rsidR="00106C39">
        <w:t xml:space="preserve">respondents will then be purposefully selected for interview </w:t>
      </w:r>
      <w:r w:rsidRPr="00C61668" w:rsidR="00CB2D1A">
        <w:t xml:space="preserve">in </w:t>
      </w:r>
      <w:r w:rsidRPr="00C61668" w:rsidR="00CB2D1A">
        <w:lastRenderedPageBreak/>
        <w:t xml:space="preserve">each state and territory so </w:t>
      </w:r>
      <w:r w:rsidRPr="00C61668" w:rsidR="00106C39">
        <w:t>as to achieve diversity in rural/urban designation and Index familiarity and use</w:t>
      </w:r>
      <w:r w:rsidRPr="00C61668" w:rsidR="00CB2D1A">
        <w:t>, giving preference to respondents who are nominated by the designated state or territorial PHEP director</w:t>
      </w:r>
      <w:r w:rsidRPr="00C61668" w:rsidR="00106C39">
        <w:t xml:space="preserve">. </w:t>
      </w:r>
      <w:r w:rsidRPr="00C61668" w:rsidR="00CB2D1A">
        <w:t>Local respondents will be</w:t>
      </w:r>
      <w:r w:rsidRPr="00C61668" w:rsidR="00106C39">
        <w:t xml:space="preserve"> </w:t>
      </w:r>
      <w:r w:rsidRPr="00C61668" w:rsidR="007F4458">
        <w:t xml:space="preserve">contacted via email and phone using the Interview Information Letter. </w:t>
      </w:r>
      <w:r w:rsidRPr="00C61668" w:rsidR="00484112">
        <w:t xml:space="preserve"> </w:t>
      </w:r>
      <w:r w:rsidRPr="00C61668" w:rsidR="007F4458">
        <w:t xml:space="preserve">Interviews will be </w:t>
      </w:r>
      <w:r w:rsidRPr="00C61668" w:rsidR="00484112">
        <w:t>conducted via</w:t>
      </w:r>
      <w:r w:rsidRPr="00C61668" w:rsidR="007F4458">
        <w:t xml:space="preserve"> telephone.  </w:t>
      </w:r>
      <w:r w:rsidRPr="00C61668" w:rsidR="00723B20">
        <w:t xml:space="preserve">All interviews will be audio-recorded with verbatim transcripts generated from recordings.  No identifying information for respondents and jurisdictions will be captured in the recordings or transcripts; instead, a unique study identification number will be assigned to each respondent and coded on each recording and transcript to enable tracking and linkage with other data sources.  Electronic files for all recordings, transcripts, and interviewer notes will be maintained on encrypted and password protected </w:t>
      </w:r>
      <w:r w:rsidRPr="00C61668" w:rsidR="0014120D">
        <w:t>computer servers and computers in compliance with requirements for data security.  These qualitative data files will be shared across project team members at the three universities using the REDCAP system, using the same procedures described above for quantitative data files.  Qualitative data files will be coded and analyzed using ATLAS.ti and NVIVO text analysis software. Coded qualitative data files will be linked with the quantitative analytical file to support mixed-method analyses by using the unique study identifiers assigned to each qualitative and quantitative observation.  This linkage and analysis will occur only on encrypted, password-protected servers and computers</w:t>
      </w:r>
      <w:r w:rsidRPr="00C61668" w:rsidR="00F33F93">
        <w:t xml:space="preserve"> in compliance with requirements for data security.  </w:t>
      </w:r>
      <w:r w:rsidRPr="00C61668">
        <w:t xml:space="preserve"> </w:t>
      </w:r>
    </w:p>
    <w:p w:rsidR="006C1771" w:rsidP="002955E6" w:rsidRDefault="006C1771" w14:paraId="408453AC" w14:textId="77777777">
      <w:pPr>
        <w:spacing w:line="240" w:lineRule="auto"/>
        <w:ind w:left="360"/>
      </w:pPr>
    </w:p>
    <w:p w:rsidR="001D461D" w:rsidP="00176E14" w:rsidRDefault="001D461D" w14:paraId="16300312" w14:textId="77777777">
      <w:pPr>
        <w:spacing w:line="240" w:lineRule="auto"/>
        <w:ind w:left="0"/>
      </w:pPr>
    </w:p>
    <w:p w:rsidRPr="009759F3" w:rsidR="009759F3" w:rsidP="002955E6" w:rsidRDefault="00287E2F" w14:paraId="2E71A48E" w14:textId="15E30D14">
      <w:pPr>
        <w:pStyle w:val="Heading4"/>
        <w:spacing w:after="0" w:line="240" w:lineRule="auto"/>
      </w:pPr>
      <w:bookmarkStart w:name="_Toc413847913" w:id="6"/>
      <w:r w:rsidRPr="00D26A64">
        <w:t>Methods to Maximize Response Rates</w:t>
      </w:r>
      <w:r w:rsidR="00F725B5">
        <w:t xml:space="preserve"> </w:t>
      </w:r>
      <w:r w:rsidRPr="009759F3" w:rsidR="009759F3">
        <w:t>Deal with Nonresponse</w:t>
      </w:r>
      <w:bookmarkEnd w:id="6"/>
    </w:p>
    <w:p w:rsidR="001D461D" w:rsidP="002955E6" w:rsidRDefault="001D461D" w14:paraId="4AF28A6D" w14:textId="77777777">
      <w:pPr>
        <w:spacing w:line="240" w:lineRule="auto"/>
        <w:ind w:left="360"/>
        <w:rPr>
          <w:b/>
          <w:color w:val="0070C0"/>
        </w:rPr>
      </w:pPr>
    </w:p>
    <w:p w:rsidRPr="001D2951" w:rsidR="00991BF9" w:rsidP="001D461D" w:rsidRDefault="00991BF9" w14:paraId="58C2AAA2" w14:textId="54123899">
      <w:pPr>
        <w:pStyle w:val="ListParagraph"/>
        <w:spacing w:line="240" w:lineRule="auto"/>
        <w:ind w:left="360"/>
        <w:rPr>
          <w:rFonts w:cs="Times New Roman"/>
        </w:rPr>
      </w:pPr>
      <w:r w:rsidRPr="001D2951">
        <w:rPr>
          <w:rFonts w:cs="Times New Roman"/>
        </w:rPr>
        <w:t xml:space="preserve">Although participation in the </w:t>
      </w:r>
      <w:r w:rsidRPr="001D2951" w:rsidR="00687C5F">
        <w:rPr>
          <w:rFonts w:cs="Times New Roman"/>
        </w:rPr>
        <w:t xml:space="preserve">data collection </w:t>
      </w:r>
      <w:r w:rsidRPr="001D2951">
        <w:rPr>
          <w:rFonts w:cs="Times New Roman"/>
        </w:rPr>
        <w:t xml:space="preserve">is voluntary, the </w:t>
      </w:r>
      <w:r w:rsidRPr="001D2951" w:rsidR="00687C5F">
        <w:rPr>
          <w:rFonts w:cs="Times New Roman"/>
        </w:rPr>
        <w:t xml:space="preserve">project team </w:t>
      </w:r>
      <w:r w:rsidR="006C1771">
        <w:rPr>
          <w:rFonts w:cs="Times New Roman"/>
        </w:rPr>
        <w:t xml:space="preserve">will make every </w:t>
      </w:r>
      <w:r w:rsidRPr="001D2951">
        <w:rPr>
          <w:rFonts w:cs="Times New Roman"/>
        </w:rPr>
        <w:t xml:space="preserve">effort to maximize the rate of response. The </w:t>
      </w:r>
      <w:r w:rsidRPr="001D2951" w:rsidR="00687C5F">
        <w:rPr>
          <w:rFonts w:cs="Times New Roman"/>
        </w:rPr>
        <w:t>data collection instrument</w:t>
      </w:r>
      <w:r w:rsidR="000631D1">
        <w:rPr>
          <w:rFonts w:cs="Times New Roman"/>
        </w:rPr>
        <w:t>s</w:t>
      </w:r>
      <w:r w:rsidRPr="001D2951">
        <w:rPr>
          <w:rFonts w:cs="Times New Roman"/>
        </w:rPr>
        <w:t xml:space="preserve"> w</w:t>
      </w:r>
      <w:r w:rsidR="000631D1">
        <w:rPr>
          <w:rFonts w:cs="Times New Roman"/>
        </w:rPr>
        <w:t>ere</w:t>
      </w:r>
      <w:r w:rsidRPr="001D2951">
        <w:rPr>
          <w:rFonts w:cs="Times New Roman"/>
        </w:rPr>
        <w:t xml:space="preserve"> designed to allow for skipping questions based on responses to previous questions, thereby minimizing response burden. </w:t>
      </w:r>
    </w:p>
    <w:p w:rsidRPr="001D2951" w:rsidR="00687C5F" w:rsidP="001D461D" w:rsidRDefault="00687C5F" w14:paraId="16AC71A3" w14:textId="77777777">
      <w:pPr>
        <w:pStyle w:val="ListParagraph"/>
        <w:spacing w:line="240" w:lineRule="auto"/>
        <w:ind w:left="360"/>
        <w:rPr>
          <w:rFonts w:cs="Times New Roman"/>
        </w:rPr>
      </w:pPr>
    </w:p>
    <w:p w:rsidRPr="00C61668" w:rsidR="00991BF9" w:rsidP="001D461D" w:rsidRDefault="001D461D" w14:paraId="3F18FAE5" w14:textId="6EBEF85B">
      <w:pPr>
        <w:spacing w:line="240" w:lineRule="auto"/>
        <w:ind w:left="360"/>
        <w:rPr>
          <w:rFonts w:cs="Arial"/>
        </w:rPr>
      </w:pPr>
      <w:r w:rsidRPr="00C61668">
        <w:t xml:space="preserve">Following the distribution of the invitation to participate in the </w:t>
      </w:r>
      <w:r w:rsidRPr="00C61668" w:rsidR="00292AD8">
        <w:t xml:space="preserve">quantitative </w:t>
      </w:r>
      <w:r w:rsidRPr="00C61668" w:rsidR="00487E55">
        <w:t>data collection</w:t>
      </w:r>
      <w:r w:rsidRPr="00C61668" w:rsidR="00292AD8">
        <w:t xml:space="preserve"> using the </w:t>
      </w:r>
      <w:r w:rsidRPr="00C61668" w:rsidR="000631D1">
        <w:t>Online Assessment</w:t>
      </w:r>
      <w:r w:rsidRPr="00C61668" w:rsidR="00292AD8">
        <w:t xml:space="preserve"> Instrument</w:t>
      </w:r>
      <w:r w:rsidRPr="00C61668">
        <w:t xml:space="preserve">, </w:t>
      </w:r>
      <w:r w:rsidRPr="00C61668" w:rsidR="00687C5F">
        <w:t>(</w:t>
      </w:r>
      <w:r w:rsidRPr="00C61668" w:rsidR="00023A77">
        <w:t xml:space="preserve">See </w:t>
      </w:r>
      <w:r w:rsidRPr="00C61668">
        <w:t>Attachment</w:t>
      </w:r>
      <w:r w:rsidRPr="00C61668" w:rsidR="00023A77">
        <w:t xml:space="preserve"> </w:t>
      </w:r>
      <w:r w:rsidRPr="00C61668" w:rsidR="005F0CDF">
        <w:t>D</w:t>
      </w:r>
      <w:r w:rsidRPr="00C61668" w:rsidR="00023A77">
        <w:t xml:space="preserve"> – </w:t>
      </w:r>
      <w:r w:rsidRPr="00C61668" w:rsidR="000631D1">
        <w:t xml:space="preserve">Assessment </w:t>
      </w:r>
      <w:r w:rsidRPr="00C61668" w:rsidR="00023A77">
        <w:t>Information Letter</w:t>
      </w:r>
      <w:r w:rsidRPr="00C61668">
        <w:t>)</w:t>
      </w:r>
      <w:r w:rsidRPr="00C61668" w:rsidR="00687C5F">
        <w:t xml:space="preserve">, respondents will have </w:t>
      </w:r>
      <w:r w:rsidRPr="00C61668" w:rsidR="00023A77">
        <w:t>10</w:t>
      </w:r>
      <w:r w:rsidRPr="00C61668" w:rsidR="00687C5F">
        <w:t xml:space="preserve"> business days to complete the instrument. Those who do not respond within </w:t>
      </w:r>
      <w:r w:rsidRPr="00C61668" w:rsidR="00023A77">
        <w:t>10</w:t>
      </w:r>
      <w:r w:rsidRPr="00C61668" w:rsidR="00687C5F">
        <w:t xml:space="preserve"> business days will receive a reminder </w:t>
      </w:r>
      <w:r w:rsidRPr="00C61668">
        <w:t>(email</w:t>
      </w:r>
      <w:r w:rsidRPr="00C61668" w:rsidR="00023A77">
        <w:t xml:space="preserve"> and</w:t>
      </w:r>
      <w:r w:rsidRPr="00C61668">
        <w:t xml:space="preserve"> phone call</w:t>
      </w:r>
      <w:r w:rsidRPr="00C61668" w:rsidR="00841F66">
        <w:t xml:space="preserve">, See Attachment </w:t>
      </w:r>
      <w:r w:rsidRPr="00C61668" w:rsidR="005F0CDF">
        <w:t>E</w:t>
      </w:r>
      <w:r w:rsidRPr="00C61668" w:rsidR="0020683D">
        <w:t xml:space="preserve"> – </w:t>
      </w:r>
      <w:r w:rsidRPr="00C61668" w:rsidR="00BA46A8">
        <w:t>Online Assessment</w:t>
      </w:r>
      <w:r w:rsidRPr="00C61668" w:rsidR="0020683D">
        <w:t xml:space="preserve"> Follow-up Protocol</w:t>
      </w:r>
      <w:r w:rsidRPr="00C61668">
        <w:t>)</w:t>
      </w:r>
      <w:r w:rsidRPr="00C61668" w:rsidR="00687C5F">
        <w:t xml:space="preserve"> urging them to complete the </w:t>
      </w:r>
      <w:r w:rsidRPr="00C61668" w:rsidR="006C1771">
        <w:t>instrument</w:t>
      </w:r>
      <w:r w:rsidRPr="00C61668" w:rsidR="00687C5F">
        <w:t xml:space="preserve">. </w:t>
      </w:r>
      <w:r w:rsidRPr="00C61668" w:rsidR="00023A77">
        <w:t>Up to four cycles of reminders will be used.</w:t>
      </w:r>
      <w:r w:rsidRPr="00C61668" w:rsidR="00023A77">
        <w:rPr>
          <w:rFonts w:cs="Arial"/>
        </w:rPr>
        <w:t xml:space="preserve"> </w:t>
      </w:r>
      <w:r w:rsidRPr="00C61668" w:rsidR="00687C5F">
        <w:rPr>
          <w:rFonts w:cs="Arial"/>
        </w:rPr>
        <w:t xml:space="preserve">Those who do not respond within </w:t>
      </w:r>
      <w:r w:rsidRPr="00C61668" w:rsidR="00023A77">
        <w:rPr>
          <w:rFonts w:cs="Arial"/>
        </w:rPr>
        <w:t>10</w:t>
      </w:r>
      <w:r w:rsidRPr="00C61668" w:rsidR="00687C5F">
        <w:rPr>
          <w:rFonts w:cs="Arial"/>
        </w:rPr>
        <w:t xml:space="preserve"> business days from the </w:t>
      </w:r>
      <w:r w:rsidRPr="00C61668" w:rsidR="00023A77">
        <w:rPr>
          <w:rFonts w:cs="Arial"/>
        </w:rPr>
        <w:t xml:space="preserve">last </w:t>
      </w:r>
      <w:r w:rsidRPr="00C61668" w:rsidR="00687C5F">
        <w:rPr>
          <w:rFonts w:cs="Arial"/>
        </w:rPr>
        <w:t>reminder email</w:t>
      </w:r>
      <w:r w:rsidRPr="00C61668">
        <w:rPr>
          <w:rFonts w:cs="Arial"/>
        </w:rPr>
        <w:t xml:space="preserve"> </w:t>
      </w:r>
      <w:r w:rsidRPr="00C61668" w:rsidR="00023A77">
        <w:rPr>
          <w:rFonts w:cs="Arial"/>
        </w:rPr>
        <w:t xml:space="preserve">or phone call </w:t>
      </w:r>
      <w:r w:rsidRPr="00C61668" w:rsidR="00687C5F">
        <w:rPr>
          <w:rFonts w:cs="Arial"/>
        </w:rPr>
        <w:t>will be considered non-responders.</w:t>
      </w:r>
    </w:p>
    <w:p w:rsidRPr="00C61668" w:rsidR="00292AD8" w:rsidP="001D461D" w:rsidRDefault="00292AD8" w14:paraId="251CAE1C" w14:textId="594A94D4">
      <w:pPr>
        <w:spacing w:line="240" w:lineRule="auto"/>
        <w:ind w:left="360"/>
        <w:rPr>
          <w:rFonts w:cs="Arial"/>
        </w:rPr>
      </w:pPr>
    </w:p>
    <w:p w:rsidRPr="00C61668" w:rsidR="00292AD8" w:rsidP="001D461D" w:rsidRDefault="00292AD8" w14:paraId="1D3C6CBF" w14:textId="1B8644BE">
      <w:pPr>
        <w:spacing w:line="240" w:lineRule="auto"/>
        <w:ind w:left="360"/>
        <w:rPr>
          <w:rFonts w:cs="Arial"/>
        </w:rPr>
      </w:pPr>
      <w:r w:rsidRPr="00C61668">
        <w:rPr>
          <w:rFonts w:cs="Arial"/>
        </w:rPr>
        <w:t xml:space="preserve">Following the distribution of the invitation to participate in the qualitative data collection using the Semi-Structured Interview Guide Instrument </w:t>
      </w:r>
      <w:r w:rsidRPr="00C61668">
        <w:t xml:space="preserve">(See Attachment </w:t>
      </w:r>
      <w:r w:rsidRPr="00C61668" w:rsidR="005F0CDF">
        <w:t>F</w:t>
      </w:r>
      <w:r w:rsidRPr="00C61668">
        <w:t xml:space="preserve"> – Interview Information Letter)</w:t>
      </w:r>
      <w:r w:rsidRPr="00C61668">
        <w:rPr>
          <w:rFonts w:cs="Arial"/>
        </w:rPr>
        <w:t xml:space="preserve"> the project team will contact each respondent by phone within 7 days to schedule the interview </w:t>
      </w:r>
      <w:r w:rsidRPr="00C61668" w:rsidR="002A62F4">
        <w:rPr>
          <w:rFonts w:cs="Arial"/>
        </w:rPr>
        <w:t>and conduct snow-ball identification of additional respondents</w:t>
      </w:r>
      <w:r w:rsidRPr="00C61668">
        <w:rPr>
          <w:rFonts w:cs="Arial"/>
        </w:rPr>
        <w:t xml:space="preserve">.  </w:t>
      </w:r>
      <w:r w:rsidRPr="00C61668" w:rsidR="00BA46A8">
        <w:t xml:space="preserve">Those who do not respond within 10 business days will receive a reminder (email and phone call, See Attachment </w:t>
      </w:r>
      <w:r w:rsidRPr="00C61668" w:rsidR="005F0CDF">
        <w:t>G</w:t>
      </w:r>
      <w:r w:rsidRPr="00C61668" w:rsidR="00BA46A8">
        <w:t xml:space="preserve"> – Interview Follow-up Protocol) urging them to complete the instrument. </w:t>
      </w:r>
      <w:r w:rsidRPr="00C61668">
        <w:rPr>
          <w:rFonts w:cs="Arial"/>
        </w:rPr>
        <w:t xml:space="preserve">Respondents who are unreachable by phone or email within 10 business days </w:t>
      </w:r>
      <w:r w:rsidRPr="00C61668" w:rsidR="00BA46A8">
        <w:rPr>
          <w:rFonts w:cs="Arial"/>
        </w:rPr>
        <w:t xml:space="preserve">of follow up </w:t>
      </w:r>
      <w:r w:rsidRPr="00C61668">
        <w:rPr>
          <w:rFonts w:cs="Arial"/>
        </w:rPr>
        <w:t xml:space="preserve">will be considered non-responders.  All interviews will be scheduled for completion within 60 days of scheduling.  </w:t>
      </w:r>
      <w:r w:rsidRPr="00C61668" w:rsidR="008C7B8A">
        <w:rPr>
          <w:rFonts w:cs="Arial"/>
        </w:rPr>
        <w:t xml:space="preserve">Respondents who cancel or do not show up for scheduled interviews will be rescheduled within 10 business days.  Respondents who fail to complete a re-scheduled interview will be considered non-responders.  </w:t>
      </w:r>
    </w:p>
    <w:p w:rsidR="001D461D" w:rsidP="001D461D" w:rsidRDefault="001D461D" w14:paraId="417CE5D4" w14:textId="52CF734A">
      <w:pPr>
        <w:spacing w:line="240" w:lineRule="auto"/>
        <w:ind w:left="360"/>
        <w:rPr>
          <w:rFonts w:cs="Arial"/>
        </w:rPr>
      </w:pPr>
    </w:p>
    <w:p w:rsidR="00C61668" w:rsidP="001D461D" w:rsidRDefault="00C61668" w14:paraId="7B86C5BB" w14:textId="7C5C8DB1">
      <w:pPr>
        <w:spacing w:line="240" w:lineRule="auto"/>
        <w:ind w:left="360"/>
        <w:rPr>
          <w:rFonts w:cs="Arial"/>
        </w:rPr>
      </w:pPr>
    </w:p>
    <w:p w:rsidRPr="00176E14" w:rsidR="00C61668" w:rsidP="001D461D" w:rsidRDefault="00C61668" w14:paraId="05B4BBC3" w14:textId="77777777">
      <w:pPr>
        <w:spacing w:line="240" w:lineRule="auto"/>
        <w:ind w:left="360"/>
        <w:rPr>
          <w:rFonts w:cs="Arial"/>
        </w:rPr>
      </w:pPr>
    </w:p>
    <w:p w:rsidRPr="00176E14" w:rsidR="00691031" w:rsidP="001D461D" w:rsidRDefault="00691031" w14:paraId="5AD60BAD" w14:textId="77777777">
      <w:pPr>
        <w:spacing w:line="240" w:lineRule="auto"/>
        <w:ind w:left="360"/>
        <w:rPr>
          <w:rFonts w:cs="Arial"/>
        </w:rPr>
      </w:pPr>
    </w:p>
    <w:p w:rsidRPr="009759F3" w:rsidR="00F52BCC" w:rsidP="002955E6" w:rsidRDefault="00287E2F" w14:paraId="3C5DE833" w14:textId="77777777">
      <w:pPr>
        <w:pStyle w:val="Heading4"/>
        <w:spacing w:after="0" w:line="240" w:lineRule="auto"/>
      </w:pPr>
      <w:bookmarkStart w:name="_Toc413847914" w:id="7"/>
      <w:r w:rsidRPr="005F3FEF">
        <w:lastRenderedPageBreak/>
        <w:t xml:space="preserve">Test of Procedures </w:t>
      </w:r>
      <w:r w:rsidRPr="009759F3" w:rsidR="009759F3">
        <w:t>or Methods to be Undertaken</w:t>
      </w:r>
      <w:bookmarkEnd w:id="7"/>
    </w:p>
    <w:p w:rsidR="00865573" w:rsidP="002955E6" w:rsidRDefault="00865573" w14:paraId="72649700" w14:textId="77777777">
      <w:pPr>
        <w:spacing w:line="240" w:lineRule="auto"/>
        <w:ind w:left="360"/>
        <w:rPr>
          <w:color w:val="000000"/>
          <w:lang w:eastAsia="zh-CN"/>
        </w:rPr>
      </w:pPr>
    </w:p>
    <w:p w:rsidRPr="00C61668" w:rsidR="004D70EE" w:rsidP="002955E6" w:rsidRDefault="00991BF9" w14:paraId="18AD02DF" w14:textId="5EFA7EDD">
      <w:pPr>
        <w:spacing w:line="240" w:lineRule="auto"/>
        <w:ind w:left="360"/>
      </w:pPr>
      <w:r w:rsidRPr="00C61668">
        <w:rPr>
          <w:lang w:eastAsia="zh-CN"/>
        </w:rPr>
        <w:t xml:space="preserve">The estimate for burden hours is based on a pilot test of the </w:t>
      </w:r>
      <w:r w:rsidRPr="00C61668" w:rsidR="00602F05">
        <w:rPr>
          <w:lang w:eastAsia="zh-CN"/>
        </w:rPr>
        <w:t xml:space="preserve">two </w:t>
      </w:r>
      <w:r w:rsidRPr="00C61668" w:rsidR="00487E55">
        <w:rPr>
          <w:lang w:eastAsia="zh-CN"/>
        </w:rPr>
        <w:t>data collection</w:t>
      </w:r>
      <w:r w:rsidRPr="00C61668">
        <w:rPr>
          <w:lang w:eastAsia="zh-CN"/>
        </w:rPr>
        <w:t xml:space="preserve"> instrument</w:t>
      </w:r>
      <w:r w:rsidRPr="00C61668" w:rsidR="00602F05">
        <w:rPr>
          <w:lang w:eastAsia="zh-CN"/>
        </w:rPr>
        <w:t>s</w:t>
      </w:r>
      <w:r w:rsidRPr="00C61668">
        <w:rPr>
          <w:lang w:eastAsia="zh-CN"/>
        </w:rPr>
        <w:t xml:space="preserve"> by </w:t>
      </w:r>
      <w:r w:rsidRPr="00C61668" w:rsidR="00602F05">
        <w:rPr>
          <w:lang w:eastAsia="zh-CN"/>
        </w:rPr>
        <w:t>4</w:t>
      </w:r>
      <w:r w:rsidRPr="00C61668">
        <w:rPr>
          <w:lang w:eastAsia="zh-CN"/>
        </w:rPr>
        <w:t xml:space="preserve"> public health </w:t>
      </w:r>
      <w:r w:rsidRPr="00C61668" w:rsidR="00602F05">
        <w:rPr>
          <w:lang w:eastAsia="zh-CN"/>
        </w:rPr>
        <w:t xml:space="preserve">preparedness </w:t>
      </w:r>
      <w:r w:rsidRPr="00C61668">
        <w:rPr>
          <w:lang w:eastAsia="zh-CN"/>
        </w:rPr>
        <w:t xml:space="preserve">professionals. In the pilot test, the average time to complete the </w:t>
      </w:r>
      <w:r w:rsidRPr="00C61668" w:rsidR="000631D1">
        <w:rPr>
          <w:lang w:eastAsia="zh-CN"/>
        </w:rPr>
        <w:t>Online Assessment</w:t>
      </w:r>
      <w:r w:rsidRPr="00C61668" w:rsidR="00602F05">
        <w:rPr>
          <w:lang w:eastAsia="zh-CN"/>
        </w:rPr>
        <w:t xml:space="preserve"> I</w:t>
      </w:r>
      <w:r w:rsidRPr="00C61668">
        <w:rPr>
          <w:lang w:eastAsia="zh-CN"/>
        </w:rPr>
        <w:t xml:space="preserve">nstrument including time for reviewing instructions, gathering needed information and completing the instrument, was approximately </w:t>
      </w:r>
      <w:r w:rsidRPr="00C61668" w:rsidR="00602F05">
        <w:rPr>
          <w:lang w:eastAsia="zh-CN"/>
        </w:rPr>
        <w:t>42</w:t>
      </w:r>
      <w:r w:rsidRPr="00C61668">
        <w:rPr>
          <w:lang w:eastAsia="zh-CN"/>
        </w:rPr>
        <w:t xml:space="preserve"> minutes</w:t>
      </w:r>
      <w:r w:rsidRPr="00C61668" w:rsidR="0069580C">
        <w:rPr>
          <w:lang w:eastAsia="zh-CN"/>
        </w:rPr>
        <w:t xml:space="preserve"> (range: </w:t>
      </w:r>
      <w:r w:rsidRPr="00C61668" w:rsidR="00602F05">
        <w:rPr>
          <w:lang w:eastAsia="zh-CN"/>
        </w:rPr>
        <w:t>32</w:t>
      </w:r>
      <w:r w:rsidRPr="00C61668" w:rsidR="0069580C">
        <w:rPr>
          <w:lang w:eastAsia="zh-CN"/>
        </w:rPr>
        <w:t xml:space="preserve"> to </w:t>
      </w:r>
      <w:r w:rsidRPr="00C61668" w:rsidR="00602F05">
        <w:rPr>
          <w:lang w:eastAsia="zh-CN"/>
        </w:rPr>
        <w:t>52</w:t>
      </w:r>
      <w:r w:rsidRPr="00C61668" w:rsidR="0069580C">
        <w:rPr>
          <w:lang w:eastAsia="zh-CN"/>
        </w:rPr>
        <w:t xml:space="preserve"> minutes)</w:t>
      </w:r>
      <w:r w:rsidRPr="00C61668">
        <w:rPr>
          <w:lang w:eastAsia="zh-CN"/>
        </w:rPr>
        <w:t xml:space="preserve">. For the purposes of estimating burden hours, the upper limit of this range (i.e., </w:t>
      </w:r>
      <w:r w:rsidRPr="00C61668" w:rsidR="00602F05">
        <w:rPr>
          <w:lang w:eastAsia="zh-CN"/>
        </w:rPr>
        <w:t>52</w:t>
      </w:r>
      <w:r w:rsidRPr="00C61668">
        <w:rPr>
          <w:lang w:eastAsia="zh-CN"/>
        </w:rPr>
        <w:t xml:space="preserve"> minutes) is used.</w:t>
      </w:r>
    </w:p>
    <w:p w:rsidRPr="00C61668" w:rsidR="004D70EE" w:rsidP="004D70EE" w:rsidRDefault="004D70EE" w14:paraId="63AC01B8" w14:textId="61214D69">
      <w:pPr>
        <w:spacing w:line="240" w:lineRule="auto"/>
        <w:ind w:left="360"/>
      </w:pPr>
    </w:p>
    <w:p w:rsidRPr="00C61668" w:rsidR="002B227D" w:rsidP="002B227D" w:rsidRDefault="00602F05" w14:paraId="4A807A10" w14:textId="2B7A150D">
      <w:pPr>
        <w:spacing w:line="240" w:lineRule="auto"/>
        <w:ind w:left="360"/>
      </w:pPr>
      <w:r w:rsidRPr="00C61668">
        <w:rPr>
          <w:lang w:eastAsia="zh-CN"/>
        </w:rPr>
        <w:t>T</w:t>
      </w:r>
      <w:r w:rsidRPr="00C61668" w:rsidR="002B227D">
        <w:rPr>
          <w:lang w:eastAsia="zh-CN"/>
        </w:rPr>
        <w:t xml:space="preserve">he average time to complete the </w:t>
      </w:r>
      <w:r w:rsidRPr="00C61668">
        <w:rPr>
          <w:lang w:eastAsia="zh-CN"/>
        </w:rPr>
        <w:t>Semi-Structured Interview Guide I</w:t>
      </w:r>
      <w:r w:rsidRPr="00C61668" w:rsidR="002B227D">
        <w:rPr>
          <w:lang w:eastAsia="zh-CN"/>
        </w:rPr>
        <w:t>nstrument including time for reviewing instructions, gathering needed information and completing the instrument, was approximately 5</w:t>
      </w:r>
      <w:r w:rsidRPr="00C61668">
        <w:rPr>
          <w:lang w:eastAsia="zh-CN"/>
        </w:rPr>
        <w:t>7</w:t>
      </w:r>
      <w:r w:rsidRPr="00C61668" w:rsidR="00215CB4">
        <w:rPr>
          <w:lang w:eastAsia="zh-CN"/>
        </w:rPr>
        <w:t xml:space="preserve"> </w:t>
      </w:r>
      <w:r w:rsidRPr="00C61668" w:rsidR="002B227D">
        <w:rPr>
          <w:lang w:eastAsia="zh-CN"/>
        </w:rPr>
        <w:t xml:space="preserve">minutes (range: </w:t>
      </w:r>
      <w:r w:rsidRPr="00C61668" w:rsidR="00215CB4">
        <w:rPr>
          <w:lang w:eastAsia="zh-CN"/>
        </w:rPr>
        <w:t>43</w:t>
      </w:r>
      <w:r w:rsidRPr="00C61668" w:rsidR="002B227D">
        <w:rPr>
          <w:lang w:eastAsia="zh-CN"/>
        </w:rPr>
        <w:t xml:space="preserve"> to </w:t>
      </w:r>
      <w:r w:rsidRPr="00C61668" w:rsidR="00215CB4">
        <w:rPr>
          <w:lang w:eastAsia="zh-CN"/>
        </w:rPr>
        <w:t>70</w:t>
      </w:r>
      <w:r w:rsidRPr="00C61668" w:rsidR="002B227D">
        <w:rPr>
          <w:lang w:eastAsia="zh-CN"/>
        </w:rPr>
        <w:t xml:space="preserve"> minutes). For the purposes of estimating burden hours, the upper limit of this range (i.e. </w:t>
      </w:r>
      <w:r w:rsidRPr="00C61668" w:rsidR="0007735E">
        <w:rPr>
          <w:lang w:eastAsia="zh-CN"/>
        </w:rPr>
        <w:t xml:space="preserve">70 </w:t>
      </w:r>
      <w:r w:rsidRPr="00C61668" w:rsidR="002B227D">
        <w:rPr>
          <w:lang w:eastAsia="zh-CN"/>
        </w:rPr>
        <w:t>minutes) is used.</w:t>
      </w:r>
      <w:bookmarkEnd w:id="2"/>
    </w:p>
    <w:p w:rsidR="00C61668" w:rsidP="00C61668" w:rsidRDefault="00C61668" w14:paraId="0ADB021D" w14:textId="77777777">
      <w:pPr>
        <w:spacing w:after="200"/>
        <w:ind w:left="0"/>
      </w:pPr>
      <w:bookmarkStart w:name="_Toc413847915" w:id="8"/>
    </w:p>
    <w:p w:rsidR="009759F3" w:rsidP="00C61668" w:rsidRDefault="009759F3" w14:paraId="4A6A5476" w14:textId="28BD74E8">
      <w:pPr>
        <w:pStyle w:val="Heading4"/>
      </w:pPr>
      <w:r w:rsidRPr="009759F3">
        <w:t>Individuals Consulted on Statistical Aspects and Individuals Collecting and/or Analyzing Data</w:t>
      </w:r>
      <w:bookmarkEnd w:id="8"/>
    </w:p>
    <w:p w:rsidR="00F27049" w:rsidP="00D22FB6" w:rsidRDefault="00F27049" w14:paraId="30318FF2" w14:textId="77777777">
      <w:pPr>
        <w:keepNext/>
        <w:keepLines/>
        <w:spacing w:line="240" w:lineRule="auto"/>
        <w:ind w:left="360"/>
        <w:rPr>
          <w:b/>
          <w:color w:val="0070C0"/>
        </w:rPr>
      </w:pPr>
    </w:p>
    <w:p w:rsidRPr="00C61668" w:rsidR="00663A23" w:rsidP="00663A23" w:rsidRDefault="00663A23" w14:paraId="0D712CF2" w14:textId="77777777">
      <w:pPr>
        <w:spacing w:line="240" w:lineRule="auto"/>
        <w:ind w:left="360"/>
        <w:rPr>
          <w:rStyle w:val="Hyperlink"/>
          <w:color w:val="auto"/>
          <w:u w:val="none"/>
        </w:rPr>
      </w:pPr>
      <w:r w:rsidRPr="00C61668">
        <w:rPr>
          <w:rStyle w:val="Hyperlink"/>
          <w:color w:val="auto"/>
          <w:u w:val="none"/>
        </w:rPr>
        <w:t xml:space="preserve">Shoukat Qari, DVM, PhD </w:t>
      </w:r>
    </w:p>
    <w:p w:rsidRPr="00C61668" w:rsidR="00663A23" w:rsidP="00663A23" w:rsidRDefault="00663A23" w14:paraId="49D601B3" w14:textId="77777777">
      <w:pPr>
        <w:spacing w:line="240" w:lineRule="auto"/>
        <w:ind w:left="360"/>
        <w:rPr>
          <w:rStyle w:val="Hyperlink"/>
          <w:color w:val="auto"/>
          <w:u w:val="none"/>
        </w:rPr>
      </w:pPr>
      <w:r w:rsidRPr="00C61668">
        <w:rPr>
          <w:rStyle w:val="Hyperlink"/>
          <w:color w:val="auto"/>
          <w:u w:val="none"/>
        </w:rPr>
        <w:t xml:space="preserve">Senior Health Scientist </w:t>
      </w:r>
    </w:p>
    <w:p w:rsidRPr="00C61668" w:rsidR="00663A23" w:rsidP="00663A23" w:rsidRDefault="00663A23" w14:paraId="320C1C4D" w14:textId="77777777">
      <w:pPr>
        <w:spacing w:line="240" w:lineRule="auto"/>
        <w:ind w:left="360"/>
        <w:rPr>
          <w:rStyle w:val="Hyperlink"/>
          <w:color w:val="auto"/>
          <w:u w:val="none"/>
        </w:rPr>
      </w:pPr>
      <w:r w:rsidRPr="00C61668">
        <w:rPr>
          <w:rStyle w:val="Hyperlink"/>
          <w:color w:val="auto"/>
          <w:u w:val="none"/>
        </w:rPr>
        <w:t xml:space="preserve">Office of Applied Research </w:t>
      </w:r>
    </w:p>
    <w:p w:rsidRPr="00C61668" w:rsidR="00663A23" w:rsidP="00663A23" w:rsidRDefault="00663A23" w14:paraId="15A67B82" w14:textId="77777777">
      <w:pPr>
        <w:spacing w:line="240" w:lineRule="auto"/>
        <w:ind w:left="360"/>
        <w:rPr>
          <w:rStyle w:val="Hyperlink"/>
          <w:color w:val="auto"/>
          <w:u w:val="none"/>
        </w:rPr>
      </w:pPr>
      <w:r w:rsidRPr="00C61668">
        <w:rPr>
          <w:rStyle w:val="Hyperlink"/>
          <w:color w:val="auto"/>
          <w:u w:val="none"/>
        </w:rPr>
        <w:t xml:space="preserve">Center for Preparedness and Response </w:t>
      </w:r>
    </w:p>
    <w:p w:rsidRPr="00C61668" w:rsidR="00663A23" w:rsidP="00663A23" w:rsidRDefault="00663A23" w14:paraId="2EDCF348" w14:textId="77777777">
      <w:pPr>
        <w:spacing w:line="240" w:lineRule="auto"/>
        <w:ind w:left="360"/>
        <w:rPr>
          <w:rStyle w:val="Hyperlink"/>
          <w:color w:val="auto"/>
          <w:u w:val="none"/>
        </w:rPr>
      </w:pPr>
      <w:r w:rsidRPr="00C61668">
        <w:rPr>
          <w:rStyle w:val="Hyperlink"/>
          <w:color w:val="auto"/>
          <w:u w:val="none"/>
        </w:rPr>
        <w:t>U.S. Centers for Disease Control and Prevention</w:t>
      </w:r>
    </w:p>
    <w:p w:rsidRPr="00C61668" w:rsidR="00663A23" w:rsidP="00663A23" w:rsidRDefault="00663A23" w14:paraId="6D6DEED0" w14:textId="77777777">
      <w:pPr>
        <w:spacing w:line="240" w:lineRule="auto"/>
        <w:ind w:left="360"/>
        <w:rPr>
          <w:rStyle w:val="Hyperlink"/>
          <w:color w:val="auto"/>
          <w:u w:val="none"/>
        </w:rPr>
      </w:pPr>
      <w:r w:rsidRPr="00C61668">
        <w:rPr>
          <w:rStyle w:val="Hyperlink"/>
          <w:color w:val="auto"/>
          <w:u w:val="none"/>
        </w:rPr>
        <w:t>Atlanta, GA</w:t>
      </w:r>
    </w:p>
    <w:p w:rsidRPr="00C61668" w:rsidR="00663A23" w:rsidP="00663A23" w:rsidRDefault="00663A23" w14:paraId="2D6FA3B7" w14:textId="77777777">
      <w:pPr>
        <w:spacing w:line="240" w:lineRule="auto"/>
        <w:ind w:left="360"/>
        <w:rPr>
          <w:rStyle w:val="Hyperlink"/>
          <w:color w:val="auto"/>
          <w:u w:val="none"/>
        </w:rPr>
      </w:pPr>
      <w:r w:rsidRPr="00C61668">
        <w:rPr>
          <w:rStyle w:val="Hyperlink"/>
          <w:color w:val="auto"/>
          <w:u w:val="none"/>
        </w:rPr>
        <w:t>Phone: 770-488-8808</w:t>
      </w:r>
    </w:p>
    <w:p w:rsidRPr="00C61668" w:rsidR="00663A23" w:rsidP="00663A23" w:rsidRDefault="00663A23" w14:paraId="2EE86A97" w14:textId="77777777">
      <w:pPr>
        <w:spacing w:line="240" w:lineRule="auto"/>
        <w:ind w:left="360"/>
        <w:rPr>
          <w:rStyle w:val="Hyperlink"/>
          <w:color w:val="auto"/>
          <w:u w:val="none"/>
        </w:rPr>
      </w:pPr>
      <w:r w:rsidRPr="00C61668">
        <w:rPr>
          <w:rStyle w:val="Hyperlink"/>
          <w:color w:val="auto"/>
          <w:u w:val="none"/>
        </w:rPr>
        <w:t>Email: sxq0@cdc.gov</w:t>
      </w:r>
    </w:p>
    <w:p w:rsidRPr="00C61668" w:rsidR="00663A23" w:rsidP="000E6E81" w:rsidRDefault="00663A23" w14:paraId="286D0063" w14:textId="77777777">
      <w:pPr>
        <w:spacing w:line="240" w:lineRule="auto"/>
        <w:ind w:left="360"/>
      </w:pPr>
    </w:p>
    <w:p w:rsidRPr="00C61668" w:rsidR="005C2783" w:rsidP="005C2783" w:rsidRDefault="005C2783" w14:paraId="5CAEF3B2" w14:textId="538BF8F6">
      <w:pPr>
        <w:spacing w:line="240" w:lineRule="auto"/>
        <w:ind w:left="360"/>
      </w:pPr>
      <w:r w:rsidRPr="00C61668">
        <w:t>Teresa Waters, PhD</w:t>
      </w:r>
    </w:p>
    <w:p w:rsidRPr="00C61668" w:rsidR="005C2783" w:rsidP="005C2783" w:rsidRDefault="005C2783" w14:paraId="3BDAE11D" w14:textId="298D7110">
      <w:pPr>
        <w:spacing w:line="240" w:lineRule="auto"/>
        <w:ind w:left="360"/>
      </w:pPr>
      <w:r w:rsidRPr="00C61668">
        <w:t>Professor and Chair</w:t>
      </w:r>
    </w:p>
    <w:p w:rsidRPr="00C61668" w:rsidR="005C2783" w:rsidP="005C2783" w:rsidRDefault="005C2783" w14:paraId="350FF65B" w14:textId="7228818B">
      <w:pPr>
        <w:spacing w:line="240" w:lineRule="auto"/>
        <w:ind w:left="360"/>
      </w:pPr>
      <w:r w:rsidRPr="00C61668">
        <w:t>Department of Health Management and Policy</w:t>
      </w:r>
    </w:p>
    <w:p w:rsidRPr="00C61668" w:rsidR="005C2783" w:rsidP="005C2783" w:rsidRDefault="005C2783" w14:paraId="406AD594" w14:textId="16FEB2AD">
      <w:pPr>
        <w:spacing w:line="240" w:lineRule="auto"/>
        <w:ind w:left="360"/>
      </w:pPr>
      <w:r w:rsidRPr="00C61668">
        <w:t>College of Public Health</w:t>
      </w:r>
    </w:p>
    <w:p w:rsidRPr="00C61668" w:rsidR="005C2783" w:rsidP="005C2783" w:rsidRDefault="005C2783" w14:paraId="44195005" w14:textId="761220CE">
      <w:pPr>
        <w:spacing w:line="240" w:lineRule="auto"/>
        <w:ind w:left="360"/>
      </w:pPr>
      <w:r w:rsidRPr="00C61668">
        <w:t>University of Kentucky</w:t>
      </w:r>
    </w:p>
    <w:p w:rsidRPr="00C61668" w:rsidR="003268B3" w:rsidP="005C2783" w:rsidRDefault="003268B3" w14:paraId="308162F1" w14:textId="44402F69">
      <w:pPr>
        <w:spacing w:line="240" w:lineRule="auto"/>
        <w:ind w:left="360"/>
      </w:pPr>
      <w:r w:rsidRPr="00C61668">
        <w:t xml:space="preserve">Lexington, KY </w:t>
      </w:r>
    </w:p>
    <w:p w:rsidRPr="00C61668" w:rsidR="00663A23" w:rsidP="005C2783" w:rsidRDefault="003268B3" w14:paraId="42C151F0" w14:textId="49849FB0">
      <w:pPr>
        <w:spacing w:line="240" w:lineRule="auto"/>
        <w:ind w:left="360"/>
      </w:pPr>
      <w:r w:rsidRPr="00C61668">
        <w:t xml:space="preserve">Phone: </w:t>
      </w:r>
      <w:r w:rsidRPr="00C61668" w:rsidR="005C2783">
        <w:t>859-323-7422</w:t>
      </w:r>
    </w:p>
    <w:p w:rsidRPr="00C61668" w:rsidR="005C2783" w:rsidP="000E6E81" w:rsidRDefault="003268B3" w14:paraId="6C2A31B4" w14:textId="46D5A05A">
      <w:pPr>
        <w:spacing w:line="240" w:lineRule="auto"/>
        <w:ind w:left="360"/>
      </w:pPr>
      <w:r w:rsidRPr="00C61668">
        <w:t xml:space="preserve">Email: Teresa.waters@uky.edu </w:t>
      </w:r>
    </w:p>
    <w:p w:rsidRPr="00C61668" w:rsidR="005C2783" w:rsidP="000E6E81" w:rsidRDefault="005C2783" w14:paraId="06EFE95F" w14:textId="77777777">
      <w:pPr>
        <w:spacing w:line="240" w:lineRule="auto"/>
        <w:ind w:left="360"/>
      </w:pPr>
    </w:p>
    <w:p w:rsidRPr="00C61668" w:rsidR="000E6E81" w:rsidP="000E6E81" w:rsidRDefault="000E6E81" w14:paraId="718BAE11" w14:textId="78B494E7">
      <w:pPr>
        <w:spacing w:line="240" w:lineRule="auto"/>
        <w:ind w:left="360"/>
      </w:pPr>
      <w:r w:rsidRPr="00C61668">
        <w:t>Glen P. Mays, PhD, MPH</w:t>
      </w:r>
    </w:p>
    <w:p w:rsidRPr="00C61668" w:rsidR="000E6E81" w:rsidP="000E6E81" w:rsidRDefault="000E6E81" w14:paraId="16A1B365" w14:textId="77777777">
      <w:pPr>
        <w:spacing w:line="240" w:lineRule="auto"/>
        <w:ind w:left="360"/>
      </w:pPr>
      <w:r w:rsidRPr="00C61668">
        <w:t>Professor and Chair</w:t>
      </w:r>
    </w:p>
    <w:p w:rsidRPr="00C61668" w:rsidR="000E6E81" w:rsidP="000E6E81" w:rsidRDefault="000E6E81" w14:paraId="546BEED9" w14:textId="77777777">
      <w:pPr>
        <w:spacing w:line="240" w:lineRule="auto"/>
        <w:ind w:left="360"/>
      </w:pPr>
      <w:r w:rsidRPr="00C61668">
        <w:t>Department of Health Systems, Management and Policy</w:t>
      </w:r>
    </w:p>
    <w:p w:rsidRPr="00C61668" w:rsidR="000E6E81" w:rsidP="000E6E81" w:rsidRDefault="000E6E81" w14:paraId="4BB6EDC6" w14:textId="028BFA63">
      <w:pPr>
        <w:spacing w:line="240" w:lineRule="auto"/>
        <w:ind w:left="360"/>
      </w:pPr>
      <w:r w:rsidRPr="00C61668">
        <w:t>University of Colorado School of Public Health | Anschutz Medical Campus</w:t>
      </w:r>
    </w:p>
    <w:p w:rsidRPr="00C61668" w:rsidR="000E6E81" w:rsidP="000E6E81" w:rsidRDefault="000E6E81" w14:paraId="43CC90D5" w14:textId="77777777">
      <w:pPr>
        <w:spacing w:line="240" w:lineRule="auto"/>
        <w:ind w:left="360"/>
      </w:pPr>
      <w:r w:rsidRPr="00C61668">
        <w:t>13001 E. 17th Place, Mail Stop B119</w:t>
      </w:r>
    </w:p>
    <w:p w:rsidRPr="00C61668" w:rsidR="000E6E81" w:rsidP="000E6E81" w:rsidRDefault="000E6E81" w14:paraId="19DD154C" w14:textId="77777777">
      <w:pPr>
        <w:spacing w:line="240" w:lineRule="auto"/>
        <w:ind w:left="360"/>
      </w:pPr>
      <w:r w:rsidRPr="00C61668">
        <w:t>Aurora, CO 80045</w:t>
      </w:r>
    </w:p>
    <w:p w:rsidRPr="00C61668" w:rsidR="000E6E81" w:rsidP="000E6E81" w:rsidRDefault="000E6E81" w14:paraId="5186B6E3" w14:textId="77777777">
      <w:pPr>
        <w:spacing w:line="240" w:lineRule="auto"/>
        <w:ind w:left="360"/>
      </w:pPr>
      <w:r w:rsidRPr="00C61668">
        <w:t xml:space="preserve">Email: glen.mays@cuanschutz.edu </w:t>
      </w:r>
    </w:p>
    <w:p w:rsidRPr="00C61668" w:rsidR="00865573" w:rsidP="000E6E81" w:rsidRDefault="000E6E81" w14:paraId="768D156A" w14:textId="3086B5E6">
      <w:pPr>
        <w:spacing w:line="240" w:lineRule="auto"/>
        <w:ind w:left="360"/>
      </w:pPr>
      <w:r w:rsidRPr="00C61668">
        <w:t>Phone 303-724-3759</w:t>
      </w:r>
    </w:p>
    <w:p w:rsidRPr="00C61668" w:rsidR="000E6E81" w:rsidP="000E6E81" w:rsidRDefault="000E6E81" w14:paraId="3AFD00C9" w14:textId="328B057F">
      <w:pPr>
        <w:spacing w:line="240" w:lineRule="auto"/>
        <w:ind w:left="360"/>
      </w:pPr>
      <w:r w:rsidRPr="00C61668">
        <w:t>Fax:303-724-4495</w:t>
      </w:r>
    </w:p>
    <w:p w:rsidR="000E6E81" w:rsidP="000E6E81" w:rsidRDefault="000E6E81" w14:paraId="0A2EE9B5" w14:textId="68B3DD82">
      <w:pPr>
        <w:spacing w:line="240" w:lineRule="auto"/>
        <w:ind w:left="360"/>
        <w:rPr>
          <w:rStyle w:val="Hyperlink"/>
          <w:color w:val="auto"/>
        </w:rPr>
      </w:pPr>
    </w:p>
    <w:p w:rsidR="00C61668" w:rsidP="000E6E81" w:rsidRDefault="00C61668" w14:paraId="5745A542" w14:textId="25E1B76F">
      <w:pPr>
        <w:spacing w:line="240" w:lineRule="auto"/>
        <w:ind w:left="360"/>
        <w:rPr>
          <w:rStyle w:val="Hyperlink"/>
          <w:color w:val="auto"/>
        </w:rPr>
      </w:pPr>
    </w:p>
    <w:p w:rsidR="00C61668" w:rsidP="000E6E81" w:rsidRDefault="00C61668" w14:paraId="5F46EAB9" w14:textId="3EA7AD66">
      <w:pPr>
        <w:spacing w:line="240" w:lineRule="auto"/>
        <w:ind w:left="360"/>
        <w:rPr>
          <w:rStyle w:val="Hyperlink"/>
          <w:color w:val="auto"/>
        </w:rPr>
      </w:pPr>
    </w:p>
    <w:p w:rsidRPr="00C61668" w:rsidR="00C61668" w:rsidP="000E6E81" w:rsidRDefault="00C61668" w14:paraId="41B3F500" w14:textId="77777777">
      <w:pPr>
        <w:spacing w:line="240" w:lineRule="auto"/>
        <w:ind w:left="360"/>
        <w:rPr>
          <w:rStyle w:val="Hyperlink"/>
          <w:color w:val="auto"/>
        </w:rPr>
      </w:pPr>
    </w:p>
    <w:p w:rsidRPr="00C61668" w:rsidR="00011339" w:rsidP="00011339" w:rsidRDefault="00011339" w14:paraId="706A911A" w14:textId="48DBED34">
      <w:pPr>
        <w:spacing w:line="240" w:lineRule="auto"/>
        <w:ind w:left="360"/>
        <w:rPr>
          <w:rStyle w:val="Hyperlink"/>
          <w:color w:val="auto"/>
          <w:u w:val="none"/>
        </w:rPr>
      </w:pPr>
      <w:r w:rsidRPr="00C61668">
        <w:rPr>
          <w:rStyle w:val="Hyperlink"/>
          <w:color w:val="auto"/>
          <w:u w:val="none"/>
        </w:rPr>
        <w:lastRenderedPageBreak/>
        <w:t>David Eisenman, MD, MSHS</w:t>
      </w:r>
    </w:p>
    <w:p w:rsidRPr="00C61668" w:rsidR="00011339" w:rsidP="00011339" w:rsidRDefault="00011339" w14:paraId="3827CF30" w14:textId="3761F199">
      <w:pPr>
        <w:spacing w:line="240" w:lineRule="auto"/>
        <w:ind w:left="360"/>
        <w:rPr>
          <w:rStyle w:val="Hyperlink"/>
          <w:color w:val="auto"/>
          <w:u w:val="none"/>
        </w:rPr>
      </w:pPr>
      <w:r w:rsidRPr="00C61668">
        <w:rPr>
          <w:rStyle w:val="Hyperlink"/>
          <w:color w:val="auto"/>
          <w:u w:val="none"/>
        </w:rPr>
        <w:t>Professor and Director</w:t>
      </w:r>
    </w:p>
    <w:p w:rsidRPr="00C61668" w:rsidR="00011339" w:rsidP="00011339" w:rsidRDefault="00011339" w14:paraId="504913BC" w14:textId="635186A5">
      <w:pPr>
        <w:spacing w:line="240" w:lineRule="auto"/>
        <w:ind w:left="360"/>
        <w:rPr>
          <w:rStyle w:val="Hyperlink"/>
          <w:color w:val="auto"/>
          <w:u w:val="none"/>
        </w:rPr>
      </w:pPr>
      <w:r w:rsidRPr="00C61668">
        <w:rPr>
          <w:rStyle w:val="Hyperlink"/>
          <w:color w:val="auto"/>
          <w:u w:val="none"/>
        </w:rPr>
        <w:t>Center for Public Health and Disasters, David Geffen School of Medicine, and Fielding School of Public Health, Univer</w:t>
      </w:r>
      <w:r w:rsidRPr="00C61668" w:rsidR="00C45FDE">
        <w:rPr>
          <w:rStyle w:val="Hyperlink"/>
          <w:color w:val="auto"/>
          <w:u w:val="none"/>
        </w:rPr>
        <w:t>sity of California-Los Angeles</w:t>
      </w:r>
    </w:p>
    <w:p w:rsidRPr="00C61668" w:rsidR="00011339" w:rsidP="00011339" w:rsidRDefault="00011339" w14:paraId="469FF63E" w14:textId="11D701D1">
      <w:pPr>
        <w:spacing w:line="240" w:lineRule="auto"/>
        <w:ind w:left="360"/>
        <w:rPr>
          <w:rStyle w:val="Hyperlink"/>
          <w:color w:val="auto"/>
          <w:u w:val="none"/>
        </w:rPr>
      </w:pPr>
      <w:r w:rsidRPr="00C61668">
        <w:rPr>
          <w:rStyle w:val="Hyperlink"/>
          <w:color w:val="auto"/>
          <w:u w:val="none"/>
        </w:rPr>
        <w:t>200 UCLA Medical Plaza, Suite 420, Los Angeles, CA 90095</w:t>
      </w:r>
    </w:p>
    <w:p w:rsidRPr="00C61668" w:rsidR="00011339" w:rsidP="00011339" w:rsidRDefault="00011339" w14:paraId="36729D0E" w14:textId="35D185B4">
      <w:pPr>
        <w:spacing w:line="240" w:lineRule="auto"/>
        <w:ind w:left="360"/>
        <w:rPr>
          <w:rStyle w:val="Hyperlink"/>
          <w:color w:val="auto"/>
          <w:u w:val="none"/>
        </w:rPr>
      </w:pPr>
      <w:r w:rsidRPr="00C61668">
        <w:rPr>
          <w:rStyle w:val="Hyperlink"/>
          <w:color w:val="auto"/>
          <w:u w:val="none"/>
        </w:rPr>
        <w:t>Phone: 310-794-2452</w:t>
      </w:r>
    </w:p>
    <w:p w:rsidRPr="00C61668" w:rsidR="00011339" w:rsidP="00011339" w:rsidRDefault="00011339" w14:paraId="2437B566" w14:textId="09C094A1">
      <w:pPr>
        <w:spacing w:line="240" w:lineRule="auto"/>
        <w:ind w:left="360"/>
        <w:rPr>
          <w:rStyle w:val="Hyperlink"/>
          <w:color w:val="auto"/>
          <w:u w:val="none"/>
        </w:rPr>
      </w:pPr>
      <w:r w:rsidRPr="00C61668">
        <w:rPr>
          <w:rStyle w:val="Hyperlink"/>
          <w:color w:val="auto"/>
          <w:u w:val="none"/>
        </w:rPr>
        <w:t>Fax: 310-794-0732</w:t>
      </w:r>
    </w:p>
    <w:p w:rsidRPr="00C61668" w:rsidR="00011339" w:rsidP="00011339" w:rsidRDefault="00011339" w14:paraId="393F82FD" w14:textId="2281F3B4">
      <w:pPr>
        <w:spacing w:line="240" w:lineRule="auto"/>
        <w:ind w:left="360"/>
        <w:rPr>
          <w:rStyle w:val="Hyperlink"/>
          <w:color w:val="auto"/>
          <w:u w:val="none"/>
        </w:rPr>
      </w:pPr>
      <w:r w:rsidRPr="00C61668">
        <w:rPr>
          <w:rStyle w:val="Hyperlink"/>
          <w:color w:val="auto"/>
          <w:u w:val="none"/>
        </w:rPr>
        <w:t>Email: deisenman@mednet.ucla.edu</w:t>
      </w:r>
    </w:p>
    <w:p w:rsidRPr="00C61668" w:rsidR="00011339" w:rsidP="00011339" w:rsidRDefault="00011339" w14:paraId="54910371" w14:textId="77777777">
      <w:pPr>
        <w:spacing w:line="240" w:lineRule="auto"/>
        <w:ind w:left="360"/>
        <w:rPr>
          <w:rStyle w:val="Hyperlink"/>
          <w:color w:val="auto"/>
          <w:u w:val="none"/>
        </w:rPr>
      </w:pPr>
    </w:p>
    <w:p w:rsidRPr="00C61668" w:rsidR="008C3BAD" w:rsidP="00011339" w:rsidRDefault="00011339" w14:paraId="60CFD56A" w14:textId="1562D5A1">
      <w:pPr>
        <w:spacing w:line="240" w:lineRule="auto"/>
        <w:ind w:left="360"/>
        <w:rPr>
          <w:rStyle w:val="Hyperlink"/>
          <w:color w:val="auto"/>
          <w:u w:val="none"/>
        </w:rPr>
      </w:pPr>
      <w:r w:rsidRPr="00C61668">
        <w:rPr>
          <w:rStyle w:val="Hyperlink"/>
          <w:color w:val="auto"/>
          <w:u w:val="none"/>
        </w:rPr>
        <w:t>David Abramson, PhD</w:t>
      </w:r>
    </w:p>
    <w:p w:rsidRPr="00C61668" w:rsidR="00011339" w:rsidP="00011339" w:rsidRDefault="00011339" w14:paraId="0BAA49DF" w14:textId="4C9D8499">
      <w:pPr>
        <w:spacing w:line="240" w:lineRule="auto"/>
        <w:ind w:left="360"/>
        <w:rPr>
          <w:rStyle w:val="Hyperlink"/>
          <w:color w:val="auto"/>
          <w:u w:val="none"/>
        </w:rPr>
      </w:pPr>
      <w:r w:rsidRPr="00C61668">
        <w:rPr>
          <w:rStyle w:val="Hyperlink"/>
          <w:color w:val="auto"/>
          <w:u w:val="none"/>
        </w:rPr>
        <w:t>Clinical Associate Professor and Director</w:t>
      </w:r>
    </w:p>
    <w:p w:rsidRPr="00C61668" w:rsidR="00011339" w:rsidP="00C45FDE" w:rsidRDefault="00011339" w14:paraId="0C0DA607" w14:textId="3956EA03">
      <w:pPr>
        <w:spacing w:line="240" w:lineRule="auto"/>
        <w:ind w:left="360"/>
        <w:rPr>
          <w:rStyle w:val="Hyperlink"/>
          <w:color w:val="auto"/>
          <w:u w:val="none"/>
        </w:rPr>
      </w:pPr>
      <w:r w:rsidRPr="00C61668">
        <w:rPr>
          <w:rStyle w:val="Hyperlink"/>
          <w:color w:val="auto"/>
          <w:u w:val="none"/>
        </w:rPr>
        <w:t xml:space="preserve">Population Impact, </w:t>
      </w:r>
      <w:r w:rsidRPr="00C61668" w:rsidR="00C45FDE">
        <w:rPr>
          <w:rStyle w:val="Hyperlink"/>
          <w:color w:val="auto"/>
          <w:u w:val="none"/>
        </w:rPr>
        <w:t xml:space="preserve">Recovery and Resilience Program, </w:t>
      </w:r>
      <w:r w:rsidRPr="00C61668">
        <w:rPr>
          <w:rStyle w:val="Hyperlink"/>
          <w:color w:val="auto"/>
          <w:u w:val="none"/>
        </w:rPr>
        <w:t>College of Global Public Health, New York University</w:t>
      </w:r>
    </w:p>
    <w:p w:rsidRPr="00C61668" w:rsidR="00011339" w:rsidP="00011339" w:rsidRDefault="00011339" w14:paraId="1DC08DF3" w14:textId="43DB2517">
      <w:pPr>
        <w:spacing w:line="240" w:lineRule="auto"/>
        <w:ind w:left="360"/>
        <w:rPr>
          <w:rStyle w:val="Hyperlink"/>
          <w:color w:val="auto"/>
          <w:u w:val="none"/>
        </w:rPr>
      </w:pPr>
      <w:r w:rsidRPr="00C61668">
        <w:rPr>
          <w:rStyle w:val="Hyperlink"/>
          <w:color w:val="auto"/>
          <w:u w:val="none"/>
        </w:rPr>
        <w:t>715/719 Broadway, New York, NY 10003</w:t>
      </w:r>
    </w:p>
    <w:p w:rsidRPr="00C61668" w:rsidR="00011339" w:rsidP="00011339" w:rsidRDefault="00011339" w14:paraId="2F7AB228" w14:textId="71D89B09">
      <w:pPr>
        <w:spacing w:line="240" w:lineRule="auto"/>
        <w:ind w:left="360"/>
        <w:rPr>
          <w:rStyle w:val="Hyperlink"/>
          <w:color w:val="auto"/>
          <w:u w:val="none"/>
        </w:rPr>
      </w:pPr>
      <w:r w:rsidRPr="00C61668">
        <w:rPr>
          <w:rStyle w:val="Hyperlink"/>
          <w:color w:val="auto"/>
          <w:u w:val="none"/>
        </w:rPr>
        <w:t>Phone:  212-992-6298</w:t>
      </w:r>
    </w:p>
    <w:p w:rsidRPr="00C61668" w:rsidR="00C61668" w:rsidP="00C61668" w:rsidRDefault="00011339" w14:paraId="550380DF" w14:textId="2FCADDC3">
      <w:pPr>
        <w:spacing w:line="240" w:lineRule="auto"/>
        <w:ind w:left="360"/>
        <w:rPr>
          <w:rStyle w:val="Hyperlink"/>
          <w:color w:val="auto"/>
          <w:u w:val="none"/>
        </w:rPr>
      </w:pPr>
      <w:r w:rsidRPr="00C61668">
        <w:rPr>
          <w:rStyle w:val="Hyperlink"/>
          <w:color w:val="auto"/>
          <w:u w:val="none"/>
        </w:rPr>
        <w:t>Email: da76@nyu.edu</w:t>
      </w:r>
    </w:p>
    <w:p w:rsidRPr="00C61668" w:rsidR="00C61668" w:rsidP="00A21EC1" w:rsidRDefault="00C61668" w14:paraId="01F9C12D" w14:textId="77777777">
      <w:pPr>
        <w:spacing w:line="240" w:lineRule="auto"/>
        <w:ind w:left="360"/>
        <w:rPr>
          <w:rStyle w:val="Hyperlink"/>
          <w:bCs/>
          <w:color w:val="auto"/>
          <w:u w:val="none"/>
        </w:rPr>
      </w:pPr>
    </w:p>
    <w:p w:rsidRPr="00C61668" w:rsidR="00A21EC1" w:rsidP="00A21EC1" w:rsidRDefault="00A21EC1" w14:paraId="68D2619B" w14:textId="271F973D">
      <w:pPr>
        <w:spacing w:line="240" w:lineRule="auto"/>
        <w:ind w:left="360"/>
        <w:rPr>
          <w:rStyle w:val="Hyperlink"/>
          <w:bCs/>
          <w:color w:val="auto"/>
          <w:u w:val="none"/>
        </w:rPr>
      </w:pPr>
      <w:r w:rsidRPr="00C61668">
        <w:rPr>
          <w:rStyle w:val="Hyperlink"/>
          <w:bCs/>
          <w:color w:val="auto"/>
          <w:u w:val="none"/>
        </w:rPr>
        <w:t xml:space="preserve">Karl Ensign, </w:t>
      </w:r>
      <w:r w:rsidRPr="00C61668" w:rsidR="00D4309B">
        <w:rPr>
          <w:rStyle w:val="Hyperlink"/>
          <w:bCs/>
          <w:color w:val="auto"/>
          <w:u w:val="none"/>
        </w:rPr>
        <w:t>MPP</w:t>
      </w:r>
    </w:p>
    <w:p w:rsidRPr="00C61668" w:rsidR="00A21EC1" w:rsidP="00A21EC1" w:rsidRDefault="00036857" w14:paraId="1D5499F8" w14:textId="78D51BEC">
      <w:pPr>
        <w:spacing w:line="240" w:lineRule="auto"/>
        <w:ind w:left="360"/>
        <w:rPr>
          <w:rStyle w:val="Hyperlink"/>
          <w:bCs/>
          <w:color w:val="auto"/>
          <w:u w:val="none"/>
        </w:rPr>
      </w:pPr>
      <w:r w:rsidRPr="00C61668">
        <w:rPr>
          <w:rStyle w:val="Hyperlink"/>
          <w:bCs/>
          <w:color w:val="auto"/>
          <w:u w:val="none"/>
        </w:rPr>
        <w:t>Chief Program Officer</w:t>
      </w:r>
    </w:p>
    <w:p w:rsidRPr="00C61668" w:rsidR="00A21EC1" w:rsidP="00A21EC1" w:rsidRDefault="00A21EC1" w14:paraId="51A386E0" w14:textId="77777777">
      <w:pPr>
        <w:spacing w:line="240" w:lineRule="auto"/>
        <w:ind w:left="360"/>
        <w:rPr>
          <w:rStyle w:val="Hyperlink"/>
          <w:bCs/>
          <w:color w:val="auto"/>
          <w:u w:val="none"/>
        </w:rPr>
      </w:pPr>
      <w:r w:rsidRPr="00C61668">
        <w:rPr>
          <w:rStyle w:val="Hyperlink"/>
          <w:bCs/>
          <w:color w:val="auto"/>
          <w:u w:val="none"/>
        </w:rPr>
        <w:t>Association of State and Territorial Health Officials (ASTHO)</w:t>
      </w:r>
    </w:p>
    <w:p w:rsidRPr="00C61668" w:rsidR="00A21EC1" w:rsidP="00A21EC1" w:rsidRDefault="00A21EC1" w14:paraId="596192E4" w14:textId="77777777">
      <w:pPr>
        <w:spacing w:line="240" w:lineRule="auto"/>
        <w:ind w:left="360"/>
        <w:rPr>
          <w:rStyle w:val="Hyperlink"/>
          <w:bCs/>
          <w:color w:val="auto"/>
          <w:u w:val="none"/>
        </w:rPr>
      </w:pPr>
      <w:r w:rsidRPr="00C61668">
        <w:rPr>
          <w:rStyle w:val="Hyperlink"/>
          <w:bCs/>
          <w:color w:val="auto"/>
          <w:u w:val="none"/>
        </w:rPr>
        <w:t>Arlington, VA</w:t>
      </w:r>
    </w:p>
    <w:p w:rsidRPr="00C61668" w:rsidR="00036857" w:rsidP="00A21EC1" w:rsidRDefault="00036857" w14:paraId="16863CC5" w14:textId="03A7D37B">
      <w:pPr>
        <w:spacing w:line="240" w:lineRule="auto"/>
        <w:ind w:left="360"/>
        <w:rPr>
          <w:rStyle w:val="Hyperlink"/>
          <w:bCs/>
          <w:color w:val="auto"/>
          <w:u w:val="none"/>
        </w:rPr>
      </w:pPr>
      <w:r w:rsidRPr="00C61668">
        <w:rPr>
          <w:rStyle w:val="Hyperlink"/>
          <w:bCs/>
          <w:color w:val="auto"/>
          <w:u w:val="none"/>
        </w:rPr>
        <w:t xml:space="preserve">Phone: </w:t>
      </w:r>
      <w:r w:rsidRPr="00C61668" w:rsidR="009B48F4">
        <w:rPr>
          <w:rStyle w:val="Hyperlink"/>
          <w:bCs/>
          <w:color w:val="auto"/>
          <w:u w:val="none"/>
        </w:rPr>
        <w:t>(571) 527-3143</w:t>
      </w:r>
    </w:p>
    <w:p w:rsidRPr="00C61668" w:rsidR="00865573" w:rsidP="00A21EC1" w:rsidRDefault="00A21EC1" w14:paraId="1D7B86DC" w14:textId="1F979D9C">
      <w:pPr>
        <w:spacing w:line="240" w:lineRule="auto"/>
        <w:ind w:left="360"/>
        <w:rPr>
          <w:rStyle w:val="Hyperlink"/>
          <w:bCs/>
          <w:color w:val="auto"/>
          <w:u w:val="none"/>
        </w:rPr>
      </w:pPr>
      <w:r w:rsidRPr="00C61668">
        <w:rPr>
          <w:rStyle w:val="Hyperlink"/>
          <w:bCs/>
          <w:color w:val="auto"/>
          <w:u w:val="none"/>
        </w:rPr>
        <w:t>Email: kensign@astho.org</w:t>
      </w:r>
    </w:p>
    <w:p w:rsidRPr="00C61668" w:rsidR="00C47FCD" w:rsidP="002955E6" w:rsidRDefault="00C47FCD" w14:paraId="558EC7FA" w14:textId="5868CBB5">
      <w:pPr>
        <w:spacing w:line="240" w:lineRule="auto"/>
        <w:ind w:left="360"/>
        <w:rPr>
          <w:rStyle w:val="Hyperlink"/>
          <w:bCs/>
          <w:color w:val="auto"/>
          <w:u w:val="none"/>
        </w:rPr>
      </w:pPr>
    </w:p>
    <w:p w:rsidRPr="00C61668" w:rsidR="009B48F4" w:rsidP="00D4309B" w:rsidRDefault="00E37E48" w14:paraId="475BB72B" w14:textId="7AFAE743">
      <w:pPr>
        <w:spacing w:line="240" w:lineRule="auto"/>
        <w:ind w:left="360"/>
        <w:rPr>
          <w:rStyle w:val="Hyperlink"/>
          <w:bCs/>
          <w:color w:val="auto"/>
          <w:u w:val="none"/>
        </w:rPr>
      </w:pPr>
      <w:r w:rsidRPr="00C61668">
        <w:rPr>
          <w:rStyle w:val="Hyperlink"/>
          <w:bCs/>
          <w:color w:val="auto"/>
          <w:u w:val="none"/>
        </w:rPr>
        <w:t>Laura Biesiadecki</w:t>
      </w:r>
    </w:p>
    <w:p w:rsidRPr="00C61668" w:rsidR="00D4309B" w:rsidP="00227328" w:rsidRDefault="00D4309B" w14:paraId="40A784AA" w14:textId="592B7EDE">
      <w:pPr>
        <w:spacing w:line="240" w:lineRule="auto"/>
        <w:ind w:left="360"/>
        <w:rPr>
          <w:rStyle w:val="Hyperlink"/>
          <w:bCs/>
          <w:color w:val="auto"/>
          <w:u w:val="none"/>
        </w:rPr>
      </w:pPr>
      <w:r w:rsidRPr="00C61668">
        <w:rPr>
          <w:rStyle w:val="Hyperlink"/>
          <w:bCs/>
          <w:color w:val="auto"/>
          <w:u w:val="none"/>
        </w:rPr>
        <w:t>Senior Director</w:t>
      </w:r>
      <w:r w:rsidRPr="00C61668" w:rsidR="00227328">
        <w:rPr>
          <w:rStyle w:val="Hyperlink"/>
          <w:bCs/>
          <w:color w:val="auto"/>
          <w:u w:val="none"/>
        </w:rPr>
        <w:t xml:space="preserve">, </w:t>
      </w:r>
      <w:r w:rsidRPr="00C61668">
        <w:rPr>
          <w:rStyle w:val="Hyperlink"/>
          <w:bCs/>
          <w:color w:val="auto"/>
          <w:u w:val="none"/>
        </w:rPr>
        <w:t xml:space="preserve">Preparedness, Recovery and Response </w:t>
      </w:r>
    </w:p>
    <w:p w:rsidRPr="00C61668" w:rsidR="00D4309B" w:rsidP="002955E6" w:rsidRDefault="00D4309B" w14:paraId="0FAC3D5C" w14:textId="08C583A6">
      <w:pPr>
        <w:spacing w:line="240" w:lineRule="auto"/>
        <w:ind w:left="360"/>
        <w:rPr>
          <w:rStyle w:val="Hyperlink"/>
          <w:bCs/>
          <w:color w:val="auto"/>
          <w:u w:val="none"/>
        </w:rPr>
      </w:pPr>
      <w:r w:rsidRPr="00C61668">
        <w:rPr>
          <w:rStyle w:val="Hyperlink"/>
          <w:bCs/>
          <w:color w:val="auto"/>
          <w:u w:val="none"/>
        </w:rPr>
        <w:t>National Association of County and City Health Officials</w:t>
      </w:r>
    </w:p>
    <w:p w:rsidRPr="00C61668" w:rsidR="00D4309B" w:rsidP="002955E6" w:rsidRDefault="00D4309B" w14:paraId="1C582C82" w14:textId="03EC1607">
      <w:pPr>
        <w:spacing w:line="240" w:lineRule="auto"/>
        <w:ind w:left="360"/>
        <w:rPr>
          <w:rStyle w:val="Hyperlink"/>
          <w:bCs/>
          <w:color w:val="auto"/>
          <w:u w:val="none"/>
        </w:rPr>
      </w:pPr>
      <w:r w:rsidRPr="00C61668">
        <w:rPr>
          <w:rStyle w:val="Hyperlink"/>
          <w:bCs/>
          <w:color w:val="auto"/>
          <w:u w:val="none"/>
        </w:rPr>
        <w:t>Washington, DC</w:t>
      </w:r>
    </w:p>
    <w:p w:rsidRPr="00C61668" w:rsidR="00D4309B" w:rsidP="002955E6" w:rsidRDefault="00424BFC" w14:paraId="1315B46E" w14:textId="18FA988D">
      <w:pPr>
        <w:spacing w:line="240" w:lineRule="auto"/>
        <w:ind w:left="360"/>
        <w:rPr>
          <w:rStyle w:val="Hyperlink"/>
          <w:bCs/>
          <w:color w:val="auto"/>
          <w:u w:val="none"/>
        </w:rPr>
      </w:pPr>
      <w:r w:rsidRPr="00C61668">
        <w:rPr>
          <w:rStyle w:val="Hyperlink"/>
          <w:bCs/>
          <w:color w:val="auto"/>
          <w:u w:val="none"/>
        </w:rPr>
        <w:t>Phone: 202-507-4205</w:t>
      </w:r>
    </w:p>
    <w:p w:rsidRPr="00C61668" w:rsidR="00424BFC" w:rsidP="002955E6" w:rsidRDefault="00424BFC" w14:paraId="60BB14FA" w14:textId="093610BE">
      <w:pPr>
        <w:spacing w:line="240" w:lineRule="auto"/>
        <w:ind w:left="360"/>
        <w:rPr>
          <w:rStyle w:val="Hyperlink"/>
          <w:bCs/>
          <w:color w:val="auto"/>
          <w:u w:val="none"/>
        </w:rPr>
      </w:pPr>
      <w:r w:rsidRPr="00C61668">
        <w:rPr>
          <w:rStyle w:val="Hyperlink"/>
          <w:bCs/>
          <w:color w:val="auto"/>
          <w:u w:val="none"/>
        </w:rPr>
        <w:t xml:space="preserve">Email: lbiesiadecki@naccho.org </w:t>
      </w:r>
    </w:p>
    <w:p w:rsidR="00C47FCD" w:rsidP="002955E6" w:rsidRDefault="00C47FCD" w14:paraId="038351DF" w14:textId="14AA56BD">
      <w:pPr>
        <w:spacing w:line="240" w:lineRule="auto"/>
        <w:ind w:left="360"/>
        <w:rPr>
          <w:rStyle w:val="Hyperlink"/>
          <w:b/>
          <w:color w:val="auto"/>
        </w:rPr>
      </w:pPr>
    </w:p>
    <w:p w:rsidRPr="00C61668" w:rsidR="00C61668" w:rsidP="002955E6" w:rsidRDefault="00C61668" w14:paraId="65CE3C6B" w14:textId="77777777">
      <w:pPr>
        <w:spacing w:line="240" w:lineRule="auto"/>
        <w:ind w:left="360"/>
        <w:rPr>
          <w:rStyle w:val="Hyperlink"/>
          <w:b/>
          <w:color w:val="auto"/>
        </w:rPr>
      </w:pPr>
    </w:p>
    <w:p w:rsidRPr="00C61668" w:rsidR="00A36419" w:rsidP="002955E6" w:rsidRDefault="00A36419" w14:paraId="1E82E35E" w14:textId="77777777">
      <w:pPr>
        <w:pStyle w:val="Heading3"/>
        <w:spacing w:line="240" w:lineRule="auto"/>
      </w:pPr>
      <w:bookmarkStart w:name="_Toc413847916" w:id="9"/>
      <w:r w:rsidRPr="00C61668">
        <w:t>LIST OF ATTACHMENTS</w:t>
      </w:r>
      <w:r w:rsidRPr="00C61668" w:rsidR="00E24C20">
        <w:t xml:space="preserve"> – Section B</w:t>
      </w:r>
      <w:bookmarkEnd w:id="9"/>
    </w:p>
    <w:p w:rsidRPr="00C61668" w:rsidR="00865573" w:rsidP="00400C2C" w:rsidRDefault="00A559B1" w14:paraId="772DFEFB" w14:textId="32EB0676">
      <w:pPr>
        <w:pStyle w:val="ListParagraph"/>
        <w:numPr>
          <w:ilvl w:val="0"/>
          <w:numId w:val="34"/>
        </w:numPr>
        <w:spacing w:line="240" w:lineRule="auto"/>
        <w:rPr>
          <w:rFonts w:ascii="Cambria" w:hAnsi="Cambria"/>
          <w:b/>
        </w:rPr>
      </w:pPr>
      <w:r w:rsidRPr="00C61668">
        <w:rPr>
          <w:rFonts w:ascii="Cambria" w:hAnsi="Cambria"/>
          <w:b/>
        </w:rPr>
        <w:t xml:space="preserve">Attachment </w:t>
      </w:r>
      <w:r w:rsidRPr="00C61668" w:rsidR="005F0CDF">
        <w:rPr>
          <w:rFonts w:ascii="Cambria" w:hAnsi="Cambria"/>
          <w:b/>
        </w:rPr>
        <w:t>D</w:t>
      </w:r>
      <w:r w:rsidRPr="00C61668" w:rsidR="00B8656C">
        <w:rPr>
          <w:rFonts w:ascii="Cambria" w:hAnsi="Cambria"/>
          <w:b/>
        </w:rPr>
        <w:t xml:space="preserve"> </w:t>
      </w:r>
      <w:r w:rsidRPr="00C61668" w:rsidR="00400C2C">
        <w:rPr>
          <w:rFonts w:ascii="Cambria" w:hAnsi="Cambria"/>
          <w:b/>
        </w:rPr>
        <w:t>–</w:t>
      </w:r>
      <w:r w:rsidRPr="00C61668" w:rsidR="00B8656C">
        <w:rPr>
          <w:rFonts w:ascii="Cambria" w:hAnsi="Cambria"/>
          <w:b/>
        </w:rPr>
        <w:t xml:space="preserve"> </w:t>
      </w:r>
      <w:r w:rsidRPr="00C61668" w:rsidR="003C3657">
        <w:rPr>
          <w:rFonts w:ascii="Cambria" w:hAnsi="Cambria"/>
          <w:b/>
        </w:rPr>
        <w:t>Online Assessment</w:t>
      </w:r>
      <w:r w:rsidRPr="00C61668" w:rsidR="00080674">
        <w:rPr>
          <w:rFonts w:ascii="Cambria" w:hAnsi="Cambria"/>
          <w:b/>
        </w:rPr>
        <w:t xml:space="preserve"> Information Letter</w:t>
      </w:r>
      <w:r w:rsidRPr="00C61668" w:rsidR="00400C2C">
        <w:rPr>
          <w:rFonts w:ascii="Cambria" w:hAnsi="Cambria"/>
          <w:b/>
        </w:rPr>
        <w:t xml:space="preserve"> </w:t>
      </w:r>
    </w:p>
    <w:p w:rsidRPr="00C61668" w:rsidR="00865573" w:rsidP="00400C2C" w:rsidRDefault="00400C2C" w14:paraId="65A9CF0F" w14:textId="7553D033">
      <w:pPr>
        <w:pStyle w:val="ListParagraph"/>
        <w:numPr>
          <w:ilvl w:val="0"/>
          <w:numId w:val="34"/>
        </w:numPr>
        <w:spacing w:line="240" w:lineRule="auto"/>
        <w:rPr>
          <w:rFonts w:ascii="Cambria" w:hAnsi="Cambria"/>
          <w:b/>
        </w:rPr>
      </w:pPr>
      <w:r w:rsidRPr="00C61668">
        <w:rPr>
          <w:rFonts w:ascii="Cambria" w:hAnsi="Cambria"/>
          <w:b/>
        </w:rPr>
        <w:t xml:space="preserve">Attachment </w:t>
      </w:r>
      <w:r w:rsidRPr="00C61668" w:rsidR="005F0CDF">
        <w:rPr>
          <w:rFonts w:ascii="Cambria" w:hAnsi="Cambria"/>
          <w:b/>
        </w:rPr>
        <w:t>E</w:t>
      </w:r>
      <w:r w:rsidRPr="00C61668" w:rsidR="00D24BCF">
        <w:rPr>
          <w:rFonts w:ascii="Cambria" w:hAnsi="Cambria"/>
          <w:b/>
        </w:rPr>
        <w:t xml:space="preserve"> –</w:t>
      </w:r>
      <w:r w:rsidRPr="00C61668" w:rsidR="00865573">
        <w:rPr>
          <w:rFonts w:ascii="Cambria" w:hAnsi="Cambria"/>
          <w:b/>
        </w:rPr>
        <w:t xml:space="preserve"> </w:t>
      </w:r>
      <w:r w:rsidRPr="00C61668" w:rsidR="003C3657">
        <w:rPr>
          <w:rFonts w:ascii="Cambria" w:hAnsi="Cambria"/>
          <w:b/>
        </w:rPr>
        <w:t>Online Assessment</w:t>
      </w:r>
      <w:r w:rsidRPr="00C61668" w:rsidR="00080674">
        <w:rPr>
          <w:rFonts w:ascii="Cambria" w:hAnsi="Cambria"/>
          <w:b/>
        </w:rPr>
        <w:t xml:space="preserve"> Follow-up Protocol</w:t>
      </w:r>
    </w:p>
    <w:p w:rsidRPr="00C61668" w:rsidR="0020683D" w:rsidP="00400C2C" w:rsidRDefault="0020683D" w14:paraId="7D17E36B" w14:textId="2F4253FF">
      <w:pPr>
        <w:pStyle w:val="ListParagraph"/>
        <w:numPr>
          <w:ilvl w:val="0"/>
          <w:numId w:val="34"/>
        </w:numPr>
        <w:spacing w:line="240" w:lineRule="auto"/>
        <w:rPr>
          <w:rFonts w:ascii="Cambria" w:hAnsi="Cambria"/>
          <w:b/>
        </w:rPr>
      </w:pPr>
      <w:r w:rsidRPr="00C61668">
        <w:rPr>
          <w:rFonts w:ascii="Cambria" w:hAnsi="Cambria"/>
          <w:b/>
        </w:rPr>
        <w:t xml:space="preserve">Attachment </w:t>
      </w:r>
      <w:r w:rsidRPr="00C61668" w:rsidR="005F0CDF">
        <w:rPr>
          <w:rFonts w:ascii="Cambria" w:hAnsi="Cambria"/>
          <w:b/>
        </w:rPr>
        <w:t>F</w:t>
      </w:r>
      <w:r w:rsidRPr="00C61668">
        <w:rPr>
          <w:rFonts w:ascii="Cambria" w:hAnsi="Cambria"/>
          <w:b/>
        </w:rPr>
        <w:t xml:space="preserve"> – Interview Information Letter</w:t>
      </w:r>
    </w:p>
    <w:p w:rsidRPr="00C61668" w:rsidR="003C3657" w:rsidP="003C3657" w:rsidRDefault="003C3657" w14:paraId="4D0B00A2" w14:textId="0CBFDF07">
      <w:pPr>
        <w:pStyle w:val="ListParagraph"/>
        <w:numPr>
          <w:ilvl w:val="0"/>
          <w:numId w:val="34"/>
        </w:numPr>
        <w:spacing w:line="240" w:lineRule="auto"/>
        <w:rPr>
          <w:rFonts w:ascii="Cambria" w:hAnsi="Cambria"/>
          <w:b/>
        </w:rPr>
      </w:pPr>
      <w:r w:rsidRPr="00C61668">
        <w:rPr>
          <w:rFonts w:ascii="Cambria" w:hAnsi="Cambria"/>
          <w:b/>
        </w:rPr>
        <w:t xml:space="preserve">Attachment </w:t>
      </w:r>
      <w:r w:rsidRPr="00C61668" w:rsidR="005F0CDF">
        <w:rPr>
          <w:rFonts w:ascii="Cambria" w:hAnsi="Cambria"/>
          <w:b/>
        </w:rPr>
        <w:t>G</w:t>
      </w:r>
      <w:r w:rsidRPr="00C61668">
        <w:rPr>
          <w:rFonts w:ascii="Cambria" w:hAnsi="Cambria"/>
          <w:b/>
        </w:rPr>
        <w:t xml:space="preserve"> – Interview Follow-up Protocol</w:t>
      </w:r>
    </w:p>
    <w:p w:rsidR="003C3657" w:rsidP="003C3657" w:rsidRDefault="003C3657" w14:paraId="68480447" w14:textId="77777777">
      <w:pPr>
        <w:pStyle w:val="ListParagraph"/>
        <w:spacing w:line="240" w:lineRule="auto"/>
        <w:rPr>
          <w:rFonts w:ascii="Cambria" w:hAnsi="Cambria"/>
          <w:b/>
          <w:color w:val="0070C0"/>
        </w:rPr>
      </w:pPr>
    </w:p>
    <w:p w:rsidRPr="00080674" w:rsidR="00400C2C" w:rsidP="00080674" w:rsidRDefault="00400C2C" w14:paraId="759C7D9D" w14:textId="70C244A3">
      <w:pPr>
        <w:spacing w:line="240" w:lineRule="auto"/>
        <w:ind w:left="360"/>
        <w:rPr>
          <w:rFonts w:ascii="Cambria" w:hAnsi="Cambria"/>
          <w:b/>
          <w:color w:val="0070C0"/>
        </w:rPr>
      </w:pPr>
    </w:p>
    <w:sectPr w:rsidRPr="00080674" w:rsidR="00400C2C" w:rsidSect="003E5D57">
      <w:headerReference w:type="default" r:id="rId11"/>
      <w:footerReference w:type="defaul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4024E" w14:textId="77777777" w:rsidR="00B238C9" w:rsidRDefault="00B238C9" w:rsidP="00BC6896">
      <w:r>
        <w:separator/>
      </w:r>
    </w:p>
    <w:p w14:paraId="32296B97" w14:textId="77777777" w:rsidR="00B238C9" w:rsidRDefault="00B238C9" w:rsidP="00BC6896"/>
  </w:endnote>
  <w:endnote w:type="continuationSeparator" w:id="0">
    <w:p w14:paraId="02D3BF92" w14:textId="77777777" w:rsidR="00B238C9" w:rsidRDefault="00B238C9" w:rsidP="00BC6896">
      <w:r>
        <w:continuationSeparator/>
      </w:r>
    </w:p>
    <w:p w14:paraId="1068ED07" w14:textId="77777777" w:rsidR="00B238C9" w:rsidRDefault="00B238C9"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yriad Pro">
    <w:altName w:val="Arial"/>
    <w:panose1 w:val="00000000000000000000"/>
    <w:charset w:val="00"/>
    <w:family w:val="swiss"/>
    <w:notTrueType/>
    <w:pitch w:val="variable"/>
    <w:sig w:usb0="00000001" w:usb1="00000000" w:usb2="00000000" w:usb3="00000000" w:csb0="0000009F" w:csb1="00000000"/>
  </w:font>
  <w:font w:name="MalgunGothicBold">
    <w:altName w:val="Malgun Gothic"/>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9255898"/>
      <w:docPartObj>
        <w:docPartGallery w:val="Page Numbers (Bottom of Page)"/>
        <w:docPartUnique/>
      </w:docPartObj>
    </w:sdtPr>
    <w:sdtEndPr/>
    <w:sdtContent>
      <w:sdt>
        <w:sdtPr>
          <w:id w:val="860082579"/>
          <w:docPartObj>
            <w:docPartGallery w:val="Page Numbers (Top of Page)"/>
            <w:docPartUnique/>
          </w:docPartObj>
        </w:sdtPr>
        <w:sdtEndPr/>
        <w:sdtContent>
          <w:p w14:paraId="057A6931" w14:textId="29F91088" w:rsidR="000C2BF6" w:rsidRDefault="000C2BF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C6F4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C6F4E">
              <w:rPr>
                <w:b/>
                <w:bCs/>
                <w:noProof/>
              </w:rPr>
              <w:t>9</w:t>
            </w:r>
            <w:r>
              <w:rPr>
                <w:b/>
                <w:bCs/>
                <w:sz w:val="24"/>
                <w:szCs w:val="24"/>
              </w:rPr>
              <w:fldChar w:fldCharType="end"/>
            </w:r>
          </w:p>
        </w:sdtContent>
      </w:sdt>
    </w:sdtContent>
  </w:sdt>
  <w:p w14:paraId="44222E07" w14:textId="77777777" w:rsidR="000C2BF6" w:rsidRDefault="000C2BF6" w:rsidP="00BC68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E7C2C" w14:textId="77777777" w:rsidR="00B238C9" w:rsidRDefault="00B238C9" w:rsidP="00BC6896">
      <w:r>
        <w:separator/>
      </w:r>
    </w:p>
    <w:p w14:paraId="2BEE7DC0" w14:textId="77777777" w:rsidR="00B238C9" w:rsidRDefault="00B238C9" w:rsidP="00BC6896"/>
  </w:footnote>
  <w:footnote w:type="continuationSeparator" w:id="0">
    <w:p w14:paraId="7820B4A6" w14:textId="77777777" w:rsidR="00B238C9" w:rsidRDefault="00B238C9" w:rsidP="00BC6896">
      <w:r>
        <w:continuationSeparator/>
      </w:r>
    </w:p>
    <w:p w14:paraId="19BF3885" w14:textId="77777777" w:rsidR="00B238C9" w:rsidRDefault="00B238C9" w:rsidP="00BC68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2A4D9" w14:textId="77777777" w:rsidR="000C2BF6" w:rsidRPr="00716F94" w:rsidRDefault="000C2BF6" w:rsidP="00BC6896">
    <w:pPr>
      <w:pStyle w:val="Header"/>
      <w:rPr>
        <w:color w:val="0033CC"/>
      </w:rPr>
    </w:pPr>
    <w:r>
      <w:tab/>
    </w:r>
  </w:p>
  <w:p w14:paraId="653AF48B" w14:textId="77777777" w:rsidR="000C2BF6" w:rsidRDefault="000C2BF6" w:rsidP="00BC68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9D2A65"/>
    <w:multiLevelType w:val="hybridMultilevel"/>
    <w:tmpl w:val="5798E242"/>
    <w:lvl w:ilvl="0" w:tplc="41223222">
      <w:start w:val="1"/>
      <w:numFmt w:val="bullet"/>
      <w:lvlText w:val=""/>
      <w:lvlJc w:val="left"/>
      <w:pPr>
        <w:ind w:left="1080" w:hanging="360"/>
      </w:pPr>
      <w:rPr>
        <w:rFonts w:ascii="Symbol" w:hAnsi="Symbol" w:hint="default"/>
        <w:color w:val="0070C0"/>
      </w:rPr>
    </w:lvl>
    <w:lvl w:ilvl="1" w:tplc="8D86DBA4">
      <w:start w:val="1"/>
      <w:numFmt w:val="bullet"/>
      <w:lvlText w:val="–"/>
      <w:lvlJc w:val="left"/>
      <w:pPr>
        <w:ind w:left="1800" w:hanging="360"/>
      </w:pPr>
      <w:rPr>
        <w:rFonts w:ascii="Calibri" w:hAnsi="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BF0903"/>
    <w:multiLevelType w:val="hybridMultilevel"/>
    <w:tmpl w:val="6386AB6E"/>
    <w:lvl w:ilvl="0" w:tplc="41223222">
      <w:start w:val="1"/>
      <w:numFmt w:val="bullet"/>
      <w:lvlText w:val=""/>
      <w:lvlJc w:val="left"/>
      <w:pPr>
        <w:ind w:left="1440" w:hanging="360"/>
      </w:pPr>
      <w:rPr>
        <w:rFonts w:ascii="Symbol" w:hAnsi="Symbol" w:hint="default"/>
        <w:color w:val="0070C0"/>
      </w:rPr>
    </w:lvl>
    <w:lvl w:ilvl="1" w:tplc="C7B2827E">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CC22BD"/>
    <w:multiLevelType w:val="hybridMultilevel"/>
    <w:tmpl w:val="DCF6675A"/>
    <w:lvl w:ilvl="0" w:tplc="F13E8AF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F44473"/>
    <w:multiLevelType w:val="hybridMultilevel"/>
    <w:tmpl w:val="402A0F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7D182F"/>
    <w:multiLevelType w:val="hybridMultilevel"/>
    <w:tmpl w:val="F5A45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2127DF9"/>
    <w:multiLevelType w:val="hybridMultilevel"/>
    <w:tmpl w:val="348C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DF33B7"/>
    <w:multiLevelType w:val="hybridMultilevel"/>
    <w:tmpl w:val="73C8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EC02FE"/>
    <w:multiLevelType w:val="hybridMultilevel"/>
    <w:tmpl w:val="CDC81A0E"/>
    <w:lvl w:ilvl="0" w:tplc="41223222">
      <w:start w:val="1"/>
      <w:numFmt w:val="bullet"/>
      <w:lvlText w:val=""/>
      <w:lvlJc w:val="left"/>
      <w:pPr>
        <w:ind w:left="144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EFE31F8"/>
    <w:multiLevelType w:val="hybridMultilevel"/>
    <w:tmpl w:val="F642C5E4"/>
    <w:lvl w:ilvl="0" w:tplc="7B922C7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6" w15:restartNumberingAfterBreak="0">
    <w:nsid w:val="5809270F"/>
    <w:multiLevelType w:val="hybridMultilevel"/>
    <w:tmpl w:val="21565CCA"/>
    <w:lvl w:ilvl="0" w:tplc="41223222">
      <w:start w:val="1"/>
      <w:numFmt w:val="bullet"/>
      <w:lvlText w:val=""/>
      <w:lvlJc w:val="left"/>
      <w:pPr>
        <w:ind w:left="1080" w:hanging="360"/>
      </w:pPr>
      <w:rPr>
        <w:rFonts w:ascii="Symbol" w:hAnsi="Symbol" w:hint="default"/>
        <w:color w:val="0070C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9997E39"/>
    <w:multiLevelType w:val="hybridMultilevel"/>
    <w:tmpl w:val="40EC0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115601"/>
    <w:multiLevelType w:val="hybridMultilevel"/>
    <w:tmpl w:val="41FEF7E6"/>
    <w:lvl w:ilvl="0" w:tplc="CBCC0B2C">
      <w:start w:val="4"/>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981BE2"/>
    <w:multiLevelType w:val="hybridMultilevel"/>
    <w:tmpl w:val="DC2AE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A0C6AF8"/>
    <w:multiLevelType w:val="hybridMultilevel"/>
    <w:tmpl w:val="1CDEF31C"/>
    <w:lvl w:ilvl="0" w:tplc="1B7CD78A">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E747E7"/>
    <w:multiLevelType w:val="hybridMultilevel"/>
    <w:tmpl w:val="537AC1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7"/>
  </w:num>
  <w:num w:numId="3">
    <w:abstractNumId w:val="35"/>
  </w:num>
  <w:num w:numId="4">
    <w:abstractNumId w:val="12"/>
  </w:num>
  <w:num w:numId="5">
    <w:abstractNumId w:val="25"/>
  </w:num>
  <w:num w:numId="6">
    <w:abstractNumId w:val="7"/>
  </w:num>
  <w:num w:numId="7">
    <w:abstractNumId w:val="0"/>
  </w:num>
  <w:num w:numId="8">
    <w:abstractNumId w:val="5"/>
  </w:num>
  <w:num w:numId="9">
    <w:abstractNumId w:val="10"/>
  </w:num>
  <w:num w:numId="10">
    <w:abstractNumId w:val="28"/>
  </w:num>
  <w:num w:numId="11">
    <w:abstractNumId w:val="2"/>
  </w:num>
  <w:num w:numId="12">
    <w:abstractNumId w:val="33"/>
  </w:num>
  <w:num w:numId="13">
    <w:abstractNumId w:val="6"/>
  </w:num>
  <w:num w:numId="14">
    <w:abstractNumId w:val="3"/>
  </w:num>
  <w:num w:numId="15">
    <w:abstractNumId w:val="31"/>
  </w:num>
  <w:num w:numId="16">
    <w:abstractNumId w:val="38"/>
  </w:num>
  <w:num w:numId="17">
    <w:abstractNumId w:val="9"/>
  </w:num>
  <w:num w:numId="18">
    <w:abstractNumId w:val="14"/>
  </w:num>
  <w:num w:numId="19">
    <w:abstractNumId w:val="4"/>
  </w:num>
  <w:num w:numId="20">
    <w:abstractNumId w:val="15"/>
  </w:num>
  <w:num w:numId="21">
    <w:abstractNumId w:val="37"/>
  </w:num>
  <w:num w:numId="22">
    <w:abstractNumId w:val="29"/>
  </w:num>
  <w:num w:numId="23">
    <w:abstractNumId w:val="13"/>
  </w:num>
  <w:num w:numId="24">
    <w:abstractNumId w:val="30"/>
  </w:num>
  <w:num w:numId="25">
    <w:abstractNumId w:val="32"/>
  </w:num>
  <w:num w:numId="26">
    <w:abstractNumId w:val="19"/>
  </w:num>
  <w:num w:numId="27">
    <w:abstractNumId w:val="23"/>
  </w:num>
  <w:num w:numId="28">
    <w:abstractNumId w:val="20"/>
  </w:num>
  <w:num w:numId="29">
    <w:abstractNumId w:val="26"/>
  </w:num>
  <w:num w:numId="30">
    <w:abstractNumId w:val="22"/>
  </w:num>
  <w:num w:numId="31">
    <w:abstractNumId w:val="11"/>
  </w:num>
  <w:num w:numId="32">
    <w:abstractNumId w:val="24"/>
  </w:num>
  <w:num w:numId="33">
    <w:abstractNumId w:val="18"/>
  </w:num>
  <w:num w:numId="34">
    <w:abstractNumId w:val="16"/>
  </w:num>
  <w:num w:numId="35">
    <w:abstractNumId w:val="27"/>
  </w:num>
  <w:num w:numId="36">
    <w:abstractNumId w:val="21"/>
  </w:num>
  <w:num w:numId="37">
    <w:abstractNumId w:val="8"/>
  </w:num>
  <w:num w:numId="38">
    <w:abstractNumId w:val="34"/>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F94"/>
    <w:rsid w:val="00010420"/>
    <w:rsid w:val="00011339"/>
    <w:rsid w:val="00011605"/>
    <w:rsid w:val="00011A98"/>
    <w:rsid w:val="00011F8D"/>
    <w:rsid w:val="000130B4"/>
    <w:rsid w:val="00014361"/>
    <w:rsid w:val="00023A77"/>
    <w:rsid w:val="000279A9"/>
    <w:rsid w:val="00036857"/>
    <w:rsid w:val="000474FB"/>
    <w:rsid w:val="00052A34"/>
    <w:rsid w:val="00053A92"/>
    <w:rsid w:val="000557D0"/>
    <w:rsid w:val="0005605E"/>
    <w:rsid w:val="000576D4"/>
    <w:rsid w:val="00057F36"/>
    <w:rsid w:val="000631D1"/>
    <w:rsid w:val="0007735E"/>
    <w:rsid w:val="00080674"/>
    <w:rsid w:val="00092511"/>
    <w:rsid w:val="00095BF3"/>
    <w:rsid w:val="00097393"/>
    <w:rsid w:val="000A1F30"/>
    <w:rsid w:val="000A538D"/>
    <w:rsid w:val="000B781D"/>
    <w:rsid w:val="000C2BF6"/>
    <w:rsid w:val="000E6577"/>
    <w:rsid w:val="000E6E81"/>
    <w:rsid w:val="000E7A19"/>
    <w:rsid w:val="000F0419"/>
    <w:rsid w:val="000F22F4"/>
    <w:rsid w:val="000F36A3"/>
    <w:rsid w:val="000F5B9E"/>
    <w:rsid w:val="000F6E73"/>
    <w:rsid w:val="001030FC"/>
    <w:rsid w:val="00104A1B"/>
    <w:rsid w:val="00106C39"/>
    <w:rsid w:val="001113C6"/>
    <w:rsid w:val="001177DD"/>
    <w:rsid w:val="001308EB"/>
    <w:rsid w:val="0014120D"/>
    <w:rsid w:val="001412D4"/>
    <w:rsid w:val="00144F64"/>
    <w:rsid w:val="00151567"/>
    <w:rsid w:val="00163E17"/>
    <w:rsid w:val="00166F9E"/>
    <w:rsid w:val="00175844"/>
    <w:rsid w:val="00176A21"/>
    <w:rsid w:val="00176E14"/>
    <w:rsid w:val="00187D5A"/>
    <w:rsid w:val="00190EB1"/>
    <w:rsid w:val="001960AE"/>
    <w:rsid w:val="001972D7"/>
    <w:rsid w:val="001A28F6"/>
    <w:rsid w:val="001A4D91"/>
    <w:rsid w:val="001A54DC"/>
    <w:rsid w:val="001A5795"/>
    <w:rsid w:val="001A7D0E"/>
    <w:rsid w:val="001B2831"/>
    <w:rsid w:val="001C0493"/>
    <w:rsid w:val="001C28AD"/>
    <w:rsid w:val="001C5B21"/>
    <w:rsid w:val="001C6F4E"/>
    <w:rsid w:val="001D2951"/>
    <w:rsid w:val="001D461D"/>
    <w:rsid w:val="001D7FCB"/>
    <w:rsid w:val="001E2B99"/>
    <w:rsid w:val="001E582E"/>
    <w:rsid w:val="001E58D5"/>
    <w:rsid w:val="001E6826"/>
    <w:rsid w:val="001E69B6"/>
    <w:rsid w:val="001F4DBB"/>
    <w:rsid w:val="001F501E"/>
    <w:rsid w:val="001F7C89"/>
    <w:rsid w:val="0020312D"/>
    <w:rsid w:val="0020389E"/>
    <w:rsid w:val="0020495F"/>
    <w:rsid w:val="0020683D"/>
    <w:rsid w:val="00206E33"/>
    <w:rsid w:val="00210519"/>
    <w:rsid w:val="00215CB4"/>
    <w:rsid w:val="00217DAD"/>
    <w:rsid w:val="00226965"/>
    <w:rsid w:val="00227328"/>
    <w:rsid w:val="00230CEF"/>
    <w:rsid w:val="00237CA1"/>
    <w:rsid w:val="00241B17"/>
    <w:rsid w:val="00241C81"/>
    <w:rsid w:val="00245F1F"/>
    <w:rsid w:val="00252BF8"/>
    <w:rsid w:val="00256392"/>
    <w:rsid w:val="00257A1C"/>
    <w:rsid w:val="002721C7"/>
    <w:rsid w:val="0027234C"/>
    <w:rsid w:val="00272E03"/>
    <w:rsid w:val="00275A7C"/>
    <w:rsid w:val="00277736"/>
    <w:rsid w:val="0028127E"/>
    <w:rsid w:val="00281795"/>
    <w:rsid w:val="002850E3"/>
    <w:rsid w:val="00287E2F"/>
    <w:rsid w:val="00292AD8"/>
    <w:rsid w:val="002955E6"/>
    <w:rsid w:val="002A1948"/>
    <w:rsid w:val="002A62F4"/>
    <w:rsid w:val="002A7244"/>
    <w:rsid w:val="002B227D"/>
    <w:rsid w:val="002C0877"/>
    <w:rsid w:val="002C2AE2"/>
    <w:rsid w:val="002C4BA0"/>
    <w:rsid w:val="002C7D54"/>
    <w:rsid w:val="002D0DCE"/>
    <w:rsid w:val="002D1AB0"/>
    <w:rsid w:val="002D6AAE"/>
    <w:rsid w:val="002E2B10"/>
    <w:rsid w:val="002E2CF3"/>
    <w:rsid w:val="002E6B88"/>
    <w:rsid w:val="002F0AEE"/>
    <w:rsid w:val="002F1502"/>
    <w:rsid w:val="002F169D"/>
    <w:rsid w:val="002F2069"/>
    <w:rsid w:val="002F3D87"/>
    <w:rsid w:val="002F6F92"/>
    <w:rsid w:val="003041AD"/>
    <w:rsid w:val="0031137F"/>
    <w:rsid w:val="0031279F"/>
    <w:rsid w:val="00312D63"/>
    <w:rsid w:val="003161B9"/>
    <w:rsid w:val="003268B3"/>
    <w:rsid w:val="00327D05"/>
    <w:rsid w:val="00332F48"/>
    <w:rsid w:val="00335EBD"/>
    <w:rsid w:val="00336D96"/>
    <w:rsid w:val="003429C3"/>
    <w:rsid w:val="00344F07"/>
    <w:rsid w:val="00346693"/>
    <w:rsid w:val="003469C8"/>
    <w:rsid w:val="00355EA4"/>
    <w:rsid w:val="003635BE"/>
    <w:rsid w:val="00366B5E"/>
    <w:rsid w:val="0036760F"/>
    <w:rsid w:val="00372844"/>
    <w:rsid w:val="00374B6B"/>
    <w:rsid w:val="00382555"/>
    <w:rsid w:val="0038316A"/>
    <w:rsid w:val="00383BA8"/>
    <w:rsid w:val="0038560A"/>
    <w:rsid w:val="0039283A"/>
    <w:rsid w:val="00393751"/>
    <w:rsid w:val="00396F41"/>
    <w:rsid w:val="003A6665"/>
    <w:rsid w:val="003A71B1"/>
    <w:rsid w:val="003C31C9"/>
    <w:rsid w:val="003C3657"/>
    <w:rsid w:val="003C3D1C"/>
    <w:rsid w:val="003C4961"/>
    <w:rsid w:val="003C7C5D"/>
    <w:rsid w:val="003D0AD2"/>
    <w:rsid w:val="003D5DBA"/>
    <w:rsid w:val="003E136D"/>
    <w:rsid w:val="003E25A8"/>
    <w:rsid w:val="003E4383"/>
    <w:rsid w:val="003E4E7D"/>
    <w:rsid w:val="003E5D57"/>
    <w:rsid w:val="003F0AD7"/>
    <w:rsid w:val="003F5913"/>
    <w:rsid w:val="00400C2C"/>
    <w:rsid w:val="004024F8"/>
    <w:rsid w:val="0041159A"/>
    <w:rsid w:val="00414772"/>
    <w:rsid w:val="00416F4A"/>
    <w:rsid w:val="004206CD"/>
    <w:rsid w:val="00422922"/>
    <w:rsid w:val="00424BFC"/>
    <w:rsid w:val="00425FC5"/>
    <w:rsid w:val="0042604A"/>
    <w:rsid w:val="004265A8"/>
    <w:rsid w:val="004305A8"/>
    <w:rsid w:val="0043150B"/>
    <w:rsid w:val="0043417A"/>
    <w:rsid w:val="004376E0"/>
    <w:rsid w:val="00441EC7"/>
    <w:rsid w:val="00443CA0"/>
    <w:rsid w:val="0044505D"/>
    <w:rsid w:val="0045050B"/>
    <w:rsid w:val="00450E14"/>
    <w:rsid w:val="004522B1"/>
    <w:rsid w:val="00462C65"/>
    <w:rsid w:val="00467B14"/>
    <w:rsid w:val="00474CAE"/>
    <w:rsid w:val="00474EDA"/>
    <w:rsid w:val="0047536D"/>
    <w:rsid w:val="004824FA"/>
    <w:rsid w:val="00484011"/>
    <w:rsid w:val="00484112"/>
    <w:rsid w:val="004841F1"/>
    <w:rsid w:val="00487899"/>
    <w:rsid w:val="00487E55"/>
    <w:rsid w:val="00497BC1"/>
    <w:rsid w:val="004A1E3A"/>
    <w:rsid w:val="004B1D39"/>
    <w:rsid w:val="004B2630"/>
    <w:rsid w:val="004B437E"/>
    <w:rsid w:val="004B4EB5"/>
    <w:rsid w:val="004B5AD6"/>
    <w:rsid w:val="004C4AEA"/>
    <w:rsid w:val="004D70EE"/>
    <w:rsid w:val="004E003C"/>
    <w:rsid w:val="004E16EB"/>
    <w:rsid w:val="004E6665"/>
    <w:rsid w:val="004F634E"/>
    <w:rsid w:val="004F67A8"/>
    <w:rsid w:val="0052050C"/>
    <w:rsid w:val="00521642"/>
    <w:rsid w:val="00522A50"/>
    <w:rsid w:val="00527225"/>
    <w:rsid w:val="00532F8F"/>
    <w:rsid w:val="0053557D"/>
    <w:rsid w:val="005463DE"/>
    <w:rsid w:val="00546DC2"/>
    <w:rsid w:val="005532AC"/>
    <w:rsid w:val="005542E8"/>
    <w:rsid w:val="00554510"/>
    <w:rsid w:val="00556630"/>
    <w:rsid w:val="0055686D"/>
    <w:rsid w:val="005800EE"/>
    <w:rsid w:val="005869D6"/>
    <w:rsid w:val="00593E85"/>
    <w:rsid w:val="005A12F5"/>
    <w:rsid w:val="005A1CE6"/>
    <w:rsid w:val="005A33F6"/>
    <w:rsid w:val="005A395A"/>
    <w:rsid w:val="005A59E5"/>
    <w:rsid w:val="005B376B"/>
    <w:rsid w:val="005B4883"/>
    <w:rsid w:val="005B7440"/>
    <w:rsid w:val="005C2783"/>
    <w:rsid w:val="005C6E9D"/>
    <w:rsid w:val="005D5EE3"/>
    <w:rsid w:val="005E2150"/>
    <w:rsid w:val="005E2995"/>
    <w:rsid w:val="005E59EB"/>
    <w:rsid w:val="005F0CDF"/>
    <w:rsid w:val="005F3ADE"/>
    <w:rsid w:val="005F3FEF"/>
    <w:rsid w:val="00601392"/>
    <w:rsid w:val="00602F05"/>
    <w:rsid w:val="006075F6"/>
    <w:rsid w:val="00607F7C"/>
    <w:rsid w:val="006102DA"/>
    <w:rsid w:val="006161CF"/>
    <w:rsid w:val="00621A65"/>
    <w:rsid w:val="00621F93"/>
    <w:rsid w:val="006315A3"/>
    <w:rsid w:val="006349BB"/>
    <w:rsid w:val="006379E9"/>
    <w:rsid w:val="00637CC1"/>
    <w:rsid w:val="006466BA"/>
    <w:rsid w:val="006513CB"/>
    <w:rsid w:val="006579A2"/>
    <w:rsid w:val="006601E3"/>
    <w:rsid w:val="00663A23"/>
    <w:rsid w:val="006654C5"/>
    <w:rsid w:val="00667C89"/>
    <w:rsid w:val="006711EE"/>
    <w:rsid w:val="006809BB"/>
    <w:rsid w:val="006809FD"/>
    <w:rsid w:val="00683C7C"/>
    <w:rsid w:val="00687C5F"/>
    <w:rsid w:val="00687F52"/>
    <w:rsid w:val="006909B3"/>
    <w:rsid w:val="00690BAE"/>
    <w:rsid w:val="00691031"/>
    <w:rsid w:val="00691D1F"/>
    <w:rsid w:val="0069391B"/>
    <w:rsid w:val="0069580C"/>
    <w:rsid w:val="00697BAE"/>
    <w:rsid w:val="006A63FD"/>
    <w:rsid w:val="006B4DDC"/>
    <w:rsid w:val="006B5E55"/>
    <w:rsid w:val="006C1771"/>
    <w:rsid w:val="006D1763"/>
    <w:rsid w:val="006D25A1"/>
    <w:rsid w:val="006D6932"/>
    <w:rsid w:val="006D7A2B"/>
    <w:rsid w:val="006E1A11"/>
    <w:rsid w:val="006E4BB7"/>
    <w:rsid w:val="006F23AF"/>
    <w:rsid w:val="006F6856"/>
    <w:rsid w:val="00703B67"/>
    <w:rsid w:val="0071190E"/>
    <w:rsid w:val="007145D0"/>
    <w:rsid w:val="00716F94"/>
    <w:rsid w:val="00723B20"/>
    <w:rsid w:val="00732FE6"/>
    <w:rsid w:val="0073706B"/>
    <w:rsid w:val="007442B7"/>
    <w:rsid w:val="00760E12"/>
    <w:rsid w:val="00763CF3"/>
    <w:rsid w:val="00772293"/>
    <w:rsid w:val="00782055"/>
    <w:rsid w:val="00783A3C"/>
    <w:rsid w:val="00783C75"/>
    <w:rsid w:val="00783E51"/>
    <w:rsid w:val="00784619"/>
    <w:rsid w:val="0078627B"/>
    <w:rsid w:val="00793351"/>
    <w:rsid w:val="00794E32"/>
    <w:rsid w:val="00796E80"/>
    <w:rsid w:val="007B305A"/>
    <w:rsid w:val="007B6313"/>
    <w:rsid w:val="007C1CB7"/>
    <w:rsid w:val="007C35CA"/>
    <w:rsid w:val="007E3F71"/>
    <w:rsid w:val="007F4458"/>
    <w:rsid w:val="00800993"/>
    <w:rsid w:val="00810FBF"/>
    <w:rsid w:val="00815C7D"/>
    <w:rsid w:val="00816107"/>
    <w:rsid w:val="00817941"/>
    <w:rsid w:val="008261AB"/>
    <w:rsid w:val="00835CA7"/>
    <w:rsid w:val="008370D4"/>
    <w:rsid w:val="008414AD"/>
    <w:rsid w:val="008416A3"/>
    <w:rsid w:val="00841F66"/>
    <w:rsid w:val="008428D9"/>
    <w:rsid w:val="00865573"/>
    <w:rsid w:val="00872326"/>
    <w:rsid w:val="008759F6"/>
    <w:rsid w:val="00876B98"/>
    <w:rsid w:val="00877BC2"/>
    <w:rsid w:val="00884DB9"/>
    <w:rsid w:val="008879D1"/>
    <w:rsid w:val="00890608"/>
    <w:rsid w:val="00892DB3"/>
    <w:rsid w:val="0089676F"/>
    <w:rsid w:val="008A740E"/>
    <w:rsid w:val="008B627F"/>
    <w:rsid w:val="008C3BAD"/>
    <w:rsid w:val="008C58BE"/>
    <w:rsid w:val="008C67D2"/>
    <w:rsid w:val="008C7B8A"/>
    <w:rsid w:val="008E0683"/>
    <w:rsid w:val="008F5FAD"/>
    <w:rsid w:val="00902DD9"/>
    <w:rsid w:val="0090787B"/>
    <w:rsid w:val="00911466"/>
    <w:rsid w:val="00911486"/>
    <w:rsid w:val="009129CA"/>
    <w:rsid w:val="009149D5"/>
    <w:rsid w:val="009206B6"/>
    <w:rsid w:val="009263C1"/>
    <w:rsid w:val="00931C02"/>
    <w:rsid w:val="00935FFD"/>
    <w:rsid w:val="00941B4F"/>
    <w:rsid w:val="00953C81"/>
    <w:rsid w:val="00962FB3"/>
    <w:rsid w:val="00963CE3"/>
    <w:rsid w:val="00964F18"/>
    <w:rsid w:val="00965BEA"/>
    <w:rsid w:val="0097039F"/>
    <w:rsid w:val="00974424"/>
    <w:rsid w:val="009759F3"/>
    <w:rsid w:val="00987F76"/>
    <w:rsid w:val="00991BF9"/>
    <w:rsid w:val="00993088"/>
    <w:rsid w:val="009962E3"/>
    <w:rsid w:val="0099664F"/>
    <w:rsid w:val="00997D5D"/>
    <w:rsid w:val="009A0447"/>
    <w:rsid w:val="009A4087"/>
    <w:rsid w:val="009B034F"/>
    <w:rsid w:val="009B0C95"/>
    <w:rsid w:val="009B48F4"/>
    <w:rsid w:val="009B4A51"/>
    <w:rsid w:val="009C04D0"/>
    <w:rsid w:val="009C1F81"/>
    <w:rsid w:val="009C28B1"/>
    <w:rsid w:val="009C61AD"/>
    <w:rsid w:val="009D373D"/>
    <w:rsid w:val="009D77CD"/>
    <w:rsid w:val="009E1D05"/>
    <w:rsid w:val="009F4AB0"/>
    <w:rsid w:val="009F7283"/>
    <w:rsid w:val="00A00C86"/>
    <w:rsid w:val="00A11B0C"/>
    <w:rsid w:val="00A13065"/>
    <w:rsid w:val="00A21EC1"/>
    <w:rsid w:val="00A26744"/>
    <w:rsid w:val="00A305CE"/>
    <w:rsid w:val="00A33B35"/>
    <w:rsid w:val="00A36419"/>
    <w:rsid w:val="00A37AE0"/>
    <w:rsid w:val="00A42E2D"/>
    <w:rsid w:val="00A559B1"/>
    <w:rsid w:val="00A578C2"/>
    <w:rsid w:val="00A70EBC"/>
    <w:rsid w:val="00A72652"/>
    <w:rsid w:val="00A743AE"/>
    <w:rsid w:val="00A75D1C"/>
    <w:rsid w:val="00A809AA"/>
    <w:rsid w:val="00A81BF7"/>
    <w:rsid w:val="00A849B3"/>
    <w:rsid w:val="00A8510D"/>
    <w:rsid w:val="00A86AF3"/>
    <w:rsid w:val="00A90BDC"/>
    <w:rsid w:val="00A95477"/>
    <w:rsid w:val="00A975A9"/>
    <w:rsid w:val="00AA3192"/>
    <w:rsid w:val="00AA5915"/>
    <w:rsid w:val="00AB3608"/>
    <w:rsid w:val="00AC0335"/>
    <w:rsid w:val="00AC3F57"/>
    <w:rsid w:val="00AC5C48"/>
    <w:rsid w:val="00AC7F18"/>
    <w:rsid w:val="00AD606D"/>
    <w:rsid w:val="00AE5293"/>
    <w:rsid w:val="00AF0CF4"/>
    <w:rsid w:val="00AF2252"/>
    <w:rsid w:val="00AF61F3"/>
    <w:rsid w:val="00AF7F6F"/>
    <w:rsid w:val="00B03750"/>
    <w:rsid w:val="00B07284"/>
    <w:rsid w:val="00B1129F"/>
    <w:rsid w:val="00B11D61"/>
    <w:rsid w:val="00B12F51"/>
    <w:rsid w:val="00B2046B"/>
    <w:rsid w:val="00B238C9"/>
    <w:rsid w:val="00B2751E"/>
    <w:rsid w:val="00B3650C"/>
    <w:rsid w:val="00B460B8"/>
    <w:rsid w:val="00B50A2B"/>
    <w:rsid w:val="00B530A8"/>
    <w:rsid w:val="00B64BFA"/>
    <w:rsid w:val="00B65C38"/>
    <w:rsid w:val="00B8216F"/>
    <w:rsid w:val="00B853F1"/>
    <w:rsid w:val="00B85DE4"/>
    <w:rsid w:val="00B8656C"/>
    <w:rsid w:val="00B91A31"/>
    <w:rsid w:val="00BA46A8"/>
    <w:rsid w:val="00BA479C"/>
    <w:rsid w:val="00BA6DB4"/>
    <w:rsid w:val="00BB7104"/>
    <w:rsid w:val="00BB726E"/>
    <w:rsid w:val="00BC016A"/>
    <w:rsid w:val="00BC3F3C"/>
    <w:rsid w:val="00BC5BB2"/>
    <w:rsid w:val="00BC6896"/>
    <w:rsid w:val="00BD2EA1"/>
    <w:rsid w:val="00BF3F54"/>
    <w:rsid w:val="00BF7078"/>
    <w:rsid w:val="00C00697"/>
    <w:rsid w:val="00C0376C"/>
    <w:rsid w:val="00C06D55"/>
    <w:rsid w:val="00C06D77"/>
    <w:rsid w:val="00C06E7F"/>
    <w:rsid w:val="00C14BA6"/>
    <w:rsid w:val="00C162E1"/>
    <w:rsid w:val="00C21455"/>
    <w:rsid w:val="00C337E0"/>
    <w:rsid w:val="00C347E7"/>
    <w:rsid w:val="00C3485C"/>
    <w:rsid w:val="00C40E59"/>
    <w:rsid w:val="00C420D4"/>
    <w:rsid w:val="00C45FDE"/>
    <w:rsid w:val="00C47FCD"/>
    <w:rsid w:val="00C61668"/>
    <w:rsid w:val="00C675DB"/>
    <w:rsid w:val="00C71C6A"/>
    <w:rsid w:val="00C818C6"/>
    <w:rsid w:val="00C84DC3"/>
    <w:rsid w:val="00CA2004"/>
    <w:rsid w:val="00CB2D1A"/>
    <w:rsid w:val="00CB334D"/>
    <w:rsid w:val="00CB56D5"/>
    <w:rsid w:val="00CB7199"/>
    <w:rsid w:val="00CB7F33"/>
    <w:rsid w:val="00CC10EC"/>
    <w:rsid w:val="00CC6C09"/>
    <w:rsid w:val="00CC7A4E"/>
    <w:rsid w:val="00CD0771"/>
    <w:rsid w:val="00CD1EA8"/>
    <w:rsid w:val="00CF0CE8"/>
    <w:rsid w:val="00CF2ED6"/>
    <w:rsid w:val="00CF36DF"/>
    <w:rsid w:val="00CF5ABD"/>
    <w:rsid w:val="00CF63CE"/>
    <w:rsid w:val="00CF65F7"/>
    <w:rsid w:val="00D02456"/>
    <w:rsid w:val="00D067C1"/>
    <w:rsid w:val="00D06CF5"/>
    <w:rsid w:val="00D13B13"/>
    <w:rsid w:val="00D15675"/>
    <w:rsid w:val="00D16E78"/>
    <w:rsid w:val="00D201D3"/>
    <w:rsid w:val="00D22FB6"/>
    <w:rsid w:val="00D24BCF"/>
    <w:rsid w:val="00D26A64"/>
    <w:rsid w:val="00D26ECE"/>
    <w:rsid w:val="00D31E31"/>
    <w:rsid w:val="00D328FA"/>
    <w:rsid w:val="00D33BF9"/>
    <w:rsid w:val="00D4221A"/>
    <w:rsid w:val="00D4309B"/>
    <w:rsid w:val="00D5238C"/>
    <w:rsid w:val="00D52B9A"/>
    <w:rsid w:val="00D5367E"/>
    <w:rsid w:val="00D57C7E"/>
    <w:rsid w:val="00D62753"/>
    <w:rsid w:val="00D670C1"/>
    <w:rsid w:val="00D724CC"/>
    <w:rsid w:val="00D7285C"/>
    <w:rsid w:val="00D77D27"/>
    <w:rsid w:val="00D861ED"/>
    <w:rsid w:val="00D873E0"/>
    <w:rsid w:val="00D94F8B"/>
    <w:rsid w:val="00DA147A"/>
    <w:rsid w:val="00DA4EA9"/>
    <w:rsid w:val="00DA5988"/>
    <w:rsid w:val="00DC317C"/>
    <w:rsid w:val="00DC4FF2"/>
    <w:rsid w:val="00DC79CC"/>
    <w:rsid w:val="00DD2921"/>
    <w:rsid w:val="00DE2D45"/>
    <w:rsid w:val="00E134F4"/>
    <w:rsid w:val="00E1774B"/>
    <w:rsid w:val="00E2046E"/>
    <w:rsid w:val="00E23568"/>
    <w:rsid w:val="00E245B5"/>
    <w:rsid w:val="00E24C20"/>
    <w:rsid w:val="00E33BBA"/>
    <w:rsid w:val="00E33E1B"/>
    <w:rsid w:val="00E34D3E"/>
    <w:rsid w:val="00E37E48"/>
    <w:rsid w:val="00E42F3A"/>
    <w:rsid w:val="00E47957"/>
    <w:rsid w:val="00E601B1"/>
    <w:rsid w:val="00E71F70"/>
    <w:rsid w:val="00E73E13"/>
    <w:rsid w:val="00E76216"/>
    <w:rsid w:val="00E81C5E"/>
    <w:rsid w:val="00E83B3C"/>
    <w:rsid w:val="00E8736B"/>
    <w:rsid w:val="00E878BE"/>
    <w:rsid w:val="00E90275"/>
    <w:rsid w:val="00E925D4"/>
    <w:rsid w:val="00E92604"/>
    <w:rsid w:val="00E97226"/>
    <w:rsid w:val="00EA1CCB"/>
    <w:rsid w:val="00EB4E5B"/>
    <w:rsid w:val="00EB63B3"/>
    <w:rsid w:val="00EC45F0"/>
    <w:rsid w:val="00ED6878"/>
    <w:rsid w:val="00EE441D"/>
    <w:rsid w:val="00EF0EC8"/>
    <w:rsid w:val="00EF33CD"/>
    <w:rsid w:val="00EF47A4"/>
    <w:rsid w:val="00F0284A"/>
    <w:rsid w:val="00F101FC"/>
    <w:rsid w:val="00F2267A"/>
    <w:rsid w:val="00F2291A"/>
    <w:rsid w:val="00F27049"/>
    <w:rsid w:val="00F27797"/>
    <w:rsid w:val="00F300CB"/>
    <w:rsid w:val="00F33F93"/>
    <w:rsid w:val="00F378D9"/>
    <w:rsid w:val="00F40681"/>
    <w:rsid w:val="00F42C3A"/>
    <w:rsid w:val="00F52BCC"/>
    <w:rsid w:val="00F5313F"/>
    <w:rsid w:val="00F56E9E"/>
    <w:rsid w:val="00F57581"/>
    <w:rsid w:val="00F725B5"/>
    <w:rsid w:val="00F81A48"/>
    <w:rsid w:val="00F82397"/>
    <w:rsid w:val="00FB1DB3"/>
    <w:rsid w:val="00FC1FA3"/>
    <w:rsid w:val="00FC4313"/>
    <w:rsid w:val="00FC5B1F"/>
    <w:rsid w:val="00FD17C9"/>
    <w:rsid w:val="00FD1C55"/>
    <w:rsid w:val="00FD1EF0"/>
    <w:rsid w:val="00FD2A5B"/>
    <w:rsid w:val="00FD4902"/>
    <w:rsid w:val="00FD632C"/>
    <w:rsid w:val="00FE0E1C"/>
    <w:rsid w:val="00FE4D92"/>
    <w:rsid w:val="00FE6A5C"/>
    <w:rsid w:val="00FF14D0"/>
    <w:rsid w:val="00FF7446"/>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3EC77"/>
  <w15:docId w15:val="{4FA50FC0-3EA3-492C-827B-4D62CB6A1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 w:type="character" w:styleId="UnresolvedMention">
    <w:name w:val="Unresolved Mention"/>
    <w:basedOn w:val="DefaultParagraphFont"/>
    <w:uiPriority w:val="99"/>
    <w:semiHidden/>
    <w:unhideWhenUsed/>
    <w:rsid w:val="003268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280B11AB954C44BB2ADB61C885D152" ma:contentTypeVersion="13" ma:contentTypeDescription="Create a new document." ma:contentTypeScope="" ma:versionID="b85aa96280b23c9652e28870c46a7712">
  <xsd:schema xmlns:xsd="http://www.w3.org/2001/XMLSchema" xmlns:xs="http://www.w3.org/2001/XMLSchema" xmlns:p="http://schemas.microsoft.com/office/2006/metadata/properties" xmlns:ns1="http://schemas.microsoft.com/sharepoint/v3" xmlns:ns3="86765d95-7958-4d60-b35d-769de0760221" xmlns:ns4="dde2d2aa-043b-4580-afc4-8c4886710735" targetNamespace="http://schemas.microsoft.com/office/2006/metadata/properties" ma:root="true" ma:fieldsID="185d1212ee75e7dc9ff712f93c7ec2bd" ns1:_="" ns3:_="" ns4:_="">
    <xsd:import namespace="http://schemas.microsoft.com/sharepoint/v3"/>
    <xsd:import namespace="86765d95-7958-4d60-b35d-769de0760221"/>
    <xsd:import namespace="dde2d2aa-043b-4580-afc4-8c488671073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765d95-7958-4d60-b35d-769de0760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2d2aa-043b-4580-afc4-8c48867107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E48AE-66F8-48FB-A07C-21F32FEA2F6F}">
  <ds:schemaRefs>
    <ds:schemaRef ds:uri="http://schemas.microsoft.com/sharepoint/v3/contenttype/forms"/>
  </ds:schemaRefs>
</ds:datastoreItem>
</file>

<file path=customXml/itemProps2.xml><?xml version="1.0" encoding="utf-8"?>
<ds:datastoreItem xmlns:ds="http://schemas.openxmlformats.org/officeDocument/2006/customXml" ds:itemID="{3C04B49D-D892-44B6-AE28-C7E22E974649}">
  <ds:schemaRefs>
    <ds:schemaRef ds:uri="http://schemas.microsoft.com/sharepoint/v3"/>
    <ds:schemaRef ds:uri="http://purl.org/dc/terms/"/>
    <ds:schemaRef ds:uri="http://schemas.microsoft.com/office/2006/metadata/properties"/>
    <ds:schemaRef ds:uri="86765d95-7958-4d60-b35d-769de0760221"/>
    <ds:schemaRef ds:uri="http://www.w3.org/XML/1998/namespace"/>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dde2d2aa-043b-4580-afc4-8c4886710735"/>
  </ds:schemaRefs>
</ds:datastoreItem>
</file>

<file path=customXml/itemProps3.xml><?xml version="1.0" encoding="utf-8"?>
<ds:datastoreItem xmlns:ds="http://schemas.openxmlformats.org/officeDocument/2006/customXml" ds:itemID="{0170F8B2-1A87-4553-B6D2-2442E344C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765d95-7958-4d60-b35d-769de0760221"/>
    <ds:schemaRef ds:uri="dde2d2aa-043b-4580-afc4-8c4886710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687A74-1FD2-4D86-9F7B-60E634529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2702</Words>
  <Characters>15405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khx2</dc:creator>
  <cp:lastModifiedBy>Anderson, Brittany (CDC/DDPHSIS/CSTLTS/OD)</cp:lastModifiedBy>
  <cp:revision>3</cp:revision>
  <cp:lastPrinted>2019-02-14T20:47:00Z</cp:lastPrinted>
  <dcterms:created xsi:type="dcterms:W3CDTF">2020-06-03T14:38:00Z</dcterms:created>
  <dcterms:modified xsi:type="dcterms:W3CDTF">2020-06-09T13:32:00Z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0x010100B0280B11AB954C44BB2ADB61C885D152</vt:lpwstr>
  </property>
  <property fmtid="{D5CDD505-2E9C-101B-9397-08002B2CF9AE}" pid="3" name="_dlc_DocIdItemGuid">
    <vt:lpwstr>0acc812f-50c6-40eb-80f3-89dfe78c73e8</vt:lpwstr>
  </property>
</Properties>
</file>