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14AC" w14:textId="77777777" w:rsidR="0097203A" w:rsidRDefault="000A364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Attachment 6: </w:t>
      </w:r>
      <w:r w:rsidR="0097203A" w:rsidRPr="00580A10">
        <w:rPr>
          <w:rFonts w:ascii="Times New Roman" w:hAnsi="Times New Roman" w:cs="Times New Roman"/>
          <w:b/>
          <w:sz w:val="24"/>
          <w:szCs w:val="24"/>
        </w:rPr>
        <w:t>Overview of Changes</w:t>
      </w:r>
      <w:r w:rsidR="00350944">
        <w:rPr>
          <w:rFonts w:ascii="Times New Roman" w:hAnsi="Times New Roman" w:cs="Times New Roman"/>
          <w:b/>
          <w:sz w:val="24"/>
          <w:szCs w:val="24"/>
        </w:rPr>
        <w:t xml:space="preserve"> to 2015 </w:t>
      </w:r>
      <w:r w:rsidR="00350944" w:rsidRPr="007B5C79">
        <w:rPr>
          <w:rFonts w:ascii="Times New Roman" w:hAnsi="Times New Roman" w:cs="Times New Roman"/>
          <w:b/>
          <w:i/>
          <w:sz w:val="24"/>
          <w:szCs w:val="24"/>
        </w:rPr>
        <w:t>DPRP Standards</w:t>
      </w:r>
      <w:r w:rsidR="0097203A" w:rsidRPr="00580A1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0944">
        <w:rPr>
          <w:rFonts w:ascii="Times New Roman" w:hAnsi="Times New Roman" w:cs="Times New Roman"/>
          <w:b/>
          <w:sz w:val="24"/>
          <w:szCs w:val="24"/>
        </w:rPr>
        <w:t xml:space="preserve">OMB No. </w:t>
      </w:r>
      <w:r w:rsidR="0097203A" w:rsidRPr="00580A10">
        <w:rPr>
          <w:rFonts w:ascii="Times New Roman" w:hAnsi="Times New Roman" w:cs="Times New Roman"/>
          <w:b/>
          <w:sz w:val="24"/>
          <w:szCs w:val="24"/>
        </w:rPr>
        <w:t>0920-0909</w:t>
      </w:r>
      <w:r w:rsidR="00350944">
        <w:rPr>
          <w:rFonts w:ascii="Times New Roman" w:hAnsi="Times New Roman" w:cs="Times New Roman"/>
          <w:b/>
          <w:sz w:val="24"/>
          <w:szCs w:val="24"/>
        </w:rPr>
        <w:t>, exp. 12/31/2017</w:t>
      </w:r>
      <w:r w:rsidR="0097203A" w:rsidRPr="00580A10">
        <w:rPr>
          <w:rFonts w:ascii="Times New Roman" w:hAnsi="Times New Roman" w:cs="Times New Roman"/>
          <w:b/>
          <w:sz w:val="24"/>
          <w:szCs w:val="24"/>
        </w:rPr>
        <w:t>)</w:t>
      </w:r>
      <w:r w:rsidR="007B5C79">
        <w:rPr>
          <w:rFonts w:ascii="Times New Roman" w:hAnsi="Times New Roman" w:cs="Times New Roman"/>
          <w:b/>
          <w:sz w:val="24"/>
          <w:szCs w:val="24"/>
        </w:rPr>
        <w:t xml:space="preserve"> for 2018 </w:t>
      </w:r>
      <w:r w:rsidR="007B5C79" w:rsidRPr="007B5C79">
        <w:rPr>
          <w:rFonts w:ascii="Times New Roman" w:hAnsi="Times New Roman" w:cs="Times New Roman"/>
          <w:b/>
          <w:i/>
          <w:sz w:val="24"/>
          <w:szCs w:val="24"/>
        </w:rPr>
        <w:t>DPRP Standards</w:t>
      </w:r>
      <w:r w:rsidR="007B5C79">
        <w:rPr>
          <w:rFonts w:ascii="Times New Roman" w:hAnsi="Times New Roman" w:cs="Times New Roman"/>
          <w:b/>
          <w:sz w:val="24"/>
          <w:szCs w:val="24"/>
        </w:rPr>
        <w:t xml:space="preserve"> (revision)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3097"/>
        <w:gridCol w:w="3923"/>
        <w:gridCol w:w="2757"/>
      </w:tblGrid>
      <w:tr w:rsidR="000F3E5A" w14:paraId="0FBC57EC" w14:textId="77777777" w:rsidTr="005252B0">
        <w:trPr>
          <w:cantSplit/>
          <w:tblHeader/>
        </w:trPr>
        <w:tc>
          <w:tcPr>
            <w:tcW w:w="3173" w:type="dxa"/>
            <w:shd w:val="clear" w:color="auto" w:fill="BFBFBF" w:themeFill="background1" w:themeFillShade="BF"/>
          </w:tcPr>
          <w:p w14:paraId="341410E8" w14:textId="77777777" w:rsidR="0097203A" w:rsidRPr="00F04D1F" w:rsidRDefault="0097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Type of Change</w:t>
            </w:r>
          </w:p>
        </w:tc>
        <w:tc>
          <w:tcPr>
            <w:tcW w:w="3097" w:type="dxa"/>
            <w:shd w:val="clear" w:color="auto" w:fill="BFBFBF" w:themeFill="background1" w:themeFillShade="BF"/>
          </w:tcPr>
          <w:p w14:paraId="00D96908" w14:textId="77777777" w:rsidR="0097203A" w:rsidRPr="00F04D1F" w:rsidRDefault="0097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Rationale</w:t>
            </w:r>
          </w:p>
        </w:tc>
        <w:tc>
          <w:tcPr>
            <w:tcW w:w="3923" w:type="dxa"/>
            <w:shd w:val="clear" w:color="auto" w:fill="BFBFBF" w:themeFill="background1" w:themeFillShade="BF"/>
          </w:tcPr>
          <w:p w14:paraId="2F9EF5BB" w14:textId="77777777" w:rsidR="0097203A" w:rsidRPr="00F04D1F" w:rsidRDefault="00EC3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Detailed Description of Change(s)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0045C5A7" w14:textId="77777777" w:rsidR="0097203A" w:rsidRPr="00F04D1F" w:rsidRDefault="00EC3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Affected Form(s)</w:t>
            </w:r>
          </w:p>
        </w:tc>
      </w:tr>
      <w:tr w:rsidR="00EB73C8" w14:paraId="6C411E68" w14:textId="77777777" w:rsidTr="005252B0">
        <w:trPr>
          <w:cantSplit/>
        </w:trPr>
        <w:tc>
          <w:tcPr>
            <w:tcW w:w="3173" w:type="dxa"/>
          </w:tcPr>
          <w:p w14:paraId="4785B611" w14:textId="77777777" w:rsidR="002801AF" w:rsidRPr="00580A10" w:rsidRDefault="002801AF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Programmatic changes</w:t>
            </w:r>
          </w:p>
        </w:tc>
        <w:tc>
          <w:tcPr>
            <w:tcW w:w="3097" w:type="dxa"/>
          </w:tcPr>
          <w:p w14:paraId="6FA672A6" w14:textId="2D9989B5" w:rsidR="002801AF" w:rsidRPr="00580A10" w:rsidRDefault="002214E7" w:rsidP="00C7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CDC’s 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>Diabetes Prevention Recognition Program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DPRP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anticipates that the majority of current 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 xml:space="preserve">CDC-recognized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organizations and most new organizations 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 xml:space="preserve">applying for recognition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January 1, 2018 will participate in the </w:t>
            </w:r>
            <w:r w:rsidR="007D1FF7">
              <w:rPr>
                <w:rFonts w:ascii="Times New Roman" w:hAnsi="Times New Roman" w:cs="Times New Roman"/>
                <w:sz w:val="24"/>
                <w:szCs w:val="24"/>
              </w:rPr>
              <w:t xml:space="preserve">Centers for Medicare 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7D1FF7">
              <w:rPr>
                <w:rFonts w:ascii="Times New Roman" w:hAnsi="Times New Roman" w:cs="Times New Roman"/>
                <w:sz w:val="24"/>
                <w:szCs w:val="24"/>
              </w:rPr>
              <w:t>Medicaid (CMS) Medicare Diabetes Prevention Program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MDPP</w:t>
            </w:r>
            <w:r w:rsidR="007D1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Expanded Model</w:t>
            </w:r>
            <w:r w:rsidR="00E079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On January 1, 2018, the MDPP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xpanded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odel was </w:t>
            </w:r>
            <w:r w:rsidR="009A4F07">
              <w:rPr>
                <w:rFonts w:ascii="Times New Roman" w:hAnsi="Times New Roman" w:cs="Times New Roman"/>
                <w:sz w:val="24"/>
                <w:szCs w:val="24"/>
              </w:rPr>
              <w:t>established through rulemaking (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>CY 2017 and CY 2018 Physician Fee Schedule final rules, 81 FR 80459-80483 and 82 FR 53234-53339, respectively</w:t>
            </w:r>
            <w:r w:rsidR="009A4F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 MDPP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xpanded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 w:rsidR="009A4F07">
              <w:rPr>
                <w:rFonts w:ascii="Times New Roman" w:hAnsi="Times New Roman" w:cs="Times New Roman"/>
                <w:sz w:val="24"/>
                <w:szCs w:val="24"/>
              </w:rPr>
              <w:t>text-</w:t>
            </w:r>
            <w:r w:rsidR="00E07939" w:rsidRPr="00E07939">
              <w:rPr>
                <w:rFonts w:ascii="Times New Roman" w:hAnsi="Times New Roman" w:cs="Times New Roman"/>
                <w:sz w:val="24"/>
                <w:szCs w:val="24"/>
              </w:rPr>
              <w:t xml:space="preserve"> 42 CFR §§ 410.79, 414.84, 424.200, 424.205, 424.210, 424.518, and 424.55</w:t>
            </w:r>
            <w:r w:rsidR="009A4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03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3E5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F3E5A" w:rsidRPr="000F3E5A">
              <w:rPr>
                <w:rFonts w:ascii="Times New Roman" w:hAnsi="Times New Roman" w:cs="Times New Roman"/>
                <w:sz w:val="24"/>
                <w:szCs w:val="24"/>
              </w:rPr>
              <w:t xml:space="preserve">his revision request also </w:t>
            </w:r>
            <w:r w:rsidR="000F3E5A">
              <w:rPr>
                <w:rFonts w:ascii="Times New Roman" w:hAnsi="Times New Roman" w:cs="Times New Roman"/>
                <w:sz w:val="24"/>
                <w:szCs w:val="24"/>
              </w:rPr>
              <w:t>accounts for</w:t>
            </w:r>
            <w:r w:rsidR="000F3E5A" w:rsidRPr="000F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E5A">
              <w:rPr>
                <w:rFonts w:ascii="Times New Roman" w:hAnsi="Times New Roman" w:cs="Times New Roman"/>
                <w:sz w:val="24"/>
                <w:szCs w:val="24"/>
              </w:rPr>
              <w:t xml:space="preserve">lessons learned from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0F3E5A">
              <w:rPr>
                <w:rFonts w:ascii="Times New Roman" w:hAnsi="Times New Roman" w:cs="Times New Roman"/>
                <w:sz w:val="24"/>
                <w:szCs w:val="24"/>
              </w:rPr>
              <w:t xml:space="preserve"> evaluation of organizational implementation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3E5A">
              <w:rPr>
                <w:rFonts w:ascii="Times New Roman" w:hAnsi="Times New Roman" w:cs="Times New Roman"/>
                <w:sz w:val="24"/>
                <w:szCs w:val="24"/>
              </w:rPr>
              <w:t>stakeholder feedback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33F1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0073F3">
              <w:rPr>
                <w:rFonts w:ascii="Times New Roman" w:hAnsi="Times New Roman" w:cs="Times New Roman"/>
                <w:sz w:val="24"/>
                <w:szCs w:val="24"/>
              </w:rPr>
              <w:t xml:space="preserve">other input received during </w:t>
            </w:r>
            <w:r w:rsidR="002A33F1">
              <w:rPr>
                <w:rFonts w:ascii="Times New Roman" w:hAnsi="Times New Roman" w:cs="Times New Roman"/>
                <w:sz w:val="24"/>
                <w:szCs w:val="24"/>
              </w:rPr>
              <w:t>listening sessions held in December 2016</w:t>
            </w:r>
            <w:r w:rsidR="000F3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3" w:type="dxa"/>
          </w:tcPr>
          <w:p w14:paraId="5F893513" w14:textId="42BE8804"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E713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llow</w:t>
            </w:r>
            <w:r w:rsidR="00AE60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E42">
              <w:rPr>
                <w:rFonts w:ascii="Times New Roman" w:hAnsi="Times New Roman" w:cs="Times New Roman"/>
                <w:sz w:val="24"/>
                <w:szCs w:val="24"/>
              </w:rPr>
              <w:t xml:space="preserve">for an additional recognition status of “preliminary” so that CDC-recognized organizations can participate in and bill for services under the </w:t>
            </w:r>
            <w:r w:rsidR="00AE1E42" w:rsidRPr="003B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MDPP </w:t>
            </w:r>
            <w:r w:rsidR="00AE606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E1E42" w:rsidRPr="003B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AE606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666E1A" w:rsidRPr="003B7B88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103E163" w14:textId="78E81416" w:rsidR="00557720" w:rsidRDefault="005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71339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  <w:r w:rsidRPr="00557720">
              <w:rPr>
                <w:rFonts w:ascii="Times New Roman" w:hAnsi="Times New Roman" w:cs="Times New Roman"/>
                <w:sz w:val="24"/>
                <w:szCs w:val="24"/>
              </w:rPr>
              <w:t>einstate biannual (every 6 months) data submissions from the 2011 DPRP Standards</w:t>
            </w:r>
            <w:r w:rsidR="00342DAA">
              <w:rPr>
                <w:rFonts w:ascii="Times New Roman" w:hAnsi="Times New Roman" w:cs="Times New Roman"/>
                <w:sz w:val="24"/>
                <w:szCs w:val="24"/>
              </w:rPr>
              <w:t xml:space="preserve"> to align with </w:t>
            </w:r>
            <w:r w:rsidR="00AE606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42DAA" w:rsidRPr="00342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MDPP </w:t>
            </w:r>
            <w:r w:rsidR="00AE606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42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AE606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42DAA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Pr="00557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3C100A" w14:textId="0B40EB8E" w:rsidR="002801AF" w:rsidRDefault="005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33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E2DD5">
              <w:rPr>
                <w:rFonts w:ascii="Times New Roman" w:hAnsi="Times New Roman" w:cs="Times New Roman"/>
                <w:sz w:val="24"/>
                <w:szCs w:val="24"/>
              </w:rPr>
              <w:t xml:space="preserve">iberalize data evaluation methods </w:t>
            </w:r>
            <w:r w:rsidR="009E2DD5" w:rsidRPr="009E2DD5">
              <w:rPr>
                <w:rFonts w:ascii="Times New Roman" w:hAnsi="Times New Roman" w:cs="Times New Roman"/>
                <w:sz w:val="24"/>
                <w:szCs w:val="24"/>
              </w:rPr>
              <w:t xml:space="preserve">to ensure that organizations serving low SES and racial/ethnic minority populations can succeed (e.g., </w:t>
            </w:r>
            <w:r w:rsidR="00EE3C72" w:rsidRPr="00EE3C72">
              <w:rPr>
                <w:rFonts w:ascii="Times New Roman" w:hAnsi="Times New Roman" w:cs="Times New Roman"/>
                <w:sz w:val="24"/>
                <w:szCs w:val="24"/>
              </w:rPr>
              <w:t xml:space="preserve">basing evaluation </w:t>
            </w:r>
            <w:r w:rsidR="000F5E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0F5E8A" w:rsidRPr="00EE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72" w:rsidRPr="00EE3C72">
              <w:rPr>
                <w:rFonts w:ascii="Times New Roman" w:hAnsi="Times New Roman" w:cs="Times New Roman"/>
                <w:sz w:val="24"/>
                <w:szCs w:val="24"/>
              </w:rPr>
              <w:t>the requirements on participants who attended at least 3 sessi</w:t>
            </w:r>
            <w:r w:rsidR="00EF64E5">
              <w:rPr>
                <w:rFonts w:ascii="Times New Roman" w:hAnsi="Times New Roman" w:cs="Times New Roman"/>
                <w:sz w:val="24"/>
                <w:szCs w:val="24"/>
              </w:rPr>
              <w:t>ons in moths 1-6 and whose time</w:t>
            </w:r>
            <w:r w:rsidR="00EE3C72" w:rsidRPr="00EE3C72">
              <w:rPr>
                <w:rFonts w:ascii="Times New Roman" w:hAnsi="Times New Roman" w:cs="Times New Roman"/>
                <w:sz w:val="24"/>
                <w:szCs w:val="24"/>
              </w:rPr>
              <w:t xml:space="preserve"> from first session to last session was at least 9 months</w:t>
            </w:r>
            <w:r w:rsidR="00EE3C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E670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EE3C72">
              <w:rPr>
                <w:rFonts w:ascii="Times New Roman" w:hAnsi="Times New Roman" w:cs="Times New Roman"/>
                <w:sz w:val="24"/>
                <w:szCs w:val="24"/>
              </w:rPr>
              <w:t>amending the blood test-based eligibility requirement to 35%</w:t>
            </w:r>
            <w:r w:rsidR="009E2DD5" w:rsidRPr="009E2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402580" w14:textId="291C2867" w:rsidR="002801AF" w:rsidRPr="00580A10" w:rsidRDefault="00993EBD" w:rsidP="000F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1339">
              <w:rPr>
                <w:rFonts w:ascii="Times New Roman" w:hAnsi="Times New Roman" w:cs="Times New Roman"/>
                <w:sz w:val="24"/>
                <w:szCs w:val="24"/>
              </w:rPr>
              <w:t xml:space="preserve">hange </w:t>
            </w:r>
            <w:r w:rsidR="0079531D">
              <w:rPr>
                <w:rFonts w:ascii="Times New Roman" w:hAnsi="Times New Roman" w:cs="Times New Roman"/>
                <w:sz w:val="24"/>
                <w:szCs w:val="24"/>
              </w:rPr>
              <w:t>terms “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six months/2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six months</w:t>
            </w:r>
            <w:r w:rsidR="007953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7F7">
              <w:rPr>
                <w:rFonts w:ascii="Times New Roman" w:hAnsi="Times New Roman" w:cs="Times New Roman"/>
                <w:sz w:val="24"/>
                <w:szCs w:val="24"/>
              </w:rPr>
              <w:t>to “core</w:t>
            </w:r>
            <w:r w:rsidR="00B55FD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727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5FD3">
              <w:rPr>
                <w:rFonts w:ascii="Times New Roman" w:hAnsi="Times New Roman" w:cs="Times New Roman"/>
                <w:sz w:val="24"/>
                <w:szCs w:val="24"/>
              </w:rPr>
              <w:t xml:space="preserve"> “core </w:t>
            </w:r>
            <w:r w:rsidR="005727F7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  <w:r w:rsidR="00B55FD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71339">
              <w:rPr>
                <w:rFonts w:ascii="Times New Roman" w:hAnsi="Times New Roman" w:cs="Times New Roman"/>
                <w:sz w:val="24"/>
                <w:szCs w:val="24"/>
              </w:rPr>
              <w:t xml:space="preserve"> to align with the </w:t>
            </w:r>
            <w:r w:rsidR="00B55FD3" w:rsidRPr="003B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MDPP </w:t>
            </w:r>
            <w:r w:rsidR="000F5E8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5727F7" w:rsidRPr="003B7B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0F5E8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727F7" w:rsidRPr="003B7B88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6CEB7F7B" w14:textId="77777777" w:rsidR="002801AF" w:rsidRPr="00580A10" w:rsidRDefault="002801AF" w:rsidP="00C75B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DPRP Standards 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3)</w:t>
            </w:r>
          </w:p>
          <w:p w14:paraId="218685AD" w14:textId="5ED11BED" w:rsidR="001A39FC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1A39FC">
              <w:rPr>
                <w:rFonts w:ascii="Times New Roman" w:hAnsi="Times New Roman" w:cs="Times New Roman"/>
                <w:sz w:val="24"/>
                <w:szCs w:val="24"/>
              </w:rPr>
              <w:t>preliminary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0B5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0C2F838" w14:textId="3D156AA1"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155496">
              <w:rPr>
                <w:rFonts w:ascii="Times New Roman" w:hAnsi="Times New Roman" w:cs="Times New Roman"/>
                <w:sz w:val="24"/>
                <w:szCs w:val="24"/>
              </w:rPr>
              <w:t>data submissions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r w:rsidR="00155496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="000B5AB8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8495BFB" w14:textId="42BA18D9" w:rsidR="002801AF" w:rsidRDefault="005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85E">
              <w:rPr>
                <w:rFonts w:ascii="Times New Roman" w:hAnsi="Times New Roman" w:cs="Times New Roman"/>
                <w:sz w:val="24"/>
                <w:szCs w:val="24"/>
              </w:rPr>
              <w:t>methods listed in “</w:t>
            </w:r>
            <w:r w:rsidR="003D385E" w:rsidRPr="003D385E">
              <w:rPr>
                <w:rFonts w:ascii="Times New Roman" w:hAnsi="Times New Roman" w:cs="Times New Roman"/>
                <w:sz w:val="24"/>
                <w:szCs w:val="24"/>
              </w:rPr>
              <w:t>Table 3.  Requirements for Recognition</w:t>
            </w:r>
            <w:r w:rsidR="003D385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417B">
              <w:rPr>
                <w:rFonts w:ascii="Times New Roman" w:hAnsi="Times New Roman" w:cs="Times New Roman"/>
                <w:sz w:val="24"/>
                <w:szCs w:val="24"/>
              </w:rPr>
              <w:t xml:space="preserve"> 15-17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A9CE0" w14:textId="6363D8B4" w:rsidR="002801AF" w:rsidRPr="00580A10" w:rsidRDefault="002801AF" w:rsidP="003D3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8" w14:paraId="42AF72EA" w14:textId="77777777" w:rsidTr="00C04602">
        <w:trPr>
          <w:cantSplit/>
          <w:trHeight w:val="3482"/>
        </w:trPr>
        <w:tc>
          <w:tcPr>
            <w:tcW w:w="3173" w:type="dxa"/>
          </w:tcPr>
          <w:p w14:paraId="19385E3D" w14:textId="0B83C2F0" w:rsidR="002801AF" w:rsidRPr="00580A10" w:rsidRDefault="002801AF" w:rsidP="00EB73C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Collect additional 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information for </w:t>
            </w:r>
            <w:r w:rsidRPr="000A3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applicant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="00C65E60">
              <w:rPr>
                <w:rFonts w:ascii="Times New Roman" w:hAnsi="Times New Roman" w:cs="Times New Roman"/>
                <w:sz w:val="24"/>
                <w:szCs w:val="24"/>
              </w:rPr>
              <w:t xml:space="preserve"> on the one-time application form</w:t>
            </w:r>
          </w:p>
        </w:tc>
        <w:tc>
          <w:tcPr>
            <w:tcW w:w="3097" w:type="dxa"/>
          </w:tcPr>
          <w:p w14:paraId="228417B7" w14:textId="0F3E4982" w:rsidR="002801AF" w:rsidRPr="00580A10" w:rsidRDefault="002801AF" w:rsidP="0002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Improve CDC’s ability to 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>assess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an applicant organization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capacity </w:t>
            </w:r>
            <w:r w:rsidR="003373C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 deliver the lifestyle change program and collect data needed for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B73C8" w:rsidRPr="0002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</w:t>
            </w:r>
            <w:r w:rsidR="00022D1C" w:rsidRPr="0002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MDPP </w:t>
            </w:r>
            <w:r w:rsidR="00C7546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022D1C" w:rsidRPr="0002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C7546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22D1C" w:rsidRPr="00022D1C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="003373CD">
              <w:rPr>
                <w:rFonts w:ascii="Times New Roman" w:hAnsi="Times New Roman" w:cs="Times New Roman"/>
                <w:sz w:val="24"/>
                <w:szCs w:val="24"/>
              </w:rPr>
              <w:t>, where relevant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; improve </w:t>
            </w:r>
            <w:r w:rsidR="003373CD">
              <w:rPr>
                <w:rFonts w:ascii="Times New Roman" w:hAnsi="Times New Roman" w:cs="Times New Roman"/>
                <w:sz w:val="24"/>
                <w:szCs w:val="24"/>
              </w:rPr>
              <w:t>information available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 on the DPRP registry </w:t>
            </w:r>
            <w:r w:rsidR="003373CD">
              <w:rPr>
                <w:rFonts w:ascii="Times New Roman" w:hAnsi="Times New Roman" w:cs="Times New Roman"/>
                <w:sz w:val="24"/>
                <w:szCs w:val="24"/>
              </w:rPr>
              <w:t>by displaying the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 type of programming </w:t>
            </w:r>
            <w:r w:rsidR="003373CD">
              <w:rPr>
                <w:rFonts w:ascii="Times New Roman" w:hAnsi="Times New Roman" w:cs="Times New Roman"/>
                <w:sz w:val="24"/>
                <w:szCs w:val="24"/>
              </w:rPr>
              <w:t xml:space="preserve">each organization 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>offer</w:t>
            </w:r>
            <w:r w:rsidR="003373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A90">
              <w:rPr>
                <w:rFonts w:ascii="Times New Roman" w:hAnsi="Times New Roman" w:cs="Times New Roman"/>
                <w:sz w:val="24"/>
                <w:szCs w:val="24"/>
              </w:rPr>
              <w:t xml:space="preserve">for both participants and </w:t>
            </w:r>
            <w:r w:rsidR="0045601C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="00DF0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3" w:type="dxa"/>
          </w:tcPr>
          <w:p w14:paraId="7587F1C6" w14:textId="78484D10" w:rsidR="00DF0A90" w:rsidRPr="009525A3" w:rsidRDefault="00DF0A90" w:rsidP="00DF0A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25A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C40C32" w:rsidRPr="009525A3">
              <w:rPr>
                <w:rFonts w:ascii="Times New Roman" w:hAnsi="Times New Roman" w:cs="Times New Roman"/>
                <w:sz w:val="24"/>
                <w:szCs w:val="24"/>
              </w:rPr>
              <w:t>One application per each d</w:t>
            </w:r>
            <w:r w:rsidRPr="009525A3">
              <w:rPr>
                <w:rFonts w:ascii="Times New Roman" w:hAnsi="Times New Roman" w:cs="Times New Roman"/>
                <w:sz w:val="24"/>
                <w:szCs w:val="24"/>
              </w:rPr>
              <w:t xml:space="preserve">elivery mode (required for </w:t>
            </w:r>
            <w:r w:rsidRPr="0095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CMS MDPP </w:t>
            </w:r>
            <w:r w:rsidR="00475FC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5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475FC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525A3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Pr="009525A3">
              <w:rPr>
                <w:rFonts w:ascii="Times New Roman" w:hAnsi="Times New Roman" w:cs="Times New Roman"/>
                <w:sz w:val="24"/>
                <w:szCs w:val="24"/>
              </w:rPr>
              <w:t xml:space="preserve"> as the model currently reimburses for in-person only delivery);</w:t>
            </w:r>
          </w:p>
          <w:p w14:paraId="1967E08C" w14:textId="77777777" w:rsidR="00DF0A90" w:rsidRPr="009525A3" w:rsidRDefault="00DF0A90" w:rsidP="00DF0A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25A3">
              <w:rPr>
                <w:rFonts w:ascii="Times New Roman" w:hAnsi="Times New Roman" w:cs="Times New Roman"/>
                <w:sz w:val="24"/>
                <w:szCs w:val="24"/>
              </w:rPr>
              <w:t>b. Class type (for National DPP participants to be able to locate a class near them, or an online program, in which to enroll);</w:t>
            </w:r>
          </w:p>
          <w:p w14:paraId="7A4CA28C" w14:textId="77777777" w:rsidR="00DF0A90" w:rsidRPr="009525A3" w:rsidRDefault="00DF0A90" w:rsidP="00DF0A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25A3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45601C" w:rsidRPr="009525A3">
              <w:rPr>
                <w:rFonts w:ascii="Times New Roman" w:hAnsi="Times New Roman" w:cs="Times New Roman"/>
                <w:sz w:val="24"/>
                <w:szCs w:val="24"/>
              </w:rPr>
              <w:t>Organization type (necessary for both CDC and CMS evaluation of successful delivery by type of applicant organization);</w:t>
            </w:r>
          </w:p>
          <w:p w14:paraId="350CFACE" w14:textId="64891738" w:rsidR="0045601C" w:rsidRPr="009525A3" w:rsidRDefault="0045601C" w:rsidP="00DF0A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4DFE8E59" w14:textId="77777777" w:rsidR="009A7C6A" w:rsidRDefault="002801AF" w:rsidP="00EB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(Attachment 4A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>; to be updated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73C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39A7BA2F" w14:textId="77777777" w:rsidR="00EB73C8" w:rsidRPr="00580A10" w:rsidRDefault="00EB73C8" w:rsidP="00EB7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DPRP Standards 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3)</w:t>
            </w:r>
          </w:p>
          <w:p w14:paraId="729E6C58" w14:textId="77777777"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359" w14:paraId="7DB0AF81" w14:textId="77777777" w:rsidTr="00C04602">
        <w:trPr>
          <w:cantSplit/>
          <w:trHeight w:val="1781"/>
        </w:trPr>
        <w:tc>
          <w:tcPr>
            <w:tcW w:w="3173" w:type="dxa"/>
          </w:tcPr>
          <w:p w14:paraId="7ADF0E78" w14:textId="0253ED1B" w:rsidR="002F4359" w:rsidRDefault="002F4359" w:rsidP="002F43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Reinstated evaluation variables from CDC’s original 2011 DPRP Standards package</w:t>
            </w:r>
          </w:p>
        </w:tc>
        <w:tc>
          <w:tcPr>
            <w:tcW w:w="3097" w:type="dxa"/>
          </w:tcPr>
          <w:p w14:paraId="5A3B1817" w14:textId="31CDD025" w:rsidR="002F4359" w:rsidRPr="00580A10" w:rsidRDefault="002F4359" w:rsidP="00C7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A11F8">
              <w:rPr>
                <w:rFonts w:ascii="Times New Roman" w:hAnsi="Times New Roman" w:cs="Times New Roman"/>
                <w:sz w:val="24"/>
                <w:szCs w:val="24"/>
              </w:rPr>
              <w:t xml:space="preserve">equired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0A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A1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MDPP </w:t>
            </w:r>
            <w:r w:rsidR="00C7546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A1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C7546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0A11F8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Pr="000A11F8">
              <w:rPr>
                <w:rFonts w:ascii="Times New Roman" w:hAnsi="Times New Roman" w:cs="Times New Roman"/>
                <w:sz w:val="24"/>
                <w:szCs w:val="24"/>
              </w:rPr>
              <w:t xml:space="preserve"> in order to track ongoing maintena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nce sessions for reimbursement and to track proper use of make-up sessions as delineated in the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xpanded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odel.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r w:rsidR="00724AC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 xml:space="preserve"> CDC</w:t>
            </w:r>
            <w:r w:rsidR="00463986" w:rsidRPr="00463986">
              <w:rPr>
                <w:rFonts w:ascii="Times New Roman" w:hAnsi="Times New Roman" w:cs="Times New Roman"/>
                <w:sz w:val="24"/>
                <w:szCs w:val="24"/>
              </w:rPr>
              <w:t xml:space="preserve"> and CMS </w:t>
            </w:r>
            <w:r w:rsidR="00C75462">
              <w:rPr>
                <w:rFonts w:ascii="Times New Roman" w:hAnsi="Times New Roman" w:cs="Times New Roman"/>
                <w:sz w:val="24"/>
                <w:szCs w:val="24"/>
              </w:rPr>
              <w:t>to clearly identify each</w:t>
            </w:r>
            <w:r w:rsidR="00C75462" w:rsidRPr="0046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986" w:rsidRPr="00463986">
              <w:rPr>
                <w:rFonts w:ascii="Times New Roman" w:hAnsi="Times New Roman" w:cs="Times New Roman"/>
                <w:sz w:val="24"/>
                <w:szCs w:val="24"/>
              </w:rPr>
              <w:t>organization’s primary delivery mode</w:t>
            </w:r>
            <w:r w:rsidR="0046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3" w:type="dxa"/>
          </w:tcPr>
          <w:p w14:paraId="281805FF" w14:textId="3FB6F043" w:rsidR="002F4359" w:rsidRDefault="002F4359" w:rsidP="002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2803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  <w:r w:rsidRPr="00993EBD">
              <w:rPr>
                <w:rFonts w:ascii="Times New Roman" w:hAnsi="Times New Roman" w:cs="Times New Roman"/>
                <w:sz w:val="24"/>
                <w:szCs w:val="24"/>
              </w:rPr>
              <w:t>einstate the data elements Session ID and Session Type from the 2011 DPRP Standards, and add Delivery Mode (with definitions that will assis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organizations in billing CMS).</w:t>
            </w:r>
          </w:p>
        </w:tc>
        <w:tc>
          <w:tcPr>
            <w:tcW w:w="2757" w:type="dxa"/>
          </w:tcPr>
          <w:p w14:paraId="73C992BE" w14:textId="77777777" w:rsidR="002F4359" w:rsidRPr="00580A10" w:rsidRDefault="002F4359" w:rsidP="002F43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DPRP Standards 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3)</w:t>
            </w:r>
          </w:p>
          <w:p w14:paraId="3CAAC0BC" w14:textId="345B5866" w:rsidR="002F4359" w:rsidRPr="00517D05" w:rsidRDefault="002F4359" w:rsidP="002F43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969A6">
              <w:rPr>
                <w:rFonts w:ascii="Times New Roman" w:hAnsi="Times New Roman" w:cs="Times New Roman"/>
                <w:sz w:val="24"/>
                <w:szCs w:val="24"/>
              </w:rPr>
              <w:t>-b.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elements p. 20-27</w:t>
            </w:r>
          </w:p>
        </w:tc>
      </w:tr>
      <w:tr w:rsidR="0002762F" w14:paraId="0478428D" w14:textId="77777777" w:rsidTr="00520D6A">
        <w:trPr>
          <w:cantSplit/>
          <w:trHeight w:val="1799"/>
        </w:trPr>
        <w:tc>
          <w:tcPr>
            <w:tcW w:w="3173" w:type="dxa"/>
          </w:tcPr>
          <w:p w14:paraId="13D650C6" w14:textId="76394505" w:rsidR="0002762F" w:rsidRDefault="0002762F" w:rsidP="002F435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Collect new enrollment source evaluation element</w:t>
            </w:r>
          </w:p>
        </w:tc>
        <w:tc>
          <w:tcPr>
            <w:tcW w:w="3097" w:type="dxa"/>
          </w:tcPr>
          <w:p w14:paraId="1FE56D29" w14:textId="124A28D6" w:rsidR="0002762F" w:rsidRPr="00580A10" w:rsidRDefault="0002762F" w:rsidP="00A0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2F">
              <w:rPr>
                <w:rFonts w:ascii="Times New Roman" w:hAnsi="Times New Roman" w:cs="Times New Roman"/>
                <w:sz w:val="24"/>
                <w:szCs w:val="24"/>
              </w:rPr>
              <w:t xml:space="preserve">CDC and </w:t>
            </w:r>
            <w:r w:rsidRPr="00293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</w:t>
            </w:r>
            <w:r w:rsidRPr="0002762F">
              <w:rPr>
                <w:rFonts w:ascii="Times New Roman" w:hAnsi="Times New Roman" w:cs="Times New Roman"/>
                <w:sz w:val="24"/>
                <w:szCs w:val="24"/>
              </w:rPr>
              <w:t>need to evaluate the most effective means by which participants are enrolling</w:t>
            </w:r>
            <w:r w:rsidR="00A03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762F">
              <w:rPr>
                <w:rFonts w:ascii="Times New Roman" w:hAnsi="Times New Roman" w:cs="Times New Roman"/>
                <w:sz w:val="24"/>
                <w:szCs w:val="24"/>
              </w:rPr>
              <w:t xml:space="preserve"> and, specifically, if they are referred by physicians. CDC is working with the American Medical Association to </w:t>
            </w:r>
            <w:r w:rsidR="00A03D96">
              <w:rPr>
                <w:rFonts w:ascii="Times New Roman" w:hAnsi="Times New Roman" w:cs="Times New Roman"/>
                <w:sz w:val="24"/>
                <w:szCs w:val="24"/>
              </w:rPr>
              <w:t xml:space="preserve">increase physician referral of </w:t>
            </w:r>
            <w:r w:rsidRPr="0002762F">
              <w:rPr>
                <w:rFonts w:ascii="Times New Roman" w:hAnsi="Times New Roman" w:cs="Times New Roman"/>
                <w:sz w:val="24"/>
                <w:szCs w:val="24"/>
              </w:rPr>
              <w:t xml:space="preserve"> eligible patients to </w:t>
            </w:r>
            <w:r w:rsidR="00A03D96">
              <w:rPr>
                <w:rFonts w:ascii="Times New Roman" w:hAnsi="Times New Roman" w:cs="Times New Roman"/>
                <w:sz w:val="24"/>
                <w:szCs w:val="24"/>
              </w:rPr>
              <w:t>CDC-recognized diabetes prevention programs</w:t>
            </w:r>
            <w:r w:rsidRPr="0002762F">
              <w:rPr>
                <w:rFonts w:ascii="Times New Roman" w:hAnsi="Times New Roman" w:cs="Times New Roman"/>
                <w:sz w:val="24"/>
                <w:szCs w:val="24"/>
              </w:rPr>
              <w:t>. This new data element allows us to track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and to evaluate its impact.</w:t>
            </w:r>
          </w:p>
        </w:tc>
        <w:tc>
          <w:tcPr>
            <w:tcW w:w="3923" w:type="dxa"/>
          </w:tcPr>
          <w:p w14:paraId="3F997E55" w14:textId="7F2356AA" w:rsidR="0002762F" w:rsidRDefault="0002762F" w:rsidP="0002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Enrollment source w</w:t>
            </w:r>
            <w:r w:rsidRPr="0002762F">
              <w:rPr>
                <w:rFonts w:ascii="Times New Roman" w:hAnsi="Times New Roman" w:cs="Times New Roman"/>
                <w:sz w:val="24"/>
                <w:szCs w:val="24"/>
              </w:rPr>
              <w:t>ill identify the source (person, place, or thing) which led the participant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enroll in the yearlong program.</w:t>
            </w:r>
          </w:p>
        </w:tc>
        <w:tc>
          <w:tcPr>
            <w:tcW w:w="2757" w:type="dxa"/>
          </w:tcPr>
          <w:p w14:paraId="03AFB816" w14:textId="77777777" w:rsidR="005930A1" w:rsidRPr="00580A10" w:rsidRDefault="005930A1" w:rsidP="005930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DPRP Standards 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3)</w:t>
            </w:r>
          </w:p>
          <w:p w14:paraId="7E9064CF" w14:textId="0464D018" w:rsidR="0002762F" w:rsidRPr="00517D05" w:rsidRDefault="005930A1" w:rsidP="005930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data elements p. 20-27</w:t>
            </w:r>
          </w:p>
        </w:tc>
      </w:tr>
      <w:tr w:rsidR="002F4359" w14:paraId="19AFC6D7" w14:textId="77777777" w:rsidTr="00520D6A">
        <w:trPr>
          <w:cantSplit/>
          <w:trHeight w:val="1799"/>
        </w:trPr>
        <w:tc>
          <w:tcPr>
            <w:tcW w:w="3173" w:type="dxa"/>
          </w:tcPr>
          <w:p w14:paraId="5FD85A17" w14:textId="06113022" w:rsidR="002F4359" w:rsidRPr="00517D05" w:rsidRDefault="003C0A62" w:rsidP="009B5B9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63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5B9D" w:rsidRPr="009B5B9D">
              <w:rPr>
                <w:rFonts w:ascii="Times New Roman" w:hAnsi="Times New Roman" w:cs="Times New Roman"/>
                <w:sz w:val="24"/>
                <w:szCs w:val="24"/>
              </w:rPr>
              <w:t xml:space="preserve">Collect new </w:t>
            </w:r>
            <w:r w:rsidR="009B5B9D">
              <w:rPr>
                <w:rFonts w:ascii="Times New Roman" w:hAnsi="Times New Roman" w:cs="Times New Roman"/>
                <w:sz w:val="24"/>
                <w:szCs w:val="24"/>
              </w:rPr>
              <w:t>payer type</w:t>
            </w:r>
            <w:r w:rsidR="009B5B9D" w:rsidRPr="009B5B9D">
              <w:rPr>
                <w:rFonts w:ascii="Times New Roman" w:hAnsi="Times New Roman" w:cs="Times New Roman"/>
                <w:sz w:val="24"/>
                <w:szCs w:val="24"/>
              </w:rPr>
              <w:t xml:space="preserve"> evaluation element</w:t>
            </w:r>
          </w:p>
        </w:tc>
        <w:tc>
          <w:tcPr>
            <w:tcW w:w="3097" w:type="dxa"/>
          </w:tcPr>
          <w:p w14:paraId="0A051174" w14:textId="608D3BA0" w:rsidR="002F4359" w:rsidRDefault="009B5B9D" w:rsidP="009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9D">
              <w:rPr>
                <w:rFonts w:ascii="Times New Roman" w:hAnsi="Times New Roman" w:cs="Times New Roman"/>
                <w:sz w:val="24"/>
                <w:szCs w:val="24"/>
              </w:rPr>
              <w:t xml:space="preserve">Required by </w:t>
            </w:r>
            <w:r w:rsidRPr="009B5B9D">
              <w:rPr>
                <w:rFonts w:ascii="Times New Roman" w:hAnsi="Times New Roman" w:cs="Times New Roman"/>
                <w:b/>
                <w:sz w:val="24"/>
                <w:szCs w:val="24"/>
              </w:rPr>
              <w:t>CMS</w:t>
            </w:r>
            <w:r w:rsidRPr="009B5B9D">
              <w:rPr>
                <w:rFonts w:ascii="Times New Roman" w:hAnsi="Times New Roman" w:cs="Times New Roman"/>
                <w:sz w:val="24"/>
                <w:szCs w:val="24"/>
              </w:rPr>
              <w:t xml:space="preserve"> for reimbursement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MDPP beneficiaries’</w:t>
            </w:r>
            <w:r w:rsidRPr="009B5B9D">
              <w:rPr>
                <w:rFonts w:ascii="Times New Roman" w:hAnsi="Times New Roman" w:cs="Times New Roman"/>
                <w:sz w:val="24"/>
                <w:szCs w:val="24"/>
              </w:rPr>
              <w:t xml:space="preserve"> participation in a CDC-recognized diabetes prevention program</w:t>
            </w:r>
          </w:p>
        </w:tc>
        <w:tc>
          <w:tcPr>
            <w:tcW w:w="3923" w:type="dxa"/>
          </w:tcPr>
          <w:p w14:paraId="7F7B5498" w14:textId="6AB75F15" w:rsidR="002F4359" w:rsidRPr="00580A10" w:rsidRDefault="009B5B9D" w:rsidP="0058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Payer type w</w:t>
            </w:r>
            <w:r w:rsidRPr="009B5B9D">
              <w:rPr>
                <w:rFonts w:ascii="Times New Roman" w:hAnsi="Times New Roman" w:cs="Times New Roman"/>
                <w:sz w:val="24"/>
                <w:szCs w:val="24"/>
              </w:rPr>
              <w:t>ill identify one, main payment method that participants are using to pay for their participation in the yearlong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4BB90665" w14:textId="77777777" w:rsidR="009B5B9D" w:rsidRPr="00580A10" w:rsidRDefault="009B5B9D" w:rsidP="009B5B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DPRP Standards 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3)</w:t>
            </w:r>
          </w:p>
          <w:p w14:paraId="39695A08" w14:textId="14373852" w:rsidR="002F4359" w:rsidRPr="00580A10" w:rsidRDefault="009B5B9D" w:rsidP="009B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data elements p. 20-27</w:t>
            </w:r>
          </w:p>
        </w:tc>
      </w:tr>
      <w:tr w:rsidR="00296315" w14:paraId="5254B7C5" w14:textId="77777777" w:rsidTr="00C04602">
        <w:trPr>
          <w:cantSplit/>
          <w:trHeight w:val="1529"/>
        </w:trPr>
        <w:tc>
          <w:tcPr>
            <w:tcW w:w="3173" w:type="dxa"/>
          </w:tcPr>
          <w:p w14:paraId="076BE918" w14:textId="16ADBFB3" w:rsidR="00296315" w:rsidRPr="00527E89" w:rsidRDefault="003C0A62" w:rsidP="0029631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63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6315" w:rsidRPr="00517D05">
              <w:rPr>
                <w:rFonts w:ascii="Times New Roman" w:hAnsi="Times New Roman" w:cs="Times New Roman"/>
                <w:sz w:val="24"/>
                <w:szCs w:val="24"/>
              </w:rPr>
              <w:t xml:space="preserve">Collect new education information on program participants as a proxy for socioeconomic status (SES) </w:t>
            </w:r>
          </w:p>
        </w:tc>
        <w:tc>
          <w:tcPr>
            <w:tcW w:w="3097" w:type="dxa"/>
          </w:tcPr>
          <w:p w14:paraId="51DA0008" w14:textId="036879A0" w:rsidR="00296315" w:rsidRPr="00580A10" w:rsidRDefault="00296315" w:rsidP="00E8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r w:rsidR="00E864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CDC to evaluate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aggregate education data</w:t>
            </w:r>
            <w:r w:rsidRPr="00C1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C9">
              <w:rPr>
                <w:rFonts w:ascii="Times New Roman" w:hAnsi="Times New Roman" w:cs="Times New Roman"/>
                <w:sz w:val="24"/>
                <w:szCs w:val="24"/>
              </w:rPr>
              <w:t xml:space="preserve">as a proxy for socioeconomic status </w:t>
            </w:r>
            <w:r w:rsidRPr="00137896">
              <w:rPr>
                <w:rFonts w:ascii="Times New Roman" w:hAnsi="Times New Roman" w:cs="Times New Roman"/>
                <w:sz w:val="24"/>
                <w:szCs w:val="24"/>
              </w:rPr>
              <w:t>to ensure 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37896">
              <w:rPr>
                <w:rFonts w:ascii="Times New Roman" w:hAnsi="Times New Roman" w:cs="Times New Roman"/>
                <w:sz w:val="24"/>
                <w:szCs w:val="24"/>
              </w:rPr>
              <w:t xml:space="preserve"> of all 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levels are offered programming.</w:t>
            </w:r>
            <w:r w:rsidRPr="00137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3" w:type="dxa"/>
          </w:tcPr>
          <w:p w14:paraId="3340033B" w14:textId="5E81F54F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Education data element will</w:t>
            </w:r>
            <w:r w:rsidRPr="000E5A51">
              <w:rPr>
                <w:rFonts w:ascii="Times New Roman" w:hAnsi="Times New Roman" w:cs="Times New Roman"/>
                <w:sz w:val="24"/>
                <w:szCs w:val="24"/>
              </w:rPr>
              <w:t xml:space="preserve"> identify the highest grade or year of school the participant completed.</w:t>
            </w:r>
          </w:p>
        </w:tc>
        <w:tc>
          <w:tcPr>
            <w:tcW w:w="2757" w:type="dxa"/>
          </w:tcPr>
          <w:p w14:paraId="11AA6433" w14:textId="77777777" w:rsidR="00296315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5">
              <w:rPr>
                <w:rFonts w:ascii="Times New Roman" w:hAnsi="Times New Roman" w:cs="Times New Roman"/>
                <w:i/>
                <w:sz w:val="24"/>
                <w:szCs w:val="24"/>
              </w:rPr>
              <w:t>DPRP Standards</w:t>
            </w:r>
            <w:r w:rsidRPr="00B17CEB">
              <w:rPr>
                <w:rFonts w:ascii="Times New Roman" w:hAnsi="Times New Roman" w:cs="Times New Roman"/>
                <w:sz w:val="24"/>
                <w:szCs w:val="24"/>
              </w:rPr>
              <w:t xml:space="preserve">  (Attachment 3)</w:t>
            </w:r>
          </w:p>
          <w:p w14:paraId="32F3E995" w14:textId="50D2B5E5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517D05">
              <w:rPr>
                <w:rFonts w:ascii="Times New Roman" w:hAnsi="Times New Roman" w:cs="Times New Roman"/>
                <w:sz w:val="24"/>
                <w:szCs w:val="24"/>
              </w:rPr>
              <w:t>data elements p. 20-27</w:t>
            </w:r>
          </w:p>
        </w:tc>
      </w:tr>
      <w:tr w:rsidR="00296315" w14:paraId="1463656F" w14:textId="77777777" w:rsidTr="00C04602">
        <w:trPr>
          <w:cantSplit/>
          <w:trHeight w:val="2051"/>
        </w:trPr>
        <w:tc>
          <w:tcPr>
            <w:tcW w:w="3173" w:type="dxa"/>
          </w:tcPr>
          <w:p w14:paraId="171AD4B7" w14:textId="2B9F16DE" w:rsidR="00296315" w:rsidRPr="00A528FE" w:rsidRDefault="00A528FE" w:rsidP="00A528F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C37F1" w:rsidRPr="00A528FE">
              <w:rPr>
                <w:rFonts w:ascii="Times New Roman" w:hAnsi="Times New Roman" w:cs="Times New Roman"/>
                <w:sz w:val="24"/>
                <w:szCs w:val="24"/>
              </w:rPr>
              <w:t>Collect new delivery mode session-level evaluation element</w:t>
            </w:r>
          </w:p>
        </w:tc>
        <w:tc>
          <w:tcPr>
            <w:tcW w:w="3097" w:type="dxa"/>
          </w:tcPr>
          <w:p w14:paraId="7B5F2347" w14:textId="12EEC36D" w:rsidR="00296315" w:rsidRPr="00580A10" w:rsidRDefault="004C37F1" w:rsidP="0072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hAnsi="Times New Roman" w:cs="Times New Roman"/>
                <w:sz w:val="24"/>
                <w:szCs w:val="24"/>
              </w:rPr>
              <w:t xml:space="preserve">Required by </w:t>
            </w:r>
            <w:r w:rsidRPr="00871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for MDPP </w:t>
            </w:r>
            <w:r w:rsidR="00724AC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871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724AC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71AB3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 w:rsidRPr="004C37F1">
              <w:rPr>
                <w:rFonts w:ascii="Times New Roman" w:hAnsi="Times New Roman" w:cs="Times New Roman"/>
                <w:sz w:val="24"/>
                <w:szCs w:val="24"/>
              </w:rPr>
              <w:t xml:space="preserve"> reimbursement</w:t>
            </w:r>
            <w:r w:rsidR="0072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7F1">
              <w:rPr>
                <w:rFonts w:ascii="Times New Roman" w:hAnsi="Times New Roman" w:cs="Times New Roman"/>
                <w:sz w:val="24"/>
                <w:szCs w:val="24"/>
              </w:rPr>
              <w:t xml:space="preserve"> as the MDPP model currently only reimburses for in-person programs</w:t>
            </w:r>
            <w:r w:rsidR="0072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C9">
              <w:rPr>
                <w:rFonts w:ascii="Times New Roman" w:hAnsi="Times New Roman" w:cs="Times New Roman"/>
                <w:sz w:val="24"/>
                <w:szCs w:val="24"/>
              </w:rPr>
              <w:t>Allows CDC</w:t>
            </w:r>
            <w:r w:rsidR="00724AC9" w:rsidRPr="00463986">
              <w:rPr>
                <w:rFonts w:ascii="Times New Roman" w:hAnsi="Times New Roman" w:cs="Times New Roman"/>
                <w:sz w:val="24"/>
                <w:szCs w:val="24"/>
              </w:rPr>
              <w:t xml:space="preserve"> and CMS </w:t>
            </w:r>
            <w:r w:rsidR="00724AC9">
              <w:rPr>
                <w:rFonts w:ascii="Times New Roman" w:hAnsi="Times New Roman" w:cs="Times New Roman"/>
                <w:sz w:val="24"/>
                <w:szCs w:val="24"/>
              </w:rPr>
              <w:t>to clearly identify each</w:t>
            </w:r>
            <w:r w:rsidR="00724AC9" w:rsidRPr="0046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F1">
              <w:rPr>
                <w:rFonts w:ascii="Times New Roman" w:hAnsi="Times New Roman" w:cs="Times New Roman"/>
                <w:sz w:val="24"/>
                <w:szCs w:val="24"/>
              </w:rPr>
              <w:t>organization’s primary delivery mode</w:t>
            </w:r>
            <w:r w:rsidR="00104DE4">
              <w:rPr>
                <w:rFonts w:ascii="Times New Roman" w:hAnsi="Times New Roman" w:cs="Times New Roman"/>
                <w:sz w:val="24"/>
                <w:szCs w:val="24"/>
              </w:rPr>
              <w:t xml:space="preserve"> per session. </w:t>
            </w:r>
          </w:p>
        </w:tc>
        <w:tc>
          <w:tcPr>
            <w:tcW w:w="3923" w:type="dxa"/>
          </w:tcPr>
          <w:p w14:paraId="0BD960D8" w14:textId="0BCC8EDF" w:rsidR="00296315" w:rsidRPr="00580A10" w:rsidRDefault="000E4E4D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Deliver</w:t>
            </w:r>
            <w:r w:rsidR="00475FC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 session-level data element w</w:t>
            </w:r>
            <w:r w:rsidRPr="000E4E4D">
              <w:rPr>
                <w:rFonts w:ascii="Times New Roman" w:hAnsi="Times New Roman" w:cs="Times New Roman"/>
                <w:sz w:val="24"/>
                <w:szCs w:val="24"/>
              </w:rPr>
              <w:t>ill identify the delivery mode, as defined in the Applying for Recognition section, for this specific participant and session (i.e., in-person, online, distance learning).</w:t>
            </w:r>
          </w:p>
        </w:tc>
        <w:tc>
          <w:tcPr>
            <w:tcW w:w="2757" w:type="dxa"/>
          </w:tcPr>
          <w:p w14:paraId="3BB13D23" w14:textId="77777777" w:rsidR="003B0E36" w:rsidRDefault="00296315" w:rsidP="003B0E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5A)</w:t>
            </w:r>
            <w:r w:rsidR="003B0E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0E36" w:rsidRPr="00517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DE99211" w14:textId="0F654914" w:rsidR="003B0E36" w:rsidRDefault="003B0E36" w:rsidP="003B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5">
              <w:rPr>
                <w:rFonts w:ascii="Times New Roman" w:hAnsi="Times New Roman" w:cs="Times New Roman"/>
                <w:i/>
                <w:sz w:val="24"/>
                <w:szCs w:val="24"/>
              </w:rPr>
              <w:t>DPRP Standards</w:t>
            </w:r>
            <w:r w:rsidRPr="00B17CEB">
              <w:rPr>
                <w:rFonts w:ascii="Times New Roman" w:hAnsi="Times New Roman" w:cs="Times New Roman"/>
                <w:sz w:val="24"/>
                <w:szCs w:val="24"/>
              </w:rPr>
              <w:t xml:space="preserve">  (Attachment 3)</w:t>
            </w:r>
          </w:p>
          <w:p w14:paraId="2D64F04C" w14:textId="54954D06" w:rsidR="00296315" w:rsidRPr="00580A10" w:rsidRDefault="003B0E36" w:rsidP="003B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517D05">
              <w:rPr>
                <w:rFonts w:ascii="Times New Roman" w:hAnsi="Times New Roman" w:cs="Times New Roman"/>
                <w:sz w:val="24"/>
                <w:szCs w:val="24"/>
              </w:rPr>
              <w:t>data elements p. 20-27</w:t>
            </w:r>
          </w:p>
        </w:tc>
      </w:tr>
      <w:tr w:rsidR="00296315" w14:paraId="0188D7F4" w14:textId="77777777" w:rsidTr="005252B0">
        <w:trPr>
          <w:cantSplit/>
        </w:trPr>
        <w:tc>
          <w:tcPr>
            <w:tcW w:w="3173" w:type="dxa"/>
          </w:tcPr>
          <w:p w14:paraId="4437144A" w14:textId="6FFBFAF9" w:rsidR="00296315" w:rsidRPr="00153CB5" w:rsidRDefault="00153CB5" w:rsidP="00153CB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96315" w:rsidRPr="00153CB5">
              <w:rPr>
                <w:rFonts w:ascii="Times New Roman" w:hAnsi="Times New Roman" w:cs="Times New Roman"/>
                <w:sz w:val="24"/>
                <w:szCs w:val="24"/>
              </w:rPr>
              <w:t>Provide opportunity for existing CDC-recognized organizations to submit previously approved data</w:t>
            </w:r>
          </w:p>
        </w:tc>
        <w:tc>
          <w:tcPr>
            <w:tcW w:w="3097" w:type="dxa"/>
          </w:tcPr>
          <w:p w14:paraId="101220DE" w14:textId="5D878C11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Existing organizations need time to adapt data collection and reporting processes</w:t>
            </w:r>
            <w:r w:rsidR="003F13E6">
              <w:rPr>
                <w:rFonts w:ascii="Times New Roman" w:hAnsi="Times New Roman" w:cs="Times New Roman"/>
                <w:sz w:val="24"/>
                <w:szCs w:val="24"/>
              </w:rPr>
              <w:t>, and this permits a smooth transition.</w:t>
            </w:r>
          </w:p>
        </w:tc>
        <w:tc>
          <w:tcPr>
            <w:tcW w:w="3923" w:type="dxa"/>
          </w:tcPr>
          <w:p w14:paraId="2283B127" w14:textId="4191A906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transition plan: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existing organizations may submit data elements previously approved by OMB 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) once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01/01/18 and 06/30/18</w:t>
            </w:r>
            <w:r w:rsidR="0047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312FEA1A" w14:textId="77777777" w:rsidR="00296315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Transition Letter</w:t>
            </w:r>
          </w:p>
          <w:p w14:paraId="1634C57C" w14:textId="77777777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(Attachment 7)</w:t>
            </w:r>
          </w:p>
        </w:tc>
      </w:tr>
      <w:tr w:rsidR="00296315" w14:paraId="3C2EE142" w14:textId="77777777" w:rsidTr="0049721A">
        <w:trPr>
          <w:cantSplit/>
          <w:trHeight w:val="3689"/>
        </w:trPr>
        <w:tc>
          <w:tcPr>
            <w:tcW w:w="3173" w:type="dxa"/>
          </w:tcPr>
          <w:p w14:paraId="4AC0DEE7" w14:textId="146E6777" w:rsidR="00296315" w:rsidRPr="00C6091F" w:rsidRDefault="00774E1F" w:rsidP="0029631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6315" w:rsidRPr="00C6091F">
              <w:rPr>
                <w:rFonts w:ascii="Times New Roman" w:hAnsi="Times New Roman" w:cs="Times New Roman"/>
                <w:sz w:val="24"/>
                <w:szCs w:val="24"/>
              </w:rPr>
              <w:t>. Increase estimated annualized number of respondents</w:t>
            </w:r>
          </w:p>
        </w:tc>
        <w:tc>
          <w:tcPr>
            <w:tcW w:w="3097" w:type="dxa"/>
          </w:tcPr>
          <w:p w14:paraId="64342FD0" w14:textId="66207666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recognized organizations will continue to submit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and new organizations will apply each year and begin to submit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Burden estimates must be aligned with projected demand for DPRP services and recognition, including an anticipated increase in uptake resulting from implementation of the </w:t>
            </w:r>
            <w:r w:rsidR="00DA5C95" w:rsidRPr="00DA5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CMS </w:t>
            </w:r>
            <w:r w:rsidRPr="00DA5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MDPP </w:t>
            </w:r>
            <w:r w:rsidR="00724AC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A5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xpanded </w:t>
            </w:r>
            <w:r w:rsidR="00724AC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DA5C95">
              <w:rPr>
                <w:rFonts w:ascii="Times New Roman" w:hAnsi="Times New Roman" w:cs="Times New Roman"/>
                <w:b/>
                <w:sz w:val="24"/>
                <w:szCs w:val="24"/>
              </w:rPr>
              <w:t>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3" w:type="dxa"/>
          </w:tcPr>
          <w:p w14:paraId="411B2DFB" w14:textId="1D4FA16D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ncrease burden table estimates to include both existing organizations and organizations joining the program (applying and submitting data) within the next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yea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estimates include those that are likely to apply as </w:t>
            </w:r>
            <w:r w:rsidRPr="00DA5C95">
              <w:rPr>
                <w:rFonts w:ascii="Times New Roman" w:hAnsi="Times New Roman" w:cs="Times New Roman"/>
                <w:b/>
                <w:sz w:val="24"/>
                <w:szCs w:val="24"/>
              </w:rPr>
              <w:t>MDPP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suppliers.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</w:tcPr>
          <w:p w14:paraId="4ABFD3D8" w14:textId="77777777" w:rsidR="00296315" w:rsidRPr="00580A10" w:rsidRDefault="00296315" w:rsidP="0029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Burden table (Supporting Statement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section A-12)</w:t>
            </w:r>
          </w:p>
        </w:tc>
      </w:tr>
    </w:tbl>
    <w:p w14:paraId="6D846802" w14:textId="77777777" w:rsidR="0099268C" w:rsidRDefault="0099268C" w:rsidP="00407C5B">
      <w:pPr>
        <w:rPr>
          <w:rFonts w:ascii="Times New Roman" w:hAnsi="Times New Roman" w:cs="Times New Roman"/>
          <w:sz w:val="24"/>
          <w:szCs w:val="24"/>
        </w:rPr>
      </w:pPr>
    </w:p>
    <w:p w14:paraId="0B96F610" w14:textId="344DEACB" w:rsidR="0097203A" w:rsidRPr="00947D9A" w:rsidRDefault="0099268C" w:rsidP="0099268C">
      <w:pPr>
        <w:spacing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D0685E" w:rsidRPr="00947D9A">
        <w:rPr>
          <w:rFonts w:ascii="Times New Roman" w:hAnsi="Times New Roman" w:cs="Times New Roman"/>
          <w:sz w:val="24"/>
          <w:szCs w:val="24"/>
        </w:rPr>
        <w:t xml:space="preserve">None of these changes alter the critical elements of the lifestyle </w:t>
      </w:r>
      <w:r w:rsidR="00350944">
        <w:rPr>
          <w:rFonts w:ascii="Times New Roman" w:hAnsi="Times New Roman" w:cs="Times New Roman"/>
          <w:sz w:val="24"/>
          <w:szCs w:val="24"/>
        </w:rPr>
        <w:t xml:space="preserve">change </w:t>
      </w:r>
      <w:r w:rsidR="00D0685E" w:rsidRPr="00947D9A">
        <w:rPr>
          <w:rFonts w:ascii="Times New Roman" w:hAnsi="Times New Roman" w:cs="Times New Roman"/>
          <w:sz w:val="24"/>
          <w:szCs w:val="24"/>
        </w:rPr>
        <w:t>program shown to prevent or</w:t>
      </w:r>
      <w:r w:rsidR="00350944">
        <w:rPr>
          <w:rFonts w:ascii="Times New Roman" w:hAnsi="Times New Roman" w:cs="Times New Roman"/>
          <w:sz w:val="24"/>
          <w:szCs w:val="24"/>
        </w:rPr>
        <w:t xml:space="preserve"> delay type 2</w:t>
      </w:r>
      <w:r w:rsidR="00D0685E" w:rsidRPr="00947D9A">
        <w:rPr>
          <w:rFonts w:ascii="Times New Roman" w:hAnsi="Times New Roman" w:cs="Times New Roman"/>
          <w:sz w:val="24"/>
          <w:szCs w:val="24"/>
        </w:rPr>
        <w:t xml:space="preserve"> diabetes in research studies –</w:t>
      </w:r>
      <w:r w:rsidR="00D0685E" w:rsidRPr="0077050B">
        <w:rPr>
          <w:rFonts w:ascii="Times New Roman" w:hAnsi="Times New Roman" w:cs="Times New Roman"/>
          <w:sz w:val="24"/>
          <w:szCs w:val="24"/>
        </w:rPr>
        <w:t xml:space="preserve">participant eligibility requirements, </w:t>
      </w:r>
      <w:r w:rsidR="0077050B" w:rsidRPr="0077050B">
        <w:rPr>
          <w:rFonts w:ascii="Times New Roman" w:hAnsi="Times New Roman" w:cs="Times New Roman"/>
          <w:sz w:val="24"/>
          <w:szCs w:val="24"/>
        </w:rPr>
        <w:t xml:space="preserve">lifestyle </w:t>
      </w:r>
      <w:r w:rsidR="00D0685E" w:rsidRPr="0077050B">
        <w:rPr>
          <w:rFonts w:ascii="Times New Roman" w:hAnsi="Times New Roman" w:cs="Times New Roman"/>
          <w:sz w:val="24"/>
          <w:szCs w:val="24"/>
        </w:rPr>
        <w:t>program intensity and duration, participant weight loss (at least 5% of body weight), documentation of physical activity minutes (with a goal of 150 minutes per week)</w:t>
      </w:r>
      <w:r w:rsidR="004520A6">
        <w:rPr>
          <w:rFonts w:ascii="Times New Roman" w:hAnsi="Times New Roman" w:cs="Times New Roman"/>
          <w:sz w:val="24"/>
          <w:szCs w:val="24"/>
        </w:rPr>
        <w:t>,</w:t>
      </w:r>
      <w:r w:rsidR="00D0685E" w:rsidRPr="0077050B">
        <w:rPr>
          <w:rFonts w:ascii="Times New Roman" w:hAnsi="Times New Roman" w:cs="Times New Roman"/>
          <w:sz w:val="24"/>
          <w:szCs w:val="24"/>
        </w:rPr>
        <w:t xml:space="preserve"> and documentation of required attendance throughout the entire 12-month intervention</w:t>
      </w:r>
      <w:r w:rsidR="0077050B" w:rsidRPr="0077050B">
        <w:rPr>
          <w:rFonts w:ascii="Times New Roman" w:hAnsi="Times New Roman" w:cs="Times New Roman"/>
          <w:sz w:val="24"/>
          <w:szCs w:val="24"/>
        </w:rPr>
        <w:t>.</w:t>
      </w:r>
    </w:p>
    <w:sectPr w:rsidR="0097203A" w:rsidRPr="00947D9A" w:rsidSect="00AB7CF0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F49"/>
    <w:multiLevelType w:val="hybridMultilevel"/>
    <w:tmpl w:val="8A80B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617CC"/>
    <w:multiLevelType w:val="hybridMultilevel"/>
    <w:tmpl w:val="25C0BCCA"/>
    <w:lvl w:ilvl="0" w:tplc="BF362D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358A7"/>
    <w:multiLevelType w:val="hybridMultilevel"/>
    <w:tmpl w:val="A6B4E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179F6"/>
    <w:multiLevelType w:val="hybridMultilevel"/>
    <w:tmpl w:val="491AF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1535C"/>
    <w:multiLevelType w:val="hybridMultilevel"/>
    <w:tmpl w:val="5426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C776B"/>
    <w:multiLevelType w:val="hybridMultilevel"/>
    <w:tmpl w:val="137A7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768E4"/>
    <w:multiLevelType w:val="hybridMultilevel"/>
    <w:tmpl w:val="D390C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60452"/>
    <w:multiLevelType w:val="hybridMultilevel"/>
    <w:tmpl w:val="A2F8B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3A"/>
    <w:rsid w:val="00005399"/>
    <w:rsid w:val="000073F3"/>
    <w:rsid w:val="00007B13"/>
    <w:rsid w:val="00012E0F"/>
    <w:rsid w:val="00022D1C"/>
    <w:rsid w:val="00025824"/>
    <w:rsid w:val="0002762F"/>
    <w:rsid w:val="000477B1"/>
    <w:rsid w:val="00097477"/>
    <w:rsid w:val="000A11F8"/>
    <w:rsid w:val="000A3645"/>
    <w:rsid w:val="000A3EE4"/>
    <w:rsid w:val="000A445B"/>
    <w:rsid w:val="000B08B0"/>
    <w:rsid w:val="000B5AB8"/>
    <w:rsid w:val="000C3C03"/>
    <w:rsid w:val="000C4FC2"/>
    <w:rsid w:val="000D760A"/>
    <w:rsid w:val="000E4E4D"/>
    <w:rsid w:val="000E5A51"/>
    <w:rsid w:val="000F3E5A"/>
    <w:rsid w:val="000F5E8A"/>
    <w:rsid w:val="00104DE4"/>
    <w:rsid w:val="00133BD3"/>
    <w:rsid w:val="00137896"/>
    <w:rsid w:val="001405D3"/>
    <w:rsid w:val="001420D3"/>
    <w:rsid w:val="00147BCC"/>
    <w:rsid w:val="00153CB5"/>
    <w:rsid w:val="00155496"/>
    <w:rsid w:val="00195EE7"/>
    <w:rsid w:val="001A13B1"/>
    <w:rsid w:val="001A15CF"/>
    <w:rsid w:val="001A3639"/>
    <w:rsid w:val="001A39FC"/>
    <w:rsid w:val="001E4779"/>
    <w:rsid w:val="001F417E"/>
    <w:rsid w:val="002214E7"/>
    <w:rsid w:val="00276126"/>
    <w:rsid w:val="002801AF"/>
    <w:rsid w:val="00287D28"/>
    <w:rsid w:val="002939CE"/>
    <w:rsid w:val="00296315"/>
    <w:rsid w:val="002A33F1"/>
    <w:rsid w:val="002B39F3"/>
    <w:rsid w:val="002E16EB"/>
    <w:rsid w:val="002E24DD"/>
    <w:rsid w:val="002F4359"/>
    <w:rsid w:val="003270D7"/>
    <w:rsid w:val="0033119F"/>
    <w:rsid w:val="003373CD"/>
    <w:rsid w:val="00342DAA"/>
    <w:rsid w:val="0034417B"/>
    <w:rsid w:val="00350944"/>
    <w:rsid w:val="00393E60"/>
    <w:rsid w:val="003B0E36"/>
    <w:rsid w:val="003B7B88"/>
    <w:rsid w:val="003C0A62"/>
    <w:rsid w:val="003D385E"/>
    <w:rsid w:val="003D3E22"/>
    <w:rsid w:val="003F13E6"/>
    <w:rsid w:val="00407C5B"/>
    <w:rsid w:val="0043213C"/>
    <w:rsid w:val="004520A6"/>
    <w:rsid w:val="0045601C"/>
    <w:rsid w:val="00463986"/>
    <w:rsid w:val="00464917"/>
    <w:rsid w:val="00465808"/>
    <w:rsid w:val="004664CD"/>
    <w:rsid w:val="00475FCD"/>
    <w:rsid w:val="00484FAF"/>
    <w:rsid w:val="00494D28"/>
    <w:rsid w:val="0049721A"/>
    <w:rsid w:val="004B3EB2"/>
    <w:rsid w:val="004C37F1"/>
    <w:rsid w:val="004C5B69"/>
    <w:rsid w:val="00502ED6"/>
    <w:rsid w:val="00517D05"/>
    <w:rsid w:val="00520D6A"/>
    <w:rsid w:val="005252B0"/>
    <w:rsid w:val="00527E89"/>
    <w:rsid w:val="00541B6E"/>
    <w:rsid w:val="00554CC7"/>
    <w:rsid w:val="00557720"/>
    <w:rsid w:val="005727F7"/>
    <w:rsid w:val="00580A10"/>
    <w:rsid w:val="00584ECB"/>
    <w:rsid w:val="005923EA"/>
    <w:rsid w:val="005930A1"/>
    <w:rsid w:val="005C4A74"/>
    <w:rsid w:val="005D6D08"/>
    <w:rsid w:val="005E6A30"/>
    <w:rsid w:val="00602081"/>
    <w:rsid w:val="006165AA"/>
    <w:rsid w:val="00626AD0"/>
    <w:rsid w:val="00632D4E"/>
    <w:rsid w:val="00647417"/>
    <w:rsid w:val="0065017F"/>
    <w:rsid w:val="00666E1A"/>
    <w:rsid w:val="006A352D"/>
    <w:rsid w:val="006B31AA"/>
    <w:rsid w:val="0071257D"/>
    <w:rsid w:val="00713A2A"/>
    <w:rsid w:val="00724AC9"/>
    <w:rsid w:val="0074072F"/>
    <w:rsid w:val="007421C3"/>
    <w:rsid w:val="00742369"/>
    <w:rsid w:val="00755F23"/>
    <w:rsid w:val="0077050B"/>
    <w:rsid w:val="00774E1F"/>
    <w:rsid w:val="00780CF3"/>
    <w:rsid w:val="00787ADE"/>
    <w:rsid w:val="0079531D"/>
    <w:rsid w:val="007969A6"/>
    <w:rsid w:val="007A1E4A"/>
    <w:rsid w:val="007B5C79"/>
    <w:rsid w:val="007D1F89"/>
    <w:rsid w:val="007D1FF7"/>
    <w:rsid w:val="007D4F07"/>
    <w:rsid w:val="007E06AA"/>
    <w:rsid w:val="007F29B9"/>
    <w:rsid w:val="007F2ACD"/>
    <w:rsid w:val="007F5558"/>
    <w:rsid w:val="007F5797"/>
    <w:rsid w:val="008051B5"/>
    <w:rsid w:val="008079AC"/>
    <w:rsid w:val="00811A60"/>
    <w:rsid w:val="00812DD3"/>
    <w:rsid w:val="00870643"/>
    <w:rsid w:val="00871AB3"/>
    <w:rsid w:val="008814AB"/>
    <w:rsid w:val="008D76EF"/>
    <w:rsid w:val="008E0032"/>
    <w:rsid w:val="008E6F6F"/>
    <w:rsid w:val="009136AC"/>
    <w:rsid w:val="00913EB3"/>
    <w:rsid w:val="00927688"/>
    <w:rsid w:val="00934A2F"/>
    <w:rsid w:val="00947D9A"/>
    <w:rsid w:val="009525A3"/>
    <w:rsid w:val="0097203A"/>
    <w:rsid w:val="0099268C"/>
    <w:rsid w:val="00993EBD"/>
    <w:rsid w:val="00995FE4"/>
    <w:rsid w:val="009A0357"/>
    <w:rsid w:val="009A3BCD"/>
    <w:rsid w:val="009A4F07"/>
    <w:rsid w:val="009A7C6A"/>
    <w:rsid w:val="009B2DA7"/>
    <w:rsid w:val="009B5B9D"/>
    <w:rsid w:val="009E2DD5"/>
    <w:rsid w:val="00A03D96"/>
    <w:rsid w:val="00A212B5"/>
    <w:rsid w:val="00A528FE"/>
    <w:rsid w:val="00A74EF1"/>
    <w:rsid w:val="00A87BA3"/>
    <w:rsid w:val="00A87F00"/>
    <w:rsid w:val="00AA70DD"/>
    <w:rsid w:val="00AB7CF0"/>
    <w:rsid w:val="00AC09E6"/>
    <w:rsid w:val="00AD08B2"/>
    <w:rsid w:val="00AD1301"/>
    <w:rsid w:val="00AE1E42"/>
    <w:rsid w:val="00AE4627"/>
    <w:rsid w:val="00AE6060"/>
    <w:rsid w:val="00AF3785"/>
    <w:rsid w:val="00B12D8C"/>
    <w:rsid w:val="00B17CEB"/>
    <w:rsid w:val="00B2760C"/>
    <w:rsid w:val="00B30E34"/>
    <w:rsid w:val="00B37A05"/>
    <w:rsid w:val="00B37E5F"/>
    <w:rsid w:val="00B55FD3"/>
    <w:rsid w:val="00BA2803"/>
    <w:rsid w:val="00BA4562"/>
    <w:rsid w:val="00BA684B"/>
    <w:rsid w:val="00BB2D1B"/>
    <w:rsid w:val="00C04602"/>
    <w:rsid w:val="00C10BA5"/>
    <w:rsid w:val="00C35D0A"/>
    <w:rsid w:val="00C40C32"/>
    <w:rsid w:val="00C47214"/>
    <w:rsid w:val="00C51445"/>
    <w:rsid w:val="00C6091F"/>
    <w:rsid w:val="00C65E60"/>
    <w:rsid w:val="00C7270B"/>
    <w:rsid w:val="00C75462"/>
    <w:rsid w:val="00C75B36"/>
    <w:rsid w:val="00C77B1A"/>
    <w:rsid w:val="00C8601D"/>
    <w:rsid w:val="00C86032"/>
    <w:rsid w:val="00CA35E4"/>
    <w:rsid w:val="00CB77B3"/>
    <w:rsid w:val="00CC5D46"/>
    <w:rsid w:val="00CE7F01"/>
    <w:rsid w:val="00D0685E"/>
    <w:rsid w:val="00D257B6"/>
    <w:rsid w:val="00D268C7"/>
    <w:rsid w:val="00D43FB4"/>
    <w:rsid w:val="00D4759A"/>
    <w:rsid w:val="00D608CB"/>
    <w:rsid w:val="00DA5C95"/>
    <w:rsid w:val="00DA7369"/>
    <w:rsid w:val="00DD49A5"/>
    <w:rsid w:val="00DE396C"/>
    <w:rsid w:val="00DF0A90"/>
    <w:rsid w:val="00DF64A0"/>
    <w:rsid w:val="00DF7D40"/>
    <w:rsid w:val="00E05138"/>
    <w:rsid w:val="00E07939"/>
    <w:rsid w:val="00E172D3"/>
    <w:rsid w:val="00E35557"/>
    <w:rsid w:val="00E71339"/>
    <w:rsid w:val="00E848C7"/>
    <w:rsid w:val="00E864B3"/>
    <w:rsid w:val="00E903E8"/>
    <w:rsid w:val="00E977D7"/>
    <w:rsid w:val="00EB73C8"/>
    <w:rsid w:val="00EC0601"/>
    <w:rsid w:val="00EC342F"/>
    <w:rsid w:val="00EC7AF5"/>
    <w:rsid w:val="00EE1406"/>
    <w:rsid w:val="00EE3C72"/>
    <w:rsid w:val="00EE6708"/>
    <w:rsid w:val="00EF64E5"/>
    <w:rsid w:val="00F03E61"/>
    <w:rsid w:val="00F0471A"/>
    <w:rsid w:val="00F04D1F"/>
    <w:rsid w:val="00F1328C"/>
    <w:rsid w:val="00F31B1E"/>
    <w:rsid w:val="00F32226"/>
    <w:rsid w:val="00F3364D"/>
    <w:rsid w:val="00F37A3B"/>
    <w:rsid w:val="00F854EB"/>
    <w:rsid w:val="00F87B71"/>
    <w:rsid w:val="00FB1FFC"/>
    <w:rsid w:val="00FB32F9"/>
    <w:rsid w:val="00FC186D"/>
    <w:rsid w:val="00FD43F1"/>
    <w:rsid w:val="00FD49FC"/>
    <w:rsid w:val="00FD53D4"/>
    <w:rsid w:val="00FD5507"/>
    <w:rsid w:val="00FE2555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4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42F"/>
    <w:pPr>
      <w:ind w:left="720"/>
      <w:contextualSpacing/>
    </w:pPr>
  </w:style>
  <w:style w:type="table" w:styleId="LightShading">
    <w:name w:val="Light Shading"/>
    <w:basedOn w:val="TableNormal"/>
    <w:uiPriority w:val="60"/>
    <w:rsid w:val="00F04D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B2"/>
    <w:rPr>
      <w:b/>
      <w:bCs/>
      <w:sz w:val="20"/>
      <w:szCs w:val="20"/>
    </w:rPr>
  </w:style>
  <w:style w:type="paragraph" w:styleId="NoSpacing">
    <w:name w:val="No Spacing"/>
    <w:uiPriority w:val="1"/>
    <w:qFormat/>
    <w:rsid w:val="00DF0A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42F"/>
    <w:pPr>
      <w:ind w:left="720"/>
      <w:contextualSpacing/>
    </w:pPr>
  </w:style>
  <w:style w:type="table" w:styleId="LightShading">
    <w:name w:val="Light Shading"/>
    <w:basedOn w:val="TableNormal"/>
    <w:uiPriority w:val="60"/>
    <w:rsid w:val="00F04D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B2"/>
    <w:rPr>
      <w:b/>
      <w:bCs/>
      <w:sz w:val="20"/>
      <w:szCs w:val="20"/>
    </w:rPr>
  </w:style>
  <w:style w:type="paragraph" w:styleId="NoSpacing">
    <w:name w:val="No Spacing"/>
    <w:uiPriority w:val="1"/>
    <w:qFormat/>
    <w:rsid w:val="00DF0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41D7-14F1-4FFB-9CA9-5BB18087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dcterms:created xsi:type="dcterms:W3CDTF">2018-02-13T14:20:00Z</dcterms:created>
  <dcterms:modified xsi:type="dcterms:W3CDTF">2018-02-13T14:20:00Z</dcterms:modified>
</cp:coreProperties>
</file>