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AFEA99" w14:textId="77777777" w:rsidR="00BA2DBE" w:rsidRPr="00E707C0" w:rsidRDefault="00BA2DBE">
      <w:pPr>
        <w:rPr>
          <w:rFonts w:ascii="Arial" w:hAnsi="Arial" w:cs="Arial"/>
        </w:rPr>
      </w:pPr>
      <w:bookmarkStart w:id="0" w:name="_Toc337198071"/>
      <w:bookmarkStart w:id="1" w:name="_Toc423335421"/>
      <w:bookmarkStart w:id="2" w:name="_GoBack"/>
      <w:bookmarkEnd w:id="2"/>
    </w:p>
    <w:p w14:paraId="1EC7CD9F" w14:textId="77777777" w:rsidR="00BA2DBE" w:rsidRPr="00E707C0" w:rsidRDefault="00BA2DBE">
      <w:pPr>
        <w:rPr>
          <w:rFonts w:ascii="Arial" w:hAnsi="Arial" w:cs="Arial"/>
        </w:rPr>
      </w:pPr>
    </w:p>
    <w:p w14:paraId="7227FEA9" w14:textId="77777777" w:rsidR="00BA2DBE" w:rsidRPr="00E707C0" w:rsidRDefault="00BA2DBE">
      <w:pPr>
        <w:rPr>
          <w:rFonts w:ascii="Arial" w:hAnsi="Arial" w:cs="Arial"/>
        </w:rPr>
      </w:pPr>
    </w:p>
    <w:p w14:paraId="0361988D" w14:textId="77777777" w:rsidR="00BA2DBE" w:rsidRPr="00E707C0" w:rsidRDefault="00BA2DBE">
      <w:pPr>
        <w:rPr>
          <w:rFonts w:ascii="Arial" w:hAnsi="Arial" w:cs="Arial"/>
        </w:rPr>
      </w:pPr>
    </w:p>
    <w:p w14:paraId="52261623" w14:textId="77777777" w:rsidR="00BA2DBE" w:rsidRPr="00E707C0" w:rsidRDefault="00BA2DBE">
      <w:pPr>
        <w:rPr>
          <w:rFonts w:ascii="Arial" w:hAnsi="Arial" w:cs="Arial"/>
        </w:rPr>
      </w:pPr>
    </w:p>
    <w:p w14:paraId="3282B9E2" w14:textId="77777777" w:rsidR="00EE321F" w:rsidRDefault="00EE321F" w:rsidP="006615FB">
      <w:pPr>
        <w:pStyle w:val="Subtitle"/>
        <w:rPr>
          <w:rFonts w:ascii="Cambria" w:hAnsi="Cambria"/>
          <w:color w:val="auto"/>
          <w:spacing w:val="-7"/>
          <w:sz w:val="48"/>
          <w:szCs w:val="48"/>
        </w:rPr>
      </w:pPr>
      <w:r w:rsidRPr="00EE321F">
        <w:rPr>
          <w:rFonts w:ascii="Cambria" w:hAnsi="Cambria"/>
          <w:color w:val="auto"/>
          <w:spacing w:val="-7"/>
          <w:sz w:val="48"/>
          <w:szCs w:val="48"/>
        </w:rPr>
        <w:t>Community Assessment for Public Health Emergency Response (CASPER)</w:t>
      </w:r>
    </w:p>
    <w:p w14:paraId="2EC4EBB3" w14:textId="5C21EA9E" w:rsidR="006615FB" w:rsidRPr="006615FB" w:rsidRDefault="006615FB" w:rsidP="006615FB">
      <w:pPr>
        <w:pStyle w:val="Subtitle"/>
        <w:rPr>
          <w:rFonts w:ascii="Cambria" w:hAnsi="Cambria"/>
          <w:color w:val="auto"/>
        </w:rPr>
      </w:pPr>
      <w:r w:rsidRPr="006615FB">
        <w:rPr>
          <w:rFonts w:ascii="Cambria" w:hAnsi="Cambria"/>
          <w:color w:val="auto"/>
        </w:rPr>
        <w:t xml:space="preserve">OMB Control </w:t>
      </w:r>
      <w:r w:rsidRPr="00EE321F">
        <w:rPr>
          <w:rFonts w:ascii="Cambria" w:hAnsi="Cambria"/>
          <w:color w:val="auto"/>
        </w:rPr>
        <w:t>No. 0920-</w:t>
      </w:r>
      <w:r w:rsidR="00EE321F" w:rsidRPr="00EE321F">
        <w:rPr>
          <w:rFonts w:ascii="Cambria" w:hAnsi="Cambria"/>
          <w:color w:val="auto"/>
        </w:rPr>
        <w:t>1036</w:t>
      </w:r>
      <w:r w:rsidRPr="00EE321F">
        <w:rPr>
          <w:rFonts w:ascii="Cambria" w:hAnsi="Cambria"/>
          <w:color w:val="auto"/>
        </w:rPr>
        <w:t xml:space="preserve"> (Expiration</w:t>
      </w:r>
      <w:r w:rsidRPr="006615FB">
        <w:rPr>
          <w:rFonts w:ascii="Cambria" w:hAnsi="Cambria"/>
          <w:color w:val="auto"/>
        </w:rPr>
        <w:t xml:space="preserve"> Date: </w:t>
      </w:r>
      <w:r w:rsidR="00EE321F">
        <w:rPr>
          <w:rFonts w:ascii="Cambria" w:hAnsi="Cambria"/>
          <w:color w:val="auto"/>
        </w:rPr>
        <w:t>12</w:t>
      </w:r>
      <w:r w:rsidRPr="006615FB">
        <w:rPr>
          <w:rFonts w:ascii="Cambria" w:hAnsi="Cambria"/>
          <w:color w:val="auto"/>
        </w:rPr>
        <w:t>/</w:t>
      </w:r>
      <w:r w:rsidR="00EE321F">
        <w:rPr>
          <w:rFonts w:ascii="Cambria" w:hAnsi="Cambria"/>
          <w:color w:val="auto"/>
        </w:rPr>
        <w:t>17</w:t>
      </w:r>
      <w:r w:rsidRPr="006615FB">
        <w:rPr>
          <w:rFonts w:ascii="Cambria" w:hAnsi="Cambria"/>
          <w:color w:val="auto"/>
        </w:rPr>
        <w:t>/</w:t>
      </w:r>
      <w:r w:rsidR="00EE321F">
        <w:rPr>
          <w:rFonts w:ascii="Cambria" w:hAnsi="Cambria"/>
          <w:color w:val="auto"/>
        </w:rPr>
        <w:t>2017</w:t>
      </w:r>
      <w:r w:rsidRPr="006615FB">
        <w:rPr>
          <w:rFonts w:ascii="Cambria" w:hAnsi="Cambria"/>
          <w:color w:val="auto"/>
        </w:rPr>
        <w:t xml:space="preserve">) </w:t>
      </w:r>
    </w:p>
    <w:p w14:paraId="211AE9D4" w14:textId="7F70C418" w:rsidR="006F2ABA" w:rsidRDefault="00BD6CD5" w:rsidP="00D33AE3">
      <w:pPr>
        <w:pStyle w:val="Subtitle"/>
        <w:rPr>
          <w:rFonts w:ascii="Cambria" w:eastAsiaTheme="minorEastAsia" w:hAnsi="Cambria" w:cs="Arial"/>
          <w:color w:val="auto"/>
          <w:sz w:val="36"/>
          <w:szCs w:val="36"/>
        </w:rPr>
      </w:pPr>
      <w:r>
        <w:rPr>
          <w:rFonts w:ascii="Cambria" w:eastAsiaTheme="minorEastAsia" w:hAnsi="Cambria" w:cs="Arial"/>
          <w:color w:val="auto"/>
          <w:sz w:val="36"/>
          <w:szCs w:val="36"/>
        </w:rPr>
        <w:t>Revision</w:t>
      </w:r>
    </w:p>
    <w:p w14:paraId="356F4217" w14:textId="77777777" w:rsidR="00317957" w:rsidRPr="00317957" w:rsidRDefault="00317957" w:rsidP="00317957"/>
    <w:p w14:paraId="7B8AB253" w14:textId="77777777" w:rsidR="00D33AE3" w:rsidRPr="00E707C0" w:rsidRDefault="00D33AE3" w:rsidP="00D33AE3">
      <w:pPr>
        <w:pStyle w:val="Subtitle"/>
        <w:rPr>
          <w:rFonts w:ascii="Cambria" w:hAnsi="Cambria"/>
          <w:color w:val="auto"/>
        </w:rPr>
      </w:pPr>
      <w:r w:rsidRPr="00E707C0">
        <w:rPr>
          <w:rFonts w:ascii="Cambria" w:hAnsi="Cambria"/>
          <w:color w:val="auto"/>
        </w:rPr>
        <w:t xml:space="preserve">Supporting Statement Part B – </w:t>
      </w:r>
    </w:p>
    <w:p w14:paraId="12E818EF" w14:textId="77777777" w:rsidR="00D33AE3" w:rsidRPr="00E707C0" w:rsidRDefault="00D33AE3" w:rsidP="00D33AE3">
      <w:pPr>
        <w:pStyle w:val="Subtitle"/>
        <w:rPr>
          <w:rFonts w:ascii="Cambria" w:hAnsi="Cambria"/>
          <w:color w:val="auto"/>
        </w:rPr>
      </w:pPr>
      <w:r w:rsidRPr="00E707C0">
        <w:rPr>
          <w:rFonts w:ascii="Cambria" w:hAnsi="Cambria"/>
          <w:color w:val="auto"/>
        </w:rPr>
        <w:t>Collections of Information Employing Statistical Methods</w:t>
      </w:r>
    </w:p>
    <w:p w14:paraId="6D11492F" w14:textId="77777777" w:rsidR="00D33AE3" w:rsidRPr="00E707C0" w:rsidRDefault="00D33AE3" w:rsidP="00D33AE3">
      <w:pPr>
        <w:rPr>
          <w:rFonts w:ascii="Cambria" w:hAnsi="Cambria"/>
        </w:rPr>
      </w:pPr>
    </w:p>
    <w:p w14:paraId="4B319166" w14:textId="77777777" w:rsidR="00D33AE3" w:rsidRPr="00E707C0" w:rsidRDefault="00D33AE3" w:rsidP="00D33AE3">
      <w:pPr>
        <w:spacing w:after="200" w:line="276" w:lineRule="auto"/>
        <w:rPr>
          <w:rFonts w:ascii="Cambria" w:hAnsi="Cambria" w:cs="Arial"/>
          <w:sz w:val="36"/>
          <w:szCs w:val="36"/>
        </w:rPr>
      </w:pPr>
    </w:p>
    <w:p w14:paraId="47A3E3AD" w14:textId="77777777" w:rsidR="00D33AE3" w:rsidRPr="00E707C0" w:rsidRDefault="00D33AE3" w:rsidP="00D33AE3">
      <w:pPr>
        <w:spacing w:after="200" w:line="276" w:lineRule="auto"/>
        <w:rPr>
          <w:rFonts w:ascii="Cambria" w:hAnsi="Cambria" w:cs="Arial"/>
          <w:sz w:val="36"/>
          <w:szCs w:val="36"/>
        </w:rPr>
      </w:pPr>
    </w:p>
    <w:p w14:paraId="756233B8" w14:textId="77777777" w:rsidR="00D33AE3" w:rsidRPr="00E707C0" w:rsidRDefault="00D33AE3" w:rsidP="00D33AE3">
      <w:pPr>
        <w:spacing w:after="200" w:line="276" w:lineRule="auto"/>
        <w:rPr>
          <w:rFonts w:ascii="Cambria" w:hAnsi="Cambria" w:cs="Arial"/>
          <w:sz w:val="36"/>
          <w:szCs w:val="36"/>
        </w:rPr>
      </w:pPr>
    </w:p>
    <w:p w14:paraId="53670BCF" w14:textId="77777777" w:rsidR="00D33AE3" w:rsidRPr="00E707C0" w:rsidRDefault="00D33AE3" w:rsidP="00D33AE3">
      <w:pPr>
        <w:spacing w:after="200" w:line="276" w:lineRule="auto"/>
        <w:rPr>
          <w:rFonts w:ascii="Cambria" w:hAnsi="Cambria" w:cs="Arial"/>
          <w:sz w:val="36"/>
          <w:szCs w:val="36"/>
        </w:rPr>
      </w:pPr>
    </w:p>
    <w:p w14:paraId="333CE8AE" w14:textId="521055B3" w:rsidR="00D33AE3" w:rsidRPr="00E707C0" w:rsidRDefault="00DB095D" w:rsidP="00D33AE3">
      <w:pPr>
        <w:pStyle w:val="Subtitle"/>
        <w:spacing w:after="0"/>
        <w:rPr>
          <w:rFonts w:ascii="Cambria" w:hAnsi="Cambria"/>
          <w:color w:val="auto"/>
        </w:rPr>
      </w:pPr>
      <w:r>
        <w:rPr>
          <w:rFonts w:ascii="Cambria" w:hAnsi="Cambria"/>
          <w:color w:val="auto"/>
        </w:rPr>
        <w:t>Amy Helene Schnall</w:t>
      </w:r>
    </w:p>
    <w:p w14:paraId="42B724F1" w14:textId="7A2D6A66" w:rsidR="00D33AE3" w:rsidRPr="00E707C0" w:rsidRDefault="00D33AE3" w:rsidP="00D33AE3">
      <w:pPr>
        <w:pStyle w:val="Subtitle"/>
        <w:spacing w:after="0"/>
        <w:rPr>
          <w:rFonts w:ascii="Cambria" w:hAnsi="Cambria"/>
          <w:color w:val="auto"/>
        </w:rPr>
      </w:pPr>
      <w:r w:rsidRPr="00E707C0">
        <w:rPr>
          <w:rFonts w:ascii="Cambria" w:hAnsi="Cambria"/>
          <w:color w:val="auto"/>
        </w:rPr>
        <w:t>Title:</w:t>
      </w:r>
      <w:r w:rsidR="00AE70E7">
        <w:rPr>
          <w:rFonts w:ascii="Cambria" w:hAnsi="Cambria"/>
          <w:color w:val="auto"/>
        </w:rPr>
        <w:t xml:space="preserve"> </w:t>
      </w:r>
      <w:r w:rsidR="00DB095D">
        <w:rPr>
          <w:rFonts w:ascii="Cambria" w:hAnsi="Cambria"/>
          <w:color w:val="auto"/>
        </w:rPr>
        <w:t>Epidemiologist</w:t>
      </w:r>
    </w:p>
    <w:p w14:paraId="07110134" w14:textId="3B57B6A7" w:rsidR="00D33AE3" w:rsidRPr="00E707C0" w:rsidRDefault="00DA796B" w:rsidP="00D33AE3">
      <w:pPr>
        <w:pStyle w:val="Subtitle"/>
        <w:spacing w:after="0"/>
        <w:rPr>
          <w:rFonts w:ascii="Cambria" w:hAnsi="Cambria"/>
          <w:color w:val="auto"/>
        </w:rPr>
      </w:pPr>
      <w:r w:rsidRPr="00E707C0">
        <w:rPr>
          <w:rFonts w:ascii="Cambria" w:hAnsi="Cambria"/>
          <w:color w:val="auto"/>
        </w:rPr>
        <w:t>Phone</w:t>
      </w:r>
      <w:r w:rsidR="00D33AE3" w:rsidRPr="00E707C0">
        <w:rPr>
          <w:rFonts w:ascii="Cambria" w:hAnsi="Cambria"/>
          <w:color w:val="auto"/>
        </w:rPr>
        <w:t>:</w:t>
      </w:r>
      <w:r w:rsidR="00AE70E7">
        <w:rPr>
          <w:rFonts w:ascii="Cambria" w:hAnsi="Cambria"/>
          <w:color w:val="auto"/>
        </w:rPr>
        <w:t xml:space="preserve"> </w:t>
      </w:r>
      <w:r w:rsidR="00DB095D">
        <w:rPr>
          <w:rFonts w:ascii="Cambria" w:hAnsi="Cambria"/>
          <w:color w:val="auto"/>
        </w:rPr>
        <w:t>770.488.3422</w:t>
      </w:r>
    </w:p>
    <w:p w14:paraId="3267DE97" w14:textId="2F06F837" w:rsidR="00D33AE3" w:rsidRPr="00E707C0" w:rsidRDefault="00DA796B" w:rsidP="00D33AE3">
      <w:pPr>
        <w:pStyle w:val="Subtitle"/>
        <w:spacing w:after="0"/>
        <w:rPr>
          <w:rFonts w:ascii="Cambria" w:hAnsi="Cambria"/>
          <w:color w:val="auto"/>
        </w:rPr>
      </w:pPr>
      <w:r w:rsidRPr="00E707C0">
        <w:rPr>
          <w:rFonts w:ascii="Cambria" w:hAnsi="Cambria"/>
          <w:color w:val="auto"/>
        </w:rPr>
        <w:t>Email</w:t>
      </w:r>
      <w:r w:rsidR="00D33AE3" w:rsidRPr="00E707C0">
        <w:rPr>
          <w:rFonts w:ascii="Cambria" w:hAnsi="Cambria"/>
          <w:color w:val="auto"/>
        </w:rPr>
        <w:t xml:space="preserve">: </w:t>
      </w:r>
      <w:r w:rsidR="00DB095D">
        <w:rPr>
          <w:rFonts w:ascii="Cambria" w:hAnsi="Cambria"/>
          <w:color w:val="auto"/>
        </w:rPr>
        <w:t>GHU5@cdc.gov</w:t>
      </w:r>
    </w:p>
    <w:p w14:paraId="55D31142" w14:textId="396D1DC3" w:rsidR="00D33AE3" w:rsidRPr="00E707C0" w:rsidRDefault="00DA796B" w:rsidP="00D33AE3">
      <w:pPr>
        <w:pStyle w:val="Subtitle"/>
        <w:spacing w:after="0"/>
        <w:rPr>
          <w:rFonts w:ascii="Cambria" w:hAnsi="Cambria"/>
          <w:color w:val="auto"/>
        </w:rPr>
      </w:pPr>
      <w:r w:rsidRPr="00E707C0">
        <w:rPr>
          <w:rFonts w:ascii="Cambria" w:hAnsi="Cambria"/>
          <w:color w:val="auto"/>
        </w:rPr>
        <w:t>Fax</w:t>
      </w:r>
      <w:r w:rsidR="00D33AE3" w:rsidRPr="00E707C0">
        <w:rPr>
          <w:rFonts w:ascii="Cambria" w:hAnsi="Cambria"/>
          <w:color w:val="auto"/>
        </w:rPr>
        <w:t>:</w:t>
      </w:r>
      <w:r w:rsidR="00AE70E7">
        <w:rPr>
          <w:rFonts w:ascii="Cambria" w:hAnsi="Cambria"/>
          <w:color w:val="auto"/>
        </w:rPr>
        <w:t xml:space="preserve"> </w:t>
      </w:r>
      <w:r w:rsidR="00DB095D">
        <w:rPr>
          <w:rFonts w:ascii="Cambria" w:hAnsi="Cambria"/>
          <w:color w:val="auto"/>
        </w:rPr>
        <w:t>770.488.3450</w:t>
      </w:r>
    </w:p>
    <w:p w14:paraId="1D49F8FB" w14:textId="77777777" w:rsidR="00D33AE3" w:rsidRPr="00E707C0" w:rsidRDefault="00D33AE3" w:rsidP="00D33AE3">
      <w:pPr>
        <w:pStyle w:val="Subtitle"/>
        <w:spacing w:after="0"/>
        <w:rPr>
          <w:rFonts w:ascii="Cambria" w:hAnsi="Cambria"/>
          <w:color w:val="auto"/>
        </w:rPr>
      </w:pPr>
    </w:p>
    <w:p w14:paraId="39E16D28" w14:textId="1004B3BC" w:rsidR="00965C2A" w:rsidRPr="007D7905" w:rsidRDefault="006615FB" w:rsidP="00D33AE3">
      <w:pPr>
        <w:rPr>
          <w:rFonts w:ascii="Cambria" w:hAnsi="Cambria" w:cs="Arial"/>
          <w:sz w:val="30"/>
          <w:szCs w:val="30"/>
        </w:rPr>
      </w:pPr>
      <w:r w:rsidRPr="007D7905">
        <w:rPr>
          <w:rFonts w:ascii="Cambria" w:hAnsi="Cambria"/>
          <w:sz w:val="30"/>
          <w:szCs w:val="30"/>
        </w:rPr>
        <w:t>Date:</w:t>
      </w:r>
      <w:r w:rsidR="00DB095D" w:rsidRPr="007D7905">
        <w:rPr>
          <w:rFonts w:ascii="Cambria" w:hAnsi="Cambria"/>
          <w:sz w:val="30"/>
          <w:szCs w:val="30"/>
        </w:rPr>
        <w:t xml:space="preserve"> </w:t>
      </w:r>
      <w:r w:rsidR="00566EE1">
        <w:rPr>
          <w:rFonts w:ascii="Cambria" w:hAnsi="Cambria"/>
          <w:sz w:val="30"/>
          <w:szCs w:val="30"/>
        </w:rPr>
        <w:t>October</w:t>
      </w:r>
      <w:r w:rsidR="00566EE1" w:rsidRPr="007D7905">
        <w:rPr>
          <w:rFonts w:ascii="Cambria" w:hAnsi="Cambria"/>
          <w:sz w:val="30"/>
          <w:szCs w:val="30"/>
        </w:rPr>
        <w:t xml:space="preserve"> </w:t>
      </w:r>
      <w:r w:rsidR="00BD6CD5">
        <w:rPr>
          <w:rFonts w:ascii="Cambria" w:hAnsi="Cambria"/>
          <w:sz w:val="30"/>
          <w:szCs w:val="30"/>
        </w:rPr>
        <w:t>4</w:t>
      </w:r>
      <w:r w:rsidR="00DB095D" w:rsidRPr="007D7905">
        <w:rPr>
          <w:rFonts w:ascii="Cambria" w:hAnsi="Cambria"/>
          <w:sz w:val="30"/>
          <w:szCs w:val="30"/>
        </w:rPr>
        <w:t>, 2017</w:t>
      </w:r>
      <w:r w:rsidR="00BA2DBE" w:rsidRPr="007D7905">
        <w:rPr>
          <w:rFonts w:ascii="Cambria" w:hAnsi="Cambria" w:cs="Arial"/>
          <w:sz w:val="30"/>
          <w:szCs w:val="30"/>
        </w:rPr>
        <w:br w:type="page"/>
      </w:r>
    </w:p>
    <w:sdt>
      <w:sdtPr>
        <w:rPr>
          <w:rFonts w:asciiTheme="minorHAnsi" w:eastAsiaTheme="minorEastAsia" w:hAnsiTheme="minorHAnsi" w:cstheme="minorBidi"/>
          <w:color w:val="auto"/>
          <w:sz w:val="21"/>
          <w:szCs w:val="21"/>
        </w:rPr>
        <w:id w:val="-1716586037"/>
        <w:docPartObj>
          <w:docPartGallery w:val="Table of Contents"/>
          <w:docPartUnique/>
        </w:docPartObj>
      </w:sdtPr>
      <w:sdtEndPr>
        <w:rPr>
          <w:b/>
          <w:bCs/>
          <w:noProof/>
        </w:rPr>
      </w:sdtEndPr>
      <w:sdtContent>
        <w:p w14:paraId="66B68D9C" w14:textId="0B887F63" w:rsidR="00AC4C54" w:rsidRPr="00D80142" w:rsidRDefault="00D33AE3" w:rsidP="00D80142">
          <w:pPr>
            <w:pStyle w:val="TOCHeading"/>
            <w:pBdr>
              <w:bottom w:val="single" w:sz="4" w:space="1" w:color="auto"/>
            </w:pBdr>
            <w:spacing w:after="480"/>
            <w:jc w:val="center"/>
            <w:rPr>
              <w:rFonts w:ascii="Cambria" w:hAnsi="Cambria"/>
              <w:color w:val="auto"/>
            </w:rPr>
          </w:pPr>
          <w:r w:rsidRPr="00E707C0">
            <w:rPr>
              <w:rFonts w:ascii="Cambria" w:hAnsi="Cambria"/>
              <w:color w:val="auto"/>
            </w:rPr>
            <w:t>Table of Contents</w:t>
          </w:r>
        </w:p>
        <w:p w14:paraId="249DE425" w14:textId="2EE2C21E" w:rsidR="004B7DE1" w:rsidRDefault="00D33AE3">
          <w:pPr>
            <w:pStyle w:val="TOC1"/>
            <w:tabs>
              <w:tab w:val="left" w:pos="660"/>
              <w:tab w:val="right" w:leader="dot" w:pos="9350"/>
            </w:tabs>
            <w:rPr>
              <w:noProof/>
              <w:sz w:val="22"/>
              <w:szCs w:val="22"/>
            </w:rPr>
          </w:pPr>
          <w:r w:rsidRPr="00E707C0">
            <w:fldChar w:fldCharType="begin"/>
          </w:r>
          <w:r w:rsidRPr="00E707C0">
            <w:instrText xml:space="preserve"> TOC \o "1-3" \h \z \u </w:instrText>
          </w:r>
          <w:r w:rsidRPr="00E707C0">
            <w:fldChar w:fldCharType="separate"/>
          </w:r>
          <w:hyperlink w:anchor="_Toc476658500" w:history="1">
            <w:r w:rsidR="004B7DE1" w:rsidRPr="000978E0">
              <w:rPr>
                <w:rStyle w:val="Hyperlink"/>
                <w:rFonts w:ascii="Cambria" w:hAnsi="Cambria"/>
                <w:noProof/>
              </w:rPr>
              <w:t>B.1.</w:t>
            </w:r>
            <w:r w:rsidR="004B7DE1">
              <w:rPr>
                <w:noProof/>
                <w:sz w:val="22"/>
                <w:szCs w:val="22"/>
              </w:rPr>
              <w:tab/>
            </w:r>
            <w:r w:rsidR="004B7DE1" w:rsidRPr="000978E0">
              <w:rPr>
                <w:rStyle w:val="Hyperlink"/>
                <w:rFonts w:ascii="Cambria" w:hAnsi="Cambria"/>
                <w:noProof/>
              </w:rPr>
              <w:t>Respondent Universe and Sampling Methods</w:t>
            </w:r>
            <w:r w:rsidR="004B7DE1">
              <w:rPr>
                <w:noProof/>
                <w:webHidden/>
              </w:rPr>
              <w:tab/>
            </w:r>
            <w:r w:rsidR="004B7DE1">
              <w:rPr>
                <w:noProof/>
                <w:webHidden/>
              </w:rPr>
              <w:fldChar w:fldCharType="begin"/>
            </w:r>
            <w:r w:rsidR="004B7DE1">
              <w:rPr>
                <w:noProof/>
                <w:webHidden/>
              </w:rPr>
              <w:instrText xml:space="preserve"> PAGEREF _Toc476658500 \h </w:instrText>
            </w:r>
            <w:r w:rsidR="004B7DE1">
              <w:rPr>
                <w:noProof/>
                <w:webHidden/>
              </w:rPr>
            </w:r>
            <w:r w:rsidR="004B7DE1">
              <w:rPr>
                <w:noProof/>
                <w:webHidden/>
              </w:rPr>
              <w:fldChar w:fldCharType="separate"/>
            </w:r>
            <w:r w:rsidR="00BF2633">
              <w:rPr>
                <w:noProof/>
                <w:webHidden/>
              </w:rPr>
              <w:t>1</w:t>
            </w:r>
            <w:r w:rsidR="004B7DE1">
              <w:rPr>
                <w:noProof/>
                <w:webHidden/>
              </w:rPr>
              <w:fldChar w:fldCharType="end"/>
            </w:r>
          </w:hyperlink>
        </w:p>
        <w:p w14:paraId="58461709" w14:textId="2E00E754" w:rsidR="004B7DE1" w:rsidRDefault="00BC39E4">
          <w:pPr>
            <w:pStyle w:val="TOC1"/>
            <w:tabs>
              <w:tab w:val="left" w:pos="660"/>
              <w:tab w:val="right" w:leader="dot" w:pos="9350"/>
            </w:tabs>
            <w:rPr>
              <w:noProof/>
              <w:sz w:val="22"/>
              <w:szCs w:val="22"/>
            </w:rPr>
          </w:pPr>
          <w:hyperlink w:anchor="_Toc476658501" w:history="1">
            <w:r w:rsidR="004B7DE1" w:rsidRPr="000978E0">
              <w:rPr>
                <w:rStyle w:val="Hyperlink"/>
                <w:rFonts w:ascii="Cambria" w:hAnsi="Cambria"/>
                <w:noProof/>
              </w:rPr>
              <w:t>B.2.</w:t>
            </w:r>
            <w:r w:rsidR="004B7DE1">
              <w:rPr>
                <w:noProof/>
                <w:sz w:val="22"/>
                <w:szCs w:val="22"/>
              </w:rPr>
              <w:tab/>
            </w:r>
            <w:r w:rsidR="004B7DE1" w:rsidRPr="000978E0">
              <w:rPr>
                <w:rStyle w:val="Hyperlink"/>
                <w:rFonts w:ascii="Cambria" w:hAnsi="Cambria"/>
                <w:noProof/>
              </w:rPr>
              <w:t>Procedures for the Collection of Information</w:t>
            </w:r>
            <w:r w:rsidR="004B7DE1">
              <w:rPr>
                <w:noProof/>
                <w:webHidden/>
              </w:rPr>
              <w:tab/>
            </w:r>
            <w:r w:rsidR="004B7DE1">
              <w:rPr>
                <w:noProof/>
                <w:webHidden/>
              </w:rPr>
              <w:fldChar w:fldCharType="begin"/>
            </w:r>
            <w:r w:rsidR="004B7DE1">
              <w:rPr>
                <w:noProof/>
                <w:webHidden/>
              </w:rPr>
              <w:instrText xml:space="preserve"> PAGEREF _Toc476658501 \h </w:instrText>
            </w:r>
            <w:r w:rsidR="004B7DE1">
              <w:rPr>
                <w:noProof/>
                <w:webHidden/>
              </w:rPr>
            </w:r>
            <w:r w:rsidR="004B7DE1">
              <w:rPr>
                <w:noProof/>
                <w:webHidden/>
              </w:rPr>
              <w:fldChar w:fldCharType="separate"/>
            </w:r>
            <w:r w:rsidR="00BF2633">
              <w:rPr>
                <w:noProof/>
                <w:webHidden/>
              </w:rPr>
              <w:t>4</w:t>
            </w:r>
            <w:r w:rsidR="004B7DE1">
              <w:rPr>
                <w:noProof/>
                <w:webHidden/>
              </w:rPr>
              <w:fldChar w:fldCharType="end"/>
            </w:r>
          </w:hyperlink>
        </w:p>
        <w:p w14:paraId="13EEABEF" w14:textId="5C6F2146" w:rsidR="004B7DE1" w:rsidRDefault="00BC39E4">
          <w:pPr>
            <w:pStyle w:val="TOC1"/>
            <w:tabs>
              <w:tab w:val="left" w:pos="660"/>
              <w:tab w:val="right" w:leader="dot" w:pos="9350"/>
            </w:tabs>
            <w:rPr>
              <w:noProof/>
              <w:sz w:val="22"/>
              <w:szCs w:val="22"/>
            </w:rPr>
          </w:pPr>
          <w:hyperlink w:anchor="_Toc476658502" w:history="1">
            <w:r w:rsidR="004B7DE1" w:rsidRPr="000978E0">
              <w:rPr>
                <w:rStyle w:val="Hyperlink"/>
                <w:rFonts w:ascii="Cambria" w:hAnsi="Cambria"/>
                <w:noProof/>
              </w:rPr>
              <w:t>B.3.</w:t>
            </w:r>
            <w:r w:rsidR="004B7DE1">
              <w:rPr>
                <w:noProof/>
                <w:sz w:val="22"/>
                <w:szCs w:val="22"/>
              </w:rPr>
              <w:tab/>
            </w:r>
            <w:r w:rsidR="004B7DE1" w:rsidRPr="000978E0">
              <w:rPr>
                <w:rStyle w:val="Hyperlink"/>
                <w:rFonts w:ascii="Cambria" w:hAnsi="Cambria"/>
                <w:noProof/>
              </w:rPr>
              <w:t>Methods to Maximize Response Rates and Deal with No Response</w:t>
            </w:r>
            <w:r w:rsidR="004B7DE1">
              <w:rPr>
                <w:noProof/>
                <w:webHidden/>
              </w:rPr>
              <w:tab/>
            </w:r>
            <w:r w:rsidR="004B7DE1">
              <w:rPr>
                <w:noProof/>
                <w:webHidden/>
              </w:rPr>
              <w:fldChar w:fldCharType="begin"/>
            </w:r>
            <w:r w:rsidR="004B7DE1">
              <w:rPr>
                <w:noProof/>
                <w:webHidden/>
              </w:rPr>
              <w:instrText xml:space="preserve"> PAGEREF _Toc476658502 \h </w:instrText>
            </w:r>
            <w:r w:rsidR="004B7DE1">
              <w:rPr>
                <w:noProof/>
                <w:webHidden/>
              </w:rPr>
            </w:r>
            <w:r w:rsidR="004B7DE1">
              <w:rPr>
                <w:noProof/>
                <w:webHidden/>
              </w:rPr>
              <w:fldChar w:fldCharType="separate"/>
            </w:r>
            <w:r w:rsidR="00BF2633">
              <w:rPr>
                <w:noProof/>
                <w:webHidden/>
              </w:rPr>
              <w:t>5</w:t>
            </w:r>
            <w:r w:rsidR="004B7DE1">
              <w:rPr>
                <w:noProof/>
                <w:webHidden/>
              </w:rPr>
              <w:fldChar w:fldCharType="end"/>
            </w:r>
          </w:hyperlink>
        </w:p>
        <w:p w14:paraId="4646A65F" w14:textId="26CEF01A" w:rsidR="004B7DE1" w:rsidRDefault="00BC39E4">
          <w:pPr>
            <w:pStyle w:val="TOC1"/>
            <w:tabs>
              <w:tab w:val="left" w:pos="660"/>
              <w:tab w:val="right" w:leader="dot" w:pos="9350"/>
            </w:tabs>
            <w:rPr>
              <w:noProof/>
              <w:sz w:val="22"/>
              <w:szCs w:val="22"/>
            </w:rPr>
          </w:pPr>
          <w:hyperlink w:anchor="_Toc476658503" w:history="1">
            <w:r w:rsidR="004B7DE1" w:rsidRPr="000978E0">
              <w:rPr>
                <w:rStyle w:val="Hyperlink"/>
                <w:rFonts w:ascii="Cambria" w:hAnsi="Cambria"/>
                <w:noProof/>
              </w:rPr>
              <w:t>B.4.</w:t>
            </w:r>
            <w:r w:rsidR="004B7DE1">
              <w:rPr>
                <w:noProof/>
                <w:sz w:val="22"/>
                <w:szCs w:val="22"/>
              </w:rPr>
              <w:tab/>
            </w:r>
            <w:r w:rsidR="004B7DE1" w:rsidRPr="000978E0">
              <w:rPr>
                <w:rStyle w:val="Hyperlink"/>
                <w:rFonts w:ascii="Cambria" w:hAnsi="Cambria"/>
                <w:noProof/>
              </w:rPr>
              <w:t>Test of Procedures or Methods to be Undertaken</w:t>
            </w:r>
            <w:r w:rsidR="004B7DE1">
              <w:rPr>
                <w:noProof/>
                <w:webHidden/>
              </w:rPr>
              <w:tab/>
            </w:r>
            <w:r w:rsidR="004B7DE1">
              <w:rPr>
                <w:noProof/>
                <w:webHidden/>
              </w:rPr>
              <w:fldChar w:fldCharType="begin"/>
            </w:r>
            <w:r w:rsidR="004B7DE1">
              <w:rPr>
                <w:noProof/>
                <w:webHidden/>
              </w:rPr>
              <w:instrText xml:space="preserve"> PAGEREF _Toc476658503 \h </w:instrText>
            </w:r>
            <w:r w:rsidR="004B7DE1">
              <w:rPr>
                <w:noProof/>
                <w:webHidden/>
              </w:rPr>
            </w:r>
            <w:r w:rsidR="004B7DE1">
              <w:rPr>
                <w:noProof/>
                <w:webHidden/>
              </w:rPr>
              <w:fldChar w:fldCharType="separate"/>
            </w:r>
            <w:r w:rsidR="00BF2633">
              <w:rPr>
                <w:noProof/>
                <w:webHidden/>
              </w:rPr>
              <w:t>5</w:t>
            </w:r>
            <w:r w:rsidR="004B7DE1">
              <w:rPr>
                <w:noProof/>
                <w:webHidden/>
              </w:rPr>
              <w:fldChar w:fldCharType="end"/>
            </w:r>
          </w:hyperlink>
        </w:p>
        <w:p w14:paraId="1F696D58" w14:textId="3AEFA3AD" w:rsidR="004B7DE1" w:rsidRDefault="00BC39E4">
          <w:pPr>
            <w:pStyle w:val="TOC1"/>
            <w:tabs>
              <w:tab w:val="left" w:pos="660"/>
              <w:tab w:val="right" w:leader="dot" w:pos="9350"/>
            </w:tabs>
            <w:rPr>
              <w:noProof/>
              <w:sz w:val="22"/>
              <w:szCs w:val="22"/>
            </w:rPr>
          </w:pPr>
          <w:hyperlink w:anchor="_Toc476658504" w:history="1">
            <w:r w:rsidR="004B7DE1" w:rsidRPr="000978E0">
              <w:rPr>
                <w:rStyle w:val="Hyperlink"/>
                <w:rFonts w:ascii="Cambria" w:hAnsi="Cambria"/>
                <w:noProof/>
              </w:rPr>
              <w:t>B.5.</w:t>
            </w:r>
            <w:r w:rsidR="004B7DE1">
              <w:rPr>
                <w:noProof/>
                <w:sz w:val="22"/>
                <w:szCs w:val="22"/>
              </w:rPr>
              <w:tab/>
            </w:r>
            <w:r w:rsidR="004B7DE1" w:rsidRPr="000978E0">
              <w:rPr>
                <w:rStyle w:val="Hyperlink"/>
                <w:rFonts w:ascii="Cambria" w:hAnsi="Cambria"/>
                <w:noProof/>
              </w:rPr>
              <w:t>Individuals Consulted on Statistical Aspects and Individuals Collecting and/or Analyzing Data</w:t>
            </w:r>
            <w:r w:rsidR="004B7DE1">
              <w:rPr>
                <w:noProof/>
                <w:webHidden/>
              </w:rPr>
              <w:tab/>
            </w:r>
            <w:r w:rsidR="004B7DE1">
              <w:rPr>
                <w:noProof/>
                <w:webHidden/>
              </w:rPr>
              <w:fldChar w:fldCharType="begin"/>
            </w:r>
            <w:r w:rsidR="004B7DE1">
              <w:rPr>
                <w:noProof/>
                <w:webHidden/>
              </w:rPr>
              <w:instrText xml:space="preserve"> PAGEREF _Toc476658504 \h </w:instrText>
            </w:r>
            <w:r w:rsidR="004B7DE1">
              <w:rPr>
                <w:noProof/>
                <w:webHidden/>
              </w:rPr>
            </w:r>
            <w:r w:rsidR="004B7DE1">
              <w:rPr>
                <w:noProof/>
                <w:webHidden/>
              </w:rPr>
              <w:fldChar w:fldCharType="separate"/>
            </w:r>
            <w:r w:rsidR="00BF2633">
              <w:rPr>
                <w:noProof/>
                <w:webHidden/>
              </w:rPr>
              <w:t>6</w:t>
            </w:r>
            <w:r w:rsidR="004B7DE1">
              <w:rPr>
                <w:noProof/>
                <w:webHidden/>
              </w:rPr>
              <w:fldChar w:fldCharType="end"/>
            </w:r>
          </w:hyperlink>
        </w:p>
        <w:p w14:paraId="2A9492DA" w14:textId="08419910" w:rsidR="004B7DE1" w:rsidRDefault="00BC39E4">
          <w:pPr>
            <w:pStyle w:val="TOC1"/>
            <w:tabs>
              <w:tab w:val="right" w:leader="dot" w:pos="9350"/>
            </w:tabs>
            <w:rPr>
              <w:noProof/>
              <w:sz w:val="22"/>
              <w:szCs w:val="22"/>
            </w:rPr>
          </w:pPr>
          <w:hyperlink w:anchor="_Toc476658505" w:history="1">
            <w:r w:rsidR="004B7DE1" w:rsidRPr="000978E0">
              <w:rPr>
                <w:rStyle w:val="Hyperlink"/>
                <w:rFonts w:ascii="Cambria" w:hAnsi="Cambria"/>
                <w:noProof/>
              </w:rPr>
              <w:t>List of Attachments</w:t>
            </w:r>
            <w:r w:rsidR="004B7DE1">
              <w:rPr>
                <w:noProof/>
                <w:webHidden/>
              </w:rPr>
              <w:tab/>
            </w:r>
            <w:r w:rsidR="004B7DE1">
              <w:rPr>
                <w:noProof/>
                <w:webHidden/>
              </w:rPr>
              <w:fldChar w:fldCharType="begin"/>
            </w:r>
            <w:r w:rsidR="004B7DE1">
              <w:rPr>
                <w:noProof/>
                <w:webHidden/>
              </w:rPr>
              <w:instrText xml:space="preserve"> PAGEREF _Toc476658505 \h </w:instrText>
            </w:r>
            <w:r w:rsidR="004B7DE1">
              <w:rPr>
                <w:noProof/>
                <w:webHidden/>
              </w:rPr>
            </w:r>
            <w:r w:rsidR="004B7DE1">
              <w:rPr>
                <w:noProof/>
                <w:webHidden/>
              </w:rPr>
              <w:fldChar w:fldCharType="separate"/>
            </w:r>
            <w:r w:rsidR="00BF2633">
              <w:rPr>
                <w:noProof/>
                <w:webHidden/>
              </w:rPr>
              <w:t>7</w:t>
            </w:r>
            <w:r w:rsidR="004B7DE1">
              <w:rPr>
                <w:noProof/>
                <w:webHidden/>
              </w:rPr>
              <w:fldChar w:fldCharType="end"/>
            </w:r>
          </w:hyperlink>
        </w:p>
        <w:p w14:paraId="25E671BB" w14:textId="77777777" w:rsidR="00D33AE3" w:rsidRPr="00E707C0" w:rsidRDefault="00D33AE3">
          <w:r w:rsidRPr="00E707C0">
            <w:rPr>
              <w:b/>
              <w:bCs/>
              <w:noProof/>
            </w:rPr>
            <w:fldChar w:fldCharType="end"/>
          </w:r>
        </w:p>
      </w:sdtContent>
    </w:sdt>
    <w:p w14:paraId="14A5EA74" w14:textId="77777777" w:rsidR="00BA2DBE" w:rsidRPr="00E707C0" w:rsidRDefault="00BA2DBE">
      <w:pPr>
        <w:spacing w:after="200" w:line="276" w:lineRule="auto"/>
        <w:rPr>
          <w:rFonts w:eastAsiaTheme="majorEastAsia" w:cs="Arial"/>
          <w:b/>
          <w:bCs/>
          <w:sz w:val="26"/>
          <w:szCs w:val="26"/>
        </w:rPr>
      </w:pPr>
    </w:p>
    <w:bookmarkEnd w:id="0"/>
    <w:bookmarkEnd w:id="1"/>
    <w:p w14:paraId="3C201D9C" w14:textId="77777777" w:rsidR="00D33AE3" w:rsidRPr="00E707C0" w:rsidRDefault="00D33AE3">
      <w:pPr>
        <w:rPr>
          <w:rFonts w:asciiTheme="majorHAnsi" w:eastAsiaTheme="majorEastAsia" w:hAnsiTheme="majorHAnsi" w:cstheme="majorBidi"/>
          <w:sz w:val="36"/>
          <w:szCs w:val="36"/>
        </w:rPr>
      </w:pPr>
      <w:r w:rsidRPr="00E707C0">
        <w:br w:type="page"/>
      </w:r>
    </w:p>
    <w:p w14:paraId="44F4054A" w14:textId="77777777" w:rsidR="008D5674" w:rsidRDefault="008D5674" w:rsidP="007D595C">
      <w:pPr>
        <w:pBdr>
          <w:bottom w:val="single" w:sz="4" w:space="1" w:color="auto"/>
        </w:pBdr>
        <w:rPr>
          <w:rFonts w:ascii="Cambria" w:hAnsi="Cambria"/>
          <w:sz w:val="36"/>
          <w:szCs w:val="36"/>
        </w:rPr>
        <w:sectPr w:rsidR="008D5674" w:rsidSect="00196116">
          <w:pgSz w:w="12240" w:h="15840" w:code="1"/>
          <w:pgMar w:top="1440" w:right="1440" w:bottom="1440" w:left="1440" w:header="720" w:footer="720" w:gutter="0"/>
          <w:cols w:space="720"/>
          <w:docGrid w:linePitch="360"/>
        </w:sectPr>
      </w:pPr>
    </w:p>
    <w:p w14:paraId="613C53AC" w14:textId="3FD762BF" w:rsidR="00DD2606" w:rsidRPr="00E707C0" w:rsidRDefault="00DD2606" w:rsidP="007D595C">
      <w:pPr>
        <w:pBdr>
          <w:bottom w:val="single" w:sz="4" w:space="1" w:color="auto"/>
        </w:pBdr>
        <w:rPr>
          <w:rFonts w:ascii="Cambria" w:hAnsi="Cambria"/>
          <w:sz w:val="36"/>
          <w:szCs w:val="36"/>
        </w:rPr>
      </w:pPr>
      <w:r w:rsidRPr="00E707C0">
        <w:rPr>
          <w:rFonts w:ascii="Cambria" w:hAnsi="Cambria"/>
          <w:sz w:val="36"/>
          <w:szCs w:val="36"/>
        </w:rPr>
        <w:lastRenderedPageBreak/>
        <w:t>Part B. Collections of Information Employing Statistical Methods</w:t>
      </w:r>
    </w:p>
    <w:p w14:paraId="371CCFBA" w14:textId="77777777" w:rsidR="00B45002" w:rsidRPr="00E707C0" w:rsidRDefault="00D33AE3" w:rsidP="008D0F27">
      <w:pPr>
        <w:pStyle w:val="Heading1"/>
        <w:pBdr>
          <w:bottom w:val="none" w:sz="0" w:space="0" w:color="auto"/>
        </w:pBdr>
        <w:rPr>
          <w:rFonts w:ascii="Cambria" w:hAnsi="Cambria"/>
          <w:color w:val="auto"/>
        </w:rPr>
      </w:pPr>
      <w:bookmarkStart w:id="3" w:name="_Toc476658500"/>
      <w:r w:rsidRPr="00E707C0">
        <w:rPr>
          <w:rFonts w:ascii="Cambria" w:hAnsi="Cambria"/>
          <w:color w:val="auto"/>
        </w:rPr>
        <w:t>B.</w:t>
      </w:r>
      <w:r w:rsidR="00B45002" w:rsidRPr="00E707C0">
        <w:rPr>
          <w:rFonts w:ascii="Cambria" w:hAnsi="Cambria"/>
          <w:color w:val="auto"/>
        </w:rPr>
        <w:t>1.</w:t>
      </w:r>
      <w:r w:rsidR="00B45002" w:rsidRPr="00E707C0">
        <w:rPr>
          <w:rFonts w:ascii="Cambria" w:hAnsi="Cambria"/>
          <w:color w:val="auto"/>
        </w:rPr>
        <w:tab/>
        <w:t>Respondent Universe and Sampling Methods</w:t>
      </w:r>
      <w:bookmarkEnd w:id="3"/>
    </w:p>
    <w:p w14:paraId="1901860F" w14:textId="77777777" w:rsidR="00EA6E06" w:rsidRPr="00E707C0" w:rsidRDefault="00EA6E06" w:rsidP="00EA6E06">
      <w:pPr>
        <w:spacing w:line="240" w:lineRule="auto"/>
        <w:rPr>
          <w:sz w:val="24"/>
          <w:szCs w:val="24"/>
        </w:rPr>
      </w:pPr>
    </w:p>
    <w:p w14:paraId="4F3FD043" w14:textId="06A97A67" w:rsidR="008655A7" w:rsidRPr="008655A7" w:rsidRDefault="008655A7" w:rsidP="008655A7">
      <w:pPr>
        <w:spacing w:after="0" w:line="240" w:lineRule="auto"/>
        <w:rPr>
          <w:sz w:val="24"/>
          <w:szCs w:val="24"/>
        </w:rPr>
      </w:pPr>
      <w:r w:rsidRPr="008655A7">
        <w:rPr>
          <w:sz w:val="24"/>
          <w:szCs w:val="24"/>
        </w:rPr>
        <w:t>The respondent universe for a Community Assessment for Public Health Emergenc</w:t>
      </w:r>
      <w:r w:rsidR="00AD7EE7">
        <w:rPr>
          <w:sz w:val="24"/>
          <w:szCs w:val="24"/>
        </w:rPr>
        <w:t>y Response (CASPER) comprises</w:t>
      </w:r>
      <w:r w:rsidRPr="008655A7">
        <w:rPr>
          <w:sz w:val="24"/>
          <w:szCs w:val="24"/>
        </w:rPr>
        <w:t xml:space="preserve"> of any member of a household within the chosen geographic area of interest (sampling frame) (Attachment </w:t>
      </w:r>
      <w:r w:rsidR="004A7FCC">
        <w:rPr>
          <w:sz w:val="24"/>
          <w:szCs w:val="24"/>
        </w:rPr>
        <w:t>K</w:t>
      </w:r>
      <w:r w:rsidRPr="008655A7">
        <w:rPr>
          <w:sz w:val="24"/>
          <w:szCs w:val="24"/>
        </w:rPr>
        <w:t>) who is aged 18 years or older. The nature of the local population will vary based on geography, as well as the size of the affected area. It is difficult to specifically define the types of potential respondents because of the extreme diversity of locations where and situations under which CASPERs are conducted. CASPERs are a type of community assessment, so respondents would be residents of a household (</w:t>
      </w:r>
      <w:r>
        <w:rPr>
          <w:sz w:val="24"/>
          <w:szCs w:val="24"/>
        </w:rPr>
        <w:t>including</w:t>
      </w:r>
      <w:r w:rsidRPr="008655A7">
        <w:rPr>
          <w:sz w:val="24"/>
          <w:szCs w:val="24"/>
        </w:rPr>
        <w:t xml:space="preserve"> owned or rented homes, condos, apartments, trailer homes, etc.) that is within the community or geographic area </w:t>
      </w:r>
      <w:r>
        <w:rPr>
          <w:sz w:val="24"/>
          <w:szCs w:val="24"/>
        </w:rPr>
        <w:t>that is being assessed.</w:t>
      </w:r>
    </w:p>
    <w:p w14:paraId="5E256A36" w14:textId="77777777" w:rsidR="008655A7" w:rsidRPr="008655A7" w:rsidRDefault="008655A7" w:rsidP="008655A7">
      <w:pPr>
        <w:spacing w:after="0" w:line="240" w:lineRule="auto"/>
        <w:rPr>
          <w:sz w:val="24"/>
          <w:szCs w:val="24"/>
        </w:rPr>
      </w:pPr>
    </w:p>
    <w:p w14:paraId="5C688B95" w14:textId="6E89DBB7" w:rsidR="008655A7" w:rsidRPr="008655A7" w:rsidRDefault="008655A7" w:rsidP="008655A7">
      <w:pPr>
        <w:spacing w:after="0" w:line="240" w:lineRule="auto"/>
        <w:rPr>
          <w:sz w:val="24"/>
          <w:szCs w:val="24"/>
        </w:rPr>
      </w:pPr>
      <w:r w:rsidRPr="008655A7">
        <w:rPr>
          <w:sz w:val="24"/>
          <w:szCs w:val="24"/>
        </w:rPr>
        <w:t>The organization or agency conducting or requesting assistance with a CASPER determines the objectives and sampling frame for the CASPER before sample selection begins. To conduct a traditional CASPER, the minimum number of households within a sampling frame is 800. The goal for a CASPER is to complete 210 household-level interviews</w:t>
      </w:r>
      <w:r w:rsidR="001C0679">
        <w:rPr>
          <w:sz w:val="24"/>
          <w:szCs w:val="24"/>
        </w:rPr>
        <w:t>, i.e. 210 respondents</w:t>
      </w:r>
      <w:r w:rsidRPr="008655A7">
        <w:rPr>
          <w:sz w:val="24"/>
          <w:szCs w:val="24"/>
        </w:rPr>
        <w:t xml:space="preserve">; this is accomplished by choosing 30 clusters (usually census blocks) from the </w:t>
      </w:r>
      <w:r>
        <w:rPr>
          <w:sz w:val="24"/>
          <w:szCs w:val="24"/>
        </w:rPr>
        <w:t xml:space="preserve">sampling frame and conducting </w:t>
      </w:r>
      <w:r w:rsidRPr="008655A7">
        <w:rPr>
          <w:sz w:val="24"/>
          <w:szCs w:val="24"/>
        </w:rPr>
        <w:t xml:space="preserve">seven household-level interviews in each cluster. The interviews are conducted with a single member of each household who is 18 years of age or older, and each interviewee answers the household-level interview for their household. A minimum of 168 completed interviews will provide enough power and maintain the statistical integrity of the sample. The following is an example of a minimum response rate for a CASPER as defined in the </w:t>
      </w:r>
      <w:r w:rsidRPr="008655A7">
        <w:rPr>
          <w:i/>
          <w:sz w:val="24"/>
          <w:szCs w:val="24"/>
        </w:rPr>
        <w:t>Standard Definitions – Final Dispositions of Case Codes and Outcomes Rates for Surveys</w:t>
      </w:r>
      <w:r w:rsidRPr="008655A7">
        <w:rPr>
          <w:sz w:val="24"/>
          <w:szCs w:val="24"/>
        </w:rPr>
        <w:t xml:space="preserve"> by The American Association for Public Opinion Research, 2011:  Response Rate = Complete Interview/(Complete Interview + Partial Interview) + (Refusal + Non-Contact + Other) + (Unknown if Occupied Housing Unit + Unknown Other) = 188/(188+0) + (99+178+11) + (27+0) = 0.37. </w:t>
      </w:r>
    </w:p>
    <w:p w14:paraId="31BFB789" w14:textId="77777777" w:rsidR="008655A7" w:rsidRPr="008655A7" w:rsidRDefault="008655A7" w:rsidP="008655A7">
      <w:pPr>
        <w:spacing w:after="0" w:line="240" w:lineRule="auto"/>
        <w:rPr>
          <w:sz w:val="24"/>
          <w:szCs w:val="24"/>
        </w:rPr>
      </w:pPr>
    </w:p>
    <w:p w14:paraId="22F0C588" w14:textId="77777777" w:rsidR="008655A7" w:rsidRPr="008655A7" w:rsidRDefault="008655A7" w:rsidP="008655A7">
      <w:pPr>
        <w:spacing w:after="0" w:line="240" w:lineRule="auto"/>
        <w:rPr>
          <w:sz w:val="24"/>
          <w:szCs w:val="24"/>
        </w:rPr>
      </w:pPr>
      <w:r w:rsidRPr="008655A7">
        <w:rPr>
          <w:sz w:val="24"/>
          <w:szCs w:val="24"/>
        </w:rPr>
        <w:t>CASPER analysis is designed for a 95% confidence for estimating a proportion within 10% with power of greater than 80%.</w:t>
      </w:r>
      <w:r w:rsidRPr="008655A7">
        <w:rPr>
          <w:sz w:val="24"/>
          <w:szCs w:val="24"/>
          <w:vertAlign w:val="superscript"/>
        </w:rPr>
        <w:t>20</w:t>
      </w:r>
      <w:r w:rsidRPr="008655A7">
        <w:rPr>
          <w:sz w:val="24"/>
          <w:szCs w:val="24"/>
        </w:rPr>
        <w:t xml:space="preserve"> A power of 80% is obtained with the minimum sample size of 168. This applies no matter how large the population is, as long as it is large enough. The minimum population frame of 800 obviates the need for a finite population correction factor. </w:t>
      </w:r>
    </w:p>
    <w:p w14:paraId="09D6C62E" w14:textId="77777777" w:rsidR="008655A7" w:rsidRPr="008655A7" w:rsidRDefault="008655A7" w:rsidP="008655A7">
      <w:pPr>
        <w:spacing w:after="0" w:line="240" w:lineRule="auto"/>
        <w:rPr>
          <w:sz w:val="24"/>
          <w:szCs w:val="24"/>
        </w:rPr>
      </w:pPr>
    </w:p>
    <w:p w14:paraId="0F7D890A" w14:textId="57EDCBC1" w:rsidR="008655A7" w:rsidRPr="008655A7" w:rsidRDefault="008655A7" w:rsidP="008655A7">
      <w:pPr>
        <w:autoSpaceDE w:val="0"/>
        <w:autoSpaceDN w:val="0"/>
        <w:adjustRightInd w:val="0"/>
        <w:spacing w:after="0" w:line="240" w:lineRule="auto"/>
        <w:rPr>
          <w:rFonts w:cs="Book Antiqua"/>
          <w:sz w:val="24"/>
          <w:szCs w:val="24"/>
        </w:rPr>
      </w:pPr>
      <w:r w:rsidRPr="008655A7">
        <w:rPr>
          <w:rFonts w:cs="Book Antiqua"/>
          <w:sz w:val="24"/>
          <w:szCs w:val="24"/>
        </w:rPr>
        <w:t>This quote from Brogan, Flagg, Deming, and Waldman 1994 further illustrates the features of the cluster design</w:t>
      </w:r>
      <w:r w:rsidR="00310DD7">
        <w:rPr>
          <w:rFonts w:cs="Book Antiqua"/>
          <w:sz w:val="24"/>
          <w:szCs w:val="24"/>
        </w:rPr>
        <w:t>:</w:t>
      </w:r>
      <w:r w:rsidRPr="008655A7">
        <w:rPr>
          <w:rFonts w:cs="Book Antiqua"/>
          <w:sz w:val="24"/>
          <w:szCs w:val="24"/>
          <w:vertAlign w:val="superscript"/>
        </w:rPr>
        <w:t>20</w:t>
      </w:r>
      <w:r w:rsidRPr="008655A7">
        <w:rPr>
          <w:rFonts w:cs="Book Antiqua"/>
          <w:sz w:val="24"/>
          <w:szCs w:val="24"/>
        </w:rPr>
        <w:t xml:space="preserve"> “The EPI [expanded program on immunization] cluster survey design was adapted from previous work by Serfling and Sherman [21] on designing immunization surveys to be conducted by local health departments in the United States. The primary objective of the EPI cluster survey, as originally proposed, is to estimate the proportion P (a population parameter) of children of a given age in a given geographic area who are vaccinated. A 95% confidence interval on P is desired such that its half-width is 0.10 or smaller or, equivalently, that P, the point estimate of P, should be within + 0.10 of P at the 95% confidence level. P is assumed to equal 0.50 for the purpose of calculating sample size, yielding a conservative (maximum) estimate of 96 as the required sample size under the assumption that a simple random sample of children is drawn from the population of inference [22, p. 75]. </w:t>
      </w:r>
    </w:p>
    <w:p w14:paraId="5DFEEC32" w14:textId="77777777" w:rsidR="008655A7" w:rsidRPr="008655A7" w:rsidRDefault="008655A7" w:rsidP="008655A7">
      <w:pPr>
        <w:autoSpaceDE w:val="0"/>
        <w:autoSpaceDN w:val="0"/>
        <w:adjustRightInd w:val="0"/>
        <w:spacing w:after="0" w:line="240" w:lineRule="auto"/>
        <w:rPr>
          <w:rFonts w:cs="Book Antiqua"/>
          <w:sz w:val="24"/>
          <w:szCs w:val="24"/>
        </w:rPr>
      </w:pPr>
      <w:r w:rsidRPr="008655A7">
        <w:rPr>
          <w:rFonts w:cs="Book Antiqua"/>
          <w:sz w:val="24"/>
          <w:szCs w:val="24"/>
        </w:rPr>
        <w:t>However, since simple random sampling of child populations is not feasible, the EPI surveys use cluster sampling, which requires the simple random sample size of 96 children to be inflated by an estimated design effect [22]. With an assumed design effect of 2, the required sample size is 192 children. Thus, 30 sample clusters, each containing seven sample children, is the typical EPI design.”</w:t>
      </w:r>
    </w:p>
    <w:p w14:paraId="17B81069" w14:textId="77777777" w:rsidR="008655A7" w:rsidRPr="008655A7" w:rsidRDefault="008655A7" w:rsidP="00865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cs="Arial"/>
          <w:sz w:val="24"/>
          <w:szCs w:val="24"/>
        </w:rPr>
      </w:pPr>
    </w:p>
    <w:p w14:paraId="0B5A423F" w14:textId="77777777" w:rsidR="008655A7" w:rsidRPr="008655A7" w:rsidRDefault="008655A7" w:rsidP="00865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4"/>
          <w:szCs w:val="24"/>
        </w:rPr>
      </w:pPr>
      <w:r w:rsidRPr="008655A7">
        <w:rPr>
          <w:rFonts w:cs="Arial"/>
          <w:sz w:val="24"/>
          <w:szCs w:val="24"/>
        </w:rPr>
        <w:t xml:space="preserve">2. Sampling method </w:t>
      </w:r>
    </w:p>
    <w:p w14:paraId="20AC23E9" w14:textId="77777777" w:rsidR="008655A7" w:rsidRPr="008655A7" w:rsidRDefault="008655A7" w:rsidP="00865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4"/>
          <w:szCs w:val="24"/>
        </w:rPr>
      </w:pPr>
    </w:p>
    <w:p w14:paraId="06EA5DE4" w14:textId="77777777" w:rsidR="008655A7" w:rsidRPr="008655A7" w:rsidRDefault="008655A7" w:rsidP="00865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4"/>
          <w:szCs w:val="24"/>
        </w:rPr>
      </w:pPr>
      <w:r w:rsidRPr="008655A7">
        <w:rPr>
          <w:rFonts w:cs="Arial"/>
          <w:sz w:val="24"/>
          <w:szCs w:val="24"/>
        </w:rPr>
        <w:t>CASPERs follow a specific epidemiologic method. Occasionally, this method is modified, and this will be discussed in the “Unusual problems requiring specialized sampling procedures” section below. The preferred sampling method for CASPER is a probability-based, two-stage cluster design</w:t>
      </w:r>
      <w:r w:rsidRPr="008655A7">
        <w:rPr>
          <w:sz w:val="24"/>
          <w:szCs w:val="24"/>
        </w:rPr>
        <w:t xml:space="preserve"> </w:t>
      </w:r>
      <w:r w:rsidRPr="008655A7">
        <w:rPr>
          <w:rFonts w:cs="Arial"/>
          <w:sz w:val="24"/>
          <w:szCs w:val="24"/>
        </w:rPr>
        <w:t xml:space="preserve">(30x7 cluster sampling methodology). </w:t>
      </w:r>
    </w:p>
    <w:p w14:paraId="6820A8CD" w14:textId="77777777" w:rsidR="008655A7" w:rsidRPr="008655A7" w:rsidRDefault="008655A7" w:rsidP="00865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4"/>
          <w:szCs w:val="24"/>
        </w:rPr>
      </w:pPr>
    </w:p>
    <w:p w14:paraId="47F8AA6C" w14:textId="12ADF327" w:rsidR="008655A7" w:rsidRPr="008655A7" w:rsidRDefault="008655A7" w:rsidP="00865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4"/>
          <w:szCs w:val="24"/>
        </w:rPr>
      </w:pPr>
      <w:r w:rsidRPr="008655A7">
        <w:rPr>
          <w:rFonts w:cs="Arial"/>
          <w:sz w:val="24"/>
          <w:szCs w:val="24"/>
        </w:rPr>
        <w:t xml:space="preserve">In the first stage of the CASPER sampling method, 30 clusters (e.g., census blocks from the most recent census) within the sampling frame are selected, with their probability for being chosen proportional to the estimated number of </w:t>
      </w:r>
      <w:r>
        <w:rPr>
          <w:rFonts w:cs="Arial"/>
          <w:sz w:val="24"/>
          <w:szCs w:val="24"/>
        </w:rPr>
        <w:t>households</w:t>
      </w:r>
      <w:r w:rsidRPr="008655A7">
        <w:rPr>
          <w:rFonts w:cs="Arial"/>
          <w:sz w:val="24"/>
          <w:szCs w:val="24"/>
        </w:rPr>
        <w:t xml:space="preserve"> in each cluster. Sometimes before the second stage of sampling, a press release (Attachment </w:t>
      </w:r>
      <w:r w:rsidR="004A7FCC">
        <w:rPr>
          <w:rFonts w:cs="Arial"/>
          <w:sz w:val="24"/>
          <w:szCs w:val="24"/>
        </w:rPr>
        <w:t>L</w:t>
      </w:r>
      <w:r w:rsidRPr="008655A7">
        <w:rPr>
          <w:rFonts w:cs="Arial"/>
          <w:sz w:val="24"/>
          <w:szCs w:val="24"/>
        </w:rPr>
        <w:t>) from the</w:t>
      </w:r>
      <w:r w:rsidRPr="008655A7">
        <w:rPr>
          <w:sz w:val="24"/>
          <w:szCs w:val="24"/>
        </w:rPr>
        <w:t xml:space="preserve"> </w:t>
      </w:r>
      <w:r w:rsidRPr="008655A7">
        <w:rPr>
          <w:rFonts w:cs="Arial"/>
          <w:sz w:val="24"/>
          <w:szCs w:val="24"/>
        </w:rPr>
        <w:t xml:space="preserve">organization or agency conducting or requesting assistance for the CASPER is distributed to notify the residents of the community that a CASPER is being conducted in their area. In the second stage, each trained, two-person interview team (usually a minimum of 10 teams) randomly selects seven </w:t>
      </w:r>
      <w:r>
        <w:rPr>
          <w:rFonts w:cs="Arial"/>
          <w:sz w:val="24"/>
          <w:szCs w:val="24"/>
        </w:rPr>
        <w:t>households f</w:t>
      </w:r>
      <w:r w:rsidRPr="008655A7">
        <w:rPr>
          <w:rFonts w:cs="Arial"/>
          <w:sz w:val="24"/>
          <w:szCs w:val="24"/>
        </w:rPr>
        <w:t xml:space="preserve">or the purpose of conducting interviews in each of the 30 clusters. There are several methods that can be used to randomly select a household; however, the most common method for CASPER is </w:t>
      </w:r>
      <w:r>
        <w:rPr>
          <w:rFonts w:cs="Arial"/>
          <w:sz w:val="24"/>
          <w:szCs w:val="24"/>
        </w:rPr>
        <w:t xml:space="preserve">a </w:t>
      </w:r>
      <w:r w:rsidRPr="008655A7">
        <w:rPr>
          <w:rFonts w:cs="Arial"/>
          <w:sz w:val="24"/>
          <w:szCs w:val="24"/>
        </w:rPr>
        <w:t xml:space="preserve">systematic random sample. Teams are instructed to count the number of </w:t>
      </w:r>
      <w:r>
        <w:rPr>
          <w:rFonts w:cs="Arial"/>
          <w:sz w:val="24"/>
          <w:szCs w:val="24"/>
        </w:rPr>
        <w:t>households</w:t>
      </w:r>
      <w:r w:rsidRPr="008655A7">
        <w:rPr>
          <w:rFonts w:cs="Arial"/>
          <w:sz w:val="24"/>
          <w:szCs w:val="24"/>
        </w:rPr>
        <w:t xml:space="preserve"> within a cluster, divide that number by 7 to obtain an N. A team starts at the house nearest to a randomly selected starting point, travels through the cluster in a serpentine fashion to select every N</w:t>
      </w:r>
      <w:r w:rsidRPr="004E2EDA">
        <w:rPr>
          <w:rFonts w:cs="Arial"/>
          <w:sz w:val="24"/>
          <w:szCs w:val="24"/>
          <w:vertAlign w:val="superscript"/>
        </w:rPr>
        <w:t>th</w:t>
      </w:r>
      <w:r w:rsidRPr="008655A7">
        <w:rPr>
          <w:rFonts w:cs="Arial"/>
          <w:sz w:val="24"/>
          <w:szCs w:val="24"/>
        </w:rPr>
        <w:t xml:space="preserve"> house. Interview teams continue to travel through the cluster in a serpentine fashion, selecting every N</w:t>
      </w:r>
      <w:r w:rsidRPr="004E2EDA">
        <w:rPr>
          <w:rFonts w:cs="Arial"/>
          <w:sz w:val="24"/>
          <w:szCs w:val="24"/>
          <w:vertAlign w:val="superscript"/>
        </w:rPr>
        <w:t>th</w:t>
      </w:r>
      <w:r w:rsidRPr="008655A7">
        <w:rPr>
          <w:rFonts w:cs="Arial"/>
          <w:sz w:val="24"/>
          <w:szCs w:val="24"/>
        </w:rPr>
        <w:t xml:space="preserve"> house until seven interviews are complete. A structured, household-level questionnaire (Attachment C) is used to conduct in-person interviews by the interview teams. At each household, the interview team requests verbal consent (Attachment </w:t>
      </w:r>
      <w:r w:rsidR="004A7FCC">
        <w:rPr>
          <w:rFonts w:cs="Arial"/>
          <w:sz w:val="24"/>
          <w:szCs w:val="24"/>
        </w:rPr>
        <w:t>J</w:t>
      </w:r>
      <w:r w:rsidRPr="008655A7">
        <w:rPr>
          <w:rFonts w:cs="Arial"/>
          <w:sz w:val="24"/>
          <w:szCs w:val="24"/>
        </w:rPr>
        <w:t xml:space="preserve">) and conducts the interview with one person aged 18 years or older from each household. </w:t>
      </w:r>
    </w:p>
    <w:p w14:paraId="29AEC4EE" w14:textId="77777777" w:rsidR="008655A7" w:rsidRPr="008655A7" w:rsidRDefault="008655A7" w:rsidP="00865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4"/>
          <w:szCs w:val="24"/>
        </w:rPr>
      </w:pPr>
    </w:p>
    <w:p w14:paraId="30C5B42E" w14:textId="77777777" w:rsidR="008655A7" w:rsidRPr="008655A7" w:rsidRDefault="008655A7" w:rsidP="00865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4"/>
          <w:szCs w:val="24"/>
        </w:rPr>
      </w:pPr>
      <w:r w:rsidRPr="008655A7">
        <w:rPr>
          <w:rFonts w:cs="Arial"/>
          <w:sz w:val="24"/>
          <w:szCs w:val="24"/>
        </w:rPr>
        <w:t xml:space="preserve">The data that are collected from CASPER can be statistically weighted to extrapolate population estimates based on the sample. </w:t>
      </w:r>
    </w:p>
    <w:p w14:paraId="2B9E1AC2" w14:textId="77777777" w:rsidR="008655A7" w:rsidRPr="008655A7" w:rsidRDefault="008655A7" w:rsidP="00865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4"/>
          <w:szCs w:val="24"/>
        </w:rPr>
      </w:pPr>
    </w:p>
    <w:p w14:paraId="6B755A58" w14:textId="77777777" w:rsidR="008655A7" w:rsidRPr="008655A7" w:rsidRDefault="008655A7" w:rsidP="008655A7">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val="0"/>
          <w:szCs w:val="24"/>
        </w:rPr>
      </w:pPr>
      <w:r w:rsidRPr="008655A7">
        <w:rPr>
          <w:rFonts w:asciiTheme="minorHAnsi" w:hAnsiTheme="minorHAnsi" w:cs="Arial"/>
          <w:b w:val="0"/>
          <w:szCs w:val="24"/>
        </w:rPr>
        <w:t>3. Estimation procedures</w:t>
      </w:r>
    </w:p>
    <w:p w14:paraId="1017C1F5" w14:textId="77777777" w:rsidR="008655A7" w:rsidRPr="008655A7" w:rsidRDefault="008655A7" w:rsidP="008655A7">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 w:val="0"/>
          <w:szCs w:val="24"/>
        </w:rPr>
      </w:pPr>
    </w:p>
    <w:p w14:paraId="7A787B57" w14:textId="2AD6EC9F" w:rsidR="008655A7" w:rsidRPr="008655A7" w:rsidRDefault="008655A7" w:rsidP="008655A7">
      <w:pPr>
        <w:pStyle w:val="H4"/>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Arial"/>
          <w:bCs/>
          <w:szCs w:val="24"/>
        </w:rPr>
      </w:pPr>
      <w:r w:rsidRPr="008655A7">
        <w:rPr>
          <w:rFonts w:asciiTheme="minorHAnsi" w:hAnsiTheme="minorHAnsi" w:cs="Arial"/>
          <w:b w:val="0"/>
          <w:bCs/>
          <w:szCs w:val="24"/>
        </w:rPr>
        <w:t xml:space="preserve">All data analysis will be statistically weighted to extrapolate population estimates that are reflective of the entire area of interest (sampling frame) (see Attachment </w:t>
      </w:r>
      <w:r w:rsidR="004A7FCC">
        <w:rPr>
          <w:rFonts w:asciiTheme="minorHAnsi" w:hAnsiTheme="minorHAnsi" w:cs="Arial"/>
          <w:b w:val="0"/>
          <w:bCs/>
          <w:szCs w:val="24"/>
        </w:rPr>
        <w:t>K</w:t>
      </w:r>
      <w:r w:rsidRPr="008655A7">
        <w:rPr>
          <w:rFonts w:asciiTheme="minorHAnsi" w:hAnsiTheme="minorHAnsi" w:cs="Arial"/>
          <w:b w:val="0"/>
          <w:bCs/>
          <w:szCs w:val="24"/>
        </w:rPr>
        <w:t xml:space="preserve"> for further description of statistical weighting). The analysis will be conducted by or under the supervision of a CDC epidemiologist and/or statistician and will involve the generation of descriptive statistics and in some cases regression analysis.</w:t>
      </w:r>
      <w:r w:rsidRPr="008655A7">
        <w:rPr>
          <w:rFonts w:asciiTheme="minorHAnsi" w:hAnsiTheme="minorHAnsi" w:cs="Arial"/>
          <w:bCs/>
          <w:szCs w:val="24"/>
        </w:rPr>
        <w:t xml:space="preserve"> </w:t>
      </w:r>
    </w:p>
    <w:p w14:paraId="7B20A04E" w14:textId="77777777" w:rsidR="008655A7" w:rsidRPr="008655A7" w:rsidRDefault="008655A7" w:rsidP="008655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cs="Arial"/>
          <w:sz w:val="24"/>
          <w:szCs w:val="24"/>
        </w:rPr>
      </w:pPr>
    </w:p>
    <w:p w14:paraId="2DB2B929" w14:textId="77777777" w:rsidR="008655A7" w:rsidRPr="008655A7" w:rsidRDefault="008655A7" w:rsidP="008655A7">
      <w:pPr>
        <w:pStyle w:val="CommentText"/>
        <w:rPr>
          <w:rFonts w:cs="Arial"/>
          <w:sz w:val="24"/>
          <w:szCs w:val="24"/>
        </w:rPr>
      </w:pPr>
      <w:r w:rsidRPr="008655A7">
        <w:rPr>
          <w:rFonts w:cs="Arial"/>
          <w:sz w:val="24"/>
          <w:szCs w:val="24"/>
        </w:rPr>
        <w:t xml:space="preserve">4. Unusual problems requiring specialized sampling procedures </w:t>
      </w:r>
    </w:p>
    <w:p w14:paraId="3C76383B" w14:textId="77777777" w:rsidR="008655A7" w:rsidRPr="008655A7" w:rsidRDefault="008655A7" w:rsidP="008655A7">
      <w:pPr>
        <w:pStyle w:val="CommentText"/>
        <w:rPr>
          <w:rFonts w:cs="Arial"/>
          <w:sz w:val="24"/>
          <w:szCs w:val="24"/>
        </w:rPr>
      </w:pPr>
    </w:p>
    <w:p w14:paraId="1E57FD36" w14:textId="77777777" w:rsidR="008655A7" w:rsidRPr="008655A7" w:rsidRDefault="008655A7" w:rsidP="008655A7">
      <w:pPr>
        <w:pStyle w:val="CommentText"/>
        <w:rPr>
          <w:rFonts w:cs="Arial"/>
          <w:sz w:val="24"/>
          <w:szCs w:val="24"/>
        </w:rPr>
      </w:pPr>
      <w:r w:rsidRPr="008655A7">
        <w:rPr>
          <w:rFonts w:cs="Arial"/>
          <w:sz w:val="24"/>
          <w:szCs w:val="24"/>
        </w:rPr>
        <w:t xml:space="preserve">Circumstances requiring specialized sampling are expected to be infrequent and if known at the time of submission, will be disclosed in individual generic requests. </w:t>
      </w:r>
    </w:p>
    <w:p w14:paraId="3099C8ED" w14:textId="77777777" w:rsidR="008655A7" w:rsidRPr="008655A7" w:rsidRDefault="008655A7" w:rsidP="008655A7">
      <w:pPr>
        <w:pStyle w:val="CommentText"/>
        <w:rPr>
          <w:rFonts w:cs="Arial"/>
          <w:sz w:val="24"/>
          <w:szCs w:val="24"/>
        </w:rPr>
      </w:pPr>
    </w:p>
    <w:p w14:paraId="16BDEA71" w14:textId="77777777" w:rsidR="008655A7" w:rsidRPr="008655A7" w:rsidRDefault="008655A7" w:rsidP="008655A7">
      <w:pPr>
        <w:pStyle w:val="CommentText"/>
        <w:rPr>
          <w:rFonts w:cs="Arial"/>
          <w:sz w:val="24"/>
          <w:szCs w:val="24"/>
        </w:rPr>
      </w:pPr>
      <w:r w:rsidRPr="008655A7">
        <w:rPr>
          <w:rFonts w:cs="Arial"/>
          <w:sz w:val="24"/>
          <w:szCs w:val="24"/>
        </w:rPr>
        <w:t xml:space="preserve">Clusters should be chosen without substitution—meaning that the clusters originally selected are the clusters that are assessed. This process may result in having fewer than 30 clusters interviewed due to inaccessibility. If CASPER planners are worried a priori that some clusters in a sampling frame might not be accessible, they can increase the number of clusters selected. For example, CASPER leadership can decide to choose 35 census blocks, instead of the standard 30. If this method is chosen, it is essential that teams then visit all 35 census blocks and treat the design as 35x7 (sample size of 245) in data collection and analysis. In this situation, rather than choosing “substitute” clusters, you are oversampling clusters to get closer to the desired sample size of 210. (Note: Oversampling will not improve response rates but can increase sample size). </w:t>
      </w:r>
    </w:p>
    <w:p w14:paraId="0ED7A953" w14:textId="77777777" w:rsidR="008655A7" w:rsidRPr="008655A7" w:rsidRDefault="008655A7" w:rsidP="008655A7">
      <w:pPr>
        <w:pStyle w:val="CommentText"/>
        <w:rPr>
          <w:rFonts w:cs="Arial"/>
          <w:sz w:val="24"/>
          <w:szCs w:val="24"/>
        </w:rPr>
      </w:pPr>
    </w:p>
    <w:p w14:paraId="02879871" w14:textId="77777777" w:rsidR="008655A7" w:rsidRPr="008655A7" w:rsidRDefault="008655A7" w:rsidP="008655A7">
      <w:pPr>
        <w:pStyle w:val="CommentText"/>
        <w:rPr>
          <w:rFonts w:cs="Arial"/>
          <w:sz w:val="24"/>
          <w:szCs w:val="24"/>
        </w:rPr>
      </w:pPr>
      <w:r w:rsidRPr="008655A7">
        <w:rPr>
          <w:rFonts w:cs="Arial"/>
          <w:sz w:val="24"/>
          <w:szCs w:val="24"/>
        </w:rPr>
        <w:t xml:space="preserve">Another problem sometimes experienced in the field is that clusters may have fewer than seven households, making it impossible for interview teams to interview seven households from that cluster. This is infrequent because smaller clusters have a lower probability of being selected. If a sampling frame consists of a large proportion of small clusters (i.e., fewer than 10 households), interview teams will have difficulty finding seven households to interview in any cluster, resulting in a low completion rate. If this occurs the “block groups” census variable is chosen for clusters rather than “census blocks”, or census blocks are joined to create larger clusters. While it is generally recommended to use census blocks as clusters, the requirement is only that clusters be all-inclusive and non-overlapping. </w:t>
      </w:r>
    </w:p>
    <w:p w14:paraId="26EFDEE0" w14:textId="77777777" w:rsidR="008655A7" w:rsidRPr="008655A7" w:rsidRDefault="008655A7" w:rsidP="008655A7">
      <w:pPr>
        <w:pStyle w:val="CommentText"/>
        <w:rPr>
          <w:rFonts w:cs="Arial"/>
          <w:sz w:val="24"/>
          <w:szCs w:val="24"/>
        </w:rPr>
      </w:pPr>
    </w:p>
    <w:p w14:paraId="5B45F737" w14:textId="77777777" w:rsidR="008655A7" w:rsidRPr="008655A7" w:rsidRDefault="008655A7" w:rsidP="008655A7">
      <w:pPr>
        <w:pStyle w:val="CommentText"/>
        <w:rPr>
          <w:rFonts w:cs="Arial"/>
          <w:sz w:val="24"/>
          <w:szCs w:val="24"/>
        </w:rPr>
      </w:pPr>
      <w:r w:rsidRPr="008655A7">
        <w:rPr>
          <w:rFonts w:cs="Arial"/>
          <w:sz w:val="24"/>
          <w:szCs w:val="24"/>
        </w:rPr>
        <w:t>A minimum of 800 households is recommended to conduct the 30x7 cluster sampling methodology. If there are fewer than 800 households, other sampling strategies should be considered such as a census or simple random sampling. Other sampling strategies may also be considered based on the objectives of the CASPER, exposure patterns, or political reasons. These may include but are not limited to</w:t>
      </w:r>
      <w:r w:rsidRPr="008655A7">
        <w:rPr>
          <w:sz w:val="24"/>
          <w:szCs w:val="24"/>
        </w:rPr>
        <w:t xml:space="preserve"> </w:t>
      </w:r>
      <w:r w:rsidRPr="008655A7">
        <w:rPr>
          <w:rFonts w:cs="Arial"/>
          <w:sz w:val="24"/>
          <w:szCs w:val="24"/>
        </w:rPr>
        <w:t xml:space="preserve">systematic sampling and stratified sampling. </w:t>
      </w:r>
    </w:p>
    <w:p w14:paraId="2629E089" w14:textId="77777777" w:rsidR="008655A7" w:rsidRPr="008655A7" w:rsidRDefault="008655A7" w:rsidP="008655A7">
      <w:pPr>
        <w:pStyle w:val="CommentText"/>
        <w:rPr>
          <w:rFonts w:cs="Arial"/>
          <w:sz w:val="24"/>
          <w:szCs w:val="24"/>
        </w:rPr>
      </w:pPr>
    </w:p>
    <w:p w14:paraId="2F979C4C" w14:textId="77777777" w:rsidR="008655A7" w:rsidRPr="008655A7" w:rsidRDefault="008655A7" w:rsidP="008655A7">
      <w:pPr>
        <w:pStyle w:val="CommentText"/>
        <w:rPr>
          <w:rFonts w:cs="Arial"/>
          <w:sz w:val="24"/>
          <w:szCs w:val="24"/>
        </w:rPr>
      </w:pPr>
      <w:r w:rsidRPr="008655A7">
        <w:rPr>
          <w:rFonts w:cs="Arial"/>
          <w:sz w:val="24"/>
          <w:szCs w:val="24"/>
        </w:rPr>
        <w:t>There are also times that conducting multiple CASPERs should be considered, including if the original sampling frame is geographically too big to conduct a single CASPER in a reasonable timeframe (2-3 days) or the sampling frame is too heterogeneous for the generated population estimates to accurately represent multiple very different populations within a single sampling frame.</w:t>
      </w:r>
    </w:p>
    <w:p w14:paraId="6653CFBF" w14:textId="77777777" w:rsidR="008655A7" w:rsidRPr="008655A7" w:rsidRDefault="008655A7" w:rsidP="008655A7">
      <w:pPr>
        <w:pStyle w:val="CommentText"/>
        <w:rPr>
          <w:rFonts w:cs="Arial"/>
          <w:sz w:val="24"/>
          <w:szCs w:val="24"/>
        </w:rPr>
      </w:pPr>
    </w:p>
    <w:p w14:paraId="3855BECF" w14:textId="77777777" w:rsidR="008655A7" w:rsidRPr="008655A7" w:rsidRDefault="008655A7" w:rsidP="008655A7">
      <w:pPr>
        <w:pStyle w:val="CommentText"/>
        <w:rPr>
          <w:rFonts w:cs="Arial"/>
          <w:sz w:val="24"/>
          <w:szCs w:val="24"/>
        </w:rPr>
      </w:pPr>
      <w:r w:rsidRPr="008655A7">
        <w:rPr>
          <w:rFonts w:cs="Arial"/>
          <w:sz w:val="24"/>
          <w:szCs w:val="24"/>
        </w:rPr>
        <w:t xml:space="preserve">Additionally, there are occasions where it is of benefit to ask individual-level questions. These questions will need to be analyzed separately from household-level questions because of the difference in sample weights that will need to be applied during analysis. </w:t>
      </w:r>
    </w:p>
    <w:p w14:paraId="6759D52E" w14:textId="77777777" w:rsidR="00B45002" w:rsidRPr="00E707C0" w:rsidRDefault="00D33AE3" w:rsidP="008D0F27">
      <w:pPr>
        <w:pStyle w:val="Heading1"/>
        <w:pBdr>
          <w:bottom w:val="none" w:sz="0" w:space="0" w:color="auto"/>
        </w:pBdr>
        <w:rPr>
          <w:rFonts w:ascii="Cambria" w:hAnsi="Cambria"/>
          <w:color w:val="auto"/>
        </w:rPr>
      </w:pPr>
      <w:bookmarkStart w:id="4" w:name="_Toc476658501"/>
      <w:r w:rsidRPr="00E707C0">
        <w:rPr>
          <w:rFonts w:ascii="Cambria" w:hAnsi="Cambria"/>
          <w:color w:val="auto"/>
        </w:rPr>
        <w:t>B.</w:t>
      </w:r>
      <w:r w:rsidR="00B45002" w:rsidRPr="00E707C0">
        <w:rPr>
          <w:rFonts w:ascii="Cambria" w:hAnsi="Cambria"/>
          <w:color w:val="auto"/>
        </w:rPr>
        <w:t>2.</w:t>
      </w:r>
      <w:r w:rsidR="00B45002" w:rsidRPr="00E707C0">
        <w:rPr>
          <w:rFonts w:ascii="Cambria" w:hAnsi="Cambria"/>
          <w:color w:val="auto"/>
        </w:rPr>
        <w:tab/>
        <w:t>Procedures for the Collection of Information</w:t>
      </w:r>
      <w:bookmarkEnd w:id="4"/>
    </w:p>
    <w:p w14:paraId="4444A623" w14:textId="77777777" w:rsidR="00EA6E06" w:rsidRPr="00E707C0" w:rsidRDefault="00EA6E06" w:rsidP="00EA6E06"/>
    <w:p w14:paraId="35B61C2D" w14:textId="77777777" w:rsidR="008655A7" w:rsidRPr="008655A7" w:rsidRDefault="008655A7" w:rsidP="008655A7">
      <w:pPr>
        <w:pStyle w:val="CommentText"/>
        <w:rPr>
          <w:rFonts w:cs="Arial"/>
          <w:sz w:val="24"/>
          <w:szCs w:val="24"/>
        </w:rPr>
      </w:pPr>
      <w:r w:rsidRPr="008655A7">
        <w:rPr>
          <w:rFonts w:cs="Arial"/>
          <w:sz w:val="24"/>
          <w:szCs w:val="24"/>
        </w:rPr>
        <w:t>On the first day after arrival, the CDC team will conduct just-in-time training regarding how to conduct a CASPER, including CASPER methodology, logistics, interview techniques, safety in the field, and data analysis. This training is provided to anyone involved with the CASPER, both headquarter team members who will managing logistics and processing data and field team members who will be conducting interviews. This can include volunteers and the requesting public health entity’s employees participating in the CASPER. Members of the field teams can be CDC personnel, other federal employees (e.g., USPHS, FDA), employees of the</w:t>
      </w:r>
      <w:r w:rsidRPr="008655A7">
        <w:rPr>
          <w:sz w:val="24"/>
          <w:szCs w:val="24"/>
        </w:rPr>
        <w:t xml:space="preserve"> </w:t>
      </w:r>
      <w:r w:rsidRPr="008655A7">
        <w:rPr>
          <w:rFonts w:cs="Arial"/>
          <w:sz w:val="24"/>
          <w:szCs w:val="24"/>
        </w:rPr>
        <w:t xml:space="preserve">requesting public health entity, and individuals recruited locally by the requesting public health entity.  </w:t>
      </w:r>
    </w:p>
    <w:p w14:paraId="2663C756" w14:textId="77777777" w:rsidR="008655A7" w:rsidRPr="008655A7" w:rsidRDefault="008655A7" w:rsidP="008655A7">
      <w:pPr>
        <w:pStyle w:val="CommentText"/>
        <w:rPr>
          <w:rFonts w:cs="Arial"/>
          <w:sz w:val="24"/>
          <w:szCs w:val="24"/>
        </w:rPr>
      </w:pPr>
    </w:p>
    <w:p w14:paraId="5CE2F1AD" w14:textId="2115B38B" w:rsidR="008655A7" w:rsidRPr="008655A7" w:rsidRDefault="008655A7" w:rsidP="008655A7">
      <w:pPr>
        <w:pStyle w:val="CommentText"/>
        <w:rPr>
          <w:rFonts w:cs="Arial"/>
          <w:sz w:val="24"/>
          <w:szCs w:val="24"/>
        </w:rPr>
      </w:pPr>
      <w:r w:rsidRPr="008655A7">
        <w:rPr>
          <w:rFonts w:cs="Arial"/>
          <w:sz w:val="24"/>
          <w:szCs w:val="24"/>
        </w:rPr>
        <w:t xml:space="preserve">The sampling frame and clusters are selected in the first stage of the CASPER sampling method (see B.1.2). Field teams are assigned clusters within which to conduct interviews. Once the field team arrives at an assigned cluster, they randomly select seven housing units for the purpose of conducting interviews. There are several methods that can be used to randomly select a household; however, the most common method for CASPER is systematic random sample (see B.1.2). At each chosen household, a structured, household-level questionnaire (Attachment C) is used to conduct in-person interviews by the interview teams. At each household, the interview team requests verbal consent (Attachment </w:t>
      </w:r>
      <w:r w:rsidR="004A7FCC">
        <w:rPr>
          <w:rFonts w:cs="Arial"/>
          <w:sz w:val="24"/>
          <w:szCs w:val="24"/>
        </w:rPr>
        <w:t>J</w:t>
      </w:r>
      <w:r w:rsidRPr="008655A7">
        <w:rPr>
          <w:rFonts w:cs="Arial"/>
          <w:sz w:val="24"/>
          <w:szCs w:val="24"/>
        </w:rPr>
        <w:t xml:space="preserve">) and conducts the interview with one person aged 18 years or older. They will read each question to the interviewee and record the interviewee’s response on the form. Some most responses will be recorded with a check box, others might be numbers for counts or free text.  </w:t>
      </w:r>
    </w:p>
    <w:p w14:paraId="095E65F9" w14:textId="77777777" w:rsidR="008655A7" w:rsidRPr="008655A7" w:rsidRDefault="008655A7" w:rsidP="008655A7">
      <w:pPr>
        <w:pStyle w:val="CommentText"/>
        <w:rPr>
          <w:rFonts w:cs="Arial"/>
          <w:sz w:val="24"/>
          <w:szCs w:val="24"/>
        </w:rPr>
      </w:pPr>
    </w:p>
    <w:p w14:paraId="057AB90F" w14:textId="77777777" w:rsidR="008655A7" w:rsidRPr="008655A7" w:rsidRDefault="008655A7" w:rsidP="008655A7">
      <w:pPr>
        <w:pStyle w:val="CommentText"/>
        <w:rPr>
          <w:rFonts w:cs="Arial"/>
          <w:sz w:val="24"/>
          <w:szCs w:val="24"/>
        </w:rPr>
      </w:pPr>
      <w:r w:rsidRPr="008655A7">
        <w:rPr>
          <w:rFonts w:cs="Arial"/>
          <w:sz w:val="24"/>
          <w:szCs w:val="24"/>
        </w:rPr>
        <w:t>In addition to the primary questionnaire, there are two other forms, the tracking form and referral form, in addition to the questionnaire used to collect information during a CASPER. The interview teams should carry a tracking form to collect information about each housing unit selected, even those that are inaccessible. The tracking form is used to note the households that need to be revisited, monitor the outcome of every interview attempt, and calculate the response rates</w:t>
      </w:r>
      <w:r w:rsidRPr="008655A7">
        <w:rPr>
          <w:sz w:val="24"/>
          <w:szCs w:val="24"/>
        </w:rPr>
        <w:t xml:space="preserve"> (</w:t>
      </w:r>
      <w:r w:rsidRPr="008655A7">
        <w:rPr>
          <w:rFonts w:cs="Arial"/>
          <w:sz w:val="24"/>
          <w:szCs w:val="24"/>
        </w:rPr>
        <w:t xml:space="preserve">completion rate, cooperation rate, and contact rate) (Attachment D). These rates are the only information permanently retained from the tracking form; the tracking forms are destroyed after calculation of the response rates. Referral forms are used to document urgent needs that present an immediate threat to life or health. Only information regarding the general category of the urgent need (e.g., injury or ran out of important medication) is retained from these forms. The original form is passed to the local person assigned to manage urgent needs and no copy is retained by CDC (Attachment E). </w:t>
      </w:r>
    </w:p>
    <w:p w14:paraId="7C5431E7" w14:textId="7C3E2455" w:rsidR="00B45002" w:rsidRPr="00E707C0" w:rsidRDefault="00D33AE3" w:rsidP="008D0F27">
      <w:pPr>
        <w:pStyle w:val="Heading1"/>
        <w:pBdr>
          <w:bottom w:val="none" w:sz="0" w:space="0" w:color="auto"/>
        </w:pBdr>
        <w:rPr>
          <w:rFonts w:ascii="Cambria" w:hAnsi="Cambria"/>
          <w:color w:val="auto"/>
        </w:rPr>
      </w:pPr>
      <w:bookmarkStart w:id="5" w:name="_Toc476658502"/>
      <w:r w:rsidRPr="00E707C0">
        <w:rPr>
          <w:rFonts w:ascii="Cambria" w:hAnsi="Cambria"/>
          <w:color w:val="auto"/>
        </w:rPr>
        <w:t>B.</w:t>
      </w:r>
      <w:r w:rsidR="00B45002" w:rsidRPr="00E707C0">
        <w:rPr>
          <w:rFonts w:ascii="Cambria" w:hAnsi="Cambria"/>
          <w:color w:val="auto"/>
        </w:rPr>
        <w:t>3.</w:t>
      </w:r>
      <w:r w:rsidR="00B45002" w:rsidRPr="00E707C0">
        <w:rPr>
          <w:rFonts w:ascii="Cambria" w:hAnsi="Cambria"/>
          <w:color w:val="auto"/>
        </w:rPr>
        <w:tab/>
        <w:t>Methods to Maximize Response Rates and Deal with No</w:t>
      </w:r>
      <w:r w:rsidR="00E2405B" w:rsidRPr="00E707C0">
        <w:rPr>
          <w:rFonts w:ascii="Cambria" w:hAnsi="Cambria"/>
          <w:color w:val="auto"/>
        </w:rPr>
        <w:t xml:space="preserve"> R</w:t>
      </w:r>
      <w:r w:rsidR="00B45002" w:rsidRPr="00E707C0">
        <w:rPr>
          <w:rFonts w:ascii="Cambria" w:hAnsi="Cambria"/>
          <w:color w:val="auto"/>
        </w:rPr>
        <w:t>esponse</w:t>
      </w:r>
      <w:bookmarkEnd w:id="5"/>
    </w:p>
    <w:p w14:paraId="35480865" w14:textId="77777777" w:rsidR="00D0744A" w:rsidRPr="00E707C0" w:rsidRDefault="00D0744A" w:rsidP="00E632AF">
      <w:pPr>
        <w:spacing w:line="240" w:lineRule="auto"/>
        <w:rPr>
          <w:sz w:val="24"/>
          <w:szCs w:val="24"/>
        </w:rPr>
      </w:pPr>
    </w:p>
    <w:p w14:paraId="3EC01406" w14:textId="40B0ADAC" w:rsidR="00BD0AE7" w:rsidRPr="00BD0AE7" w:rsidRDefault="00BD0AE7" w:rsidP="00BD0AE7">
      <w:pPr>
        <w:spacing w:after="0" w:line="240" w:lineRule="auto"/>
        <w:rPr>
          <w:sz w:val="24"/>
          <w:szCs w:val="24"/>
        </w:rPr>
      </w:pPr>
      <w:r w:rsidRPr="00BD0AE7">
        <w:rPr>
          <w:sz w:val="24"/>
          <w:szCs w:val="24"/>
        </w:rPr>
        <w:t xml:space="preserve">To maximize response rates, the organization requesting the CASPER may issue a press release that informs the community when the CASPER will be conducted and why participating in the CASPER is important (Attachment </w:t>
      </w:r>
      <w:r w:rsidR="004A7FCC">
        <w:rPr>
          <w:sz w:val="24"/>
          <w:szCs w:val="24"/>
        </w:rPr>
        <w:t>L</w:t>
      </w:r>
      <w:r w:rsidRPr="00BD0AE7">
        <w:rPr>
          <w:sz w:val="24"/>
          <w:szCs w:val="24"/>
        </w:rPr>
        <w:t>). We also train the interview teams on the best way to approach people when going door-to-door for interviews, and we send the teams out with answers to frequently asked questions and sometimes with informational pamphlets to increase awareness of the situation and advise residents of safety precautions or resources for help.</w:t>
      </w:r>
    </w:p>
    <w:p w14:paraId="69CD0EA8" w14:textId="77777777" w:rsidR="00BD0AE7" w:rsidRPr="00BD0AE7" w:rsidRDefault="00BD0AE7" w:rsidP="00BD0AE7">
      <w:pPr>
        <w:spacing w:after="0" w:line="240" w:lineRule="auto"/>
        <w:rPr>
          <w:sz w:val="24"/>
          <w:szCs w:val="24"/>
        </w:rPr>
      </w:pPr>
    </w:p>
    <w:p w14:paraId="078E2247" w14:textId="240328D2" w:rsidR="00BD0AE7" w:rsidRPr="00BD0AE7" w:rsidRDefault="00BD0AE7" w:rsidP="00BD0AE7">
      <w:pPr>
        <w:spacing w:after="0" w:line="240" w:lineRule="auto"/>
        <w:rPr>
          <w:sz w:val="24"/>
          <w:szCs w:val="24"/>
        </w:rPr>
      </w:pPr>
      <w:r w:rsidRPr="00BD0AE7">
        <w:rPr>
          <w:sz w:val="24"/>
          <w:szCs w:val="24"/>
        </w:rPr>
        <w:t xml:space="preserve">Within each cluster, seven households are randomly selected. Interviews team are instructed to revisit households up to three times if a </w:t>
      </w:r>
      <w:r w:rsidR="009D5FF0">
        <w:rPr>
          <w:sz w:val="24"/>
          <w:szCs w:val="24"/>
        </w:rPr>
        <w:t>household</w:t>
      </w:r>
      <w:r w:rsidRPr="00BD0AE7">
        <w:rPr>
          <w:sz w:val="24"/>
          <w:szCs w:val="24"/>
        </w:rPr>
        <w:t xml:space="preserve"> is selected but no one answers the door. If no one answers after the third visit, the households should be substituted with the next randomly selected household. There is no guarantee that the required number of </w:t>
      </w:r>
      <w:r w:rsidR="009D5FF0">
        <w:rPr>
          <w:sz w:val="24"/>
          <w:szCs w:val="24"/>
        </w:rPr>
        <w:t>households</w:t>
      </w:r>
      <w:r w:rsidRPr="00BD0AE7">
        <w:rPr>
          <w:sz w:val="24"/>
          <w:szCs w:val="24"/>
        </w:rPr>
        <w:t xml:space="preserve"> for interviews will be obtained [i.e., there may be fewer than seven completed interviews per cluster (non-response)].  </w:t>
      </w:r>
    </w:p>
    <w:p w14:paraId="72C5B490" w14:textId="77777777" w:rsidR="00BD0AE7" w:rsidRPr="00BD0AE7" w:rsidRDefault="00BD0AE7" w:rsidP="00BD0AE7">
      <w:pPr>
        <w:spacing w:after="0" w:line="240" w:lineRule="auto"/>
        <w:rPr>
          <w:sz w:val="24"/>
          <w:szCs w:val="24"/>
        </w:rPr>
      </w:pPr>
    </w:p>
    <w:p w14:paraId="7681E063" w14:textId="6F8A229C" w:rsidR="00BD0AE7" w:rsidRPr="00BD0AE7" w:rsidRDefault="00BD0AE7" w:rsidP="00BD0AE7">
      <w:pPr>
        <w:spacing w:after="0" w:line="240" w:lineRule="auto"/>
        <w:rPr>
          <w:sz w:val="24"/>
          <w:szCs w:val="24"/>
        </w:rPr>
      </w:pPr>
      <w:r w:rsidRPr="00BD0AE7">
        <w:rPr>
          <w:sz w:val="24"/>
          <w:szCs w:val="24"/>
        </w:rPr>
        <w:t xml:space="preserve">Non-response is adjusted for in the data analysis process through weighting.  If less than 168 households are interviewed, the data is analyzed and reported; however, population estimates will not be calculated. Discussion will be provided about the potential differences between responding and non-responding households. </w:t>
      </w:r>
    </w:p>
    <w:p w14:paraId="450B7636" w14:textId="77777777" w:rsidR="00B45002" w:rsidRPr="00E707C0" w:rsidRDefault="00D33AE3" w:rsidP="008D0F27">
      <w:pPr>
        <w:pStyle w:val="Heading1"/>
        <w:pBdr>
          <w:bottom w:val="none" w:sz="0" w:space="0" w:color="auto"/>
        </w:pBdr>
        <w:rPr>
          <w:rFonts w:ascii="Cambria" w:hAnsi="Cambria"/>
          <w:color w:val="auto"/>
        </w:rPr>
      </w:pPr>
      <w:bookmarkStart w:id="6" w:name="_Toc476658503"/>
      <w:r w:rsidRPr="00E707C0">
        <w:rPr>
          <w:rFonts w:ascii="Cambria" w:hAnsi="Cambria"/>
          <w:color w:val="auto"/>
        </w:rPr>
        <w:t>B.</w:t>
      </w:r>
      <w:r w:rsidR="00B45002" w:rsidRPr="00E707C0">
        <w:rPr>
          <w:rFonts w:ascii="Cambria" w:hAnsi="Cambria"/>
          <w:color w:val="auto"/>
        </w:rPr>
        <w:t>4.</w:t>
      </w:r>
      <w:r w:rsidR="00B45002" w:rsidRPr="00E707C0">
        <w:rPr>
          <w:rFonts w:ascii="Cambria" w:hAnsi="Cambria"/>
          <w:color w:val="auto"/>
        </w:rPr>
        <w:tab/>
        <w:t>Test of Procedures or Methods to be Undertaken</w:t>
      </w:r>
      <w:bookmarkEnd w:id="6"/>
    </w:p>
    <w:p w14:paraId="64B9CC57" w14:textId="77777777" w:rsidR="00BD2639" w:rsidRPr="00E707C0" w:rsidRDefault="00BD2639" w:rsidP="001C121D">
      <w:pPr>
        <w:spacing w:line="240" w:lineRule="auto"/>
      </w:pPr>
    </w:p>
    <w:p w14:paraId="0CC660F6" w14:textId="77777777" w:rsidR="009D5FF0" w:rsidRPr="009D5FF0" w:rsidRDefault="009D5FF0" w:rsidP="009D5FF0">
      <w:pPr>
        <w:spacing w:after="0" w:line="240" w:lineRule="auto"/>
        <w:rPr>
          <w:sz w:val="24"/>
          <w:szCs w:val="24"/>
        </w:rPr>
      </w:pPr>
      <w:r w:rsidRPr="009D5FF0">
        <w:rPr>
          <w:sz w:val="24"/>
          <w:szCs w:val="24"/>
        </w:rPr>
        <w:t xml:space="preserve">Questionnaires (Attachment C) are developed in collaboration with the organization or agency conducting or requesting assistance with a CASPER. Especially concerning CASPERs conducted during an emergency response, questionnaires are often changed right up to the moment before their use to accommodate the rapidly changing situation and need for information. </w:t>
      </w:r>
    </w:p>
    <w:p w14:paraId="31826348" w14:textId="77777777" w:rsidR="009D5FF0" w:rsidRPr="009D5FF0" w:rsidRDefault="009D5FF0" w:rsidP="009D5FF0">
      <w:pPr>
        <w:spacing w:after="0" w:line="240" w:lineRule="auto"/>
        <w:rPr>
          <w:sz w:val="24"/>
          <w:szCs w:val="24"/>
        </w:rPr>
      </w:pPr>
    </w:p>
    <w:p w14:paraId="7227978C" w14:textId="1E811155" w:rsidR="009D5FF0" w:rsidRPr="009D5FF0" w:rsidRDefault="009D5FF0" w:rsidP="009D5FF0">
      <w:pPr>
        <w:spacing w:after="0" w:line="240" w:lineRule="auto"/>
        <w:rPr>
          <w:sz w:val="24"/>
          <w:szCs w:val="24"/>
        </w:rPr>
      </w:pPr>
      <w:r w:rsidRPr="009D5FF0">
        <w:rPr>
          <w:sz w:val="24"/>
          <w:szCs w:val="24"/>
        </w:rPr>
        <w:t xml:space="preserve">The experience with past CASPERs has provided opportunity for CDC to use and refine CASPER methodologies and procedures. For example, standard questions that have performed well in past CASPERs are retained and used when creating new CASPER questionnaires.  </w:t>
      </w:r>
    </w:p>
    <w:p w14:paraId="73EDC041" w14:textId="77777777" w:rsidR="009D5FF0" w:rsidRDefault="009D5FF0" w:rsidP="001C121D">
      <w:pPr>
        <w:autoSpaceDE w:val="0"/>
        <w:autoSpaceDN w:val="0"/>
        <w:adjustRightInd w:val="0"/>
        <w:spacing w:line="240" w:lineRule="auto"/>
        <w:rPr>
          <w:rFonts w:cs="ITCFranklinGothicStd-Book"/>
          <w:sz w:val="24"/>
          <w:szCs w:val="24"/>
        </w:rPr>
      </w:pPr>
    </w:p>
    <w:p w14:paraId="63C2C2DE" w14:textId="77777777" w:rsidR="00DC57CC" w:rsidRPr="00E707C0" w:rsidRDefault="00D33AE3" w:rsidP="008D0F27">
      <w:pPr>
        <w:pStyle w:val="Heading1"/>
        <w:pBdr>
          <w:bottom w:val="none" w:sz="0" w:space="0" w:color="auto"/>
        </w:pBdr>
        <w:rPr>
          <w:rFonts w:ascii="Cambria" w:hAnsi="Cambria"/>
          <w:color w:val="auto"/>
        </w:rPr>
      </w:pPr>
      <w:bookmarkStart w:id="7" w:name="_Toc476658504"/>
      <w:r w:rsidRPr="00E707C0">
        <w:rPr>
          <w:rFonts w:ascii="Cambria" w:hAnsi="Cambria"/>
          <w:color w:val="auto"/>
        </w:rPr>
        <w:t>B.</w:t>
      </w:r>
      <w:r w:rsidR="00B45002" w:rsidRPr="00E707C0">
        <w:rPr>
          <w:rFonts w:ascii="Cambria" w:hAnsi="Cambria"/>
          <w:color w:val="auto"/>
        </w:rPr>
        <w:t>5.</w:t>
      </w:r>
      <w:r w:rsidR="00B45002" w:rsidRPr="00E707C0">
        <w:rPr>
          <w:rFonts w:ascii="Cambria" w:hAnsi="Cambria"/>
          <w:color w:val="auto"/>
        </w:rPr>
        <w:tab/>
        <w:t>Individuals Consulted on Statistical Aspects and Individuals Collecting and/or Analyzing Data</w:t>
      </w:r>
      <w:bookmarkEnd w:id="7"/>
    </w:p>
    <w:p w14:paraId="10EA9D5F" w14:textId="77777777" w:rsidR="00984634" w:rsidRPr="00E707C0" w:rsidRDefault="00984634" w:rsidP="00984634"/>
    <w:p w14:paraId="0B5B5316" w14:textId="77777777" w:rsidR="001F0EC5" w:rsidRDefault="001F0EC5" w:rsidP="001F0EC5">
      <w:pPr>
        <w:spacing w:after="0" w:line="240" w:lineRule="auto"/>
        <w:rPr>
          <w:sz w:val="24"/>
          <w:szCs w:val="24"/>
        </w:rPr>
      </w:pPr>
      <w:r w:rsidRPr="001F0EC5">
        <w:rPr>
          <w:sz w:val="24"/>
          <w:szCs w:val="24"/>
        </w:rPr>
        <w:t>People who are consulted on methodology and design</w:t>
      </w:r>
    </w:p>
    <w:tbl>
      <w:tblPr>
        <w:tblStyle w:val="ListTable1Light"/>
        <w:tblW w:w="0" w:type="auto"/>
        <w:tblLook w:val="04A0" w:firstRow="1" w:lastRow="0" w:firstColumn="1" w:lastColumn="0" w:noHBand="0" w:noVBand="1"/>
      </w:tblPr>
      <w:tblGrid>
        <w:gridCol w:w="2242"/>
        <w:gridCol w:w="2770"/>
        <w:gridCol w:w="2273"/>
        <w:gridCol w:w="2291"/>
      </w:tblGrid>
      <w:tr w:rsidR="00AA2C69" w14:paraId="4FC08860" w14:textId="77777777" w:rsidTr="00AA2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bottom w:val="single" w:sz="4" w:space="0" w:color="auto"/>
            </w:tcBorders>
          </w:tcPr>
          <w:p w14:paraId="3DABDE0B" w14:textId="4D73614A" w:rsidR="00AA2C69" w:rsidRDefault="00AA2C69" w:rsidP="001F0EC5">
            <w:pPr>
              <w:rPr>
                <w:sz w:val="24"/>
                <w:szCs w:val="24"/>
              </w:rPr>
            </w:pPr>
            <w:r>
              <w:rPr>
                <w:sz w:val="24"/>
                <w:szCs w:val="24"/>
              </w:rPr>
              <w:t>Name</w:t>
            </w:r>
          </w:p>
        </w:tc>
        <w:tc>
          <w:tcPr>
            <w:tcW w:w="2337" w:type="dxa"/>
            <w:tcBorders>
              <w:bottom w:val="single" w:sz="4" w:space="0" w:color="auto"/>
            </w:tcBorders>
          </w:tcPr>
          <w:p w14:paraId="057225B0" w14:textId="5E6835BD" w:rsidR="00AA2C69" w:rsidRDefault="00AA2C69" w:rsidP="001F0EC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Affiliation</w:t>
            </w:r>
          </w:p>
        </w:tc>
        <w:tc>
          <w:tcPr>
            <w:tcW w:w="2338" w:type="dxa"/>
            <w:tcBorders>
              <w:bottom w:val="single" w:sz="4" w:space="0" w:color="auto"/>
            </w:tcBorders>
          </w:tcPr>
          <w:p w14:paraId="071C94AD" w14:textId="5EE2760A" w:rsidR="00AA2C69" w:rsidRDefault="00AA2C69" w:rsidP="001F0EC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Phone</w:t>
            </w:r>
          </w:p>
        </w:tc>
        <w:tc>
          <w:tcPr>
            <w:tcW w:w="2338" w:type="dxa"/>
            <w:tcBorders>
              <w:bottom w:val="single" w:sz="4" w:space="0" w:color="auto"/>
            </w:tcBorders>
          </w:tcPr>
          <w:p w14:paraId="6E806C1D" w14:textId="30D74A6E" w:rsidR="00AA2C69" w:rsidRDefault="00AA2C69" w:rsidP="001F0EC5">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Email</w:t>
            </w:r>
          </w:p>
        </w:tc>
      </w:tr>
      <w:tr w:rsidR="00AA2C69" w14:paraId="18AF0328" w14:textId="77777777" w:rsidTr="00AA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auto"/>
              <w:bottom w:val="single" w:sz="4" w:space="0" w:color="808080" w:themeColor="background1" w:themeShade="80"/>
            </w:tcBorders>
            <w:shd w:val="clear" w:color="auto" w:fill="auto"/>
          </w:tcPr>
          <w:p w14:paraId="283C9DD3" w14:textId="4E4F2DE9" w:rsidR="00AA2C69" w:rsidRPr="00AA2C69" w:rsidRDefault="00AA2C69" w:rsidP="001F0EC5">
            <w:pPr>
              <w:rPr>
                <w:b w:val="0"/>
                <w:sz w:val="24"/>
                <w:szCs w:val="24"/>
              </w:rPr>
            </w:pPr>
            <w:r>
              <w:rPr>
                <w:b w:val="0"/>
                <w:sz w:val="24"/>
                <w:szCs w:val="24"/>
              </w:rPr>
              <w:t>Josephine Malilay</w:t>
            </w:r>
          </w:p>
        </w:tc>
        <w:tc>
          <w:tcPr>
            <w:tcW w:w="2337" w:type="dxa"/>
            <w:tcBorders>
              <w:top w:val="single" w:sz="4" w:space="0" w:color="auto"/>
              <w:bottom w:val="single" w:sz="4" w:space="0" w:color="808080" w:themeColor="background1" w:themeShade="80"/>
            </w:tcBorders>
            <w:shd w:val="clear" w:color="auto" w:fill="auto"/>
          </w:tcPr>
          <w:p w14:paraId="387F5E0D" w14:textId="4EA11637" w:rsidR="00AA2C69" w:rsidRDefault="00AA2C69" w:rsidP="001F0EC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CDC/ONDIEH/NCEH/EHHE</w:t>
            </w:r>
          </w:p>
        </w:tc>
        <w:tc>
          <w:tcPr>
            <w:tcW w:w="2338" w:type="dxa"/>
            <w:tcBorders>
              <w:top w:val="single" w:sz="4" w:space="0" w:color="auto"/>
              <w:bottom w:val="single" w:sz="4" w:space="0" w:color="808080" w:themeColor="background1" w:themeShade="80"/>
            </w:tcBorders>
            <w:shd w:val="clear" w:color="auto" w:fill="auto"/>
          </w:tcPr>
          <w:p w14:paraId="0947ED9F" w14:textId="7285C31B" w:rsidR="00AA2C69" w:rsidRDefault="00AA2C69" w:rsidP="001F0EC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770.488.3465</w:t>
            </w:r>
          </w:p>
        </w:tc>
        <w:tc>
          <w:tcPr>
            <w:tcW w:w="2338" w:type="dxa"/>
            <w:tcBorders>
              <w:top w:val="single" w:sz="4" w:space="0" w:color="auto"/>
              <w:bottom w:val="single" w:sz="4" w:space="0" w:color="808080" w:themeColor="background1" w:themeShade="80"/>
            </w:tcBorders>
            <w:shd w:val="clear" w:color="auto" w:fill="auto"/>
          </w:tcPr>
          <w:p w14:paraId="27739886" w14:textId="6936B334" w:rsidR="00AA2C69" w:rsidRDefault="00AA2C69" w:rsidP="001F0EC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JYM7@cdc.gov</w:t>
            </w:r>
          </w:p>
        </w:tc>
      </w:tr>
      <w:tr w:rsidR="00AA2C69" w14:paraId="4EA6EE4B" w14:textId="77777777" w:rsidTr="00AA2C69">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808080" w:themeColor="background1" w:themeShade="80"/>
              <w:bottom w:val="single" w:sz="4" w:space="0" w:color="808080" w:themeColor="background1" w:themeShade="80"/>
            </w:tcBorders>
            <w:shd w:val="clear" w:color="auto" w:fill="auto"/>
          </w:tcPr>
          <w:p w14:paraId="0D18CB09" w14:textId="4012DA5F" w:rsidR="00AA2C69" w:rsidRPr="00AA2C69" w:rsidRDefault="00AA2C69" w:rsidP="001F0EC5">
            <w:pPr>
              <w:rPr>
                <w:b w:val="0"/>
                <w:sz w:val="24"/>
                <w:szCs w:val="24"/>
              </w:rPr>
            </w:pPr>
            <w:r>
              <w:rPr>
                <w:b w:val="0"/>
                <w:sz w:val="24"/>
                <w:szCs w:val="24"/>
              </w:rPr>
              <w:t>Sara Vagi</w:t>
            </w:r>
          </w:p>
        </w:tc>
        <w:tc>
          <w:tcPr>
            <w:tcW w:w="2337" w:type="dxa"/>
            <w:tcBorders>
              <w:top w:val="single" w:sz="4" w:space="0" w:color="808080" w:themeColor="background1" w:themeShade="80"/>
              <w:bottom w:val="single" w:sz="4" w:space="0" w:color="808080" w:themeColor="background1" w:themeShade="80"/>
            </w:tcBorders>
            <w:shd w:val="clear" w:color="auto" w:fill="auto"/>
          </w:tcPr>
          <w:p w14:paraId="0B31BFE9" w14:textId="2E50570A" w:rsidR="00AA2C69" w:rsidRDefault="00AA2C69" w:rsidP="001F0EC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CDC/OPHPR/DSLR</w:t>
            </w:r>
          </w:p>
        </w:tc>
        <w:tc>
          <w:tcPr>
            <w:tcW w:w="2338" w:type="dxa"/>
            <w:tcBorders>
              <w:top w:val="single" w:sz="4" w:space="0" w:color="808080" w:themeColor="background1" w:themeShade="80"/>
              <w:bottom w:val="single" w:sz="4" w:space="0" w:color="808080" w:themeColor="background1" w:themeShade="80"/>
            </w:tcBorders>
            <w:shd w:val="clear" w:color="auto" w:fill="auto"/>
          </w:tcPr>
          <w:p w14:paraId="0E9C047F" w14:textId="71A1413D" w:rsidR="00AA2C69" w:rsidRDefault="00AA2C69" w:rsidP="001F0EC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404.639.0879</w:t>
            </w:r>
          </w:p>
        </w:tc>
        <w:tc>
          <w:tcPr>
            <w:tcW w:w="2338" w:type="dxa"/>
            <w:tcBorders>
              <w:top w:val="single" w:sz="4" w:space="0" w:color="808080" w:themeColor="background1" w:themeShade="80"/>
              <w:bottom w:val="single" w:sz="4" w:space="0" w:color="808080" w:themeColor="background1" w:themeShade="80"/>
            </w:tcBorders>
            <w:shd w:val="clear" w:color="auto" w:fill="auto"/>
          </w:tcPr>
          <w:p w14:paraId="12652E1E" w14:textId="61B82CF3" w:rsidR="00AA2C69" w:rsidRDefault="00AA2C69" w:rsidP="001F0EC5">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HGQ2@cdc.gov</w:t>
            </w:r>
          </w:p>
        </w:tc>
      </w:tr>
      <w:tr w:rsidR="00AA2C69" w14:paraId="6BD128A6" w14:textId="77777777" w:rsidTr="00AA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Borders>
              <w:top w:val="single" w:sz="4" w:space="0" w:color="808080" w:themeColor="background1" w:themeShade="80"/>
              <w:bottom w:val="single" w:sz="4" w:space="0" w:color="auto"/>
            </w:tcBorders>
            <w:shd w:val="clear" w:color="auto" w:fill="auto"/>
          </w:tcPr>
          <w:p w14:paraId="7BE00774" w14:textId="521166C8" w:rsidR="00AA2C69" w:rsidRDefault="00AA2C69" w:rsidP="001F0EC5">
            <w:pPr>
              <w:rPr>
                <w:b w:val="0"/>
                <w:sz w:val="24"/>
                <w:szCs w:val="24"/>
              </w:rPr>
            </w:pPr>
            <w:r>
              <w:rPr>
                <w:b w:val="0"/>
                <w:sz w:val="24"/>
                <w:szCs w:val="24"/>
              </w:rPr>
              <w:t>Dana Flanders</w:t>
            </w:r>
          </w:p>
        </w:tc>
        <w:tc>
          <w:tcPr>
            <w:tcW w:w="2337" w:type="dxa"/>
            <w:tcBorders>
              <w:top w:val="single" w:sz="4" w:space="0" w:color="808080" w:themeColor="background1" w:themeShade="80"/>
              <w:bottom w:val="single" w:sz="4" w:space="0" w:color="auto"/>
            </w:tcBorders>
            <w:shd w:val="clear" w:color="auto" w:fill="auto"/>
          </w:tcPr>
          <w:p w14:paraId="5C8AF954" w14:textId="00A0F7E1" w:rsidR="00AA2C69" w:rsidRDefault="00AA2C69" w:rsidP="001F0EC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Emory University &amp; CDC/ONDIEH/NCEH/EHHE</w:t>
            </w:r>
          </w:p>
        </w:tc>
        <w:tc>
          <w:tcPr>
            <w:tcW w:w="2338" w:type="dxa"/>
            <w:tcBorders>
              <w:top w:val="single" w:sz="4" w:space="0" w:color="808080" w:themeColor="background1" w:themeShade="80"/>
              <w:bottom w:val="single" w:sz="4" w:space="0" w:color="auto"/>
            </w:tcBorders>
            <w:shd w:val="clear" w:color="auto" w:fill="auto"/>
          </w:tcPr>
          <w:p w14:paraId="5A8C0606" w14:textId="6CCD8153" w:rsidR="00AA2C69" w:rsidRDefault="00AA2C69" w:rsidP="001F0EC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770.488.3472</w:t>
            </w:r>
          </w:p>
        </w:tc>
        <w:tc>
          <w:tcPr>
            <w:tcW w:w="2338" w:type="dxa"/>
            <w:tcBorders>
              <w:top w:val="single" w:sz="4" w:space="0" w:color="808080" w:themeColor="background1" w:themeShade="80"/>
              <w:bottom w:val="single" w:sz="4" w:space="0" w:color="auto"/>
            </w:tcBorders>
            <w:shd w:val="clear" w:color="auto" w:fill="auto"/>
          </w:tcPr>
          <w:p w14:paraId="48CFED58" w14:textId="34AD060A" w:rsidR="00AA2C69" w:rsidRDefault="00AA2C69" w:rsidP="001F0EC5">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WDF1@cdc.gov</w:t>
            </w:r>
          </w:p>
        </w:tc>
      </w:tr>
    </w:tbl>
    <w:p w14:paraId="32198F6E" w14:textId="77777777" w:rsidR="001F0EC5" w:rsidRPr="001F0EC5" w:rsidRDefault="001F0EC5" w:rsidP="001F0EC5">
      <w:pPr>
        <w:spacing w:after="0" w:line="240" w:lineRule="auto"/>
        <w:rPr>
          <w:sz w:val="24"/>
          <w:szCs w:val="24"/>
        </w:rPr>
      </w:pPr>
    </w:p>
    <w:p w14:paraId="19A0383E" w14:textId="77777777" w:rsidR="001F0EC5" w:rsidRDefault="001F0EC5" w:rsidP="001F0EC5">
      <w:pPr>
        <w:spacing w:after="0" w:line="240" w:lineRule="auto"/>
        <w:rPr>
          <w:sz w:val="24"/>
          <w:szCs w:val="24"/>
        </w:rPr>
      </w:pPr>
      <w:r w:rsidRPr="001F0EC5">
        <w:rPr>
          <w:sz w:val="24"/>
          <w:szCs w:val="24"/>
        </w:rPr>
        <w:t>People who design the data collection</w:t>
      </w:r>
    </w:p>
    <w:tbl>
      <w:tblPr>
        <w:tblStyle w:val="ListTable1Light"/>
        <w:tblW w:w="0" w:type="auto"/>
        <w:tblLayout w:type="fixed"/>
        <w:tblLook w:val="04A0" w:firstRow="1" w:lastRow="0" w:firstColumn="1" w:lastColumn="0" w:noHBand="0" w:noVBand="1"/>
      </w:tblPr>
      <w:tblGrid>
        <w:gridCol w:w="2070"/>
        <w:gridCol w:w="3330"/>
        <w:gridCol w:w="1832"/>
        <w:gridCol w:w="2128"/>
      </w:tblGrid>
      <w:tr w:rsidR="00AA2C69" w14:paraId="333AD21A" w14:textId="77777777" w:rsidTr="00AA2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bottom w:val="single" w:sz="4" w:space="0" w:color="auto"/>
            </w:tcBorders>
          </w:tcPr>
          <w:p w14:paraId="2C91C761" w14:textId="77777777" w:rsidR="00AA2C69" w:rsidRDefault="00AA2C69" w:rsidP="007E6663">
            <w:pPr>
              <w:rPr>
                <w:sz w:val="24"/>
                <w:szCs w:val="24"/>
              </w:rPr>
            </w:pPr>
            <w:r>
              <w:rPr>
                <w:sz w:val="24"/>
                <w:szCs w:val="24"/>
              </w:rPr>
              <w:t>Name</w:t>
            </w:r>
          </w:p>
        </w:tc>
        <w:tc>
          <w:tcPr>
            <w:tcW w:w="3330" w:type="dxa"/>
            <w:tcBorders>
              <w:bottom w:val="single" w:sz="4" w:space="0" w:color="auto"/>
            </w:tcBorders>
          </w:tcPr>
          <w:p w14:paraId="6F9A908E" w14:textId="77777777" w:rsidR="00AA2C69" w:rsidRDefault="00AA2C69" w:rsidP="007E6663">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Affiliation</w:t>
            </w:r>
          </w:p>
        </w:tc>
        <w:tc>
          <w:tcPr>
            <w:tcW w:w="1832" w:type="dxa"/>
            <w:tcBorders>
              <w:bottom w:val="single" w:sz="4" w:space="0" w:color="auto"/>
            </w:tcBorders>
          </w:tcPr>
          <w:p w14:paraId="17A879E5" w14:textId="77777777" w:rsidR="00AA2C69" w:rsidRDefault="00AA2C69" w:rsidP="007E6663">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Phone</w:t>
            </w:r>
          </w:p>
        </w:tc>
        <w:tc>
          <w:tcPr>
            <w:tcW w:w="2128" w:type="dxa"/>
            <w:tcBorders>
              <w:bottom w:val="single" w:sz="4" w:space="0" w:color="auto"/>
            </w:tcBorders>
          </w:tcPr>
          <w:p w14:paraId="355905A8" w14:textId="77777777" w:rsidR="00AA2C69" w:rsidRDefault="00AA2C69" w:rsidP="007E6663">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Email</w:t>
            </w:r>
          </w:p>
        </w:tc>
      </w:tr>
      <w:tr w:rsidR="00AA2C69" w14:paraId="132D72A9" w14:textId="77777777" w:rsidTr="00AA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808080" w:themeColor="background1" w:themeShade="80"/>
            </w:tcBorders>
            <w:shd w:val="clear" w:color="auto" w:fill="auto"/>
          </w:tcPr>
          <w:p w14:paraId="729B01A4" w14:textId="7C20B3C0" w:rsidR="00AA2C69" w:rsidRPr="00AA2C69" w:rsidRDefault="00AA2C69" w:rsidP="007E6663">
            <w:pPr>
              <w:rPr>
                <w:b w:val="0"/>
                <w:sz w:val="24"/>
                <w:szCs w:val="24"/>
              </w:rPr>
            </w:pPr>
            <w:r>
              <w:rPr>
                <w:b w:val="0"/>
                <w:sz w:val="24"/>
                <w:szCs w:val="24"/>
              </w:rPr>
              <w:t>Amy Schnall</w:t>
            </w:r>
          </w:p>
        </w:tc>
        <w:tc>
          <w:tcPr>
            <w:tcW w:w="3330" w:type="dxa"/>
            <w:tcBorders>
              <w:top w:val="single" w:sz="4" w:space="0" w:color="auto"/>
              <w:bottom w:val="single" w:sz="4" w:space="0" w:color="808080" w:themeColor="background1" w:themeShade="80"/>
            </w:tcBorders>
            <w:shd w:val="clear" w:color="auto" w:fill="auto"/>
          </w:tcPr>
          <w:p w14:paraId="3F9AD462" w14:textId="0D9CC683" w:rsidR="00AA2C69" w:rsidRDefault="00AA2C69" w:rsidP="007E666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CDC/ONDIEH/NCEH/EHHE/HSB</w:t>
            </w:r>
          </w:p>
        </w:tc>
        <w:tc>
          <w:tcPr>
            <w:tcW w:w="1832" w:type="dxa"/>
            <w:tcBorders>
              <w:top w:val="single" w:sz="4" w:space="0" w:color="auto"/>
              <w:bottom w:val="single" w:sz="4" w:space="0" w:color="808080" w:themeColor="background1" w:themeShade="80"/>
            </w:tcBorders>
            <w:shd w:val="clear" w:color="auto" w:fill="auto"/>
          </w:tcPr>
          <w:p w14:paraId="31D28B58" w14:textId="7B3D9582" w:rsidR="00AA2C69" w:rsidRDefault="00AA2C69" w:rsidP="007E666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770.488.3422</w:t>
            </w:r>
          </w:p>
        </w:tc>
        <w:tc>
          <w:tcPr>
            <w:tcW w:w="2128" w:type="dxa"/>
            <w:tcBorders>
              <w:top w:val="single" w:sz="4" w:space="0" w:color="auto"/>
              <w:bottom w:val="single" w:sz="4" w:space="0" w:color="808080" w:themeColor="background1" w:themeShade="80"/>
            </w:tcBorders>
            <w:shd w:val="clear" w:color="auto" w:fill="auto"/>
          </w:tcPr>
          <w:p w14:paraId="75387D57" w14:textId="351B8156" w:rsidR="00AA2C69" w:rsidRDefault="00AA2C69" w:rsidP="007E666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GHU5@cdc.gov</w:t>
            </w:r>
          </w:p>
        </w:tc>
      </w:tr>
      <w:tr w:rsidR="00AA2C69" w14:paraId="0C45945A" w14:textId="77777777" w:rsidTr="00AA2C69">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808080" w:themeColor="background1" w:themeShade="80"/>
              <w:bottom w:val="single" w:sz="4" w:space="0" w:color="808080" w:themeColor="background1" w:themeShade="80"/>
            </w:tcBorders>
            <w:shd w:val="clear" w:color="auto" w:fill="auto"/>
          </w:tcPr>
          <w:p w14:paraId="51948134" w14:textId="1BC7BFA3" w:rsidR="00AA2C69" w:rsidRPr="00AA2C69" w:rsidRDefault="00AA2C69" w:rsidP="007E6663">
            <w:pPr>
              <w:rPr>
                <w:b w:val="0"/>
                <w:sz w:val="24"/>
                <w:szCs w:val="24"/>
              </w:rPr>
            </w:pPr>
            <w:r>
              <w:rPr>
                <w:b w:val="0"/>
                <w:sz w:val="24"/>
                <w:szCs w:val="24"/>
              </w:rPr>
              <w:t>Tesfaye Bayleyegn</w:t>
            </w:r>
          </w:p>
        </w:tc>
        <w:tc>
          <w:tcPr>
            <w:tcW w:w="3330" w:type="dxa"/>
            <w:tcBorders>
              <w:top w:val="single" w:sz="4" w:space="0" w:color="808080" w:themeColor="background1" w:themeShade="80"/>
              <w:bottom w:val="single" w:sz="4" w:space="0" w:color="808080" w:themeColor="background1" w:themeShade="80"/>
            </w:tcBorders>
            <w:shd w:val="clear" w:color="auto" w:fill="auto"/>
          </w:tcPr>
          <w:p w14:paraId="492D907E" w14:textId="71EA246F" w:rsidR="00AA2C69" w:rsidRDefault="00AA2C69" w:rsidP="007E666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CDC/ONDIEH/NCEH/EHHE/HSB</w:t>
            </w:r>
          </w:p>
        </w:tc>
        <w:tc>
          <w:tcPr>
            <w:tcW w:w="1832" w:type="dxa"/>
            <w:tcBorders>
              <w:top w:val="single" w:sz="4" w:space="0" w:color="808080" w:themeColor="background1" w:themeShade="80"/>
              <w:bottom w:val="single" w:sz="4" w:space="0" w:color="808080" w:themeColor="background1" w:themeShade="80"/>
            </w:tcBorders>
            <w:shd w:val="clear" w:color="auto" w:fill="auto"/>
          </w:tcPr>
          <w:p w14:paraId="740CFB20" w14:textId="2865B318" w:rsidR="00AA2C69" w:rsidRDefault="00AA2C69" w:rsidP="007E666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770.488.3476</w:t>
            </w:r>
          </w:p>
        </w:tc>
        <w:tc>
          <w:tcPr>
            <w:tcW w:w="2128" w:type="dxa"/>
            <w:tcBorders>
              <w:top w:val="single" w:sz="4" w:space="0" w:color="808080" w:themeColor="background1" w:themeShade="80"/>
              <w:bottom w:val="single" w:sz="4" w:space="0" w:color="808080" w:themeColor="background1" w:themeShade="80"/>
            </w:tcBorders>
            <w:shd w:val="clear" w:color="auto" w:fill="auto"/>
          </w:tcPr>
          <w:p w14:paraId="310AF429" w14:textId="69EC46D1" w:rsidR="00AA2C69" w:rsidRDefault="00AA2C69" w:rsidP="007E666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BVY7@cdc.gov</w:t>
            </w:r>
          </w:p>
        </w:tc>
      </w:tr>
      <w:tr w:rsidR="00AA2C69" w14:paraId="686B7F16" w14:textId="77777777" w:rsidTr="00AA2C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808080" w:themeColor="background1" w:themeShade="80"/>
              <w:bottom w:val="single" w:sz="4" w:space="0" w:color="auto"/>
            </w:tcBorders>
            <w:shd w:val="clear" w:color="auto" w:fill="auto"/>
          </w:tcPr>
          <w:p w14:paraId="6458F0CC" w14:textId="664DF93F" w:rsidR="00AA2C69" w:rsidRDefault="00AA2C69" w:rsidP="007E6663">
            <w:pPr>
              <w:rPr>
                <w:b w:val="0"/>
                <w:sz w:val="24"/>
                <w:szCs w:val="24"/>
              </w:rPr>
            </w:pPr>
            <w:r>
              <w:rPr>
                <w:b w:val="0"/>
                <w:sz w:val="24"/>
                <w:szCs w:val="24"/>
              </w:rPr>
              <w:t>Nicole Nakata</w:t>
            </w:r>
          </w:p>
        </w:tc>
        <w:tc>
          <w:tcPr>
            <w:tcW w:w="3330" w:type="dxa"/>
            <w:tcBorders>
              <w:top w:val="single" w:sz="4" w:space="0" w:color="808080" w:themeColor="background1" w:themeShade="80"/>
              <w:bottom w:val="single" w:sz="4" w:space="0" w:color="auto"/>
            </w:tcBorders>
            <w:shd w:val="clear" w:color="auto" w:fill="auto"/>
          </w:tcPr>
          <w:p w14:paraId="431AB37A" w14:textId="57FAE57B" w:rsidR="00AA2C69" w:rsidRDefault="00AA2C69" w:rsidP="007E666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Karna LLC &amp; CDC/ONDIEH/NCEH/EHHE/HSB</w:t>
            </w:r>
          </w:p>
        </w:tc>
        <w:tc>
          <w:tcPr>
            <w:tcW w:w="1832" w:type="dxa"/>
            <w:tcBorders>
              <w:top w:val="single" w:sz="4" w:space="0" w:color="808080" w:themeColor="background1" w:themeShade="80"/>
              <w:bottom w:val="single" w:sz="4" w:space="0" w:color="auto"/>
            </w:tcBorders>
            <w:shd w:val="clear" w:color="auto" w:fill="auto"/>
          </w:tcPr>
          <w:p w14:paraId="72642257" w14:textId="204966FD" w:rsidR="00AA2C69" w:rsidRDefault="00AA2C69" w:rsidP="00AA2C69">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770.488.0706</w:t>
            </w:r>
          </w:p>
        </w:tc>
        <w:tc>
          <w:tcPr>
            <w:tcW w:w="2128" w:type="dxa"/>
            <w:tcBorders>
              <w:top w:val="single" w:sz="4" w:space="0" w:color="808080" w:themeColor="background1" w:themeShade="80"/>
              <w:bottom w:val="single" w:sz="4" w:space="0" w:color="auto"/>
            </w:tcBorders>
            <w:shd w:val="clear" w:color="auto" w:fill="auto"/>
          </w:tcPr>
          <w:p w14:paraId="06864757" w14:textId="2C5DA9D7" w:rsidR="00AA2C69" w:rsidRDefault="00AA2C69" w:rsidP="007E666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WNG9@cdc.gov</w:t>
            </w:r>
          </w:p>
        </w:tc>
      </w:tr>
    </w:tbl>
    <w:p w14:paraId="63E03D05" w14:textId="77777777" w:rsidR="00AA2C69" w:rsidRPr="001F0EC5" w:rsidRDefault="00AA2C69" w:rsidP="001F0EC5">
      <w:pPr>
        <w:spacing w:after="0" w:line="240" w:lineRule="auto"/>
        <w:rPr>
          <w:sz w:val="24"/>
          <w:szCs w:val="24"/>
        </w:rPr>
      </w:pPr>
    </w:p>
    <w:p w14:paraId="59852137" w14:textId="77777777" w:rsidR="001F0EC5" w:rsidRPr="001F0EC5" w:rsidRDefault="001F0EC5" w:rsidP="001F0EC5">
      <w:pPr>
        <w:spacing w:after="0" w:line="240" w:lineRule="auto"/>
        <w:rPr>
          <w:sz w:val="24"/>
          <w:szCs w:val="24"/>
        </w:rPr>
      </w:pPr>
    </w:p>
    <w:p w14:paraId="63582407" w14:textId="77777777" w:rsidR="001F0EC5" w:rsidRPr="001F0EC5" w:rsidRDefault="001F0EC5" w:rsidP="001F0EC5">
      <w:pPr>
        <w:spacing w:after="0" w:line="240" w:lineRule="auto"/>
        <w:rPr>
          <w:sz w:val="24"/>
          <w:szCs w:val="24"/>
        </w:rPr>
      </w:pPr>
      <w:r w:rsidRPr="001F0EC5">
        <w:rPr>
          <w:sz w:val="24"/>
          <w:szCs w:val="24"/>
        </w:rPr>
        <w:t>People who collect the data</w:t>
      </w:r>
    </w:p>
    <w:p w14:paraId="476B13B5" w14:textId="77777777" w:rsidR="001F0EC5" w:rsidRPr="001F0EC5" w:rsidRDefault="001F0EC5" w:rsidP="001F0EC5">
      <w:pPr>
        <w:pStyle w:val="ListParagraph"/>
        <w:numPr>
          <w:ilvl w:val="0"/>
          <w:numId w:val="19"/>
        </w:numPr>
        <w:spacing w:after="0" w:line="240" w:lineRule="auto"/>
        <w:rPr>
          <w:sz w:val="24"/>
          <w:szCs w:val="24"/>
        </w:rPr>
      </w:pPr>
      <w:r w:rsidRPr="001F0EC5">
        <w:rPr>
          <w:sz w:val="24"/>
          <w:szCs w:val="24"/>
        </w:rPr>
        <w:t>The people that collect the data differ for each individual CASPER, and may include, but are not limited to the following:  state, local, territorial, or tribal health departments.</w:t>
      </w:r>
    </w:p>
    <w:p w14:paraId="71DFE78F" w14:textId="5660F373" w:rsidR="001F0EC5" w:rsidRPr="001F0EC5" w:rsidRDefault="001F0EC5" w:rsidP="001F0EC5">
      <w:pPr>
        <w:pStyle w:val="ListParagraph"/>
        <w:numPr>
          <w:ilvl w:val="0"/>
          <w:numId w:val="19"/>
        </w:numPr>
        <w:spacing w:after="0" w:line="240" w:lineRule="auto"/>
        <w:rPr>
          <w:rFonts w:eastAsia="Times New Roman"/>
          <w:sz w:val="24"/>
          <w:szCs w:val="24"/>
        </w:rPr>
      </w:pPr>
      <w:r w:rsidRPr="001F0EC5">
        <w:rPr>
          <w:sz w:val="24"/>
          <w:szCs w:val="24"/>
        </w:rPr>
        <w:t>Occasionally, CDC EIS Officers or people from the group who designed the data collection will also participate in data collection</w:t>
      </w:r>
      <w:r w:rsidR="00ED7024">
        <w:rPr>
          <w:sz w:val="24"/>
          <w:szCs w:val="24"/>
        </w:rPr>
        <w:t>.</w:t>
      </w:r>
      <w:r w:rsidRPr="001F0EC5">
        <w:rPr>
          <w:sz w:val="24"/>
          <w:szCs w:val="24"/>
        </w:rPr>
        <w:t xml:space="preserve">  </w:t>
      </w:r>
    </w:p>
    <w:p w14:paraId="35C34CDD" w14:textId="77777777" w:rsidR="001F0EC5" w:rsidRPr="001F0EC5" w:rsidRDefault="001F0EC5" w:rsidP="001F0EC5">
      <w:pPr>
        <w:spacing w:after="0" w:line="240" w:lineRule="auto"/>
        <w:rPr>
          <w:rFonts w:eastAsia="Times New Roman"/>
          <w:sz w:val="24"/>
          <w:szCs w:val="24"/>
        </w:rPr>
      </w:pPr>
    </w:p>
    <w:p w14:paraId="20689420" w14:textId="77777777" w:rsidR="001F0EC5" w:rsidRPr="001F0EC5" w:rsidRDefault="001F0EC5" w:rsidP="001F0EC5">
      <w:pPr>
        <w:spacing w:after="0" w:line="240" w:lineRule="auto"/>
        <w:rPr>
          <w:rFonts w:eastAsia="Times New Roman"/>
          <w:sz w:val="24"/>
          <w:szCs w:val="24"/>
        </w:rPr>
      </w:pPr>
      <w:r w:rsidRPr="001F0EC5">
        <w:rPr>
          <w:rFonts w:eastAsia="Times New Roman"/>
          <w:sz w:val="24"/>
          <w:szCs w:val="24"/>
        </w:rPr>
        <w:t>People who will analyze the data</w:t>
      </w:r>
    </w:p>
    <w:tbl>
      <w:tblPr>
        <w:tblStyle w:val="ListTable1Light"/>
        <w:tblW w:w="0" w:type="auto"/>
        <w:tblLayout w:type="fixed"/>
        <w:tblLook w:val="04A0" w:firstRow="1" w:lastRow="0" w:firstColumn="1" w:lastColumn="0" w:noHBand="0" w:noVBand="1"/>
      </w:tblPr>
      <w:tblGrid>
        <w:gridCol w:w="2070"/>
        <w:gridCol w:w="3330"/>
        <w:gridCol w:w="1832"/>
        <w:gridCol w:w="2128"/>
      </w:tblGrid>
      <w:tr w:rsidR="00AA2C69" w14:paraId="153CE6A9" w14:textId="77777777" w:rsidTr="007E66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bottom w:val="single" w:sz="4" w:space="0" w:color="auto"/>
            </w:tcBorders>
          </w:tcPr>
          <w:p w14:paraId="33A7337C" w14:textId="77777777" w:rsidR="00AA2C69" w:rsidRDefault="00AA2C69" w:rsidP="007E6663">
            <w:pPr>
              <w:rPr>
                <w:sz w:val="24"/>
                <w:szCs w:val="24"/>
              </w:rPr>
            </w:pPr>
            <w:r>
              <w:rPr>
                <w:sz w:val="24"/>
                <w:szCs w:val="24"/>
              </w:rPr>
              <w:t>Name</w:t>
            </w:r>
          </w:p>
        </w:tc>
        <w:tc>
          <w:tcPr>
            <w:tcW w:w="3330" w:type="dxa"/>
            <w:tcBorders>
              <w:bottom w:val="single" w:sz="4" w:space="0" w:color="auto"/>
            </w:tcBorders>
          </w:tcPr>
          <w:p w14:paraId="306EE63A" w14:textId="77777777" w:rsidR="00AA2C69" w:rsidRDefault="00AA2C69" w:rsidP="007E6663">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Affiliation</w:t>
            </w:r>
          </w:p>
        </w:tc>
        <w:tc>
          <w:tcPr>
            <w:tcW w:w="1832" w:type="dxa"/>
            <w:tcBorders>
              <w:bottom w:val="single" w:sz="4" w:space="0" w:color="auto"/>
            </w:tcBorders>
          </w:tcPr>
          <w:p w14:paraId="2983122B" w14:textId="77777777" w:rsidR="00AA2C69" w:rsidRDefault="00AA2C69" w:rsidP="007E6663">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Phone</w:t>
            </w:r>
          </w:p>
        </w:tc>
        <w:tc>
          <w:tcPr>
            <w:tcW w:w="2128" w:type="dxa"/>
            <w:tcBorders>
              <w:bottom w:val="single" w:sz="4" w:space="0" w:color="auto"/>
            </w:tcBorders>
          </w:tcPr>
          <w:p w14:paraId="245CBFF5" w14:textId="77777777" w:rsidR="00AA2C69" w:rsidRDefault="00AA2C69" w:rsidP="007E6663">
            <w:pPr>
              <w:cnfStyle w:val="100000000000" w:firstRow="1" w:lastRow="0" w:firstColumn="0" w:lastColumn="0" w:oddVBand="0" w:evenVBand="0" w:oddHBand="0" w:evenHBand="0" w:firstRowFirstColumn="0" w:firstRowLastColumn="0" w:lastRowFirstColumn="0" w:lastRowLastColumn="0"/>
              <w:rPr>
                <w:sz w:val="24"/>
                <w:szCs w:val="24"/>
              </w:rPr>
            </w:pPr>
            <w:r>
              <w:rPr>
                <w:sz w:val="24"/>
                <w:szCs w:val="24"/>
              </w:rPr>
              <w:t>Email</w:t>
            </w:r>
          </w:p>
        </w:tc>
      </w:tr>
      <w:tr w:rsidR="00AA2C69" w14:paraId="185E5471" w14:textId="77777777" w:rsidTr="007E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auto"/>
              <w:bottom w:val="single" w:sz="4" w:space="0" w:color="808080" w:themeColor="background1" w:themeShade="80"/>
            </w:tcBorders>
            <w:shd w:val="clear" w:color="auto" w:fill="auto"/>
          </w:tcPr>
          <w:p w14:paraId="5C698DE7" w14:textId="77777777" w:rsidR="00AA2C69" w:rsidRPr="00AA2C69" w:rsidRDefault="00AA2C69" w:rsidP="007E6663">
            <w:pPr>
              <w:rPr>
                <w:b w:val="0"/>
                <w:sz w:val="24"/>
                <w:szCs w:val="24"/>
              </w:rPr>
            </w:pPr>
            <w:r>
              <w:rPr>
                <w:b w:val="0"/>
                <w:sz w:val="24"/>
                <w:szCs w:val="24"/>
              </w:rPr>
              <w:t>Amy Schnall</w:t>
            </w:r>
          </w:p>
        </w:tc>
        <w:tc>
          <w:tcPr>
            <w:tcW w:w="3330" w:type="dxa"/>
            <w:tcBorders>
              <w:top w:val="single" w:sz="4" w:space="0" w:color="auto"/>
              <w:bottom w:val="single" w:sz="4" w:space="0" w:color="808080" w:themeColor="background1" w:themeShade="80"/>
            </w:tcBorders>
            <w:shd w:val="clear" w:color="auto" w:fill="auto"/>
          </w:tcPr>
          <w:p w14:paraId="5875ACB6" w14:textId="77777777" w:rsidR="00AA2C69" w:rsidRDefault="00AA2C69" w:rsidP="007E666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CDC/ONDIEH/NCEH/EHHE/HSB</w:t>
            </w:r>
          </w:p>
        </w:tc>
        <w:tc>
          <w:tcPr>
            <w:tcW w:w="1832" w:type="dxa"/>
            <w:tcBorders>
              <w:top w:val="single" w:sz="4" w:space="0" w:color="auto"/>
              <w:bottom w:val="single" w:sz="4" w:space="0" w:color="808080" w:themeColor="background1" w:themeShade="80"/>
            </w:tcBorders>
            <w:shd w:val="clear" w:color="auto" w:fill="auto"/>
          </w:tcPr>
          <w:p w14:paraId="356F9B22" w14:textId="50729D54" w:rsidR="00AA2C69" w:rsidRDefault="00AA2C69" w:rsidP="007E666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770.488.3422</w:t>
            </w:r>
          </w:p>
        </w:tc>
        <w:tc>
          <w:tcPr>
            <w:tcW w:w="2128" w:type="dxa"/>
            <w:tcBorders>
              <w:top w:val="single" w:sz="4" w:space="0" w:color="auto"/>
              <w:bottom w:val="single" w:sz="4" w:space="0" w:color="808080" w:themeColor="background1" w:themeShade="80"/>
            </w:tcBorders>
            <w:shd w:val="clear" w:color="auto" w:fill="auto"/>
          </w:tcPr>
          <w:p w14:paraId="159F391A" w14:textId="70A04B38" w:rsidR="00AA2C69" w:rsidRDefault="00AA2C69" w:rsidP="007E666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GHU5@cdc.gov</w:t>
            </w:r>
          </w:p>
        </w:tc>
      </w:tr>
      <w:tr w:rsidR="00AA2C69" w14:paraId="2B0C255A" w14:textId="77777777" w:rsidTr="007E6663">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808080" w:themeColor="background1" w:themeShade="80"/>
              <w:bottom w:val="single" w:sz="4" w:space="0" w:color="808080" w:themeColor="background1" w:themeShade="80"/>
            </w:tcBorders>
            <w:shd w:val="clear" w:color="auto" w:fill="auto"/>
          </w:tcPr>
          <w:p w14:paraId="75DA3D27" w14:textId="77777777" w:rsidR="00AA2C69" w:rsidRPr="00AA2C69" w:rsidRDefault="00AA2C69" w:rsidP="007E6663">
            <w:pPr>
              <w:rPr>
                <w:b w:val="0"/>
                <w:sz w:val="24"/>
                <w:szCs w:val="24"/>
              </w:rPr>
            </w:pPr>
            <w:r>
              <w:rPr>
                <w:b w:val="0"/>
                <w:sz w:val="24"/>
                <w:szCs w:val="24"/>
              </w:rPr>
              <w:t>Tesfaye Bayleyegn</w:t>
            </w:r>
          </w:p>
        </w:tc>
        <w:tc>
          <w:tcPr>
            <w:tcW w:w="3330" w:type="dxa"/>
            <w:tcBorders>
              <w:top w:val="single" w:sz="4" w:space="0" w:color="808080" w:themeColor="background1" w:themeShade="80"/>
              <w:bottom w:val="single" w:sz="4" w:space="0" w:color="808080" w:themeColor="background1" w:themeShade="80"/>
            </w:tcBorders>
            <w:shd w:val="clear" w:color="auto" w:fill="auto"/>
          </w:tcPr>
          <w:p w14:paraId="5068F3A8" w14:textId="77777777" w:rsidR="00AA2C69" w:rsidRDefault="00AA2C69" w:rsidP="007E666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CDC/ONDIEH/NCEH/EHHE/HSB</w:t>
            </w:r>
          </w:p>
        </w:tc>
        <w:tc>
          <w:tcPr>
            <w:tcW w:w="1832" w:type="dxa"/>
            <w:tcBorders>
              <w:top w:val="single" w:sz="4" w:space="0" w:color="808080" w:themeColor="background1" w:themeShade="80"/>
              <w:bottom w:val="single" w:sz="4" w:space="0" w:color="808080" w:themeColor="background1" w:themeShade="80"/>
            </w:tcBorders>
            <w:shd w:val="clear" w:color="auto" w:fill="auto"/>
          </w:tcPr>
          <w:p w14:paraId="655862D9" w14:textId="72A243C8" w:rsidR="00AA2C69" w:rsidRDefault="00AA2C69" w:rsidP="007E666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770.488.3476</w:t>
            </w:r>
          </w:p>
        </w:tc>
        <w:tc>
          <w:tcPr>
            <w:tcW w:w="2128" w:type="dxa"/>
            <w:tcBorders>
              <w:top w:val="single" w:sz="4" w:space="0" w:color="808080" w:themeColor="background1" w:themeShade="80"/>
              <w:bottom w:val="single" w:sz="4" w:space="0" w:color="808080" w:themeColor="background1" w:themeShade="80"/>
            </w:tcBorders>
            <w:shd w:val="clear" w:color="auto" w:fill="auto"/>
          </w:tcPr>
          <w:p w14:paraId="0AD5117A" w14:textId="52F741C0" w:rsidR="00AA2C69" w:rsidRDefault="00AA2C69" w:rsidP="007E6663">
            <w:pP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BVY7@cdc.gov</w:t>
            </w:r>
          </w:p>
        </w:tc>
      </w:tr>
      <w:tr w:rsidR="00AA2C69" w14:paraId="29DB842B" w14:textId="77777777" w:rsidTr="007E66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0" w:type="dxa"/>
            <w:tcBorders>
              <w:top w:val="single" w:sz="4" w:space="0" w:color="808080" w:themeColor="background1" w:themeShade="80"/>
              <w:bottom w:val="single" w:sz="4" w:space="0" w:color="auto"/>
            </w:tcBorders>
            <w:shd w:val="clear" w:color="auto" w:fill="auto"/>
          </w:tcPr>
          <w:p w14:paraId="0C01B1BC" w14:textId="77777777" w:rsidR="00AA2C69" w:rsidRDefault="00AA2C69" w:rsidP="007E6663">
            <w:pPr>
              <w:rPr>
                <w:b w:val="0"/>
                <w:sz w:val="24"/>
                <w:szCs w:val="24"/>
              </w:rPr>
            </w:pPr>
            <w:r>
              <w:rPr>
                <w:b w:val="0"/>
                <w:sz w:val="24"/>
                <w:szCs w:val="24"/>
              </w:rPr>
              <w:t>Nicole Nakata</w:t>
            </w:r>
          </w:p>
        </w:tc>
        <w:tc>
          <w:tcPr>
            <w:tcW w:w="3330" w:type="dxa"/>
            <w:tcBorders>
              <w:top w:val="single" w:sz="4" w:space="0" w:color="808080" w:themeColor="background1" w:themeShade="80"/>
              <w:bottom w:val="single" w:sz="4" w:space="0" w:color="auto"/>
            </w:tcBorders>
            <w:shd w:val="clear" w:color="auto" w:fill="auto"/>
          </w:tcPr>
          <w:p w14:paraId="380C2A13" w14:textId="77777777" w:rsidR="00AA2C69" w:rsidRDefault="00AA2C69" w:rsidP="007E666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Karna LLC &amp; CDC/ONDIEH/NCEH/EHHE/HSB</w:t>
            </w:r>
          </w:p>
        </w:tc>
        <w:tc>
          <w:tcPr>
            <w:tcW w:w="1832" w:type="dxa"/>
            <w:tcBorders>
              <w:top w:val="single" w:sz="4" w:space="0" w:color="808080" w:themeColor="background1" w:themeShade="80"/>
              <w:bottom w:val="single" w:sz="4" w:space="0" w:color="auto"/>
            </w:tcBorders>
            <w:shd w:val="clear" w:color="auto" w:fill="auto"/>
          </w:tcPr>
          <w:p w14:paraId="45B6FE42" w14:textId="23DBEDB3" w:rsidR="00AA2C69" w:rsidRDefault="00AA2C69" w:rsidP="007E666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770.488.0706</w:t>
            </w:r>
          </w:p>
        </w:tc>
        <w:tc>
          <w:tcPr>
            <w:tcW w:w="2128" w:type="dxa"/>
            <w:tcBorders>
              <w:top w:val="single" w:sz="4" w:space="0" w:color="808080" w:themeColor="background1" w:themeShade="80"/>
              <w:bottom w:val="single" w:sz="4" w:space="0" w:color="auto"/>
            </w:tcBorders>
            <w:shd w:val="clear" w:color="auto" w:fill="auto"/>
          </w:tcPr>
          <w:p w14:paraId="1844FE46" w14:textId="38C976B6" w:rsidR="00AA2C69" w:rsidRDefault="00AA2C69" w:rsidP="007E6663">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WNG9@cdc.gov</w:t>
            </w:r>
          </w:p>
        </w:tc>
      </w:tr>
    </w:tbl>
    <w:p w14:paraId="3D02F9B5" w14:textId="1750C3C0" w:rsidR="00A76C6D" w:rsidRPr="00AA2C69" w:rsidRDefault="00AA2C69" w:rsidP="00AA2C69">
      <w:pPr>
        <w:spacing w:after="0" w:line="240" w:lineRule="auto"/>
        <w:rPr>
          <w:i/>
          <w:sz w:val="24"/>
          <w:szCs w:val="24"/>
        </w:rPr>
      </w:pPr>
      <w:r w:rsidRPr="00AA2C69">
        <w:rPr>
          <w:i/>
          <w:sz w:val="24"/>
          <w:szCs w:val="24"/>
        </w:rPr>
        <w:t xml:space="preserve">Note:  </w:t>
      </w:r>
      <w:r w:rsidR="001F0EC5" w:rsidRPr="00AA2C69">
        <w:rPr>
          <w:i/>
          <w:sz w:val="24"/>
          <w:szCs w:val="24"/>
        </w:rPr>
        <w:t>May also include a CDC EIS Officer; a person from a state; local, territorial, or tribal health department; or one of the people above who were consulted on the methodology and design of the CASPER</w:t>
      </w:r>
    </w:p>
    <w:p w14:paraId="2F51CB3E" w14:textId="77777777" w:rsidR="004E1C3D" w:rsidRDefault="004E1C3D">
      <w:pPr>
        <w:rPr>
          <w:rFonts w:ascii="Cambria" w:eastAsiaTheme="majorEastAsia" w:hAnsi="Cambria" w:cstheme="majorBidi"/>
          <w:sz w:val="36"/>
          <w:szCs w:val="36"/>
        </w:rPr>
      </w:pPr>
      <w:bookmarkStart w:id="8" w:name="_Toc432356299"/>
      <w:r>
        <w:rPr>
          <w:rFonts w:ascii="Cambria" w:hAnsi="Cambria"/>
        </w:rPr>
        <w:br w:type="page"/>
      </w:r>
    </w:p>
    <w:p w14:paraId="24C1C237" w14:textId="5691B822" w:rsidR="000329FE" w:rsidRDefault="000329FE" w:rsidP="000329FE">
      <w:pPr>
        <w:pStyle w:val="Heading1"/>
        <w:pBdr>
          <w:bottom w:val="none" w:sz="0" w:space="0" w:color="auto"/>
        </w:pBdr>
        <w:rPr>
          <w:rFonts w:ascii="Cambria" w:hAnsi="Cambria"/>
          <w:color w:val="auto"/>
        </w:rPr>
      </w:pPr>
      <w:bookmarkStart w:id="9" w:name="_Toc476658505"/>
      <w:r w:rsidRPr="00D20211">
        <w:rPr>
          <w:rFonts w:ascii="Cambria" w:hAnsi="Cambria"/>
          <w:color w:val="auto"/>
        </w:rPr>
        <w:t>List of Attachments</w:t>
      </w:r>
      <w:bookmarkEnd w:id="8"/>
      <w:bookmarkEnd w:id="9"/>
    </w:p>
    <w:p w14:paraId="057AEC46" w14:textId="77777777" w:rsidR="00AA2C69" w:rsidRPr="00AA2C69" w:rsidRDefault="00AA2C69" w:rsidP="00AA2C69"/>
    <w:p w14:paraId="65A67255" w14:textId="77777777" w:rsidR="00AA2C69" w:rsidRDefault="00AA2C69" w:rsidP="00AA2C69">
      <w:pPr>
        <w:rPr>
          <w:sz w:val="24"/>
          <w:szCs w:val="24"/>
        </w:rPr>
      </w:pPr>
      <w:r>
        <w:rPr>
          <w:sz w:val="24"/>
          <w:szCs w:val="24"/>
        </w:rPr>
        <w:t xml:space="preserve">Attachment A. Authorizing Legislation </w:t>
      </w:r>
    </w:p>
    <w:p w14:paraId="3D7D019E" w14:textId="77777777" w:rsidR="00AA2C69" w:rsidRDefault="00AA2C69" w:rsidP="00AA2C69">
      <w:pPr>
        <w:rPr>
          <w:sz w:val="24"/>
          <w:szCs w:val="24"/>
        </w:rPr>
      </w:pPr>
      <w:r>
        <w:rPr>
          <w:sz w:val="24"/>
          <w:szCs w:val="24"/>
        </w:rPr>
        <w:t xml:space="preserve">Attachment B. 60-day Federal Register Notice </w:t>
      </w:r>
    </w:p>
    <w:p w14:paraId="7FB3E2F6" w14:textId="77777777" w:rsidR="00AA2C69" w:rsidRDefault="00AA2C69" w:rsidP="00AA2C69">
      <w:pPr>
        <w:rPr>
          <w:sz w:val="24"/>
          <w:szCs w:val="24"/>
        </w:rPr>
      </w:pPr>
      <w:r>
        <w:rPr>
          <w:sz w:val="24"/>
          <w:szCs w:val="24"/>
        </w:rPr>
        <w:t>Attachment C. Sample Questionnaire</w:t>
      </w:r>
    </w:p>
    <w:p w14:paraId="3316EC08" w14:textId="77777777" w:rsidR="00AA2C69" w:rsidRDefault="00AA2C69" w:rsidP="00AA2C69">
      <w:pPr>
        <w:rPr>
          <w:sz w:val="24"/>
          <w:szCs w:val="24"/>
        </w:rPr>
      </w:pPr>
      <w:r>
        <w:rPr>
          <w:sz w:val="24"/>
          <w:szCs w:val="24"/>
        </w:rPr>
        <w:t>Attachment D. Sample Tracking Form</w:t>
      </w:r>
    </w:p>
    <w:p w14:paraId="1169C1B5" w14:textId="77777777" w:rsidR="00AA2C69" w:rsidRDefault="00AA2C69" w:rsidP="00AA2C69">
      <w:pPr>
        <w:rPr>
          <w:sz w:val="24"/>
          <w:szCs w:val="24"/>
        </w:rPr>
      </w:pPr>
      <w:r>
        <w:rPr>
          <w:sz w:val="24"/>
          <w:szCs w:val="24"/>
        </w:rPr>
        <w:t>Attachment E. Sample Referral Form</w:t>
      </w:r>
    </w:p>
    <w:p w14:paraId="2138E538" w14:textId="77777777" w:rsidR="00AA2C69" w:rsidRDefault="00AA2C69" w:rsidP="00AA2C69">
      <w:pPr>
        <w:rPr>
          <w:sz w:val="24"/>
          <w:szCs w:val="24"/>
        </w:rPr>
      </w:pPr>
      <w:r>
        <w:rPr>
          <w:sz w:val="24"/>
          <w:szCs w:val="24"/>
        </w:rPr>
        <w:t>Attachment F. Sample Final Report</w:t>
      </w:r>
    </w:p>
    <w:p w14:paraId="16915972" w14:textId="12C95D1D" w:rsidR="000B588F" w:rsidRDefault="000B588F" w:rsidP="00A76C6D">
      <w:pPr>
        <w:rPr>
          <w:sz w:val="24"/>
          <w:szCs w:val="24"/>
        </w:rPr>
      </w:pPr>
      <w:r>
        <w:rPr>
          <w:sz w:val="24"/>
          <w:szCs w:val="24"/>
        </w:rPr>
        <w:t>Attachment G. Request for Approval under Generic Clearance for CASPER Data Collections</w:t>
      </w:r>
    </w:p>
    <w:p w14:paraId="22893C08" w14:textId="77777777" w:rsidR="000B588F" w:rsidRDefault="000B588F" w:rsidP="000B588F">
      <w:pPr>
        <w:rPr>
          <w:sz w:val="24"/>
          <w:szCs w:val="24"/>
        </w:rPr>
      </w:pPr>
      <w:r>
        <w:rPr>
          <w:sz w:val="24"/>
          <w:szCs w:val="24"/>
        </w:rPr>
        <w:t>Attachment H. Burden Memo</w:t>
      </w:r>
    </w:p>
    <w:p w14:paraId="05D0CDF6" w14:textId="77777777" w:rsidR="000B588F" w:rsidRDefault="000B588F" w:rsidP="000B588F">
      <w:pPr>
        <w:rPr>
          <w:sz w:val="24"/>
          <w:szCs w:val="24"/>
        </w:rPr>
      </w:pPr>
      <w:r>
        <w:rPr>
          <w:sz w:val="24"/>
          <w:szCs w:val="24"/>
        </w:rPr>
        <w:t>Attachment I. Step-by-Step How to Use the Generic Clearance for CASPER</w:t>
      </w:r>
    </w:p>
    <w:p w14:paraId="3679FBAF" w14:textId="77777777" w:rsidR="000B588F" w:rsidRDefault="000B588F" w:rsidP="000B588F">
      <w:pPr>
        <w:rPr>
          <w:sz w:val="24"/>
          <w:szCs w:val="24"/>
        </w:rPr>
      </w:pPr>
      <w:r>
        <w:rPr>
          <w:sz w:val="24"/>
          <w:szCs w:val="24"/>
        </w:rPr>
        <w:t xml:space="preserve">Attachment J. Sample Introduction and Consent Script </w:t>
      </w:r>
    </w:p>
    <w:p w14:paraId="00B92D96" w14:textId="77777777" w:rsidR="000B588F" w:rsidRDefault="000B588F" w:rsidP="000B588F">
      <w:pPr>
        <w:rPr>
          <w:sz w:val="24"/>
          <w:szCs w:val="24"/>
        </w:rPr>
      </w:pPr>
      <w:r>
        <w:rPr>
          <w:sz w:val="24"/>
          <w:szCs w:val="24"/>
        </w:rPr>
        <w:t>Attachment K. Sample Sampling Frame</w:t>
      </w:r>
    </w:p>
    <w:p w14:paraId="5B169222" w14:textId="77777777" w:rsidR="000B588F" w:rsidRDefault="000B588F" w:rsidP="000B588F">
      <w:pPr>
        <w:rPr>
          <w:sz w:val="24"/>
          <w:szCs w:val="24"/>
        </w:rPr>
      </w:pPr>
      <w:r>
        <w:rPr>
          <w:sz w:val="24"/>
          <w:szCs w:val="24"/>
        </w:rPr>
        <w:t>Attachment L. Sample Press Release</w:t>
      </w:r>
    </w:p>
    <w:p w14:paraId="0BF0F680" w14:textId="77777777" w:rsidR="000B588F" w:rsidRDefault="000B588F" w:rsidP="000B588F">
      <w:pPr>
        <w:rPr>
          <w:sz w:val="24"/>
          <w:szCs w:val="24"/>
        </w:rPr>
      </w:pPr>
      <w:r>
        <w:rPr>
          <w:sz w:val="24"/>
          <w:szCs w:val="24"/>
        </w:rPr>
        <w:t xml:space="preserve">Attachment M. Sample Paper </w:t>
      </w:r>
    </w:p>
    <w:p w14:paraId="362D4AC4" w14:textId="77777777" w:rsidR="000B588F" w:rsidRDefault="000B588F" w:rsidP="000B588F">
      <w:pPr>
        <w:rPr>
          <w:sz w:val="24"/>
          <w:szCs w:val="24"/>
        </w:rPr>
      </w:pPr>
      <w:r>
        <w:rPr>
          <w:sz w:val="24"/>
          <w:szCs w:val="24"/>
        </w:rPr>
        <w:t>Attachment N. Weighted Analysis</w:t>
      </w:r>
    </w:p>
    <w:p w14:paraId="14463714" w14:textId="77777777" w:rsidR="00984634" w:rsidRPr="00E707C0" w:rsidRDefault="00984634" w:rsidP="00984634"/>
    <w:sectPr w:rsidR="00984634" w:rsidRPr="00E707C0" w:rsidSect="008D5674">
      <w:footerReference w:type="default" r:id="rId9"/>
      <w:type w:val="continuous"/>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2D9A22" w14:textId="77777777" w:rsidR="00AE70E7" w:rsidRDefault="00AE70E7" w:rsidP="008B5D54">
      <w:r>
        <w:separator/>
      </w:r>
    </w:p>
  </w:endnote>
  <w:endnote w:type="continuationSeparator" w:id="0">
    <w:p w14:paraId="1DBC72D1" w14:textId="77777777" w:rsidR="00AE70E7" w:rsidRDefault="00AE70E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ITCFranklinGothicSt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06205"/>
      <w:docPartObj>
        <w:docPartGallery w:val="Page Numbers (Bottom of Page)"/>
        <w:docPartUnique/>
      </w:docPartObj>
    </w:sdtPr>
    <w:sdtEndPr>
      <w:rPr>
        <w:noProof/>
      </w:rPr>
    </w:sdtEndPr>
    <w:sdtContent>
      <w:p w14:paraId="55D3C340" w14:textId="2B0D19C2" w:rsidR="008D5674" w:rsidRDefault="008D5674">
        <w:pPr>
          <w:pStyle w:val="Footer"/>
          <w:jc w:val="right"/>
        </w:pPr>
        <w:r>
          <w:fldChar w:fldCharType="begin"/>
        </w:r>
        <w:r>
          <w:instrText xml:space="preserve"> PAGE   \* MERGEFORMAT </w:instrText>
        </w:r>
        <w:r>
          <w:fldChar w:fldCharType="separate"/>
        </w:r>
        <w:r w:rsidR="00254E32">
          <w:rPr>
            <w:noProof/>
          </w:rPr>
          <w:t>2</w:t>
        </w:r>
        <w:r>
          <w:rPr>
            <w:noProof/>
          </w:rPr>
          <w:fldChar w:fldCharType="end"/>
        </w:r>
      </w:p>
    </w:sdtContent>
  </w:sdt>
  <w:p w14:paraId="27ABDE6D" w14:textId="77777777" w:rsidR="008D5674" w:rsidRDefault="008D56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C7E713" w14:textId="77777777" w:rsidR="00AE70E7" w:rsidRDefault="00AE70E7" w:rsidP="008B5D54">
      <w:r>
        <w:separator/>
      </w:r>
    </w:p>
  </w:footnote>
  <w:footnote w:type="continuationSeparator" w:id="0">
    <w:p w14:paraId="6B02AAA8" w14:textId="77777777" w:rsidR="00AE70E7" w:rsidRDefault="00AE70E7"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2775B"/>
    <w:multiLevelType w:val="multilevel"/>
    <w:tmpl w:val="12D8459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nsid w:val="1A1668C6"/>
    <w:multiLevelType w:val="hybridMultilevel"/>
    <w:tmpl w:val="6056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C17495A"/>
    <w:multiLevelType w:val="hybridMultilevel"/>
    <w:tmpl w:val="9A9CE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392FFA"/>
    <w:multiLevelType w:val="hybridMultilevel"/>
    <w:tmpl w:val="ABC09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F4299"/>
    <w:multiLevelType w:val="hybridMultilevel"/>
    <w:tmpl w:val="72B2B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BC33C0"/>
    <w:multiLevelType w:val="hybridMultilevel"/>
    <w:tmpl w:val="2D0A4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12142B"/>
    <w:multiLevelType w:val="hybridMultilevel"/>
    <w:tmpl w:val="B7E0B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8"/>
  </w:num>
  <w:num w:numId="12">
    <w:abstractNumId w:val="4"/>
  </w:num>
  <w:num w:numId="13">
    <w:abstractNumId w:val="9"/>
  </w:num>
  <w:num w:numId="14">
    <w:abstractNumId w:val="7"/>
  </w:num>
  <w:num w:numId="15">
    <w:abstractNumId w:val="6"/>
  </w:num>
  <w:num w:numId="16">
    <w:abstractNumId w:val="2"/>
  </w:num>
  <w:num w:numId="17">
    <w:abstractNumId w:val="3"/>
  </w:num>
  <w:num w:numId="18">
    <w:abstractNumId w:val="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DateAndTime/>
  <w:defaultTabStop w:val="720"/>
  <w:drawingGridHorizontalSpacing w:val="110"/>
  <w:displayHorizontalDrawingGridEvery w:val="2"/>
  <w:displayVerticalDrawingGridEvery w:val="2"/>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5002"/>
    <w:rsid w:val="00006EDD"/>
    <w:rsid w:val="000108E1"/>
    <w:rsid w:val="000329FE"/>
    <w:rsid w:val="000337CA"/>
    <w:rsid w:val="000B588F"/>
    <w:rsid w:val="000D41A0"/>
    <w:rsid w:val="00143D86"/>
    <w:rsid w:val="00156EEB"/>
    <w:rsid w:val="00196116"/>
    <w:rsid w:val="001C0679"/>
    <w:rsid w:val="001C121D"/>
    <w:rsid w:val="001C2319"/>
    <w:rsid w:val="001F0EC5"/>
    <w:rsid w:val="00254E32"/>
    <w:rsid w:val="002751FF"/>
    <w:rsid w:val="002869DD"/>
    <w:rsid w:val="00295F2A"/>
    <w:rsid w:val="002D0271"/>
    <w:rsid w:val="003041F7"/>
    <w:rsid w:val="00310DD7"/>
    <w:rsid w:val="0031214F"/>
    <w:rsid w:val="00315A29"/>
    <w:rsid w:val="00317957"/>
    <w:rsid w:val="00330F29"/>
    <w:rsid w:val="003567AB"/>
    <w:rsid w:val="00396F24"/>
    <w:rsid w:val="00421C3B"/>
    <w:rsid w:val="00425A8D"/>
    <w:rsid w:val="0048550B"/>
    <w:rsid w:val="004A7B18"/>
    <w:rsid w:val="004A7FCC"/>
    <w:rsid w:val="004B7DE1"/>
    <w:rsid w:val="004E1C3D"/>
    <w:rsid w:val="004E2EDA"/>
    <w:rsid w:val="004F0BE4"/>
    <w:rsid w:val="00500B15"/>
    <w:rsid w:val="00522073"/>
    <w:rsid w:val="005624FE"/>
    <w:rsid w:val="00566EE1"/>
    <w:rsid w:val="00605765"/>
    <w:rsid w:val="006560B1"/>
    <w:rsid w:val="006615FB"/>
    <w:rsid w:val="006C6578"/>
    <w:rsid w:val="006F2ABA"/>
    <w:rsid w:val="0070554F"/>
    <w:rsid w:val="00717257"/>
    <w:rsid w:val="00754B3D"/>
    <w:rsid w:val="00792A59"/>
    <w:rsid w:val="00796D76"/>
    <w:rsid w:val="007B7F20"/>
    <w:rsid w:val="007D595C"/>
    <w:rsid w:val="007D7905"/>
    <w:rsid w:val="007F0E10"/>
    <w:rsid w:val="00805B09"/>
    <w:rsid w:val="008655A7"/>
    <w:rsid w:val="008861AB"/>
    <w:rsid w:val="008A6105"/>
    <w:rsid w:val="008B5D54"/>
    <w:rsid w:val="008D0F27"/>
    <w:rsid w:val="008D3BE8"/>
    <w:rsid w:val="008D5674"/>
    <w:rsid w:val="008E30FB"/>
    <w:rsid w:val="00935FD5"/>
    <w:rsid w:val="00965C2A"/>
    <w:rsid w:val="00976C14"/>
    <w:rsid w:val="00984634"/>
    <w:rsid w:val="009C2F5A"/>
    <w:rsid w:val="009D5FF0"/>
    <w:rsid w:val="00A76C6D"/>
    <w:rsid w:val="00AA2C69"/>
    <w:rsid w:val="00AC3B7E"/>
    <w:rsid w:val="00AC4C54"/>
    <w:rsid w:val="00AD7EE7"/>
    <w:rsid w:val="00AE2F5E"/>
    <w:rsid w:val="00AE70E7"/>
    <w:rsid w:val="00B21D28"/>
    <w:rsid w:val="00B31F1B"/>
    <w:rsid w:val="00B45002"/>
    <w:rsid w:val="00B5171E"/>
    <w:rsid w:val="00B55735"/>
    <w:rsid w:val="00B608AC"/>
    <w:rsid w:val="00B73D70"/>
    <w:rsid w:val="00BA2DBE"/>
    <w:rsid w:val="00BA30FE"/>
    <w:rsid w:val="00BC39E4"/>
    <w:rsid w:val="00BD0AE7"/>
    <w:rsid w:val="00BD2639"/>
    <w:rsid w:val="00BD6CD5"/>
    <w:rsid w:val="00BF2633"/>
    <w:rsid w:val="00C929D2"/>
    <w:rsid w:val="00CD0E02"/>
    <w:rsid w:val="00D0744A"/>
    <w:rsid w:val="00D14114"/>
    <w:rsid w:val="00D33AE3"/>
    <w:rsid w:val="00D479BA"/>
    <w:rsid w:val="00D80142"/>
    <w:rsid w:val="00DA796B"/>
    <w:rsid w:val="00DB095D"/>
    <w:rsid w:val="00DC57CC"/>
    <w:rsid w:val="00DD2606"/>
    <w:rsid w:val="00E2405B"/>
    <w:rsid w:val="00E410B4"/>
    <w:rsid w:val="00E5157D"/>
    <w:rsid w:val="00E632AF"/>
    <w:rsid w:val="00E707C0"/>
    <w:rsid w:val="00EA6E06"/>
    <w:rsid w:val="00ED7024"/>
    <w:rsid w:val="00EE321F"/>
    <w:rsid w:val="00EF2494"/>
    <w:rsid w:val="00EF5132"/>
    <w:rsid w:val="00F845F2"/>
    <w:rsid w:val="00FA0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0943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customStyle="1" w:styleId="H4">
    <w:name w:val="H4"/>
    <w:basedOn w:val="Normal"/>
    <w:rsid w:val="008655A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rPr>
  </w:style>
  <w:style w:type="table" w:styleId="TableGrid">
    <w:name w:val="Table Grid"/>
    <w:basedOn w:val="TableNormal"/>
    <w:uiPriority w:val="59"/>
    <w:rsid w:val="00AA2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
    <w:name w:val="List Table 1 Light"/>
    <w:basedOn w:val="TableNormal"/>
    <w:uiPriority w:val="46"/>
    <w:rsid w:val="00AA2C6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DBE"/>
  </w:style>
  <w:style w:type="paragraph" w:styleId="Heading1">
    <w:name w:val="heading 1"/>
    <w:basedOn w:val="Normal"/>
    <w:next w:val="Normal"/>
    <w:link w:val="Heading1Char"/>
    <w:uiPriority w:val="9"/>
    <w:qFormat/>
    <w:rsid w:val="00BA2DBE"/>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2E74B5"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2E74B5" w:themeColor="accent1" w:themeShade="BF"/>
      <w:sz w:val="36"/>
      <w:szCs w:val="36"/>
    </w:rPr>
  </w:style>
  <w:style w:type="character" w:customStyle="1" w:styleId="Heading3Char">
    <w:name w:val="Heading 3 Char"/>
    <w:basedOn w:val="DefaultParagraphFont"/>
    <w:link w:val="Heading3"/>
    <w:uiPriority w:val="9"/>
    <w:semiHidden/>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965C2A"/>
    <w:pPr>
      <w:spacing w:after="100"/>
    </w:pPr>
  </w:style>
  <w:style w:type="character" w:styleId="Hyperlink">
    <w:name w:val="Hyperlink"/>
    <w:basedOn w:val="DefaultParagraphFont"/>
    <w:uiPriority w:val="99"/>
    <w:unhideWhenUsed/>
    <w:rsid w:val="00965C2A"/>
    <w:rPr>
      <w:color w:val="0563C1" w:themeColor="hyperlink"/>
      <w:u w:val="single"/>
    </w:rPr>
  </w:style>
  <w:style w:type="character" w:styleId="CommentReference">
    <w:name w:val="annotation reference"/>
    <w:basedOn w:val="DefaultParagraphFont"/>
    <w:uiPriority w:val="99"/>
    <w:semiHidden/>
    <w:unhideWhenUsed/>
    <w:rsid w:val="00D33AE3"/>
    <w:rPr>
      <w:sz w:val="16"/>
      <w:szCs w:val="16"/>
    </w:rPr>
  </w:style>
  <w:style w:type="paragraph" w:styleId="CommentText">
    <w:name w:val="annotation text"/>
    <w:basedOn w:val="Normal"/>
    <w:link w:val="CommentTextChar"/>
    <w:uiPriority w:val="99"/>
    <w:unhideWhenUsed/>
    <w:rsid w:val="00D33AE3"/>
    <w:pPr>
      <w:spacing w:line="240" w:lineRule="auto"/>
    </w:pPr>
    <w:rPr>
      <w:sz w:val="20"/>
      <w:szCs w:val="20"/>
    </w:rPr>
  </w:style>
  <w:style w:type="character" w:customStyle="1" w:styleId="CommentTextChar">
    <w:name w:val="Comment Text Char"/>
    <w:basedOn w:val="DefaultParagraphFont"/>
    <w:link w:val="CommentText"/>
    <w:uiPriority w:val="99"/>
    <w:rsid w:val="00D33AE3"/>
    <w:rPr>
      <w:sz w:val="20"/>
      <w:szCs w:val="20"/>
    </w:rPr>
  </w:style>
  <w:style w:type="paragraph" w:styleId="BalloonText">
    <w:name w:val="Balloon Text"/>
    <w:basedOn w:val="Normal"/>
    <w:link w:val="BalloonTextChar"/>
    <w:uiPriority w:val="99"/>
    <w:semiHidden/>
    <w:unhideWhenUsed/>
    <w:rsid w:val="00D33A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AE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0554F"/>
    <w:rPr>
      <w:b/>
      <w:bCs/>
    </w:rPr>
  </w:style>
  <w:style w:type="character" w:customStyle="1" w:styleId="CommentSubjectChar">
    <w:name w:val="Comment Subject Char"/>
    <w:basedOn w:val="CommentTextChar"/>
    <w:link w:val="CommentSubject"/>
    <w:uiPriority w:val="99"/>
    <w:semiHidden/>
    <w:rsid w:val="0070554F"/>
    <w:rPr>
      <w:b/>
      <w:bCs/>
      <w:sz w:val="20"/>
      <w:szCs w:val="20"/>
    </w:rPr>
  </w:style>
  <w:style w:type="paragraph" w:styleId="ListParagraph">
    <w:name w:val="List Paragraph"/>
    <w:basedOn w:val="Normal"/>
    <w:uiPriority w:val="34"/>
    <w:qFormat/>
    <w:rsid w:val="008861AB"/>
    <w:pPr>
      <w:ind w:left="720"/>
      <w:contextualSpacing/>
    </w:pPr>
  </w:style>
  <w:style w:type="paragraph" w:styleId="PlainText">
    <w:name w:val="Plain Text"/>
    <w:basedOn w:val="Normal"/>
    <w:link w:val="PlainTextChar"/>
    <w:uiPriority w:val="99"/>
    <w:unhideWhenUsed/>
    <w:rsid w:val="007F0E10"/>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7F0E10"/>
    <w:rPr>
      <w:rFonts w:ascii="Consolas" w:eastAsia="Calibri" w:hAnsi="Consolas" w:cs="Times New Roman"/>
    </w:rPr>
  </w:style>
  <w:style w:type="paragraph" w:customStyle="1" w:styleId="H4">
    <w:name w:val="H4"/>
    <w:basedOn w:val="Normal"/>
    <w:rsid w:val="008655A7"/>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rPr>
  </w:style>
  <w:style w:type="table" w:styleId="TableGrid">
    <w:name w:val="Table Grid"/>
    <w:basedOn w:val="TableNormal"/>
    <w:uiPriority w:val="59"/>
    <w:rsid w:val="00AA2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
    <w:name w:val="List Table 1 Light"/>
    <w:basedOn w:val="TableNormal"/>
    <w:uiPriority w:val="46"/>
    <w:rsid w:val="00AA2C6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6CF2E8-9484-4402-8B64-6391D1A7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2626</Words>
  <Characters>14970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SYSTEM</cp:lastModifiedBy>
  <cp:revision>2</cp:revision>
  <cp:lastPrinted>2017-08-07T13:30:00Z</cp:lastPrinted>
  <dcterms:created xsi:type="dcterms:W3CDTF">2017-11-09T14:41:00Z</dcterms:created>
  <dcterms:modified xsi:type="dcterms:W3CDTF">2017-11-09T14:41:00Z</dcterms:modified>
</cp:coreProperties>
</file>