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D428F" w14:textId="77777777" w:rsidR="002578CE" w:rsidRDefault="009D5254" w:rsidP="009D5254">
      <w:pPr>
        <w:pStyle w:val="NoSpacing"/>
        <w:jc w:val="center"/>
      </w:pPr>
      <w:bookmarkStart w:id="0" w:name="_GoBack"/>
      <w:bookmarkEnd w:id="0"/>
      <w:r>
        <w:rPr>
          <w:b/>
        </w:rPr>
        <w:t>JUSTIFICATION FOR NONMATERIAL/NONSUBSTATNIVE CHANGE</w:t>
      </w:r>
    </w:p>
    <w:p w14:paraId="70AD4290" w14:textId="6DD0D238" w:rsidR="009D5254" w:rsidRDefault="001671D4" w:rsidP="009D5254">
      <w:pPr>
        <w:pStyle w:val="NoSpacing"/>
        <w:jc w:val="center"/>
        <w:rPr>
          <w:b/>
        </w:rPr>
      </w:pPr>
      <w:r>
        <w:rPr>
          <w:b/>
        </w:rPr>
        <w:t>Recording Assignments</w:t>
      </w:r>
    </w:p>
    <w:p w14:paraId="70AD4291" w14:textId="234D4CDF" w:rsidR="009D5254" w:rsidRDefault="001671D4" w:rsidP="009D5254">
      <w:pPr>
        <w:pStyle w:val="NoSpacing"/>
        <w:jc w:val="center"/>
      </w:pPr>
      <w:r>
        <w:rPr>
          <w:b/>
        </w:rPr>
        <w:t>OMB Control Number 0651-0027</w:t>
      </w:r>
    </w:p>
    <w:p w14:paraId="70AD4292" w14:textId="77777777" w:rsidR="009D5254" w:rsidRDefault="009D5254" w:rsidP="009D5254">
      <w:pPr>
        <w:pStyle w:val="NoSpacing"/>
      </w:pPr>
    </w:p>
    <w:p w14:paraId="70AD4293" w14:textId="77777777" w:rsidR="009D5254" w:rsidRDefault="009D5254" w:rsidP="009D5254">
      <w:pPr>
        <w:pStyle w:val="NoSpacing"/>
        <w:rPr>
          <w:rFonts w:cs="Arial"/>
          <w:u w:val="single"/>
        </w:rPr>
      </w:pPr>
      <w:r>
        <w:rPr>
          <w:rFonts w:cs="Arial"/>
          <w:u w:val="single"/>
        </w:rPr>
        <w:t>Background</w:t>
      </w:r>
    </w:p>
    <w:p w14:paraId="70AD4294" w14:textId="77777777" w:rsidR="009D5254" w:rsidRDefault="009D5254" w:rsidP="009D5254">
      <w:pPr>
        <w:pStyle w:val="NoSpacing"/>
        <w:jc w:val="both"/>
        <w:rPr>
          <w:rFonts w:cs="Arial"/>
        </w:rPr>
      </w:pPr>
    </w:p>
    <w:p w14:paraId="70AD4295" w14:textId="77777777" w:rsidR="009D5254" w:rsidRDefault="009D5254" w:rsidP="009D5254">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70AD4296" w14:textId="77777777" w:rsidR="009D5254" w:rsidRDefault="009D5254" w:rsidP="009D5254">
      <w:pPr>
        <w:pStyle w:val="NoSpacing"/>
        <w:jc w:val="both"/>
        <w:rPr>
          <w:rFonts w:cs="Arial"/>
        </w:rPr>
      </w:pPr>
    </w:p>
    <w:p w14:paraId="5508FA8B" w14:textId="4C880F95" w:rsidR="00824B9B" w:rsidRPr="00824B9B" w:rsidRDefault="009D5254" w:rsidP="00824B9B">
      <w:pPr>
        <w:pStyle w:val="NoSpacing"/>
        <w:jc w:val="both"/>
        <w:rPr>
          <w:rFonts w:cs="Arial"/>
        </w:rPr>
      </w:pPr>
      <w:r>
        <w:rPr>
          <w:rFonts w:cs="Arial"/>
        </w:rPr>
        <w:t xml:space="preserve">The request is to update </w:t>
      </w:r>
      <w:r w:rsidR="00824B9B">
        <w:rPr>
          <w:rFonts w:cs="Arial"/>
        </w:rPr>
        <w:t>a fee (</w:t>
      </w:r>
      <w:r w:rsidR="00824B9B" w:rsidRPr="00824B9B">
        <w:rPr>
          <w:rFonts w:cs="Arial"/>
        </w:rPr>
        <w:t>Recording Eac</w:t>
      </w:r>
      <w:r w:rsidR="00824B9B">
        <w:rPr>
          <w:rFonts w:cs="Arial"/>
        </w:rPr>
        <w:t xml:space="preserve">h Patent Assignment, Agreement </w:t>
      </w:r>
      <w:r w:rsidR="00824B9B" w:rsidRPr="00824B9B">
        <w:rPr>
          <w:rFonts w:cs="Arial"/>
        </w:rPr>
        <w:t>or Other Paper, per Property if not Submitted Electronically</w:t>
      </w:r>
      <w:r w:rsidR="00824B9B">
        <w:rPr>
          <w:rFonts w:cs="Arial"/>
        </w:rPr>
        <w:t>)</w:t>
      </w:r>
      <w:r>
        <w:rPr>
          <w:rFonts w:cs="Arial"/>
        </w:rPr>
        <w:t xml:space="preserve"> attached to this collection that </w:t>
      </w:r>
      <w:r w:rsidR="00824B9B" w:rsidRPr="00824B9B">
        <w:rPr>
          <w:rFonts w:cs="Arial"/>
        </w:rPr>
        <w:t xml:space="preserve">that is being updated as a result of the rulemaking action NPRM 0651-AD02. </w:t>
      </w:r>
    </w:p>
    <w:p w14:paraId="70AD429A" w14:textId="77777777" w:rsidR="002B0DD1" w:rsidRDefault="002B0DD1" w:rsidP="009D5254">
      <w:pPr>
        <w:pStyle w:val="NoSpacing"/>
        <w:jc w:val="both"/>
        <w:rPr>
          <w:rFonts w:cs="Arial"/>
        </w:rPr>
      </w:pPr>
    </w:p>
    <w:p w14:paraId="53A9D988" w14:textId="69C581BF" w:rsidR="002D6DAA" w:rsidRPr="002D6DAA" w:rsidRDefault="002D6DAA" w:rsidP="009D5254">
      <w:pPr>
        <w:pStyle w:val="NoSpacing"/>
        <w:jc w:val="both"/>
        <w:rPr>
          <w:rFonts w:cs="Arial"/>
          <w:b/>
        </w:rPr>
      </w:pPr>
      <w:r>
        <w:rPr>
          <w:rFonts w:cs="Arial"/>
          <w:b/>
        </w:rPr>
        <w:t>Table 1: Total Fee and Respondent Increases</w:t>
      </w:r>
    </w:p>
    <w:tbl>
      <w:tblPr>
        <w:tblStyle w:val="TableGrid"/>
        <w:tblW w:w="0" w:type="auto"/>
        <w:tblLook w:val="04A0" w:firstRow="1" w:lastRow="0" w:firstColumn="1" w:lastColumn="0" w:noHBand="0" w:noVBand="1"/>
      </w:tblPr>
      <w:tblGrid>
        <w:gridCol w:w="475"/>
        <w:gridCol w:w="5764"/>
        <w:gridCol w:w="1187"/>
        <w:gridCol w:w="551"/>
        <w:gridCol w:w="1599"/>
      </w:tblGrid>
      <w:tr w:rsidR="002D6DAA" w14:paraId="12D705E4" w14:textId="77777777" w:rsidTr="00AD63A3">
        <w:tc>
          <w:tcPr>
            <w:tcW w:w="0" w:type="auto"/>
            <w:vAlign w:val="center"/>
          </w:tcPr>
          <w:p w14:paraId="7412A64F" w14:textId="77777777" w:rsidR="002D6DAA" w:rsidRPr="001179E3" w:rsidRDefault="002D6DAA" w:rsidP="001B2077">
            <w:pPr>
              <w:pStyle w:val="NoSpacing"/>
              <w:jc w:val="center"/>
              <w:rPr>
                <w:b/>
              </w:rPr>
            </w:pPr>
            <w:r>
              <w:rPr>
                <w:b/>
              </w:rPr>
              <w:t>IC #</w:t>
            </w:r>
          </w:p>
        </w:tc>
        <w:tc>
          <w:tcPr>
            <w:tcW w:w="0" w:type="auto"/>
            <w:vAlign w:val="center"/>
          </w:tcPr>
          <w:p w14:paraId="0A83104D" w14:textId="77777777" w:rsidR="002D6DAA" w:rsidRPr="001179E3" w:rsidRDefault="002D6DAA" w:rsidP="001B2077">
            <w:pPr>
              <w:pStyle w:val="NoSpacing"/>
              <w:jc w:val="center"/>
              <w:rPr>
                <w:b/>
              </w:rPr>
            </w:pPr>
            <w:r>
              <w:rPr>
                <w:b/>
              </w:rPr>
              <w:t>Item</w:t>
            </w:r>
          </w:p>
        </w:tc>
        <w:tc>
          <w:tcPr>
            <w:tcW w:w="0" w:type="auto"/>
            <w:vAlign w:val="center"/>
          </w:tcPr>
          <w:p w14:paraId="61150727" w14:textId="620D17BC" w:rsidR="002D6DAA" w:rsidRPr="001179E3" w:rsidRDefault="002D6DAA" w:rsidP="001B2077">
            <w:pPr>
              <w:pStyle w:val="NoSpacing"/>
              <w:jc w:val="center"/>
              <w:rPr>
                <w:b/>
              </w:rPr>
            </w:pPr>
            <w:r>
              <w:rPr>
                <w:b/>
              </w:rPr>
              <w:t>Responses</w:t>
            </w:r>
          </w:p>
        </w:tc>
        <w:tc>
          <w:tcPr>
            <w:tcW w:w="0" w:type="auto"/>
            <w:vAlign w:val="center"/>
          </w:tcPr>
          <w:p w14:paraId="7EC0514F" w14:textId="2B5472AC" w:rsidR="002D6DAA" w:rsidRPr="001179E3" w:rsidRDefault="002D6DAA" w:rsidP="001B2077">
            <w:pPr>
              <w:pStyle w:val="NoSpacing"/>
              <w:jc w:val="center"/>
              <w:rPr>
                <w:b/>
              </w:rPr>
            </w:pPr>
            <w:r>
              <w:rPr>
                <w:b/>
              </w:rPr>
              <w:t>Fee</w:t>
            </w:r>
          </w:p>
        </w:tc>
        <w:tc>
          <w:tcPr>
            <w:tcW w:w="0" w:type="auto"/>
            <w:vAlign w:val="center"/>
          </w:tcPr>
          <w:p w14:paraId="32FC445A" w14:textId="61BFEF1F" w:rsidR="002D6DAA" w:rsidRPr="00D26274" w:rsidRDefault="002D6DAA" w:rsidP="001B2077">
            <w:pPr>
              <w:pStyle w:val="NoSpacing"/>
              <w:jc w:val="center"/>
              <w:rPr>
                <w:b/>
              </w:rPr>
            </w:pPr>
            <w:r>
              <w:rPr>
                <w:b/>
              </w:rPr>
              <w:t>Non-hour Burden ($)</w:t>
            </w:r>
          </w:p>
        </w:tc>
      </w:tr>
      <w:tr w:rsidR="002D6DAA" w14:paraId="1188ED0E" w14:textId="77777777" w:rsidTr="00AD63A3">
        <w:tc>
          <w:tcPr>
            <w:tcW w:w="0" w:type="auto"/>
            <w:vAlign w:val="center"/>
          </w:tcPr>
          <w:p w14:paraId="5E09C375" w14:textId="110AF8D6" w:rsidR="002D6DAA" w:rsidRDefault="00AD63A3" w:rsidP="001B2077">
            <w:pPr>
              <w:pStyle w:val="NoSpacing"/>
              <w:jc w:val="center"/>
            </w:pPr>
            <w:r>
              <w:t>1</w:t>
            </w:r>
          </w:p>
        </w:tc>
        <w:tc>
          <w:tcPr>
            <w:tcW w:w="0" w:type="auto"/>
            <w:vAlign w:val="center"/>
          </w:tcPr>
          <w:p w14:paraId="379C5238" w14:textId="670FBE86" w:rsidR="002D6DAA" w:rsidRDefault="00AD63A3" w:rsidP="001B2077">
            <w:pPr>
              <w:pStyle w:val="NoSpacing"/>
            </w:pPr>
            <w:r>
              <w:t>Recording Each Patent Assignment, Agreement  or Other Paper, per Property if not Submitted Electronically</w:t>
            </w:r>
          </w:p>
        </w:tc>
        <w:tc>
          <w:tcPr>
            <w:tcW w:w="0" w:type="auto"/>
            <w:vAlign w:val="center"/>
          </w:tcPr>
          <w:p w14:paraId="030B0BB5" w14:textId="68E3E753" w:rsidR="002D6DAA" w:rsidRDefault="00AD63A3" w:rsidP="001B2077">
            <w:pPr>
              <w:pStyle w:val="NoSpacing"/>
              <w:jc w:val="right"/>
            </w:pPr>
            <w:commentRangeStart w:id="1"/>
            <w:r>
              <w:t>9,649</w:t>
            </w:r>
            <w:commentRangeEnd w:id="1"/>
            <w:r>
              <w:rPr>
                <w:rStyle w:val="CommentReference"/>
              </w:rPr>
              <w:commentReference w:id="1"/>
            </w:r>
          </w:p>
        </w:tc>
        <w:tc>
          <w:tcPr>
            <w:tcW w:w="0" w:type="auto"/>
            <w:vAlign w:val="center"/>
          </w:tcPr>
          <w:p w14:paraId="59CCDEAB" w14:textId="5DC76BDC" w:rsidR="002D6DAA" w:rsidRDefault="00AD63A3" w:rsidP="001B2077">
            <w:pPr>
              <w:pStyle w:val="NoSpacing"/>
              <w:jc w:val="right"/>
            </w:pPr>
            <w:r>
              <w:t>$50</w:t>
            </w:r>
          </w:p>
        </w:tc>
        <w:tc>
          <w:tcPr>
            <w:tcW w:w="0" w:type="auto"/>
            <w:vAlign w:val="center"/>
          </w:tcPr>
          <w:p w14:paraId="23871DA4" w14:textId="4681AC44" w:rsidR="002D6DAA" w:rsidRDefault="00AD63A3" w:rsidP="001B2077">
            <w:pPr>
              <w:pStyle w:val="NoSpacing"/>
              <w:jc w:val="right"/>
            </w:pPr>
            <w:r>
              <w:t>$482,450</w:t>
            </w:r>
          </w:p>
        </w:tc>
      </w:tr>
    </w:tbl>
    <w:p w14:paraId="360B060E" w14:textId="77777777" w:rsidR="002D6DAA" w:rsidRDefault="002D6DAA" w:rsidP="009D5254">
      <w:pPr>
        <w:pStyle w:val="NoSpacing"/>
        <w:jc w:val="both"/>
        <w:rPr>
          <w:rFonts w:cs="Arial"/>
        </w:rPr>
      </w:pPr>
    </w:p>
    <w:p w14:paraId="70AD429B" w14:textId="1BD412DC" w:rsidR="009D5254" w:rsidRDefault="002D6DAA" w:rsidP="009D5254">
      <w:pPr>
        <w:pStyle w:val="NoSpacing"/>
        <w:jc w:val="both"/>
        <w:rPr>
          <w:rFonts w:cs="Arial"/>
        </w:rPr>
      </w:pPr>
      <w:r>
        <w:rPr>
          <w:rFonts w:cs="Arial"/>
          <w:b/>
        </w:rPr>
        <w:t>Table 2: Increases in Fee Amounts</w:t>
      </w:r>
    </w:p>
    <w:tbl>
      <w:tblPr>
        <w:tblStyle w:val="TableGrid"/>
        <w:tblW w:w="0" w:type="auto"/>
        <w:tblInd w:w="18" w:type="dxa"/>
        <w:tblLook w:val="04A0" w:firstRow="1" w:lastRow="0" w:firstColumn="1" w:lastColumn="0" w:noHBand="0" w:noVBand="1"/>
      </w:tblPr>
      <w:tblGrid>
        <w:gridCol w:w="470"/>
        <w:gridCol w:w="5561"/>
        <w:gridCol w:w="1096"/>
        <w:gridCol w:w="1266"/>
        <w:gridCol w:w="1165"/>
      </w:tblGrid>
      <w:tr w:rsidR="00FF4C62" w14:paraId="70AD42A1" w14:textId="77777777" w:rsidTr="00AD63A3">
        <w:tc>
          <w:tcPr>
            <w:tcW w:w="0" w:type="auto"/>
          </w:tcPr>
          <w:p w14:paraId="70AD429C" w14:textId="77777777" w:rsidR="00FF4C62" w:rsidRPr="005A2703" w:rsidRDefault="00FF4C62" w:rsidP="005456D0">
            <w:pPr>
              <w:pStyle w:val="NoSpacing"/>
              <w:jc w:val="center"/>
              <w:rPr>
                <w:b/>
              </w:rPr>
            </w:pPr>
            <w:r>
              <w:rPr>
                <w:b/>
              </w:rPr>
              <w:t>IC #</w:t>
            </w:r>
          </w:p>
        </w:tc>
        <w:tc>
          <w:tcPr>
            <w:tcW w:w="0" w:type="auto"/>
          </w:tcPr>
          <w:p w14:paraId="70AD429D" w14:textId="77777777" w:rsidR="00FF4C62" w:rsidRPr="005A2703" w:rsidRDefault="00FF4C62" w:rsidP="005456D0">
            <w:pPr>
              <w:pStyle w:val="NoSpacing"/>
              <w:jc w:val="center"/>
              <w:rPr>
                <w:b/>
              </w:rPr>
            </w:pPr>
            <w:r>
              <w:rPr>
                <w:b/>
              </w:rPr>
              <w:t>Item</w:t>
            </w:r>
          </w:p>
        </w:tc>
        <w:tc>
          <w:tcPr>
            <w:tcW w:w="0" w:type="auto"/>
          </w:tcPr>
          <w:p w14:paraId="70AD429E" w14:textId="77777777" w:rsidR="00FF4C62" w:rsidRPr="005A2703" w:rsidRDefault="00FF4C62" w:rsidP="005456D0">
            <w:pPr>
              <w:pStyle w:val="NoSpacing"/>
              <w:jc w:val="center"/>
              <w:rPr>
                <w:b/>
              </w:rPr>
            </w:pPr>
            <w:r>
              <w:rPr>
                <w:b/>
              </w:rPr>
              <w:t>Current Fee</w:t>
            </w:r>
          </w:p>
        </w:tc>
        <w:tc>
          <w:tcPr>
            <w:tcW w:w="0" w:type="auto"/>
          </w:tcPr>
          <w:p w14:paraId="70AD429F" w14:textId="77777777" w:rsidR="00FF4C62" w:rsidRPr="005A2703" w:rsidRDefault="00FF4C62" w:rsidP="005456D0">
            <w:pPr>
              <w:pStyle w:val="NoSpacing"/>
              <w:jc w:val="center"/>
              <w:rPr>
                <w:b/>
              </w:rPr>
            </w:pPr>
            <w:r>
              <w:rPr>
                <w:b/>
              </w:rPr>
              <w:t>Proposed Fee</w:t>
            </w:r>
          </w:p>
        </w:tc>
        <w:tc>
          <w:tcPr>
            <w:tcW w:w="0" w:type="auto"/>
          </w:tcPr>
          <w:p w14:paraId="70AD42A0" w14:textId="77BA8245" w:rsidR="00FF4C62" w:rsidRPr="005A2703" w:rsidRDefault="00FF4C62" w:rsidP="00AD63A3">
            <w:pPr>
              <w:pStyle w:val="NoSpacing"/>
              <w:jc w:val="center"/>
              <w:rPr>
                <w:b/>
              </w:rPr>
            </w:pPr>
            <w:r>
              <w:rPr>
                <w:b/>
              </w:rPr>
              <w:t>Fee Increase</w:t>
            </w:r>
          </w:p>
        </w:tc>
      </w:tr>
      <w:tr w:rsidR="00FF4C62" w14:paraId="70AD42F6" w14:textId="77777777" w:rsidTr="00AD63A3">
        <w:tc>
          <w:tcPr>
            <w:tcW w:w="0" w:type="auto"/>
            <w:vAlign w:val="center"/>
          </w:tcPr>
          <w:p w14:paraId="70AD42EC" w14:textId="1786E8C2" w:rsidR="00FF4C62" w:rsidRDefault="00AD63A3" w:rsidP="00CC2F9D">
            <w:pPr>
              <w:pStyle w:val="NoSpacing"/>
              <w:jc w:val="center"/>
            </w:pPr>
            <w:r>
              <w:t>1</w:t>
            </w:r>
          </w:p>
        </w:tc>
        <w:tc>
          <w:tcPr>
            <w:tcW w:w="0" w:type="auto"/>
            <w:vAlign w:val="center"/>
          </w:tcPr>
          <w:p w14:paraId="70AD42ED" w14:textId="453DE880" w:rsidR="00FF4C62" w:rsidRDefault="00AD63A3" w:rsidP="00CC2F9D">
            <w:pPr>
              <w:pStyle w:val="NoSpacing"/>
            </w:pPr>
            <w:r w:rsidRPr="00AD63A3">
              <w:t>Recording Each Patent Assignment, Agreement  or Other Paper, per Property if not Submitted Electronically</w:t>
            </w:r>
          </w:p>
        </w:tc>
        <w:tc>
          <w:tcPr>
            <w:tcW w:w="0" w:type="auto"/>
            <w:vAlign w:val="center"/>
          </w:tcPr>
          <w:p w14:paraId="70AD42F0" w14:textId="41FEEDF2" w:rsidR="00FF4C62" w:rsidRDefault="00AD63A3" w:rsidP="00505E20">
            <w:pPr>
              <w:pStyle w:val="NoSpacing"/>
              <w:jc w:val="center"/>
            </w:pPr>
            <w:r>
              <w:t xml:space="preserve">$40 </w:t>
            </w:r>
          </w:p>
        </w:tc>
        <w:tc>
          <w:tcPr>
            <w:tcW w:w="0" w:type="auto"/>
            <w:vAlign w:val="center"/>
          </w:tcPr>
          <w:p w14:paraId="70AD42F2" w14:textId="41324E9F" w:rsidR="00FF4C62" w:rsidRDefault="00AD63A3" w:rsidP="00505E20">
            <w:pPr>
              <w:pStyle w:val="NoSpacing"/>
              <w:jc w:val="center"/>
            </w:pPr>
            <w:r>
              <w:t>$50</w:t>
            </w:r>
          </w:p>
        </w:tc>
        <w:tc>
          <w:tcPr>
            <w:tcW w:w="0" w:type="auto"/>
            <w:vAlign w:val="center"/>
          </w:tcPr>
          <w:p w14:paraId="70AD42F5" w14:textId="1EF3FBAE" w:rsidR="00FF4C62" w:rsidRDefault="00AD63A3" w:rsidP="00CC2F9D">
            <w:pPr>
              <w:pStyle w:val="NoSpacing"/>
              <w:jc w:val="center"/>
            </w:pPr>
            <w:r>
              <w:t>$10</w:t>
            </w:r>
          </w:p>
        </w:tc>
      </w:tr>
    </w:tbl>
    <w:p w14:paraId="70AD4358" w14:textId="77777777" w:rsidR="009D5254" w:rsidRDefault="009D5254" w:rsidP="009D5254">
      <w:pPr>
        <w:pStyle w:val="NoSpacing"/>
      </w:pPr>
    </w:p>
    <w:p w14:paraId="625EF2AD" w14:textId="27FE102D" w:rsidR="002D6DAA" w:rsidRPr="007D45AF" w:rsidRDefault="007D45AF" w:rsidP="009D5254">
      <w:pPr>
        <w:pStyle w:val="NoSpacing"/>
      </w:pPr>
      <w:r>
        <w:rPr>
          <w:b/>
        </w:rPr>
        <w:t xml:space="preserve">Table 3: </w:t>
      </w:r>
      <w:r w:rsidR="002D6DAA">
        <w:rPr>
          <w:b/>
        </w:rPr>
        <w:t>Increases in Non-Hourly Costs (Fees)</w:t>
      </w:r>
    </w:p>
    <w:tbl>
      <w:tblPr>
        <w:tblStyle w:val="TableGrid"/>
        <w:tblW w:w="0" w:type="auto"/>
        <w:tblLook w:val="04A0" w:firstRow="1" w:lastRow="0" w:firstColumn="1" w:lastColumn="0" w:noHBand="0" w:noVBand="1"/>
      </w:tblPr>
      <w:tblGrid>
        <w:gridCol w:w="455"/>
        <w:gridCol w:w="4728"/>
        <w:gridCol w:w="1409"/>
        <w:gridCol w:w="1580"/>
        <w:gridCol w:w="1404"/>
      </w:tblGrid>
      <w:tr w:rsidR="002D6DAA" w14:paraId="4CA03159" w14:textId="77777777" w:rsidTr="00AD63A3">
        <w:tc>
          <w:tcPr>
            <w:tcW w:w="0" w:type="auto"/>
            <w:vAlign w:val="center"/>
          </w:tcPr>
          <w:p w14:paraId="3CD8292E" w14:textId="3B534B3E" w:rsidR="002D6DAA" w:rsidRPr="002D6DAA" w:rsidRDefault="002D6DAA" w:rsidP="001B2077">
            <w:pPr>
              <w:pStyle w:val="NoSpacing"/>
              <w:jc w:val="center"/>
              <w:rPr>
                <w:b/>
              </w:rPr>
            </w:pPr>
            <w:r>
              <w:rPr>
                <w:b/>
              </w:rPr>
              <w:t>IC #</w:t>
            </w:r>
          </w:p>
        </w:tc>
        <w:tc>
          <w:tcPr>
            <w:tcW w:w="0" w:type="auto"/>
            <w:vAlign w:val="center"/>
          </w:tcPr>
          <w:p w14:paraId="4BB0905E" w14:textId="057A66D0" w:rsidR="002D6DAA" w:rsidRPr="002D6DAA" w:rsidRDefault="002D6DAA" w:rsidP="001B2077">
            <w:pPr>
              <w:pStyle w:val="NoSpacing"/>
              <w:jc w:val="center"/>
              <w:rPr>
                <w:b/>
              </w:rPr>
            </w:pPr>
            <w:r>
              <w:rPr>
                <w:b/>
              </w:rPr>
              <w:t>Item</w:t>
            </w:r>
          </w:p>
        </w:tc>
        <w:tc>
          <w:tcPr>
            <w:tcW w:w="0" w:type="auto"/>
            <w:vAlign w:val="center"/>
          </w:tcPr>
          <w:p w14:paraId="4F9F4B00" w14:textId="43C6F282" w:rsidR="002D6DAA" w:rsidRPr="002D6DAA" w:rsidRDefault="002D6DAA" w:rsidP="001B2077">
            <w:pPr>
              <w:pStyle w:val="NoSpacing"/>
              <w:jc w:val="center"/>
              <w:rPr>
                <w:b/>
              </w:rPr>
            </w:pPr>
            <w:r>
              <w:rPr>
                <w:b/>
              </w:rPr>
              <w:t>Current Total Cost ($)</w:t>
            </w:r>
          </w:p>
        </w:tc>
        <w:tc>
          <w:tcPr>
            <w:tcW w:w="0" w:type="auto"/>
            <w:vAlign w:val="center"/>
          </w:tcPr>
          <w:p w14:paraId="2D0D2B93" w14:textId="425240DD" w:rsidR="002D6DAA" w:rsidRPr="002D6DAA" w:rsidRDefault="002D6DAA" w:rsidP="001B2077">
            <w:pPr>
              <w:pStyle w:val="NoSpacing"/>
              <w:jc w:val="center"/>
              <w:rPr>
                <w:b/>
              </w:rPr>
            </w:pPr>
            <w:r>
              <w:rPr>
                <w:b/>
              </w:rPr>
              <w:t>Proposed Total Cost ($)</w:t>
            </w:r>
          </w:p>
        </w:tc>
        <w:tc>
          <w:tcPr>
            <w:tcW w:w="0" w:type="auto"/>
            <w:vAlign w:val="center"/>
          </w:tcPr>
          <w:p w14:paraId="6D4D6172" w14:textId="688F3DBE" w:rsidR="002D6DAA" w:rsidRPr="002D6DAA" w:rsidRDefault="002D6DAA" w:rsidP="001B2077">
            <w:pPr>
              <w:pStyle w:val="NoSpacing"/>
              <w:jc w:val="center"/>
              <w:rPr>
                <w:b/>
              </w:rPr>
            </w:pPr>
            <w:r>
              <w:rPr>
                <w:b/>
              </w:rPr>
              <w:t>Total Cost Increase</w:t>
            </w:r>
          </w:p>
        </w:tc>
      </w:tr>
      <w:tr w:rsidR="007D45AF" w14:paraId="0F1A7802" w14:textId="77777777" w:rsidTr="00AD63A3">
        <w:tc>
          <w:tcPr>
            <w:tcW w:w="0" w:type="auto"/>
            <w:vAlign w:val="center"/>
          </w:tcPr>
          <w:p w14:paraId="38920291" w14:textId="1B4572C6" w:rsidR="007D45AF" w:rsidRDefault="00AD63A3" w:rsidP="001B2077">
            <w:pPr>
              <w:pStyle w:val="NoSpacing"/>
              <w:jc w:val="center"/>
            </w:pPr>
            <w:r>
              <w:t>1</w:t>
            </w:r>
          </w:p>
        </w:tc>
        <w:tc>
          <w:tcPr>
            <w:tcW w:w="0" w:type="auto"/>
            <w:vAlign w:val="center"/>
          </w:tcPr>
          <w:p w14:paraId="54794958" w14:textId="50309CBD" w:rsidR="007D45AF" w:rsidRDefault="00AD63A3" w:rsidP="001B2077">
            <w:pPr>
              <w:pStyle w:val="NoSpacing"/>
            </w:pPr>
            <w:r w:rsidRPr="00AD63A3">
              <w:t>Recording Each Patent Assignment, Agreement  or Other Paper, per Property if not Submitted Electronically</w:t>
            </w:r>
          </w:p>
        </w:tc>
        <w:tc>
          <w:tcPr>
            <w:tcW w:w="0" w:type="auto"/>
            <w:vAlign w:val="center"/>
          </w:tcPr>
          <w:p w14:paraId="4BFF988C" w14:textId="17A43B52" w:rsidR="007D45AF" w:rsidRDefault="00AD63A3" w:rsidP="00596C98">
            <w:pPr>
              <w:pStyle w:val="NoSpacing"/>
              <w:jc w:val="right"/>
            </w:pPr>
            <w:r>
              <w:t>$0</w:t>
            </w:r>
          </w:p>
        </w:tc>
        <w:tc>
          <w:tcPr>
            <w:tcW w:w="0" w:type="auto"/>
            <w:vAlign w:val="center"/>
          </w:tcPr>
          <w:p w14:paraId="278C1C0F" w14:textId="7F148908" w:rsidR="007D45AF" w:rsidRDefault="00AD63A3" w:rsidP="00596C98">
            <w:pPr>
              <w:pStyle w:val="NoSpacing"/>
              <w:jc w:val="right"/>
            </w:pPr>
            <w:r>
              <w:t>$482,450</w:t>
            </w:r>
          </w:p>
        </w:tc>
        <w:tc>
          <w:tcPr>
            <w:tcW w:w="0" w:type="auto"/>
            <w:vAlign w:val="center"/>
          </w:tcPr>
          <w:p w14:paraId="451D4630" w14:textId="128478A2" w:rsidR="007D45AF" w:rsidRDefault="00AD63A3" w:rsidP="00596C98">
            <w:pPr>
              <w:pStyle w:val="NoSpacing"/>
              <w:jc w:val="right"/>
            </w:pPr>
            <w:r>
              <w:t>$482,450</w:t>
            </w:r>
          </w:p>
        </w:tc>
      </w:tr>
    </w:tbl>
    <w:p w14:paraId="6F90C5BD" w14:textId="77777777" w:rsidR="002D6DAA" w:rsidRDefault="002D6DAA" w:rsidP="00AD63A3">
      <w:pPr>
        <w:pStyle w:val="NoSpacing"/>
        <w:jc w:val="center"/>
      </w:pPr>
    </w:p>
    <w:p w14:paraId="70AD43F9" w14:textId="77777777" w:rsidR="004248C6" w:rsidRDefault="004248C6" w:rsidP="004248C6">
      <w:pPr>
        <w:pStyle w:val="NoSpacing"/>
        <w:jc w:val="both"/>
        <w:rPr>
          <w:rFonts w:cs="Arial"/>
        </w:rPr>
      </w:pPr>
      <w:r>
        <w:rPr>
          <w:rFonts w:cs="Arial"/>
          <w:u w:val="single"/>
        </w:rPr>
        <w:t>Summary of Changes</w:t>
      </w:r>
    </w:p>
    <w:p w14:paraId="1D79038B" w14:textId="77777777" w:rsidR="006E2715" w:rsidRDefault="006E2715" w:rsidP="004248C6">
      <w:pPr>
        <w:pStyle w:val="NoSpacing"/>
        <w:jc w:val="both"/>
        <w:rPr>
          <w:rFonts w:cs="Arial"/>
        </w:rPr>
      </w:pPr>
    </w:p>
    <w:p w14:paraId="2483CFEB" w14:textId="26FFBD30" w:rsidR="00D47E06" w:rsidRDefault="00D47E06" w:rsidP="004248C6">
      <w:pPr>
        <w:pStyle w:val="NoSpacing"/>
        <w:jc w:val="both"/>
        <w:rPr>
          <w:rFonts w:cs="Arial"/>
        </w:rPr>
      </w:pPr>
      <w:r>
        <w:rPr>
          <w:rFonts w:cs="Arial"/>
        </w:rPr>
        <w:t xml:space="preserve">The revision of </w:t>
      </w:r>
      <w:r w:rsidR="00925FE4">
        <w:rPr>
          <w:rFonts w:cs="Arial"/>
        </w:rPr>
        <w:t>one</w:t>
      </w:r>
      <w:r>
        <w:rPr>
          <w:rFonts w:cs="Arial"/>
        </w:rPr>
        <w:t xml:space="preserve"> fee and the </w:t>
      </w:r>
      <w:r w:rsidR="00777555">
        <w:rPr>
          <w:rFonts w:cs="Arial"/>
        </w:rPr>
        <w:t>increase</w:t>
      </w:r>
      <w:r>
        <w:rPr>
          <w:rFonts w:cs="Arial"/>
        </w:rPr>
        <w:t xml:space="preserve"> of $</w:t>
      </w:r>
      <w:r w:rsidR="00AD63A3">
        <w:rPr>
          <w:rFonts w:cs="Arial"/>
        </w:rPr>
        <w:t>482,450</w:t>
      </w:r>
      <w:r>
        <w:rPr>
          <w:rFonts w:cs="Arial"/>
        </w:rPr>
        <w:t xml:space="preserve"> in non-hour</w:t>
      </w:r>
      <w:r w:rsidR="001671D4">
        <w:rPr>
          <w:rFonts w:cs="Arial"/>
        </w:rPr>
        <w:t>ly costs to collection 0651-0027</w:t>
      </w:r>
      <w:r>
        <w:rPr>
          <w:rFonts w:cs="Arial"/>
        </w:rPr>
        <w:t xml:space="preserve"> account for the changes follow</w:t>
      </w:r>
      <w:r w:rsidR="001671D4">
        <w:rPr>
          <w:rFonts w:cs="Arial"/>
        </w:rPr>
        <w:t xml:space="preserve">ing the rulemaking action NPRM </w:t>
      </w:r>
      <w:r>
        <w:rPr>
          <w:rFonts w:cs="Arial"/>
        </w:rPr>
        <w:t>0651-AD02.</w:t>
      </w:r>
    </w:p>
    <w:p w14:paraId="6FCC2D81" w14:textId="77777777" w:rsidR="00D47E06" w:rsidRDefault="00D47E06" w:rsidP="004248C6">
      <w:pPr>
        <w:pStyle w:val="NoSpacing"/>
        <w:jc w:val="both"/>
        <w:rPr>
          <w:rFonts w:cs="Arial"/>
        </w:rPr>
      </w:pPr>
    </w:p>
    <w:p w14:paraId="70AD43FB" w14:textId="77777777" w:rsidR="004248C6" w:rsidRPr="00225708" w:rsidRDefault="004248C6" w:rsidP="004248C6">
      <w:pPr>
        <w:pStyle w:val="NoSpacing"/>
        <w:jc w:val="both"/>
        <w:rPr>
          <w:rFonts w:cs="Arial"/>
        </w:rPr>
      </w:pPr>
      <w:r>
        <w:rPr>
          <w:rFonts w:cs="Arial"/>
          <w:u w:val="single"/>
        </w:rPr>
        <w:t>Changes in Burden</w:t>
      </w:r>
    </w:p>
    <w:p w14:paraId="70AD43FC" w14:textId="77777777" w:rsidR="004248C6" w:rsidRDefault="004248C6" w:rsidP="009D5254">
      <w:pPr>
        <w:pStyle w:val="NoSpacing"/>
      </w:pPr>
    </w:p>
    <w:tbl>
      <w:tblPr>
        <w:tblStyle w:val="TableGrid"/>
        <w:tblW w:w="0" w:type="auto"/>
        <w:tblLook w:val="04A0" w:firstRow="1" w:lastRow="0" w:firstColumn="1" w:lastColumn="0" w:noHBand="0" w:noVBand="1"/>
      </w:tblPr>
      <w:tblGrid>
        <w:gridCol w:w="2394"/>
        <w:gridCol w:w="2394"/>
        <w:gridCol w:w="2394"/>
        <w:gridCol w:w="2394"/>
      </w:tblGrid>
      <w:tr w:rsidR="00D47E06" w14:paraId="2498706C" w14:textId="77777777" w:rsidTr="00D47E06">
        <w:tc>
          <w:tcPr>
            <w:tcW w:w="2394" w:type="dxa"/>
            <w:vAlign w:val="center"/>
          </w:tcPr>
          <w:p w14:paraId="045C99CD" w14:textId="74ABEC65" w:rsidR="00D47E06" w:rsidRPr="00D47E06" w:rsidRDefault="00D47E06" w:rsidP="00D47E06">
            <w:pPr>
              <w:pStyle w:val="NoSpacing"/>
              <w:jc w:val="center"/>
              <w:rPr>
                <w:b/>
              </w:rPr>
            </w:pPr>
            <w:r>
              <w:rPr>
                <w:b/>
              </w:rPr>
              <w:t>Burden Type</w:t>
            </w:r>
          </w:p>
        </w:tc>
        <w:tc>
          <w:tcPr>
            <w:tcW w:w="2394" w:type="dxa"/>
            <w:vAlign w:val="center"/>
          </w:tcPr>
          <w:p w14:paraId="6F8509F0" w14:textId="0298CB57" w:rsidR="00D47E06" w:rsidRPr="00D47E06" w:rsidRDefault="00D47E06" w:rsidP="00D47E06">
            <w:pPr>
              <w:pStyle w:val="NoSpacing"/>
              <w:jc w:val="center"/>
              <w:rPr>
                <w:b/>
              </w:rPr>
            </w:pPr>
            <w:r>
              <w:rPr>
                <w:b/>
              </w:rPr>
              <w:t>Currently Approved</w:t>
            </w:r>
          </w:p>
        </w:tc>
        <w:tc>
          <w:tcPr>
            <w:tcW w:w="2394" w:type="dxa"/>
            <w:vAlign w:val="center"/>
          </w:tcPr>
          <w:p w14:paraId="5DDB2C6E" w14:textId="3ED39ADA" w:rsidR="00D47E06" w:rsidRPr="00D47E06" w:rsidRDefault="00D47E06" w:rsidP="00D47E06">
            <w:pPr>
              <w:pStyle w:val="NoSpacing"/>
              <w:jc w:val="center"/>
              <w:rPr>
                <w:b/>
              </w:rPr>
            </w:pPr>
            <w:r>
              <w:rPr>
                <w:b/>
              </w:rPr>
              <w:t xml:space="preserve">Proposed Change </w:t>
            </w:r>
          </w:p>
        </w:tc>
        <w:tc>
          <w:tcPr>
            <w:tcW w:w="2394" w:type="dxa"/>
            <w:vAlign w:val="center"/>
          </w:tcPr>
          <w:p w14:paraId="3C4455B2" w14:textId="56E87755" w:rsidR="00D47E06" w:rsidRPr="00D47E06" w:rsidRDefault="00D47E06" w:rsidP="00D47E06">
            <w:pPr>
              <w:pStyle w:val="NoSpacing"/>
              <w:jc w:val="center"/>
              <w:rPr>
                <w:b/>
              </w:rPr>
            </w:pPr>
            <w:r>
              <w:rPr>
                <w:b/>
              </w:rPr>
              <w:t>New Estimate</w:t>
            </w:r>
          </w:p>
        </w:tc>
      </w:tr>
      <w:tr w:rsidR="00D47E06" w14:paraId="640A27F6" w14:textId="77777777" w:rsidTr="00D47E06">
        <w:tc>
          <w:tcPr>
            <w:tcW w:w="2394" w:type="dxa"/>
            <w:vAlign w:val="center"/>
          </w:tcPr>
          <w:p w14:paraId="5B785D3A" w14:textId="6B3F074C" w:rsidR="00D47E06" w:rsidRDefault="00AD63A3" w:rsidP="00D47E06">
            <w:pPr>
              <w:pStyle w:val="NoSpacing"/>
            </w:pPr>
            <w:r>
              <w:t>Responses</w:t>
            </w:r>
          </w:p>
        </w:tc>
        <w:tc>
          <w:tcPr>
            <w:tcW w:w="2394" w:type="dxa"/>
            <w:vAlign w:val="center"/>
          </w:tcPr>
          <w:p w14:paraId="339D5436" w14:textId="5B72C797" w:rsidR="00D47E06" w:rsidRDefault="00AD63A3" w:rsidP="00D47E06">
            <w:pPr>
              <w:pStyle w:val="NoSpacing"/>
              <w:jc w:val="right"/>
            </w:pPr>
            <w:r>
              <w:t>524,298</w:t>
            </w:r>
          </w:p>
        </w:tc>
        <w:tc>
          <w:tcPr>
            <w:tcW w:w="2394" w:type="dxa"/>
            <w:vAlign w:val="center"/>
          </w:tcPr>
          <w:p w14:paraId="35B462CD" w14:textId="37D2D927" w:rsidR="00D47E06" w:rsidRDefault="00AA17E4" w:rsidP="00D47E06">
            <w:pPr>
              <w:pStyle w:val="NoSpacing"/>
              <w:jc w:val="right"/>
            </w:pPr>
            <w:r>
              <w:t>0</w:t>
            </w:r>
          </w:p>
        </w:tc>
        <w:tc>
          <w:tcPr>
            <w:tcW w:w="2394" w:type="dxa"/>
            <w:vAlign w:val="center"/>
          </w:tcPr>
          <w:p w14:paraId="643F1B60" w14:textId="31888835" w:rsidR="00D47E06" w:rsidRDefault="00E542FB" w:rsidP="00D47E06">
            <w:pPr>
              <w:pStyle w:val="NoSpacing"/>
              <w:jc w:val="right"/>
            </w:pPr>
            <w:r w:rsidRPr="00E542FB">
              <w:t>524,298</w:t>
            </w:r>
          </w:p>
        </w:tc>
      </w:tr>
      <w:tr w:rsidR="001671D4" w14:paraId="2960CE56" w14:textId="77777777" w:rsidTr="00D47E06">
        <w:tc>
          <w:tcPr>
            <w:tcW w:w="2394" w:type="dxa"/>
            <w:vAlign w:val="center"/>
          </w:tcPr>
          <w:p w14:paraId="546A1C50" w14:textId="6C07EC7D" w:rsidR="001671D4" w:rsidRDefault="00AD63A3" w:rsidP="00D47E06">
            <w:pPr>
              <w:pStyle w:val="NoSpacing"/>
            </w:pPr>
            <w:r>
              <w:t>Burden Hours</w:t>
            </w:r>
          </w:p>
        </w:tc>
        <w:tc>
          <w:tcPr>
            <w:tcW w:w="2394" w:type="dxa"/>
            <w:vAlign w:val="center"/>
          </w:tcPr>
          <w:p w14:paraId="05CD1929" w14:textId="3020365B" w:rsidR="001671D4" w:rsidRDefault="00AD63A3" w:rsidP="00D47E06">
            <w:pPr>
              <w:pStyle w:val="NoSpacing"/>
              <w:jc w:val="right"/>
            </w:pPr>
            <w:r>
              <w:t>262,150</w:t>
            </w:r>
          </w:p>
        </w:tc>
        <w:tc>
          <w:tcPr>
            <w:tcW w:w="2394" w:type="dxa"/>
            <w:vAlign w:val="center"/>
          </w:tcPr>
          <w:p w14:paraId="284AE32F" w14:textId="7A10394A" w:rsidR="001671D4" w:rsidRDefault="00AD63A3" w:rsidP="00D47E06">
            <w:pPr>
              <w:pStyle w:val="NoSpacing"/>
              <w:jc w:val="right"/>
            </w:pPr>
            <w:r>
              <w:t>0</w:t>
            </w:r>
          </w:p>
        </w:tc>
        <w:tc>
          <w:tcPr>
            <w:tcW w:w="2394" w:type="dxa"/>
            <w:vAlign w:val="center"/>
          </w:tcPr>
          <w:p w14:paraId="5BFA38C5" w14:textId="3F69CC22" w:rsidR="001671D4" w:rsidRDefault="00AA17E4" w:rsidP="00D47E06">
            <w:pPr>
              <w:pStyle w:val="NoSpacing"/>
              <w:jc w:val="right"/>
            </w:pPr>
            <w:r>
              <w:t>262,150</w:t>
            </w:r>
          </w:p>
        </w:tc>
      </w:tr>
      <w:tr w:rsidR="001671D4" w14:paraId="2E73DD86" w14:textId="77777777" w:rsidTr="00D47E06">
        <w:tc>
          <w:tcPr>
            <w:tcW w:w="2394" w:type="dxa"/>
            <w:vAlign w:val="center"/>
          </w:tcPr>
          <w:p w14:paraId="65256949" w14:textId="0708573F" w:rsidR="001671D4" w:rsidRDefault="00AD63A3" w:rsidP="00D47E06">
            <w:pPr>
              <w:pStyle w:val="NoSpacing"/>
            </w:pPr>
            <w:r>
              <w:lastRenderedPageBreak/>
              <w:t>Non-hourly Cost</w:t>
            </w:r>
          </w:p>
        </w:tc>
        <w:tc>
          <w:tcPr>
            <w:tcW w:w="2394" w:type="dxa"/>
            <w:vAlign w:val="center"/>
          </w:tcPr>
          <w:p w14:paraId="674502FD" w14:textId="58C91B74" w:rsidR="001671D4" w:rsidRDefault="00AA17E4" w:rsidP="00D47E06">
            <w:pPr>
              <w:pStyle w:val="NoSpacing"/>
              <w:jc w:val="right"/>
            </w:pPr>
            <w:r>
              <w:t>$2,958,886.12</w:t>
            </w:r>
          </w:p>
        </w:tc>
        <w:tc>
          <w:tcPr>
            <w:tcW w:w="2394" w:type="dxa"/>
            <w:vAlign w:val="center"/>
          </w:tcPr>
          <w:p w14:paraId="5D908C35" w14:textId="0613FB0F" w:rsidR="001671D4" w:rsidRDefault="00AD63A3" w:rsidP="00D47E06">
            <w:pPr>
              <w:pStyle w:val="NoSpacing"/>
              <w:jc w:val="right"/>
            </w:pPr>
            <w:r>
              <w:t>$</w:t>
            </w:r>
            <w:r w:rsidRPr="00AD63A3">
              <w:t>482,450</w:t>
            </w:r>
          </w:p>
        </w:tc>
        <w:tc>
          <w:tcPr>
            <w:tcW w:w="2394" w:type="dxa"/>
            <w:vAlign w:val="center"/>
          </w:tcPr>
          <w:p w14:paraId="0D5FC777" w14:textId="0D038404" w:rsidR="001671D4" w:rsidRDefault="00AA17E4" w:rsidP="00D47E06">
            <w:pPr>
              <w:pStyle w:val="NoSpacing"/>
              <w:jc w:val="right"/>
            </w:pPr>
            <w:r>
              <w:t>$</w:t>
            </w:r>
            <w:r w:rsidRPr="00AA17E4">
              <w:t>3,441,336.12</w:t>
            </w:r>
          </w:p>
        </w:tc>
      </w:tr>
    </w:tbl>
    <w:p w14:paraId="313756D5" w14:textId="77777777" w:rsidR="00D47E06" w:rsidRDefault="00D47E06" w:rsidP="009D5254">
      <w:pPr>
        <w:pStyle w:val="NoSpacing"/>
      </w:pPr>
    </w:p>
    <w:p w14:paraId="29FE889E" w14:textId="3114023F" w:rsidR="00020E0F" w:rsidRDefault="001671D4" w:rsidP="009D5254">
      <w:pPr>
        <w:pStyle w:val="NoSpacing"/>
      </w:pPr>
      <w:r>
        <w:t>The 0651-0027</w:t>
      </w:r>
      <w:r w:rsidR="00020E0F">
        <w:t xml:space="preserve"> revised </w:t>
      </w:r>
      <w:r>
        <w:t>numbers are</w:t>
      </w:r>
      <w:r w:rsidR="00020E0F">
        <w:t xml:space="preserve"> as follows:</w:t>
      </w:r>
    </w:p>
    <w:p w14:paraId="793DF8E4" w14:textId="77777777" w:rsidR="00D47E06" w:rsidRDefault="00D47E06" w:rsidP="009D5254">
      <w:pPr>
        <w:pStyle w:val="NoSpacing"/>
      </w:pPr>
    </w:p>
    <w:p w14:paraId="01D87AE2" w14:textId="39C008F6" w:rsidR="001671D4" w:rsidRDefault="00AA17E4" w:rsidP="00D47E06">
      <w:pPr>
        <w:pStyle w:val="NoSpacing"/>
        <w:numPr>
          <w:ilvl w:val="0"/>
          <w:numId w:val="1"/>
        </w:numPr>
      </w:pPr>
      <w:r w:rsidRPr="00AA17E4">
        <w:t>524,298</w:t>
      </w:r>
      <w:r>
        <w:t xml:space="preserve"> </w:t>
      </w:r>
      <w:r w:rsidR="001671D4">
        <w:t>respondents</w:t>
      </w:r>
    </w:p>
    <w:p w14:paraId="51901D19" w14:textId="600100B7" w:rsidR="001671D4" w:rsidRDefault="00AA17E4" w:rsidP="00D47E06">
      <w:pPr>
        <w:pStyle w:val="NoSpacing"/>
        <w:numPr>
          <w:ilvl w:val="0"/>
          <w:numId w:val="1"/>
        </w:numPr>
      </w:pPr>
      <w:r w:rsidRPr="00AA17E4">
        <w:t>262,150</w:t>
      </w:r>
      <w:r w:rsidR="001671D4">
        <w:t xml:space="preserve"> burden hours</w:t>
      </w:r>
    </w:p>
    <w:p w14:paraId="59822B94" w14:textId="68E1E97B" w:rsidR="00D47E06" w:rsidRPr="004248C6" w:rsidRDefault="00D47E06" w:rsidP="00D47E06">
      <w:pPr>
        <w:pStyle w:val="NoSpacing"/>
        <w:numPr>
          <w:ilvl w:val="0"/>
          <w:numId w:val="1"/>
        </w:numPr>
      </w:pPr>
      <w:r>
        <w:t>$</w:t>
      </w:r>
      <w:r w:rsidR="00AA17E4" w:rsidRPr="00AA17E4">
        <w:t>3,441,336.12</w:t>
      </w:r>
      <w:r>
        <w:t xml:space="preserve"> in annual (non-hour) costs</w:t>
      </w:r>
    </w:p>
    <w:sectPr w:rsidR="00D47E06" w:rsidRPr="004248C6">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all, Drew (AMBIT)" w:date="2017-11-09T12:29:00Z" w:initials="DAH">
    <w:p w14:paraId="2DCFD69D" w14:textId="730C1E54" w:rsidR="00AD63A3" w:rsidRDefault="00AD63A3">
      <w:pPr>
        <w:pStyle w:val="CommentText"/>
      </w:pPr>
      <w:r>
        <w:rPr>
          <w:rStyle w:val="CommentReference"/>
        </w:rPr>
        <w:annotationRef/>
      </w:r>
      <w:r>
        <w:rPr>
          <w:rStyle w:val="CommentReference"/>
        </w:rPr>
        <w:t>Sum</w:t>
      </w:r>
      <w:r>
        <w:t xml:space="preserve"> of IC lines 1 and 3, which are the paper submissions.</w:t>
      </w:r>
      <w:r w:rsidR="00AA17E4">
        <w:t xml:space="preserve">  </w:t>
      </w:r>
      <w:r w:rsidR="00E542FB">
        <w:t>I incorporated this number into the ROCIS “cost per response” to line 1 to get $482,450.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A92E6" w14:textId="77777777" w:rsidR="004A3CCD" w:rsidRDefault="004A3CCD" w:rsidP="003E57DD">
      <w:pPr>
        <w:spacing w:after="0" w:line="240" w:lineRule="auto"/>
      </w:pPr>
      <w:r>
        <w:separator/>
      </w:r>
    </w:p>
  </w:endnote>
  <w:endnote w:type="continuationSeparator" w:id="0">
    <w:p w14:paraId="0299B168" w14:textId="77777777" w:rsidR="004A3CCD" w:rsidRDefault="004A3CCD" w:rsidP="003E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22095"/>
      <w:docPartObj>
        <w:docPartGallery w:val="Page Numbers (Bottom of Page)"/>
        <w:docPartUnique/>
      </w:docPartObj>
    </w:sdtPr>
    <w:sdtEndPr>
      <w:rPr>
        <w:noProof/>
      </w:rPr>
    </w:sdtEndPr>
    <w:sdtContent>
      <w:p w14:paraId="70AD4401" w14:textId="77777777" w:rsidR="005456D0" w:rsidRDefault="005456D0">
        <w:pPr>
          <w:pStyle w:val="Footer"/>
          <w:jc w:val="center"/>
        </w:pPr>
        <w:r>
          <w:fldChar w:fldCharType="begin"/>
        </w:r>
        <w:r>
          <w:instrText xml:space="preserve"> PAGE   \* MERGEFORMAT </w:instrText>
        </w:r>
        <w:r>
          <w:fldChar w:fldCharType="separate"/>
        </w:r>
        <w:r w:rsidR="001A1EA0">
          <w:rPr>
            <w:noProof/>
          </w:rPr>
          <w:t>1</w:t>
        </w:r>
        <w:r>
          <w:rPr>
            <w:noProof/>
          </w:rPr>
          <w:fldChar w:fldCharType="end"/>
        </w:r>
      </w:p>
    </w:sdtContent>
  </w:sdt>
  <w:p w14:paraId="70AD4402" w14:textId="77777777" w:rsidR="005456D0" w:rsidRDefault="00545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99525" w14:textId="77777777" w:rsidR="004A3CCD" w:rsidRDefault="004A3CCD" w:rsidP="003E57DD">
      <w:pPr>
        <w:spacing w:after="0" w:line="240" w:lineRule="auto"/>
      </w:pPr>
      <w:r>
        <w:separator/>
      </w:r>
    </w:p>
  </w:footnote>
  <w:footnote w:type="continuationSeparator" w:id="0">
    <w:p w14:paraId="0BB84F01" w14:textId="77777777" w:rsidR="004A3CCD" w:rsidRDefault="004A3CCD" w:rsidP="003E57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C2D9B"/>
    <w:multiLevelType w:val="hybridMultilevel"/>
    <w:tmpl w:val="C0C6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54"/>
    <w:rsid w:val="00020E0F"/>
    <w:rsid w:val="000B40ED"/>
    <w:rsid w:val="0014685A"/>
    <w:rsid w:val="001671D4"/>
    <w:rsid w:val="001A1EA0"/>
    <w:rsid w:val="002578CE"/>
    <w:rsid w:val="0027208F"/>
    <w:rsid w:val="002B0DD1"/>
    <w:rsid w:val="002B5D3E"/>
    <w:rsid w:val="002D6DAA"/>
    <w:rsid w:val="003901C0"/>
    <w:rsid w:val="003E57DD"/>
    <w:rsid w:val="004248C6"/>
    <w:rsid w:val="004A3CCD"/>
    <w:rsid w:val="00505E20"/>
    <w:rsid w:val="005456D0"/>
    <w:rsid w:val="00596C98"/>
    <w:rsid w:val="005E0EC5"/>
    <w:rsid w:val="006457AD"/>
    <w:rsid w:val="006E2715"/>
    <w:rsid w:val="007410AD"/>
    <w:rsid w:val="00772684"/>
    <w:rsid w:val="00777555"/>
    <w:rsid w:val="007D45AF"/>
    <w:rsid w:val="00824B9B"/>
    <w:rsid w:val="00864EA7"/>
    <w:rsid w:val="00925FE4"/>
    <w:rsid w:val="009D5254"/>
    <w:rsid w:val="00AA17E4"/>
    <w:rsid w:val="00AD63A3"/>
    <w:rsid w:val="00BE25D1"/>
    <w:rsid w:val="00BE384D"/>
    <w:rsid w:val="00C70146"/>
    <w:rsid w:val="00CC2F9D"/>
    <w:rsid w:val="00D1143B"/>
    <w:rsid w:val="00D47E06"/>
    <w:rsid w:val="00D80391"/>
    <w:rsid w:val="00E542FB"/>
    <w:rsid w:val="00EF4A1B"/>
    <w:rsid w:val="00F24348"/>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254"/>
    <w:pPr>
      <w:spacing w:after="0" w:line="240" w:lineRule="auto"/>
    </w:pPr>
  </w:style>
  <w:style w:type="table" w:styleId="TableGrid">
    <w:name w:val="Table Grid"/>
    <w:basedOn w:val="TableNormal"/>
    <w:uiPriority w:val="59"/>
    <w:rsid w:val="009D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DD"/>
  </w:style>
  <w:style w:type="paragraph" w:styleId="Footer">
    <w:name w:val="footer"/>
    <w:basedOn w:val="Normal"/>
    <w:link w:val="FooterChar"/>
    <w:uiPriority w:val="99"/>
    <w:unhideWhenUsed/>
    <w:rsid w:val="003E5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DD"/>
  </w:style>
  <w:style w:type="character" w:styleId="CommentReference">
    <w:name w:val="annotation reference"/>
    <w:basedOn w:val="DefaultParagraphFont"/>
    <w:uiPriority w:val="99"/>
    <w:semiHidden/>
    <w:unhideWhenUsed/>
    <w:rsid w:val="00AD63A3"/>
    <w:rPr>
      <w:sz w:val="16"/>
      <w:szCs w:val="16"/>
    </w:rPr>
  </w:style>
  <w:style w:type="paragraph" w:styleId="CommentText">
    <w:name w:val="annotation text"/>
    <w:basedOn w:val="Normal"/>
    <w:link w:val="CommentTextChar"/>
    <w:uiPriority w:val="99"/>
    <w:semiHidden/>
    <w:unhideWhenUsed/>
    <w:rsid w:val="00AD63A3"/>
    <w:pPr>
      <w:spacing w:line="240" w:lineRule="auto"/>
    </w:pPr>
    <w:rPr>
      <w:sz w:val="20"/>
      <w:szCs w:val="20"/>
    </w:rPr>
  </w:style>
  <w:style w:type="character" w:customStyle="1" w:styleId="CommentTextChar">
    <w:name w:val="Comment Text Char"/>
    <w:basedOn w:val="DefaultParagraphFont"/>
    <w:link w:val="CommentText"/>
    <w:uiPriority w:val="99"/>
    <w:semiHidden/>
    <w:rsid w:val="00AD63A3"/>
    <w:rPr>
      <w:sz w:val="20"/>
      <w:szCs w:val="20"/>
    </w:rPr>
  </w:style>
  <w:style w:type="paragraph" w:styleId="CommentSubject">
    <w:name w:val="annotation subject"/>
    <w:basedOn w:val="CommentText"/>
    <w:next w:val="CommentText"/>
    <w:link w:val="CommentSubjectChar"/>
    <w:uiPriority w:val="99"/>
    <w:semiHidden/>
    <w:unhideWhenUsed/>
    <w:rsid w:val="00AD63A3"/>
    <w:rPr>
      <w:b/>
      <w:bCs/>
    </w:rPr>
  </w:style>
  <w:style w:type="character" w:customStyle="1" w:styleId="CommentSubjectChar">
    <w:name w:val="Comment Subject Char"/>
    <w:basedOn w:val="CommentTextChar"/>
    <w:link w:val="CommentSubject"/>
    <w:uiPriority w:val="99"/>
    <w:semiHidden/>
    <w:rsid w:val="00AD63A3"/>
    <w:rPr>
      <w:b/>
      <w:bCs/>
      <w:sz w:val="20"/>
      <w:szCs w:val="20"/>
    </w:rPr>
  </w:style>
  <w:style w:type="paragraph" w:styleId="BalloonText">
    <w:name w:val="Balloon Text"/>
    <w:basedOn w:val="Normal"/>
    <w:link w:val="BalloonTextChar"/>
    <w:uiPriority w:val="99"/>
    <w:semiHidden/>
    <w:unhideWhenUsed/>
    <w:rsid w:val="00AD6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3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254"/>
    <w:pPr>
      <w:spacing w:after="0" w:line="240" w:lineRule="auto"/>
    </w:pPr>
  </w:style>
  <w:style w:type="table" w:styleId="TableGrid">
    <w:name w:val="Table Grid"/>
    <w:basedOn w:val="TableNormal"/>
    <w:uiPriority w:val="59"/>
    <w:rsid w:val="009D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DD"/>
  </w:style>
  <w:style w:type="paragraph" w:styleId="Footer">
    <w:name w:val="footer"/>
    <w:basedOn w:val="Normal"/>
    <w:link w:val="FooterChar"/>
    <w:uiPriority w:val="99"/>
    <w:unhideWhenUsed/>
    <w:rsid w:val="003E5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DD"/>
  </w:style>
  <w:style w:type="character" w:styleId="CommentReference">
    <w:name w:val="annotation reference"/>
    <w:basedOn w:val="DefaultParagraphFont"/>
    <w:uiPriority w:val="99"/>
    <w:semiHidden/>
    <w:unhideWhenUsed/>
    <w:rsid w:val="00AD63A3"/>
    <w:rPr>
      <w:sz w:val="16"/>
      <w:szCs w:val="16"/>
    </w:rPr>
  </w:style>
  <w:style w:type="paragraph" w:styleId="CommentText">
    <w:name w:val="annotation text"/>
    <w:basedOn w:val="Normal"/>
    <w:link w:val="CommentTextChar"/>
    <w:uiPriority w:val="99"/>
    <w:semiHidden/>
    <w:unhideWhenUsed/>
    <w:rsid w:val="00AD63A3"/>
    <w:pPr>
      <w:spacing w:line="240" w:lineRule="auto"/>
    </w:pPr>
    <w:rPr>
      <w:sz w:val="20"/>
      <w:szCs w:val="20"/>
    </w:rPr>
  </w:style>
  <w:style w:type="character" w:customStyle="1" w:styleId="CommentTextChar">
    <w:name w:val="Comment Text Char"/>
    <w:basedOn w:val="DefaultParagraphFont"/>
    <w:link w:val="CommentText"/>
    <w:uiPriority w:val="99"/>
    <w:semiHidden/>
    <w:rsid w:val="00AD63A3"/>
    <w:rPr>
      <w:sz w:val="20"/>
      <w:szCs w:val="20"/>
    </w:rPr>
  </w:style>
  <w:style w:type="paragraph" w:styleId="CommentSubject">
    <w:name w:val="annotation subject"/>
    <w:basedOn w:val="CommentText"/>
    <w:next w:val="CommentText"/>
    <w:link w:val="CommentSubjectChar"/>
    <w:uiPriority w:val="99"/>
    <w:semiHidden/>
    <w:unhideWhenUsed/>
    <w:rsid w:val="00AD63A3"/>
    <w:rPr>
      <w:b/>
      <w:bCs/>
    </w:rPr>
  </w:style>
  <w:style w:type="character" w:customStyle="1" w:styleId="CommentSubjectChar">
    <w:name w:val="Comment Subject Char"/>
    <w:basedOn w:val="CommentTextChar"/>
    <w:link w:val="CommentSubject"/>
    <w:uiPriority w:val="99"/>
    <w:semiHidden/>
    <w:rsid w:val="00AD63A3"/>
    <w:rPr>
      <w:b/>
      <w:bCs/>
      <w:sz w:val="20"/>
      <w:szCs w:val="20"/>
    </w:rPr>
  </w:style>
  <w:style w:type="paragraph" w:styleId="BalloonText">
    <w:name w:val="Balloon Text"/>
    <w:basedOn w:val="Normal"/>
    <w:link w:val="BalloonTextChar"/>
    <w:uiPriority w:val="99"/>
    <w:semiHidden/>
    <w:unhideWhenUsed/>
    <w:rsid w:val="00AD6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Hall, Drew (AMBIT)</DisplayName>
        <AccountId>114</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AB7D5-5933-410D-94E3-874F11513674}">
  <ds:schemaRefs>
    <ds:schemaRef ds:uri="E85DE8A9-5CD3-41FE-A1A0-70BC17107555"/>
    <ds:schemaRef ds:uri="http://schemas.microsoft.com/office/2006/metadata/properties"/>
    <ds:schemaRef ds:uri="5DFC53CF-7C17-4489-98AB-5F87C96333B9"/>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5dfc53cf-7c17-4489-98ab-5f87c96333b9"/>
    <ds:schemaRef ds:uri="e85de8a9-5cd3-41fe-a1a0-70bc17107555"/>
    <ds:schemaRef ds:uri="http://www.w3.org/XML/1998/namespace"/>
  </ds:schemaRefs>
</ds:datastoreItem>
</file>

<file path=customXml/itemProps2.xml><?xml version="1.0" encoding="utf-8"?>
<ds:datastoreItem xmlns:ds="http://schemas.openxmlformats.org/officeDocument/2006/customXml" ds:itemID="{1750724D-C981-40F8-B5B1-DBE5EFE165AD}">
  <ds:schemaRefs>
    <ds:schemaRef ds:uri="http://schemas.microsoft.com/sharepoint/v3/contenttype/forms"/>
  </ds:schemaRefs>
</ds:datastoreItem>
</file>

<file path=customXml/itemProps3.xml><?xml version="1.0" encoding="utf-8"?>
<ds:datastoreItem xmlns:ds="http://schemas.openxmlformats.org/officeDocument/2006/customXml" ds:itemID="{8E0E993D-F19F-4E32-A6BC-3F83E314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2017-11-09T17:29:00Z</dcterms:created>
  <dcterms:modified xsi:type="dcterms:W3CDTF">2017-11-09T17:29:00Z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