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B5E18" w14:textId="77777777" w:rsidR="004F26E9" w:rsidRDefault="004F26E9">
      <w:pPr>
        <w:jc w:val="center"/>
        <w:rPr>
          <w:b/>
          <w:bCs/>
          <w:sz w:val="24"/>
          <w:szCs w:val="24"/>
        </w:rPr>
      </w:pPr>
      <w:bookmarkStart w:id="0" w:name="_GoBack"/>
      <w:bookmarkEnd w:id="0"/>
      <w:r>
        <w:rPr>
          <w:b/>
          <w:bCs/>
          <w:sz w:val="24"/>
          <w:szCs w:val="24"/>
        </w:rPr>
        <w:t>SUPPORTING STATEMENT</w:t>
      </w:r>
    </w:p>
    <w:p w14:paraId="5555B73D" w14:textId="77777777" w:rsidR="00FD41D6" w:rsidRDefault="00FD41D6">
      <w:pPr>
        <w:jc w:val="center"/>
        <w:rPr>
          <w:b/>
          <w:bCs/>
          <w:sz w:val="24"/>
          <w:szCs w:val="24"/>
        </w:rPr>
      </w:pPr>
      <w:r w:rsidRPr="00FD41D6">
        <w:rPr>
          <w:b/>
          <w:bCs/>
          <w:sz w:val="24"/>
          <w:szCs w:val="24"/>
        </w:rPr>
        <w:t>P</w:t>
      </w:r>
      <w:r>
        <w:rPr>
          <w:b/>
          <w:bCs/>
          <w:sz w:val="24"/>
          <w:szCs w:val="24"/>
        </w:rPr>
        <w:t xml:space="preserve">ACIFIC COAST GROUNDFISH TRAWL RATIONALIZATION PROGRAM </w:t>
      </w:r>
    </w:p>
    <w:p w14:paraId="546392B3" w14:textId="77777777" w:rsidR="00FD41D6" w:rsidRDefault="00FD41D6">
      <w:pPr>
        <w:jc w:val="center"/>
        <w:rPr>
          <w:b/>
          <w:bCs/>
          <w:sz w:val="24"/>
          <w:szCs w:val="24"/>
        </w:rPr>
      </w:pPr>
      <w:r>
        <w:rPr>
          <w:b/>
          <w:bCs/>
          <w:sz w:val="24"/>
          <w:szCs w:val="24"/>
        </w:rPr>
        <w:t>PERMIT AND LICENSE INFORMATION</w:t>
      </w:r>
      <w:r w:rsidRPr="00FD41D6">
        <w:rPr>
          <w:b/>
          <w:bCs/>
          <w:sz w:val="24"/>
          <w:szCs w:val="24"/>
        </w:rPr>
        <w:t xml:space="preserve"> </w:t>
      </w:r>
      <w:r>
        <w:rPr>
          <w:b/>
          <w:bCs/>
          <w:sz w:val="24"/>
          <w:szCs w:val="24"/>
        </w:rPr>
        <w:t xml:space="preserve">COLLECTION </w:t>
      </w:r>
    </w:p>
    <w:p w14:paraId="0AFFBA51" w14:textId="77777777" w:rsidR="004F26E9" w:rsidRDefault="00FD41D6">
      <w:pPr>
        <w:jc w:val="center"/>
        <w:rPr>
          <w:sz w:val="24"/>
          <w:szCs w:val="24"/>
        </w:rPr>
      </w:pPr>
      <w:r>
        <w:rPr>
          <w:b/>
          <w:bCs/>
          <w:sz w:val="24"/>
          <w:szCs w:val="24"/>
        </w:rPr>
        <w:t xml:space="preserve">OMB </w:t>
      </w:r>
      <w:r w:rsidR="004F26E9">
        <w:rPr>
          <w:b/>
          <w:bCs/>
          <w:sz w:val="24"/>
          <w:szCs w:val="24"/>
        </w:rPr>
        <w:t>CONTROL NO. 0648-</w:t>
      </w:r>
      <w:r>
        <w:rPr>
          <w:b/>
          <w:bCs/>
          <w:sz w:val="24"/>
          <w:szCs w:val="24"/>
        </w:rPr>
        <w:t>0620</w:t>
      </w:r>
    </w:p>
    <w:p w14:paraId="0F9B6E60" w14:textId="77777777" w:rsidR="004F26E9" w:rsidRDefault="004F26E9">
      <w:pPr>
        <w:rPr>
          <w:sz w:val="24"/>
          <w:szCs w:val="24"/>
        </w:rPr>
      </w:pPr>
    </w:p>
    <w:p w14:paraId="58E60E26" w14:textId="77777777" w:rsidR="004F26E9" w:rsidRDefault="004F26E9">
      <w:pPr>
        <w:rPr>
          <w:sz w:val="24"/>
          <w:szCs w:val="24"/>
        </w:rPr>
      </w:pPr>
    </w:p>
    <w:p w14:paraId="0CB9A744" w14:textId="77777777" w:rsidR="00FD41D6" w:rsidRDefault="00FD41D6">
      <w:pPr>
        <w:tabs>
          <w:tab w:val="left" w:pos="720"/>
        </w:tabs>
        <w:ind w:left="720" w:hanging="720"/>
        <w:rPr>
          <w:b/>
          <w:bCs/>
          <w:sz w:val="24"/>
          <w:szCs w:val="24"/>
        </w:rPr>
      </w:pPr>
      <w:r>
        <w:rPr>
          <w:b/>
          <w:bCs/>
          <w:sz w:val="24"/>
          <w:szCs w:val="24"/>
        </w:rPr>
        <w:t>INTRODUCTION</w:t>
      </w:r>
    </w:p>
    <w:p w14:paraId="49529EEA" w14:textId="77777777" w:rsidR="00FD41D6" w:rsidRDefault="00FD41D6">
      <w:pPr>
        <w:tabs>
          <w:tab w:val="left" w:pos="720"/>
        </w:tabs>
        <w:ind w:left="720" w:hanging="720"/>
        <w:rPr>
          <w:b/>
          <w:bCs/>
          <w:sz w:val="24"/>
          <w:szCs w:val="24"/>
        </w:rPr>
      </w:pPr>
    </w:p>
    <w:p w14:paraId="01A74E3A" w14:textId="401F54A5" w:rsidR="001E20EA" w:rsidRDefault="000D3CE5" w:rsidP="000D3CE5">
      <w:pPr>
        <w:tabs>
          <w:tab w:val="left" w:pos="0"/>
        </w:tabs>
        <w:rPr>
          <w:bCs/>
          <w:sz w:val="24"/>
          <w:szCs w:val="24"/>
        </w:rPr>
      </w:pPr>
      <w:r w:rsidRPr="00E076CA">
        <w:rPr>
          <w:bCs/>
          <w:sz w:val="24"/>
          <w:szCs w:val="24"/>
        </w:rPr>
        <w:t>This</w:t>
      </w:r>
      <w:r w:rsidR="00095F6A">
        <w:rPr>
          <w:bCs/>
          <w:sz w:val="24"/>
          <w:szCs w:val="24"/>
        </w:rPr>
        <w:t xml:space="preserve"> is a resubmission with the final rule,  of a request for</w:t>
      </w:r>
      <w:r w:rsidRPr="00E076CA">
        <w:rPr>
          <w:bCs/>
          <w:sz w:val="24"/>
          <w:szCs w:val="24"/>
        </w:rPr>
        <w:t xml:space="preserve"> </w:t>
      </w:r>
      <w:r w:rsidR="001E20EA" w:rsidRPr="00E076CA">
        <w:rPr>
          <w:bCs/>
          <w:sz w:val="24"/>
          <w:szCs w:val="24"/>
        </w:rPr>
        <w:t xml:space="preserve">a </w:t>
      </w:r>
      <w:r w:rsidR="009A495B">
        <w:rPr>
          <w:bCs/>
          <w:sz w:val="24"/>
          <w:szCs w:val="24"/>
        </w:rPr>
        <w:t xml:space="preserve">temporary </w:t>
      </w:r>
      <w:r w:rsidR="00375939">
        <w:rPr>
          <w:bCs/>
          <w:sz w:val="24"/>
          <w:szCs w:val="24"/>
        </w:rPr>
        <w:t xml:space="preserve">new </w:t>
      </w:r>
      <w:r w:rsidR="009A495B">
        <w:rPr>
          <w:bCs/>
          <w:sz w:val="24"/>
          <w:szCs w:val="24"/>
        </w:rPr>
        <w:t xml:space="preserve">collection </w:t>
      </w:r>
      <w:r w:rsidR="00375939">
        <w:rPr>
          <w:bCs/>
          <w:sz w:val="24"/>
          <w:szCs w:val="24"/>
        </w:rPr>
        <w:t>for the Pacific Coast Groundfish Trawl Rationalization Program Permit and License Information Collection (OMB Control No. 0648-0620)</w:t>
      </w:r>
      <w:r w:rsidR="009760D4">
        <w:rPr>
          <w:bCs/>
          <w:sz w:val="24"/>
          <w:szCs w:val="24"/>
        </w:rPr>
        <w:t>,</w:t>
      </w:r>
      <w:r w:rsidR="001E20EA" w:rsidRPr="00E076CA">
        <w:rPr>
          <w:bCs/>
          <w:sz w:val="24"/>
          <w:szCs w:val="24"/>
        </w:rPr>
        <w:t xml:space="preserve"> related to </w:t>
      </w:r>
      <w:r w:rsidR="009A3F21">
        <w:rPr>
          <w:bCs/>
          <w:sz w:val="24"/>
          <w:szCs w:val="24"/>
        </w:rPr>
        <w:t xml:space="preserve">Final </w:t>
      </w:r>
      <w:r w:rsidR="0027261B">
        <w:rPr>
          <w:bCs/>
          <w:sz w:val="24"/>
          <w:szCs w:val="24"/>
        </w:rPr>
        <w:t>R</w:t>
      </w:r>
      <w:r w:rsidR="00FF34BD">
        <w:rPr>
          <w:bCs/>
          <w:sz w:val="24"/>
          <w:szCs w:val="24"/>
        </w:rPr>
        <w:t>ule</w:t>
      </w:r>
      <w:r w:rsidR="0027261B">
        <w:rPr>
          <w:bCs/>
          <w:sz w:val="24"/>
          <w:szCs w:val="24"/>
        </w:rPr>
        <w:t xml:space="preserve"> </w:t>
      </w:r>
      <w:r w:rsidR="00242E5F">
        <w:rPr>
          <w:bCs/>
          <w:sz w:val="24"/>
          <w:szCs w:val="24"/>
        </w:rPr>
        <w:t>0648-</w:t>
      </w:r>
      <w:r w:rsidR="00375939">
        <w:rPr>
          <w:bCs/>
          <w:sz w:val="24"/>
          <w:szCs w:val="24"/>
        </w:rPr>
        <w:t>BF12</w:t>
      </w:r>
      <w:r w:rsidR="009760D4">
        <w:rPr>
          <w:bCs/>
          <w:sz w:val="24"/>
          <w:szCs w:val="24"/>
        </w:rPr>
        <w:t xml:space="preserve">: </w:t>
      </w:r>
      <w:r w:rsidR="009760D4" w:rsidRPr="009760D4">
        <w:rPr>
          <w:bCs/>
          <w:sz w:val="24"/>
          <w:szCs w:val="24"/>
        </w:rPr>
        <w:t>Widow Rockfish Reallocation in the Individual Fishing Quota Fishery</w:t>
      </w:r>
      <w:r w:rsidR="00242E5F">
        <w:rPr>
          <w:bCs/>
          <w:sz w:val="24"/>
          <w:szCs w:val="24"/>
        </w:rPr>
        <w:t>.</w:t>
      </w:r>
      <w:r w:rsidR="001E20EA" w:rsidRPr="00E076CA">
        <w:rPr>
          <w:bCs/>
          <w:sz w:val="24"/>
          <w:szCs w:val="24"/>
        </w:rPr>
        <w:t xml:space="preserve"> </w:t>
      </w:r>
      <w:r w:rsidR="00375939">
        <w:rPr>
          <w:bCs/>
          <w:sz w:val="24"/>
          <w:szCs w:val="24"/>
        </w:rPr>
        <w:t xml:space="preserve">The </w:t>
      </w:r>
      <w:r w:rsidR="00FF34BD">
        <w:rPr>
          <w:bCs/>
          <w:sz w:val="24"/>
          <w:szCs w:val="24"/>
        </w:rPr>
        <w:t xml:space="preserve">rule </w:t>
      </w:r>
      <w:r w:rsidR="00375939" w:rsidRPr="00375939">
        <w:rPr>
          <w:bCs/>
          <w:sz w:val="24"/>
          <w:szCs w:val="24"/>
        </w:rPr>
        <w:t>reallocate</w:t>
      </w:r>
      <w:r w:rsidR="009A3F21">
        <w:rPr>
          <w:bCs/>
          <w:sz w:val="24"/>
          <w:szCs w:val="24"/>
        </w:rPr>
        <w:t>s</w:t>
      </w:r>
      <w:r w:rsidR="00375939" w:rsidRPr="00375939">
        <w:rPr>
          <w:bCs/>
          <w:sz w:val="24"/>
          <w:szCs w:val="24"/>
        </w:rPr>
        <w:t xml:space="preserve"> quota shares </w:t>
      </w:r>
      <w:r w:rsidR="00375939">
        <w:rPr>
          <w:bCs/>
          <w:sz w:val="24"/>
          <w:szCs w:val="24"/>
        </w:rPr>
        <w:t xml:space="preserve">(QS) of widow rockfish </w:t>
      </w:r>
      <w:r w:rsidR="00375939" w:rsidRPr="00375939">
        <w:rPr>
          <w:bCs/>
          <w:sz w:val="24"/>
          <w:szCs w:val="24"/>
        </w:rPr>
        <w:t xml:space="preserve">to initial </w:t>
      </w:r>
      <w:r w:rsidR="00375939">
        <w:rPr>
          <w:bCs/>
          <w:sz w:val="24"/>
          <w:szCs w:val="24"/>
        </w:rPr>
        <w:t xml:space="preserve">QS </w:t>
      </w:r>
      <w:r w:rsidR="00375939" w:rsidRPr="00375939">
        <w:rPr>
          <w:bCs/>
          <w:sz w:val="24"/>
          <w:szCs w:val="24"/>
        </w:rPr>
        <w:t xml:space="preserve">recipients </w:t>
      </w:r>
      <w:r w:rsidR="00375939">
        <w:rPr>
          <w:bCs/>
          <w:sz w:val="24"/>
          <w:szCs w:val="24"/>
        </w:rPr>
        <w:t xml:space="preserve">now that the widow rockfish stock has been rebuilt, </w:t>
      </w:r>
      <w:r w:rsidR="00375939" w:rsidRPr="00375939">
        <w:rPr>
          <w:bCs/>
          <w:sz w:val="24"/>
          <w:szCs w:val="24"/>
        </w:rPr>
        <w:t>based on a target species formula that more closely represent</w:t>
      </w:r>
      <w:r w:rsidR="009A3F21">
        <w:rPr>
          <w:bCs/>
          <w:sz w:val="24"/>
          <w:szCs w:val="24"/>
        </w:rPr>
        <w:t>s</w:t>
      </w:r>
      <w:r w:rsidR="00375939" w:rsidRPr="00375939">
        <w:rPr>
          <w:bCs/>
          <w:sz w:val="24"/>
          <w:szCs w:val="24"/>
        </w:rPr>
        <w:t xml:space="preserve"> the fishing history of permit owners when widow rockfish was a targeted species. Th</w:t>
      </w:r>
      <w:r w:rsidR="00375939">
        <w:rPr>
          <w:bCs/>
          <w:sz w:val="24"/>
          <w:szCs w:val="24"/>
        </w:rPr>
        <w:t xml:space="preserve">e rule </w:t>
      </w:r>
      <w:r w:rsidR="00375939" w:rsidRPr="00375939">
        <w:rPr>
          <w:bCs/>
          <w:sz w:val="24"/>
          <w:szCs w:val="24"/>
        </w:rPr>
        <w:t>also allow</w:t>
      </w:r>
      <w:r w:rsidR="009A3F21">
        <w:rPr>
          <w:bCs/>
          <w:sz w:val="24"/>
          <w:szCs w:val="24"/>
        </w:rPr>
        <w:t>s</w:t>
      </w:r>
      <w:r w:rsidR="00375939" w:rsidRPr="00375939">
        <w:rPr>
          <w:bCs/>
          <w:sz w:val="24"/>
          <w:szCs w:val="24"/>
        </w:rPr>
        <w:t xml:space="preserve"> the trading of widow rockfish </w:t>
      </w:r>
      <w:r w:rsidR="00375939">
        <w:rPr>
          <w:bCs/>
          <w:sz w:val="24"/>
          <w:szCs w:val="24"/>
        </w:rPr>
        <w:t>QS (for which there has been a moratorium pending the reallocation decision)</w:t>
      </w:r>
      <w:r w:rsidR="00375939" w:rsidRPr="00375939">
        <w:rPr>
          <w:bCs/>
          <w:sz w:val="24"/>
          <w:szCs w:val="24"/>
        </w:rPr>
        <w:t>, set</w:t>
      </w:r>
      <w:r w:rsidR="009A3F21">
        <w:rPr>
          <w:bCs/>
          <w:sz w:val="24"/>
          <w:szCs w:val="24"/>
        </w:rPr>
        <w:t>s</w:t>
      </w:r>
      <w:r w:rsidR="00375939" w:rsidRPr="00375939">
        <w:rPr>
          <w:bCs/>
          <w:sz w:val="24"/>
          <w:szCs w:val="24"/>
        </w:rPr>
        <w:t xml:space="preserve"> a deadline for divestiture in case the reallocation of widow rockfish puts any QS permit owner over an accumulation limit,</w:t>
      </w:r>
      <w:r w:rsidR="00375939">
        <w:rPr>
          <w:bCs/>
          <w:sz w:val="24"/>
          <w:szCs w:val="24"/>
        </w:rPr>
        <w:t xml:space="preserve"> and remove</w:t>
      </w:r>
      <w:r w:rsidR="009A3F21">
        <w:rPr>
          <w:bCs/>
          <w:sz w:val="24"/>
          <w:szCs w:val="24"/>
        </w:rPr>
        <w:t>s</w:t>
      </w:r>
      <w:r w:rsidR="00375939">
        <w:rPr>
          <w:bCs/>
          <w:sz w:val="24"/>
          <w:szCs w:val="24"/>
        </w:rPr>
        <w:t xml:space="preserve"> the daily vessel limit for widow rockfish since it is no longer an overfished species.  The only portion of the </w:t>
      </w:r>
      <w:r w:rsidR="009A3F21">
        <w:rPr>
          <w:bCs/>
          <w:sz w:val="24"/>
          <w:szCs w:val="24"/>
        </w:rPr>
        <w:t xml:space="preserve">final </w:t>
      </w:r>
      <w:r w:rsidR="00375939">
        <w:rPr>
          <w:bCs/>
          <w:sz w:val="24"/>
          <w:szCs w:val="24"/>
        </w:rPr>
        <w:t>rule that entail</w:t>
      </w:r>
      <w:r w:rsidR="009A3F21">
        <w:rPr>
          <w:bCs/>
          <w:sz w:val="24"/>
          <w:szCs w:val="24"/>
        </w:rPr>
        <w:t>s</w:t>
      </w:r>
      <w:r w:rsidR="00375939">
        <w:rPr>
          <w:bCs/>
          <w:sz w:val="24"/>
          <w:szCs w:val="24"/>
        </w:rPr>
        <w:t xml:space="preserve"> a new or changed collection of information is the reallocation of widow rockfish QS. </w:t>
      </w:r>
      <w:r w:rsidR="009A3F21">
        <w:rPr>
          <w:bCs/>
          <w:sz w:val="24"/>
          <w:szCs w:val="24"/>
        </w:rPr>
        <w:t>E</w:t>
      </w:r>
      <w:r w:rsidR="00375939">
        <w:rPr>
          <w:bCs/>
          <w:sz w:val="24"/>
          <w:szCs w:val="24"/>
        </w:rPr>
        <w:t xml:space="preserve">ligible QS permit owners </w:t>
      </w:r>
      <w:r w:rsidR="009A3F21">
        <w:rPr>
          <w:bCs/>
          <w:sz w:val="24"/>
          <w:szCs w:val="24"/>
        </w:rPr>
        <w:t xml:space="preserve">will </w:t>
      </w:r>
      <w:r w:rsidR="00375939">
        <w:rPr>
          <w:bCs/>
          <w:sz w:val="24"/>
          <w:szCs w:val="24"/>
        </w:rPr>
        <w:t>complete a prefilled application for rea</w:t>
      </w:r>
      <w:r w:rsidR="00095F6A">
        <w:rPr>
          <w:bCs/>
          <w:sz w:val="24"/>
          <w:szCs w:val="24"/>
        </w:rPr>
        <w:t>llocated widow rockfish QS.</w:t>
      </w:r>
    </w:p>
    <w:p w14:paraId="0A70CB09" w14:textId="77777777" w:rsidR="0027261B" w:rsidRPr="00E076CA" w:rsidRDefault="0027261B" w:rsidP="000D3CE5">
      <w:pPr>
        <w:tabs>
          <w:tab w:val="left" w:pos="0"/>
        </w:tabs>
        <w:rPr>
          <w:bCs/>
          <w:sz w:val="24"/>
          <w:szCs w:val="24"/>
        </w:rPr>
      </w:pPr>
    </w:p>
    <w:p w14:paraId="0E8EBEC6" w14:textId="77777777" w:rsidR="004F26E9" w:rsidRDefault="004F26E9">
      <w:pPr>
        <w:tabs>
          <w:tab w:val="left" w:pos="720"/>
        </w:tabs>
        <w:ind w:left="720" w:hanging="720"/>
        <w:rPr>
          <w:sz w:val="24"/>
          <w:szCs w:val="24"/>
        </w:rPr>
      </w:pPr>
      <w:r>
        <w:rPr>
          <w:b/>
          <w:bCs/>
          <w:sz w:val="24"/>
          <w:szCs w:val="24"/>
        </w:rPr>
        <w:t>JUSTIFICATION</w:t>
      </w:r>
    </w:p>
    <w:p w14:paraId="15396AF4" w14:textId="77777777" w:rsidR="004F26E9" w:rsidRDefault="004F26E9">
      <w:pPr>
        <w:rPr>
          <w:sz w:val="24"/>
          <w:szCs w:val="24"/>
        </w:rPr>
      </w:pPr>
    </w:p>
    <w:p w14:paraId="56C8CEE2" w14:textId="77777777" w:rsidR="004F26E9" w:rsidRDefault="004F26E9">
      <w:pPr>
        <w:rPr>
          <w:sz w:val="24"/>
          <w:szCs w:val="24"/>
        </w:rPr>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14:paraId="70B58F70" w14:textId="77777777"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004CA5A4" w14:textId="77777777" w:rsidR="004F26E9" w:rsidRDefault="004F26E9" w:rsidP="00D44507">
      <w:pPr>
        <w:rPr>
          <w:sz w:val="24"/>
          <w:szCs w:val="24"/>
        </w:rPr>
      </w:pPr>
    </w:p>
    <w:p w14:paraId="1322E6CE" w14:textId="2561B039" w:rsidR="00D44507" w:rsidRDefault="009760D4" w:rsidP="009760D4">
      <w:pPr>
        <w:rPr>
          <w:bCs/>
          <w:sz w:val="24"/>
          <w:szCs w:val="24"/>
        </w:rPr>
      </w:pPr>
      <w:r>
        <w:rPr>
          <w:bCs/>
          <w:sz w:val="24"/>
          <w:szCs w:val="24"/>
        </w:rPr>
        <w:t xml:space="preserve">NMFS is </w:t>
      </w:r>
      <w:r w:rsidR="009A3F21">
        <w:rPr>
          <w:bCs/>
          <w:sz w:val="24"/>
          <w:szCs w:val="24"/>
        </w:rPr>
        <w:t xml:space="preserve">reallocating </w:t>
      </w:r>
      <w:r>
        <w:rPr>
          <w:bCs/>
          <w:sz w:val="24"/>
          <w:szCs w:val="24"/>
        </w:rPr>
        <w:t xml:space="preserve">widow rockfish QS in the individual fishing quota </w:t>
      </w:r>
      <w:r w:rsidR="00D81837">
        <w:rPr>
          <w:bCs/>
          <w:sz w:val="24"/>
          <w:szCs w:val="24"/>
        </w:rPr>
        <w:t xml:space="preserve">(IFQ) </w:t>
      </w:r>
      <w:r>
        <w:rPr>
          <w:bCs/>
          <w:sz w:val="24"/>
          <w:szCs w:val="24"/>
        </w:rPr>
        <w:t xml:space="preserve">fishery, and will therefore need to collect basic information from eligible QS permit owners on a one-time basis. The application form will be sent to eligible QS permit owners to: 1) ensure that we have the </w:t>
      </w:r>
      <w:r w:rsidR="00D81837">
        <w:rPr>
          <w:bCs/>
          <w:sz w:val="24"/>
          <w:szCs w:val="24"/>
        </w:rPr>
        <w:t>most recent contact information;</w:t>
      </w:r>
      <w:r>
        <w:rPr>
          <w:bCs/>
          <w:sz w:val="24"/>
          <w:szCs w:val="24"/>
        </w:rPr>
        <w:t xml:space="preserve"> 2) provide the reallocated widow rockfish QS percentage to each eli</w:t>
      </w:r>
      <w:r w:rsidR="00D81837">
        <w:rPr>
          <w:bCs/>
          <w:sz w:val="24"/>
          <w:szCs w:val="24"/>
        </w:rPr>
        <w:t>gible QS permit owner;</w:t>
      </w:r>
      <w:r>
        <w:rPr>
          <w:bCs/>
          <w:sz w:val="24"/>
          <w:szCs w:val="24"/>
        </w:rPr>
        <w:t xml:space="preserve"> 3) obtain the permit owner’s acceptance or denial of the reallocated QS amount</w:t>
      </w:r>
      <w:r w:rsidR="00D81837">
        <w:rPr>
          <w:bCs/>
          <w:sz w:val="24"/>
          <w:szCs w:val="24"/>
        </w:rPr>
        <w:t>;</w:t>
      </w:r>
      <w:r>
        <w:rPr>
          <w:bCs/>
          <w:sz w:val="24"/>
          <w:szCs w:val="24"/>
        </w:rPr>
        <w:t xml:space="preserve"> and 4) obtain the signature of the owner or an authorized representative. This information is necessary to implement the rulemaking and the reallocation.  </w:t>
      </w:r>
    </w:p>
    <w:p w14:paraId="3CFD3A50" w14:textId="77777777" w:rsidR="00D44507" w:rsidRDefault="00D44507" w:rsidP="006B5EAF">
      <w:pPr>
        <w:ind w:left="720" w:hanging="720"/>
        <w:rPr>
          <w:bCs/>
          <w:sz w:val="24"/>
          <w:szCs w:val="24"/>
        </w:rPr>
      </w:pPr>
    </w:p>
    <w:p w14:paraId="70FFCD0D" w14:textId="076CCC73"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2DEEC828" w14:textId="77777777" w:rsidR="00751272" w:rsidRDefault="00751272" w:rsidP="007B7574">
      <w:pPr>
        <w:rPr>
          <w:i/>
          <w:sz w:val="24"/>
          <w:szCs w:val="24"/>
        </w:rPr>
      </w:pPr>
    </w:p>
    <w:p w14:paraId="3C817C79" w14:textId="15B554BD" w:rsidR="00D81837" w:rsidRDefault="009760D4">
      <w:pPr>
        <w:rPr>
          <w:sz w:val="24"/>
          <w:szCs w:val="24"/>
        </w:rPr>
      </w:pPr>
      <w:r>
        <w:rPr>
          <w:sz w:val="24"/>
          <w:szCs w:val="24"/>
        </w:rPr>
        <w:t>The widow rockfish reallocation application form will be a single-use form, sent to eligible QS permit owners in the fall of 2016. The information collec</w:t>
      </w:r>
      <w:r w:rsidR="00D81837">
        <w:rPr>
          <w:sz w:val="24"/>
          <w:szCs w:val="24"/>
        </w:rPr>
        <w:t xml:space="preserve">ted on the form will be used to: 1) </w:t>
      </w:r>
      <w:r>
        <w:rPr>
          <w:sz w:val="24"/>
          <w:szCs w:val="24"/>
        </w:rPr>
        <w:t>update contact information, if</w:t>
      </w:r>
      <w:r w:rsidR="00D81837">
        <w:rPr>
          <w:sz w:val="24"/>
          <w:szCs w:val="24"/>
        </w:rPr>
        <w:t xml:space="preserve"> necessary;</w:t>
      </w:r>
      <w:r>
        <w:rPr>
          <w:sz w:val="24"/>
          <w:szCs w:val="24"/>
        </w:rPr>
        <w:t xml:space="preserve"> </w:t>
      </w:r>
      <w:r w:rsidR="00D81837">
        <w:rPr>
          <w:sz w:val="24"/>
          <w:szCs w:val="24"/>
        </w:rPr>
        <w:t xml:space="preserve">2) </w:t>
      </w:r>
      <w:r>
        <w:rPr>
          <w:sz w:val="24"/>
          <w:szCs w:val="24"/>
        </w:rPr>
        <w:t>ensure that the widow QS is being reallocated to</w:t>
      </w:r>
      <w:r w:rsidR="00D81837">
        <w:rPr>
          <w:sz w:val="24"/>
          <w:szCs w:val="24"/>
        </w:rPr>
        <w:t xml:space="preserve"> the correct person or business;</w:t>
      </w:r>
      <w:r>
        <w:rPr>
          <w:sz w:val="24"/>
          <w:szCs w:val="24"/>
        </w:rPr>
        <w:t xml:space="preserve"> </w:t>
      </w:r>
      <w:r w:rsidR="00D81837">
        <w:rPr>
          <w:sz w:val="24"/>
          <w:szCs w:val="24"/>
        </w:rPr>
        <w:t>3) allow</w:t>
      </w:r>
      <w:r>
        <w:rPr>
          <w:sz w:val="24"/>
          <w:szCs w:val="24"/>
        </w:rPr>
        <w:t xml:space="preserve"> NMFS to know which QS permit owners accepted their reallocated widow QS percentages, and review supporting documentation for any permit owner who does not accept their reallocate</w:t>
      </w:r>
      <w:r w:rsidR="00D81837">
        <w:rPr>
          <w:sz w:val="24"/>
          <w:szCs w:val="24"/>
        </w:rPr>
        <w:t xml:space="preserve">d amount; </w:t>
      </w:r>
      <w:r w:rsidR="009A3F21">
        <w:rPr>
          <w:sz w:val="24"/>
          <w:szCs w:val="24"/>
        </w:rPr>
        <w:t xml:space="preserve">and </w:t>
      </w:r>
      <w:r w:rsidR="00D81837">
        <w:rPr>
          <w:sz w:val="24"/>
          <w:szCs w:val="24"/>
        </w:rPr>
        <w:t xml:space="preserve">4) obtain </w:t>
      </w:r>
      <w:r w:rsidR="00D81837">
        <w:rPr>
          <w:bCs/>
          <w:sz w:val="24"/>
          <w:szCs w:val="24"/>
        </w:rPr>
        <w:t xml:space="preserve">the signature of the owner or an authorized representative who has declared they are authorized to certify the form. The information will allow NMFS to implement the rulemaking and reallocation with certification and acknowledgement from the QS permit owners, and update any incorrect information used in </w:t>
      </w:r>
      <w:r w:rsidR="00D81837">
        <w:rPr>
          <w:bCs/>
          <w:sz w:val="24"/>
          <w:szCs w:val="24"/>
        </w:rPr>
        <w:lastRenderedPageBreak/>
        <w:t xml:space="preserve">the reallocation calculation. </w:t>
      </w:r>
    </w:p>
    <w:p w14:paraId="4E9114E8" w14:textId="77777777" w:rsidR="00D81837" w:rsidRDefault="00D81837">
      <w:pPr>
        <w:rPr>
          <w:sz w:val="24"/>
          <w:szCs w:val="24"/>
        </w:rPr>
      </w:pPr>
    </w:p>
    <w:p w14:paraId="55F90C5C" w14:textId="016F99B2" w:rsidR="000852B2" w:rsidRPr="002D28E3" w:rsidRDefault="00D81837">
      <w:pPr>
        <w:rPr>
          <w:sz w:val="24"/>
          <w:szCs w:val="24"/>
        </w:rPr>
      </w:pPr>
      <w:r>
        <w:rPr>
          <w:sz w:val="24"/>
          <w:szCs w:val="24"/>
        </w:rPr>
        <w:t xml:space="preserve">The information on the application will not be disseminated to the public, other than to post the final reallocated widow QS percentages to the </w:t>
      </w:r>
      <w:hyperlink r:id="rId10" w:history="1">
        <w:r w:rsidRPr="00D81837">
          <w:rPr>
            <w:rStyle w:val="Hyperlink"/>
            <w:sz w:val="24"/>
            <w:szCs w:val="24"/>
          </w:rPr>
          <w:t>IFQ quota share account balance page</w:t>
        </w:r>
      </w:hyperlink>
      <w:r>
        <w:rPr>
          <w:sz w:val="24"/>
          <w:szCs w:val="24"/>
        </w:rPr>
        <w:t xml:space="preserve">, along with all other QS percentages for all other species. None of the contact information (phone number, fax number, email address), or information on whether the QS permit owner accepted or denied the reallocated amount will be released to the public. </w:t>
      </w:r>
    </w:p>
    <w:p w14:paraId="4E5C0B53" w14:textId="77777777" w:rsidR="00C94772" w:rsidRDefault="00C94772">
      <w:pPr>
        <w:rPr>
          <w:sz w:val="24"/>
          <w:szCs w:val="24"/>
        </w:rPr>
      </w:pPr>
    </w:p>
    <w:p w14:paraId="3C2B4A31"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63CA07E0" w14:textId="77777777" w:rsidR="004F26E9" w:rsidRDefault="004F26E9">
      <w:pPr>
        <w:rPr>
          <w:sz w:val="24"/>
          <w:szCs w:val="24"/>
        </w:rPr>
      </w:pPr>
    </w:p>
    <w:p w14:paraId="589D008E" w14:textId="77777777" w:rsidR="00D81837" w:rsidRDefault="00647332" w:rsidP="00677959">
      <w:pPr>
        <w:rPr>
          <w:sz w:val="24"/>
          <w:szCs w:val="24"/>
        </w:rPr>
      </w:pPr>
      <w:r>
        <w:rPr>
          <w:sz w:val="24"/>
          <w:szCs w:val="24"/>
        </w:rPr>
        <w:t xml:space="preserve">The </w:t>
      </w:r>
      <w:r w:rsidR="00D81837">
        <w:rPr>
          <w:sz w:val="24"/>
          <w:szCs w:val="24"/>
        </w:rPr>
        <w:t xml:space="preserve">temporary new </w:t>
      </w:r>
      <w:r>
        <w:rPr>
          <w:sz w:val="24"/>
          <w:szCs w:val="24"/>
        </w:rPr>
        <w:t xml:space="preserve">collection </w:t>
      </w:r>
      <w:r w:rsidR="00D81837">
        <w:rPr>
          <w:sz w:val="24"/>
          <w:szCs w:val="24"/>
        </w:rPr>
        <w:t xml:space="preserve">will be done exclusively by mail, and NMFS will not accept emailed versions of the application form. </w:t>
      </w:r>
    </w:p>
    <w:p w14:paraId="1A2B1BCF" w14:textId="77777777" w:rsidR="00D81837" w:rsidRDefault="00D81837" w:rsidP="00677959">
      <w:pPr>
        <w:rPr>
          <w:sz w:val="24"/>
          <w:szCs w:val="24"/>
        </w:rPr>
      </w:pPr>
    </w:p>
    <w:p w14:paraId="47BFA65F" w14:textId="123EA8BE" w:rsidR="004F26E9" w:rsidRDefault="004F26E9" w:rsidP="0067795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1E5E73CA" w14:textId="77777777" w:rsidR="004F26E9" w:rsidRDefault="004F26E9">
      <w:pPr>
        <w:rPr>
          <w:sz w:val="24"/>
          <w:szCs w:val="24"/>
        </w:rPr>
      </w:pPr>
    </w:p>
    <w:p w14:paraId="288CC7BA" w14:textId="4D602836" w:rsidR="004F26E9" w:rsidRDefault="00C94772">
      <w:pPr>
        <w:rPr>
          <w:bCs/>
          <w:sz w:val="24"/>
          <w:szCs w:val="24"/>
        </w:rPr>
      </w:pPr>
      <w:r>
        <w:rPr>
          <w:bCs/>
          <w:sz w:val="24"/>
          <w:szCs w:val="24"/>
        </w:rPr>
        <w:t>This is a unique information collection</w:t>
      </w:r>
      <w:r w:rsidR="00CD7EAE">
        <w:rPr>
          <w:bCs/>
          <w:sz w:val="24"/>
          <w:szCs w:val="24"/>
        </w:rPr>
        <w:t xml:space="preserve"> and does not duplicate other collections. The trawl rationalization program was developed by the Pacific Fishery Management Council and is unique to the commercial Pacific coast trawl fisheries. The program and </w:t>
      </w:r>
      <w:r w:rsidR="00D81837">
        <w:rPr>
          <w:bCs/>
          <w:sz w:val="24"/>
          <w:szCs w:val="24"/>
        </w:rPr>
        <w:t xml:space="preserve">the temporary new </w:t>
      </w:r>
      <w:r w:rsidR="00CD7EAE">
        <w:rPr>
          <w:bCs/>
          <w:sz w:val="24"/>
          <w:szCs w:val="24"/>
        </w:rPr>
        <w:t>information collection is specific to a section of the Pacific coast commercial fishing industry</w:t>
      </w:r>
      <w:r w:rsidR="00D81837">
        <w:rPr>
          <w:bCs/>
          <w:sz w:val="24"/>
          <w:szCs w:val="24"/>
        </w:rPr>
        <w:t>, the IFQ sector</w:t>
      </w:r>
      <w:r w:rsidR="00CD7EAE">
        <w:rPr>
          <w:bCs/>
          <w:sz w:val="24"/>
          <w:szCs w:val="24"/>
        </w:rPr>
        <w:t xml:space="preserve">. The information collected is required to implement and administer the </w:t>
      </w:r>
      <w:r w:rsidR="00D81837">
        <w:rPr>
          <w:bCs/>
          <w:sz w:val="24"/>
          <w:szCs w:val="24"/>
        </w:rPr>
        <w:t>reallocation of widow rockfish QS</w:t>
      </w:r>
      <w:r w:rsidR="00CD7EAE">
        <w:rPr>
          <w:bCs/>
          <w:sz w:val="24"/>
          <w:szCs w:val="24"/>
        </w:rPr>
        <w:t xml:space="preserve">. </w:t>
      </w:r>
    </w:p>
    <w:p w14:paraId="6371C030" w14:textId="77777777" w:rsidR="004F26E9" w:rsidRDefault="004F26E9">
      <w:pPr>
        <w:rPr>
          <w:sz w:val="24"/>
          <w:szCs w:val="24"/>
        </w:rPr>
      </w:pPr>
    </w:p>
    <w:p w14:paraId="1DE6CB0E"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3A0894DA" w14:textId="77777777" w:rsidR="004F26E9" w:rsidRDefault="004F26E9">
      <w:pPr>
        <w:rPr>
          <w:sz w:val="24"/>
          <w:szCs w:val="24"/>
        </w:rPr>
      </w:pPr>
    </w:p>
    <w:p w14:paraId="764354F2" w14:textId="3C02A868" w:rsidR="004F26E9" w:rsidRDefault="00DF16B2">
      <w:pPr>
        <w:rPr>
          <w:sz w:val="24"/>
          <w:szCs w:val="24"/>
        </w:rPr>
      </w:pPr>
      <w:r>
        <w:rPr>
          <w:sz w:val="24"/>
          <w:szCs w:val="24"/>
        </w:rPr>
        <w:t xml:space="preserve">Many of the respondents are small businesses. </w:t>
      </w:r>
      <w:r w:rsidR="00B752D3">
        <w:rPr>
          <w:sz w:val="24"/>
          <w:szCs w:val="24"/>
        </w:rPr>
        <w:t>NMFS</w:t>
      </w:r>
      <w:r>
        <w:rPr>
          <w:sz w:val="24"/>
          <w:szCs w:val="24"/>
        </w:rPr>
        <w:t xml:space="preserve"> will </w:t>
      </w:r>
      <w:r w:rsidR="006B4A2C">
        <w:rPr>
          <w:sz w:val="24"/>
          <w:szCs w:val="24"/>
        </w:rPr>
        <w:t xml:space="preserve">mail </w:t>
      </w:r>
      <w:r>
        <w:rPr>
          <w:sz w:val="24"/>
          <w:szCs w:val="24"/>
        </w:rPr>
        <w:t xml:space="preserve">prefilled forms </w:t>
      </w:r>
      <w:r w:rsidR="006B4A2C">
        <w:rPr>
          <w:sz w:val="24"/>
          <w:szCs w:val="24"/>
        </w:rPr>
        <w:t xml:space="preserve">to eligible QS permit owners </w:t>
      </w:r>
      <w:r>
        <w:rPr>
          <w:sz w:val="24"/>
          <w:szCs w:val="24"/>
        </w:rPr>
        <w:t xml:space="preserve">for </w:t>
      </w:r>
      <w:r w:rsidR="006B4A2C">
        <w:rPr>
          <w:sz w:val="24"/>
          <w:szCs w:val="24"/>
        </w:rPr>
        <w:t>this collection. R</w:t>
      </w:r>
      <w:r w:rsidR="00DC45B8">
        <w:rPr>
          <w:sz w:val="24"/>
          <w:szCs w:val="24"/>
        </w:rPr>
        <w:t xml:space="preserve">espondents will only need to certify that the current </w:t>
      </w:r>
      <w:r w:rsidR="006B4A2C">
        <w:rPr>
          <w:sz w:val="24"/>
          <w:szCs w:val="24"/>
        </w:rPr>
        <w:t xml:space="preserve">contact </w:t>
      </w:r>
      <w:r w:rsidR="00DC45B8">
        <w:rPr>
          <w:sz w:val="24"/>
          <w:szCs w:val="24"/>
        </w:rPr>
        <w:t xml:space="preserve">information is correct or make the applicable changes as necessary. </w:t>
      </w:r>
      <w:r w:rsidR="006B4A2C">
        <w:rPr>
          <w:sz w:val="24"/>
          <w:szCs w:val="24"/>
        </w:rPr>
        <w:t xml:space="preserve">Then they will need to review their reallocated widow rockfish amount, and can review their underlying calculation which will be mailed with the form. On the form, they must simply accept or deny the QS amount, and sign the form. If they do not accept the QS amount, they must provide supporting documentation. </w:t>
      </w:r>
    </w:p>
    <w:p w14:paraId="101EBB62" w14:textId="77777777" w:rsidR="004F26E9" w:rsidRDefault="004F26E9">
      <w:pPr>
        <w:rPr>
          <w:sz w:val="24"/>
          <w:szCs w:val="24"/>
        </w:rPr>
      </w:pPr>
    </w:p>
    <w:p w14:paraId="06074EA2"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616060E2" w14:textId="77777777" w:rsidR="004F26E9" w:rsidRDefault="004F26E9">
      <w:pPr>
        <w:rPr>
          <w:sz w:val="24"/>
          <w:szCs w:val="24"/>
        </w:rPr>
      </w:pPr>
    </w:p>
    <w:p w14:paraId="593FF5D4" w14:textId="172239FB" w:rsidR="00091296" w:rsidRPr="00091296" w:rsidRDefault="006B4A2C">
      <w:pPr>
        <w:rPr>
          <w:sz w:val="24"/>
          <w:szCs w:val="24"/>
        </w:rPr>
      </w:pPr>
      <w:r>
        <w:rPr>
          <w:sz w:val="24"/>
          <w:szCs w:val="24"/>
        </w:rPr>
        <w:t xml:space="preserve">This is a one-time collection of information that will allow NMFS to reallocate widow rockfish QS in the IFQ fishery. If the collection is not conducted, NMFS will not be able to implement the Pacific Fishery Management Council’s intent or implement the regulations, and will not be able to reallocate widow rockfish QS, which program participants want and need in order to begin trading. </w:t>
      </w:r>
    </w:p>
    <w:p w14:paraId="05C6B25E" w14:textId="77777777" w:rsidR="004F26E9" w:rsidRDefault="004F26E9">
      <w:pPr>
        <w:rPr>
          <w:sz w:val="24"/>
          <w:szCs w:val="24"/>
        </w:rPr>
      </w:pPr>
    </w:p>
    <w:p w14:paraId="32B5664A"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421E9D0" w14:textId="77777777" w:rsidR="00E1444B" w:rsidRDefault="00E1444B">
      <w:pPr>
        <w:rPr>
          <w:sz w:val="24"/>
          <w:szCs w:val="24"/>
        </w:rPr>
      </w:pPr>
    </w:p>
    <w:p w14:paraId="5413D4F6" w14:textId="77777777" w:rsidR="00E1444B" w:rsidRPr="00FD41D6" w:rsidRDefault="00E1444B" w:rsidP="00E1444B">
      <w:pPr>
        <w:rPr>
          <w:sz w:val="24"/>
          <w:szCs w:val="24"/>
        </w:rPr>
      </w:pPr>
      <w:r>
        <w:rPr>
          <w:iCs/>
          <w:sz w:val="24"/>
          <w:szCs w:val="24"/>
        </w:rPr>
        <w:t>Not applicable to this collection.</w:t>
      </w:r>
    </w:p>
    <w:p w14:paraId="17DDB9B6" w14:textId="77777777" w:rsidR="00725C5C" w:rsidRDefault="00725C5C">
      <w:pPr>
        <w:rPr>
          <w:b/>
          <w:bCs/>
          <w:sz w:val="24"/>
          <w:szCs w:val="24"/>
        </w:rPr>
      </w:pPr>
    </w:p>
    <w:p w14:paraId="302A3483"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19C04E53" w14:textId="77777777" w:rsidR="00091296" w:rsidRDefault="00091296">
      <w:pPr>
        <w:rPr>
          <w:color w:val="222222"/>
          <w:sz w:val="24"/>
          <w:szCs w:val="24"/>
          <w:shd w:val="clear" w:color="auto" w:fill="FFFFFF"/>
        </w:rPr>
      </w:pPr>
    </w:p>
    <w:p w14:paraId="018990B6" w14:textId="7F8667EF" w:rsidR="00091296" w:rsidRPr="00B372C2" w:rsidRDefault="00091296">
      <w:pPr>
        <w:rPr>
          <w:bCs/>
          <w:sz w:val="24"/>
          <w:szCs w:val="24"/>
        </w:rPr>
      </w:pPr>
      <w:r>
        <w:rPr>
          <w:color w:val="222222"/>
          <w:sz w:val="24"/>
          <w:szCs w:val="24"/>
          <w:shd w:val="clear" w:color="auto" w:fill="FFFFFF"/>
        </w:rPr>
        <w:t xml:space="preserve">A proposed rule </w:t>
      </w:r>
      <w:r w:rsidR="00064DC8" w:rsidRPr="006B5EAF">
        <w:rPr>
          <w:color w:val="222222"/>
          <w:sz w:val="24"/>
          <w:szCs w:val="24"/>
          <w:shd w:val="clear" w:color="auto" w:fill="FFFFFF"/>
        </w:rPr>
        <w:t>0648-</w:t>
      </w:r>
      <w:r w:rsidR="006B4A2C" w:rsidRPr="006B5EAF">
        <w:rPr>
          <w:color w:val="222222"/>
          <w:sz w:val="24"/>
          <w:szCs w:val="24"/>
          <w:shd w:val="clear" w:color="auto" w:fill="FFFFFF"/>
        </w:rPr>
        <w:t>BF1</w:t>
      </w:r>
      <w:r w:rsidR="006B4A2C">
        <w:rPr>
          <w:color w:val="222222"/>
          <w:sz w:val="24"/>
          <w:szCs w:val="24"/>
          <w:shd w:val="clear" w:color="auto" w:fill="FFFFFF"/>
        </w:rPr>
        <w:t>2</w:t>
      </w:r>
      <w:r w:rsidR="00064DC8">
        <w:rPr>
          <w:color w:val="222222"/>
          <w:sz w:val="24"/>
          <w:szCs w:val="24"/>
          <w:shd w:val="clear" w:color="auto" w:fill="FFFFFF"/>
        </w:rPr>
        <w:t>,</w:t>
      </w:r>
      <w:r w:rsidRPr="00064DC8">
        <w:rPr>
          <w:color w:val="222222"/>
          <w:sz w:val="24"/>
          <w:szCs w:val="24"/>
          <w:shd w:val="clear" w:color="auto" w:fill="FFFFFF"/>
        </w:rPr>
        <w:t xml:space="preserve"> </w:t>
      </w:r>
      <w:r w:rsidR="006B4A2C" w:rsidRPr="006B4A2C">
        <w:rPr>
          <w:color w:val="222222"/>
          <w:sz w:val="24"/>
          <w:szCs w:val="24"/>
          <w:shd w:val="clear" w:color="auto" w:fill="FFFFFF"/>
        </w:rPr>
        <w:t>Widow Rockfish Reallocation in the Individual Fishing Quota Fishery</w:t>
      </w:r>
      <w:r w:rsidR="006B4A2C">
        <w:rPr>
          <w:color w:val="222222"/>
          <w:sz w:val="24"/>
          <w:szCs w:val="24"/>
          <w:shd w:val="clear" w:color="auto" w:fill="FFFFFF"/>
        </w:rPr>
        <w:t>,</w:t>
      </w:r>
      <w:r w:rsidR="006B4A2C" w:rsidRPr="006B4A2C">
        <w:rPr>
          <w:color w:val="222222"/>
          <w:sz w:val="24"/>
          <w:szCs w:val="24"/>
          <w:shd w:val="clear" w:color="auto" w:fill="FFFFFF"/>
        </w:rPr>
        <w:t xml:space="preserve"> </w:t>
      </w:r>
      <w:r w:rsidR="009A3F21" w:rsidRPr="00064DC8">
        <w:rPr>
          <w:color w:val="222222"/>
          <w:sz w:val="24"/>
          <w:szCs w:val="24"/>
          <w:shd w:val="clear" w:color="auto" w:fill="FFFFFF"/>
        </w:rPr>
        <w:t>w</w:t>
      </w:r>
      <w:r w:rsidR="009A3F21">
        <w:rPr>
          <w:color w:val="222222"/>
          <w:sz w:val="24"/>
          <w:szCs w:val="24"/>
          <w:shd w:val="clear" w:color="auto" w:fill="FFFFFF"/>
        </w:rPr>
        <w:t xml:space="preserve">as </w:t>
      </w:r>
      <w:r>
        <w:rPr>
          <w:color w:val="222222"/>
          <w:sz w:val="24"/>
          <w:szCs w:val="24"/>
          <w:shd w:val="clear" w:color="auto" w:fill="FFFFFF"/>
        </w:rPr>
        <w:t xml:space="preserve">published coincident with the revision submission for this request, for public comment on the </w:t>
      </w:r>
      <w:r w:rsidR="006B4A2C">
        <w:rPr>
          <w:color w:val="222222"/>
          <w:sz w:val="24"/>
          <w:szCs w:val="24"/>
          <w:shd w:val="clear" w:color="auto" w:fill="FFFFFF"/>
        </w:rPr>
        <w:t>widow rockfish reallocation application form</w:t>
      </w:r>
      <w:r>
        <w:rPr>
          <w:color w:val="222222"/>
          <w:sz w:val="24"/>
          <w:szCs w:val="24"/>
          <w:shd w:val="clear" w:color="auto" w:fill="FFFFFF"/>
        </w:rPr>
        <w:t xml:space="preserve">. </w:t>
      </w:r>
      <w:r w:rsidR="009A3F21">
        <w:rPr>
          <w:color w:val="222222"/>
          <w:sz w:val="24"/>
          <w:szCs w:val="24"/>
          <w:shd w:val="clear" w:color="auto" w:fill="FFFFFF"/>
        </w:rPr>
        <w:t xml:space="preserve">NMFS received no comments applicable to the information collection requirements, and did not make any changes to the information collection request. </w:t>
      </w:r>
    </w:p>
    <w:p w14:paraId="15813F55" w14:textId="77777777" w:rsidR="00B372C2" w:rsidRDefault="00B372C2">
      <w:pPr>
        <w:rPr>
          <w:b/>
          <w:bCs/>
          <w:sz w:val="24"/>
          <w:szCs w:val="24"/>
        </w:rPr>
      </w:pPr>
    </w:p>
    <w:p w14:paraId="1A674F9D"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0865EDB4" w14:textId="77777777" w:rsidR="004F26E9" w:rsidRDefault="004F26E9">
      <w:pPr>
        <w:rPr>
          <w:sz w:val="24"/>
          <w:szCs w:val="24"/>
        </w:rPr>
      </w:pPr>
    </w:p>
    <w:p w14:paraId="495CBBF0" w14:textId="77777777" w:rsidR="00E1444B" w:rsidRPr="00FD41D6" w:rsidRDefault="00E1444B" w:rsidP="00E1444B">
      <w:pPr>
        <w:rPr>
          <w:sz w:val="24"/>
          <w:szCs w:val="24"/>
        </w:rPr>
      </w:pPr>
      <w:r>
        <w:rPr>
          <w:iCs/>
          <w:sz w:val="24"/>
          <w:szCs w:val="24"/>
        </w:rPr>
        <w:t>Not applicable to this collection.</w:t>
      </w:r>
    </w:p>
    <w:p w14:paraId="05A2C876" w14:textId="77777777" w:rsidR="004F26E9" w:rsidRDefault="004F26E9">
      <w:pPr>
        <w:rPr>
          <w:sz w:val="24"/>
          <w:szCs w:val="24"/>
        </w:rPr>
      </w:pPr>
    </w:p>
    <w:p w14:paraId="50F0FFA1"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488B9622" w14:textId="77777777" w:rsidR="004F26E9" w:rsidRDefault="004F26E9">
      <w:pPr>
        <w:rPr>
          <w:sz w:val="24"/>
          <w:szCs w:val="24"/>
        </w:rPr>
      </w:pPr>
    </w:p>
    <w:p w14:paraId="2E0B7D9B" w14:textId="351525F6" w:rsidR="004F26E9" w:rsidRPr="004C5E29" w:rsidRDefault="00530C5F">
      <w:pPr>
        <w:rPr>
          <w:sz w:val="24"/>
          <w:szCs w:val="24"/>
        </w:rPr>
      </w:pPr>
      <w:r>
        <w:rPr>
          <w:sz w:val="24"/>
          <w:szCs w:val="24"/>
        </w:rPr>
        <w:t xml:space="preserve">Some of the information collected above is confidential under section 402(b) of the MSA. It is also confidential under </w:t>
      </w:r>
      <w:hyperlink r:id="rId11" w:history="1">
        <w:r w:rsidRPr="00E11A02">
          <w:rPr>
            <w:rStyle w:val="Hyperlink"/>
            <w:sz w:val="24"/>
            <w:szCs w:val="24"/>
          </w:rPr>
          <w:t>NOAA Administrative Order 216-100</w:t>
        </w:r>
      </w:hyperlink>
      <w:r w:rsidRPr="004C5E29">
        <w:rPr>
          <w:sz w:val="24"/>
          <w:szCs w:val="24"/>
        </w:rPr>
        <w:t>, Protection of Confidential Fisheries Statistics. All collections of phone numbers, fax numbers and email addresses</w:t>
      </w:r>
      <w:r w:rsidR="00322CFB" w:rsidRPr="004C5E29">
        <w:rPr>
          <w:sz w:val="24"/>
          <w:szCs w:val="24"/>
        </w:rPr>
        <w:t xml:space="preserve"> are not released to the public. A statement of the confidentiality of this information is provided on each form. </w:t>
      </w:r>
    </w:p>
    <w:p w14:paraId="09DE6254" w14:textId="77777777" w:rsidR="004F26E9" w:rsidRPr="004C5E29" w:rsidRDefault="004F26E9">
      <w:pPr>
        <w:rPr>
          <w:sz w:val="24"/>
          <w:szCs w:val="24"/>
        </w:rPr>
      </w:pPr>
    </w:p>
    <w:p w14:paraId="336EDAC7" w14:textId="6BC6C84A" w:rsidR="005D3F69" w:rsidRDefault="00322CFB" w:rsidP="009A3F21">
      <w:pPr>
        <w:rPr>
          <w:sz w:val="24"/>
          <w:szCs w:val="24"/>
        </w:rPr>
      </w:pPr>
      <w:r w:rsidRPr="004C5E29">
        <w:rPr>
          <w:sz w:val="24"/>
          <w:szCs w:val="24"/>
        </w:rPr>
        <w:t xml:space="preserve">The information collected is part of a Privacy </w:t>
      </w:r>
      <w:r w:rsidR="005D3F69" w:rsidRPr="004C5E29">
        <w:rPr>
          <w:sz w:val="24"/>
          <w:szCs w:val="24"/>
        </w:rPr>
        <w:t>Act System of Records (SORN), COMMERCE/</w:t>
      </w:r>
      <w:r w:rsidRPr="004C5E29">
        <w:rPr>
          <w:sz w:val="24"/>
          <w:szCs w:val="24"/>
        </w:rPr>
        <w:t>NOAA #19, Permits and Registrations for United States Federally Regulated Fisheries. A notice was published in the Federal Register on April 17, 2008 (73 FR 20914) and became effective on June 11, 2008 (73 FR 33065).</w:t>
      </w:r>
      <w:r>
        <w:rPr>
          <w:sz w:val="24"/>
          <w:szCs w:val="24"/>
        </w:rPr>
        <w:t xml:space="preserve"> </w:t>
      </w:r>
      <w:r w:rsidR="009A3F21" w:rsidRPr="009A3F21">
        <w:rPr>
          <w:sz w:val="24"/>
          <w:szCs w:val="24"/>
        </w:rPr>
        <w:t>An amended SORN was published on August</w:t>
      </w:r>
      <w:r w:rsidR="009A3F21">
        <w:rPr>
          <w:sz w:val="24"/>
          <w:szCs w:val="24"/>
        </w:rPr>
        <w:t xml:space="preserve"> </w:t>
      </w:r>
      <w:r w:rsidR="009A3F21" w:rsidRPr="009A3F21">
        <w:rPr>
          <w:sz w:val="24"/>
          <w:szCs w:val="24"/>
        </w:rPr>
        <w:t>7, 2015 (80 FR 47457) and became effective on S</w:t>
      </w:r>
      <w:r w:rsidR="009A3F21">
        <w:rPr>
          <w:sz w:val="24"/>
          <w:szCs w:val="24"/>
        </w:rPr>
        <w:t>eptember 15, 2015 (80 FR 55327).</w:t>
      </w:r>
    </w:p>
    <w:p w14:paraId="3ECBC8DA" w14:textId="77777777" w:rsidR="00322CFB" w:rsidRDefault="00322CFB">
      <w:pPr>
        <w:rPr>
          <w:sz w:val="24"/>
          <w:szCs w:val="24"/>
        </w:rPr>
      </w:pPr>
    </w:p>
    <w:p w14:paraId="2AE534C1" w14:textId="77777777" w:rsidR="00B3247A"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3625969F" w14:textId="77777777" w:rsidR="00B3247A" w:rsidRDefault="00B3247A">
      <w:pPr>
        <w:rPr>
          <w:sz w:val="24"/>
          <w:szCs w:val="24"/>
        </w:rPr>
      </w:pPr>
    </w:p>
    <w:p w14:paraId="5B1028AD" w14:textId="77777777" w:rsidR="00B3247A" w:rsidRDefault="000357C7">
      <w:pPr>
        <w:rPr>
          <w:iCs/>
          <w:sz w:val="24"/>
          <w:szCs w:val="24"/>
        </w:rPr>
      </w:pPr>
      <w:r>
        <w:rPr>
          <w:iCs/>
          <w:sz w:val="24"/>
          <w:szCs w:val="24"/>
        </w:rPr>
        <w:t>Not applicable to this collection.</w:t>
      </w:r>
    </w:p>
    <w:p w14:paraId="15F569AA" w14:textId="77777777" w:rsidR="006B4A2C" w:rsidRDefault="006B4A2C">
      <w:pPr>
        <w:rPr>
          <w:sz w:val="24"/>
          <w:szCs w:val="24"/>
        </w:rPr>
      </w:pPr>
    </w:p>
    <w:p w14:paraId="02E3590E"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6DC2DB3" w14:textId="77777777" w:rsidR="004F26E9" w:rsidRDefault="004F26E9">
      <w:pPr>
        <w:rPr>
          <w:sz w:val="24"/>
          <w:szCs w:val="24"/>
        </w:rPr>
      </w:pPr>
    </w:p>
    <w:p w14:paraId="27D20E0A" w14:textId="77777777" w:rsidR="00877BDE" w:rsidRDefault="00877BDE">
      <w:pPr>
        <w:rPr>
          <w:sz w:val="24"/>
          <w:szCs w:val="24"/>
        </w:rPr>
      </w:pPr>
      <w:r>
        <w:rPr>
          <w:sz w:val="24"/>
          <w:szCs w:val="24"/>
        </w:rPr>
        <w:t xml:space="preserve">The total estimated annual time burden to the respondents or record-keepers resulting from this temporary new collection is 128 hours. </w:t>
      </w:r>
    </w:p>
    <w:p w14:paraId="68808317" w14:textId="77777777" w:rsidR="009A3F21" w:rsidRDefault="009A3F21">
      <w:pPr>
        <w:rPr>
          <w:sz w:val="24"/>
          <w:szCs w:val="24"/>
        </w:rPr>
      </w:pPr>
    </w:p>
    <w:tbl>
      <w:tblPr>
        <w:tblW w:w="9815" w:type="dxa"/>
        <w:jc w:val="center"/>
        <w:tblLook w:val="04A0" w:firstRow="1" w:lastRow="0" w:firstColumn="1" w:lastColumn="0" w:noHBand="0" w:noVBand="1"/>
      </w:tblPr>
      <w:tblGrid>
        <w:gridCol w:w="1720"/>
        <w:gridCol w:w="1620"/>
        <w:gridCol w:w="1435"/>
        <w:gridCol w:w="1350"/>
        <w:gridCol w:w="1170"/>
        <w:gridCol w:w="1350"/>
        <w:gridCol w:w="1170"/>
      </w:tblGrid>
      <w:tr w:rsidR="000357C7" w:rsidRPr="000357C7" w14:paraId="7D9BFC65" w14:textId="77777777" w:rsidTr="004272BB">
        <w:trPr>
          <w:cantSplit/>
          <w:trHeight w:val="900"/>
          <w:tblHeader/>
          <w:jc w:val="center"/>
        </w:trPr>
        <w:tc>
          <w:tcPr>
            <w:tcW w:w="1720"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14:paraId="4071503A"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Collection</w:t>
            </w:r>
          </w:p>
        </w:tc>
        <w:tc>
          <w:tcPr>
            <w:tcW w:w="1620" w:type="dxa"/>
            <w:tcBorders>
              <w:top w:val="single" w:sz="4" w:space="0" w:color="A6A6A6"/>
              <w:left w:val="nil"/>
              <w:bottom w:val="single" w:sz="4" w:space="0" w:color="A6A6A6"/>
              <w:right w:val="single" w:sz="4" w:space="0" w:color="A6A6A6"/>
            </w:tcBorders>
            <w:shd w:val="clear" w:color="000000" w:fill="538DD5"/>
            <w:vAlign w:val="center"/>
            <w:hideMark/>
          </w:tcPr>
          <w:p w14:paraId="561F9C8F"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Responsible Party</w:t>
            </w:r>
          </w:p>
        </w:tc>
        <w:tc>
          <w:tcPr>
            <w:tcW w:w="1435" w:type="dxa"/>
            <w:tcBorders>
              <w:top w:val="single" w:sz="4" w:space="0" w:color="A6A6A6"/>
              <w:left w:val="nil"/>
              <w:bottom w:val="single" w:sz="4" w:space="0" w:color="A6A6A6"/>
              <w:right w:val="single" w:sz="4" w:space="0" w:color="A6A6A6"/>
            </w:tcBorders>
            <w:shd w:val="clear" w:color="000000" w:fill="538DD5"/>
            <w:vAlign w:val="center"/>
            <w:hideMark/>
          </w:tcPr>
          <w:p w14:paraId="15C5EB79"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Number of Respondents (a)</w:t>
            </w:r>
          </w:p>
        </w:tc>
        <w:tc>
          <w:tcPr>
            <w:tcW w:w="1350" w:type="dxa"/>
            <w:tcBorders>
              <w:top w:val="single" w:sz="4" w:space="0" w:color="A6A6A6"/>
              <w:left w:val="nil"/>
              <w:bottom w:val="single" w:sz="4" w:space="0" w:color="A6A6A6"/>
              <w:right w:val="single" w:sz="4" w:space="0" w:color="A6A6A6"/>
            </w:tcBorders>
            <w:shd w:val="clear" w:color="000000" w:fill="538DD5"/>
            <w:vAlign w:val="center"/>
            <w:hideMark/>
          </w:tcPr>
          <w:p w14:paraId="64E74C68" w14:textId="269217BD"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Frequency of R</w:t>
            </w:r>
            <w:r w:rsidR="005D3F69">
              <w:rPr>
                <w:rFonts w:ascii="Arial" w:hAnsi="Arial" w:cs="Arial"/>
                <w:b/>
                <w:bCs/>
                <w:color w:val="FFFFFF"/>
                <w:sz w:val="16"/>
                <w:szCs w:val="16"/>
              </w:rPr>
              <w:t>esponses Per Year</w:t>
            </w:r>
            <w:r w:rsidRPr="000357C7">
              <w:rPr>
                <w:rFonts w:ascii="Arial" w:hAnsi="Arial" w:cs="Arial"/>
                <w:b/>
                <w:bCs/>
                <w:color w:val="FFFFFF"/>
                <w:sz w:val="16"/>
                <w:szCs w:val="16"/>
              </w:rPr>
              <w:t xml:space="preserve"> (b)</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186B2E9D"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Total Number of Responses Per Year                 (c) = (a*b)</w:t>
            </w:r>
          </w:p>
        </w:tc>
        <w:tc>
          <w:tcPr>
            <w:tcW w:w="1350" w:type="dxa"/>
            <w:tcBorders>
              <w:top w:val="single" w:sz="4" w:space="0" w:color="A6A6A6"/>
              <w:left w:val="nil"/>
              <w:bottom w:val="single" w:sz="4" w:space="0" w:color="A6A6A6"/>
              <w:right w:val="single" w:sz="4" w:space="0" w:color="A6A6A6"/>
            </w:tcBorders>
            <w:shd w:val="clear" w:color="000000" w:fill="538DD5"/>
            <w:vAlign w:val="center"/>
            <w:hideMark/>
          </w:tcPr>
          <w:p w14:paraId="62E80809"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Average Time Per Response     (In Minutes)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7A893AA6"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Annual Burden (In Hours)       (e) = (c)*(d/60)</w:t>
            </w:r>
          </w:p>
        </w:tc>
      </w:tr>
      <w:tr w:rsidR="000357C7" w:rsidRPr="000357C7" w14:paraId="723A914F"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642EA5E7" w14:textId="4DA585B3" w:rsidR="000357C7" w:rsidRPr="000357C7" w:rsidRDefault="00877BDE" w:rsidP="000357C7">
            <w:pPr>
              <w:widowControl/>
              <w:autoSpaceDE/>
              <w:autoSpaceDN/>
              <w:adjustRightInd/>
              <w:rPr>
                <w:rFonts w:ascii="Arial" w:hAnsi="Arial" w:cs="Arial"/>
                <w:color w:val="000000"/>
                <w:sz w:val="16"/>
                <w:szCs w:val="16"/>
              </w:rPr>
            </w:pPr>
            <w:r>
              <w:rPr>
                <w:rFonts w:ascii="Arial" w:hAnsi="Arial" w:cs="Arial"/>
                <w:color w:val="000000"/>
                <w:sz w:val="16"/>
                <w:szCs w:val="16"/>
              </w:rPr>
              <w:t>Widow Rockfish Reallocation Application Form</w:t>
            </w:r>
          </w:p>
        </w:tc>
        <w:tc>
          <w:tcPr>
            <w:tcW w:w="1620" w:type="dxa"/>
            <w:tcBorders>
              <w:top w:val="nil"/>
              <w:left w:val="nil"/>
              <w:bottom w:val="single" w:sz="4" w:space="0" w:color="A6A6A6"/>
              <w:right w:val="single" w:sz="4" w:space="0" w:color="A6A6A6"/>
            </w:tcBorders>
            <w:shd w:val="clear" w:color="auto" w:fill="auto"/>
            <w:vAlign w:val="center"/>
            <w:hideMark/>
          </w:tcPr>
          <w:p w14:paraId="6C9F6874" w14:textId="62070E46" w:rsidR="000357C7" w:rsidRPr="000357C7" w:rsidRDefault="00877BDE" w:rsidP="000357C7">
            <w:pPr>
              <w:widowControl/>
              <w:autoSpaceDE/>
              <w:autoSpaceDN/>
              <w:adjustRightInd/>
              <w:rPr>
                <w:rFonts w:ascii="Arial" w:hAnsi="Arial" w:cs="Arial"/>
                <w:color w:val="000000"/>
                <w:sz w:val="16"/>
                <w:szCs w:val="16"/>
              </w:rPr>
            </w:pPr>
            <w:r>
              <w:rPr>
                <w:rFonts w:ascii="Arial" w:hAnsi="Arial" w:cs="Arial"/>
                <w:color w:val="000000"/>
                <w:sz w:val="16"/>
                <w:szCs w:val="16"/>
              </w:rPr>
              <w:t>Original QS Permit Owners</w:t>
            </w:r>
          </w:p>
        </w:tc>
        <w:tc>
          <w:tcPr>
            <w:tcW w:w="1435" w:type="dxa"/>
            <w:tcBorders>
              <w:top w:val="nil"/>
              <w:left w:val="nil"/>
              <w:bottom w:val="single" w:sz="4" w:space="0" w:color="A6A6A6"/>
              <w:right w:val="single" w:sz="4" w:space="0" w:color="A6A6A6"/>
            </w:tcBorders>
            <w:shd w:val="clear" w:color="auto" w:fill="auto"/>
            <w:vAlign w:val="center"/>
            <w:hideMark/>
          </w:tcPr>
          <w:p w14:paraId="3A772CAB" w14:textId="43BB82FF" w:rsidR="000357C7" w:rsidRPr="000357C7" w:rsidRDefault="00877BDE"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c>
          <w:tcPr>
            <w:tcW w:w="1350" w:type="dxa"/>
            <w:tcBorders>
              <w:top w:val="nil"/>
              <w:left w:val="nil"/>
              <w:bottom w:val="single" w:sz="4" w:space="0" w:color="A6A6A6"/>
              <w:right w:val="single" w:sz="4" w:space="0" w:color="A6A6A6"/>
            </w:tcBorders>
            <w:shd w:val="clear" w:color="auto" w:fill="auto"/>
            <w:vAlign w:val="center"/>
            <w:hideMark/>
          </w:tcPr>
          <w:p w14:paraId="08F95FC9"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1DC5651" w14:textId="0B9D5C3D" w:rsidR="000357C7" w:rsidRPr="000357C7" w:rsidRDefault="00877BDE"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c>
          <w:tcPr>
            <w:tcW w:w="1350" w:type="dxa"/>
            <w:tcBorders>
              <w:top w:val="nil"/>
              <w:left w:val="nil"/>
              <w:bottom w:val="single" w:sz="4" w:space="0" w:color="A6A6A6"/>
              <w:right w:val="single" w:sz="4" w:space="0" w:color="A6A6A6"/>
            </w:tcBorders>
            <w:shd w:val="clear" w:color="auto" w:fill="auto"/>
            <w:noWrap/>
            <w:vAlign w:val="center"/>
            <w:hideMark/>
          </w:tcPr>
          <w:p w14:paraId="5CE85962" w14:textId="2EE83D58" w:rsidR="000357C7" w:rsidRPr="000357C7" w:rsidRDefault="00877BDE"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60</w:t>
            </w:r>
          </w:p>
        </w:tc>
        <w:tc>
          <w:tcPr>
            <w:tcW w:w="1170" w:type="dxa"/>
            <w:tcBorders>
              <w:top w:val="nil"/>
              <w:left w:val="nil"/>
              <w:bottom w:val="single" w:sz="4" w:space="0" w:color="A6A6A6"/>
              <w:right w:val="single" w:sz="4" w:space="0" w:color="A6A6A6"/>
            </w:tcBorders>
            <w:shd w:val="clear" w:color="auto" w:fill="auto"/>
            <w:noWrap/>
            <w:vAlign w:val="center"/>
            <w:hideMark/>
          </w:tcPr>
          <w:p w14:paraId="58B9FD63" w14:textId="1E8620C1" w:rsidR="000357C7" w:rsidRPr="000357C7" w:rsidRDefault="00877BDE"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r>
      <w:tr w:rsidR="000357C7" w:rsidRPr="000357C7" w14:paraId="0B3147B2" w14:textId="77777777" w:rsidTr="004272BB">
        <w:trPr>
          <w:cantSplit/>
          <w:trHeight w:val="225"/>
          <w:tblHeader/>
          <w:jc w:val="center"/>
        </w:trPr>
        <w:tc>
          <w:tcPr>
            <w:tcW w:w="1720" w:type="dxa"/>
            <w:tcBorders>
              <w:top w:val="nil"/>
              <w:left w:val="single" w:sz="4" w:space="0" w:color="A6A6A6"/>
              <w:bottom w:val="single" w:sz="4" w:space="0" w:color="A6A6A6"/>
              <w:right w:val="single" w:sz="4" w:space="0" w:color="A6A6A6"/>
            </w:tcBorders>
            <w:shd w:val="clear" w:color="auto" w:fill="auto"/>
            <w:noWrap/>
            <w:vAlign w:val="center"/>
            <w:hideMark/>
          </w:tcPr>
          <w:p w14:paraId="417EF526" w14:textId="1AA3400B" w:rsidR="000357C7" w:rsidRPr="000357C7" w:rsidRDefault="000357C7" w:rsidP="000357C7">
            <w:pPr>
              <w:widowControl/>
              <w:autoSpaceDE/>
              <w:autoSpaceDN/>
              <w:adjustRightInd/>
              <w:rPr>
                <w:rFonts w:ascii="Arial" w:hAnsi="Arial" w:cs="Arial"/>
                <w:b/>
                <w:bCs/>
                <w:color w:val="000000"/>
                <w:sz w:val="16"/>
                <w:szCs w:val="16"/>
              </w:rPr>
            </w:pPr>
            <w:r w:rsidRPr="000357C7">
              <w:rPr>
                <w:rFonts w:ascii="Arial" w:hAnsi="Arial" w:cs="Arial"/>
                <w:b/>
                <w:bCs/>
                <w:color w:val="000000"/>
                <w:sz w:val="16"/>
                <w:szCs w:val="16"/>
              </w:rPr>
              <w:t>TOTAL</w:t>
            </w:r>
            <w:r w:rsidR="00877BDE">
              <w:rPr>
                <w:rFonts w:ascii="Arial" w:hAnsi="Arial" w:cs="Arial"/>
                <w:b/>
                <w:bCs/>
                <w:color w:val="000000"/>
                <w:sz w:val="16"/>
                <w:szCs w:val="16"/>
              </w:rPr>
              <w:t xml:space="preserve"> BURDEN HOURS</w:t>
            </w:r>
          </w:p>
        </w:tc>
        <w:tc>
          <w:tcPr>
            <w:tcW w:w="1620" w:type="dxa"/>
            <w:tcBorders>
              <w:top w:val="nil"/>
              <w:left w:val="nil"/>
              <w:bottom w:val="single" w:sz="4" w:space="0" w:color="A6A6A6"/>
              <w:right w:val="single" w:sz="4" w:space="0" w:color="A6A6A6"/>
            </w:tcBorders>
            <w:shd w:val="clear" w:color="auto" w:fill="auto"/>
            <w:noWrap/>
            <w:vAlign w:val="center"/>
            <w:hideMark/>
          </w:tcPr>
          <w:p w14:paraId="3E8F8680" w14:textId="77777777" w:rsidR="000357C7" w:rsidRPr="000357C7" w:rsidRDefault="000357C7" w:rsidP="0038745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p>
        </w:tc>
        <w:tc>
          <w:tcPr>
            <w:tcW w:w="1435" w:type="dxa"/>
            <w:tcBorders>
              <w:top w:val="nil"/>
              <w:left w:val="nil"/>
              <w:bottom w:val="single" w:sz="4" w:space="0" w:color="A6A6A6"/>
              <w:right w:val="single" w:sz="4" w:space="0" w:color="A6A6A6"/>
            </w:tcBorders>
            <w:shd w:val="clear" w:color="auto" w:fill="auto"/>
            <w:noWrap/>
            <w:vAlign w:val="center"/>
            <w:hideMark/>
          </w:tcPr>
          <w:p w14:paraId="2327B238" w14:textId="404370C7" w:rsidR="000357C7" w:rsidRPr="000357C7" w:rsidRDefault="00877BDE" w:rsidP="000357C7">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128</w:t>
            </w:r>
            <w:r w:rsidR="00387457">
              <w:rPr>
                <w:rFonts w:ascii="Arial" w:hAnsi="Arial" w:cs="Arial"/>
                <w:b/>
                <w:bCs/>
                <w:color w:val="000000"/>
                <w:sz w:val="16"/>
                <w:szCs w:val="16"/>
              </w:rPr>
              <w:t xml:space="preserve"> Unique Respondents</w:t>
            </w:r>
          </w:p>
        </w:tc>
        <w:tc>
          <w:tcPr>
            <w:tcW w:w="1350" w:type="dxa"/>
            <w:tcBorders>
              <w:top w:val="nil"/>
              <w:left w:val="nil"/>
              <w:bottom w:val="single" w:sz="4" w:space="0" w:color="A6A6A6"/>
              <w:right w:val="single" w:sz="4" w:space="0" w:color="A6A6A6"/>
            </w:tcBorders>
            <w:shd w:val="clear" w:color="auto" w:fill="auto"/>
            <w:noWrap/>
            <w:vAlign w:val="center"/>
            <w:hideMark/>
          </w:tcPr>
          <w:p w14:paraId="44ECE064" w14:textId="77777777" w:rsidR="000357C7" w:rsidRPr="000357C7" w:rsidRDefault="000357C7" w:rsidP="000357C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4E693232" w14:textId="1C560631" w:rsidR="000357C7" w:rsidRPr="000357C7" w:rsidRDefault="00877BDE" w:rsidP="000357C7">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128</w:t>
            </w:r>
            <w:r w:rsidR="00AB5615">
              <w:rPr>
                <w:rFonts w:ascii="Arial" w:hAnsi="Arial" w:cs="Arial"/>
                <w:b/>
                <w:bCs/>
                <w:color w:val="000000"/>
                <w:sz w:val="16"/>
                <w:szCs w:val="16"/>
              </w:rPr>
              <w:t xml:space="preserve"> Responses</w:t>
            </w:r>
          </w:p>
        </w:tc>
        <w:tc>
          <w:tcPr>
            <w:tcW w:w="1350" w:type="dxa"/>
            <w:tcBorders>
              <w:top w:val="nil"/>
              <w:left w:val="nil"/>
              <w:bottom w:val="single" w:sz="4" w:space="0" w:color="A6A6A6"/>
              <w:right w:val="single" w:sz="4" w:space="0" w:color="A6A6A6"/>
            </w:tcBorders>
            <w:shd w:val="clear" w:color="auto" w:fill="auto"/>
            <w:noWrap/>
            <w:vAlign w:val="center"/>
            <w:hideMark/>
          </w:tcPr>
          <w:p w14:paraId="34B78826" w14:textId="77777777" w:rsidR="000357C7" w:rsidRPr="000357C7" w:rsidRDefault="000357C7" w:rsidP="000357C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7FEEE76D" w14:textId="29614ECA" w:rsidR="000357C7" w:rsidRPr="000357C7" w:rsidRDefault="00877BDE" w:rsidP="00152C38">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128</w:t>
            </w:r>
          </w:p>
        </w:tc>
      </w:tr>
    </w:tbl>
    <w:p w14:paraId="325E936E" w14:textId="77777777" w:rsidR="004F26E9" w:rsidRDefault="004F26E9">
      <w:pPr>
        <w:rPr>
          <w:sz w:val="24"/>
          <w:szCs w:val="24"/>
        </w:rPr>
      </w:pPr>
    </w:p>
    <w:p w14:paraId="5B1FF74F" w14:textId="77777777" w:rsidR="004272BB" w:rsidRDefault="004272BB">
      <w:pPr>
        <w:rPr>
          <w:b/>
          <w:bCs/>
          <w:sz w:val="24"/>
          <w:szCs w:val="24"/>
        </w:rPr>
      </w:pPr>
    </w:p>
    <w:p w14:paraId="745F69E3"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0B6E21A7" w14:textId="77777777" w:rsidR="004F26E9" w:rsidRDefault="004F26E9">
      <w:pPr>
        <w:rPr>
          <w:sz w:val="24"/>
          <w:szCs w:val="24"/>
        </w:rPr>
      </w:pPr>
    </w:p>
    <w:p w14:paraId="1B0DC4A2" w14:textId="6655DD60" w:rsidR="00877BDE" w:rsidRDefault="00E13C55">
      <w:pPr>
        <w:rPr>
          <w:sz w:val="24"/>
          <w:szCs w:val="24"/>
        </w:rPr>
      </w:pPr>
      <w:r w:rsidRPr="004A284C">
        <w:rPr>
          <w:sz w:val="24"/>
          <w:szCs w:val="24"/>
        </w:rPr>
        <w:t xml:space="preserve">The total estimated annual cost burden to the respondents or record-keepers resulting from this </w:t>
      </w:r>
      <w:r w:rsidR="00877BDE">
        <w:rPr>
          <w:sz w:val="24"/>
          <w:szCs w:val="24"/>
        </w:rPr>
        <w:t xml:space="preserve">temporary new </w:t>
      </w:r>
      <w:r w:rsidRPr="004A284C">
        <w:rPr>
          <w:sz w:val="24"/>
          <w:szCs w:val="24"/>
        </w:rPr>
        <w:t>collection is $</w:t>
      </w:r>
      <w:r w:rsidR="00877BDE">
        <w:rPr>
          <w:sz w:val="24"/>
          <w:szCs w:val="24"/>
        </w:rPr>
        <w:t>76</w:t>
      </w:r>
      <w:r w:rsidRPr="004A284C">
        <w:rPr>
          <w:sz w:val="24"/>
          <w:szCs w:val="24"/>
        </w:rPr>
        <w:t>.</w:t>
      </w:r>
    </w:p>
    <w:p w14:paraId="7A3D40D5" w14:textId="77777777" w:rsidR="00E13C55" w:rsidRDefault="00E13C55">
      <w:pPr>
        <w:rPr>
          <w:sz w:val="24"/>
          <w:szCs w:val="24"/>
        </w:rPr>
      </w:pPr>
      <w:r w:rsidRPr="004A284C">
        <w:rPr>
          <w:sz w:val="24"/>
          <w:szCs w:val="24"/>
        </w:rPr>
        <w:t xml:space="preserve"> </w:t>
      </w:r>
    </w:p>
    <w:tbl>
      <w:tblPr>
        <w:tblW w:w="11178" w:type="dxa"/>
        <w:tblInd w:w="-720" w:type="dxa"/>
        <w:tblLayout w:type="fixed"/>
        <w:tblLook w:val="04A0" w:firstRow="1" w:lastRow="0" w:firstColumn="1" w:lastColumn="0" w:noHBand="0" w:noVBand="1"/>
      </w:tblPr>
      <w:tblGrid>
        <w:gridCol w:w="1674"/>
        <w:gridCol w:w="1260"/>
        <w:gridCol w:w="1170"/>
        <w:gridCol w:w="1170"/>
        <w:gridCol w:w="1080"/>
        <w:gridCol w:w="90"/>
        <w:gridCol w:w="1170"/>
        <w:gridCol w:w="1080"/>
        <w:gridCol w:w="1080"/>
        <w:gridCol w:w="1404"/>
      </w:tblGrid>
      <w:tr w:rsidR="006C5D1C" w:rsidRPr="00BE5F90" w14:paraId="0B7CCD9C" w14:textId="77777777" w:rsidTr="006C5D1C">
        <w:trPr>
          <w:trHeight w:val="1125"/>
        </w:trPr>
        <w:tc>
          <w:tcPr>
            <w:tcW w:w="1674"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14:paraId="1AED1E3F"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Collection</w:t>
            </w:r>
          </w:p>
        </w:tc>
        <w:tc>
          <w:tcPr>
            <w:tcW w:w="1260" w:type="dxa"/>
            <w:tcBorders>
              <w:top w:val="single" w:sz="4" w:space="0" w:color="A6A6A6"/>
              <w:left w:val="nil"/>
              <w:bottom w:val="single" w:sz="4" w:space="0" w:color="A6A6A6"/>
              <w:right w:val="single" w:sz="4" w:space="0" w:color="A6A6A6"/>
            </w:tcBorders>
            <w:shd w:val="clear" w:color="000000" w:fill="538DD5"/>
            <w:vAlign w:val="center"/>
            <w:hideMark/>
          </w:tcPr>
          <w:p w14:paraId="15AE1BE6"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Number of Respondents (a)</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53710532"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Frequency of Responses Per Year                (b)</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31E1234F"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Total Number of Responses Per Year                 (c) = (a*b)</w:t>
            </w:r>
          </w:p>
        </w:tc>
        <w:tc>
          <w:tcPr>
            <w:tcW w:w="1170" w:type="dxa"/>
            <w:gridSpan w:val="2"/>
            <w:tcBorders>
              <w:top w:val="single" w:sz="4" w:space="0" w:color="A6A6A6"/>
              <w:left w:val="nil"/>
              <w:bottom w:val="single" w:sz="4" w:space="0" w:color="A6A6A6"/>
              <w:right w:val="single" w:sz="4" w:space="0" w:color="A6A6A6"/>
            </w:tcBorders>
            <w:shd w:val="clear" w:color="000000" w:fill="538DD5"/>
            <w:vAlign w:val="center"/>
            <w:hideMark/>
          </w:tcPr>
          <w:p w14:paraId="251466DE"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Mailing Costs to Respondent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1ABB0BF9"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Copy Costs to Respondent ($0.05/page) (e)</w:t>
            </w:r>
          </w:p>
        </w:tc>
        <w:tc>
          <w:tcPr>
            <w:tcW w:w="1080" w:type="dxa"/>
            <w:tcBorders>
              <w:top w:val="single" w:sz="4" w:space="0" w:color="A6A6A6"/>
              <w:left w:val="nil"/>
              <w:bottom w:val="single" w:sz="4" w:space="0" w:color="A6A6A6"/>
              <w:right w:val="single" w:sz="4" w:space="0" w:color="A6A6A6"/>
            </w:tcBorders>
            <w:shd w:val="clear" w:color="000000" w:fill="538DD5"/>
            <w:vAlign w:val="center"/>
            <w:hideMark/>
          </w:tcPr>
          <w:p w14:paraId="14C70136"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Notary Costs (if applicable)       (f)</w:t>
            </w:r>
          </w:p>
        </w:tc>
        <w:tc>
          <w:tcPr>
            <w:tcW w:w="1080" w:type="dxa"/>
            <w:tcBorders>
              <w:top w:val="single" w:sz="4" w:space="0" w:color="A6A6A6"/>
              <w:left w:val="nil"/>
              <w:bottom w:val="single" w:sz="4" w:space="0" w:color="A6A6A6"/>
              <w:right w:val="single" w:sz="4" w:space="0" w:color="A6A6A6"/>
            </w:tcBorders>
            <w:shd w:val="clear" w:color="000000" w:fill="538DD5"/>
            <w:vAlign w:val="center"/>
            <w:hideMark/>
          </w:tcPr>
          <w:p w14:paraId="31863F79"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Application Fees (g)</w:t>
            </w:r>
          </w:p>
        </w:tc>
        <w:tc>
          <w:tcPr>
            <w:tcW w:w="1404" w:type="dxa"/>
            <w:tcBorders>
              <w:top w:val="single" w:sz="4" w:space="0" w:color="A6A6A6"/>
              <w:left w:val="nil"/>
              <w:bottom w:val="single" w:sz="4" w:space="0" w:color="A6A6A6"/>
              <w:right w:val="single" w:sz="4" w:space="0" w:color="A6A6A6"/>
            </w:tcBorders>
            <w:shd w:val="clear" w:color="000000" w:fill="538DD5"/>
            <w:vAlign w:val="center"/>
            <w:hideMark/>
          </w:tcPr>
          <w:p w14:paraId="063DCA0B" w14:textId="77777777" w:rsidR="00BE5F90" w:rsidRPr="00BE5F90" w:rsidRDefault="00BE5F90"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Total Annual Cost Burden to Respondents    (h) = (c) * (d+e+f+g)</w:t>
            </w:r>
          </w:p>
        </w:tc>
      </w:tr>
      <w:tr w:rsidR="006C5D1C" w:rsidRPr="00BE5F90" w14:paraId="598D5CFF" w14:textId="77777777" w:rsidTr="006C5D1C">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4DE88355" w14:textId="77777777" w:rsidR="00BE5F90" w:rsidRPr="00BE5F90" w:rsidRDefault="00BE5F90" w:rsidP="00BE5F90">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 QS Permit/Account Application Form </w:t>
            </w:r>
          </w:p>
        </w:tc>
        <w:tc>
          <w:tcPr>
            <w:tcW w:w="1260" w:type="dxa"/>
            <w:tcBorders>
              <w:top w:val="nil"/>
              <w:left w:val="nil"/>
              <w:bottom w:val="single" w:sz="4" w:space="0" w:color="A6A6A6"/>
              <w:right w:val="single" w:sz="4" w:space="0" w:color="A6A6A6"/>
            </w:tcBorders>
            <w:shd w:val="clear" w:color="auto" w:fill="auto"/>
            <w:vAlign w:val="center"/>
            <w:hideMark/>
          </w:tcPr>
          <w:p w14:paraId="6C032D6A" w14:textId="071AABA2" w:rsidR="00BE5F90" w:rsidRPr="00BE5F90" w:rsidRDefault="00877BDE" w:rsidP="00BE5F90">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c>
          <w:tcPr>
            <w:tcW w:w="1170" w:type="dxa"/>
            <w:tcBorders>
              <w:top w:val="nil"/>
              <w:left w:val="nil"/>
              <w:bottom w:val="single" w:sz="4" w:space="0" w:color="A6A6A6"/>
              <w:right w:val="single" w:sz="4" w:space="0" w:color="A6A6A6"/>
            </w:tcBorders>
            <w:shd w:val="clear" w:color="auto" w:fill="auto"/>
            <w:vAlign w:val="center"/>
            <w:hideMark/>
          </w:tcPr>
          <w:p w14:paraId="50F23E08" w14:textId="77777777" w:rsidR="00BE5F90" w:rsidRPr="00BE5F90" w:rsidRDefault="00BE5F90" w:rsidP="00BE5F90">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7842A2ED" w14:textId="25370DB7" w:rsidR="00BE5F90" w:rsidRPr="00BE5F90" w:rsidRDefault="00877BDE" w:rsidP="00BE5F90">
            <w:pPr>
              <w:widowControl/>
              <w:autoSpaceDE/>
              <w:autoSpaceDN/>
              <w:adjustRightInd/>
              <w:jc w:val="center"/>
              <w:rPr>
                <w:rFonts w:ascii="Arial" w:hAnsi="Arial" w:cs="Arial"/>
                <w:color w:val="000000"/>
                <w:sz w:val="16"/>
                <w:szCs w:val="16"/>
              </w:rPr>
            </w:pPr>
            <w:r>
              <w:rPr>
                <w:rFonts w:ascii="Arial" w:hAnsi="Arial" w:cs="Arial"/>
                <w:color w:val="000000"/>
                <w:sz w:val="16"/>
                <w:szCs w:val="16"/>
              </w:rPr>
              <w:t>128</w:t>
            </w:r>
          </w:p>
        </w:tc>
        <w:tc>
          <w:tcPr>
            <w:tcW w:w="1080" w:type="dxa"/>
            <w:tcBorders>
              <w:top w:val="nil"/>
              <w:left w:val="nil"/>
              <w:bottom w:val="single" w:sz="4" w:space="0" w:color="A6A6A6"/>
              <w:right w:val="single" w:sz="4" w:space="0" w:color="A6A6A6"/>
            </w:tcBorders>
            <w:shd w:val="clear" w:color="auto" w:fill="auto"/>
            <w:noWrap/>
            <w:vAlign w:val="center"/>
            <w:hideMark/>
          </w:tcPr>
          <w:p w14:paraId="2F715F20" w14:textId="77777777" w:rsidR="00BE5F90" w:rsidRPr="00BE5F90" w:rsidRDefault="00BE5F90" w:rsidP="00BE5F90">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2B5B2060" w14:textId="4C15F13C" w:rsidR="00BE5F90" w:rsidRPr="00BE5F90" w:rsidRDefault="00BE5F90" w:rsidP="0067795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w:t>
            </w:r>
            <w:r w:rsidR="00877BDE">
              <w:rPr>
                <w:rFonts w:ascii="Arial" w:hAnsi="Arial" w:cs="Arial"/>
                <w:color w:val="000000"/>
                <w:sz w:val="16"/>
                <w:szCs w:val="16"/>
              </w:rPr>
              <w:t>15</w:t>
            </w:r>
          </w:p>
        </w:tc>
        <w:tc>
          <w:tcPr>
            <w:tcW w:w="1080" w:type="dxa"/>
            <w:tcBorders>
              <w:top w:val="nil"/>
              <w:left w:val="nil"/>
              <w:bottom w:val="single" w:sz="4" w:space="0" w:color="A6A6A6"/>
              <w:right w:val="single" w:sz="4" w:space="0" w:color="A6A6A6"/>
            </w:tcBorders>
            <w:shd w:val="clear" w:color="auto" w:fill="auto"/>
            <w:noWrap/>
            <w:vAlign w:val="center"/>
            <w:hideMark/>
          </w:tcPr>
          <w:p w14:paraId="61F5BCDE" w14:textId="00D456C7" w:rsidR="00BE5F90" w:rsidRPr="00BE5F90" w:rsidRDefault="00BE5F90" w:rsidP="0067795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sidR="00877BDE">
              <w:rPr>
                <w:rFonts w:ascii="Arial" w:hAnsi="Arial" w:cs="Arial"/>
                <w:color w:val="000000"/>
                <w:sz w:val="16"/>
                <w:szCs w:val="16"/>
              </w:rPr>
              <w:t>0.00</w:t>
            </w:r>
          </w:p>
        </w:tc>
        <w:tc>
          <w:tcPr>
            <w:tcW w:w="1080" w:type="dxa"/>
            <w:tcBorders>
              <w:top w:val="nil"/>
              <w:left w:val="nil"/>
              <w:bottom w:val="single" w:sz="4" w:space="0" w:color="A6A6A6"/>
              <w:right w:val="single" w:sz="4" w:space="0" w:color="A6A6A6"/>
            </w:tcBorders>
            <w:shd w:val="clear" w:color="auto" w:fill="auto"/>
            <w:noWrap/>
            <w:vAlign w:val="center"/>
            <w:hideMark/>
          </w:tcPr>
          <w:p w14:paraId="2B5B811E" w14:textId="6D11CACF" w:rsidR="00BE5F90" w:rsidRPr="00BE5F90" w:rsidRDefault="00BE5F90" w:rsidP="0067795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sidR="00877BDE">
              <w:rPr>
                <w:rFonts w:ascii="Arial" w:hAnsi="Arial" w:cs="Arial"/>
                <w:color w:val="000000"/>
                <w:sz w:val="16"/>
                <w:szCs w:val="16"/>
              </w:rPr>
              <w:t>0.00</w:t>
            </w:r>
          </w:p>
        </w:tc>
        <w:tc>
          <w:tcPr>
            <w:tcW w:w="1404" w:type="dxa"/>
            <w:tcBorders>
              <w:top w:val="nil"/>
              <w:left w:val="nil"/>
              <w:bottom w:val="single" w:sz="4" w:space="0" w:color="A6A6A6"/>
              <w:right w:val="single" w:sz="4" w:space="0" w:color="A6A6A6"/>
            </w:tcBorders>
            <w:shd w:val="clear" w:color="auto" w:fill="auto"/>
            <w:noWrap/>
            <w:vAlign w:val="center"/>
            <w:hideMark/>
          </w:tcPr>
          <w:p w14:paraId="70752806" w14:textId="7D25A0CF" w:rsidR="00BE5F90" w:rsidRPr="00BE5F90" w:rsidRDefault="00877BDE" w:rsidP="00BE5F90">
            <w:pPr>
              <w:widowControl/>
              <w:autoSpaceDE/>
              <w:autoSpaceDN/>
              <w:adjustRightInd/>
              <w:jc w:val="center"/>
              <w:rPr>
                <w:rFonts w:ascii="Arial" w:hAnsi="Arial" w:cs="Arial"/>
                <w:color w:val="000000"/>
                <w:sz w:val="16"/>
                <w:szCs w:val="16"/>
              </w:rPr>
            </w:pPr>
            <w:r>
              <w:rPr>
                <w:rFonts w:ascii="Arial" w:hAnsi="Arial" w:cs="Arial"/>
                <w:color w:val="000000"/>
                <w:sz w:val="16"/>
                <w:szCs w:val="16"/>
              </w:rPr>
              <w:t>$75.52</w:t>
            </w:r>
          </w:p>
        </w:tc>
      </w:tr>
      <w:tr w:rsidR="006C5D1C" w:rsidRPr="00BE5F90" w14:paraId="004598EA" w14:textId="77777777" w:rsidTr="006C5D1C">
        <w:trPr>
          <w:trHeight w:val="67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08C0F404" w14:textId="77777777" w:rsidR="00BE5F90" w:rsidRPr="00BE5F90" w:rsidRDefault="00BE5F90" w:rsidP="00BE5F90">
            <w:pPr>
              <w:widowControl/>
              <w:autoSpaceDE/>
              <w:autoSpaceDN/>
              <w:adjustRightInd/>
              <w:rPr>
                <w:rFonts w:ascii="Arial" w:hAnsi="Arial" w:cs="Arial"/>
                <w:b/>
                <w:bCs/>
                <w:color w:val="000000"/>
                <w:sz w:val="16"/>
                <w:szCs w:val="16"/>
              </w:rPr>
            </w:pPr>
            <w:r w:rsidRPr="00BE5F90">
              <w:rPr>
                <w:rFonts w:ascii="Arial" w:hAnsi="Arial" w:cs="Arial"/>
                <w:b/>
                <w:bCs/>
                <w:color w:val="000000"/>
                <w:sz w:val="16"/>
                <w:szCs w:val="16"/>
              </w:rPr>
              <w:t>TOTAL REPORTING AND RECORD KEEPING COSTS</w:t>
            </w:r>
          </w:p>
        </w:tc>
        <w:tc>
          <w:tcPr>
            <w:tcW w:w="1260" w:type="dxa"/>
            <w:tcBorders>
              <w:top w:val="nil"/>
              <w:left w:val="nil"/>
              <w:bottom w:val="single" w:sz="4" w:space="0" w:color="A6A6A6"/>
              <w:right w:val="single" w:sz="4" w:space="0" w:color="A6A6A6"/>
            </w:tcBorders>
            <w:shd w:val="clear" w:color="auto" w:fill="auto"/>
            <w:noWrap/>
            <w:vAlign w:val="center"/>
            <w:hideMark/>
          </w:tcPr>
          <w:p w14:paraId="6D5DE2EA"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45D72451"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69991442"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30AB2A34"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317EDAE4"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6AA03A09"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1FDF69FA" w14:textId="77777777" w:rsidR="00BE5F90" w:rsidRPr="00BE5F90" w:rsidRDefault="00BE5F90"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404" w:type="dxa"/>
            <w:tcBorders>
              <w:top w:val="nil"/>
              <w:left w:val="nil"/>
              <w:bottom w:val="single" w:sz="4" w:space="0" w:color="A6A6A6"/>
              <w:right w:val="single" w:sz="4" w:space="0" w:color="A6A6A6"/>
            </w:tcBorders>
            <w:shd w:val="clear" w:color="auto" w:fill="auto"/>
            <w:noWrap/>
            <w:vAlign w:val="center"/>
            <w:hideMark/>
          </w:tcPr>
          <w:p w14:paraId="58F15537" w14:textId="5494C5EE" w:rsidR="00877BDE" w:rsidRDefault="00BE5F90" w:rsidP="00677959">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w:t>
            </w:r>
            <w:r w:rsidR="00877BDE">
              <w:rPr>
                <w:rFonts w:ascii="Arial" w:hAnsi="Arial" w:cs="Arial"/>
                <w:b/>
                <w:bCs/>
                <w:color w:val="000000"/>
                <w:sz w:val="16"/>
                <w:szCs w:val="16"/>
              </w:rPr>
              <w:t>75.52</w:t>
            </w:r>
          </w:p>
          <w:p w14:paraId="3D5EFE11" w14:textId="6861FEB6" w:rsidR="00BE5F90" w:rsidRPr="00BE5F90" w:rsidRDefault="00CA786A" w:rsidP="00677959">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w:t>
            </w:r>
            <w:r w:rsidR="00877BDE">
              <w:rPr>
                <w:rFonts w:ascii="Arial" w:hAnsi="Arial" w:cs="Arial"/>
                <w:b/>
                <w:bCs/>
                <w:color w:val="000000"/>
                <w:sz w:val="16"/>
                <w:szCs w:val="16"/>
              </w:rPr>
              <w:t>76</w:t>
            </w:r>
            <w:r>
              <w:rPr>
                <w:rFonts w:ascii="Arial" w:hAnsi="Arial" w:cs="Arial"/>
                <w:b/>
                <w:bCs/>
                <w:color w:val="000000"/>
                <w:sz w:val="16"/>
                <w:szCs w:val="16"/>
              </w:rPr>
              <w:t>)</w:t>
            </w:r>
          </w:p>
        </w:tc>
      </w:tr>
    </w:tbl>
    <w:p w14:paraId="0907E81B" w14:textId="77777777" w:rsidR="004F26E9" w:rsidRDefault="004F26E9">
      <w:pPr>
        <w:rPr>
          <w:sz w:val="24"/>
          <w:szCs w:val="24"/>
        </w:rPr>
      </w:pPr>
    </w:p>
    <w:p w14:paraId="0F6015E6"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7434E259" w14:textId="77777777" w:rsidR="004F26E9" w:rsidRDefault="004F26E9">
      <w:pPr>
        <w:rPr>
          <w:sz w:val="24"/>
          <w:szCs w:val="24"/>
        </w:rPr>
      </w:pPr>
    </w:p>
    <w:p w14:paraId="2BDC5E11" w14:textId="4AC77F5B" w:rsidR="004F26E9" w:rsidRDefault="009643F7">
      <w:pPr>
        <w:rPr>
          <w:sz w:val="24"/>
          <w:szCs w:val="24"/>
        </w:rPr>
      </w:pPr>
      <w:r>
        <w:rPr>
          <w:sz w:val="24"/>
          <w:szCs w:val="24"/>
        </w:rPr>
        <w:t>NMFS</w:t>
      </w:r>
      <w:r w:rsidR="00990C58">
        <w:rPr>
          <w:sz w:val="24"/>
          <w:szCs w:val="24"/>
        </w:rPr>
        <w:t xml:space="preserve"> will </w:t>
      </w:r>
      <w:r w:rsidR="00877BDE">
        <w:rPr>
          <w:sz w:val="24"/>
          <w:szCs w:val="24"/>
        </w:rPr>
        <w:t xml:space="preserve">continue to </w:t>
      </w:r>
      <w:r w:rsidR="00990C58">
        <w:rPr>
          <w:sz w:val="24"/>
          <w:szCs w:val="24"/>
        </w:rPr>
        <w:t>incur ongoing program costs related to the trawl rationalization program</w:t>
      </w:r>
      <w:r w:rsidR="00877BDE">
        <w:rPr>
          <w:sz w:val="24"/>
          <w:szCs w:val="24"/>
        </w:rPr>
        <w:t xml:space="preserve">, for which there is a cost recovery program through which NMFS collects cost recovery fees from program participants. This temporary new collection will </w:t>
      </w:r>
      <w:r w:rsidR="00990C58">
        <w:rPr>
          <w:sz w:val="24"/>
          <w:szCs w:val="24"/>
        </w:rPr>
        <w:t xml:space="preserve">include staff time to: prepare </w:t>
      </w:r>
      <w:r w:rsidR="00877BDE">
        <w:rPr>
          <w:sz w:val="24"/>
          <w:szCs w:val="24"/>
        </w:rPr>
        <w:t xml:space="preserve">the </w:t>
      </w:r>
      <w:r w:rsidR="00990C58">
        <w:rPr>
          <w:sz w:val="24"/>
          <w:szCs w:val="24"/>
        </w:rPr>
        <w:t>application packages</w:t>
      </w:r>
      <w:r w:rsidR="00877BDE">
        <w:rPr>
          <w:sz w:val="24"/>
          <w:szCs w:val="24"/>
        </w:rPr>
        <w:t xml:space="preserve"> and calculation workbooks to support reallocated widow QS percentages</w:t>
      </w:r>
      <w:r w:rsidR="001623B3">
        <w:rPr>
          <w:sz w:val="24"/>
          <w:szCs w:val="24"/>
        </w:rPr>
        <w:t xml:space="preserve">, review and process (enter data) incoming applications, prepare </w:t>
      </w:r>
      <w:r w:rsidR="00877BDE">
        <w:rPr>
          <w:sz w:val="24"/>
          <w:szCs w:val="24"/>
        </w:rPr>
        <w:t xml:space="preserve">receipt mailings, prepare </w:t>
      </w:r>
      <w:r w:rsidR="001623B3">
        <w:rPr>
          <w:sz w:val="24"/>
          <w:szCs w:val="24"/>
        </w:rPr>
        <w:t xml:space="preserve">decision documents, </w:t>
      </w:r>
      <w:r w:rsidR="00877BDE">
        <w:rPr>
          <w:sz w:val="24"/>
          <w:szCs w:val="24"/>
        </w:rPr>
        <w:t xml:space="preserve">update the widow QS percentages in </w:t>
      </w:r>
      <w:r w:rsidR="001623B3">
        <w:rPr>
          <w:sz w:val="24"/>
          <w:szCs w:val="24"/>
        </w:rPr>
        <w:t>the IFQ accounting system (QS accounts</w:t>
      </w:r>
      <w:r w:rsidR="00877BDE">
        <w:rPr>
          <w:sz w:val="24"/>
          <w:szCs w:val="24"/>
        </w:rPr>
        <w:t xml:space="preserve"> only</w:t>
      </w:r>
      <w:r w:rsidR="001623B3">
        <w:rPr>
          <w:sz w:val="24"/>
          <w:szCs w:val="24"/>
        </w:rPr>
        <w:t xml:space="preserve">), and respond to permit owners about application questions. The estimated net administrative cost accruing to the Federal government </w:t>
      </w:r>
      <w:r w:rsidR="00877BDE">
        <w:rPr>
          <w:sz w:val="24"/>
          <w:szCs w:val="24"/>
        </w:rPr>
        <w:t xml:space="preserve">for this temporary new collection </w:t>
      </w:r>
      <w:r w:rsidR="001623B3">
        <w:rPr>
          <w:sz w:val="24"/>
          <w:szCs w:val="24"/>
        </w:rPr>
        <w:t>is approximately $</w:t>
      </w:r>
      <w:r w:rsidR="00877BDE">
        <w:rPr>
          <w:sz w:val="24"/>
          <w:szCs w:val="24"/>
        </w:rPr>
        <w:t>30,000</w:t>
      </w:r>
      <w:r w:rsidR="001623B3">
        <w:rPr>
          <w:sz w:val="24"/>
          <w:szCs w:val="24"/>
        </w:rPr>
        <w:t xml:space="preserve">. </w:t>
      </w:r>
    </w:p>
    <w:p w14:paraId="4011796F" w14:textId="77777777" w:rsidR="004F26E9" w:rsidRDefault="004F26E9">
      <w:pPr>
        <w:rPr>
          <w:sz w:val="24"/>
          <w:szCs w:val="24"/>
        </w:rPr>
      </w:pPr>
    </w:p>
    <w:p w14:paraId="796C6732"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4EBFDB21" w14:textId="77777777" w:rsidR="004F26E9" w:rsidRDefault="004F26E9">
      <w:pPr>
        <w:rPr>
          <w:sz w:val="24"/>
          <w:szCs w:val="24"/>
        </w:rPr>
      </w:pPr>
    </w:p>
    <w:p w14:paraId="31466578" w14:textId="1F6241F1" w:rsidR="00A85636" w:rsidRDefault="00460471" w:rsidP="00294B17">
      <w:pPr>
        <w:rPr>
          <w:b/>
          <w:bCs/>
          <w:sz w:val="24"/>
          <w:szCs w:val="24"/>
        </w:rPr>
      </w:pPr>
      <w:r w:rsidRPr="00106521">
        <w:rPr>
          <w:b/>
          <w:bCs/>
          <w:sz w:val="24"/>
          <w:szCs w:val="24"/>
        </w:rPr>
        <w:t>Program Change</w:t>
      </w:r>
      <w:r w:rsidR="00B679FD">
        <w:rPr>
          <w:b/>
          <w:bCs/>
          <w:sz w:val="24"/>
          <w:szCs w:val="24"/>
        </w:rPr>
        <w:t>s</w:t>
      </w:r>
      <w:r w:rsidRPr="00106521">
        <w:rPr>
          <w:b/>
          <w:bCs/>
          <w:sz w:val="24"/>
          <w:szCs w:val="24"/>
        </w:rPr>
        <w:t xml:space="preserve">: </w:t>
      </w:r>
      <w:r w:rsidR="004070DE">
        <w:rPr>
          <w:b/>
          <w:bCs/>
          <w:sz w:val="24"/>
          <w:szCs w:val="24"/>
        </w:rPr>
        <w:t>This temporary new collection will result in</w:t>
      </w:r>
      <w:r w:rsidR="007517BB">
        <w:rPr>
          <w:b/>
          <w:bCs/>
          <w:sz w:val="24"/>
          <w:szCs w:val="24"/>
        </w:rPr>
        <w:t xml:space="preserve"> </w:t>
      </w:r>
      <w:r w:rsidR="00A85636">
        <w:rPr>
          <w:b/>
          <w:bCs/>
          <w:sz w:val="24"/>
          <w:szCs w:val="24"/>
        </w:rPr>
        <w:t xml:space="preserve">net </w:t>
      </w:r>
      <w:r w:rsidR="00064DC8">
        <w:rPr>
          <w:b/>
          <w:bCs/>
          <w:sz w:val="24"/>
          <w:szCs w:val="24"/>
        </w:rPr>
        <w:t xml:space="preserve">increases </w:t>
      </w:r>
      <w:r w:rsidR="00A85636">
        <w:rPr>
          <w:b/>
          <w:bCs/>
          <w:sz w:val="24"/>
          <w:szCs w:val="24"/>
        </w:rPr>
        <w:t xml:space="preserve">of </w:t>
      </w:r>
      <w:r w:rsidR="004070DE">
        <w:rPr>
          <w:b/>
          <w:bCs/>
          <w:sz w:val="24"/>
          <w:szCs w:val="24"/>
        </w:rPr>
        <w:t xml:space="preserve">128 </w:t>
      </w:r>
      <w:r w:rsidR="00064DC8">
        <w:rPr>
          <w:b/>
          <w:bCs/>
          <w:sz w:val="24"/>
          <w:szCs w:val="24"/>
        </w:rPr>
        <w:t xml:space="preserve">responses, </w:t>
      </w:r>
      <w:r w:rsidR="00A85636">
        <w:rPr>
          <w:b/>
          <w:bCs/>
          <w:sz w:val="24"/>
          <w:szCs w:val="24"/>
        </w:rPr>
        <w:t>1</w:t>
      </w:r>
      <w:r w:rsidR="004070DE">
        <w:rPr>
          <w:b/>
          <w:bCs/>
          <w:sz w:val="24"/>
          <w:szCs w:val="24"/>
        </w:rPr>
        <w:t xml:space="preserve">28 burden </w:t>
      </w:r>
      <w:r w:rsidR="00A85636">
        <w:rPr>
          <w:b/>
          <w:bCs/>
          <w:sz w:val="24"/>
          <w:szCs w:val="24"/>
        </w:rPr>
        <w:t>hour</w:t>
      </w:r>
      <w:r w:rsidR="004070DE">
        <w:rPr>
          <w:b/>
          <w:bCs/>
          <w:sz w:val="24"/>
          <w:szCs w:val="24"/>
        </w:rPr>
        <w:t>s</w:t>
      </w:r>
      <w:r w:rsidR="00064DC8">
        <w:rPr>
          <w:b/>
          <w:bCs/>
          <w:sz w:val="24"/>
          <w:szCs w:val="24"/>
        </w:rPr>
        <w:t>, and $</w:t>
      </w:r>
      <w:r w:rsidR="004070DE">
        <w:rPr>
          <w:b/>
          <w:bCs/>
          <w:sz w:val="24"/>
          <w:szCs w:val="24"/>
        </w:rPr>
        <w:t xml:space="preserve">76 </w:t>
      </w:r>
      <w:r w:rsidR="007517BB">
        <w:rPr>
          <w:b/>
          <w:bCs/>
          <w:sz w:val="24"/>
          <w:szCs w:val="24"/>
        </w:rPr>
        <w:t>in costs.</w:t>
      </w:r>
      <w:r w:rsidR="00390340">
        <w:rPr>
          <w:b/>
          <w:bCs/>
          <w:sz w:val="24"/>
          <w:szCs w:val="24"/>
        </w:rPr>
        <w:t xml:space="preserve"> </w:t>
      </w:r>
    </w:p>
    <w:p w14:paraId="74AF7652" w14:textId="77777777" w:rsidR="00A85636" w:rsidRDefault="00A85636" w:rsidP="00294B17">
      <w:pPr>
        <w:rPr>
          <w:b/>
          <w:bCs/>
          <w:sz w:val="24"/>
          <w:szCs w:val="24"/>
        </w:rPr>
      </w:pPr>
    </w:p>
    <w:p w14:paraId="0A5B1DCE" w14:textId="77777777" w:rsidR="004070DE" w:rsidRDefault="00064DC8" w:rsidP="00294B17">
      <w:pPr>
        <w:rPr>
          <w:bCs/>
          <w:sz w:val="24"/>
          <w:szCs w:val="24"/>
        </w:rPr>
      </w:pPr>
      <w:r>
        <w:rPr>
          <w:bCs/>
          <w:sz w:val="24"/>
          <w:szCs w:val="24"/>
        </w:rPr>
        <w:t xml:space="preserve">The reason for the change is the </w:t>
      </w:r>
      <w:r w:rsidR="004070DE">
        <w:rPr>
          <w:bCs/>
          <w:sz w:val="24"/>
          <w:szCs w:val="24"/>
        </w:rPr>
        <w:t xml:space="preserve">reallocation of widow rockfish QS in the IFQ fishery, which is being conducted based on the Pacific Fishery Management Council’s final preferred alternative, in order to </w:t>
      </w:r>
      <w:r w:rsidR="004070DE" w:rsidRPr="00375939">
        <w:rPr>
          <w:bCs/>
          <w:sz w:val="24"/>
          <w:szCs w:val="24"/>
        </w:rPr>
        <w:t>more closely represent the fishing history of permit owners when widow rockfish was a targeted species</w:t>
      </w:r>
      <w:r w:rsidR="004070DE">
        <w:rPr>
          <w:bCs/>
          <w:sz w:val="24"/>
          <w:szCs w:val="24"/>
        </w:rPr>
        <w:t xml:space="preserve">. </w:t>
      </w:r>
    </w:p>
    <w:p w14:paraId="7B0A180A" w14:textId="77777777" w:rsidR="007E27B6" w:rsidRDefault="007E27B6">
      <w:pPr>
        <w:rPr>
          <w:b/>
          <w:bCs/>
          <w:sz w:val="24"/>
          <w:szCs w:val="24"/>
        </w:rPr>
      </w:pPr>
    </w:p>
    <w:p w14:paraId="0CFF16BC" w14:textId="77777777" w:rsidR="00095F6A" w:rsidRDefault="00095F6A">
      <w:pPr>
        <w:rPr>
          <w:b/>
          <w:bCs/>
          <w:sz w:val="24"/>
          <w:szCs w:val="24"/>
        </w:rPr>
      </w:pPr>
    </w:p>
    <w:p w14:paraId="4D4941E0"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0E710D2A" w14:textId="77777777" w:rsidR="004F26E9" w:rsidRDefault="004F26E9">
      <w:pPr>
        <w:rPr>
          <w:sz w:val="24"/>
          <w:szCs w:val="24"/>
        </w:rPr>
      </w:pPr>
    </w:p>
    <w:p w14:paraId="2212AF1E" w14:textId="77777777" w:rsidR="004F26E9" w:rsidRDefault="0092530A">
      <w:pPr>
        <w:rPr>
          <w:sz w:val="24"/>
          <w:szCs w:val="24"/>
        </w:rPr>
      </w:pPr>
      <w:r>
        <w:rPr>
          <w:sz w:val="24"/>
          <w:szCs w:val="24"/>
        </w:rPr>
        <w:t xml:space="preserve">The results from this collection are not planned for statistical publication. </w:t>
      </w:r>
    </w:p>
    <w:p w14:paraId="41D4E7D7" w14:textId="77777777" w:rsidR="004F26E9" w:rsidRDefault="004F26E9">
      <w:pPr>
        <w:rPr>
          <w:sz w:val="24"/>
          <w:szCs w:val="24"/>
        </w:rPr>
      </w:pPr>
    </w:p>
    <w:p w14:paraId="1FCF0A0F"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64C1AAF4" w14:textId="77777777" w:rsidR="004F26E9" w:rsidRDefault="004F26E9">
      <w:pPr>
        <w:rPr>
          <w:sz w:val="24"/>
          <w:szCs w:val="24"/>
        </w:rPr>
      </w:pPr>
    </w:p>
    <w:p w14:paraId="74C833BF" w14:textId="77777777" w:rsidR="004F26E9" w:rsidRDefault="0092530A">
      <w:pPr>
        <w:rPr>
          <w:sz w:val="24"/>
          <w:szCs w:val="24"/>
        </w:rPr>
      </w:pPr>
      <w:r>
        <w:rPr>
          <w:iCs/>
          <w:sz w:val="24"/>
          <w:szCs w:val="24"/>
        </w:rPr>
        <w:t>Not applicable to this collection.</w:t>
      </w:r>
    </w:p>
    <w:p w14:paraId="3F760FD0" w14:textId="77777777" w:rsidR="004F26E9" w:rsidRDefault="004F26E9">
      <w:pPr>
        <w:rPr>
          <w:sz w:val="24"/>
          <w:szCs w:val="24"/>
        </w:rPr>
      </w:pPr>
    </w:p>
    <w:p w14:paraId="2F4967EB"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2E24758B" w14:textId="77777777" w:rsidR="004F26E9" w:rsidRDefault="004F26E9">
      <w:pPr>
        <w:rPr>
          <w:sz w:val="24"/>
          <w:szCs w:val="24"/>
        </w:rPr>
      </w:pPr>
    </w:p>
    <w:p w14:paraId="47BE20CD" w14:textId="77777777" w:rsidR="004F26E9" w:rsidRDefault="0092530A">
      <w:pPr>
        <w:rPr>
          <w:sz w:val="24"/>
          <w:szCs w:val="24"/>
        </w:rPr>
      </w:pPr>
      <w:r>
        <w:rPr>
          <w:iCs/>
          <w:sz w:val="24"/>
          <w:szCs w:val="24"/>
        </w:rPr>
        <w:t>Not applicable to this collection.</w:t>
      </w:r>
    </w:p>
    <w:p w14:paraId="00E7F69D" w14:textId="77777777" w:rsidR="0092530A" w:rsidRDefault="0092530A">
      <w:pPr>
        <w:rPr>
          <w:sz w:val="24"/>
          <w:szCs w:val="24"/>
        </w:rPr>
      </w:pPr>
    </w:p>
    <w:p w14:paraId="5DEC90F1" w14:textId="77777777" w:rsidR="004F26E9" w:rsidRDefault="004F26E9">
      <w:pPr>
        <w:rPr>
          <w:sz w:val="24"/>
          <w:szCs w:val="24"/>
        </w:rPr>
      </w:pPr>
      <w:r>
        <w:rPr>
          <w:b/>
          <w:bCs/>
          <w:sz w:val="24"/>
          <w:szCs w:val="24"/>
        </w:rPr>
        <w:t>COLLECTIONS OF INFORMATION EMPLOYING STATISTICAL METHODS</w:t>
      </w:r>
    </w:p>
    <w:p w14:paraId="57815853" w14:textId="77777777" w:rsidR="004F26E9" w:rsidRDefault="004F26E9">
      <w:pPr>
        <w:rPr>
          <w:sz w:val="24"/>
          <w:szCs w:val="24"/>
        </w:rPr>
      </w:pPr>
    </w:p>
    <w:p w14:paraId="1826473D" w14:textId="77777777" w:rsidR="004F26E9" w:rsidRPr="00FD41D6" w:rsidRDefault="00FD41D6">
      <w:pPr>
        <w:rPr>
          <w:sz w:val="24"/>
          <w:szCs w:val="24"/>
        </w:rPr>
      </w:pPr>
      <w:r>
        <w:rPr>
          <w:iCs/>
          <w:sz w:val="24"/>
          <w:szCs w:val="24"/>
        </w:rPr>
        <w:t>Not applicable</w:t>
      </w:r>
      <w:r w:rsidR="005F64B2">
        <w:rPr>
          <w:iCs/>
          <w:sz w:val="24"/>
          <w:szCs w:val="24"/>
        </w:rPr>
        <w:t xml:space="preserve"> to this collection</w:t>
      </w:r>
      <w:r>
        <w:rPr>
          <w:iCs/>
          <w:sz w:val="24"/>
          <w:szCs w:val="24"/>
        </w:rPr>
        <w:t>.</w:t>
      </w:r>
    </w:p>
    <w:sectPr w:rsidR="004F26E9" w:rsidRPr="00FD41D6">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86CB5" w14:textId="77777777" w:rsidR="00591061" w:rsidRDefault="00591061">
      <w:r>
        <w:separator/>
      </w:r>
    </w:p>
  </w:endnote>
  <w:endnote w:type="continuationSeparator" w:id="0">
    <w:p w14:paraId="54D950ED" w14:textId="77777777" w:rsidR="00591061" w:rsidRDefault="0059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9047" w14:textId="77777777" w:rsidR="00375939" w:rsidRDefault="0037593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4577C">
      <w:rPr>
        <w:rStyle w:val="PageNumber"/>
        <w:noProof/>
        <w:sz w:val="24"/>
        <w:szCs w:val="24"/>
      </w:rPr>
      <w:t>1</w:t>
    </w:r>
    <w:r>
      <w:rPr>
        <w:rStyle w:val="PageNumber"/>
        <w:sz w:val="24"/>
        <w:szCs w:val="24"/>
      </w:rPr>
      <w:fldChar w:fldCharType="end"/>
    </w:r>
  </w:p>
  <w:p w14:paraId="3A25EBE7" w14:textId="77777777" w:rsidR="00375939" w:rsidRDefault="00375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1044A" w14:textId="77777777" w:rsidR="00591061" w:rsidRDefault="00591061">
      <w:r>
        <w:separator/>
      </w:r>
    </w:p>
  </w:footnote>
  <w:footnote w:type="continuationSeparator" w:id="0">
    <w:p w14:paraId="7B2B0890" w14:textId="77777777" w:rsidR="00591061" w:rsidRDefault="005910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2CA1"/>
    <w:multiLevelType w:val="hybridMultilevel"/>
    <w:tmpl w:val="BEC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35F93"/>
    <w:multiLevelType w:val="hybridMultilevel"/>
    <w:tmpl w:val="876C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4423A"/>
    <w:multiLevelType w:val="hybridMultilevel"/>
    <w:tmpl w:val="FD0A3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C6A77"/>
    <w:multiLevelType w:val="hybridMultilevel"/>
    <w:tmpl w:val="4746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6472B"/>
    <w:multiLevelType w:val="hybridMultilevel"/>
    <w:tmpl w:val="17B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576068"/>
    <w:multiLevelType w:val="hybridMultilevel"/>
    <w:tmpl w:val="82C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C244A2"/>
    <w:multiLevelType w:val="hybridMultilevel"/>
    <w:tmpl w:val="553E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8D65DF"/>
    <w:multiLevelType w:val="hybridMultilevel"/>
    <w:tmpl w:val="EBC8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C5482F"/>
    <w:multiLevelType w:val="hybridMultilevel"/>
    <w:tmpl w:val="9A24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985070"/>
    <w:multiLevelType w:val="hybridMultilevel"/>
    <w:tmpl w:val="AF36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B7CEF"/>
    <w:multiLevelType w:val="hybridMultilevel"/>
    <w:tmpl w:val="6994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B5395F"/>
    <w:multiLevelType w:val="hybridMultilevel"/>
    <w:tmpl w:val="45FE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627945"/>
    <w:multiLevelType w:val="hybridMultilevel"/>
    <w:tmpl w:val="1AA4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4E5429"/>
    <w:multiLevelType w:val="hybridMultilevel"/>
    <w:tmpl w:val="F734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0"/>
  </w:num>
  <w:num w:numId="5">
    <w:abstractNumId w:val="7"/>
  </w:num>
  <w:num w:numId="6">
    <w:abstractNumId w:val="13"/>
  </w:num>
  <w:num w:numId="7">
    <w:abstractNumId w:val="2"/>
  </w:num>
  <w:num w:numId="8">
    <w:abstractNumId w:val="1"/>
  </w:num>
  <w:num w:numId="9">
    <w:abstractNumId w:val="5"/>
  </w:num>
  <w:num w:numId="10">
    <w:abstractNumId w:val="11"/>
  </w:num>
  <w:num w:numId="11">
    <w:abstractNumId w:val="12"/>
  </w:num>
  <w:num w:numId="12">
    <w:abstractNumId w:val="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D88"/>
    <w:rsid w:val="00015300"/>
    <w:rsid w:val="000321F3"/>
    <w:rsid w:val="00035649"/>
    <w:rsid w:val="000357C7"/>
    <w:rsid w:val="0004413A"/>
    <w:rsid w:val="00045B85"/>
    <w:rsid w:val="000555BE"/>
    <w:rsid w:val="00064DC8"/>
    <w:rsid w:val="00076F19"/>
    <w:rsid w:val="000778F3"/>
    <w:rsid w:val="000801A4"/>
    <w:rsid w:val="000852B2"/>
    <w:rsid w:val="00086013"/>
    <w:rsid w:val="00091296"/>
    <w:rsid w:val="000946F9"/>
    <w:rsid w:val="00095F6A"/>
    <w:rsid w:val="000B188B"/>
    <w:rsid w:val="000B5C11"/>
    <w:rsid w:val="000C2C7A"/>
    <w:rsid w:val="000C6954"/>
    <w:rsid w:val="000C75B3"/>
    <w:rsid w:val="000D1448"/>
    <w:rsid w:val="000D3CE5"/>
    <w:rsid w:val="000E28CB"/>
    <w:rsid w:val="000F4834"/>
    <w:rsid w:val="00106521"/>
    <w:rsid w:val="001066BD"/>
    <w:rsid w:val="00107F5D"/>
    <w:rsid w:val="001273E2"/>
    <w:rsid w:val="00131D94"/>
    <w:rsid w:val="00132B46"/>
    <w:rsid w:val="00133F7C"/>
    <w:rsid w:val="001369D5"/>
    <w:rsid w:val="00140595"/>
    <w:rsid w:val="00145875"/>
    <w:rsid w:val="00152C38"/>
    <w:rsid w:val="00161F04"/>
    <w:rsid w:val="001623B3"/>
    <w:rsid w:val="001630ED"/>
    <w:rsid w:val="00167BA7"/>
    <w:rsid w:val="0017794E"/>
    <w:rsid w:val="00185EFF"/>
    <w:rsid w:val="00190BF4"/>
    <w:rsid w:val="00192905"/>
    <w:rsid w:val="001A3A94"/>
    <w:rsid w:val="001A40C9"/>
    <w:rsid w:val="001A68BE"/>
    <w:rsid w:val="001C41EF"/>
    <w:rsid w:val="001C4554"/>
    <w:rsid w:val="001C77D6"/>
    <w:rsid w:val="001C7A10"/>
    <w:rsid w:val="001E08D0"/>
    <w:rsid w:val="001E1AF7"/>
    <w:rsid w:val="001E1BA7"/>
    <w:rsid w:val="001E20EA"/>
    <w:rsid w:val="001E6F72"/>
    <w:rsid w:val="001F0396"/>
    <w:rsid w:val="001F41C2"/>
    <w:rsid w:val="001F7975"/>
    <w:rsid w:val="00202687"/>
    <w:rsid w:val="00207A9A"/>
    <w:rsid w:val="002112E1"/>
    <w:rsid w:val="002114B5"/>
    <w:rsid w:val="0021494E"/>
    <w:rsid w:val="00215E6C"/>
    <w:rsid w:val="0022034D"/>
    <w:rsid w:val="0024007B"/>
    <w:rsid w:val="00242E5F"/>
    <w:rsid w:val="00245CE1"/>
    <w:rsid w:val="0024677E"/>
    <w:rsid w:val="00256BC3"/>
    <w:rsid w:val="00261A94"/>
    <w:rsid w:val="0027261B"/>
    <w:rsid w:val="002809B0"/>
    <w:rsid w:val="0029355E"/>
    <w:rsid w:val="00294B17"/>
    <w:rsid w:val="002A2171"/>
    <w:rsid w:val="002A5500"/>
    <w:rsid w:val="002A6116"/>
    <w:rsid w:val="002B161D"/>
    <w:rsid w:val="002C0E16"/>
    <w:rsid w:val="002D103E"/>
    <w:rsid w:val="002D106C"/>
    <w:rsid w:val="002D28E3"/>
    <w:rsid w:val="002E202E"/>
    <w:rsid w:val="002E5E0B"/>
    <w:rsid w:val="002E608F"/>
    <w:rsid w:val="002F0CE3"/>
    <w:rsid w:val="002F6610"/>
    <w:rsid w:val="00322CFB"/>
    <w:rsid w:val="00323166"/>
    <w:rsid w:val="00331FE4"/>
    <w:rsid w:val="00341DBF"/>
    <w:rsid w:val="003435A8"/>
    <w:rsid w:val="00347979"/>
    <w:rsid w:val="00365140"/>
    <w:rsid w:val="00375939"/>
    <w:rsid w:val="0038475A"/>
    <w:rsid w:val="00386829"/>
    <w:rsid w:val="00387457"/>
    <w:rsid w:val="00390340"/>
    <w:rsid w:val="003C1C70"/>
    <w:rsid w:val="003D3323"/>
    <w:rsid w:val="003E3EF1"/>
    <w:rsid w:val="003F2C62"/>
    <w:rsid w:val="003F54AF"/>
    <w:rsid w:val="004004BD"/>
    <w:rsid w:val="004070DE"/>
    <w:rsid w:val="004074B5"/>
    <w:rsid w:val="0041367C"/>
    <w:rsid w:val="00423FDE"/>
    <w:rsid w:val="004272BB"/>
    <w:rsid w:val="004313C0"/>
    <w:rsid w:val="0043618F"/>
    <w:rsid w:val="00454566"/>
    <w:rsid w:val="00455A36"/>
    <w:rsid w:val="00460471"/>
    <w:rsid w:val="0046458A"/>
    <w:rsid w:val="00473A19"/>
    <w:rsid w:val="00493BA1"/>
    <w:rsid w:val="004A09DA"/>
    <w:rsid w:val="004A284C"/>
    <w:rsid w:val="004A3FF8"/>
    <w:rsid w:val="004A6A02"/>
    <w:rsid w:val="004B3DE8"/>
    <w:rsid w:val="004B467D"/>
    <w:rsid w:val="004C066B"/>
    <w:rsid w:val="004C2371"/>
    <w:rsid w:val="004C37D2"/>
    <w:rsid w:val="004C5E29"/>
    <w:rsid w:val="004D27E1"/>
    <w:rsid w:val="004D38CA"/>
    <w:rsid w:val="004E7711"/>
    <w:rsid w:val="004F09AC"/>
    <w:rsid w:val="004F26E9"/>
    <w:rsid w:val="005057BB"/>
    <w:rsid w:val="00511B7B"/>
    <w:rsid w:val="005166B6"/>
    <w:rsid w:val="00530C5F"/>
    <w:rsid w:val="0053219D"/>
    <w:rsid w:val="00532DD5"/>
    <w:rsid w:val="00536542"/>
    <w:rsid w:val="00561963"/>
    <w:rsid w:val="0057054B"/>
    <w:rsid w:val="005708E7"/>
    <w:rsid w:val="00570CAF"/>
    <w:rsid w:val="005869D2"/>
    <w:rsid w:val="00591061"/>
    <w:rsid w:val="00595947"/>
    <w:rsid w:val="005A27E7"/>
    <w:rsid w:val="005A3254"/>
    <w:rsid w:val="005B579B"/>
    <w:rsid w:val="005B6B05"/>
    <w:rsid w:val="005C0F3C"/>
    <w:rsid w:val="005C1D83"/>
    <w:rsid w:val="005D0D91"/>
    <w:rsid w:val="005D3F69"/>
    <w:rsid w:val="005D7A7D"/>
    <w:rsid w:val="005E138A"/>
    <w:rsid w:val="005F4614"/>
    <w:rsid w:val="005F64B2"/>
    <w:rsid w:val="0061699F"/>
    <w:rsid w:val="00647332"/>
    <w:rsid w:val="006475B8"/>
    <w:rsid w:val="006476BB"/>
    <w:rsid w:val="00655C2B"/>
    <w:rsid w:val="006569A9"/>
    <w:rsid w:val="0066237D"/>
    <w:rsid w:val="00665384"/>
    <w:rsid w:val="006765C4"/>
    <w:rsid w:val="00677959"/>
    <w:rsid w:val="006A5688"/>
    <w:rsid w:val="006B03E9"/>
    <w:rsid w:val="006B2EC7"/>
    <w:rsid w:val="006B31EB"/>
    <w:rsid w:val="006B4A2C"/>
    <w:rsid w:val="006B54A1"/>
    <w:rsid w:val="006B5EAF"/>
    <w:rsid w:val="006C5D1C"/>
    <w:rsid w:val="006D0BB9"/>
    <w:rsid w:val="006D54BD"/>
    <w:rsid w:val="006E57A9"/>
    <w:rsid w:val="006E6DE8"/>
    <w:rsid w:val="006F20DB"/>
    <w:rsid w:val="00717A2D"/>
    <w:rsid w:val="00717B00"/>
    <w:rsid w:val="00725C5C"/>
    <w:rsid w:val="007360F4"/>
    <w:rsid w:val="0074577C"/>
    <w:rsid w:val="00751272"/>
    <w:rsid w:val="007517BB"/>
    <w:rsid w:val="007728B1"/>
    <w:rsid w:val="00773D8F"/>
    <w:rsid w:val="00773FEF"/>
    <w:rsid w:val="007839B1"/>
    <w:rsid w:val="00784BC1"/>
    <w:rsid w:val="0078571C"/>
    <w:rsid w:val="00797533"/>
    <w:rsid w:val="007B3051"/>
    <w:rsid w:val="007B7574"/>
    <w:rsid w:val="007C14C8"/>
    <w:rsid w:val="007E27B6"/>
    <w:rsid w:val="007E720F"/>
    <w:rsid w:val="007F4D03"/>
    <w:rsid w:val="007F55EC"/>
    <w:rsid w:val="00801CED"/>
    <w:rsid w:val="008124BB"/>
    <w:rsid w:val="00812CE4"/>
    <w:rsid w:val="00817C20"/>
    <w:rsid w:val="00837263"/>
    <w:rsid w:val="00842B9A"/>
    <w:rsid w:val="00873615"/>
    <w:rsid w:val="00877BDE"/>
    <w:rsid w:val="00884206"/>
    <w:rsid w:val="00893BC8"/>
    <w:rsid w:val="008A1199"/>
    <w:rsid w:val="008A2A0B"/>
    <w:rsid w:val="008D6F6B"/>
    <w:rsid w:val="008E16F4"/>
    <w:rsid w:val="008E612E"/>
    <w:rsid w:val="008E6848"/>
    <w:rsid w:val="008F1433"/>
    <w:rsid w:val="008F35FB"/>
    <w:rsid w:val="008F3E5B"/>
    <w:rsid w:val="008F43EC"/>
    <w:rsid w:val="00905403"/>
    <w:rsid w:val="00916F72"/>
    <w:rsid w:val="00920856"/>
    <w:rsid w:val="00924A30"/>
    <w:rsid w:val="0092530A"/>
    <w:rsid w:val="009377FB"/>
    <w:rsid w:val="00944E18"/>
    <w:rsid w:val="009452DF"/>
    <w:rsid w:val="009533CC"/>
    <w:rsid w:val="00956540"/>
    <w:rsid w:val="00960C92"/>
    <w:rsid w:val="009643F7"/>
    <w:rsid w:val="00966272"/>
    <w:rsid w:val="00974690"/>
    <w:rsid w:val="009760D4"/>
    <w:rsid w:val="0098311F"/>
    <w:rsid w:val="009838D8"/>
    <w:rsid w:val="0098480A"/>
    <w:rsid w:val="00990C58"/>
    <w:rsid w:val="009A3F21"/>
    <w:rsid w:val="009A495B"/>
    <w:rsid w:val="009B1EFD"/>
    <w:rsid w:val="009B6B78"/>
    <w:rsid w:val="009C1933"/>
    <w:rsid w:val="009C379A"/>
    <w:rsid w:val="009D331F"/>
    <w:rsid w:val="009D33A4"/>
    <w:rsid w:val="009E3536"/>
    <w:rsid w:val="009E4B37"/>
    <w:rsid w:val="009E72A0"/>
    <w:rsid w:val="009E77BD"/>
    <w:rsid w:val="009F43B3"/>
    <w:rsid w:val="00A1053D"/>
    <w:rsid w:val="00A13823"/>
    <w:rsid w:val="00A16A82"/>
    <w:rsid w:val="00A217E0"/>
    <w:rsid w:val="00A26E8B"/>
    <w:rsid w:val="00A270B7"/>
    <w:rsid w:val="00A27175"/>
    <w:rsid w:val="00A33419"/>
    <w:rsid w:val="00A52249"/>
    <w:rsid w:val="00A60F64"/>
    <w:rsid w:val="00A7076B"/>
    <w:rsid w:val="00A75E8D"/>
    <w:rsid w:val="00A83DDB"/>
    <w:rsid w:val="00A85636"/>
    <w:rsid w:val="00A85C4E"/>
    <w:rsid w:val="00A93F59"/>
    <w:rsid w:val="00AA598A"/>
    <w:rsid w:val="00AA5A75"/>
    <w:rsid w:val="00AB0EA7"/>
    <w:rsid w:val="00AB2815"/>
    <w:rsid w:val="00AB5615"/>
    <w:rsid w:val="00AC06D4"/>
    <w:rsid w:val="00AC08CC"/>
    <w:rsid w:val="00AC49B2"/>
    <w:rsid w:val="00AD3B85"/>
    <w:rsid w:val="00AD7244"/>
    <w:rsid w:val="00AE21F7"/>
    <w:rsid w:val="00AF4653"/>
    <w:rsid w:val="00AF48E0"/>
    <w:rsid w:val="00AF5608"/>
    <w:rsid w:val="00AF563B"/>
    <w:rsid w:val="00B01463"/>
    <w:rsid w:val="00B01ACA"/>
    <w:rsid w:val="00B13F6A"/>
    <w:rsid w:val="00B14059"/>
    <w:rsid w:val="00B167AD"/>
    <w:rsid w:val="00B3064F"/>
    <w:rsid w:val="00B3247A"/>
    <w:rsid w:val="00B372C2"/>
    <w:rsid w:val="00B439EB"/>
    <w:rsid w:val="00B44949"/>
    <w:rsid w:val="00B467A7"/>
    <w:rsid w:val="00B477A6"/>
    <w:rsid w:val="00B53782"/>
    <w:rsid w:val="00B56DF3"/>
    <w:rsid w:val="00B65CAA"/>
    <w:rsid w:val="00B679FD"/>
    <w:rsid w:val="00B73487"/>
    <w:rsid w:val="00B752D3"/>
    <w:rsid w:val="00B827FE"/>
    <w:rsid w:val="00B82A9C"/>
    <w:rsid w:val="00B967B5"/>
    <w:rsid w:val="00BA321E"/>
    <w:rsid w:val="00BA5693"/>
    <w:rsid w:val="00BB182A"/>
    <w:rsid w:val="00BB6427"/>
    <w:rsid w:val="00BB6569"/>
    <w:rsid w:val="00BD48F3"/>
    <w:rsid w:val="00BD4935"/>
    <w:rsid w:val="00BE5F90"/>
    <w:rsid w:val="00C15643"/>
    <w:rsid w:val="00C215C8"/>
    <w:rsid w:val="00C336EA"/>
    <w:rsid w:val="00C40903"/>
    <w:rsid w:val="00C4468B"/>
    <w:rsid w:val="00C44ED8"/>
    <w:rsid w:val="00C61A3F"/>
    <w:rsid w:val="00C733C3"/>
    <w:rsid w:val="00C7602C"/>
    <w:rsid w:val="00C802A8"/>
    <w:rsid w:val="00C86228"/>
    <w:rsid w:val="00C86902"/>
    <w:rsid w:val="00C90020"/>
    <w:rsid w:val="00C91C12"/>
    <w:rsid w:val="00C925CF"/>
    <w:rsid w:val="00C94772"/>
    <w:rsid w:val="00C94B4F"/>
    <w:rsid w:val="00C952C6"/>
    <w:rsid w:val="00C96940"/>
    <w:rsid w:val="00CA2B10"/>
    <w:rsid w:val="00CA6610"/>
    <w:rsid w:val="00CA786A"/>
    <w:rsid w:val="00CB0489"/>
    <w:rsid w:val="00CB0721"/>
    <w:rsid w:val="00CD6C32"/>
    <w:rsid w:val="00CD7EAE"/>
    <w:rsid w:val="00CE1E61"/>
    <w:rsid w:val="00CF31A0"/>
    <w:rsid w:val="00CF4DC7"/>
    <w:rsid w:val="00D02FA6"/>
    <w:rsid w:val="00D048AD"/>
    <w:rsid w:val="00D079C9"/>
    <w:rsid w:val="00D10F0D"/>
    <w:rsid w:val="00D116FF"/>
    <w:rsid w:val="00D16EA6"/>
    <w:rsid w:val="00D33162"/>
    <w:rsid w:val="00D3747D"/>
    <w:rsid w:val="00D44507"/>
    <w:rsid w:val="00D45FAE"/>
    <w:rsid w:val="00D50475"/>
    <w:rsid w:val="00D61FDC"/>
    <w:rsid w:val="00D72036"/>
    <w:rsid w:val="00D737EE"/>
    <w:rsid w:val="00D75FFE"/>
    <w:rsid w:val="00D81837"/>
    <w:rsid w:val="00DB01C9"/>
    <w:rsid w:val="00DB6267"/>
    <w:rsid w:val="00DC421C"/>
    <w:rsid w:val="00DC45B8"/>
    <w:rsid w:val="00DD512A"/>
    <w:rsid w:val="00DE0E96"/>
    <w:rsid w:val="00DF16B2"/>
    <w:rsid w:val="00E024FF"/>
    <w:rsid w:val="00E076CA"/>
    <w:rsid w:val="00E11472"/>
    <w:rsid w:val="00E11A02"/>
    <w:rsid w:val="00E13C55"/>
    <w:rsid w:val="00E1444B"/>
    <w:rsid w:val="00E14476"/>
    <w:rsid w:val="00E166E6"/>
    <w:rsid w:val="00E37EC9"/>
    <w:rsid w:val="00E54096"/>
    <w:rsid w:val="00E627EC"/>
    <w:rsid w:val="00E6508F"/>
    <w:rsid w:val="00E71B52"/>
    <w:rsid w:val="00E83D5C"/>
    <w:rsid w:val="00E8428B"/>
    <w:rsid w:val="00E971F2"/>
    <w:rsid w:val="00EA2030"/>
    <w:rsid w:val="00EB71B0"/>
    <w:rsid w:val="00EC15B2"/>
    <w:rsid w:val="00EC4724"/>
    <w:rsid w:val="00EC511D"/>
    <w:rsid w:val="00ED6A4B"/>
    <w:rsid w:val="00EE2C05"/>
    <w:rsid w:val="00EF6668"/>
    <w:rsid w:val="00F005D2"/>
    <w:rsid w:val="00F07891"/>
    <w:rsid w:val="00F16BFA"/>
    <w:rsid w:val="00F35127"/>
    <w:rsid w:val="00F357F1"/>
    <w:rsid w:val="00F427B1"/>
    <w:rsid w:val="00F5346E"/>
    <w:rsid w:val="00F54361"/>
    <w:rsid w:val="00F54ECD"/>
    <w:rsid w:val="00F55FC5"/>
    <w:rsid w:val="00F57E8E"/>
    <w:rsid w:val="00F7304D"/>
    <w:rsid w:val="00F75B43"/>
    <w:rsid w:val="00F76329"/>
    <w:rsid w:val="00F85A3B"/>
    <w:rsid w:val="00FA2388"/>
    <w:rsid w:val="00FB274E"/>
    <w:rsid w:val="00FB73D6"/>
    <w:rsid w:val="00FD41D6"/>
    <w:rsid w:val="00FD4340"/>
    <w:rsid w:val="00FE0F48"/>
    <w:rsid w:val="00FE110F"/>
    <w:rsid w:val="00FE1F7C"/>
    <w:rsid w:val="00FE2291"/>
    <w:rsid w:val="00FE45EE"/>
    <w:rsid w:val="00FF0DC2"/>
    <w:rsid w:val="00FF28D4"/>
    <w:rsid w:val="00FF34BD"/>
    <w:rsid w:val="00FF42B4"/>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1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C94772"/>
    <w:rPr>
      <w:sz w:val="16"/>
      <w:szCs w:val="16"/>
    </w:rPr>
  </w:style>
  <w:style w:type="paragraph" w:styleId="CommentText">
    <w:name w:val="annotation text"/>
    <w:basedOn w:val="Normal"/>
    <w:link w:val="CommentTextChar"/>
    <w:rsid w:val="00C94772"/>
  </w:style>
  <w:style w:type="character" w:customStyle="1" w:styleId="CommentTextChar">
    <w:name w:val="Comment Text Char"/>
    <w:basedOn w:val="DefaultParagraphFont"/>
    <w:link w:val="CommentText"/>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C94772"/>
    <w:rPr>
      <w:sz w:val="16"/>
      <w:szCs w:val="16"/>
    </w:rPr>
  </w:style>
  <w:style w:type="paragraph" w:styleId="CommentText">
    <w:name w:val="annotation text"/>
    <w:basedOn w:val="Normal"/>
    <w:link w:val="CommentTextChar"/>
    <w:rsid w:val="00C94772"/>
  </w:style>
  <w:style w:type="character" w:customStyle="1" w:styleId="CommentTextChar">
    <w:name w:val="Comment Text Char"/>
    <w:basedOn w:val="DefaultParagraphFont"/>
    <w:link w:val="CommentText"/>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9192">
      <w:bodyDiv w:val="1"/>
      <w:marLeft w:val="0"/>
      <w:marRight w:val="0"/>
      <w:marTop w:val="0"/>
      <w:marBottom w:val="0"/>
      <w:divBdr>
        <w:top w:val="none" w:sz="0" w:space="0" w:color="auto"/>
        <w:left w:val="none" w:sz="0" w:space="0" w:color="auto"/>
        <w:bottom w:val="none" w:sz="0" w:space="0" w:color="auto"/>
        <w:right w:val="none" w:sz="0" w:space="0" w:color="auto"/>
      </w:divBdr>
    </w:div>
    <w:div w:id="127358027">
      <w:bodyDiv w:val="1"/>
      <w:marLeft w:val="0"/>
      <w:marRight w:val="0"/>
      <w:marTop w:val="0"/>
      <w:marBottom w:val="0"/>
      <w:divBdr>
        <w:top w:val="none" w:sz="0" w:space="0" w:color="auto"/>
        <w:left w:val="none" w:sz="0" w:space="0" w:color="auto"/>
        <w:bottom w:val="none" w:sz="0" w:space="0" w:color="auto"/>
        <w:right w:val="none" w:sz="0" w:space="0" w:color="auto"/>
      </w:divBdr>
    </w:div>
    <w:div w:id="139271218">
      <w:bodyDiv w:val="1"/>
      <w:marLeft w:val="0"/>
      <w:marRight w:val="0"/>
      <w:marTop w:val="0"/>
      <w:marBottom w:val="0"/>
      <w:divBdr>
        <w:top w:val="none" w:sz="0" w:space="0" w:color="auto"/>
        <w:left w:val="none" w:sz="0" w:space="0" w:color="auto"/>
        <w:bottom w:val="none" w:sz="0" w:space="0" w:color="auto"/>
        <w:right w:val="none" w:sz="0" w:space="0" w:color="auto"/>
      </w:divBdr>
    </w:div>
    <w:div w:id="248076379">
      <w:bodyDiv w:val="1"/>
      <w:marLeft w:val="0"/>
      <w:marRight w:val="0"/>
      <w:marTop w:val="0"/>
      <w:marBottom w:val="0"/>
      <w:divBdr>
        <w:top w:val="none" w:sz="0" w:space="0" w:color="auto"/>
        <w:left w:val="none" w:sz="0" w:space="0" w:color="auto"/>
        <w:bottom w:val="none" w:sz="0" w:space="0" w:color="auto"/>
        <w:right w:val="none" w:sz="0" w:space="0" w:color="auto"/>
      </w:divBdr>
    </w:div>
    <w:div w:id="288629065">
      <w:bodyDiv w:val="1"/>
      <w:marLeft w:val="0"/>
      <w:marRight w:val="0"/>
      <w:marTop w:val="0"/>
      <w:marBottom w:val="0"/>
      <w:divBdr>
        <w:top w:val="none" w:sz="0" w:space="0" w:color="auto"/>
        <w:left w:val="none" w:sz="0" w:space="0" w:color="auto"/>
        <w:bottom w:val="none" w:sz="0" w:space="0" w:color="auto"/>
        <w:right w:val="none" w:sz="0" w:space="0" w:color="auto"/>
      </w:divBdr>
    </w:div>
    <w:div w:id="308556836">
      <w:bodyDiv w:val="1"/>
      <w:marLeft w:val="0"/>
      <w:marRight w:val="0"/>
      <w:marTop w:val="0"/>
      <w:marBottom w:val="0"/>
      <w:divBdr>
        <w:top w:val="none" w:sz="0" w:space="0" w:color="auto"/>
        <w:left w:val="none" w:sz="0" w:space="0" w:color="auto"/>
        <w:bottom w:val="none" w:sz="0" w:space="0" w:color="auto"/>
        <w:right w:val="none" w:sz="0" w:space="0" w:color="auto"/>
      </w:divBdr>
    </w:div>
    <w:div w:id="836461068">
      <w:bodyDiv w:val="1"/>
      <w:marLeft w:val="0"/>
      <w:marRight w:val="0"/>
      <w:marTop w:val="0"/>
      <w:marBottom w:val="0"/>
      <w:divBdr>
        <w:top w:val="none" w:sz="0" w:space="0" w:color="auto"/>
        <w:left w:val="none" w:sz="0" w:space="0" w:color="auto"/>
        <w:bottom w:val="none" w:sz="0" w:space="0" w:color="auto"/>
        <w:right w:val="none" w:sz="0" w:space="0" w:color="auto"/>
      </w:divBdr>
    </w:div>
    <w:div w:id="1148591045">
      <w:bodyDiv w:val="1"/>
      <w:marLeft w:val="0"/>
      <w:marRight w:val="0"/>
      <w:marTop w:val="0"/>
      <w:marBottom w:val="0"/>
      <w:divBdr>
        <w:top w:val="none" w:sz="0" w:space="0" w:color="auto"/>
        <w:left w:val="none" w:sz="0" w:space="0" w:color="auto"/>
        <w:bottom w:val="none" w:sz="0" w:space="0" w:color="auto"/>
        <w:right w:val="none" w:sz="0" w:space="0" w:color="auto"/>
      </w:divBdr>
    </w:div>
    <w:div w:id="1339696260">
      <w:bodyDiv w:val="1"/>
      <w:marLeft w:val="0"/>
      <w:marRight w:val="0"/>
      <w:marTop w:val="0"/>
      <w:marBottom w:val="0"/>
      <w:divBdr>
        <w:top w:val="none" w:sz="0" w:space="0" w:color="auto"/>
        <w:left w:val="none" w:sz="0" w:space="0" w:color="auto"/>
        <w:bottom w:val="none" w:sz="0" w:space="0" w:color="auto"/>
        <w:right w:val="none" w:sz="0" w:space="0" w:color="auto"/>
      </w:divBdr>
    </w:div>
    <w:div w:id="1422723447">
      <w:bodyDiv w:val="1"/>
      <w:marLeft w:val="0"/>
      <w:marRight w:val="0"/>
      <w:marTop w:val="0"/>
      <w:marBottom w:val="0"/>
      <w:divBdr>
        <w:top w:val="none" w:sz="0" w:space="0" w:color="auto"/>
        <w:left w:val="none" w:sz="0" w:space="0" w:color="auto"/>
        <w:bottom w:val="none" w:sz="0" w:space="0" w:color="auto"/>
        <w:right w:val="none" w:sz="0" w:space="0" w:color="auto"/>
      </w:divBdr>
    </w:div>
    <w:div w:id="1479883046">
      <w:bodyDiv w:val="1"/>
      <w:marLeft w:val="0"/>
      <w:marRight w:val="0"/>
      <w:marTop w:val="0"/>
      <w:marBottom w:val="0"/>
      <w:divBdr>
        <w:top w:val="none" w:sz="0" w:space="0" w:color="auto"/>
        <w:left w:val="none" w:sz="0" w:space="0" w:color="auto"/>
        <w:bottom w:val="none" w:sz="0" w:space="0" w:color="auto"/>
        <w:right w:val="none" w:sz="0" w:space="0" w:color="auto"/>
      </w:divBdr>
    </w:div>
    <w:div w:id="1624965374">
      <w:bodyDiv w:val="1"/>
      <w:marLeft w:val="0"/>
      <w:marRight w:val="0"/>
      <w:marTop w:val="0"/>
      <w:marBottom w:val="0"/>
      <w:divBdr>
        <w:top w:val="none" w:sz="0" w:space="0" w:color="auto"/>
        <w:left w:val="none" w:sz="0" w:space="0" w:color="auto"/>
        <w:bottom w:val="none" w:sz="0" w:space="0" w:color="auto"/>
        <w:right w:val="none" w:sz="0" w:space="0" w:color="auto"/>
      </w:divBdr>
    </w:div>
    <w:div w:id="1637300949">
      <w:bodyDiv w:val="1"/>
      <w:marLeft w:val="0"/>
      <w:marRight w:val="0"/>
      <w:marTop w:val="0"/>
      <w:marBottom w:val="0"/>
      <w:divBdr>
        <w:top w:val="none" w:sz="0" w:space="0" w:color="auto"/>
        <w:left w:val="none" w:sz="0" w:space="0" w:color="auto"/>
        <w:bottom w:val="none" w:sz="0" w:space="0" w:color="auto"/>
        <w:right w:val="none" w:sz="0" w:space="0" w:color="auto"/>
      </w:divBdr>
    </w:div>
    <w:div w:id="17946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0" Type="http://schemas.openxmlformats.org/officeDocument/2006/relationships/hyperlink" Target="https://www.webapps.nwfsc.noaa.gov/ifq/"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66E2-FAED-432B-8B93-47A1E666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11870</CharactersWithSpaces>
  <SharedDoc>false</SharedDoc>
  <HLinks>
    <vt:vector size="36" baseType="variant">
      <vt:variant>
        <vt:i4>7798847</vt:i4>
      </vt:variant>
      <vt:variant>
        <vt:i4>19</vt:i4>
      </vt:variant>
      <vt:variant>
        <vt:i4>0</vt:i4>
      </vt:variant>
      <vt:variant>
        <vt:i4>5</vt:i4>
      </vt:variant>
      <vt:variant>
        <vt:lpwstr>http://www.corporateservices.noaa.gov/ames/administrative_orders/chapter_216/216-100.html</vt:lpwstr>
      </vt:variant>
      <vt:variant>
        <vt:lpwstr/>
      </vt:variant>
      <vt:variant>
        <vt:i4>852034</vt:i4>
      </vt:variant>
      <vt:variant>
        <vt:i4>16</vt:i4>
      </vt:variant>
      <vt:variant>
        <vt:i4>0</vt:i4>
      </vt:variant>
      <vt:variant>
        <vt:i4>5</vt:i4>
      </vt:variant>
      <vt:variant>
        <vt:lpwstr>http://www.fws.gov/informationquality/section515.html</vt:lpwstr>
      </vt:variant>
      <vt:variant>
        <vt:lpwstr/>
      </vt:variant>
      <vt:variant>
        <vt:i4>4128826</vt:i4>
      </vt:variant>
      <vt:variant>
        <vt:i4>13</vt:i4>
      </vt:variant>
      <vt:variant>
        <vt:i4>0</vt:i4>
      </vt:variant>
      <vt:variant>
        <vt:i4>5</vt:i4>
      </vt:variant>
      <vt:variant>
        <vt:lpwstr>https://www.webapps.nwfsc.noaa.gov/ifq/</vt:lpwstr>
      </vt:variant>
      <vt:variant>
        <vt:lpwstr/>
      </vt:variant>
      <vt:variant>
        <vt:i4>4128826</vt:i4>
      </vt:variant>
      <vt:variant>
        <vt:i4>10</vt:i4>
      </vt:variant>
      <vt:variant>
        <vt:i4>0</vt:i4>
      </vt:variant>
      <vt:variant>
        <vt:i4>5</vt:i4>
      </vt:variant>
      <vt:variant>
        <vt:lpwstr>https://www.webapps.nwfsc.noaa.gov/ifq/</vt:lpwstr>
      </vt:variant>
      <vt:variant>
        <vt:lpwstr/>
      </vt:variant>
      <vt:variant>
        <vt:i4>4128826</vt:i4>
      </vt:variant>
      <vt:variant>
        <vt:i4>7</vt:i4>
      </vt:variant>
      <vt:variant>
        <vt:i4>0</vt:i4>
      </vt:variant>
      <vt:variant>
        <vt:i4>5</vt:i4>
      </vt:variant>
      <vt:variant>
        <vt:lpwstr>https://www.webapps.nwfsc.noaa.gov/ifq/</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SYSTEM</cp:lastModifiedBy>
  <cp:revision>2</cp:revision>
  <cp:lastPrinted>2013-07-15T18:56:00Z</cp:lastPrinted>
  <dcterms:created xsi:type="dcterms:W3CDTF">2017-10-02T16:08:00Z</dcterms:created>
  <dcterms:modified xsi:type="dcterms:W3CDTF">2017-10-02T16:08:00Z</dcterms:modified>
</cp:coreProperties>
</file>