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E1326" w14:textId="0D9BBB55" w:rsidR="00695052" w:rsidRPr="00F87F85" w:rsidRDefault="00B70188" w:rsidP="00512461">
      <w:pPr>
        <w:spacing w:after="0" w:line="240" w:lineRule="auto"/>
        <w:jc w:val="center"/>
        <w:rPr>
          <w:rFonts w:ascii="Times New Roman" w:hAnsi="Times New Roman" w:cs="Times New Roman"/>
          <w:b/>
          <w:sz w:val="26"/>
          <w:szCs w:val="26"/>
        </w:rPr>
      </w:pPr>
      <w:bookmarkStart w:id="0" w:name="_GoBack"/>
      <w:bookmarkEnd w:id="0"/>
      <w:r w:rsidRPr="00F87F85">
        <w:rPr>
          <w:rFonts w:ascii="Times New Roman" w:hAnsi="Times New Roman" w:cs="Times New Roman"/>
          <w:b/>
          <w:sz w:val="26"/>
          <w:szCs w:val="26"/>
        </w:rPr>
        <w:t>Supporting Statement</w:t>
      </w:r>
      <w:r w:rsidR="00F87F85" w:rsidRPr="00F87F85">
        <w:rPr>
          <w:rFonts w:ascii="Times New Roman" w:hAnsi="Times New Roman" w:cs="Times New Roman"/>
          <w:b/>
          <w:sz w:val="26"/>
          <w:szCs w:val="26"/>
        </w:rPr>
        <w:t xml:space="preserve"> for </w:t>
      </w:r>
    </w:p>
    <w:p w14:paraId="64C22FBF" w14:textId="6AEC98B7" w:rsidR="000834B0" w:rsidRPr="00D77493" w:rsidRDefault="00E64AA5" w:rsidP="00512461">
      <w:pPr>
        <w:spacing w:after="0" w:line="240" w:lineRule="auto"/>
        <w:jc w:val="center"/>
        <w:rPr>
          <w:rFonts w:ascii="Times New Roman" w:hAnsi="Times New Roman" w:cs="Times New Roman"/>
          <w:b/>
          <w:sz w:val="26"/>
          <w:szCs w:val="26"/>
        </w:rPr>
      </w:pPr>
      <w:r w:rsidRPr="00D77493">
        <w:rPr>
          <w:rFonts w:ascii="Times New Roman" w:hAnsi="Times New Roman" w:cs="Times New Roman"/>
          <w:b/>
          <w:sz w:val="26"/>
          <w:szCs w:val="26"/>
        </w:rPr>
        <w:t xml:space="preserve">Proposed </w:t>
      </w:r>
      <w:r w:rsidR="00B70188" w:rsidRPr="00D77493">
        <w:rPr>
          <w:rFonts w:ascii="Times New Roman" w:hAnsi="Times New Roman" w:cs="Times New Roman"/>
          <w:b/>
          <w:sz w:val="26"/>
          <w:szCs w:val="26"/>
        </w:rPr>
        <w:t>FERC-</w:t>
      </w:r>
      <w:r w:rsidRPr="00D77493">
        <w:rPr>
          <w:rFonts w:ascii="Times New Roman" w:hAnsi="Times New Roman" w:cs="Times New Roman"/>
          <w:b/>
          <w:sz w:val="26"/>
          <w:szCs w:val="26"/>
        </w:rPr>
        <w:t>599</w:t>
      </w:r>
      <w:r w:rsidR="000834B0" w:rsidRPr="00D77493">
        <w:rPr>
          <w:rFonts w:ascii="Times New Roman" w:hAnsi="Times New Roman" w:cs="Times New Roman"/>
          <w:b/>
          <w:sz w:val="26"/>
          <w:szCs w:val="26"/>
        </w:rPr>
        <w:t xml:space="preserve"> (Grid Reliability and Resilience Pricing</w:t>
      </w:r>
      <w:r w:rsidR="000E7F11" w:rsidRPr="00D77493">
        <w:rPr>
          <w:rFonts w:ascii="Times New Roman" w:hAnsi="Times New Roman" w:cs="Times New Roman"/>
          <w:b/>
          <w:sz w:val="26"/>
          <w:szCs w:val="26"/>
        </w:rPr>
        <w:t xml:space="preserve">), </w:t>
      </w:r>
    </w:p>
    <w:p w14:paraId="0CA90BFC" w14:textId="0E851FCC" w:rsidR="000834B0" w:rsidRPr="00D77493" w:rsidRDefault="00440794" w:rsidP="00512461">
      <w:pPr>
        <w:spacing w:after="0" w:line="240" w:lineRule="auto"/>
        <w:jc w:val="center"/>
        <w:rPr>
          <w:rFonts w:ascii="Times New Roman" w:hAnsi="Times New Roman" w:cs="Times New Roman"/>
          <w:b/>
          <w:sz w:val="26"/>
          <w:szCs w:val="26"/>
        </w:rPr>
      </w:pPr>
      <w:r w:rsidRPr="00D77493">
        <w:rPr>
          <w:rFonts w:ascii="Times New Roman" w:hAnsi="Times New Roman" w:cs="Times New Roman"/>
          <w:b/>
          <w:sz w:val="26"/>
          <w:szCs w:val="26"/>
        </w:rPr>
        <w:t xml:space="preserve">as </w:t>
      </w:r>
      <w:r w:rsidR="000834B0" w:rsidRPr="00D77493">
        <w:rPr>
          <w:rFonts w:ascii="Times New Roman" w:hAnsi="Times New Roman" w:cs="Times New Roman"/>
          <w:b/>
          <w:sz w:val="26"/>
          <w:szCs w:val="26"/>
        </w:rPr>
        <w:t>propose</w:t>
      </w:r>
      <w:r w:rsidR="000E7F11" w:rsidRPr="00D77493">
        <w:rPr>
          <w:rFonts w:ascii="Times New Roman" w:hAnsi="Times New Roman" w:cs="Times New Roman"/>
          <w:b/>
          <w:sz w:val="26"/>
          <w:szCs w:val="26"/>
        </w:rPr>
        <w:t xml:space="preserve">d </w:t>
      </w:r>
      <w:r w:rsidRPr="00D77493">
        <w:rPr>
          <w:rFonts w:ascii="Times New Roman" w:hAnsi="Times New Roman" w:cs="Times New Roman"/>
          <w:b/>
          <w:sz w:val="26"/>
          <w:szCs w:val="26"/>
        </w:rPr>
        <w:t xml:space="preserve">by </w:t>
      </w:r>
      <w:r w:rsidR="00E64AA5" w:rsidRPr="00D77493">
        <w:rPr>
          <w:rFonts w:ascii="Times New Roman" w:hAnsi="Times New Roman" w:cs="Times New Roman"/>
          <w:b/>
          <w:sz w:val="26"/>
          <w:szCs w:val="26"/>
        </w:rPr>
        <w:t xml:space="preserve">the </w:t>
      </w:r>
      <w:r w:rsidR="000834B0" w:rsidRPr="00D77493">
        <w:rPr>
          <w:rFonts w:ascii="Times New Roman" w:hAnsi="Times New Roman" w:cs="Times New Roman"/>
          <w:b/>
          <w:sz w:val="26"/>
          <w:szCs w:val="26"/>
        </w:rPr>
        <w:t>Depar</w:t>
      </w:r>
      <w:r w:rsidR="00F87F85" w:rsidRPr="00D77493">
        <w:rPr>
          <w:rFonts w:ascii="Times New Roman" w:hAnsi="Times New Roman" w:cs="Times New Roman"/>
          <w:b/>
          <w:sz w:val="26"/>
          <w:szCs w:val="26"/>
        </w:rPr>
        <w:t xml:space="preserve">tment of Energy </w:t>
      </w:r>
      <w:r w:rsidR="00E64AA5" w:rsidRPr="00D77493">
        <w:rPr>
          <w:rFonts w:ascii="Times New Roman" w:hAnsi="Times New Roman" w:cs="Times New Roman"/>
          <w:b/>
          <w:sz w:val="26"/>
          <w:szCs w:val="26"/>
        </w:rPr>
        <w:t xml:space="preserve">in its </w:t>
      </w:r>
      <w:r w:rsidR="000834B0" w:rsidRPr="00D77493">
        <w:rPr>
          <w:rFonts w:ascii="Times New Roman" w:hAnsi="Times New Roman" w:cs="Times New Roman"/>
          <w:b/>
          <w:sz w:val="26"/>
          <w:szCs w:val="26"/>
        </w:rPr>
        <w:t xml:space="preserve">Notice of Proposed Rulemaking, </w:t>
      </w:r>
    </w:p>
    <w:p w14:paraId="39216994" w14:textId="67535B85" w:rsidR="00AC7CFF" w:rsidRPr="00F87F85" w:rsidRDefault="000834B0" w:rsidP="00512461">
      <w:pPr>
        <w:spacing w:after="0" w:line="240" w:lineRule="auto"/>
        <w:jc w:val="center"/>
        <w:rPr>
          <w:rFonts w:ascii="Times New Roman" w:hAnsi="Times New Roman" w:cs="Times New Roman"/>
          <w:b/>
          <w:sz w:val="26"/>
          <w:szCs w:val="26"/>
        </w:rPr>
      </w:pPr>
      <w:r w:rsidRPr="00D77493">
        <w:rPr>
          <w:rFonts w:ascii="Times New Roman" w:hAnsi="Times New Roman" w:cs="Times New Roman"/>
          <w:b/>
          <w:sz w:val="26"/>
          <w:szCs w:val="26"/>
        </w:rPr>
        <w:t>i</w:t>
      </w:r>
      <w:r w:rsidR="009A6AB0" w:rsidRPr="00D77493">
        <w:rPr>
          <w:rFonts w:ascii="Times New Roman" w:hAnsi="Times New Roman" w:cs="Times New Roman"/>
          <w:b/>
          <w:sz w:val="26"/>
          <w:szCs w:val="26"/>
        </w:rPr>
        <w:t xml:space="preserve">n </w:t>
      </w:r>
      <w:r w:rsidR="00E64AA5" w:rsidRPr="00D77493">
        <w:rPr>
          <w:rFonts w:ascii="Times New Roman" w:hAnsi="Times New Roman" w:cs="Times New Roman"/>
          <w:b/>
          <w:sz w:val="26"/>
          <w:szCs w:val="26"/>
        </w:rPr>
        <w:t xml:space="preserve">FERC </w:t>
      </w:r>
      <w:r w:rsidR="009A6AB0" w:rsidRPr="00D77493">
        <w:rPr>
          <w:rFonts w:ascii="Times New Roman" w:hAnsi="Times New Roman" w:cs="Times New Roman"/>
          <w:b/>
          <w:sz w:val="26"/>
          <w:szCs w:val="26"/>
        </w:rPr>
        <w:t xml:space="preserve">Docket No. </w:t>
      </w:r>
      <w:r w:rsidR="00F87F85" w:rsidRPr="00D77493">
        <w:rPr>
          <w:rFonts w:ascii="Times New Roman" w:hAnsi="Times New Roman" w:cs="Times New Roman"/>
          <w:b/>
          <w:sz w:val="26"/>
          <w:szCs w:val="26"/>
        </w:rPr>
        <w:t>RM18-1</w:t>
      </w:r>
    </w:p>
    <w:p w14:paraId="51DC2543" w14:textId="77777777" w:rsidR="00480B05" w:rsidRPr="00D0606B" w:rsidRDefault="00480B05" w:rsidP="00512461">
      <w:pPr>
        <w:spacing w:after="0" w:line="240" w:lineRule="auto"/>
        <w:jc w:val="center"/>
        <w:rPr>
          <w:rFonts w:ascii="Times New Roman" w:hAnsi="Times New Roman" w:cs="Times New Roman"/>
          <w:sz w:val="26"/>
          <w:szCs w:val="26"/>
        </w:rPr>
      </w:pPr>
    </w:p>
    <w:p w14:paraId="1A1D8D4E" w14:textId="004E66B4" w:rsidR="00F162F1" w:rsidRDefault="0063273B" w:rsidP="00512461">
      <w:pPr>
        <w:spacing w:after="0" w:line="276" w:lineRule="auto"/>
        <w:rPr>
          <w:rFonts w:ascii="Times New Roman" w:hAnsi="Times New Roman" w:cs="Times New Roman"/>
          <w:sz w:val="26"/>
          <w:szCs w:val="26"/>
        </w:rPr>
      </w:pPr>
      <w:r w:rsidRPr="00D0606B">
        <w:rPr>
          <w:rFonts w:ascii="Times New Roman" w:hAnsi="Times New Roman" w:cs="Times New Roman"/>
          <w:sz w:val="26"/>
          <w:szCs w:val="26"/>
        </w:rPr>
        <w:t>The Federal Energy Regulatory Commission (Commission or FERC) request</w:t>
      </w:r>
      <w:r w:rsidR="00DC4FEB">
        <w:rPr>
          <w:rFonts w:ascii="Times New Roman" w:hAnsi="Times New Roman" w:cs="Times New Roman"/>
          <w:sz w:val="26"/>
          <w:szCs w:val="26"/>
        </w:rPr>
        <w:t>s</w:t>
      </w:r>
      <w:r w:rsidRPr="00D0606B">
        <w:rPr>
          <w:rFonts w:ascii="Times New Roman" w:hAnsi="Times New Roman" w:cs="Times New Roman"/>
          <w:sz w:val="26"/>
          <w:szCs w:val="26"/>
        </w:rPr>
        <w:t xml:space="preserve"> the Office of Management and Budget (OMB) </w:t>
      </w:r>
      <w:r w:rsidR="00F87F85">
        <w:rPr>
          <w:rFonts w:ascii="Times New Roman" w:hAnsi="Times New Roman" w:cs="Times New Roman"/>
          <w:sz w:val="26"/>
          <w:szCs w:val="26"/>
        </w:rPr>
        <w:t xml:space="preserve">to </w:t>
      </w:r>
      <w:r w:rsidRPr="00D0606B">
        <w:rPr>
          <w:rFonts w:ascii="Times New Roman" w:hAnsi="Times New Roman" w:cs="Times New Roman"/>
          <w:sz w:val="26"/>
          <w:szCs w:val="26"/>
        </w:rPr>
        <w:t xml:space="preserve">review </w:t>
      </w:r>
      <w:r w:rsidR="00F87F85">
        <w:rPr>
          <w:rFonts w:ascii="Times New Roman" w:hAnsi="Times New Roman" w:cs="Times New Roman"/>
          <w:sz w:val="26"/>
          <w:szCs w:val="26"/>
        </w:rPr>
        <w:t>the information collection requirements</w:t>
      </w:r>
      <w:r w:rsidR="00BA760A">
        <w:rPr>
          <w:rFonts w:ascii="Times New Roman" w:hAnsi="Times New Roman" w:cs="Times New Roman"/>
          <w:sz w:val="26"/>
          <w:szCs w:val="26"/>
        </w:rPr>
        <w:t xml:space="preserve"> </w:t>
      </w:r>
      <w:r w:rsidR="00E64AA5">
        <w:rPr>
          <w:rFonts w:ascii="Times New Roman" w:hAnsi="Times New Roman" w:cs="Times New Roman"/>
          <w:sz w:val="26"/>
          <w:szCs w:val="26"/>
        </w:rPr>
        <w:t xml:space="preserve">(identified here as FERC-599) </w:t>
      </w:r>
      <w:r w:rsidR="00A7648E">
        <w:rPr>
          <w:rFonts w:ascii="Times New Roman" w:hAnsi="Times New Roman" w:cs="Times New Roman"/>
          <w:sz w:val="26"/>
          <w:szCs w:val="26"/>
        </w:rPr>
        <w:t xml:space="preserve">proposed by the </w:t>
      </w:r>
      <w:r w:rsidR="00A7648E" w:rsidRPr="00A7648E">
        <w:rPr>
          <w:rFonts w:ascii="Times New Roman" w:hAnsi="Times New Roman" w:cs="Times New Roman"/>
          <w:sz w:val="26"/>
          <w:szCs w:val="26"/>
        </w:rPr>
        <w:t>Department of Energy (DOE</w:t>
      </w:r>
      <w:r w:rsidR="00A7648E">
        <w:rPr>
          <w:rFonts w:ascii="Times New Roman" w:hAnsi="Times New Roman" w:cs="Times New Roman"/>
          <w:sz w:val="26"/>
          <w:szCs w:val="26"/>
        </w:rPr>
        <w:t xml:space="preserve">) </w:t>
      </w:r>
      <w:r w:rsidR="00F7106B">
        <w:rPr>
          <w:rFonts w:ascii="Times New Roman" w:hAnsi="Times New Roman" w:cs="Times New Roman"/>
          <w:sz w:val="26"/>
          <w:szCs w:val="26"/>
        </w:rPr>
        <w:t xml:space="preserve">in </w:t>
      </w:r>
      <w:r w:rsidR="005B1CAF">
        <w:rPr>
          <w:rFonts w:ascii="Times New Roman" w:hAnsi="Times New Roman" w:cs="Times New Roman"/>
          <w:sz w:val="26"/>
          <w:szCs w:val="26"/>
        </w:rPr>
        <w:t>its Notice of Proposed Rulemaking (NOPR)</w:t>
      </w:r>
      <w:r w:rsidR="00D12A88" w:rsidRPr="00D12A88">
        <w:rPr>
          <w:rStyle w:val="EndnoteReference"/>
          <w:rFonts w:ascii="Times New Roman" w:hAnsi="Times New Roman" w:cs="Times New Roman"/>
          <w:sz w:val="26"/>
          <w:szCs w:val="26"/>
        </w:rPr>
        <w:t xml:space="preserve"> </w:t>
      </w:r>
      <w:r w:rsidR="00D12A88">
        <w:rPr>
          <w:rStyle w:val="FootnoteReference"/>
          <w:rFonts w:ascii="Times New Roman" w:hAnsi="Times New Roman" w:cs="Times New Roman"/>
          <w:sz w:val="26"/>
          <w:szCs w:val="26"/>
        </w:rPr>
        <w:footnoteReference w:id="1"/>
      </w:r>
      <w:r w:rsidR="005B1CAF">
        <w:rPr>
          <w:rFonts w:ascii="Times New Roman" w:hAnsi="Times New Roman" w:cs="Times New Roman"/>
          <w:sz w:val="26"/>
          <w:szCs w:val="26"/>
        </w:rPr>
        <w:t xml:space="preserve"> in </w:t>
      </w:r>
      <w:r w:rsidR="00A7648E">
        <w:rPr>
          <w:rFonts w:ascii="Times New Roman" w:hAnsi="Times New Roman" w:cs="Times New Roman"/>
          <w:sz w:val="26"/>
          <w:szCs w:val="26"/>
        </w:rPr>
        <w:t xml:space="preserve">FERC </w:t>
      </w:r>
      <w:r w:rsidR="00F7106B">
        <w:rPr>
          <w:rFonts w:ascii="Times New Roman" w:hAnsi="Times New Roman" w:cs="Times New Roman"/>
          <w:sz w:val="26"/>
          <w:szCs w:val="26"/>
        </w:rPr>
        <w:t xml:space="preserve">Docket No. </w:t>
      </w:r>
      <w:r w:rsidR="00F87F85">
        <w:rPr>
          <w:rFonts w:ascii="Times New Roman" w:hAnsi="Times New Roman" w:cs="Times New Roman"/>
          <w:sz w:val="26"/>
          <w:szCs w:val="26"/>
        </w:rPr>
        <w:t>RM18-1</w:t>
      </w:r>
      <w:r w:rsidR="00F7106B">
        <w:rPr>
          <w:rFonts w:ascii="Times New Roman" w:hAnsi="Times New Roman" w:cs="Times New Roman"/>
          <w:sz w:val="26"/>
          <w:szCs w:val="26"/>
        </w:rPr>
        <w:t>.</w:t>
      </w:r>
    </w:p>
    <w:p w14:paraId="58AFBFEC" w14:textId="77777777" w:rsidR="005B1CAF" w:rsidRDefault="005B1CAF" w:rsidP="00512461">
      <w:pPr>
        <w:spacing w:after="0" w:line="276" w:lineRule="auto"/>
        <w:rPr>
          <w:rFonts w:ascii="Times New Roman" w:hAnsi="Times New Roman" w:cs="Times New Roman"/>
          <w:sz w:val="26"/>
          <w:szCs w:val="26"/>
        </w:rPr>
      </w:pPr>
    </w:p>
    <w:p w14:paraId="0D42EFD0" w14:textId="2E818C37" w:rsidR="005B1CAF" w:rsidRDefault="005B1CAF" w:rsidP="00FA1984">
      <w:pPr>
        <w:spacing w:after="0" w:line="276" w:lineRule="auto"/>
        <w:ind w:left="720"/>
        <w:rPr>
          <w:rFonts w:ascii="Times New Roman" w:hAnsi="Times New Roman" w:cs="Times New Roman"/>
          <w:sz w:val="26"/>
          <w:szCs w:val="26"/>
        </w:rPr>
      </w:pPr>
      <w:r>
        <w:rPr>
          <w:rFonts w:ascii="Times New Roman" w:hAnsi="Times New Roman" w:cs="Times New Roman"/>
          <w:i/>
          <w:sz w:val="26"/>
          <w:szCs w:val="26"/>
        </w:rPr>
        <w:t>Unless otherwise stated,</w:t>
      </w:r>
      <w:r w:rsidR="00D7345B">
        <w:rPr>
          <w:rFonts w:ascii="Times New Roman" w:hAnsi="Times New Roman" w:cs="Times New Roman"/>
          <w:i/>
          <w:sz w:val="26"/>
          <w:szCs w:val="26"/>
        </w:rPr>
        <w:t xml:space="preserve"> </w:t>
      </w:r>
      <w:r>
        <w:rPr>
          <w:rFonts w:ascii="Times New Roman" w:hAnsi="Times New Roman" w:cs="Times New Roman"/>
          <w:i/>
          <w:sz w:val="26"/>
          <w:szCs w:val="26"/>
        </w:rPr>
        <w:t xml:space="preserve">this supporting statement </w:t>
      </w:r>
      <w:r w:rsidR="00FA1984">
        <w:rPr>
          <w:rFonts w:ascii="Times New Roman" w:hAnsi="Times New Roman" w:cs="Times New Roman"/>
          <w:i/>
          <w:sz w:val="26"/>
          <w:szCs w:val="26"/>
        </w:rPr>
        <w:t>and the related information in reginfo.gov and ROCIS are</w:t>
      </w:r>
      <w:r>
        <w:rPr>
          <w:rFonts w:ascii="Times New Roman" w:hAnsi="Times New Roman" w:cs="Times New Roman"/>
          <w:i/>
          <w:sz w:val="26"/>
          <w:szCs w:val="26"/>
        </w:rPr>
        <w:t xml:space="preserve"> based on </w:t>
      </w:r>
      <w:r w:rsidR="00D7345B">
        <w:rPr>
          <w:rFonts w:ascii="Times New Roman" w:hAnsi="Times New Roman" w:cs="Times New Roman"/>
          <w:i/>
          <w:sz w:val="26"/>
          <w:szCs w:val="26"/>
        </w:rPr>
        <w:t xml:space="preserve">information </w:t>
      </w:r>
      <w:r w:rsidR="00FA1984">
        <w:rPr>
          <w:rFonts w:ascii="Times New Roman" w:hAnsi="Times New Roman" w:cs="Times New Roman"/>
          <w:i/>
          <w:sz w:val="26"/>
          <w:szCs w:val="26"/>
        </w:rPr>
        <w:t xml:space="preserve">in </w:t>
      </w:r>
      <w:r>
        <w:rPr>
          <w:rFonts w:ascii="Times New Roman" w:hAnsi="Times New Roman" w:cs="Times New Roman"/>
          <w:i/>
          <w:sz w:val="26"/>
          <w:szCs w:val="26"/>
        </w:rPr>
        <w:t>the DOE NOPR.</w:t>
      </w:r>
    </w:p>
    <w:p w14:paraId="2278A1B8" w14:textId="77777777" w:rsidR="00B238F7" w:rsidRDefault="00B238F7" w:rsidP="00B238F7">
      <w:pPr>
        <w:spacing w:after="0"/>
        <w:rPr>
          <w:rFonts w:ascii="Times New Roman" w:hAnsi="Times New Roman" w:cs="Times New Roman"/>
          <w:sz w:val="26"/>
          <w:szCs w:val="26"/>
        </w:rPr>
      </w:pPr>
    </w:p>
    <w:p w14:paraId="6860EDC4" w14:textId="77777777" w:rsidR="008207E3" w:rsidRPr="008207E3" w:rsidRDefault="008207E3" w:rsidP="008207E3">
      <w:pPr>
        <w:spacing w:after="0"/>
        <w:rPr>
          <w:rFonts w:ascii="Times New Roman" w:hAnsi="Times New Roman" w:cs="Times New Roman"/>
          <w:b/>
          <w:sz w:val="26"/>
          <w:szCs w:val="26"/>
        </w:rPr>
      </w:pPr>
      <w:r w:rsidRPr="008207E3">
        <w:rPr>
          <w:rFonts w:ascii="Times New Roman" w:hAnsi="Times New Roman" w:cs="Times New Roman"/>
          <w:b/>
          <w:sz w:val="26"/>
          <w:szCs w:val="26"/>
        </w:rPr>
        <w:t xml:space="preserve">A.  </w:t>
      </w:r>
      <w:r w:rsidRPr="008207E3">
        <w:rPr>
          <w:rFonts w:ascii="Times New Roman" w:hAnsi="Times New Roman" w:cs="Times New Roman"/>
          <w:b/>
          <w:sz w:val="26"/>
          <w:szCs w:val="26"/>
          <w:u w:val="single"/>
        </w:rPr>
        <w:t>Justification</w:t>
      </w:r>
    </w:p>
    <w:p w14:paraId="698E7867" w14:textId="77777777" w:rsidR="008207E3" w:rsidRPr="008207E3" w:rsidRDefault="008207E3" w:rsidP="008207E3">
      <w:pPr>
        <w:spacing w:after="0"/>
        <w:rPr>
          <w:rFonts w:ascii="Times New Roman" w:hAnsi="Times New Roman" w:cs="Times New Roman"/>
          <w:sz w:val="26"/>
          <w:szCs w:val="26"/>
        </w:rPr>
      </w:pPr>
    </w:p>
    <w:p w14:paraId="19ADFF75" w14:textId="77777777" w:rsidR="008207E3" w:rsidRPr="008207E3" w:rsidRDefault="008207E3" w:rsidP="008207E3">
      <w:pPr>
        <w:numPr>
          <w:ilvl w:val="0"/>
          <w:numId w:val="1"/>
        </w:numPr>
        <w:spacing w:after="0" w:line="240" w:lineRule="auto"/>
        <w:contextualSpacing/>
        <w:rPr>
          <w:rFonts w:ascii="Times New Roman" w:hAnsi="Times New Roman" w:cs="Times New Roman"/>
          <w:b/>
          <w:sz w:val="26"/>
          <w:szCs w:val="26"/>
        </w:rPr>
      </w:pPr>
      <w:r w:rsidRPr="008207E3">
        <w:rPr>
          <w:rFonts w:ascii="Times New Roman" w:hAnsi="Times New Roman" w:cs="Times New Roman"/>
          <w:b/>
          <w:sz w:val="26"/>
          <w:szCs w:val="26"/>
        </w:rPr>
        <w:t>CIRCUMSTANCES THAT MAKE THE COLLECTION OF INFORMATION NECESSARY</w:t>
      </w:r>
    </w:p>
    <w:p w14:paraId="7A120854" w14:textId="77777777" w:rsidR="008207E3" w:rsidRDefault="008207E3" w:rsidP="00B238F7">
      <w:pPr>
        <w:spacing w:after="0"/>
        <w:rPr>
          <w:rFonts w:ascii="Times New Roman" w:hAnsi="Times New Roman" w:cs="Times New Roman"/>
          <w:sz w:val="26"/>
          <w:szCs w:val="26"/>
        </w:rPr>
      </w:pPr>
    </w:p>
    <w:p w14:paraId="55DC747F" w14:textId="4CFE10E2" w:rsidR="00CB405B" w:rsidRDefault="00CB405B" w:rsidP="00B238F7">
      <w:pPr>
        <w:spacing w:after="0"/>
        <w:rPr>
          <w:rFonts w:ascii="Times New Roman" w:hAnsi="Times New Roman" w:cs="Times New Roman"/>
          <w:sz w:val="26"/>
          <w:szCs w:val="26"/>
        </w:rPr>
      </w:pPr>
      <w:r>
        <w:rPr>
          <w:rFonts w:ascii="Times New Roman" w:hAnsi="Times New Roman" w:cs="Times New Roman"/>
          <w:sz w:val="26"/>
          <w:szCs w:val="26"/>
        </w:rPr>
        <w:t>On 9/28/2017, the Secretary of Energy submitted a letter to the Commission directing the Commission to issue grid resiliency rules pursuant to the Secretary’s authority under Section 403 of the Department of Energy Act.</w:t>
      </w:r>
      <w:r>
        <w:rPr>
          <w:rStyle w:val="FootnoteReference"/>
          <w:rFonts w:ascii="Times New Roman" w:hAnsi="Times New Roman" w:cs="Times New Roman"/>
          <w:sz w:val="26"/>
          <w:szCs w:val="26"/>
        </w:rPr>
        <w:footnoteReference w:id="2"/>
      </w:r>
      <w:r>
        <w:rPr>
          <w:rFonts w:ascii="Times New Roman" w:hAnsi="Times New Roman" w:cs="Times New Roman"/>
          <w:sz w:val="26"/>
          <w:szCs w:val="26"/>
        </w:rPr>
        <w:t xml:space="preserve"> </w:t>
      </w:r>
    </w:p>
    <w:p w14:paraId="49DA8E29" w14:textId="77777777" w:rsidR="00CB405B" w:rsidRDefault="00CB405B" w:rsidP="00B238F7">
      <w:pPr>
        <w:spacing w:after="0"/>
        <w:rPr>
          <w:rFonts w:ascii="Times New Roman" w:hAnsi="Times New Roman" w:cs="Times New Roman"/>
          <w:sz w:val="26"/>
          <w:szCs w:val="26"/>
        </w:rPr>
      </w:pPr>
    </w:p>
    <w:p w14:paraId="35A8A4CF" w14:textId="2ACA671E" w:rsidR="00B238F7" w:rsidRDefault="00F87F85" w:rsidP="00B238F7">
      <w:pPr>
        <w:spacing w:after="0"/>
        <w:rPr>
          <w:rFonts w:ascii="Times New Roman" w:hAnsi="Times New Roman" w:cs="Times New Roman"/>
          <w:sz w:val="26"/>
          <w:szCs w:val="26"/>
        </w:rPr>
      </w:pPr>
      <w:r>
        <w:rPr>
          <w:rFonts w:ascii="Times New Roman" w:hAnsi="Times New Roman" w:cs="Times New Roman"/>
          <w:sz w:val="26"/>
          <w:szCs w:val="26"/>
        </w:rPr>
        <w:t>As stated in the DOE</w:t>
      </w:r>
      <w:r w:rsidR="00BB19E6">
        <w:rPr>
          <w:rFonts w:ascii="Times New Roman" w:hAnsi="Times New Roman" w:cs="Times New Roman"/>
          <w:sz w:val="26"/>
          <w:szCs w:val="26"/>
        </w:rPr>
        <w:t xml:space="preserve"> </w:t>
      </w:r>
      <w:r>
        <w:rPr>
          <w:rFonts w:ascii="Times New Roman" w:hAnsi="Times New Roman" w:cs="Times New Roman"/>
          <w:sz w:val="26"/>
          <w:szCs w:val="26"/>
        </w:rPr>
        <w:t>NOPR</w:t>
      </w:r>
      <w:r w:rsidR="00616435">
        <w:rPr>
          <w:rFonts w:ascii="Times New Roman" w:hAnsi="Times New Roman" w:cs="Times New Roman"/>
          <w:sz w:val="26"/>
          <w:szCs w:val="26"/>
        </w:rPr>
        <w:t>,</w:t>
      </w:r>
    </w:p>
    <w:p w14:paraId="3F3EE4C2" w14:textId="77777777" w:rsidR="00BB19E6" w:rsidRDefault="00BB19E6" w:rsidP="00B238F7">
      <w:pPr>
        <w:spacing w:after="0"/>
        <w:rPr>
          <w:rFonts w:ascii="Times New Roman" w:hAnsi="Times New Roman" w:cs="Times New Roman"/>
          <w:sz w:val="26"/>
          <w:szCs w:val="26"/>
        </w:rPr>
      </w:pPr>
    </w:p>
    <w:p w14:paraId="6DC5C736" w14:textId="66523D4F" w:rsidR="00D2148B" w:rsidRDefault="00D2148B" w:rsidP="00A7648E">
      <w:pPr>
        <w:spacing w:after="0"/>
        <w:ind w:left="720"/>
        <w:rPr>
          <w:rFonts w:ascii="Times New Roman" w:hAnsi="Times New Roman" w:cs="Times New Roman"/>
          <w:sz w:val="26"/>
          <w:szCs w:val="26"/>
        </w:rPr>
      </w:pPr>
      <w:r>
        <w:rPr>
          <w:rFonts w:ascii="Times New Roman" w:hAnsi="Times New Roman" w:cs="Times New Roman"/>
          <w:sz w:val="26"/>
          <w:szCs w:val="26"/>
        </w:rPr>
        <w:t>“</w:t>
      </w:r>
      <w:r w:rsidRPr="00D2148B">
        <w:rPr>
          <w:rFonts w:ascii="Times New Roman" w:hAnsi="Times New Roman" w:cs="Times New Roman"/>
          <w:sz w:val="26"/>
          <w:szCs w:val="26"/>
        </w:rPr>
        <w:t>Pursuant to the Department of</w:t>
      </w:r>
      <w:r>
        <w:rPr>
          <w:rFonts w:ascii="Times New Roman" w:hAnsi="Times New Roman" w:cs="Times New Roman"/>
          <w:sz w:val="26"/>
          <w:szCs w:val="26"/>
        </w:rPr>
        <w:t xml:space="preserve"> </w:t>
      </w:r>
      <w:r w:rsidRPr="00D2148B">
        <w:rPr>
          <w:rFonts w:ascii="Times New Roman" w:hAnsi="Times New Roman" w:cs="Times New Roman"/>
          <w:sz w:val="26"/>
          <w:szCs w:val="26"/>
        </w:rPr>
        <w:t>Energy Organization Act (DOE Act), the</w:t>
      </w:r>
      <w:r>
        <w:rPr>
          <w:rFonts w:ascii="Times New Roman" w:hAnsi="Times New Roman" w:cs="Times New Roman"/>
          <w:sz w:val="26"/>
          <w:szCs w:val="26"/>
        </w:rPr>
        <w:t xml:space="preserve"> </w:t>
      </w:r>
      <w:r w:rsidRPr="00D2148B">
        <w:rPr>
          <w:rFonts w:ascii="Times New Roman" w:hAnsi="Times New Roman" w:cs="Times New Roman"/>
          <w:sz w:val="26"/>
          <w:szCs w:val="26"/>
        </w:rPr>
        <w:t>Secretary of Energy (Secretary) is</w:t>
      </w:r>
      <w:r>
        <w:rPr>
          <w:rFonts w:ascii="Times New Roman" w:hAnsi="Times New Roman" w:cs="Times New Roman"/>
          <w:sz w:val="26"/>
          <w:szCs w:val="26"/>
        </w:rPr>
        <w:t xml:space="preserve"> </w:t>
      </w:r>
      <w:r w:rsidRPr="00D2148B">
        <w:rPr>
          <w:rFonts w:ascii="Times New Roman" w:hAnsi="Times New Roman" w:cs="Times New Roman"/>
          <w:sz w:val="26"/>
          <w:szCs w:val="26"/>
        </w:rPr>
        <w:t>proposing a rule for final action by the</w:t>
      </w:r>
      <w:r>
        <w:rPr>
          <w:rFonts w:ascii="Times New Roman" w:hAnsi="Times New Roman" w:cs="Times New Roman"/>
          <w:sz w:val="26"/>
          <w:szCs w:val="26"/>
        </w:rPr>
        <w:t xml:space="preserve"> </w:t>
      </w:r>
      <w:r w:rsidRPr="00D2148B">
        <w:rPr>
          <w:rFonts w:ascii="Times New Roman" w:hAnsi="Times New Roman" w:cs="Times New Roman"/>
          <w:sz w:val="26"/>
          <w:szCs w:val="26"/>
        </w:rPr>
        <w:t>Federal Energy Regulatory Commission</w:t>
      </w:r>
      <w:r>
        <w:rPr>
          <w:rFonts w:ascii="Times New Roman" w:hAnsi="Times New Roman" w:cs="Times New Roman"/>
          <w:sz w:val="26"/>
          <w:szCs w:val="26"/>
        </w:rPr>
        <w:t xml:space="preserve"> </w:t>
      </w:r>
      <w:r w:rsidRPr="00D2148B">
        <w:rPr>
          <w:rFonts w:ascii="Times New Roman" w:hAnsi="Times New Roman" w:cs="Times New Roman"/>
          <w:sz w:val="26"/>
          <w:szCs w:val="26"/>
        </w:rPr>
        <w:t>(Commission or FERC). The Secretary is</w:t>
      </w:r>
      <w:r>
        <w:rPr>
          <w:rFonts w:ascii="Times New Roman" w:hAnsi="Times New Roman" w:cs="Times New Roman"/>
          <w:sz w:val="26"/>
          <w:szCs w:val="26"/>
        </w:rPr>
        <w:t xml:space="preserve"> </w:t>
      </w:r>
      <w:r w:rsidRPr="00D2148B">
        <w:rPr>
          <w:rFonts w:ascii="Times New Roman" w:hAnsi="Times New Roman" w:cs="Times New Roman"/>
          <w:sz w:val="26"/>
          <w:szCs w:val="26"/>
        </w:rPr>
        <w:t>proposing the Commission exercise its</w:t>
      </w:r>
      <w:r>
        <w:rPr>
          <w:rFonts w:ascii="Times New Roman" w:hAnsi="Times New Roman" w:cs="Times New Roman"/>
          <w:sz w:val="26"/>
          <w:szCs w:val="26"/>
        </w:rPr>
        <w:t xml:space="preserve"> </w:t>
      </w:r>
      <w:r w:rsidRPr="00D2148B">
        <w:rPr>
          <w:rFonts w:ascii="Times New Roman" w:hAnsi="Times New Roman" w:cs="Times New Roman"/>
          <w:sz w:val="26"/>
          <w:szCs w:val="26"/>
        </w:rPr>
        <w:t>authority under the Federal Power Act</w:t>
      </w:r>
      <w:r>
        <w:rPr>
          <w:rFonts w:ascii="Times New Roman" w:hAnsi="Times New Roman" w:cs="Times New Roman"/>
          <w:sz w:val="26"/>
          <w:szCs w:val="26"/>
        </w:rPr>
        <w:t xml:space="preserve"> </w:t>
      </w:r>
      <w:r w:rsidRPr="00D2148B">
        <w:rPr>
          <w:rFonts w:ascii="Times New Roman" w:hAnsi="Times New Roman" w:cs="Times New Roman"/>
          <w:sz w:val="26"/>
          <w:szCs w:val="26"/>
        </w:rPr>
        <w:t>(FPA) to establish just and reasonable</w:t>
      </w:r>
      <w:r>
        <w:rPr>
          <w:rFonts w:ascii="Times New Roman" w:hAnsi="Times New Roman" w:cs="Times New Roman"/>
          <w:sz w:val="26"/>
          <w:szCs w:val="26"/>
        </w:rPr>
        <w:t xml:space="preserve"> </w:t>
      </w:r>
      <w:r w:rsidRPr="00D2148B">
        <w:rPr>
          <w:rFonts w:ascii="Times New Roman" w:hAnsi="Times New Roman" w:cs="Times New Roman"/>
          <w:sz w:val="26"/>
          <w:szCs w:val="26"/>
        </w:rPr>
        <w:t>rates for wholesale electricity sales.</w:t>
      </w:r>
      <w:r>
        <w:rPr>
          <w:rFonts w:ascii="Times New Roman" w:hAnsi="Times New Roman" w:cs="Times New Roman"/>
          <w:sz w:val="26"/>
          <w:szCs w:val="26"/>
        </w:rPr>
        <w:t xml:space="preserve">  </w:t>
      </w:r>
      <w:r w:rsidRPr="00D2148B">
        <w:rPr>
          <w:rFonts w:ascii="Times New Roman" w:hAnsi="Times New Roman" w:cs="Times New Roman"/>
          <w:sz w:val="26"/>
          <w:szCs w:val="26"/>
        </w:rPr>
        <w:t>Under the proposal, the Commission</w:t>
      </w:r>
      <w:r>
        <w:rPr>
          <w:rFonts w:ascii="Times New Roman" w:hAnsi="Times New Roman" w:cs="Times New Roman"/>
          <w:sz w:val="26"/>
          <w:szCs w:val="26"/>
        </w:rPr>
        <w:t xml:space="preserve"> </w:t>
      </w:r>
      <w:r w:rsidRPr="00D2148B">
        <w:rPr>
          <w:rFonts w:ascii="Times New Roman" w:hAnsi="Times New Roman" w:cs="Times New Roman"/>
          <w:sz w:val="26"/>
          <w:szCs w:val="26"/>
        </w:rPr>
        <w:t>will impose rules on Commission</w:t>
      </w:r>
      <w:r>
        <w:rPr>
          <w:rFonts w:ascii="Times New Roman" w:hAnsi="Times New Roman" w:cs="Times New Roman"/>
          <w:sz w:val="26"/>
          <w:szCs w:val="26"/>
        </w:rPr>
        <w:t xml:space="preserve"> </w:t>
      </w:r>
      <w:r w:rsidRPr="00D2148B">
        <w:rPr>
          <w:rFonts w:ascii="Times New Roman" w:hAnsi="Times New Roman" w:cs="Times New Roman"/>
          <w:sz w:val="26"/>
          <w:szCs w:val="26"/>
        </w:rPr>
        <w:t>approved</w:t>
      </w:r>
      <w:r>
        <w:rPr>
          <w:rFonts w:ascii="Times New Roman" w:hAnsi="Times New Roman" w:cs="Times New Roman"/>
          <w:sz w:val="26"/>
          <w:szCs w:val="26"/>
        </w:rPr>
        <w:t xml:space="preserve"> </w:t>
      </w:r>
      <w:r w:rsidRPr="00D2148B">
        <w:rPr>
          <w:rFonts w:ascii="Times New Roman" w:hAnsi="Times New Roman" w:cs="Times New Roman"/>
          <w:sz w:val="26"/>
          <w:szCs w:val="26"/>
        </w:rPr>
        <w:t>independent system operators</w:t>
      </w:r>
      <w:r>
        <w:rPr>
          <w:rFonts w:ascii="Times New Roman" w:hAnsi="Times New Roman" w:cs="Times New Roman"/>
          <w:sz w:val="26"/>
          <w:szCs w:val="26"/>
        </w:rPr>
        <w:t xml:space="preserve"> </w:t>
      </w:r>
      <w:r w:rsidRPr="00D2148B">
        <w:rPr>
          <w:rFonts w:ascii="Times New Roman" w:hAnsi="Times New Roman" w:cs="Times New Roman"/>
          <w:sz w:val="26"/>
          <w:szCs w:val="26"/>
        </w:rPr>
        <w:t>(ISOs) and regional transmission</w:t>
      </w:r>
      <w:r>
        <w:rPr>
          <w:rFonts w:ascii="Times New Roman" w:hAnsi="Times New Roman" w:cs="Times New Roman"/>
          <w:sz w:val="26"/>
          <w:szCs w:val="26"/>
        </w:rPr>
        <w:t xml:space="preserve"> </w:t>
      </w:r>
      <w:r w:rsidRPr="00D2148B">
        <w:rPr>
          <w:rFonts w:ascii="Times New Roman" w:hAnsi="Times New Roman" w:cs="Times New Roman"/>
          <w:sz w:val="26"/>
          <w:szCs w:val="26"/>
        </w:rPr>
        <w:t>organizations (RTOs) to ensure that</w:t>
      </w:r>
      <w:r>
        <w:rPr>
          <w:rFonts w:ascii="Times New Roman" w:hAnsi="Times New Roman" w:cs="Times New Roman"/>
          <w:sz w:val="26"/>
          <w:szCs w:val="26"/>
        </w:rPr>
        <w:t xml:space="preserve"> </w:t>
      </w:r>
      <w:r w:rsidRPr="00D2148B">
        <w:rPr>
          <w:rFonts w:ascii="Times New Roman" w:hAnsi="Times New Roman" w:cs="Times New Roman"/>
          <w:sz w:val="26"/>
          <w:szCs w:val="26"/>
        </w:rPr>
        <w:t>certain reliability and resilience</w:t>
      </w:r>
      <w:r>
        <w:rPr>
          <w:rFonts w:ascii="Times New Roman" w:hAnsi="Times New Roman" w:cs="Times New Roman"/>
          <w:sz w:val="26"/>
          <w:szCs w:val="26"/>
        </w:rPr>
        <w:t xml:space="preserve"> </w:t>
      </w:r>
      <w:r w:rsidRPr="00D2148B">
        <w:rPr>
          <w:rFonts w:ascii="Times New Roman" w:hAnsi="Times New Roman" w:cs="Times New Roman"/>
          <w:sz w:val="26"/>
          <w:szCs w:val="26"/>
        </w:rPr>
        <w:t>attributes of electric generation</w:t>
      </w:r>
      <w:r>
        <w:rPr>
          <w:rFonts w:ascii="Times New Roman" w:hAnsi="Times New Roman" w:cs="Times New Roman"/>
          <w:sz w:val="26"/>
          <w:szCs w:val="26"/>
        </w:rPr>
        <w:t xml:space="preserve"> </w:t>
      </w:r>
      <w:r w:rsidRPr="00D2148B">
        <w:rPr>
          <w:rFonts w:ascii="Times New Roman" w:hAnsi="Times New Roman" w:cs="Times New Roman"/>
          <w:sz w:val="26"/>
          <w:szCs w:val="26"/>
        </w:rPr>
        <w:t xml:space="preserve">resources are fully </w:t>
      </w:r>
      <w:r w:rsidRPr="00D2148B">
        <w:rPr>
          <w:rFonts w:ascii="Times New Roman" w:hAnsi="Times New Roman" w:cs="Times New Roman"/>
          <w:sz w:val="26"/>
          <w:szCs w:val="26"/>
        </w:rPr>
        <w:lastRenderedPageBreak/>
        <w:t>valued. The</w:t>
      </w:r>
      <w:r>
        <w:rPr>
          <w:rFonts w:ascii="Times New Roman" w:hAnsi="Times New Roman" w:cs="Times New Roman"/>
          <w:sz w:val="26"/>
          <w:szCs w:val="26"/>
        </w:rPr>
        <w:t xml:space="preserve"> </w:t>
      </w:r>
      <w:r w:rsidRPr="00D2148B">
        <w:rPr>
          <w:rFonts w:ascii="Times New Roman" w:hAnsi="Times New Roman" w:cs="Times New Roman"/>
          <w:sz w:val="26"/>
          <w:szCs w:val="26"/>
        </w:rPr>
        <w:t>Secretary is directing the Commission to</w:t>
      </w:r>
      <w:r>
        <w:rPr>
          <w:rFonts w:ascii="Times New Roman" w:hAnsi="Times New Roman" w:cs="Times New Roman"/>
          <w:sz w:val="26"/>
          <w:szCs w:val="26"/>
        </w:rPr>
        <w:t xml:space="preserve"> </w:t>
      </w:r>
      <w:r w:rsidRPr="00D2148B">
        <w:rPr>
          <w:rFonts w:ascii="Times New Roman" w:hAnsi="Times New Roman" w:cs="Times New Roman"/>
          <w:sz w:val="26"/>
          <w:szCs w:val="26"/>
        </w:rPr>
        <w:t>take final action on this proposal within</w:t>
      </w:r>
      <w:r>
        <w:rPr>
          <w:rFonts w:ascii="Times New Roman" w:hAnsi="Times New Roman" w:cs="Times New Roman"/>
          <w:sz w:val="26"/>
          <w:szCs w:val="26"/>
        </w:rPr>
        <w:t xml:space="preserve"> </w:t>
      </w:r>
      <w:r w:rsidRPr="00D2148B">
        <w:rPr>
          <w:rFonts w:ascii="Times New Roman" w:hAnsi="Times New Roman" w:cs="Times New Roman"/>
          <w:sz w:val="26"/>
          <w:szCs w:val="26"/>
        </w:rPr>
        <w:t>60 days of publication of this proposed</w:t>
      </w:r>
      <w:r>
        <w:rPr>
          <w:rFonts w:ascii="Times New Roman" w:hAnsi="Times New Roman" w:cs="Times New Roman"/>
          <w:sz w:val="26"/>
          <w:szCs w:val="26"/>
        </w:rPr>
        <w:t xml:space="preserve"> </w:t>
      </w:r>
      <w:r w:rsidRPr="00D2148B">
        <w:rPr>
          <w:rFonts w:ascii="Times New Roman" w:hAnsi="Times New Roman" w:cs="Times New Roman"/>
          <w:sz w:val="26"/>
          <w:szCs w:val="26"/>
        </w:rPr>
        <w:t>rule in the Federal Register or, in the</w:t>
      </w:r>
      <w:r>
        <w:rPr>
          <w:rFonts w:ascii="Times New Roman" w:hAnsi="Times New Roman" w:cs="Times New Roman"/>
          <w:sz w:val="26"/>
          <w:szCs w:val="26"/>
        </w:rPr>
        <w:t xml:space="preserve"> </w:t>
      </w:r>
      <w:r w:rsidRPr="00D2148B">
        <w:rPr>
          <w:rFonts w:ascii="Times New Roman" w:hAnsi="Times New Roman" w:cs="Times New Roman"/>
          <w:sz w:val="26"/>
          <w:szCs w:val="26"/>
        </w:rPr>
        <w:t>alternative, to issue the rule as an</w:t>
      </w:r>
      <w:r>
        <w:rPr>
          <w:rFonts w:ascii="Times New Roman" w:hAnsi="Times New Roman" w:cs="Times New Roman"/>
          <w:sz w:val="26"/>
          <w:szCs w:val="26"/>
        </w:rPr>
        <w:t xml:space="preserve"> </w:t>
      </w:r>
      <w:r w:rsidRPr="00D2148B">
        <w:rPr>
          <w:rFonts w:ascii="Times New Roman" w:hAnsi="Times New Roman" w:cs="Times New Roman"/>
          <w:sz w:val="26"/>
          <w:szCs w:val="26"/>
        </w:rPr>
        <w:t>interim final rule immediately, with</w:t>
      </w:r>
      <w:r>
        <w:rPr>
          <w:rFonts w:ascii="Times New Roman" w:hAnsi="Times New Roman" w:cs="Times New Roman"/>
          <w:sz w:val="26"/>
          <w:szCs w:val="26"/>
        </w:rPr>
        <w:t xml:space="preserve"> </w:t>
      </w:r>
      <w:r w:rsidRPr="00D2148B">
        <w:rPr>
          <w:rFonts w:ascii="Times New Roman" w:hAnsi="Times New Roman" w:cs="Times New Roman"/>
          <w:sz w:val="26"/>
          <w:szCs w:val="26"/>
        </w:rPr>
        <w:t>provision for later modifications after</w:t>
      </w:r>
      <w:r>
        <w:rPr>
          <w:rFonts w:ascii="Times New Roman" w:hAnsi="Times New Roman" w:cs="Times New Roman"/>
          <w:sz w:val="26"/>
          <w:szCs w:val="26"/>
        </w:rPr>
        <w:t xml:space="preserve"> </w:t>
      </w:r>
      <w:r w:rsidRPr="00D2148B">
        <w:rPr>
          <w:rFonts w:ascii="Times New Roman" w:hAnsi="Times New Roman" w:cs="Times New Roman"/>
          <w:sz w:val="26"/>
          <w:szCs w:val="26"/>
        </w:rPr>
        <w:t>consideration of public comments. The</w:t>
      </w:r>
      <w:r>
        <w:rPr>
          <w:rFonts w:ascii="Times New Roman" w:hAnsi="Times New Roman" w:cs="Times New Roman"/>
          <w:sz w:val="26"/>
          <w:szCs w:val="26"/>
        </w:rPr>
        <w:t xml:space="preserve"> </w:t>
      </w:r>
      <w:r w:rsidRPr="00D2148B">
        <w:rPr>
          <w:rFonts w:ascii="Times New Roman" w:hAnsi="Times New Roman" w:cs="Times New Roman"/>
          <w:sz w:val="26"/>
          <w:szCs w:val="26"/>
        </w:rPr>
        <w:t>Secretary further directs that any final</w:t>
      </w:r>
      <w:r>
        <w:rPr>
          <w:rFonts w:ascii="Times New Roman" w:hAnsi="Times New Roman" w:cs="Times New Roman"/>
          <w:sz w:val="26"/>
          <w:szCs w:val="26"/>
        </w:rPr>
        <w:t xml:space="preserve"> </w:t>
      </w:r>
      <w:r w:rsidRPr="00D2148B">
        <w:rPr>
          <w:rFonts w:ascii="Times New Roman" w:hAnsi="Times New Roman" w:cs="Times New Roman"/>
          <w:sz w:val="26"/>
          <w:szCs w:val="26"/>
        </w:rPr>
        <w:t>rule adopting this proposal take effect</w:t>
      </w:r>
      <w:r>
        <w:rPr>
          <w:rFonts w:ascii="Times New Roman" w:hAnsi="Times New Roman" w:cs="Times New Roman"/>
          <w:sz w:val="26"/>
          <w:szCs w:val="26"/>
        </w:rPr>
        <w:t xml:space="preserve"> </w:t>
      </w:r>
      <w:r w:rsidRPr="00D2148B">
        <w:rPr>
          <w:rFonts w:ascii="Times New Roman" w:hAnsi="Times New Roman" w:cs="Times New Roman"/>
          <w:sz w:val="26"/>
          <w:szCs w:val="26"/>
        </w:rPr>
        <w:t>within 30 days of publication of such</w:t>
      </w:r>
      <w:r>
        <w:rPr>
          <w:rFonts w:ascii="Times New Roman" w:hAnsi="Times New Roman" w:cs="Times New Roman"/>
          <w:sz w:val="26"/>
          <w:szCs w:val="26"/>
        </w:rPr>
        <w:t xml:space="preserve"> </w:t>
      </w:r>
      <w:r w:rsidRPr="00D2148B">
        <w:rPr>
          <w:rFonts w:ascii="Times New Roman" w:hAnsi="Times New Roman" w:cs="Times New Roman"/>
          <w:sz w:val="26"/>
          <w:szCs w:val="26"/>
        </w:rPr>
        <w:t>final rule in the Federal Register and</w:t>
      </w:r>
      <w:r>
        <w:rPr>
          <w:rFonts w:ascii="Times New Roman" w:hAnsi="Times New Roman" w:cs="Times New Roman"/>
          <w:sz w:val="26"/>
          <w:szCs w:val="26"/>
        </w:rPr>
        <w:t xml:space="preserve"> </w:t>
      </w:r>
      <w:r w:rsidRPr="00D2148B">
        <w:rPr>
          <w:rFonts w:ascii="Times New Roman" w:hAnsi="Times New Roman" w:cs="Times New Roman"/>
          <w:sz w:val="26"/>
          <w:szCs w:val="26"/>
        </w:rPr>
        <w:t>proposes that each ISO and RTO subject</w:t>
      </w:r>
      <w:r>
        <w:rPr>
          <w:rFonts w:ascii="Times New Roman" w:hAnsi="Times New Roman" w:cs="Times New Roman"/>
          <w:sz w:val="26"/>
          <w:szCs w:val="26"/>
        </w:rPr>
        <w:t xml:space="preserve"> </w:t>
      </w:r>
      <w:r w:rsidRPr="00D2148B">
        <w:rPr>
          <w:rFonts w:ascii="Times New Roman" w:hAnsi="Times New Roman" w:cs="Times New Roman"/>
          <w:sz w:val="26"/>
          <w:szCs w:val="26"/>
        </w:rPr>
        <w:t>to the rule shall submit a compliance</w:t>
      </w:r>
      <w:r>
        <w:rPr>
          <w:rFonts w:ascii="Times New Roman" w:hAnsi="Times New Roman" w:cs="Times New Roman"/>
          <w:sz w:val="26"/>
          <w:szCs w:val="26"/>
        </w:rPr>
        <w:t xml:space="preserve"> </w:t>
      </w:r>
      <w:r w:rsidRPr="00D2148B">
        <w:rPr>
          <w:rFonts w:ascii="Times New Roman" w:hAnsi="Times New Roman" w:cs="Times New Roman"/>
          <w:sz w:val="26"/>
          <w:szCs w:val="26"/>
        </w:rPr>
        <w:t>filing within 15 days of the effective</w:t>
      </w:r>
      <w:r>
        <w:rPr>
          <w:rFonts w:ascii="Times New Roman" w:hAnsi="Times New Roman" w:cs="Times New Roman"/>
          <w:sz w:val="26"/>
          <w:szCs w:val="26"/>
        </w:rPr>
        <w:t xml:space="preserve"> </w:t>
      </w:r>
      <w:r w:rsidRPr="00D2148B">
        <w:rPr>
          <w:rFonts w:ascii="Times New Roman" w:hAnsi="Times New Roman" w:cs="Times New Roman"/>
          <w:sz w:val="26"/>
          <w:szCs w:val="26"/>
        </w:rPr>
        <w:t>date of such final rule</w:t>
      </w:r>
      <w:r w:rsidR="00A7648E">
        <w:rPr>
          <w:rFonts w:ascii="Times New Roman" w:hAnsi="Times New Roman" w:cs="Times New Roman"/>
          <w:sz w:val="26"/>
          <w:szCs w:val="26"/>
        </w:rPr>
        <w:t>.</w:t>
      </w:r>
    </w:p>
    <w:p w14:paraId="7647F853" w14:textId="05C0B6D7" w:rsidR="00D2148B" w:rsidRDefault="00D2148B" w:rsidP="00A7648E">
      <w:pPr>
        <w:spacing w:after="0"/>
        <w:ind w:left="720"/>
        <w:rPr>
          <w:rFonts w:ascii="Times New Roman" w:hAnsi="Times New Roman" w:cs="Times New Roman"/>
          <w:sz w:val="26"/>
          <w:szCs w:val="26"/>
        </w:rPr>
      </w:pPr>
      <w:r w:rsidRPr="00D2148B">
        <w:rPr>
          <w:rFonts w:ascii="Times New Roman" w:hAnsi="Times New Roman" w:cs="Times New Roman"/>
          <w:sz w:val="26"/>
          <w:szCs w:val="26"/>
        </w:rPr>
        <w:t>.</w:t>
      </w:r>
      <w:r w:rsidR="00A7648E">
        <w:rPr>
          <w:rFonts w:ascii="Times New Roman" w:hAnsi="Times New Roman" w:cs="Times New Roman"/>
          <w:sz w:val="26"/>
          <w:szCs w:val="26"/>
        </w:rPr>
        <w:t>..</w:t>
      </w:r>
    </w:p>
    <w:p w14:paraId="381B2017" w14:textId="064559ED" w:rsidR="00D2148B" w:rsidRPr="00B238F7" w:rsidRDefault="00D2148B" w:rsidP="00A7648E">
      <w:pPr>
        <w:spacing w:after="0"/>
        <w:ind w:left="720"/>
        <w:rPr>
          <w:rFonts w:ascii="Times New Roman" w:hAnsi="Times New Roman" w:cs="Times New Roman"/>
          <w:sz w:val="26"/>
          <w:szCs w:val="26"/>
        </w:rPr>
      </w:pPr>
      <w:r w:rsidRPr="00D2148B">
        <w:rPr>
          <w:rFonts w:ascii="Times New Roman" w:hAnsi="Times New Roman" w:cs="Times New Roman"/>
          <w:sz w:val="26"/>
          <w:szCs w:val="26"/>
        </w:rPr>
        <w:t>The Commission is directed</w:t>
      </w:r>
      <w:r>
        <w:rPr>
          <w:rFonts w:ascii="Times New Roman" w:hAnsi="Times New Roman" w:cs="Times New Roman"/>
          <w:sz w:val="26"/>
          <w:szCs w:val="26"/>
        </w:rPr>
        <w:t xml:space="preserve"> </w:t>
      </w:r>
      <w:r w:rsidRPr="00D2148B">
        <w:rPr>
          <w:rFonts w:ascii="Times New Roman" w:hAnsi="Times New Roman" w:cs="Times New Roman"/>
          <w:sz w:val="26"/>
          <w:szCs w:val="26"/>
        </w:rPr>
        <w:t>either to take final action by December</w:t>
      </w:r>
      <w:r>
        <w:rPr>
          <w:rFonts w:ascii="Times New Roman" w:hAnsi="Times New Roman" w:cs="Times New Roman"/>
          <w:sz w:val="26"/>
          <w:szCs w:val="26"/>
        </w:rPr>
        <w:t xml:space="preserve"> </w:t>
      </w:r>
      <w:r w:rsidRPr="00D2148B">
        <w:rPr>
          <w:rFonts w:ascii="Times New Roman" w:hAnsi="Times New Roman" w:cs="Times New Roman"/>
          <w:sz w:val="26"/>
          <w:szCs w:val="26"/>
        </w:rPr>
        <w:t>11, 2017 or to issue the proposed rule</w:t>
      </w:r>
      <w:r w:rsidR="00A7648E">
        <w:rPr>
          <w:rFonts w:ascii="Times New Roman" w:hAnsi="Times New Roman" w:cs="Times New Roman"/>
          <w:sz w:val="26"/>
          <w:szCs w:val="26"/>
        </w:rPr>
        <w:t xml:space="preserve"> </w:t>
      </w:r>
      <w:r w:rsidRPr="00D2148B">
        <w:rPr>
          <w:rFonts w:ascii="Times New Roman" w:hAnsi="Times New Roman" w:cs="Times New Roman"/>
          <w:sz w:val="26"/>
          <w:szCs w:val="26"/>
        </w:rPr>
        <w:t>as an interim final rule. Public comment</w:t>
      </w:r>
      <w:r w:rsidR="00A7648E">
        <w:rPr>
          <w:rFonts w:ascii="Times New Roman" w:hAnsi="Times New Roman" w:cs="Times New Roman"/>
          <w:sz w:val="26"/>
          <w:szCs w:val="26"/>
        </w:rPr>
        <w:t xml:space="preserve"> </w:t>
      </w:r>
      <w:r w:rsidRPr="00D2148B">
        <w:rPr>
          <w:rFonts w:ascii="Times New Roman" w:hAnsi="Times New Roman" w:cs="Times New Roman"/>
          <w:sz w:val="26"/>
          <w:szCs w:val="26"/>
        </w:rPr>
        <w:t>is due either November 24, 2017 or</w:t>
      </w:r>
      <w:r w:rsidR="00A7648E">
        <w:rPr>
          <w:rFonts w:ascii="Times New Roman" w:hAnsi="Times New Roman" w:cs="Times New Roman"/>
          <w:sz w:val="26"/>
          <w:szCs w:val="26"/>
        </w:rPr>
        <w:t xml:space="preserve"> </w:t>
      </w:r>
      <w:r w:rsidRPr="00D2148B">
        <w:rPr>
          <w:rFonts w:ascii="Times New Roman" w:hAnsi="Times New Roman" w:cs="Times New Roman"/>
          <w:sz w:val="26"/>
          <w:szCs w:val="26"/>
        </w:rPr>
        <w:t>according to a schedule to be published</w:t>
      </w:r>
      <w:r w:rsidR="00A7648E">
        <w:rPr>
          <w:rFonts w:ascii="Times New Roman" w:hAnsi="Times New Roman" w:cs="Times New Roman"/>
          <w:sz w:val="26"/>
          <w:szCs w:val="26"/>
        </w:rPr>
        <w:t xml:space="preserve"> </w:t>
      </w:r>
      <w:r w:rsidRPr="00D2148B">
        <w:rPr>
          <w:rFonts w:ascii="Times New Roman" w:hAnsi="Times New Roman" w:cs="Times New Roman"/>
          <w:sz w:val="26"/>
          <w:szCs w:val="26"/>
        </w:rPr>
        <w:t>by the Commission.</w:t>
      </w:r>
      <w:r w:rsidR="00A7648E">
        <w:rPr>
          <w:rFonts w:ascii="Times New Roman" w:hAnsi="Times New Roman" w:cs="Times New Roman"/>
          <w:sz w:val="26"/>
          <w:szCs w:val="26"/>
        </w:rPr>
        <w:t>”</w:t>
      </w:r>
    </w:p>
    <w:p w14:paraId="7BF9B3C6" w14:textId="77777777" w:rsidR="00B238F7" w:rsidRDefault="00B238F7" w:rsidP="00B238F7">
      <w:pPr>
        <w:spacing w:after="0"/>
        <w:rPr>
          <w:rFonts w:ascii="Times New Roman" w:hAnsi="Times New Roman" w:cs="Times New Roman"/>
          <w:sz w:val="26"/>
          <w:szCs w:val="26"/>
        </w:rPr>
      </w:pPr>
    </w:p>
    <w:p w14:paraId="2DF9E034" w14:textId="522297C2" w:rsidR="001A22EE" w:rsidRDefault="005F67EF" w:rsidP="00B238F7">
      <w:pPr>
        <w:spacing w:after="0"/>
      </w:pPr>
      <w:r>
        <w:rPr>
          <w:rFonts w:ascii="Times New Roman" w:hAnsi="Times New Roman" w:cs="Times New Roman"/>
          <w:sz w:val="26"/>
          <w:szCs w:val="26"/>
        </w:rPr>
        <w:t>The Commission issued a Notice inviting comments on 10/2/2017.</w:t>
      </w:r>
      <w:r>
        <w:rPr>
          <w:rStyle w:val="FootnoteReference"/>
          <w:rFonts w:ascii="Times New Roman" w:hAnsi="Times New Roman" w:cs="Times New Roman"/>
          <w:sz w:val="26"/>
          <w:szCs w:val="26"/>
        </w:rPr>
        <w:footnoteReference w:id="3"/>
      </w:r>
      <w:r>
        <w:rPr>
          <w:rFonts w:ascii="Times New Roman" w:hAnsi="Times New Roman" w:cs="Times New Roman"/>
          <w:sz w:val="26"/>
          <w:szCs w:val="26"/>
        </w:rPr>
        <w:t xml:space="preserve">  </w:t>
      </w:r>
      <w:r w:rsidR="00A16110">
        <w:rPr>
          <w:rFonts w:ascii="Times New Roman" w:hAnsi="Times New Roman" w:cs="Times New Roman"/>
          <w:sz w:val="26"/>
          <w:szCs w:val="26"/>
        </w:rPr>
        <w:t>O</w:t>
      </w:r>
      <w:r w:rsidR="001A22EE" w:rsidRPr="001A22EE">
        <w:rPr>
          <w:rFonts w:ascii="Times New Roman" w:hAnsi="Times New Roman" w:cs="Times New Roman"/>
          <w:sz w:val="26"/>
          <w:szCs w:val="26"/>
        </w:rPr>
        <w:t xml:space="preserve">n 10/4/17, FERC’s Office of Energy Policy and Innovation (OEPI) issued a </w:t>
      </w:r>
      <w:r>
        <w:rPr>
          <w:rFonts w:ascii="Times New Roman" w:hAnsi="Times New Roman" w:cs="Times New Roman"/>
          <w:sz w:val="26"/>
          <w:szCs w:val="26"/>
        </w:rPr>
        <w:t>request for information</w:t>
      </w:r>
      <w:r w:rsidR="00414A65">
        <w:rPr>
          <w:rFonts w:ascii="Times New Roman" w:hAnsi="Times New Roman" w:cs="Times New Roman"/>
          <w:sz w:val="26"/>
          <w:szCs w:val="26"/>
        </w:rPr>
        <w:t>.</w:t>
      </w:r>
      <w:r w:rsidR="001A22EE">
        <w:rPr>
          <w:rStyle w:val="FootnoteReference"/>
          <w:rFonts w:ascii="Times New Roman" w:hAnsi="Times New Roman" w:cs="Times New Roman"/>
          <w:sz w:val="26"/>
          <w:szCs w:val="26"/>
        </w:rPr>
        <w:footnoteReference w:id="4"/>
      </w:r>
    </w:p>
    <w:p w14:paraId="1C270989" w14:textId="60208488" w:rsidR="00CB590D" w:rsidRDefault="00CB590D" w:rsidP="00B238F7">
      <w:pPr>
        <w:spacing w:after="0"/>
        <w:rPr>
          <w:rFonts w:ascii="Times New Roman" w:hAnsi="Times New Roman" w:cs="Times New Roman"/>
          <w:sz w:val="26"/>
          <w:szCs w:val="26"/>
        </w:rPr>
      </w:pPr>
    </w:p>
    <w:p w14:paraId="5C7A6FD1" w14:textId="6768D955" w:rsidR="00CB590D" w:rsidRDefault="0010056D" w:rsidP="00B238F7">
      <w:pPr>
        <w:spacing w:after="0"/>
        <w:rPr>
          <w:rFonts w:ascii="Times New Roman" w:hAnsi="Times New Roman" w:cs="Times New Roman"/>
          <w:sz w:val="26"/>
          <w:szCs w:val="26"/>
        </w:rPr>
      </w:pPr>
      <w:r>
        <w:rPr>
          <w:rFonts w:ascii="Times New Roman" w:hAnsi="Times New Roman" w:cs="Times New Roman"/>
          <w:sz w:val="26"/>
          <w:szCs w:val="26"/>
        </w:rPr>
        <w:t>On 10/11/17, t</w:t>
      </w:r>
      <w:r w:rsidR="00CB590D">
        <w:rPr>
          <w:rFonts w:ascii="Times New Roman" w:hAnsi="Times New Roman" w:cs="Times New Roman"/>
          <w:sz w:val="26"/>
          <w:szCs w:val="26"/>
        </w:rPr>
        <w:t xml:space="preserve">he </w:t>
      </w:r>
      <w:r w:rsidR="00795CA6">
        <w:rPr>
          <w:rFonts w:ascii="Times New Roman" w:hAnsi="Times New Roman" w:cs="Times New Roman"/>
          <w:sz w:val="26"/>
          <w:szCs w:val="26"/>
        </w:rPr>
        <w:t>Commission</w:t>
      </w:r>
      <w:r w:rsidR="00CB590D">
        <w:rPr>
          <w:rFonts w:ascii="Times New Roman" w:hAnsi="Times New Roman" w:cs="Times New Roman"/>
          <w:sz w:val="26"/>
          <w:szCs w:val="26"/>
        </w:rPr>
        <w:t xml:space="preserve"> issued a Notice of Federal Register Publication</w:t>
      </w:r>
      <w:r w:rsidRPr="0010056D">
        <w:rPr>
          <w:rFonts w:ascii="Times New Roman" w:hAnsi="Times New Roman" w:cs="Times New Roman"/>
          <w:sz w:val="26"/>
          <w:szCs w:val="26"/>
        </w:rPr>
        <w:t xml:space="preserve"> </w:t>
      </w:r>
      <w:r>
        <w:rPr>
          <w:rFonts w:ascii="Times New Roman" w:hAnsi="Times New Roman" w:cs="Times New Roman"/>
          <w:sz w:val="26"/>
          <w:szCs w:val="26"/>
        </w:rPr>
        <w:t>and an Errata.</w:t>
      </w:r>
      <w:r w:rsidR="00CB590D">
        <w:rPr>
          <w:rStyle w:val="FootnoteReference"/>
          <w:rFonts w:ascii="Times New Roman" w:hAnsi="Times New Roman" w:cs="Times New Roman"/>
          <w:sz w:val="26"/>
          <w:szCs w:val="26"/>
        </w:rPr>
        <w:footnoteReference w:id="5"/>
      </w:r>
      <w:r>
        <w:rPr>
          <w:rFonts w:ascii="Times New Roman" w:hAnsi="Times New Roman" w:cs="Times New Roman"/>
          <w:sz w:val="26"/>
          <w:szCs w:val="26"/>
        </w:rPr>
        <w:t xml:space="preserve"> </w:t>
      </w:r>
    </w:p>
    <w:p w14:paraId="42F5800E" w14:textId="77777777" w:rsidR="001A22EE" w:rsidRPr="00B238F7" w:rsidRDefault="001A22EE" w:rsidP="00B238F7">
      <w:pPr>
        <w:spacing w:after="0"/>
        <w:rPr>
          <w:rFonts w:ascii="Times New Roman" w:hAnsi="Times New Roman" w:cs="Times New Roman"/>
          <w:sz w:val="26"/>
          <w:szCs w:val="26"/>
        </w:rPr>
      </w:pPr>
    </w:p>
    <w:p w14:paraId="2BA90143" w14:textId="77777777" w:rsidR="00480B05" w:rsidRPr="00D0606B" w:rsidRDefault="0091117A" w:rsidP="0091117A">
      <w:pPr>
        <w:pStyle w:val="ListParagraph"/>
        <w:numPr>
          <w:ilvl w:val="0"/>
          <w:numId w:val="1"/>
        </w:numPr>
        <w:spacing w:after="0"/>
        <w:rPr>
          <w:rFonts w:ascii="Times New Roman" w:hAnsi="Times New Roman" w:cs="Times New Roman"/>
          <w:b/>
          <w:sz w:val="26"/>
          <w:szCs w:val="26"/>
        </w:rPr>
      </w:pPr>
      <w:r w:rsidRPr="00D0606B">
        <w:rPr>
          <w:rFonts w:ascii="Times New Roman" w:hAnsi="Times New Roman" w:cs="Times New Roman"/>
          <w:b/>
          <w:sz w:val="26"/>
          <w:szCs w:val="26"/>
        </w:rPr>
        <w:t>HOW, BY WHOM, AND FOR WHAT PURPOSE THE INFORMATION IS TO BE USED AND THE CONSEQUENCES OF NOT COLLECTING THE INFORMATION</w:t>
      </w:r>
    </w:p>
    <w:p w14:paraId="0DA2417B" w14:textId="77777777" w:rsidR="00F3604E" w:rsidRDefault="00F3604E" w:rsidP="0091117A">
      <w:pPr>
        <w:spacing w:after="0" w:line="240" w:lineRule="auto"/>
        <w:rPr>
          <w:rFonts w:ascii="Times New Roman" w:hAnsi="Times New Roman" w:cs="Times New Roman"/>
          <w:sz w:val="26"/>
          <w:szCs w:val="26"/>
        </w:rPr>
      </w:pPr>
    </w:p>
    <w:p w14:paraId="033EF179" w14:textId="77777777" w:rsidR="00CE1BEE" w:rsidRDefault="003873C1" w:rsidP="0091117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As stated </w:t>
      </w:r>
      <w:r w:rsidR="00153C38">
        <w:rPr>
          <w:rFonts w:ascii="Times New Roman" w:hAnsi="Times New Roman" w:cs="Times New Roman"/>
          <w:sz w:val="26"/>
          <w:szCs w:val="26"/>
        </w:rPr>
        <w:t xml:space="preserve">in the </w:t>
      </w:r>
      <w:r>
        <w:rPr>
          <w:rFonts w:ascii="Times New Roman" w:hAnsi="Times New Roman" w:cs="Times New Roman"/>
          <w:sz w:val="26"/>
          <w:szCs w:val="26"/>
        </w:rPr>
        <w:t>DOE NOPR</w:t>
      </w:r>
      <w:r w:rsidR="0025149C">
        <w:rPr>
          <w:rFonts w:ascii="Times New Roman" w:hAnsi="Times New Roman" w:cs="Times New Roman"/>
          <w:sz w:val="26"/>
          <w:szCs w:val="26"/>
        </w:rPr>
        <w:t xml:space="preserve"> [footnotes omitted]</w:t>
      </w:r>
      <w:r>
        <w:rPr>
          <w:rFonts w:ascii="Times New Roman" w:hAnsi="Times New Roman" w:cs="Times New Roman"/>
          <w:sz w:val="26"/>
          <w:szCs w:val="26"/>
        </w:rPr>
        <w:t xml:space="preserve">, </w:t>
      </w:r>
    </w:p>
    <w:p w14:paraId="5CD13C27" w14:textId="20C25B3E" w:rsidR="003873C1" w:rsidRDefault="003873C1" w:rsidP="00B85067">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w:t>
      </w:r>
      <w:r w:rsidRPr="003873C1">
        <w:rPr>
          <w:rFonts w:ascii="Times New Roman" w:hAnsi="Times New Roman" w:cs="Times New Roman"/>
          <w:sz w:val="26"/>
          <w:szCs w:val="26"/>
        </w:rPr>
        <w:t>The resiliency of the nation’s electric grid is threatened by the premature retirements of power plants that can withstand major fuel supply disruptions caused by natural or man-made disasters and, in those critical times, continue to provide electric energy, capacity, and essential grid reliability services. These fuel-secure resources are indispensable for the reliability and resiliency of our electric grid—and therefore indispensable for our economic and national security. It is time for the Commission to issue rules to protect the American people from energy outages expected to result from the loss of this fuel-secure generation capacity.</w:t>
      </w:r>
    </w:p>
    <w:p w14:paraId="047A1CFD" w14:textId="7BA3CFF1" w:rsidR="003873C1" w:rsidRDefault="003873C1" w:rsidP="00B85067">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w:t>
      </w:r>
      <w:r w:rsidR="00153C38">
        <w:rPr>
          <w:rFonts w:ascii="Times New Roman" w:hAnsi="Times New Roman" w:cs="Times New Roman"/>
          <w:sz w:val="26"/>
          <w:szCs w:val="26"/>
        </w:rPr>
        <w:t>.</w:t>
      </w:r>
    </w:p>
    <w:p w14:paraId="2710A7D2" w14:textId="77777777" w:rsidR="00153C38" w:rsidRPr="00153C38" w:rsidRDefault="00153C38" w:rsidP="00B85067">
      <w:pPr>
        <w:spacing w:after="0" w:line="240" w:lineRule="auto"/>
        <w:ind w:left="720"/>
        <w:rPr>
          <w:rFonts w:ascii="Times New Roman" w:hAnsi="Times New Roman" w:cs="Times New Roman"/>
          <w:sz w:val="26"/>
          <w:szCs w:val="26"/>
        </w:rPr>
      </w:pPr>
      <w:r w:rsidRPr="00153C38">
        <w:rPr>
          <w:rFonts w:ascii="Times New Roman" w:hAnsi="Times New Roman" w:cs="Times New Roman"/>
          <w:sz w:val="26"/>
          <w:szCs w:val="26"/>
        </w:rPr>
        <w:t>Pursuant to the Secretary’s authority under section 403 of the Department of Energy Organization Act (42 USC 7173), the Secretary is directing the Commission to exercise its authority under sections 205 and 206 of the Federal Power Act to issue a final rule requiring its organized markets to develop and implement market rules that accurately price generation resources necessary to maintain the reliability and resiliency of our Nation’s bulk power system.</w:t>
      </w:r>
    </w:p>
    <w:p w14:paraId="4502EB98" w14:textId="77777777" w:rsidR="00153C38" w:rsidRPr="00153C38" w:rsidRDefault="00153C38" w:rsidP="00B85067">
      <w:pPr>
        <w:spacing w:after="0" w:line="240" w:lineRule="auto"/>
        <w:ind w:left="720"/>
        <w:rPr>
          <w:rFonts w:ascii="Times New Roman" w:hAnsi="Times New Roman" w:cs="Times New Roman"/>
          <w:sz w:val="26"/>
          <w:szCs w:val="26"/>
        </w:rPr>
      </w:pPr>
    </w:p>
    <w:p w14:paraId="32FF2031" w14:textId="77777777" w:rsidR="00153C38" w:rsidRDefault="00153C38" w:rsidP="00B85067">
      <w:pPr>
        <w:spacing w:after="0" w:line="240" w:lineRule="auto"/>
        <w:ind w:left="720"/>
        <w:rPr>
          <w:rFonts w:ascii="Times New Roman" w:hAnsi="Times New Roman" w:cs="Times New Roman"/>
          <w:sz w:val="26"/>
          <w:szCs w:val="26"/>
        </w:rPr>
      </w:pPr>
      <w:r w:rsidRPr="00153C38">
        <w:rPr>
          <w:rFonts w:ascii="Times New Roman" w:hAnsi="Times New Roman" w:cs="Times New Roman"/>
          <w:sz w:val="26"/>
          <w:szCs w:val="26"/>
        </w:rPr>
        <w:t>The proposed rule allows for the recovery of costs of fuel-secure generation units frequently relied upon to make our grid reliable and resilient. Such resources provide reliable capacity, resilient generation, frequency and voltage support, on-site fuel inventory—in addition to providing power for our basic needs, quality of life, and robust economy. The rule allows the full recovery of costs of certain eligible units physically located within the Commission-approved organized markets. Eligible units must also be able to provide essential energy and ancillary reliability services and have a 90-day fuel supply on site in the event of supply disruptions caused by emergencies, extreme weather, or natural or man-made disasters. These resources must be compliant with all applicable environmental regulations and are not subject to cost-of-service rate regulation by any State or local authority. The rule requires the organized markets to establish just and reasonable rate tariffs for the recovery of costs and a fair rate of return.</w:t>
      </w:r>
    </w:p>
    <w:p w14:paraId="566D4B3C" w14:textId="77777777" w:rsidR="00153C38" w:rsidRDefault="00153C38" w:rsidP="00B85067">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w:t>
      </w:r>
    </w:p>
    <w:p w14:paraId="5AB540C0" w14:textId="77777777" w:rsidR="00153C38" w:rsidRDefault="00153C38" w:rsidP="00B85067">
      <w:pPr>
        <w:spacing w:after="0" w:line="240" w:lineRule="auto"/>
        <w:ind w:left="720"/>
        <w:rPr>
          <w:rFonts w:ascii="Times New Roman" w:hAnsi="Times New Roman" w:cs="Times New Roman"/>
          <w:sz w:val="26"/>
          <w:szCs w:val="26"/>
        </w:rPr>
      </w:pPr>
      <w:r w:rsidRPr="00153C38">
        <w:rPr>
          <w:rFonts w:ascii="Times New Roman" w:hAnsi="Times New Roman" w:cs="Times New Roman"/>
          <w:sz w:val="26"/>
          <w:szCs w:val="26"/>
        </w:rPr>
        <w:t xml:space="preserve">The Secretary further proposes that any final rule issued by the Commission pursuant to this NOPR shall provide that each Commission-approved RTO and ISO shall submit a compliance filing, including a revised tariff pursuant to section 205 of the Federal Power Act, within 15 days of the effective date of the final rule to demonstrate that it meets the proposed requirements set forth in any Final Rule. This compliance deadline is for each RTO and ISO to submit proposed tariff changes or otherwise demonstrate compliance with any Final Rule. Implementing the reforms required by any Final Rule in this proceeding may be a complex endeavor. However, implementation of these reforms is important to ensure rates remain just and reasonable. Therefore, it is proposed that tariff changes filed in response to a Final Rule in this proceeding must become effective no more than 15 days after compliance filings are due. </w:t>
      </w:r>
    </w:p>
    <w:p w14:paraId="0DF77BE9" w14:textId="77777777" w:rsidR="0025149C" w:rsidRPr="00153C38" w:rsidRDefault="0025149C" w:rsidP="00B85067">
      <w:pPr>
        <w:spacing w:after="0" w:line="240" w:lineRule="auto"/>
        <w:ind w:left="720"/>
        <w:rPr>
          <w:rFonts w:ascii="Times New Roman" w:hAnsi="Times New Roman" w:cs="Times New Roman"/>
          <w:sz w:val="26"/>
          <w:szCs w:val="26"/>
        </w:rPr>
      </w:pPr>
    </w:p>
    <w:p w14:paraId="3B33A618" w14:textId="2E3ABA2B" w:rsidR="003873C1" w:rsidRPr="00D0606B" w:rsidRDefault="00153C38" w:rsidP="00B85067">
      <w:pPr>
        <w:spacing w:after="0" w:line="240" w:lineRule="auto"/>
        <w:ind w:left="720"/>
        <w:rPr>
          <w:rFonts w:ascii="Times New Roman" w:hAnsi="Times New Roman" w:cs="Times New Roman"/>
          <w:sz w:val="26"/>
          <w:szCs w:val="26"/>
        </w:rPr>
      </w:pPr>
      <w:r w:rsidRPr="00153C38">
        <w:rPr>
          <w:rFonts w:ascii="Times New Roman" w:hAnsi="Times New Roman" w:cs="Times New Roman"/>
          <w:sz w:val="26"/>
          <w:szCs w:val="26"/>
        </w:rPr>
        <w:t>To the extent that any RTO or ISO believes that it already complies with the reforms proposed in this NOPR, the RTO or ISO would be required to demonstrate how it complies in the compliance filing required 15 days after the effective date of any Final Rule in this proceeding. To the extent that any RTO or ISO seeks to argue on compliance that its existing market rules are consistent with or superior to the reforms adopted in any Final Rule, the Commission has the ability entertain such arguments at that time</w:t>
      </w:r>
      <w:r w:rsidR="00BB19E6">
        <w:rPr>
          <w:rFonts w:ascii="Times New Roman" w:hAnsi="Times New Roman" w:cs="Times New Roman"/>
          <w:sz w:val="26"/>
          <w:szCs w:val="26"/>
        </w:rPr>
        <w:t>.</w:t>
      </w:r>
      <w:r w:rsidR="003873C1">
        <w:rPr>
          <w:rFonts w:ascii="Times New Roman" w:hAnsi="Times New Roman" w:cs="Times New Roman"/>
          <w:sz w:val="26"/>
          <w:szCs w:val="26"/>
        </w:rPr>
        <w:t>”</w:t>
      </w:r>
    </w:p>
    <w:p w14:paraId="77000A10" w14:textId="77777777" w:rsidR="00993963" w:rsidRPr="000859F1" w:rsidRDefault="00993963" w:rsidP="00993963">
      <w:pPr>
        <w:spacing w:after="0"/>
        <w:rPr>
          <w:rFonts w:ascii="Times New Roman" w:hAnsi="Times New Roman" w:cs="Times New Roman"/>
          <w:sz w:val="26"/>
          <w:szCs w:val="26"/>
        </w:rPr>
      </w:pPr>
    </w:p>
    <w:p w14:paraId="414D2037" w14:textId="77777777" w:rsidR="0091117A" w:rsidRPr="002A5D8F" w:rsidRDefault="0091117A" w:rsidP="0091117A">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 xml:space="preserve">DESCRIBE ANY CONSIDERATION OF THE USE OF IMPROVED INFORMATION TECHNOLOGY TO REDUCE THE BURDEN AND TECHNICAL OR LEGAL OBSTACLES TO </w:t>
      </w:r>
      <w:r w:rsidRPr="002A5D8F">
        <w:rPr>
          <w:rFonts w:ascii="Times New Roman" w:hAnsi="Times New Roman" w:cs="Times New Roman"/>
          <w:b/>
          <w:sz w:val="26"/>
          <w:szCs w:val="26"/>
        </w:rPr>
        <w:t>REDUCING BURDEN</w:t>
      </w:r>
    </w:p>
    <w:p w14:paraId="46D9C65B" w14:textId="393A4712" w:rsidR="0091117A" w:rsidRPr="002A5D8F" w:rsidRDefault="0091117A" w:rsidP="0091117A">
      <w:pPr>
        <w:spacing w:after="0" w:line="240" w:lineRule="auto"/>
        <w:rPr>
          <w:rFonts w:ascii="Times New Roman" w:hAnsi="Times New Roman" w:cs="Times New Roman"/>
          <w:b/>
          <w:sz w:val="26"/>
          <w:szCs w:val="26"/>
        </w:rPr>
      </w:pPr>
    </w:p>
    <w:p w14:paraId="55A55CE6" w14:textId="38E5D25C" w:rsidR="00BB19E6" w:rsidRDefault="00BB19E6" w:rsidP="0091117A">
      <w:pPr>
        <w:spacing w:after="0" w:line="240" w:lineRule="auto"/>
        <w:rPr>
          <w:rFonts w:ascii="Times New Roman" w:hAnsi="Times New Roman" w:cs="Times New Roman"/>
          <w:sz w:val="26"/>
          <w:szCs w:val="26"/>
        </w:rPr>
      </w:pPr>
      <w:r w:rsidRPr="002A5D8F">
        <w:rPr>
          <w:rFonts w:ascii="Times New Roman" w:hAnsi="Times New Roman" w:cs="Times New Roman"/>
          <w:sz w:val="26"/>
          <w:szCs w:val="26"/>
        </w:rPr>
        <w:t>The DOE NOPR does not address this question.</w:t>
      </w:r>
    </w:p>
    <w:p w14:paraId="727DE715" w14:textId="77777777" w:rsidR="00BB19E6" w:rsidRDefault="00BB19E6" w:rsidP="0091117A">
      <w:pPr>
        <w:spacing w:after="0" w:line="240" w:lineRule="auto"/>
        <w:rPr>
          <w:rFonts w:ascii="Times New Roman" w:hAnsi="Times New Roman" w:cs="Times New Roman"/>
          <w:sz w:val="26"/>
          <w:szCs w:val="26"/>
        </w:rPr>
      </w:pPr>
    </w:p>
    <w:p w14:paraId="78240E44" w14:textId="09AD15F3" w:rsidR="00E52A6D" w:rsidRPr="00D0606B" w:rsidRDefault="00E52A6D" w:rsidP="0091117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In general, the Commission supports the use of information technology to reduce burden.</w:t>
      </w:r>
      <w:r w:rsidR="0025149C">
        <w:rPr>
          <w:rFonts w:ascii="Times New Roman" w:hAnsi="Times New Roman" w:cs="Times New Roman"/>
          <w:sz w:val="26"/>
          <w:szCs w:val="26"/>
        </w:rPr>
        <w:t xml:space="preserve">  The Commission encourages electronic filing of nearly all of its information collection requirements</w:t>
      </w:r>
      <w:r w:rsidR="00616435">
        <w:rPr>
          <w:rFonts w:ascii="Times New Roman" w:hAnsi="Times New Roman" w:cs="Times New Roman"/>
          <w:sz w:val="26"/>
          <w:szCs w:val="26"/>
        </w:rPr>
        <w:t>, including tariff filings</w:t>
      </w:r>
      <w:r w:rsidR="0025149C">
        <w:rPr>
          <w:rFonts w:ascii="Times New Roman" w:hAnsi="Times New Roman" w:cs="Times New Roman"/>
          <w:sz w:val="26"/>
          <w:szCs w:val="26"/>
        </w:rPr>
        <w:t>.</w:t>
      </w:r>
    </w:p>
    <w:p w14:paraId="1A4439B8" w14:textId="77777777" w:rsidR="008A35C5" w:rsidRPr="00D0606B" w:rsidRDefault="008A35C5" w:rsidP="0091117A">
      <w:pPr>
        <w:spacing w:after="0" w:line="240" w:lineRule="auto"/>
        <w:rPr>
          <w:rFonts w:ascii="Times New Roman" w:hAnsi="Times New Roman" w:cs="Times New Roman"/>
          <w:sz w:val="26"/>
          <w:szCs w:val="26"/>
        </w:rPr>
      </w:pPr>
    </w:p>
    <w:p w14:paraId="46671ACA" w14:textId="77777777" w:rsidR="0091117A" w:rsidRPr="002A5D8F" w:rsidRDefault="0091117A" w:rsidP="0091117A">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 xml:space="preserve">DESCRIBE EFFORTS TO IDENTIFY DUPLICATION AND SHOW SPECIFICALLY WHY ANY SIMILAR INFORMATION ALREADY AVAILABLE CANNOT BE USED OR MODIFIED FOR USE FOR THE PURPOSE(S) DESCRIBED IN </w:t>
      </w:r>
      <w:r w:rsidRPr="002A5D8F">
        <w:rPr>
          <w:rFonts w:ascii="Times New Roman" w:hAnsi="Times New Roman" w:cs="Times New Roman"/>
          <w:b/>
          <w:sz w:val="26"/>
          <w:szCs w:val="26"/>
        </w:rPr>
        <w:t>INSTRUCTION NO. 2</w:t>
      </w:r>
    </w:p>
    <w:p w14:paraId="7C7B9424" w14:textId="77777777" w:rsidR="0091117A" w:rsidRPr="002A5D8F" w:rsidRDefault="0091117A" w:rsidP="0091117A">
      <w:pPr>
        <w:spacing w:after="0" w:line="240" w:lineRule="auto"/>
        <w:rPr>
          <w:rFonts w:ascii="Times New Roman" w:hAnsi="Times New Roman" w:cs="Times New Roman"/>
          <w:sz w:val="26"/>
          <w:szCs w:val="26"/>
        </w:rPr>
      </w:pPr>
    </w:p>
    <w:p w14:paraId="1051C971" w14:textId="1B6C0694" w:rsidR="008A35C5" w:rsidRDefault="00BB19E6" w:rsidP="0091117A">
      <w:pPr>
        <w:spacing w:after="0" w:line="240" w:lineRule="auto"/>
        <w:rPr>
          <w:rFonts w:ascii="Times New Roman" w:hAnsi="Times New Roman" w:cs="Times New Roman"/>
          <w:sz w:val="26"/>
          <w:szCs w:val="26"/>
        </w:rPr>
      </w:pPr>
      <w:r w:rsidRPr="002A5D8F">
        <w:rPr>
          <w:rFonts w:ascii="Times New Roman" w:hAnsi="Times New Roman" w:cs="Times New Roman"/>
          <w:sz w:val="26"/>
          <w:szCs w:val="26"/>
        </w:rPr>
        <w:t xml:space="preserve">The DOE NOPR </w:t>
      </w:r>
      <w:r w:rsidR="002A5D8F">
        <w:rPr>
          <w:rFonts w:ascii="Times New Roman" w:hAnsi="Times New Roman" w:cs="Times New Roman"/>
          <w:sz w:val="26"/>
          <w:szCs w:val="26"/>
        </w:rPr>
        <w:t>mentions various FERC proceedings and conferences, a</w:t>
      </w:r>
      <w:r w:rsidR="0093400A">
        <w:rPr>
          <w:rFonts w:ascii="Times New Roman" w:hAnsi="Times New Roman" w:cs="Times New Roman"/>
          <w:sz w:val="26"/>
          <w:szCs w:val="26"/>
        </w:rPr>
        <w:t>s well as</w:t>
      </w:r>
      <w:r w:rsidR="002A5D8F">
        <w:rPr>
          <w:rFonts w:ascii="Times New Roman" w:hAnsi="Times New Roman" w:cs="Times New Roman"/>
          <w:sz w:val="26"/>
          <w:szCs w:val="26"/>
        </w:rPr>
        <w:t xml:space="preserve"> DOE reports and findings.</w:t>
      </w:r>
    </w:p>
    <w:p w14:paraId="18AAD343" w14:textId="77777777" w:rsidR="00BB19E6" w:rsidRPr="00D0606B" w:rsidRDefault="00BB19E6" w:rsidP="0091117A">
      <w:pPr>
        <w:spacing w:after="0" w:line="240" w:lineRule="auto"/>
        <w:rPr>
          <w:rFonts w:ascii="Times New Roman" w:hAnsi="Times New Roman" w:cs="Times New Roman"/>
          <w:sz w:val="26"/>
          <w:szCs w:val="26"/>
        </w:rPr>
      </w:pPr>
    </w:p>
    <w:p w14:paraId="2CA9B17E" w14:textId="77777777" w:rsidR="00D05969" w:rsidRPr="00D0606B" w:rsidRDefault="00D05969" w:rsidP="00D05969">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METHODS USED TO MINIMIZE THE BURDEN IN COLLECTION OF INFORMATION INVOLVING SMALL ENTITIES</w:t>
      </w:r>
    </w:p>
    <w:p w14:paraId="050B0685" w14:textId="77777777" w:rsidR="0091117A" w:rsidRDefault="0091117A" w:rsidP="0091117A">
      <w:pPr>
        <w:spacing w:after="0" w:line="240" w:lineRule="auto"/>
        <w:rPr>
          <w:rFonts w:ascii="Times New Roman" w:hAnsi="Times New Roman" w:cs="Times New Roman"/>
          <w:sz w:val="26"/>
          <w:szCs w:val="26"/>
        </w:rPr>
      </w:pPr>
    </w:p>
    <w:p w14:paraId="48059065" w14:textId="20401503" w:rsidR="00AF7DE1" w:rsidRDefault="0025149C" w:rsidP="0091117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As proposed by DOE, </w:t>
      </w:r>
      <w:r w:rsidR="000F5015">
        <w:rPr>
          <w:rFonts w:ascii="Times New Roman" w:hAnsi="Times New Roman" w:cs="Times New Roman"/>
          <w:sz w:val="26"/>
          <w:szCs w:val="26"/>
        </w:rPr>
        <w:t>each Commission-approved</w:t>
      </w:r>
      <w:r w:rsidRPr="0025149C">
        <w:rPr>
          <w:rFonts w:ascii="Times New Roman" w:hAnsi="Times New Roman" w:cs="Times New Roman"/>
          <w:sz w:val="26"/>
          <w:szCs w:val="26"/>
        </w:rPr>
        <w:t xml:space="preserve"> RTO</w:t>
      </w:r>
      <w:r w:rsidR="000F5015">
        <w:rPr>
          <w:rFonts w:ascii="Times New Roman" w:hAnsi="Times New Roman" w:cs="Times New Roman"/>
          <w:sz w:val="26"/>
          <w:szCs w:val="26"/>
        </w:rPr>
        <w:t xml:space="preserve"> and </w:t>
      </w:r>
      <w:r w:rsidRPr="0025149C">
        <w:rPr>
          <w:rFonts w:ascii="Times New Roman" w:hAnsi="Times New Roman" w:cs="Times New Roman"/>
          <w:sz w:val="26"/>
          <w:szCs w:val="26"/>
        </w:rPr>
        <w:t xml:space="preserve">ISO </w:t>
      </w:r>
      <w:r w:rsidR="00AF7DE1">
        <w:rPr>
          <w:rFonts w:ascii="Times New Roman" w:hAnsi="Times New Roman" w:cs="Times New Roman"/>
          <w:sz w:val="26"/>
          <w:szCs w:val="26"/>
        </w:rPr>
        <w:t>“</w:t>
      </w:r>
      <w:r w:rsidR="00AF7DE1" w:rsidRPr="00AF7DE1">
        <w:rPr>
          <w:rFonts w:ascii="Times New Roman" w:hAnsi="Times New Roman" w:cs="Times New Roman"/>
          <w:sz w:val="26"/>
          <w:szCs w:val="26"/>
        </w:rPr>
        <w:t>shall submit a compliance filing, including a revised tariff pursuant to section 205 of the Federal Power Act, within 15 days of the effective date of the final rule to demonstrate that it meets the proposed requirements set forth in any Final Rule. This compliance deadline is for each RTO and ISO to submit proposed tariff changes or otherwise demonstrate compliance with any Final Rule.</w:t>
      </w:r>
      <w:r w:rsidR="00AF7DE1">
        <w:rPr>
          <w:rFonts w:ascii="Times New Roman" w:hAnsi="Times New Roman" w:cs="Times New Roman"/>
          <w:sz w:val="26"/>
          <w:szCs w:val="26"/>
        </w:rPr>
        <w:t>”</w:t>
      </w:r>
    </w:p>
    <w:p w14:paraId="3DFFAAC6" w14:textId="77777777" w:rsidR="00AF7DE1" w:rsidRDefault="00AF7DE1" w:rsidP="0091117A">
      <w:pPr>
        <w:spacing w:after="0" w:line="240" w:lineRule="auto"/>
        <w:rPr>
          <w:rFonts w:ascii="Times New Roman" w:hAnsi="Times New Roman" w:cs="Times New Roman"/>
          <w:sz w:val="26"/>
          <w:szCs w:val="26"/>
        </w:rPr>
      </w:pPr>
    </w:p>
    <w:p w14:paraId="48C264B0" w14:textId="52642392" w:rsidR="005C3A8B" w:rsidRDefault="005C3A8B" w:rsidP="005C3A8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DOE NOPR states [footnotes omitted]:  </w:t>
      </w:r>
    </w:p>
    <w:p w14:paraId="09F62CBF" w14:textId="204356C2" w:rsidR="005C3A8B" w:rsidRDefault="005C3A8B" w:rsidP="008A262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w:t>
      </w:r>
      <w:r w:rsidRPr="005C3A8B">
        <w:rPr>
          <w:rFonts w:ascii="Times New Roman" w:hAnsi="Times New Roman" w:cs="Times New Roman"/>
          <w:sz w:val="26"/>
          <w:szCs w:val="26"/>
        </w:rPr>
        <w:t>The Small Business</w:t>
      </w:r>
      <w:r>
        <w:rPr>
          <w:rFonts w:ascii="Times New Roman" w:hAnsi="Times New Roman" w:cs="Times New Roman"/>
          <w:sz w:val="26"/>
          <w:szCs w:val="26"/>
        </w:rPr>
        <w:t xml:space="preserve"> </w:t>
      </w:r>
      <w:r w:rsidRPr="005C3A8B">
        <w:rPr>
          <w:rFonts w:ascii="Times New Roman" w:hAnsi="Times New Roman" w:cs="Times New Roman"/>
          <w:sz w:val="26"/>
          <w:szCs w:val="26"/>
        </w:rPr>
        <w:t>Administration’s (SBA) Office of Size</w:t>
      </w:r>
      <w:r>
        <w:rPr>
          <w:rFonts w:ascii="Times New Roman" w:hAnsi="Times New Roman" w:cs="Times New Roman"/>
          <w:sz w:val="26"/>
          <w:szCs w:val="26"/>
        </w:rPr>
        <w:t xml:space="preserve"> </w:t>
      </w:r>
      <w:r w:rsidRPr="005C3A8B">
        <w:rPr>
          <w:rFonts w:ascii="Times New Roman" w:hAnsi="Times New Roman" w:cs="Times New Roman"/>
          <w:sz w:val="26"/>
          <w:szCs w:val="26"/>
        </w:rPr>
        <w:t>Standards develops the numerical</w:t>
      </w:r>
      <w:r>
        <w:rPr>
          <w:rFonts w:ascii="Times New Roman" w:hAnsi="Times New Roman" w:cs="Times New Roman"/>
          <w:sz w:val="26"/>
          <w:szCs w:val="26"/>
        </w:rPr>
        <w:t xml:space="preserve"> </w:t>
      </w:r>
      <w:r w:rsidRPr="005C3A8B">
        <w:rPr>
          <w:rFonts w:ascii="Times New Roman" w:hAnsi="Times New Roman" w:cs="Times New Roman"/>
          <w:sz w:val="26"/>
          <w:szCs w:val="26"/>
        </w:rPr>
        <w:t>definition of a small business.</w:t>
      </w:r>
      <w:r>
        <w:rPr>
          <w:rFonts w:ascii="Times New Roman" w:hAnsi="Times New Roman" w:cs="Times New Roman"/>
          <w:sz w:val="26"/>
          <w:szCs w:val="26"/>
        </w:rPr>
        <w:t xml:space="preserve">  </w:t>
      </w:r>
      <w:r w:rsidRPr="005C3A8B">
        <w:rPr>
          <w:rFonts w:ascii="Times New Roman" w:hAnsi="Times New Roman" w:cs="Times New Roman"/>
          <w:sz w:val="26"/>
          <w:szCs w:val="26"/>
        </w:rPr>
        <w:t>These</w:t>
      </w:r>
      <w:r>
        <w:rPr>
          <w:rFonts w:ascii="Times New Roman" w:hAnsi="Times New Roman" w:cs="Times New Roman"/>
          <w:sz w:val="26"/>
          <w:szCs w:val="26"/>
        </w:rPr>
        <w:t xml:space="preserve"> </w:t>
      </w:r>
      <w:r w:rsidRPr="005C3A8B">
        <w:rPr>
          <w:rFonts w:ascii="Times New Roman" w:hAnsi="Times New Roman" w:cs="Times New Roman"/>
          <w:sz w:val="26"/>
          <w:szCs w:val="26"/>
        </w:rPr>
        <w:t>standards are provided on the SBA Web</w:t>
      </w:r>
      <w:r>
        <w:rPr>
          <w:rFonts w:ascii="Times New Roman" w:hAnsi="Times New Roman" w:cs="Times New Roman"/>
          <w:sz w:val="26"/>
          <w:szCs w:val="26"/>
        </w:rPr>
        <w:t xml:space="preserve"> </w:t>
      </w:r>
      <w:r w:rsidRPr="005C3A8B">
        <w:rPr>
          <w:rFonts w:ascii="Times New Roman" w:hAnsi="Times New Roman" w:cs="Times New Roman"/>
          <w:sz w:val="26"/>
          <w:szCs w:val="26"/>
        </w:rPr>
        <w:t>site.</w:t>
      </w:r>
    </w:p>
    <w:p w14:paraId="20AB36D5" w14:textId="6B38A467" w:rsidR="005C3A8B" w:rsidRDefault="005C3A8B" w:rsidP="008A2621">
      <w:pPr>
        <w:spacing w:after="0" w:line="240" w:lineRule="auto"/>
        <w:ind w:left="720"/>
        <w:rPr>
          <w:rFonts w:ascii="Times New Roman" w:hAnsi="Times New Roman" w:cs="Times New Roman"/>
          <w:sz w:val="26"/>
          <w:szCs w:val="26"/>
        </w:rPr>
      </w:pPr>
      <w:r w:rsidRPr="005C3A8B">
        <w:rPr>
          <w:rFonts w:ascii="Times New Roman" w:hAnsi="Times New Roman" w:cs="Times New Roman"/>
          <w:sz w:val="26"/>
          <w:szCs w:val="26"/>
        </w:rPr>
        <w:t>The SBA classifies an entity as an</w:t>
      </w:r>
      <w:r>
        <w:rPr>
          <w:rFonts w:ascii="Times New Roman" w:hAnsi="Times New Roman" w:cs="Times New Roman"/>
          <w:sz w:val="26"/>
          <w:szCs w:val="26"/>
        </w:rPr>
        <w:t xml:space="preserve"> </w:t>
      </w:r>
      <w:r w:rsidRPr="005C3A8B">
        <w:rPr>
          <w:rFonts w:ascii="Times New Roman" w:hAnsi="Times New Roman" w:cs="Times New Roman"/>
          <w:sz w:val="26"/>
          <w:szCs w:val="26"/>
        </w:rPr>
        <w:t>electric utility if it is primarily engaged</w:t>
      </w:r>
      <w:r>
        <w:rPr>
          <w:rFonts w:ascii="Times New Roman" w:hAnsi="Times New Roman" w:cs="Times New Roman"/>
          <w:sz w:val="26"/>
          <w:szCs w:val="26"/>
        </w:rPr>
        <w:t xml:space="preserve"> </w:t>
      </w:r>
      <w:r w:rsidRPr="005C3A8B">
        <w:rPr>
          <w:rFonts w:ascii="Times New Roman" w:hAnsi="Times New Roman" w:cs="Times New Roman"/>
          <w:sz w:val="26"/>
          <w:szCs w:val="26"/>
        </w:rPr>
        <w:t>in the transmission, generation and/or</w:t>
      </w:r>
      <w:r>
        <w:rPr>
          <w:rFonts w:ascii="Times New Roman" w:hAnsi="Times New Roman" w:cs="Times New Roman"/>
          <w:sz w:val="26"/>
          <w:szCs w:val="26"/>
        </w:rPr>
        <w:t xml:space="preserve"> </w:t>
      </w:r>
      <w:r w:rsidRPr="005C3A8B">
        <w:rPr>
          <w:rFonts w:ascii="Times New Roman" w:hAnsi="Times New Roman" w:cs="Times New Roman"/>
          <w:sz w:val="26"/>
          <w:szCs w:val="26"/>
        </w:rPr>
        <w:t>distribution of electric energy for sale.</w:t>
      </w:r>
      <w:r>
        <w:rPr>
          <w:rFonts w:ascii="Times New Roman" w:hAnsi="Times New Roman" w:cs="Times New Roman"/>
          <w:sz w:val="26"/>
          <w:szCs w:val="26"/>
        </w:rPr>
        <w:t xml:space="preserve"> </w:t>
      </w:r>
      <w:r w:rsidRPr="005C3A8B">
        <w:rPr>
          <w:rFonts w:ascii="Times New Roman" w:hAnsi="Times New Roman" w:cs="Times New Roman"/>
          <w:sz w:val="26"/>
          <w:szCs w:val="26"/>
        </w:rPr>
        <w:t>Under this definition, the six RTOs/ISOs are considered electric utilities,</w:t>
      </w:r>
      <w:r>
        <w:rPr>
          <w:rFonts w:ascii="Times New Roman" w:hAnsi="Times New Roman" w:cs="Times New Roman"/>
          <w:sz w:val="26"/>
          <w:szCs w:val="26"/>
        </w:rPr>
        <w:t xml:space="preserve"> </w:t>
      </w:r>
      <w:r w:rsidRPr="005C3A8B">
        <w:rPr>
          <w:rFonts w:ascii="Times New Roman" w:hAnsi="Times New Roman" w:cs="Times New Roman"/>
          <w:sz w:val="26"/>
          <w:szCs w:val="26"/>
        </w:rPr>
        <w:t>specifically focused on electric bulk</w:t>
      </w:r>
      <w:r>
        <w:rPr>
          <w:rFonts w:ascii="Times New Roman" w:hAnsi="Times New Roman" w:cs="Times New Roman"/>
          <w:sz w:val="26"/>
          <w:szCs w:val="26"/>
        </w:rPr>
        <w:t xml:space="preserve"> </w:t>
      </w:r>
      <w:r w:rsidRPr="005C3A8B">
        <w:rPr>
          <w:rFonts w:ascii="Times New Roman" w:hAnsi="Times New Roman" w:cs="Times New Roman"/>
          <w:sz w:val="26"/>
          <w:szCs w:val="26"/>
        </w:rPr>
        <w:t>power and control. The size criterion for</w:t>
      </w:r>
      <w:r>
        <w:rPr>
          <w:rFonts w:ascii="Times New Roman" w:hAnsi="Times New Roman" w:cs="Times New Roman"/>
          <w:sz w:val="26"/>
          <w:szCs w:val="26"/>
        </w:rPr>
        <w:t xml:space="preserve"> </w:t>
      </w:r>
      <w:r w:rsidRPr="005C3A8B">
        <w:rPr>
          <w:rFonts w:ascii="Times New Roman" w:hAnsi="Times New Roman" w:cs="Times New Roman"/>
          <w:sz w:val="26"/>
          <w:szCs w:val="26"/>
        </w:rPr>
        <w:t>a small electric utility is 500 or fewer</w:t>
      </w:r>
      <w:r>
        <w:rPr>
          <w:rFonts w:ascii="Times New Roman" w:hAnsi="Times New Roman" w:cs="Times New Roman"/>
          <w:sz w:val="26"/>
          <w:szCs w:val="26"/>
        </w:rPr>
        <w:t xml:space="preserve"> </w:t>
      </w:r>
      <w:r w:rsidRPr="005C3A8B">
        <w:rPr>
          <w:rFonts w:ascii="Times New Roman" w:hAnsi="Times New Roman" w:cs="Times New Roman"/>
          <w:sz w:val="26"/>
          <w:szCs w:val="26"/>
        </w:rPr>
        <w:t>employees.</w:t>
      </w:r>
      <w:r>
        <w:rPr>
          <w:rFonts w:ascii="Times New Roman" w:hAnsi="Times New Roman" w:cs="Times New Roman"/>
          <w:sz w:val="26"/>
          <w:szCs w:val="26"/>
        </w:rPr>
        <w:t xml:space="preserve"> </w:t>
      </w:r>
      <w:r w:rsidRPr="005C3A8B">
        <w:rPr>
          <w:rFonts w:ascii="Times New Roman" w:hAnsi="Times New Roman" w:cs="Times New Roman"/>
          <w:sz w:val="26"/>
          <w:szCs w:val="26"/>
        </w:rPr>
        <w:t xml:space="preserve"> Since every RTO/ISO has</w:t>
      </w:r>
      <w:r>
        <w:rPr>
          <w:rFonts w:ascii="Times New Roman" w:hAnsi="Times New Roman" w:cs="Times New Roman"/>
          <w:sz w:val="26"/>
          <w:szCs w:val="26"/>
        </w:rPr>
        <w:t xml:space="preserve"> </w:t>
      </w:r>
      <w:r w:rsidRPr="005C3A8B">
        <w:rPr>
          <w:rFonts w:ascii="Times New Roman" w:hAnsi="Times New Roman" w:cs="Times New Roman"/>
          <w:sz w:val="26"/>
          <w:szCs w:val="26"/>
        </w:rPr>
        <w:t>more than 500 employees, none are</w:t>
      </w:r>
      <w:r>
        <w:rPr>
          <w:rFonts w:ascii="Times New Roman" w:hAnsi="Times New Roman" w:cs="Times New Roman"/>
          <w:sz w:val="26"/>
          <w:szCs w:val="26"/>
        </w:rPr>
        <w:t xml:space="preserve"> </w:t>
      </w:r>
      <w:r w:rsidRPr="005C3A8B">
        <w:rPr>
          <w:rFonts w:ascii="Times New Roman" w:hAnsi="Times New Roman" w:cs="Times New Roman"/>
          <w:sz w:val="26"/>
          <w:szCs w:val="26"/>
        </w:rPr>
        <w:t>considered small entities.</w:t>
      </w:r>
      <w:r>
        <w:rPr>
          <w:rFonts w:ascii="Times New Roman" w:hAnsi="Times New Roman" w:cs="Times New Roman"/>
          <w:sz w:val="26"/>
          <w:szCs w:val="26"/>
        </w:rPr>
        <w:t>”</w:t>
      </w:r>
    </w:p>
    <w:p w14:paraId="272D48FE" w14:textId="0D003B15" w:rsidR="00275A35" w:rsidRDefault="00275A35" w:rsidP="00A97DBB">
      <w:pPr>
        <w:spacing w:after="0" w:line="240" w:lineRule="auto"/>
        <w:rPr>
          <w:rFonts w:ascii="Times New Roman" w:hAnsi="Times New Roman" w:cs="Times New Roman"/>
          <w:sz w:val="26"/>
          <w:szCs w:val="26"/>
        </w:rPr>
      </w:pPr>
    </w:p>
    <w:p w14:paraId="69496B83" w14:textId="067FCE7B" w:rsidR="00D05969" w:rsidRPr="00D0606B" w:rsidRDefault="00D05969" w:rsidP="005E3384">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CONSEQUENCE TO FEDERAL PROGRAM IF COLLECTION WERE CONDUCTED LESS FREQUENTLY</w:t>
      </w:r>
    </w:p>
    <w:p w14:paraId="3EAB94FB" w14:textId="77777777" w:rsidR="005E3384" w:rsidRDefault="005E3384" w:rsidP="000859F1">
      <w:pPr>
        <w:tabs>
          <w:tab w:val="num" w:pos="720"/>
        </w:tabs>
        <w:autoSpaceDE w:val="0"/>
        <w:autoSpaceDN w:val="0"/>
        <w:adjustRightInd w:val="0"/>
        <w:spacing w:after="0" w:line="240" w:lineRule="auto"/>
        <w:contextualSpacing/>
        <w:rPr>
          <w:rFonts w:ascii="Times New Roman" w:eastAsia="Times New Roman" w:hAnsi="Times New Roman" w:cs="Times New Roman"/>
          <w:b/>
          <w:sz w:val="26"/>
          <w:szCs w:val="26"/>
        </w:rPr>
      </w:pPr>
    </w:p>
    <w:p w14:paraId="7732ADD8" w14:textId="48C9F3B3" w:rsidR="00712A47" w:rsidRPr="00712A47" w:rsidRDefault="00712A47" w:rsidP="000859F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00712A47">
        <w:rPr>
          <w:rFonts w:ascii="Times New Roman" w:eastAsia="Times New Roman" w:hAnsi="Times New Roman" w:cs="Times New Roman"/>
          <w:sz w:val="26"/>
          <w:szCs w:val="26"/>
        </w:rPr>
        <w:t xml:space="preserve">The </w:t>
      </w:r>
      <w:r w:rsidR="005C3A8B" w:rsidRPr="00712A47">
        <w:rPr>
          <w:rFonts w:ascii="Times New Roman" w:eastAsia="Times New Roman" w:hAnsi="Times New Roman" w:cs="Times New Roman"/>
          <w:sz w:val="26"/>
          <w:szCs w:val="26"/>
        </w:rPr>
        <w:t xml:space="preserve">DOE NOPR </w:t>
      </w:r>
      <w:r w:rsidR="005C3A8B">
        <w:rPr>
          <w:rFonts w:ascii="Times New Roman" w:eastAsia="Times New Roman" w:hAnsi="Times New Roman" w:cs="Times New Roman"/>
          <w:sz w:val="26"/>
          <w:szCs w:val="26"/>
        </w:rPr>
        <w:t xml:space="preserve">states the proposed </w:t>
      </w:r>
      <w:r w:rsidRPr="00712A47">
        <w:rPr>
          <w:rFonts w:ascii="Times New Roman" w:eastAsia="Times New Roman" w:hAnsi="Times New Roman" w:cs="Times New Roman"/>
          <w:sz w:val="26"/>
          <w:szCs w:val="26"/>
        </w:rPr>
        <w:t>compliance filing is a one-time filing.</w:t>
      </w:r>
    </w:p>
    <w:p w14:paraId="689A9194" w14:textId="77777777" w:rsidR="00712A47" w:rsidRDefault="00712A47" w:rsidP="000859F1">
      <w:pPr>
        <w:tabs>
          <w:tab w:val="num" w:pos="720"/>
        </w:tabs>
        <w:autoSpaceDE w:val="0"/>
        <w:autoSpaceDN w:val="0"/>
        <w:adjustRightInd w:val="0"/>
        <w:spacing w:after="0" w:line="240" w:lineRule="auto"/>
        <w:contextualSpacing/>
        <w:rPr>
          <w:rFonts w:ascii="Times New Roman" w:eastAsia="Times New Roman" w:hAnsi="Times New Roman" w:cs="Times New Roman"/>
          <w:b/>
          <w:sz w:val="26"/>
          <w:szCs w:val="26"/>
        </w:rPr>
      </w:pPr>
    </w:p>
    <w:p w14:paraId="7D59CDE9" w14:textId="77777777" w:rsidR="004F0011" w:rsidRPr="002A5D8F" w:rsidRDefault="004F0011" w:rsidP="004F0011">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 xml:space="preserve">EXPLAIN ANY SPECIAL </w:t>
      </w:r>
      <w:r w:rsidRPr="002A5D8F">
        <w:rPr>
          <w:rFonts w:ascii="Times New Roman" w:hAnsi="Times New Roman" w:cs="Times New Roman"/>
          <w:b/>
          <w:sz w:val="26"/>
          <w:szCs w:val="26"/>
        </w:rPr>
        <w:t>CIRCUMSTANCES RELATING TO THE INFORMATION COLLECTION</w:t>
      </w:r>
    </w:p>
    <w:p w14:paraId="0728B450" w14:textId="77777777" w:rsidR="00FA7855" w:rsidRPr="002A5D8F" w:rsidRDefault="00FA7855" w:rsidP="00FA7855">
      <w:pPr>
        <w:pStyle w:val="ListParagraph"/>
        <w:spacing w:after="0" w:line="240" w:lineRule="auto"/>
        <w:ind w:left="360"/>
        <w:rPr>
          <w:rFonts w:ascii="Times New Roman" w:hAnsi="Times New Roman" w:cs="Times New Roman"/>
          <w:b/>
          <w:sz w:val="26"/>
          <w:szCs w:val="26"/>
        </w:rPr>
      </w:pPr>
    </w:p>
    <w:p w14:paraId="6F9EDDF7" w14:textId="77777777" w:rsidR="005C3A8B" w:rsidRDefault="005C3A8B" w:rsidP="005C3A8B">
      <w:pPr>
        <w:spacing w:after="0" w:line="240" w:lineRule="auto"/>
        <w:rPr>
          <w:rFonts w:ascii="Times New Roman" w:hAnsi="Times New Roman" w:cs="Times New Roman"/>
          <w:sz w:val="26"/>
          <w:szCs w:val="26"/>
        </w:rPr>
      </w:pPr>
      <w:r w:rsidRPr="002A5D8F">
        <w:rPr>
          <w:rFonts w:ascii="Times New Roman" w:hAnsi="Times New Roman" w:cs="Times New Roman"/>
          <w:sz w:val="26"/>
          <w:szCs w:val="26"/>
        </w:rPr>
        <w:t>The DOE NOPR does not address this question.</w:t>
      </w:r>
    </w:p>
    <w:p w14:paraId="3F716394" w14:textId="77777777" w:rsidR="00C1747B" w:rsidRDefault="00C1747B" w:rsidP="00C1747B">
      <w:pPr>
        <w:spacing w:after="0"/>
        <w:rPr>
          <w:rFonts w:ascii="Times New Roman" w:hAnsi="Times New Roman" w:cs="Times New Roman"/>
          <w:b/>
          <w:sz w:val="26"/>
          <w:szCs w:val="26"/>
        </w:rPr>
      </w:pPr>
    </w:p>
    <w:p w14:paraId="071CD395" w14:textId="77777777" w:rsidR="007D6F51" w:rsidRPr="008D3803" w:rsidRDefault="0027289A" w:rsidP="001A22EE">
      <w:pPr>
        <w:pStyle w:val="ListParagraph"/>
        <w:numPr>
          <w:ilvl w:val="0"/>
          <w:numId w:val="1"/>
        </w:numPr>
        <w:spacing w:after="0" w:line="240" w:lineRule="auto"/>
        <w:rPr>
          <w:rFonts w:ascii="Times New Roman" w:hAnsi="Times New Roman" w:cs="Times New Roman"/>
          <w:sz w:val="26"/>
          <w:szCs w:val="26"/>
        </w:rPr>
      </w:pPr>
      <w:r w:rsidRPr="00D0606B">
        <w:rPr>
          <w:rFonts w:ascii="Times New Roman" w:eastAsia="Calibri" w:hAnsi="Times New Roman" w:cs="Times New Roman"/>
          <w:b/>
          <w:sz w:val="26"/>
          <w:szCs w:val="26"/>
        </w:rPr>
        <w:t>DESCRIBE EFFORTS TO CONSULT OUTSIDE THE AGENCY: SUMMARIZE PUBLIC COMMENTS AND THE AGENCY’S RESPONSE</w:t>
      </w:r>
    </w:p>
    <w:p w14:paraId="4D2CFD7E" w14:textId="77777777" w:rsidR="002E66B1" w:rsidRPr="008D3803" w:rsidRDefault="002E66B1" w:rsidP="008D3803">
      <w:pPr>
        <w:pStyle w:val="ListParagraph"/>
        <w:spacing w:after="0" w:line="240" w:lineRule="auto"/>
        <w:ind w:left="360"/>
        <w:rPr>
          <w:rFonts w:ascii="Times New Roman" w:hAnsi="Times New Roman" w:cs="Times New Roman"/>
          <w:sz w:val="26"/>
          <w:szCs w:val="26"/>
        </w:rPr>
      </w:pPr>
    </w:p>
    <w:p w14:paraId="4FF55961" w14:textId="1A4523B3" w:rsidR="007D56B1" w:rsidRPr="008A3629" w:rsidRDefault="00795CA6" w:rsidP="00C20ADC">
      <w:pPr>
        <w:spacing w:after="0" w:line="240" w:lineRule="auto"/>
      </w:pPr>
      <w:r>
        <w:rPr>
          <w:rFonts w:ascii="Times New Roman" w:eastAsia="Times New Roman" w:hAnsi="Times New Roman" w:cs="Times New Roman"/>
          <w:sz w:val="26"/>
          <w:szCs w:val="26"/>
        </w:rPr>
        <w:t>The DOE NOPR was posted in the Federal Register giving the public, government</w:t>
      </w:r>
      <w:r w:rsidR="008A3629">
        <w:rPr>
          <w:rFonts w:ascii="Times New Roman" w:eastAsia="Times New Roman" w:hAnsi="Times New Roman" w:cs="Times New Roman"/>
          <w:sz w:val="26"/>
          <w:szCs w:val="26"/>
        </w:rPr>
        <w:t xml:space="preserve"> entities</w:t>
      </w:r>
      <w:r>
        <w:rPr>
          <w:rFonts w:ascii="Times New Roman" w:eastAsia="Times New Roman" w:hAnsi="Times New Roman" w:cs="Times New Roman"/>
          <w:sz w:val="26"/>
          <w:szCs w:val="26"/>
        </w:rPr>
        <w:t xml:space="preserve">, and industry </w:t>
      </w:r>
      <w:r w:rsidR="008A3629">
        <w:rPr>
          <w:rFonts w:ascii="Times New Roman" w:eastAsia="Times New Roman" w:hAnsi="Times New Roman" w:cs="Times New Roman"/>
          <w:sz w:val="26"/>
          <w:szCs w:val="26"/>
        </w:rPr>
        <w:t xml:space="preserve">an opportunity </w:t>
      </w:r>
      <w:r>
        <w:rPr>
          <w:rFonts w:ascii="Times New Roman" w:eastAsia="Times New Roman" w:hAnsi="Times New Roman" w:cs="Times New Roman"/>
          <w:sz w:val="26"/>
          <w:szCs w:val="26"/>
        </w:rPr>
        <w:t xml:space="preserve">to comment.  Comments are being filed with the Commission in Docket No. RM18-1 and </w:t>
      </w:r>
      <w:r w:rsidR="0093400A">
        <w:rPr>
          <w:rFonts w:ascii="Times New Roman" w:eastAsia="Times New Roman" w:hAnsi="Times New Roman" w:cs="Times New Roman"/>
          <w:sz w:val="26"/>
          <w:szCs w:val="26"/>
        </w:rPr>
        <w:t xml:space="preserve">will be </w:t>
      </w:r>
      <w:r>
        <w:rPr>
          <w:rFonts w:ascii="Times New Roman" w:eastAsia="Times New Roman" w:hAnsi="Times New Roman" w:cs="Times New Roman"/>
          <w:sz w:val="26"/>
          <w:szCs w:val="26"/>
        </w:rPr>
        <w:t>available in FERC’s eLibrary in that docket number.</w:t>
      </w:r>
      <w:r w:rsidR="008A3629" w:rsidRPr="008A3629">
        <w:t xml:space="preserve"> </w:t>
      </w:r>
      <w:r w:rsidR="008A3629">
        <w:t xml:space="preserve"> </w:t>
      </w:r>
      <w:r w:rsidR="008A3629" w:rsidRPr="008A3629">
        <w:rPr>
          <w:rFonts w:ascii="Times New Roman" w:eastAsia="Times New Roman" w:hAnsi="Times New Roman" w:cs="Times New Roman"/>
          <w:sz w:val="26"/>
          <w:szCs w:val="26"/>
        </w:rPr>
        <w:t xml:space="preserve">Comments on the </w:t>
      </w:r>
      <w:r w:rsidR="008A3629">
        <w:rPr>
          <w:rFonts w:ascii="Times New Roman" w:eastAsia="Times New Roman" w:hAnsi="Times New Roman" w:cs="Times New Roman"/>
          <w:sz w:val="26"/>
          <w:szCs w:val="26"/>
        </w:rPr>
        <w:t>DOE NOPR</w:t>
      </w:r>
      <w:r w:rsidR="008A3629" w:rsidRPr="008A3629">
        <w:rPr>
          <w:rFonts w:ascii="Times New Roman" w:eastAsia="Times New Roman" w:hAnsi="Times New Roman" w:cs="Times New Roman"/>
          <w:sz w:val="26"/>
          <w:szCs w:val="26"/>
        </w:rPr>
        <w:t xml:space="preserve"> are due on or before October 23, 2017, and reply comments are due on or before November 7, 2017</w:t>
      </w:r>
      <w:r w:rsidR="005C3A8B">
        <w:rPr>
          <w:rFonts w:ascii="Times New Roman" w:eastAsia="Times New Roman" w:hAnsi="Times New Roman" w:cs="Times New Roman"/>
          <w:sz w:val="26"/>
          <w:szCs w:val="26"/>
        </w:rPr>
        <w:t>.</w:t>
      </w:r>
    </w:p>
    <w:p w14:paraId="7506B1D7" w14:textId="77777777" w:rsidR="00795CA6" w:rsidRPr="00AA5EAF" w:rsidRDefault="00795CA6" w:rsidP="00C20ADC">
      <w:pPr>
        <w:spacing w:after="0" w:line="240" w:lineRule="auto"/>
        <w:rPr>
          <w:rFonts w:ascii="Times New Roman" w:eastAsia="Times New Roman" w:hAnsi="Times New Roman" w:cs="Times New Roman"/>
          <w:sz w:val="26"/>
          <w:szCs w:val="26"/>
        </w:rPr>
      </w:pPr>
    </w:p>
    <w:p w14:paraId="503D3688" w14:textId="77777777" w:rsidR="00AD069C" w:rsidRPr="002A5D8F" w:rsidRDefault="00AD069C" w:rsidP="00AD069C">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PAYMENT OR GI</w:t>
      </w:r>
      <w:r w:rsidRPr="002A5D8F">
        <w:rPr>
          <w:rFonts w:ascii="Times New Roman" w:hAnsi="Times New Roman" w:cs="Times New Roman"/>
          <w:b/>
          <w:sz w:val="26"/>
          <w:szCs w:val="26"/>
        </w:rPr>
        <w:t>FTS TO RESPONDENTS</w:t>
      </w:r>
    </w:p>
    <w:p w14:paraId="5761F21F" w14:textId="77777777" w:rsidR="00AD069C" w:rsidRPr="002A5D8F" w:rsidRDefault="00AD069C" w:rsidP="00AD069C">
      <w:pPr>
        <w:spacing w:after="0" w:line="240" w:lineRule="auto"/>
        <w:rPr>
          <w:rFonts w:ascii="Times New Roman" w:hAnsi="Times New Roman" w:cs="Times New Roman"/>
          <w:sz w:val="26"/>
          <w:szCs w:val="26"/>
        </w:rPr>
      </w:pPr>
    </w:p>
    <w:p w14:paraId="2D754354" w14:textId="77777777" w:rsidR="005C3A8B" w:rsidRPr="002A5D8F" w:rsidRDefault="005C3A8B" w:rsidP="005C3A8B">
      <w:pPr>
        <w:spacing w:after="0" w:line="240" w:lineRule="auto"/>
        <w:rPr>
          <w:rFonts w:ascii="Times New Roman" w:hAnsi="Times New Roman" w:cs="Times New Roman"/>
          <w:sz w:val="26"/>
          <w:szCs w:val="26"/>
        </w:rPr>
      </w:pPr>
      <w:r w:rsidRPr="002A5D8F">
        <w:rPr>
          <w:rFonts w:ascii="Times New Roman" w:hAnsi="Times New Roman" w:cs="Times New Roman"/>
          <w:sz w:val="26"/>
          <w:szCs w:val="26"/>
        </w:rPr>
        <w:t>The DOE NOPR does not address this question.</w:t>
      </w:r>
    </w:p>
    <w:p w14:paraId="035DF60B" w14:textId="77777777" w:rsidR="007D4839" w:rsidRPr="002A5D8F" w:rsidRDefault="007D4839" w:rsidP="00AD069C">
      <w:pPr>
        <w:spacing w:after="0" w:line="240" w:lineRule="auto"/>
        <w:rPr>
          <w:rFonts w:ascii="Times New Roman" w:hAnsi="Times New Roman" w:cs="Times New Roman"/>
          <w:sz w:val="26"/>
          <w:szCs w:val="26"/>
        </w:rPr>
      </w:pPr>
    </w:p>
    <w:p w14:paraId="46B4B526" w14:textId="77777777" w:rsidR="00AD069C" w:rsidRPr="002A5D8F" w:rsidRDefault="00AD069C" w:rsidP="00AD069C">
      <w:pPr>
        <w:pStyle w:val="ListParagraph"/>
        <w:numPr>
          <w:ilvl w:val="0"/>
          <w:numId w:val="1"/>
        </w:numPr>
        <w:spacing w:after="0" w:line="240" w:lineRule="auto"/>
        <w:rPr>
          <w:rFonts w:ascii="Times New Roman" w:hAnsi="Times New Roman" w:cs="Times New Roman"/>
          <w:b/>
          <w:sz w:val="26"/>
          <w:szCs w:val="26"/>
        </w:rPr>
      </w:pPr>
      <w:r w:rsidRPr="002A5D8F">
        <w:rPr>
          <w:rFonts w:ascii="Times New Roman" w:hAnsi="Times New Roman" w:cs="Times New Roman"/>
          <w:b/>
          <w:sz w:val="26"/>
          <w:szCs w:val="26"/>
        </w:rPr>
        <w:t>DESCRIBE ANY ASSURANCE OF CONFIDENTIALITY PROVIDED TO RESPONDENTS</w:t>
      </w:r>
    </w:p>
    <w:p w14:paraId="1D9652A4" w14:textId="77777777" w:rsidR="00CC26F4" w:rsidRPr="002A5D8F" w:rsidRDefault="00CC26F4" w:rsidP="00DB396E">
      <w:pPr>
        <w:spacing w:after="0" w:line="240" w:lineRule="auto"/>
        <w:rPr>
          <w:rFonts w:ascii="Times New Roman" w:hAnsi="Times New Roman" w:cs="Times New Roman"/>
          <w:sz w:val="26"/>
          <w:szCs w:val="26"/>
        </w:rPr>
      </w:pPr>
    </w:p>
    <w:p w14:paraId="7B1EC16A" w14:textId="77777777" w:rsidR="005C3A8B" w:rsidRPr="002A5D8F" w:rsidRDefault="005C3A8B" w:rsidP="005C3A8B">
      <w:pPr>
        <w:spacing w:after="0" w:line="240" w:lineRule="auto"/>
        <w:rPr>
          <w:rFonts w:ascii="Times New Roman" w:hAnsi="Times New Roman" w:cs="Times New Roman"/>
          <w:sz w:val="26"/>
          <w:szCs w:val="26"/>
        </w:rPr>
      </w:pPr>
      <w:r w:rsidRPr="002A5D8F">
        <w:rPr>
          <w:rFonts w:ascii="Times New Roman" w:hAnsi="Times New Roman" w:cs="Times New Roman"/>
          <w:sz w:val="26"/>
          <w:szCs w:val="26"/>
        </w:rPr>
        <w:t>The DOE NOPR does not address this question.</w:t>
      </w:r>
    </w:p>
    <w:p w14:paraId="04C87576" w14:textId="77777777" w:rsidR="00712A47" w:rsidRPr="002A5D8F" w:rsidRDefault="00712A47" w:rsidP="00AD069C">
      <w:pPr>
        <w:spacing w:after="0" w:line="240" w:lineRule="auto"/>
        <w:rPr>
          <w:rFonts w:ascii="Times New Roman" w:hAnsi="Times New Roman" w:cs="Times New Roman"/>
          <w:sz w:val="26"/>
          <w:szCs w:val="26"/>
        </w:rPr>
      </w:pPr>
    </w:p>
    <w:p w14:paraId="35B1A38B" w14:textId="78E49A2C" w:rsidR="00712A47" w:rsidRPr="002A5D8F" w:rsidRDefault="008D2F52" w:rsidP="00AD069C">
      <w:pPr>
        <w:spacing w:after="0" w:line="240" w:lineRule="auto"/>
        <w:rPr>
          <w:rFonts w:ascii="Times New Roman" w:hAnsi="Times New Roman" w:cs="Times New Roman"/>
          <w:sz w:val="26"/>
          <w:szCs w:val="26"/>
        </w:rPr>
      </w:pPr>
      <w:r w:rsidRPr="002A5D8F">
        <w:rPr>
          <w:rFonts w:ascii="Times New Roman" w:hAnsi="Times New Roman" w:cs="Times New Roman"/>
          <w:sz w:val="26"/>
          <w:szCs w:val="26"/>
        </w:rPr>
        <w:t>[</w:t>
      </w:r>
      <w:r w:rsidR="00712A47" w:rsidRPr="002A5D8F">
        <w:rPr>
          <w:rFonts w:ascii="Times New Roman" w:hAnsi="Times New Roman" w:cs="Times New Roman"/>
          <w:sz w:val="26"/>
          <w:szCs w:val="26"/>
        </w:rPr>
        <w:t xml:space="preserve">In general, most information submitted to the Commission is public.  However, specific requests for confidential treatment are considered pursuant to </w:t>
      </w:r>
      <w:r w:rsidRPr="002A5D8F">
        <w:rPr>
          <w:rFonts w:ascii="Times New Roman" w:hAnsi="Times New Roman" w:cs="Times New Roman"/>
          <w:sz w:val="26"/>
          <w:szCs w:val="26"/>
        </w:rPr>
        <w:t xml:space="preserve">the Commission’s regulations at </w:t>
      </w:r>
      <w:r w:rsidR="00712A47" w:rsidRPr="002A5D8F">
        <w:rPr>
          <w:rFonts w:ascii="Times New Roman" w:hAnsi="Times New Roman" w:cs="Times New Roman"/>
          <w:sz w:val="26"/>
          <w:szCs w:val="26"/>
        </w:rPr>
        <w:t>18 CFR Section 388.112.</w:t>
      </w:r>
      <w:r w:rsidRPr="002A5D8F">
        <w:rPr>
          <w:rFonts w:ascii="Times New Roman" w:hAnsi="Times New Roman" w:cs="Times New Roman"/>
          <w:sz w:val="26"/>
          <w:szCs w:val="26"/>
        </w:rPr>
        <w:t>]</w:t>
      </w:r>
    </w:p>
    <w:p w14:paraId="025F8F6A" w14:textId="77777777" w:rsidR="00712A47" w:rsidRPr="002A5D8F" w:rsidRDefault="00712A47" w:rsidP="00AD069C">
      <w:pPr>
        <w:spacing w:after="0" w:line="240" w:lineRule="auto"/>
        <w:rPr>
          <w:rFonts w:ascii="Times New Roman" w:hAnsi="Times New Roman" w:cs="Times New Roman"/>
          <w:sz w:val="26"/>
          <w:szCs w:val="26"/>
        </w:rPr>
      </w:pPr>
    </w:p>
    <w:p w14:paraId="3EE4FE46" w14:textId="1B458960" w:rsidR="00AD069C" w:rsidRPr="002A5D8F" w:rsidRDefault="00AD069C" w:rsidP="00AD069C">
      <w:pPr>
        <w:pStyle w:val="ListParagraph"/>
        <w:numPr>
          <w:ilvl w:val="0"/>
          <w:numId w:val="1"/>
        </w:numPr>
        <w:spacing w:after="0" w:line="240" w:lineRule="auto"/>
        <w:rPr>
          <w:rFonts w:ascii="Times New Roman" w:hAnsi="Times New Roman" w:cs="Times New Roman"/>
          <w:b/>
          <w:sz w:val="26"/>
          <w:szCs w:val="26"/>
        </w:rPr>
      </w:pPr>
      <w:r w:rsidRPr="002A5D8F">
        <w:rPr>
          <w:rFonts w:ascii="Times New Roman" w:hAnsi="Times New Roman" w:cs="Times New Roman"/>
          <w:b/>
          <w:sz w:val="26"/>
          <w:szCs w:val="26"/>
        </w:rPr>
        <w:t>PROVIDE ADDITIONAL JUSTIFICATION FOR ANY QUESTIONS OF A SENSITIVE NATURE</w:t>
      </w:r>
      <w:r w:rsidR="00084B0E" w:rsidRPr="002A5D8F">
        <w:rPr>
          <w:rFonts w:ascii="Times New Roman" w:hAnsi="Times New Roman" w:cs="Times New Roman"/>
          <w:b/>
          <w:sz w:val="26"/>
          <w:szCs w:val="26"/>
        </w:rPr>
        <w:t>, SUCH AS SEXUAL BEHAVIOR AND ATTITUDES, RELIGIOUS BELIEFS, AND OTHER MATTERS THAT ARE COMMONLY CONSIDERED PRIVATE</w:t>
      </w:r>
      <w:r w:rsidR="00F33450" w:rsidRPr="002A5D8F">
        <w:rPr>
          <w:rFonts w:ascii="Times New Roman" w:hAnsi="Times New Roman" w:cs="Times New Roman"/>
          <w:b/>
          <w:sz w:val="26"/>
          <w:szCs w:val="26"/>
        </w:rPr>
        <w:t xml:space="preserve"> </w:t>
      </w:r>
    </w:p>
    <w:p w14:paraId="71FBA0B6" w14:textId="77777777" w:rsidR="00AD069C" w:rsidRPr="002A5D8F" w:rsidRDefault="00AD069C" w:rsidP="00AD069C">
      <w:pPr>
        <w:spacing w:after="0" w:line="240" w:lineRule="auto"/>
        <w:rPr>
          <w:rFonts w:ascii="Times New Roman" w:hAnsi="Times New Roman" w:cs="Times New Roman"/>
          <w:sz w:val="26"/>
          <w:szCs w:val="26"/>
        </w:rPr>
      </w:pPr>
    </w:p>
    <w:p w14:paraId="7D6AD9EB" w14:textId="77777777" w:rsidR="00072A11" w:rsidRDefault="00072A11" w:rsidP="00072A11">
      <w:pPr>
        <w:spacing w:after="0" w:line="240" w:lineRule="auto"/>
        <w:rPr>
          <w:rFonts w:ascii="Times New Roman" w:hAnsi="Times New Roman" w:cs="Times New Roman"/>
          <w:sz w:val="26"/>
          <w:szCs w:val="26"/>
        </w:rPr>
      </w:pPr>
      <w:r w:rsidRPr="002A5D8F">
        <w:rPr>
          <w:rFonts w:ascii="Times New Roman" w:hAnsi="Times New Roman" w:cs="Times New Roman"/>
          <w:sz w:val="26"/>
          <w:szCs w:val="26"/>
        </w:rPr>
        <w:t>The DOE NOPR does not address this question.</w:t>
      </w:r>
    </w:p>
    <w:p w14:paraId="3BB6E281" w14:textId="77777777" w:rsidR="00712A47" w:rsidRPr="00D0606B" w:rsidRDefault="00712A47" w:rsidP="00AD069C">
      <w:pPr>
        <w:spacing w:after="0" w:line="240" w:lineRule="auto"/>
        <w:rPr>
          <w:rFonts w:ascii="Times New Roman" w:hAnsi="Times New Roman" w:cs="Times New Roman"/>
          <w:sz w:val="26"/>
          <w:szCs w:val="26"/>
        </w:rPr>
      </w:pPr>
    </w:p>
    <w:p w14:paraId="168A9F47" w14:textId="77777777" w:rsidR="00AD069C" w:rsidRDefault="00AD069C" w:rsidP="00AD069C">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ESTIMATED BURDEN OF COLLECTION OF INFORMATION</w:t>
      </w:r>
    </w:p>
    <w:p w14:paraId="39C87EC0" w14:textId="77777777" w:rsidR="00072A11" w:rsidRPr="00D0606B" w:rsidRDefault="00072A11" w:rsidP="00072A11">
      <w:pPr>
        <w:pStyle w:val="ListParagraph"/>
        <w:spacing w:after="0" w:line="240" w:lineRule="auto"/>
        <w:ind w:left="360"/>
        <w:rPr>
          <w:rFonts w:ascii="Times New Roman" w:hAnsi="Times New Roman" w:cs="Times New Roman"/>
          <w:b/>
          <w:sz w:val="26"/>
          <w:szCs w:val="26"/>
        </w:rPr>
      </w:pPr>
    </w:p>
    <w:p w14:paraId="3717A462" w14:textId="414249EF" w:rsidR="008F34BA" w:rsidRPr="00072A11" w:rsidRDefault="0062041E" w:rsidP="00072A11">
      <w:pPr>
        <w:spacing w:after="0" w:line="240" w:lineRule="auto"/>
        <w:rPr>
          <w:rFonts w:ascii="Times New Roman" w:hAnsi="Times New Roman" w:cs="Times New Roman"/>
          <w:sz w:val="26"/>
          <w:szCs w:val="26"/>
        </w:rPr>
      </w:pPr>
      <w:r>
        <w:rPr>
          <w:rFonts w:ascii="Times New Roman" w:hAnsi="Times New Roman" w:cs="Times New Roman"/>
          <w:sz w:val="26"/>
          <w:szCs w:val="26"/>
        </w:rPr>
        <w:t>The DOE NOPR states that “[t]</w:t>
      </w:r>
      <w:r w:rsidR="008F34BA" w:rsidRPr="00072A11">
        <w:rPr>
          <w:rFonts w:ascii="Times New Roman" w:hAnsi="Times New Roman" w:cs="Times New Roman"/>
          <w:sz w:val="26"/>
          <w:szCs w:val="26"/>
        </w:rPr>
        <w:t>he DOE believes that the burden estimates below are representative of the average burden on respondents, including necessary communications with stakeholders. The estimated burden and cost for the requirements contained in this NOPR follow.</w:t>
      </w:r>
      <w:r w:rsidR="008F34BA" w:rsidRPr="00072A11">
        <w:rPr>
          <w:rStyle w:val="FootnoteReference"/>
          <w:rFonts w:ascii="Times New Roman" w:hAnsi="Times New Roman" w:cs="Times New Roman"/>
          <w:sz w:val="26"/>
          <w:szCs w:val="26"/>
        </w:rPr>
        <w:footnoteReference w:id="6"/>
      </w:r>
      <w:r>
        <w:rPr>
          <w:rFonts w:ascii="Times New Roman" w:hAnsi="Times New Roman" w:cs="Times New Roman"/>
          <w:sz w:val="26"/>
          <w:szCs w:val="26"/>
        </w:rPr>
        <w:t>”</w:t>
      </w:r>
    </w:p>
    <w:p w14:paraId="1A607D83" w14:textId="77777777" w:rsidR="008F34BA" w:rsidRPr="00072A11" w:rsidRDefault="008F34BA" w:rsidP="008D2F52">
      <w:pPr>
        <w:spacing w:after="0" w:line="240" w:lineRule="auto"/>
        <w:rPr>
          <w:rFonts w:ascii="Times New Roman" w:hAnsi="Times New Roman"/>
          <w:sz w:val="24"/>
          <w:szCs w:val="24"/>
        </w:rPr>
      </w:pPr>
    </w:p>
    <w:tbl>
      <w:tblPr>
        <w:tblStyle w:val="TableGrid"/>
        <w:tblW w:w="9445" w:type="dxa"/>
        <w:tblLook w:val="04A0" w:firstRow="1" w:lastRow="0" w:firstColumn="1" w:lastColumn="0" w:noHBand="0" w:noVBand="1"/>
      </w:tblPr>
      <w:tblGrid>
        <w:gridCol w:w="1726"/>
        <w:gridCol w:w="1436"/>
        <w:gridCol w:w="1344"/>
        <w:gridCol w:w="1305"/>
        <w:gridCol w:w="1131"/>
        <w:gridCol w:w="1290"/>
        <w:gridCol w:w="1344"/>
      </w:tblGrid>
      <w:tr w:rsidR="008F34BA" w:rsidRPr="00982BD0" w14:paraId="129CC240" w14:textId="77777777" w:rsidTr="00C313A8">
        <w:tc>
          <w:tcPr>
            <w:tcW w:w="1687" w:type="dxa"/>
          </w:tcPr>
          <w:p w14:paraId="02BBCE54" w14:textId="77777777" w:rsidR="008F34BA" w:rsidRPr="00982BD0" w:rsidRDefault="008F34BA" w:rsidP="0062041E">
            <w:pPr>
              <w:spacing w:after="0" w:line="240" w:lineRule="auto"/>
              <w:rPr>
                <w:sz w:val="24"/>
                <w:szCs w:val="24"/>
              </w:rPr>
            </w:pPr>
          </w:p>
        </w:tc>
        <w:tc>
          <w:tcPr>
            <w:tcW w:w="1404" w:type="dxa"/>
          </w:tcPr>
          <w:p w14:paraId="79E727C8" w14:textId="77777777" w:rsidR="008F34BA" w:rsidRPr="00982BD0" w:rsidRDefault="008F34BA" w:rsidP="0062041E">
            <w:pPr>
              <w:spacing w:after="0" w:line="240" w:lineRule="auto"/>
              <w:rPr>
                <w:sz w:val="24"/>
                <w:szCs w:val="24"/>
              </w:rPr>
            </w:pPr>
            <w:r w:rsidRPr="00982BD0">
              <w:rPr>
                <w:sz w:val="24"/>
                <w:szCs w:val="24"/>
              </w:rPr>
              <w:t>Number of Respondents (1)</w:t>
            </w:r>
          </w:p>
        </w:tc>
        <w:tc>
          <w:tcPr>
            <w:tcW w:w="1314" w:type="dxa"/>
          </w:tcPr>
          <w:p w14:paraId="33EE1780" w14:textId="77777777" w:rsidR="008F34BA" w:rsidRPr="00982BD0" w:rsidRDefault="008F34BA" w:rsidP="0062041E">
            <w:pPr>
              <w:spacing w:after="0" w:line="240" w:lineRule="auto"/>
              <w:rPr>
                <w:sz w:val="24"/>
                <w:szCs w:val="24"/>
              </w:rPr>
            </w:pPr>
            <w:r w:rsidRPr="00982BD0">
              <w:rPr>
                <w:sz w:val="24"/>
                <w:szCs w:val="24"/>
              </w:rPr>
              <w:t xml:space="preserve">Annual Number of Responses per Respondent </w:t>
            </w:r>
          </w:p>
          <w:p w14:paraId="50084D02" w14:textId="77777777" w:rsidR="008F34BA" w:rsidRPr="00982BD0" w:rsidRDefault="008F34BA" w:rsidP="0062041E">
            <w:pPr>
              <w:spacing w:after="0" w:line="240" w:lineRule="auto"/>
              <w:rPr>
                <w:sz w:val="24"/>
                <w:szCs w:val="24"/>
              </w:rPr>
            </w:pPr>
            <w:r w:rsidRPr="00982BD0">
              <w:rPr>
                <w:sz w:val="24"/>
                <w:szCs w:val="24"/>
              </w:rPr>
              <w:t>(2)</w:t>
            </w:r>
          </w:p>
        </w:tc>
        <w:tc>
          <w:tcPr>
            <w:tcW w:w="1276" w:type="dxa"/>
          </w:tcPr>
          <w:p w14:paraId="697F38D0" w14:textId="77777777" w:rsidR="008F34BA" w:rsidRPr="00982BD0" w:rsidRDefault="008F34BA" w:rsidP="0062041E">
            <w:pPr>
              <w:spacing w:after="0" w:line="240" w:lineRule="auto"/>
              <w:rPr>
                <w:sz w:val="24"/>
                <w:szCs w:val="24"/>
              </w:rPr>
            </w:pPr>
            <w:r w:rsidRPr="00982BD0">
              <w:rPr>
                <w:sz w:val="24"/>
                <w:szCs w:val="24"/>
              </w:rPr>
              <w:t>Total Number of Responses (1)*(2)=(3)</w:t>
            </w:r>
          </w:p>
        </w:tc>
        <w:tc>
          <w:tcPr>
            <w:tcW w:w="1455" w:type="dxa"/>
          </w:tcPr>
          <w:p w14:paraId="50B383C4" w14:textId="77777777" w:rsidR="008F34BA" w:rsidRPr="00982BD0" w:rsidRDefault="008F34BA" w:rsidP="0062041E">
            <w:pPr>
              <w:spacing w:after="0" w:line="240" w:lineRule="auto"/>
              <w:rPr>
                <w:sz w:val="24"/>
                <w:szCs w:val="24"/>
              </w:rPr>
            </w:pPr>
            <w:r w:rsidRPr="00982BD0">
              <w:rPr>
                <w:sz w:val="24"/>
                <w:szCs w:val="24"/>
              </w:rPr>
              <w:t>Average Bur</w:t>
            </w:r>
            <w:r>
              <w:rPr>
                <w:sz w:val="24"/>
                <w:szCs w:val="24"/>
              </w:rPr>
              <w:t>den Hours &amp; Cost Per Response</w:t>
            </w:r>
            <w:r w:rsidRPr="00982BD0">
              <w:rPr>
                <w:sz w:val="24"/>
                <w:szCs w:val="24"/>
              </w:rPr>
              <w:t xml:space="preserve"> </w:t>
            </w:r>
          </w:p>
          <w:p w14:paraId="11D2C7E1" w14:textId="77777777" w:rsidR="008F34BA" w:rsidRPr="00982BD0" w:rsidRDefault="008F34BA" w:rsidP="0062041E">
            <w:pPr>
              <w:spacing w:after="0" w:line="240" w:lineRule="auto"/>
              <w:rPr>
                <w:sz w:val="24"/>
                <w:szCs w:val="24"/>
              </w:rPr>
            </w:pPr>
            <w:r w:rsidRPr="00982BD0">
              <w:rPr>
                <w:sz w:val="24"/>
                <w:szCs w:val="24"/>
              </w:rPr>
              <w:t>(4)</w:t>
            </w:r>
          </w:p>
        </w:tc>
        <w:tc>
          <w:tcPr>
            <w:tcW w:w="900" w:type="dxa"/>
          </w:tcPr>
          <w:p w14:paraId="5E4AB5C3" w14:textId="77777777" w:rsidR="008F34BA" w:rsidRPr="00982BD0" w:rsidRDefault="008F34BA" w:rsidP="0062041E">
            <w:pPr>
              <w:spacing w:after="0" w:line="240" w:lineRule="auto"/>
              <w:rPr>
                <w:sz w:val="24"/>
                <w:szCs w:val="24"/>
              </w:rPr>
            </w:pPr>
            <w:r w:rsidRPr="00982BD0">
              <w:rPr>
                <w:sz w:val="24"/>
                <w:szCs w:val="24"/>
              </w:rPr>
              <w:t xml:space="preserve">Total Annual Burden Hours &amp; Total Annual Cost </w:t>
            </w:r>
          </w:p>
          <w:p w14:paraId="732BEE6D" w14:textId="77777777" w:rsidR="008F34BA" w:rsidRPr="00982BD0" w:rsidRDefault="008F34BA" w:rsidP="0062041E">
            <w:pPr>
              <w:spacing w:after="0" w:line="240" w:lineRule="auto"/>
              <w:rPr>
                <w:sz w:val="24"/>
                <w:szCs w:val="24"/>
              </w:rPr>
            </w:pPr>
            <w:r w:rsidRPr="00982BD0">
              <w:rPr>
                <w:sz w:val="24"/>
                <w:szCs w:val="24"/>
              </w:rPr>
              <w:t>(3)*(4) =(5)</w:t>
            </w:r>
          </w:p>
        </w:tc>
        <w:tc>
          <w:tcPr>
            <w:tcW w:w="1409" w:type="dxa"/>
          </w:tcPr>
          <w:p w14:paraId="7766BDB6" w14:textId="77777777" w:rsidR="008F34BA" w:rsidRPr="00982BD0" w:rsidRDefault="008F34BA" w:rsidP="0062041E">
            <w:pPr>
              <w:spacing w:after="0" w:line="240" w:lineRule="auto"/>
              <w:rPr>
                <w:sz w:val="24"/>
                <w:szCs w:val="24"/>
              </w:rPr>
            </w:pPr>
            <w:r w:rsidRPr="00982BD0">
              <w:rPr>
                <w:sz w:val="24"/>
                <w:szCs w:val="24"/>
              </w:rPr>
              <w:t xml:space="preserve">Cost per Respondent </w:t>
            </w:r>
          </w:p>
          <w:p w14:paraId="3B88E189" w14:textId="77777777" w:rsidR="008F34BA" w:rsidRPr="00982BD0" w:rsidRDefault="008F34BA" w:rsidP="0062041E">
            <w:pPr>
              <w:spacing w:after="0" w:line="240" w:lineRule="auto"/>
              <w:rPr>
                <w:sz w:val="24"/>
                <w:szCs w:val="24"/>
              </w:rPr>
            </w:pPr>
            <w:r w:rsidRPr="00982BD0">
              <w:rPr>
                <w:sz w:val="24"/>
                <w:szCs w:val="24"/>
              </w:rPr>
              <w:t xml:space="preserve">($) </w:t>
            </w:r>
          </w:p>
          <w:p w14:paraId="0D410656" w14:textId="77777777" w:rsidR="008F34BA" w:rsidRPr="00982BD0" w:rsidRDefault="008F34BA" w:rsidP="0062041E">
            <w:pPr>
              <w:spacing w:after="0" w:line="240" w:lineRule="auto"/>
              <w:rPr>
                <w:sz w:val="24"/>
                <w:szCs w:val="24"/>
              </w:rPr>
            </w:pPr>
            <w:r w:rsidRPr="00982BD0">
              <w:rPr>
                <w:sz w:val="24"/>
                <w:szCs w:val="24"/>
              </w:rPr>
              <w:t>(5)÷(1)</w:t>
            </w:r>
          </w:p>
        </w:tc>
      </w:tr>
      <w:tr w:rsidR="008F34BA" w:rsidRPr="00982BD0" w14:paraId="709C1CD0" w14:textId="77777777" w:rsidTr="00C313A8">
        <w:tc>
          <w:tcPr>
            <w:tcW w:w="1687" w:type="dxa"/>
          </w:tcPr>
          <w:p w14:paraId="22D4BCC9" w14:textId="77777777" w:rsidR="008F34BA" w:rsidRPr="00982BD0" w:rsidRDefault="008F34BA" w:rsidP="0062041E">
            <w:pPr>
              <w:spacing w:after="0" w:line="240" w:lineRule="auto"/>
              <w:rPr>
                <w:sz w:val="24"/>
                <w:szCs w:val="24"/>
              </w:rPr>
            </w:pPr>
            <w:r w:rsidRPr="00982BD0">
              <w:rPr>
                <w:sz w:val="24"/>
                <w:szCs w:val="24"/>
              </w:rPr>
              <w:t>Tariff filing costs</w:t>
            </w:r>
          </w:p>
        </w:tc>
        <w:tc>
          <w:tcPr>
            <w:tcW w:w="1404" w:type="dxa"/>
          </w:tcPr>
          <w:p w14:paraId="565B32F3" w14:textId="77777777" w:rsidR="008F34BA" w:rsidRPr="00982BD0" w:rsidRDefault="008F34BA" w:rsidP="0062041E">
            <w:pPr>
              <w:spacing w:after="0" w:line="240" w:lineRule="auto"/>
              <w:rPr>
                <w:sz w:val="24"/>
                <w:szCs w:val="24"/>
              </w:rPr>
            </w:pPr>
            <w:r>
              <w:rPr>
                <w:sz w:val="24"/>
                <w:szCs w:val="24"/>
              </w:rPr>
              <w:t>6</w:t>
            </w:r>
          </w:p>
        </w:tc>
        <w:tc>
          <w:tcPr>
            <w:tcW w:w="1314" w:type="dxa"/>
          </w:tcPr>
          <w:p w14:paraId="03BE7C82" w14:textId="77777777" w:rsidR="008F34BA" w:rsidRPr="00982BD0" w:rsidRDefault="008F34BA" w:rsidP="0062041E">
            <w:pPr>
              <w:spacing w:after="0" w:line="240" w:lineRule="auto"/>
              <w:rPr>
                <w:sz w:val="24"/>
                <w:szCs w:val="24"/>
              </w:rPr>
            </w:pPr>
            <w:r>
              <w:rPr>
                <w:sz w:val="24"/>
                <w:szCs w:val="24"/>
              </w:rPr>
              <w:t>1</w:t>
            </w:r>
          </w:p>
        </w:tc>
        <w:tc>
          <w:tcPr>
            <w:tcW w:w="1276" w:type="dxa"/>
          </w:tcPr>
          <w:p w14:paraId="3DBB2DBD" w14:textId="77777777" w:rsidR="008F34BA" w:rsidRPr="00982BD0" w:rsidRDefault="008F34BA" w:rsidP="0062041E">
            <w:pPr>
              <w:spacing w:after="0" w:line="240" w:lineRule="auto"/>
              <w:rPr>
                <w:sz w:val="24"/>
                <w:szCs w:val="24"/>
              </w:rPr>
            </w:pPr>
            <w:r>
              <w:rPr>
                <w:sz w:val="24"/>
                <w:szCs w:val="24"/>
              </w:rPr>
              <w:t>6</w:t>
            </w:r>
          </w:p>
        </w:tc>
        <w:tc>
          <w:tcPr>
            <w:tcW w:w="1455" w:type="dxa"/>
          </w:tcPr>
          <w:p w14:paraId="50D6936F" w14:textId="77777777" w:rsidR="008F34BA" w:rsidRPr="00982BD0" w:rsidRDefault="008F34BA" w:rsidP="0062041E">
            <w:pPr>
              <w:spacing w:after="0" w:line="240" w:lineRule="auto"/>
              <w:rPr>
                <w:sz w:val="24"/>
                <w:szCs w:val="24"/>
              </w:rPr>
            </w:pPr>
            <w:r>
              <w:rPr>
                <w:sz w:val="24"/>
                <w:szCs w:val="24"/>
              </w:rPr>
              <w:t>80 hours, $5,920</w:t>
            </w:r>
          </w:p>
        </w:tc>
        <w:tc>
          <w:tcPr>
            <w:tcW w:w="900" w:type="dxa"/>
          </w:tcPr>
          <w:p w14:paraId="52E2F91E" w14:textId="77777777" w:rsidR="008F34BA" w:rsidRPr="00982BD0" w:rsidRDefault="008F34BA" w:rsidP="0062041E">
            <w:pPr>
              <w:spacing w:after="0" w:line="240" w:lineRule="auto"/>
              <w:rPr>
                <w:sz w:val="24"/>
                <w:szCs w:val="24"/>
              </w:rPr>
            </w:pPr>
            <w:r>
              <w:rPr>
                <w:sz w:val="24"/>
                <w:szCs w:val="24"/>
              </w:rPr>
              <w:t>480 hours, $35,520</w:t>
            </w:r>
          </w:p>
        </w:tc>
        <w:tc>
          <w:tcPr>
            <w:tcW w:w="1409" w:type="dxa"/>
          </w:tcPr>
          <w:p w14:paraId="687BCE09" w14:textId="77777777" w:rsidR="008F34BA" w:rsidRPr="00982BD0" w:rsidRDefault="008F34BA" w:rsidP="0062041E">
            <w:pPr>
              <w:spacing w:after="0" w:line="240" w:lineRule="auto"/>
              <w:rPr>
                <w:sz w:val="24"/>
                <w:szCs w:val="24"/>
              </w:rPr>
            </w:pPr>
          </w:p>
        </w:tc>
      </w:tr>
      <w:tr w:rsidR="008F34BA" w:rsidRPr="00982BD0" w14:paraId="66CA254D" w14:textId="77777777" w:rsidTr="00C313A8">
        <w:tc>
          <w:tcPr>
            <w:tcW w:w="1687" w:type="dxa"/>
          </w:tcPr>
          <w:p w14:paraId="300A46D5" w14:textId="77777777" w:rsidR="008F34BA" w:rsidRPr="00982BD0" w:rsidRDefault="008F34BA" w:rsidP="0062041E">
            <w:pPr>
              <w:spacing w:after="0" w:line="240" w:lineRule="auto"/>
              <w:rPr>
                <w:sz w:val="24"/>
                <w:szCs w:val="24"/>
              </w:rPr>
            </w:pPr>
            <w:r w:rsidRPr="00982BD0">
              <w:rPr>
                <w:sz w:val="24"/>
                <w:szCs w:val="24"/>
              </w:rPr>
              <w:t>Implementation costs</w:t>
            </w:r>
          </w:p>
        </w:tc>
        <w:tc>
          <w:tcPr>
            <w:tcW w:w="1404" w:type="dxa"/>
          </w:tcPr>
          <w:p w14:paraId="154C292E" w14:textId="77777777" w:rsidR="008F34BA" w:rsidRPr="00982BD0" w:rsidRDefault="008F34BA" w:rsidP="0062041E">
            <w:pPr>
              <w:spacing w:after="0" w:line="240" w:lineRule="auto"/>
              <w:rPr>
                <w:sz w:val="24"/>
                <w:szCs w:val="24"/>
              </w:rPr>
            </w:pPr>
            <w:r>
              <w:rPr>
                <w:sz w:val="24"/>
                <w:szCs w:val="24"/>
              </w:rPr>
              <w:t>6</w:t>
            </w:r>
          </w:p>
        </w:tc>
        <w:tc>
          <w:tcPr>
            <w:tcW w:w="1314" w:type="dxa"/>
          </w:tcPr>
          <w:p w14:paraId="25D48E59" w14:textId="77777777" w:rsidR="008F34BA" w:rsidRPr="00982BD0" w:rsidRDefault="008F34BA" w:rsidP="0062041E">
            <w:pPr>
              <w:spacing w:after="0" w:line="240" w:lineRule="auto"/>
              <w:rPr>
                <w:sz w:val="24"/>
                <w:szCs w:val="24"/>
              </w:rPr>
            </w:pPr>
            <w:r>
              <w:rPr>
                <w:sz w:val="24"/>
                <w:szCs w:val="24"/>
              </w:rPr>
              <w:t>1</w:t>
            </w:r>
          </w:p>
        </w:tc>
        <w:tc>
          <w:tcPr>
            <w:tcW w:w="1276" w:type="dxa"/>
          </w:tcPr>
          <w:p w14:paraId="6665AE7E" w14:textId="77777777" w:rsidR="008F34BA" w:rsidRPr="00982BD0" w:rsidRDefault="008F34BA" w:rsidP="0062041E">
            <w:pPr>
              <w:spacing w:after="0" w:line="240" w:lineRule="auto"/>
              <w:rPr>
                <w:sz w:val="24"/>
                <w:szCs w:val="24"/>
              </w:rPr>
            </w:pPr>
            <w:r>
              <w:rPr>
                <w:sz w:val="24"/>
                <w:szCs w:val="24"/>
              </w:rPr>
              <w:t>6</w:t>
            </w:r>
          </w:p>
        </w:tc>
        <w:tc>
          <w:tcPr>
            <w:tcW w:w="1455" w:type="dxa"/>
          </w:tcPr>
          <w:p w14:paraId="65E40085" w14:textId="77777777" w:rsidR="008F34BA" w:rsidRDefault="008F34BA" w:rsidP="0062041E">
            <w:pPr>
              <w:spacing w:after="0" w:line="240" w:lineRule="auto"/>
              <w:rPr>
                <w:sz w:val="24"/>
                <w:szCs w:val="24"/>
              </w:rPr>
            </w:pPr>
            <w:r>
              <w:rPr>
                <w:sz w:val="24"/>
                <w:szCs w:val="24"/>
              </w:rPr>
              <w:t>3,853 hours,</w:t>
            </w:r>
          </w:p>
          <w:p w14:paraId="76F4EBF8" w14:textId="77777777" w:rsidR="008F34BA" w:rsidRPr="00982BD0" w:rsidRDefault="008F34BA" w:rsidP="0062041E">
            <w:pPr>
              <w:spacing w:after="0" w:line="240" w:lineRule="auto"/>
              <w:rPr>
                <w:sz w:val="24"/>
                <w:szCs w:val="24"/>
              </w:rPr>
            </w:pPr>
            <w:r>
              <w:rPr>
                <w:sz w:val="24"/>
                <w:szCs w:val="24"/>
              </w:rPr>
              <w:t>$285,122</w:t>
            </w:r>
          </w:p>
        </w:tc>
        <w:tc>
          <w:tcPr>
            <w:tcW w:w="900" w:type="dxa"/>
          </w:tcPr>
          <w:p w14:paraId="2D0D7A63" w14:textId="77777777" w:rsidR="008F34BA" w:rsidRPr="00982BD0" w:rsidRDefault="008F34BA" w:rsidP="0062041E">
            <w:pPr>
              <w:spacing w:after="0" w:line="240" w:lineRule="auto"/>
              <w:rPr>
                <w:sz w:val="24"/>
                <w:szCs w:val="24"/>
              </w:rPr>
            </w:pPr>
            <w:r>
              <w:rPr>
                <w:sz w:val="24"/>
                <w:szCs w:val="24"/>
              </w:rPr>
              <w:t>23,118 hours, $1,710,732</w:t>
            </w:r>
          </w:p>
        </w:tc>
        <w:tc>
          <w:tcPr>
            <w:tcW w:w="1409" w:type="dxa"/>
          </w:tcPr>
          <w:p w14:paraId="791CF404" w14:textId="77777777" w:rsidR="008F34BA" w:rsidRPr="00982BD0" w:rsidRDefault="008F34BA" w:rsidP="0062041E">
            <w:pPr>
              <w:spacing w:after="0" w:line="240" w:lineRule="auto"/>
              <w:rPr>
                <w:sz w:val="24"/>
                <w:szCs w:val="24"/>
              </w:rPr>
            </w:pPr>
          </w:p>
        </w:tc>
      </w:tr>
      <w:tr w:rsidR="008F34BA" w:rsidRPr="00982BD0" w14:paraId="608AE51A" w14:textId="77777777" w:rsidTr="00C313A8">
        <w:tc>
          <w:tcPr>
            <w:tcW w:w="1687" w:type="dxa"/>
          </w:tcPr>
          <w:p w14:paraId="7405F1E2" w14:textId="77777777" w:rsidR="008F34BA" w:rsidRPr="00982BD0" w:rsidRDefault="008F34BA" w:rsidP="0062041E">
            <w:pPr>
              <w:spacing w:after="0" w:line="240" w:lineRule="auto"/>
              <w:rPr>
                <w:sz w:val="24"/>
                <w:szCs w:val="24"/>
              </w:rPr>
            </w:pPr>
            <w:r w:rsidRPr="00982BD0">
              <w:rPr>
                <w:sz w:val="24"/>
                <w:szCs w:val="24"/>
              </w:rPr>
              <w:t>TOTAL (one-time in Year 1)</w:t>
            </w:r>
          </w:p>
        </w:tc>
        <w:tc>
          <w:tcPr>
            <w:tcW w:w="1404" w:type="dxa"/>
          </w:tcPr>
          <w:p w14:paraId="231D4F0F" w14:textId="77777777" w:rsidR="008F34BA" w:rsidRPr="00982BD0" w:rsidRDefault="008F34BA" w:rsidP="0062041E">
            <w:pPr>
              <w:spacing w:after="0" w:line="240" w:lineRule="auto"/>
              <w:rPr>
                <w:sz w:val="24"/>
                <w:szCs w:val="24"/>
              </w:rPr>
            </w:pPr>
          </w:p>
        </w:tc>
        <w:tc>
          <w:tcPr>
            <w:tcW w:w="1314" w:type="dxa"/>
          </w:tcPr>
          <w:p w14:paraId="366EB1EA" w14:textId="77777777" w:rsidR="008F34BA" w:rsidRPr="00982BD0" w:rsidRDefault="008F34BA" w:rsidP="0062041E">
            <w:pPr>
              <w:spacing w:after="0" w:line="240" w:lineRule="auto"/>
              <w:rPr>
                <w:sz w:val="24"/>
                <w:szCs w:val="24"/>
              </w:rPr>
            </w:pPr>
          </w:p>
        </w:tc>
        <w:tc>
          <w:tcPr>
            <w:tcW w:w="1276" w:type="dxa"/>
          </w:tcPr>
          <w:p w14:paraId="4FAC3214" w14:textId="77777777" w:rsidR="008F34BA" w:rsidRPr="00982BD0" w:rsidRDefault="008F34BA" w:rsidP="0062041E">
            <w:pPr>
              <w:spacing w:after="0" w:line="240" w:lineRule="auto"/>
              <w:rPr>
                <w:sz w:val="24"/>
                <w:szCs w:val="24"/>
              </w:rPr>
            </w:pPr>
          </w:p>
        </w:tc>
        <w:tc>
          <w:tcPr>
            <w:tcW w:w="1455" w:type="dxa"/>
          </w:tcPr>
          <w:p w14:paraId="1C09FB77" w14:textId="77777777" w:rsidR="008F34BA" w:rsidRPr="00982BD0" w:rsidRDefault="008F34BA" w:rsidP="0062041E">
            <w:pPr>
              <w:spacing w:after="0" w:line="240" w:lineRule="auto"/>
              <w:rPr>
                <w:sz w:val="24"/>
                <w:szCs w:val="24"/>
              </w:rPr>
            </w:pPr>
            <w:r>
              <w:rPr>
                <w:sz w:val="24"/>
                <w:szCs w:val="24"/>
              </w:rPr>
              <w:t>3,933 hours, $291,042</w:t>
            </w:r>
          </w:p>
        </w:tc>
        <w:tc>
          <w:tcPr>
            <w:tcW w:w="900" w:type="dxa"/>
          </w:tcPr>
          <w:p w14:paraId="4600C1AC" w14:textId="77777777" w:rsidR="008F34BA" w:rsidRDefault="008F34BA" w:rsidP="0062041E">
            <w:pPr>
              <w:spacing w:after="0" w:line="240" w:lineRule="auto"/>
              <w:rPr>
                <w:sz w:val="24"/>
                <w:szCs w:val="24"/>
              </w:rPr>
            </w:pPr>
            <w:r>
              <w:rPr>
                <w:sz w:val="24"/>
                <w:szCs w:val="24"/>
              </w:rPr>
              <w:t>23,598 hours,</w:t>
            </w:r>
          </w:p>
          <w:p w14:paraId="2612BB3A" w14:textId="77777777" w:rsidR="008F34BA" w:rsidRPr="00982BD0" w:rsidRDefault="008F34BA" w:rsidP="0062041E">
            <w:pPr>
              <w:spacing w:after="0" w:line="240" w:lineRule="auto"/>
              <w:rPr>
                <w:sz w:val="24"/>
                <w:szCs w:val="24"/>
              </w:rPr>
            </w:pPr>
            <w:r>
              <w:rPr>
                <w:sz w:val="24"/>
                <w:szCs w:val="24"/>
              </w:rPr>
              <w:t>$1,746,252</w:t>
            </w:r>
          </w:p>
        </w:tc>
        <w:tc>
          <w:tcPr>
            <w:tcW w:w="1409" w:type="dxa"/>
          </w:tcPr>
          <w:p w14:paraId="37A56E72" w14:textId="77777777" w:rsidR="008F34BA" w:rsidRPr="00982BD0" w:rsidRDefault="008F34BA" w:rsidP="0062041E">
            <w:pPr>
              <w:spacing w:after="0" w:line="240" w:lineRule="auto"/>
              <w:rPr>
                <w:sz w:val="24"/>
                <w:szCs w:val="24"/>
              </w:rPr>
            </w:pPr>
            <w:r>
              <w:rPr>
                <w:sz w:val="24"/>
                <w:szCs w:val="24"/>
              </w:rPr>
              <w:t>$291,042</w:t>
            </w:r>
          </w:p>
        </w:tc>
      </w:tr>
    </w:tbl>
    <w:p w14:paraId="35F2A891" w14:textId="77777777" w:rsidR="0062041E" w:rsidRDefault="0062041E" w:rsidP="00AD069C">
      <w:pPr>
        <w:spacing w:after="0" w:line="240" w:lineRule="auto"/>
        <w:rPr>
          <w:rFonts w:ascii="Times New Roman" w:hAnsi="Times New Roman" w:cs="Times New Roman"/>
          <w:sz w:val="26"/>
          <w:szCs w:val="26"/>
        </w:rPr>
      </w:pPr>
    </w:p>
    <w:p w14:paraId="5F0D2A01" w14:textId="646156A0" w:rsidR="00AD069C" w:rsidRDefault="008F34BA" w:rsidP="00AD069C">
      <w:pPr>
        <w:spacing w:after="0" w:line="240" w:lineRule="auto"/>
        <w:rPr>
          <w:rFonts w:ascii="Times New Roman" w:hAnsi="Times New Roman" w:cs="Times New Roman"/>
          <w:sz w:val="26"/>
          <w:szCs w:val="26"/>
        </w:rPr>
      </w:pPr>
      <w:r>
        <w:rPr>
          <w:rFonts w:ascii="Times New Roman" w:hAnsi="Times New Roman" w:cs="Times New Roman"/>
          <w:sz w:val="26"/>
          <w:szCs w:val="26"/>
        </w:rPr>
        <w:t>The DOE NOPR states that</w:t>
      </w:r>
      <w:r w:rsidRPr="008F34BA">
        <w:t xml:space="preserve"> </w:t>
      </w:r>
      <w:r>
        <w:t>“</w:t>
      </w:r>
      <w:r w:rsidRPr="008F34BA">
        <w:rPr>
          <w:rFonts w:ascii="Times New Roman" w:hAnsi="Times New Roman" w:cs="Times New Roman"/>
          <w:sz w:val="26"/>
          <w:szCs w:val="26"/>
        </w:rPr>
        <w:t>DOE has projected the total cost of compliance, all within six months of a Final Rule plus initial implementation, to be $1,746,252. After Year 1, the reforms proposed in this NOPR, once implemented, would not significantly change existing burdens on an ongoing basis.</w:t>
      </w:r>
      <w:r>
        <w:rPr>
          <w:rFonts w:ascii="Times New Roman" w:hAnsi="Times New Roman" w:cs="Times New Roman"/>
          <w:sz w:val="26"/>
          <w:szCs w:val="26"/>
        </w:rPr>
        <w:t>”</w:t>
      </w:r>
      <w:r w:rsidRPr="008F34BA">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5775B31E" w14:textId="7223F344" w:rsidR="008F34BA" w:rsidRDefault="008F34BA" w:rsidP="00AD069C">
      <w:pPr>
        <w:spacing w:after="0" w:line="240" w:lineRule="auto"/>
        <w:rPr>
          <w:rFonts w:ascii="Times New Roman" w:hAnsi="Times New Roman" w:cs="Times New Roman"/>
          <w:sz w:val="26"/>
          <w:szCs w:val="26"/>
        </w:rPr>
      </w:pPr>
    </w:p>
    <w:p w14:paraId="04711A5F" w14:textId="4F01B033" w:rsidR="003717AE" w:rsidRPr="00D0606B" w:rsidRDefault="003717AE" w:rsidP="003717AE">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 OF THE TOTAL ANNUAL COST BURDEN TO RESPONDENTS</w:t>
      </w:r>
    </w:p>
    <w:p w14:paraId="02DC0B3E" w14:textId="77777777" w:rsidR="00EA6710" w:rsidRDefault="00EA6710" w:rsidP="00DB396E">
      <w:pPr>
        <w:spacing w:after="0" w:line="240" w:lineRule="auto"/>
        <w:rPr>
          <w:rFonts w:ascii="Times New Roman" w:hAnsi="Times New Roman" w:cs="Times New Roman"/>
          <w:sz w:val="26"/>
          <w:szCs w:val="26"/>
        </w:rPr>
      </w:pPr>
    </w:p>
    <w:p w14:paraId="5771ED33" w14:textId="14D6EC9E" w:rsidR="00DB396E" w:rsidRPr="00D0606B" w:rsidRDefault="00EA6710" w:rsidP="00DB396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Pr="00EA6710">
        <w:rPr>
          <w:rFonts w:ascii="Times New Roman" w:hAnsi="Times New Roman" w:cs="Times New Roman"/>
          <w:sz w:val="26"/>
          <w:szCs w:val="26"/>
        </w:rPr>
        <w:t xml:space="preserve">DOE NOPR </w:t>
      </w:r>
      <w:r>
        <w:rPr>
          <w:rFonts w:ascii="Times New Roman" w:hAnsi="Times New Roman" w:cs="Times New Roman"/>
          <w:sz w:val="26"/>
          <w:szCs w:val="26"/>
        </w:rPr>
        <w:t>mentions</w:t>
      </w:r>
      <w:r w:rsidRPr="00EA6710">
        <w:rPr>
          <w:rFonts w:ascii="Times New Roman" w:hAnsi="Times New Roman" w:cs="Times New Roman"/>
          <w:sz w:val="26"/>
          <w:szCs w:val="26"/>
        </w:rPr>
        <w:t xml:space="preserve"> “Implementation costs” in the DOE burden table </w:t>
      </w:r>
      <w:r>
        <w:rPr>
          <w:rFonts w:ascii="Times New Roman" w:hAnsi="Times New Roman" w:cs="Times New Roman"/>
          <w:sz w:val="26"/>
          <w:szCs w:val="26"/>
        </w:rPr>
        <w:t>(#12 above) which</w:t>
      </w:r>
      <w:r w:rsidRPr="00EA6710">
        <w:rPr>
          <w:rFonts w:ascii="Times New Roman" w:hAnsi="Times New Roman" w:cs="Times New Roman"/>
          <w:sz w:val="26"/>
          <w:szCs w:val="26"/>
        </w:rPr>
        <w:t xml:space="preserve"> appear to be only burden hours, so </w:t>
      </w:r>
      <w:r w:rsidR="00A13632">
        <w:rPr>
          <w:rFonts w:ascii="Times New Roman" w:hAnsi="Times New Roman" w:cs="Times New Roman"/>
          <w:sz w:val="26"/>
          <w:szCs w:val="26"/>
        </w:rPr>
        <w:t xml:space="preserve">it appears </w:t>
      </w:r>
      <w:r w:rsidRPr="00EA6710">
        <w:rPr>
          <w:rFonts w:ascii="Times New Roman" w:hAnsi="Times New Roman" w:cs="Times New Roman"/>
          <w:sz w:val="26"/>
          <w:szCs w:val="26"/>
        </w:rPr>
        <w:t>the “Annual cost burden” [not relate</w:t>
      </w:r>
      <w:r w:rsidR="00A13632">
        <w:rPr>
          <w:rFonts w:ascii="Times New Roman" w:hAnsi="Times New Roman" w:cs="Times New Roman"/>
          <w:sz w:val="26"/>
          <w:szCs w:val="26"/>
        </w:rPr>
        <w:t xml:space="preserve">d to burden hours] is </w:t>
      </w:r>
      <w:r w:rsidRPr="00EA6710">
        <w:rPr>
          <w:rFonts w:ascii="Times New Roman" w:hAnsi="Times New Roman" w:cs="Times New Roman"/>
          <w:sz w:val="26"/>
          <w:szCs w:val="26"/>
        </w:rPr>
        <w:t>$0.</w:t>
      </w:r>
    </w:p>
    <w:p w14:paraId="708A9A04" w14:textId="77777777" w:rsidR="007D4839" w:rsidRPr="00D0606B" w:rsidRDefault="007D4839" w:rsidP="00DB396E">
      <w:pPr>
        <w:spacing w:after="0" w:line="240" w:lineRule="auto"/>
        <w:rPr>
          <w:rFonts w:ascii="Times New Roman" w:hAnsi="Times New Roman" w:cs="Times New Roman"/>
          <w:sz w:val="26"/>
          <w:szCs w:val="26"/>
        </w:rPr>
      </w:pPr>
    </w:p>
    <w:p w14:paraId="1043746E" w14:textId="77777777" w:rsidR="003717AE" w:rsidRPr="00D0606B" w:rsidRDefault="003717AE" w:rsidP="003717AE">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sz w:val="26"/>
          <w:szCs w:val="26"/>
        </w:rPr>
        <w:t xml:space="preserve"> </w:t>
      </w:r>
      <w:r w:rsidRPr="00D0606B">
        <w:rPr>
          <w:rFonts w:ascii="Times New Roman" w:hAnsi="Times New Roman" w:cs="Times New Roman"/>
          <w:b/>
          <w:sz w:val="26"/>
          <w:szCs w:val="26"/>
        </w:rPr>
        <w:t>ESTIMATED ANNUALIZED COST TO FEDERAL GOVERNMENT</w:t>
      </w:r>
    </w:p>
    <w:p w14:paraId="06D665DF" w14:textId="77777777" w:rsidR="003717AE" w:rsidRDefault="003717AE" w:rsidP="003717AE">
      <w:pPr>
        <w:spacing w:after="0" w:line="240" w:lineRule="auto"/>
        <w:rPr>
          <w:rFonts w:ascii="Times New Roman" w:hAnsi="Times New Roman" w:cs="Times New Roman"/>
          <w:sz w:val="26"/>
          <w:szCs w:val="26"/>
        </w:rPr>
      </w:pPr>
    </w:p>
    <w:p w14:paraId="0BE95089" w14:textId="77777777" w:rsidR="008815BF" w:rsidRPr="00D0606B" w:rsidRDefault="008815BF" w:rsidP="008815BF">
      <w:pPr>
        <w:spacing w:after="0" w:line="240" w:lineRule="auto"/>
        <w:rPr>
          <w:rFonts w:ascii="Times New Roman" w:hAnsi="Times New Roman" w:cs="Times New Roman"/>
          <w:sz w:val="26"/>
          <w:szCs w:val="26"/>
        </w:rPr>
      </w:pPr>
      <w:r w:rsidRPr="00625FF2">
        <w:rPr>
          <w:rFonts w:ascii="Times New Roman" w:hAnsi="Times New Roman" w:cs="Times New Roman"/>
          <w:sz w:val="26"/>
          <w:szCs w:val="26"/>
        </w:rPr>
        <w:t xml:space="preserve">The DOE NOPR does not address this issue. </w:t>
      </w:r>
    </w:p>
    <w:p w14:paraId="40A6EAA5" w14:textId="77777777" w:rsidR="008815BF" w:rsidRPr="00D0606B" w:rsidRDefault="008815BF" w:rsidP="003717AE">
      <w:pPr>
        <w:spacing w:after="0" w:line="240" w:lineRule="auto"/>
        <w:rPr>
          <w:rFonts w:ascii="Times New Roman" w:hAnsi="Times New Roman" w:cs="Times New Roman"/>
          <w:sz w:val="26"/>
          <w:szCs w:val="26"/>
        </w:rPr>
      </w:pPr>
    </w:p>
    <w:p w14:paraId="1E103BB7" w14:textId="145D5736" w:rsidR="003D155C" w:rsidRDefault="003717AE" w:rsidP="003717A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 Commission does incur the costs associated with obtaining OMB clearance for </w:t>
      </w:r>
      <w:r w:rsidR="009B6E77">
        <w:rPr>
          <w:rFonts w:ascii="Times New Roman" w:hAnsi="Times New Roman" w:cs="Times New Roman"/>
          <w:sz w:val="26"/>
          <w:szCs w:val="26"/>
        </w:rPr>
        <w:t xml:space="preserve">the </w:t>
      </w:r>
      <w:r w:rsidR="00251D2F">
        <w:rPr>
          <w:rFonts w:ascii="Times New Roman" w:hAnsi="Times New Roman" w:cs="Times New Roman"/>
          <w:sz w:val="26"/>
          <w:szCs w:val="26"/>
        </w:rPr>
        <w:t xml:space="preserve">proposed information </w:t>
      </w:r>
      <w:r w:rsidR="009B6E77">
        <w:rPr>
          <w:rFonts w:ascii="Times New Roman" w:hAnsi="Times New Roman" w:cs="Times New Roman"/>
          <w:sz w:val="26"/>
          <w:szCs w:val="26"/>
        </w:rPr>
        <w:t xml:space="preserve">collection under the Paperwork Reduction Act </w:t>
      </w:r>
      <w:r w:rsidR="003D155C">
        <w:rPr>
          <w:rFonts w:ascii="Times New Roman" w:hAnsi="Times New Roman" w:cs="Times New Roman"/>
          <w:sz w:val="26"/>
          <w:szCs w:val="26"/>
        </w:rPr>
        <w:t xml:space="preserve">of 1995 </w:t>
      </w:r>
      <w:r w:rsidR="009B6E77">
        <w:rPr>
          <w:rFonts w:ascii="Times New Roman" w:hAnsi="Times New Roman" w:cs="Times New Roman"/>
          <w:sz w:val="26"/>
          <w:szCs w:val="26"/>
        </w:rPr>
        <w:t xml:space="preserve">(PRA).  </w:t>
      </w:r>
      <w:r w:rsidR="003D155C" w:rsidRPr="003D155C">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r w:rsidR="003D155C">
        <w:rPr>
          <w:rFonts w:ascii="Times New Roman" w:hAnsi="Times New Roman" w:cs="Times New Roman"/>
          <w:sz w:val="26"/>
          <w:szCs w:val="26"/>
        </w:rPr>
        <w:t xml:space="preserve">  </w:t>
      </w:r>
    </w:p>
    <w:p w14:paraId="0A35ECF6" w14:textId="77777777" w:rsidR="003D155C" w:rsidRDefault="003D155C" w:rsidP="003717AE">
      <w:pPr>
        <w:spacing w:after="0" w:line="240" w:lineRule="auto"/>
        <w:rPr>
          <w:rFonts w:ascii="Times New Roman" w:hAnsi="Times New Roman" w:cs="Times New Roman"/>
          <w:sz w:val="26"/>
          <w:szCs w:val="26"/>
        </w:rPr>
      </w:pPr>
    </w:p>
    <w:tbl>
      <w:tblPr>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406E8" w:rsidRPr="00D0606B" w14:paraId="5654C0AD" w14:textId="77777777" w:rsidTr="00A736E5">
        <w:trPr>
          <w:jc w:val="right"/>
        </w:trPr>
        <w:tc>
          <w:tcPr>
            <w:tcW w:w="3182" w:type="dxa"/>
            <w:tcBorders>
              <w:top w:val="single" w:sz="4" w:space="0" w:color="auto"/>
              <w:left w:val="single" w:sz="4" w:space="0" w:color="auto"/>
              <w:bottom w:val="single" w:sz="4" w:space="0" w:color="auto"/>
              <w:right w:val="single" w:sz="4" w:space="0" w:color="auto"/>
            </w:tcBorders>
            <w:shd w:val="clear" w:color="auto" w:fill="CCCCCC"/>
          </w:tcPr>
          <w:p w14:paraId="756F71E8" w14:textId="77777777" w:rsidR="001406E8" w:rsidRPr="00D0606B" w:rsidRDefault="001406E8" w:rsidP="001406E8">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4F71BEAD" w14:textId="22C4B7D3" w:rsidR="001406E8" w:rsidRPr="00D0606B" w:rsidRDefault="001406E8" w:rsidP="00212062">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9ACD42E" w14:textId="77777777" w:rsidR="001406E8" w:rsidRPr="00D0606B" w:rsidRDefault="001406E8" w:rsidP="001406E8">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Estimated Annual Federal Cost</w:t>
            </w:r>
          </w:p>
        </w:tc>
      </w:tr>
      <w:tr w:rsidR="001406E8" w:rsidRPr="00D0606B" w14:paraId="6038D696" w14:textId="77777777" w:rsidTr="00A736E5">
        <w:trPr>
          <w:jc w:val="right"/>
        </w:trPr>
        <w:tc>
          <w:tcPr>
            <w:tcW w:w="3182" w:type="dxa"/>
            <w:tcBorders>
              <w:top w:val="single" w:sz="4" w:space="0" w:color="auto"/>
              <w:left w:val="single" w:sz="4" w:space="0" w:color="auto"/>
              <w:bottom w:val="single" w:sz="4" w:space="0" w:color="auto"/>
              <w:right w:val="single" w:sz="4" w:space="0" w:color="auto"/>
            </w:tcBorders>
            <w:hideMark/>
          </w:tcPr>
          <w:p w14:paraId="0C709022" w14:textId="77777777" w:rsidR="001406E8" w:rsidRPr="00D0606B" w:rsidRDefault="001406E8" w:rsidP="001406E8">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55560F50" w14:textId="5CC2A7AA" w:rsidR="001406E8" w:rsidRPr="00212062" w:rsidRDefault="00212062" w:rsidP="00212062">
            <w:pPr>
              <w:spacing w:after="0" w:line="240" w:lineRule="auto"/>
              <w:jc w:val="right"/>
              <w:rPr>
                <w:rFonts w:ascii="Times New Roman" w:hAnsi="Times New Roman" w:cs="Times New Roman"/>
                <w:sz w:val="26"/>
                <w:szCs w:val="26"/>
              </w:rPr>
            </w:pPr>
            <w:r w:rsidRPr="00212062">
              <w:rPr>
                <w:rFonts w:ascii="Times New Roman" w:hAnsi="Times New Roman" w:cs="Times New Roman"/>
                <w:sz w:val="26"/>
                <w:szCs w:val="26"/>
              </w:rPr>
              <w:t>Not addressed</w:t>
            </w:r>
            <w:r w:rsidR="00251D2F">
              <w:rPr>
                <w:rFonts w:ascii="Times New Roman" w:hAnsi="Times New Roman" w:cs="Times New Roman"/>
                <w:sz w:val="26"/>
                <w:szCs w:val="26"/>
              </w:rPr>
              <w:t xml:space="preserve"> in DOE NOPR</w:t>
            </w:r>
          </w:p>
        </w:tc>
        <w:tc>
          <w:tcPr>
            <w:tcW w:w="2995" w:type="dxa"/>
            <w:tcBorders>
              <w:top w:val="single" w:sz="4" w:space="0" w:color="auto"/>
              <w:left w:val="single" w:sz="4" w:space="0" w:color="auto"/>
              <w:bottom w:val="single" w:sz="4" w:space="0" w:color="auto"/>
              <w:right w:val="single" w:sz="4" w:space="0" w:color="auto"/>
            </w:tcBorders>
            <w:vAlign w:val="bottom"/>
            <w:hideMark/>
          </w:tcPr>
          <w:p w14:paraId="61965B48" w14:textId="2CAC29FE" w:rsidR="001406E8" w:rsidRPr="00212062" w:rsidRDefault="00212062" w:rsidP="00212062">
            <w:pPr>
              <w:spacing w:after="0" w:line="240" w:lineRule="auto"/>
              <w:jc w:val="right"/>
              <w:rPr>
                <w:rFonts w:ascii="Times New Roman" w:hAnsi="Times New Roman" w:cs="Times New Roman"/>
                <w:sz w:val="26"/>
                <w:szCs w:val="26"/>
              </w:rPr>
            </w:pPr>
            <w:r w:rsidRPr="00212062">
              <w:rPr>
                <w:rFonts w:ascii="Times New Roman" w:hAnsi="Times New Roman" w:cs="Times New Roman"/>
                <w:sz w:val="26"/>
                <w:szCs w:val="26"/>
              </w:rPr>
              <w:t>Not addressed</w:t>
            </w:r>
            <w:r w:rsidR="00251D2F">
              <w:rPr>
                <w:rFonts w:ascii="Times New Roman" w:hAnsi="Times New Roman" w:cs="Times New Roman"/>
                <w:sz w:val="26"/>
                <w:szCs w:val="26"/>
              </w:rPr>
              <w:t xml:space="preserve"> in DOE NOPR</w:t>
            </w:r>
          </w:p>
        </w:tc>
      </w:tr>
      <w:tr w:rsidR="001406E8" w:rsidRPr="00D0606B" w14:paraId="1272A628" w14:textId="77777777" w:rsidTr="00A736E5">
        <w:trPr>
          <w:jc w:val="right"/>
        </w:trPr>
        <w:tc>
          <w:tcPr>
            <w:tcW w:w="3182" w:type="dxa"/>
            <w:tcBorders>
              <w:top w:val="single" w:sz="4" w:space="0" w:color="auto"/>
              <w:left w:val="single" w:sz="4" w:space="0" w:color="auto"/>
              <w:bottom w:val="single" w:sz="4" w:space="0" w:color="auto"/>
              <w:right w:val="single" w:sz="4" w:space="0" w:color="auto"/>
            </w:tcBorders>
            <w:hideMark/>
          </w:tcPr>
          <w:p w14:paraId="7F8D14E0" w14:textId="0C2F94DF" w:rsidR="001406E8" w:rsidRPr="00D0606B" w:rsidRDefault="00212062" w:rsidP="003D155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FERC </w:t>
            </w:r>
            <w:r w:rsidR="001406E8" w:rsidRPr="00D0606B">
              <w:rPr>
                <w:rFonts w:ascii="Times New Roman" w:hAnsi="Times New Roman" w:cs="Times New Roman"/>
                <w:sz w:val="26"/>
                <w:szCs w:val="26"/>
              </w:rPr>
              <w:t>PRA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6266D427" w14:textId="77777777" w:rsidR="001406E8" w:rsidRPr="00D0606B" w:rsidRDefault="001406E8" w:rsidP="001406E8">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DE5C2E6" w14:textId="4DFAEDE9" w:rsidR="001406E8" w:rsidRPr="00D0606B" w:rsidRDefault="00E50046" w:rsidP="00E5004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216041">
              <w:rPr>
                <w:rFonts w:ascii="Times New Roman" w:hAnsi="Times New Roman" w:cs="Times New Roman"/>
                <w:sz w:val="26"/>
                <w:szCs w:val="26"/>
              </w:rPr>
              <w:t>5,723</w:t>
            </w:r>
          </w:p>
        </w:tc>
      </w:tr>
    </w:tbl>
    <w:p w14:paraId="141E8903" w14:textId="77777777" w:rsidR="001406E8" w:rsidRPr="00D0606B" w:rsidRDefault="001406E8" w:rsidP="003717AE">
      <w:pPr>
        <w:spacing w:after="0" w:line="240" w:lineRule="auto"/>
        <w:rPr>
          <w:rFonts w:ascii="Times New Roman" w:hAnsi="Times New Roman" w:cs="Times New Roman"/>
          <w:sz w:val="26"/>
          <w:szCs w:val="26"/>
        </w:rPr>
      </w:pPr>
    </w:p>
    <w:p w14:paraId="703050E8" w14:textId="77777777" w:rsidR="003717AE" w:rsidRPr="00D0606B" w:rsidRDefault="003717AE" w:rsidP="003717AE">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REASONS FOR CHANGES IN BURDEN INCLUDING THE NEED FOR ANY INCREASE</w:t>
      </w:r>
    </w:p>
    <w:p w14:paraId="7D72C983" w14:textId="39CC1C2A" w:rsidR="0041562E" w:rsidRDefault="0041562E"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p>
    <w:p w14:paraId="3DA60AF1" w14:textId="18CA663A" w:rsidR="00AE6412" w:rsidRDefault="00AE6412"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See the responses to Questions 1 and 2.  </w:t>
      </w:r>
      <w:r w:rsidR="004B34D3">
        <w:rPr>
          <w:rFonts w:ascii="Times New Roman" w:eastAsia="Times New Roman" w:hAnsi="Times New Roman" w:cs="Times New Roman"/>
          <w:sz w:val="26"/>
          <w:szCs w:val="26"/>
        </w:rPr>
        <w:t>In addition, t</w:t>
      </w:r>
      <w:r>
        <w:rPr>
          <w:rFonts w:ascii="Times New Roman" w:eastAsia="Times New Roman" w:hAnsi="Times New Roman" w:cs="Times New Roman"/>
          <w:sz w:val="26"/>
          <w:szCs w:val="26"/>
        </w:rPr>
        <w:t>he DOE NOPR says in part:</w:t>
      </w:r>
    </w:p>
    <w:p w14:paraId="708AD2EB" w14:textId="77777777" w:rsidR="004B34D3" w:rsidRDefault="004B34D3"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p>
    <w:p w14:paraId="6C101973" w14:textId="147C1EA8" w:rsidR="00AE6412" w:rsidRDefault="00AE6412" w:rsidP="00505F9A">
      <w:pPr>
        <w:tabs>
          <w:tab w:val="num" w:pos="720"/>
        </w:tabs>
        <w:autoSpaceDE w:val="0"/>
        <w:autoSpaceDN w:val="0"/>
        <w:adjustRightInd w:val="0"/>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AE6412">
        <w:rPr>
          <w:rFonts w:ascii="Times New Roman" w:eastAsia="Times New Roman" w:hAnsi="Times New Roman" w:cs="Times New Roman"/>
          <w:sz w:val="26"/>
          <w:szCs w:val="26"/>
        </w:rPr>
        <w:t>In light of these threats to grid</w:t>
      </w:r>
      <w:r>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reliability and resilience, it is the</w:t>
      </w:r>
      <w:r>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Commission’s immediate responsibility</w:t>
      </w:r>
      <w:r>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to take action to ensure that the</w:t>
      </w:r>
      <w:r>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reliability and resiliency attributes of</w:t>
      </w:r>
      <w:r>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generation with on-site fuel supplies are</w:t>
      </w:r>
      <w:r>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fully valued and in particular to</w:t>
      </w:r>
      <w:r>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exercise its authority to develop new</w:t>
      </w:r>
      <w:r>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market rules that will achieve this</w:t>
      </w:r>
      <w:r>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urgent objective.</w:t>
      </w:r>
    </w:p>
    <w:p w14:paraId="1203DEFD" w14:textId="77777777" w:rsidR="00AE6412" w:rsidRDefault="00AE6412" w:rsidP="00505F9A">
      <w:pPr>
        <w:tabs>
          <w:tab w:val="num" w:pos="720"/>
        </w:tabs>
        <w:autoSpaceDE w:val="0"/>
        <w:autoSpaceDN w:val="0"/>
        <w:adjustRightInd w:val="0"/>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0627F3E" w14:textId="3C786570" w:rsidR="00AE6412" w:rsidRDefault="00AE6412" w:rsidP="00505F9A">
      <w:pPr>
        <w:tabs>
          <w:tab w:val="num" w:pos="720"/>
        </w:tabs>
        <w:autoSpaceDE w:val="0"/>
        <w:autoSpaceDN w:val="0"/>
        <w:adjustRightInd w:val="0"/>
        <w:spacing w:after="0" w:line="240" w:lineRule="auto"/>
        <w:ind w:left="720"/>
        <w:rPr>
          <w:rFonts w:ascii="Times New Roman" w:eastAsia="Times New Roman" w:hAnsi="Times New Roman" w:cs="Times New Roman"/>
          <w:sz w:val="26"/>
          <w:szCs w:val="26"/>
        </w:rPr>
      </w:pPr>
      <w:r w:rsidRPr="00AE6412">
        <w:rPr>
          <w:rFonts w:ascii="Times New Roman" w:eastAsia="Times New Roman" w:hAnsi="Times New Roman" w:cs="Times New Roman"/>
          <w:sz w:val="26"/>
          <w:szCs w:val="26"/>
        </w:rPr>
        <w:t>Pursuant to the Secretary’s authority</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under section 403 of the Department of</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Energy Organization Act (42 U.S.C.</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7173), the Secretary is directing the</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Commission to exercise its authority</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under sections 205 and 206 of the</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Federal Power Act to issue a final rule</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requiring its organized markets to</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develop and implement market rules</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that accurately price generation</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resources necessary to maintain the</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reliability and resiliency of our Nation’s</w:t>
      </w:r>
      <w:r w:rsidR="006141B2">
        <w:rPr>
          <w:rFonts w:ascii="Times New Roman" w:eastAsia="Times New Roman" w:hAnsi="Times New Roman" w:cs="Times New Roman"/>
          <w:sz w:val="26"/>
          <w:szCs w:val="26"/>
        </w:rPr>
        <w:t xml:space="preserve"> </w:t>
      </w:r>
      <w:r w:rsidRPr="00AE6412">
        <w:rPr>
          <w:rFonts w:ascii="Times New Roman" w:eastAsia="Times New Roman" w:hAnsi="Times New Roman" w:cs="Times New Roman"/>
          <w:sz w:val="26"/>
          <w:szCs w:val="26"/>
        </w:rPr>
        <w:t>bulk power system.</w:t>
      </w:r>
      <w:r>
        <w:rPr>
          <w:rFonts w:ascii="Times New Roman" w:eastAsia="Times New Roman" w:hAnsi="Times New Roman" w:cs="Times New Roman"/>
          <w:sz w:val="26"/>
          <w:szCs w:val="26"/>
        </w:rPr>
        <w:t xml:space="preserve">” </w:t>
      </w:r>
    </w:p>
    <w:p w14:paraId="6B67D279" w14:textId="77777777" w:rsidR="002F6D37" w:rsidRDefault="002F6D37" w:rsidP="002F6D37">
      <w:pPr>
        <w:tabs>
          <w:tab w:val="num" w:pos="720"/>
        </w:tabs>
        <w:autoSpaceDE w:val="0"/>
        <w:autoSpaceDN w:val="0"/>
        <w:adjustRightInd w:val="0"/>
        <w:spacing w:after="0" w:line="240" w:lineRule="auto"/>
        <w:rPr>
          <w:rFonts w:ascii="Times New Roman" w:eastAsia="Times New Roman" w:hAnsi="Times New Roman" w:cs="Times New Roman"/>
          <w:sz w:val="26"/>
          <w:szCs w:val="26"/>
        </w:rPr>
      </w:pPr>
    </w:p>
    <w:p w14:paraId="6F4C9A19" w14:textId="77777777" w:rsidR="00505F9A" w:rsidRDefault="00505F9A">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223ADEFF" w14:textId="2CCA7DE6" w:rsidR="002F6D37" w:rsidRDefault="002F6D37" w:rsidP="002F6D37">
      <w:pPr>
        <w:tabs>
          <w:tab w:val="num" w:pos="72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information collection proposed by the DOE NOPR is labelled here as the proposed FERC-599.</w:t>
      </w:r>
    </w:p>
    <w:p w14:paraId="3E7DE05A" w14:textId="77777777" w:rsidR="00AE6412" w:rsidRPr="00D0606B" w:rsidRDefault="00AE6412"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that charts list comparision"/>
      </w:tblPr>
      <w:tblGrid>
        <w:gridCol w:w="2160"/>
        <w:gridCol w:w="1327"/>
        <w:gridCol w:w="1620"/>
        <w:gridCol w:w="1800"/>
        <w:gridCol w:w="2453"/>
      </w:tblGrid>
      <w:tr w:rsidR="00F3604E" w:rsidRPr="00D0606B" w14:paraId="6854694A" w14:textId="77777777" w:rsidTr="00CE6469">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5B13F9" w14:textId="77777777" w:rsidR="00F3604E" w:rsidRPr="00D0606B" w:rsidRDefault="00F3604E" w:rsidP="001A22EE">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c>
          <w:tcPr>
            <w:tcW w:w="132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41A035C" w14:textId="77777777" w:rsidR="00F3604E" w:rsidRPr="00D0606B" w:rsidRDefault="00F3604E" w:rsidP="001A22EE">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4FFC5D7" w14:textId="77777777" w:rsidR="00F3604E" w:rsidRPr="00D0606B" w:rsidRDefault="00F3604E" w:rsidP="001A22EE">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35589FE" w14:textId="77777777" w:rsidR="00F3604E" w:rsidRPr="00D0606B" w:rsidRDefault="00F3604E" w:rsidP="001A22EE">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Change due to Adjustment in Estimate</w:t>
            </w:r>
          </w:p>
        </w:tc>
        <w:tc>
          <w:tcPr>
            <w:tcW w:w="245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39BBAA6" w14:textId="191CCECD" w:rsidR="00F3604E" w:rsidRPr="00D0606B" w:rsidRDefault="00F3604E" w:rsidP="00CE6469">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 xml:space="preserve">Change Due to </w:t>
            </w:r>
            <w:r w:rsidR="00CE6469">
              <w:rPr>
                <w:rFonts w:ascii="Times New Roman" w:eastAsia="Calibri" w:hAnsi="Times New Roman" w:cs="Times New Roman"/>
                <w:b/>
                <w:sz w:val="26"/>
                <w:szCs w:val="26"/>
              </w:rPr>
              <w:t xml:space="preserve">Federal </w:t>
            </w:r>
            <w:r w:rsidRPr="00D0606B">
              <w:rPr>
                <w:rFonts w:ascii="Times New Roman" w:eastAsia="Calibri" w:hAnsi="Times New Roman" w:cs="Times New Roman"/>
                <w:b/>
                <w:sz w:val="26"/>
                <w:szCs w:val="26"/>
              </w:rPr>
              <w:t>Discretion</w:t>
            </w:r>
            <w:r w:rsidR="00CE6469">
              <w:rPr>
                <w:rFonts w:ascii="Times New Roman" w:eastAsia="Calibri" w:hAnsi="Times New Roman" w:cs="Times New Roman"/>
                <w:b/>
                <w:sz w:val="26"/>
                <w:szCs w:val="26"/>
              </w:rPr>
              <w:t>, as proposed in DOE NOPR</w:t>
            </w:r>
          </w:p>
        </w:tc>
      </w:tr>
      <w:tr w:rsidR="00F3604E" w:rsidRPr="00D0606B" w14:paraId="24540F20" w14:textId="77777777" w:rsidTr="00CE6469">
        <w:trPr>
          <w:trHeight w:val="602"/>
        </w:trPr>
        <w:tc>
          <w:tcPr>
            <w:tcW w:w="2160" w:type="dxa"/>
            <w:tcBorders>
              <w:top w:val="single" w:sz="4" w:space="0" w:color="auto"/>
              <w:left w:val="single" w:sz="4" w:space="0" w:color="auto"/>
              <w:bottom w:val="single" w:sz="4" w:space="0" w:color="auto"/>
              <w:right w:val="single" w:sz="4" w:space="0" w:color="auto"/>
            </w:tcBorders>
            <w:vAlign w:val="bottom"/>
            <w:hideMark/>
          </w:tcPr>
          <w:p w14:paraId="3CC47F33" w14:textId="77777777" w:rsidR="00F3604E" w:rsidRPr="00505F9A" w:rsidRDefault="00F3604E" w:rsidP="001A22EE">
            <w:pPr>
              <w:widowControl w:val="0"/>
              <w:autoSpaceDE w:val="0"/>
              <w:autoSpaceDN w:val="0"/>
              <w:adjustRightInd w:val="0"/>
              <w:spacing w:after="0" w:line="240" w:lineRule="auto"/>
              <w:rPr>
                <w:rFonts w:ascii="Times New Roman" w:eastAsia="Calibri" w:hAnsi="Times New Roman" w:cs="Times New Roman"/>
                <w:sz w:val="26"/>
                <w:szCs w:val="26"/>
              </w:rPr>
            </w:pPr>
            <w:r w:rsidRPr="00505F9A">
              <w:rPr>
                <w:rFonts w:ascii="Times New Roman" w:eastAsia="Calibri" w:hAnsi="Times New Roman" w:cs="Times New Roman"/>
                <w:sz w:val="26"/>
                <w:szCs w:val="26"/>
              </w:rPr>
              <w:t>Annual Number of Responses</w:t>
            </w:r>
          </w:p>
        </w:tc>
        <w:tc>
          <w:tcPr>
            <w:tcW w:w="1327" w:type="dxa"/>
            <w:tcBorders>
              <w:top w:val="single" w:sz="4" w:space="0" w:color="auto"/>
              <w:left w:val="single" w:sz="4" w:space="0" w:color="auto"/>
              <w:bottom w:val="single" w:sz="4" w:space="0" w:color="auto"/>
              <w:right w:val="single" w:sz="4" w:space="0" w:color="auto"/>
            </w:tcBorders>
            <w:vAlign w:val="bottom"/>
          </w:tcPr>
          <w:p w14:paraId="59509E71" w14:textId="113E8213" w:rsidR="00F3604E" w:rsidRPr="00505F9A" w:rsidRDefault="00505F9A" w:rsidP="00C150B8">
            <w:pPr>
              <w:widowControl w:val="0"/>
              <w:autoSpaceDE w:val="0"/>
              <w:autoSpaceDN w:val="0"/>
              <w:adjustRightInd w:val="0"/>
              <w:spacing w:after="0" w:line="240" w:lineRule="auto"/>
              <w:jc w:val="right"/>
              <w:rPr>
                <w:rFonts w:ascii="Times New Roman" w:eastAsia="Calibri" w:hAnsi="Times New Roman" w:cs="Times New Roman"/>
                <w:sz w:val="26"/>
                <w:szCs w:val="26"/>
              </w:rPr>
            </w:pPr>
            <w:bookmarkStart w:id="1" w:name="_Ref495910685"/>
            <w:r w:rsidRPr="00505F9A">
              <w:rPr>
                <w:rFonts w:ascii="Times New Roman" w:eastAsia="Calibri" w:hAnsi="Times New Roman" w:cs="Times New Roman"/>
                <w:sz w:val="26"/>
                <w:szCs w:val="26"/>
              </w:rPr>
              <w:t>12</w:t>
            </w:r>
            <w:r w:rsidR="00A548F8" w:rsidRPr="00505F9A">
              <w:rPr>
                <w:rStyle w:val="FootnoteReference"/>
                <w:rFonts w:ascii="Times New Roman" w:eastAsia="Calibri" w:hAnsi="Times New Roman" w:cs="Times New Roman"/>
                <w:sz w:val="26"/>
                <w:szCs w:val="26"/>
              </w:rPr>
              <w:footnoteReference w:id="7"/>
            </w:r>
            <w:bookmarkEnd w:id="1"/>
          </w:p>
        </w:tc>
        <w:tc>
          <w:tcPr>
            <w:tcW w:w="1620" w:type="dxa"/>
            <w:tcBorders>
              <w:top w:val="single" w:sz="4" w:space="0" w:color="auto"/>
              <w:left w:val="single" w:sz="4" w:space="0" w:color="auto"/>
              <w:bottom w:val="single" w:sz="4" w:space="0" w:color="auto"/>
              <w:right w:val="single" w:sz="4" w:space="0" w:color="auto"/>
            </w:tcBorders>
            <w:vAlign w:val="bottom"/>
          </w:tcPr>
          <w:p w14:paraId="04DB49DE" w14:textId="308E74A3" w:rsidR="00F3604E" w:rsidRPr="00505F9A" w:rsidRDefault="00202F6A" w:rsidP="00BD195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505F9A">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6BAD83F1" w14:textId="77777777" w:rsidR="00F3604E" w:rsidRPr="00505F9A" w:rsidRDefault="008E3997" w:rsidP="001A22EE">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505F9A">
              <w:rPr>
                <w:rFonts w:ascii="Times New Roman" w:eastAsia="Calibri" w:hAnsi="Times New Roman" w:cs="Times New Roman"/>
                <w:sz w:val="26"/>
                <w:szCs w:val="26"/>
              </w:rPr>
              <w:t>0</w:t>
            </w:r>
          </w:p>
        </w:tc>
        <w:tc>
          <w:tcPr>
            <w:tcW w:w="2453" w:type="dxa"/>
            <w:tcBorders>
              <w:top w:val="single" w:sz="4" w:space="0" w:color="auto"/>
              <w:left w:val="single" w:sz="4" w:space="0" w:color="auto"/>
              <w:bottom w:val="single" w:sz="4" w:space="0" w:color="auto"/>
              <w:right w:val="single" w:sz="4" w:space="0" w:color="auto"/>
            </w:tcBorders>
            <w:vAlign w:val="bottom"/>
          </w:tcPr>
          <w:p w14:paraId="7AAB9A86" w14:textId="2E041244" w:rsidR="00F3604E" w:rsidRPr="00505F9A" w:rsidRDefault="00505F9A" w:rsidP="001A22EE">
            <w:pPr>
              <w:widowControl w:val="0"/>
              <w:autoSpaceDE w:val="0"/>
              <w:autoSpaceDN w:val="0"/>
              <w:adjustRightInd w:val="0"/>
              <w:spacing w:after="0" w:line="240" w:lineRule="auto"/>
              <w:jc w:val="right"/>
              <w:rPr>
                <w:rFonts w:ascii="Times New Roman" w:eastAsia="Calibri" w:hAnsi="Times New Roman" w:cs="Times New Roman"/>
                <w:sz w:val="26"/>
                <w:szCs w:val="26"/>
                <w:vertAlign w:val="superscript"/>
              </w:rPr>
            </w:pPr>
            <w:r w:rsidRPr="00505F9A">
              <w:rPr>
                <w:rFonts w:ascii="Times New Roman" w:eastAsia="Calibri" w:hAnsi="Times New Roman" w:cs="Times New Roman"/>
                <w:sz w:val="26"/>
                <w:szCs w:val="26"/>
              </w:rPr>
              <w:t>12</w:t>
            </w:r>
            <w:r w:rsidRPr="00505F9A">
              <w:rPr>
                <w:rFonts w:ascii="Times New Roman" w:eastAsia="Calibri" w:hAnsi="Times New Roman" w:cs="Times New Roman"/>
                <w:sz w:val="26"/>
                <w:szCs w:val="26"/>
                <w:vertAlign w:val="superscript"/>
              </w:rPr>
              <w:t xml:space="preserve"> </w:t>
            </w:r>
            <w:r w:rsidR="00A548F8" w:rsidRPr="00505F9A">
              <w:rPr>
                <w:rFonts w:ascii="Times New Roman" w:eastAsia="Calibri" w:hAnsi="Times New Roman" w:cs="Times New Roman"/>
                <w:sz w:val="26"/>
                <w:szCs w:val="26"/>
                <w:vertAlign w:val="superscript"/>
              </w:rPr>
              <w:fldChar w:fldCharType="begin"/>
            </w:r>
            <w:r w:rsidR="00A548F8" w:rsidRPr="00505F9A">
              <w:rPr>
                <w:rFonts w:ascii="Times New Roman" w:eastAsia="Calibri" w:hAnsi="Times New Roman" w:cs="Times New Roman"/>
                <w:sz w:val="26"/>
                <w:szCs w:val="26"/>
                <w:vertAlign w:val="superscript"/>
              </w:rPr>
              <w:instrText xml:space="preserve"> NOTEREF _Ref495910685 \h  \* MERGEFORMAT </w:instrText>
            </w:r>
            <w:r w:rsidR="00A548F8" w:rsidRPr="00505F9A">
              <w:rPr>
                <w:rFonts w:ascii="Times New Roman" w:eastAsia="Calibri" w:hAnsi="Times New Roman" w:cs="Times New Roman"/>
                <w:sz w:val="26"/>
                <w:szCs w:val="26"/>
                <w:vertAlign w:val="superscript"/>
              </w:rPr>
            </w:r>
            <w:r w:rsidR="00A548F8" w:rsidRPr="00505F9A">
              <w:rPr>
                <w:rFonts w:ascii="Times New Roman" w:eastAsia="Calibri" w:hAnsi="Times New Roman" w:cs="Times New Roman"/>
                <w:sz w:val="26"/>
                <w:szCs w:val="26"/>
                <w:vertAlign w:val="superscript"/>
              </w:rPr>
              <w:fldChar w:fldCharType="separate"/>
            </w:r>
            <w:r w:rsidR="00A548F8" w:rsidRPr="00505F9A">
              <w:rPr>
                <w:rFonts w:ascii="Times New Roman" w:eastAsia="Calibri" w:hAnsi="Times New Roman" w:cs="Times New Roman"/>
                <w:sz w:val="26"/>
                <w:szCs w:val="26"/>
                <w:vertAlign w:val="superscript"/>
              </w:rPr>
              <w:t>7</w:t>
            </w:r>
            <w:r w:rsidR="00A548F8" w:rsidRPr="00505F9A">
              <w:rPr>
                <w:rFonts w:ascii="Times New Roman" w:eastAsia="Calibri" w:hAnsi="Times New Roman" w:cs="Times New Roman"/>
                <w:sz w:val="26"/>
                <w:szCs w:val="26"/>
                <w:vertAlign w:val="superscript"/>
              </w:rPr>
              <w:fldChar w:fldCharType="end"/>
            </w:r>
          </w:p>
        </w:tc>
      </w:tr>
      <w:tr w:rsidR="00DE7A6F" w:rsidRPr="00D0606B" w14:paraId="545A2849" w14:textId="77777777" w:rsidTr="00CE6469">
        <w:trPr>
          <w:trHeight w:val="575"/>
        </w:trPr>
        <w:tc>
          <w:tcPr>
            <w:tcW w:w="2160" w:type="dxa"/>
            <w:tcBorders>
              <w:top w:val="single" w:sz="4" w:space="0" w:color="auto"/>
              <w:left w:val="single" w:sz="4" w:space="0" w:color="auto"/>
              <w:bottom w:val="single" w:sz="4" w:space="0" w:color="auto"/>
              <w:right w:val="single" w:sz="4" w:space="0" w:color="auto"/>
            </w:tcBorders>
            <w:vAlign w:val="bottom"/>
            <w:hideMark/>
          </w:tcPr>
          <w:p w14:paraId="47D50F9F" w14:textId="77777777" w:rsidR="00DE7A6F" w:rsidRPr="00505F9A" w:rsidRDefault="00DE7A6F" w:rsidP="00DE7A6F">
            <w:pPr>
              <w:widowControl w:val="0"/>
              <w:autoSpaceDE w:val="0"/>
              <w:autoSpaceDN w:val="0"/>
              <w:adjustRightInd w:val="0"/>
              <w:spacing w:after="0" w:line="240" w:lineRule="auto"/>
              <w:rPr>
                <w:rFonts w:ascii="Times New Roman" w:eastAsia="Calibri" w:hAnsi="Times New Roman" w:cs="Times New Roman"/>
                <w:sz w:val="26"/>
                <w:szCs w:val="26"/>
              </w:rPr>
            </w:pPr>
            <w:r w:rsidRPr="00505F9A">
              <w:rPr>
                <w:rFonts w:ascii="Times New Roman" w:eastAsia="Calibri" w:hAnsi="Times New Roman" w:cs="Times New Roman"/>
                <w:sz w:val="26"/>
                <w:szCs w:val="26"/>
              </w:rPr>
              <w:t>Annual Time Burden (Hr.)</w:t>
            </w:r>
          </w:p>
        </w:tc>
        <w:tc>
          <w:tcPr>
            <w:tcW w:w="1327" w:type="dxa"/>
            <w:tcBorders>
              <w:top w:val="single" w:sz="4" w:space="0" w:color="auto"/>
              <w:left w:val="single" w:sz="4" w:space="0" w:color="auto"/>
              <w:bottom w:val="single" w:sz="4" w:space="0" w:color="auto"/>
              <w:right w:val="single" w:sz="4" w:space="0" w:color="auto"/>
            </w:tcBorders>
            <w:vAlign w:val="bottom"/>
          </w:tcPr>
          <w:p w14:paraId="53C52E29" w14:textId="2C394F4C" w:rsidR="00DE7A6F" w:rsidRPr="00505F9A" w:rsidRDefault="0002356E"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505F9A">
              <w:rPr>
                <w:rFonts w:ascii="Times New Roman" w:eastAsia="Calibri" w:hAnsi="Times New Roman" w:cs="Times New Roman"/>
                <w:sz w:val="26"/>
                <w:szCs w:val="26"/>
              </w:rPr>
              <w:t>23,598 hrs. [one-time in Year 1]</w:t>
            </w:r>
          </w:p>
        </w:tc>
        <w:tc>
          <w:tcPr>
            <w:tcW w:w="1620" w:type="dxa"/>
            <w:tcBorders>
              <w:top w:val="single" w:sz="4" w:space="0" w:color="auto"/>
              <w:left w:val="single" w:sz="4" w:space="0" w:color="auto"/>
              <w:bottom w:val="single" w:sz="4" w:space="0" w:color="auto"/>
              <w:right w:val="single" w:sz="4" w:space="0" w:color="auto"/>
            </w:tcBorders>
            <w:vAlign w:val="bottom"/>
          </w:tcPr>
          <w:p w14:paraId="4E88CE35" w14:textId="56BDB3F9" w:rsidR="00DE7A6F" w:rsidRPr="00505F9A" w:rsidRDefault="00202F6A"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505F9A">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715BB5FF" w14:textId="77777777" w:rsidR="00DE7A6F" w:rsidRPr="00505F9A"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505F9A">
              <w:rPr>
                <w:rFonts w:ascii="Times New Roman" w:eastAsia="Calibri" w:hAnsi="Times New Roman" w:cs="Times New Roman"/>
                <w:sz w:val="26"/>
                <w:szCs w:val="26"/>
              </w:rPr>
              <w:t>0</w:t>
            </w:r>
          </w:p>
        </w:tc>
        <w:tc>
          <w:tcPr>
            <w:tcW w:w="2453" w:type="dxa"/>
            <w:tcBorders>
              <w:top w:val="single" w:sz="4" w:space="0" w:color="auto"/>
              <w:left w:val="single" w:sz="4" w:space="0" w:color="auto"/>
              <w:bottom w:val="single" w:sz="4" w:space="0" w:color="auto"/>
              <w:right w:val="single" w:sz="4" w:space="0" w:color="auto"/>
            </w:tcBorders>
            <w:vAlign w:val="bottom"/>
          </w:tcPr>
          <w:p w14:paraId="6661E34F" w14:textId="39A5CD3E" w:rsidR="00DE7A6F" w:rsidRPr="00505F9A" w:rsidRDefault="00A548F8"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505F9A">
              <w:rPr>
                <w:rFonts w:ascii="Times New Roman" w:eastAsia="Calibri" w:hAnsi="Times New Roman" w:cs="Times New Roman"/>
                <w:sz w:val="26"/>
                <w:szCs w:val="26"/>
              </w:rPr>
              <w:t>23,598 hrs. [one-time in Year 1]</w:t>
            </w:r>
          </w:p>
        </w:tc>
      </w:tr>
      <w:tr w:rsidR="00DE7A6F" w:rsidRPr="00D0606B" w14:paraId="7A428643" w14:textId="77777777" w:rsidTr="00CE6469">
        <w:trPr>
          <w:trHeight w:val="295"/>
        </w:trPr>
        <w:tc>
          <w:tcPr>
            <w:tcW w:w="2160" w:type="dxa"/>
            <w:tcBorders>
              <w:top w:val="single" w:sz="4" w:space="0" w:color="auto"/>
              <w:left w:val="single" w:sz="4" w:space="0" w:color="auto"/>
              <w:bottom w:val="nil"/>
              <w:right w:val="single" w:sz="4" w:space="0" w:color="auto"/>
            </w:tcBorders>
            <w:vAlign w:val="bottom"/>
            <w:hideMark/>
          </w:tcPr>
          <w:p w14:paraId="21C86983" w14:textId="2E7E8140" w:rsidR="00DE7A6F" w:rsidRPr="00505F9A" w:rsidRDefault="00DE7A6F" w:rsidP="00DE7A6F">
            <w:pPr>
              <w:widowControl w:val="0"/>
              <w:autoSpaceDE w:val="0"/>
              <w:autoSpaceDN w:val="0"/>
              <w:adjustRightInd w:val="0"/>
              <w:spacing w:after="0" w:line="240" w:lineRule="auto"/>
              <w:rPr>
                <w:rFonts w:ascii="Times New Roman" w:eastAsia="Calibri" w:hAnsi="Times New Roman" w:cs="Times New Roman"/>
                <w:sz w:val="26"/>
                <w:szCs w:val="26"/>
              </w:rPr>
            </w:pPr>
            <w:r w:rsidRPr="00505F9A">
              <w:rPr>
                <w:rFonts w:ascii="Times New Roman" w:eastAsia="Calibri" w:hAnsi="Times New Roman" w:cs="Times New Roman"/>
                <w:sz w:val="26"/>
                <w:szCs w:val="26"/>
              </w:rPr>
              <w:t>Annual Cost Burden ($)</w:t>
            </w:r>
            <w:r w:rsidR="0002356E" w:rsidRPr="00505F9A">
              <w:rPr>
                <w:rStyle w:val="FootnoteReference"/>
                <w:rFonts w:ascii="Times New Roman" w:eastAsia="Calibri" w:hAnsi="Times New Roman" w:cs="Times New Roman"/>
                <w:sz w:val="26"/>
                <w:szCs w:val="26"/>
              </w:rPr>
              <w:footnoteReference w:id="8"/>
            </w:r>
          </w:p>
        </w:tc>
        <w:tc>
          <w:tcPr>
            <w:tcW w:w="1327" w:type="dxa"/>
            <w:tcBorders>
              <w:top w:val="single" w:sz="4" w:space="0" w:color="auto"/>
              <w:left w:val="single" w:sz="4" w:space="0" w:color="auto"/>
              <w:bottom w:val="nil"/>
              <w:right w:val="single" w:sz="4" w:space="0" w:color="auto"/>
            </w:tcBorders>
            <w:vAlign w:val="bottom"/>
          </w:tcPr>
          <w:p w14:paraId="20849D22" w14:textId="59A8FF51" w:rsidR="00DE7A6F" w:rsidRPr="00505F9A" w:rsidRDefault="00505F9A" w:rsidP="00625FF2">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505F9A">
              <w:rPr>
                <w:rFonts w:ascii="Times New Roman" w:eastAsia="Calibri" w:hAnsi="Times New Roman" w:cs="Times New Roman"/>
                <w:sz w:val="26"/>
                <w:szCs w:val="26"/>
              </w:rPr>
              <w:t>$0</w:t>
            </w:r>
          </w:p>
        </w:tc>
        <w:tc>
          <w:tcPr>
            <w:tcW w:w="1620" w:type="dxa"/>
            <w:tcBorders>
              <w:top w:val="single" w:sz="4" w:space="0" w:color="auto"/>
              <w:left w:val="single" w:sz="4" w:space="0" w:color="auto"/>
              <w:bottom w:val="nil"/>
              <w:right w:val="single" w:sz="4" w:space="0" w:color="auto"/>
            </w:tcBorders>
            <w:vAlign w:val="bottom"/>
          </w:tcPr>
          <w:p w14:paraId="1A8CF353" w14:textId="5F88E0FA" w:rsidR="00DE7A6F" w:rsidRPr="00505F9A" w:rsidRDefault="00DE7A6F" w:rsidP="00202F6A">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505F9A">
              <w:rPr>
                <w:rFonts w:ascii="Times New Roman" w:eastAsia="Calibri" w:hAnsi="Times New Roman" w:cs="Times New Roman"/>
                <w:sz w:val="26"/>
                <w:szCs w:val="26"/>
              </w:rPr>
              <w:t>$</w:t>
            </w:r>
            <w:r w:rsidR="00202F6A" w:rsidRPr="00505F9A">
              <w:rPr>
                <w:rFonts w:ascii="Times New Roman" w:eastAsia="Calibri" w:hAnsi="Times New Roman" w:cs="Times New Roman"/>
                <w:sz w:val="26"/>
                <w:szCs w:val="26"/>
              </w:rPr>
              <w:t>0</w:t>
            </w:r>
            <w:r w:rsidRPr="00505F9A">
              <w:rPr>
                <w:rFonts w:ascii="Times New Roman" w:eastAsia="Calibri" w:hAnsi="Times New Roman" w:cs="Times New Roman"/>
                <w:sz w:val="26"/>
                <w:szCs w:val="26"/>
              </w:rPr>
              <w:t xml:space="preserve">  </w:t>
            </w:r>
          </w:p>
        </w:tc>
        <w:tc>
          <w:tcPr>
            <w:tcW w:w="1800" w:type="dxa"/>
            <w:tcBorders>
              <w:top w:val="single" w:sz="4" w:space="0" w:color="auto"/>
              <w:left w:val="single" w:sz="4" w:space="0" w:color="auto"/>
              <w:bottom w:val="nil"/>
              <w:right w:val="single" w:sz="4" w:space="0" w:color="auto"/>
            </w:tcBorders>
            <w:vAlign w:val="bottom"/>
          </w:tcPr>
          <w:p w14:paraId="2C5F860E" w14:textId="56F4053B" w:rsidR="00DE7A6F" w:rsidRPr="00505F9A" w:rsidRDefault="00505F9A"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505F9A">
              <w:rPr>
                <w:rFonts w:ascii="Times New Roman" w:eastAsia="Calibri" w:hAnsi="Times New Roman" w:cs="Times New Roman"/>
                <w:sz w:val="26"/>
                <w:szCs w:val="26"/>
              </w:rPr>
              <w:t>$</w:t>
            </w:r>
            <w:r w:rsidR="00DE7A6F" w:rsidRPr="00505F9A">
              <w:rPr>
                <w:rFonts w:ascii="Times New Roman" w:eastAsia="Calibri" w:hAnsi="Times New Roman" w:cs="Times New Roman"/>
                <w:sz w:val="26"/>
                <w:szCs w:val="26"/>
              </w:rPr>
              <w:t>0</w:t>
            </w:r>
          </w:p>
        </w:tc>
        <w:tc>
          <w:tcPr>
            <w:tcW w:w="2453" w:type="dxa"/>
            <w:tcBorders>
              <w:top w:val="single" w:sz="4" w:space="0" w:color="auto"/>
              <w:left w:val="single" w:sz="4" w:space="0" w:color="auto"/>
              <w:bottom w:val="nil"/>
              <w:right w:val="single" w:sz="4" w:space="0" w:color="auto"/>
            </w:tcBorders>
            <w:vAlign w:val="bottom"/>
          </w:tcPr>
          <w:p w14:paraId="67A684D3" w14:textId="6D2BAFB0" w:rsidR="00DE7A6F" w:rsidRPr="00505F9A" w:rsidRDefault="00505F9A" w:rsidP="00625FF2">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505F9A">
              <w:rPr>
                <w:rFonts w:ascii="Times New Roman" w:eastAsia="Calibri" w:hAnsi="Times New Roman" w:cs="Times New Roman"/>
                <w:sz w:val="26"/>
                <w:szCs w:val="26"/>
              </w:rPr>
              <w:t>$0</w:t>
            </w:r>
          </w:p>
        </w:tc>
      </w:tr>
    </w:tbl>
    <w:p w14:paraId="5EB5622E" w14:textId="77777777" w:rsidR="003F5C55" w:rsidRPr="00D0606B" w:rsidRDefault="003F5C55" w:rsidP="00905360">
      <w:pPr>
        <w:pStyle w:val="ListParagraph"/>
        <w:spacing w:after="0" w:line="240" w:lineRule="auto"/>
        <w:ind w:left="360"/>
        <w:rPr>
          <w:rFonts w:ascii="Times New Roman" w:hAnsi="Times New Roman" w:cs="Times New Roman"/>
          <w:b/>
          <w:sz w:val="26"/>
          <w:szCs w:val="26"/>
        </w:rPr>
      </w:pPr>
    </w:p>
    <w:p w14:paraId="6F846F67" w14:textId="77777777" w:rsidR="00F3604E" w:rsidRPr="00625FF2" w:rsidRDefault="003F5C55" w:rsidP="003F5C55">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 xml:space="preserve">16. </w:t>
      </w:r>
      <w:r w:rsidR="00F3604E" w:rsidRPr="00D0606B">
        <w:rPr>
          <w:rFonts w:ascii="Times New Roman" w:hAnsi="Times New Roman" w:cs="Times New Roman"/>
          <w:b/>
          <w:sz w:val="26"/>
          <w:szCs w:val="26"/>
        </w:rPr>
        <w:t xml:space="preserve">TIME </w:t>
      </w:r>
      <w:r w:rsidR="00F3604E" w:rsidRPr="00625FF2">
        <w:rPr>
          <w:rFonts w:ascii="Times New Roman" w:hAnsi="Times New Roman" w:cs="Times New Roman"/>
          <w:b/>
          <w:sz w:val="26"/>
          <w:szCs w:val="26"/>
        </w:rPr>
        <w:t>SCHEDULE FOR PUBLICATION OF DATA</w:t>
      </w:r>
    </w:p>
    <w:p w14:paraId="46B2A373" w14:textId="77777777" w:rsidR="00F3604E" w:rsidRPr="00625FF2" w:rsidRDefault="00F3604E" w:rsidP="00F3604E">
      <w:pPr>
        <w:spacing w:after="0" w:line="240" w:lineRule="auto"/>
        <w:rPr>
          <w:rFonts w:ascii="Times New Roman" w:hAnsi="Times New Roman" w:cs="Times New Roman"/>
          <w:sz w:val="26"/>
          <w:szCs w:val="26"/>
        </w:rPr>
      </w:pPr>
    </w:p>
    <w:p w14:paraId="07A59619" w14:textId="77777777" w:rsidR="00CE6469" w:rsidRPr="00625FF2" w:rsidRDefault="00CE6469" w:rsidP="00CE6469">
      <w:pPr>
        <w:spacing w:after="0" w:line="240" w:lineRule="auto"/>
        <w:rPr>
          <w:rFonts w:ascii="Times New Roman" w:hAnsi="Times New Roman" w:cs="Times New Roman"/>
          <w:sz w:val="26"/>
          <w:szCs w:val="26"/>
        </w:rPr>
      </w:pPr>
      <w:r w:rsidRPr="00625FF2">
        <w:rPr>
          <w:rFonts w:ascii="Times New Roman" w:hAnsi="Times New Roman" w:cs="Times New Roman"/>
          <w:sz w:val="26"/>
          <w:szCs w:val="26"/>
        </w:rPr>
        <w:t xml:space="preserve">The DOE NOPR does not address this issue. </w:t>
      </w:r>
    </w:p>
    <w:p w14:paraId="6F168C11" w14:textId="77777777" w:rsidR="00F3604E" w:rsidRPr="00625FF2" w:rsidRDefault="00F3604E" w:rsidP="00F3604E">
      <w:pPr>
        <w:spacing w:after="0" w:line="240" w:lineRule="auto"/>
        <w:rPr>
          <w:rFonts w:ascii="Times New Roman" w:hAnsi="Times New Roman" w:cs="Times New Roman"/>
          <w:sz w:val="26"/>
          <w:szCs w:val="26"/>
        </w:rPr>
      </w:pPr>
    </w:p>
    <w:p w14:paraId="4F08563F" w14:textId="77777777" w:rsidR="00F3604E" w:rsidRPr="00625FF2" w:rsidRDefault="00F3604E" w:rsidP="00025DA7">
      <w:pPr>
        <w:pStyle w:val="ListParagraph"/>
        <w:numPr>
          <w:ilvl w:val="0"/>
          <w:numId w:val="8"/>
        </w:numPr>
        <w:spacing w:after="0" w:line="240" w:lineRule="auto"/>
        <w:rPr>
          <w:rFonts w:ascii="Times New Roman" w:hAnsi="Times New Roman" w:cs="Times New Roman"/>
          <w:b/>
          <w:sz w:val="26"/>
          <w:szCs w:val="26"/>
        </w:rPr>
      </w:pPr>
      <w:r w:rsidRPr="00625FF2">
        <w:rPr>
          <w:rFonts w:ascii="Times New Roman" w:hAnsi="Times New Roman" w:cs="Times New Roman"/>
          <w:b/>
          <w:sz w:val="26"/>
          <w:szCs w:val="26"/>
        </w:rPr>
        <w:t>DISPLAY OF EXPIRATION DATE</w:t>
      </w:r>
    </w:p>
    <w:p w14:paraId="0DE18249" w14:textId="77777777" w:rsidR="00F3604E" w:rsidRPr="00625FF2" w:rsidRDefault="00F3604E" w:rsidP="00F3604E">
      <w:pPr>
        <w:spacing w:after="0" w:line="240" w:lineRule="auto"/>
        <w:rPr>
          <w:rFonts w:ascii="Times New Roman" w:hAnsi="Times New Roman" w:cs="Times New Roman"/>
          <w:sz w:val="26"/>
          <w:szCs w:val="26"/>
        </w:rPr>
      </w:pPr>
    </w:p>
    <w:p w14:paraId="0F2CF902" w14:textId="77777777" w:rsidR="00CE6469" w:rsidRPr="00625FF2" w:rsidRDefault="00CE6469" w:rsidP="00CE6469">
      <w:pPr>
        <w:spacing w:after="0" w:line="240" w:lineRule="auto"/>
        <w:rPr>
          <w:rFonts w:ascii="Times New Roman" w:hAnsi="Times New Roman" w:cs="Times New Roman"/>
          <w:sz w:val="26"/>
          <w:szCs w:val="26"/>
        </w:rPr>
      </w:pPr>
      <w:r w:rsidRPr="00625FF2">
        <w:rPr>
          <w:rFonts w:ascii="Times New Roman" w:hAnsi="Times New Roman" w:cs="Times New Roman"/>
          <w:sz w:val="26"/>
          <w:szCs w:val="26"/>
        </w:rPr>
        <w:t xml:space="preserve">The DOE NOPR does not address this issue. </w:t>
      </w:r>
    </w:p>
    <w:p w14:paraId="4DE04681" w14:textId="77777777" w:rsidR="00CE6469" w:rsidRPr="00625FF2" w:rsidRDefault="00CE6469" w:rsidP="00F3604E">
      <w:pPr>
        <w:spacing w:after="0" w:line="240" w:lineRule="auto"/>
        <w:rPr>
          <w:rFonts w:ascii="Times New Roman" w:hAnsi="Times New Roman" w:cs="Times New Roman"/>
          <w:sz w:val="26"/>
          <w:szCs w:val="26"/>
        </w:rPr>
      </w:pPr>
    </w:p>
    <w:p w14:paraId="1F4FE45E" w14:textId="4DE5C790" w:rsidR="00F3604E" w:rsidRPr="00625FF2" w:rsidRDefault="0002356E" w:rsidP="00F3604E">
      <w:pPr>
        <w:spacing w:after="0" w:line="240" w:lineRule="auto"/>
        <w:rPr>
          <w:rFonts w:ascii="Times New Roman" w:hAnsi="Times New Roman" w:cs="Times New Roman"/>
          <w:sz w:val="26"/>
          <w:szCs w:val="26"/>
        </w:rPr>
      </w:pPr>
      <w:r w:rsidRPr="00625FF2">
        <w:rPr>
          <w:rFonts w:ascii="Times New Roman" w:hAnsi="Times New Roman" w:cs="Times New Roman"/>
          <w:sz w:val="26"/>
          <w:szCs w:val="26"/>
        </w:rPr>
        <w:t>(</w:t>
      </w:r>
      <w:r w:rsidR="00F3604E" w:rsidRPr="00625FF2">
        <w:rPr>
          <w:rFonts w:ascii="Times New Roman" w:hAnsi="Times New Roman" w:cs="Times New Roman"/>
          <w:sz w:val="26"/>
          <w:szCs w:val="26"/>
        </w:rPr>
        <w:t xml:space="preserve">The expiration dates </w:t>
      </w:r>
      <w:r w:rsidR="00C150B8" w:rsidRPr="00625FF2">
        <w:rPr>
          <w:rFonts w:ascii="Times New Roman" w:hAnsi="Times New Roman" w:cs="Times New Roman"/>
          <w:sz w:val="26"/>
          <w:szCs w:val="26"/>
        </w:rPr>
        <w:t xml:space="preserve">of </w:t>
      </w:r>
      <w:r w:rsidR="00CE6469" w:rsidRPr="00625FF2">
        <w:rPr>
          <w:rFonts w:ascii="Times New Roman" w:hAnsi="Times New Roman" w:cs="Times New Roman"/>
          <w:sz w:val="26"/>
          <w:szCs w:val="26"/>
        </w:rPr>
        <w:t>Commission</w:t>
      </w:r>
      <w:r w:rsidR="00C150B8" w:rsidRPr="00625FF2">
        <w:rPr>
          <w:rFonts w:ascii="Times New Roman" w:hAnsi="Times New Roman" w:cs="Times New Roman"/>
          <w:sz w:val="26"/>
          <w:szCs w:val="26"/>
        </w:rPr>
        <w:t xml:space="preserve"> information collect</w:t>
      </w:r>
      <w:r w:rsidR="00CE6469" w:rsidRPr="00625FF2">
        <w:rPr>
          <w:rFonts w:ascii="Times New Roman" w:hAnsi="Times New Roman" w:cs="Times New Roman"/>
          <w:sz w:val="26"/>
          <w:szCs w:val="26"/>
        </w:rPr>
        <w:t>i</w:t>
      </w:r>
      <w:r w:rsidR="00C150B8" w:rsidRPr="00625FF2">
        <w:rPr>
          <w:rFonts w:ascii="Times New Roman" w:hAnsi="Times New Roman" w:cs="Times New Roman"/>
          <w:sz w:val="26"/>
          <w:szCs w:val="26"/>
        </w:rPr>
        <w:t xml:space="preserve">ons </w:t>
      </w:r>
      <w:r w:rsidR="00F3604E" w:rsidRPr="00625FF2">
        <w:rPr>
          <w:rFonts w:ascii="Times New Roman" w:hAnsi="Times New Roman" w:cs="Times New Roman"/>
          <w:sz w:val="26"/>
          <w:szCs w:val="26"/>
        </w:rPr>
        <w:t>are post</w:t>
      </w:r>
      <w:r w:rsidR="00AE2D32" w:rsidRPr="00625FF2">
        <w:rPr>
          <w:rFonts w:ascii="Times New Roman" w:hAnsi="Times New Roman" w:cs="Times New Roman"/>
          <w:sz w:val="26"/>
          <w:szCs w:val="26"/>
        </w:rPr>
        <w:t>ed</w:t>
      </w:r>
      <w:r w:rsidR="00F3604E" w:rsidRPr="00625FF2">
        <w:rPr>
          <w:rFonts w:ascii="Times New Roman" w:hAnsi="Times New Roman" w:cs="Times New Roman"/>
          <w:sz w:val="26"/>
          <w:szCs w:val="26"/>
        </w:rPr>
        <w:t xml:space="preserve"> on ferc.gov at </w:t>
      </w:r>
      <w:hyperlink r:id="rId14" w:history="1">
        <w:r w:rsidR="00F3604E" w:rsidRPr="00625FF2">
          <w:rPr>
            <w:rStyle w:val="Hyperlink"/>
            <w:rFonts w:ascii="Times New Roman" w:hAnsi="Times New Roman" w:cs="Times New Roman"/>
            <w:sz w:val="26"/>
            <w:szCs w:val="26"/>
          </w:rPr>
          <w:t>http://www.ferc.gov/docs-filing/info-collections.asp</w:t>
        </w:r>
      </w:hyperlink>
      <w:r w:rsidR="00F3604E" w:rsidRPr="00625FF2">
        <w:rPr>
          <w:rFonts w:ascii="Times New Roman" w:hAnsi="Times New Roman" w:cs="Times New Roman"/>
          <w:sz w:val="26"/>
          <w:szCs w:val="26"/>
        </w:rPr>
        <w:t>.</w:t>
      </w:r>
      <w:r w:rsidRPr="00625FF2">
        <w:rPr>
          <w:rFonts w:ascii="Times New Roman" w:hAnsi="Times New Roman" w:cs="Times New Roman"/>
          <w:sz w:val="26"/>
          <w:szCs w:val="26"/>
        </w:rPr>
        <w:t>)</w:t>
      </w:r>
      <w:r w:rsidR="00F3604E" w:rsidRPr="00625FF2">
        <w:rPr>
          <w:rFonts w:ascii="Times New Roman" w:hAnsi="Times New Roman" w:cs="Times New Roman"/>
          <w:sz w:val="26"/>
          <w:szCs w:val="26"/>
        </w:rPr>
        <w:t xml:space="preserve"> </w:t>
      </w:r>
    </w:p>
    <w:p w14:paraId="56F8A651" w14:textId="77777777" w:rsidR="00F3604E" w:rsidRPr="00625FF2" w:rsidRDefault="00F3604E" w:rsidP="00F3604E">
      <w:pPr>
        <w:spacing w:after="0" w:line="240" w:lineRule="auto"/>
        <w:rPr>
          <w:rFonts w:ascii="Times New Roman" w:hAnsi="Times New Roman" w:cs="Times New Roman"/>
          <w:sz w:val="26"/>
          <w:szCs w:val="26"/>
        </w:rPr>
      </w:pPr>
    </w:p>
    <w:p w14:paraId="1C1145CC" w14:textId="77777777" w:rsidR="00F3604E" w:rsidRPr="00625FF2" w:rsidRDefault="00F3604E" w:rsidP="00025DA7">
      <w:pPr>
        <w:pStyle w:val="ListParagraph"/>
        <w:numPr>
          <w:ilvl w:val="0"/>
          <w:numId w:val="8"/>
        </w:numPr>
        <w:spacing w:after="0" w:line="240" w:lineRule="auto"/>
        <w:rPr>
          <w:rFonts w:ascii="Times New Roman" w:hAnsi="Times New Roman" w:cs="Times New Roman"/>
          <w:b/>
          <w:sz w:val="26"/>
          <w:szCs w:val="26"/>
        </w:rPr>
      </w:pPr>
      <w:r w:rsidRPr="00625FF2">
        <w:rPr>
          <w:rFonts w:ascii="Times New Roman" w:hAnsi="Times New Roman" w:cs="Times New Roman"/>
          <w:b/>
          <w:sz w:val="26"/>
          <w:szCs w:val="26"/>
        </w:rPr>
        <w:t>EXCEPTIONS TO THE CERTIFICATION STATEMENT</w:t>
      </w:r>
    </w:p>
    <w:p w14:paraId="5DAF6AD0" w14:textId="77777777" w:rsidR="00F3604E" w:rsidRPr="00625FF2" w:rsidRDefault="00F3604E" w:rsidP="00F3604E">
      <w:pPr>
        <w:spacing w:after="0" w:line="240" w:lineRule="auto"/>
        <w:rPr>
          <w:rFonts w:ascii="Times New Roman" w:hAnsi="Times New Roman" w:cs="Times New Roman"/>
          <w:b/>
          <w:sz w:val="26"/>
          <w:szCs w:val="26"/>
        </w:rPr>
      </w:pPr>
    </w:p>
    <w:p w14:paraId="7D96B823" w14:textId="77777777" w:rsidR="00CE6469" w:rsidRPr="00D0606B" w:rsidRDefault="00CE6469" w:rsidP="00CE6469">
      <w:pPr>
        <w:spacing w:after="0" w:line="240" w:lineRule="auto"/>
        <w:rPr>
          <w:rFonts w:ascii="Times New Roman" w:hAnsi="Times New Roman" w:cs="Times New Roman"/>
          <w:sz w:val="26"/>
          <w:szCs w:val="26"/>
        </w:rPr>
      </w:pPr>
      <w:r w:rsidRPr="00625FF2">
        <w:rPr>
          <w:rFonts w:ascii="Times New Roman" w:hAnsi="Times New Roman" w:cs="Times New Roman"/>
          <w:sz w:val="26"/>
          <w:szCs w:val="26"/>
        </w:rPr>
        <w:t xml:space="preserve">The DOE NOPR does not address this issue. </w:t>
      </w:r>
    </w:p>
    <w:sectPr w:rsidR="00CE6469" w:rsidRPr="00D0606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88988" w14:textId="77777777" w:rsidR="00E65AB7" w:rsidRDefault="00E65AB7" w:rsidP="00AC7CFF">
      <w:pPr>
        <w:spacing w:after="0" w:line="240" w:lineRule="auto"/>
      </w:pPr>
      <w:r>
        <w:separator/>
      </w:r>
    </w:p>
  </w:endnote>
  <w:endnote w:type="continuationSeparator" w:id="0">
    <w:p w14:paraId="1593A3FC" w14:textId="77777777" w:rsidR="00E65AB7" w:rsidRDefault="00E65AB7" w:rsidP="00AC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453608"/>
      <w:docPartObj>
        <w:docPartGallery w:val="Page Numbers (Bottom of Page)"/>
        <w:docPartUnique/>
      </w:docPartObj>
    </w:sdtPr>
    <w:sdtEndPr>
      <w:rPr>
        <w:rFonts w:ascii="Times New Roman" w:hAnsi="Times New Roman" w:cs="Times New Roman"/>
        <w:noProof/>
      </w:rPr>
    </w:sdtEndPr>
    <w:sdtContent>
      <w:p w14:paraId="3D061CC1" w14:textId="7B05E6FA" w:rsidR="001A22EE" w:rsidRPr="00402E20" w:rsidRDefault="001A22EE">
        <w:pPr>
          <w:pStyle w:val="Footer"/>
          <w:jc w:val="right"/>
          <w:rPr>
            <w:rFonts w:ascii="Times New Roman" w:hAnsi="Times New Roman" w:cs="Times New Roman"/>
          </w:rPr>
        </w:pPr>
        <w:r w:rsidRPr="00402E20">
          <w:rPr>
            <w:rFonts w:ascii="Times New Roman" w:hAnsi="Times New Roman" w:cs="Times New Roman"/>
          </w:rPr>
          <w:fldChar w:fldCharType="begin"/>
        </w:r>
        <w:r w:rsidRPr="00402E20">
          <w:rPr>
            <w:rFonts w:ascii="Times New Roman" w:hAnsi="Times New Roman" w:cs="Times New Roman"/>
          </w:rPr>
          <w:instrText xml:space="preserve"> PAGE   \* MERGEFORMAT </w:instrText>
        </w:r>
        <w:r w:rsidRPr="00402E20">
          <w:rPr>
            <w:rFonts w:ascii="Times New Roman" w:hAnsi="Times New Roman" w:cs="Times New Roman"/>
          </w:rPr>
          <w:fldChar w:fldCharType="separate"/>
        </w:r>
        <w:r w:rsidR="00113BF7">
          <w:rPr>
            <w:rFonts w:ascii="Times New Roman" w:hAnsi="Times New Roman" w:cs="Times New Roman"/>
            <w:noProof/>
          </w:rPr>
          <w:t>1</w:t>
        </w:r>
        <w:r w:rsidRPr="00402E20">
          <w:rPr>
            <w:rFonts w:ascii="Times New Roman" w:hAnsi="Times New Roman" w:cs="Times New Roman"/>
            <w:noProof/>
          </w:rPr>
          <w:fldChar w:fldCharType="end"/>
        </w:r>
      </w:p>
    </w:sdtContent>
  </w:sdt>
  <w:p w14:paraId="387591C4" w14:textId="77777777" w:rsidR="001A22EE" w:rsidRDefault="001A2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3C85C" w14:textId="77777777" w:rsidR="00E65AB7" w:rsidRDefault="00E65AB7" w:rsidP="00AC7CFF">
      <w:pPr>
        <w:spacing w:after="0" w:line="240" w:lineRule="auto"/>
      </w:pPr>
      <w:r>
        <w:separator/>
      </w:r>
    </w:p>
  </w:footnote>
  <w:footnote w:type="continuationSeparator" w:id="0">
    <w:p w14:paraId="0B7CDDEB" w14:textId="77777777" w:rsidR="00E65AB7" w:rsidRDefault="00E65AB7" w:rsidP="00AC7CFF">
      <w:pPr>
        <w:spacing w:after="0" w:line="240" w:lineRule="auto"/>
      </w:pPr>
      <w:r>
        <w:continuationSeparator/>
      </w:r>
    </w:p>
  </w:footnote>
  <w:footnote w:id="1">
    <w:p w14:paraId="70F4F455" w14:textId="77777777" w:rsidR="00D12A88" w:rsidRPr="00E50046" w:rsidRDefault="00D12A88" w:rsidP="00D12A88">
      <w:pPr>
        <w:pStyle w:val="FootnoteText"/>
        <w:rPr>
          <w:rFonts w:ascii="Times New Roman" w:hAnsi="Times New Roman" w:cs="Times New Roman"/>
          <w:sz w:val="26"/>
          <w:szCs w:val="26"/>
        </w:rPr>
      </w:pPr>
      <w:r w:rsidRPr="00E50046">
        <w:rPr>
          <w:rStyle w:val="FootnoteReference"/>
          <w:rFonts w:ascii="Times New Roman" w:hAnsi="Times New Roman" w:cs="Times New Roman"/>
          <w:sz w:val="26"/>
          <w:szCs w:val="26"/>
        </w:rPr>
        <w:footnoteRef/>
      </w:r>
      <w:r w:rsidRPr="00E50046">
        <w:rPr>
          <w:rFonts w:ascii="Times New Roman" w:hAnsi="Times New Roman" w:cs="Times New Roman"/>
          <w:sz w:val="26"/>
          <w:szCs w:val="26"/>
        </w:rPr>
        <w:t xml:space="preserve"> The DOE NOPR was published in the Federal Register </w:t>
      </w:r>
      <w:r>
        <w:rPr>
          <w:rFonts w:ascii="Times New Roman" w:hAnsi="Times New Roman" w:cs="Times New Roman"/>
          <w:sz w:val="26"/>
          <w:szCs w:val="26"/>
        </w:rPr>
        <w:t xml:space="preserve">(82 FR 46940, </w:t>
      </w:r>
      <w:r w:rsidRPr="00E50046">
        <w:rPr>
          <w:rFonts w:ascii="Times New Roman" w:hAnsi="Times New Roman" w:cs="Times New Roman"/>
          <w:sz w:val="26"/>
          <w:szCs w:val="26"/>
        </w:rPr>
        <w:t>10/10/2017</w:t>
      </w:r>
      <w:r>
        <w:rPr>
          <w:rFonts w:ascii="Times New Roman" w:hAnsi="Times New Roman" w:cs="Times New Roman"/>
          <w:sz w:val="26"/>
          <w:szCs w:val="26"/>
        </w:rPr>
        <w:t>)</w:t>
      </w:r>
      <w:r w:rsidRPr="00E50046">
        <w:rPr>
          <w:rFonts w:ascii="Times New Roman" w:hAnsi="Times New Roman" w:cs="Times New Roman"/>
          <w:sz w:val="26"/>
          <w:szCs w:val="26"/>
        </w:rPr>
        <w:t xml:space="preserve">, at </w:t>
      </w:r>
      <w:hyperlink r:id="rId1" w:history="1">
        <w:r w:rsidRPr="00E50046">
          <w:rPr>
            <w:rStyle w:val="Hyperlink"/>
            <w:rFonts w:ascii="Times New Roman" w:hAnsi="Times New Roman" w:cs="Times New Roman"/>
            <w:sz w:val="26"/>
            <w:szCs w:val="26"/>
          </w:rPr>
          <w:t>https://www.gpo.gov/fdsys/pkg/FR-2017-10-10/pdf/2017-21396.pdf</w:t>
        </w:r>
      </w:hyperlink>
      <w:r>
        <w:rPr>
          <w:rFonts w:ascii="Times New Roman" w:hAnsi="Times New Roman" w:cs="Times New Roman"/>
          <w:sz w:val="26"/>
          <w:szCs w:val="26"/>
        </w:rPr>
        <w:t xml:space="preserve">. </w:t>
      </w:r>
    </w:p>
  </w:footnote>
  <w:footnote w:id="2">
    <w:p w14:paraId="6F5D988C" w14:textId="03DD08A8" w:rsidR="001A22EE" w:rsidRPr="00CB405B" w:rsidRDefault="001A22EE" w:rsidP="00CB405B">
      <w:pPr>
        <w:pStyle w:val="FootnoteText"/>
        <w:rPr>
          <w:rFonts w:ascii="Times New Roman" w:hAnsi="Times New Roman" w:cs="Times New Roman"/>
          <w:sz w:val="26"/>
          <w:szCs w:val="26"/>
        </w:rPr>
      </w:pPr>
      <w:r w:rsidRPr="00E50046">
        <w:rPr>
          <w:rStyle w:val="FootnoteReference"/>
          <w:rFonts w:ascii="Times New Roman" w:hAnsi="Times New Roman" w:cs="Times New Roman"/>
          <w:sz w:val="26"/>
          <w:szCs w:val="26"/>
        </w:rPr>
        <w:footnoteRef/>
      </w:r>
      <w:r w:rsidRPr="00E50046">
        <w:rPr>
          <w:rFonts w:ascii="Times New Roman" w:hAnsi="Times New Roman" w:cs="Times New Roman"/>
          <w:sz w:val="26"/>
          <w:szCs w:val="26"/>
        </w:rPr>
        <w:t xml:space="preserve"> </w:t>
      </w:r>
      <w:r>
        <w:rPr>
          <w:rFonts w:ascii="Times New Roman" w:hAnsi="Times New Roman" w:cs="Times New Roman"/>
          <w:sz w:val="26"/>
          <w:szCs w:val="26"/>
        </w:rPr>
        <w:t xml:space="preserve">The letter and draft NOPR are posted in FERC’s </w:t>
      </w:r>
      <w:r w:rsidR="00414A65">
        <w:rPr>
          <w:rFonts w:ascii="Times New Roman" w:hAnsi="Times New Roman" w:cs="Times New Roman"/>
          <w:sz w:val="26"/>
          <w:szCs w:val="26"/>
        </w:rPr>
        <w:t>eLibrary</w:t>
      </w:r>
      <w:r>
        <w:rPr>
          <w:rFonts w:ascii="Times New Roman" w:hAnsi="Times New Roman" w:cs="Times New Roman"/>
          <w:sz w:val="26"/>
          <w:szCs w:val="26"/>
        </w:rPr>
        <w:t xml:space="preserve"> at </w:t>
      </w:r>
      <w:hyperlink r:id="rId2" w:history="1">
        <w:r w:rsidRPr="00970F8B">
          <w:rPr>
            <w:rStyle w:val="Hyperlink"/>
            <w:rFonts w:ascii="Times New Roman" w:hAnsi="Times New Roman" w:cs="Times New Roman"/>
            <w:sz w:val="26"/>
            <w:szCs w:val="26"/>
          </w:rPr>
          <w:t>https://elibrary.ferc.gov/idmws/common/opennat.asp?fileID=14695866</w:t>
        </w:r>
      </w:hyperlink>
      <w:r>
        <w:rPr>
          <w:rFonts w:ascii="Times New Roman" w:hAnsi="Times New Roman" w:cs="Times New Roman"/>
          <w:sz w:val="26"/>
          <w:szCs w:val="26"/>
        </w:rPr>
        <w:t xml:space="preserve">.  (The DOE has posted additional material on its website at </w:t>
      </w:r>
      <w:hyperlink r:id="rId3" w:history="1">
        <w:r w:rsidRPr="00970F8B">
          <w:rPr>
            <w:rStyle w:val="Hyperlink"/>
            <w:rFonts w:ascii="Times New Roman" w:hAnsi="Times New Roman" w:cs="Times New Roman"/>
            <w:sz w:val="26"/>
            <w:szCs w:val="26"/>
          </w:rPr>
          <w:t>https://energy.gov/articles/secretary-perry-urges-ferc-take-swift-action-address-threats-grid-resiliency</w:t>
        </w:r>
      </w:hyperlink>
      <w:r>
        <w:rPr>
          <w:rFonts w:ascii="Times New Roman" w:hAnsi="Times New Roman" w:cs="Times New Roman"/>
          <w:sz w:val="26"/>
          <w:szCs w:val="26"/>
        </w:rPr>
        <w:t xml:space="preserve"> </w:t>
      </w:r>
      <w:r w:rsidRPr="00CB405B">
        <w:rPr>
          <w:rFonts w:ascii="Times New Roman" w:hAnsi="Times New Roman" w:cs="Times New Roman"/>
          <w:sz w:val="26"/>
          <w:szCs w:val="26"/>
        </w:rPr>
        <w:t>.)</w:t>
      </w:r>
    </w:p>
    <w:p w14:paraId="3E6A3626" w14:textId="1AD7F451" w:rsidR="001A22EE" w:rsidRPr="00E50046" w:rsidRDefault="001A22EE" w:rsidP="00CB405B">
      <w:pPr>
        <w:pStyle w:val="FootnoteText"/>
        <w:rPr>
          <w:rFonts w:ascii="Times New Roman" w:hAnsi="Times New Roman" w:cs="Times New Roman"/>
          <w:sz w:val="26"/>
          <w:szCs w:val="26"/>
        </w:rPr>
      </w:pPr>
    </w:p>
  </w:footnote>
  <w:footnote w:id="3">
    <w:p w14:paraId="757D4A5E" w14:textId="182F70C2" w:rsidR="005F67EF" w:rsidRPr="005F67EF" w:rsidRDefault="005F67EF">
      <w:pPr>
        <w:pStyle w:val="FootnoteText"/>
        <w:rPr>
          <w:rFonts w:ascii="Times New Roman" w:hAnsi="Times New Roman" w:cs="Times New Roman"/>
          <w:sz w:val="26"/>
          <w:szCs w:val="26"/>
        </w:rPr>
      </w:pPr>
      <w:r w:rsidRPr="005F67EF">
        <w:rPr>
          <w:rStyle w:val="FootnoteReference"/>
          <w:rFonts w:ascii="Times New Roman" w:hAnsi="Times New Roman" w:cs="Times New Roman"/>
          <w:sz w:val="26"/>
          <w:szCs w:val="26"/>
        </w:rPr>
        <w:footnoteRef/>
      </w:r>
      <w:r w:rsidRPr="005F67EF">
        <w:rPr>
          <w:rFonts w:ascii="Times New Roman" w:hAnsi="Times New Roman" w:cs="Times New Roman"/>
          <w:sz w:val="26"/>
          <w:szCs w:val="26"/>
        </w:rPr>
        <w:t xml:space="preserve"> The Notice is posted in FERC’s eLibrary at </w:t>
      </w:r>
      <w:hyperlink r:id="rId4" w:history="1">
        <w:r w:rsidRPr="00970F8B">
          <w:rPr>
            <w:rStyle w:val="Hyperlink"/>
            <w:rFonts w:ascii="Times New Roman" w:hAnsi="Times New Roman" w:cs="Times New Roman"/>
            <w:sz w:val="26"/>
            <w:szCs w:val="26"/>
          </w:rPr>
          <w:t>https://elibrary.ferc.gov/idmws/common/opennat.asp?fileID=14699095</w:t>
        </w:r>
      </w:hyperlink>
      <w:r>
        <w:rPr>
          <w:rFonts w:ascii="Times New Roman" w:hAnsi="Times New Roman" w:cs="Times New Roman"/>
          <w:sz w:val="26"/>
          <w:szCs w:val="26"/>
        </w:rPr>
        <w:t>.</w:t>
      </w:r>
    </w:p>
  </w:footnote>
  <w:footnote w:id="4">
    <w:p w14:paraId="3998DC22" w14:textId="1E835ABF" w:rsidR="001A22EE" w:rsidRPr="00E50046" w:rsidRDefault="001A22EE">
      <w:pPr>
        <w:pStyle w:val="FootnoteText"/>
        <w:rPr>
          <w:rFonts w:ascii="Times New Roman" w:hAnsi="Times New Roman" w:cs="Times New Roman"/>
          <w:sz w:val="26"/>
          <w:szCs w:val="26"/>
        </w:rPr>
      </w:pPr>
      <w:r w:rsidRPr="00E50046">
        <w:rPr>
          <w:rStyle w:val="FootnoteReference"/>
          <w:rFonts w:ascii="Times New Roman" w:hAnsi="Times New Roman" w:cs="Times New Roman"/>
          <w:sz w:val="26"/>
          <w:szCs w:val="26"/>
        </w:rPr>
        <w:footnoteRef/>
      </w:r>
      <w:r w:rsidRPr="00E50046">
        <w:rPr>
          <w:rFonts w:ascii="Times New Roman" w:hAnsi="Times New Roman" w:cs="Times New Roman"/>
          <w:sz w:val="26"/>
          <w:szCs w:val="26"/>
        </w:rPr>
        <w:t xml:space="preserve"> </w:t>
      </w:r>
      <w:r w:rsidR="00383000">
        <w:rPr>
          <w:rFonts w:ascii="Times New Roman" w:hAnsi="Times New Roman" w:cs="Times New Roman"/>
          <w:sz w:val="26"/>
          <w:szCs w:val="26"/>
        </w:rPr>
        <w:t xml:space="preserve">The Notice is </w:t>
      </w:r>
      <w:r w:rsidR="00616435">
        <w:rPr>
          <w:rFonts w:ascii="Times New Roman" w:hAnsi="Times New Roman" w:cs="Times New Roman"/>
          <w:sz w:val="26"/>
          <w:szCs w:val="26"/>
        </w:rPr>
        <w:t xml:space="preserve">available </w:t>
      </w:r>
      <w:r w:rsidR="00383000">
        <w:rPr>
          <w:rFonts w:ascii="Times New Roman" w:hAnsi="Times New Roman" w:cs="Times New Roman"/>
          <w:sz w:val="26"/>
          <w:szCs w:val="26"/>
        </w:rPr>
        <w:t xml:space="preserve">at </w:t>
      </w:r>
      <w:hyperlink r:id="rId5" w:history="1">
        <w:r w:rsidR="0010056D" w:rsidRPr="00970F8B">
          <w:rPr>
            <w:rStyle w:val="Hyperlink"/>
            <w:rFonts w:ascii="Times New Roman" w:hAnsi="Times New Roman" w:cs="Times New Roman"/>
            <w:sz w:val="26"/>
            <w:szCs w:val="26"/>
          </w:rPr>
          <w:t>https://elibrary.ferc.gov/idmws/common/opennat.asp?fileID=14701841</w:t>
        </w:r>
      </w:hyperlink>
      <w:r w:rsidR="0010056D">
        <w:rPr>
          <w:rFonts w:ascii="Times New Roman" w:hAnsi="Times New Roman" w:cs="Times New Roman"/>
          <w:sz w:val="26"/>
          <w:szCs w:val="26"/>
        </w:rPr>
        <w:t>.</w:t>
      </w:r>
    </w:p>
  </w:footnote>
  <w:footnote w:id="5">
    <w:p w14:paraId="07107548" w14:textId="1DBE727C" w:rsidR="00CB590D" w:rsidRPr="00CB590D" w:rsidRDefault="00CB590D">
      <w:pPr>
        <w:pStyle w:val="FootnoteText"/>
        <w:rPr>
          <w:rFonts w:ascii="Times New Roman" w:hAnsi="Times New Roman" w:cs="Times New Roman"/>
          <w:sz w:val="26"/>
          <w:szCs w:val="26"/>
        </w:rPr>
      </w:pPr>
      <w:r w:rsidRPr="00CB590D">
        <w:rPr>
          <w:rStyle w:val="FootnoteReference"/>
          <w:rFonts w:ascii="Times New Roman" w:hAnsi="Times New Roman" w:cs="Times New Roman"/>
          <w:sz w:val="26"/>
          <w:szCs w:val="26"/>
        </w:rPr>
        <w:footnoteRef/>
      </w:r>
      <w:r w:rsidRPr="00CB590D">
        <w:rPr>
          <w:rFonts w:ascii="Times New Roman" w:hAnsi="Times New Roman" w:cs="Times New Roman"/>
          <w:sz w:val="26"/>
          <w:szCs w:val="26"/>
        </w:rPr>
        <w:t xml:space="preserve"> </w:t>
      </w:r>
      <w:r>
        <w:rPr>
          <w:rFonts w:ascii="Times New Roman" w:hAnsi="Times New Roman" w:cs="Times New Roman"/>
          <w:sz w:val="26"/>
          <w:szCs w:val="26"/>
        </w:rPr>
        <w:t xml:space="preserve">The Notice is posted at </w:t>
      </w:r>
      <w:hyperlink r:id="rId6" w:history="1">
        <w:r w:rsidRPr="00970F8B">
          <w:rPr>
            <w:rStyle w:val="Hyperlink"/>
            <w:rFonts w:ascii="Times New Roman" w:hAnsi="Times New Roman" w:cs="Times New Roman"/>
            <w:sz w:val="26"/>
            <w:szCs w:val="26"/>
          </w:rPr>
          <w:t>https://elibrary.ferc.gov/idmws/common/OpenNat.asp?fileID=14708739</w:t>
        </w:r>
      </w:hyperlink>
      <w:r w:rsidR="0010056D">
        <w:rPr>
          <w:rFonts w:ascii="Times New Roman" w:hAnsi="Times New Roman" w:cs="Times New Roman"/>
          <w:sz w:val="26"/>
          <w:szCs w:val="26"/>
        </w:rPr>
        <w:t xml:space="preserve">; the Errata is </w:t>
      </w:r>
      <w:r w:rsidR="00BB19E6">
        <w:rPr>
          <w:rFonts w:ascii="Times New Roman" w:hAnsi="Times New Roman" w:cs="Times New Roman"/>
          <w:sz w:val="26"/>
          <w:szCs w:val="26"/>
        </w:rPr>
        <w:t>posted</w:t>
      </w:r>
      <w:r w:rsidR="0010056D">
        <w:rPr>
          <w:rFonts w:ascii="Times New Roman" w:hAnsi="Times New Roman" w:cs="Times New Roman"/>
          <w:sz w:val="26"/>
          <w:szCs w:val="26"/>
        </w:rPr>
        <w:t xml:space="preserve"> at </w:t>
      </w:r>
      <w:hyperlink r:id="rId7" w:history="1">
        <w:r w:rsidR="0010056D" w:rsidRPr="00970F8B">
          <w:rPr>
            <w:rStyle w:val="Hyperlink"/>
            <w:rFonts w:ascii="Times New Roman" w:hAnsi="Times New Roman" w:cs="Times New Roman"/>
            <w:sz w:val="26"/>
            <w:szCs w:val="26"/>
          </w:rPr>
          <w:t>https://elibrary.ferc.gov/idmws/common/opennat.asp?fileID=14708723</w:t>
        </w:r>
      </w:hyperlink>
      <w:r>
        <w:rPr>
          <w:rFonts w:ascii="Times New Roman" w:hAnsi="Times New Roman" w:cs="Times New Roman"/>
          <w:sz w:val="26"/>
          <w:szCs w:val="26"/>
        </w:rPr>
        <w:t>.</w:t>
      </w:r>
    </w:p>
  </w:footnote>
  <w:footnote w:id="6">
    <w:p w14:paraId="4B84008B" w14:textId="2DFD928F" w:rsidR="008F34BA" w:rsidRDefault="008F34BA" w:rsidP="008F34BA">
      <w:pPr>
        <w:pStyle w:val="FootnoteText"/>
        <w:rPr>
          <w:rFonts w:ascii="Times New Roman" w:hAnsi="Times New Roman"/>
          <w:sz w:val="26"/>
          <w:szCs w:val="26"/>
        </w:rPr>
      </w:pPr>
      <w:r w:rsidRPr="0062041E">
        <w:rPr>
          <w:rStyle w:val="FootnoteReference"/>
          <w:rFonts w:ascii="Times New Roman" w:hAnsi="Times New Roman"/>
          <w:sz w:val="26"/>
          <w:szCs w:val="26"/>
        </w:rPr>
        <w:footnoteRef/>
      </w:r>
      <w:r w:rsidRPr="0062041E">
        <w:rPr>
          <w:rFonts w:ascii="Times New Roman" w:hAnsi="Times New Roman"/>
          <w:sz w:val="26"/>
          <w:szCs w:val="26"/>
        </w:rPr>
        <w:t xml:space="preserve"> </w:t>
      </w:r>
      <w:r w:rsidR="0062041E" w:rsidRPr="0062041E">
        <w:rPr>
          <w:rFonts w:ascii="Times New Roman" w:hAnsi="Times New Roman"/>
          <w:sz w:val="26"/>
          <w:szCs w:val="26"/>
        </w:rPr>
        <w:t xml:space="preserve">[Included in the DOE NOPR as </w:t>
      </w:r>
      <w:r w:rsidR="008D2F52">
        <w:rPr>
          <w:rFonts w:ascii="Times New Roman" w:hAnsi="Times New Roman"/>
          <w:sz w:val="26"/>
          <w:szCs w:val="26"/>
        </w:rPr>
        <w:t xml:space="preserve">footnote </w:t>
      </w:r>
      <w:r w:rsidR="0062041E" w:rsidRPr="0062041E">
        <w:rPr>
          <w:rFonts w:ascii="Times New Roman" w:hAnsi="Times New Roman"/>
          <w:sz w:val="26"/>
          <w:szCs w:val="26"/>
        </w:rPr>
        <w:t>46]  “</w:t>
      </w:r>
      <w:r w:rsidRPr="0062041E">
        <w:rPr>
          <w:rFonts w:ascii="Times New Roman" w:hAnsi="Times New Roman"/>
          <w:sz w:val="26"/>
          <w:szCs w:val="26"/>
        </w:rPr>
        <w:t>This estimate is based on the Commission’s estimate used by the Commission in 157 FERC ¶ 61,213, 18 CFR part 35 [Docket No. RM17-3-000] Fast-Start Pricing in Markets Operated by Regional Transmission Organizations and Independent System Operators (December 15, 2016)].  For this information collection, the Commission staff estimates that industry is similarly situated in terms of hourly cost (wages plus benefits). Based on the Commission’s average cost (wages plus benefits) for 2016, the Commission is using $74.50/hour.</w:t>
      </w:r>
      <w:r w:rsidR="0062041E" w:rsidRPr="0062041E">
        <w:rPr>
          <w:rFonts w:ascii="Times New Roman" w:hAnsi="Times New Roman"/>
          <w:sz w:val="26"/>
          <w:szCs w:val="26"/>
        </w:rPr>
        <w:t>”</w:t>
      </w:r>
    </w:p>
    <w:p w14:paraId="73EC353D" w14:textId="47C35554" w:rsidR="008D2F52" w:rsidRPr="0062041E" w:rsidRDefault="008D2F52" w:rsidP="008F34BA">
      <w:pPr>
        <w:pStyle w:val="FootnoteText"/>
        <w:rPr>
          <w:rFonts w:ascii="Times New Roman" w:hAnsi="Times New Roman"/>
          <w:sz w:val="26"/>
          <w:szCs w:val="26"/>
        </w:rPr>
      </w:pPr>
      <w:r>
        <w:rPr>
          <w:rFonts w:ascii="Times New Roman" w:hAnsi="Times New Roman"/>
          <w:sz w:val="26"/>
          <w:szCs w:val="26"/>
        </w:rPr>
        <w:t>The table is from the DOE NOPR.</w:t>
      </w:r>
    </w:p>
  </w:footnote>
  <w:footnote w:id="7">
    <w:p w14:paraId="4744D82F" w14:textId="64A105DA" w:rsidR="00A548F8" w:rsidRPr="0051296F" w:rsidRDefault="00A548F8" w:rsidP="00A548F8">
      <w:pPr>
        <w:pStyle w:val="FootnoteText"/>
        <w:rPr>
          <w:rFonts w:ascii="Times New Roman" w:hAnsi="Times New Roman" w:cs="Times New Roman"/>
          <w:sz w:val="26"/>
          <w:szCs w:val="26"/>
        </w:rPr>
      </w:pPr>
      <w:r w:rsidRPr="00A548F8">
        <w:rPr>
          <w:rStyle w:val="FootnoteReference"/>
          <w:rFonts w:ascii="Times New Roman" w:hAnsi="Times New Roman" w:cs="Times New Roman"/>
          <w:sz w:val="26"/>
          <w:szCs w:val="26"/>
        </w:rPr>
        <w:footnoteRef/>
      </w:r>
      <w:r w:rsidRPr="00A548F8">
        <w:rPr>
          <w:rFonts w:ascii="Times New Roman" w:hAnsi="Times New Roman" w:cs="Times New Roman"/>
          <w:sz w:val="26"/>
          <w:szCs w:val="26"/>
        </w:rPr>
        <w:t xml:space="preserve"> The total number of responses i</w:t>
      </w:r>
      <w:r w:rsidR="00505F9A">
        <w:rPr>
          <w:rFonts w:ascii="Times New Roman" w:hAnsi="Times New Roman" w:cs="Times New Roman"/>
          <w:sz w:val="26"/>
          <w:szCs w:val="26"/>
        </w:rPr>
        <w:t>s</w:t>
      </w:r>
      <w:r w:rsidRPr="00A548F8">
        <w:rPr>
          <w:rFonts w:ascii="Times New Roman" w:hAnsi="Times New Roman" w:cs="Times New Roman"/>
          <w:sz w:val="26"/>
          <w:szCs w:val="26"/>
        </w:rPr>
        <w:t xml:space="preserve"> not given in the table in the DOE NOPR</w:t>
      </w:r>
      <w:r>
        <w:rPr>
          <w:rFonts w:ascii="Times New Roman" w:hAnsi="Times New Roman" w:cs="Times New Roman"/>
          <w:sz w:val="26"/>
          <w:szCs w:val="26"/>
        </w:rPr>
        <w:t>, however i</w:t>
      </w:r>
      <w:r w:rsidRPr="00A548F8">
        <w:rPr>
          <w:rFonts w:ascii="Times New Roman" w:hAnsi="Times New Roman" w:cs="Times New Roman"/>
          <w:sz w:val="26"/>
          <w:szCs w:val="26"/>
        </w:rPr>
        <w:t xml:space="preserve">t states there will be 6 </w:t>
      </w:r>
      <w:r w:rsidRPr="00505F9A">
        <w:rPr>
          <w:rFonts w:ascii="Times New Roman" w:hAnsi="Times New Roman" w:cs="Times New Roman"/>
          <w:sz w:val="26"/>
          <w:szCs w:val="26"/>
        </w:rPr>
        <w:t>responses for ‘Tariff filing costs’ and 6 responses for ‘Implementation costs’.</w:t>
      </w:r>
      <w:r w:rsidR="0095118B" w:rsidRPr="00505F9A">
        <w:rPr>
          <w:rFonts w:ascii="Times New Roman" w:hAnsi="Times New Roman" w:cs="Times New Roman"/>
          <w:sz w:val="26"/>
          <w:szCs w:val="26"/>
        </w:rPr>
        <w:t xml:space="preserve">  For </w:t>
      </w:r>
      <w:r w:rsidR="00712A3E">
        <w:rPr>
          <w:rFonts w:ascii="Times New Roman" w:hAnsi="Times New Roman" w:cs="Times New Roman"/>
          <w:sz w:val="26"/>
          <w:szCs w:val="26"/>
        </w:rPr>
        <w:t xml:space="preserve">the purposes of </w:t>
      </w:r>
      <w:r w:rsidR="0095118B" w:rsidRPr="00505F9A">
        <w:rPr>
          <w:rFonts w:ascii="Times New Roman" w:hAnsi="Times New Roman" w:cs="Times New Roman"/>
          <w:sz w:val="26"/>
          <w:szCs w:val="26"/>
        </w:rPr>
        <w:t xml:space="preserve">reginfo.gov and ROCIS, FERC will count this as a total of </w:t>
      </w:r>
      <w:r w:rsidR="0095118B" w:rsidRPr="0051296F">
        <w:rPr>
          <w:rFonts w:ascii="Times New Roman" w:hAnsi="Times New Roman" w:cs="Times New Roman"/>
          <w:sz w:val="26"/>
          <w:szCs w:val="26"/>
        </w:rPr>
        <w:t>12 responses (2 each) for the 6 respondents.</w:t>
      </w:r>
    </w:p>
  </w:footnote>
  <w:footnote w:id="8">
    <w:p w14:paraId="46315030" w14:textId="2E718804" w:rsidR="0002356E" w:rsidRPr="0002356E" w:rsidRDefault="0002356E">
      <w:pPr>
        <w:pStyle w:val="FootnoteText"/>
        <w:rPr>
          <w:rFonts w:ascii="Times New Roman" w:hAnsi="Times New Roman" w:cs="Times New Roman"/>
          <w:sz w:val="26"/>
          <w:szCs w:val="26"/>
        </w:rPr>
      </w:pPr>
      <w:r w:rsidRPr="0051296F">
        <w:rPr>
          <w:rStyle w:val="FootnoteReference"/>
          <w:rFonts w:ascii="Times New Roman" w:hAnsi="Times New Roman" w:cs="Times New Roman"/>
          <w:sz w:val="26"/>
          <w:szCs w:val="26"/>
        </w:rPr>
        <w:footnoteRef/>
      </w:r>
      <w:r w:rsidRPr="0051296F">
        <w:rPr>
          <w:rFonts w:ascii="Times New Roman" w:hAnsi="Times New Roman" w:cs="Times New Roman"/>
          <w:sz w:val="26"/>
          <w:szCs w:val="26"/>
        </w:rPr>
        <w:t xml:space="preserve"> The DOE NOPR does not </w:t>
      </w:r>
      <w:r w:rsidR="0095118B" w:rsidRPr="0051296F">
        <w:rPr>
          <w:rFonts w:ascii="Times New Roman" w:hAnsi="Times New Roman" w:cs="Times New Roman"/>
          <w:sz w:val="26"/>
          <w:szCs w:val="26"/>
        </w:rPr>
        <w:t>address this issue.</w:t>
      </w:r>
      <w:r w:rsidR="00C03A8D" w:rsidRPr="0051296F">
        <w:rPr>
          <w:rFonts w:ascii="Times New Roman" w:hAnsi="Times New Roman" w:cs="Times New Roman"/>
          <w:sz w:val="26"/>
          <w:szCs w:val="26"/>
        </w:rPr>
        <w:t xml:space="preserve">  “Implementation costs” </w:t>
      </w:r>
      <w:r w:rsidR="004E1699" w:rsidRPr="0051296F">
        <w:rPr>
          <w:rFonts w:ascii="Times New Roman" w:hAnsi="Times New Roman" w:cs="Times New Roman"/>
          <w:sz w:val="26"/>
          <w:szCs w:val="26"/>
        </w:rPr>
        <w:t>are included in the DOE burden table</w:t>
      </w:r>
      <w:r w:rsidR="00C03A8D" w:rsidRPr="0051296F">
        <w:rPr>
          <w:rFonts w:ascii="Times New Roman" w:hAnsi="Times New Roman" w:cs="Times New Roman"/>
          <w:sz w:val="26"/>
          <w:szCs w:val="26"/>
        </w:rPr>
        <w:t xml:space="preserve"> </w:t>
      </w:r>
      <w:r w:rsidR="004E1699" w:rsidRPr="0051296F">
        <w:rPr>
          <w:rFonts w:ascii="Times New Roman" w:hAnsi="Times New Roman" w:cs="Times New Roman"/>
          <w:sz w:val="26"/>
          <w:szCs w:val="26"/>
        </w:rPr>
        <w:t xml:space="preserve">and appear to be </w:t>
      </w:r>
      <w:r w:rsidR="00C03A8D" w:rsidRPr="0051296F">
        <w:rPr>
          <w:rFonts w:ascii="Times New Roman" w:hAnsi="Times New Roman" w:cs="Times New Roman"/>
          <w:sz w:val="26"/>
          <w:szCs w:val="26"/>
        </w:rPr>
        <w:t>only burden hours</w:t>
      </w:r>
      <w:r w:rsidR="004E1699" w:rsidRPr="0051296F">
        <w:rPr>
          <w:rFonts w:ascii="Times New Roman" w:hAnsi="Times New Roman" w:cs="Times New Roman"/>
          <w:sz w:val="26"/>
          <w:szCs w:val="26"/>
        </w:rPr>
        <w:t>, so the “Annual cost burden” [not related to burden</w:t>
      </w:r>
      <w:r w:rsidR="0051296F">
        <w:rPr>
          <w:rFonts w:ascii="Times New Roman" w:hAnsi="Times New Roman" w:cs="Times New Roman"/>
          <w:sz w:val="26"/>
          <w:szCs w:val="26"/>
        </w:rPr>
        <w:t xml:space="preserve"> hours</w:t>
      </w:r>
      <w:r w:rsidR="004E1699" w:rsidRPr="0051296F">
        <w:rPr>
          <w:rFonts w:ascii="Times New Roman" w:hAnsi="Times New Roman" w:cs="Times New Roman"/>
          <w:sz w:val="26"/>
          <w:szCs w:val="26"/>
        </w:rPr>
        <w:t xml:space="preserve">] is </w:t>
      </w:r>
      <w:r w:rsidR="0051296F">
        <w:rPr>
          <w:rFonts w:ascii="Times New Roman" w:hAnsi="Times New Roman" w:cs="Times New Roman"/>
          <w:sz w:val="26"/>
          <w:szCs w:val="26"/>
        </w:rPr>
        <w:t xml:space="preserve">listed as </w:t>
      </w:r>
      <w:r w:rsidR="004E1699" w:rsidRPr="0051296F">
        <w:rPr>
          <w:rFonts w:ascii="Times New Roman" w:hAnsi="Times New Roman" w:cs="Times New Roman"/>
          <w:sz w:val="26"/>
          <w:szCs w:val="26"/>
        </w:rPr>
        <w:t>$0</w:t>
      </w:r>
      <w:r w:rsidR="0051296F">
        <w:rPr>
          <w:rFonts w:ascii="Times New Roman" w:hAnsi="Times New Roman" w:cs="Times New Roman"/>
          <w:sz w:val="26"/>
          <w:szCs w:val="26"/>
        </w:rPr>
        <w:t xml:space="preserve"> here</w:t>
      </w:r>
      <w:r w:rsidR="004E1699" w:rsidRPr="0051296F">
        <w:rPr>
          <w:rFonts w:ascii="Times New Roman" w:hAnsi="Times New Roman" w:cs="Times New Roman"/>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FDFD7" w14:textId="77777777" w:rsidR="002603CF" w:rsidRDefault="001A22EE" w:rsidP="00B015F3">
    <w:pPr>
      <w:pStyle w:val="Header"/>
      <w:rPr>
        <w:rFonts w:ascii="Times New Roman" w:hAnsi="Times New Roman" w:cs="Times New Roman"/>
      </w:rPr>
    </w:pPr>
    <w:r w:rsidRPr="00704BDC">
      <w:rPr>
        <w:rFonts w:ascii="Times New Roman" w:hAnsi="Times New Roman" w:cs="Times New Roman"/>
      </w:rPr>
      <w:t xml:space="preserve">DOE NOPR in </w:t>
    </w:r>
    <w:r w:rsidR="00704BDC" w:rsidRPr="00704BDC">
      <w:rPr>
        <w:rFonts w:ascii="Times New Roman" w:hAnsi="Times New Roman" w:cs="Times New Roman"/>
      </w:rPr>
      <w:t xml:space="preserve">FERC </w:t>
    </w:r>
    <w:r w:rsidRPr="00704BDC">
      <w:rPr>
        <w:rFonts w:ascii="Times New Roman" w:hAnsi="Times New Roman" w:cs="Times New Roman"/>
      </w:rPr>
      <w:t xml:space="preserve">Docket No. RM18-1 (published in Fed. Reg. </w:t>
    </w:r>
    <w:r w:rsidR="00C31684">
      <w:rPr>
        <w:rFonts w:ascii="Times New Roman" w:hAnsi="Times New Roman" w:cs="Times New Roman"/>
      </w:rPr>
      <w:t xml:space="preserve">on </w:t>
    </w:r>
    <w:r w:rsidRPr="00704BDC">
      <w:rPr>
        <w:rFonts w:ascii="Times New Roman" w:hAnsi="Times New Roman" w:cs="Times New Roman"/>
      </w:rPr>
      <w:t>10/10/2017)</w:t>
    </w:r>
  </w:p>
  <w:p w14:paraId="2BC8989E" w14:textId="0F9A51DE" w:rsidR="00B015F3" w:rsidRPr="00704BDC" w:rsidRDefault="002603CF" w:rsidP="00B015F3">
    <w:pPr>
      <w:pStyle w:val="Header"/>
      <w:rPr>
        <w:rFonts w:ascii="Times New Roman" w:hAnsi="Times New Roman" w:cs="Times New Roman"/>
      </w:rPr>
    </w:pPr>
    <w:r>
      <w:rPr>
        <w:rFonts w:ascii="Times New Roman" w:hAnsi="Times New Roman" w:cs="Times New Roman"/>
      </w:rPr>
      <w:t>(RIN</w:t>
    </w:r>
    <w:r w:rsidR="00B015F3" w:rsidRPr="00704BDC">
      <w:rPr>
        <w:rFonts w:ascii="Times New Roman" w:hAnsi="Times New Roman" w:cs="Times New Roman"/>
      </w:rPr>
      <w:t xml:space="preserve"> </w:t>
    </w:r>
    <w:r w:rsidRPr="002603CF">
      <w:rPr>
        <w:rFonts w:ascii="Times New Roman" w:hAnsi="Times New Roman" w:cs="Times New Roman"/>
      </w:rPr>
      <w:t>1902-AF43</w:t>
    </w:r>
    <w:r>
      <w:rPr>
        <w:rFonts w:ascii="Times New Roman" w:hAnsi="Times New Roman" w:cs="Times New Roman"/>
      </w:rPr>
      <w:t>)</w:t>
    </w:r>
  </w:p>
  <w:p w14:paraId="5ABA9729" w14:textId="7825DF61" w:rsidR="001A22EE" w:rsidRDefault="00704BDC">
    <w:pPr>
      <w:pStyle w:val="Header"/>
      <w:rPr>
        <w:rFonts w:ascii="Times New Roman" w:hAnsi="Times New Roman" w:cs="Times New Roman"/>
      </w:rPr>
    </w:pPr>
    <w:r w:rsidRPr="00704BDC">
      <w:rPr>
        <w:rFonts w:ascii="Times New Roman" w:hAnsi="Times New Roman" w:cs="Times New Roman"/>
      </w:rPr>
      <w:t xml:space="preserve">Proposed </w:t>
    </w:r>
    <w:r w:rsidR="00B015F3" w:rsidRPr="00704BDC">
      <w:rPr>
        <w:rFonts w:ascii="Times New Roman" w:hAnsi="Times New Roman" w:cs="Times New Roman"/>
      </w:rPr>
      <w:t>FERC-</w:t>
    </w:r>
    <w:r w:rsidR="00E64AA5" w:rsidRPr="00704BDC">
      <w:rPr>
        <w:rFonts w:ascii="Times New Roman" w:hAnsi="Times New Roman" w:cs="Times New Roman"/>
      </w:rPr>
      <w:t>599</w:t>
    </w:r>
    <w:r w:rsidR="00C31684">
      <w:rPr>
        <w:rFonts w:ascii="Times New Roman" w:hAnsi="Times New Roman" w:cs="Times New Roman"/>
      </w:rPr>
      <w:t xml:space="preserve"> (OMB Control No.: </w:t>
    </w:r>
    <w:r w:rsidR="00B015F3" w:rsidRPr="00704BDC">
      <w:rPr>
        <w:rFonts w:ascii="Times New Roman" w:hAnsi="Times New Roman" w:cs="Times New Roman"/>
      </w:rPr>
      <w:t>TBD)</w:t>
    </w:r>
  </w:p>
  <w:p w14:paraId="6CDB9419" w14:textId="77777777" w:rsidR="00B015F3" w:rsidRDefault="00B015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18E"/>
    <w:multiLevelType w:val="hybridMultilevel"/>
    <w:tmpl w:val="A6E2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B112F"/>
    <w:multiLevelType w:val="hybridMultilevel"/>
    <w:tmpl w:val="57D6463E"/>
    <w:lvl w:ilvl="0" w:tplc="6FB013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96117"/>
    <w:multiLevelType w:val="hybridMultilevel"/>
    <w:tmpl w:val="33D4B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F0DEA"/>
    <w:multiLevelType w:val="hybridMultilevel"/>
    <w:tmpl w:val="1AB4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EF516B"/>
    <w:multiLevelType w:val="hybridMultilevel"/>
    <w:tmpl w:val="F90CC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A72F7"/>
    <w:multiLevelType w:val="hybridMultilevel"/>
    <w:tmpl w:val="5596ABA0"/>
    <w:lvl w:ilvl="0" w:tplc="8078E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77FA5"/>
    <w:multiLevelType w:val="hybridMultilevel"/>
    <w:tmpl w:val="B4B4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CD487E"/>
    <w:multiLevelType w:val="hybridMultilevel"/>
    <w:tmpl w:val="C0C8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C1895"/>
    <w:multiLevelType w:val="hybridMultilevel"/>
    <w:tmpl w:val="40CA1A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191363"/>
    <w:multiLevelType w:val="hybridMultilevel"/>
    <w:tmpl w:val="6756C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200EA"/>
    <w:multiLevelType w:val="hybridMultilevel"/>
    <w:tmpl w:val="75326C6A"/>
    <w:lvl w:ilvl="0" w:tplc="5276128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4"/>
  </w:num>
  <w:num w:numId="5">
    <w:abstractNumId w:val="2"/>
  </w:num>
  <w:num w:numId="6">
    <w:abstractNumId w:val="1"/>
  </w:num>
  <w:num w:numId="7">
    <w:abstractNumId w:val="7"/>
  </w:num>
  <w:num w:numId="8">
    <w:abstractNumId w:val="10"/>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52"/>
    <w:rsid w:val="00003CBA"/>
    <w:rsid w:val="00003D23"/>
    <w:rsid w:val="00006D40"/>
    <w:rsid w:val="00010E64"/>
    <w:rsid w:val="0002356E"/>
    <w:rsid w:val="00025933"/>
    <w:rsid w:val="00025DA7"/>
    <w:rsid w:val="000324A0"/>
    <w:rsid w:val="000372DF"/>
    <w:rsid w:val="00041C06"/>
    <w:rsid w:val="0004205E"/>
    <w:rsid w:val="000423B6"/>
    <w:rsid w:val="0004696C"/>
    <w:rsid w:val="000613F3"/>
    <w:rsid w:val="00061C67"/>
    <w:rsid w:val="00065B39"/>
    <w:rsid w:val="000709DB"/>
    <w:rsid w:val="00072A11"/>
    <w:rsid w:val="000834B0"/>
    <w:rsid w:val="00084B0E"/>
    <w:rsid w:val="00084D64"/>
    <w:rsid w:val="000859F1"/>
    <w:rsid w:val="0009215A"/>
    <w:rsid w:val="000A591A"/>
    <w:rsid w:val="000C536D"/>
    <w:rsid w:val="000E00AB"/>
    <w:rsid w:val="000E0616"/>
    <w:rsid w:val="000E7F11"/>
    <w:rsid w:val="000F2AD2"/>
    <w:rsid w:val="000F5015"/>
    <w:rsid w:val="0010056D"/>
    <w:rsid w:val="00106429"/>
    <w:rsid w:val="00107FE3"/>
    <w:rsid w:val="00113BF7"/>
    <w:rsid w:val="00131018"/>
    <w:rsid w:val="001406E8"/>
    <w:rsid w:val="001456E0"/>
    <w:rsid w:val="001471C3"/>
    <w:rsid w:val="00151D52"/>
    <w:rsid w:val="00153C38"/>
    <w:rsid w:val="001655BC"/>
    <w:rsid w:val="0017343B"/>
    <w:rsid w:val="00173CA3"/>
    <w:rsid w:val="00174731"/>
    <w:rsid w:val="00180C80"/>
    <w:rsid w:val="0018168B"/>
    <w:rsid w:val="001828DB"/>
    <w:rsid w:val="00193DD3"/>
    <w:rsid w:val="001958C9"/>
    <w:rsid w:val="001A22EE"/>
    <w:rsid w:val="001A45E9"/>
    <w:rsid w:val="001C4DBD"/>
    <w:rsid w:val="001D013F"/>
    <w:rsid w:val="001D05F1"/>
    <w:rsid w:val="001D5491"/>
    <w:rsid w:val="001E2C9E"/>
    <w:rsid w:val="001F2E34"/>
    <w:rsid w:val="00200821"/>
    <w:rsid w:val="00202F6A"/>
    <w:rsid w:val="00212062"/>
    <w:rsid w:val="00216041"/>
    <w:rsid w:val="002266EE"/>
    <w:rsid w:val="00234926"/>
    <w:rsid w:val="0025149C"/>
    <w:rsid w:val="00251D2F"/>
    <w:rsid w:val="00257DDE"/>
    <w:rsid w:val="002603CF"/>
    <w:rsid w:val="0026551F"/>
    <w:rsid w:val="0027289A"/>
    <w:rsid w:val="00275A35"/>
    <w:rsid w:val="00276B64"/>
    <w:rsid w:val="00290B24"/>
    <w:rsid w:val="002915A0"/>
    <w:rsid w:val="00291831"/>
    <w:rsid w:val="002A2CE4"/>
    <w:rsid w:val="002A3F49"/>
    <w:rsid w:val="002A5D8F"/>
    <w:rsid w:val="002D4353"/>
    <w:rsid w:val="002E33C0"/>
    <w:rsid w:val="002E66B1"/>
    <w:rsid w:val="002F6D37"/>
    <w:rsid w:val="00310012"/>
    <w:rsid w:val="00331AD5"/>
    <w:rsid w:val="0034254D"/>
    <w:rsid w:val="003430FD"/>
    <w:rsid w:val="0034658D"/>
    <w:rsid w:val="003559B6"/>
    <w:rsid w:val="003717AE"/>
    <w:rsid w:val="00374037"/>
    <w:rsid w:val="00383000"/>
    <w:rsid w:val="003873C1"/>
    <w:rsid w:val="0039121A"/>
    <w:rsid w:val="003929CA"/>
    <w:rsid w:val="0039690F"/>
    <w:rsid w:val="003B1BCD"/>
    <w:rsid w:val="003B35FB"/>
    <w:rsid w:val="003B5B94"/>
    <w:rsid w:val="003C24E7"/>
    <w:rsid w:val="003D155C"/>
    <w:rsid w:val="003E5E13"/>
    <w:rsid w:val="003E5EEF"/>
    <w:rsid w:val="003F332D"/>
    <w:rsid w:val="003F4EAD"/>
    <w:rsid w:val="003F5C55"/>
    <w:rsid w:val="00402E20"/>
    <w:rsid w:val="004109FB"/>
    <w:rsid w:val="0041366C"/>
    <w:rsid w:val="00414633"/>
    <w:rsid w:val="00414A65"/>
    <w:rsid w:val="0041562E"/>
    <w:rsid w:val="00423A8A"/>
    <w:rsid w:val="00440794"/>
    <w:rsid w:val="00446D30"/>
    <w:rsid w:val="00462A10"/>
    <w:rsid w:val="00480B05"/>
    <w:rsid w:val="00482045"/>
    <w:rsid w:val="00485AD4"/>
    <w:rsid w:val="00486FCB"/>
    <w:rsid w:val="004B2BA6"/>
    <w:rsid w:val="004B34D3"/>
    <w:rsid w:val="004B5777"/>
    <w:rsid w:val="004B672D"/>
    <w:rsid w:val="004C6FA2"/>
    <w:rsid w:val="004D19FE"/>
    <w:rsid w:val="004D3662"/>
    <w:rsid w:val="004D6FB0"/>
    <w:rsid w:val="004E1699"/>
    <w:rsid w:val="004F0011"/>
    <w:rsid w:val="00500ADC"/>
    <w:rsid w:val="00500F38"/>
    <w:rsid w:val="00505F9A"/>
    <w:rsid w:val="0050760B"/>
    <w:rsid w:val="00512461"/>
    <w:rsid w:val="0051296F"/>
    <w:rsid w:val="00514422"/>
    <w:rsid w:val="00514E74"/>
    <w:rsid w:val="00521CDF"/>
    <w:rsid w:val="005220FB"/>
    <w:rsid w:val="00522DF5"/>
    <w:rsid w:val="00526F0F"/>
    <w:rsid w:val="00531D7B"/>
    <w:rsid w:val="0055072C"/>
    <w:rsid w:val="005507BF"/>
    <w:rsid w:val="0055646B"/>
    <w:rsid w:val="005615F6"/>
    <w:rsid w:val="0056714D"/>
    <w:rsid w:val="0056736B"/>
    <w:rsid w:val="005823A1"/>
    <w:rsid w:val="005931D3"/>
    <w:rsid w:val="00595098"/>
    <w:rsid w:val="005A36D1"/>
    <w:rsid w:val="005A74FD"/>
    <w:rsid w:val="005B1CAF"/>
    <w:rsid w:val="005B48E1"/>
    <w:rsid w:val="005B5823"/>
    <w:rsid w:val="005B5C70"/>
    <w:rsid w:val="005C3A8B"/>
    <w:rsid w:val="005E1D42"/>
    <w:rsid w:val="005E3062"/>
    <w:rsid w:val="005E3384"/>
    <w:rsid w:val="005E4E66"/>
    <w:rsid w:val="005F67EF"/>
    <w:rsid w:val="00600608"/>
    <w:rsid w:val="006017AA"/>
    <w:rsid w:val="00605D47"/>
    <w:rsid w:val="00607D4B"/>
    <w:rsid w:val="0061198F"/>
    <w:rsid w:val="0061331A"/>
    <w:rsid w:val="006141B2"/>
    <w:rsid w:val="00616435"/>
    <w:rsid w:val="0062041E"/>
    <w:rsid w:val="00625FF2"/>
    <w:rsid w:val="0063050E"/>
    <w:rsid w:val="0063273B"/>
    <w:rsid w:val="00633026"/>
    <w:rsid w:val="00645C27"/>
    <w:rsid w:val="00652064"/>
    <w:rsid w:val="006520D7"/>
    <w:rsid w:val="006520EB"/>
    <w:rsid w:val="00653144"/>
    <w:rsid w:val="00661359"/>
    <w:rsid w:val="00666111"/>
    <w:rsid w:val="00667E68"/>
    <w:rsid w:val="006731D3"/>
    <w:rsid w:val="0068059A"/>
    <w:rsid w:val="00680D17"/>
    <w:rsid w:val="00681988"/>
    <w:rsid w:val="00682FFA"/>
    <w:rsid w:val="0069063E"/>
    <w:rsid w:val="00693562"/>
    <w:rsid w:val="00695052"/>
    <w:rsid w:val="00697A38"/>
    <w:rsid w:val="006A4975"/>
    <w:rsid w:val="006A7B98"/>
    <w:rsid w:val="006C06C7"/>
    <w:rsid w:val="006C36FE"/>
    <w:rsid w:val="006C7EA9"/>
    <w:rsid w:val="006E1455"/>
    <w:rsid w:val="006E260E"/>
    <w:rsid w:val="00702E4D"/>
    <w:rsid w:val="00704BDC"/>
    <w:rsid w:val="00712A3E"/>
    <w:rsid w:val="00712A47"/>
    <w:rsid w:val="0071780D"/>
    <w:rsid w:val="00717D05"/>
    <w:rsid w:val="007366E8"/>
    <w:rsid w:val="0074134B"/>
    <w:rsid w:val="00741479"/>
    <w:rsid w:val="0074201D"/>
    <w:rsid w:val="00745D0A"/>
    <w:rsid w:val="007501E6"/>
    <w:rsid w:val="0075069E"/>
    <w:rsid w:val="007732AE"/>
    <w:rsid w:val="00781278"/>
    <w:rsid w:val="00786530"/>
    <w:rsid w:val="0078771E"/>
    <w:rsid w:val="00791302"/>
    <w:rsid w:val="0079510F"/>
    <w:rsid w:val="00795CA6"/>
    <w:rsid w:val="007A3197"/>
    <w:rsid w:val="007D067C"/>
    <w:rsid w:val="007D47AD"/>
    <w:rsid w:val="007D4839"/>
    <w:rsid w:val="007D56B1"/>
    <w:rsid w:val="007D6F51"/>
    <w:rsid w:val="007E6ECC"/>
    <w:rsid w:val="007E7628"/>
    <w:rsid w:val="008010D7"/>
    <w:rsid w:val="008020B8"/>
    <w:rsid w:val="008028D8"/>
    <w:rsid w:val="008069FD"/>
    <w:rsid w:val="0081615C"/>
    <w:rsid w:val="008207E3"/>
    <w:rsid w:val="00823500"/>
    <w:rsid w:val="008311DA"/>
    <w:rsid w:val="00837C96"/>
    <w:rsid w:val="00854515"/>
    <w:rsid w:val="008815BF"/>
    <w:rsid w:val="008913B6"/>
    <w:rsid w:val="00892CB6"/>
    <w:rsid w:val="008931E8"/>
    <w:rsid w:val="0089611C"/>
    <w:rsid w:val="008A2621"/>
    <w:rsid w:val="008A35C5"/>
    <w:rsid w:val="008A3629"/>
    <w:rsid w:val="008C3CC9"/>
    <w:rsid w:val="008D2264"/>
    <w:rsid w:val="008D2F52"/>
    <w:rsid w:val="008D3803"/>
    <w:rsid w:val="008D5565"/>
    <w:rsid w:val="008E3997"/>
    <w:rsid w:val="008E449E"/>
    <w:rsid w:val="008F18D3"/>
    <w:rsid w:val="008F34BA"/>
    <w:rsid w:val="00905360"/>
    <w:rsid w:val="00906AD9"/>
    <w:rsid w:val="0091117A"/>
    <w:rsid w:val="00911A90"/>
    <w:rsid w:val="00912901"/>
    <w:rsid w:val="00920096"/>
    <w:rsid w:val="009217CE"/>
    <w:rsid w:val="0092703A"/>
    <w:rsid w:val="0093087A"/>
    <w:rsid w:val="0093400A"/>
    <w:rsid w:val="00935097"/>
    <w:rsid w:val="00940298"/>
    <w:rsid w:val="0095118B"/>
    <w:rsid w:val="0095194D"/>
    <w:rsid w:val="00954BD4"/>
    <w:rsid w:val="00957C6A"/>
    <w:rsid w:val="00976E64"/>
    <w:rsid w:val="009845B3"/>
    <w:rsid w:val="009853F0"/>
    <w:rsid w:val="00992C61"/>
    <w:rsid w:val="00993963"/>
    <w:rsid w:val="009A1707"/>
    <w:rsid w:val="009A6AB0"/>
    <w:rsid w:val="009B4340"/>
    <w:rsid w:val="009B6733"/>
    <w:rsid w:val="009B6E77"/>
    <w:rsid w:val="009B7AF0"/>
    <w:rsid w:val="009D3F62"/>
    <w:rsid w:val="009D53E5"/>
    <w:rsid w:val="009E5169"/>
    <w:rsid w:val="009E52BB"/>
    <w:rsid w:val="009E603B"/>
    <w:rsid w:val="009F7C83"/>
    <w:rsid w:val="00A075FE"/>
    <w:rsid w:val="00A12F2C"/>
    <w:rsid w:val="00A13632"/>
    <w:rsid w:val="00A16110"/>
    <w:rsid w:val="00A20379"/>
    <w:rsid w:val="00A22F28"/>
    <w:rsid w:val="00A23819"/>
    <w:rsid w:val="00A30C94"/>
    <w:rsid w:val="00A3391C"/>
    <w:rsid w:val="00A34062"/>
    <w:rsid w:val="00A37249"/>
    <w:rsid w:val="00A40476"/>
    <w:rsid w:val="00A548F8"/>
    <w:rsid w:val="00A60B4B"/>
    <w:rsid w:val="00A736E5"/>
    <w:rsid w:val="00A75432"/>
    <w:rsid w:val="00A7648E"/>
    <w:rsid w:val="00A80035"/>
    <w:rsid w:val="00A8314B"/>
    <w:rsid w:val="00A9047A"/>
    <w:rsid w:val="00A90D99"/>
    <w:rsid w:val="00A9443A"/>
    <w:rsid w:val="00A96220"/>
    <w:rsid w:val="00A97DBB"/>
    <w:rsid w:val="00AA5EAF"/>
    <w:rsid w:val="00AC7CFF"/>
    <w:rsid w:val="00AD069C"/>
    <w:rsid w:val="00AD17C5"/>
    <w:rsid w:val="00AD24BB"/>
    <w:rsid w:val="00AE2D32"/>
    <w:rsid w:val="00AE6412"/>
    <w:rsid w:val="00AF12FF"/>
    <w:rsid w:val="00AF22D6"/>
    <w:rsid w:val="00AF7DE1"/>
    <w:rsid w:val="00B015F3"/>
    <w:rsid w:val="00B06D37"/>
    <w:rsid w:val="00B12E95"/>
    <w:rsid w:val="00B238F7"/>
    <w:rsid w:val="00B26DAC"/>
    <w:rsid w:val="00B3164D"/>
    <w:rsid w:val="00B33B69"/>
    <w:rsid w:val="00B362E6"/>
    <w:rsid w:val="00B37416"/>
    <w:rsid w:val="00B43BF0"/>
    <w:rsid w:val="00B445D3"/>
    <w:rsid w:val="00B65EFA"/>
    <w:rsid w:val="00B70188"/>
    <w:rsid w:val="00B731E2"/>
    <w:rsid w:val="00B743D5"/>
    <w:rsid w:val="00B85067"/>
    <w:rsid w:val="00B85CB5"/>
    <w:rsid w:val="00B9657B"/>
    <w:rsid w:val="00B9793A"/>
    <w:rsid w:val="00B97BA9"/>
    <w:rsid w:val="00BA5FE4"/>
    <w:rsid w:val="00BA760A"/>
    <w:rsid w:val="00BA79A9"/>
    <w:rsid w:val="00BB12F3"/>
    <w:rsid w:val="00BB19E6"/>
    <w:rsid w:val="00BC1050"/>
    <w:rsid w:val="00BC6EAB"/>
    <w:rsid w:val="00BD1957"/>
    <w:rsid w:val="00BD308A"/>
    <w:rsid w:val="00BD4D7C"/>
    <w:rsid w:val="00BD4F19"/>
    <w:rsid w:val="00BD6277"/>
    <w:rsid w:val="00BE1E08"/>
    <w:rsid w:val="00BF0716"/>
    <w:rsid w:val="00C03A8D"/>
    <w:rsid w:val="00C11352"/>
    <w:rsid w:val="00C150B8"/>
    <w:rsid w:val="00C1747B"/>
    <w:rsid w:val="00C20ADC"/>
    <w:rsid w:val="00C30C52"/>
    <w:rsid w:val="00C31684"/>
    <w:rsid w:val="00C32003"/>
    <w:rsid w:val="00C33F93"/>
    <w:rsid w:val="00C41997"/>
    <w:rsid w:val="00C41C11"/>
    <w:rsid w:val="00C42285"/>
    <w:rsid w:val="00C52297"/>
    <w:rsid w:val="00C55D90"/>
    <w:rsid w:val="00C60101"/>
    <w:rsid w:val="00C61981"/>
    <w:rsid w:val="00C70581"/>
    <w:rsid w:val="00C744DC"/>
    <w:rsid w:val="00C75FE6"/>
    <w:rsid w:val="00C766A9"/>
    <w:rsid w:val="00C7706F"/>
    <w:rsid w:val="00C77FD2"/>
    <w:rsid w:val="00C81035"/>
    <w:rsid w:val="00C84C4D"/>
    <w:rsid w:val="00C92AFD"/>
    <w:rsid w:val="00C9474D"/>
    <w:rsid w:val="00C951E1"/>
    <w:rsid w:val="00CB1F17"/>
    <w:rsid w:val="00CB307C"/>
    <w:rsid w:val="00CB405B"/>
    <w:rsid w:val="00CB590D"/>
    <w:rsid w:val="00CC1FB6"/>
    <w:rsid w:val="00CC26F4"/>
    <w:rsid w:val="00CD3148"/>
    <w:rsid w:val="00CD6998"/>
    <w:rsid w:val="00CE1BEE"/>
    <w:rsid w:val="00CE4D95"/>
    <w:rsid w:val="00CE6469"/>
    <w:rsid w:val="00CE7F81"/>
    <w:rsid w:val="00CF0EED"/>
    <w:rsid w:val="00CF210D"/>
    <w:rsid w:val="00CF3CC1"/>
    <w:rsid w:val="00CF5641"/>
    <w:rsid w:val="00CF5E63"/>
    <w:rsid w:val="00CF6A32"/>
    <w:rsid w:val="00D01D40"/>
    <w:rsid w:val="00D05969"/>
    <w:rsid w:val="00D0606B"/>
    <w:rsid w:val="00D06E1A"/>
    <w:rsid w:val="00D1083A"/>
    <w:rsid w:val="00D1190C"/>
    <w:rsid w:val="00D12A88"/>
    <w:rsid w:val="00D2148B"/>
    <w:rsid w:val="00D45778"/>
    <w:rsid w:val="00D509C8"/>
    <w:rsid w:val="00D7345B"/>
    <w:rsid w:val="00D77493"/>
    <w:rsid w:val="00D808DB"/>
    <w:rsid w:val="00D832F1"/>
    <w:rsid w:val="00D8352A"/>
    <w:rsid w:val="00D870C5"/>
    <w:rsid w:val="00D8799B"/>
    <w:rsid w:val="00D968D3"/>
    <w:rsid w:val="00DB396E"/>
    <w:rsid w:val="00DC4FEB"/>
    <w:rsid w:val="00DD3F8B"/>
    <w:rsid w:val="00DE7A6F"/>
    <w:rsid w:val="00E062E3"/>
    <w:rsid w:val="00E12CC8"/>
    <w:rsid w:val="00E14E3A"/>
    <w:rsid w:val="00E27153"/>
    <w:rsid w:val="00E31054"/>
    <w:rsid w:val="00E448D4"/>
    <w:rsid w:val="00E50046"/>
    <w:rsid w:val="00E52490"/>
    <w:rsid w:val="00E52A6D"/>
    <w:rsid w:val="00E558FD"/>
    <w:rsid w:val="00E55E9B"/>
    <w:rsid w:val="00E64AA5"/>
    <w:rsid w:val="00E65AB7"/>
    <w:rsid w:val="00E9105E"/>
    <w:rsid w:val="00EA478E"/>
    <w:rsid w:val="00EA6710"/>
    <w:rsid w:val="00EB7C21"/>
    <w:rsid w:val="00EC32DA"/>
    <w:rsid w:val="00ED1F98"/>
    <w:rsid w:val="00ED5E4A"/>
    <w:rsid w:val="00ED7918"/>
    <w:rsid w:val="00EE26DC"/>
    <w:rsid w:val="00EE3324"/>
    <w:rsid w:val="00EF1468"/>
    <w:rsid w:val="00F00E11"/>
    <w:rsid w:val="00F048A4"/>
    <w:rsid w:val="00F058D7"/>
    <w:rsid w:val="00F139A1"/>
    <w:rsid w:val="00F153CC"/>
    <w:rsid w:val="00F162F1"/>
    <w:rsid w:val="00F33450"/>
    <w:rsid w:val="00F34B1F"/>
    <w:rsid w:val="00F3604E"/>
    <w:rsid w:val="00F3670E"/>
    <w:rsid w:val="00F4042A"/>
    <w:rsid w:val="00F46DE4"/>
    <w:rsid w:val="00F54AC7"/>
    <w:rsid w:val="00F55813"/>
    <w:rsid w:val="00F55D67"/>
    <w:rsid w:val="00F639DA"/>
    <w:rsid w:val="00F7106B"/>
    <w:rsid w:val="00F73920"/>
    <w:rsid w:val="00F82522"/>
    <w:rsid w:val="00F839D0"/>
    <w:rsid w:val="00F86595"/>
    <w:rsid w:val="00F87F85"/>
    <w:rsid w:val="00FA1984"/>
    <w:rsid w:val="00FA7855"/>
    <w:rsid w:val="00FB16FF"/>
    <w:rsid w:val="00FB7411"/>
    <w:rsid w:val="00FD2439"/>
    <w:rsid w:val="00FD7387"/>
    <w:rsid w:val="00FD7B9B"/>
    <w:rsid w:val="00FF2CDF"/>
    <w:rsid w:val="00FF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1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rsid w:val="00AC7CFF"/>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rsid w:val="00AC7CF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iPriority w:val="99"/>
    <w:unhideWhenUsed/>
    <w:qFormat/>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semiHidden/>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semiHidden/>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 w:type="character" w:styleId="FollowedHyperlink">
    <w:name w:val="FollowedHyperlink"/>
    <w:basedOn w:val="DefaultParagraphFont"/>
    <w:uiPriority w:val="99"/>
    <w:semiHidden/>
    <w:unhideWhenUsed/>
    <w:rsid w:val="003873C1"/>
    <w:rPr>
      <w:color w:val="954F72" w:themeColor="followedHyperlink"/>
      <w:u w:val="single"/>
    </w:rPr>
  </w:style>
  <w:style w:type="table" w:styleId="TableGrid">
    <w:name w:val="Table Grid"/>
    <w:basedOn w:val="TableNormal"/>
    <w:rsid w:val="008F34BA"/>
    <w:pPr>
      <w:spacing w:after="200" w:line="276"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rsid w:val="00AC7CFF"/>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rsid w:val="00AC7CF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iPriority w:val="99"/>
    <w:unhideWhenUsed/>
    <w:qFormat/>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semiHidden/>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semiHidden/>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 w:type="character" w:styleId="FollowedHyperlink">
    <w:name w:val="FollowedHyperlink"/>
    <w:basedOn w:val="DefaultParagraphFont"/>
    <w:uiPriority w:val="99"/>
    <w:semiHidden/>
    <w:unhideWhenUsed/>
    <w:rsid w:val="003873C1"/>
    <w:rPr>
      <w:color w:val="954F72" w:themeColor="followedHyperlink"/>
      <w:u w:val="single"/>
    </w:rPr>
  </w:style>
  <w:style w:type="table" w:styleId="TableGrid">
    <w:name w:val="Table Grid"/>
    <w:basedOn w:val="TableNormal"/>
    <w:rsid w:val="008F34BA"/>
    <w:pPr>
      <w:spacing w:after="200" w:line="276"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273198">
      <w:bodyDiv w:val="1"/>
      <w:marLeft w:val="0"/>
      <w:marRight w:val="0"/>
      <w:marTop w:val="0"/>
      <w:marBottom w:val="0"/>
      <w:divBdr>
        <w:top w:val="none" w:sz="0" w:space="0" w:color="auto"/>
        <w:left w:val="none" w:sz="0" w:space="0" w:color="auto"/>
        <w:bottom w:val="none" w:sz="0" w:space="0" w:color="auto"/>
        <w:right w:val="none" w:sz="0" w:space="0" w:color="auto"/>
      </w:divBdr>
    </w:div>
    <w:div w:id="12843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ergy.gov/articles/secretary-perry-urges-ferc-take-swift-action-address-threats-grid-resiliency" TargetMode="External"/><Relationship Id="rId7" Type="http://schemas.openxmlformats.org/officeDocument/2006/relationships/hyperlink" Target="https://elibrary.ferc.gov/idmws/common/opennat.asp?fileID=14708723" TargetMode="External"/><Relationship Id="rId2" Type="http://schemas.openxmlformats.org/officeDocument/2006/relationships/hyperlink" Target="https://elibrary.ferc.gov/idmws/common/opennat.asp?fileID=14695866" TargetMode="External"/><Relationship Id="rId1" Type="http://schemas.openxmlformats.org/officeDocument/2006/relationships/hyperlink" Target="https://www.gpo.gov/fdsys/pkg/FR-2017-10-10/pdf/2017-21396.pdf" TargetMode="External"/><Relationship Id="rId6" Type="http://schemas.openxmlformats.org/officeDocument/2006/relationships/hyperlink" Target="https://elibrary.ferc.gov/idmws/common/OpenNat.asp?fileID=14708739" TargetMode="External"/><Relationship Id="rId5" Type="http://schemas.openxmlformats.org/officeDocument/2006/relationships/hyperlink" Target="https://elibrary.ferc.gov/idmws/common/opennat.asp?fileID=14701841" TargetMode="External"/><Relationship Id="rId4" Type="http://schemas.openxmlformats.org/officeDocument/2006/relationships/hyperlink" Target="https://elibrary.ferc.gov/idmws/common/opennat.asp?fileID=14699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599</_x0031__x002e__x0020_Collection_x0020_Number>
    <Date xmlns="d6eefc7d-9817-4fa6-84d5-3bc009be21b8">2017-10-20T00:00:00-04:00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RM18-1</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A099F-435B-490F-A226-D8663367257E}">
  <ds:schemaRefs>
    <ds:schemaRef ds:uri="Microsoft.SharePoint.Taxonomy.ContentTypeSync"/>
  </ds:schemaRefs>
</ds:datastoreItem>
</file>

<file path=customXml/itemProps2.xml><?xml version="1.0" encoding="utf-8"?>
<ds:datastoreItem xmlns:ds="http://schemas.openxmlformats.org/officeDocument/2006/customXml" ds:itemID="{70C7CDA6-020A-4520-A5DC-4976732E1D1F}">
  <ds:schemaRefs>
    <ds:schemaRef ds:uri="http://schemas.microsoft.com/sharepoint/v3/contenttype/forms"/>
  </ds:schemaRefs>
</ds:datastoreItem>
</file>

<file path=customXml/itemProps3.xml><?xml version="1.0" encoding="utf-8"?>
<ds:datastoreItem xmlns:ds="http://schemas.openxmlformats.org/officeDocument/2006/customXml" ds:itemID="{993003B1-72A0-4286-A676-D2352FDC1D92}">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http://purl.org/dc/term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EDDAE5DD-C47C-49DB-B32F-D9E8D3CC1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7C1C07-CD8A-4C9A-8F2C-B69F7949C13C}">
  <ds:schemaRefs>
    <ds:schemaRef ds:uri="http://schemas.microsoft.com/office/2006/metadata/customXsn"/>
  </ds:schemaRefs>
</ds:datastoreItem>
</file>

<file path=customXml/itemProps6.xml><?xml version="1.0" encoding="utf-8"?>
<ds:datastoreItem xmlns:ds="http://schemas.openxmlformats.org/officeDocument/2006/customXml" ds:itemID="{3F6658FB-FA24-42ED-BC4A-8282D692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OGC_OER comments incorp.</vt:lpstr>
    </vt:vector>
  </TitlesOfParts>
  <Company>FERC</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OGC_OER comments incorp.</dc:title>
  <dc:creator>Michele Chambers</dc:creator>
  <cp:lastModifiedBy>SYSTEM</cp:lastModifiedBy>
  <cp:revision>2</cp:revision>
  <dcterms:created xsi:type="dcterms:W3CDTF">2017-10-20T19:13:00Z</dcterms:created>
  <dcterms:modified xsi:type="dcterms:W3CDTF">2017-10-20T19:13:00Z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