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1675" w:rsidRPr="007A1675" w:rsidRDefault="007A1675" w:rsidP="007A1675">
      <w:pPr>
        <w:shd w:val="clear" w:color="auto" w:fill="F5F5F5"/>
        <w:spacing w:before="100" w:beforeAutospacing="1" w:after="100" w:afterAutospacing="1" w:line="240" w:lineRule="auto"/>
        <w:ind w:left="720"/>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fldChar w:fldCharType="begin"/>
      </w:r>
      <w:r w:rsidRPr="007A1675">
        <w:rPr>
          <w:rFonts w:ascii="Helvetica" w:eastAsia="Times New Roman" w:hAnsi="Helvetica" w:cs="Helvetica"/>
          <w:color w:val="333333"/>
          <w:sz w:val="21"/>
          <w:szCs w:val="21"/>
          <w:lang w:val="en"/>
        </w:rPr>
        <w:instrText xml:space="preserve"> HYPERLINK "https://www.law.cornell.edu/uscode/text" \o "United States Code" </w:instrText>
      </w:r>
      <w:r w:rsidRPr="007A1675">
        <w:rPr>
          <w:rFonts w:ascii="Helvetica" w:eastAsia="Times New Roman" w:hAnsi="Helvetica" w:cs="Helvetica"/>
          <w:color w:val="333333"/>
          <w:sz w:val="21"/>
          <w:szCs w:val="21"/>
          <w:lang w:val="en"/>
        </w:rPr>
        <w:fldChar w:fldCharType="separate"/>
      </w:r>
      <w:r w:rsidRPr="007A1675">
        <w:rPr>
          <w:rFonts w:ascii="Helvetica" w:eastAsia="Times New Roman" w:hAnsi="Helvetica" w:cs="Helvetica"/>
          <w:color w:val="428BCA"/>
          <w:sz w:val="21"/>
          <w:szCs w:val="21"/>
          <w:lang w:val="en"/>
        </w:rPr>
        <w:t>U.S. Code</w:t>
      </w:r>
      <w:r w:rsidRPr="007A1675">
        <w:rPr>
          <w:rFonts w:ascii="Helvetica" w:eastAsia="Times New Roman" w:hAnsi="Helvetica" w:cs="Helvetica"/>
          <w:color w:val="333333"/>
          <w:sz w:val="21"/>
          <w:szCs w:val="21"/>
          <w:lang w:val="en"/>
        </w:rPr>
        <w:fldChar w:fldCharType="end"/>
      </w:r>
      <w:r w:rsidRPr="007A1675">
        <w:rPr>
          <w:rFonts w:ascii="Helvetica" w:eastAsia="Times New Roman" w:hAnsi="Helvetica" w:cs="Helvetica"/>
          <w:color w:val="333333"/>
          <w:sz w:val="21"/>
          <w:szCs w:val="21"/>
          <w:lang w:val="en"/>
        </w:rPr>
        <w:t xml:space="preserve"> › </w:t>
      </w:r>
      <w:hyperlink r:id="rId6" w:tooltip="Title 42 - THE PUBLIC HEALTH AND WELFARE" w:history="1">
        <w:r w:rsidRPr="007A1675">
          <w:rPr>
            <w:rFonts w:ascii="Helvetica" w:eastAsia="Times New Roman" w:hAnsi="Helvetica" w:cs="Helvetica"/>
            <w:color w:val="428BCA"/>
            <w:sz w:val="21"/>
            <w:szCs w:val="21"/>
            <w:lang w:val="en"/>
          </w:rPr>
          <w:t>Title 42</w:t>
        </w:r>
      </w:hyperlink>
      <w:r w:rsidRPr="007A1675">
        <w:rPr>
          <w:rFonts w:ascii="Helvetica" w:eastAsia="Times New Roman" w:hAnsi="Helvetica" w:cs="Helvetica"/>
          <w:color w:val="333333"/>
          <w:sz w:val="21"/>
          <w:szCs w:val="21"/>
          <w:lang w:val="en"/>
        </w:rPr>
        <w:t xml:space="preserve"> › </w:t>
      </w:r>
      <w:hyperlink r:id="rId7" w:tooltip="Chapter 84 - DEPARTMENT OF ENERGY" w:history="1">
        <w:r w:rsidRPr="007A1675">
          <w:rPr>
            <w:rFonts w:ascii="Helvetica" w:eastAsia="Times New Roman" w:hAnsi="Helvetica" w:cs="Helvetica"/>
            <w:color w:val="428BCA"/>
            <w:sz w:val="21"/>
            <w:szCs w:val="21"/>
            <w:lang w:val="en"/>
          </w:rPr>
          <w:t>Chapter 84</w:t>
        </w:r>
      </w:hyperlink>
      <w:r w:rsidRPr="007A1675">
        <w:rPr>
          <w:rFonts w:ascii="Helvetica" w:eastAsia="Times New Roman" w:hAnsi="Helvetica" w:cs="Helvetica"/>
          <w:color w:val="333333"/>
          <w:sz w:val="21"/>
          <w:szCs w:val="21"/>
          <w:lang w:val="en"/>
        </w:rPr>
        <w:t xml:space="preserve"> › </w:t>
      </w:r>
      <w:hyperlink r:id="rId8" w:tooltip="Subchapter IV - FEDERAL ENERGY REGULATORY COMMISSION" w:history="1">
        <w:r w:rsidRPr="007A1675">
          <w:rPr>
            <w:rFonts w:ascii="Helvetica" w:eastAsia="Times New Roman" w:hAnsi="Helvetica" w:cs="Helvetica"/>
            <w:color w:val="428BCA"/>
            <w:sz w:val="21"/>
            <w:szCs w:val="21"/>
            <w:lang w:val="en"/>
          </w:rPr>
          <w:t>Subchapter IV</w:t>
        </w:r>
      </w:hyperlink>
      <w:r w:rsidRPr="007A1675">
        <w:rPr>
          <w:rFonts w:ascii="Helvetica" w:eastAsia="Times New Roman" w:hAnsi="Helvetica" w:cs="Helvetica"/>
          <w:color w:val="333333"/>
          <w:sz w:val="21"/>
          <w:szCs w:val="21"/>
          <w:lang w:val="en"/>
        </w:rPr>
        <w:t xml:space="preserve"> › § 7172</w:t>
      </w:r>
    </w:p>
    <w:p w:rsidR="007A1675" w:rsidRPr="007A1675" w:rsidRDefault="007A1675" w:rsidP="007A1675">
      <w:pPr>
        <w:spacing w:before="300" w:after="150" w:line="240" w:lineRule="auto"/>
        <w:outlineLvl w:val="0"/>
        <w:rPr>
          <w:rFonts w:ascii="inherit" w:eastAsia="Times New Roman" w:hAnsi="inherit" w:cs="Helvetica"/>
          <w:color w:val="333333"/>
          <w:kern w:val="36"/>
          <w:sz w:val="54"/>
          <w:szCs w:val="54"/>
          <w:lang w:val="en"/>
        </w:rPr>
      </w:pPr>
      <w:r w:rsidRPr="007A1675">
        <w:rPr>
          <w:rFonts w:ascii="inherit" w:eastAsia="Times New Roman" w:hAnsi="inherit" w:cs="Helvetica"/>
          <w:color w:val="333333"/>
          <w:kern w:val="36"/>
          <w:sz w:val="54"/>
          <w:szCs w:val="54"/>
          <w:lang w:val="en"/>
        </w:rPr>
        <w:t>42 U.S. Code § 7172 - Jurisdiction of Commission</w:t>
      </w:r>
    </w:p>
    <w:p w:rsidR="007A1675" w:rsidRPr="007A1675" w:rsidRDefault="007A1675" w:rsidP="007A1675">
      <w:pPr>
        <w:spacing w:after="0" w:line="240" w:lineRule="auto"/>
        <w:rPr>
          <w:rFonts w:ascii="Helvetica" w:eastAsia="Times New Roman" w:hAnsi="Helvetica" w:cs="Helvetica"/>
          <w:b/>
          <w:bCs/>
          <w:color w:val="333333"/>
          <w:sz w:val="21"/>
          <w:szCs w:val="21"/>
          <w:lang w:val="en"/>
        </w:rPr>
      </w:pPr>
      <w:r w:rsidRPr="007A1675">
        <w:rPr>
          <w:rFonts w:ascii="Helvetica" w:eastAsia="Times New Roman" w:hAnsi="Helvetica" w:cs="Helvetica"/>
          <w:b/>
          <w:bCs/>
          <w:color w:val="333333"/>
          <w:sz w:val="21"/>
          <w:szCs w:val="21"/>
          <w:lang w:val="en"/>
        </w:rPr>
        <w:t>§ 7172.</w:t>
      </w:r>
    </w:p>
    <w:p w:rsidR="007A1675" w:rsidRPr="007A1675" w:rsidRDefault="007A1675" w:rsidP="007A1675">
      <w:pPr>
        <w:spacing w:after="0" w:line="240" w:lineRule="auto"/>
        <w:rPr>
          <w:rFonts w:ascii="Helvetica" w:eastAsia="Times New Roman" w:hAnsi="Helvetica" w:cs="Helvetica"/>
          <w:b/>
          <w:bCs/>
          <w:color w:val="333333"/>
          <w:sz w:val="21"/>
          <w:szCs w:val="21"/>
          <w:lang w:val="en"/>
        </w:rPr>
      </w:pPr>
      <w:r w:rsidRPr="007A1675">
        <w:rPr>
          <w:rFonts w:ascii="Helvetica" w:eastAsia="Times New Roman" w:hAnsi="Helvetica" w:cs="Helvetica"/>
          <w:b/>
          <w:bCs/>
          <w:color w:val="333333"/>
          <w:sz w:val="21"/>
          <w:szCs w:val="21"/>
          <w:lang w:val="en"/>
        </w:rPr>
        <w:t>Jurisdiction of Commission</w:t>
      </w:r>
    </w:p>
    <w:p w:rsidR="007A1675" w:rsidRPr="007A1675" w:rsidRDefault="007A1675" w:rsidP="007A1675">
      <w:pPr>
        <w:spacing w:after="0" w:line="240" w:lineRule="auto"/>
        <w:rPr>
          <w:rFonts w:ascii="Helvetica" w:eastAsia="Times New Roman" w:hAnsi="Helvetica" w:cs="Helvetica"/>
          <w:color w:val="333333"/>
          <w:sz w:val="21"/>
          <w:szCs w:val="21"/>
          <w:lang w:val="en"/>
        </w:rPr>
      </w:pPr>
      <w:r w:rsidRPr="007A1675">
        <w:rPr>
          <w:rFonts w:ascii="Helvetica" w:eastAsia="Times New Roman" w:hAnsi="Helvetica" w:cs="Helvetica"/>
          <w:b/>
          <w:bCs/>
          <w:color w:val="333333"/>
          <w:sz w:val="21"/>
          <w:szCs w:val="21"/>
          <w:lang w:val="en"/>
        </w:rPr>
        <w:t>(a) Transfer of functions from Federal Power Commission</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 w:name="a_1"/>
      <w:bookmarkEnd w:id="1"/>
      <w:r w:rsidRPr="007A1675">
        <w:rPr>
          <w:rFonts w:ascii="Helvetica" w:eastAsia="Times New Roman" w:hAnsi="Helvetica" w:cs="Helvetica"/>
          <w:b/>
          <w:bCs/>
          <w:color w:val="333333"/>
          <w:sz w:val="21"/>
          <w:szCs w:val="21"/>
          <w:lang w:val="en"/>
        </w:rPr>
        <w:t>(1)</w:t>
      </w:r>
      <w:r w:rsidRPr="007A1675">
        <w:rPr>
          <w:rFonts w:ascii="Helvetica" w:eastAsia="Times New Roman" w:hAnsi="Helvetica" w:cs="Helvetica"/>
          <w:color w:val="333333"/>
          <w:sz w:val="21"/>
          <w:szCs w:val="21"/>
          <w:lang w:val="en"/>
        </w:rPr>
        <w:t xml:space="preserve"> There are transferred to, and vested in, the Commission the following functions of the Federal Power Commission or of any member of the Commission or any officer or component of the Commission: </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2" w:name="a_1_A"/>
      <w:bookmarkEnd w:id="2"/>
      <w:r w:rsidRPr="007A1675">
        <w:rPr>
          <w:rFonts w:ascii="Helvetica" w:eastAsia="Times New Roman" w:hAnsi="Helvetica" w:cs="Helvetica"/>
          <w:b/>
          <w:bCs/>
          <w:color w:val="333333"/>
          <w:sz w:val="21"/>
          <w:szCs w:val="21"/>
          <w:lang w:val="en"/>
        </w:rPr>
        <w:t>(A)</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the investigation, issuance, transfer, renewal, revocation, and enforcement of licenses and permits for the construction, operation, and maintenance of dams, water conduits, reservoirs, powerhouses, transmission lines, or other works for the development and improvement of navigation and for the development and utilization of power across, along, from, or in navigable waters under part I of the Federal Power Act [</w:t>
      </w:r>
      <w:hyperlink r:id="rId9" w:tooltip="§ 791a - Short title" w:history="1">
        <w:r w:rsidRPr="007A1675">
          <w:rPr>
            <w:rFonts w:ascii="Helvetica" w:eastAsia="Times New Roman" w:hAnsi="Helvetica" w:cs="Helvetica"/>
            <w:color w:val="428BCA"/>
            <w:sz w:val="21"/>
            <w:szCs w:val="21"/>
            <w:lang w:val="en"/>
          </w:rPr>
          <w:t>16 U.S.C. 791a</w:t>
        </w:r>
      </w:hyperlink>
      <w:r w:rsidRPr="007A1675">
        <w:rPr>
          <w:rFonts w:ascii="Helvetica" w:eastAsia="Times New Roman" w:hAnsi="Helvetica" w:cs="Helvetica"/>
          <w:color w:val="333333"/>
          <w:sz w:val="21"/>
          <w:szCs w:val="21"/>
          <w:lang w:val="en"/>
        </w:rPr>
        <w:t xml:space="preserve"> et seq.];</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3" w:name="a_1_B"/>
      <w:bookmarkEnd w:id="3"/>
      <w:r w:rsidRPr="007A1675">
        <w:rPr>
          <w:rFonts w:ascii="Helvetica" w:eastAsia="Times New Roman" w:hAnsi="Helvetica" w:cs="Helvetica"/>
          <w:b/>
          <w:bCs/>
          <w:color w:val="333333"/>
          <w:sz w:val="21"/>
          <w:szCs w:val="21"/>
          <w:lang w:val="en"/>
        </w:rPr>
        <w:t>(B)</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the establishment, review, and enforcement of rates and charges for the transmission or sale of electric energy, including determinations on construction work in progress, under part II of the Federal Power Act [</w:t>
      </w:r>
      <w:hyperlink r:id="rId10" w:tooltip="§ 824 - Declaration of policy; application of subchapter" w:history="1">
        <w:r w:rsidRPr="007A1675">
          <w:rPr>
            <w:rFonts w:ascii="Helvetica" w:eastAsia="Times New Roman" w:hAnsi="Helvetica" w:cs="Helvetica"/>
            <w:color w:val="428BCA"/>
            <w:sz w:val="21"/>
            <w:szCs w:val="21"/>
            <w:lang w:val="en"/>
          </w:rPr>
          <w:t>16 U.S.C. 824</w:t>
        </w:r>
      </w:hyperlink>
      <w:r w:rsidRPr="007A1675">
        <w:rPr>
          <w:rFonts w:ascii="Helvetica" w:eastAsia="Times New Roman" w:hAnsi="Helvetica" w:cs="Helvetica"/>
          <w:color w:val="333333"/>
          <w:sz w:val="21"/>
          <w:szCs w:val="21"/>
          <w:lang w:val="en"/>
        </w:rPr>
        <w:t xml:space="preserve"> et seq.], and the interconnection, under section 202(b), of such Act [</w:t>
      </w:r>
      <w:hyperlink r:id="rId11" w:anchor="b" w:tooltip="16 U.S.C. 824a(b)" w:history="1">
        <w:r w:rsidRPr="007A1675">
          <w:rPr>
            <w:rFonts w:ascii="Helvetica" w:eastAsia="Times New Roman" w:hAnsi="Helvetica" w:cs="Helvetica"/>
            <w:color w:val="428BCA"/>
            <w:sz w:val="21"/>
            <w:szCs w:val="21"/>
            <w:lang w:val="en"/>
          </w:rPr>
          <w:t>16 U.S.C. 824a(b)</w:t>
        </w:r>
      </w:hyperlink>
      <w:r w:rsidRPr="007A1675">
        <w:rPr>
          <w:rFonts w:ascii="Helvetica" w:eastAsia="Times New Roman" w:hAnsi="Helvetica" w:cs="Helvetica"/>
          <w:color w:val="333333"/>
          <w:sz w:val="21"/>
          <w:szCs w:val="21"/>
          <w:lang w:val="en"/>
        </w:rPr>
        <w:t>], of facilities for the generation, transmission, and sale of electric energy (other than emergency interconnection);</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4" w:name="a_1_C"/>
      <w:bookmarkEnd w:id="4"/>
      <w:r w:rsidRPr="007A1675">
        <w:rPr>
          <w:rFonts w:ascii="Helvetica" w:eastAsia="Times New Roman" w:hAnsi="Helvetica" w:cs="Helvetica"/>
          <w:b/>
          <w:bCs/>
          <w:color w:val="333333"/>
          <w:sz w:val="21"/>
          <w:szCs w:val="21"/>
          <w:lang w:val="en"/>
        </w:rPr>
        <w:t>(C)</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the establishment, review, and enforcement of rates and charges for the transportation and sale of natural gas by a producer or gatherer or by a natural gas pipeline or natural gas company under sections 1, 4, 5, and 6 of the Natural Gas Act [</w:t>
      </w:r>
      <w:hyperlink r:id="rId12" w:tooltip="§ 717 - Regulation of natural gas companies" w:history="1">
        <w:r w:rsidRPr="007A1675">
          <w:rPr>
            <w:rFonts w:ascii="Helvetica" w:eastAsia="Times New Roman" w:hAnsi="Helvetica" w:cs="Helvetica"/>
            <w:color w:val="428BCA"/>
            <w:sz w:val="21"/>
            <w:szCs w:val="21"/>
            <w:lang w:val="en"/>
          </w:rPr>
          <w:t>15 U.S.C. 717</w:t>
        </w:r>
      </w:hyperlink>
      <w:r w:rsidRPr="007A1675">
        <w:rPr>
          <w:rFonts w:ascii="Helvetica" w:eastAsia="Times New Roman" w:hAnsi="Helvetica" w:cs="Helvetica"/>
          <w:color w:val="333333"/>
          <w:sz w:val="21"/>
          <w:szCs w:val="21"/>
          <w:lang w:val="en"/>
        </w:rPr>
        <w:t>, 717c to 717e];</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5" w:name="a_1_D"/>
      <w:bookmarkEnd w:id="5"/>
      <w:r w:rsidRPr="007A1675">
        <w:rPr>
          <w:rFonts w:ascii="Helvetica" w:eastAsia="Times New Roman" w:hAnsi="Helvetica" w:cs="Helvetica"/>
          <w:b/>
          <w:bCs/>
          <w:color w:val="333333"/>
          <w:sz w:val="21"/>
          <w:szCs w:val="21"/>
          <w:lang w:val="en"/>
        </w:rPr>
        <w:t>(D)</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the issuance of a certificate of public convenience and necessity, including abandonment of facilities or services, and the establishment of physical connections under section 7 of the Natural Gas Act [</w:t>
      </w:r>
      <w:hyperlink r:id="rId13" w:tooltip="§ 717f - Construction, extension, or abandonment of facilities" w:history="1">
        <w:r w:rsidRPr="007A1675">
          <w:rPr>
            <w:rFonts w:ascii="Helvetica" w:eastAsia="Times New Roman" w:hAnsi="Helvetica" w:cs="Helvetica"/>
            <w:color w:val="428BCA"/>
            <w:sz w:val="21"/>
            <w:szCs w:val="21"/>
            <w:lang w:val="en"/>
          </w:rPr>
          <w:t>15 U.S.C. 717f</w:t>
        </w:r>
      </w:hyperlink>
      <w:r w:rsidRPr="007A1675">
        <w:rPr>
          <w:rFonts w:ascii="Helvetica" w:eastAsia="Times New Roman" w:hAnsi="Helvetica" w:cs="Helvetica"/>
          <w:color w:val="333333"/>
          <w:sz w:val="21"/>
          <w:szCs w:val="21"/>
          <w:lang w:val="en"/>
        </w:rPr>
        <w:t>];</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6" w:name="a_1_E"/>
      <w:bookmarkEnd w:id="6"/>
      <w:r w:rsidRPr="007A1675">
        <w:rPr>
          <w:rFonts w:ascii="Helvetica" w:eastAsia="Times New Roman" w:hAnsi="Helvetica" w:cs="Helvetica"/>
          <w:b/>
          <w:bCs/>
          <w:color w:val="333333"/>
          <w:sz w:val="21"/>
          <w:szCs w:val="21"/>
          <w:lang w:val="en"/>
        </w:rPr>
        <w:t>(E)</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the establishment, review, and enforcement of curtailments, other than the establishment and review of priorities for such curtailments, under the Natural Gas Act [</w:t>
      </w:r>
      <w:hyperlink r:id="rId14" w:tooltip="§ 717 - Regulation of natural gas companies" w:history="1">
        <w:r w:rsidRPr="007A1675">
          <w:rPr>
            <w:rFonts w:ascii="Helvetica" w:eastAsia="Times New Roman" w:hAnsi="Helvetica" w:cs="Helvetica"/>
            <w:color w:val="428BCA"/>
            <w:sz w:val="21"/>
            <w:szCs w:val="21"/>
            <w:lang w:val="en"/>
          </w:rPr>
          <w:t>15 U.S.C. 717</w:t>
        </w:r>
      </w:hyperlink>
      <w:r w:rsidRPr="007A1675">
        <w:rPr>
          <w:rFonts w:ascii="Helvetica" w:eastAsia="Times New Roman" w:hAnsi="Helvetica" w:cs="Helvetica"/>
          <w:color w:val="333333"/>
          <w:sz w:val="21"/>
          <w:szCs w:val="21"/>
          <w:lang w:val="en"/>
        </w:rPr>
        <w:t xml:space="preserve"> et seq.]; and</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7" w:name="a_1_F"/>
      <w:bookmarkEnd w:id="7"/>
      <w:r w:rsidRPr="007A1675">
        <w:rPr>
          <w:rFonts w:ascii="Helvetica" w:eastAsia="Times New Roman" w:hAnsi="Helvetica" w:cs="Helvetica"/>
          <w:b/>
          <w:bCs/>
          <w:color w:val="333333"/>
          <w:sz w:val="21"/>
          <w:szCs w:val="21"/>
          <w:lang w:val="en"/>
        </w:rPr>
        <w:t>(F)</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the regulation of mergers and securities acquisition under the Federal Power Act [</w:t>
      </w:r>
      <w:hyperlink r:id="rId15" w:tooltip="§ 791a - Short title" w:history="1">
        <w:r w:rsidRPr="007A1675">
          <w:rPr>
            <w:rFonts w:ascii="Helvetica" w:eastAsia="Times New Roman" w:hAnsi="Helvetica" w:cs="Helvetica"/>
            <w:color w:val="428BCA"/>
            <w:sz w:val="21"/>
            <w:szCs w:val="21"/>
            <w:lang w:val="en"/>
          </w:rPr>
          <w:t>16 U.S.C. 791a</w:t>
        </w:r>
      </w:hyperlink>
      <w:r w:rsidRPr="007A1675">
        <w:rPr>
          <w:rFonts w:ascii="Helvetica" w:eastAsia="Times New Roman" w:hAnsi="Helvetica" w:cs="Helvetica"/>
          <w:color w:val="333333"/>
          <w:sz w:val="21"/>
          <w:szCs w:val="21"/>
          <w:lang w:val="en"/>
        </w:rPr>
        <w:t xml:space="preserve"> et seq.] and Natural Gas Act [</w:t>
      </w:r>
      <w:hyperlink r:id="rId16" w:tooltip="§ 717 - Regulation of natural gas companies" w:history="1">
        <w:r w:rsidRPr="007A1675">
          <w:rPr>
            <w:rFonts w:ascii="Helvetica" w:eastAsia="Times New Roman" w:hAnsi="Helvetica" w:cs="Helvetica"/>
            <w:color w:val="428BCA"/>
            <w:sz w:val="21"/>
            <w:szCs w:val="21"/>
            <w:lang w:val="en"/>
          </w:rPr>
          <w:t>15 U.S.C. 717</w:t>
        </w:r>
      </w:hyperlink>
      <w:r w:rsidRPr="007A1675">
        <w:rPr>
          <w:rFonts w:ascii="Helvetica" w:eastAsia="Times New Roman" w:hAnsi="Helvetica" w:cs="Helvetica"/>
          <w:color w:val="333333"/>
          <w:sz w:val="21"/>
          <w:szCs w:val="21"/>
          <w:lang w:val="en"/>
        </w:rPr>
        <w:t xml:space="preserve"> et seq.].</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8" w:name="a_2"/>
      <w:bookmarkEnd w:id="8"/>
      <w:r w:rsidRPr="007A1675">
        <w:rPr>
          <w:rFonts w:ascii="Helvetica" w:eastAsia="Times New Roman" w:hAnsi="Helvetica" w:cs="Helvetica"/>
          <w:b/>
          <w:bCs/>
          <w:color w:val="333333"/>
          <w:sz w:val="21"/>
          <w:szCs w:val="21"/>
          <w:lang w:val="en"/>
        </w:rPr>
        <w:t>(2)</w:t>
      </w:r>
      <w:r w:rsidRPr="007A1675">
        <w:rPr>
          <w:rFonts w:ascii="Helvetica" w:eastAsia="Times New Roman" w:hAnsi="Helvetica" w:cs="Helvetica"/>
          <w:color w:val="333333"/>
          <w:sz w:val="21"/>
          <w:szCs w:val="21"/>
          <w:lang w:val="en"/>
        </w:rPr>
        <w:t xml:space="preserve"> The Commission may exercise any power under the following sections to the extent the Commission determines such power to be necessary to the exercise of any function within the jurisdiction of the Commission: </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9" w:name="a_2_A"/>
      <w:bookmarkEnd w:id="9"/>
      <w:r w:rsidRPr="007A1675">
        <w:rPr>
          <w:rFonts w:ascii="Helvetica" w:eastAsia="Times New Roman" w:hAnsi="Helvetica" w:cs="Helvetica"/>
          <w:b/>
          <w:bCs/>
          <w:color w:val="333333"/>
          <w:sz w:val="21"/>
          <w:szCs w:val="21"/>
          <w:lang w:val="en"/>
        </w:rPr>
        <w:t>(A)</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sections 4, 301, 302, 306 through 309, and 312 through 316 of the Federal Power Act [</w:t>
      </w:r>
      <w:hyperlink r:id="rId17" w:tooltip="§ 797 - General powers of Commission" w:history="1">
        <w:r w:rsidRPr="007A1675">
          <w:rPr>
            <w:rFonts w:ascii="Helvetica" w:eastAsia="Times New Roman" w:hAnsi="Helvetica" w:cs="Helvetica"/>
            <w:color w:val="428BCA"/>
            <w:sz w:val="21"/>
            <w:szCs w:val="21"/>
            <w:lang w:val="en"/>
          </w:rPr>
          <w:t>16 U.S.C. 797</w:t>
        </w:r>
      </w:hyperlink>
      <w:r w:rsidRPr="007A1675">
        <w:rPr>
          <w:rFonts w:ascii="Helvetica" w:eastAsia="Times New Roman" w:hAnsi="Helvetica" w:cs="Helvetica"/>
          <w:color w:val="333333"/>
          <w:sz w:val="21"/>
          <w:szCs w:val="21"/>
          <w:lang w:val="en"/>
        </w:rPr>
        <w:t>, 825, 825a, 825e to 825h, 825k to 825</w:t>
      </w:r>
      <w:r w:rsidRPr="007A1675">
        <w:rPr>
          <w:rFonts w:ascii="Helvetica" w:eastAsia="Times New Roman" w:hAnsi="Helvetica" w:cs="Helvetica"/>
          <w:i/>
          <w:iCs/>
          <w:color w:val="333333"/>
          <w:sz w:val="21"/>
          <w:szCs w:val="21"/>
          <w:lang w:val="en"/>
        </w:rPr>
        <w:t>o</w:t>
      </w:r>
      <w:r w:rsidRPr="007A1675">
        <w:rPr>
          <w:rFonts w:ascii="Helvetica" w:eastAsia="Times New Roman" w:hAnsi="Helvetica" w:cs="Helvetica"/>
          <w:color w:val="333333"/>
          <w:sz w:val="21"/>
          <w:szCs w:val="21"/>
          <w:lang w:val="en"/>
        </w:rPr>
        <w:t>]; and</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0" w:name="a_2_B"/>
      <w:bookmarkEnd w:id="10"/>
      <w:r w:rsidRPr="007A1675">
        <w:rPr>
          <w:rFonts w:ascii="Helvetica" w:eastAsia="Times New Roman" w:hAnsi="Helvetica" w:cs="Helvetica"/>
          <w:b/>
          <w:bCs/>
          <w:color w:val="333333"/>
          <w:sz w:val="21"/>
          <w:szCs w:val="21"/>
          <w:lang w:val="en"/>
        </w:rPr>
        <w:t>(B)</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sections 8, 9, 13 through 17, 20, and 21 of the Natural Gas Act [</w:t>
      </w:r>
      <w:hyperlink r:id="rId18" w:tooltip="§ 717g - Accounts; records; memoranda" w:history="1">
        <w:r w:rsidRPr="007A1675">
          <w:rPr>
            <w:rFonts w:ascii="Helvetica" w:eastAsia="Times New Roman" w:hAnsi="Helvetica" w:cs="Helvetica"/>
            <w:color w:val="428BCA"/>
            <w:sz w:val="21"/>
            <w:szCs w:val="21"/>
            <w:lang w:val="en"/>
          </w:rPr>
          <w:t>15 U.S.C. 717g</w:t>
        </w:r>
      </w:hyperlink>
      <w:r w:rsidRPr="007A1675">
        <w:rPr>
          <w:rFonts w:ascii="Helvetica" w:eastAsia="Times New Roman" w:hAnsi="Helvetica" w:cs="Helvetica"/>
          <w:color w:val="333333"/>
          <w:sz w:val="21"/>
          <w:szCs w:val="21"/>
          <w:lang w:val="en"/>
        </w:rPr>
        <w:t>, 717h, 717</w:t>
      </w:r>
      <w:r w:rsidRPr="007A1675">
        <w:rPr>
          <w:rFonts w:ascii="Helvetica" w:eastAsia="Times New Roman" w:hAnsi="Helvetica" w:cs="Helvetica"/>
          <w:i/>
          <w:iCs/>
          <w:color w:val="333333"/>
          <w:sz w:val="21"/>
          <w:szCs w:val="21"/>
          <w:lang w:val="en"/>
        </w:rPr>
        <w:t>l</w:t>
      </w:r>
      <w:r w:rsidRPr="007A1675">
        <w:rPr>
          <w:rFonts w:ascii="Helvetica" w:eastAsia="Times New Roman" w:hAnsi="Helvetica" w:cs="Helvetica"/>
          <w:color w:val="333333"/>
          <w:sz w:val="21"/>
          <w:szCs w:val="21"/>
          <w:lang w:val="en"/>
        </w:rPr>
        <w:t xml:space="preserve"> to 717p, 717s, 717t].</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b/>
          <w:bCs/>
          <w:color w:val="333333"/>
          <w:sz w:val="21"/>
          <w:szCs w:val="21"/>
          <w:lang w:val="en"/>
        </w:rPr>
        <w:t xml:space="preserve">(b) Repealed. </w:t>
      </w:r>
      <w:hyperlink r:id="rId19" w:anchor="272" w:tooltip="Pub. L. 103–272" w:history="1">
        <w:r w:rsidRPr="007A1675">
          <w:rPr>
            <w:rFonts w:ascii="Helvetica" w:eastAsia="Times New Roman" w:hAnsi="Helvetica" w:cs="Helvetica"/>
            <w:b/>
            <w:bCs/>
            <w:color w:val="428BCA"/>
            <w:sz w:val="21"/>
            <w:szCs w:val="21"/>
            <w:lang w:val="en"/>
          </w:rPr>
          <w:t>Pub. L. 103–272</w:t>
        </w:r>
      </w:hyperlink>
      <w:r w:rsidRPr="007A1675">
        <w:rPr>
          <w:rFonts w:ascii="Helvetica" w:eastAsia="Times New Roman" w:hAnsi="Helvetica" w:cs="Helvetica"/>
          <w:b/>
          <w:bCs/>
          <w:color w:val="333333"/>
          <w:sz w:val="21"/>
          <w:szCs w:val="21"/>
          <w:lang w:val="en"/>
        </w:rPr>
        <w:t xml:space="preserve">, § 7(b), July 5, 1994, </w:t>
      </w:r>
      <w:hyperlink r:id="rId20" w:tooltip="108 Stat. 1379" w:history="1">
        <w:r w:rsidRPr="007A1675">
          <w:rPr>
            <w:rFonts w:ascii="Helvetica" w:eastAsia="Times New Roman" w:hAnsi="Helvetica" w:cs="Helvetica"/>
            <w:b/>
            <w:bCs/>
            <w:color w:val="428BCA"/>
            <w:sz w:val="21"/>
            <w:szCs w:val="21"/>
            <w:lang w:val="en"/>
          </w:rPr>
          <w:t>108 Stat. 1379</w:t>
        </w:r>
      </w:hyperlink>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0" w:line="240" w:lineRule="auto"/>
        <w:rPr>
          <w:rFonts w:ascii="Helvetica" w:eastAsia="Times New Roman" w:hAnsi="Helvetica" w:cs="Helvetica"/>
          <w:color w:val="333333"/>
          <w:sz w:val="21"/>
          <w:szCs w:val="21"/>
          <w:lang w:val="en"/>
        </w:rPr>
      </w:pPr>
      <w:r w:rsidRPr="007A1675">
        <w:rPr>
          <w:rFonts w:ascii="Helvetica" w:eastAsia="Times New Roman" w:hAnsi="Helvetica" w:cs="Helvetica"/>
          <w:b/>
          <w:bCs/>
          <w:color w:val="333333"/>
          <w:sz w:val="21"/>
          <w:szCs w:val="21"/>
          <w:lang w:val="en"/>
        </w:rPr>
        <w:lastRenderedPageBreak/>
        <w:t xml:space="preserve">(c) Consideration of proposals made by Secretary to amend regulations issued under </w:t>
      </w:r>
      <w:hyperlink r:id="rId21" w:tooltip="section 753 of title 15" w:history="1">
        <w:r w:rsidRPr="007A1675">
          <w:rPr>
            <w:rFonts w:ascii="Helvetica" w:eastAsia="Times New Roman" w:hAnsi="Helvetica" w:cs="Helvetica"/>
            <w:b/>
            <w:bCs/>
            <w:color w:val="428BCA"/>
            <w:sz w:val="21"/>
            <w:szCs w:val="21"/>
            <w:lang w:val="en"/>
          </w:rPr>
          <w:t>section 753 of title 15</w:t>
        </w:r>
      </w:hyperlink>
      <w:r w:rsidRPr="007A1675">
        <w:rPr>
          <w:rFonts w:ascii="Helvetica" w:eastAsia="Times New Roman" w:hAnsi="Helvetica" w:cs="Helvetica"/>
          <w:b/>
          <w:bCs/>
          <w:color w:val="333333"/>
          <w:sz w:val="21"/>
          <w:szCs w:val="21"/>
          <w:lang w:val="en"/>
        </w:rPr>
        <w:t>; exception</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1" w:name="c_1"/>
      <w:bookmarkEnd w:id="11"/>
      <w:r w:rsidRPr="007A1675">
        <w:rPr>
          <w:rFonts w:ascii="Helvetica" w:eastAsia="Times New Roman" w:hAnsi="Helvetica" w:cs="Helvetica"/>
          <w:b/>
          <w:bCs/>
          <w:color w:val="333333"/>
          <w:sz w:val="21"/>
          <w:szCs w:val="21"/>
          <w:lang w:val="en"/>
        </w:rPr>
        <w:t>(1)</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 xml:space="preserve">Pursuant to the procedures specified in </w:t>
      </w:r>
      <w:hyperlink r:id="rId22" w:tooltip="§ 7174 - Referral of other rulemaking proceedings to Commission" w:history="1">
        <w:r w:rsidRPr="007A1675">
          <w:rPr>
            <w:rFonts w:ascii="Helvetica" w:eastAsia="Times New Roman" w:hAnsi="Helvetica" w:cs="Helvetica"/>
            <w:color w:val="428BCA"/>
            <w:sz w:val="21"/>
            <w:szCs w:val="21"/>
            <w:lang w:val="en"/>
          </w:rPr>
          <w:t>section 7174 of this title</w:t>
        </w:r>
      </w:hyperlink>
      <w:r w:rsidRPr="007A1675">
        <w:rPr>
          <w:rFonts w:ascii="Helvetica" w:eastAsia="Times New Roman" w:hAnsi="Helvetica" w:cs="Helvetica"/>
          <w:color w:val="333333"/>
          <w:sz w:val="21"/>
          <w:szCs w:val="21"/>
          <w:lang w:val="en"/>
        </w:rPr>
        <w:t xml:space="preserve"> and except as provided in paragraph (2), the Commission shall have jurisdiction to consider any proposal by the Secretary to amend the regulation required to be issued under section 753(a) </w:t>
      </w:r>
      <w:hyperlink r:id="rId23" w:anchor="fn003462" w:tooltip="[1]" w:history="1">
        <w:r w:rsidRPr="007A1675">
          <w:rPr>
            <w:rFonts w:ascii="Helvetica" w:eastAsia="Times New Roman" w:hAnsi="Helvetica" w:cs="Helvetica"/>
            <w:color w:val="428BCA"/>
            <w:sz w:val="15"/>
            <w:szCs w:val="15"/>
            <w:lang w:val="en"/>
          </w:rPr>
          <w:t>[1]</w:t>
        </w:r>
      </w:hyperlink>
      <w:r w:rsidRPr="007A1675">
        <w:rPr>
          <w:rFonts w:ascii="Helvetica" w:eastAsia="Times New Roman" w:hAnsi="Helvetica" w:cs="Helvetica"/>
          <w:color w:val="333333"/>
          <w:sz w:val="21"/>
          <w:szCs w:val="21"/>
          <w:lang w:val="en"/>
        </w:rPr>
        <w:t xml:space="preserve"> of title 15 which is required by section 757 or 760a </w:t>
      </w:r>
      <w:bookmarkStart w:id="12" w:name="fn003462-ref"/>
      <w:r w:rsidRPr="007A1675">
        <w:rPr>
          <w:rFonts w:ascii="Helvetica" w:eastAsia="Times New Roman" w:hAnsi="Helvetica" w:cs="Helvetica"/>
          <w:color w:val="333333"/>
          <w:sz w:val="21"/>
          <w:szCs w:val="21"/>
          <w:lang w:val="en"/>
        </w:rPr>
        <w:fldChar w:fldCharType="begin"/>
      </w:r>
      <w:r w:rsidRPr="007A1675">
        <w:rPr>
          <w:rFonts w:ascii="Helvetica" w:eastAsia="Times New Roman" w:hAnsi="Helvetica" w:cs="Helvetica"/>
          <w:color w:val="333333"/>
          <w:sz w:val="21"/>
          <w:szCs w:val="21"/>
          <w:lang w:val="en"/>
        </w:rPr>
        <w:instrText xml:space="preserve"> HYPERLINK "https://www.law.cornell.edu/uscode/text/42/7172" \l "fn003462" \o "[1]" </w:instrText>
      </w:r>
      <w:r w:rsidRPr="007A1675">
        <w:rPr>
          <w:rFonts w:ascii="Helvetica" w:eastAsia="Times New Roman" w:hAnsi="Helvetica" w:cs="Helvetica"/>
          <w:color w:val="333333"/>
          <w:sz w:val="21"/>
          <w:szCs w:val="21"/>
          <w:lang w:val="en"/>
        </w:rPr>
        <w:fldChar w:fldCharType="separate"/>
      </w:r>
      <w:r w:rsidRPr="007A1675">
        <w:rPr>
          <w:rFonts w:ascii="Helvetica" w:eastAsia="Times New Roman" w:hAnsi="Helvetica" w:cs="Helvetica"/>
          <w:color w:val="428BCA"/>
          <w:sz w:val="15"/>
          <w:szCs w:val="15"/>
          <w:lang w:val="en"/>
        </w:rPr>
        <w:t>[1]</w:t>
      </w:r>
      <w:r w:rsidRPr="007A1675">
        <w:rPr>
          <w:rFonts w:ascii="Helvetica" w:eastAsia="Times New Roman" w:hAnsi="Helvetica" w:cs="Helvetica"/>
          <w:color w:val="333333"/>
          <w:sz w:val="21"/>
          <w:szCs w:val="21"/>
          <w:lang w:val="en"/>
        </w:rPr>
        <w:fldChar w:fldCharType="end"/>
      </w:r>
      <w:bookmarkEnd w:id="12"/>
      <w:r w:rsidRPr="007A1675">
        <w:rPr>
          <w:rFonts w:ascii="Helvetica" w:eastAsia="Times New Roman" w:hAnsi="Helvetica" w:cs="Helvetica"/>
          <w:color w:val="333333"/>
          <w:sz w:val="21"/>
          <w:szCs w:val="21"/>
          <w:lang w:val="en"/>
        </w:rPr>
        <w:t xml:space="preserve"> of title 15 to be transmitted by the President to, and reviewed by, each House of Congress, under </w:t>
      </w:r>
      <w:hyperlink r:id="rId24" w:tooltip="§ 6421 - Procedure for Congressional review of Presidential requests to implement certain authorities" w:history="1">
        <w:r w:rsidRPr="007A1675">
          <w:rPr>
            <w:rFonts w:ascii="Helvetica" w:eastAsia="Times New Roman" w:hAnsi="Helvetica" w:cs="Helvetica"/>
            <w:color w:val="428BCA"/>
            <w:sz w:val="21"/>
            <w:szCs w:val="21"/>
            <w:lang w:val="en"/>
          </w:rPr>
          <w:t>section 6421 of this title</w:t>
        </w:r>
      </w:hyperlink>
      <w:r w:rsidRPr="007A1675">
        <w:rPr>
          <w:rFonts w:ascii="Helvetica" w:eastAsia="Times New Roman" w:hAnsi="Helvetica" w:cs="Helvetica"/>
          <w:color w:val="333333"/>
          <w:sz w:val="21"/>
          <w:szCs w:val="21"/>
          <w:lang w:val="en"/>
        </w:rPr>
        <w:t>.</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3" w:name="c_2"/>
      <w:bookmarkEnd w:id="13"/>
      <w:r w:rsidRPr="007A1675">
        <w:rPr>
          <w:rFonts w:ascii="Helvetica" w:eastAsia="Times New Roman" w:hAnsi="Helvetica" w:cs="Helvetica"/>
          <w:b/>
          <w:bCs/>
          <w:color w:val="333333"/>
          <w:sz w:val="21"/>
          <w:szCs w:val="21"/>
          <w:lang w:val="en"/>
        </w:rPr>
        <w:t>(2)</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In the event that the President determines that an emergency situation of overriding national importance exists and requires the expeditious promulgation of a rule described in paragraph (1), the President may direct the Secretary to assume sole jurisdiction over the promulgation of such rule, and such rule shall be transmitted by the President to, and reviewed by, each House of Congress under section 757 or 760a </w:t>
      </w:r>
      <w:r w:rsidRPr="007A1675">
        <w:rPr>
          <w:rFonts w:ascii="Helvetica" w:eastAsia="Times New Roman" w:hAnsi="Helvetica" w:cs="Helvetica"/>
          <w:color w:val="333333"/>
          <w:sz w:val="16"/>
          <w:szCs w:val="16"/>
          <w:vertAlign w:val="superscript"/>
          <w:lang w:val="en"/>
        </w:rPr>
        <w:t>1</w:t>
      </w:r>
      <w:r w:rsidRPr="007A1675">
        <w:rPr>
          <w:rFonts w:ascii="Helvetica" w:eastAsia="Times New Roman" w:hAnsi="Helvetica" w:cs="Helvetica"/>
          <w:color w:val="333333"/>
          <w:sz w:val="21"/>
          <w:szCs w:val="21"/>
          <w:lang w:val="en"/>
        </w:rPr>
        <w:t xml:space="preserve"> of title 15, and </w:t>
      </w:r>
      <w:hyperlink r:id="rId25" w:tooltip="§ 6421 - Procedure for Congressional review of Presidential requests to implement certain authorities" w:history="1">
        <w:r w:rsidRPr="007A1675">
          <w:rPr>
            <w:rFonts w:ascii="Helvetica" w:eastAsia="Times New Roman" w:hAnsi="Helvetica" w:cs="Helvetica"/>
            <w:color w:val="428BCA"/>
            <w:sz w:val="21"/>
            <w:szCs w:val="21"/>
            <w:lang w:val="en"/>
          </w:rPr>
          <w:t>section 6421 of this title</w:t>
        </w:r>
      </w:hyperlink>
      <w:r w:rsidRPr="007A1675">
        <w:rPr>
          <w:rFonts w:ascii="Helvetica" w:eastAsia="Times New Roman" w:hAnsi="Helvetica" w:cs="Helvetica"/>
          <w:color w:val="333333"/>
          <w:sz w:val="21"/>
          <w:szCs w:val="21"/>
          <w:lang w:val="en"/>
        </w:rPr>
        <w:t>.</w:t>
      </w:r>
    </w:p>
    <w:p w:rsidR="007A1675" w:rsidRPr="007A1675" w:rsidRDefault="007A1675" w:rsidP="007A1675">
      <w:pPr>
        <w:spacing w:after="0" w:line="240" w:lineRule="auto"/>
        <w:rPr>
          <w:rFonts w:ascii="Helvetica" w:eastAsia="Times New Roman" w:hAnsi="Helvetica" w:cs="Helvetica"/>
          <w:color w:val="333333"/>
          <w:sz w:val="21"/>
          <w:szCs w:val="21"/>
          <w:lang w:val="en"/>
        </w:rPr>
      </w:pPr>
      <w:r w:rsidRPr="007A1675">
        <w:rPr>
          <w:rFonts w:ascii="Helvetica" w:eastAsia="Times New Roman" w:hAnsi="Helvetica" w:cs="Helvetica"/>
          <w:b/>
          <w:bCs/>
          <w:color w:val="333333"/>
          <w:sz w:val="21"/>
          <w:szCs w:val="21"/>
          <w:lang w:val="en"/>
        </w:rPr>
        <w:t>(d) Matters involving agency determinations to be made on record after agency hearing</w:t>
      </w:r>
      <w:r w:rsidRPr="007A1675">
        <w:rPr>
          <w:rFonts w:ascii="Helvetica" w:eastAsia="Times New Roman" w:hAnsi="Helvetica" w:cs="Helvetica"/>
          <w:color w:val="333333"/>
          <w:sz w:val="21"/>
          <w:szCs w:val="21"/>
          <w:lang w:val="en"/>
        </w:rPr>
        <w:t xml:space="preserve">The Commission shall have jurisdiction to hear and determine any other matter arising under any other function of the Secretary— </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4" w:name="d_1"/>
      <w:bookmarkEnd w:id="14"/>
      <w:r w:rsidRPr="007A1675">
        <w:rPr>
          <w:rFonts w:ascii="Helvetica" w:eastAsia="Times New Roman" w:hAnsi="Helvetica" w:cs="Helvetica"/>
          <w:b/>
          <w:bCs/>
          <w:color w:val="333333"/>
          <w:sz w:val="21"/>
          <w:szCs w:val="21"/>
          <w:lang w:val="en"/>
        </w:rPr>
        <w:t>(1)</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involving any agency determination required by law to be made on the record after an opportunity for an agency hearing; or</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5" w:name="d_2"/>
      <w:bookmarkEnd w:id="15"/>
      <w:r w:rsidRPr="007A1675">
        <w:rPr>
          <w:rFonts w:ascii="Helvetica" w:eastAsia="Times New Roman" w:hAnsi="Helvetica" w:cs="Helvetica"/>
          <w:b/>
          <w:bCs/>
          <w:color w:val="333333"/>
          <w:sz w:val="21"/>
          <w:szCs w:val="21"/>
          <w:lang w:val="en"/>
        </w:rPr>
        <w:t>(2)</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involving any other agency determination which the Secretary determines shall be made on the record after an opportunity for an agency hearing,</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except that nothing in this subsection shall require that functions under sections 6213 and 6214 </w:t>
      </w:r>
      <w:r w:rsidRPr="007A1675">
        <w:rPr>
          <w:rFonts w:ascii="Helvetica" w:eastAsia="Times New Roman" w:hAnsi="Helvetica" w:cs="Helvetica"/>
          <w:color w:val="333333"/>
          <w:sz w:val="16"/>
          <w:szCs w:val="16"/>
          <w:vertAlign w:val="superscript"/>
          <w:lang w:val="en"/>
        </w:rPr>
        <w:t>1</w:t>
      </w:r>
      <w:r w:rsidRPr="007A1675">
        <w:rPr>
          <w:rFonts w:ascii="Helvetica" w:eastAsia="Times New Roman" w:hAnsi="Helvetica" w:cs="Helvetica"/>
          <w:color w:val="333333"/>
          <w:sz w:val="21"/>
          <w:szCs w:val="21"/>
          <w:lang w:val="en"/>
        </w:rPr>
        <w:t xml:space="preserve"> of this title shall be within the jurisdiction of the Commission unless the Secretary assigns such a function to the Commission.</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6" w:name="e"/>
      <w:bookmarkEnd w:id="16"/>
      <w:r w:rsidRPr="007A1675">
        <w:rPr>
          <w:rFonts w:ascii="Helvetica" w:eastAsia="Times New Roman" w:hAnsi="Helvetica" w:cs="Helvetica"/>
          <w:b/>
          <w:bCs/>
          <w:color w:val="333333"/>
          <w:sz w:val="21"/>
          <w:szCs w:val="21"/>
          <w:lang w:val="en"/>
        </w:rPr>
        <w:t xml:space="preserve">(e) Matters assigned by Secretary after public notice and matters referred under </w:t>
      </w:r>
      <w:hyperlink r:id="rId26" w:tooltip="§ 7174 - Referral of other rulemaking proceedings to Commission" w:history="1">
        <w:r w:rsidRPr="007A1675">
          <w:rPr>
            <w:rFonts w:ascii="Helvetica" w:eastAsia="Times New Roman" w:hAnsi="Helvetica" w:cs="Helvetica"/>
            <w:b/>
            <w:bCs/>
            <w:color w:val="428BCA"/>
            <w:sz w:val="21"/>
            <w:szCs w:val="21"/>
            <w:lang w:val="en"/>
          </w:rPr>
          <w:t>section 7174 of this title</w:t>
        </w:r>
      </w:hyperlink>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15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 xml:space="preserve">In addition to the other provisions of this section, the Commission shall have jurisdiction over any other matter which the Secretary may assign to the Commission after public notice, or which are required to be referred to the Commission pursuant to </w:t>
      </w:r>
      <w:hyperlink r:id="rId27" w:tooltip="§ 7174 - Referral of other rulemaking proceedings to Commission" w:history="1">
        <w:r w:rsidRPr="007A1675">
          <w:rPr>
            <w:rFonts w:ascii="Helvetica" w:eastAsia="Times New Roman" w:hAnsi="Helvetica" w:cs="Helvetica"/>
            <w:color w:val="428BCA"/>
            <w:sz w:val="21"/>
            <w:szCs w:val="21"/>
            <w:lang w:val="en"/>
          </w:rPr>
          <w:t>section 7174 of this title</w:t>
        </w:r>
      </w:hyperlink>
      <w:r w:rsidRPr="007A1675">
        <w:rPr>
          <w:rFonts w:ascii="Helvetica" w:eastAsia="Times New Roman" w:hAnsi="Helvetica" w:cs="Helvetica"/>
          <w:color w:val="333333"/>
          <w:sz w:val="21"/>
          <w:szCs w:val="21"/>
          <w:lang w:val="en"/>
        </w:rPr>
        <w:t>.</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7" w:name="f"/>
      <w:bookmarkEnd w:id="17"/>
      <w:r w:rsidRPr="007A1675">
        <w:rPr>
          <w:rFonts w:ascii="Helvetica" w:eastAsia="Times New Roman" w:hAnsi="Helvetica" w:cs="Helvetica"/>
          <w:b/>
          <w:bCs/>
          <w:color w:val="333333"/>
          <w:sz w:val="21"/>
          <w:szCs w:val="21"/>
          <w:lang w:val="en"/>
        </w:rPr>
        <w:t>(f) Limitation</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15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No function described in this section which regulates the exports or imports of natural gas or electricity shall be within the jurisdiction of the Commission unless the Secretary assigns such a function to the Commission.</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8" w:name="g"/>
      <w:bookmarkEnd w:id="18"/>
      <w:r w:rsidRPr="007A1675">
        <w:rPr>
          <w:rFonts w:ascii="Helvetica" w:eastAsia="Times New Roman" w:hAnsi="Helvetica" w:cs="Helvetica"/>
          <w:b/>
          <w:bCs/>
          <w:color w:val="333333"/>
          <w:sz w:val="21"/>
          <w:szCs w:val="21"/>
          <w:lang w:val="en"/>
        </w:rPr>
        <w:t>(g) Final agency action</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15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 xml:space="preserve">The decision of the Commission involving any function within its jurisdiction, other than action by it on a matter referred to it pursuant to </w:t>
      </w:r>
      <w:hyperlink r:id="rId28" w:tooltip="§ 7174 - Referral of other rulemaking proceedings to Commission" w:history="1">
        <w:r w:rsidRPr="007A1675">
          <w:rPr>
            <w:rFonts w:ascii="Helvetica" w:eastAsia="Times New Roman" w:hAnsi="Helvetica" w:cs="Helvetica"/>
            <w:color w:val="428BCA"/>
            <w:sz w:val="21"/>
            <w:szCs w:val="21"/>
            <w:lang w:val="en"/>
          </w:rPr>
          <w:t>section 7174 of this title</w:t>
        </w:r>
      </w:hyperlink>
      <w:r w:rsidRPr="007A1675">
        <w:rPr>
          <w:rFonts w:ascii="Helvetica" w:eastAsia="Times New Roman" w:hAnsi="Helvetica" w:cs="Helvetica"/>
          <w:color w:val="333333"/>
          <w:sz w:val="21"/>
          <w:szCs w:val="21"/>
          <w:lang w:val="en"/>
        </w:rPr>
        <w:t xml:space="preserve">, shall be final agency action within the meaning of </w:t>
      </w:r>
      <w:hyperlink r:id="rId29" w:tooltip="§ 704 - Actions reviewable" w:history="1">
        <w:r w:rsidRPr="007A1675">
          <w:rPr>
            <w:rFonts w:ascii="Helvetica" w:eastAsia="Times New Roman" w:hAnsi="Helvetica" w:cs="Helvetica"/>
            <w:color w:val="428BCA"/>
            <w:sz w:val="21"/>
            <w:szCs w:val="21"/>
            <w:lang w:val="en"/>
          </w:rPr>
          <w:t>section 704 of title 5</w:t>
        </w:r>
      </w:hyperlink>
      <w:r w:rsidRPr="007A1675">
        <w:rPr>
          <w:rFonts w:ascii="Helvetica" w:eastAsia="Times New Roman" w:hAnsi="Helvetica" w:cs="Helvetica"/>
          <w:color w:val="333333"/>
          <w:sz w:val="21"/>
          <w:szCs w:val="21"/>
          <w:lang w:val="en"/>
        </w:rPr>
        <w:t xml:space="preserve"> and shall not be subject to further review by the Secretary or any officer or employee of the Department.</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19" w:name="h"/>
      <w:bookmarkEnd w:id="19"/>
      <w:r w:rsidRPr="007A1675">
        <w:rPr>
          <w:rFonts w:ascii="Helvetica" w:eastAsia="Times New Roman" w:hAnsi="Helvetica" w:cs="Helvetica"/>
          <w:b/>
          <w:bCs/>
          <w:color w:val="333333"/>
          <w:sz w:val="21"/>
          <w:szCs w:val="21"/>
          <w:lang w:val="en"/>
        </w:rPr>
        <w:t>(h) Rules, regulations, and statements of policy</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15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The Commission is authorized to prescribe rules, regulations, and statements of policy of general applicability with respect to any function under the jurisdiction of the Commission pursuant to this section.</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w:t>
      </w:r>
      <w:hyperlink r:id="rId30" w:anchor="91" w:tooltip="Pub. L. 95–91, title IV" w:history="1">
        <w:r w:rsidRPr="007A1675">
          <w:rPr>
            <w:rFonts w:ascii="Helvetica" w:eastAsia="Times New Roman" w:hAnsi="Helvetica" w:cs="Helvetica"/>
            <w:color w:val="428BCA"/>
            <w:sz w:val="21"/>
            <w:szCs w:val="21"/>
            <w:lang w:val="en"/>
          </w:rPr>
          <w:t>Pub. L. 95–91, title IV</w:t>
        </w:r>
      </w:hyperlink>
      <w:r w:rsidRPr="007A1675">
        <w:rPr>
          <w:rFonts w:ascii="Helvetica" w:eastAsia="Times New Roman" w:hAnsi="Helvetica" w:cs="Helvetica"/>
          <w:color w:val="333333"/>
          <w:sz w:val="21"/>
          <w:szCs w:val="21"/>
          <w:lang w:val="en"/>
        </w:rPr>
        <w:t xml:space="preserve">, § 402, Aug. 4, 1977, </w:t>
      </w:r>
      <w:hyperlink r:id="rId31" w:tooltip="91 Stat. 583" w:history="1">
        <w:r w:rsidRPr="007A1675">
          <w:rPr>
            <w:rFonts w:ascii="Helvetica" w:eastAsia="Times New Roman" w:hAnsi="Helvetica" w:cs="Helvetica"/>
            <w:color w:val="428BCA"/>
            <w:sz w:val="21"/>
            <w:szCs w:val="21"/>
            <w:lang w:val="en"/>
          </w:rPr>
          <w:t>91 Stat. 583</w:t>
        </w:r>
      </w:hyperlink>
      <w:r w:rsidRPr="007A1675">
        <w:rPr>
          <w:rFonts w:ascii="Helvetica" w:eastAsia="Times New Roman" w:hAnsi="Helvetica" w:cs="Helvetica"/>
          <w:color w:val="333333"/>
          <w:sz w:val="21"/>
          <w:szCs w:val="21"/>
          <w:lang w:val="en"/>
        </w:rPr>
        <w:t xml:space="preserve">; </w:t>
      </w:r>
      <w:hyperlink r:id="rId32" w:anchor="272" w:tooltip="Pub. L. 103–272" w:history="1">
        <w:r w:rsidRPr="007A1675">
          <w:rPr>
            <w:rFonts w:ascii="Helvetica" w:eastAsia="Times New Roman" w:hAnsi="Helvetica" w:cs="Helvetica"/>
            <w:color w:val="428BCA"/>
            <w:sz w:val="21"/>
            <w:szCs w:val="21"/>
            <w:lang w:val="en"/>
          </w:rPr>
          <w:t>Pub. L. 103–272</w:t>
        </w:r>
      </w:hyperlink>
      <w:r w:rsidRPr="007A1675">
        <w:rPr>
          <w:rFonts w:ascii="Helvetica" w:eastAsia="Times New Roman" w:hAnsi="Helvetica" w:cs="Helvetica"/>
          <w:color w:val="333333"/>
          <w:sz w:val="21"/>
          <w:szCs w:val="21"/>
          <w:lang w:val="en"/>
        </w:rPr>
        <w:t xml:space="preserve">, § 7(b), July 5, 1994, </w:t>
      </w:r>
      <w:hyperlink r:id="rId33" w:tooltip="108 Stat. 1379" w:history="1">
        <w:r w:rsidRPr="007A1675">
          <w:rPr>
            <w:rFonts w:ascii="Helvetica" w:eastAsia="Times New Roman" w:hAnsi="Helvetica" w:cs="Helvetica"/>
            <w:color w:val="428BCA"/>
            <w:sz w:val="21"/>
            <w:szCs w:val="21"/>
            <w:lang w:val="en"/>
          </w:rPr>
          <w:t>108 Stat. 1379</w:t>
        </w:r>
      </w:hyperlink>
      <w:r w:rsidRPr="007A1675">
        <w:rPr>
          <w:rFonts w:ascii="Helvetica" w:eastAsia="Times New Roman" w:hAnsi="Helvetica" w:cs="Helvetica"/>
          <w:color w:val="333333"/>
          <w:sz w:val="21"/>
          <w:szCs w:val="21"/>
          <w:lang w:val="en"/>
        </w:rPr>
        <w:t>.)</w:t>
      </w:r>
    </w:p>
    <w:p w:rsidR="007A1675" w:rsidRDefault="007A1675">
      <w:pPr>
        <w:rPr>
          <w:rFonts w:ascii="Helvetica" w:eastAsia="Times New Roman" w:hAnsi="Helvetica" w:cs="Helvetica"/>
          <w:color w:val="333333"/>
          <w:sz w:val="21"/>
          <w:szCs w:val="21"/>
          <w:lang w:val="en"/>
        </w:rPr>
      </w:pPr>
      <w:r>
        <w:rPr>
          <w:rFonts w:ascii="Helvetica" w:eastAsia="Times New Roman" w:hAnsi="Helvetica" w:cs="Helvetica"/>
          <w:color w:val="333333"/>
          <w:sz w:val="21"/>
          <w:szCs w:val="21"/>
          <w:lang w:val="en"/>
        </w:rPr>
        <w:br w:type="page"/>
      </w:r>
    </w:p>
    <w:p w:rsidR="007A1675" w:rsidRPr="007A1675" w:rsidRDefault="00471D6C" w:rsidP="007A1675">
      <w:pPr>
        <w:shd w:val="clear" w:color="auto" w:fill="F5F5F5"/>
        <w:spacing w:before="100" w:beforeAutospacing="1" w:after="100" w:afterAutospacing="1" w:line="240" w:lineRule="auto"/>
        <w:ind w:left="720"/>
        <w:rPr>
          <w:rFonts w:ascii="Helvetica" w:eastAsia="Times New Roman" w:hAnsi="Helvetica" w:cs="Helvetica"/>
          <w:color w:val="333333"/>
          <w:sz w:val="21"/>
          <w:szCs w:val="21"/>
          <w:lang w:val="en"/>
        </w:rPr>
      </w:pPr>
      <w:hyperlink r:id="rId34" w:tooltip="United States Code" w:history="1">
        <w:r w:rsidR="007A1675" w:rsidRPr="007A1675">
          <w:rPr>
            <w:rFonts w:ascii="Helvetica" w:eastAsia="Times New Roman" w:hAnsi="Helvetica" w:cs="Helvetica"/>
            <w:color w:val="428BCA"/>
            <w:sz w:val="21"/>
            <w:szCs w:val="21"/>
            <w:lang w:val="en"/>
          </w:rPr>
          <w:t>U.S. Code</w:t>
        </w:r>
      </w:hyperlink>
      <w:r w:rsidR="007A1675" w:rsidRPr="007A1675">
        <w:rPr>
          <w:rFonts w:ascii="Helvetica" w:eastAsia="Times New Roman" w:hAnsi="Helvetica" w:cs="Helvetica"/>
          <w:color w:val="333333"/>
          <w:sz w:val="21"/>
          <w:szCs w:val="21"/>
          <w:lang w:val="en"/>
        </w:rPr>
        <w:t xml:space="preserve"> › </w:t>
      </w:r>
      <w:hyperlink r:id="rId35" w:tooltip="Title 42 - THE PUBLIC HEALTH AND WELFARE" w:history="1">
        <w:r w:rsidR="007A1675" w:rsidRPr="007A1675">
          <w:rPr>
            <w:rFonts w:ascii="Helvetica" w:eastAsia="Times New Roman" w:hAnsi="Helvetica" w:cs="Helvetica"/>
            <w:color w:val="428BCA"/>
            <w:sz w:val="21"/>
            <w:szCs w:val="21"/>
            <w:lang w:val="en"/>
          </w:rPr>
          <w:t>Title 42</w:t>
        </w:r>
      </w:hyperlink>
      <w:r w:rsidR="007A1675" w:rsidRPr="007A1675">
        <w:rPr>
          <w:rFonts w:ascii="Helvetica" w:eastAsia="Times New Roman" w:hAnsi="Helvetica" w:cs="Helvetica"/>
          <w:color w:val="333333"/>
          <w:sz w:val="21"/>
          <w:szCs w:val="21"/>
          <w:lang w:val="en"/>
        </w:rPr>
        <w:t xml:space="preserve"> › </w:t>
      </w:r>
      <w:hyperlink r:id="rId36" w:tooltip="Chapter 84 - DEPARTMENT OF ENERGY" w:history="1">
        <w:r w:rsidR="007A1675" w:rsidRPr="007A1675">
          <w:rPr>
            <w:rFonts w:ascii="Helvetica" w:eastAsia="Times New Roman" w:hAnsi="Helvetica" w:cs="Helvetica"/>
            <w:color w:val="428BCA"/>
            <w:sz w:val="21"/>
            <w:szCs w:val="21"/>
            <w:lang w:val="en"/>
          </w:rPr>
          <w:t>Chapter 84</w:t>
        </w:r>
      </w:hyperlink>
      <w:r w:rsidR="007A1675" w:rsidRPr="007A1675">
        <w:rPr>
          <w:rFonts w:ascii="Helvetica" w:eastAsia="Times New Roman" w:hAnsi="Helvetica" w:cs="Helvetica"/>
          <w:color w:val="333333"/>
          <w:sz w:val="21"/>
          <w:szCs w:val="21"/>
          <w:lang w:val="en"/>
        </w:rPr>
        <w:t xml:space="preserve"> › </w:t>
      </w:r>
      <w:hyperlink r:id="rId37" w:tooltip="Subchapter IV - FEDERAL ENERGY REGULATORY COMMISSION" w:history="1">
        <w:r w:rsidR="007A1675" w:rsidRPr="007A1675">
          <w:rPr>
            <w:rFonts w:ascii="Helvetica" w:eastAsia="Times New Roman" w:hAnsi="Helvetica" w:cs="Helvetica"/>
            <w:color w:val="428BCA"/>
            <w:sz w:val="21"/>
            <w:szCs w:val="21"/>
            <w:lang w:val="en"/>
          </w:rPr>
          <w:t>Subchapter IV</w:t>
        </w:r>
      </w:hyperlink>
      <w:r w:rsidR="007A1675" w:rsidRPr="007A1675">
        <w:rPr>
          <w:rFonts w:ascii="Helvetica" w:eastAsia="Times New Roman" w:hAnsi="Helvetica" w:cs="Helvetica"/>
          <w:color w:val="333333"/>
          <w:sz w:val="21"/>
          <w:szCs w:val="21"/>
          <w:lang w:val="en"/>
        </w:rPr>
        <w:t xml:space="preserve"> › § 7173</w:t>
      </w:r>
    </w:p>
    <w:p w:rsidR="007A1675" w:rsidRPr="007A1675" w:rsidRDefault="007A1675" w:rsidP="007A1675">
      <w:pPr>
        <w:spacing w:before="300" w:after="150" w:line="240" w:lineRule="auto"/>
        <w:outlineLvl w:val="0"/>
        <w:rPr>
          <w:rFonts w:ascii="inherit" w:eastAsia="Times New Roman" w:hAnsi="inherit" w:cs="Helvetica"/>
          <w:color w:val="333333"/>
          <w:kern w:val="36"/>
          <w:sz w:val="54"/>
          <w:szCs w:val="54"/>
          <w:lang w:val="en"/>
        </w:rPr>
      </w:pPr>
      <w:r w:rsidRPr="007A1675">
        <w:rPr>
          <w:rFonts w:ascii="inherit" w:eastAsia="Times New Roman" w:hAnsi="inherit" w:cs="Helvetica"/>
          <w:color w:val="333333"/>
          <w:kern w:val="36"/>
          <w:sz w:val="54"/>
          <w:szCs w:val="54"/>
          <w:lang w:val="en"/>
        </w:rPr>
        <w:t>42 U.S. Code § 7173 - Initiation of rulemaking procedures before Commission</w:t>
      </w:r>
    </w:p>
    <w:p w:rsidR="007A1675" w:rsidRPr="007A1675" w:rsidRDefault="007A1675" w:rsidP="007A1675">
      <w:pPr>
        <w:spacing w:after="0" w:line="240" w:lineRule="auto"/>
        <w:rPr>
          <w:rFonts w:ascii="Helvetica" w:eastAsia="Times New Roman" w:hAnsi="Helvetica" w:cs="Helvetica"/>
          <w:b/>
          <w:bCs/>
          <w:color w:val="333333"/>
          <w:sz w:val="21"/>
          <w:szCs w:val="21"/>
          <w:lang w:val="en"/>
        </w:rPr>
      </w:pPr>
      <w:r w:rsidRPr="007A1675">
        <w:rPr>
          <w:rFonts w:ascii="Helvetica" w:eastAsia="Times New Roman" w:hAnsi="Helvetica" w:cs="Helvetica"/>
          <w:b/>
          <w:bCs/>
          <w:color w:val="333333"/>
          <w:sz w:val="21"/>
          <w:szCs w:val="21"/>
          <w:lang w:val="en"/>
        </w:rPr>
        <w:t>§ 7173.</w:t>
      </w:r>
    </w:p>
    <w:p w:rsidR="007A1675" w:rsidRPr="007A1675" w:rsidRDefault="007A1675" w:rsidP="007A1675">
      <w:pPr>
        <w:spacing w:after="0" w:line="240" w:lineRule="auto"/>
        <w:rPr>
          <w:rFonts w:ascii="Helvetica" w:eastAsia="Times New Roman" w:hAnsi="Helvetica" w:cs="Helvetica"/>
          <w:b/>
          <w:bCs/>
          <w:color w:val="333333"/>
          <w:sz w:val="21"/>
          <w:szCs w:val="21"/>
          <w:lang w:val="en"/>
        </w:rPr>
      </w:pPr>
      <w:r w:rsidRPr="007A1675">
        <w:rPr>
          <w:rFonts w:ascii="Helvetica" w:eastAsia="Times New Roman" w:hAnsi="Helvetica" w:cs="Helvetica"/>
          <w:b/>
          <w:bCs/>
          <w:color w:val="333333"/>
          <w:sz w:val="21"/>
          <w:szCs w:val="21"/>
          <w:lang w:val="en"/>
        </w:rPr>
        <w:t>Initiation of rulemaking procedures before Commission</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20" w:name="a"/>
      <w:bookmarkEnd w:id="20"/>
      <w:r w:rsidRPr="007A1675">
        <w:rPr>
          <w:rFonts w:ascii="Helvetica" w:eastAsia="Times New Roman" w:hAnsi="Helvetica" w:cs="Helvetica"/>
          <w:b/>
          <w:bCs/>
          <w:color w:val="333333"/>
          <w:sz w:val="21"/>
          <w:szCs w:val="21"/>
          <w:lang w:val="en"/>
        </w:rPr>
        <w:t>(a) Proposal of rules, regulations, and statements of policy of general applicability by Secretary and Commission</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15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 xml:space="preserve">The Secretary and the Commission are authorized to propose rules, regulations, and statements of policy of general applicability with respect to any function within the jurisdiction of the Commission under </w:t>
      </w:r>
      <w:hyperlink r:id="rId38" w:tooltip="§ 7172 - Jurisdiction of Commission" w:history="1">
        <w:r w:rsidRPr="007A1675">
          <w:rPr>
            <w:rFonts w:ascii="Helvetica" w:eastAsia="Times New Roman" w:hAnsi="Helvetica" w:cs="Helvetica"/>
            <w:color w:val="428BCA"/>
            <w:sz w:val="21"/>
            <w:szCs w:val="21"/>
            <w:lang w:val="en"/>
          </w:rPr>
          <w:t>section 7172 of this title</w:t>
        </w:r>
      </w:hyperlink>
      <w:r w:rsidRPr="007A1675">
        <w:rPr>
          <w:rFonts w:ascii="Helvetica" w:eastAsia="Times New Roman" w:hAnsi="Helvetica" w:cs="Helvetica"/>
          <w:color w:val="333333"/>
          <w:sz w:val="21"/>
          <w:szCs w:val="21"/>
          <w:lang w:val="en"/>
        </w:rPr>
        <w:t>.</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21" w:name="b"/>
      <w:bookmarkEnd w:id="21"/>
      <w:r w:rsidRPr="007A1675">
        <w:rPr>
          <w:rFonts w:ascii="Helvetica" w:eastAsia="Times New Roman" w:hAnsi="Helvetica" w:cs="Helvetica"/>
          <w:b/>
          <w:bCs/>
          <w:color w:val="333333"/>
          <w:sz w:val="21"/>
          <w:szCs w:val="21"/>
          <w:lang w:val="en"/>
        </w:rPr>
        <w:t>(b) Consideration and final action on proposals of Secretary</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15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The Commission shall have exclusive jurisdiction with respect to any proposal made under subsection (a), and shall consider and take final action on any proposal made by the Secretary under such subsection in an expeditious manner in accordance with such reasonable time limits as may be set by the Secretary for the completion of action by the Commission on any such proposal.</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22" w:name="c"/>
      <w:bookmarkEnd w:id="22"/>
      <w:r w:rsidRPr="007A1675">
        <w:rPr>
          <w:rFonts w:ascii="Helvetica" w:eastAsia="Times New Roman" w:hAnsi="Helvetica" w:cs="Helvetica"/>
          <w:b/>
          <w:bCs/>
          <w:color w:val="333333"/>
          <w:sz w:val="21"/>
          <w:szCs w:val="21"/>
          <w:lang w:val="en"/>
        </w:rPr>
        <w:t>(c) Utilization of rulemaking procedures for establishment of rates and charges under Federal Power Act and Natural Gas Act</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15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 xml:space="preserve">Any function described in </w:t>
      </w:r>
      <w:hyperlink r:id="rId39" w:tooltip="§ 7172 - Jurisdiction of Commission" w:history="1">
        <w:r w:rsidRPr="007A1675">
          <w:rPr>
            <w:rFonts w:ascii="Helvetica" w:eastAsia="Times New Roman" w:hAnsi="Helvetica" w:cs="Helvetica"/>
            <w:color w:val="428BCA"/>
            <w:sz w:val="21"/>
            <w:szCs w:val="21"/>
            <w:lang w:val="en"/>
          </w:rPr>
          <w:t>section 7172 of this title</w:t>
        </w:r>
      </w:hyperlink>
      <w:r w:rsidRPr="007A1675">
        <w:rPr>
          <w:rFonts w:ascii="Helvetica" w:eastAsia="Times New Roman" w:hAnsi="Helvetica" w:cs="Helvetica"/>
          <w:color w:val="333333"/>
          <w:sz w:val="21"/>
          <w:szCs w:val="21"/>
          <w:lang w:val="en"/>
        </w:rPr>
        <w:t xml:space="preserve"> which relates to the establishment of rates and charges under the Federal Power Act [</w:t>
      </w:r>
      <w:hyperlink r:id="rId40" w:tooltip="§ 791a - Short title" w:history="1">
        <w:r w:rsidRPr="007A1675">
          <w:rPr>
            <w:rFonts w:ascii="Helvetica" w:eastAsia="Times New Roman" w:hAnsi="Helvetica" w:cs="Helvetica"/>
            <w:color w:val="428BCA"/>
            <w:sz w:val="21"/>
            <w:szCs w:val="21"/>
            <w:lang w:val="en"/>
          </w:rPr>
          <w:t>16 U.S.C. 791a</w:t>
        </w:r>
      </w:hyperlink>
      <w:r w:rsidRPr="007A1675">
        <w:rPr>
          <w:rFonts w:ascii="Helvetica" w:eastAsia="Times New Roman" w:hAnsi="Helvetica" w:cs="Helvetica"/>
          <w:color w:val="333333"/>
          <w:sz w:val="21"/>
          <w:szCs w:val="21"/>
          <w:lang w:val="en"/>
        </w:rPr>
        <w:t xml:space="preserve"> et seq.] or the Natural Gas Act [</w:t>
      </w:r>
      <w:hyperlink r:id="rId41" w:tooltip="§ 717 - Regulation of natural gas companies" w:history="1">
        <w:r w:rsidRPr="007A1675">
          <w:rPr>
            <w:rFonts w:ascii="Helvetica" w:eastAsia="Times New Roman" w:hAnsi="Helvetica" w:cs="Helvetica"/>
            <w:color w:val="428BCA"/>
            <w:sz w:val="21"/>
            <w:szCs w:val="21"/>
            <w:lang w:val="en"/>
          </w:rPr>
          <w:t>15 U.S.C. 717</w:t>
        </w:r>
      </w:hyperlink>
      <w:r w:rsidRPr="007A1675">
        <w:rPr>
          <w:rFonts w:ascii="Helvetica" w:eastAsia="Times New Roman" w:hAnsi="Helvetica" w:cs="Helvetica"/>
          <w:color w:val="333333"/>
          <w:sz w:val="21"/>
          <w:szCs w:val="21"/>
          <w:lang w:val="en"/>
        </w:rPr>
        <w:t xml:space="preserve"> et seq.], may be conducted by rulemaking procedures. Except as provided in subsection (d), the procedures in such a rulemaking proceeding shall assure full consideration of the issues and an opportunity for interested persons to present their views.</w:t>
      </w:r>
    </w:p>
    <w:p w:rsidR="007A1675" w:rsidRPr="007A1675" w:rsidRDefault="007A1675" w:rsidP="007A1675">
      <w:pPr>
        <w:spacing w:after="0" w:line="240" w:lineRule="auto"/>
        <w:rPr>
          <w:rFonts w:ascii="Helvetica" w:eastAsia="Times New Roman" w:hAnsi="Helvetica" w:cs="Helvetica"/>
          <w:color w:val="333333"/>
          <w:sz w:val="21"/>
          <w:szCs w:val="21"/>
          <w:lang w:val="en"/>
        </w:rPr>
      </w:pPr>
      <w:bookmarkStart w:id="23" w:name="d"/>
      <w:bookmarkEnd w:id="23"/>
      <w:r w:rsidRPr="007A1675">
        <w:rPr>
          <w:rFonts w:ascii="Helvetica" w:eastAsia="Times New Roman" w:hAnsi="Helvetica" w:cs="Helvetica"/>
          <w:b/>
          <w:bCs/>
          <w:color w:val="333333"/>
          <w:sz w:val="21"/>
          <w:szCs w:val="21"/>
          <w:lang w:val="en"/>
        </w:rPr>
        <w:t>(d) Submission of written questions by interested persons</w:t>
      </w:r>
      <w:r w:rsidRPr="007A1675">
        <w:rPr>
          <w:rFonts w:ascii="Helvetica" w:eastAsia="Times New Roman" w:hAnsi="Helvetica" w:cs="Helvetica"/>
          <w:color w:val="333333"/>
          <w:sz w:val="21"/>
          <w:szCs w:val="21"/>
          <w:lang w:val="en"/>
        </w:rPr>
        <w:t xml:space="preserve"> </w:t>
      </w:r>
    </w:p>
    <w:p w:rsidR="007A1675" w:rsidRPr="007A1675" w:rsidRDefault="007A1675" w:rsidP="007A1675">
      <w:pPr>
        <w:spacing w:after="15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With respect to any rule or regulation promulgated by the Commission to establish rates and charges for the first sale of natural gas by a producer or gatherer to a natural gas pipeline under the Natural Gas Act [</w:t>
      </w:r>
      <w:hyperlink r:id="rId42" w:tooltip="§ 717 - Regulation of natural gas companies" w:history="1">
        <w:r w:rsidRPr="007A1675">
          <w:rPr>
            <w:rFonts w:ascii="Helvetica" w:eastAsia="Times New Roman" w:hAnsi="Helvetica" w:cs="Helvetica"/>
            <w:color w:val="428BCA"/>
            <w:sz w:val="21"/>
            <w:szCs w:val="21"/>
            <w:lang w:val="en"/>
          </w:rPr>
          <w:t>15 U.S.C. 717</w:t>
        </w:r>
      </w:hyperlink>
      <w:r w:rsidRPr="007A1675">
        <w:rPr>
          <w:rFonts w:ascii="Helvetica" w:eastAsia="Times New Roman" w:hAnsi="Helvetica" w:cs="Helvetica"/>
          <w:color w:val="333333"/>
          <w:sz w:val="21"/>
          <w:szCs w:val="21"/>
          <w:lang w:val="en"/>
        </w:rPr>
        <w:t xml:space="preserve"> et seq.], the Commission may afford any interested person a reasonable opportunity to submit written questions with respect to disputed issues of fact to other interested persons participating in the rulemaking proceedings. The Commission may establish a reasonable time for both the submission of questions and responses thereto.</w:t>
      </w:r>
    </w:p>
    <w:p w:rsidR="007A1675" w:rsidRPr="007A1675" w:rsidRDefault="007A1675" w:rsidP="007A1675">
      <w:pPr>
        <w:spacing w:after="60" w:line="240" w:lineRule="auto"/>
        <w:rPr>
          <w:rFonts w:ascii="Helvetica" w:eastAsia="Times New Roman" w:hAnsi="Helvetica" w:cs="Helvetica"/>
          <w:color w:val="333333"/>
          <w:sz w:val="21"/>
          <w:szCs w:val="21"/>
          <w:lang w:val="en"/>
        </w:rPr>
      </w:pPr>
      <w:r w:rsidRPr="007A1675">
        <w:rPr>
          <w:rFonts w:ascii="Helvetica" w:eastAsia="Times New Roman" w:hAnsi="Helvetica" w:cs="Helvetica"/>
          <w:color w:val="333333"/>
          <w:sz w:val="21"/>
          <w:szCs w:val="21"/>
          <w:lang w:val="en"/>
        </w:rPr>
        <w:t>(</w:t>
      </w:r>
      <w:hyperlink r:id="rId43" w:anchor="91" w:tooltip="Pub. L. 95–91, title IV" w:history="1">
        <w:r w:rsidRPr="007A1675">
          <w:rPr>
            <w:rFonts w:ascii="Helvetica" w:eastAsia="Times New Roman" w:hAnsi="Helvetica" w:cs="Helvetica"/>
            <w:color w:val="428BCA"/>
            <w:sz w:val="21"/>
            <w:szCs w:val="21"/>
            <w:lang w:val="en"/>
          </w:rPr>
          <w:t>Pub. L. 95–91, title IV</w:t>
        </w:r>
      </w:hyperlink>
      <w:r w:rsidRPr="007A1675">
        <w:rPr>
          <w:rFonts w:ascii="Helvetica" w:eastAsia="Times New Roman" w:hAnsi="Helvetica" w:cs="Helvetica"/>
          <w:color w:val="333333"/>
          <w:sz w:val="21"/>
          <w:szCs w:val="21"/>
          <w:lang w:val="en"/>
        </w:rPr>
        <w:t xml:space="preserve">, § 403, Aug. 4, 1977, </w:t>
      </w:r>
      <w:hyperlink r:id="rId44" w:tooltip="91 Stat. 585" w:history="1">
        <w:r w:rsidRPr="007A1675">
          <w:rPr>
            <w:rFonts w:ascii="Helvetica" w:eastAsia="Times New Roman" w:hAnsi="Helvetica" w:cs="Helvetica"/>
            <w:color w:val="428BCA"/>
            <w:sz w:val="21"/>
            <w:szCs w:val="21"/>
            <w:lang w:val="en"/>
          </w:rPr>
          <w:t>91 Stat. 585</w:t>
        </w:r>
      </w:hyperlink>
      <w:r w:rsidRPr="007A1675">
        <w:rPr>
          <w:rFonts w:ascii="Helvetica" w:eastAsia="Times New Roman" w:hAnsi="Helvetica" w:cs="Helvetica"/>
          <w:color w:val="333333"/>
          <w:sz w:val="21"/>
          <w:szCs w:val="21"/>
          <w:lang w:val="en"/>
        </w:rPr>
        <w:t>.)</w:t>
      </w:r>
    </w:p>
    <w:p w:rsidR="00651CCF" w:rsidRDefault="00651CCF"/>
    <w:sectPr w:rsidR="00651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853"/>
    <w:multiLevelType w:val="multilevel"/>
    <w:tmpl w:val="2C3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221A7"/>
    <w:multiLevelType w:val="multilevel"/>
    <w:tmpl w:val="581A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A0599C"/>
    <w:multiLevelType w:val="multilevel"/>
    <w:tmpl w:val="004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5F5A7D"/>
    <w:multiLevelType w:val="multilevel"/>
    <w:tmpl w:val="54BC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B2CAF"/>
    <w:multiLevelType w:val="multilevel"/>
    <w:tmpl w:val="C9B6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B51436"/>
    <w:multiLevelType w:val="multilevel"/>
    <w:tmpl w:val="44B66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75"/>
    <w:rsid w:val="00471D6C"/>
    <w:rsid w:val="00651CCF"/>
    <w:rsid w:val="007A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24804">
      <w:bodyDiv w:val="1"/>
      <w:marLeft w:val="0"/>
      <w:marRight w:val="0"/>
      <w:marTop w:val="0"/>
      <w:marBottom w:val="0"/>
      <w:divBdr>
        <w:top w:val="none" w:sz="0" w:space="0" w:color="auto"/>
        <w:left w:val="none" w:sz="0" w:space="0" w:color="auto"/>
        <w:bottom w:val="none" w:sz="0" w:space="0" w:color="auto"/>
        <w:right w:val="none" w:sz="0" w:space="0" w:color="auto"/>
      </w:divBdr>
      <w:divsChild>
        <w:div w:id="1818109527">
          <w:marLeft w:val="0"/>
          <w:marRight w:val="0"/>
          <w:marTop w:val="0"/>
          <w:marBottom w:val="0"/>
          <w:divBdr>
            <w:top w:val="none" w:sz="0" w:space="0" w:color="auto"/>
            <w:left w:val="none" w:sz="0" w:space="0" w:color="auto"/>
            <w:bottom w:val="none" w:sz="0" w:space="0" w:color="auto"/>
            <w:right w:val="none" w:sz="0" w:space="0" w:color="auto"/>
          </w:divBdr>
          <w:divsChild>
            <w:div w:id="1468006599">
              <w:marLeft w:val="0"/>
              <w:marRight w:val="0"/>
              <w:marTop w:val="0"/>
              <w:marBottom w:val="0"/>
              <w:divBdr>
                <w:top w:val="none" w:sz="0" w:space="0" w:color="auto"/>
                <w:left w:val="none" w:sz="0" w:space="0" w:color="auto"/>
                <w:bottom w:val="none" w:sz="0" w:space="0" w:color="auto"/>
                <w:right w:val="none" w:sz="0" w:space="0" w:color="auto"/>
              </w:divBdr>
              <w:divsChild>
                <w:div w:id="1797481895">
                  <w:marLeft w:val="0"/>
                  <w:marRight w:val="0"/>
                  <w:marTop w:val="0"/>
                  <w:marBottom w:val="0"/>
                  <w:divBdr>
                    <w:top w:val="none" w:sz="0" w:space="0" w:color="auto"/>
                    <w:left w:val="none" w:sz="0" w:space="0" w:color="auto"/>
                    <w:bottom w:val="none" w:sz="0" w:space="0" w:color="auto"/>
                    <w:right w:val="none" w:sz="0" w:space="0" w:color="auto"/>
                  </w:divBdr>
                  <w:divsChild>
                    <w:div w:id="199437985">
                      <w:marLeft w:val="0"/>
                      <w:marRight w:val="0"/>
                      <w:marTop w:val="0"/>
                      <w:marBottom w:val="0"/>
                      <w:divBdr>
                        <w:top w:val="none" w:sz="0" w:space="0" w:color="auto"/>
                        <w:left w:val="none" w:sz="0" w:space="0" w:color="auto"/>
                        <w:bottom w:val="none" w:sz="0" w:space="0" w:color="auto"/>
                        <w:right w:val="none" w:sz="0" w:space="0" w:color="auto"/>
                      </w:divBdr>
                      <w:divsChild>
                        <w:div w:id="16958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48655">
          <w:marLeft w:val="0"/>
          <w:marRight w:val="0"/>
          <w:marTop w:val="0"/>
          <w:marBottom w:val="0"/>
          <w:divBdr>
            <w:top w:val="none" w:sz="0" w:space="0" w:color="auto"/>
            <w:left w:val="none" w:sz="0" w:space="0" w:color="auto"/>
            <w:bottom w:val="none" w:sz="0" w:space="0" w:color="auto"/>
            <w:right w:val="none" w:sz="0" w:space="0" w:color="auto"/>
          </w:divBdr>
          <w:divsChild>
            <w:div w:id="1202672390">
              <w:marLeft w:val="0"/>
              <w:marRight w:val="0"/>
              <w:marTop w:val="0"/>
              <w:marBottom w:val="0"/>
              <w:divBdr>
                <w:top w:val="none" w:sz="0" w:space="0" w:color="auto"/>
                <w:left w:val="none" w:sz="0" w:space="0" w:color="auto"/>
                <w:bottom w:val="none" w:sz="0" w:space="0" w:color="auto"/>
                <w:right w:val="none" w:sz="0" w:space="0" w:color="auto"/>
              </w:divBdr>
              <w:divsChild>
                <w:div w:id="353701230">
                  <w:marLeft w:val="0"/>
                  <w:marRight w:val="0"/>
                  <w:marTop w:val="0"/>
                  <w:marBottom w:val="0"/>
                  <w:divBdr>
                    <w:top w:val="none" w:sz="0" w:space="0" w:color="auto"/>
                    <w:left w:val="none" w:sz="0" w:space="0" w:color="auto"/>
                    <w:bottom w:val="none" w:sz="0" w:space="0" w:color="auto"/>
                    <w:right w:val="none" w:sz="0" w:space="0" w:color="auto"/>
                  </w:divBdr>
                  <w:divsChild>
                    <w:div w:id="227543120">
                      <w:marLeft w:val="0"/>
                      <w:marRight w:val="0"/>
                      <w:marTop w:val="0"/>
                      <w:marBottom w:val="0"/>
                      <w:divBdr>
                        <w:top w:val="none" w:sz="0" w:space="0" w:color="auto"/>
                        <w:left w:val="none" w:sz="0" w:space="0" w:color="auto"/>
                        <w:bottom w:val="none" w:sz="0" w:space="0" w:color="auto"/>
                        <w:right w:val="none" w:sz="0" w:space="0" w:color="auto"/>
                      </w:divBdr>
                      <w:divsChild>
                        <w:div w:id="1387997070">
                          <w:marLeft w:val="0"/>
                          <w:marRight w:val="0"/>
                          <w:marTop w:val="0"/>
                          <w:marBottom w:val="0"/>
                          <w:divBdr>
                            <w:top w:val="none" w:sz="0" w:space="0" w:color="auto"/>
                            <w:left w:val="none" w:sz="0" w:space="0" w:color="auto"/>
                            <w:bottom w:val="none" w:sz="0" w:space="0" w:color="auto"/>
                            <w:right w:val="none" w:sz="0" w:space="0" w:color="auto"/>
                          </w:divBdr>
                        </w:div>
                      </w:divsChild>
                    </w:div>
                    <w:div w:id="1469588630">
                      <w:marLeft w:val="0"/>
                      <w:marRight w:val="0"/>
                      <w:marTop w:val="0"/>
                      <w:marBottom w:val="0"/>
                      <w:divBdr>
                        <w:top w:val="none" w:sz="0" w:space="0" w:color="auto"/>
                        <w:left w:val="none" w:sz="0" w:space="0" w:color="auto"/>
                        <w:bottom w:val="none" w:sz="0" w:space="0" w:color="auto"/>
                        <w:right w:val="none" w:sz="0" w:space="0" w:color="auto"/>
                      </w:divBdr>
                      <w:divsChild>
                        <w:div w:id="1389960977">
                          <w:marLeft w:val="0"/>
                          <w:marRight w:val="0"/>
                          <w:marTop w:val="0"/>
                          <w:marBottom w:val="0"/>
                          <w:divBdr>
                            <w:top w:val="none" w:sz="0" w:space="0" w:color="auto"/>
                            <w:left w:val="none" w:sz="0" w:space="0" w:color="auto"/>
                            <w:bottom w:val="none" w:sz="0" w:space="0" w:color="auto"/>
                            <w:right w:val="none" w:sz="0" w:space="0" w:color="auto"/>
                          </w:divBdr>
                          <w:divsChild>
                            <w:div w:id="1237059667">
                              <w:marLeft w:val="0"/>
                              <w:marRight w:val="0"/>
                              <w:marTop w:val="0"/>
                              <w:marBottom w:val="0"/>
                              <w:divBdr>
                                <w:top w:val="none" w:sz="0" w:space="0" w:color="auto"/>
                                <w:left w:val="none" w:sz="0" w:space="0" w:color="auto"/>
                                <w:bottom w:val="none" w:sz="0" w:space="0" w:color="auto"/>
                                <w:right w:val="none" w:sz="0" w:space="0" w:color="auto"/>
                              </w:divBdr>
                              <w:divsChild>
                                <w:div w:id="829908863">
                                  <w:marLeft w:val="0"/>
                                  <w:marRight w:val="0"/>
                                  <w:marTop w:val="0"/>
                                  <w:marBottom w:val="0"/>
                                  <w:divBdr>
                                    <w:top w:val="none" w:sz="0" w:space="0" w:color="auto"/>
                                    <w:left w:val="none" w:sz="0" w:space="0" w:color="auto"/>
                                    <w:bottom w:val="none" w:sz="0" w:space="0" w:color="auto"/>
                                    <w:right w:val="none" w:sz="0" w:space="0" w:color="auto"/>
                                  </w:divBdr>
                                </w:div>
                                <w:div w:id="1506238089">
                                  <w:marLeft w:val="0"/>
                                  <w:marRight w:val="0"/>
                                  <w:marTop w:val="0"/>
                                  <w:marBottom w:val="0"/>
                                  <w:divBdr>
                                    <w:top w:val="none" w:sz="0" w:space="0" w:color="auto"/>
                                    <w:left w:val="none" w:sz="0" w:space="0" w:color="auto"/>
                                    <w:bottom w:val="none" w:sz="0" w:space="0" w:color="auto"/>
                                    <w:right w:val="none" w:sz="0" w:space="0" w:color="auto"/>
                                  </w:divBdr>
                                  <w:divsChild>
                                    <w:div w:id="698043760">
                                      <w:marLeft w:val="0"/>
                                      <w:marRight w:val="0"/>
                                      <w:marTop w:val="0"/>
                                      <w:marBottom w:val="0"/>
                                      <w:divBdr>
                                        <w:top w:val="none" w:sz="0" w:space="0" w:color="auto"/>
                                        <w:left w:val="none" w:sz="0" w:space="0" w:color="auto"/>
                                        <w:bottom w:val="none" w:sz="0" w:space="0" w:color="auto"/>
                                        <w:right w:val="none" w:sz="0" w:space="0" w:color="auto"/>
                                      </w:divBdr>
                                      <w:divsChild>
                                        <w:div w:id="493303489">
                                          <w:marLeft w:val="0"/>
                                          <w:marRight w:val="0"/>
                                          <w:marTop w:val="0"/>
                                          <w:marBottom w:val="0"/>
                                          <w:divBdr>
                                            <w:top w:val="none" w:sz="0" w:space="0" w:color="auto"/>
                                            <w:left w:val="none" w:sz="0" w:space="0" w:color="auto"/>
                                            <w:bottom w:val="none" w:sz="0" w:space="0" w:color="auto"/>
                                            <w:right w:val="none" w:sz="0" w:space="0" w:color="auto"/>
                                          </w:divBdr>
                                          <w:divsChild>
                                            <w:div w:id="32971939">
                                              <w:marLeft w:val="0"/>
                                              <w:marRight w:val="0"/>
                                              <w:marTop w:val="0"/>
                                              <w:marBottom w:val="0"/>
                                              <w:divBdr>
                                                <w:top w:val="none" w:sz="0" w:space="0" w:color="auto"/>
                                                <w:left w:val="none" w:sz="0" w:space="0" w:color="auto"/>
                                                <w:bottom w:val="none" w:sz="0" w:space="0" w:color="auto"/>
                                                <w:right w:val="none" w:sz="0" w:space="0" w:color="auto"/>
                                              </w:divBdr>
                                              <w:divsChild>
                                                <w:div w:id="1820152714">
                                                  <w:marLeft w:val="0"/>
                                                  <w:marRight w:val="0"/>
                                                  <w:marTop w:val="0"/>
                                                  <w:marBottom w:val="0"/>
                                                  <w:divBdr>
                                                    <w:top w:val="none" w:sz="0" w:space="0" w:color="auto"/>
                                                    <w:left w:val="none" w:sz="0" w:space="0" w:color="auto"/>
                                                    <w:bottom w:val="none" w:sz="0" w:space="0" w:color="auto"/>
                                                    <w:right w:val="none" w:sz="0" w:space="0" w:color="auto"/>
                                                  </w:divBdr>
                                                  <w:divsChild>
                                                    <w:div w:id="887498481">
                                                      <w:marLeft w:val="0"/>
                                                      <w:marRight w:val="0"/>
                                                      <w:marTop w:val="240"/>
                                                      <w:marBottom w:val="60"/>
                                                      <w:divBdr>
                                                        <w:top w:val="none" w:sz="0" w:space="0" w:color="auto"/>
                                                        <w:left w:val="none" w:sz="0" w:space="0" w:color="auto"/>
                                                        <w:bottom w:val="none" w:sz="0" w:space="0" w:color="auto"/>
                                                        <w:right w:val="none" w:sz="0" w:space="0" w:color="auto"/>
                                                      </w:divBdr>
                                                      <w:divsChild>
                                                        <w:div w:id="313074146">
                                                          <w:marLeft w:val="0"/>
                                                          <w:marRight w:val="0"/>
                                                          <w:marTop w:val="0"/>
                                                          <w:marBottom w:val="0"/>
                                                          <w:divBdr>
                                                            <w:top w:val="none" w:sz="0" w:space="0" w:color="auto"/>
                                                            <w:left w:val="none" w:sz="0" w:space="0" w:color="auto"/>
                                                            <w:bottom w:val="none" w:sz="0" w:space="0" w:color="auto"/>
                                                            <w:right w:val="none" w:sz="0" w:space="0" w:color="auto"/>
                                                          </w:divBdr>
                                                        </w:div>
                                                        <w:div w:id="830557336">
                                                          <w:marLeft w:val="240"/>
                                                          <w:marRight w:val="0"/>
                                                          <w:marTop w:val="60"/>
                                                          <w:marBottom w:val="60"/>
                                                          <w:divBdr>
                                                            <w:top w:val="none" w:sz="0" w:space="0" w:color="auto"/>
                                                            <w:left w:val="none" w:sz="0" w:space="0" w:color="auto"/>
                                                            <w:bottom w:val="none" w:sz="0" w:space="0" w:color="auto"/>
                                                            <w:right w:val="none" w:sz="0" w:space="0" w:color="auto"/>
                                                          </w:divBdr>
                                                          <w:divsChild>
                                                            <w:div w:id="1730569498">
                                                              <w:marLeft w:val="0"/>
                                                              <w:marRight w:val="0"/>
                                                              <w:marTop w:val="0"/>
                                                              <w:marBottom w:val="0"/>
                                                              <w:divBdr>
                                                                <w:top w:val="none" w:sz="0" w:space="0" w:color="auto"/>
                                                                <w:left w:val="none" w:sz="0" w:space="0" w:color="auto"/>
                                                                <w:bottom w:val="none" w:sz="0" w:space="0" w:color="auto"/>
                                                                <w:right w:val="none" w:sz="0" w:space="0" w:color="auto"/>
                                                              </w:divBdr>
                                                            </w:div>
                                                          </w:divsChild>
                                                        </w:div>
                                                        <w:div w:id="629242309">
                                                          <w:marLeft w:val="240"/>
                                                          <w:marRight w:val="0"/>
                                                          <w:marTop w:val="60"/>
                                                          <w:marBottom w:val="60"/>
                                                          <w:divBdr>
                                                            <w:top w:val="none" w:sz="0" w:space="0" w:color="auto"/>
                                                            <w:left w:val="none" w:sz="0" w:space="0" w:color="auto"/>
                                                            <w:bottom w:val="none" w:sz="0" w:space="0" w:color="auto"/>
                                                            <w:right w:val="none" w:sz="0" w:space="0" w:color="auto"/>
                                                          </w:divBdr>
                                                          <w:divsChild>
                                                            <w:div w:id="22748707">
                                                              <w:marLeft w:val="0"/>
                                                              <w:marRight w:val="0"/>
                                                              <w:marTop w:val="0"/>
                                                              <w:marBottom w:val="0"/>
                                                              <w:divBdr>
                                                                <w:top w:val="none" w:sz="0" w:space="0" w:color="auto"/>
                                                                <w:left w:val="none" w:sz="0" w:space="0" w:color="auto"/>
                                                                <w:bottom w:val="none" w:sz="0" w:space="0" w:color="auto"/>
                                                                <w:right w:val="none" w:sz="0" w:space="0" w:color="auto"/>
                                                              </w:divBdr>
                                                            </w:div>
                                                          </w:divsChild>
                                                        </w:div>
                                                        <w:div w:id="1087967149">
                                                          <w:marLeft w:val="240"/>
                                                          <w:marRight w:val="0"/>
                                                          <w:marTop w:val="60"/>
                                                          <w:marBottom w:val="60"/>
                                                          <w:divBdr>
                                                            <w:top w:val="none" w:sz="0" w:space="0" w:color="auto"/>
                                                            <w:left w:val="none" w:sz="0" w:space="0" w:color="auto"/>
                                                            <w:bottom w:val="none" w:sz="0" w:space="0" w:color="auto"/>
                                                            <w:right w:val="none" w:sz="0" w:space="0" w:color="auto"/>
                                                          </w:divBdr>
                                                          <w:divsChild>
                                                            <w:div w:id="704405606">
                                                              <w:marLeft w:val="0"/>
                                                              <w:marRight w:val="0"/>
                                                              <w:marTop w:val="0"/>
                                                              <w:marBottom w:val="0"/>
                                                              <w:divBdr>
                                                                <w:top w:val="none" w:sz="0" w:space="0" w:color="auto"/>
                                                                <w:left w:val="none" w:sz="0" w:space="0" w:color="auto"/>
                                                                <w:bottom w:val="none" w:sz="0" w:space="0" w:color="auto"/>
                                                                <w:right w:val="none" w:sz="0" w:space="0" w:color="auto"/>
                                                              </w:divBdr>
                                                            </w:div>
                                                          </w:divsChild>
                                                        </w:div>
                                                        <w:div w:id="595789411">
                                                          <w:marLeft w:val="240"/>
                                                          <w:marRight w:val="0"/>
                                                          <w:marTop w:val="60"/>
                                                          <w:marBottom w:val="60"/>
                                                          <w:divBdr>
                                                            <w:top w:val="none" w:sz="0" w:space="0" w:color="auto"/>
                                                            <w:left w:val="none" w:sz="0" w:space="0" w:color="auto"/>
                                                            <w:bottom w:val="none" w:sz="0" w:space="0" w:color="auto"/>
                                                            <w:right w:val="none" w:sz="0" w:space="0" w:color="auto"/>
                                                          </w:divBdr>
                                                          <w:divsChild>
                                                            <w:div w:id="1944532149">
                                                              <w:marLeft w:val="0"/>
                                                              <w:marRight w:val="0"/>
                                                              <w:marTop w:val="0"/>
                                                              <w:marBottom w:val="0"/>
                                                              <w:divBdr>
                                                                <w:top w:val="none" w:sz="0" w:space="0" w:color="auto"/>
                                                                <w:left w:val="none" w:sz="0" w:space="0" w:color="auto"/>
                                                                <w:bottom w:val="none" w:sz="0" w:space="0" w:color="auto"/>
                                                                <w:right w:val="none" w:sz="0" w:space="0" w:color="auto"/>
                                                              </w:divBdr>
                                                            </w:div>
                                                          </w:divsChild>
                                                        </w:div>
                                                        <w:div w:id="23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64261">
      <w:bodyDiv w:val="1"/>
      <w:marLeft w:val="0"/>
      <w:marRight w:val="0"/>
      <w:marTop w:val="0"/>
      <w:marBottom w:val="0"/>
      <w:divBdr>
        <w:top w:val="none" w:sz="0" w:space="0" w:color="auto"/>
        <w:left w:val="none" w:sz="0" w:space="0" w:color="auto"/>
        <w:bottom w:val="none" w:sz="0" w:space="0" w:color="auto"/>
        <w:right w:val="none" w:sz="0" w:space="0" w:color="auto"/>
      </w:divBdr>
      <w:divsChild>
        <w:div w:id="1606227986">
          <w:marLeft w:val="0"/>
          <w:marRight w:val="0"/>
          <w:marTop w:val="0"/>
          <w:marBottom w:val="0"/>
          <w:divBdr>
            <w:top w:val="none" w:sz="0" w:space="0" w:color="auto"/>
            <w:left w:val="none" w:sz="0" w:space="0" w:color="auto"/>
            <w:bottom w:val="none" w:sz="0" w:space="0" w:color="auto"/>
            <w:right w:val="none" w:sz="0" w:space="0" w:color="auto"/>
          </w:divBdr>
          <w:divsChild>
            <w:div w:id="1883635828">
              <w:marLeft w:val="0"/>
              <w:marRight w:val="0"/>
              <w:marTop w:val="0"/>
              <w:marBottom w:val="0"/>
              <w:divBdr>
                <w:top w:val="none" w:sz="0" w:space="0" w:color="auto"/>
                <w:left w:val="none" w:sz="0" w:space="0" w:color="auto"/>
                <w:bottom w:val="none" w:sz="0" w:space="0" w:color="auto"/>
                <w:right w:val="none" w:sz="0" w:space="0" w:color="auto"/>
              </w:divBdr>
              <w:divsChild>
                <w:div w:id="926811556">
                  <w:marLeft w:val="0"/>
                  <w:marRight w:val="0"/>
                  <w:marTop w:val="0"/>
                  <w:marBottom w:val="0"/>
                  <w:divBdr>
                    <w:top w:val="none" w:sz="0" w:space="0" w:color="auto"/>
                    <w:left w:val="none" w:sz="0" w:space="0" w:color="auto"/>
                    <w:bottom w:val="none" w:sz="0" w:space="0" w:color="auto"/>
                    <w:right w:val="none" w:sz="0" w:space="0" w:color="auto"/>
                  </w:divBdr>
                  <w:divsChild>
                    <w:div w:id="159856675">
                      <w:marLeft w:val="0"/>
                      <w:marRight w:val="0"/>
                      <w:marTop w:val="0"/>
                      <w:marBottom w:val="0"/>
                      <w:divBdr>
                        <w:top w:val="none" w:sz="0" w:space="0" w:color="auto"/>
                        <w:left w:val="none" w:sz="0" w:space="0" w:color="auto"/>
                        <w:bottom w:val="none" w:sz="0" w:space="0" w:color="auto"/>
                        <w:right w:val="none" w:sz="0" w:space="0" w:color="auto"/>
                      </w:divBdr>
                      <w:divsChild>
                        <w:div w:id="20345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62473">
          <w:marLeft w:val="0"/>
          <w:marRight w:val="0"/>
          <w:marTop w:val="0"/>
          <w:marBottom w:val="0"/>
          <w:divBdr>
            <w:top w:val="none" w:sz="0" w:space="0" w:color="auto"/>
            <w:left w:val="none" w:sz="0" w:space="0" w:color="auto"/>
            <w:bottom w:val="none" w:sz="0" w:space="0" w:color="auto"/>
            <w:right w:val="none" w:sz="0" w:space="0" w:color="auto"/>
          </w:divBdr>
          <w:divsChild>
            <w:div w:id="1958103608">
              <w:marLeft w:val="0"/>
              <w:marRight w:val="0"/>
              <w:marTop w:val="0"/>
              <w:marBottom w:val="0"/>
              <w:divBdr>
                <w:top w:val="none" w:sz="0" w:space="0" w:color="auto"/>
                <w:left w:val="none" w:sz="0" w:space="0" w:color="auto"/>
                <w:bottom w:val="none" w:sz="0" w:space="0" w:color="auto"/>
                <w:right w:val="none" w:sz="0" w:space="0" w:color="auto"/>
              </w:divBdr>
              <w:divsChild>
                <w:div w:id="1191645028">
                  <w:marLeft w:val="0"/>
                  <w:marRight w:val="0"/>
                  <w:marTop w:val="0"/>
                  <w:marBottom w:val="0"/>
                  <w:divBdr>
                    <w:top w:val="none" w:sz="0" w:space="0" w:color="auto"/>
                    <w:left w:val="none" w:sz="0" w:space="0" w:color="auto"/>
                    <w:bottom w:val="none" w:sz="0" w:space="0" w:color="auto"/>
                    <w:right w:val="none" w:sz="0" w:space="0" w:color="auto"/>
                  </w:divBdr>
                  <w:divsChild>
                    <w:div w:id="1409646442">
                      <w:marLeft w:val="0"/>
                      <w:marRight w:val="0"/>
                      <w:marTop w:val="0"/>
                      <w:marBottom w:val="0"/>
                      <w:divBdr>
                        <w:top w:val="none" w:sz="0" w:space="0" w:color="auto"/>
                        <w:left w:val="none" w:sz="0" w:space="0" w:color="auto"/>
                        <w:bottom w:val="none" w:sz="0" w:space="0" w:color="auto"/>
                        <w:right w:val="none" w:sz="0" w:space="0" w:color="auto"/>
                      </w:divBdr>
                      <w:divsChild>
                        <w:div w:id="1695769142">
                          <w:marLeft w:val="0"/>
                          <w:marRight w:val="0"/>
                          <w:marTop w:val="0"/>
                          <w:marBottom w:val="0"/>
                          <w:divBdr>
                            <w:top w:val="none" w:sz="0" w:space="0" w:color="auto"/>
                            <w:left w:val="none" w:sz="0" w:space="0" w:color="auto"/>
                            <w:bottom w:val="none" w:sz="0" w:space="0" w:color="auto"/>
                            <w:right w:val="none" w:sz="0" w:space="0" w:color="auto"/>
                          </w:divBdr>
                        </w:div>
                      </w:divsChild>
                    </w:div>
                    <w:div w:id="565991819">
                      <w:marLeft w:val="0"/>
                      <w:marRight w:val="0"/>
                      <w:marTop w:val="0"/>
                      <w:marBottom w:val="0"/>
                      <w:divBdr>
                        <w:top w:val="none" w:sz="0" w:space="0" w:color="auto"/>
                        <w:left w:val="none" w:sz="0" w:space="0" w:color="auto"/>
                        <w:bottom w:val="none" w:sz="0" w:space="0" w:color="auto"/>
                        <w:right w:val="none" w:sz="0" w:space="0" w:color="auto"/>
                      </w:divBdr>
                      <w:divsChild>
                        <w:div w:id="1184856881">
                          <w:marLeft w:val="0"/>
                          <w:marRight w:val="0"/>
                          <w:marTop w:val="0"/>
                          <w:marBottom w:val="0"/>
                          <w:divBdr>
                            <w:top w:val="none" w:sz="0" w:space="0" w:color="auto"/>
                            <w:left w:val="none" w:sz="0" w:space="0" w:color="auto"/>
                            <w:bottom w:val="none" w:sz="0" w:space="0" w:color="auto"/>
                            <w:right w:val="none" w:sz="0" w:space="0" w:color="auto"/>
                          </w:divBdr>
                          <w:divsChild>
                            <w:div w:id="1564946777">
                              <w:marLeft w:val="0"/>
                              <w:marRight w:val="0"/>
                              <w:marTop w:val="0"/>
                              <w:marBottom w:val="0"/>
                              <w:divBdr>
                                <w:top w:val="none" w:sz="0" w:space="0" w:color="auto"/>
                                <w:left w:val="none" w:sz="0" w:space="0" w:color="auto"/>
                                <w:bottom w:val="none" w:sz="0" w:space="0" w:color="auto"/>
                                <w:right w:val="none" w:sz="0" w:space="0" w:color="auto"/>
                              </w:divBdr>
                              <w:divsChild>
                                <w:div w:id="804346764">
                                  <w:marLeft w:val="0"/>
                                  <w:marRight w:val="0"/>
                                  <w:marTop w:val="0"/>
                                  <w:marBottom w:val="0"/>
                                  <w:divBdr>
                                    <w:top w:val="none" w:sz="0" w:space="0" w:color="auto"/>
                                    <w:left w:val="none" w:sz="0" w:space="0" w:color="auto"/>
                                    <w:bottom w:val="none" w:sz="0" w:space="0" w:color="auto"/>
                                    <w:right w:val="none" w:sz="0" w:space="0" w:color="auto"/>
                                  </w:divBdr>
                                </w:div>
                                <w:div w:id="629242471">
                                  <w:marLeft w:val="0"/>
                                  <w:marRight w:val="0"/>
                                  <w:marTop w:val="0"/>
                                  <w:marBottom w:val="0"/>
                                  <w:divBdr>
                                    <w:top w:val="none" w:sz="0" w:space="0" w:color="auto"/>
                                    <w:left w:val="none" w:sz="0" w:space="0" w:color="auto"/>
                                    <w:bottom w:val="none" w:sz="0" w:space="0" w:color="auto"/>
                                    <w:right w:val="none" w:sz="0" w:space="0" w:color="auto"/>
                                  </w:divBdr>
                                  <w:divsChild>
                                    <w:div w:id="387844227">
                                      <w:marLeft w:val="0"/>
                                      <w:marRight w:val="0"/>
                                      <w:marTop w:val="0"/>
                                      <w:marBottom w:val="0"/>
                                      <w:divBdr>
                                        <w:top w:val="none" w:sz="0" w:space="0" w:color="auto"/>
                                        <w:left w:val="none" w:sz="0" w:space="0" w:color="auto"/>
                                        <w:bottom w:val="none" w:sz="0" w:space="0" w:color="auto"/>
                                        <w:right w:val="none" w:sz="0" w:space="0" w:color="auto"/>
                                      </w:divBdr>
                                      <w:divsChild>
                                        <w:div w:id="2092700157">
                                          <w:marLeft w:val="0"/>
                                          <w:marRight w:val="0"/>
                                          <w:marTop w:val="0"/>
                                          <w:marBottom w:val="0"/>
                                          <w:divBdr>
                                            <w:top w:val="none" w:sz="0" w:space="0" w:color="auto"/>
                                            <w:left w:val="none" w:sz="0" w:space="0" w:color="auto"/>
                                            <w:bottom w:val="none" w:sz="0" w:space="0" w:color="auto"/>
                                            <w:right w:val="none" w:sz="0" w:space="0" w:color="auto"/>
                                          </w:divBdr>
                                          <w:divsChild>
                                            <w:div w:id="651759557">
                                              <w:marLeft w:val="0"/>
                                              <w:marRight w:val="0"/>
                                              <w:marTop w:val="0"/>
                                              <w:marBottom w:val="0"/>
                                              <w:divBdr>
                                                <w:top w:val="none" w:sz="0" w:space="0" w:color="auto"/>
                                                <w:left w:val="none" w:sz="0" w:space="0" w:color="auto"/>
                                                <w:bottom w:val="none" w:sz="0" w:space="0" w:color="auto"/>
                                                <w:right w:val="none" w:sz="0" w:space="0" w:color="auto"/>
                                              </w:divBdr>
                                              <w:divsChild>
                                                <w:div w:id="1502621370">
                                                  <w:marLeft w:val="0"/>
                                                  <w:marRight w:val="0"/>
                                                  <w:marTop w:val="0"/>
                                                  <w:marBottom w:val="0"/>
                                                  <w:divBdr>
                                                    <w:top w:val="none" w:sz="0" w:space="0" w:color="auto"/>
                                                    <w:left w:val="none" w:sz="0" w:space="0" w:color="auto"/>
                                                    <w:bottom w:val="none" w:sz="0" w:space="0" w:color="auto"/>
                                                    <w:right w:val="none" w:sz="0" w:space="0" w:color="auto"/>
                                                  </w:divBdr>
                                                  <w:divsChild>
                                                    <w:div w:id="621229759">
                                                      <w:marLeft w:val="0"/>
                                                      <w:marRight w:val="0"/>
                                                      <w:marTop w:val="240"/>
                                                      <w:marBottom w:val="60"/>
                                                      <w:divBdr>
                                                        <w:top w:val="none" w:sz="0" w:space="0" w:color="auto"/>
                                                        <w:left w:val="none" w:sz="0" w:space="0" w:color="auto"/>
                                                        <w:bottom w:val="none" w:sz="0" w:space="0" w:color="auto"/>
                                                        <w:right w:val="none" w:sz="0" w:space="0" w:color="auto"/>
                                                      </w:divBdr>
                                                      <w:divsChild>
                                                        <w:div w:id="1076560221">
                                                          <w:marLeft w:val="0"/>
                                                          <w:marRight w:val="0"/>
                                                          <w:marTop w:val="0"/>
                                                          <w:marBottom w:val="0"/>
                                                          <w:divBdr>
                                                            <w:top w:val="none" w:sz="0" w:space="0" w:color="auto"/>
                                                            <w:left w:val="none" w:sz="0" w:space="0" w:color="auto"/>
                                                            <w:bottom w:val="none" w:sz="0" w:space="0" w:color="auto"/>
                                                            <w:right w:val="none" w:sz="0" w:space="0" w:color="auto"/>
                                                          </w:divBdr>
                                                        </w:div>
                                                        <w:div w:id="826826834">
                                                          <w:marLeft w:val="240"/>
                                                          <w:marRight w:val="0"/>
                                                          <w:marTop w:val="60"/>
                                                          <w:marBottom w:val="60"/>
                                                          <w:divBdr>
                                                            <w:top w:val="none" w:sz="0" w:space="0" w:color="auto"/>
                                                            <w:left w:val="none" w:sz="0" w:space="0" w:color="auto"/>
                                                            <w:bottom w:val="none" w:sz="0" w:space="0" w:color="auto"/>
                                                            <w:right w:val="none" w:sz="0" w:space="0" w:color="auto"/>
                                                          </w:divBdr>
                                                          <w:divsChild>
                                                            <w:div w:id="264964553">
                                                              <w:marLeft w:val="240"/>
                                                              <w:marRight w:val="0"/>
                                                              <w:marTop w:val="60"/>
                                                              <w:marBottom w:val="60"/>
                                                              <w:divBdr>
                                                                <w:top w:val="none" w:sz="0" w:space="0" w:color="auto"/>
                                                                <w:left w:val="none" w:sz="0" w:space="0" w:color="auto"/>
                                                                <w:bottom w:val="none" w:sz="0" w:space="0" w:color="auto"/>
                                                                <w:right w:val="none" w:sz="0" w:space="0" w:color="auto"/>
                                                              </w:divBdr>
                                                              <w:divsChild>
                                                                <w:div w:id="1929459328">
                                                                  <w:marLeft w:val="240"/>
                                                                  <w:marRight w:val="0"/>
                                                                  <w:marTop w:val="60"/>
                                                                  <w:marBottom w:val="60"/>
                                                                  <w:divBdr>
                                                                    <w:top w:val="none" w:sz="0" w:space="0" w:color="auto"/>
                                                                    <w:left w:val="none" w:sz="0" w:space="0" w:color="auto"/>
                                                                    <w:bottom w:val="none" w:sz="0" w:space="0" w:color="auto"/>
                                                                    <w:right w:val="none" w:sz="0" w:space="0" w:color="auto"/>
                                                                  </w:divBdr>
                                                                  <w:divsChild>
                                                                    <w:div w:id="1337879879">
                                                                      <w:marLeft w:val="0"/>
                                                                      <w:marRight w:val="0"/>
                                                                      <w:marTop w:val="0"/>
                                                                      <w:marBottom w:val="0"/>
                                                                      <w:divBdr>
                                                                        <w:top w:val="none" w:sz="0" w:space="0" w:color="auto"/>
                                                                        <w:left w:val="none" w:sz="0" w:space="0" w:color="auto"/>
                                                                        <w:bottom w:val="none" w:sz="0" w:space="0" w:color="auto"/>
                                                                        <w:right w:val="none" w:sz="0" w:space="0" w:color="auto"/>
                                                                      </w:divBdr>
                                                                    </w:div>
                                                                  </w:divsChild>
                                                                </w:div>
                                                                <w:div w:id="1580359519">
                                                                  <w:marLeft w:val="240"/>
                                                                  <w:marRight w:val="0"/>
                                                                  <w:marTop w:val="60"/>
                                                                  <w:marBottom w:val="60"/>
                                                                  <w:divBdr>
                                                                    <w:top w:val="none" w:sz="0" w:space="0" w:color="auto"/>
                                                                    <w:left w:val="none" w:sz="0" w:space="0" w:color="auto"/>
                                                                    <w:bottom w:val="none" w:sz="0" w:space="0" w:color="auto"/>
                                                                    <w:right w:val="none" w:sz="0" w:space="0" w:color="auto"/>
                                                                  </w:divBdr>
                                                                  <w:divsChild>
                                                                    <w:div w:id="1862276056">
                                                                      <w:marLeft w:val="0"/>
                                                                      <w:marRight w:val="0"/>
                                                                      <w:marTop w:val="0"/>
                                                                      <w:marBottom w:val="0"/>
                                                                      <w:divBdr>
                                                                        <w:top w:val="none" w:sz="0" w:space="0" w:color="auto"/>
                                                                        <w:left w:val="none" w:sz="0" w:space="0" w:color="auto"/>
                                                                        <w:bottom w:val="none" w:sz="0" w:space="0" w:color="auto"/>
                                                                        <w:right w:val="none" w:sz="0" w:space="0" w:color="auto"/>
                                                                      </w:divBdr>
                                                                    </w:div>
                                                                  </w:divsChild>
                                                                </w:div>
                                                                <w:div w:id="1229922564">
                                                                  <w:marLeft w:val="240"/>
                                                                  <w:marRight w:val="0"/>
                                                                  <w:marTop w:val="60"/>
                                                                  <w:marBottom w:val="60"/>
                                                                  <w:divBdr>
                                                                    <w:top w:val="none" w:sz="0" w:space="0" w:color="auto"/>
                                                                    <w:left w:val="none" w:sz="0" w:space="0" w:color="auto"/>
                                                                    <w:bottom w:val="none" w:sz="0" w:space="0" w:color="auto"/>
                                                                    <w:right w:val="none" w:sz="0" w:space="0" w:color="auto"/>
                                                                  </w:divBdr>
                                                                  <w:divsChild>
                                                                    <w:div w:id="1605116535">
                                                                      <w:marLeft w:val="0"/>
                                                                      <w:marRight w:val="0"/>
                                                                      <w:marTop w:val="0"/>
                                                                      <w:marBottom w:val="0"/>
                                                                      <w:divBdr>
                                                                        <w:top w:val="none" w:sz="0" w:space="0" w:color="auto"/>
                                                                        <w:left w:val="none" w:sz="0" w:space="0" w:color="auto"/>
                                                                        <w:bottom w:val="none" w:sz="0" w:space="0" w:color="auto"/>
                                                                        <w:right w:val="none" w:sz="0" w:space="0" w:color="auto"/>
                                                                      </w:divBdr>
                                                                    </w:div>
                                                                  </w:divsChild>
                                                                </w:div>
                                                                <w:div w:id="684744555">
                                                                  <w:marLeft w:val="240"/>
                                                                  <w:marRight w:val="0"/>
                                                                  <w:marTop w:val="60"/>
                                                                  <w:marBottom w:val="60"/>
                                                                  <w:divBdr>
                                                                    <w:top w:val="none" w:sz="0" w:space="0" w:color="auto"/>
                                                                    <w:left w:val="none" w:sz="0" w:space="0" w:color="auto"/>
                                                                    <w:bottom w:val="none" w:sz="0" w:space="0" w:color="auto"/>
                                                                    <w:right w:val="none" w:sz="0" w:space="0" w:color="auto"/>
                                                                  </w:divBdr>
                                                                  <w:divsChild>
                                                                    <w:div w:id="820342596">
                                                                      <w:marLeft w:val="0"/>
                                                                      <w:marRight w:val="0"/>
                                                                      <w:marTop w:val="0"/>
                                                                      <w:marBottom w:val="0"/>
                                                                      <w:divBdr>
                                                                        <w:top w:val="none" w:sz="0" w:space="0" w:color="auto"/>
                                                                        <w:left w:val="none" w:sz="0" w:space="0" w:color="auto"/>
                                                                        <w:bottom w:val="none" w:sz="0" w:space="0" w:color="auto"/>
                                                                        <w:right w:val="none" w:sz="0" w:space="0" w:color="auto"/>
                                                                      </w:divBdr>
                                                                    </w:div>
                                                                  </w:divsChild>
                                                                </w:div>
                                                                <w:div w:id="276062870">
                                                                  <w:marLeft w:val="240"/>
                                                                  <w:marRight w:val="0"/>
                                                                  <w:marTop w:val="60"/>
                                                                  <w:marBottom w:val="60"/>
                                                                  <w:divBdr>
                                                                    <w:top w:val="none" w:sz="0" w:space="0" w:color="auto"/>
                                                                    <w:left w:val="none" w:sz="0" w:space="0" w:color="auto"/>
                                                                    <w:bottom w:val="none" w:sz="0" w:space="0" w:color="auto"/>
                                                                    <w:right w:val="none" w:sz="0" w:space="0" w:color="auto"/>
                                                                  </w:divBdr>
                                                                  <w:divsChild>
                                                                    <w:div w:id="922688538">
                                                                      <w:marLeft w:val="0"/>
                                                                      <w:marRight w:val="0"/>
                                                                      <w:marTop w:val="0"/>
                                                                      <w:marBottom w:val="0"/>
                                                                      <w:divBdr>
                                                                        <w:top w:val="none" w:sz="0" w:space="0" w:color="auto"/>
                                                                        <w:left w:val="none" w:sz="0" w:space="0" w:color="auto"/>
                                                                        <w:bottom w:val="none" w:sz="0" w:space="0" w:color="auto"/>
                                                                        <w:right w:val="none" w:sz="0" w:space="0" w:color="auto"/>
                                                                      </w:divBdr>
                                                                    </w:div>
                                                                  </w:divsChild>
                                                                </w:div>
                                                                <w:div w:id="2140416247">
                                                                  <w:marLeft w:val="240"/>
                                                                  <w:marRight w:val="0"/>
                                                                  <w:marTop w:val="60"/>
                                                                  <w:marBottom w:val="60"/>
                                                                  <w:divBdr>
                                                                    <w:top w:val="none" w:sz="0" w:space="0" w:color="auto"/>
                                                                    <w:left w:val="none" w:sz="0" w:space="0" w:color="auto"/>
                                                                    <w:bottom w:val="none" w:sz="0" w:space="0" w:color="auto"/>
                                                                    <w:right w:val="none" w:sz="0" w:space="0" w:color="auto"/>
                                                                  </w:divBdr>
                                                                  <w:divsChild>
                                                                    <w:div w:id="10844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3383">
                                                              <w:marLeft w:val="240"/>
                                                              <w:marRight w:val="0"/>
                                                              <w:marTop w:val="60"/>
                                                              <w:marBottom w:val="60"/>
                                                              <w:divBdr>
                                                                <w:top w:val="none" w:sz="0" w:space="0" w:color="auto"/>
                                                                <w:left w:val="none" w:sz="0" w:space="0" w:color="auto"/>
                                                                <w:bottom w:val="none" w:sz="0" w:space="0" w:color="auto"/>
                                                                <w:right w:val="none" w:sz="0" w:space="0" w:color="auto"/>
                                                              </w:divBdr>
                                                              <w:divsChild>
                                                                <w:div w:id="936790015">
                                                                  <w:marLeft w:val="240"/>
                                                                  <w:marRight w:val="0"/>
                                                                  <w:marTop w:val="60"/>
                                                                  <w:marBottom w:val="60"/>
                                                                  <w:divBdr>
                                                                    <w:top w:val="none" w:sz="0" w:space="0" w:color="auto"/>
                                                                    <w:left w:val="none" w:sz="0" w:space="0" w:color="auto"/>
                                                                    <w:bottom w:val="none" w:sz="0" w:space="0" w:color="auto"/>
                                                                    <w:right w:val="none" w:sz="0" w:space="0" w:color="auto"/>
                                                                  </w:divBdr>
                                                                  <w:divsChild>
                                                                    <w:div w:id="1730297268">
                                                                      <w:marLeft w:val="0"/>
                                                                      <w:marRight w:val="0"/>
                                                                      <w:marTop w:val="0"/>
                                                                      <w:marBottom w:val="0"/>
                                                                      <w:divBdr>
                                                                        <w:top w:val="none" w:sz="0" w:space="0" w:color="auto"/>
                                                                        <w:left w:val="none" w:sz="0" w:space="0" w:color="auto"/>
                                                                        <w:bottom w:val="none" w:sz="0" w:space="0" w:color="auto"/>
                                                                        <w:right w:val="none" w:sz="0" w:space="0" w:color="auto"/>
                                                                      </w:divBdr>
                                                                    </w:div>
                                                                  </w:divsChild>
                                                                </w:div>
                                                                <w:div w:id="1511334356">
                                                                  <w:marLeft w:val="240"/>
                                                                  <w:marRight w:val="0"/>
                                                                  <w:marTop w:val="60"/>
                                                                  <w:marBottom w:val="60"/>
                                                                  <w:divBdr>
                                                                    <w:top w:val="none" w:sz="0" w:space="0" w:color="auto"/>
                                                                    <w:left w:val="none" w:sz="0" w:space="0" w:color="auto"/>
                                                                    <w:bottom w:val="none" w:sz="0" w:space="0" w:color="auto"/>
                                                                    <w:right w:val="none" w:sz="0" w:space="0" w:color="auto"/>
                                                                  </w:divBdr>
                                                                  <w:divsChild>
                                                                    <w:div w:id="7819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9702">
                                                          <w:marLeft w:val="240"/>
                                                          <w:marRight w:val="0"/>
                                                          <w:marTop w:val="60"/>
                                                          <w:marBottom w:val="60"/>
                                                          <w:divBdr>
                                                            <w:top w:val="none" w:sz="0" w:space="0" w:color="auto"/>
                                                            <w:left w:val="none" w:sz="0" w:space="0" w:color="auto"/>
                                                            <w:bottom w:val="none" w:sz="0" w:space="0" w:color="auto"/>
                                                            <w:right w:val="none" w:sz="0" w:space="0" w:color="auto"/>
                                                          </w:divBdr>
                                                        </w:div>
                                                        <w:div w:id="1039890310">
                                                          <w:marLeft w:val="240"/>
                                                          <w:marRight w:val="0"/>
                                                          <w:marTop w:val="60"/>
                                                          <w:marBottom w:val="60"/>
                                                          <w:divBdr>
                                                            <w:top w:val="none" w:sz="0" w:space="0" w:color="auto"/>
                                                            <w:left w:val="none" w:sz="0" w:space="0" w:color="auto"/>
                                                            <w:bottom w:val="none" w:sz="0" w:space="0" w:color="auto"/>
                                                            <w:right w:val="none" w:sz="0" w:space="0" w:color="auto"/>
                                                          </w:divBdr>
                                                          <w:divsChild>
                                                            <w:div w:id="360522753">
                                                              <w:marLeft w:val="240"/>
                                                              <w:marRight w:val="0"/>
                                                              <w:marTop w:val="60"/>
                                                              <w:marBottom w:val="60"/>
                                                              <w:divBdr>
                                                                <w:top w:val="none" w:sz="0" w:space="0" w:color="auto"/>
                                                                <w:left w:val="none" w:sz="0" w:space="0" w:color="auto"/>
                                                                <w:bottom w:val="none" w:sz="0" w:space="0" w:color="auto"/>
                                                                <w:right w:val="none" w:sz="0" w:space="0" w:color="auto"/>
                                                              </w:divBdr>
                                                              <w:divsChild>
                                                                <w:div w:id="1856462308">
                                                                  <w:marLeft w:val="0"/>
                                                                  <w:marRight w:val="0"/>
                                                                  <w:marTop w:val="0"/>
                                                                  <w:marBottom w:val="0"/>
                                                                  <w:divBdr>
                                                                    <w:top w:val="none" w:sz="0" w:space="0" w:color="auto"/>
                                                                    <w:left w:val="none" w:sz="0" w:space="0" w:color="auto"/>
                                                                    <w:bottom w:val="none" w:sz="0" w:space="0" w:color="auto"/>
                                                                    <w:right w:val="none" w:sz="0" w:space="0" w:color="auto"/>
                                                                  </w:divBdr>
                                                                </w:div>
                                                              </w:divsChild>
                                                            </w:div>
                                                            <w:div w:id="883977969">
                                                              <w:marLeft w:val="240"/>
                                                              <w:marRight w:val="0"/>
                                                              <w:marTop w:val="60"/>
                                                              <w:marBottom w:val="60"/>
                                                              <w:divBdr>
                                                                <w:top w:val="none" w:sz="0" w:space="0" w:color="auto"/>
                                                                <w:left w:val="none" w:sz="0" w:space="0" w:color="auto"/>
                                                                <w:bottom w:val="none" w:sz="0" w:space="0" w:color="auto"/>
                                                                <w:right w:val="none" w:sz="0" w:space="0" w:color="auto"/>
                                                              </w:divBdr>
                                                              <w:divsChild>
                                                                <w:div w:id="12558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3640">
                                                          <w:marLeft w:val="240"/>
                                                          <w:marRight w:val="0"/>
                                                          <w:marTop w:val="60"/>
                                                          <w:marBottom w:val="60"/>
                                                          <w:divBdr>
                                                            <w:top w:val="none" w:sz="0" w:space="0" w:color="auto"/>
                                                            <w:left w:val="none" w:sz="0" w:space="0" w:color="auto"/>
                                                            <w:bottom w:val="none" w:sz="0" w:space="0" w:color="auto"/>
                                                            <w:right w:val="none" w:sz="0" w:space="0" w:color="auto"/>
                                                          </w:divBdr>
                                                          <w:divsChild>
                                                            <w:div w:id="1473517874">
                                                              <w:marLeft w:val="240"/>
                                                              <w:marRight w:val="0"/>
                                                              <w:marTop w:val="60"/>
                                                              <w:marBottom w:val="60"/>
                                                              <w:divBdr>
                                                                <w:top w:val="none" w:sz="0" w:space="0" w:color="auto"/>
                                                                <w:left w:val="none" w:sz="0" w:space="0" w:color="auto"/>
                                                                <w:bottom w:val="none" w:sz="0" w:space="0" w:color="auto"/>
                                                                <w:right w:val="none" w:sz="0" w:space="0" w:color="auto"/>
                                                              </w:divBdr>
                                                              <w:divsChild>
                                                                <w:div w:id="1865747132">
                                                                  <w:marLeft w:val="0"/>
                                                                  <w:marRight w:val="0"/>
                                                                  <w:marTop w:val="0"/>
                                                                  <w:marBottom w:val="0"/>
                                                                  <w:divBdr>
                                                                    <w:top w:val="none" w:sz="0" w:space="0" w:color="auto"/>
                                                                    <w:left w:val="none" w:sz="0" w:space="0" w:color="auto"/>
                                                                    <w:bottom w:val="none" w:sz="0" w:space="0" w:color="auto"/>
                                                                    <w:right w:val="none" w:sz="0" w:space="0" w:color="auto"/>
                                                                  </w:divBdr>
                                                                </w:div>
                                                              </w:divsChild>
                                                            </w:div>
                                                            <w:div w:id="1927228673">
                                                              <w:marLeft w:val="240"/>
                                                              <w:marRight w:val="0"/>
                                                              <w:marTop w:val="60"/>
                                                              <w:marBottom w:val="60"/>
                                                              <w:divBdr>
                                                                <w:top w:val="none" w:sz="0" w:space="0" w:color="auto"/>
                                                                <w:left w:val="none" w:sz="0" w:space="0" w:color="auto"/>
                                                                <w:bottom w:val="none" w:sz="0" w:space="0" w:color="auto"/>
                                                                <w:right w:val="none" w:sz="0" w:space="0" w:color="auto"/>
                                                              </w:divBdr>
                                                              <w:divsChild>
                                                                <w:div w:id="676494394">
                                                                  <w:marLeft w:val="0"/>
                                                                  <w:marRight w:val="0"/>
                                                                  <w:marTop w:val="0"/>
                                                                  <w:marBottom w:val="0"/>
                                                                  <w:divBdr>
                                                                    <w:top w:val="none" w:sz="0" w:space="0" w:color="auto"/>
                                                                    <w:left w:val="none" w:sz="0" w:space="0" w:color="auto"/>
                                                                    <w:bottom w:val="none" w:sz="0" w:space="0" w:color="auto"/>
                                                                    <w:right w:val="none" w:sz="0" w:space="0" w:color="auto"/>
                                                                  </w:divBdr>
                                                                </w:div>
                                                              </w:divsChild>
                                                            </w:div>
                                                            <w:div w:id="607540930">
                                                              <w:marLeft w:val="0"/>
                                                              <w:marRight w:val="0"/>
                                                              <w:marTop w:val="0"/>
                                                              <w:marBottom w:val="0"/>
                                                              <w:divBdr>
                                                                <w:top w:val="none" w:sz="0" w:space="0" w:color="auto"/>
                                                                <w:left w:val="none" w:sz="0" w:space="0" w:color="auto"/>
                                                                <w:bottom w:val="none" w:sz="0" w:space="0" w:color="auto"/>
                                                                <w:right w:val="none" w:sz="0" w:space="0" w:color="auto"/>
                                                              </w:divBdr>
                                                            </w:div>
                                                          </w:divsChild>
                                                        </w:div>
                                                        <w:div w:id="195041812">
                                                          <w:marLeft w:val="240"/>
                                                          <w:marRight w:val="0"/>
                                                          <w:marTop w:val="60"/>
                                                          <w:marBottom w:val="60"/>
                                                          <w:divBdr>
                                                            <w:top w:val="none" w:sz="0" w:space="0" w:color="auto"/>
                                                            <w:left w:val="none" w:sz="0" w:space="0" w:color="auto"/>
                                                            <w:bottom w:val="none" w:sz="0" w:space="0" w:color="auto"/>
                                                            <w:right w:val="none" w:sz="0" w:space="0" w:color="auto"/>
                                                          </w:divBdr>
                                                          <w:divsChild>
                                                            <w:div w:id="1789274375">
                                                              <w:marLeft w:val="0"/>
                                                              <w:marRight w:val="0"/>
                                                              <w:marTop w:val="0"/>
                                                              <w:marBottom w:val="0"/>
                                                              <w:divBdr>
                                                                <w:top w:val="none" w:sz="0" w:space="0" w:color="auto"/>
                                                                <w:left w:val="none" w:sz="0" w:space="0" w:color="auto"/>
                                                                <w:bottom w:val="none" w:sz="0" w:space="0" w:color="auto"/>
                                                                <w:right w:val="none" w:sz="0" w:space="0" w:color="auto"/>
                                                              </w:divBdr>
                                                            </w:div>
                                                          </w:divsChild>
                                                        </w:div>
                                                        <w:div w:id="402021019">
                                                          <w:marLeft w:val="240"/>
                                                          <w:marRight w:val="0"/>
                                                          <w:marTop w:val="60"/>
                                                          <w:marBottom w:val="60"/>
                                                          <w:divBdr>
                                                            <w:top w:val="none" w:sz="0" w:space="0" w:color="auto"/>
                                                            <w:left w:val="none" w:sz="0" w:space="0" w:color="auto"/>
                                                            <w:bottom w:val="none" w:sz="0" w:space="0" w:color="auto"/>
                                                            <w:right w:val="none" w:sz="0" w:space="0" w:color="auto"/>
                                                          </w:divBdr>
                                                          <w:divsChild>
                                                            <w:div w:id="2125071844">
                                                              <w:marLeft w:val="0"/>
                                                              <w:marRight w:val="0"/>
                                                              <w:marTop w:val="0"/>
                                                              <w:marBottom w:val="0"/>
                                                              <w:divBdr>
                                                                <w:top w:val="none" w:sz="0" w:space="0" w:color="auto"/>
                                                                <w:left w:val="none" w:sz="0" w:space="0" w:color="auto"/>
                                                                <w:bottom w:val="none" w:sz="0" w:space="0" w:color="auto"/>
                                                                <w:right w:val="none" w:sz="0" w:space="0" w:color="auto"/>
                                                              </w:divBdr>
                                                            </w:div>
                                                          </w:divsChild>
                                                        </w:div>
                                                        <w:div w:id="1062288550">
                                                          <w:marLeft w:val="240"/>
                                                          <w:marRight w:val="0"/>
                                                          <w:marTop w:val="60"/>
                                                          <w:marBottom w:val="60"/>
                                                          <w:divBdr>
                                                            <w:top w:val="none" w:sz="0" w:space="0" w:color="auto"/>
                                                            <w:left w:val="none" w:sz="0" w:space="0" w:color="auto"/>
                                                            <w:bottom w:val="none" w:sz="0" w:space="0" w:color="auto"/>
                                                            <w:right w:val="none" w:sz="0" w:space="0" w:color="auto"/>
                                                          </w:divBdr>
                                                          <w:divsChild>
                                                            <w:div w:id="566691298">
                                                              <w:marLeft w:val="0"/>
                                                              <w:marRight w:val="0"/>
                                                              <w:marTop w:val="0"/>
                                                              <w:marBottom w:val="0"/>
                                                              <w:divBdr>
                                                                <w:top w:val="none" w:sz="0" w:space="0" w:color="auto"/>
                                                                <w:left w:val="none" w:sz="0" w:space="0" w:color="auto"/>
                                                                <w:bottom w:val="none" w:sz="0" w:space="0" w:color="auto"/>
                                                                <w:right w:val="none" w:sz="0" w:space="0" w:color="auto"/>
                                                              </w:divBdr>
                                                            </w:div>
                                                          </w:divsChild>
                                                        </w:div>
                                                        <w:div w:id="362053078">
                                                          <w:marLeft w:val="240"/>
                                                          <w:marRight w:val="0"/>
                                                          <w:marTop w:val="60"/>
                                                          <w:marBottom w:val="60"/>
                                                          <w:divBdr>
                                                            <w:top w:val="none" w:sz="0" w:space="0" w:color="auto"/>
                                                            <w:left w:val="none" w:sz="0" w:space="0" w:color="auto"/>
                                                            <w:bottom w:val="none" w:sz="0" w:space="0" w:color="auto"/>
                                                            <w:right w:val="none" w:sz="0" w:space="0" w:color="auto"/>
                                                          </w:divBdr>
                                                          <w:divsChild>
                                                            <w:div w:id="1391071410">
                                                              <w:marLeft w:val="0"/>
                                                              <w:marRight w:val="0"/>
                                                              <w:marTop w:val="0"/>
                                                              <w:marBottom w:val="0"/>
                                                              <w:divBdr>
                                                                <w:top w:val="none" w:sz="0" w:space="0" w:color="auto"/>
                                                                <w:left w:val="none" w:sz="0" w:space="0" w:color="auto"/>
                                                                <w:bottom w:val="none" w:sz="0" w:space="0" w:color="auto"/>
                                                                <w:right w:val="none" w:sz="0" w:space="0" w:color="auto"/>
                                                              </w:divBdr>
                                                            </w:div>
                                                          </w:divsChild>
                                                        </w:div>
                                                        <w:div w:id="5790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42/chapter-84/subchapter-IV" TargetMode="External"/><Relationship Id="rId13" Type="http://schemas.openxmlformats.org/officeDocument/2006/relationships/hyperlink" Target="https://www.law.cornell.edu/uscode/text/15/717f" TargetMode="External"/><Relationship Id="rId18" Type="http://schemas.openxmlformats.org/officeDocument/2006/relationships/hyperlink" Target="https://www.law.cornell.edu/uscode/text/15/717g" TargetMode="External"/><Relationship Id="rId26" Type="http://schemas.openxmlformats.org/officeDocument/2006/relationships/hyperlink" Target="https://www.law.cornell.edu/uscode/text/42/7174" TargetMode="External"/><Relationship Id="rId39" Type="http://schemas.openxmlformats.org/officeDocument/2006/relationships/hyperlink" Target="https://www.law.cornell.edu/uscode/text/42/7172" TargetMode="External"/><Relationship Id="rId3" Type="http://schemas.microsoft.com/office/2007/relationships/stylesWithEffects" Target="stylesWithEffects.xml"/><Relationship Id="rId21" Type="http://schemas.openxmlformats.org/officeDocument/2006/relationships/hyperlink" Target="https://www.law.cornell.edu/uscode/text/15/753" TargetMode="External"/><Relationship Id="rId34" Type="http://schemas.openxmlformats.org/officeDocument/2006/relationships/hyperlink" Target="https://www.law.cornell.edu/uscode/text" TargetMode="External"/><Relationship Id="rId42" Type="http://schemas.openxmlformats.org/officeDocument/2006/relationships/hyperlink" Target="https://www.law.cornell.edu/uscode/text/15/717" TargetMode="External"/><Relationship Id="rId7" Type="http://schemas.openxmlformats.org/officeDocument/2006/relationships/hyperlink" Target="https://www.law.cornell.edu/uscode/text/42/chapter-84" TargetMode="External"/><Relationship Id="rId12" Type="http://schemas.openxmlformats.org/officeDocument/2006/relationships/hyperlink" Target="https://www.law.cornell.edu/uscode/text/15/717" TargetMode="External"/><Relationship Id="rId17" Type="http://schemas.openxmlformats.org/officeDocument/2006/relationships/hyperlink" Target="https://www.law.cornell.edu/uscode/text/16/797" TargetMode="External"/><Relationship Id="rId25" Type="http://schemas.openxmlformats.org/officeDocument/2006/relationships/hyperlink" Target="https://www.law.cornell.edu/uscode/text/42/6421" TargetMode="External"/><Relationship Id="rId33" Type="http://schemas.openxmlformats.org/officeDocument/2006/relationships/hyperlink" Target="https://www.law.cornell.edu/rio/citation/108_Stat._1379" TargetMode="External"/><Relationship Id="rId38" Type="http://schemas.openxmlformats.org/officeDocument/2006/relationships/hyperlink" Target="https://www.law.cornell.edu/uscode/text/42/717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w.cornell.edu/uscode/text/15/717" TargetMode="External"/><Relationship Id="rId20" Type="http://schemas.openxmlformats.org/officeDocument/2006/relationships/hyperlink" Target="https://www.law.cornell.edu/rio/citation/108_Stat._1379" TargetMode="External"/><Relationship Id="rId29" Type="http://schemas.openxmlformats.org/officeDocument/2006/relationships/hyperlink" Target="https://www.law.cornell.edu/uscode/text/5/704" TargetMode="External"/><Relationship Id="rId41" Type="http://schemas.openxmlformats.org/officeDocument/2006/relationships/hyperlink" Target="https://www.law.cornell.edu/uscode/text/15/717" TargetMode="External"/><Relationship Id="rId1" Type="http://schemas.openxmlformats.org/officeDocument/2006/relationships/numbering" Target="numbering.xml"/><Relationship Id="rId6" Type="http://schemas.openxmlformats.org/officeDocument/2006/relationships/hyperlink" Target="https://www.law.cornell.edu/uscode/text/42" TargetMode="External"/><Relationship Id="rId11" Type="http://schemas.openxmlformats.org/officeDocument/2006/relationships/hyperlink" Target="https://www.law.cornell.edu/uscode/text/16/824a" TargetMode="External"/><Relationship Id="rId24" Type="http://schemas.openxmlformats.org/officeDocument/2006/relationships/hyperlink" Target="https://www.law.cornell.edu/uscode/text/42/6421" TargetMode="External"/><Relationship Id="rId32" Type="http://schemas.openxmlformats.org/officeDocument/2006/relationships/hyperlink" Target="https://www.congress.gov/public-laws/103rd-congress" TargetMode="External"/><Relationship Id="rId37" Type="http://schemas.openxmlformats.org/officeDocument/2006/relationships/hyperlink" Target="https://www.law.cornell.edu/uscode/text/42/chapter-84/subchapter-IV" TargetMode="External"/><Relationship Id="rId40" Type="http://schemas.openxmlformats.org/officeDocument/2006/relationships/hyperlink" Target="https://www.law.cornell.edu/uscode/text/16/791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uscode/text/16/791a" TargetMode="External"/><Relationship Id="rId23" Type="http://schemas.openxmlformats.org/officeDocument/2006/relationships/hyperlink" Target="https://www.law.cornell.edu/uscode/text/42/7172" TargetMode="External"/><Relationship Id="rId28" Type="http://schemas.openxmlformats.org/officeDocument/2006/relationships/hyperlink" Target="https://www.law.cornell.edu/uscode/text/42/7174" TargetMode="External"/><Relationship Id="rId36" Type="http://schemas.openxmlformats.org/officeDocument/2006/relationships/hyperlink" Target="https://www.law.cornell.edu/uscode/text/42/chapter-84" TargetMode="External"/><Relationship Id="rId10" Type="http://schemas.openxmlformats.org/officeDocument/2006/relationships/hyperlink" Target="https://www.law.cornell.edu/uscode/text/16/824" TargetMode="External"/><Relationship Id="rId19" Type="http://schemas.openxmlformats.org/officeDocument/2006/relationships/hyperlink" Target="https://www.congress.gov/public-laws/103rd-congress" TargetMode="External"/><Relationship Id="rId31" Type="http://schemas.openxmlformats.org/officeDocument/2006/relationships/hyperlink" Target="https://www.law.cornell.edu/rio/citation/91_Stat._583" TargetMode="External"/><Relationship Id="rId44" Type="http://schemas.openxmlformats.org/officeDocument/2006/relationships/hyperlink" Target="https://www.law.cornell.edu/rio/citation/91_Stat._585" TargetMode="External"/><Relationship Id="rId4" Type="http://schemas.openxmlformats.org/officeDocument/2006/relationships/settings" Target="settings.xml"/><Relationship Id="rId9" Type="http://schemas.openxmlformats.org/officeDocument/2006/relationships/hyperlink" Target="https://www.law.cornell.edu/uscode/text/16/791a" TargetMode="External"/><Relationship Id="rId14" Type="http://schemas.openxmlformats.org/officeDocument/2006/relationships/hyperlink" Target="https://www.law.cornell.edu/uscode/text/15/717" TargetMode="External"/><Relationship Id="rId22" Type="http://schemas.openxmlformats.org/officeDocument/2006/relationships/hyperlink" Target="https://www.law.cornell.edu/uscode/text/42/7174" TargetMode="External"/><Relationship Id="rId27" Type="http://schemas.openxmlformats.org/officeDocument/2006/relationships/hyperlink" Target="https://www.law.cornell.edu/uscode/text/42/7174" TargetMode="External"/><Relationship Id="rId30" Type="http://schemas.openxmlformats.org/officeDocument/2006/relationships/hyperlink" Target="https://www.congress.gov/public-laws/95th-congress" TargetMode="External"/><Relationship Id="rId35" Type="http://schemas.openxmlformats.org/officeDocument/2006/relationships/hyperlink" Target="https://www.law.cornell.edu/uscode/text/42" TargetMode="External"/><Relationship Id="rId43" Type="http://schemas.openxmlformats.org/officeDocument/2006/relationships/hyperlink" Target="https://www.congress.gov/public-laws/95th-con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2017-10-18T15:18:00Z</dcterms:created>
  <dcterms:modified xsi:type="dcterms:W3CDTF">2017-10-18T15:18:00Z</dcterms:modified>
</cp:coreProperties>
</file>