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E081"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632D9B37" w14:textId="77777777" w:rsidR="00797852" w:rsidRDefault="00675A46"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FERC-725B</w:t>
      </w:r>
      <w:r w:rsidR="00FA0F7B"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(Mandatory Reliability Standards</w:t>
      </w:r>
      <w:r w:rsidR="00B50C45">
        <w:rPr>
          <w:rFonts w:ascii="Times New Roman" w:hAnsi="Times New Roman" w:cs="Times New Roman"/>
          <w:b/>
          <w:sz w:val="24"/>
          <w:szCs w:val="24"/>
        </w:rPr>
        <w:t xml:space="preserve"> for Critical Infrastructure Protection [CIP] Reliability Standards</w:t>
      </w:r>
      <w:r w:rsidR="00A70D34" w:rsidRPr="00B51BB8">
        <w:rPr>
          <w:rFonts w:ascii="Times New Roman" w:hAnsi="Times New Roman" w:cs="Times New Roman"/>
          <w:b/>
          <w:sz w:val="24"/>
          <w:szCs w:val="24"/>
        </w:rPr>
        <w:t>)</w:t>
      </w:r>
    </w:p>
    <w:p w14:paraId="67A86B77" w14:textId="77777777"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B50C45">
        <w:rPr>
          <w:rFonts w:ascii="Times New Roman" w:hAnsi="Times New Roman" w:cs="Times New Roman"/>
          <w:b/>
          <w:sz w:val="24"/>
          <w:szCs w:val="24"/>
        </w:rPr>
        <w:t>the NOPR in Docket RM17-11</w:t>
      </w:r>
    </w:p>
    <w:p w14:paraId="432F8FF1"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12B1F6FB" w14:textId="77777777"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00675A46">
        <w:rPr>
          <w:rFonts w:ascii="Times New Roman" w:hAnsi="Times New Roman" w:cs="Times New Roman"/>
          <w:sz w:val="24"/>
          <w:szCs w:val="24"/>
        </w:rPr>
        <w:t>FERC-725B</w:t>
      </w:r>
      <w:r w:rsidR="00612E67" w:rsidRPr="00B51BB8">
        <w:rPr>
          <w:rFonts w:ascii="Times New Roman" w:hAnsi="Times New Roman" w:cs="Times New Roman"/>
          <w:sz w:val="24"/>
          <w:szCs w:val="24"/>
        </w:rPr>
        <w:t xml:space="preserve"> (</w:t>
      </w:r>
      <w:r w:rsidR="00B50C45" w:rsidRPr="00B50C45">
        <w:rPr>
          <w:rFonts w:ascii="Times New Roman" w:hAnsi="Times New Roman" w:cs="Times New Roman"/>
          <w:sz w:val="24"/>
          <w:szCs w:val="24"/>
        </w:rPr>
        <w:t>Mandatory Reliability Standards for Critical Infrastructure Protection [CIP] Reliability Standards</w:t>
      </w:r>
      <w:r w:rsidR="00B50C45">
        <w:rPr>
          <w:rFonts w:ascii="Times New Roman" w:hAnsi="Times New Roman" w:cs="Times New Roman"/>
          <w:sz w:val="24"/>
          <w:szCs w:val="24"/>
        </w:rPr>
        <w:t xml:space="preserve"> </w:t>
      </w:r>
      <w:r w:rsidR="00606999" w:rsidRPr="00B51BB8">
        <w:rPr>
          <w:rFonts w:ascii="Times New Roman" w:hAnsi="Times New Roman" w:cs="Times New Roman"/>
          <w:sz w:val="24"/>
          <w:szCs w:val="24"/>
        </w:rPr>
        <w:t xml:space="preserve">as modified by the </w:t>
      </w:r>
      <w:r w:rsidR="00B50C45">
        <w:rPr>
          <w:rFonts w:ascii="Times New Roman" w:hAnsi="Times New Roman" w:cs="Times New Roman"/>
          <w:sz w:val="24"/>
          <w:szCs w:val="24"/>
        </w:rPr>
        <w:t>NOPR</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 xml:space="preserve">in </w:t>
      </w:r>
      <w:r w:rsidR="00B50C45">
        <w:rPr>
          <w:rFonts w:ascii="Times New Roman" w:hAnsi="Times New Roman" w:cs="Times New Roman"/>
          <w:sz w:val="24"/>
          <w:szCs w:val="24"/>
        </w:rPr>
        <w:t>RM17-11</w:t>
      </w:r>
      <w:r w:rsidR="00606999" w:rsidRPr="00B51BB8">
        <w:rPr>
          <w:rStyle w:val="FootnoteReference"/>
          <w:rFonts w:ascii="Times New Roman" w:hAnsi="Times New Roman" w:cs="Times New Roman"/>
          <w:sz w:val="24"/>
          <w:szCs w:val="24"/>
          <w:vertAlign w:val="superscript"/>
        </w:rPr>
        <w:footnoteReference w:id="2"/>
      </w:r>
      <w:r w:rsidR="00774B70">
        <w:rPr>
          <w:rFonts w:ascii="Times New Roman" w:hAnsi="Times New Roman" w:cs="Times New Roman"/>
          <w:sz w:val="24"/>
          <w:szCs w:val="24"/>
        </w:rPr>
        <w:t>.</w:t>
      </w:r>
    </w:p>
    <w:p w14:paraId="505CBA46" w14:textId="77777777" w:rsidR="002A4142" w:rsidRPr="00B51BB8" w:rsidRDefault="002A4142" w:rsidP="002A4142">
      <w:pPr>
        <w:spacing w:after="0" w:line="240" w:lineRule="auto"/>
        <w:rPr>
          <w:rFonts w:ascii="Times New Roman" w:hAnsi="Times New Roman" w:cs="Times New Roman"/>
          <w:b/>
          <w:sz w:val="24"/>
          <w:szCs w:val="24"/>
        </w:rPr>
      </w:pPr>
    </w:p>
    <w:p w14:paraId="1062E706"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3D45919E"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30F03C55" w14:textId="77777777" w:rsidR="0087017E" w:rsidRPr="0082752D" w:rsidRDefault="0087017E" w:rsidP="0087017E">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Pursuant to section 215 of the Federal Power Act (FPA),</w:t>
      </w:r>
      <w:r w:rsidRPr="0082752D">
        <w:rPr>
          <w:rFonts w:ascii="Times New Roman" w:hAnsi="Times New Roman" w:cs="Times New Roman"/>
          <w:b/>
          <w:sz w:val="24"/>
          <w:szCs w:val="24"/>
          <w:vertAlign w:val="superscript"/>
        </w:rPr>
        <w:footnoteReference w:id="3"/>
      </w:r>
      <w:r w:rsidRPr="0082752D">
        <w:rPr>
          <w:rFonts w:ascii="Times New Roman" w:hAnsi="Times New Roman" w:cs="Times New Roman"/>
          <w:sz w:val="24"/>
          <w:szCs w:val="24"/>
        </w:rPr>
        <w:t xml:space="preserve"> the Commission proposes to approve Critical Infrastructure Protection (CIP) Reliability Standard CIP-003-7 (Cyber Security – Security Management Controls).  The North American Electric Reliability Corporation (NERC), the Commission-certified Electric Reliability Organization (ERO), submitted proposed Reliability Standard CIP-003-7 in response to directives in Order No. 822.</w:t>
      </w:r>
      <w:r w:rsidRPr="0082752D">
        <w:rPr>
          <w:rFonts w:ascii="Times New Roman" w:hAnsi="Times New Roman" w:cs="Times New Roman"/>
          <w:b/>
          <w:sz w:val="24"/>
          <w:szCs w:val="24"/>
          <w:vertAlign w:val="superscript"/>
        </w:rPr>
        <w:footnoteReference w:id="4"/>
      </w:r>
      <w:r w:rsidRPr="0082752D">
        <w:rPr>
          <w:rFonts w:ascii="Times New Roman" w:hAnsi="Times New Roman" w:cs="Times New Roman"/>
          <w:sz w:val="24"/>
          <w:szCs w:val="24"/>
        </w:rPr>
        <w:t xml:space="preserve">  The Commission also proposes to approve the associated violation risk factors and violation severity levels, implementation plan and effective dates proposed by NERC.  In addition, the Commission proposes to approve the modified definitions of Transient Cyber Asset and Removable Media as well as the retirement of the definitions for Low Impact External Routable Connectivity (LERC) and Low Impact Electronic Access Point (LEAP) in the NERC Glossary of Terms Used in NERC Reliability Standards (NERC Glossary).  Further, the Commission proposes to approve the retirement of Reliability Standard CIP-003-6.  </w:t>
      </w:r>
    </w:p>
    <w:p w14:paraId="0B474BDE" w14:textId="77777777" w:rsidR="00DF1C8D" w:rsidRPr="0082752D" w:rsidRDefault="00DF1C8D" w:rsidP="002A4142">
      <w:pPr>
        <w:spacing w:after="0" w:line="240" w:lineRule="auto"/>
        <w:rPr>
          <w:rFonts w:ascii="Times New Roman" w:hAnsi="Times New Roman" w:cs="Times New Roman"/>
          <w:sz w:val="24"/>
          <w:szCs w:val="24"/>
        </w:rPr>
      </w:pPr>
    </w:p>
    <w:p w14:paraId="493645F6" w14:textId="77777777" w:rsidR="00675A46" w:rsidRPr="0082752D" w:rsidRDefault="0086089D" w:rsidP="002A4142">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proposed Reliability Standard CIP-003-7 addresses the directives in Order No. 822 by:  </w:t>
      </w:r>
    </w:p>
    <w:p w14:paraId="4226BEB1" w14:textId="77777777" w:rsidR="00675A46" w:rsidRPr="0082752D" w:rsidRDefault="00675A46" w:rsidP="00675A46">
      <w:pPr>
        <w:pStyle w:val="ListParagraph"/>
        <w:numPr>
          <w:ilvl w:val="0"/>
          <w:numId w:val="9"/>
        </w:num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C</w:t>
      </w:r>
      <w:r w:rsidR="0086089D" w:rsidRPr="0082752D">
        <w:rPr>
          <w:rFonts w:ascii="Times New Roman" w:hAnsi="Times New Roman" w:cs="Times New Roman"/>
          <w:sz w:val="24"/>
          <w:szCs w:val="24"/>
        </w:rPr>
        <w:t xml:space="preserve">larifying the obligations pertaining to electronic access control for low impact BES </w:t>
      </w:r>
      <w:r w:rsidR="00433A3A">
        <w:rPr>
          <w:rFonts w:ascii="Times New Roman" w:hAnsi="Times New Roman" w:cs="Times New Roman"/>
          <w:sz w:val="24"/>
          <w:szCs w:val="24"/>
        </w:rPr>
        <w:t xml:space="preserve">[Bulk Electric System] </w:t>
      </w:r>
      <w:r w:rsidR="0086089D" w:rsidRPr="0082752D">
        <w:rPr>
          <w:rFonts w:ascii="Times New Roman" w:hAnsi="Times New Roman" w:cs="Times New Roman"/>
          <w:sz w:val="24"/>
          <w:szCs w:val="24"/>
        </w:rPr>
        <w:t>Cyber Systems;</w:t>
      </w:r>
      <w:r w:rsidR="0086089D" w:rsidRPr="0082752D">
        <w:rPr>
          <w:b/>
          <w:vertAlign w:val="superscript"/>
        </w:rPr>
        <w:footnoteReference w:id="5"/>
      </w:r>
      <w:r w:rsidR="0086089D" w:rsidRPr="0082752D">
        <w:rPr>
          <w:rFonts w:ascii="Times New Roman" w:hAnsi="Times New Roman" w:cs="Times New Roman"/>
          <w:sz w:val="24"/>
          <w:szCs w:val="24"/>
        </w:rPr>
        <w:t xml:space="preserve"> and </w:t>
      </w:r>
    </w:p>
    <w:p w14:paraId="636E5B59" w14:textId="77777777" w:rsidR="00675A46" w:rsidRPr="0082752D" w:rsidRDefault="00675A46" w:rsidP="00675A46">
      <w:pPr>
        <w:pStyle w:val="ListParagraph"/>
        <w:numPr>
          <w:ilvl w:val="0"/>
          <w:numId w:val="9"/>
        </w:num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A</w:t>
      </w:r>
      <w:r w:rsidR="0086089D" w:rsidRPr="0082752D">
        <w:rPr>
          <w:rFonts w:ascii="Times New Roman" w:hAnsi="Times New Roman" w:cs="Times New Roman"/>
          <w:sz w:val="24"/>
          <w:szCs w:val="24"/>
        </w:rPr>
        <w:t>dopting mandatory security controls for tra</w:t>
      </w:r>
      <w:r w:rsidR="00B962D6">
        <w:rPr>
          <w:rFonts w:ascii="Times New Roman" w:hAnsi="Times New Roman" w:cs="Times New Roman"/>
          <w:sz w:val="24"/>
          <w:szCs w:val="24"/>
        </w:rPr>
        <w:t>nsient electronic devices (e.g.</w:t>
      </w:r>
      <w:r w:rsidR="0086089D" w:rsidRPr="0082752D">
        <w:rPr>
          <w:rFonts w:ascii="Times New Roman" w:hAnsi="Times New Roman" w:cs="Times New Roman"/>
          <w:sz w:val="24"/>
          <w:szCs w:val="24"/>
        </w:rPr>
        <w:t xml:space="preserve"> thumb drives, laptop computers, and other portable devices frequently connected to and disconnected from systems) used at low impact BES Cyber Systems.  </w:t>
      </w:r>
    </w:p>
    <w:p w14:paraId="1BB35760" w14:textId="77777777" w:rsidR="00675A46" w:rsidRPr="0082752D" w:rsidRDefault="00675A46" w:rsidP="00675A46">
      <w:pPr>
        <w:spacing w:after="0" w:line="240" w:lineRule="auto"/>
        <w:rPr>
          <w:rFonts w:ascii="Times New Roman" w:hAnsi="Times New Roman" w:cs="Times New Roman"/>
          <w:sz w:val="24"/>
          <w:szCs w:val="24"/>
        </w:rPr>
      </w:pPr>
    </w:p>
    <w:p w14:paraId="4A2BC2E2" w14:textId="77777777" w:rsidR="00B51BB8" w:rsidRDefault="0086089D" w:rsidP="00675A46">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In addition, by requiring responsible entities to have a policy for declaring and responding to CIP Exceptional Circumstances for low impact BES Cyber Systems, the proposed Reliability Standard aligns the treatment of low impact BES Cyber Systems with that of high and medium impact BES Cyber Systems, which currently include a requirement for declaring and responding </w:t>
      </w:r>
      <w:r w:rsidRPr="0082752D">
        <w:rPr>
          <w:rFonts w:ascii="Times New Roman" w:hAnsi="Times New Roman" w:cs="Times New Roman"/>
          <w:sz w:val="24"/>
          <w:szCs w:val="24"/>
        </w:rPr>
        <w:lastRenderedPageBreak/>
        <w:t>to CIP Exceptional Circumstances.  Accordingly, we propose to approve proposed Reliability Standard CIP-003-7 because the proposed modifications improve the base-line cybersecurity posture of responsible entities compared to the current Commission-approved CIP Reliability Standards.</w:t>
      </w:r>
    </w:p>
    <w:p w14:paraId="0BE03D1C" w14:textId="77777777" w:rsidR="00675A46" w:rsidRPr="00675A46" w:rsidRDefault="00675A46" w:rsidP="00675A46">
      <w:pPr>
        <w:spacing w:after="0" w:line="240" w:lineRule="auto"/>
        <w:rPr>
          <w:rFonts w:ascii="Times New Roman" w:hAnsi="Times New Roman" w:cs="Times New Roman"/>
          <w:sz w:val="24"/>
          <w:szCs w:val="24"/>
        </w:rPr>
      </w:pPr>
    </w:p>
    <w:p w14:paraId="349508F4"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48551CE"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19A02B86" w14:textId="77777777" w:rsidR="00B123DB" w:rsidRPr="0082752D" w:rsidRDefault="00642CE9" w:rsidP="0082752D">
      <w:pPr>
        <w:autoSpaceDE w:val="0"/>
        <w:autoSpaceDN w:val="0"/>
        <w:adjustRightInd w:val="0"/>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proposed Reliability Standard CIP-003-7 enhances security controls for low impact BES Cyber Systems by improving electronic access controls and creating security controls for transient electronic </w:t>
      </w:r>
      <w:r w:rsidR="001E11E7" w:rsidRPr="0082752D">
        <w:rPr>
          <w:rFonts w:ascii="Times New Roman" w:hAnsi="Times New Roman" w:cs="Times New Roman"/>
          <w:sz w:val="24"/>
          <w:szCs w:val="24"/>
        </w:rPr>
        <w:t xml:space="preserve">assets (TCAs) </w:t>
      </w:r>
      <w:r w:rsidRPr="0082752D">
        <w:rPr>
          <w:rFonts w:ascii="Times New Roman" w:hAnsi="Times New Roman" w:cs="Times New Roman"/>
          <w:sz w:val="24"/>
          <w:szCs w:val="24"/>
        </w:rPr>
        <w:t>used at low impact BES Cyber Systems.</w:t>
      </w:r>
      <w:r w:rsidR="0086089D" w:rsidRPr="0082752D">
        <w:rPr>
          <w:rFonts w:ascii="Times New Roman" w:hAnsi="Times New Roman" w:cs="Times New Roman"/>
          <w:sz w:val="24"/>
          <w:szCs w:val="24"/>
        </w:rPr>
        <w:t xml:space="preserve"> </w:t>
      </w:r>
      <w:r w:rsidR="00712E32" w:rsidRPr="0082752D">
        <w:rPr>
          <w:rFonts w:ascii="Times New Roman" w:hAnsi="Times New Roman" w:cs="Times New Roman"/>
          <w:sz w:val="24"/>
          <w:szCs w:val="24"/>
        </w:rPr>
        <w:t xml:space="preserve"> </w:t>
      </w:r>
      <w:r w:rsidR="007A5C2A" w:rsidRPr="0082752D">
        <w:rPr>
          <w:rFonts w:ascii="Times New Roman" w:hAnsi="Times New Roman" w:cs="Times New Roman"/>
          <w:sz w:val="24"/>
          <w:szCs w:val="24"/>
        </w:rPr>
        <w:t>The NERC Compliance Registry, as of September 2017, identifies approximately 1,320 U.S. entities that are subject to mandatory compliance with Reliability Standards. Of this total, we estimate that 1,100 entities</w:t>
      </w:r>
      <w:r w:rsidR="001E11E7" w:rsidRPr="0082752D">
        <w:rPr>
          <w:rFonts w:ascii="Times New Roman" w:hAnsi="Times New Roman" w:cs="Times New Roman"/>
          <w:sz w:val="24"/>
          <w:szCs w:val="24"/>
        </w:rPr>
        <w:t xml:space="preserve"> (reliability coordinators, generator operators, generator owners, interchange coordinators or authorities, transmission operators, balancing authorities, transmission owners, and certain distribution providers)</w:t>
      </w:r>
      <w:r w:rsidR="007A5C2A" w:rsidRPr="0082752D">
        <w:rPr>
          <w:rFonts w:ascii="Times New Roman" w:hAnsi="Times New Roman" w:cs="Times New Roman"/>
          <w:sz w:val="24"/>
          <w:szCs w:val="24"/>
        </w:rPr>
        <w:t xml:space="preserve"> would be subject to the proposed Reliability Standard CIP-003-7.</w:t>
      </w:r>
      <w:r w:rsidR="001E11E7" w:rsidRPr="0082752D">
        <w:rPr>
          <w:rFonts w:ascii="Times New Roman" w:hAnsi="Times New Roman" w:cs="Times New Roman"/>
          <w:sz w:val="24"/>
          <w:szCs w:val="24"/>
        </w:rPr>
        <w:t xml:space="preserve">  </w:t>
      </w:r>
    </w:p>
    <w:p w14:paraId="30B2656F" w14:textId="77777777" w:rsidR="00B123DB" w:rsidRPr="0082752D" w:rsidRDefault="00B123DB" w:rsidP="0082752D">
      <w:pPr>
        <w:autoSpaceDE w:val="0"/>
        <w:autoSpaceDN w:val="0"/>
        <w:adjustRightInd w:val="0"/>
        <w:spacing w:after="0" w:line="240" w:lineRule="auto"/>
        <w:rPr>
          <w:rFonts w:ascii="Times New Roman" w:hAnsi="Times New Roman" w:cs="Times New Roman"/>
          <w:sz w:val="24"/>
          <w:szCs w:val="24"/>
        </w:rPr>
      </w:pPr>
    </w:p>
    <w:p w14:paraId="46EA1E2D" w14:textId="77777777" w:rsidR="00B962D6" w:rsidRDefault="001E11E7" w:rsidP="0082752D">
      <w:pPr>
        <w:autoSpaceDE w:val="0"/>
        <w:autoSpaceDN w:val="0"/>
        <w:adjustRightInd w:val="0"/>
        <w:spacing w:after="0" w:line="240" w:lineRule="auto"/>
        <w:rPr>
          <w:rFonts w:ascii="Times New Roman" w:hAnsi="Times New Roman" w:cs="Times New Roman"/>
          <w:sz w:val="24"/>
          <w:szCs w:val="24"/>
        </w:rPr>
      </w:pPr>
      <w:r w:rsidRPr="0082752D">
        <w:rPr>
          <w:rFonts w:ascii="Times New Roman" w:hAnsi="Times New Roman" w:cs="Times New Roman"/>
          <w:sz w:val="24"/>
          <w:szCs w:val="24"/>
        </w:rPr>
        <w:t>These entities would be s</w:t>
      </w:r>
      <w:r w:rsidR="00B962D6">
        <w:rPr>
          <w:rFonts w:ascii="Times New Roman" w:hAnsi="Times New Roman" w:cs="Times New Roman"/>
          <w:sz w:val="24"/>
          <w:szCs w:val="24"/>
        </w:rPr>
        <w:t>ubject to the increase</w:t>
      </w:r>
      <w:r w:rsidR="00433A3A">
        <w:rPr>
          <w:rFonts w:ascii="Times New Roman" w:hAnsi="Times New Roman" w:cs="Times New Roman"/>
          <w:sz w:val="24"/>
          <w:szCs w:val="24"/>
        </w:rPr>
        <w:t>d</w:t>
      </w:r>
      <w:r w:rsidR="00B962D6">
        <w:rPr>
          <w:rFonts w:ascii="Times New Roman" w:hAnsi="Times New Roman" w:cs="Times New Roman"/>
          <w:sz w:val="24"/>
          <w:szCs w:val="24"/>
        </w:rPr>
        <w:t xml:space="preserve"> burden related to:</w:t>
      </w:r>
    </w:p>
    <w:p w14:paraId="1E948FCC" w14:textId="77777777" w:rsidR="00B962D6" w:rsidRDefault="001E11E7" w:rsidP="00B962D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962D6">
        <w:rPr>
          <w:rFonts w:ascii="Times New Roman" w:hAnsi="Times New Roman" w:cs="Times New Roman"/>
          <w:sz w:val="24"/>
          <w:szCs w:val="24"/>
        </w:rPr>
        <w:t xml:space="preserve">creation of plans to provide security controls for TCAs </w:t>
      </w:r>
      <w:r w:rsidR="00B123DB" w:rsidRPr="00B962D6">
        <w:rPr>
          <w:rFonts w:ascii="Times New Roman" w:hAnsi="Times New Roman" w:cs="Times New Roman"/>
          <w:sz w:val="24"/>
          <w:szCs w:val="24"/>
        </w:rPr>
        <w:t xml:space="preserve">to mitigate the risk of malicious code being introduced to </w:t>
      </w:r>
      <w:r w:rsidRPr="00B962D6">
        <w:rPr>
          <w:rFonts w:ascii="Times New Roman" w:hAnsi="Times New Roman" w:cs="Times New Roman"/>
          <w:sz w:val="24"/>
          <w:szCs w:val="24"/>
        </w:rPr>
        <w:t>low impact BES Cyber System</w:t>
      </w:r>
      <w:r w:rsidR="00B962D6">
        <w:rPr>
          <w:rFonts w:ascii="Times New Roman" w:hAnsi="Times New Roman" w:cs="Times New Roman"/>
          <w:sz w:val="24"/>
          <w:szCs w:val="24"/>
        </w:rPr>
        <w:t>;</w:t>
      </w:r>
    </w:p>
    <w:p w14:paraId="445D4AB8" w14:textId="77777777" w:rsidR="00B962D6" w:rsidRDefault="001E11E7" w:rsidP="00B962D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962D6">
        <w:rPr>
          <w:rFonts w:ascii="Times New Roman" w:hAnsi="Times New Roman" w:cs="Times New Roman"/>
          <w:sz w:val="24"/>
          <w:szCs w:val="24"/>
        </w:rPr>
        <w:t>the ongoing review and updating of the plans and documentation that the plan</w:t>
      </w:r>
      <w:r w:rsidR="00B123DB" w:rsidRPr="00B962D6">
        <w:rPr>
          <w:rFonts w:ascii="Times New Roman" w:hAnsi="Times New Roman" w:cs="Times New Roman"/>
          <w:sz w:val="24"/>
          <w:szCs w:val="24"/>
        </w:rPr>
        <w:t>n</w:t>
      </w:r>
      <w:r w:rsidRPr="00B962D6">
        <w:rPr>
          <w:rFonts w:ascii="Times New Roman" w:hAnsi="Times New Roman" w:cs="Times New Roman"/>
          <w:sz w:val="24"/>
          <w:szCs w:val="24"/>
        </w:rPr>
        <w:t xml:space="preserve">ed security controls are implemented </w:t>
      </w:r>
      <w:r w:rsidR="00B123DB" w:rsidRPr="00B962D6">
        <w:rPr>
          <w:rFonts w:ascii="Times New Roman" w:hAnsi="Times New Roman" w:cs="Times New Roman"/>
          <w:sz w:val="24"/>
          <w:szCs w:val="24"/>
        </w:rPr>
        <w:t xml:space="preserve">for TCAs </w:t>
      </w:r>
      <w:r w:rsidRPr="00B962D6">
        <w:rPr>
          <w:rFonts w:ascii="Times New Roman" w:hAnsi="Times New Roman" w:cs="Times New Roman"/>
          <w:sz w:val="24"/>
          <w:szCs w:val="24"/>
        </w:rPr>
        <w:t>at low impact BES Cyber System</w:t>
      </w:r>
      <w:r w:rsidR="00B962D6">
        <w:rPr>
          <w:rFonts w:ascii="Times New Roman" w:hAnsi="Times New Roman" w:cs="Times New Roman"/>
          <w:sz w:val="24"/>
          <w:szCs w:val="24"/>
        </w:rPr>
        <w:t>;</w:t>
      </w:r>
    </w:p>
    <w:p w14:paraId="4A0844DE" w14:textId="77777777" w:rsidR="00B962D6" w:rsidRDefault="001E11E7" w:rsidP="00B962D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962D6">
        <w:rPr>
          <w:rFonts w:ascii="Times New Roman" w:hAnsi="Times New Roman" w:cs="Times New Roman"/>
          <w:sz w:val="24"/>
          <w:szCs w:val="24"/>
        </w:rPr>
        <w:t>modification of plans to provide electronic security controls for low impact BES Cyber Systems</w:t>
      </w:r>
      <w:r w:rsidR="00B962D6">
        <w:rPr>
          <w:rFonts w:ascii="Times New Roman" w:hAnsi="Times New Roman" w:cs="Times New Roman"/>
          <w:sz w:val="24"/>
          <w:szCs w:val="24"/>
        </w:rPr>
        <w:t>; and</w:t>
      </w:r>
    </w:p>
    <w:p w14:paraId="3A46D230" w14:textId="77777777" w:rsidR="00B123DB" w:rsidRPr="00B962D6" w:rsidRDefault="00B123DB" w:rsidP="00B962D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962D6">
        <w:rPr>
          <w:rFonts w:ascii="Times New Roman" w:hAnsi="Times New Roman" w:cs="Times New Roman"/>
          <w:sz w:val="24"/>
          <w:szCs w:val="24"/>
        </w:rPr>
        <w:t>the ongoing review and updating of the plans</w:t>
      </w:r>
      <w:r w:rsidR="00FA26F3">
        <w:rPr>
          <w:rFonts w:ascii="Times New Roman" w:hAnsi="Times New Roman" w:cs="Times New Roman"/>
          <w:sz w:val="24"/>
          <w:szCs w:val="24"/>
        </w:rPr>
        <w:t>/</w:t>
      </w:r>
      <w:r w:rsidRPr="00B962D6">
        <w:rPr>
          <w:rFonts w:ascii="Times New Roman" w:hAnsi="Times New Roman" w:cs="Times New Roman"/>
          <w:sz w:val="24"/>
          <w:szCs w:val="24"/>
        </w:rPr>
        <w:t xml:space="preserve">documentation </w:t>
      </w:r>
      <w:r w:rsidR="00FA26F3">
        <w:rPr>
          <w:rFonts w:ascii="Times New Roman" w:hAnsi="Times New Roman" w:cs="Times New Roman"/>
          <w:sz w:val="24"/>
          <w:szCs w:val="24"/>
        </w:rPr>
        <w:t>for methodology regarding how</w:t>
      </w:r>
      <w:r w:rsidRPr="00B962D6">
        <w:rPr>
          <w:rFonts w:ascii="Times New Roman" w:hAnsi="Times New Roman" w:cs="Times New Roman"/>
          <w:sz w:val="24"/>
          <w:szCs w:val="24"/>
        </w:rPr>
        <w:t xml:space="preserve"> planned security controls are implemented for low impact BES Cyber System.</w:t>
      </w:r>
      <w:r w:rsidR="001E11E7" w:rsidRPr="00B962D6">
        <w:rPr>
          <w:rFonts w:ascii="Times New Roman" w:hAnsi="Times New Roman" w:cs="Times New Roman"/>
          <w:sz w:val="24"/>
          <w:szCs w:val="24"/>
        </w:rPr>
        <w:t xml:space="preserve"> </w:t>
      </w:r>
    </w:p>
    <w:p w14:paraId="49FA5799" w14:textId="77777777" w:rsidR="00B123DB" w:rsidRPr="0082752D" w:rsidRDefault="00B123DB" w:rsidP="0082752D">
      <w:pPr>
        <w:autoSpaceDE w:val="0"/>
        <w:autoSpaceDN w:val="0"/>
        <w:adjustRightInd w:val="0"/>
        <w:spacing w:after="0" w:line="240" w:lineRule="auto"/>
        <w:rPr>
          <w:rFonts w:ascii="Times New Roman" w:hAnsi="Times New Roman" w:cs="Times New Roman"/>
          <w:sz w:val="24"/>
          <w:szCs w:val="24"/>
        </w:rPr>
      </w:pPr>
    </w:p>
    <w:p w14:paraId="23FF7275" w14:textId="77777777" w:rsidR="00B962D6" w:rsidRDefault="00B123DB" w:rsidP="00B123DB">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The consequences of not creating or maintaining</w:t>
      </w:r>
      <w:r w:rsidR="00B962D6">
        <w:rPr>
          <w:rFonts w:ascii="Times New Roman" w:hAnsi="Times New Roman" w:cs="Times New Roman"/>
          <w:sz w:val="24"/>
          <w:szCs w:val="24"/>
        </w:rPr>
        <w:t xml:space="preserve"> the documents would prevent:</w:t>
      </w:r>
    </w:p>
    <w:p w14:paraId="19D6BF3C" w14:textId="77777777" w:rsidR="00B962D6" w:rsidRDefault="00B123DB" w:rsidP="00B962D6">
      <w:pPr>
        <w:pStyle w:val="ListParagraph"/>
        <w:numPr>
          <w:ilvl w:val="0"/>
          <w:numId w:val="14"/>
        </w:numPr>
        <w:spacing w:after="0" w:line="240" w:lineRule="auto"/>
        <w:rPr>
          <w:rFonts w:ascii="Times New Roman" w:hAnsi="Times New Roman" w:cs="Times New Roman"/>
          <w:sz w:val="24"/>
          <w:szCs w:val="24"/>
        </w:rPr>
      </w:pPr>
      <w:r w:rsidRPr="00B962D6">
        <w:rPr>
          <w:rFonts w:ascii="Times New Roman" w:hAnsi="Times New Roman" w:cs="Times New Roman"/>
          <w:sz w:val="24"/>
          <w:szCs w:val="24"/>
        </w:rPr>
        <w:t xml:space="preserve">the implementation and maintenance of </w:t>
      </w:r>
      <w:r w:rsidR="0086089D" w:rsidRPr="00B962D6">
        <w:rPr>
          <w:rFonts w:ascii="Times New Roman" w:hAnsi="Times New Roman" w:cs="Times New Roman"/>
          <w:sz w:val="24"/>
          <w:szCs w:val="24"/>
        </w:rPr>
        <w:t>electronic access controls for low im</w:t>
      </w:r>
      <w:r w:rsidR="00B962D6">
        <w:rPr>
          <w:rFonts w:ascii="Times New Roman" w:hAnsi="Times New Roman" w:cs="Times New Roman"/>
          <w:sz w:val="24"/>
          <w:szCs w:val="24"/>
        </w:rPr>
        <w:t>pact BES Cyber Systems; and</w:t>
      </w:r>
    </w:p>
    <w:p w14:paraId="5E731445" w14:textId="77777777" w:rsidR="00DF1C8D" w:rsidRPr="00B962D6" w:rsidRDefault="00B123DB" w:rsidP="00B962D6">
      <w:pPr>
        <w:pStyle w:val="ListParagraph"/>
        <w:numPr>
          <w:ilvl w:val="0"/>
          <w:numId w:val="14"/>
        </w:numPr>
        <w:spacing w:after="0" w:line="240" w:lineRule="auto"/>
        <w:rPr>
          <w:rFonts w:ascii="Times New Roman" w:hAnsi="Times New Roman" w:cs="Times New Roman"/>
          <w:sz w:val="24"/>
          <w:szCs w:val="24"/>
        </w:rPr>
      </w:pPr>
      <w:r w:rsidRPr="00B962D6">
        <w:rPr>
          <w:rFonts w:ascii="Times New Roman" w:hAnsi="Times New Roman" w:cs="Times New Roman"/>
          <w:sz w:val="24"/>
          <w:szCs w:val="24"/>
        </w:rPr>
        <w:t xml:space="preserve">the mitigation </w:t>
      </w:r>
      <w:r w:rsidR="0033288D">
        <w:rPr>
          <w:rFonts w:ascii="Times New Roman" w:hAnsi="Times New Roman" w:cs="Times New Roman"/>
          <w:sz w:val="24"/>
          <w:szCs w:val="24"/>
        </w:rPr>
        <w:t xml:space="preserve">of </w:t>
      </w:r>
      <w:r w:rsidRPr="00B962D6">
        <w:rPr>
          <w:rFonts w:ascii="Times New Roman" w:hAnsi="Times New Roman" w:cs="Times New Roman"/>
          <w:sz w:val="24"/>
          <w:szCs w:val="24"/>
        </w:rPr>
        <w:t>the risk of malicious code being introduced to low impact BES Cyber System from TCAs.</w:t>
      </w:r>
    </w:p>
    <w:p w14:paraId="7FDD9319" w14:textId="77777777" w:rsidR="0086089D" w:rsidRPr="00B51BB8" w:rsidRDefault="0086089D" w:rsidP="002A4142">
      <w:pPr>
        <w:spacing w:after="0" w:line="240" w:lineRule="auto"/>
        <w:rPr>
          <w:rFonts w:ascii="Times New Roman" w:hAnsi="Times New Roman" w:cs="Times New Roman"/>
          <w:sz w:val="24"/>
          <w:szCs w:val="24"/>
        </w:rPr>
      </w:pPr>
    </w:p>
    <w:p w14:paraId="726125D5"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13F5510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4532E5CB" w14:textId="77777777"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4CA66B92" w14:textId="77777777" w:rsidR="00042D80" w:rsidRPr="00B51BB8" w:rsidRDefault="00042D80" w:rsidP="002A4142">
      <w:pPr>
        <w:spacing w:after="0" w:line="240" w:lineRule="auto"/>
        <w:rPr>
          <w:rFonts w:ascii="Times New Roman" w:hAnsi="Times New Roman" w:cs="Times New Roman"/>
          <w:b/>
          <w:bCs/>
          <w:sz w:val="24"/>
          <w:szCs w:val="24"/>
        </w:rPr>
      </w:pPr>
    </w:p>
    <w:p w14:paraId="27799D2D"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7F8F98B7" w14:textId="77777777" w:rsidR="00C4205B" w:rsidRPr="00B51BB8" w:rsidRDefault="00C4205B" w:rsidP="002A4142">
      <w:pPr>
        <w:spacing w:after="0" w:line="240" w:lineRule="auto"/>
        <w:rPr>
          <w:rFonts w:ascii="Times New Roman" w:hAnsi="Times New Roman" w:cs="Times New Roman"/>
          <w:sz w:val="24"/>
          <w:szCs w:val="24"/>
        </w:rPr>
      </w:pPr>
    </w:p>
    <w:p w14:paraId="42E2AEB9" w14:textId="77777777"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0D55CDFF" w14:textId="77777777" w:rsidR="00F64A6F" w:rsidRPr="00B51BB8" w:rsidRDefault="00F64A6F" w:rsidP="002A4142">
      <w:pPr>
        <w:spacing w:after="0" w:line="240" w:lineRule="auto"/>
        <w:rPr>
          <w:rFonts w:ascii="Times New Roman" w:hAnsi="Times New Roman" w:cs="Times New Roman"/>
          <w:sz w:val="24"/>
          <w:szCs w:val="24"/>
        </w:rPr>
      </w:pPr>
    </w:p>
    <w:p w14:paraId="2FCC5A7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DB89014" w14:textId="77777777" w:rsidR="00C4205B" w:rsidRPr="00B51BB8" w:rsidRDefault="00C4205B" w:rsidP="002A4142">
      <w:pPr>
        <w:spacing w:after="0" w:line="240" w:lineRule="auto"/>
        <w:rPr>
          <w:rFonts w:ascii="Times New Roman" w:hAnsi="Times New Roman" w:cs="Times New Roman"/>
          <w:b/>
          <w:bCs/>
          <w:sz w:val="24"/>
          <w:szCs w:val="24"/>
        </w:rPr>
      </w:pPr>
    </w:p>
    <w:p w14:paraId="3C7C3638" w14:textId="77777777" w:rsidR="006C0F0B" w:rsidRDefault="00DF1C8D" w:rsidP="0086089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The Commission estimates one-time</w:t>
      </w:r>
      <w:r w:rsidR="0044319A">
        <w:rPr>
          <w:rFonts w:ascii="Times New Roman" w:hAnsi="Times New Roman" w:cs="Times New Roman"/>
          <w:bCs/>
          <w:sz w:val="24"/>
          <w:szCs w:val="24"/>
        </w:rPr>
        <w:t xml:space="preserve"> and ongoing</w:t>
      </w:r>
      <w:r w:rsidRPr="00DF1C8D">
        <w:rPr>
          <w:rFonts w:ascii="Times New Roman" w:hAnsi="Times New Roman" w:cs="Times New Roman"/>
          <w:bCs/>
          <w:sz w:val="24"/>
          <w:szCs w:val="24"/>
        </w:rPr>
        <w:t xml:space="preserve"> increase</w:t>
      </w:r>
      <w:r w:rsidR="0044319A">
        <w:rPr>
          <w:rFonts w:ascii="Times New Roman" w:hAnsi="Times New Roman" w:cs="Times New Roman"/>
          <w:bCs/>
          <w:sz w:val="24"/>
          <w:szCs w:val="24"/>
        </w:rPr>
        <w:t xml:space="preserve">s </w:t>
      </w:r>
      <w:r w:rsidRPr="00DF1C8D">
        <w:rPr>
          <w:rFonts w:ascii="Times New Roman" w:hAnsi="Times New Roman" w:cs="Times New Roman"/>
          <w:bCs/>
          <w:sz w:val="24"/>
          <w:szCs w:val="24"/>
        </w:rPr>
        <w:t>in reporting</w:t>
      </w:r>
      <w:r w:rsidR="0044319A">
        <w:rPr>
          <w:rFonts w:ascii="Times New Roman" w:hAnsi="Times New Roman" w:cs="Times New Roman"/>
          <w:bCs/>
          <w:sz w:val="24"/>
          <w:szCs w:val="24"/>
        </w:rPr>
        <w:t xml:space="preserve"> burden on variety of NERC-registered entities (including Reliability Coordinators, Generator Operators, Generator Owners, Interchange Coordinators/Authorities, Transmission Operators, Balancing Authorities, Transmission Owners, and certain Distribution Providers)</w:t>
      </w:r>
      <w:r w:rsidRPr="00DF1C8D">
        <w:rPr>
          <w:rFonts w:ascii="Times New Roman" w:hAnsi="Times New Roman" w:cs="Times New Roman"/>
          <w:bCs/>
          <w:sz w:val="24"/>
          <w:szCs w:val="24"/>
        </w:rPr>
        <w:t xml:space="preserve"> due to the changes in t</w:t>
      </w:r>
      <w:r w:rsidR="0044319A">
        <w:rPr>
          <w:rFonts w:ascii="Times New Roman" w:hAnsi="Times New Roman" w:cs="Times New Roman"/>
          <w:bCs/>
          <w:sz w:val="24"/>
          <w:szCs w:val="24"/>
        </w:rPr>
        <w:t>he revised Reliability Standard</w:t>
      </w:r>
      <w:r w:rsidRPr="00DF1C8D">
        <w:rPr>
          <w:rFonts w:ascii="Times New Roman" w:hAnsi="Times New Roman" w:cs="Times New Roman"/>
          <w:bCs/>
          <w:sz w:val="24"/>
          <w:szCs w:val="24"/>
        </w:rPr>
        <w:t>, with no other increase in the cost of compliance (when compared with the curre</w:t>
      </w:r>
      <w:r w:rsidR="0086089D">
        <w:rPr>
          <w:rFonts w:ascii="Times New Roman" w:hAnsi="Times New Roman" w:cs="Times New Roman"/>
          <w:bCs/>
          <w:sz w:val="24"/>
          <w:szCs w:val="24"/>
        </w:rPr>
        <w:t>nt standards).  Approximately 857</w:t>
      </w:r>
      <w:r w:rsidRPr="00DF1C8D">
        <w:rPr>
          <w:rFonts w:ascii="Times New Roman" w:hAnsi="Times New Roman" w:cs="Times New Roman"/>
          <w:bCs/>
          <w:sz w:val="24"/>
          <w:szCs w:val="24"/>
        </w:rPr>
        <w:t xml:space="preserve"> of the </w:t>
      </w:r>
      <w:r w:rsidR="0086089D">
        <w:rPr>
          <w:rFonts w:ascii="Times New Roman" w:hAnsi="Times New Roman" w:cs="Times New Roman"/>
          <w:bCs/>
          <w:sz w:val="24"/>
          <w:szCs w:val="24"/>
        </w:rPr>
        <w:t>1,100</w:t>
      </w:r>
      <w:r w:rsidR="00F11DCD" w:rsidRPr="00DF1C8D">
        <w:rPr>
          <w:rFonts w:ascii="Times New Roman" w:hAnsi="Times New Roman" w:cs="Times New Roman"/>
          <w:bCs/>
          <w:sz w:val="24"/>
          <w:szCs w:val="24"/>
        </w:rPr>
        <w:t xml:space="preserve"> </w:t>
      </w:r>
      <w:r w:rsidRPr="00DF1C8D">
        <w:rPr>
          <w:rFonts w:ascii="Times New Roman" w:hAnsi="Times New Roman" w:cs="Times New Roman"/>
          <w:bCs/>
          <w:sz w:val="24"/>
          <w:szCs w:val="24"/>
        </w:rPr>
        <w:t xml:space="preserve">balancing authorities are expected to meet the SBA’s </w:t>
      </w:r>
      <w:r w:rsidR="0044319A">
        <w:rPr>
          <w:rFonts w:ascii="Times New Roman" w:hAnsi="Times New Roman" w:cs="Times New Roman"/>
          <w:bCs/>
          <w:sz w:val="24"/>
          <w:szCs w:val="24"/>
        </w:rPr>
        <w:t>definition for a small entity.</w:t>
      </w:r>
    </w:p>
    <w:p w14:paraId="0438CBDA" w14:textId="77777777" w:rsidR="0044319A" w:rsidRDefault="0044319A" w:rsidP="0086089D">
      <w:pPr>
        <w:spacing w:after="0" w:line="240" w:lineRule="auto"/>
        <w:rPr>
          <w:rFonts w:ascii="Times New Roman" w:hAnsi="Times New Roman" w:cs="Times New Roman"/>
          <w:bCs/>
          <w:sz w:val="24"/>
          <w:szCs w:val="24"/>
        </w:rPr>
      </w:pPr>
    </w:p>
    <w:p w14:paraId="11F124F1" w14:textId="77777777" w:rsidR="0044319A" w:rsidRDefault="0044319A" w:rsidP="0086089D">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This Reliability Standard does not contain provisions for minimizing the burden of the collection for small entities.  All the requirements in the Reliability Standard apply to every applicable entity.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r>
        <w:rPr>
          <w:rFonts w:ascii="Times New Roman" w:hAnsi="Times New Roman" w:cs="Times New Roman"/>
          <w:bCs/>
          <w:sz w:val="24"/>
          <w:szCs w:val="24"/>
        </w:rPr>
        <w:t>.</w:t>
      </w:r>
    </w:p>
    <w:p w14:paraId="6B22F49C" w14:textId="77777777" w:rsidR="00DF1C8D" w:rsidRPr="00B51BB8" w:rsidRDefault="00DF1C8D" w:rsidP="00DF1C8D">
      <w:pPr>
        <w:spacing w:after="0" w:line="240" w:lineRule="auto"/>
        <w:rPr>
          <w:rFonts w:ascii="Times New Roman" w:hAnsi="Times New Roman" w:cs="Times New Roman"/>
          <w:bCs/>
          <w:sz w:val="24"/>
          <w:szCs w:val="24"/>
        </w:rPr>
      </w:pPr>
    </w:p>
    <w:p w14:paraId="370EF451"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53BF93C7"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779516A7" w14:textId="77777777" w:rsidR="00694503" w:rsidRPr="0082752D" w:rsidRDefault="00AB3A07" w:rsidP="002A4142">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of not creating the documents would prevent </w:t>
      </w:r>
      <w:r w:rsidR="0082752D">
        <w:rPr>
          <w:rFonts w:ascii="Times New Roman" w:hAnsi="Times New Roman" w:cs="Times New Roman"/>
          <w:sz w:val="24"/>
          <w:szCs w:val="24"/>
        </w:rPr>
        <w:t xml:space="preserve">1) </w:t>
      </w:r>
      <w:r w:rsidRPr="0082752D">
        <w:rPr>
          <w:rFonts w:ascii="Times New Roman" w:hAnsi="Times New Roman" w:cs="Times New Roman"/>
          <w:sz w:val="24"/>
          <w:szCs w:val="24"/>
        </w:rPr>
        <w:t>the implementation</w:t>
      </w:r>
      <w:r w:rsidR="0082752D" w:rsidRPr="0082752D">
        <w:rPr>
          <w:rFonts w:ascii="Times New Roman" w:hAnsi="Times New Roman" w:cs="Times New Roman"/>
          <w:sz w:val="24"/>
          <w:szCs w:val="24"/>
        </w:rPr>
        <w:t xml:space="preserve"> of</w:t>
      </w:r>
      <w:r w:rsidRPr="0082752D">
        <w:rPr>
          <w:rFonts w:ascii="Times New Roman" w:hAnsi="Times New Roman" w:cs="Times New Roman"/>
          <w:sz w:val="24"/>
          <w:szCs w:val="24"/>
        </w:rPr>
        <w:t xml:space="preserve"> electronic access controls for low</w:t>
      </w:r>
      <w:r w:rsidR="0082752D">
        <w:rPr>
          <w:rFonts w:ascii="Times New Roman" w:hAnsi="Times New Roman" w:cs="Times New Roman"/>
          <w:sz w:val="24"/>
          <w:szCs w:val="24"/>
        </w:rPr>
        <w:t xml:space="preserve"> impact BES Cyber Systems and </w:t>
      </w:r>
      <w:r w:rsidRPr="0082752D">
        <w:rPr>
          <w:rFonts w:ascii="Times New Roman" w:hAnsi="Times New Roman" w:cs="Times New Roman"/>
          <w:sz w:val="24"/>
          <w:szCs w:val="24"/>
        </w:rPr>
        <w:t xml:space="preserve">2) the mitigation </w:t>
      </w:r>
      <w:r w:rsidR="0033288D">
        <w:rPr>
          <w:rFonts w:ascii="Times New Roman" w:hAnsi="Times New Roman" w:cs="Times New Roman"/>
          <w:sz w:val="24"/>
          <w:szCs w:val="24"/>
        </w:rPr>
        <w:t xml:space="preserve">of </w:t>
      </w:r>
      <w:r w:rsidRPr="0082752D">
        <w:rPr>
          <w:rFonts w:ascii="Times New Roman" w:hAnsi="Times New Roman" w:cs="Times New Roman"/>
          <w:sz w:val="24"/>
          <w:szCs w:val="24"/>
        </w:rPr>
        <w:t xml:space="preserve">the risk of malicious code being introduced to low impact BES Cyber System from TCAs.  </w:t>
      </w:r>
    </w:p>
    <w:p w14:paraId="2D92EAF2" w14:textId="77777777" w:rsidR="00694503" w:rsidRPr="0082752D" w:rsidRDefault="00694503" w:rsidP="002A4142">
      <w:pPr>
        <w:spacing w:after="0" w:line="240" w:lineRule="auto"/>
        <w:rPr>
          <w:rFonts w:ascii="Times New Roman" w:hAnsi="Times New Roman" w:cs="Times New Roman"/>
          <w:sz w:val="24"/>
          <w:szCs w:val="24"/>
        </w:rPr>
      </w:pPr>
    </w:p>
    <w:p w14:paraId="784C1D81" w14:textId="77777777" w:rsidR="00694503" w:rsidRPr="0082752D" w:rsidRDefault="00AB3A07" w:rsidP="002A4142">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The frequency of modifying or updating the documentation</w:t>
      </w:r>
      <w:r w:rsidR="00694503" w:rsidRPr="0082752D">
        <w:rPr>
          <w:rFonts w:ascii="Times New Roman" w:hAnsi="Times New Roman" w:cs="Times New Roman"/>
          <w:sz w:val="24"/>
          <w:szCs w:val="24"/>
        </w:rPr>
        <w:t xml:space="preserve"> of the plans </w:t>
      </w:r>
      <w:r w:rsidRPr="0082752D">
        <w:rPr>
          <w:rFonts w:ascii="Times New Roman" w:hAnsi="Times New Roman" w:cs="Times New Roman"/>
          <w:sz w:val="24"/>
          <w:szCs w:val="24"/>
        </w:rPr>
        <w:t xml:space="preserve">occurs only when the entities change or modify their security controls for the low impact BES Cyber Systems or TCA used at low impact BES Cyber Systems.  </w:t>
      </w:r>
    </w:p>
    <w:p w14:paraId="1B14C4AB" w14:textId="77777777" w:rsidR="00694503" w:rsidRPr="0082752D" w:rsidRDefault="00694503" w:rsidP="002A4142">
      <w:pPr>
        <w:spacing w:after="0" w:line="240" w:lineRule="auto"/>
        <w:rPr>
          <w:rFonts w:ascii="Times New Roman" w:hAnsi="Times New Roman" w:cs="Times New Roman"/>
          <w:sz w:val="24"/>
          <w:szCs w:val="24"/>
        </w:rPr>
      </w:pPr>
    </w:p>
    <w:p w14:paraId="06C98FB1" w14:textId="77777777" w:rsidR="00AB3A07" w:rsidRPr="0082752D" w:rsidRDefault="00AB3A07" w:rsidP="002A4142">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frequency of documentation that the security controls were implemented and remain implemented, that the entities defined in their plans, is entirely based upon the frequency of the entities using TCA at low impact BES Cyber Systems or otherwise stated in their plans to maintain the security controls that the entity designed or </w:t>
      </w:r>
      <w:r w:rsidR="00930C74" w:rsidRPr="0082752D">
        <w:rPr>
          <w:rFonts w:ascii="Times New Roman" w:hAnsi="Times New Roman" w:cs="Times New Roman"/>
          <w:sz w:val="24"/>
          <w:szCs w:val="24"/>
        </w:rPr>
        <w:t>the modification of low impact BES Cyber Systems</w:t>
      </w:r>
      <w:r w:rsidR="00694503" w:rsidRPr="0082752D">
        <w:rPr>
          <w:rFonts w:ascii="Times New Roman" w:hAnsi="Times New Roman" w:cs="Times New Roman"/>
          <w:sz w:val="24"/>
          <w:szCs w:val="24"/>
        </w:rPr>
        <w:t xml:space="preserve"> that impact the security controls</w:t>
      </w:r>
      <w:r w:rsidR="00930C74" w:rsidRPr="0082752D">
        <w:rPr>
          <w:rFonts w:ascii="Times New Roman" w:hAnsi="Times New Roman" w:cs="Times New Roman"/>
          <w:sz w:val="24"/>
          <w:szCs w:val="24"/>
        </w:rPr>
        <w:t>.</w:t>
      </w:r>
    </w:p>
    <w:p w14:paraId="7D9A3C49" w14:textId="77777777" w:rsidR="006C0F0B" w:rsidRPr="00B51BB8" w:rsidRDefault="00AB3A07"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107A532"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3D593F90" w14:textId="77777777" w:rsidR="00C4205B" w:rsidRPr="00B51BB8" w:rsidRDefault="00C4205B" w:rsidP="002A4142">
      <w:pPr>
        <w:spacing w:after="0" w:line="240" w:lineRule="auto"/>
        <w:rPr>
          <w:rFonts w:ascii="Times New Roman" w:hAnsi="Times New Roman" w:cs="Times New Roman"/>
          <w:b/>
          <w:bCs/>
          <w:sz w:val="24"/>
          <w:szCs w:val="24"/>
        </w:rPr>
      </w:pPr>
    </w:p>
    <w:p w14:paraId="23E84D55" w14:textId="77777777" w:rsidR="00115F24" w:rsidRDefault="00675A46" w:rsidP="002A41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FERC-725B</w:t>
      </w:r>
      <w:r w:rsidR="0044319A">
        <w:rPr>
          <w:rFonts w:ascii="Times New Roman" w:eastAsia="Calibri" w:hAnsi="Times New Roman" w:cs="Times New Roman"/>
          <w:sz w:val="24"/>
          <w:szCs w:val="24"/>
        </w:rPr>
        <w:t xml:space="preserve"> information collection</w:t>
      </w:r>
      <w:r w:rsidR="0044319A" w:rsidRPr="0044319A">
        <w:rPr>
          <w:rFonts w:ascii="Times New Roman" w:eastAsia="Calibri" w:hAnsi="Times New Roman" w:cs="Times New Roman"/>
          <w:sz w:val="24"/>
          <w:szCs w:val="24"/>
        </w:rPr>
        <w:t xml:space="preserve"> has</w:t>
      </w:r>
      <w:r w:rsidR="00CB0831" w:rsidRPr="00CB0831">
        <w:rPr>
          <w:rFonts w:ascii="Times New Roman" w:eastAsia="Calibri" w:hAnsi="Times New Roman" w:cs="Times New Roman"/>
          <w:sz w:val="24"/>
          <w:szCs w:val="24"/>
        </w:rPr>
        <w:t xml:space="preserve"> no special circumstances.  </w:t>
      </w:r>
    </w:p>
    <w:p w14:paraId="21EB7D70" w14:textId="77777777" w:rsidR="006C0F0B" w:rsidRPr="00B51BB8" w:rsidRDefault="006C0F0B" w:rsidP="002A4142">
      <w:pPr>
        <w:spacing w:after="0" w:line="240" w:lineRule="auto"/>
        <w:rPr>
          <w:rFonts w:ascii="Times New Roman" w:hAnsi="Times New Roman" w:cs="Times New Roman"/>
          <w:sz w:val="24"/>
          <w:szCs w:val="24"/>
        </w:rPr>
      </w:pPr>
    </w:p>
    <w:p w14:paraId="6237F712"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180E4F06" w14:textId="77777777" w:rsidR="00C4205B" w:rsidRPr="00B51BB8" w:rsidRDefault="00C4205B" w:rsidP="002A4142">
      <w:pPr>
        <w:spacing w:after="0" w:line="240" w:lineRule="auto"/>
        <w:rPr>
          <w:rFonts w:ascii="Times New Roman" w:hAnsi="Times New Roman" w:cs="Times New Roman"/>
          <w:b/>
          <w:bCs/>
          <w:sz w:val="24"/>
          <w:szCs w:val="24"/>
        </w:rPr>
      </w:pPr>
    </w:p>
    <w:p w14:paraId="77FA58B7" w14:textId="77777777"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5A2A65E1" w14:textId="77777777" w:rsidR="00543FCE" w:rsidRPr="00B51BB8" w:rsidRDefault="00543FCE" w:rsidP="002A4142">
      <w:pPr>
        <w:spacing w:after="0" w:line="240" w:lineRule="auto"/>
        <w:rPr>
          <w:rFonts w:ascii="Times New Roman" w:hAnsi="Times New Roman" w:cs="Times New Roman"/>
          <w:sz w:val="24"/>
          <w:szCs w:val="24"/>
        </w:rPr>
      </w:pPr>
    </w:p>
    <w:p w14:paraId="27935D41" w14:textId="77777777" w:rsidR="00543FCE" w:rsidRPr="00B51BB8" w:rsidRDefault="00236FF2"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 NOPR</w:t>
      </w:r>
      <w:r w:rsidR="00543FCE" w:rsidRPr="00B51BB8">
        <w:rPr>
          <w:rFonts w:ascii="Times New Roman" w:hAnsi="Times New Roman" w:cs="Times New Roman"/>
          <w:sz w:val="24"/>
          <w:szCs w:val="24"/>
        </w:rPr>
        <w:t xml:space="preserve"> </w:t>
      </w:r>
      <w:r w:rsidR="00732818">
        <w:rPr>
          <w:rFonts w:ascii="Times New Roman" w:hAnsi="Times New Roman" w:cs="Times New Roman"/>
          <w:sz w:val="24"/>
          <w:szCs w:val="24"/>
        </w:rPr>
        <w:t xml:space="preserve">was </w:t>
      </w:r>
      <w:r w:rsidR="00543FCE" w:rsidRPr="00B51BB8">
        <w:rPr>
          <w:rFonts w:ascii="Times New Roman" w:hAnsi="Times New Roman" w:cs="Times New Roman"/>
          <w:sz w:val="24"/>
          <w:szCs w:val="24"/>
        </w:rPr>
        <w:t>published</w:t>
      </w:r>
      <w:r w:rsidR="00675A46" w:rsidRPr="00675A46">
        <w:rPr>
          <w:rStyle w:val="FootnoteReference"/>
          <w:rFonts w:ascii="Times New Roman" w:hAnsi="Times New Roman" w:cs="Times New Roman"/>
          <w:sz w:val="24"/>
          <w:szCs w:val="24"/>
          <w:vertAlign w:val="superscript"/>
        </w:rPr>
        <w:footnoteReference w:id="6"/>
      </w:r>
      <w:r w:rsidR="00543FCE" w:rsidRPr="00675A46">
        <w:rPr>
          <w:rFonts w:ascii="Times New Roman" w:hAnsi="Times New Roman" w:cs="Times New Roman"/>
          <w:sz w:val="24"/>
          <w:szCs w:val="24"/>
          <w:vertAlign w:val="superscript"/>
        </w:rPr>
        <w:t xml:space="preserve"> </w:t>
      </w:r>
      <w:r w:rsidR="00543FCE" w:rsidRPr="00B51BB8">
        <w:rPr>
          <w:rFonts w:ascii="Times New Roman" w:hAnsi="Times New Roman" w:cs="Times New Roman"/>
          <w:sz w:val="24"/>
          <w:szCs w:val="24"/>
        </w:rPr>
        <w:t>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44319A" w:rsidRPr="00675A46">
        <w:rPr>
          <w:rFonts w:ascii="Times New Roman" w:hAnsi="Times New Roman" w:cs="Times New Roman"/>
          <w:sz w:val="24"/>
          <w:szCs w:val="24"/>
        </w:rPr>
        <w:t>on 10</w:t>
      </w:r>
      <w:r w:rsidR="00675A46" w:rsidRPr="00675A46">
        <w:rPr>
          <w:rFonts w:ascii="Times New Roman" w:hAnsi="Times New Roman" w:cs="Times New Roman"/>
          <w:sz w:val="24"/>
          <w:szCs w:val="24"/>
        </w:rPr>
        <w:t>/26</w:t>
      </w:r>
      <w:r w:rsidR="00CB0831" w:rsidRPr="00675A46">
        <w:rPr>
          <w:rFonts w:ascii="Times New Roman" w:hAnsi="Times New Roman" w:cs="Times New Roman"/>
          <w:sz w:val="24"/>
          <w:szCs w:val="24"/>
        </w:rPr>
        <w:t>/2017</w:t>
      </w:r>
      <w:r w:rsidR="00543FCE" w:rsidRPr="00675A46">
        <w:rPr>
          <w:rFonts w:ascii="Times New Roman" w:hAnsi="Times New Roman" w:cs="Times New Roman"/>
          <w:sz w:val="24"/>
          <w:szCs w:val="24"/>
        </w:rPr>
        <w:t>.</w:t>
      </w:r>
    </w:p>
    <w:p w14:paraId="5B6D4B65" w14:textId="77777777" w:rsidR="006C0F0B" w:rsidRPr="00B51BB8" w:rsidRDefault="006C0F0B" w:rsidP="002A4142">
      <w:pPr>
        <w:spacing w:after="0" w:line="240" w:lineRule="auto"/>
        <w:ind w:firstLine="360"/>
        <w:rPr>
          <w:rFonts w:ascii="Times New Roman" w:hAnsi="Times New Roman" w:cs="Times New Roman"/>
          <w:sz w:val="24"/>
          <w:szCs w:val="24"/>
        </w:rPr>
      </w:pPr>
    </w:p>
    <w:p w14:paraId="0AF25828" w14:textId="77777777" w:rsidR="00C4205B" w:rsidRPr="00B51BB8"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0E2CB0AE" w14:textId="77777777" w:rsidR="00C4205B" w:rsidRPr="00B51BB8" w:rsidRDefault="00C4205B" w:rsidP="00F26A37">
      <w:pPr>
        <w:spacing w:after="0" w:line="240" w:lineRule="auto"/>
        <w:rPr>
          <w:rFonts w:ascii="Times New Roman" w:hAnsi="Times New Roman" w:cs="Times New Roman"/>
          <w:b/>
          <w:bCs/>
          <w:sz w:val="24"/>
          <w:szCs w:val="24"/>
        </w:rPr>
      </w:pPr>
    </w:p>
    <w:p w14:paraId="6382B4E3"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286252B7" w14:textId="77777777" w:rsidR="00391060" w:rsidRPr="00B51BB8" w:rsidRDefault="00391060" w:rsidP="00F26A37">
      <w:pPr>
        <w:spacing w:after="0" w:line="240" w:lineRule="auto"/>
        <w:rPr>
          <w:rFonts w:ascii="Times New Roman" w:hAnsi="Times New Roman" w:cs="Times New Roman"/>
          <w:sz w:val="24"/>
          <w:szCs w:val="24"/>
        </w:rPr>
      </w:pPr>
    </w:p>
    <w:p w14:paraId="5F0BFFA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6A5CC82B" w14:textId="77777777" w:rsidR="00C4205B" w:rsidRPr="00B51BB8" w:rsidRDefault="00C4205B" w:rsidP="00F26A37">
      <w:pPr>
        <w:spacing w:after="0" w:line="240" w:lineRule="auto"/>
        <w:rPr>
          <w:rFonts w:ascii="Times New Roman" w:hAnsi="Times New Roman" w:cs="Times New Roman"/>
          <w:b/>
          <w:bCs/>
          <w:sz w:val="24"/>
          <w:szCs w:val="24"/>
        </w:rPr>
      </w:pPr>
    </w:p>
    <w:p w14:paraId="04781389"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7"/>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0D921031"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3783DBBA" w14:textId="77777777" w:rsidR="00C4205B" w:rsidRPr="00B51BB8" w:rsidRDefault="00C4205B" w:rsidP="002A4142">
      <w:pPr>
        <w:spacing w:after="0" w:line="240" w:lineRule="auto"/>
        <w:ind w:firstLine="720"/>
        <w:rPr>
          <w:rFonts w:ascii="Times New Roman" w:hAnsi="Times New Roman" w:cs="Times New Roman"/>
          <w:sz w:val="24"/>
          <w:szCs w:val="24"/>
        </w:rPr>
      </w:pPr>
    </w:p>
    <w:p w14:paraId="589143B0" w14:textId="77777777" w:rsidR="00C4205B" w:rsidRDefault="00C4205B" w:rsidP="002A4142">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57DE9DF6"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125EDD35" w14:textId="77777777" w:rsidR="003C19D0" w:rsidRPr="00115F24" w:rsidRDefault="00503BD5" w:rsidP="002A4142">
      <w:pPr>
        <w:spacing w:line="240" w:lineRule="auto"/>
        <w:rPr>
          <w:rFonts w:ascii="Times New Roman" w:hAnsi="Times New Roman" w:cs="Times New Roman"/>
          <w:sz w:val="24"/>
          <w:szCs w:val="24"/>
        </w:rPr>
      </w:pPr>
      <w:r>
        <w:rPr>
          <w:rFonts w:ascii="Times New Roman" w:hAnsi="Times New Roman" w:cs="Times New Roman"/>
          <w:sz w:val="24"/>
          <w:szCs w:val="24"/>
        </w:rPr>
        <w:t>These</w:t>
      </w:r>
      <w:r w:rsidR="00F14924" w:rsidRPr="00B51BB8">
        <w:rPr>
          <w:rFonts w:ascii="Times New Roman" w:hAnsi="Times New Roman" w:cs="Times New Roman"/>
          <w:sz w:val="24"/>
          <w:szCs w:val="24"/>
        </w:rPr>
        <w:t xml:space="preserve"> collection</w:t>
      </w:r>
      <w:r>
        <w:rPr>
          <w:rFonts w:ascii="Times New Roman" w:hAnsi="Times New Roman" w:cs="Times New Roman"/>
          <w:sz w:val="24"/>
          <w:szCs w:val="24"/>
        </w:rPr>
        <w:t>s</w:t>
      </w:r>
      <w:r w:rsidR="00F14924" w:rsidRPr="00B51BB8">
        <w:rPr>
          <w:rFonts w:ascii="Times New Roman" w:hAnsi="Times New Roman" w:cs="Times New Roman"/>
          <w:sz w:val="24"/>
          <w:szCs w:val="24"/>
        </w:rPr>
        <w:t xml:space="preserve"> do not contain any qu</w:t>
      </w:r>
      <w:r w:rsidR="00115F24">
        <w:rPr>
          <w:rFonts w:ascii="Times New Roman" w:hAnsi="Times New Roman" w:cs="Times New Roman"/>
          <w:sz w:val="24"/>
          <w:szCs w:val="24"/>
        </w:rPr>
        <w:t>estions of a sensitive nature.</w:t>
      </w:r>
    </w:p>
    <w:p w14:paraId="5C58F0E0"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5B1DAB2C"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1C3CA31C"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NERC’s</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 xml:space="preserve">proposed </w:t>
      </w:r>
      <w:r w:rsidRPr="00CB0831">
        <w:rPr>
          <w:rFonts w:ascii="Times New Roman" w:hAnsi="Times New Roman" w:cs="Times New Roman"/>
          <w:sz w:val="24"/>
          <w:szCs w:val="24"/>
        </w:rPr>
        <w:t>re</w:t>
      </w:r>
      <w:r w:rsidR="00236FF2">
        <w:rPr>
          <w:rFonts w:ascii="Times New Roman" w:hAnsi="Times New Roman" w:cs="Times New Roman"/>
          <w:sz w:val="24"/>
          <w:szCs w:val="24"/>
        </w:rPr>
        <w:t>visions to Reliability Standard</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 xml:space="preserve">CIP-003-7 will result in one-time and </w:t>
      </w:r>
      <w:r w:rsidRPr="00CB0831">
        <w:rPr>
          <w:rFonts w:ascii="Times New Roman" w:hAnsi="Times New Roman" w:cs="Times New Roman"/>
          <w:sz w:val="24"/>
          <w:szCs w:val="24"/>
        </w:rPr>
        <w:t>ongoing increase</w:t>
      </w:r>
      <w:r w:rsidR="00236FF2">
        <w:rPr>
          <w:rFonts w:ascii="Times New Roman" w:hAnsi="Times New Roman" w:cs="Times New Roman"/>
          <w:sz w:val="24"/>
          <w:szCs w:val="24"/>
        </w:rPr>
        <w:t>s to burden</w:t>
      </w:r>
      <w:r w:rsidRPr="00CB0831">
        <w:rPr>
          <w:rFonts w:ascii="Times New Roman" w:hAnsi="Times New Roman" w:cs="Times New Roman"/>
          <w:sz w:val="24"/>
          <w:szCs w:val="24"/>
        </w:rPr>
        <w:t xml:space="preserve"> in the rep</w:t>
      </w:r>
      <w:r w:rsidR="00236FF2">
        <w:rPr>
          <w:rFonts w:ascii="Times New Roman" w:hAnsi="Times New Roman" w:cs="Times New Roman"/>
          <w:sz w:val="24"/>
          <w:szCs w:val="24"/>
        </w:rPr>
        <w:t>orting requirements imposed on</w:t>
      </w:r>
      <w:r w:rsidR="00236FF2">
        <w:rPr>
          <w:rFonts w:ascii="Times New Roman" w:hAnsi="Times New Roman" w:cs="Times New Roman"/>
          <w:bCs/>
          <w:sz w:val="24"/>
          <w:szCs w:val="24"/>
        </w:rPr>
        <w:t xml:space="preserve"> Reliability Coordinators, Generator Operators, Generator Owners, Interchange Coordinators/Authorities, Transmission Operators, Balancing Authorities, Transmission Owners, and certain Distribution Providers</w:t>
      </w:r>
      <w:r w:rsidR="00E66667">
        <w:rPr>
          <w:rFonts w:ascii="Times New Roman" w:hAnsi="Times New Roman" w:cs="Times New Roman"/>
          <w:sz w:val="24"/>
          <w:szCs w:val="24"/>
        </w:rPr>
        <w:t>.</w:t>
      </w:r>
    </w:p>
    <w:p w14:paraId="5D4A20C4"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FD7F6DC" w14:textId="77777777" w:rsidR="00503BD5" w:rsidRDefault="00CB0831" w:rsidP="00CB0831">
      <w:pPr>
        <w:pStyle w:val="FERCparanumber"/>
        <w:numPr>
          <w:ilvl w:val="0"/>
          <w:numId w:val="0"/>
        </w:numPr>
        <w:tabs>
          <w:tab w:val="left" w:pos="720"/>
        </w:tabs>
        <w:rPr>
          <w:rFonts w:ascii="Times New Roman" w:hAnsi="Times New Roman" w:cs="Times New Roman"/>
        </w:rPr>
      </w:pPr>
      <w:r w:rsidRPr="00CB0831">
        <w:rPr>
          <w:rFonts w:ascii="Times New Roman" w:hAnsi="Times New Roman" w:cs="Times New Roman"/>
        </w:rPr>
        <w:t>The estimated changes to the burden and cost for FERC-725</w:t>
      </w:r>
      <w:r w:rsidR="00675A46">
        <w:rPr>
          <w:rFonts w:ascii="Times New Roman" w:hAnsi="Times New Roman" w:cs="Times New Roman"/>
        </w:rPr>
        <w:t>B</w:t>
      </w:r>
      <w:r w:rsidR="00FA717D">
        <w:rPr>
          <w:rFonts w:ascii="Times New Roman" w:hAnsi="Times New Roman" w:cs="Times New Roman"/>
        </w:rPr>
        <w:t xml:space="preserve"> </w:t>
      </w:r>
      <w:r>
        <w:rPr>
          <w:rFonts w:ascii="Times New Roman" w:hAnsi="Times New Roman" w:cs="Times New Roman"/>
        </w:rPr>
        <w:t>due to the</w:t>
      </w:r>
      <w:r w:rsidR="00FA717D">
        <w:rPr>
          <w:rFonts w:ascii="Times New Roman" w:hAnsi="Times New Roman" w:cs="Times New Roman"/>
        </w:rPr>
        <w:t xml:space="preserve"> proposed modifications in the NOPR in RM17-11</w:t>
      </w:r>
      <w:r w:rsidRPr="00CB0831">
        <w:rPr>
          <w:rFonts w:ascii="Times New Roman" w:hAnsi="Times New Roman" w:cs="Times New Roman"/>
        </w:rPr>
        <w:t xml:space="preserve"> follow</w:t>
      </w:r>
      <w:r w:rsidR="00503BD5">
        <w:rPr>
          <w:rFonts w:ascii="Times New Roman" w:hAnsi="Times New Roman" w:cs="Times New Roman"/>
        </w:rPr>
        <w:t>:</w:t>
      </w:r>
    </w:p>
    <w:p w14:paraId="1B265933" w14:textId="77777777" w:rsidR="00FC11BA" w:rsidRDefault="00FC11BA" w:rsidP="00CB0831">
      <w:pPr>
        <w:spacing w:line="24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422"/>
        <w:gridCol w:w="1531"/>
        <w:gridCol w:w="1443"/>
        <w:gridCol w:w="1342"/>
        <w:gridCol w:w="1348"/>
        <w:gridCol w:w="1262"/>
      </w:tblGrid>
      <w:tr w:rsidR="00BC5463" w:rsidRPr="00BC5463" w14:paraId="54CEC28A" w14:textId="77777777" w:rsidTr="00ED6908">
        <w:trPr>
          <w:cantSplit/>
        </w:trPr>
        <w:tc>
          <w:tcPr>
            <w:tcW w:w="5000" w:type="pct"/>
            <w:gridSpan w:val="7"/>
            <w:tcBorders>
              <w:bottom w:val="single" w:sz="4" w:space="0" w:color="auto"/>
            </w:tcBorders>
            <w:shd w:val="clear" w:color="auto" w:fill="D9D9D9"/>
          </w:tcPr>
          <w:p w14:paraId="2938B5FF"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 xml:space="preserve">RM17-11-000 NOPR </w:t>
            </w:r>
          </w:p>
          <w:p w14:paraId="7FAAC183"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(Mandatory Reliability Standards for Critical Infrastructure Protection Reliability Standards)</w:t>
            </w:r>
          </w:p>
        </w:tc>
      </w:tr>
      <w:tr w:rsidR="00BC5463" w:rsidRPr="00BC5463" w14:paraId="4CB17AD7" w14:textId="77777777" w:rsidTr="00ED6908">
        <w:trPr>
          <w:cantSplit/>
        </w:trPr>
        <w:tc>
          <w:tcPr>
            <w:tcW w:w="932" w:type="pct"/>
            <w:shd w:val="clear" w:color="auto" w:fill="D9D9D9"/>
          </w:tcPr>
          <w:p w14:paraId="1B09FD07" w14:textId="77777777" w:rsidR="00BC5463" w:rsidRPr="00BC5463" w:rsidRDefault="00BC5463" w:rsidP="00BC5463">
            <w:pPr>
              <w:spacing w:after="0" w:line="240" w:lineRule="auto"/>
              <w:jc w:val="center"/>
              <w:rPr>
                <w:rFonts w:ascii="Times New Roman" w:eastAsia="Calibri" w:hAnsi="Times New Roman" w:cs="Times New Roman"/>
                <w:b/>
                <w:sz w:val="20"/>
                <w:szCs w:val="20"/>
              </w:rPr>
            </w:pPr>
          </w:p>
        </w:tc>
        <w:tc>
          <w:tcPr>
            <w:tcW w:w="693" w:type="pct"/>
            <w:shd w:val="clear" w:color="auto" w:fill="D9D9D9"/>
            <w:vAlign w:val="bottom"/>
          </w:tcPr>
          <w:p w14:paraId="693CC7AA"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Number of Respondents</w:t>
            </w:r>
            <w:r w:rsidRPr="00BC5463">
              <w:rPr>
                <w:rFonts w:ascii="Times New Roman" w:eastAsia="Calibri" w:hAnsi="Times New Roman" w:cs="Times New Roman"/>
                <w:b/>
                <w:sz w:val="20"/>
                <w:szCs w:val="20"/>
              </w:rPr>
              <w:br/>
              <w:t>(1)</w:t>
            </w:r>
          </w:p>
        </w:tc>
        <w:tc>
          <w:tcPr>
            <w:tcW w:w="746" w:type="pct"/>
            <w:shd w:val="clear" w:color="auto" w:fill="D9D9D9"/>
            <w:vAlign w:val="bottom"/>
          </w:tcPr>
          <w:p w14:paraId="5BC4A198"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Annual Number of Responses per Respondent</w:t>
            </w:r>
          </w:p>
          <w:p w14:paraId="21782015"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(2)</w:t>
            </w:r>
          </w:p>
        </w:tc>
        <w:tc>
          <w:tcPr>
            <w:tcW w:w="703" w:type="pct"/>
            <w:shd w:val="clear" w:color="auto" w:fill="D9D9D9"/>
            <w:vAlign w:val="bottom"/>
          </w:tcPr>
          <w:p w14:paraId="187393A2"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Total Number of Responses (1)*(2)=(3)</w:t>
            </w:r>
          </w:p>
        </w:tc>
        <w:tc>
          <w:tcPr>
            <w:tcW w:w="654" w:type="pct"/>
            <w:shd w:val="clear" w:color="auto" w:fill="D9D9D9"/>
            <w:vAlign w:val="bottom"/>
          </w:tcPr>
          <w:p w14:paraId="24F364B3"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Average Burden &amp; Cost Per Response</w:t>
            </w:r>
            <w:r w:rsidRPr="00BC5463">
              <w:rPr>
                <w:rFonts w:ascii="Times New Roman" w:eastAsia="Calibri" w:hAnsi="Times New Roman" w:cs="Times New Roman"/>
                <w:b/>
                <w:sz w:val="20"/>
                <w:szCs w:val="20"/>
                <w:vertAlign w:val="superscript"/>
              </w:rPr>
              <w:footnoteReference w:id="8"/>
            </w:r>
          </w:p>
          <w:p w14:paraId="286AFF5F"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(4)</w:t>
            </w:r>
          </w:p>
        </w:tc>
        <w:tc>
          <w:tcPr>
            <w:tcW w:w="657" w:type="pct"/>
            <w:shd w:val="clear" w:color="auto" w:fill="D9D9D9"/>
            <w:vAlign w:val="bottom"/>
          </w:tcPr>
          <w:p w14:paraId="2BD398E9"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Total Annual Burden Hours &amp; Total Annual Cost</w:t>
            </w:r>
          </w:p>
          <w:p w14:paraId="6F9DDB5D"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(3)*(4)=(5)</w:t>
            </w:r>
          </w:p>
        </w:tc>
        <w:tc>
          <w:tcPr>
            <w:tcW w:w="615" w:type="pct"/>
            <w:shd w:val="clear" w:color="auto" w:fill="D9D9D9"/>
            <w:vAlign w:val="bottom"/>
          </w:tcPr>
          <w:p w14:paraId="15F56BE2"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Cost per Respondent</w:t>
            </w:r>
          </w:p>
          <w:p w14:paraId="03388290"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 xml:space="preserve"> ($)</w:t>
            </w:r>
          </w:p>
          <w:p w14:paraId="29F59067" w14:textId="77777777" w:rsidR="00BC5463" w:rsidRPr="00BC5463" w:rsidRDefault="00BC5463" w:rsidP="00BC5463">
            <w:pPr>
              <w:spacing w:after="0" w:line="240" w:lineRule="auto"/>
              <w:jc w:val="center"/>
              <w:rPr>
                <w:rFonts w:ascii="Times New Roman" w:eastAsia="Calibri" w:hAnsi="Times New Roman" w:cs="Times New Roman"/>
                <w:b/>
                <w:sz w:val="20"/>
                <w:szCs w:val="20"/>
              </w:rPr>
            </w:pPr>
            <w:r w:rsidRPr="00BC5463">
              <w:rPr>
                <w:rFonts w:ascii="Times New Roman" w:eastAsia="Calibri" w:hAnsi="Times New Roman" w:cs="Times New Roman"/>
                <w:b/>
                <w:sz w:val="20"/>
                <w:szCs w:val="20"/>
              </w:rPr>
              <w:t>(5)÷(1)</w:t>
            </w:r>
          </w:p>
        </w:tc>
      </w:tr>
      <w:tr w:rsidR="00BC5463" w:rsidRPr="00BC5463" w14:paraId="09CCCE7C" w14:textId="77777777" w:rsidTr="00ED6908">
        <w:trPr>
          <w:cantSplit/>
        </w:trPr>
        <w:tc>
          <w:tcPr>
            <w:tcW w:w="932" w:type="pct"/>
          </w:tcPr>
          <w:p w14:paraId="4FC25628" w14:textId="77777777" w:rsidR="00BC5463" w:rsidRPr="00BC5463" w:rsidRDefault="00BC5463" w:rsidP="00BC546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Create low impact TCA assets plan</w:t>
            </w:r>
          </w:p>
          <w:p w14:paraId="6D702461" w14:textId="77777777" w:rsidR="00BC5463" w:rsidRPr="00BC5463" w:rsidRDefault="00BC5463" w:rsidP="00BC546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(one-time)</w:t>
            </w:r>
            <w:bookmarkStart w:id="1" w:name="_Ref494875942"/>
            <w:r w:rsidRPr="00BC5463">
              <w:rPr>
                <w:rFonts w:ascii="Times New Roman" w:eastAsia="Calibri" w:hAnsi="Times New Roman" w:cs="Times New Roman"/>
                <w:b/>
                <w:sz w:val="20"/>
                <w:szCs w:val="20"/>
                <w:vertAlign w:val="superscript"/>
              </w:rPr>
              <w:footnoteReference w:id="9"/>
            </w:r>
            <w:bookmarkEnd w:id="1"/>
          </w:p>
        </w:tc>
        <w:tc>
          <w:tcPr>
            <w:tcW w:w="693" w:type="pct"/>
          </w:tcPr>
          <w:p w14:paraId="02309401"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p w14:paraId="1CAA9A18" w14:textId="77777777" w:rsidR="00BC5463" w:rsidRPr="00BC5463" w:rsidRDefault="00BC5463" w:rsidP="00BC5463">
            <w:pPr>
              <w:spacing w:after="0" w:line="240" w:lineRule="auto"/>
              <w:jc w:val="right"/>
              <w:rPr>
                <w:rFonts w:ascii="Times New Roman" w:eastAsia="Calibri" w:hAnsi="Times New Roman" w:cs="Times New Roman"/>
                <w:sz w:val="20"/>
                <w:szCs w:val="20"/>
              </w:rPr>
            </w:pPr>
          </w:p>
        </w:tc>
        <w:tc>
          <w:tcPr>
            <w:tcW w:w="746" w:type="pct"/>
          </w:tcPr>
          <w:p w14:paraId="57E6593F"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w:t>
            </w:r>
          </w:p>
        </w:tc>
        <w:tc>
          <w:tcPr>
            <w:tcW w:w="703" w:type="pct"/>
          </w:tcPr>
          <w:p w14:paraId="3AFA9E27"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tc>
        <w:tc>
          <w:tcPr>
            <w:tcW w:w="654" w:type="pct"/>
          </w:tcPr>
          <w:p w14:paraId="3B9216F5"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20 hrs.;</w:t>
            </w:r>
          </w:p>
          <w:p w14:paraId="6E879835"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$1,680</w:t>
            </w:r>
          </w:p>
        </w:tc>
        <w:tc>
          <w:tcPr>
            <w:tcW w:w="657" w:type="pct"/>
          </w:tcPr>
          <w:p w14:paraId="62E715F9" w14:textId="77777777" w:rsidR="00BC5463" w:rsidRPr="00BC5463" w:rsidRDefault="00BC5463" w:rsidP="00BC546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22,000</w:t>
            </w:r>
            <w:bookmarkStart w:id="2" w:name="_Ref496253506"/>
            <w:r w:rsidRPr="00BC5463">
              <w:rPr>
                <w:rStyle w:val="FootnoteReference"/>
                <w:rFonts w:ascii="Times New Roman" w:eastAsia="Calibri" w:hAnsi="Times New Roman" w:cs="Times New Roman"/>
                <w:sz w:val="20"/>
                <w:szCs w:val="20"/>
                <w:vertAlign w:val="superscript"/>
              </w:rPr>
              <w:footnoteReference w:id="10"/>
            </w:r>
            <w:bookmarkEnd w:id="2"/>
            <w:r>
              <w:rPr>
                <w:rFonts w:ascii="Times New Roman" w:eastAsia="Calibri" w:hAnsi="Times New Roman" w:cs="Times New Roman"/>
                <w:sz w:val="20"/>
                <w:szCs w:val="20"/>
              </w:rPr>
              <w:t xml:space="preserve"> </w:t>
            </w:r>
            <w:r w:rsidRPr="00BC5463">
              <w:rPr>
                <w:rFonts w:ascii="Times New Roman" w:eastAsia="Calibri" w:hAnsi="Times New Roman" w:cs="Times New Roman"/>
                <w:sz w:val="20"/>
                <w:szCs w:val="20"/>
              </w:rPr>
              <w:t>hrs.;</w:t>
            </w:r>
          </w:p>
          <w:p w14:paraId="5642E0E0"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 xml:space="preserve">$1,848,000 </w:t>
            </w:r>
          </w:p>
        </w:tc>
        <w:tc>
          <w:tcPr>
            <w:tcW w:w="615" w:type="pct"/>
          </w:tcPr>
          <w:p w14:paraId="5EB9CF09"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$1,680</w:t>
            </w:r>
          </w:p>
          <w:p w14:paraId="1948680F" w14:textId="77777777" w:rsidR="00BC5463" w:rsidRPr="00BC5463" w:rsidRDefault="00BC5463" w:rsidP="00BC5463">
            <w:pPr>
              <w:spacing w:after="0" w:line="240" w:lineRule="auto"/>
              <w:jc w:val="right"/>
              <w:rPr>
                <w:rFonts w:ascii="Times New Roman" w:eastAsia="Calibri" w:hAnsi="Times New Roman" w:cs="Times New Roman"/>
                <w:sz w:val="20"/>
                <w:szCs w:val="20"/>
              </w:rPr>
            </w:pPr>
          </w:p>
        </w:tc>
      </w:tr>
      <w:tr w:rsidR="00BC5463" w:rsidRPr="00BC5463" w14:paraId="683E169D" w14:textId="77777777" w:rsidTr="00ED6908">
        <w:trPr>
          <w:cantSplit/>
        </w:trPr>
        <w:tc>
          <w:tcPr>
            <w:tcW w:w="932" w:type="pct"/>
          </w:tcPr>
          <w:p w14:paraId="111A2605" w14:textId="77777777" w:rsidR="00BC5463" w:rsidRPr="00BC5463" w:rsidRDefault="00BC5463" w:rsidP="00BC546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Updates and reviews of low impact TCA assets</w:t>
            </w:r>
          </w:p>
          <w:p w14:paraId="33313F6C" w14:textId="77777777" w:rsidR="00BC5463" w:rsidRPr="00BC5463" w:rsidRDefault="00BC5463" w:rsidP="00BC546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(ongoing)</w:t>
            </w:r>
            <w:bookmarkStart w:id="3" w:name="_Ref494875969"/>
            <w:r w:rsidRPr="00BC5463">
              <w:rPr>
                <w:rFonts w:ascii="Times New Roman" w:eastAsia="Calibri" w:hAnsi="Times New Roman" w:cs="Times New Roman"/>
                <w:b/>
                <w:sz w:val="20"/>
                <w:szCs w:val="20"/>
                <w:vertAlign w:val="superscript"/>
              </w:rPr>
              <w:footnoteReference w:id="11"/>
            </w:r>
            <w:bookmarkEnd w:id="3"/>
          </w:p>
        </w:tc>
        <w:tc>
          <w:tcPr>
            <w:tcW w:w="693" w:type="pct"/>
          </w:tcPr>
          <w:p w14:paraId="035ACF28"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tc>
        <w:tc>
          <w:tcPr>
            <w:tcW w:w="746" w:type="pct"/>
          </w:tcPr>
          <w:p w14:paraId="4DC9D87E"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300</w:t>
            </w:r>
            <w:r w:rsidRPr="00BC5463">
              <w:rPr>
                <w:rFonts w:ascii="Times New Roman" w:eastAsia="Calibri" w:hAnsi="Times New Roman" w:cs="Times New Roman"/>
                <w:b/>
                <w:sz w:val="20"/>
                <w:szCs w:val="20"/>
                <w:vertAlign w:val="superscript"/>
              </w:rPr>
              <w:footnoteReference w:id="12"/>
            </w:r>
          </w:p>
        </w:tc>
        <w:tc>
          <w:tcPr>
            <w:tcW w:w="703" w:type="pct"/>
          </w:tcPr>
          <w:p w14:paraId="538344FF"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330,000</w:t>
            </w:r>
          </w:p>
        </w:tc>
        <w:tc>
          <w:tcPr>
            <w:tcW w:w="654" w:type="pct"/>
          </w:tcPr>
          <w:p w14:paraId="6DFAC1B3"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1.5 hrs.</w:t>
            </w:r>
            <w:r w:rsidRPr="00BC5463">
              <w:rPr>
                <w:rFonts w:ascii="Times New Roman" w:eastAsia="Calibri" w:hAnsi="Times New Roman" w:cs="Times New Roman"/>
                <w:b/>
                <w:sz w:val="20"/>
                <w:szCs w:val="20"/>
                <w:vertAlign w:val="superscript"/>
              </w:rPr>
              <w:footnoteReference w:id="13"/>
            </w:r>
            <w:r w:rsidRPr="00BC5463">
              <w:rPr>
                <w:rFonts w:ascii="Times New Roman" w:eastAsia="Calibri" w:hAnsi="Times New Roman" w:cs="Times New Roman"/>
                <w:sz w:val="20"/>
                <w:szCs w:val="20"/>
              </w:rPr>
              <w:t>;</w:t>
            </w:r>
          </w:p>
          <w:p w14:paraId="47E5F2C7"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$126</w:t>
            </w:r>
          </w:p>
        </w:tc>
        <w:tc>
          <w:tcPr>
            <w:tcW w:w="657" w:type="pct"/>
          </w:tcPr>
          <w:p w14:paraId="5B9F94C8"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495,000 hrs.;</w:t>
            </w:r>
          </w:p>
          <w:p w14:paraId="141BAA5B"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$41,580,000</w:t>
            </w:r>
          </w:p>
        </w:tc>
        <w:tc>
          <w:tcPr>
            <w:tcW w:w="615" w:type="pct"/>
          </w:tcPr>
          <w:p w14:paraId="0463158B"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$37,800</w:t>
            </w:r>
          </w:p>
        </w:tc>
      </w:tr>
      <w:tr w:rsidR="00BC5463" w:rsidRPr="00BC5463" w14:paraId="69174487" w14:textId="77777777" w:rsidTr="00ED6908">
        <w:trPr>
          <w:cantSplit/>
        </w:trPr>
        <w:tc>
          <w:tcPr>
            <w:tcW w:w="932" w:type="pct"/>
          </w:tcPr>
          <w:p w14:paraId="30F669D1" w14:textId="77777777" w:rsidR="00BC5463" w:rsidRPr="00BC5463" w:rsidRDefault="00BC5463" w:rsidP="00BC546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Update/modify documentation to remove LERC and LEAP</w:t>
            </w:r>
          </w:p>
          <w:p w14:paraId="7846362A" w14:textId="77777777" w:rsidR="00BC5463" w:rsidRPr="00BC5463" w:rsidRDefault="00BC5463" w:rsidP="00FA26F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(one-time)</w:t>
            </w:r>
            <w:r w:rsidR="0026236C" w:rsidRPr="0026236C">
              <w:rPr>
                <w:rFonts w:ascii="Times New Roman" w:eastAsia="Calibri" w:hAnsi="Times New Roman" w:cs="Times New Roman"/>
                <w:sz w:val="20"/>
                <w:szCs w:val="20"/>
                <w:vertAlign w:val="superscript"/>
              </w:rPr>
              <w:fldChar w:fldCharType="begin"/>
            </w:r>
            <w:r w:rsidR="0026236C" w:rsidRPr="0026236C">
              <w:rPr>
                <w:rFonts w:ascii="Times New Roman" w:eastAsia="Calibri" w:hAnsi="Times New Roman" w:cs="Times New Roman"/>
                <w:sz w:val="20"/>
                <w:szCs w:val="20"/>
                <w:vertAlign w:val="superscript"/>
              </w:rPr>
              <w:instrText xml:space="preserve"> NOTEREF _Ref494875942 \h  \* MERGEFORMAT </w:instrText>
            </w:r>
            <w:r w:rsidR="0026236C" w:rsidRPr="0026236C">
              <w:rPr>
                <w:rFonts w:ascii="Times New Roman" w:eastAsia="Calibri" w:hAnsi="Times New Roman" w:cs="Times New Roman"/>
                <w:sz w:val="20"/>
                <w:szCs w:val="20"/>
                <w:vertAlign w:val="superscript"/>
              </w:rPr>
            </w:r>
            <w:r w:rsidR="0026236C" w:rsidRPr="0026236C">
              <w:rPr>
                <w:rFonts w:ascii="Times New Roman" w:eastAsia="Calibri" w:hAnsi="Times New Roman" w:cs="Times New Roman"/>
                <w:sz w:val="20"/>
                <w:szCs w:val="20"/>
                <w:vertAlign w:val="superscript"/>
              </w:rPr>
              <w:fldChar w:fldCharType="separate"/>
            </w:r>
            <w:r w:rsidR="0026236C" w:rsidRPr="0026236C">
              <w:rPr>
                <w:rFonts w:ascii="Times New Roman" w:eastAsia="Calibri" w:hAnsi="Times New Roman" w:cs="Times New Roman"/>
                <w:sz w:val="20"/>
                <w:szCs w:val="20"/>
                <w:vertAlign w:val="superscript"/>
              </w:rPr>
              <w:t>8</w:t>
            </w:r>
            <w:r w:rsidR="0026236C" w:rsidRPr="0026236C">
              <w:rPr>
                <w:rFonts w:ascii="Times New Roman" w:eastAsia="Calibri" w:hAnsi="Times New Roman" w:cs="Times New Roman"/>
                <w:sz w:val="20"/>
                <w:szCs w:val="20"/>
                <w:vertAlign w:val="superscript"/>
              </w:rPr>
              <w:fldChar w:fldCharType="end"/>
            </w:r>
          </w:p>
        </w:tc>
        <w:tc>
          <w:tcPr>
            <w:tcW w:w="693" w:type="pct"/>
          </w:tcPr>
          <w:p w14:paraId="3898CEC9"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tc>
        <w:tc>
          <w:tcPr>
            <w:tcW w:w="746" w:type="pct"/>
          </w:tcPr>
          <w:p w14:paraId="5941D3A7"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w:t>
            </w:r>
          </w:p>
        </w:tc>
        <w:tc>
          <w:tcPr>
            <w:tcW w:w="703" w:type="pct"/>
          </w:tcPr>
          <w:p w14:paraId="4D619751"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tc>
        <w:tc>
          <w:tcPr>
            <w:tcW w:w="654" w:type="pct"/>
          </w:tcPr>
          <w:p w14:paraId="33F6DC9D"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20 hrs.;</w:t>
            </w:r>
          </w:p>
          <w:p w14:paraId="207A32E0"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$1,680</w:t>
            </w:r>
          </w:p>
        </w:tc>
        <w:tc>
          <w:tcPr>
            <w:tcW w:w="657" w:type="pct"/>
          </w:tcPr>
          <w:p w14:paraId="0AFE8BED" w14:textId="77777777" w:rsidR="00BC5463" w:rsidRPr="00BC5463" w:rsidRDefault="00BC5463" w:rsidP="00BC546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22,000</w:t>
            </w:r>
            <w:r w:rsidR="004C2BD7" w:rsidRPr="004C2BD7">
              <w:rPr>
                <w:rFonts w:ascii="Times New Roman" w:eastAsia="Calibri" w:hAnsi="Times New Roman" w:cs="Times New Roman"/>
                <w:sz w:val="20"/>
                <w:szCs w:val="20"/>
                <w:vertAlign w:val="superscript"/>
              </w:rPr>
              <w:fldChar w:fldCharType="begin"/>
            </w:r>
            <w:r w:rsidR="004C2BD7" w:rsidRPr="004C2BD7">
              <w:rPr>
                <w:rFonts w:ascii="Times New Roman" w:eastAsia="Calibri" w:hAnsi="Times New Roman" w:cs="Times New Roman"/>
                <w:sz w:val="20"/>
                <w:szCs w:val="20"/>
                <w:vertAlign w:val="superscript"/>
              </w:rPr>
              <w:instrText xml:space="preserve"> NOTEREF _Ref496253506 \h </w:instrText>
            </w:r>
            <w:r w:rsidR="004C2BD7">
              <w:rPr>
                <w:rFonts w:ascii="Times New Roman" w:eastAsia="Calibri" w:hAnsi="Times New Roman" w:cs="Times New Roman"/>
                <w:sz w:val="20"/>
                <w:szCs w:val="20"/>
                <w:vertAlign w:val="superscript"/>
              </w:rPr>
              <w:instrText xml:space="preserve"> \* MERGEFORMAT </w:instrText>
            </w:r>
            <w:r w:rsidR="004C2BD7" w:rsidRPr="004C2BD7">
              <w:rPr>
                <w:rFonts w:ascii="Times New Roman" w:eastAsia="Calibri" w:hAnsi="Times New Roman" w:cs="Times New Roman"/>
                <w:sz w:val="20"/>
                <w:szCs w:val="20"/>
                <w:vertAlign w:val="superscript"/>
              </w:rPr>
            </w:r>
            <w:r w:rsidR="004C2BD7" w:rsidRPr="004C2BD7">
              <w:rPr>
                <w:rFonts w:ascii="Times New Roman" w:eastAsia="Calibri" w:hAnsi="Times New Roman" w:cs="Times New Roman"/>
                <w:sz w:val="20"/>
                <w:szCs w:val="20"/>
                <w:vertAlign w:val="superscript"/>
              </w:rPr>
              <w:fldChar w:fldCharType="separate"/>
            </w:r>
            <w:r w:rsidR="004C2BD7" w:rsidRPr="004C2BD7">
              <w:rPr>
                <w:rFonts w:ascii="Times New Roman" w:eastAsia="Calibri" w:hAnsi="Times New Roman" w:cs="Times New Roman"/>
                <w:sz w:val="20"/>
                <w:szCs w:val="20"/>
                <w:vertAlign w:val="superscript"/>
              </w:rPr>
              <w:t>9</w:t>
            </w:r>
            <w:r w:rsidR="004C2BD7" w:rsidRPr="004C2BD7">
              <w:rPr>
                <w:rFonts w:ascii="Times New Roman" w:eastAsia="Calibri" w:hAnsi="Times New Roman" w:cs="Times New Roman"/>
                <w:sz w:val="20"/>
                <w:szCs w:val="20"/>
                <w:vertAlign w:val="superscript"/>
              </w:rPr>
              <w:fldChar w:fldCharType="end"/>
            </w:r>
            <w:r w:rsidRPr="00BC5463">
              <w:rPr>
                <w:rFonts w:ascii="Times New Roman" w:eastAsia="Calibri" w:hAnsi="Times New Roman" w:cs="Times New Roman"/>
                <w:sz w:val="20"/>
                <w:szCs w:val="20"/>
              </w:rPr>
              <w:t xml:space="preserve"> hrs.;</w:t>
            </w:r>
          </w:p>
          <w:p w14:paraId="624AC0B0"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$1,848,000</w:t>
            </w:r>
          </w:p>
        </w:tc>
        <w:tc>
          <w:tcPr>
            <w:tcW w:w="615" w:type="pct"/>
          </w:tcPr>
          <w:p w14:paraId="68CF059D"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$1,680</w:t>
            </w:r>
          </w:p>
        </w:tc>
      </w:tr>
      <w:tr w:rsidR="00BC5463" w:rsidRPr="00BC5463" w14:paraId="36AD00BA" w14:textId="77777777" w:rsidTr="00ED6908">
        <w:trPr>
          <w:cantSplit/>
        </w:trPr>
        <w:tc>
          <w:tcPr>
            <w:tcW w:w="932" w:type="pct"/>
          </w:tcPr>
          <w:p w14:paraId="3CACEFD8" w14:textId="77777777" w:rsidR="00BC5463" w:rsidRPr="00BC5463" w:rsidRDefault="00BC5463" w:rsidP="00BC546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Update paperwork for access control implementation in Section 2</w:t>
            </w:r>
            <w:r w:rsidRPr="00BC5463">
              <w:rPr>
                <w:rFonts w:ascii="Times New Roman" w:eastAsia="Calibri" w:hAnsi="Times New Roman" w:cs="Times New Roman"/>
                <w:b/>
                <w:sz w:val="20"/>
                <w:szCs w:val="20"/>
                <w:vertAlign w:val="superscript"/>
              </w:rPr>
              <w:footnoteReference w:id="14"/>
            </w:r>
            <w:r w:rsidRPr="00BC5463">
              <w:rPr>
                <w:rFonts w:ascii="Times New Roman" w:eastAsia="Calibri" w:hAnsi="Times New Roman" w:cs="Times New Roman"/>
                <w:sz w:val="20"/>
                <w:szCs w:val="20"/>
              </w:rPr>
              <w:t xml:space="preserve"> and Section 3</w:t>
            </w:r>
            <w:r w:rsidRPr="00BC5463">
              <w:rPr>
                <w:rFonts w:ascii="Times New Roman" w:eastAsia="Calibri" w:hAnsi="Times New Roman" w:cs="Times New Roman"/>
                <w:b/>
                <w:sz w:val="20"/>
                <w:szCs w:val="20"/>
                <w:vertAlign w:val="superscript"/>
              </w:rPr>
              <w:footnoteReference w:id="15"/>
            </w:r>
          </w:p>
          <w:p w14:paraId="517A1486" w14:textId="77777777" w:rsidR="00BC5463" w:rsidRPr="00BC5463" w:rsidRDefault="00BC5463" w:rsidP="00FA26F3">
            <w:pPr>
              <w:spacing w:after="0" w:line="240" w:lineRule="auto"/>
              <w:rPr>
                <w:rFonts w:ascii="Times New Roman" w:eastAsia="Calibri" w:hAnsi="Times New Roman" w:cs="Times New Roman"/>
                <w:sz w:val="20"/>
                <w:szCs w:val="20"/>
              </w:rPr>
            </w:pPr>
            <w:r w:rsidRPr="00BC5463">
              <w:rPr>
                <w:rFonts w:ascii="Times New Roman" w:eastAsia="Calibri" w:hAnsi="Times New Roman" w:cs="Times New Roman"/>
                <w:sz w:val="20"/>
                <w:szCs w:val="20"/>
              </w:rPr>
              <w:t>(ongoing)</w:t>
            </w:r>
            <w:r w:rsidR="0026236C" w:rsidRPr="0026236C">
              <w:rPr>
                <w:rFonts w:ascii="Times New Roman" w:eastAsia="Calibri" w:hAnsi="Times New Roman" w:cs="Times New Roman"/>
                <w:sz w:val="26"/>
                <w:szCs w:val="24"/>
                <w:vertAlign w:val="superscript"/>
              </w:rPr>
              <w:fldChar w:fldCharType="begin"/>
            </w:r>
            <w:r w:rsidR="0026236C" w:rsidRPr="0026236C">
              <w:rPr>
                <w:rFonts w:ascii="Times New Roman" w:eastAsia="Calibri" w:hAnsi="Times New Roman" w:cs="Times New Roman"/>
                <w:sz w:val="20"/>
                <w:szCs w:val="20"/>
                <w:vertAlign w:val="superscript"/>
              </w:rPr>
              <w:instrText xml:space="preserve"> NOTEREF _Ref494875969 \h </w:instrText>
            </w:r>
            <w:r w:rsidR="0026236C" w:rsidRPr="0026236C">
              <w:rPr>
                <w:rFonts w:ascii="Times New Roman" w:eastAsia="Calibri" w:hAnsi="Times New Roman" w:cs="Times New Roman"/>
                <w:sz w:val="26"/>
                <w:szCs w:val="24"/>
                <w:vertAlign w:val="superscript"/>
              </w:rPr>
              <w:instrText xml:space="preserve"> \* MERGEFORMAT </w:instrText>
            </w:r>
            <w:r w:rsidR="0026236C" w:rsidRPr="0026236C">
              <w:rPr>
                <w:rFonts w:ascii="Times New Roman" w:eastAsia="Calibri" w:hAnsi="Times New Roman" w:cs="Times New Roman"/>
                <w:sz w:val="26"/>
                <w:szCs w:val="24"/>
                <w:vertAlign w:val="superscript"/>
              </w:rPr>
            </w:r>
            <w:r w:rsidR="0026236C" w:rsidRPr="0026236C">
              <w:rPr>
                <w:rFonts w:ascii="Times New Roman" w:eastAsia="Calibri" w:hAnsi="Times New Roman" w:cs="Times New Roman"/>
                <w:sz w:val="26"/>
                <w:szCs w:val="24"/>
                <w:vertAlign w:val="superscript"/>
              </w:rPr>
              <w:fldChar w:fldCharType="separate"/>
            </w:r>
            <w:r w:rsidR="0026236C" w:rsidRPr="0026236C">
              <w:rPr>
                <w:rFonts w:ascii="Times New Roman" w:eastAsia="Calibri" w:hAnsi="Times New Roman" w:cs="Times New Roman"/>
                <w:sz w:val="20"/>
                <w:szCs w:val="20"/>
                <w:vertAlign w:val="superscript"/>
              </w:rPr>
              <w:t>10</w:t>
            </w:r>
            <w:r w:rsidR="0026236C" w:rsidRPr="0026236C">
              <w:rPr>
                <w:rFonts w:ascii="Times New Roman" w:eastAsia="Calibri" w:hAnsi="Times New Roman" w:cs="Times New Roman"/>
                <w:sz w:val="26"/>
                <w:szCs w:val="24"/>
                <w:vertAlign w:val="superscript"/>
              </w:rPr>
              <w:fldChar w:fldCharType="end"/>
            </w:r>
          </w:p>
        </w:tc>
        <w:tc>
          <w:tcPr>
            <w:tcW w:w="693" w:type="pct"/>
          </w:tcPr>
          <w:p w14:paraId="53723777"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tc>
        <w:tc>
          <w:tcPr>
            <w:tcW w:w="746" w:type="pct"/>
          </w:tcPr>
          <w:p w14:paraId="5FC6A173"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w:t>
            </w:r>
          </w:p>
        </w:tc>
        <w:tc>
          <w:tcPr>
            <w:tcW w:w="703" w:type="pct"/>
          </w:tcPr>
          <w:p w14:paraId="622CB515"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1,100</w:t>
            </w:r>
          </w:p>
        </w:tc>
        <w:tc>
          <w:tcPr>
            <w:tcW w:w="654" w:type="pct"/>
          </w:tcPr>
          <w:p w14:paraId="682BCD94"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20 hrs.;</w:t>
            </w:r>
          </w:p>
          <w:p w14:paraId="737A96A1"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$1,680</w:t>
            </w:r>
          </w:p>
        </w:tc>
        <w:tc>
          <w:tcPr>
            <w:tcW w:w="657" w:type="pct"/>
          </w:tcPr>
          <w:p w14:paraId="40F1A5F5" w14:textId="77777777" w:rsidR="00BC5463" w:rsidRPr="00BC5463" w:rsidRDefault="00BC5463" w:rsidP="00BC546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22,000</w:t>
            </w:r>
            <w:r w:rsidR="004C2BD7" w:rsidRPr="004C2BD7">
              <w:rPr>
                <w:rFonts w:ascii="Times New Roman" w:eastAsia="Calibri" w:hAnsi="Times New Roman" w:cs="Times New Roman"/>
                <w:sz w:val="20"/>
                <w:szCs w:val="20"/>
                <w:vertAlign w:val="superscript"/>
              </w:rPr>
              <w:fldChar w:fldCharType="begin"/>
            </w:r>
            <w:r w:rsidR="004C2BD7" w:rsidRPr="004C2BD7">
              <w:rPr>
                <w:rFonts w:ascii="Times New Roman" w:eastAsia="Calibri" w:hAnsi="Times New Roman" w:cs="Times New Roman"/>
                <w:sz w:val="20"/>
                <w:szCs w:val="20"/>
                <w:vertAlign w:val="superscript"/>
              </w:rPr>
              <w:instrText xml:space="preserve"> NOTEREF _Ref496253506 \h </w:instrText>
            </w:r>
            <w:r w:rsidR="004C2BD7">
              <w:rPr>
                <w:rFonts w:ascii="Times New Roman" w:eastAsia="Calibri" w:hAnsi="Times New Roman" w:cs="Times New Roman"/>
                <w:sz w:val="20"/>
                <w:szCs w:val="20"/>
                <w:vertAlign w:val="superscript"/>
              </w:rPr>
              <w:instrText xml:space="preserve"> \* MERGEFORMAT </w:instrText>
            </w:r>
            <w:r w:rsidR="004C2BD7" w:rsidRPr="004C2BD7">
              <w:rPr>
                <w:rFonts w:ascii="Times New Roman" w:eastAsia="Calibri" w:hAnsi="Times New Roman" w:cs="Times New Roman"/>
                <w:sz w:val="20"/>
                <w:szCs w:val="20"/>
                <w:vertAlign w:val="superscript"/>
              </w:rPr>
            </w:r>
            <w:r w:rsidR="004C2BD7" w:rsidRPr="004C2BD7">
              <w:rPr>
                <w:rFonts w:ascii="Times New Roman" w:eastAsia="Calibri" w:hAnsi="Times New Roman" w:cs="Times New Roman"/>
                <w:sz w:val="20"/>
                <w:szCs w:val="20"/>
                <w:vertAlign w:val="superscript"/>
              </w:rPr>
              <w:fldChar w:fldCharType="separate"/>
            </w:r>
            <w:r w:rsidR="004C2BD7" w:rsidRPr="004C2BD7">
              <w:rPr>
                <w:rFonts w:ascii="Times New Roman" w:eastAsia="Calibri" w:hAnsi="Times New Roman" w:cs="Times New Roman"/>
                <w:sz w:val="20"/>
                <w:szCs w:val="20"/>
                <w:vertAlign w:val="superscript"/>
              </w:rPr>
              <w:t>9</w:t>
            </w:r>
            <w:r w:rsidR="004C2BD7" w:rsidRPr="004C2BD7">
              <w:rPr>
                <w:rFonts w:ascii="Times New Roman" w:eastAsia="Calibri" w:hAnsi="Times New Roman" w:cs="Times New Roman"/>
                <w:sz w:val="20"/>
                <w:szCs w:val="20"/>
                <w:vertAlign w:val="superscript"/>
              </w:rPr>
              <w:fldChar w:fldCharType="end"/>
            </w:r>
            <w:r w:rsidRPr="00BC5463">
              <w:rPr>
                <w:rFonts w:ascii="Times New Roman" w:eastAsia="Calibri" w:hAnsi="Times New Roman" w:cs="Times New Roman"/>
                <w:sz w:val="20"/>
                <w:szCs w:val="20"/>
              </w:rPr>
              <w:t xml:space="preserve"> hrs.;</w:t>
            </w:r>
          </w:p>
          <w:p w14:paraId="1178916E"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$1,848,000</w:t>
            </w:r>
          </w:p>
        </w:tc>
        <w:tc>
          <w:tcPr>
            <w:tcW w:w="615" w:type="pct"/>
          </w:tcPr>
          <w:p w14:paraId="596FF23D" w14:textId="77777777" w:rsidR="00BC5463" w:rsidRPr="00BC5463" w:rsidRDefault="00BC5463" w:rsidP="00BC5463">
            <w:pPr>
              <w:spacing w:after="0" w:line="240" w:lineRule="auto"/>
              <w:jc w:val="right"/>
              <w:rPr>
                <w:rFonts w:ascii="Times New Roman" w:eastAsia="Calibri" w:hAnsi="Times New Roman" w:cs="Times New Roman"/>
                <w:sz w:val="20"/>
                <w:szCs w:val="20"/>
              </w:rPr>
            </w:pPr>
            <w:r w:rsidRPr="00BC5463">
              <w:rPr>
                <w:rFonts w:ascii="Times New Roman" w:eastAsia="Calibri" w:hAnsi="Times New Roman" w:cs="Times New Roman"/>
                <w:sz w:val="20"/>
                <w:szCs w:val="20"/>
              </w:rPr>
              <w:t>$1,680</w:t>
            </w:r>
          </w:p>
        </w:tc>
      </w:tr>
      <w:tr w:rsidR="00BC5463" w:rsidRPr="00BC5463" w14:paraId="479535E9" w14:textId="77777777" w:rsidTr="00ED6908">
        <w:trPr>
          <w:cantSplit/>
          <w:trHeight w:val="485"/>
        </w:trPr>
        <w:tc>
          <w:tcPr>
            <w:tcW w:w="932" w:type="pct"/>
          </w:tcPr>
          <w:p w14:paraId="2601AEFF" w14:textId="77777777" w:rsidR="00BC5463" w:rsidRPr="00BC5463" w:rsidRDefault="00BC5463" w:rsidP="0026236C">
            <w:pPr>
              <w:spacing w:after="0" w:line="240" w:lineRule="auto"/>
              <w:rPr>
                <w:rFonts w:ascii="Times New Roman" w:eastAsia="Calibri" w:hAnsi="Times New Roman" w:cs="Times New Roman"/>
                <w:b/>
                <w:sz w:val="20"/>
                <w:szCs w:val="20"/>
              </w:rPr>
            </w:pPr>
            <w:r w:rsidRPr="00BC5463">
              <w:rPr>
                <w:rFonts w:ascii="Times New Roman" w:eastAsia="Calibri" w:hAnsi="Times New Roman" w:cs="Times New Roman"/>
                <w:b/>
                <w:sz w:val="20"/>
                <w:szCs w:val="20"/>
              </w:rPr>
              <w:t>TOTAL (one-time)</w:t>
            </w:r>
            <w:r w:rsidR="0026236C" w:rsidRPr="0026236C">
              <w:rPr>
                <w:rFonts w:ascii="Times New Roman" w:eastAsia="Calibri" w:hAnsi="Times New Roman" w:cs="Times New Roman"/>
                <w:b/>
                <w:sz w:val="20"/>
                <w:szCs w:val="20"/>
                <w:vertAlign w:val="superscript"/>
              </w:rPr>
              <w:fldChar w:fldCharType="begin"/>
            </w:r>
            <w:r w:rsidR="0026236C" w:rsidRPr="0026236C">
              <w:rPr>
                <w:rFonts w:ascii="Times New Roman" w:eastAsia="Calibri" w:hAnsi="Times New Roman" w:cs="Times New Roman"/>
                <w:b/>
                <w:sz w:val="20"/>
                <w:szCs w:val="20"/>
                <w:vertAlign w:val="superscript"/>
              </w:rPr>
              <w:instrText xml:space="preserve"> NOTEREF _Ref494875942 \h  \* MERGEFORMAT </w:instrText>
            </w:r>
            <w:r w:rsidR="0026236C" w:rsidRPr="0026236C">
              <w:rPr>
                <w:rFonts w:ascii="Times New Roman" w:eastAsia="Calibri" w:hAnsi="Times New Roman" w:cs="Times New Roman"/>
                <w:b/>
                <w:sz w:val="20"/>
                <w:szCs w:val="20"/>
                <w:vertAlign w:val="superscript"/>
              </w:rPr>
            </w:r>
            <w:r w:rsidR="0026236C" w:rsidRPr="0026236C">
              <w:rPr>
                <w:rFonts w:ascii="Times New Roman" w:eastAsia="Calibri" w:hAnsi="Times New Roman" w:cs="Times New Roman"/>
                <w:b/>
                <w:sz w:val="20"/>
                <w:szCs w:val="20"/>
                <w:vertAlign w:val="superscript"/>
              </w:rPr>
              <w:fldChar w:fldCharType="separate"/>
            </w:r>
            <w:r w:rsidR="0026236C" w:rsidRPr="0026236C">
              <w:rPr>
                <w:rFonts w:ascii="Times New Roman" w:eastAsia="Calibri" w:hAnsi="Times New Roman" w:cs="Times New Roman"/>
                <w:b/>
                <w:sz w:val="20"/>
                <w:szCs w:val="20"/>
                <w:vertAlign w:val="superscript"/>
              </w:rPr>
              <w:t>8</w:t>
            </w:r>
            <w:r w:rsidR="0026236C" w:rsidRPr="0026236C">
              <w:rPr>
                <w:rFonts w:ascii="Times New Roman" w:eastAsia="Calibri" w:hAnsi="Times New Roman" w:cs="Times New Roman"/>
                <w:b/>
                <w:sz w:val="20"/>
                <w:szCs w:val="20"/>
                <w:vertAlign w:val="superscript"/>
              </w:rPr>
              <w:fldChar w:fldCharType="end"/>
            </w:r>
          </w:p>
        </w:tc>
        <w:tc>
          <w:tcPr>
            <w:tcW w:w="1439" w:type="pct"/>
            <w:gridSpan w:val="2"/>
            <w:shd w:val="clear" w:color="auto" w:fill="D9D9D9"/>
          </w:tcPr>
          <w:p w14:paraId="29A334CB" w14:textId="77777777" w:rsidR="00BC5463" w:rsidRPr="00BC5463" w:rsidRDefault="00BC5463" w:rsidP="00BC5463">
            <w:pPr>
              <w:spacing w:after="0" w:line="240" w:lineRule="auto"/>
              <w:jc w:val="right"/>
              <w:rPr>
                <w:rFonts w:ascii="Times New Roman" w:eastAsia="Calibri" w:hAnsi="Times New Roman" w:cs="Times New Roman"/>
                <w:sz w:val="20"/>
                <w:szCs w:val="20"/>
              </w:rPr>
            </w:pPr>
          </w:p>
        </w:tc>
        <w:tc>
          <w:tcPr>
            <w:tcW w:w="703" w:type="pct"/>
            <w:shd w:val="clear" w:color="auto" w:fill="auto"/>
          </w:tcPr>
          <w:p w14:paraId="752D2683" w14:textId="77777777" w:rsidR="00BC5463" w:rsidRPr="00BC5463" w:rsidRDefault="00BC5463" w:rsidP="00BC5463">
            <w:pPr>
              <w:spacing w:after="0" w:line="240" w:lineRule="auto"/>
              <w:jc w:val="right"/>
              <w:rPr>
                <w:rFonts w:ascii="Times New Roman" w:eastAsia="Calibri" w:hAnsi="Times New Roman" w:cs="Times New Roman"/>
                <w:b/>
                <w:sz w:val="20"/>
                <w:szCs w:val="20"/>
              </w:rPr>
            </w:pPr>
            <w:r w:rsidRPr="00BC5463">
              <w:rPr>
                <w:rFonts w:ascii="Times New Roman" w:eastAsia="Calibri" w:hAnsi="Times New Roman" w:cs="Times New Roman"/>
                <w:b/>
                <w:sz w:val="20"/>
                <w:szCs w:val="20"/>
              </w:rPr>
              <w:t>2,200</w:t>
            </w:r>
          </w:p>
        </w:tc>
        <w:tc>
          <w:tcPr>
            <w:tcW w:w="654" w:type="pct"/>
            <w:shd w:val="clear" w:color="auto" w:fill="D9D9D9"/>
          </w:tcPr>
          <w:p w14:paraId="602B5677" w14:textId="77777777" w:rsidR="00BC5463" w:rsidRPr="00BC5463" w:rsidRDefault="00BC5463" w:rsidP="00BC5463">
            <w:pPr>
              <w:spacing w:after="0" w:line="240" w:lineRule="auto"/>
              <w:jc w:val="right"/>
              <w:rPr>
                <w:rFonts w:ascii="Times New Roman" w:eastAsia="Calibri" w:hAnsi="Times New Roman" w:cs="Times New Roman"/>
                <w:sz w:val="20"/>
                <w:szCs w:val="20"/>
              </w:rPr>
            </w:pPr>
          </w:p>
        </w:tc>
        <w:tc>
          <w:tcPr>
            <w:tcW w:w="657" w:type="pct"/>
          </w:tcPr>
          <w:p w14:paraId="79A0FC34" w14:textId="77777777" w:rsidR="00BC5463" w:rsidRPr="00BC5463" w:rsidRDefault="00BC5463" w:rsidP="00BC5463">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44,000</w:t>
            </w:r>
            <w:r w:rsidR="00FA717D" w:rsidRPr="00FA717D">
              <w:rPr>
                <w:rStyle w:val="FootnoteReference"/>
                <w:rFonts w:ascii="Times New Roman" w:eastAsia="Calibri" w:hAnsi="Times New Roman" w:cs="Times New Roman"/>
                <w:b/>
                <w:sz w:val="20"/>
                <w:szCs w:val="20"/>
                <w:vertAlign w:val="superscript"/>
              </w:rPr>
              <w:footnoteReference w:id="16"/>
            </w:r>
            <w:r w:rsidRPr="00BC5463">
              <w:rPr>
                <w:rFonts w:ascii="Times New Roman" w:eastAsia="Calibri" w:hAnsi="Times New Roman" w:cs="Times New Roman"/>
                <w:b/>
                <w:sz w:val="20"/>
                <w:szCs w:val="20"/>
                <w:vertAlign w:val="superscript"/>
              </w:rPr>
              <w:t xml:space="preserve"> </w:t>
            </w:r>
            <w:r w:rsidRPr="00BC5463">
              <w:rPr>
                <w:rFonts w:ascii="Times New Roman" w:eastAsia="Calibri" w:hAnsi="Times New Roman" w:cs="Times New Roman"/>
                <w:b/>
                <w:sz w:val="20"/>
                <w:szCs w:val="20"/>
              </w:rPr>
              <w:t>hrs.;</w:t>
            </w:r>
          </w:p>
          <w:p w14:paraId="2FF84317" w14:textId="77777777" w:rsidR="00BC5463" w:rsidRPr="00BC5463" w:rsidRDefault="00BC5463" w:rsidP="00BC5463">
            <w:pPr>
              <w:spacing w:after="0" w:line="240" w:lineRule="auto"/>
              <w:jc w:val="right"/>
              <w:rPr>
                <w:rFonts w:ascii="Times New Roman" w:eastAsia="Calibri" w:hAnsi="Times New Roman" w:cs="Times New Roman"/>
                <w:b/>
                <w:sz w:val="20"/>
                <w:szCs w:val="20"/>
              </w:rPr>
            </w:pPr>
            <w:r w:rsidRPr="00BC5463">
              <w:rPr>
                <w:rFonts w:ascii="Times New Roman" w:eastAsia="Calibri" w:hAnsi="Times New Roman" w:cs="Times New Roman"/>
                <w:b/>
                <w:sz w:val="20"/>
                <w:szCs w:val="20"/>
              </w:rPr>
              <w:t>$3,696,000</w:t>
            </w:r>
          </w:p>
        </w:tc>
        <w:tc>
          <w:tcPr>
            <w:tcW w:w="615" w:type="pct"/>
            <w:shd w:val="clear" w:color="auto" w:fill="D9D9D9" w:themeFill="background1" w:themeFillShade="D9"/>
          </w:tcPr>
          <w:p w14:paraId="623287EB" w14:textId="77777777" w:rsidR="00BC5463" w:rsidRPr="00BC5463" w:rsidRDefault="00BC5463" w:rsidP="00BC5463">
            <w:pPr>
              <w:spacing w:after="0" w:line="240" w:lineRule="auto"/>
              <w:jc w:val="right"/>
              <w:rPr>
                <w:rFonts w:ascii="Times New Roman" w:eastAsia="Calibri" w:hAnsi="Times New Roman" w:cs="Times New Roman"/>
                <w:b/>
                <w:sz w:val="20"/>
                <w:szCs w:val="20"/>
              </w:rPr>
            </w:pPr>
          </w:p>
        </w:tc>
      </w:tr>
      <w:tr w:rsidR="00BC5463" w:rsidRPr="00BC5463" w14:paraId="49CA1E9D" w14:textId="77777777" w:rsidTr="00ED6908">
        <w:trPr>
          <w:cantSplit/>
          <w:trHeight w:val="485"/>
        </w:trPr>
        <w:tc>
          <w:tcPr>
            <w:tcW w:w="932" w:type="pct"/>
            <w:tcBorders>
              <w:bottom w:val="single" w:sz="4" w:space="0" w:color="auto"/>
            </w:tcBorders>
          </w:tcPr>
          <w:p w14:paraId="424208EE" w14:textId="77777777" w:rsidR="00BC5463" w:rsidRPr="00BC5463" w:rsidRDefault="00BC5463" w:rsidP="00FA26F3">
            <w:pPr>
              <w:spacing w:after="0" w:line="240" w:lineRule="auto"/>
              <w:rPr>
                <w:rFonts w:ascii="Times New Roman" w:eastAsia="Calibri" w:hAnsi="Times New Roman" w:cs="Times New Roman"/>
                <w:b/>
                <w:sz w:val="20"/>
                <w:szCs w:val="20"/>
              </w:rPr>
            </w:pPr>
            <w:r w:rsidRPr="00BC5463">
              <w:rPr>
                <w:rFonts w:ascii="Times New Roman" w:eastAsia="Calibri" w:hAnsi="Times New Roman" w:cs="Times New Roman"/>
                <w:b/>
                <w:sz w:val="20"/>
                <w:szCs w:val="20"/>
              </w:rPr>
              <w:t>TOTAL (ongoing)</w:t>
            </w:r>
            <w:r w:rsidR="0026236C" w:rsidRPr="0026236C">
              <w:rPr>
                <w:rFonts w:ascii="Times New Roman" w:eastAsia="Calibri" w:hAnsi="Times New Roman" w:cs="Times New Roman"/>
                <w:b/>
                <w:sz w:val="20"/>
                <w:szCs w:val="20"/>
                <w:vertAlign w:val="superscript"/>
              </w:rPr>
              <w:fldChar w:fldCharType="begin"/>
            </w:r>
            <w:r w:rsidR="0026236C" w:rsidRPr="0026236C">
              <w:rPr>
                <w:rFonts w:ascii="Times New Roman" w:eastAsia="Calibri" w:hAnsi="Times New Roman" w:cs="Times New Roman"/>
                <w:b/>
                <w:sz w:val="20"/>
                <w:szCs w:val="20"/>
                <w:vertAlign w:val="superscript"/>
              </w:rPr>
              <w:instrText xml:space="preserve"> NOTEREF _Ref494875969 \h  \* MERGEFORMAT </w:instrText>
            </w:r>
            <w:r w:rsidR="0026236C" w:rsidRPr="0026236C">
              <w:rPr>
                <w:rFonts w:ascii="Times New Roman" w:eastAsia="Calibri" w:hAnsi="Times New Roman" w:cs="Times New Roman"/>
                <w:b/>
                <w:sz w:val="20"/>
                <w:szCs w:val="20"/>
                <w:vertAlign w:val="superscript"/>
              </w:rPr>
            </w:r>
            <w:r w:rsidR="0026236C" w:rsidRPr="0026236C">
              <w:rPr>
                <w:rFonts w:ascii="Times New Roman" w:eastAsia="Calibri" w:hAnsi="Times New Roman" w:cs="Times New Roman"/>
                <w:b/>
                <w:sz w:val="20"/>
                <w:szCs w:val="20"/>
                <w:vertAlign w:val="superscript"/>
              </w:rPr>
              <w:fldChar w:fldCharType="separate"/>
            </w:r>
            <w:r w:rsidR="0026236C" w:rsidRPr="0026236C">
              <w:rPr>
                <w:rFonts w:ascii="Times New Roman" w:eastAsia="Calibri" w:hAnsi="Times New Roman" w:cs="Times New Roman"/>
                <w:b/>
                <w:sz w:val="20"/>
                <w:szCs w:val="20"/>
                <w:vertAlign w:val="superscript"/>
              </w:rPr>
              <w:t>10</w:t>
            </w:r>
            <w:r w:rsidR="0026236C" w:rsidRPr="0026236C">
              <w:rPr>
                <w:rFonts w:ascii="Times New Roman" w:eastAsia="Calibri" w:hAnsi="Times New Roman" w:cs="Times New Roman"/>
                <w:b/>
                <w:sz w:val="20"/>
                <w:szCs w:val="20"/>
                <w:vertAlign w:val="superscript"/>
              </w:rPr>
              <w:fldChar w:fldCharType="end"/>
            </w:r>
          </w:p>
        </w:tc>
        <w:tc>
          <w:tcPr>
            <w:tcW w:w="1439" w:type="pct"/>
            <w:gridSpan w:val="2"/>
            <w:tcBorders>
              <w:bottom w:val="single" w:sz="4" w:space="0" w:color="auto"/>
            </w:tcBorders>
            <w:shd w:val="clear" w:color="auto" w:fill="D9D9D9" w:themeFill="background1" w:themeFillShade="D9"/>
          </w:tcPr>
          <w:p w14:paraId="7A5D71C4" w14:textId="77777777" w:rsidR="00BC5463" w:rsidRPr="00BC5463" w:rsidRDefault="00BC5463" w:rsidP="00BC5463">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6DE26E34" w14:textId="77777777" w:rsidR="00BC5463" w:rsidRPr="00BC5463" w:rsidRDefault="00BC5463" w:rsidP="00BC5463">
            <w:pPr>
              <w:spacing w:after="0" w:line="240" w:lineRule="auto"/>
              <w:jc w:val="right"/>
              <w:rPr>
                <w:rFonts w:ascii="Times New Roman" w:eastAsia="Calibri" w:hAnsi="Times New Roman" w:cs="Times New Roman"/>
                <w:b/>
                <w:sz w:val="20"/>
                <w:szCs w:val="20"/>
              </w:rPr>
            </w:pPr>
            <w:r w:rsidRPr="00BC5463">
              <w:rPr>
                <w:rFonts w:ascii="Times New Roman" w:eastAsia="Calibri" w:hAnsi="Times New Roman" w:cs="Times New Roman"/>
                <w:b/>
                <w:sz w:val="20"/>
                <w:szCs w:val="20"/>
              </w:rPr>
              <w:t>331,100</w:t>
            </w:r>
          </w:p>
        </w:tc>
        <w:tc>
          <w:tcPr>
            <w:tcW w:w="654" w:type="pct"/>
            <w:tcBorders>
              <w:bottom w:val="single" w:sz="4" w:space="0" w:color="auto"/>
            </w:tcBorders>
            <w:shd w:val="clear" w:color="auto" w:fill="D9D9D9"/>
          </w:tcPr>
          <w:p w14:paraId="22AAA06D" w14:textId="77777777" w:rsidR="00BC5463" w:rsidRPr="00BC5463" w:rsidRDefault="00BC5463" w:rsidP="00BC5463">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06D93FDB" w14:textId="77777777" w:rsidR="00BC5463" w:rsidRPr="00BC5463" w:rsidRDefault="00BC5463" w:rsidP="00BC5463">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517,000</w:t>
            </w:r>
            <w:r w:rsidR="00FA717D" w:rsidRPr="00FA717D">
              <w:rPr>
                <w:rStyle w:val="FootnoteReference"/>
                <w:rFonts w:ascii="Times New Roman" w:eastAsia="Calibri" w:hAnsi="Times New Roman" w:cs="Times New Roman"/>
                <w:b/>
                <w:sz w:val="20"/>
                <w:szCs w:val="20"/>
                <w:vertAlign w:val="superscript"/>
              </w:rPr>
              <w:footnoteReference w:id="17"/>
            </w:r>
            <w:r w:rsidRPr="00BC5463">
              <w:rPr>
                <w:rFonts w:ascii="Times New Roman" w:eastAsia="Calibri" w:hAnsi="Times New Roman" w:cs="Times New Roman"/>
                <w:b/>
                <w:sz w:val="20"/>
                <w:szCs w:val="20"/>
                <w:vertAlign w:val="superscript"/>
              </w:rPr>
              <w:t xml:space="preserve"> </w:t>
            </w:r>
            <w:r w:rsidRPr="00BC5463">
              <w:rPr>
                <w:rFonts w:ascii="Times New Roman" w:eastAsia="Calibri" w:hAnsi="Times New Roman" w:cs="Times New Roman"/>
                <w:b/>
                <w:sz w:val="20"/>
                <w:szCs w:val="20"/>
              </w:rPr>
              <w:t>hrs.;</w:t>
            </w:r>
          </w:p>
          <w:p w14:paraId="57736842" w14:textId="77777777" w:rsidR="00BC5463" w:rsidRPr="00BC5463" w:rsidRDefault="00BC5463" w:rsidP="00BC5463">
            <w:pPr>
              <w:spacing w:after="0" w:line="240" w:lineRule="auto"/>
              <w:jc w:val="right"/>
              <w:rPr>
                <w:rFonts w:ascii="Times New Roman" w:eastAsia="Calibri" w:hAnsi="Times New Roman" w:cs="Times New Roman"/>
                <w:b/>
                <w:sz w:val="20"/>
                <w:szCs w:val="20"/>
              </w:rPr>
            </w:pPr>
            <w:r w:rsidRPr="00BC5463">
              <w:rPr>
                <w:rFonts w:ascii="Times New Roman" w:eastAsia="Calibri" w:hAnsi="Times New Roman" w:cs="Times New Roman"/>
                <w:b/>
                <w:sz w:val="20"/>
                <w:szCs w:val="20"/>
              </w:rPr>
              <w:t>$43,428,000</w:t>
            </w:r>
          </w:p>
        </w:tc>
        <w:tc>
          <w:tcPr>
            <w:tcW w:w="615" w:type="pct"/>
            <w:tcBorders>
              <w:bottom w:val="single" w:sz="4" w:space="0" w:color="auto"/>
            </w:tcBorders>
            <w:shd w:val="clear" w:color="auto" w:fill="D9D9D9" w:themeFill="background1" w:themeFillShade="D9"/>
          </w:tcPr>
          <w:p w14:paraId="0173928F" w14:textId="77777777" w:rsidR="00BC5463" w:rsidRPr="00BC5463" w:rsidRDefault="00BC5463" w:rsidP="00BC5463">
            <w:pPr>
              <w:spacing w:after="0" w:line="240" w:lineRule="auto"/>
              <w:jc w:val="right"/>
              <w:rPr>
                <w:rFonts w:ascii="Times New Roman" w:eastAsia="Calibri" w:hAnsi="Times New Roman" w:cs="Times New Roman"/>
                <w:b/>
                <w:sz w:val="20"/>
                <w:szCs w:val="20"/>
              </w:rPr>
            </w:pPr>
          </w:p>
        </w:tc>
      </w:tr>
    </w:tbl>
    <w:p w14:paraId="6A053C62" w14:textId="77777777" w:rsidR="00C4205B" w:rsidRDefault="00C4205B" w:rsidP="00A83705">
      <w:pPr>
        <w:pStyle w:val="FERCparanumber"/>
        <w:widowControl/>
        <w:numPr>
          <w:ilvl w:val="0"/>
          <w:numId w:val="0"/>
        </w:numPr>
        <w:tabs>
          <w:tab w:val="left" w:pos="720"/>
        </w:tabs>
        <w:rPr>
          <w:rFonts w:ascii="Times New Roman" w:hAnsi="Times New Roman" w:cs="Times New Roman"/>
        </w:rPr>
      </w:pPr>
    </w:p>
    <w:p w14:paraId="65EA6E9D" w14:textId="77777777" w:rsidR="00800420" w:rsidRDefault="00800420" w:rsidP="00A83705">
      <w:pPr>
        <w:pStyle w:val="FERCparanumber"/>
        <w:widowControl/>
        <w:numPr>
          <w:ilvl w:val="0"/>
          <w:numId w:val="0"/>
        </w:numPr>
        <w:tabs>
          <w:tab w:val="left" w:pos="720"/>
        </w:tabs>
        <w:rPr>
          <w:rFonts w:ascii="Times New Roman" w:hAnsi="Times New Roman" w:cs="Times New Roman"/>
        </w:rPr>
      </w:pPr>
      <w:r>
        <w:rPr>
          <w:rFonts w:ascii="Times New Roman" w:hAnsi="Times New Roman" w:cs="Times New Roman"/>
        </w:rPr>
        <w:t>The one-time burden of 44,000 hours will be averaged over three years (44,000 hours ÷ 3 = 14,667 hours/year over three years).</w:t>
      </w:r>
      <w:r w:rsidR="00FD349F">
        <w:rPr>
          <w:rFonts w:ascii="Times New Roman" w:hAnsi="Times New Roman" w:cs="Times New Roman"/>
        </w:rPr>
        <w:t xml:space="preserve"> The number of responses is also averaged over three</w:t>
      </w:r>
      <w:r w:rsidR="00C677AE">
        <w:rPr>
          <w:rFonts w:ascii="Times New Roman" w:hAnsi="Times New Roman" w:cs="Times New Roman"/>
        </w:rPr>
        <w:t xml:space="preserve"> years (2200 responses ÷ 3 = 733.3</w:t>
      </w:r>
      <w:r w:rsidR="00FD349F">
        <w:rPr>
          <w:rFonts w:ascii="Times New Roman" w:hAnsi="Times New Roman" w:cs="Times New Roman"/>
        </w:rPr>
        <w:t xml:space="preserve"> responses/year).</w:t>
      </w:r>
    </w:p>
    <w:p w14:paraId="6DA27644" w14:textId="77777777" w:rsidR="00800420" w:rsidRDefault="00800420" w:rsidP="00A83705">
      <w:pPr>
        <w:pStyle w:val="FERCparanumber"/>
        <w:widowControl/>
        <w:numPr>
          <w:ilvl w:val="0"/>
          <w:numId w:val="0"/>
        </w:numPr>
        <w:tabs>
          <w:tab w:val="left" w:pos="720"/>
        </w:tabs>
        <w:rPr>
          <w:rFonts w:ascii="Times New Roman" w:hAnsi="Times New Roman" w:cs="Times New Roman"/>
        </w:rPr>
      </w:pPr>
    </w:p>
    <w:p w14:paraId="0CA00ADD" w14:textId="77777777" w:rsidR="00800420" w:rsidRDefault="00800420" w:rsidP="00A83705">
      <w:pPr>
        <w:pStyle w:val="FERCparanumber"/>
        <w:widowControl/>
        <w:numPr>
          <w:ilvl w:val="0"/>
          <w:numId w:val="0"/>
        </w:numPr>
        <w:tabs>
          <w:tab w:val="left" w:pos="720"/>
        </w:tabs>
        <w:rPr>
          <w:rFonts w:ascii="Times New Roman" w:hAnsi="Times New Roman" w:cs="Times New Roman"/>
        </w:rPr>
      </w:pPr>
      <w:r>
        <w:rPr>
          <w:rFonts w:ascii="Times New Roman" w:hAnsi="Times New Roman" w:cs="Times New Roman"/>
        </w:rPr>
        <w:t>The ongoing burden of 517,000 hours/year applies for only Years 2 and beyond.</w:t>
      </w:r>
      <w:r w:rsidR="00FD349F">
        <w:rPr>
          <w:rFonts w:ascii="Times New Roman" w:hAnsi="Times New Roman" w:cs="Times New Roman"/>
        </w:rPr>
        <w:t xml:space="preserve"> </w:t>
      </w:r>
      <w:r w:rsidR="00C677AE">
        <w:rPr>
          <w:rFonts w:ascii="Times New Roman" w:hAnsi="Times New Roman" w:cs="Times New Roman"/>
        </w:rPr>
        <w:t>Similarly, t</w:t>
      </w:r>
      <w:r w:rsidR="00FD349F">
        <w:rPr>
          <w:rFonts w:ascii="Times New Roman" w:hAnsi="Times New Roman" w:cs="Times New Roman"/>
        </w:rPr>
        <w:t>he number of responses is also av</w:t>
      </w:r>
      <w:r w:rsidR="00C677AE">
        <w:rPr>
          <w:rFonts w:ascii="Times New Roman" w:hAnsi="Times New Roman" w:cs="Times New Roman"/>
        </w:rPr>
        <w:t xml:space="preserve">eraged over three years </w:t>
      </w:r>
      <w:r w:rsidR="00967D2F">
        <w:rPr>
          <w:rFonts w:ascii="Times New Roman" w:hAnsi="Times New Roman" w:cs="Times New Roman"/>
        </w:rPr>
        <w:t>(2200 responses (one-time) + (331,100 responses (Year 2) + 331,100 (Year 3)</w:t>
      </w:r>
      <w:r w:rsidR="0000037F">
        <w:rPr>
          <w:rFonts w:ascii="Times New Roman" w:hAnsi="Times New Roman" w:cs="Times New Roman"/>
        </w:rPr>
        <w:t>) ÷ 3 = 221,467</w:t>
      </w:r>
      <w:bookmarkStart w:id="4" w:name="_Ref497466176"/>
      <w:r w:rsidR="0000037F" w:rsidRPr="0000037F">
        <w:rPr>
          <w:rStyle w:val="FootnoteReference"/>
          <w:rFonts w:ascii="Times New Roman" w:hAnsi="Times New Roman" w:cs="Times New Roman"/>
          <w:vertAlign w:val="superscript"/>
        </w:rPr>
        <w:footnoteReference w:id="18"/>
      </w:r>
      <w:bookmarkEnd w:id="4"/>
      <w:r w:rsidR="0000037F">
        <w:rPr>
          <w:rFonts w:ascii="Times New Roman" w:hAnsi="Times New Roman" w:cs="Times New Roman"/>
        </w:rPr>
        <w:t>).</w:t>
      </w:r>
    </w:p>
    <w:p w14:paraId="72CD7302" w14:textId="77777777" w:rsidR="00800420" w:rsidRDefault="00800420" w:rsidP="00A83705">
      <w:pPr>
        <w:pStyle w:val="FERCparanumber"/>
        <w:widowControl/>
        <w:numPr>
          <w:ilvl w:val="0"/>
          <w:numId w:val="0"/>
        </w:numPr>
        <w:tabs>
          <w:tab w:val="left" w:pos="720"/>
        </w:tabs>
        <w:rPr>
          <w:rFonts w:ascii="Times New Roman" w:hAnsi="Times New Roman" w:cs="Times New Roman"/>
        </w:rPr>
      </w:pPr>
    </w:p>
    <w:p w14:paraId="4EC212CE" w14:textId="77777777" w:rsidR="00800420" w:rsidRDefault="00800420" w:rsidP="00A83705">
      <w:pPr>
        <w:pStyle w:val="FERCparanumber"/>
        <w:widowControl/>
        <w:numPr>
          <w:ilvl w:val="0"/>
          <w:numId w:val="0"/>
        </w:numPr>
        <w:tabs>
          <w:tab w:val="left" w:pos="720"/>
        </w:tabs>
        <w:rPr>
          <w:rFonts w:ascii="Times New Roman" w:hAnsi="Times New Roman" w:cs="Times New Roman"/>
        </w:rPr>
      </w:pPr>
      <w:r>
        <w:rPr>
          <w:rFonts w:ascii="Times New Roman" w:hAnsi="Times New Roman" w:cs="Times New Roman"/>
        </w:rPr>
        <w:t xml:space="preserve">The </w:t>
      </w:r>
      <w:r w:rsidR="00FD349F">
        <w:rPr>
          <w:rFonts w:ascii="Times New Roman" w:hAnsi="Times New Roman" w:cs="Times New Roman"/>
        </w:rPr>
        <w:t xml:space="preserve">responses and </w:t>
      </w:r>
      <w:r>
        <w:rPr>
          <w:rFonts w:ascii="Times New Roman" w:hAnsi="Times New Roman" w:cs="Times New Roman"/>
        </w:rPr>
        <w:t xml:space="preserve">burden </w:t>
      </w:r>
      <w:r w:rsidR="001936B6">
        <w:rPr>
          <w:rFonts w:ascii="Times New Roman" w:hAnsi="Times New Roman" w:cs="Times New Roman"/>
        </w:rPr>
        <w:t>for Years 1-3 will total respectively as follows:</w:t>
      </w:r>
    </w:p>
    <w:p w14:paraId="06584514" w14:textId="77777777" w:rsidR="001936B6" w:rsidRDefault="001936B6" w:rsidP="00A83705">
      <w:pPr>
        <w:pStyle w:val="FERCparanumber"/>
        <w:widowControl/>
        <w:numPr>
          <w:ilvl w:val="0"/>
          <w:numId w:val="0"/>
        </w:numPr>
        <w:tabs>
          <w:tab w:val="left" w:pos="720"/>
        </w:tabs>
        <w:rPr>
          <w:rFonts w:ascii="Times New Roman" w:hAnsi="Times New Roman" w:cs="Times New Roman"/>
        </w:rPr>
      </w:pPr>
    </w:p>
    <w:p w14:paraId="035EB463" w14:textId="77777777" w:rsidR="001936B6" w:rsidRDefault="001936B6" w:rsidP="00B27B98">
      <w:pPr>
        <w:pStyle w:val="FERCparanumber"/>
        <w:widowControl/>
        <w:numPr>
          <w:ilvl w:val="0"/>
          <w:numId w:val="0"/>
        </w:numPr>
        <w:tabs>
          <w:tab w:val="left" w:pos="720"/>
        </w:tabs>
        <w:ind w:left="720"/>
        <w:rPr>
          <w:rFonts w:ascii="Times New Roman" w:hAnsi="Times New Roman" w:cs="Times New Roman"/>
        </w:rPr>
      </w:pPr>
      <w:r>
        <w:rPr>
          <w:rFonts w:ascii="Times New Roman" w:hAnsi="Times New Roman" w:cs="Times New Roman"/>
        </w:rPr>
        <w:t xml:space="preserve">Year 1: </w:t>
      </w:r>
      <w:r w:rsidR="008E6B70">
        <w:rPr>
          <w:rFonts w:ascii="Times New Roman" w:hAnsi="Times New Roman" w:cs="Times New Roman"/>
        </w:rPr>
        <w:t>221,467</w:t>
      </w:r>
      <w:r w:rsidR="00A41279">
        <w:rPr>
          <w:rFonts w:ascii="Times New Roman" w:hAnsi="Times New Roman" w:cs="Times New Roman"/>
        </w:rPr>
        <w:t xml:space="preserve"> responses; </w:t>
      </w:r>
      <w:r>
        <w:rPr>
          <w:rFonts w:ascii="Times New Roman" w:hAnsi="Times New Roman" w:cs="Times New Roman"/>
        </w:rPr>
        <w:t>14,667 hours</w:t>
      </w:r>
    </w:p>
    <w:p w14:paraId="633ADC35" w14:textId="77777777" w:rsidR="001936B6" w:rsidRDefault="001936B6" w:rsidP="00B27B98">
      <w:pPr>
        <w:pStyle w:val="FERCparanumber"/>
        <w:widowControl/>
        <w:numPr>
          <w:ilvl w:val="0"/>
          <w:numId w:val="0"/>
        </w:numPr>
        <w:tabs>
          <w:tab w:val="left" w:pos="720"/>
        </w:tabs>
        <w:ind w:left="720"/>
        <w:rPr>
          <w:rFonts w:ascii="Times New Roman" w:hAnsi="Times New Roman" w:cs="Times New Roman"/>
        </w:rPr>
      </w:pPr>
      <w:r>
        <w:rPr>
          <w:rFonts w:ascii="Times New Roman" w:hAnsi="Times New Roman" w:cs="Times New Roman"/>
        </w:rPr>
        <w:t>Year 2:</w:t>
      </w:r>
      <w:r w:rsidR="008E6B70">
        <w:rPr>
          <w:rFonts w:ascii="Times New Roman" w:hAnsi="Times New Roman" w:cs="Times New Roman"/>
        </w:rPr>
        <w:t xml:space="preserve"> 221,467</w:t>
      </w:r>
      <w:r w:rsidR="00A41279">
        <w:rPr>
          <w:rFonts w:ascii="Times New Roman" w:hAnsi="Times New Roman" w:cs="Times New Roman"/>
        </w:rPr>
        <w:t xml:space="preserve"> responses; </w:t>
      </w:r>
      <w:r>
        <w:rPr>
          <w:rFonts w:ascii="Times New Roman" w:hAnsi="Times New Roman" w:cs="Times New Roman"/>
        </w:rPr>
        <w:t>14,667 hours + 517,000 hours = 531,667 hours</w:t>
      </w:r>
    </w:p>
    <w:p w14:paraId="641EB777" w14:textId="77777777" w:rsidR="001936B6" w:rsidRDefault="005D4796" w:rsidP="00B27B98">
      <w:pPr>
        <w:pStyle w:val="FERCparanumber"/>
        <w:widowControl/>
        <w:numPr>
          <w:ilvl w:val="0"/>
          <w:numId w:val="0"/>
        </w:numPr>
        <w:tabs>
          <w:tab w:val="left" w:pos="720"/>
        </w:tabs>
        <w:ind w:left="720"/>
        <w:rPr>
          <w:rFonts w:ascii="Times New Roman" w:hAnsi="Times New Roman" w:cs="Times New Roman"/>
        </w:rPr>
      </w:pPr>
      <w:r>
        <w:rPr>
          <w:rFonts w:ascii="Times New Roman" w:hAnsi="Times New Roman" w:cs="Times New Roman"/>
        </w:rPr>
        <w:t>Year 3</w:t>
      </w:r>
      <w:r w:rsidR="001936B6">
        <w:rPr>
          <w:rFonts w:ascii="Times New Roman" w:hAnsi="Times New Roman" w:cs="Times New Roman"/>
        </w:rPr>
        <w:t xml:space="preserve">: </w:t>
      </w:r>
      <w:r w:rsidR="008E6B70">
        <w:rPr>
          <w:rFonts w:ascii="Times New Roman" w:hAnsi="Times New Roman" w:cs="Times New Roman"/>
        </w:rPr>
        <w:t>221,467</w:t>
      </w:r>
      <w:r w:rsidR="00A41279">
        <w:rPr>
          <w:rFonts w:ascii="Times New Roman" w:hAnsi="Times New Roman" w:cs="Times New Roman"/>
        </w:rPr>
        <w:t xml:space="preserve"> responses; </w:t>
      </w:r>
      <w:r w:rsidR="001936B6">
        <w:rPr>
          <w:rFonts w:ascii="Times New Roman" w:hAnsi="Times New Roman" w:cs="Times New Roman"/>
        </w:rPr>
        <w:t>14,667 hours + 517,000 hours = 531,667 hours</w:t>
      </w:r>
    </w:p>
    <w:p w14:paraId="097144BF" w14:textId="77777777" w:rsidR="001936B6" w:rsidRDefault="001936B6" w:rsidP="00A83705">
      <w:pPr>
        <w:pStyle w:val="FERCparanumber"/>
        <w:widowControl/>
        <w:numPr>
          <w:ilvl w:val="0"/>
          <w:numId w:val="0"/>
        </w:numPr>
        <w:tabs>
          <w:tab w:val="left" w:pos="720"/>
        </w:tabs>
        <w:rPr>
          <w:rFonts w:ascii="Times New Roman" w:hAnsi="Times New Roman" w:cs="Times New Roman"/>
        </w:rPr>
      </w:pPr>
    </w:p>
    <w:p w14:paraId="5967182B" w14:textId="77777777" w:rsidR="0015264C" w:rsidRDefault="001936B6" w:rsidP="00A83705">
      <w:pPr>
        <w:pStyle w:val="FERCparanumber"/>
        <w:widowControl/>
        <w:numPr>
          <w:ilvl w:val="0"/>
          <w:numId w:val="0"/>
        </w:numPr>
        <w:tabs>
          <w:tab w:val="left" w:pos="720"/>
        </w:tabs>
        <w:rPr>
          <w:rFonts w:ascii="Times New Roman" w:hAnsi="Times New Roman" w:cs="Times New Roman"/>
        </w:rPr>
      </w:pPr>
      <w:r>
        <w:rPr>
          <w:rFonts w:ascii="Times New Roman" w:hAnsi="Times New Roman" w:cs="Times New Roman"/>
        </w:rPr>
        <w:t>For submission in ROCIS the average</w:t>
      </w:r>
      <w:r w:rsidR="0015264C">
        <w:rPr>
          <w:rFonts w:ascii="Times New Roman" w:hAnsi="Times New Roman" w:cs="Times New Roman"/>
        </w:rPr>
        <w:t>s over Years 1-3</w:t>
      </w:r>
      <w:r>
        <w:rPr>
          <w:rFonts w:ascii="Times New Roman" w:hAnsi="Times New Roman" w:cs="Times New Roman"/>
        </w:rPr>
        <w:t xml:space="preserve"> </w:t>
      </w:r>
      <w:r w:rsidR="0015264C">
        <w:rPr>
          <w:rFonts w:ascii="Times New Roman" w:hAnsi="Times New Roman" w:cs="Times New Roman"/>
        </w:rPr>
        <w:t>are:</w:t>
      </w:r>
    </w:p>
    <w:p w14:paraId="63172015" w14:textId="77777777" w:rsidR="001936B6" w:rsidRDefault="00185B93" w:rsidP="00B27B98">
      <w:pPr>
        <w:pStyle w:val="FERCparanumber"/>
        <w:widowControl/>
        <w:numPr>
          <w:ilvl w:val="0"/>
          <w:numId w:val="15"/>
        </w:numPr>
        <w:tabs>
          <w:tab w:val="left" w:pos="720"/>
        </w:tabs>
        <w:rPr>
          <w:rFonts w:ascii="Times New Roman" w:hAnsi="Times New Roman" w:cs="Times New Roman"/>
        </w:rPr>
      </w:pPr>
      <w:r>
        <w:rPr>
          <w:rFonts w:ascii="Times New Roman" w:hAnsi="Times New Roman" w:cs="Times New Roman"/>
        </w:rPr>
        <w:t>Annual</w:t>
      </w:r>
      <w:r w:rsidR="001936B6">
        <w:rPr>
          <w:rFonts w:ascii="Times New Roman" w:hAnsi="Times New Roman" w:cs="Times New Roman"/>
        </w:rPr>
        <w:t xml:space="preserve"> burden proposed by the NOPR in RM17-11 is 359,333 hours. [(14,667 hours + ((517,000 hours + 14,667</w:t>
      </w:r>
      <w:r w:rsidR="005D4796">
        <w:rPr>
          <w:rFonts w:ascii="Times New Roman" w:hAnsi="Times New Roman" w:cs="Times New Roman"/>
        </w:rPr>
        <w:t xml:space="preserve"> hours) *</w:t>
      </w:r>
      <w:r w:rsidR="001936B6">
        <w:rPr>
          <w:rFonts w:ascii="Times New Roman" w:hAnsi="Times New Roman" w:cs="Times New Roman"/>
        </w:rPr>
        <w:t xml:space="preserve"> 2)) ÷ 3] = 359,333 hours.</w:t>
      </w:r>
    </w:p>
    <w:p w14:paraId="0936A624" w14:textId="77777777" w:rsidR="0015264C" w:rsidRDefault="00185B93" w:rsidP="00B27B98">
      <w:pPr>
        <w:pStyle w:val="FERCparanumber"/>
        <w:widowControl/>
        <w:numPr>
          <w:ilvl w:val="0"/>
          <w:numId w:val="15"/>
        </w:numPr>
        <w:tabs>
          <w:tab w:val="left" w:pos="720"/>
        </w:tabs>
        <w:rPr>
          <w:rFonts w:ascii="Times New Roman" w:hAnsi="Times New Roman" w:cs="Times New Roman"/>
        </w:rPr>
      </w:pPr>
      <w:r>
        <w:rPr>
          <w:rFonts w:ascii="Times New Roman" w:hAnsi="Times New Roman" w:cs="Times New Roman"/>
        </w:rPr>
        <w:t>A</w:t>
      </w:r>
      <w:r w:rsidR="0015264C">
        <w:rPr>
          <w:rFonts w:ascii="Times New Roman" w:hAnsi="Times New Roman" w:cs="Times New Roman"/>
        </w:rPr>
        <w:t>nnual no. of responses proposed by the NOPR</w:t>
      </w:r>
      <w:r>
        <w:rPr>
          <w:rFonts w:ascii="Times New Roman" w:hAnsi="Times New Roman" w:cs="Times New Roman"/>
        </w:rPr>
        <w:t xml:space="preserve"> in RM17-11 is </w:t>
      </w:r>
      <w:r w:rsidR="00B27B98">
        <w:rPr>
          <w:rFonts w:ascii="Times New Roman" w:hAnsi="Times New Roman" w:cs="Times New Roman"/>
        </w:rPr>
        <w:t>221,467. [2200 responses (one-time) + (331,100 responses (Year 2) + 331,100 (Year 3)) ÷ 3 = 221,467</w:t>
      </w:r>
      <w:r w:rsidR="00B27B98" w:rsidRPr="00B27B98">
        <w:rPr>
          <w:vertAlign w:val="superscript"/>
        </w:rPr>
        <w:fldChar w:fldCharType="begin"/>
      </w:r>
      <w:r w:rsidR="00B27B98" w:rsidRPr="00B27B98">
        <w:rPr>
          <w:rFonts w:ascii="Times New Roman" w:hAnsi="Times New Roman" w:cs="Times New Roman"/>
          <w:vertAlign w:val="superscript"/>
        </w:rPr>
        <w:instrText xml:space="preserve"> NOTEREF _Ref497466176 \h </w:instrText>
      </w:r>
      <w:r w:rsidR="00B27B98" w:rsidRPr="00B27B98">
        <w:rPr>
          <w:vertAlign w:val="superscript"/>
        </w:rPr>
        <w:instrText xml:space="preserve"> \* MERGEFORMAT </w:instrText>
      </w:r>
      <w:r w:rsidR="00B27B98" w:rsidRPr="00B27B98">
        <w:rPr>
          <w:vertAlign w:val="superscript"/>
        </w:rPr>
      </w:r>
      <w:r w:rsidR="00B27B98" w:rsidRPr="00B27B98">
        <w:rPr>
          <w:vertAlign w:val="superscript"/>
        </w:rPr>
        <w:fldChar w:fldCharType="separate"/>
      </w:r>
      <w:r w:rsidR="00B27B98" w:rsidRPr="00B27B98">
        <w:rPr>
          <w:rFonts w:ascii="Times New Roman" w:hAnsi="Times New Roman" w:cs="Times New Roman"/>
          <w:vertAlign w:val="superscript"/>
        </w:rPr>
        <w:t>17</w:t>
      </w:r>
      <w:r w:rsidR="00B27B98" w:rsidRPr="00B27B98">
        <w:rPr>
          <w:vertAlign w:val="superscript"/>
        </w:rPr>
        <w:fldChar w:fldCharType="end"/>
      </w:r>
      <w:r w:rsidR="00B27B98">
        <w:rPr>
          <w:rFonts w:ascii="Times New Roman" w:hAnsi="Times New Roman" w:cs="Times New Roman"/>
        </w:rPr>
        <w:t>)]</w:t>
      </w:r>
    </w:p>
    <w:p w14:paraId="109064C2" w14:textId="77777777" w:rsidR="00800420" w:rsidRDefault="00800420" w:rsidP="00A83705">
      <w:pPr>
        <w:pStyle w:val="FERCparanumber"/>
        <w:widowControl/>
        <w:numPr>
          <w:ilvl w:val="0"/>
          <w:numId w:val="0"/>
        </w:numPr>
        <w:tabs>
          <w:tab w:val="left" w:pos="720"/>
        </w:tabs>
        <w:rPr>
          <w:rFonts w:ascii="Times New Roman" w:hAnsi="Times New Roman" w:cs="Times New Roman"/>
        </w:rPr>
      </w:pPr>
    </w:p>
    <w:p w14:paraId="0E762A5D" w14:textId="77777777" w:rsidR="00800420" w:rsidRPr="00B51BB8" w:rsidRDefault="00800420" w:rsidP="00A83705">
      <w:pPr>
        <w:pStyle w:val="FERCparanumber"/>
        <w:widowControl/>
        <w:numPr>
          <w:ilvl w:val="0"/>
          <w:numId w:val="0"/>
        </w:numPr>
        <w:tabs>
          <w:tab w:val="left" w:pos="720"/>
        </w:tabs>
        <w:rPr>
          <w:rFonts w:ascii="Times New Roman" w:hAnsi="Times New Roman" w:cs="Times New Roman"/>
        </w:rPr>
      </w:pPr>
    </w:p>
    <w:p w14:paraId="6643FAFD" w14:textId="77777777" w:rsidR="00C4205B" w:rsidRPr="00B51BB8"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5900A782" w14:textId="77777777" w:rsidR="002359F6" w:rsidRPr="00B51BB8" w:rsidRDefault="002359F6" w:rsidP="002A4142">
      <w:pPr>
        <w:spacing w:after="0" w:line="240" w:lineRule="auto"/>
        <w:rPr>
          <w:rFonts w:ascii="Times New Roman" w:hAnsi="Times New Roman" w:cs="Times New Roman"/>
          <w:sz w:val="24"/>
          <w:szCs w:val="24"/>
        </w:rPr>
      </w:pPr>
    </w:p>
    <w:p w14:paraId="0926F9C6" w14:textId="77777777"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14:paraId="3748E8B6" w14:textId="77777777" w:rsidR="002359F6" w:rsidRPr="00B51BB8" w:rsidRDefault="002359F6" w:rsidP="002A4142">
      <w:pPr>
        <w:spacing w:after="0" w:line="240" w:lineRule="auto"/>
        <w:rPr>
          <w:rFonts w:ascii="Times New Roman" w:hAnsi="Times New Roman" w:cs="Times New Roman"/>
          <w:sz w:val="24"/>
          <w:szCs w:val="24"/>
        </w:rPr>
      </w:pPr>
    </w:p>
    <w:p w14:paraId="03146869"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40F632E6"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400B8895" w14:textId="77777777" w:rsidR="002359F6" w:rsidRPr="00B51BB8" w:rsidRDefault="002359F6" w:rsidP="002A4142">
      <w:pPr>
        <w:spacing w:after="0" w:line="240" w:lineRule="auto"/>
        <w:rPr>
          <w:rFonts w:ascii="Times New Roman" w:hAnsi="Times New Roman" w:cs="Times New Roman"/>
          <w:sz w:val="24"/>
          <w:szCs w:val="24"/>
        </w:rPr>
      </w:pPr>
    </w:p>
    <w:p w14:paraId="1583A39C" w14:textId="77777777" w:rsidR="002359F6" w:rsidRPr="00B51BB8" w:rsidRDefault="00675A46"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NOPR</w:t>
      </w:r>
      <w:r w:rsidR="002359F6" w:rsidRPr="00B51BB8">
        <w:rPr>
          <w:rFonts w:ascii="Times New Roman" w:hAnsi="Times New Roman" w:cs="Times New Roman"/>
          <w:sz w:val="24"/>
          <w:szCs w:val="24"/>
        </w:rPr>
        <w:t xml:space="preserve"> are associated with burden hours (labor) and described in Questions #12 and #15 in this supporting statement. </w:t>
      </w:r>
    </w:p>
    <w:p w14:paraId="7628453A" w14:textId="77777777" w:rsidR="003C19D0" w:rsidRPr="00B51BB8" w:rsidRDefault="003C19D0" w:rsidP="002A4142">
      <w:pPr>
        <w:spacing w:line="240" w:lineRule="auto"/>
        <w:rPr>
          <w:rFonts w:ascii="Times New Roman" w:hAnsi="Times New Roman" w:cs="Times New Roman"/>
          <w:sz w:val="24"/>
          <w:szCs w:val="24"/>
        </w:rPr>
      </w:pPr>
    </w:p>
    <w:p w14:paraId="01F4ACB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2291EE6D" w14:textId="77777777" w:rsidR="00C4205B" w:rsidRPr="00B51BB8" w:rsidRDefault="00C4205B" w:rsidP="0007783F">
      <w:pPr>
        <w:spacing w:after="0" w:line="240" w:lineRule="auto"/>
        <w:rPr>
          <w:rFonts w:ascii="Times New Roman" w:hAnsi="Times New Roman" w:cs="Times New Roman"/>
          <w:b/>
          <w:bCs/>
          <w:sz w:val="24"/>
          <w:szCs w:val="24"/>
        </w:rPr>
      </w:pPr>
    </w:p>
    <w:p w14:paraId="53748332" w14:textId="77777777"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37D9FD77" w14:textId="77777777" w:rsidR="009922B2" w:rsidRPr="009922B2" w:rsidRDefault="009922B2" w:rsidP="0007783F">
      <w:pPr>
        <w:spacing w:after="0" w:line="240" w:lineRule="auto"/>
        <w:rPr>
          <w:rFonts w:ascii="Times New Roman" w:hAnsi="Times New Roman" w:cs="Times New Roman"/>
          <w:sz w:val="24"/>
          <w:szCs w:val="24"/>
        </w:rPr>
      </w:pPr>
    </w:p>
    <w:p w14:paraId="40DD9213" w14:textId="77777777" w:rsidR="002359F6" w:rsidRDefault="00BC3F97" w:rsidP="0007783F">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Pr>
          <w:rFonts w:ascii="Times New Roman" w:hAnsi="Times New Roman" w:cs="Times New Roman"/>
          <w:sz w:val="24"/>
          <w:szCs w:val="24"/>
        </w:rPr>
        <w:t>ning OMB clearance for FERC-725B</w:t>
      </w:r>
      <w:r w:rsidRPr="00BC3F97">
        <w:rPr>
          <w:rFonts w:ascii="Times New Roman" w:hAnsi="Times New Roman" w:cs="Times New Roman"/>
          <w:sz w:val="24"/>
          <w:szCs w:val="24"/>
        </w:rPr>
        <w:t xml:space="preserve">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cost for this effort to be $5,723.00</w:t>
      </w:r>
      <w:r>
        <w:rPr>
          <w:rFonts w:ascii="Times New Roman" w:hAnsi="Times New Roman" w:cs="Times New Roman"/>
          <w:sz w:val="24"/>
          <w:szCs w:val="24"/>
        </w:rPr>
        <w:t>.</w:t>
      </w:r>
    </w:p>
    <w:p w14:paraId="0F39C68F" w14:textId="77777777" w:rsidR="00BC3F97" w:rsidRPr="00B51BB8" w:rsidRDefault="00BC3F97"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74760D27"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68325C1" w14:textId="77777777" w:rsidR="002359F6" w:rsidRPr="00B51BB8" w:rsidRDefault="00675A46"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04C33B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66965DF"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3E7BA93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E375A5" w14:textId="77777777" w:rsidR="002359F6" w:rsidRPr="00B51BB8" w:rsidRDefault="002359F6" w:rsidP="00E6666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4252B1D"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F3A7DE"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E66667" w:rsidRPr="00B51BB8" w14:paraId="6ECA80B5" w14:textId="77777777" w:rsidTr="002359F6">
        <w:tc>
          <w:tcPr>
            <w:tcW w:w="3182" w:type="dxa"/>
            <w:tcBorders>
              <w:top w:val="single" w:sz="4" w:space="0" w:color="auto"/>
              <w:left w:val="single" w:sz="4" w:space="0" w:color="auto"/>
              <w:bottom w:val="single" w:sz="4" w:space="0" w:color="auto"/>
              <w:right w:val="single" w:sz="4" w:space="0" w:color="auto"/>
            </w:tcBorders>
          </w:tcPr>
          <w:p w14:paraId="2916A9D3" w14:textId="77777777" w:rsidR="00E66667" w:rsidRPr="00B51BB8" w:rsidRDefault="00E66667" w:rsidP="007C39D3">
            <w:pPr>
              <w:spacing w:after="0" w:line="240" w:lineRule="auto"/>
              <w:rPr>
                <w:rFonts w:ascii="Times New Roman" w:hAnsi="Times New Roman" w:cs="Times New Roman"/>
                <w:sz w:val="24"/>
                <w:szCs w:val="24"/>
              </w:rPr>
            </w:pPr>
            <w:r>
              <w:rPr>
                <w:rFonts w:ascii="Times New Roman"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657DC224" w14:textId="77777777" w:rsidR="00E66667" w:rsidRPr="00B51BB8" w:rsidRDefault="00E66667" w:rsidP="005E24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tcPr>
          <w:p w14:paraId="248DCBA7" w14:textId="77777777" w:rsidR="00E66667" w:rsidRPr="00B51BB8" w:rsidRDefault="00E66667"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359F6" w:rsidRPr="00B51BB8" w14:paraId="453A7B37"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9B8A50D"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bookmarkStart w:id="5" w:name="_Ref389748397"/>
            <w:r w:rsidRPr="00B51BB8">
              <w:rPr>
                <w:rFonts w:ascii="Times New Roman" w:eastAsia="Times New Roman" w:hAnsi="Times New Roman" w:cs="Times New Roman"/>
                <w:sz w:val="24"/>
                <w:szCs w:val="24"/>
                <w:vertAlign w:val="superscript"/>
              </w:rPr>
              <w:footnoteReference w:id="19"/>
            </w:r>
            <w:bookmarkEnd w:id="5"/>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2F4"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16405AD"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2F75250A"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95BDC0"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679C"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79CA50F"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3C1ABC63" w14:textId="77777777" w:rsidR="009922B2" w:rsidRPr="00B51BB8" w:rsidRDefault="009922B2" w:rsidP="002A4142">
      <w:pPr>
        <w:spacing w:line="240" w:lineRule="auto"/>
        <w:rPr>
          <w:rFonts w:ascii="Times New Roman" w:hAnsi="Times New Roman" w:cs="Times New Roman"/>
          <w:sz w:val="24"/>
          <w:szCs w:val="24"/>
        </w:rPr>
      </w:pPr>
    </w:p>
    <w:p w14:paraId="68B9EDF1" w14:textId="77777777" w:rsidR="00C4205B" w:rsidRPr="009922B2"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FEA176F"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1291D1D9" w14:textId="77777777" w:rsidR="0082752D" w:rsidRDefault="00952695" w:rsidP="00694503">
      <w:pPr>
        <w:spacing w:line="240" w:lineRule="auto"/>
        <w:rPr>
          <w:rFonts w:ascii="Times New Roman" w:hAnsi="Times New Roman" w:cs="Times New Roman"/>
          <w:bCs/>
          <w:sz w:val="24"/>
          <w:szCs w:val="24"/>
        </w:rPr>
      </w:pPr>
      <w:r w:rsidRPr="0082752D">
        <w:rPr>
          <w:rFonts w:ascii="Times New Roman" w:hAnsi="Times New Roman" w:cs="Times New Roman"/>
          <w:bCs/>
          <w:sz w:val="24"/>
          <w:szCs w:val="24"/>
        </w:rPr>
        <w:t>Proposed Reliability Standards CIP-003-7</w:t>
      </w:r>
      <w:r w:rsidRPr="0082752D">
        <w:rPr>
          <w:rStyle w:val="FootnoteReference"/>
          <w:rFonts w:ascii="Times New Roman" w:hAnsi="Times New Roman" w:cs="Times New Roman"/>
          <w:bCs/>
          <w:sz w:val="24"/>
          <w:szCs w:val="24"/>
          <w:vertAlign w:val="superscript"/>
        </w:rPr>
        <w:footnoteReference w:id="20"/>
      </w:r>
      <w:r w:rsidRPr="0082752D">
        <w:rPr>
          <w:rFonts w:ascii="Times New Roman" w:hAnsi="Times New Roman" w:cs="Times New Roman"/>
          <w:bCs/>
          <w:sz w:val="24"/>
          <w:szCs w:val="24"/>
        </w:rPr>
        <w:t xml:space="preserve"> clarify, consolidate, streamline, and enhance the Reliability Standards</w:t>
      </w:r>
      <w:r>
        <w:rPr>
          <w:rFonts w:ascii="Times New Roman" w:hAnsi="Times New Roman" w:cs="Times New Roman"/>
          <w:bCs/>
          <w:sz w:val="24"/>
          <w:szCs w:val="24"/>
        </w:rPr>
        <w:t xml:space="preserve"> that </w:t>
      </w:r>
      <w:r w:rsidR="00694503" w:rsidRPr="00694503">
        <w:rPr>
          <w:rFonts w:ascii="Times New Roman" w:hAnsi="Times New Roman" w:cs="Times New Roman"/>
          <w:bCs/>
          <w:sz w:val="24"/>
          <w:szCs w:val="24"/>
        </w:rPr>
        <w:t>entities</w:t>
      </w:r>
      <w:r>
        <w:rPr>
          <w:rFonts w:ascii="Times New Roman" w:hAnsi="Times New Roman" w:cs="Times New Roman"/>
          <w:bCs/>
          <w:sz w:val="24"/>
          <w:szCs w:val="24"/>
        </w:rPr>
        <w:t xml:space="preserve">, </w:t>
      </w:r>
      <w:r w:rsidR="00694503" w:rsidRPr="00694503">
        <w:rPr>
          <w:rFonts w:ascii="Times New Roman" w:hAnsi="Times New Roman" w:cs="Times New Roman"/>
          <w:bCs/>
          <w:sz w:val="24"/>
          <w:szCs w:val="24"/>
        </w:rPr>
        <w:t>subject</w:t>
      </w:r>
      <w:r>
        <w:rPr>
          <w:rFonts w:ascii="Times New Roman" w:hAnsi="Times New Roman" w:cs="Times New Roman"/>
          <w:bCs/>
          <w:sz w:val="24"/>
          <w:szCs w:val="24"/>
        </w:rPr>
        <w:t>ing the entities</w:t>
      </w:r>
      <w:r w:rsidR="0082752D">
        <w:rPr>
          <w:rFonts w:ascii="Times New Roman" w:hAnsi="Times New Roman" w:cs="Times New Roman"/>
          <w:bCs/>
          <w:sz w:val="24"/>
          <w:szCs w:val="24"/>
        </w:rPr>
        <w:t xml:space="preserve"> to the increase</w:t>
      </w:r>
      <w:r w:rsidR="005A465A">
        <w:rPr>
          <w:rFonts w:ascii="Times New Roman" w:hAnsi="Times New Roman" w:cs="Times New Roman"/>
          <w:bCs/>
          <w:sz w:val="24"/>
          <w:szCs w:val="24"/>
        </w:rPr>
        <w:t>d</w:t>
      </w:r>
      <w:r w:rsidR="0082752D">
        <w:rPr>
          <w:rFonts w:ascii="Times New Roman" w:hAnsi="Times New Roman" w:cs="Times New Roman"/>
          <w:bCs/>
          <w:sz w:val="24"/>
          <w:szCs w:val="24"/>
        </w:rPr>
        <w:t xml:space="preserve"> burden of:</w:t>
      </w:r>
    </w:p>
    <w:p w14:paraId="7F2C211C" w14:textId="77777777" w:rsidR="0082752D" w:rsidRPr="0082752D" w:rsidRDefault="00694503" w:rsidP="0082752D">
      <w:pPr>
        <w:pStyle w:val="ListParagraph"/>
        <w:numPr>
          <w:ilvl w:val="0"/>
          <w:numId w:val="11"/>
        </w:numPr>
        <w:spacing w:line="240" w:lineRule="auto"/>
        <w:rPr>
          <w:rFonts w:ascii="Times New Roman" w:hAnsi="Times New Roman" w:cs="Times New Roman"/>
          <w:sz w:val="24"/>
          <w:szCs w:val="24"/>
        </w:rPr>
      </w:pPr>
      <w:r w:rsidRPr="0082752D">
        <w:rPr>
          <w:rFonts w:ascii="Times New Roman" w:hAnsi="Times New Roman" w:cs="Times New Roman"/>
          <w:bCs/>
          <w:sz w:val="24"/>
          <w:szCs w:val="24"/>
        </w:rPr>
        <w:t xml:space="preserve">creation of plans to provide security controls for TCAs to mitigate the risk of malicious code being introduced to </w:t>
      </w:r>
      <w:r w:rsidR="0082752D">
        <w:rPr>
          <w:rFonts w:ascii="Times New Roman" w:hAnsi="Times New Roman" w:cs="Times New Roman"/>
          <w:bCs/>
          <w:sz w:val="24"/>
          <w:szCs w:val="24"/>
        </w:rPr>
        <w:t>low impact BES Cyber System;</w:t>
      </w:r>
    </w:p>
    <w:p w14:paraId="5AFF209D" w14:textId="77777777" w:rsidR="0082752D" w:rsidRPr="0082752D" w:rsidRDefault="00694503" w:rsidP="0082752D">
      <w:pPr>
        <w:pStyle w:val="ListParagraph"/>
        <w:numPr>
          <w:ilvl w:val="0"/>
          <w:numId w:val="11"/>
        </w:numPr>
        <w:spacing w:line="240" w:lineRule="auto"/>
        <w:rPr>
          <w:rFonts w:ascii="Times New Roman" w:hAnsi="Times New Roman" w:cs="Times New Roman"/>
          <w:sz w:val="24"/>
          <w:szCs w:val="24"/>
        </w:rPr>
      </w:pPr>
      <w:r w:rsidRPr="0082752D">
        <w:rPr>
          <w:rFonts w:ascii="Times New Roman" w:hAnsi="Times New Roman" w:cs="Times New Roman"/>
          <w:bCs/>
          <w:sz w:val="24"/>
          <w:szCs w:val="24"/>
        </w:rPr>
        <w:t>ongoing review and updating of the plans and documentation that the planned security controls are implemented for TCAs at</w:t>
      </w:r>
      <w:r w:rsidR="0082752D">
        <w:rPr>
          <w:rFonts w:ascii="Times New Roman" w:hAnsi="Times New Roman" w:cs="Times New Roman"/>
          <w:bCs/>
          <w:sz w:val="24"/>
          <w:szCs w:val="24"/>
        </w:rPr>
        <w:t xml:space="preserve"> low impact BES Cyber System;</w:t>
      </w:r>
    </w:p>
    <w:p w14:paraId="0893012D" w14:textId="77777777" w:rsidR="0082752D" w:rsidRPr="0082752D" w:rsidRDefault="00694503" w:rsidP="0082752D">
      <w:pPr>
        <w:pStyle w:val="ListParagraph"/>
        <w:numPr>
          <w:ilvl w:val="0"/>
          <w:numId w:val="11"/>
        </w:numPr>
        <w:spacing w:line="240" w:lineRule="auto"/>
        <w:rPr>
          <w:rFonts w:ascii="Times New Roman" w:hAnsi="Times New Roman" w:cs="Times New Roman"/>
          <w:sz w:val="24"/>
          <w:szCs w:val="24"/>
        </w:rPr>
      </w:pPr>
      <w:r w:rsidRPr="0082752D">
        <w:rPr>
          <w:rFonts w:ascii="Times New Roman" w:hAnsi="Times New Roman" w:cs="Times New Roman"/>
          <w:bCs/>
          <w:sz w:val="24"/>
          <w:szCs w:val="24"/>
        </w:rPr>
        <w:t>modification of plans to provide electronic security controls for low i</w:t>
      </w:r>
      <w:r w:rsidR="0082752D">
        <w:rPr>
          <w:rFonts w:ascii="Times New Roman" w:hAnsi="Times New Roman" w:cs="Times New Roman"/>
          <w:bCs/>
          <w:sz w:val="24"/>
          <w:szCs w:val="24"/>
        </w:rPr>
        <w:t>mpact BES Cyber Systems; and</w:t>
      </w:r>
    </w:p>
    <w:p w14:paraId="0AA0E288" w14:textId="77777777" w:rsidR="0082752D" w:rsidRPr="0082752D" w:rsidRDefault="00694503" w:rsidP="0082752D">
      <w:pPr>
        <w:pStyle w:val="ListParagraph"/>
        <w:numPr>
          <w:ilvl w:val="0"/>
          <w:numId w:val="11"/>
        </w:numPr>
        <w:spacing w:line="240" w:lineRule="auto"/>
        <w:rPr>
          <w:rFonts w:ascii="Times New Roman" w:hAnsi="Times New Roman" w:cs="Times New Roman"/>
          <w:sz w:val="24"/>
          <w:szCs w:val="24"/>
        </w:rPr>
      </w:pPr>
      <w:r w:rsidRPr="0082752D">
        <w:rPr>
          <w:rFonts w:ascii="Times New Roman" w:hAnsi="Times New Roman" w:cs="Times New Roman"/>
          <w:bCs/>
          <w:sz w:val="24"/>
          <w:szCs w:val="24"/>
        </w:rPr>
        <w:t>ongoing review and updating of the plans and documentation that the planned security controls are implemented for low impact BES Cyber System.</w:t>
      </w:r>
      <w:r w:rsidR="001647E7" w:rsidRPr="0082752D">
        <w:rPr>
          <w:rFonts w:ascii="Times New Roman" w:hAnsi="Times New Roman" w:cs="Times New Roman"/>
          <w:bCs/>
          <w:sz w:val="24"/>
          <w:szCs w:val="24"/>
        </w:rPr>
        <w:t xml:space="preserve">  </w:t>
      </w:r>
    </w:p>
    <w:p w14:paraId="591F444F" w14:textId="77777777" w:rsidR="0082752D" w:rsidRDefault="004C2BD7" w:rsidP="0082752D">
      <w:pPr>
        <w:spacing w:line="240" w:lineRule="auto"/>
        <w:rPr>
          <w:rFonts w:ascii="Times New Roman" w:hAnsi="Times New Roman" w:cs="Times New Roman"/>
          <w:sz w:val="24"/>
          <w:szCs w:val="24"/>
        </w:rPr>
      </w:pPr>
      <w:r>
        <w:rPr>
          <w:rFonts w:ascii="Times New Roman" w:hAnsi="Times New Roman" w:cs="Times New Roman"/>
          <w:bCs/>
          <w:sz w:val="24"/>
          <w:szCs w:val="24"/>
        </w:rPr>
        <w:t>Other factors that i</w:t>
      </w:r>
      <w:r w:rsidR="001647E7" w:rsidRPr="0082752D">
        <w:rPr>
          <w:rFonts w:ascii="Times New Roman" w:hAnsi="Times New Roman" w:cs="Times New Roman"/>
          <w:bCs/>
          <w:sz w:val="24"/>
          <w:szCs w:val="24"/>
        </w:rPr>
        <w:t xml:space="preserve">mpact the burden are the </w:t>
      </w:r>
      <w:r w:rsidR="00694503" w:rsidRPr="0082752D">
        <w:rPr>
          <w:rFonts w:ascii="Times New Roman" w:hAnsi="Times New Roman" w:cs="Times New Roman"/>
          <w:sz w:val="24"/>
          <w:szCs w:val="24"/>
        </w:rPr>
        <w:t>frequency of</w:t>
      </w:r>
      <w:r w:rsidR="0082752D">
        <w:rPr>
          <w:rFonts w:ascii="Times New Roman" w:hAnsi="Times New Roman" w:cs="Times New Roman"/>
          <w:sz w:val="24"/>
          <w:szCs w:val="24"/>
        </w:rPr>
        <w:t>:</w:t>
      </w:r>
    </w:p>
    <w:p w14:paraId="1F8C80CA" w14:textId="77777777" w:rsidR="0082752D" w:rsidRDefault="001647E7" w:rsidP="0082752D">
      <w:pPr>
        <w:pStyle w:val="ListParagraph"/>
        <w:numPr>
          <w:ilvl w:val="0"/>
          <w:numId w:val="12"/>
        </w:numPr>
        <w:spacing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entity </w:t>
      </w:r>
      <w:r w:rsidR="00694503" w:rsidRPr="0082752D">
        <w:rPr>
          <w:rFonts w:ascii="Times New Roman" w:hAnsi="Times New Roman" w:cs="Times New Roman"/>
          <w:sz w:val="24"/>
          <w:szCs w:val="24"/>
        </w:rPr>
        <w:t>modifying or updating their security controls for the low impact BES Cyber Systems or TCA used at low impact BES Cyber Systems</w:t>
      </w:r>
      <w:r w:rsidR="0082752D">
        <w:rPr>
          <w:rFonts w:ascii="Times New Roman" w:hAnsi="Times New Roman" w:cs="Times New Roman"/>
          <w:sz w:val="24"/>
          <w:szCs w:val="24"/>
        </w:rPr>
        <w:t>;</w:t>
      </w:r>
    </w:p>
    <w:p w14:paraId="6C35830C" w14:textId="77777777" w:rsidR="0082752D" w:rsidRDefault="00952695" w:rsidP="0082752D">
      <w:pPr>
        <w:pStyle w:val="ListParagraph"/>
        <w:numPr>
          <w:ilvl w:val="0"/>
          <w:numId w:val="12"/>
        </w:numPr>
        <w:spacing w:line="240" w:lineRule="auto"/>
        <w:rPr>
          <w:rFonts w:ascii="Times New Roman" w:hAnsi="Times New Roman" w:cs="Times New Roman"/>
          <w:sz w:val="24"/>
          <w:szCs w:val="24"/>
        </w:rPr>
      </w:pPr>
      <w:r w:rsidRPr="0082752D">
        <w:rPr>
          <w:rFonts w:ascii="Times New Roman" w:hAnsi="Times New Roman" w:cs="Times New Roman"/>
          <w:sz w:val="24"/>
          <w:szCs w:val="24"/>
        </w:rPr>
        <w:t>modification of low impact BES Cyber Systems that i</w:t>
      </w:r>
      <w:r w:rsidR="0082752D">
        <w:rPr>
          <w:rFonts w:ascii="Times New Roman" w:hAnsi="Times New Roman" w:cs="Times New Roman"/>
          <w:sz w:val="24"/>
          <w:szCs w:val="24"/>
        </w:rPr>
        <w:t>mpact the security controls; and</w:t>
      </w:r>
    </w:p>
    <w:p w14:paraId="5BF15001" w14:textId="77777777" w:rsidR="00694503" w:rsidRPr="0082752D" w:rsidRDefault="00952695" w:rsidP="0082752D">
      <w:pPr>
        <w:pStyle w:val="ListParagraph"/>
        <w:numPr>
          <w:ilvl w:val="0"/>
          <w:numId w:val="12"/>
        </w:numPr>
        <w:spacing w:line="240" w:lineRule="auto"/>
        <w:rPr>
          <w:rFonts w:ascii="Times New Roman" w:hAnsi="Times New Roman" w:cs="Times New Roman"/>
          <w:sz w:val="24"/>
          <w:szCs w:val="24"/>
        </w:rPr>
      </w:pPr>
      <w:r w:rsidRPr="0082752D">
        <w:rPr>
          <w:rFonts w:ascii="Times New Roman" w:hAnsi="Times New Roman" w:cs="Times New Roman"/>
          <w:sz w:val="24"/>
          <w:szCs w:val="24"/>
        </w:rPr>
        <w:t>using TCA at low impact BES Cyber Systems.</w:t>
      </w:r>
    </w:p>
    <w:p w14:paraId="53971EE3" w14:textId="77777777" w:rsidR="00C4205B" w:rsidRPr="002025A8" w:rsidRDefault="00AF29FC" w:rsidP="007A560D">
      <w:pPr>
        <w:rPr>
          <w:rFonts w:ascii="Times New Roman" w:hAnsi="Times New Roman" w:cs="Times New Roman"/>
          <w:bCs/>
          <w:sz w:val="24"/>
          <w:szCs w:val="24"/>
        </w:rPr>
      </w:pPr>
      <w:r w:rsidRPr="00B51BB8">
        <w:rPr>
          <w:rFonts w:ascii="Times New Roman" w:hAnsi="Times New Roman" w:cs="Times New Roman"/>
          <w:bCs/>
          <w:sz w:val="24"/>
          <w:szCs w:val="24"/>
        </w:rPr>
        <w:t>A summary of the current OMB-approved inventory and the changes</w:t>
      </w:r>
      <w:r w:rsidR="0082752D">
        <w:rPr>
          <w:rFonts w:ascii="Times New Roman" w:hAnsi="Times New Roman" w:cs="Times New Roman"/>
          <w:bCs/>
          <w:sz w:val="24"/>
          <w:szCs w:val="24"/>
        </w:rPr>
        <w:t xml:space="preserve"> to FERC-725B information collection </w:t>
      </w:r>
      <w:r w:rsidR="00675A46">
        <w:rPr>
          <w:rFonts w:ascii="Times New Roman" w:hAnsi="Times New Roman" w:cs="Times New Roman"/>
          <w:bCs/>
          <w:sz w:val="24"/>
          <w:szCs w:val="24"/>
        </w:rPr>
        <w:t>due to the NOPR in RM17-11</w:t>
      </w:r>
      <w:r w:rsidR="0082752D">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9A4FB99" w14:textId="77777777" w:rsidTr="00A41279">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8D336" w14:textId="77777777"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E66667">
              <w:rPr>
                <w:rFonts w:ascii="Times New Roman" w:eastAsia="Calibri" w:hAnsi="Times New Roman" w:cs="Times New Roman"/>
                <w:b/>
                <w:bCs/>
                <w:sz w:val="24"/>
                <w:szCs w:val="24"/>
              </w:rPr>
              <w:t>ERC-725B</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1BBC4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12945C"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D2597A"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BF5EC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0412C2" w14:textId="77777777" w:rsidTr="00A41279">
        <w:trPr>
          <w:trHeight w:val="591"/>
        </w:trPr>
        <w:tc>
          <w:tcPr>
            <w:tcW w:w="2679" w:type="dxa"/>
            <w:tcBorders>
              <w:top w:val="single" w:sz="4" w:space="0" w:color="auto"/>
              <w:left w:val="single" w:sz="4" w:space="0" w:color="auto"/>
              <w:bottom w:val="single" w:sz="4" w:space="0" w:color="auto"/>
              <w:right w:val="single" w:sz="4" w:space="0" w:color="auto"/>
            </w:tcBorders>
            <w:hideMark/>
          </w:tcPr>
          <w:p w14:paraId="3954F29A"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AEBC581" w14:textId="77777777" w:rsidR="002025A8" w:rsidRPr="002025A8" w:rsidRDefault="00B27B9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222,882</w:t>
            </w:r>
          </w:p>
        </w:tc>
        <w:tc>
          <w:tcPr>
            <w:tcW w:w="1620" w:type="dxa"/>
            <w:tcBorders>
              <w:top w:val="single" w:sz="4" w:space="0" w:color="auto"/>
              <w:left w:val="single" w:sz="4" w:space="0" w:color="auto"/>
              <w:bottom w:val="single" w:sz="4" w:space="0" w:color="auto"/>
              <w:right w:val="single" w:sz="4" w:space="0" w:color="auto"/>
            </w:tcBorders>
            <w:vAlign w:val="bottom"/>
          </w:tcPr>
          <w:p w14:paraId="1204AB40" w14:textId="77777777" w:rsidR="002025A8" w:rsidRPr="002025A8" w:rsidRDefault="009329D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1,415</w:t>
            </w:r>
          </w:p>
        </w:tc>
        <w:tc>
          <w:tcPr>
            <w:tcW w:w="1800" w:type="dxa"/>
            <w:tcBorders>
              <w:top w:val="single" w:sz="4" w:space="0" w:color="auto"/>
              <w:left w:val="single" w:sz="4" w:space="0" w:color="auto"/>
              <w:bottom w:val="single" w:sz="4" w:space="0" w:color="auto"/>
              <w:right w:val="single" w:sz="4" w:space="0" w:color="auto"/>
            </w:tcBorders>
            <w:vAlign w:val="bottom"/>
          </w:tcPr>
          <w:p w14:paraId="582A715E"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6F4C090C" w14:textId="77777777" w:rsidR="002025A8" w:rsidRPr="002025A8" w:rsidRDefault="00B27B9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221,467</w:t>
            </w:r>
          </w:p>
        </w:tc>
      </w:tr>
      <w:tr w:rsidR="002025A8" w:rsidRPr="002025A8" w14:paraId="6F0004C2" w14:textId="77777777" w:rsidTr="00A41279">
        <w:trPr>
          <w:trHeight w:val="107"/>
        </w:trPr>
        <w:tc>
          <w:tcPr>
            <w:tcW w:w="2679" w:type="dxa"/>
            <w:tcBorders>
              <w:top w:val="single" w:sz="4" w:space="0" w:color="auto"/>
              <w:left w:val="single" w:sz="4" w:space="0" w:color="auto"/>
              <w:bottom w:val="single" w:sz="4" w:space="0" w:color="auto"/>
              <w:right w:val="single" w:sz="4" w:space="0" w:color="auto"/>
            </w:tcBorders>
            <w:hideMark/>
          </w:tcPr>
          <w:p w14:paraId="5E5090FD"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6" w:name="_Ref493840875"/>
            <w:r w:rsidRPr="001301E0">
              <w:rPr>
                <w:rStyle w:val="FootnoteReference"/>
                <w:rFonts w:ascii="Times New Roman" w:eastAsia="Calibri" w:hAnsi="Times New Roman" w:cs="Times New Roman"/>
                <w:bCs/>
                <w:sz w:val="24"/>
                <w:szCs w:val="24"/>
                <w:vertAlign w:val="superscript"/>
              </w:rPr>
              <w:footnoteReference w:id="21"/>
            </w:r>
            <w:bookmarkEnd w:id="6"/>
          </w:p>
        </w:tc>
        <w:tc>
          <w:tcPr>
            <w:tcW w:w="1461" w:type="dxa"/>
            <w:tcBorders>
              <w:top w:val="single" w:sz="4" w:space="0" w:color="auto"/>
              <w:left w:val="single" w:sz="4" w:space="0" w:color="auto"/>
              <w:bottom w:val="single" w:sz="4" w:space="0" w:color="auto"/>
              <w:right w:val="single" w:sz="4" w:space="0" w:color="auto"/>
            </w:tcBorders>
            <w:vAlign w:val="bottom"/>
          </w:tcPr>
          <w:p w14:paraId="53D7250F" w14:textId="77777777" w:rsidR="002025A8" w:rsidRPr="002025A8" w:rsidRDefault="00B27B9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1,928,743</w:t>
            </w:r>
          </w:p>
        </w:tc>
        <w:tc>
          <w:tcPr>
            <w:tcW w:w="1620" w:type="dxa"/>
            <w:tcBorders>
              <w:top w:val="single" w:sz="4" w:space="0" w:color="auto"/>
              <w:left w:val="single" w:sz="4" w:space="0" w:color="auto"/>
              <w:bottom w:val="single" w:sz="4" w:space="0" w:color="auto"/>
              <w:right w:val="single" w:sz="4" w:space="0" w:color="auto"/>
            </w:tcBorders>
            <w:vAlign w:val="bottom"/>
          </w:tcPr>
          <w:p w14:paraId="7FB5808B" w14:textId="77777777" w:rsidR="002025A8" w:rsidRPr="002025A8" w:rsidRDefault="009329D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1,569,410</w:t>
            </w:r>
          </w:p>
        </w:tc>
        <w:tc>
          <w:tcPr>
            <w:tcW w:w="1800" w:type="dxa"/>
            <w:tcBorders>
              <w:top w:val="single" w:sz="4" w:space="0" w:color="auto"/>
              <w:left w:val="single" w:sz="4" w:space="0" w:color="auto"/>
              <w:bottom w:val="single" w:sz="4" w:space="0" w:color="auto"/>
              <w:right w:val="single" w:sz="4" w:space="0" w:color="auto"/>
            </w:tcBorders>
            <w:vAlign w:val="bottom"/>
          </w:tcPr>
          <w:p w14:paraId="71115B5D"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1EAFD30" w14:textId="77777777" w:rsidR="002025A8" w:rsidRPr="002025A8" w:rsidRDefault="00B27B98" w:rsidP="009508FC">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359,333</w:t>
            </w:r>
          </w:p>
        </w:tc>
      </w:tr>
      <w:tr w:rsidR="002025A8" w:rsidRPr="002025A8" w14:paraId="4C9773D7" w14:textId="77777777" w:rsidTr="00A41279">
        <w:trPr>
          <w:trHeight w:val="295"/>
        </w:trPr>
        <w:tc>
          <w:tcPr>
            <w:tcW w:w="2679" w:type="dxa"/>
            <w:tcBorders>
              <w:top w:val="single" w:sz="4" w:space="0" w:color="auto"/>
              <w:left w:val="single" w:sz="4" w:space="0" w:color="auto"/>
              <w:bottom w:val="single" w:sz="4" w:space="0" w:color="auto"/>
              <w:right w:val="single" w:sz="4" w:space="0" w:color="auto"/>
            </w:tcBorders>
            <w:hideMark/>
          </w:tcPr>
          <w:p w14:paraId="6EC37D03"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5C9FC3B7" w14:textId="77777777" w:rsidR="002025A8" w:rsidRPr="002025A8" w:rsidRDefault="005368DE"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616F0">
              <w:rPr>
                <w:rFonts w:ascii="Times New Roman" w:eastAsia="Calibri" w:hAnsi="Times New Roman" w:cs="Times New Roman"/>
                <w:bCs/>
                <w:sz w:val="24"/>
                <w:szCs w:val="24"/>
              </w:rPr>
              <w:t>6,725</w:t>
            </w:r>
          </w:p>
        </w:tc>
        <w:tc>
          <w:tcPr>
            <w:tcW w:w="1620" w:type="dxa"/>
            <w:tcBorders>
              <w:top w:val="single" w:sz="4" w:space="0" w:color="auto"/>
              <w:left w:val="single" w:sz="4" w:space="0" w:color="auto"/>
              <w:bottom w:val="single" w:sz="4" w:space="0" w:color="auto"/>
              <w:right w:val="single" w:sz="4" w:space="0" w:color="auto"/>
            </w:tcBorders>
            <w:vAlign w:val="bottom"/>
          </w:tcPr>
          <w:p w14:paraId="78242569"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1DBC167F"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3B7C899" w14:textId="77777777"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6943EC46" w14:textId="77777777" w:rsidR="00275760" w:rsidRPr="00B51BB8" w:rsidRDefault="00275760" w:rsidP="002A4142">
      <w:pPr>
        <w:spacing w:line="240" w:lineRule="auto"/>
        <w:rPr>
          <w:rFonts w:ascii="Times New Roman" w:hAnsi="Times New Roman" w:cs="Times New Roman"/>
          <w:sz w:val="24"/>
          <w:szCs w:val="24"/>
        </w:rPr>
      </w:pPr>
    </w:p>
    <w:p w14:paraId="6DCC2C38"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4CC944AC" w14:textId="77777777" w:rsidR="00C4205B" w:rsidRPr="00B51BB8" w:rsidRDefault="00C4205B" w:rsidP="00485D08">
      <w:pPr>
        <w:spacing w:after="0" w:line="240" w:lineRule="auto"/>
        <w:rPr>
          <w:rFonts w:ascii="Times New Roman" w:hAnsi="Times New Roman" w:cs="Times New Roman"/>
          <w:b/>
          <w:bCs/>
          <w:sz w:val="24"/>
          <w:szCs w:val="24"/>
        </w:rPr>
      </w:pPr>
    </w:p>
    <w:p w14:paraId="605C5CB7"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525DB757" w14:textId="77777777" w:rsidR="00C4205B" w:rsidRPr="00B51BB8" w:rsidRDefault="00C4205B" w:rsidP="002A4142">
      <w:pPr>
        <w:spacing w:after="0" w:line="240" w:lineRule="auto"/>
        <w:rPr>
          <w:rFonts w:ascii="Times New Roman" w:hAnsi="Times New Roman" w:cs="Times New Roman"/>
          <w:sz w:val="24"/>
          <w:szCs w:val="24"/>
        </w:rPr>
      </w:pPr>
    </w:p>
    <w:p w14:paraId="704F5CCB"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FA7CFEF" w14:textId="77777777" w:rsidR="00C4205B" w:rsidRPr="00B51BB8" w:rsidRDefault="00C4205B" w:rsidP="00485D08">
      <w:pPr>
        <w:spacing w:after="0" w:line="240" w:lineRule="auto"/>
        <w:rPr>
          <w:rFonts w:ascii="Times New Roman" w:hAnsi="Times New Roman" w:cs="Times New Roman"/>
          <w:b/>
          <w:bCs/>
          <w:sz w:val="24"/>
          <w:szCs w:val="24"/>
        </w:rPr>
      </w:pPr>
    </w:p>
    <w:p w14:paraId="53E0C4C9" w14:textId="77777777" w:rsidR="00C4205B"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0EA3F5D" w14:textId="77777777" w:rsidR="00774B70" w:rsidRPr="00B51BB8" w:rsidRDefault="00774B70" w:rsidP="00485D08">
      <w:pPr>
        <w:spacing w:after="0" w:line="240" w:lineRule="auto"/>
        <w:rPr>
          <w:rFonts w:ascii="Times New Roman" w:hAnsi="Times New Roman" w:cs="Times New Roman"/>
          <w:sz w:val="24"/>
          <w:szCs w:val="24"/>
        </w:rPr>
      </w:pPr>
    </w:p>
    <w:p w14:paraId="658DC5A6"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0AE45CAE" w14:textId="77777777" w:rsidR="00C4205B" w:rsidRPr="00B51BB8" w:rsidRDefault="00C4205B" w:rsidP="00485D08">
      <w:pPr>
        <w:spacing w:after="0" w:line="240" w:lineRule="auto"/>
        <w:rPr>
          <w:rFonts w:ascii="Times New Roman" w:hAnsi="Times New Roman" w:cs="Times New Roman"/>
          <w:sz w:val="24"/>
          <w:szCs w:val="24"/>
        </w:rPr>
      </w:pPr>
    </w:p>
    <w:p w14:paraId="75C43DD9"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664C5" w14:textId="77777777" w:rsidR="00524C44" w:rsidRDefault="00524C44" w:rsidP="00D350A8">
      <w:pPr>
        <w:spacing w:after="0" w:line="240" w:lineRule="auto"/>
      </w:pPr>
      <w:r>
        <w:separator/>
      </w:r>
    </w:p>
  </w:endnote>
  <w:endnote w:type="continuationSeparator" w:id="0">
    <w:p w14:paraId="40D45268" w14:textId="77777777" w:rsidR="00524C44" w:rsidRDefault="00524C44" w:rsidP="00D350A8">
      <w:pPr>
        <w:spacing w:after="0" w:line="240" w:lineRule="auto"/>
      </w:pPr>
      <w:r>
        <w:continuationSeparator/>
      </w:r>
    </w:p>
  </w:endnote>
  <w:endnote w:type="continuationNotice" w:id="1">
    <w:p w14:paraId="0156E444" w14:textId="77777777" w:rsidR="00524C44" w:rsidRDefault="00524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EB7F9D" w14:textId="77777777" w:rsidR="00C55457" w:rsidRDefault="00C55457">
        <w:pPr>
          <w:pStyle w:val="Footer"/>
          <w:jc w:val="right"/>
        </w:pPr>
        <w:r>
          <w:fldChar w:fldCharType="begin"/>
        </w:r>
        <w:r>
          <w:instrText xml:space="preserve"> PAGE   \* MERGEFORMAT </w:instrText>
        </w:r>
        <w:r>
          <w:fldChar w:fldCharType="separate"/>
        </w:r>
        <w:r w:rsidR="00550405">
          <w:rPr>
            <w:noProof/>
          </w:rPr>
          <w:t>1</w:t>
        </w:r>
        <w:r>
          <w:rPr>
            <w:noProof/>
          </w:rPr>
          <w:fldChar w:fldCharType="end"/>
        </w:r>
      </w:p>
    </w:sdtContent>
  </w:sdt>
  <w:p w14:paraId="708B6AC5"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4FA53" w14:textId="77777777" w:rsidR="00524C44" w:rsidRDefault="00524C44" w:rsidP="00D350A8">
      <w:pPr>
        <w:spacing w:after="0" w:line="240" w:lineRule="auto"/>
      </w:pPr>
      <w:r>
        <w:separator/>
      </w:r>
    </w:p>
  </w:footnote>
  <w:footnote w:type="continuationSeparator" w:id="0">
    <w:p w14:paraId="6718D132" w14:textId="77777777" w:rsidR="00524C44" w:rsidRDefault="00524C44" w:rsidP="00D350A8">
      <w:pPr>
        <w:spacing w:after="0" w:line="240" w:lineRule="auto"/>
      </w:pPr>
      <w:r>
        <w:continuationSeparator/>
      </w:r>
    </w:p>
  </w:footnote>
  <w:footnote w:type="continuationNotice" w:id="1">
    <w:p w14:paraId="2C832F6E" w14:textId="77777777" w:rsidR="00524C44" w:rsidRDefault="00524C44">
      <w:pPr>
        <w:spacing w:after="0" w:line="240" w:lineRule="auto"/>
      </w:pPr>
    </w:p>
  </w:footnote>
  <w:footnote w:id="2">
    <w:p w14:paraId="68B3BAEB" w14:textId="77777777" w:rsidR="00C55457" w:rsidRPr="00CB0831" w:rsidRDefault="00C55457">
      <w:pPr>
        <w:pStyle w:val="FootnoteText"/>
      </w:pPr>
      <w:r w:rsidRPr="00765358">
        <w:rPr>
          <w:rStyle w:val="FootnoteReference"/>
        </w:rPr>
        <w:footnoteRef/>
      </w:r>
      <w:r w:rsidRPr="00765358">
        <w:t xml:space="preserve"> </w:t>
      </w:r>
      <w:r w:rsidR="00675A46">
        <w:t>The NOPR (issued 10/</w:t>
      </w:r>
      <w:r w:rsidR="00433A3A">
        <w:t>19</w:t>
      </w:r>
      <w:r w:rsidRPr="00765358">
        <w:t xml:space="preserve">/2017) is available in FERC’s eLibrary system at </w:t>
      </w:r>
      <w:hyperlink r:id="rId1" w:history="1">
        <w:r w:rsidR="00675A46" w:rsidRPr="00675A46">
          <w:rPr>
            <w:rStyle w:val="Hyperlink"/>
          </w:rPr>
          <w:t>https://elibrary.ferc.gov/idmws/common/OpenNat.asp?fileID=14714501</w:t>
        </w:r>
      </w:hyperlink>
      <w:r w:rsidRPr="00765358">
        <w:t>.</w:t>
      </w:r>
    </w:p>
  </w:footnote>
  <w:footnote w:id="3">
    <w:p w14:paraId="5216ADD9" w14:textId="77777777" w:rsidR="0087017E" w:rsidRDefault="0087017E" w:rsidP="0087017E">
      <w:pPr>
        <w:pStyle w:val="FootnoteText"/>
      </w:pPr>
      <w:r>
        <w:rPr>
          <w:rStyle w:val="FootnoteReference"/>
        </w:rPr>
        <w:footnoteRef/>
      </w:r>
      <w:r>
        <w:t xml:space="preserve"> 16 U.S.C. 824o. </w:t>
      </w:r>
    </w:p>
  </w:footnote>
  <w:footnote w:id="4">
    <w:p w14:paraId="4B184DED" w14:textId="77777777" w:rsidR="0087017E" w:rsidRPr="00113917" w:rsidRDefault="0087017E" w:rsidP="0087017E">
      <w:pPr>
        <w:pStyle w:val="FootnoteText"/>
        <w:rPr>
          <w:szCs w:val="26"/>
        </w:rPr>
      </w:pPr>
      <w:r>
        <w:rPr>
          <w:rStyle w:val="FootnoteReference"/>
        </w:rPr>
        <w:footnoteRef/>
      </w:r>
      <w:r>
        <w:t xml:space="preserve"> </w:t>
      </w:r>
      <w:r w:rsidRPr="00D27164">
        <w:rPr>
          <w:i/>
          <w:szCs w:val="26"/>
        </w:rPr>
        <w:t>Revised Critical Infrastructure Protection Reliability Standards</w:t>
      </w:r>
      <w:r w:rsidRPr="00A40850">
        <w:rPr>
          <w:szCs w:val="26"/>
        </w:rPr>
        <w:t>, Or</w:t>
      </w:r>
      <w:r>
        <w:rPr>
          <w:szCs w:val="26"/>
        </w:rPr>
        <w:t xml:space="preserve">der No. 822, 154 FERC ¶ 61,037, </w:t>
      </w:r>
      <w:r w:rsidRPr="00EC6C0D">
        <w:rPr>
          <w:i/>
          <w:szCs w:val="26"/>
        </w:rPr>
        <w:t>reh’g denied</w:t>
      </w:r>
      <w:r>
        <w:rPr>
          <w:szCs w:val="26"/>
        </w:rPr>
        <w:t xml:space="preserve">, Order No. 822-A, </w:t>
      </w:r>
      <w:r>
        <w:t>156 FERC ¶ 61,052</w:t>
      </w:r>
      <w:r>
        <w:rPr>
          <w:szCs w:val="26"/>
        </w:rPr>
        <w:t xml:space="preserve"> (2016).</w:t>
      </w:r>
    </w:p>
  </w:footnote>
  <w:footnote w:id="5">
    <w:p w14:paraId="7E724CBE" w14:textId="77777777" w:rsidR="0086089D" w:rsidRDefault="0086089D" w:rsidP="0086089D">
      <w:pPr>
        <w:pStyle w:val="FootnoteText"/>
      </w:pPr>
      <w:r>
        <w:rPr>
          <w:rStyle w:val="FootnoteReference"/>
        </w:rPr>
        <w:footnoteRef/>
      </w:r>
      <w:r>
        <w:t xml:space="preserve"> NERC defines “BES Cyber System” as </w:t>
      </w:r>
      <w:r>
        <w:rPr>
          <w:szCs w:val="26"/>
        </w:rPr>
        <w:t>o</w:t>
      </w:r>
      <w:r w:rsidRPr="006D2E5F">
        <w:rPr>
          <w:szCs w:val="26"/>
        </w:rPr>
        <w:t>ne or more BES Cyber Assets logically grouped by a responsible entity to perform one or more reliability tasks for a functional entity.</w:t>
      </w:r>
    </w:p>
  </w:footnote>
  <w:footnote w:id="6">
    <w:p w14:paraId="01F71874" w14:textId="77777777" w:rsidR="00675A46" w:rsidRDefault="00675A46">
      <w:pPr>
        <w:pStyle w:val="FootnoteText"/>
      </w:pPr>
      <w:r>
        <w:rPr>
          <w:rStyle w:val="FootnoteReference"/>
        </w:rPr>
        <w:footnoteRef/>
      </w:r>
      <w:r>
        <w:t xml:space="preserve"> 82 FR 49541</w:t>
      </w:r>
    </w:p>
  </w:footnote>
  <w:footnote w:id="7">
    <w:p w14:paraId="7F71BE54"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8">
    <w:p w14:paraId="499F9274" w14:textId="77777777" w:rsidR="00BC5463" w:rsidRDefault="00BC5463" w:rsidP="00BC5463">
      <w:pPr>
        <w:pStyle w:val="FootnoteText"/>
        <w:rPr>
          <w:szCs w:val="26"/>
        </w:rPr>
      </w:pPr>
      <w:r w:rsidRPr="00357340">
        <w:rPr>
          <w:rStyle w:val="FootnoteReference"/>
        </w:rPr>
        <w:footnoteRef/>
      </w:r>
      <w:r>
        <w:rPr>
          <w:szCs w:val="26"/>
        </w:rPr>
        <w:t xml:space="preserve"> The loaded hourly wage figure (includes benefits) is based on the average of three occupational categories for 2016 found on the Bureau of Labor Statistics website </w:t>
      </w:r>
      <w:r w:rsidRPr="00DF428A">
        <w:rPr>
          <w:szCs w:val="26"/>
        </w:rPr>
        <w:t>(</w:t>
      </w:r>
      <w:hyperlink r:id="rId2" w:history="1">
        <w:r w:rsidRPr="00DF428A">
          <w:rPr>
            <w:rStyle w:val="Hyperlink"/>
            <w:szCs w:val="26"/>
          </w:rPr>
          <w:t>http://www.bls.gov/oes/current/naics2_22.htm</w:t>
        </w:r>
      </w:hyperlink>
      <w:r>
        <w:rPr>
          <w:szCs w:val="26"/>
        </w:rPr>
        <w:t>):</w:t>
      </w:r>
    </w:p>
    <w:p w14:paraId="09C25951" w14:textId="77777777" w:rsidR="00BC5463" w:rsidRDefault="00BC5463" w:rsidP="00BC5463">
      <w:pPr>
        <w:pStyle w:val="FootnoteText"/>
        <w:ind w:left="1440"/>
        <w:rPr>
          <w:szCs w:val="26"/>
        </w:rPr>
      </w:pPr>
      <w:r>
        <w:rPr>
          <w:szCs w:val="26"/>
        </w:rPr>
        <w:t>Legal (Occupation Code: 23-0000): $143.68</w:t>
      </w:r>
    </w:p>
    <w:p w14:paraId="7FE91E7C" w14:textId="77777777" w:rsidR="00BC5463" w:rsidRDefault="00BC5463" w:rsidP="00BC5463">
      <w:pPr>
        <w:pStyle w:val="FootnoteText"/>
        <w:ind w:left="1440"/>
        <w:rPr>
          <w:szCs w:val="26"/>
        </w:rPr>
      </w:pPr>
      <w:r>
        <w:rPr>
          <w:szCs w:val="26"/>
        </w:rPr>
        <w:t>Electrical Engineer (Occupation Code: 17-2071): $68.12</w:t>
      </w:r>
    </w:p>
    <w:p w14:paraId="2D4385BE" w14:textId="77777777" w:rsidR="00BC5463" w:rsidRDefault="00BC5463" w:rsidP="00BC5463">
      <w:pPr>
        <w:pStyle w:val="FootnoteText"/>
        <w:ind w:left="1440"/>
        <w:rPr>
          <w:szCs w:val="26"/>
        </w:rPr>
      </w:pPr>
      <w:r>
        <w:rPr>
          <w:szCs w:val="26"/>
        </w:rPr>
        <w:t>Office and Administrative Support (Occupation Code: 43-0000): $40.89</w:t>
      </w:r>
    </w:p>
    <w:p w14:paraId="126E85E5" w14:textId="77777777" w:rsidR="00BC5463" w:rsidRPr="00357340" w:rsidRDefault="00BC5463" w:rsidP="00BC5463">
      <w:pPr>
        <w:pStyle w:val="FootnoteText"/>
        <w:rPr>
          <w:szCs w:val="26"/>
        </w:rPr>
      </w:pPr>
      <w:r>
        <w:rPr>
          <w:szCs w:val="26"/>
        </w:rPr>
        <w:t>($143.68 + $68.12 + $40.89) ÷ 3 = $84.23.  The figure is rounded to $84.00 for use in calculating wage figures in th</w:t>
      </w:r>
      <w:r w:rsidR="0033288D">
        <w:rPr>
          <w:szCs w:val="26"/>
        </w:rPr>
        <w:t>e</w:t>
      </w:r>
      <w:r>
        <w:rPr>
          <w:szCs w:val="26"/>
        </w:rPr>
        <w:t xml:space="preserve"> NOPR</w:t>
      </w:r>
      <w:r w:rsidR="0033288D">
        <w:rPr>
          <w:szCs w:val="26"/>
        </w:rPr>
        <w:t xml:space="preserve"> and this supporting statement</w:t>
      </w:r>
      <w:r>
        <w:rPr>
          <w:szCs w:val="26"/>
        </w:rPr>
        <w:t>.</w:t>
      </w:r>
    </w:p>
  </w:footnote>
  <w:footnote w:id="9">
    <w:p w14:paraId="35135AB0" w14:textId="77777777" w:rsidR="00BC5463" w:rsidRDefault="00BC5463" w:rsidP="00BC5463">
      <w:pPr>
        <w:pStyle w:val="FootnoteText"/>
      </w:pPr>
      <w:r>
        <w:rPr>
          <w:rStyle w:val="FootnoteReference"/>
        </w:rPr>
        <w:footnoteRef/>
      </w:r>
      <w:r>
        <w:t xml:space="preserve"> This one-time burden applies in Year One only.</w:t>
      </w:r>
    </w:p>
  </w:footnote>
  <w:footnote w:id="10">
    <w:p w14:paraId="428AEA21" w14:textId="77777777" w:rsidR="00BC5463" w:rsidRDefault="00BC5463">
      <w:pPr>
        <w:pStyle w:val="FootnoteText"/>
      </w:pPr>
      <w:r>
        <w:rPr>
          <w:rStyle w:val="FootnoteReference"/>
        </w:rPr>
        <w:footnoteRef/>
      </w:r>
      <w:r>
        <w:t xml:space="preserve"> This figure is incorrectly pres</w:t>
      </w:r>
      <w:r w:rsidR="00FA717D">
        <w:t xml:space="preserve">ented as </w:t>
      </w:r>
      <w:r>
        <w:t>6,875</w:t>
      </w:r>
      <w:r w:rsidR="004C2BD7">
        <w:t xml:space="preserve"> hours in the NOPR.  The figure</w:t>
      </w:r>
      <w:r w:rsidR="00FA717D">
        <w:t xml:space="preserve"> is corrected </w:t>
      </w:r>
      <w:r w:rsidR="0033288D">
        <w:t xml:space="preserve">here </w:t>
      </w:r>
      <w:r w:rsidR="00FA717D">
        <w:t>to 22,000 hours. I</w:t>
      </w:r>
      <w:r>
        <w:t>ts associated wage figure</w:t>
      </w:r>
      <w:r w:rsidR="0033288D">
        <w:t>s</w:t>
      </w:r>
      <w:r>
        <w:t xml:space="preserve"> are correctly presented </w:t>
      </w:r>
      <w:r w:rsidR="00FA717D">
        <w:t>in the NOPR and in this supporting statement</w:t>
      </w:r>
      <w:r>
        <w:t>.</w:t>
      </w:r>
    </w:p>
  </w:footnote>
  <w:footnote w:id="11">
    <w:p w14:paraId="6644C5CF" w14:textId="77777777" w:rsidR="00BC5463" w:rsidRDefault="00BC5463" w:rsidP="00BC5463">
      <w:pPr>
        <w:pStyle w:val="FootnoteText"/>
      </w:pPr>
      <w:r>
        <w:rPr>
          <w:rStyle w:val="FootnoteReference"/>
        </w:rPr>
        <w:footnoteRef/>
      </w:r>
      <w:r>
        <w:t xml:space="preserve"> This ongoing burden applies in Year 2 and beyond.</w:t>
      </w:r>
    </w:p>
  </w:footnote>
  <w:footnote w:id="12">
    <w:p w14:paraId="77657D86" w14:textId="77777777" w:rsidR="00BC5463" w:rsidRDefault="00BC5463" w:rsidP="00BC5463">
      <w:pPr>
        <w:pStyle w:val="FootnoteText"/>
      </w:pPr>
      <w:r>
        <w:rPr>
          <w:rStyle w:val="FootnoteReference"/>
        </w:rPr>
        <w:footnoteRef/>
      </w:r>
      <w:r>
        <w:t xml:space="preserve"> We estimate that each entity will perform 25 updates per month. 25 updates *12 months = 300 updates (i.e. responses) per year.</w:t>
      </w:r>
    </w:p>
  </w:footnote>
  <w:footnote w:id="13">
    <w:p w14:paraId="0B8D6A08" w14:textId="77777777" w:rsidR="00BC5463" w:rsidRDefault="00BC5463" w:rsidP="00BC5463">
      <w:pPr>
        <w:pStyle w:val="FootnoteText"/>
      </w:pPr>
      <w:r>
        <w:rPr>
          <w:rStyle w:val="FootnoteReference"/>
        </w:rPr>
        <w:footnoteRef/>
      </w:r>
      <w:r>
        <w:t xml:space="preserve"> The 1.5 hours of burden per response is comprised of three sub-categories:</w:t>
      </w:r>
    </w:p>
    <w:p w14:paraId="4B295B32" w14:textId="77777777" w:rsidR="00BC5463" w:rsidRDefault="00BC5463" w:rsidP="00BC5463">
      <w:pPr>
        <w:pStyle w:val="FootnoteText"/>
        <w:ind w:left="1440"/>
      </w:pPr>
      <w:r>
        <w:t xml:space="preserve">Updates to </w:t>
      </w:r>
      <w:r w:rsidRPr="00357340">
        <w:t>managed</w:t>
      </w:r>
      <w:r>
        <w:t xml:space="preserve"> low TCA assets: 15 minutes (0.25 hours) per response</w:t>
      </w:r>
    </w:p>
    <w:p w14:paraId="0C9C600A" w14:textId="77777777" w:rsidR="00BC5463" w:rsidRDefault="00BC5463" w:rsidP="00BC5463">
      <w:pPr>
        <w:pStyle w:val="FootnoteText"/>
        <w:ind w:left="1440"/>
      </w:pPr>
      <w:r>
        <w:t>Updates to unmanaged low TCA assets: 60 minutes (1 hour) per response</w:t>
      </w:r>
    </w:p>
    <w:p w14:paraId="661D0F0F" w14:textId="77777777" w:rsidR="00BC5463" w:rsidRDefault="00BC5463" w:rsidP="00BC5463">
      <w:pPr>
        <w:pStyle w:val="FootnoteText"/>
        <w:ind w:left="1440"/>
      </w:pPr>
      <w:r>
        <w:t>Reviews of low TCA applicable controls: 15 minutes (0.25 hours) per response.</w:t>
      </w:r>
    </w:p>
  </w:footnote>
  <w:footnote w:id="14">
    <w:p w14:paraId="03D7B1D5" w14:textId="77777777" w:rsidR="00BC5463" w:rsidRDefault="00BC5463" w:rsidP="00BC5463">
      <w:pPr>
        <w:pStyle w:val="FootnoteText"/>
      </w:pPr>
      <w:r>
        <w:rPr>
          <w:rStyle w:val="FootnoteReference"/>
        </w:rPr>
        <w:footnoteRef/>
      </w:r>
      <w:r>
        <w:t xml:space="preserve"> Physical Security Controls.</w:t>
      </w:r>
    </w:p>
  </w:footnote>
  <w:footnote w:id="15">
    <w:p w14:paraId="04CDE3C4" w14:textId="77777777" w:rsidR="00BC5463" w:rsidRDefault="00BC5463" w:rsidP="00BC5463">
      <w:pPr>
        <w:pStyle w:val="FootnoteText"/>
      </w:pPr>
      <w:r>
        <w:rPr>
          <w:rStyle w:val="FootnoteReference"/>
        </w:rPr>
        <w:footnoteRef/>
      </w:r>
      <w:r>
        <w:t xml:space="preserve"> Electronic Access Controls.</w:t>
      </w:r>
    </w:p>
  </w:footnote>
  <w:footnote w:id="16">
    <w:p w14:paraId="69A79032" w14:textId="77777777" w:rsidR="00FA717D" w:rsidRDefault="00FA717D">
      <w:pPr>
        <w:pStyle w:val="FootnoteText"/>
      </w:pPr>
      <w:r>
        <w:rPr>
          <w:rStyle w:val="FootnoteReference"/>
        </w:rPr>
        <w:footnoteRef/>
      </w:r>
      <w:r>
        <w:t xml:space="preserve"> This figure is incorrectly presented as 13,750</w:t>
      </w:r>
      <w:r w:rsidR="00675A46">
        <w:t xml:space="preserve"> hours in the NOPR.  The figure</w:t>
      </w:r>
      <w:r>
        <w:t xml:space="preserve"> is corrected to 44,000 hours</w:t>
      </w:r>
      <w:r w:rsidR="00675A46">
        <w:t xml:space="preserve"> in this supporting statement</w:t>
      </w:r>
      <w:r>
        <w:t>. Its associated wage figure are correctly presented in the NOPR and in this supporting statement.</w:t>
      </w:r>
    </w:p>
  </w:footnote>
  <w:footnote w:id="17">
    <w:p w14:paraId="5C53BEA1" w14:textId="77777777" w:rsidR="00FA717D" w:rsidRDefault="00FA717D">
      <w:pPr>
        <w:pStyle w:val="FootnoteText"/>
      </w:pPr>
      <w:r>
        <w:rPr>
          <w:rStyle w:val="FootnoteReference"/>
        </w:rPr>
        <w:footnoteRef/>
      </w:r>
      <w:r>
        <w:t xml:space="preserve"> This figure is incorrectly presented as 501,875</w:t>
      </w:r>
      <w:r w:rsidR="00675A46">
        <w:t xml:space="preserve"> hours in the NOPR.  The figure</w:t>
      </w:r>
      <w:r>
        <w:t xml:space="preserve"> is corrected to 517,000 hours</w:t>
      </w:r>
      <w:r w:rsidR="00675A46">
        <w:t xml:space="preserve"> in this supporting statement</w:t>
      </w:r>
      <w:r>
        <w:t>. Its associated wage figure are correctly presented in the NOPR and in this supporting statement.</w:t>
      </w:r>
    </w:p>
  </w:footnote>
  <w:footnote w:id="18">
    <w:p w14:paraId="13C518FB" w14:textId="77777777" w:rsidR="0000037F" w:rsidRDefault="0000037F">
      <w:pPr>
        <w:pStyle w:val="FootnoteText"/>
      </w:pPr>
      <w:r>
        <w:rPr>
          <w:rStyle w:val="FootnoteReference"/>
        </w:rPr>
        <w:footnoteRef/>
      </w:r>
      <w:r>
        <w:t xml:space="preserve"> This figure is rounded from 221,466.6.</w:t>
      </w:r>
    </w:p>
  </w:footnote>
  <w:footnote w:id="19">
    <w:p w14:paraId="0B5C1DA5" w14:textId="77777777" w:rsidR="00C55457" w:rsidRPr="00CB0831" w:rsidRDefault="00C55457" w:rsidP="002359F6">
      <w:pPr>
        <w:pStyle w:val="FootnoteText"/>
      </w:pPr>
      <w:r w:rsidRPr="00CB0831">
        <w:rPr>
          <w:rStyle w:val="FootnoteReference"/>
        </w:rPr>
        <w:footnoteRef/>
      </w:r>
      <w:r w:rsidRPr="00CB0831">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w:t>
      </w:r>
      <w:r w:rsidR="00675A46">
        <w:t>akings (not just this NOPR</w:t>
      </w:r>
      <w:r w:rsidRPr="00CB0831">
        <w:t>), and other changes to the collection.</w:t>
      </w:r>
    </w:p>
  </w:footnote>
  <w:footnote w:id="20">
    <w:p w14:paraId="67E9E8DA" w14:textId="77777777" w:rsidR="00952695" w:rsidRDefault="00952695" w:rsidP="00952695">
      <w:pPr>
        <w:pStyle w:val="FootnoteText"/>
      </w:pPr>
      <w:r>
        <w:rPr>
          <w:rStyle w:val="FootnoteReference"/>
        </w:rPr>
        <w:footnoteRef/>
      </w:r>
      <w:r>
        <w:t xml:space="preserve"> RM17-11 NOPR also proposed the retirement of CIP-003-6, a previous version of CIP-003-7.</w:t>
      </w:r>
    </w:p>
  </w:footnote>
  <w:footnote w:id="21">
    <w:p w14:paraId="1396EFF4" w14:textId="77777777" w:rsidR="00C55457" w:rsidRDefault="00C55457">
      <w:pPr>
        <w:pStyle w:val="FootnoteText"/>
      </w:pPr>
      <w:r>
        <w:rPr>
          <w:rStyle w:val="FootnoteReference"/>
        </w:rPr>
        <w:footnoteRef/>
      </w:r>
      <w:r>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C44C" w14:textId="77777777" w:rsidR="00C55457" w:rsidRPr="00B51BB8" w:rsidRDefault="00E6666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3542F8">
      <w:rPr>
        <w:rFonts w:ascii="Times New Roman" w:hAnsi="Times New Roman" w:cs="Times New Roman"/>
        <w:sz w:val="24"/>
        <w:szCs w:val="24"/>
      </w:rPr>
      <w:t xml:space="preserve"> (OMB Control Nos. 1902-0248</w:t>
    </w:r>
    <w:r w:rsidR="00C55457" w:rsidRPr="00B51BB8">
      <w:rPr>
        <w:rFonts w:ascii="Times New Roman" w:hAnsi="Times New Roman" w:cs="Times New Roman"/>
        <w:sz w:val="24"/>
        <w:szCs w:val="24"/>
      </w:rPr>
      <w:t xml:space="preserve">) </w:t>
    </w:r>
  </w:p>
  <w:p w14:paraId="13DC6E01" w14:textId="77777777" w:rsidR="00C55457" w:rsidRDefault="003542F8" w:rsidP="002A4142">
    <w:pPr>
      <w:pStyle w:val="Header"/>
      <w:rPr>
        <w:rFonts w:ascii="Times New Roman" w:hAnsi="Times New Roman" w:cs="Times New Roman"/>
        <w:bCs/>
        <w:sz w:val="24"/>
        <w:szCs w:val="24"/>
      </w:rPr>
    </w:pPr>
    <w:r>
      <w:rPr>
        <w:rFonts w:ascii="Times New Roman" w:hAnsi="Times New Roman" w:cs="Times New Roman"/>
        <w:bCs/>
        <w:sz w:val="24"/>
        <w:szCs w:val="24"/>
      </w:rPr>
      <w:t>Notice of Proposed Rulemaking (NOPR)</w:t>
    </w:r>
    <w:r w:rsidR="00B50C45">
      <w:rPr>
        <w:rFonts w:ascii="Times New Roman" w:hAnsi="Times New Roman" w:cs="Times New Roman"/>
        <w:bCs/>
        <w:sz w:val="24"/>
        <w:szCs w:val="24"/>
      </w:rPr>
      <w:t xml:space="preserve"> (</w:t>
    </w:r>
    <w:r w:rsidR="00C55457" w:rsidRPr="00B51BB8">
      <w:rPr>
        <w:rFonts w:ascii="Times New Roman" w:hAnsi="Times New Roman" w:cs="Times New Roman"/>
        <w:bCs/>
        <w:sz w:val="24"/>
        <w:szCs w:val="24"/>
      </w:rPr>
      <w:t>iss</w:t>
    </w:r>
    <w:r w:rsidR="00B9626B">
      <w:rPr>
        <w:rFonts w:ascii="Times New Roman" w:hAnsi="Times New Roman" w:cs="Times New Roman"/>
        <w:bCs/>
        <w:sz w:val="24"/>
        <w:szCs w:val="24"/>
      </w:rPr>
      <w:t>ued 10/19</w:t>
    </w:r>
    <w:r>
      <w:rPr>
        <w:rFonts w:ascii="Times New Roman" w:hAnsi="Times New Roman" w:cs="Times New Roman"/>
        <w:bCs/>
        <w:sz w:val="24"/>
        <w:szCs w:val="24"/>
      </w:rPr>
      <w:t>/2017) in Docket RM17-11</w:t>
    </w:r>
    <w:r w:rsidR="00C55457">
      <w:rPr>
        <w:rFonts w:ascii="Times New Roman" w:hAnsi="Times New Roman" w:cs="Times New Roman"/>
        <w:bCs/>
        <w:sz w:val="24"/>
        <w:szCs w:val="24"/>
      </w:rPr>
      <w:t>-000</w:t>
    </w:r>
  </w:p>
  <w:p w14:paraId="0A74E067" w14:textId="77777777" w:rsidR="00C55457" w:rsidRDefault="00C55457"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RIN:</w:t>
    </w:r>
    <w:r w:rsidR="003542F8" w:rsidRPr="00774B70">
      <w:rPr>
        <w:rFonts w:ascii="Times New Roman" w:hAnsi="Times New Roman" w:cs="Times New Roman"/>
        <w:bCs/>
        <w:sz w:val="24"/>
        <w:szCs w:val="24"/>
      </w:rPr>
      <w:t xml:space="preserve"> </w:t>
    </w:r>
    <w:r w:rsidR="00774B70" w:rsidRPr="00774B70">
      <w:rPr>
        <w:rFonts w:ascii="Times New Roman" w:hAnsi="Times New Roman" w:cs="Times New Roman"/>
        <w:bCs/>
        <w:sz w:val="24"/>
        <w:szCs w:val="24"/>
      </w:rPr>
      <w:t>1902-AF44</w:t>
    </w:r>
  </w:p>
  <w:p w14:paraId="40D18032"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0"/>
  </w:num>
  <w:num w:numId="6">
    <w:abstractNumId w:val="3"/>
  </w:num>
  <w:num w:numId="7">
    <w:abstractNumId w:val="12"/>
  </w:num>
  <w:num w:numId="8">
    <w:abstractNumId w:val="6"/>
  </w:num>
  <w:num w:numId="9">
    <w:abstractNumId w:val="4"/>
  </w:num>
  <w:num w:numId="10">
    <w:abstractNumId w:val="10"/>
  </w:num>
  <w:num w:numId="11">
    <w:abstractNumId w:val="5"/>
  </w:num>
  <w:num w:numId="12">
    <w:abstractNumId w:val="1"/>
  </w:num>
  <w:num w:numId="13">
    <w:abstractNumId w:val="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037F"/>
    <w:rsid w:val="000027B8"/>
    <w:rsid w:val="00005289"/>
    <w:rsid w:val="000151A0"/>
    <w:rsid w:val="00017D46"/>
    <w:rsid w:val="000302F1"/>
    <w:rsid w:val="0004133D"/>
    <w:rsid w:val="000428A5"/>
    <w:rsid w:val="00042D80"/>
    <w:rsid w:val="00050740"/>
    <w:rsid w:val="00053805"/>
    <w:rsid w:val="00055683"/>
    <w:rsid w:val="000723A8"/>
    <w:rsid w:val="000728C5"/>
    <w:rsid w:val="0007589B"/>
    <w:rsid w:val="0007783F"/>
    <w:rsid w:val="00087336"/>
    <w:rsid w:val="00094D36"/>
    <w:rsid w:val="000C1EE9"/>
    <w:rsid w:val="000E5E73"/>
    <w:rsid w:val="000F03BB"/>
    <w:rsid w:val="000F341C"/>
    <w:rsid w:val="000F73BF"/>
    <w:rsid w:val="00100229"/>
    <w:rsid w:val="00100D18"/>
    <w:rsid w:val="00102F1A"/>
    <w:rsid w:val="001062F8"/>
    <w:rsid w:val="00115F24"/>
    <w:rsid w:val="0012731F"/>
    <w:rsid w:val="001301E0"/>
    <w:rsid w:val="00131470"/>
    <w:rsid w:val="0014705F"/>
    <w:rsid w:val="00150D8D"/>
    <w:rsid w:val="0015264C"/>
    <w:rsid w:val="00155323"/>
    <w:rsid w:val="0015640F"/>
    <w:rsid w:val="001647E7"/>
    <w:rsid w:val="001755B4"/>
    <w:rsid w:val="00181C6A"/>
    <w:rsid w:val="00185B93"/>
    <w:rsid w:val="00191849"/>
    <w:rsid w:val="001936B6"/>
    <w:rsid w:val="001967A9"/>
    <w:rsid w:val="001976E0"/>
    <w:rsid w:val="001A03C2"/>
    <w:rsid w:val="001A76A3"/>
    <w:rsid w:val="001A786F"/>
    <w:rsid w:val="001D7EB6"/>
    <w:rsid w:val="001E11E7"/>
    <w:rsid w:val="001F1D83"/>
    <w:rsid w:val="002025A8"/>
    <w:rsid w:val="00213195"/>
    <w:rsid w:val="002329FB"/>
    <w:rsid w:val="002359F6"/>
    <w:rsid w:val="00236FF2"/>
    <w:rsid w:val="002370E2"/>
    <w:rsid w:val="00240C3A"/>
    <w:rsid w:val="0024309E"/>
    <w:rsid w:val="00257FBE"/>
    <w:rsid w:val="0026236C"/>
    <w:rsid w:val="00270184"/>
    <w:rsid w:val="00271EC6"/>
    <w:rsid w:val="00275760"/>
    <w:rsid w:val="0029048F"/>
    <w:rsid w:val="00290ACC"/>
    <w:rsid w:val="00291A94"/>
    <w:rsid w:val="002A4142"/>
    <w:rsid w:val="002A45D0"/>
    <w:rsid w:val="002A5BA5"/>
    <w:rsid w:val="002A7EF0"/>
    <w:rsid w:val="002B3B00"/>
    <w:rsid w:val="002C4849"/>
    <w:rsid w:val="002C70B7"/>
    <w:rsid w:val="002D4CD4"/>
    <w:rsid w:val="002D4FFD"/>
    <w:rsid w:val="002E0A22"/>
    <w:rsid w:val="002F3DB9"/>
    <w:rsid w:val="00314EBE"/>
    <w:rsid w:val="00315F04"/>
    <w:rsid w:val="0033288D"/>
    <w:rsid w:val="00332A43"/>
    <w:rsid w:val="003542F8"/>
    <w:rsid w:val="003542FD"/>
    <w:rsid w:val="0035608B"/>
    <w:rsid w:val="00360F81"/>
    <w:rsid w:val="00361094"/>
    <w:rsid w:val="003745F7"/>
    <w:rsid w:val="003771D0"/>
    <w:rsid w:val="00391060"/>
    <w:rsid w:val="003976CA"/>
    <w:rsid w:val="003A536E"/>
    <w:rsid w:val="003B6534"/>
    <w:rsid w:val="003C19D0"/>
    <w:rsid w:val="003D09FB"/>
    <w:rsid w:val="003E599C"/>
    <w:rsid w:val="003F77BD"/>
    <w:rsid w:val="00401B62"/>
    <w:rsid w:val="0040637D"/>
    <w:rsid w:val="004137F1"/>
    <w:rsid w:val="00416DFC"/>
    <w:rsid w:val="00433A3A"/>
    <w:rsid w:val="0044319A"/>
    <w:rsid w:val="00452265"/>
    <w:rsid w:val="00485D08"/>
    <w:rsid w:val="004A1428"/>
    <w:rsid w:val="004B624E"/>
    <w:rsid w:val="004C0226"/>
    <w:rsid w:val="004C0981"/>
    <w:rsid w:val="004C2BD7"/>
    <w:rsid w:val="004C334C"/>
    <w:rsid w:val="004C510E"/>
    <w:rsid w:val="004E6159"/>
    <w:rsid w:val="004F3F84"/>
    <w:rsid w:val="00501F21"/>
    <w:rsid w:val="00503BD5"/>
    <w:rsid w:val="00506164"/>
    <w:rsid w:val="00511A94"/>
    <w:rsid w:val="00516258"/>
    <w:rsid w:val="00522521"/>
    <w:rsid w:val="00524C44"/>
    <w:rsid w:val="00526F2F"/>
    <w:rsid w:val="00527AE1"/>
    <w:rsid w:val="005368DE"/>
    <w:rsid w:val="00543FCE"/>
    <w:rsid w:val="00550405"/>
    <w:rsid w:val="00555094"/>
    <w:rsid w:val="005558F8"/>
    <w:rsid w:val="005575ED"/>
    <w:rsid w:val="00565F74"/>
    <w:rsid w:val="005768DB"/>
    <w:rsid w:val="005774B1"/>
    <w:rsid w:val="00581E3E"/>
    <w:rsid w:val="00582804"/>
    <w:rsid w:val="005853F1"/>
    <w:rsid w:val="005908AC"/>
    <w:rsid w:val="00597658"/>
    <w:rsid w:val="005A465A"/>
    <w:rsid w:val="005A779D"/>
    <w:rsid w:val="005B07A1"/>
    <w:rsid w:val="005B253C"/>
    <w:rsid w:val="005B2D2D"/>
    <w:rsid w:val="005B3351"/>
    <w:rsid w:val="005C0FD7"/>
    <w:rsid w:val="005C28A8"/>
    <w:rsid w:val="005C297F"/>
    <w:rsid w:val="005C2C89"/>
    <w:rsid w:val="005D017F"/>
    <w:rsid w:val="005D054F"/>
    <w:rsid w:val="005D4423"/>
    <w:rsid w:val="005D4796"/>
    <w:rsid w:val="005D4947"/>
    <w:rsid w:val="005D6E4D"/>
    <w:rsid w:val="005E2448"/>
    <w:rsid w:val="005F447E"/>
    <w:rsid w:val="00602096"/>
    <w:rsid w:val="00606999"/>
    <w:rsid w:val="00612E67"/>
    <w:rsid w:val="006151D8"/>
    <w:rsid w:val="0061754A"/>
    <w:rsid w:val="00637613"/>
    <w:rsid w:val="00642CE9"/>
    <w:rsid w:val="00642D33"/>
    <w:rsid w:val="006524CA"/>
    <w:rsid w:val="006564E7"/>
    <w:rsid w:val="0065657B"/>
    <w:rsid w:val="0067059B"/>
    <w:rsid w:val="006717E6"/>
    <w:rsid w:val="00675A46"/>
    <w:rsid w:val="00675E52"/>
    <w:rsid w:val="00684FC0"/>
    <w:rsid w:val="00694503"/>
    <w:rsid w:val="0069654D"/>
    <w:rsid w:val="006A32B8"/>
    <w:rsid w:val="006A7418"/>
    <w:rsid w:val="006A76FD"/>
    <w:rsid w:val="006B0E50"/>
    <w:rsid w:val="006B5EEB"/>
    <w:rsid w:val="006C0F0B"/>
    <w:rsid w:val="006F04F8"/>
    <w:rsid w:val="006F199F"/>
    <w:rsid w:val="00703213"/>
    <w:rsid w:val="0070345D"/>
    <w:rsid w:val="00707A85"/>
    <w:rsid w:val="00712E32"/>
    <w:rsid w:val="00717A1C"/>
    <w:rsid w:val="00732818"/>
    <w:rsid w:val="00734A9C"/>
    <w:rsid w:val="00737581"/>
    <w:rsid w:val="0074093F"/>
    <w:rsid w:val="00765358"/>
    <w:rsid w:val="00774B70"/>
    <w:rsid w:val="0078329B"/>
    <w:rsid w:val="00793598"/>
    <w:rsid w:val="00794A5A"/>
    <w:rsid w:val="00797852"/>
    <w:rsid w:val="007A560D"/>
    <w:rsid w:val="007A5C2A"/>
    <w:rsid w:val="007A6365"/>
    <w:rsid w:val="007B7CCA"/>
    <w:rsid w:val="007C39D3"/>
    <w:rsid w:val="007D29A0"/>
    <w:rsid w:val="007D71CE"/>
    <w:rsid w:val="007E67E9"/>
    <w:rsid w:val="007E757F"/>
    <w:rsid w:val="007F1EC9"/>
    <w:rsid w:val="00800420"/>
    <w:rsid w:val="00800E3F"/>
    <w:rsid w:val="00803E7C"/>
    <w:rsid w:val="00810BF9"/>
    <w:rsid w:val="00812D76"/>
    <w:rsid w:val="00814779"/>
    <w:rsid w:val="00820929"/>
    <w:rsid w:val="00826CB4"/>
    <w:rsid w:val="0082752D"/>
    <w:rsid w:val="00835E0A"/>
    <w:rsid w:val="0084600F"/>
    <w:rsid w:val="00847F18"/>
    <w:rsid w:val="0086089D"/>
    <w:rsid w:val="00860A1F"/>
    <w:rsid w:val="00866048"/>
    <w:rsid w:val="0087017E"/>
    <w:rsid w:val="00870506"/>
    <w:rsid w:val="008738D6"/>
    <w:rsid w:val="008815BC"/>
    <w:rsid w:val="008A1478"/>
    <w:rsid w:val="008A5C5C"/>
    <w:rsid w:val="008B1F7E"/>
    <w:rsid w:val="008B5C52"/>
    <w:rsid w:val="008C255C"/>
    <w:rsid w:val="008C747F"/>
    <w:rsid w:val="008D20D4"/>
    <w:rsid w:val="008D4025"/>
    <w:rsid w:val="008D6AED"/>
    <w:rsid w:val="008E605D"/>
    <w:rsid w:val="008E6B70"/>
    <w:rsid w:val="008F6579"/>
    <w:rsid w:val="008F76CB"/>
    <w:rsid w:val="00900C36"/>
    <w:rsid w:val="00905C29"/>
    <w:rsid w:val="00907AB7"/>
    <w:rsid w:val="00912E58"/>
    <w:rsid w:val="009257C8"/>
    <w:rsid w:val="00930C74"/>
    <w:rsid w:val="00931AED"/>
    <w:rsid w:val="009329DB"/>
    <w:rsid w:val="0093400C"/>
    <w:rsid w:val="00950542"/>
    <w:rsid w:val="009508FC"/>
    <w:rsid w:val="00952695"/>
    <w:rsid w:val="00960411"/>
    <w:rsid w:val="00960BCF"/>
    <w:rsid w:val="00967D2F"/>
    <w:rsid w:val="00970428"/>
    <w:rsid w:val="009766A2"/>
    <w:rsid w:val="00976B33"/>
    <w:rsid w:val="009809EA"/>
    <w:rsid w:val="009922B2"/>
    <w:rsid w:val="00995B75"/>
    <w:rsid w:val="009B04FD"/>
    <w:rsid w:val="009B6A77"/>
    <w:rsid w:val="009C0D97"/>
    <w:rsid w:val="009C1020"/>
    <w:rsid w:val="009C2A3E"/>
    <w:rsid w:val="009E4A19"/>
    <w:rsid w:val="009F0B95"/>
    <w:rsid w:val="00A13DFB"/>
    <w:rsid w:val="00A14713"/>
    <w:rsid w:val="00A21CB4"/>
    <w:rsid w:val="00A2591A"/>
    <w:rsid w:val="00A25A61"/>
    <w:rsid w:val="00A301A2"/>
    <w:rsid w:val="00A41279"/>
    <w:rsid w:val="00A56ED0"/>
    <w:rsid w:val="00A7099E"/>
    <w:rsid w:val="00A70D34"/>
    <w:rsid w:val="00A7121F"/>
    <w:rsid w:val="00A7469A"/>
    <w:rsid w:val="00A83705"/>
    <w:rsid w:val="00A858C8"/>
    <w:rsid w:val="00A86E73"/>
    <w:rsid w:val="00A971CF"/>
    <w:rsid w:val="00AB3A07"/>
    <w:rsid w:val="00AD21A4"/>
    <w:rsid w:val="00AD7A4B"/>
    <w:rsid w:val="00AE3131"/>
    <w:rsid w:val="00AF29FC"/>
    <w:rsid w:val="00B00671"/>
    <w:rsid w:val="00B065DF"/>
    <w:rsid w:val="00B123DB"/>
    <w:rsid w:val="00B231D4"/>
    <w:rsid w:val="00B26E4A"/>
    <w:rsid w:val="00B2778A"/>
    <w:rsid w:val="00B27B98"/>
    <w:rsid w:val="00B34A73"/>
    <w:rsid w:val="00B404A4"/>
    <w:rsid w:val="00B46310"/>
    <w:rsid w:val="00B50C45"/>
    <w:rsid w:val="00B51BB8"/>
    <w:rsid w:val="00B52592"/>
    <w:rsid w:val="00B53FEB"/>
    <w:rsid w:val="00B61FB5"/>
    <w:rsid w:val="00B6240F"/>
    <w:rsid w:val="00B63850"/>
    <w:rsid w:val="00B63F5D"/>
    <w:rsid w:val="00B7228F"/>
    <w:rsid w:val="00B75373"/>
    <w:rsid w:val="00B820C3"/>
    <w:rsid w:val="00B82C39"/>
    <w:rsid w:val="00B85D31"/>
    <w:rsid w:val="00B94978"/>
    <w:rsid w:val="00B9626B"/>
    <w:rsid w:val="00B962D6"/>
    <w:rsid w:val="00B96B00"/>
    <w:rsid w:val="00BB5287"/>
    <w:rsid w:val="00BB7093"/>
    <w:rsid w:val="00BC132D"/>
    <w:rsid w:val="00BC26CE"/>
    <w:rsid w:val="00BC3F97"/>
    <w:rsid w:val="00BC4817"/>
    <w:rsid w:val="00BC5463"/>
    <w:rsid w:val="00BD1C65"/>
    <w:rsid w:val="00BD4E24"/>
    <w:rsid w:val="00BE0F87"/>
    <w:rsid w:val="00C00BD5"/>
    <w:rsid w:val="00C02C35"/>
    <w:rsid w:val="00C04E2E"/>
    <w:rsid w:val="00C04E75"/>
    <w:rsid w:val="00C114F4"/>
    <w:rsid w:val="00C17928"/>
    <w:rsid w:val="00C315D8"/>
    <w:rsid w:val="00C360B7"/>
    <w:rsid w:val="00C4205B"/>
    <w:rsid w:val="00C430BB"/>
    <w:rsid w:val="00C453FF"/>
    <w:rsid w:val="00C55457"/>
    <w:rsid w:val="00C677AE"/>
    <w:rsid w:val="00C80058"/>
    <w:rsid w:val="00C869E3"/>
    <w:rsid w:val="00CB0831"/>
    <w:rsid w:val="00CC2775"/>
    <w:rsid w:val="00CF172C"/>
    <w:rsid w:val="00D1124F"/>
    <w:rsid w:val="00D12E12"/>
    <w:rsid w:val="00D13727"/>
    <w:rsid w:val="00D1703C"/>
    <w:rsid w:val="00D17BB7"/>
    <w:rsid w:val="00D215A2"/>
    <w:rsid w:val="00D26084"/>
    <w:rsid w:val="00D273EF"/>
    <w:rsid w:val="00D27D95"/>
    <w:rsid w:val="00D30BDF"/>
    <w:rsid w:val="00D31EFC"/>
    <w:rsid w:val="00D350A8"/>
    <w:rsid w:val="00D400ED"/>
    <w:rsid w:val="00D408BF"/>
    <w:rsid w:val="00D51DDF"/>
    <w:rsid w:val="00D6422E"/>
    <w:rsid w:val="00DA12D2"/>
    <w:rsid w:val="00DA4D6E"/>
    <w:rsid w:val="00DA70EE"/>
    <w:rsid w:val="00DD30E8"/>
    <w:rsid w:val="00DD4144"/>
    <w:rsid w:val="00DD749B"/>
    <w:rsid w:val="00DF1C8D"/>
    <w:rsid w:val="00E0001D"/>
    <w:rsid w:val="00E11A60"/>
    <w:rsid w:val="00E14C63"/>
    <w:rsid w:val="00E25814"/>
    <w:rsid w:val="00E33E65"/>
    <w:rsid w:val="00E454EA"/>
    <w:rsid w:val="00E616F0"/>
    <w:rsid w:val="00E66667"/>
    <w:rsid w:val="00E9729B"/>
    <w:rsid w:val="00EA3968"/>
    <w:rsid w:val="00EC7882"/>
    <w:rsid w:val="00ED6908"/>
    <w:rsid w:val="00EE1D2C"/>
    <w:rsid w:val="00EE22CC"/>
    <w:rsid w:val="00EE4195"/>
    <w:rsid w:val="00EF4AD6"/>
    <w:rsid w:val="00EF4E3E"/>
    <w:rsid w:val="00EF650C"/>
    <w:rsid w:val="00F11DCD"/>
    <w:rsid w:val="00F14924"/>
    <w:rsid w:val="00F23E3F"/>
    <w:rsid w:val="00F26A37"/>
    <w:rsid w:val="00F473FF"/>
    <w:rsid w:val="00F61FC9"/>
    <w:rsid w:val="00F63E0D"/>
    <w:rsid w:val="00F64A6F"/>
    <w:rsid w:val="00F72A8A"/>
    <w:rsid w:val="00F839F8"/>
    <w:rsid w:val="00F97E14"/>
    <w:rsid w:val="00FA0F7B"/>
    <w:rsid w:val="00FA26F3"/>
    <w:rsid w:val="00FA717D"/>
    <w:rsid w:val="00FB4A38"/>
    <w:rsid w:val="00FC11BA"/>
    <w:rsid w:val="00FC30A2"/>
    <w:rsid w:val="00FC6722"/>
    <w:rsid w:val="00FD349F"/>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s://elibrary.ferc.gov/idmws/common/OpenNat.asp?fileID=14714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2017-11-03T00:00:00-04:00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RM17-11</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05E70F4A-87E6-4221-8D2C-3B3AA38C812D}">
  <ds:schemaRefs>
    <ds:schemaRef ds:uri="http://schemas.microsoft.com/office/infopath/2007/PartnerControls"/>
    <ds:schemaRef ds:uri="d6eefc7d-9817-4fa6-84d5-3bc009be21b8"/>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5.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4C396B-6D56-43A3-AB69-CFD533A7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RM17-11 NOPR supporting statement</vt:lpstr>
    </vt:vector>
  </TitlesOfParts>
  <Company>Federal Energy Regulatory Commission</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RM17-11 NOPR supporting statement</dc:title>
  <dc:subject/>
  <dc:creator>anthony.may@ferc.gov</dc:creator>
  <cp:keywords/>
  <cp:lastModifiedBy>SYSTEM</cp:lastModifiedBy>
  <cp:revision>2</cp:revision>
  <dcterms:created xsi:type="dcterms:W3CDTF">2017-11-03T14:02:00Z</dcterms:created>
  <dcterms:modified xsi:type="dcterms:W3CDTF">2017-11-03T14:02:00Z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