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C599E" w14:textId="77777777" w:rsidR="00C94162" w:rsidRPr="00F506E8" w:rsidRDefault="00C94162" w:rsidP="00F506E8">
      <w:pPr>
        <w:widowControl/>
        <w:tabs>
          <w:tab w:val="center" w:pos="5040"/>
        </w:tabs>
        <w:jc w:val="center"/>
      </w:pPr>
      <w:bookmarkStart w:id="0" w:name="_GoBack"/>
      <w:bookmarkEnd w:id="0"/>
      <w:r w:rsidRPr="00F506E8">
        <w:t>Supporting Statement for</w:t>
      </w:r>
    </w:p>
    <w:p w14:paraId="0F76D233" w14:textId="77777777" w:rsidR="002957B1" w:rsidRPr="00F506E8" w:rsidRDefault="00C94162" w:rsidP="00F506E8">
      <w:pPr>
        <w:widowControl/>
        <w:tabs>
          <w:tab w:val="center" w:pos="5040"/>
        </w:tabs>
        <w:jc w:val="center"/>
        <w:rPr>
          <w:b/>
        </w:rPr>
      </w:pPr>
      <w:r w:rsidRPr="00F506E8">
        <w:rPr>
          <w:b/>
          <w:bCs/>
        </w:rPr>
        <w:t>FERC-516</w:t>
      </w:r>
      <w:r w:rsidR="00D10FA7" w:rsidRPr="00F506E8">
        <w:rPr>
          <w:rStyle w:val="FootnoteReference"/>
          <w:b/>
          <w:bCs/>
          <w:vertAlign w:val="superscript"/>
        </w:rPr>
        <w:footnoteReference w:id="1"/>
      </w:r>
      <w:r w:rsidRPr="00F506E8">
        <w:rPr>
          <w:b/>
          <w:bCs/>
        </w:rPr>
        <w:t xml:space="preserve"> (Electric Rate Schedules and Tariff Filings)</w:t>
      </w:r>
      <w:r w:rsidR="002A59CE" w:rsidRPr="00F506E8">
        <w:rPr>
          <w:b/>
        </w:rPr>
        <w:t xml:space="preserve"> </w:t>
      </w:r>
    </w:p>
    <w:p w14:paraId="5C6AB329" w14:textId="77777777" w:rsidR="00C94162" w:rsidRPr="00F506E8" w:rsidRDefault="00C94162" w:rsidP="00F506E8">
      <w:pPr>
        <w:widowControl/>
        <w:tabs>
          <w:tab w:val="center" w:pos="5040"/>
        </w:tabs>
        <w:jc w:val="center"/>
        <w:rPr>
          <w:b/>
          <w:bCs/>
        </w:rPr>
      </w:pPr>
      <w:r w:rsidRPr="00F506E8">
        <w:rPr>
          <w:b/>
          <w:bCs/>
        </w:rPr>
        <w:t>As modified by the Final Rule in Docket No. RM16-6-000</w:t>
      </w:r>
      <w:r w:rsidR="002A59CE" w:rsidRPr="00F506E8">
        <w:rPr>
          <w:rStyle w:val="FootnoteReference"/>
          <w:b/>
          <w:bCs/>
          <w:vertAlign w:val="superscript"/>
        </w:rPr>
        <w:footnoteReference w:id="2"/>
      </w:r>
      <w:r w:rsidRPr="00F506E8">
        <w:rPr>
          <w:b/>
          <w:bCs/>
        </w:rPr>
        <w:t xml:space="preserve"> </w:t>
      </w:r>
    </w:p>
    <w:p w14:paraId="0468146C" w14:textId="77777777" w:rsidR="00C94162" w:rsidRPr="00F506E8" w:rsidRDefault="00C94162" w:rsidP="00F506E8">
      <w:pPr>
        <w:widowControl/>
        <w:tabs>
          <w:tab w:val="center" w:pos="5040"/>
        </w:tabs>
        <w:jc w:val="center"/>
      </w:pPr>
    </w:p>
    <w:p w14:paraId="27E4359F" w14:textId="77777777" w:rsidR="001B40E3" w:rsidRPr="001B40E3" w:rsidRDefault="00DE7A33" w:rsidP="001B40E3">
      <w:pPr>
        <w:rPr>
          <w:rFonts w:asciiTheme="minorHAnsi" w:eastAsiaTheme="minorHAnsi" w:hAnsiTheme="minorHAnsi" w:cstheme="minorBidi"/>
          <w:sz w:val="22"/>
          <w:szCs w:val="22"/>
        </w:rPr>
      </w:pPr>
      <w:r>
        <w:rPr>
          <w:rFonts w:eastAsiaTheme="minorHAnsi"/>
        </w:rPr>
        <w:t>The Federal Energy Regulatory</w:t>
      </w:r>
      <w:r w:rsidR="008C21E3" w:rsidRPr="00F506E8">
        <w:rPr>
          <w:rFonts w:eastAsiaTheme="minorHAnsi"/>
        </w:rPr>
        <w:t xml:space="preserve"> Commission (Commission or FERC) requests that the Office of Management and Budget (OMB) review and approve FERC-516 (Electric Rate Schedules and Tariff Filings) under OMB Control Number 1902-0096, as modified by the Final Rule in RM16-6-000 for a three-year period. </w:t>
      </w:r>
    </w:p>
    <w:p w14:paraId="78E9EC0D" w14:textId="77777777" w:rsidR="00C94162" w:rsidRPr="00F506E8" w:rsidRDefault="00C94162" w:rsidP="00F506E8">
      <w:pPr>
        <w:widowControl/>
        <w:autoSpaceDE/>
        <w:autoSpaceDN/>
        <w:adjustRightInd/>
        <w:rPr>
          <w:rFonts w:eastAsiaTheme="minorHAnsi"/>
        </w:rPr>
      </w:pPr>
    </w:p>
    <w:p w14:paraId="4111A004" w14:textId="77777777" w:rsidR="00C94162" w:rsidRPr="00F506E8" w:rsidRDefault="00C94162" w:rsidP="00F506E8">
      <w:pPr>
        <w:widowControl/>
      </w:pPr>
    </w:p>
    <w:p w14:paraId="5C348581" w14:textId="77777777" w:rsidR="00C94162" w:rsidRPr="00F506E8" w:rsidRDefault="00C94162" w:rsidP="00F506E8">
      <w:pPr>
        <w:widowControl/>
        <w:rPr>
          <w:b/>
        </w:rPr>
      </w:pPr>
      <w:r w:rsidRPr="00F506E8">
        <w:rPr>
          <w:b/>
        </w:rPr>
        <w:t>1.</w:t>
      </w:r>
      <w:r w:rsidRPr="00F506E8">
        <w:rPr>
          <w:b/>
        </w:rPr>
        <w:tab/>
        <w:t xml:space="preserve">CIRCUMSTANCES THAT MAKE THE COLLECTION OF INFORMATION </w:t>
      </w:r>
      <w:r w:rsidRPr="00F506E8">
        <w:rPr>
          <w:b/>
        </w:rPr>
        <w:tab/>
        <w:t>NECESSARY</w:t>
      </w:r>
    </w:p>
    <w:p w14:paraId="65F28DB6" w14:textId="77777777" w:rsidR="00C94162" w:rsidRPr="00F506E8" w:rsidRDefault="00C94162" w:rsidP="00F506E8">
      <w:pPr>
        <w:widowControl/>
        <w:ind w:left="1440"/>
        <w:rPr>
          <w:b/>
        </w:rPr>
      </w:pPr>
    </w:p>
    <w:p w14:paraId="253375E1" w14:textId="0A676F57" w:rsidR="00807287" w:rsidRPr="00807287" w:rsidRDefault="002635B3" w:rsidP="00796B2B">
      <w:r w:rsidRPr="00F506E8">
        <w:rPr>
          <w:b/>
        </w:rPr>
        <w:t xml:space="preserve">FERC-516 </w:t>
      </w:r>
      <w:r w:rsidR="009B4438">
        <w:rPr>
          <w:b/>
        </w:rPr>
        <w:t xml:space="preserve">changes due to </w:t>
      </w:r>
      <w:r w:rsidR="00C3413C" w:rsidRPr="00F506E8">
        <w:rPr>
          <w:b/>
        </w:rPr>
        <w:t>RM16-6-000</w:t>
      </w:r>
      <w:r w:rsidRPr="00F506E8">
        <w:rPr>
          <w:b/>
        </w:rPr>
        <w:t>.</w:t>
      </w:r>
      <w:r w:rsidRPr="00F506E8">
        <w:t xml:space="preserve"> </w:t>
      </w:r>
      <w:r w:rsidR="00807287" w:rsidRPr="00807287">
        <w:t xml:space="preserve">In this Final Rule, the Commission modifies the </w:t>
      </w:r>
      <w:r w:rsidR="00807287" w:rsidRPr="00807287">
        <w:rPr>
          <w:i/>
        </w:rPr>
        <w:t xml:space="preserve">pro forma </w:t>
      </w:r>
      <w:r w:rsidR="00807287" w:rsidRPr="00807287">
        <w:t xml:space="preserve">Large Generator Interconnection Agreement (LGIA) and the </w:t>
      </w:r>
      <w:r w:rsidR="00807287" w:rsidRPr="00807287">
        <w:rPr>
          <w:i/>
        </w:rPr>
        <w:t>pro forma</w:t>
      </w:r>
      <w:r w:rsidR="00807287" w:rsidRPr="00807287">
        <w:t xml:space="preserve"> Small Generator Interconnection Agreement (SGIA), pursuant to its authority under section 206 of the Federal Power Act (FPA), to ensure that rates, terms and conditions of jurisdictional service remain just and reasonable and not unduly discriminatory or preferential.</w:t>
      </w:r>
      <w:r w:rsidR="00807287" w:rsidRPr="00807287">
        <w:rPr>
          <w:b/>
          <w:vertAlign w:val="superscript"/>
        </w:rPr>
        <w:footnoteReference w:id="3"/>
      </w:r>
      <w:r w:rsidR="00807287" w:rsidRPr="00807287">
        <w:t xml:space="preserve">  The modifications require new large and small generating facilities, including both synchronous and non-synchronous, interconnecting through a LGIA or SGIA to install, maintain, and operate equipment capable of providing primary frequency response as a condition of interconnection.  </w:t>
      </w:r>
      <w:r w:rsidR="00807287" w:rsidRPr="00807287">
        <w:br/>
        <w:t xml:space="preserve">The Commission also establishes certain uniform minimum operating requirements in the </w:t>
      </w:r>
      <w:r w:rsidR="00807287" w:rsidRPr="00807287">
        <w:rPr>
          <w:i/>
        </w:rPr>
        <w:t>pro forma</w:t>
      </w:r>
      <w:r w:rsidR="00807287" w:rsidRPr="00807287">
        <w:t xml:space="preserve"> LGIA and </w:t>
      </w:r>
      <w:r w:rsidR="00807287" w:rsidRPr="00807287">
        <w:rPr>
          <w:i/>
        </w:rPr>
        <w:t>pro forma</w:t>
      </w:r>
      <w:r w:rsidR="00807287" w:rsidRPr="00807287">
        <w:t xml:space="preserve"> SGIA, including maximum droop and deadband parameters and provisions for timely and sustained response.  </w:t>
      </w:r>
    </w:p>
    <w:p w14:paraId="423E0EC2" w14:textId="77777777" w:rsidR="00807287" w:rsidRPr="00807287" w:rsidRDefault="00807287" w:rsidP="00796B2B">
      <w:r w:rsidRPr="00807287">
        <w:t xml:space="preserve">These requirements apply to newly interconnecting generation facilities that execute, or request the unexecuted filing of, an LGIA or SGIA on or after the effective date of this Final Rule.  These requirements also apply to existing large and small generating facilities that take any action that requires the submission of a new interconnection request that results in the filing of an </w:t>
      </w:r>
      <w:r w:rsidRPr="00807287">
        <w:lastRenderedPageBreak/>
        <w:t>executed or unexecuted interconnection agreement</w:t>
      </w:r>
      <w:r w:rsidRPr="00807287" w:rsidDel="007C5BB8">
        <w:t xml:space="preserve"> </w:t>
      </w:r>
      <w:r w:rsidRPr="00807287">
        <w:t>on or after the effective date of this Final Rule.  These requirements do not apply to existing generating facilities,</w:t>
      </w:r>
      <w:r w:rsidRPr="00807287">
        <w:rPr>
          <w:b/>
          <w:vertAlign w:val="superscript"/>
        </w:rPr>
        <w:footnoteReference w:id="4"/>
      </w:r>
      <w:r w:rsidRPr="00807287">
        <w:t xml:space="preserve"> a subset of combined heat and power (CHP) facilities, or generating facilities regulated by the Nuclear Regulatory Commission (NRC).  In addition, the Commission does not impose a headroom requirement for new generating facilities, and does not mandate that new generating facilities receive compensation for complying with the primary frequency response requirements.</w:t>
      </w:r>
    </w:p>
    <w:p w14:paraId="61C8F008" w14:textId="77777777" w:rsidR="00807287" w:rsidRPr="00807287" w:rsidRDefault="00807287" w:rsidP="00796B2B">
      <w:r w:rsidRPr="00807287">
        <w:t xml:space="preserve">The modifications address the Commission’s concerns that the existing </w:t>
      </w:r>
      <w:r w:rsidRPr="00807287">
        <w:rPr>
          <w:i/>
        </w:rPr>
        <w:t>pro forma</w:t>
      </w:r>
      <w:r w:rsidRPr="00807287">
        <w:t xml:space="preserve"> LGIA contains limited primary frequency response requirements that apply only to synchronous generating facilities and do not account for recent technological advancements that now enable new non-synchronous generating facilities to have primary frequency response capabilities.  Further, the Commission believes that it is unduly discriminatory or preferential to impose primary frequency response requirements only on new large generating facilities but not on new small generating facilities.  The reforms adopted here impose comparable primary frequency response requirements on both new large and small generating facilities.</w:t>
      </w:r>
    </w:p>
    <w:p w14:paraId="37AF3E27" w14:textId="28ED9ACA" w:rsidR="00CE1E20" w:rsidRPr="00F506E8" w:rsidRDefault="00CE1E20" w:rsidP="00F506E8"/>
    <w:p w14:paraId="58F01DC8" w14:textId="13B2F92E" w:rsidR="00CE1E20" w:rsidRPr="00F506E8" w:rsidRDefault="00A27680" w:rsidP="00F506E8">
      <w:r>
        <w:rPr>
          <w:b/>
        </w:rPr>
        <w:t>FERC-516 components not affected by RM16-6-000</w:t>
      </w:r>
      <w:r w:rsidR="00CE1E20" w:rsidRPr="00F506E8">
        <w:rPr>
          <w:b/>
        </w:rPr>
        <w:t xml:space="preserve">.  </w:t>
      </w:r>
      <w:r w:rsidR="00CE1E20" w:rsidRPr="00F506E8">
        <w:t>The Federal Power Act Section 205</w:t>
      </w:r>
      <w:r w:rsidR="00CE1E20" w:rsidRPr="00F506E8">
        <w:rPr>
          <w:rStyle w:val="FootnoteReference"/>
          <w:vertAlign w:val="superscript"/>
        </w:rPr>
        <w:footnoteReference w:id="5"/>
      </w:r>
      <w:r w:rsidR="00CE1E20" w:rsidRPr="00F506E8">
        <w:t xml:space="preserve"> requires the Federal Energy Regulatory Commission to ensure that the rates and charges for the wholesale sale of electric energy are just and reasonable.  Section 205 also requires that the rules and regulations affecting or pertaining to the rates and charges for the wholesale sale of electric energy be just and reasonable.  </w:t>
      </w:r>
    </w:p>
    <w:p w14:paraId="0EB363AA" w14:textId="77777777" w:rsidR="00C94162" w:rsidRPr="00F506E8" w:rsidRDefault="00C94162" w:rsidP="00F506E8">
      <w:pPr>
        <w:pStyle w:val="FERCparanumber"/>
        <w:numPr>
          <w:ilvl w:val="0"/>
          <w:numId w:val="0"/>
        </w:numPr>
        <w:tabs>
          <w:tab w:val="left" w:pos="720"/>
          <w:tab w:val="left" w:pos="4860"/>
        </w:tabs>
        <w:rPr>
          <w:sz w:val="24"/>
        </w:rPr>
      </w:pPr>
    </w:p>
    <w:p w14:paraId="13033AB7" w14:textId="77777777" w:rsidR="00C94162" w:rsidRPr="00F506E8" w:rsidRDefault="00C94162" w:rsidP="00F506E8">
      <w:pPr>
        <w:pStyle w:val="FERCparanumber"/>
        <w:numPr>
          <w:ilvl w:val="0"/>
          <w:numId w:val="2"/>
        </w:numPr>
        <w:tabs>
          <w:tab w:val="left" w:pos="720"/>
          <w:tab w:val="left" w:pos="4860"/>
        </w:tabs>
        <w:rPr>
          <w:sz w:val="24"/>
        </w:rPr>
      </w:pPr>
      <w:r w:rsidRPr="00F506E8">
        <w:rPr>
          <w:b/>
          <w:sz w:val="24"/>
        </w:rPr>
        <w:t>HOW, BY WHOM AND FOR WHAT PURPOSE IS THE INFORMATION USED AND THE CONSEQUENCES OF NOT COLLECTING THE INFORMATION</w:t>
      </w:r>
    </w:p>
    <w:p w14:paraId="7DF03CAB" w14:textId="77777777" w:rsidR="00C94162" w:rsidRPr="00F506E8" w:rsidRDefault="00C94162" w:rsidP="00F506E8">
      <w:pPr>
        <w:pStyle w:val="FERCparanumber"/>
        <w:numPr>
          <w:ilvl w:val="0"/>
          <w:numId w:val="0"/>
        </w:numPr>
        <w:tabs>
          <w:tab w:val="left" w:pos="720"/>
          <w:tab w:val="left" w:pos="4860"/>
        </w:tabs>
        <w:rPr>
          <w:b/>
          <w:sz w:val="24"/>
        </w:rPr>
      </w:pPr>
    </w:p>
    <w:p w14:paraId="04546330" w14:textId="77777777" w:rsidR="00D223E0" w:rsidRPr="00F506E8" w:rsidRDefault="009B4438" w:rsidP="00F506E8">
      <w:r>
        <w:rPr>
          <w:b/>
        </w:rPr>
        <w:t>FERC-516 changes due to RM16-6-000</w:t>
      </w:r>
      <w:r w:rsidR="00A10D2D" w:rsidRPr="00F506E8">
        <w:rPr>
          <w:b/>
        </w:rPr>
        <w:t>.</w:t>
      </w:r>
      <w:r w:rsidR="00A10D2D" w:rsidRPr="00F506E8">
        <w:t xml:space="preserve"> </w:t>
      </w:r>
      <w:r w:rsidR="003E06B1" w:rsidRPr="00F506E8">
        <w:t xml:space="preserve"> In this Final Rule, the Commission modifies the </w:t>
      </w:r>
      <w:r w:rsidR="003E06B1" w:rsidRPr="00F506E8">
        <w:rPr>
          <w:i/>
        </w:rPr>
        <w:t xml:space="preserve">pro forma </w:t>
      </w:r>
      <w:r w:rsidR="003E06B1" w:rsidRPr="00F506E8">
        <w:t xml:space="preserve">Large Generator Interconnection Agreement (LGIA) and the </w:t>
      </w:r>
      <w:r w:rsidR="003E06B1" w:rsidRPr="00F506E8">
        <w:rPr>
          <w:i/>
        </w:rPr>
        <w:t>pro forma</w:t>
      </w:r>
      <w:r w:rsidR="003E06B1" w:rsidRPr="00F506E8">
        <w:t xml:space="preserve"> Small Generator Interconnection Agreement (SGIA), pursuant to its authority under section 206 of the Federal Power Act (FPA), to ensure that rates, terms and conditions of jurisdictional service remain just and reasonable and not unduly discriminatory or preferential.</w:t>
      </w:r>
      <w:r w:rsidR="003E06B1" w:rsidRPr="00F506E8">
        <w:rPr>
          <w:rStyle w:val="FootnoteReference"/>
          <w:vertAlign w:val="superscript"/>
        </w:rPr>
        <w:footnoteReference w:id="6"/>
      </w:r>
      <w:r w:rsidR="003E06B1" w:rsidRPr="00F506E8">
        <w:t xml:space="preserve">  </w:t>
      </w:r>
      <w:r w:rsidR="00567A7B">
        <w:t xml:space="preserve">If this information </w:t>
      </w:r>
      <w:r w:rsidR="00346558">
        <w:t xml:space="preserve">is </w:t>
      </w:r>
      <w:r w:rsidR="00567A7B">
        <w:t xml:space="preserve">not collected the Commission would not be </w:t>
      </w:r>
      <w:r w:rsidR="00BE66A4">
        <w:t xml:space="preserve">able </w:t>
      </w:r>
      <w:r w:rsidR="00567A7B">
        <w:t xml:space="preserve">to ensure that rates are just and reasonable. </w:t>
      </w:r>
    </w:p>
    <w:p w14:paraId="346DCDAE" w14:textId="77777777" w:rsidR="00CE1E20" w:rsidRPr="00F506E8" w:rsidRDefault="00CE1E20" w:rsidP="00F506E8"/>
    <w:p w14:paraId="73784A40" w14:textId="0F7869F2" w:rsidR="00CE1E20" w:rsidRPr="00F506E8" w:rsidRDefault="00A27680" w:rsidP="00F506E8">
      <w:r>
        <w:rPr>
          <w:b/>
        </w:rPr>
        <w:t>FERC-516 components not affected by RM16-6-000</w:t>
      </w:r>
      <w:r w:rsidR="00A10D2D" w:rsidRPr="00F506E8">
        <w:rPr>
          <w:b/>
        </w:rPr>
        <w:t xml:space="preserve">.  </w:t>
      </w:r>
      <w:r w:rsidR="00CE1E20" w:rsidRPr="00F506E8">
        <w:t>The requirements in th</w:t>
      </w:r>
      <w:r w:rsidR="001C7A97" w:rsidRPr="00F506E8">
        <w:t>is</w:t>
      </w:r>
      <w:r w:rsidR="00CE1E20" w:rsidRPr="00F506E8">
        <w:t xml:space="preserve"> information collection</w:t>
      </w:r>
      <w:r w:rsidR="00DD7344">
        <w:t xml:space="preserve"> (tariff filings)</w:t>
      </w:r>
      <w:r w:rsidR="00CE1E20" w:rsidRPr="00F506E8">
        <w:t xml:space="preserve"> are the minimum necessary to comply with the statutes.  If this information was not collected or retained, there would be no data available to determine </w:t>
      </w:r>
      <w:r w:rsidR="000B5B8B">
        <w:t>if rates were</w:t>
      </w:r>
      <w:r w:rsidR="0055630C" w:rsidRPr="00F506E8">
        <w:t xml:space="preserve"> just and reasonable.    </w:t>
      </w:r>
    </w:p>
    <w:p w14:paraId="68C5625F" w14:textId="77777777" w:rsidR="00CE1E20" w:rsidRPr="00F506E8" w:rsidRDefault="00CE1E20" w:rsidP="00F506E8"/>
    <w:p w14:paraId="775BD0B7" w14:textId="77777777" w:rsidR="00C94162" w:rsidRPr="00F506E8" w:rsidRDefault="00C94162" w:rsidP="00F506E8">
      <w:pPr>
        <w:widowControl/>
        <w:numPr>
          <w:ilvl w:val="0"/>
          <w:numId w:val="2"/>
        </w:numPr>
      </w:pPr>
      <w:r w:rsidRPr="00F506E8">
        <w:rPr>
          <w:b/>
        </w:rPr>
        <w:t>DESCRIBE ANY CONSIDERATION OF THE USE OF IMPROVED INFORMATION TECHNOLOGY TO REDUCE BURDEN AND THE TECHNICAL OR LEGAL OBSTACLES TO REDUCING BURDEN</w:t>
      </w:r>
    </w:p>
    <w:p w14:paraId="18630680" w14:textId="77777777" w:rsidR="00C94162" w:rsidRPr="00F506E8" w:rsidRDefault="00C94162" w:rsidP="00F506E8"/>
    <w:p w14:paraId="29FD2675" w14:textId="77777777" w:rsidR="00DD7344" w:rsidRPr="00DD7344" w:rsidRDefault="00567A7B" w:rsidP="00DD7344">
      <w:r>
        <w:t xml:space="preserve">All parts of Information Collection FERC-516 can be filed through eTariff. </w:t>
      </w:r>
      <w:r w:rsidR="00DD7344" w:rsidRPr="00DD7344">
        <w:t xml:space="preserve">FERC implemented its eTariff system (fully implemented in 2010) for the electronic filing of tariffs.  More information on eTariff is posted at </w:t>
      </w:r>
      <w:hyperlink r:id="rId14" w:history="1">
        <w:r w:rsidR="00DD7344" w:rsidRPr="00DD7344">
          <w:rPr>
            <w:rStyle w:val="Hyperlink"/>
          </w:rPr>
          <w:t>https://www.ferc.gov/docs-filing/etariff.asp</w:t>
        </w:r>
      </w:hyperlink>
      <w:r w:rsidR="00DD7344" w:rsidRPr="00DD7344">
        <w:t>.</w:t>
      </w:r>
    </w:p>
    <w:p w14:paraId="2A5BC15D" w14:textId="77777777" w:rsidR="00CE1E20" w:rsidRPr="00F506E8" w:rsidRDefault="00CE1E20" w:rsidP="00F506E8"/>
    <w:p w14:paraId="1D15D864" w14:textId="77777777" w:rsidR="00C94162" w:rsidRPr="00F506E8" w:rsidRDefault="00C94162" w:rsidP="00F506E8">
      <w:pPr>
        <w:pStyle w:val="FERCparanumber"/>
        <w:numPr>
          <w:ilvl w:val="0"/>
          <w:numId w:val="2"/>
        </w:numPr>
        <w:rPr>
          <w:sz w:val="24"/>
        </w:rPr>
      </w:pPr>
      <w:r w:rsidRPr="00F506E8">
        <w:rPr>
          <w:b/>
          <w:sz w:val="24"/>
        </w:rPr>
        <w:t>DESCRIBE EFFORTS TO IDENTIFY DUPLICATON AND SHOW SPECIFICALLY WHY ANY SIMILAR INFORMATION ALREADY AVAILABLE CANNOT BE USED OR MODIFIED FOR USE FOR THE PURPOSE(S) DESCRIBED IN INSTRUCTION NO. 2.</w:t>
      </w:r>
    </w:p>
    <w:p w14:paraId="6A1B325E" w14:textId="77777777" w:rsidR="00C94162" w:rsidRPr="00F506E8" w:rsidRDefault="00C94162" w:rsidP="00F506E8">
      <w:pPr>
        <w:pStyle w:val="FERCparanumber"/>
        <w:numPr>
          <w:ilvl w:val="0"/>
          <w:numId w:val="0"/>
        </w:numPr>
        <w:rPr>
          <w:b/>
          <w:sz w:val="24"/>
        </w:rPr>
      </w:pPr>
    </w:p>
    <w:p w14:paraId="30682946" w14:textId="77777777" w:rsidR="00CE1E20" w:rsidRPr="00F506E8" w:rsidRDefault="00CE1E20" w:rsidP="00F506E8">
      <w:r w:rsidRPr="00F506E8">
        <w:t xml:space="preserve">FERC rules and data requirements are periodically reviewed in conjunction with OMB clearance expiration dates.  This includes a review of FERC's regulations and data requirements to identify duplication.  The information to be submitted, generated, retained, or posted, pursuant to this Final Rule are not readily available from other sources. </w:t>
      </w:r>
    </w:p>
    <w:p w14:paraId="27043634" w14:textId="77777777" w:rsidR="00C94162" w:rsidRPr="00F506E8" w:rsidRDefault="00C94162" w:rsidP="00F506E8">
      <w:pPr>
        <w:pStyle w:val="FERCparanumber"/>
        <w:numPr>
          <w:ilvl w:val="0"/>
          <w:numId w:val="0"/>
        </w:numPr>
        <w:rPr>
          <w:sz w:val="24"/>
        </w:rPr>
      </w:pPr>
    </w:p>
    <w:p w14:paraId="67A01F36" w14:textId="77777777" w:rsidR="00C94162" w:rsidRPr="00F506E8" w:rsidRDefault="00C94162" w:rsidP="00F506E8">
      <w:pPr>
        <w:pStyle w:val="FERCparanumber"/>
        <w:numPr>
          <w:ilvl w:val="0"/>
          <w:numId w:val="2"/>
        </w:numPr>
        <w:rPr>
          <w:sz w:val="24"/>
        </w:rPr>
      </w:pPr>
      <w:r w:rsidRPr="00F506E8">
        <w:rPr>
          <w:b/>
          <w:sz w:val="24"/>
        </w:rPr>
        <w:t>METHODS USED TO MINIMIZE BURDEN IN COLLECTION OF INFORMATION INVOLVING SMALL ENTITIES</w:t>
      </w:r>
      <w:r w:rsidRPr="00F506E8">
        <w:rPr>
          <w:sz w:val="24"/>
        </w:rPr>
        <w:t xml:space="preserve"> </w:t>
      </w:r>
    </w:p>
    <w:p w14:paraId="04DA4EE9" w14:textId="77777777" w:rsidR="00C94162" w:rsidRPr="00F506E8" w:rsidRDefault="00C94162" w:rsidP="00F506E8">
      <w:pPr>
        <w:widowControl/>
        <w:ind w:left="1440"/>
      </w:pPr>
    </w:p>
    <w:p w14:paraId="4611F086" w14:textId="25AA5FA7" w:rsidR="003E06B1" w:rsidRPr="00F506E8" w:rsidRDefault="009B4438" w:rsidP="00020888">
      <w:pPr>
        <w:pStyle w:val="FERCparanumber"/>
        <w:numPr>
          <w:ilvl w:val="0"/>
          <w:numId w:val="0"/>
        </w:numPr>
        <w:rPr>
          <w:sz w:val="24"/>
        </w:rPr>
      </w:pPr>
      <w:r>
        <w:rPr>
          <w:b/>
          <w:sz w:val="24"/>
        </w:rPr>
        <w:t>FERC-516 changes due to RM16-6-000</w:t>
      </w:r>
      <w:r w:rsidR="00DB203D" w:rsidRPr="00F506E8">
        <w:rPr>
          <w:b/>
          <w:sz w:val="24"/>
        </w:rPr>
        <w:t xml:space="preserve">.  </w:t>
      </w:r>
      <w:r w:rsidR="003E06B1" w:rsidRPr="00F506E8">
        <w:rPr>
          <w:sz w:val="24"/>
        </w:rPr>
        <w:t>The Commission estimates that the total number of public utility transmission providers that would have to modify the LGIAs and SGIAs within their currently effective</w:t>
      </w:r>
      <w:r w:rsidR="00020888">
        <w:rPr>
          <w:sz w:val="24"/>
        </w:rPr>
        <w:t xml:space="preserve"> Open Access Transmission Tariff</w:t>
      </w:r>
      <w:r w:rsidR="003E06B1" w:rsidRPr="00F506E8">
        <w:rPr>
          <w:sz w:val="24"/>
        </w:rPr>
        <w:t xml:space="preserve"> </w:t>
      </w:r>
      <w:r w:rsidR="00020888">
        <w:rPr>
          <w:sz w:val="24"/>
        </w:rPr>
        <w:t>(</w:t>
      </w:r>
      <w:r w:rsidR="003E06B1" w:rsidRPr="00F506E8">
        <w:rPr>
          <w:sz w:val="24"/>
        </w:rPr>
        <w:t>OATTs</w:t>
      </w:r>
      <w:r w:rsidR="00020888">
        <w:rPr>
          <w:sz w:val="24"/>
        </w:rPr>
        <w:t>)</w:t>
      </w:r>
      <w:r w:rsidR="003E06B1" w:rsidRPr="00F506E8">
        <w:rPr>
          <w:sz w:val="24"/>
        </w:rPr>
        <w:t xml:space="preserve"> is 74.</w:t>
      </w:r>
      <w:r w:rsidR="003E06B1" w:rsidRPr="005C0272">
        <w:rPr>
          <w:rStyle w:val="FootnoteReference"/>
          <w:b/>
          <w:sz w:val="24"/>
          <w:vertAlign w:val="superscript"/>
        </w:rPr>
        <w:footnoteReference w:id="7"/>
      </w:r>
      <w:r w:rsidR="003E06B1" w:rsidRPr="005C0272">
        <w:rPr>
          <w:b/>
          <w:sz w:val="24"/>
          <w:vertAlign w:val="superscript"/>
        </w:rPr>
        <w:t xml:space="preserve"> </w:t>
      </w:r>
      <w:r w:rsidR="003E06B1" w:rsidRPr="00F506E8">
        <w:rPr>
          <w:sz w:val="24"/>
        </w:rPr>
        <w:t xml:space="preserve"> Of these, the Commission estimates that approximately 27.5 percent are small</w:t>
      </w:r>
      <w:r w:rsidR="00934B3E" w:rsidRPr="00346558">
        <w:rPr>
          <w:b/>
          <w:vertAlign w:val="superscript"/>
        </w:rPr>
        <w:footnoteReference w:id="8"/>
      </w:r>
      <w:r w:rsidR="003E06B1" w:rsidRPr="00F506E8">
        <w:rPr>
          <w:sz w:val="24"/>
        </w:rPr>
        <w:t xml:space="preserve"> entities.</w:t>
      </w:r>
      <w:r w:rsidR="000B5B8B">
        <w:rPr>
          <w:sz w:val="24"/>
        </w:rPr>
        <w:t xml:space="preserve"> </w:t>
      </w:r>
      <w:r w:rsidR="003E06B1" w:rsidRPr="00F506E8">
        <w:rPr>
          <w:sz w:val="24"/>
        </w:rPr>
        <w:t>The Commission estimates the average cost to each of these entities would be minimal, requiring on average 10 hours or $765.00.  According to SBA guidance, the determination of significance of impact “should be seen as relative to the size of the business, the size of the competitor’s business, and the impact the regulation has on larger competitors.”</w:t>
      </w:r>
      <w:r w:rsidR="003E06B1" w:rsidRPr="00F506E8">
        <w:rPr>
          <w:b/>
          <w:sz w:val="24"/>
          <w:vertAlign w:val="superscript"/>
        </w:rPr>
        <w:footnoteReference w:id="9"/>
      </w:r>
      <w:r w:rsidR="003E06B1" w:rsidRPr="00F506E8">
        <w:rPr>
          <w:sz w:val="24"/>
        </w:rPr>
        <w:t xml:space="preserve">  </w:t>
      </w:r>
    </w:p>
    <w:p w14:paraId="39452124" w14:textId="77777777" w:rsidR="00D65A67" w:rsidRPr="00F506E8" w:rsidRDefault="00D65A67" w:rsidP="00F506E8">
      <w:pPr>
        <w:pStyle w:val="FERCparanumber"/>
        <w:numPr>
          <w:ilvl w:val="0"/>
          <w:numId w:val="0"/>
        </w:numPr>
        <w:autoSpaceDE w:val="0"/>
        <w:autoSpaceDN w:val="0"/>
        <w:adjustRightInd w:val="0"/>
        <w:rPr>
          <w:sz w:val="24"/>
        </w:rPr>
      </w:pPr>
    </w:p>
    <w:p w14:paraId="2C154177" w14:textId="4D0B2796" w:rsidR="00C94162" w:rsidRDefault="00B248D7" w:rsidP="005C0272">
      <w:pPr>
        <w:pStyle w:val="FERCparanumber"/>
        <w:numPr>
          <w:ilvl w:val="0"/>
          <w:numId w:val="0"/>
        </w:numPr>
        <w:autoSpaceDE w:val="0"/>
        <w:autoSpaceDN w:val="0"/>
        <w:adjustRightInd w:val="0"/>
        <w:rPr>
          <w:sz w:val="24"/>
        </w:rPr>
      </w:pPr>
      <w:r>
        <w:rPr>
          <w:sz w:val="24"/>
        </w:rPr>
        <w:t xml:space="preserve">The final rule applies to new generating facilities that execute or request the </w:t>
      </w:r>
      <w:r w:rsidRPr="00B248D7">
        <w:rPr>
          <w:sz w:val="24"/>
        </w:rPr>
        <w:t>unexecuted filing of interconnection agreements on or after the effective date of any Final Rule issued.</w:t>
      </w:r>
      <w:r w:rsidRPr="00B248D7">
        <w:rPr>
          <w:b/>
          <w:sz w:val="24"/>
          <w:vertAlign w:val="superscript"/>
        </w:rPr>
        <w:footnoteReference w:id="10"/>
      </w:r>
      <w:r>
        <w:rPr>
          <w:sz w:val="24"/>
        </w:rPr>
        <w:t xml:space="preserve">  This rule </w:t>
      </w:r>
      <w:r w:rsidRPr="00B248D7">
        <w:rPr>
          <w:sz w:val="24"/>
        </w:rPr>
        <w:t>appl</w:t>
      </w:r>
      <w:r>
        <w:rPr>
          <w:sz w:val="24"/>
        </w:rPr>
        <w:t>ies to</w:t>
      </w:r>
      <w:r w:rsidRPr="00B248D7">
        <w:rPr>
          <w:sz w:val="24"/>
        </w:rPr>
        <w:t xml:space="preserve"> the requirements to any large or small generating facility that has an executed or has requested the filing of an unexecuted L</w:t>
      </w:r>
      <w:r w:rsidR="00020888">
        <w:rPr>
          <w:sz w:val="24"/>
        </w:rPr>
        <w:t xml:space="preserve">arge </w:t>
      </w:r>
      <w:r w:rsidRPr="00B248D7">
        <w:rPr>
          <w:sz w:val="24"/>
        </w:rPr>
        <w:t>G</w:t>
      </w:r>
      <w:r w:rsidR="00020888">
        <w:rPr>
          <w:sz w:val="24"/>
        </w:rPr>
        <w:t xml:space="preserve">enerator </w:t>
      </w:r>
      <w:r w:rsidRPr="00B248D7">
        <w:rPr>
          <w:sz w:val="24"/>
        </w:rPr>
        <w:t>I</w:t>
      </w:r>
      <w:r w:rsidR="00020888">
        <w:rPr>
          <w:sz w:val="24"/>
        </w:rPr>
        <w:t xml:space="preserve">nterconnection </w:t>
      </w:r>
      <w:r w:rsidRPr="00B248D7">
        <w:rPr>
          <w:sz w:val="24"/>
        </w:rPr>
        <w:t>A</w:t>
      </w:r>
      <w:r w:rsidR="00020888">
        <w:rPr>
          <w:sz w:val="24"/>
        </w:rPr>
        <w:t>greement (LGIA)</w:t>
      </w:r>
      <w:r w:rsidRPr="00B248D7">
        <w:rPr>
          <w:sz w:val="24"/>
        </w:rPr>
        <w:t xml:space="preserve"> or S</w:t>
      </w:r>
      <w:r w:rsidR="00020888">
        <w:rPr>
          <w:sz w:val="24"/>
        </w:rPr>
        <w:t xml:space="preserve">mall </w:t>
      </w:r>
      <w:r w:rsidRPr="00B248D7">
        <w:rPr>
          <w:sz w:val="24"/>
        </w:rPr>
        <w:t>G</w:t>
      </w:r>
      <w:r w:rsidR="00020888">
        <w:rPr>
          <w:sz w:val="24"/>
        </w:rPr>
        <w:t xml:space="preserve">enerator </w:t>
      </w:r>
      <w:r w:rsidRPr="00B248D7">
        <w:rPr>
          <w:sz w:val="24"/>
        </w:rPr>
        <w:t>I</w:t>
      </w:r>
      <w:r w:rsidR="00020888">
        <w:rPr>
          <w:sz w:val="24"/>
        </w:rPr>
        <w:t xml:space="preserve">nterconnection </w:t>
      </w:r>
      <w:r w:rsidRPr="00B248D7">
        <w:rPr>
          <w:sz w:val="24"/>
        </w:rPr>
        <w:t>A</w:t>
      </w:r>
      <w:r w:rsidR="00020888">
        <w:rPr>
          <w:sz w:val="24"/>
        </w:rPr>
        <w:t>greement (SGIA)</w:t>
      </w:r>
      <w:r w:rsidRPr="00B248D7">
        <w:rPr>
          <w:sz w:val="24"/>
        </w:rPr>
        <w:t xml:space="preserve"> as of the effective date of any Final Rule, but that takes any action that requires the submission of a new interconnection request on or after the effective date of any Final Rule.</w:t>
      </w:r>
    </w:p>
    <w:p w14:paraId="467D2E79" w14:textId="77777777" w:rsidR="00D202CF" w:rsidRDefault="00D202CF" w:rsidP="005C0272">
      <w:pPr>
        <w:pStyle w:val="FERCparanumber"/>
        <w:numPr>
          <w:ilvl w:val="0"/>
          <w:numId w:val="0"/>
        </w:numPr>
        <w:autoSpaceDE w:val="0"/>
        <w:autoSpaceDN w:val="0"/>
        <w:adjustRightInd w:val="0"/>
        <w:rPr>
          <w:sz w:val="24"/>
        </w:rPr>
      </w:pPr>
    </w:p>
    <w:p w14:paraId="4B6CB34B" w14:textId="7F60DEB4" w:rsidR="00D202CF" w:rsidRPr="005C0272" w:rsidRDefault="00A27680" w:rsidP="005C0272">
      <w:pPr>
        <w:pStyle w:val="FERCparanumber"/>
        <w:numPr>
          <w:ilvl w:val="0"/>
          <w:numId w:val="0"/>
        </w:numPr>
        <w:autoSpaceDE w:val="0"/>
        <w:autoSpaceDN w:val="0"/>
        <w:adjustRightInd w:val="0"/>
        <w:rPr>
          <w:b/>
        </w:rPr>
      </w:pPr>
      <w:r>
        <w:rPr>
          <w:b/>
          <w:sz w:val="24"/>
        </w:rPr>
        <w:t>FERC-516 components not affected by RM16-6-000</w:t>
      </w:r>
      <w:r w:rsidR="00D202CF" w:rsidRPr="00992A82">
        <w:rPr>
          <w:sz w:val="24"/>
        </w:rPr>
        <w:t>.</w:t>
      </w:r>
      <w:r w:rsidR="00992A82">
        <w:rPr>
          <w:sz w:val="24"/>
        </w:rPr>
        <w:t xml:space="preserve"> Existing generating facilities, a subset of combined heat and power (CHP) facilities, or generating facilities regulated by the Nuclear Regulatory Commission are not affected by this rule.</w:t>
      </w:r>
    </w:p>
    <w:p w14:paraId="24272E32" w14:textId="77777777" w:rsidR="00C94162" w:rsidRPr="00F506E8" w:rsidRDefault="00C94162" w:rsidP="00F506E8">
      <w:pPr>
        <w:pStyle w:val="FERCparanumber"/>
        <w:numPr>
          <w:ilvl w:val="0"/>
          <w:numId w:val="0"/>
        </w:numPr>
        <w:tabs>
          <w:tab w:val="num" w:pos="0"/>
        </w:tabs>
        <w:jc w:val="center"/>
        <w:rPr>
          <w:sz w:val="24"/>
        </w:rPr>
      </w:pPr>
    </w:p>
    <w:p w14:paraId="0E2407DD" w14:textId="77777777" w:rsidR="00C94162" w:rsidRPr="00F506E8" w:rsidRDefault="00C94162" w:rsidP="00F506E8">
      <w:pPr>
        <w:pStyle w:val="FERCparanumber"/>
        <w:numPr>
          <w:ilvl w:val="0"/>
          <w:numId w:val="2"/>
        </w:numPr>
        <w:rPr>
          <w:sz w:val="24"/>
        </w:rPr>
      </w:pPr>
      <w:r w:rsidRPr="00F506E8">
        <w:rPr>
          <w:b/>
          <w:sz w:val="24"/>
        </w:rPr>
        <w:t>CONSEQUENCE TO FEDERAL PROGRAM IF COLLECTION WERE CONDUCTED LESS FREQUENTLY</w:t>
      </w:r>
    </w:p>
    <w:p w14:paraId="174E58A5" w14:textId="77777777" w:rsidR="00C94162" w:rsidRPr="00F506E8" w:rsidRDefault="00C94162" w:rsidP="00F506E8">
      <w:pPr>
        <w:pStyle w:val="FERCparanumber"/>
        <w:numPr>
          <w:ilvl w:val="0"/>
          <w:numId w:val="0"/>
        </w:numPr>
        <w:rPr>
          <w:b/>
          <w:sz w:val="24"/>
        </w:rPr>
      </w:pPr>
    </w:p>
    <w:p w14:paraId="33AB5DA0" w14:textId="77777777" w:rsidR="00FE375D" w:rsidRPr="00F506E8" w:rsidRDefault="009B4438" w:rsidP="00F506E8">
      <w:r>
        <w:rPr>
          <w:b/>
        </w:rPr>
        <w:t>FERC-516 changes due to RM16-6-000</w:t>
      </w:r>
      <w:r w:rsidR="00DB203D" w:rsidRPr="00F506E8">
        <w:rPr>
          <w:b/>
        </w:rPr>
        <w:t>.</w:t>
      </w:r>
      <w:r w:rsidR="000D5108" w:rsidRPr="00F506E8">
        <w:rPr>
          <w:b/>
        </w:rPr>
        <w:t xml:space="preserve"> </w:t>
      </w:r>
      <w:r w:rsidR="00FE375D" w:rsidRPr="00F506E8">
        <w:t>The modifications require new large and small generating facilities, including both synchronous and non-synchronous, interconnecting through a LGIA or SGIA</w:t>
      </w:r>
      <w:r w:rsidR="00AD3D1E">
        <w:t>,</w:t>
      </w:r>
      <w:r w:rsidR="00FE375D" w:rsidRPr="00F506E8">
        <w:t xml:space="preserve"> to install, maintain, and operate equipment capable of providing primary frequency response as a condition of interconnection. </w:t>
      </w:r>
      <w:r w:rsidR="00D202CF">
        <w:t xml:space="preserve"> Without this information, the Commission would be unable to meet its statutory responsibility under section 206 of the Federal Power Act (FPA), to ensure that rates, terms and conditions of jurisdictional service remain just and reasonable and not unduly discriminatory or preferential. </w:t>
      </w:r>
    </w:p>
    <w:p w14:paraId="503398FE" w14:textId="77777777" w:rsidR="00DB203D" w:rsidRPr="00F506E8" w:rsidRDefault="00DB203D" w:rsidP="00F506E8">
      <w:pPr>
        <w:rPr>
          <w:b/>
        </w:rPr>
      </w:pPr>
    </w:p>
    <w:p w14:paraId="66812841" w14:textId="0F2EEC01" w:rsidR="00DF0F66" w:rsidRPr="00F506E8" w:rsidRDefault="00A27680" w:rsidP="00F506E8">
      <w:pPr>
        <w:rPr>
          <w:b/>
        </w:rPr>
      </w:pPr>
      <w:r>
        <w:rPr>
          <w:b/>
        </w:rPr>
        <w:t>FERC-516 components not affected by RM16-6-000</w:t>
      </w:r>
      <w:r w:rsidR="00A10D2D" w:rsidRPr="00F506E8">
        <w:t xml:space="preserve">.  </w:t>
      </w:r>
      <w:r w:rsidR="00DF0F66" w:rsidRPr="00F506E8">
        <w:t>FERC requires this information in order to perform its mandated oversight and review responsibilities with respect to electric market-based rates being just and reasonable.  Without this information, the Commission would be unable to meet its statutory responsibility under Section 205 of the FPA to ensure electric utility rates and tariffs are just and reasonable.  Failing to meet this responsibility could result in public utilities charging rates that are not just and reasonable.</w:t>
      </w:r>
    </w:p>
    <w:p w14:paraId="03F2399B" w14:textId="77777777" w:rsidR="00C94162" w:rsidRPr="00F506E8" w:rsidRDefault="00C94162" w:rsidP="00F506E8">
      <w:pPr>
        <w:pStyle w:val="FERCparanumber"/>
        <w:numPr>
          <w:ilvl w:val="0"/>
          <w:numId w:val="0"/>
        </w:numPr>
        <w:rPr>
          <w:sz w:val="24"/>
        </w:rPr>
      </w:pPr>
    </w:p>
    <w:p w14:paraId="7E98A9AD" w14:textId="77777777" w:rsidR="00C94162" w:rsidRPr="00DD7344" w:rsidRDefault="00C94162" w:rsidP="00F506E8">
      <w:pPr>
        <w:pStyle w:val="FERCparanumber"/>
        <w:numPr>
          <w:ilvl w:val="0"/>
          <w:numId w:val="2"/>
        </w:numPr>
        <w:rPr>
          <w:sz w:val="24"/>
        </w:rPr>
      </w:pPr>
      <w:r w:rsidRPr="00DD7344">
        <w:rPr>
          <w:b/>
          <w:sz w:val="24"/>
        </w:rPr>
        <w:t>EXPLAIN ANY SPECIAL CIRCUMSTANCES RELATING TO THE INFORMATION</w:t>
      </w:r>
    </w:p>
    <w:p w14:paraId="41B23ECB" w14:textId="77777777" w:rsidR="00C94162" w:rsidRPr="00F506E8" w:rsidRDefault="00C94162" w:rsidP="00F506E8">
      <w:pPr>
        <w:pStyle w:val="FERCparanumber"/>
        <w:numPr>
          <w:ilvl w:val="0"/>
          <w:numId w:val="0"/>
        </w:numPr>
        <w:rPr>
          <w:b/>
          <w:sz w:val="24"/>
        </w:rPr>
      </w:pPr>
    </w:p>
    <w:p w14:paraId="6E1FCFC7" w14:textId="77777777" w:rsidR="00DF0F66" w:rsidRPr="00F506E8" w:rsidRDefault="00A10D2D" w:rsidP="00F506E8">
      <w:r w:rsidRPr="00F506E8">
        <w:rPr>
          <w:b/>
        </w:rPr>
        <w:t>FERC-516</w:t>
      </w:r>
      <w:r w:rsidRPr="00F506E8">
        <w:t xml:space="preserve">.  </w:t>
      </w:r>
      <w:r w:rsidR="00C94162" w:rsidRPr="00F506E8">
        <w:t xml:space="preserve">There are no special circumstances relating to </w:t>
      </w:r>
      <w:r w:rsidR="00D65A67" w:rsidRPr="00F506E8">
        <w:t>FERC-516</w:t>
      </w:r>
      <w:r w:rsidR="00C94162" w:rsidRPr="00F506E8">
        <w:t xml:space="preserve"> information collection.</w:t>
      </w:r>
      <w:r w:rsidR="001350E8">
        <w:t xml:space="preserve">  FERC-516 is consistent with the guidelines in 5 CFR 1320.5(d).</w:t>
      </w:r>
    </w:p>
    <w:p w14:paraId="557303EC" w14:textId="77777777" w:rsidR="00DF0F66" w:rsidRPr="00F506E8" w:rsidRDefault="00DF0F66" w:rsidP="00F506E8"/>
    <w:p w14:paraId="386A4DAD" w14:textId="77777777" w:rsidR="00C94162" w:rsidRPr="00F506E8" w:rsidRDefault="00C94162" w:rsidP="00F506E8">
      <w:pPr>
        <w:pStyle w:val="FERCparanumber"/>
        <w:numPr>
          <w:ilvl w:val="0"/>
          <w:numId w:val="2"/>
        </w:numPr>
        <w:rPr>
          <w:sz w:val="24"/>
        </w:rPr>
      </w:pPr>
      <w:r w:rsidRPr="00F506E8">
        <w:rPr>
          <w:b/>
          <w:sz w:val="24"/>
        </w:rPr>
        <w:t>DESCRIBE EFFORTS TO CONSULT OUTSIDE THE AGENCY: SUMMARIZE PUBLIC COMMENTS AND THE AGENCY’S RESPONSE TO THESE COMMENTS</w:t>
      </w:r>
    </w:p>
    <w:p w14:paraId="6132B0A0" w14:textId="77777777" w:rsidR="00C94162" w:rsidRPr="00F506E8" w:rsidRDefault="00C94162" w:rsidP="00F506E8">
      <w:pPr>
        <w:pStyle w:val="FERCparanumber"/>
        <w:numPr>
          <w:ilvl w:val="0"/>
          <w:numId w:val="0"/>
        </w:numPr>
        <w:rPr>
          <w:b/>
          <w:sz w:val="24"/>
        </w:rPr>
      </w:pPr>
    </w:p>
    <w:p w14:paraId="70AECE9A" w14:textId="1B4B4DD8" w:rsidR="00B362AC" w:rsidRDefault="009B4438" w:rsidP="00B248D7">
      <w:pPr>
        <w:pStyle w:val="FERCparanumber"/>
        <w:numPr>
          <w:ilvl w:val="0"/>
          <w:numId w:val="0"/>
        </w:numPr>
        <w:autoSpaceDE w:val="0"/>
        <w:autoSpaceDN w:val="0"/>
        <w:adjustRightInd w:val="0"/>
        <w:rPr>
          <w:sz w:val="24"/>
        </w:rPr>
      </w:pPr>
      <w:r>
        <w:rPr>
          <w:b/>
          <w:sz w:val="24"/>
        </w:rPr>
        <w:t>FERC-516 changes due to RM16-6-000</w:t>
      </w:r>
      <w:r w:rsidR="00DB203D" w:rsidRPr="00F506E8">
        <w:rPr>
          <w:b/>
          <w:sz w:val="24"/>
        </w:rPr>
        <w:t>.</w:t>
      </w:r>
      <w:r w:rsidR="00DB203D" w:rsidRPr="00F506E8">
        <w:rPr>
          <w:sz w:val="24"/>
        </w:rPr>
        <w:t xml:space="preserve"> </w:t>
      </w:r>
      <w:r w:rsidR="00BA009E" w:rsidRPr="00F506E8">
        <w:rPr>
          <w:sz w:val="24"/>
        </w:rPr>
        <w:t xml:space="preserve"> </w:t>
      </w:r>
      <w:r w:rsidR="00DD7344">
        <w:rPr>
          <w:sz w:val="24"/>
        </w:rPr>
        <w:t>The</w:t>
      </w:r>
      <w:r w:rsidR="00992A82">
        <w:rPr>
          <w:sz w:val="24"/>
        </w:rPr>
        <w:t xml:space="preserve"> </w:t>
      </w:r>
      <w:r w:rsidR="00804CE7" w:rsidRPr="00F506E8">
        <w:rPr>
          <w:sz w:val="24"/>
        </w:rPr>
        <w:t>NOPR</w:t>
      </w:r>
      <w:r w:rsidR="00BA009E" w:rsidRPr="00F506E8">
        <w:rPr>
          <w:rStyle w:val="FootnoteReference"/>
          <w:sz w:val="24"/>
          <w:vertAlign w:val="superscript"/>
        </w:rPr>
        <w:footnoteReference w:id="11"/>
      </w:r>
      <w:r w:rsidR="00BA009E" w:rsidRPr="00F506E8">
        <w:rPr>
          <w:sz w:val="24"/>
        </w:rPr>
        <w:t xml:space="preserve"> </w:t>
      </w:r>
      <w:r w:rsidR="00992A82">
        <w:rPr>
          <w:sz w:val="24"/>
        </w:rPr>
        <w:t xml:space="preserve"> </w:t>
      </w:r>
      <w:r w:rsidR="00BA009E" w:rsidRPr="00F506E8">
        <w:rPr>
          <w:sz w:val="24"/>
        </w:rPr>
        <w:t xml:space="preserve">and a </w:t>
      </w:r>
      <w:r w:rsidR="00804CE7" w:rsidRPr="00F506E8">
        <w:rPr>
          <w:sz w:val="24"/>
        </w:rPr>
        <w:t>Final Rule</w:t>
      </w:r>
      <w:r w:rsidR="00BA009E" w:rsidRPr="00F506E8">
        <w:rPr>
          <w:rStyle w:val="FootnoteReference"/>
          <w:sz w:val="24"/>
          <w:vertAlign w:val="superscript"/>
        </w:rPr>
        <w:footnoteReference w:id="12"/>
      </w:r>
      <w:r w:rsidR="00BA009E" w:rsidRPr="00F506E8">
        <w:rPr>
          <w:sz w:val="24"/>
        </w:rPr>
        <w:t xml:space="preserve"> </w:t>
      </w:r>
      <w:r w:rsidR="005B107C">
        <w:rPr>
          <w:sz w:val="24"/>
        </w:rPr>
        <w:t>were published in the Federal Register</w:t>
      </w:r>
      <w:r w:rsidR="00866F6A">
        <w:rPr>
          <w:sz w:val="24"/>
        </w:rPr>
        <w:t>.</w:t>
      </w:r>
      <w:r w:rsidR="005B107C">
        <w:rPr>
          <w:sz w:val="24"/>
        </w:rPr>
        <w:t xml:space="preserve">  </w:t>
      </w:r>
    </w:p>
    <w:p w14:paraId="7D38DA09" w14:textId="77777777" w:rsidR="00B362AC" w:rsidRDefault="00B362AC" w:rsidP="00B248D7">
      <w:pPr>
        <w:pStyle w:val="FERCparanumber"/>
        <w:numPr>
          <w:ilvl w:val="0"/>
          <w:numId w:val="0"/>
        </w:numPr>
        <w:autoSpaceDE w:val="0"/>
        <w:autoSpaceDN w:val="0"/>
        <w:adjustRightInd w:val="0"/>
        <w:rPr>
          <w:sz w:val="24"/>
        </w:rPr>
      </w:pPr>
    </w:p>
    <w:p w14:paraId="09118149" w14:textId="77777777" w:rsidR="00B362AC" w:rsidRDefault="005B107C" w:rsidP="00B362AC">
      <w:pPr>
        <w:pStyle w:val="FERCparanumber"/>
        <w:numPr>
          <w:ilvl w:val="0"/>
          <w:numId w:val="0"/>
        </w:numPr>
        <w:autoSpaceDE w:val="0"/>
        <w:autoSpaceDN w:val="0"/>
        <w:adjustRightInd w:val="0"/>
        <w:rPr>
          <w:sz w:val="24"/>
        </w:rPr>
      </w:pPr>
      <w:r>
        <w:rPr>
          <w:sz w:val="24"/>
        </w:rPr>
        <w:t xml:space="preserve">The </w:t>
      </w:r>
      <w:r w:rsidR="00B362AC">
        <w:rPr>
          <w:sz w:val="24"/>
        </w:rPr>
        <w:t>NOPR was</w:t>
      </w:r>
      <w:r>
        <w:rPr>
          <w:sz w:val="24"/>
        </w:rPr>
        <w:t xml:space="preserve"> published on </w:t>
      </w:r>
      <w:r w:rsidR="00DF0F66" w:rsidRPr="00F506E8">
        <w:rPr>
          <w:sz w:val="24"/>
        </w:rPr>
        <w:t>11/</w:t>
      </w:r>
      <w:r w:rsidR="002E59A6">
        <w:rPr>
          <w:sz w:val="24"/>
        </w:rPr>
        <w:t>25</w:t>
      </w:r>
      <w:r w:rsidR="00DF0F66" w:rsidRPr="00F506E8">
        <w:rPr>
          <w:sz w:val="24"/>
        </w:rPr>
        <w:t>/2016</w:t>
      </w:r>
      <w:r w:rsidR="00BA009E" w:rsidRPr="00F506E8">
        <w:rPr>
          <w:sz w:val="24"/>
        </w:rPr>
        <w:t xml:space="preserve">.  </w:t>
      </w:r>
      <w:r w:rsidR="00B362AC">
        <w:rPr>
          <w:sz w:val="24"/>
        </w:rPr>
        <w:t>In the NOPR t</w:t>
      </w:r>
      <w:r w:rsidR="00B362AC" w:rsidRPr="00F506E8">
        <w:rPr>
          <w:sz w:val="24"/>
        </w:rPr>
        <w:t xml:space="preserve">he Commission </w:t>
      </w:r>
      <w:r w:rsidR="00B362AC">
        <w:rPr>
          <w:sz w:val="24"/>
        </w:rPr>
        <w:t xml:space="preserve">also </w:t>
      </w:r>
      <w:r w:rsidR="00B362AC" w:rsidRPr="00F506E8">
        <w:rPr>
          <w:sz w:val="24"/>
        </w:rPr>
        <w:t>solicited comments on the collection of information and the associated burden estimate</w:t>
      </w:r>
      <w:r w:rsidR="00B362AC">
        <w:rPr>
          <w:sz w:val="24"/>
        </w:rPr>
        <w:t>.</w:t>
      </w:r>
      <w:r w:rsidR="00B362AC" w:rsidRPr="00F506E8">
        <w:rPr>
          <w:sz w:val="24"/>
        </w:rPr>
        <w:t xml:space="preserve">  </w:t>
      </w:r>
    </w:p>
    <w:p w14:paraId="7F99844A" w14:textId="77777777" w:rsidR="00B362AC" w:rsidRDefault="00B362AC" w:rsidP="00B362AC">
      <w:pPr>
        <w:pStyle w:val="FERCparanumber"/>
        <w:numPr>
          <w:ilvl w:val="0"/>
          <w:numId w:val="0"/>
        </w:numPr>
        <w:autoSpaceDE w:val="0"/>
        <w:autoSpaceDN w:val="0"/>
        <w:adjustRightInd w:val="0"/>
        <w:rPr>
          <w:sz w:val="24"/>
        </w:rPr>
      </w:pPr>
    </w:p>
    <w:p w14:paraId="3F75029E" w14:textId="77777777" w:rsidR="00B362AC" w:rsidRDefault="00BA009E" w:rsidP="00B248D7">
      <w:pPr>
        <w:pStyle w:val="FERCparanumber"/>
        <w:numPr>
          <w:ilvl w:val="0"/>
          <w:numId w:val="0"/>
        </w:numPr>
        <w:autoSpaceDE w:val="0"/>
        <w:autoSpaceDN w:val="0"/>
        <w:adjustRightInd w:val="0"/>
        <w:rPr>
          <w:sz w:val="24"/>
        </w:rPr>
      </w:pPr>
      <w:r w:rsidRPr="00F506E8">
        <w:rPr>
          <w:sz w:val="24"/>
        </w:rPr>
        <w:t xml:space="preserve">The Commission received </w:t>
      </w:r>
      <w:r w:rsidR="004F33F0">
        <w:rPr>
          <w:sz w:val="24"/>
        </w:rPr>
        <w:t>twenty-eight</w:t>
      </w:r>
      <w:r w:rsidR="005B107C">
        <w:rPr>
          <w:sz w:val="24"/>
        </w:rPr>
        <w:t xml:space="preserve"> </w:t>
      </w:r>
      <w:r w:rsidRPr="00F506E8">
        <w:rPr>
          <w:sz w:val="24"/>
        </w:rPr>
        <w:t>comments in response to</w:t>
      </w:r>
      <w:r w:rsidR="00C150B5" w:rsidRPr="00F506E8">
        <w:rPr>
          <w:sz w:val="24"/>
        </w:rPr>
        <w:t xml:space="preserve"> the </w:t>
      </w:r>
      <w:r w:rsidR="002E59A6">
        <w:rPr>
          <w:sz w:val="24"/>
        </w:rPr>
        <w:t>NOPR</w:t>
      </w:r>
      <w:r w:rsidR="007F7FBE" w:rsidRPr="00F506E8">
        <w:rPr>
          <w:sz w:val="24"/>
        </w:rPr>
        <w:t xml:space="preserve">. </w:t>
      </w:r>
      <w:r w:rsidR="005037A8" w:rsidRPr="00F506E8">
        <w:rPr>
          <w:sz w:val="24"/>
        </w:rPr>
        <w:t xml:space="preserve"> </w:t>
      </w:r>
      <w:r w:rsidR="00B362AC" w:rsidRPr="00F506E8">
        <w:rPr>
          <w:sz w:val="24"/>
        </w:rPr>
        <w:t>The Commission did not receive any comments concerning its burden or cost estimates.</w:t>
      </w:r>
      <w:r w:rsidR="00B362AC">
        <w:rPr>
          <w:sz w:val="24"/>
        </w:rPr>
        <w:t xml:space="preserve">  </w:t>
      </w:r>
      <w:r w:rsidR="00866F6A">
        <w:rPr>
          <w:sz w:val="24"/>
        </w:rPr>
        <w:t>Additionally, the Commission received</w:t>
      </w:r>
      <w:r w:rsidR="004F33F0">
        <w:rPr>
          <w:sz w:val="24"/>
        </w:rPr>
        <w:t xml:space="preserve"> nineteen</w:t>
      </w:r>
      <w:r w:rsidR="00866F6A">
        <w:rPr>
          <w:sz w:val="24"/>
        </w:rPr>
        <w:t xml:space="preserve"> comments in response to a </w:t>
      </w:r>
      <w:r w:rsidR="00041A88">
        <w:rPr>
          <w:sz w:val="24"/>
        </w:rPr>
        <w:t>Notice of Request for Supplemental Comments.</w:t>
      </w:r>
      <w:r w:rsidR="00041A88" w:rsidRPr="005C0272">
        <w:rPr>
          <w:rStyle w:val="FootnoteReference"/>
          <w:sz w:val="24"/>
          <w:vertAlign w:val="superscript"/>
        </w:rPr>
        <w:footnoteReference w:id="13"/>
      </w:r>
      <w:r w:rsidR="00866F6A">
        <w:rPr>
          <w:sz w:val="24"/>
        </w:rPr>
        <w:t xml:space="preserve"> </w:t>
      </w:r>
      <w:r w:rsidR="00231F12">
        <w:rPr>
          <w:sz w:val="24"/>
        </w:rPr>
        <w:t xml:space="preserve"> </w:t>
      </w:r>
      <w:r w:rsidR="00D87C9B">
        <w:rPr>
          <w:sz w:val="24"/>
        </w:rPr>
        <w:t>A substantial number of commenters expressed general support for the NOPR proposals.  Some c</w:t>
      </w:r>
      <w:r w:rsidR="00DC74F6">
        <w:rPr>
          <w:sz w:val="24"/>
        </w:rPr>
        <w:t>ommenters recommended modificat</w:t>
      </w:r>
      <w:r w:rsidR="00D72FCB">
        <w:rPr>
          <w:sz w:val="24"/>
        </w:rPr>
        <w:t>i</w:t>
      </w:r>
      <w:r w:rsidR="00DC74F6">
        <w:rPr>
          <w:sz w:val="24"/>
        </w:rPr>
        <w:t>ons to some of the proposals</w:t>
      </w:r>
      <w:r w:rsidR="00D87C9B">
        <w:rPr>
          <w:sz w:val="24"/>
        </w:rPr>
        <w:t xml:space="preserve">, including the need to compensate providers of primary frequency response, </w:t>
      </w:r>
      <w:r w:rsidR="00DC74F6">
        <w:rPr>
          <w:sz w:val="24"/>
        </w:rPr>
        <w:t xml:space="preserve">changes to address </w:t>
      </w:r>
      <w:r w:rsidR="00D87C9B">
        <w:rPr>
          <w:sz w:val="24"/>
        </w:rPr>
        <w:t>the challenges certain generating facilities such as electric storage</w:t>
      </w:r>
      <w:r w:rsidR="00D72FCB">
        <w:rPr>
          <w:sz w:val="24"/>
        </w:rPr>
        <w:t xml:space="preserve"> and combined heat and power (CHP) facilities</w:t>
      </w:r>
      <w:r w:rsidR="00D87C9B">
        <w:rPr>
          <w:sz w:val="24"/>
        </w:rPr>
        <w:t xml:space="preserve"> would face </w:t>
      </w:r>
      <w:r w:rsidR="00DC74F6">
        <w:rPr>
          <w:sz w:val="24"/>
        </w:rPr>
        <w:t xml:space="preserve">and the preference for regional entities to establish specific operating settings.  </w:t>
      </w:r>
      <w:r w:rsidR="00D87C9B">
        <w:rPr>
          <w:sz w:val="24"/>
        </w:rPr>
        <w:t xml:space="preserve"> </w:t>
      </w:r>
    </w:p>
    <w:p w14:paraId="06F24B6E" w14:textId="77777777" w:rsidR="00B362AC" w:rsidRDefault="00B362AC" w:rsidP="00B248D7">
      <w:pPr>
        <w:pStyle w:val="FERCparanumber"/>
        <w:numPr>
          <w:ilvl w:val="0"/>
          <w:numId w:val="0"/>
        </w:numPr>
        <w:autoSpaceDE w:val="0"/>
        <w:autoSpaceDN w:val="0"/>
        <w:adjustRightInd w:val="0"/>
        <w:rPr>
          <w:sz w:val="24"/>
        </w:rPr>
      </w:pPr>
    </w:p>
    <w:p w14:paraId="1844813F" w14:textId="77777777" w:rsidR="000D5108" w:rsidRDefault="00B362AC" w:rsidP="00796B2B">
      <w:pPr>
        <w:pStyle w:val="FERCparanumber"/>
        <w:numPr>
          <w:ilvl w:val="0"/>
          <w:numId w:val="0"/>
        </w:numPr>
        <w:autoSpaceDE w:val="0"/>
        <w:autoSpaceDN w:val="0"/>
        <w:adjustRightInd w:val="0"/>
        <w:rPr>
          <w:sz w:val="24"/>
        </w:rPr>
      </w:pPr>
      <w:r>
        <w:rPr>
          <w:sz w:val="24"/>
        </w:rPr>
        <w:t xml:space="preserve">The Final Rule was issued 3/15/18.  </w:t>
      </w:r>
      <w:r w:rsidR="00DC74F6">
        <w:rPr>
          <w:sz w:val="24"/>
        </w:rPr>
        <w:t>Among other things, in the Final Rule the Commission clarified that it would consider petitions for compensation from individual entities on a case-</w:t>
      </w:r>
      <w:r w:rsidR="00D72FCB">
        <w:rPr>
          <w:sz w:val="24"/>
        </w:rPr>
        <w:t xml:space="preserve">by-case basis, </w:t>
      </w:r>
      <w:r w:rsidR="00DC74F6">
        <w:rPr>
          <w:sz w:val="24"/>
        </w:rPr>
        <w:t xml:space="preserve">provided specific operating settings addressing the unique operating characteristics of electric storage and </w:t>
      </w:r>
      <w:r w:rsidR="00D72FCB">
        <w:rPr>
          <w:sz w:val="24"/>
        </w:rPr>
        <w:t xml:space="preserve">provided an exemption for CHP facilities.  Also, the Commission </w:t>
      </w:r>
      <w:r w:rsidR="002D4CD7">
        <w:rPr>
          <w:sz w:val="24"/>
        </w:rPr>
        <w:t xml:space="preserve">explained that </w:t>
      </w:r>
      <w:r w:rsidR="00D72FCB">
        <w:rPr>
          <w:sz w:val="24"/>
        </w:rPr>
        <w:t xml:space="preserve">regional flexibility would be allowed, because </w:t>
      </w:r>
      <w:r w:rsidR="002D4CD7">
        <w:rPr>
          <w:sz w:val="24"/>
        </w:rPr>
        <w:t xml:space="preserve">while the Final Rule provides minimum, uniform operating settings individual transmission providers may seek more stringent requirements if regional needs warrant that. </w:t>
      </w:r>
      <w:r w:rsidR="00DC74F6">
        <w:rPr>
          <w:sz w:val="24"/>
        </w:rPr>
        <w:t xml:space="preserve"> </w:t>
      </w:r>
    </w:p>
    <w:p w14:paraId="2CBA03A9" w14:textId="77777777" w:rsidR="001A4DDC" w:rsidRPr="00F506E8" w:rsidRDefault="001A4DDC" w:rsidP="00796B2B">
      <w:pPr>
        <w:pStyle w:val="FERCparanumber"/>
        <w:numPr>
          <w:ilvl w:val="0"/>
          <w:numId w:val="0"/>
        </w:numPr>
        <w:autoSpaceDE w:val="0"/>
        <w:autoSpaceDN w:val="0"/>
        <w:adjustRightInd w:val="0"/>
      </w:pPr>
    </w:p>
    <w:p w14:paraId="171F0FE7" w14:textId="28CBC103" w:rsidR="007D5E24" w:rsidRPr="007D5E24" w:rsidRDefault="00A27680" w:rsidP="007D5E24">
      <w:r>
        <w:rPr>
          <w:b/>
        </w:rPr>
        <w:t>FERC-516 components not affected by RM16-6-000</w:t>
      </w:r>
      <w:r w:rsidR="000D5108" w:rsidRPr="00F506E8">
        <w:t xml:space="preserve">. </w:t>
      </w:r>
      <w:r w:rsidR="007D5E24">
        <w:t xml:space="preserve">The Commission </w:t>
      </w:r>
      <w:r w:rsidR="007D5E24" w:rsidRPr="007D5E24">
        <w:t>will not impose primary frequency response requirements on existing generating facilities that do not submit new interconnection requests that result in an executed or unexecuted interconnection agreement at this time.</w:t>
      </w:r>
    </w:p>
    <w:p w14:paraId="47ED86AF" w14:textId="2DFDA1FC" w:rsidR="00C94162" w:rsidRPr="00F506E8" w:rsidRDefault="000D5108" w:rsidP="00020888">
      <w:r w:rsidRPr="00F506E8">
        <w:t xml:space="preserve"> </w:t>
      </w:r>
    </w:p>
    <w:p w14:paraId="7E54B1C0" w14:textId="77777777" w:rsidR="00C94162" w:rsidRPr="00F506E8" w:rsidRDefault="00C94162" w:rsidP="00F506E8">
      <w:pPr>
        <w:pStyle w:val="FERCparanumber"/>
        <w:numPr>
          <w:ilvl w:val="0"/>
          <w:numId w:val="2"/>
        </w:numPr>
        <w:rPr>
          <w:sz w:val="24"/>
        </w:rPr>
      </w:pPr>
      <w:r w:rsidRPr="00F506E8">
        <w:rPr>
          <w:b/>
          <w:sz w:val="24"/>
        </w:rPr>
        <w:t>EXPLAIN ANY PAYMENT OR GIFTS TO RESPONDENTS</w:t>
      </w:r>
    </w:p>
    <w:p w14:paraId="12340C36" w14:textId="77777777" w:rsidR="00C94162" w:rsidRPr="00F506E8" w:rsidRDefault="00C94162" w:rsidP="00F506E8">
      <w:pPr>
        <w:pStyle w:val="FERCparanumber"/>
        <w:numPr>
          <w:ilvl w:val="0"/>
          <w:numId w:val="0"/>
        </w:numPr>
        <w:rPr>
          <w:b/>
          <w:sz w:val="24"/>
        </w:rPr>
      </w:pPr>
    </w:p>
    <w:p w14:paraId="71C53806" w14:textId="0505DDA9" w:rsidR="001350E8" w:rsidRPr="001350E8" w:rsidRDefault="00DB203D" w:rsidP="00796B2B">
      <w:pPr>
        <w:rPr>
          <w:rFonts w:eastAsiaTheme="minorHAnsi"/>
        </w:rPr>
      </w:pPr>
      <w:r w:rsidRPr="00F506E8">
        <w:rPr>
          <w:b/>
        </w:rPr>
        <w:t>FERC-516</w:t>
      </w:r>
      <w:r w:rsidRPr="00F506E8">
        <w:t>.</w:t>
      </w:r>
      <w:r w:rsidR="00CF63B1">
        <w:t xml:space="preserve"> </w:t>
      </w:r>
      <w:r w:rsidR="001350E8" w:rsidRPr="001350E8">
        <w:rPr>
          <w:rFonts w:eastAsiaTheme="minorHAnsi"/>
        </w:rPr>
        <w:t>There are no payments or gifts to respondents associated with</w:t>
      </w:r>
      <w:r w:rsidR="00725094">
        <w:rPr>
          <w:rFonts w:eastAsiaTheme="minorHAnsi"/>
        </w:rPr>
        <w:t xml:space="preserve"> this </w:t>
      </w:r>
      <w:r w:rsidR="001350E8" w:rsidRPr="001350E8">
        <w:rPr>
          <w:rFonts w:eastAsiaTheme="minorHAnsi"/>
        </w:rPr>
        <w:t>collection.</w:t>
      </w:r>
    </w:p>
    <w:p w14:paraId="3603382A" w14:textId="77777777" w:rsidR="00C94162" w:rsidRPr="00F506E8" w:rsidRDefault="00C94162" w:rsidP="00F506E8">
      <w:pPr>
        <w:pStyle w:val="FERCparanumber"/>
        <w:numPr>
          <w:ilvl w:val="0"/>
          <w:numId w:val="0"/>
        </w:numPr>
        <w:rPr>
          <w:sz w:val="24"/>
        </w:rPr>
      </w:pPr>
    </w:p>
    <w:p w14:paraId="348E7202" w14:textId="77777777" w:rsidR="00C94162" w:rsidRPr="00F506E8" w:rsidRDefault="00C94162" w:rsidP="00F506E8">
      <w:pPr>
        <w:pStyle w:val="FERCparanumber"/>
        <w:numPr>
          <w:ilvl w:val="0"/>
          <w:numId w:val="2"/>
        </w:numPr>
        <w:rPr>
          <w:sz w:val="24"/>
        </w:rPr>
      </w:pPr>
      <w:r w:rsidRPr="00F506E8">
        <w:rPr>
          <w:b/>
          <w:sz w:val="24"/>
        </w:rPr>
        <w:t>DESCRIBE ANY ASSURANCE OF CONFIDENTIALITY PROVIDED TO RESPONDENTS</w:t>
      </w:r>
    </w:p>
    <w:p w14:paraId="57B88CE5" w14:textId="77777777" w:rsidR="00C94162" w:rsidRPr="00F506E8" w:rsidRDefault="00C94162" w:rsidP="00F506E8">
      <w:pPr>
        <w:pStyle w:val="FERCparanumber"/>
        <w:numPr>
          <w:ilvl w:val="0"/>
          <w:numId w:val="0"/>
        </w:numPr>
        <w:rPr>
          <w:b/>
          <w:sz w:val="24"/>
        </w:rPr>
      </w:pPr>
    </w:p>
    <w:p w14:paraId="5E0202AF" w14:textId="77777777" w:rsidR="001350E8" w:rsidRPr="001350E8" w:rsidRDefault="00DB203D" w:rsidP="001350E8">
      <w:pPr>
        <w:rPr>
          <w:rFonts w:eastAsiaTheme="minorHAnsi"/>
        </w:rPr>
      </w:pPr>
      <w:r w:rsidRPr="00F506E8">
        <w:rPr>
          <w:b/>
        </w:rPr>
        <w:t>FERC-516</w:t>
      </w:r>
      <w:r w:rsidRPr="00F506E8">
        <w:t xml:space="preserve">. </w:t>
      </w:r>
      <w:r w:rsidR="001350E8" w:rsidRPr="001350E8">
        <w:rPr>
          <w:rFonts w:eastAsiaTheme="minorHAnsi"/>
        </w:rPr>
        <w:t>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14:paraId="0E2DD715" w14:textId="77777777" w:rsidR="00804CE7" w:rsidRPr="00F506E8" w:rsidRDefault="00DB203D">
      <w:r w:rsidRPr="00F506E8">
        <w:t xml:space="preserve"> </w:t>
      </w:r>
    </w:p>
    <w:p w14:paraId="2E0372FF" w14:textId="77777777" w:rsidR="00C94162" w:rsidRPr="00F506E8" w:rsidRDefault="00C94162" w:rsidP="00F506E8">
      <w:pPr>
        <w:pStyle w:val="FERCparanumber"/>
        <w:numPr>
          <w:ilvl w:val="0"/>
          <w:numId w:val="2"/>
        </w:numPr>
        <w:rPr>
          <w:sz w:val="24"/>
        </w:rPr>
      </w:pPr>
      <w:r w:rsidRPr="00F506E8">
        <w:rPr>
          <w:b/>
          <w:sz w:val="24"/>
        </w:rPr>
        <w:t>PROVIDE ADDITIONAL JUSTIFICATION FOR ANY QUESTIONS OF A SENSITIVE NATURE, SUCH AS SEXUAL BEHAVIOR AND ATTITUDES, RELIGIOUS BELIEFS, AND OTHER MATTERS THAT ARE COMMONLY CONSIDERED PRIVATE</w:t>
      </w:r>
    </w:p>
    <w:p w14:paraId="555F78D4" w14:textId="77777777" w:rsidR="00C94162" w:rsidRPr="00F506E8" w:rsidRDefault="00C94162" w:rsidP="00F506E8">
      <w:pPr>
        <w:pStyle w:val="FERCparanumber"/>
        <w:numPr>
          <w:ilvl w:val="0"/>
          <w:numId w:val="0"/>
        </w:numPr>
        <w:rPr>
          <w:b/>
          <w:sz w:val="24"/>
        </w:rPr>
      </w:pPr>
    </w:p>
    <w:p w14:paraId="4AAB2ED6" w14:textId="77777777" w:rsidR="00C94162" w:rsidRPr="00F506E8" w:rsidRDefault="00DB203D" w:rsidP="00F506E8">
      <w:pPr>
        <w:widowControl/>
        <w:rPr>
          <w:b/>
        </w:rPr>
      </w:pPr>
      <w:r w:rsidRPr="00F506E8">
        <w:rPr>
          <w:b/>
        </w:rPr>
        <w:t>FERC-516</w:t>
      </w:r>
      <w:r w:rsidRPr="00F506E8">
        <w:t xml:space="preserve">.  </w:t>
      </w:r>
      <w:r w:rsidR="00C94162" w:rsidRPr="00F506E8">
        <w:t>There are no questions of a sensitive nature associated with th</w:t>
      </w:r>
      <w:r w:rsidR="00052FA0">
        <w:t>e</w:t>
      </w:r>
      <w:r w:rsidR="00C94162" w:rsidRPr="00F506E8">
        <w:t xml:space="preserve"> reporting requirements.  </w:t>
      </w:r>
    </w:p>
    <w:p w14:paraId="2430AF12" w14:textId="77777777" w:rsidR="00C94162" w:rsidRPr="00F506E8" w:rsidRDefault="00C94162" w:rsidP="00F506E8">
      <w:pPr>
        <w:pStyle w:val="FERCparanumber"/>
        <w:numPr>
          <w:ilvl w:val="0"/>
          <w:numId w:val="0"/>
        </w:numPr>
        <w:rPr>
          <w:sz w:val="24"/>
        </w:rPr>
      </w:pPr>
    </w:p>
    <w:p w14:paraId="7AB90B85" w14:textId="77777777" w:rsidR="00C94162" w:rsidRPr="00F506E8" w:rsidRDefault="00C94162" w:rsidP="00F506E8">
      <w:pPr>
        <w:pStyle w:val="FERCparanumber"/>
        <w:numPr>
          <w:ilvl w:val="0"/>
          <w:numId w:val="2"/>
        </w:numPr>
        <w:rPr>
          <w:sz w:val="24"/>
        </w:rPr>
      </w:pPr>
      <w:r w:rsidRPr="00F506E8">
        <w:rPr>
          <w:b/>
          <w:sz w:val="24"/>
        </w:rPr>
        <w:t>ESTIMATED BURDEN COLLECTION OF INFORMATION</w:t>
      </w:r>
    </w:p>
    <w:p w14:paraId="27FBE02F" w14:textId="77777777" w:rsidR="00C94162" w:rsidRPr="00F506E8" w:rsidRDefault="00C94162" w:rsidP="00F506E8">
      <w:pPr>
        <w:pStyle w:val="FERCparanumber"/>
        <w:numPr>
          <w:ilvl w:val="0"/>
          <w:numId w:val="0"/>
        </w:numPr>
        <w:rPr>
          <w:b/>
          <w:sz w:val="24"/>
        </w:rPr>
      </w:pPr>
    </w:p>
    <w:p w14:paraId="04D43016" w14:textId="77777777" w:rsidR="00F842D1" w:rsidRPr="00F506E8" w:rsidRDefault="009B4438" w:rsidP="00F506E8">
      <w:pPr>
        <w:pStyle w:val="FERCparanumber"/>
        <w:numPr>
          <w:ilvl w:val="0"/>
          <w:numId w:val="0"/>
        </w:numPr>
        <w:autoSpaceDE w:val="0"/>
        <w:autoSpaceDN w:val="0"/>
        <w:adjustRightInd w:val="0"/>
        <w:rPr>
          <w:sz w:val="24"/>
        </w:rPr>
      </w:pPr>
      <w:r>
        <w:rPr>
          <w:b/>
          <w:sz w:val="24"/>
        </w:rPr>
        <w:t>FERC-516 changes due to RM16-6-000</w:t>
      </w:r>
      <w:r w:rsidR="00DB203D" w:rsidRPr="00F506E8">
        <w:rPr>
          <w:b/>
          <w:sz w:val="24"/>
        </w:rPr>
        <w:t>.</w:t>
      </w:r>
      <w:r w:rsidR="00DB203D" w:rsidRPr="00F506E8">
        <w:rPr>
          <w:sz w:val="24"/>
        </w:rPr>
        <w:t xml:space="preserve"> </w:t>
      </w:r>
      <w:r w:rsidR="00F842D1" w:rsidRPr="00F506E8">
        <w:rPr>
          <w:sz w:val="24"/>
        </w:rPr>
        <w:t xml:space="preserve">The Commission is revising its regulations to require all newly interconnecting large and small generating facilities, both synchronous and non-synchronous, to install, maintain, and operate equipment capable of providing primary frequency response as a condition of interconnection.  To implement these requirements, the </w:t>
      </w:r>
      <w:r w:rsidR="00F842D1" w:rsidRPr="00F506E8">
        <w:rPr>
          <w:i/>
          <w:sz w:val="24"/>
        </w:rPr>
        <w:t>pro forma</w:t>
      </w:r>
      <w:r w:rsidR="00F842D1" w:rsidRPr="00F506E8">
        <w:rPr>
          <w:sz w:val="24"/>
        </w:rPr>
        <w:t xml:space="preserve"> LGIA and the </w:t>
      </w:r>
      <w:r w:rsidR="00F842D1" w:rsidRPr="00F506E8">
        <w:rPr>
          <w:i/>
          <w:sz w:val="24"/>
        </w:rPr>
        <w:t>pro forma</w:t>
      </w:r>
      <w:r w:rsidR="00F842D1" w:rsidRPr="00F506E8">
        <w:rPr>
          <w:sz w:val="24"/>
        </w:rPr>
        <w:t xml:space="preserve"> SGIA must be revised.  Specifically, the Commission is modifying the </w:t>
      </w:r>
      <w:r w:rsidR="00F842D1" w:rsidRPr="00F506E8">
        <w:rPr>
          <w:i/>
          <w:sz w:val="24"/>
        </w:rPr>
        <w:t>pro forma</w:t>
      </w:r>
      <w:r w:rsidR="00F842D1" w:rsidRPr="00F506E8">
        <w:rPr>
          <w:sz w:val="24"/>
        </w:rPr>
        <w:t xml:space="preserve"> LGIA by revising sections 9.6 and 9.6.2.1 and adding new sections 9.6.4, 9.6.4.1, 9.6.4.2 and 9.6.4.3, and is modifying the </w:t>
      </w:r>
      <w:r w:rsidR="00F842D1" w:rsidRPr="00F506E8">
        <w:rPr>
          <w:i/>
          <w:sz w:val="24"/>
        </w:rPr>
        <w:t xml:space="preserve">pro forma </w:t>
      </w:r>
      <w:r w:rsidR="00F842D1" w:rsidRPr="00F506E8">
        <w:rPr>
          <w:sz w:val="24"/>
        </w:rPr>
        <w:t>SGIA by revising section 1.8 and adding new sections 1.8.4, 1.8.4.1, 1.8.4.2, and 1.8.4.3.</w:t>
      </w:r>
    </w:p>
    <w:p w14:paraId="5B457AA2" w14:textId="77777777" w:rsidR="00F842D1" w:rsidRPr="00F506E8" w:rsidRDefault="00F842D1" w:rsidP="00F506E8">
      <w:pPr>
        <w:pStyle w:val="FERCparanumber"/>
        <w:numPr>
          <w:ilvl w:val="0"/>
          <w:numId w:val="0"/>
        </w:numPr>
        <w:tabs>
          <w:tab w:val="left" w:pos="720"/>
        </w:tabs>
        <w:rPr>
          <w:sz w:val="24"/>
        </w:rPr>
      </w:pPr>
    </w:p>
    <w:p w14:paraId="137E6D00" w14:textId="6C56CEE1" w:rsidR="00FE375D" w:rsidRPr="00F506E8" w:rsidRDefault="00FE375D" w:rsidP="00F506E8">
      <w:pPr>
        <w:pStyle w:val="FERCparanumber"/>
        <w:numPr>
          <w:ilvl w:val="0"/>
          <w:numId w:val="0"/>
        </w:numPr>
        <w:tabs>
          <w:tab w:val="left" w:pos="720"/>
        </w:tabs>
        <w:rPr>
          <w:sz w:val="24"/>
        </w:rPr>
      </w:pPr>
      <w:r w:rsidRPr="00F506E8">
        <w:rPr>
          <w:sz w:val="24"/>
        </w:rPr>
        <w:t xml:space="preserve">The estimated annual costs are as follows: 74 entities * 1 response/entity </w:t>
      </w:r>
      <w:r w:rsidR="0061697D">
        <w:rPr>
          <w:sz w:val="24"/>
        </w:rPr>
        <w:t>*</w:t>
      </w:r>
      <w:r w:rsidRPr="00F506E8">
        <w:rPr>
          <w:sz w:val="24"/>
        </w:rPr>
        <w:t>(10 hours/response * $7</w:t>
      </w:r>
      <w:r w:rsidR="00CF63B1">
        <w:rPr>
          <w:sz w:val="24"/>
        </w:rPr>
        <w:t>6</w:t>
      </w:r>
      <w:r w:rsidRPr="00F506E8">
        <w:rPr>
          <w:sz w:val="24"/>
        </w:rPr>
        <w:t>.50/hour) = $56,610.</w:t>
      </w:r>
      <w:r w:rsidRPr="00F506E8">
        <w:rPr>
          <w:b/>
          <w:sz w:val="24"/>
          <w:vertAlign w:val="superscript"/>
        </w:rPr>
        <w:footnoteReference w:id="14"/>
      </w:r>
      <w:r w:rsidRPr="00F506E8">
        <w:rPr>
          <w:sz w:val="24"/>
        </w:rPr>
        <w:t xml:space="preserve"> </w:t>
      </w:r>
    </w:p>
    <w:p w14:paraId="74284BCC" w14:textId="77777777" w:rsidR="005037A8" w:rsidRPr="00F506E8" w:rsidRDefault="005037A8" w:rsidP="00F506E8">
      <w:pPr>
        <w:pStyle w:val="FERCparanumber"/>
        <w:numPr>
          <w:ilvl w:val="0"/>
          <w:numId w:val="0"/>
        </w:numPr>
        <w:tabs>
          <w:tab w:val="left" w:pos="720"/>
        </w:tabs>
        <w:rPr>
          <w:sz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674"/>
        <w:gridCol w:w="1584"/>
        <w:gridCol w:w="1476"/>
        <w:gridCol w:w="1584"/>
        <w:gridCol w:w="1638"/>
      </w:tblGrid>
      <w:tr w:rsidR="00FE375D" w:rsidRPr="00F506E8" w14:paraId="5A7AF1B8" w14:textId="77777777" w:rsidTr="005108E0">
        <w:trPr>
          <w:cantSplit/>
        </w:trPr>
        <w:tc>
          <w:tcPr>
            <w:tcW w:w="9540" w:type="dxa"/>
            <w:gridSpan w:val="6"/>
            <w:tcBorders>
              <w:top w:val="single" w:sz="4" w:space="0" w:color="auto"/>
              <w:left w:val="single" w:sz="4" w:space="0" w:color="auto"/>
              <w:bottom w:val="single" w:sz="4" w:space="0" w:color="auto"/>
              <w:right w:val="single" w:sz="4" w:space="0" w:color="auto"/>
            </w:tcBorders>
            <w:shd w:val="clear" w:color="auto" w:fill="D9D9D9"/>
          </w:tcPr>
          <w:p w14:paraId="48F0D728" w14:textId="77777777" w:rsidR="00FE375D" w:rsidRPr="00F506E8" w:rsidRDefault="00FE375D">
            <w:pPr>
              <w:keepNext/>
              <w:tabs>
                <w:tab w:val="num" w:pos="720"/>
              </w:tabs>
              <w:jc w:val="center"/>
              <w:rPr>
                <w:rFonts w:eastAsia="Calibri"/>
                <w:b/>
                <w:lang w:bidi="he-IL"/>
              </w:rPr>
            </w:pPr>
            <w:r w:rsidRPr="00F506E8">
              <w:rPr>
                <w:b/>
                <w:lang w:bidi="he-IL"/>
              </w:rPr>
              <w:t>FERC 516</w:t>
            </w:r>
            <w:r w:rsidR="008C2AA9">
              <w:rPr>
                <w:b/>
                <w:lang w:bidi="he-IL"/>
              </w:rPr>
              <w:t>, modifications</w:t>
            </w:r>
            <w:r w:rsidRPr="00F506E8">
              <w:rPr>
                <w:b/>
                <w:lang w:bidi="he-IL"/>
              </w:rPr>
              <w:t xml:space="preserve"> </w:t>
            </w:r>
            <w:r w:rsidR="00C56212">
              <w:rPr>
                <w:b/>
                <w:lang w:bidi="he-IL"/>
              </w:rPr>
              <w:t>due to</w:t>
            </w:r>
            <w:r w:rsidR="00C56212" w:rsidRPr="00F506E8">
              <w:rPr>
                <w:b/>
                <w:lang w:bidi="he-IL"/>
              </w:rPr>
              <w:t xml:space="preserve"> </w:t>
            </w:r>
            <w:r w:rsidRPr="00F506E8">
              <w:rPr>
                <w:b/>
                <w:lang w:bidi="he-IL"/>
              </w:rPr>
              <w:t>Final Rule</w:t>
            </w:r>
            <w:r w:rsidR="00C56212">
              <w:rPr>
                <w:b/>
                <w:lang w:bidi="he-IL"/>
              </w:rPr>
              <w:t xml:space="preserve"> in</w:t>
            </w:r>
            <w:r w:rsidRPr="00F506E8">
              <w:rPr>
                <w:b/>
                <w:lang w:bidi="he-IL"/>
              </w:rPr>
              <w:t xml:space="preserve"> RM16-6</w:t>
            </w:r>
          </w:p>
        </w:tc>
      </w:tr>
      <w:tr w:rsidR="00FE375D" w:rsidRPr="00F506E8" w14:paraId="6FBF5076" w14:textId="77777777" w:rsidTr="005108E0">
        <w:trPr>
          <w:cantSplit/>
        </w:trPr>
        <w:tc>
          <w:tcPr>
            <w:tcW w:w="1584" w:type="dxa"/>
            <w:tcBorders>
              <w:top w:val="single" w:sz="4" w:space="0" w:color="auto"/>
              <w:left w:val="single" w:sz="4" w:space="0" w:color="auto"/>
              <w:bottom w:val="single" w:sz="4" w:space="0" w:color="auto"/>
              <w:right w:val="single" w:sz="4" w:space="0" w:color="auto"/>
            </w:tcBorders>
            <w:shd w:val="clear" w:color="auto" w:fill="D9D9D9"/>
          </w:tcPr>
          <w:p w14:paraId="39981808" w14:textId="77777777" w:rsidR="00FE375D" w:rsidRPr="00F506E8" w:rsidRDefault="00FE375D" w:rsidP="00F506E8">
            <w:pPr>
              <w:keepNext/>
              <w:tabs>
                <w:tab w:val="num" w:pos="720"/>
              </w:tabs>
              <w:jc w:val="center"/>
              <w:rPr>
                <w:rFonts w:eastAsia="Calibri"/>
                <w:b/>
                <w:lang w:bidi="he-IL"/>
              </w:rPr>
            </w:pPr>
          </w:p>
        </w:tc>
        <w:tc>
          <w:tcPr>
            <w:tcW w:w="167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ADEABDF" w14:textId="77777777" w:rsidR="00FE375D" w:rsidRPr="00F506E8" w:rsidRDefault="00FE375D" w:rsidP="00F506E8">
            <w:pPr>
              <w:keepNext/>
              <w:tabs>
                <w:tab w:val="num" w:pos="720"/>
              </w:tabs>
              <w:jc w:val="center"/>
              <w:rPr>
                <w:rFonts w:eastAsia="Calibri"/>
                <w:b/>
                <w:lang w:bidi="he-IL"/>
              </w:rPr>
            </w:pPr>
            <w:r w:rsidRPr="00F506E8">
              <w:rPr>
                <w:rFonts w:eastAsia="Calibri"/>
                <w:b/>
                <w:lang w:bidi="he-IL"/>
              </w:rPr>
              <w:t>No. of Respondents</w:t>
            </w:r>
            <w:r w:rsidRPr="00796B2B">
              <w:rPr>
                <w:rStyle w:val="FootnoteReference"/>
                <w:rFonts w:eastAsia="Calibri"/>
                <w:vertAlign w:val="superscript"/>
                <w:lang w:bidi="he-IL"/>
              </w:rPr>
              <w:footnoteReference w:id="15"/>
            </w:r>
            <w:r w:rsidRPr="00F506E8">
              <w:rPr>
                <w:rFonts w:eastAsia="Calibri"/>
                <w:b/>
                <w:lang w:bidi="he-IL"/>
              </w:rPr>
              <w:br/>
              <w:t>(1)</w:t>
            </w:r>
          </w:p>
        </w:tc>
        <w:tc>
          <w:tcPr>
            <w:tcW w:w="158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744FFE" w14:textId="77777777" w:rsidR="00FE375D" w:rsidRPr="00F506E8" w:rsidRDefault="00FE375D" w:rsidP="00F506E8">
            <w:pPr>
              <w:keepNext/>
              <w:tabs>
                <w:tab w:val="num" w:pos="720"/>
              </w:tabs>
              <w:jc w:val="center"/>
              <w:rPr>
                <w:rFonts w:eastAsia="Calibri"/>
                <w:b/>
                <w:lang w:bidi="he-IL"/>
              </w:rPr>
            </w:pPr>
            <w:r w:rsidRPr="00F506E8">
              <w:rPr>
                <w:rFonts w:eastAsia="Calibri"/>
                <w:b/>
                <w:lang w:bidi="he-IL"/>
              </w:rPr>
              <w:t>Annual No. of Responses Per Respondent</w:t>
            </w:r>
          </w:p>
          <w:p w14:paraId="682DB623" w14:textId="77777777" w:rsidR="00FE375D" w:rsidRPr="00F506E8" w:rsidRDefault="00FE375D" w:rsidP="00F506E8">
            <w:pPr>
              <w:keepNext/>
              <w:tabs>
                <w:tab w:val="num" w:pos="720"/>
              </w:tabs>
              <w:jc w:val="center"/>
              <w:rPr>
                <w:rFonts w:eastAsia="Calibri"/>
                <w:b/>
                <w:lang w:bidi="he-IL"/>
              </w:rPr>
            </w:pPr>
            <w:r w:rsidRPr="00F506E8">
              <w:rPr>
                <w:rFonts w:eastAsia="Calibri"/>
                <w:b/>
                <w:lang w:bidi="he-IL"/>
              </w:rPr>
              <w:t>(2)</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CB14816" w14:textId="77777777" w:rsidR="00FE375D" w:rsidRPr="00F506E8" w:rsidRDefault="00FE375D" w:rsidP="00F506E8">
            <w:pPr>
              <w:keepNext/>
              <w:tabs>
                <w:tab w:val="num" w:pos="720"/>
              </w:tabs>
              <w:jc w:val="center"/>
              <w:rPr>
                <w:rFonts w:eastAsia="Calibri"/>
                <w:b/>
                <w:lang w:bidi="he-IL"/>
              </w:rPr>
            </w:pPr>
            <w:r w:rsidRPr="00F506E8">
              <w:rPr>
                <w:rFonts w:eastAsia="Calibri"/>
                <w:b/>
                <w:lang w:bidi="he-IL"/>
              </w:rPr>
              <w:t>Total No. of Responses (1)*(2)=(3)</w:t>
            </w:r>
          </w:p>
        </w:tc>
        <w:tc>
          <w:tcPr>
            <w:tcW w:w="158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82758FE" w14:textId="77777777" w:rsidR="00FE375D" w:rsidRPr="00F506E8" w:rsidRDefault="00FE375D" w:rsidP="00F506E8">
            <w:pPr>
              <w:keepNext/>
              <w:tabs>
                <w:tab w:val="num" w:pos="720"/>
              </w:tabs>
              <w:jc w:val="center"/>
              <w:rPr>
                <w:rFonts w:eastAsia="Calibri"/>
                <w:b/>
                <w:lang w:bidi="he-IL"/>
              </w:rPr>
            </w:pPr>
            <w:r w:rsidRPr="00F506E8">
              <w:rPr>
                <w:rFonts w:eastAsia="Calibri"/>
                <w:b/>
                <w:lang w:bidi="he-IL"/>
              </w:rPr>
              <w:t>Average Burden (Hrs.) &amp; Cost ($) Per Response</w:t>
            </w:r>
          </w:p>
          <w:p w14:paraId="188E02C9" w14:textId="77777777" w:rsidR="00FE375D" w:rsidRPr="00F506E8" w:rsidRDefault="00FE375D" w:rsidP="00F506E8">
            <w:pPr>
              <w:keepNext/>
              <w:tabs>
                <w:tab w:val="num" w:pos="720"/>
              </w:tabs>
              <w:jc w:val="center"/>
              <w:rPr>
                <w:rFonts w:eastAsia="Calibri"/>
                <w:b/>
                <w:lang w:bidi="he-IL"/>
              </w:rPr>
            </w:pPr>
            <w:r w:rsidRPr="00F506E8">
              <w:rPr>
                <w:rFonts w:eastAsia="Calibri"/>
                <w:b/>
                <w:lang w:bidi="he-IL"/>
              </w:rPr>
              <w:t>(4)</w:t>
            </w:r>
          </w:p>
        </w:tc>
        <w:tc>
          <w:tcPr>
            <w:tcW w:w="163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0D8BE6" w14:textId="77777777" w:rsidR="00FE375D" w:rsidRPr="00F506E8" w:rsidRDefault="00FE375D" w:rsidP="00F506E8">
            <w:pPr>
              <w:keepNext/>
              <w:tabs>
                <w:tab w:val="num" w:pos="720"/>
              </w:tabs>
              <w:jc w:val="center"/>
              <w:rPr>
                <w:rFonts w:eastAsia="Calibri"/>
                <w:b/>
                <w:lang w:bidi="he-IL"/>
              </w:rPr>
            </w:pPr>
            <w:r w:rsidRPr="00F506E8">
              <w:rPr>
                <w:rFonts w:eastAsia="Calibri"/>
                <w:b/>
                <w:lang w:bidi="he-IL"/>
              </w:rPr>
              <w:t>Total Annual Burden Hrs. &amp; Total Annual Cost ($)</w:t>
            </w:r>
          </w:p>
          <w:p w14:paraId="71BCB6D7" w14:textId="77777777" w:rsidR="00FE375D" w:rsidRPr="00F506E8" w:rsidRDefault="00FE375D" w:rsidP="00F506E8">
            <w:pPr>
              <w:keepNext/>
              <w:tabs>
                <w:tab w:val="num" w:pos="720"/>
              </w:tabs>
              <w:jc w:val="center"/>
              <w:rPr>
                <w:rFonts w:eastAsia="Calibri"/>
                <w:b/>
                <w:lang w:bidi="he-IL"/>
              </w:rPr>
            </w:pPr>
            <w:r w:rsidRPr="00F506E8">
              <w:rPr>
                <w:rFonts w:eastAsia="Calibri"/>
                <w:b/>
                <w:lang w:bidi="he-IL"/>
              </w:rPr>
              <w:t>(3)*(4)=(5)</w:t>
            </w:r>
          </w:p>
        </w:tc>
      </w:tr>
      <w:tr w:rsidR="00FE375D" w:rsidRPr="00F506E8" w14:paraId="57E3A6E3" w14:textId="77777777" w:rsidTr="005108E0">
        <w:trPr>
          <w:cantSplit/>
        </w:trPr>
        <w:tc>
          <w:tcPr>
            <w:tcW w:w="1584" w:type="dxa"/>
            <w:tcBorders>
              <w:top w:val="single" w:sz="4" w:space="0" w:color="auto"/>
              <w:left w:val="single" w:sz="4" w:space="0" w:color="auto"/>
              <w:bottom w:val="single" w:sz="4" w:space="0" w:color="auto"/>
              <w:right w:val="single" w:sz="4" w:space="0" w:color="auto"/>
            </w:tcBorders>
            <w:hideMark/>
          </w:tcPr>
          <w:p w14:paraId="197EB089" w14:textId="77777777" w:rsidR="00FE375D" w:rsidRPr="00F506E8" w:rsidRDefault="00FE375D" w:rsidP="00F506E8">
            <w:pPr>
              <w:keepNext/>
              <w:tabs>
                <w:tab w:val="num" w:pos="720"/>
              </w:tabs>
              <w:rPr>
                <w:rFonts w:eastAsia="Calibri"/>
                <w:lang w:bidi="he-IL"/>
              </w:rPr>
            </w:pPr>
            <w:r w:rsidRPr="00F506E8">
              <w:rPr>
                <w:rFonts w:eastAsia="Calibri"/>
                <w:lang w:bidi="he-IL"/>
              </w:rPr>
              <w:t>LGIA &amp; SGIA changes / revisions</w:t>
            </w:r>
          </w:p>
        </w:tc>
        <w:tc>
          <w:tcPr>
            <w:tcW w:w="1674" w:type="dxa"/>
            <w:tcBorders>
              <w:top w:val="single" w:sz="4" w:space="0" w:color="auto"/>
              <w:left w:val="single" w:sz="4" w:space="0" w:color="auto"/>
              <w:bottom w:val="single" w:sz="4" w:space="0" w:color="auto"/>
              <w:right w:val="single" w:sz="4" w:space="0" w:color="auto"/>
            </w:tcBorders>
            <w:hideMark/>
          </w:tcPr>
          <w:p w14:paraId="2C474060" w14:textId="77777777" w:rsidR="00FE375D" w:rsidRPr="00F506E8" w:rsidRDefault="00FE375D" w:rsidP="00F506E8">
            <w:pPr>
              <w:keepNext/>
              <w:tabs>
                <w:tab w:val="num" w:pos="720"/>
              </w:tabs>
              <w:jc w:val="right"/>
              <w:rPr>
                <w:rFonts w:eastAsia="Calibri"/>
                <w:lang w:bidi="he-IL"/>
              </w:rPr>
            </w:pPr>
            <w:r w:rsidRPr="00F506E8">
              <w:rPr>
                <w:rFonts w:eastAsia="Calibri"/>
                <w:lang w:bidi="he-IL"/>
              </w:rPr>
              <w:t>74</w:t>
            </w:r>
          </w:p>
        </w:tc>
        <w:tc>
          <w:tcPr>
            <w:tcW w:w="1584" w:type="dxa"/>
            <w:tcBorders>
              <w:top w:val="single" w:sz="4" w:space="0" w:color="auto"/>
              <w:left w:val="single" w:sz="4" w:space="0" w:color="auto"/>
              <w:bottom w:val="single" w:sz="4" w:space="0" w:color="auto"/>
              <w:right w:val="single" w:sz="4" w:space="0" w:color="auto"/>
            </w:tcBorders>
            <w:hideMark/>
          </w:tcPr>
          <w:p w14:paraId="447D7D17" w14:textId="77777777" w:rsidR="00FE375D" w:rsidRPr="00F506E8" w:rsidRDefault="00FE375D" w:rsidP="00F506E8">
            <w:pPr>
              <w:keepNext/>
              <w:tabs>
                <w:tab w:val="num" w:pos="720"/>
              </w:tabs>
              <w:jc w:val="right"/>
              <w:rPr>
                <w:rFonts w:eastAsia="Calibri"/>
                <w:lang w:bidi="he-IL"/>
              </w:rPr>
            </w:pPr>
            <w:r w:rsidRPr="00F506E8">
              <w:rPr>
                <w:rFonts w:eastAsia="Calibri"/>
                <w:lang w:bidi="he-IL"/>
              </w:rPr>
              <w:t>1</w:t>
            </w:r>
          </w:p>
        </w:tc>
        <w:tc>
          <w:tcPr>
            <w:tcW w:w="1476" w:type="dxa"/>
            <w:tcBorders>
              <w:top w:val="single" w:sz="4" w:space="0" w:color="auto"/>
              <w:left w:val="single" w:sz="4" w:space="0" w:color="auto"/>
              <w:bottom w:val="single" w:sz="4" w:space="0" w:color="auto"/>
              <w:right w:val="single" w:sz="4" w:space="0" w:color="auto"/>
            </w:tcBorders>
            <w:hideMark/>
          </w:tcPr>
          <w:p w14:paraId="1D34A982" w14:textId="77777777" w:rsidR="00FE375D" w:rsidRPr="00F506E8" w:rsidRDefault="00FE375D" w:rsidP="00F506E8">
            <w:pPr>
              <w:keepNext/>
              <w:tabs>
                <w:tab w:val="num" w:pos="720"/>
              </w:tabs>
              <w:jc w:val="right"/>
              <w:rPr>
                <w:rFonts w:eastAsia="Calibri"/>
                <w:lang w:bidi="he-IL"/>
              </w:rPr>
            </w:pPr>
            <w:r w:rsidRPr="00F506E8">
              <w:rPr>
                <w:rFonts w:eastAsia="Calibri"/>
                <w:lang w:bidi="he-IL"/>
              </w:rPr>
              <w:t>74</w:t>
            </w:r>
          </w:p>
        </w:tc>
        <w:tc>
          <w:tcPr>
            <w:tcW w:w="1584" w:type="dxa"/>
            <w:tcBorders>
              <w:top w:val="single" w:sz="4" w:space="0" w:color="auto"/>
              <w:left w:val="single" w:sz="4" w:space="0" w:color="auto"/>
              <w:bottom w:val="single" w:sz="4" w:space="0" w:color="auto"/>
              <w:right w:val="single" w:sz="4" w:space="0" w:color="auto"/>
            </w:tcBorders>
            <w:hideMark/>
          </w:tcPr>
          <w:p w14:paraId="0857A504" w14:textId="77777777" w:rsidR="00FE375D" w:rsidRPr="00F506E8" w:rsidRDefault="00FE375D" w:rsidP="00F506E8">
            <w:pPr>
              <w:keepNext/>
              <w:tabs>
                <w:tab w:val="num" w:pos="720"/>
              </w:tabs>
              <w:jc w:val="right"/>
              <w:rPr>
                <w:rFonts w:eastAsia="Calibri"/>
                <w:lang w:bidi="he-IL"/>
              </w:rPr>
            </w:pPr>
            <w:r w:rsidRPr="00F506E8">
              <w:rPr>
                <w:rFonts w:eastAsia="Calibri"/>
                <w:lang w:bidi="he-IL"/>
              </w:rPr>
              <w:t xml:space="preserve">10 hours; </w:t>
            </w:r>
          </w:p>
          <w:p w14:paraId="25623431" w14:textId="77777777" w:rsidR="00FE375D" w:rsidRPr="00F506E8" w:rsidRDefault="00FE375D" w:rsidP="00F506E8">
            <w:pPr>
              <w:keepNext/>
              <w:tabs>
                <w:tab w:val="num" w:pos="720"/>
              </w:tabs>
              <w:jc w:val="right"/>
              <w:rPr>
                <w:rFonts w:eastAsia="Calibri"/>
                <w:lang w:bidi="he-IL"/>
              </w:rPr>
            </w:pPr>
            <w:r w:rsidRPr="00F506E8">
              <w:rPr>
                <w:rFonts w:eastAsia="Calibri"/>
                <w:lang w:bidi="he-IL"/>
              </w:rPr>
              <w:t>$765.00</w:t>
            </w:r>
          </w:p>
        </w:tc>
        <w:tc>
          <w:tcPr>
            <w:tcW w:w="1638" w:type="dxa"/>
            <w:tcBorders>
              <w:top w:val="single" w:sz="4" w:space="0" w:color="auto"/>
              <w:left w:val="single" w:sz="4" w:space="0" w:color="auto"/>
              <w:bottom w:val="single" w:sz="4" w:space="0" w:color="auto"/>
              <w:right w:val="single" w:sz="4" w:space="0" w:color="auto"/>
            </w:tcBorders>
            <w:hideMark/>
          </w:tcPr>
          <w:p w14:paraId="4378F5F2" w14:textId="77777777" w:rsidR="00FE375D" w:rsidRPr="00F506E8" w:rsidRDefault="00FE375D" w:rsidP="00F506E8">
            <w:pPr>
              <w:keepNext/>
              <w:tabs>
                <w:tab w:val="num" w:pos="720"/>
              </w:tabs>
              <w:jc w:val="right"/>
              <w:rPr>
                <w:rFonts w:eastAsia="Calibri"/>
                <w:lang w:bidi="he-IL"/>
              </w:rPr>
            </w:pPr>
            <w:r w:rsidRPr="00F506E8">
              <w:rPr>
                <w:rFonts w:eastAsia="Calibri"/>
                <w:lang w:bidi="he-IL"/>
              </w:rPr>
              <w:t>740 hours;</w:t>
            </w:r>
          </w:p>
          <w:p w14:paraId="12801CF5" w14:textId="77777777" w:rsidR="00FE375D" w:rsidRPr="00F506E8" w:rsidRDefault="00FE375D" w:rsidP="00F506E8">
            <w:pPr>
              <w:keepNext/>
              <w:tabs>
                <w:tab w:val="num" w:pos="720"/>
              </w:tabs>
              <w:jc w:val="right"/>
              <w:rPr>
                <w:rFonts w:eastAsia="Calibri"/>
                <w:lang w:bidi="he-IL"/>
              </w:rPr>
            </w:pPr>
            <w:r w:rsidRPr="00F506E8">
              <w:rPr>
                <w:rFonts w:eastAsia="Calibri"/>
                <w:lang w:bidi="he-IL"/>
              </w:rPr>
              <w:t xml:space="preserve">$56,610.00 </w:t>
            </w:r>
          </w:p>
        </w:tc>
      </w:tr>
      <w:tr w:rsidR="00FE375D" w:rsidRPr="00F506E8" w14:paraId="4E813C70" w14:textId="77777777" w:rsidTr="005108E0">
        <w:trPr>
          <w:cantSplit/>
        </w:trPr>
        <w:tc>
          <w:tcPr>
            <w:tcW w:w="1584" w:type="dxa"/>
            <w:tcBorders>
              <w:top w:val="single" w:sz="4" w:space="0" w:color="auto"/>
              <w:left w:val="single" w:sz="4" w:space="0" w:color="auto"/>
              <w:bottom w:val="single" w:sz="4" w:space="0" w:color="auto"/>
              <w:right w:val="single" w:sz="4" w:space="0" w:color="auto"/>
            </w:tcBorders>
            <w:hideMark/>
          </w:tcPr>
          <w:p w14:paraId="53864208" w14:textId="77777777" w:rsidR="00FE375D" w:rsidRPr="00F506E8" w:rsidRDefault="00FE375D" w:rsidP="00F506E8">
            <w:pPr>
              <w:tabs>
                <w:tab w:val="num" w:pos="720"/>
              </w:tabs>
              <w:rPr>
                <w:rFonts w:eastAsia="Calibri"/>
                <w:lang w:bidi="he-IL"/>
              </w:rPr>
            </w:pPr>
            <w:r w:rsidRPr="00F506E8">
              <w:rPr>
                <w:rFonts w:eastAsia="Calibri"/>
                <w:lang w:bidi="he-IL"/>
              </w:rPr>
              <w:t>Total</w:t>
            </w:r>
          </w:p>
        </w:tc>
        <w:tc>
          <w:tcPr>
            <w:tcW w:w="32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01880" w14:textId="77777777" w:rsidR="00FE375D" w:rsidRPr="00F506E8" w:rsidRDefault="00FE375D" w:rsidP="00F506E8">
            <w:pPr>
              <w:tabs>
                <w:tab w:val="num" w:pos="720"/>
              </w:tabs>
              <w:jc w:val="center"/>
              <w:rPr>
                <w:rFonts w:eastAsia="Calibri"/>
                <w:lang w:bidi="he-IL"/>
              </w:rPr>
            </w:pPr>
          </w:p>
        </w:tc>
        <w:tc>
          <w:tcPr>
            <w:tcW w:w="1476" w:type="dxa"/>
            <w:tcBorders>
              <w:top w:val="single" w:sz="4" w:space="0" w:color="auto"/>
              <w:left w:val="single" w:sz="4" w:space="0" w:color="auto"/>
              <w:bottom w:val="single" w:sz="4" w:space="0" w:color="auto"/>
              <w:right w:val="single" w:sz="4" w:space="0" w:color="auto"/>
            </w:tcBorders>
            <w:hideMark/>
          </w:tcPr>
          <w:p w14:paraId="78D8E068" w14:textId="77777777" w:rsidR="00FE375D" w:rsidRPr="00F506E8" w:rsidRDefault="00FE375D" w:rsidP="00F506E8">
            <w:pPr>
              <w:tabs>
                <w:tab w:val="num" w:pos="720"/>
              </w:tabs>
              <w:jc w:val="right"/>
              <w:rPr>
                <w:rFonts w:eastAsia="Calibri"/>
                <w:lang w:bidi="he-IL"/>
              </w:rPr>
            </w:pPr>
            <w:r w:rsidRPr="00F506E8">
              <w:rPr>
                <w:rFonts w:eastAsia="Calibri"/>
                <w:lang w:bidi="he-IL"/>
              </w:rPr>
              <w:t>74</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5E3ED" w14:textId="77777777" w:rsidR="00FE375D" w:rsidRPr="00F506E8" w:rsidRDefault="00FE375D" w:rsidP="00F506E8">
            <w:pPr>
              <w:tabs>
                <w:tab w:val="num" w:pos="720"/>
              </w:tabs>
              <w:jc w:val="right"/>
              <w:rPr>
                <w:rFonts w:eastAsia="Calibri"/>
                <w:lang w:bidi="he-IL"/>
              </w:rPr>
            </w:pPr>
          </w:p>
        </w:tc>
        <w:tc>
          <w:tcPr>
            <w:tcW w:w="1638" w:type="dxa"/>
            <w:tcBorders>
              <w:top w:val="single" w:sz="4" w:space="0" w:color="auto"/>
              <w:left w:val="single" w:sz="4" w:space="0" w:color="auto"/>
              <w:bottom w:val="single" w:sz="4" w:space="0" w:color="auto"/>
              <w:right w:val="single" w:sz="4" w:space="0" w:color="auto"/>
            </w:tcBorders>
            <w:hideMark/>
          </w:tcPr>
          <w:p w14:paraId="4FA5D589" w14:textId="77777777" w:rsidR="00FE375D" w:rsidRPr="00F506E8" w:rsidRDefault="00FE375D" w:rsidP="00F506E8">
            <w:pPr>
              <w:tabs>
                <w:tab w:val="num" w:pos="720"/>
              </w:tabs>
              <w:jc w:val="right"/>
              <w:rPr>
                <w:rFonts w:eastAsia="Calibri"/>
                <w:lang w:bidi="he-IL"/>
              </w:rPr>
            </w:pPr>
            <w:r w:rsidRPr="00F506E8">
              <w:rPr>
                <w:rFonts w:eastAsia="Calibri"/>
                <w:lang w:bidi="he-IL"/>
              </w:rPr>
              <w:t xml:space="preserve"> 740 hours; </w:t>
            </w:r>
          </w:p>
          <w:p w14:paraId="27FDCBD4" w14:textId="77777777" w:rsidR="00FE375D" w:rsidRPr="00F506E8" w:rsidRDefault="00FE375D" w:rsidP="00F506E8">
            <w:pPr>
              <w:tabs>
                <w:tab w:val="num" w:pos="720"/>
              </w:tabs>
              <w:jc w:val="right"/>
              <w:rPr>
                <w:rFonts w:eastAsia="Calibri"/>
                <w:lang w:bidi="he-IL"/>
              </w:rPr>
            </w:pPr>
            <w:r w:rsidRPr="00F506E8">
              <w:rPr>
                <w:rFonts w:eastAsia="Calibri"/>
                <w:lang w:bidi="he-IL"/>
              </w:rPr>
              <w:t>$56,610.00</w:t>
            </w:r>
          </w:p>
        </w:tc>
      </w:tr>
    </w:tbl>
    <w:p w14:paraId="4EF865E9" w14:textId="77777777" w:rsidR="00804CE7" w:rsidRPr="00F506E8" w:rsidRDefault="00804CE7" w:rsidP="00F506E8">
      <w:pPr>
        <w:pStyle w:val="FERCparanumber"/>
        <w:numPr>
          <w:ilvl w:val="0"/>
          <w:numId w:val="0"/>
        </w:numPr>
        <w:rPr>
          <w:b/>
          <w:sz w:val="24"/>
        </w:rPr>
      </w:pPr>
    </w:p>
    <w:p w14:paraId="2A6A7197" w14:textId="77777777" w:rsidR="00FE375D" w:rsidRPr="00F506E8" w:rsidRDefault="00FE375D" w:rsidP="00F506E8">
      <w:pPr>
        <w:pStyle w:val="FERCparanumber"/>
        <w:numPr>
          <w:ilvl w:val="0"/>
          <w:numId w:val="0"/>
        </w:numPr>
        <w:rPr>
          <w:b/>
          <w:sz w:val="24"/>
        </w:rPr>
      </w:pPr>
    </w:p>
    <w:p w14:paraId="50946E71" w14:textId="181373DB" w:rsidR="000D5108" w:rsidRPr="00F506E8" w:rsidRDefault="00A27680" w:rsidP="00F506E8">
      <w:r>
        <w:rPr>
          <w:b/>
        </w:rPr>
        <w:t>FERC-516 components not affected by RM16-6-000</w:t>
      </w:r>
      <w:r w:rsidR="000D5108" w:rsidRPr="00F506E8">
        <w:rPr>
          <w:b/>
        </w:rPr>
        <w:t xml:space="preserve">. </w:t>
      </w:r>
      <w:r w:rsidR="00D65A67" w:rsidRPr="00F506E8">
        <w:rPr>
          <w:b/>
        </w:rPr>
        <w:t xml:space="preserve"> </w:t>
      </w:r>
      <w:r w:rsidR="008A5F00">
        <w:t xml:space="preserve">Everything in FERC-516 that is not applicable to this final rule is still applicable for FERC-516. </w:t>
      </w:r>
      <w:r w:rsidR="00725094">
        <w:t xml:space="preserve"> </w:t>
      </w:r>
    </w:p>
    <w:p w14:paraId="695DD4EB" w14:textId="77777777" w:rsidR="000D5108" w:rsidRPr="00F506E8" w:rsidRDefault="000D5108" w:rsidP="00F506E8">
      <w:pPr>
        <w:pStyle w:val="FERCparanumber"/>
        <w:numPr>
          <w:ilvl w:val="0"/>
          <w:numId w:val="0"/>
        </w:numPr>
        <w:rPr>
          <w:b/>
          <w:sz w:val="24"/>
        </w:rPr>
      </w:pPr>
    </w:p>
    <w:p w14:paraId="4FBE1C7A" w14:textId="77777777" w:rsidR="00C94162" w:rsidRPr="00F506E8" w:rsidRDefault="00C94162" w:rsidP="00F506E8">
      <w:pPr>
        <w:pStyle w:val="FERCparanumber"/>
        <w:numPr>
          <w:ilvl w:val="0"/>
          <w:numId w:val="2"/>
        </w:numPr>
        <w:rPr>
          <w:sz w:val="24"/>
        </w:rPr>
      </w:pPr>
      <w:r w:rsidRPr="00F506E8">
        <w:rPr>
          <w:b/>
          <w:sz w:val="24"/>
        </w:rPr>
        <w:t>ESTIMATE OF THE TOTAL ANNUAL COST BURDEN TO RESPONDENTS</w:t>
      </w:r>
    </w:p>
    <w:p w14:paraId="4B575DBE" w14:textId="77777777" w:rsidR="00C94162" w:rsidRPr="00F506E8" w:rsidRDefault="00C94162" w:rsidP="00F506E8">
      <w:pPr>
        <w:pStyle w:val="FERCparanumber"/>
        <w:numPr>
          <w:ilvl w:val="0"/>
          <w:numId w:val="0"/>
        </w:numPr>
        <w:rPr>
          <w:b/>
          <w:sz w:val="24"/>
        </w:rPr>
      </w:pPr>
    </w:p>
    <w:p w14:paraId="71B431AA" w14:textId="7F147B71" w:rsidR="00C94162" w:rsidRPr="00F506E8" w:rsidRDefault="00C94162" w:rsidP="00F506E8">
      <w:pPr>
        <w:widowControl/>
      </w:pPr>
      <w:r w:rsidRPr="00F506E8">
        <w:t>There are no non-labor start-up costs. All costs are related to burden hours and are addressed in Questions #12 and #15</w:t>
      </w:r>
      <w:r w:rsidR="00DC2AE5">
        <w:t xml:space="preserve">. </w:t>
      </w:r>
    </w:p>
    <w:p w14:paraId="28E23953" w14:textId="77777777" w:rsidR="00C94162" w:rsidRPr="00F506E8" w:rsidRDefault="00C94162" w:rsidP="00F506E8">
      <w:pPr>
        <w:pStyle w:val="FERCparanumber"/>
        <w:numPr>
          <w:ilvl w:val="0"/>
          <w:numId w:val="0"/>
        </w:numPr>
        <w:rPr>
          <w:sz w:val="24"/>
        </w:rPr>
      </w:pPr>
    </w:p>
    <w:p w14:paraId="09BDF4A8" w14:textId="77777777" w:rsidR="00C94162" w:rsidRPr="00F506E8" w:rsidRDefault="00C94162" w:rsidP="00F506E8">
      <w:pPr>
        <w:pStyle w:val="FERCparanumber"/>
        <w:numPr>
          <w:ilvl w:val="0"/>
          <w:numId w:val="2"/>
        </w:numPr>
        <w:rPr>
          <w:b/>
          <w:sz w:val="24"/>
        </w:rPr>
      </w:pPr>
      <w:r w:rsidRPr="00F506E8">
        <w:rPr>
          <w:b/>
          <w:sz w:val="24"/>
        </w:rPr>
        <w:t>ESTIMATED ANNUALIZED COST TO FEDERAL GOVERNMENT</w:t>
      </w:r>
    </w:p>
    <w:p w14:paraId="575F79CB" w14:textId="77777777" w:rsidR="00E72801" w:rsidRDefault="00E72801" w:rsidP="00F506E8">
      <w:pPr>
        <w:pStyle w:val="ListParagraph"/>
        <w:spacing w:after="0" w:line="240" w:lineRule="auto"/>
        <w:rPr>
          <w:rFonts w:ascii="Times New Roman" w:hAnsi="Times New Roman"/>
          <w:b/>
          <w:sz w:val="24"/>
          <w:szCs w:val="24"/>
        </w:rPr>
      </w:pPr>
    </w:p>
    <w:p w14:paraId="04D03365" w14:textId="4D1EF21F" w:rsidR="00E72801" w:rsidRDefault="00E72801" w:rsidP="00796B2B">
      <w:r w:rsidRPr="00F506E8">
        <w:t xml:space="preserve">The additional $402,608 </w:t>
      </w:r>
      <w:r w:rsidR="002A7C44">
        <w:t xml:space="preserve">(detailed below) </w:t>
      </w:r>
      <w:r w:rsidRPr="00F506E8">
        <w:t>will be added to the previous federal cost of $3,249,033, giving a new total of $3,651,641.</w:t>
      </w:r>
    </w:p>
    <w:p w14:paraId="42506A94" w14:textId="77777777" w:rsidR="00EC1C7C" w:rsidRPr="00E72801" w:rsidRDefault="00EC1C7C" w:rsidP="00796B2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C94162" w:rsidRPr="00F506E8" w14:paraId="7EC342DA" w14:textId="77777777" w:rsidTr="002246A6">
        <w:tc>
          <w:tcPr>
            <w:tcW w:w="1756" w:type="pct"/>
            <w:shd w:val="clear" w:color="auto" w:fill="D9D9D9"/>
            <w:vAlign w:val="center"/>
          </w:tcPr>
          <w:p w14:paraId="22159525" w14:textId="77777777" w:rsidR="00C94162" w:rsidRPr="00F506E8" w:rsidRDefault="00C94162" w:rsidP="00F506E8">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31077D11" w14:textId="77777777" w:rsidR="00C94162" w:rsidRPr="00F506E8" w:rsidRDefault="00C94162" w:rsidP="00F506E8">
            <w:pPr>
              <w:pStyle w:val="ListParagraph"/>
              <w:spacing w:after="0" w:line="240" w:lineRule="auto"/>
              <w:ind w:left="0"/>
              <w:jc w:val="center"/>
              <w:rPr>
                <w:rFonts w:ascii="Times New Roman" w:hAnsi="Times New Roman"/>
                <w:b/>
                <w:sz w:val="24"/>
                <w:szCs w:val="24"/>
              </w:rPr>
            </w:pPr>
            <w:r w:rsidRPr="00F506E8">
              <w:rPr>
                <w:rFonts w:ascii="Times New Roman" w:hAnsi="Times New Roman"/>
                <w:b/>
                <w:sz w:val="24"/>
                <w:szCs w:val="24"/>
              </w:rPr>
              <w:t>Number of Employees (FTE)</w:t>
            </w:r>
          </w:p>
        </w:tc>
        <w:tc>
          <w:tcPr>
            <w:tcW w:w="1617" w:type="pct"/>
            <w:shd w:val="clear" w:color="auto" w:fill="D9D9D9"/>
            <w:vAlign w:val="center"/>
          </w:tcPr>
          <w:p w14:paraId="0755B9BD" w14:textId="77777777" w:rsidR="00C94162" w:rsidRPr="00F506E8" w:rsidRDefault="00C94162" w:rsidP="00F506E8">
            <w:pPr>
              <w:pStyle w:val="ListParagraph"/>
              <w:spacing w:after="0" w:line="240" w:lineRule="auto"/>
              <w:ind w:left="0"/>
              <w:jc w:val="center"/>
              <w:rPr>
                <w:rFonts w:ascii="Times New Roman" w:hAnsi="Times New Roman"/>
                <w:b/>
                <w:sz w:val="24"/>
                <w:szCs w:val="24"/>
              </w:rPr>
            </w:pPr>
            <w:r w:rsidRPr="00F506E8">
              <w:rPr>
                <w:rFonts w:ascii="Times New Roman" w:hAnsi="Times New Roman"/>
                <w:b/>
                <w:sz w:val="24"/>
                <w:szCs w:val="24"/>
              </w:rPr>
              <w:t>Estimated Annual Federal Cost</w:t>
            </w:r>
          </w:p>
        </w:tc>
      </w:tr>
      <w:tr w:rsidR="00C94162" w:rsidRPr="00F506E8" w14:paraId="015FBC2C" w14:textId="77777777" w:rsidTr="002246A6">
        <w:tc>
          <w:tcPr>
            <w:tcW w:w="1756" w:type="pct"/>
            <w:shd w:val="clear" w:color="auto" w:fill="auto"/>
            <w:vAlign w:val="center"/>
          </w:tcPr>
          <w:p w14:paraId="23E89211" w14:textId="77777777" w:rsidR="00C94162" w:rsidRPr="00F506E8" w:rsidRDefault="00C94162" w:rsidP="00F506E8">
            <w:pPr>
              <w:pStyle w:val="ListParagraph"/>
              <w:spacing w:after="0" w:line="240" w:lineRule="auto"/>
              <w:ind w:left="0"/>
              <w:rPr>
                <w:rFonts w:ascii="Times New Roman" w:hAnsi="Times New Roman"/>
                <w:sz w:val="24"/>
                <w:szCs w:val="24"/>
              </w:rPr>
            </w:pPr>
            <w:r w:rsidRPr="00F506E8">
              <w:rPr>
                <w:rFonts w:ascii="Times New Roman" w:hAnsi="Times New Roman"/>
                <w:sz w:val="24"/>
                <w:szCs w:val="24"/>
              </w:rPr>
              <w:t>Analysis and Processing of Filings</w:t>
            </w:r>
            <w:r w:rsidRPr="00F506E8">
              <w:rPr>
                <w:rStyle w:val="FootnoteReference"/>
                <w:rFonts w:ascii="Times New Roman" w:hAnsi="Times New Roman"/>
                <w:sz w:val="24"/>
                <w:szCs w:val="24"/>
                <w:vertAlign w:val="superscript"/>
              </w:rPr>
              <w:footnoteReference w:id="16"/>
            </w:r>
            <w:r w:rsidR="00D10FA7" w:rsidRPr="00F506E8">
              <w:rPr>
                <w:rFonts w:ascii="Times New Roman" w:hAnsi="Times New Roman"/>
                <w:sz w:val="24"/>
                <w:szCs w:val="24"/>
              </w:rPr>
              <w:t xml:space="preserve"> </w:t>
            </w:r>
          </w:p>
        </w:tc>
        <w:tc>
          <w:tcPr>
            <w:tcW w:w="1627" w:type="pct"/>
            <w:shd w:val="clear" w:color="auto" w:fill="auto"/>
            <w:vAlign w:val="center"/>
          </w:tcPr>
          <w:p w14:paraId="2C386D2B" w14:textId="77777777" w:rsidR="00C94162" w:rsidRPr="00F506E8" w:rsidRDefault="00C94162" w:rsidP="00F506E8">
            <w:pPr>
              <w:pStyle w:val="ListParagraph"/>
              <w:spacing w:after="0" w:line="240" w:lineRule="auto"/>
              <w:ind w:left="0"/>
              <w:jc w:val="right"/>
              <w:rPr>
                <w:rFonts w:ascii="Times New Roman" w:hAnsi="Times New Roman"/>
                <w:sz w:val="24"/>
                <w:szCs w:val="24"/>
                <w:highlight w:val="yellow"/>
              </w:rPr>
            </w:pPr>
            <w:r w:rsidRPr="00F506E8">
              <w:rPr>
                <w:rFonts w:ascii="Times New Roman" w:hAnsi="Times New Roman"/>
                <w:sz w:val="24"/>
                <w:szCs w:val="24"/>
              </w:rPr>
              <w:t>2.5</w:t>
            </w:r>
          </w:p>
        </w:tc>
        <w:tc>
          <w:tcPr>
            <w:tcW w:w="1617" w:type="pct"/>
            <w:shd w:val="clear" w:color="auto" w:fill="auto"/>
            <w:vAlign w:val="center"/>
          </w:tcPr>
          <w:p w14:paraId="0BC0E00B" w14:textId="77777777" w:rsidR="00C94162" w:rsidRPr="00F506E8" w:rsidRDefault="00C94162" w:rsidP="00F506E8">
            <w:pPr>
              <w:pStyle w:val="ListParagraph"/>
              <w:spacing w:after="0" w:line="240" w:lineRule="auto"/>
              <w:ind w:left="0"/>
              <w:jc w:val="right"/>
              <w:rPr>
                <w:rFonts w:ascii="Times New Roman" w:hAnsi="Times New Roman"/>
                <w:sz w:val="24"/>
                <w:szCs w:val="24"/>
                <w:highlight w:val="yellow"/>
              </w:rPr>
            </w:pPr>
            <w:r w:rsidRPr="00F506E8">
              <w:rPr>
                <w:rFonts w:ascii="Times New Roman" w:hAnsi="Times New Roman"/>
                <w:sz w:val="24"/>
                <w:szCs w:val="24"/>
              </w:rPr>
              <w:t>$</w:t>
            </w:r>
            <w:r w:rsidR="00D61355" w:rsidRPr="00F506E8">
              <w:rPr>
                <w:rFonts w:ascii="Times New Roman" w:hAnsi="Times New Roman"/>
                <w:sz w:val="24"/>
                <w:szCs w:val="24"/>
              </w:rPr>
              <w:t>396,885</w:t>
            </w:r>
          </w:p>
        </w:tc>
      </w:tr>
      <w:tr w:rsidR="00C94162" w:rsidRPr="00F506E8" w14:paraId="77107EFA" w14:textId="77777777" w:rsidTr="002246A6">
        <w:tc>
          <w:tcPr>
            <w:tcW w:w="1756" w:type="pct"/>
            <w:shd w:val="clear" w:color="auto" w:fill="auto"/>
            <w:vAlign w:val="center"/>
          </w:tcPr>
          <w:p w14:paraId="50C2A3F9" w14:textId="77777777" w:rsidR="00C94162" w:rsidRPr="00F506E8" w:rsidRDefault="00C94162" w:rsidP="00F506E8">
            <w:pPr>
              <w:pStyle w:val="ListParagraph"/>
              <w:spacing w:after="0" w:line="240" w:lineRule="auto"/>
              <w:ind w:left="0"/>
              <w:rPr>
                <w:rFonts w:ascii="Times New Roman" w:hAnsi="Times New Roman"/>
                <w:sz w:val="24"/>
                <w:szCs w:val="24"/>
              </w:rPr>
            </w:pPr>
            <w:r w:rsidRPr="00F506E8">
              <w:rPr>
                <w:rFonts w:ascii="Times New Roman" w:hAnsi="Times New Roman"/>
                <w:sz w:val="24"/>
                <w:szCs w:val="24"/>
              </w:rPr>
              <w:t>PRA</w:t>
            </w:r>
            <w:r w:rsidRPr="00F506E8">
              <w:rPr>
                <w:rStyle w:val="FootnoteReference"/>
                <w:rFonts w:ascii="Times New Roman" w:hAnsi="Times New Roman"/>
                <w:sz w:val="24"/>
                <w:szCs w:val="24"/>
                <w:vertAlign w:val="superscript"/>
              </w:rPr>
              <w:footnoteReference w:id="17"/>
            </w:r>
            <w:r w:rsidRPr="00F506E8">
              <w:rPr>
                <w:rFonts w:ascii="Times New Roman" w:hAnsi="Times New Roman"/>
                <w:sz w:val="24"/>
                <w:szCs w:val="24"/>
              </w:rPr>
              <w:t xml:space="preserve"> Administrative Cost</w:t>
            </w:r>
            <w:r w:rsidRPr="00F506E8">
              <w:rPr>
                <w:rStyle w:val="FootnoteReference"/>
                <w:rFonts w:ascii="Times New Roman" w:hAnsi="Times New Roman"/>
                <w:sz w:val="24"/>
                <w:szCs w:val="24"/>
                <w:vertAlign w:val="superscript"/>
              </w:rPr>
              <w:footnoteReference w:id="18"/>
            </w:r>
            <w:r w:rsidR="00D10FA7" w:rsidRPr="00F506E8">
              <w:rPr>
                <w:rFonts w:ascii="Times New Roman" w:hAnsi="Times New Roman"/>
                <w:sz w:val="24"/>
                <w:szCs w:val="24"/>
              </w:rPr>
              <w:t xml:space="preserve"> </w:t>
            </w:r>
          </w:p>
        </w:tc>
        <w:tc>
          <w:tcPr>
            <w:tcW w:w="1627" w:type="pct"/>
            <w:shd w:val="clear" w:color="auto" w:fill="D9D9D9"/>
            <w:vAlign w:val="center"/>
          </w:tcPr>
          <w:p w14:paraId="561965F1" w14:textId="77777777" w:rsidR="00C94162" w:rsidRPr="00F506E8" w:rsidRDefault="00C94162" w:rsidP="00F506E8">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2768B5BB" w14:textId="77777777" w:rsidR="00C94162" w:rsidRPr="00F506E8" w:rsidRDefault="00C94162" w:rsidP="00F506E8">
            <w:pPr>
              <w:pStyle w:val="ListParagraph"/>
              <w:spacing w:after="0" w:line="240" w:lineRule="auto"/>
              <w:ind w:left="0"/>
              <w:jc w:val="right"/>
              <w:rPr>
                <w:rFonts w:ascii="Times New Roman" w:hAnsi="Times New Roman"/>
                <w:sz w:val="24"/>
                <w:szCs w:val="24"/>
              </w:rPr>
            </w:pPr>
            <w:r w:rsidRPr="00F506E8">
              <w:rPr>
                <w:rFonts w:ascii="Times New Roman" w:hAnsi="Times New Roman"/>
                <w:sz w:val="24"/>
                <w:szCs w:val="24"/>
              </w:rPr>
              <w:t>$5,</w:t>
            </w:r>
            <w:r w:rsidR="00C10E41" w:rsidRPr="00F506E8">
              <w:rPr>
                <w:rFonts w:ascii="Times New Roman" w:hAnsi="Times New Roman"/>
                <w:sz w:val="24"/>
                <w:szCs w:val="24"/>
              </w:rPr>
              <w:t>723</w:t>
            </w:r>
          </w:p>
        </w:tc>
      </w:tr>
      <w:tr w:rsidR="00C94162" w:rsidRPr="00F506E8" w14:paraId="524238D2" w14:textId="77777777" w:rsidTr="002246A6">
        <w:tc>
          <w:tcPr>
            <w:tcW w:w="1756" w:type="pct"/>
            <w:shd w:val="clear" w:color="auto" w:fill="auto"/>
            <w:vAlign w:val="center"/>
          </w:tcPr>
          <w:p w14:paraId="4EE437ED" w14:textId="77777777" w:rsidR="00C94162" w:rsidRPr="00F506E8" w:rsidRDefault="00C94162" w:rsidP="00F506E8">
            <w:pPr>
              <w:pStyle w:val="ListParagraph"/>
              <w:spacing w:after="0" w:line="240" w:lineRule="auto"/>
              <w:ind w:left="0"/>
              <w:rPr>
                <w:rFonts w:ascii="Times New Roman" w:hAnsi="Times New Roman"/>
                <w:sz w:val="24"/>
                <w:szCs w:val="24"/>
              </w:rPr>
            </w:pPr>
            <w:r w:rsidRPr="00F506E8">
              <w:rPr>
                <w:rFonts w:ascii="Times New Roman" w:hAnsi="Times New Roman"/>
                <w:sz w:val="24"/>
                <w:szCs w:val="24"/>
              </w:rPr>
              <w:t>FERC Total</w:t>
            </w:r>
          </w:p>
        </w:tc>
        <w:tc>
          <w:tcPr>
            <w:tcW w:w="1627" w:type="pct"/>
            <w:shd w:val="clear" w:color="auto" w:fill="D9D9D9"/>
            <w:vAlign w:val="center"/>
          </w:tcPr>
          <w:p w14:paraId="244269B9" w14:textId="77777777" w:rsidR="00C94162" w:rsidRPr="00F506E8" w:rsidRDefault="00C94162" w:rsidP="00F506E8">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22DEA3E4" w14:textId="77777777" w:rsidR="00C94162" w:rsidRPr="00F506E8" w:rsidRDefault="00C94162" w:rsidP="00F506E8">
            <w:pPr>
              <w:pStyle w:val="ListParagraph"/>
              <w:spacing w:after="0" w:line="240" w:lineRule="auto"/>
              <w:ind w:left="0"/>
              <w:jc w:val="right"/>
              <w:rPr>
                <w:rFonts w:ascii="Times New Roman" w:hAnsi="Times New Roman"/>
                <w:sz w:val="24"/>
                <w:szCs w:val="24"/>
              </w:rPr>
            </w:pPr>
            <w:r w:rsidRPr="00F506E8">
              <w:rPr>
                <w:rFonts w:ascii="Times New Roman" w:hAnsi="Times New Roman"/>
                <w:sz w:val="24"/>
                <w:szCs w:val="24"/>
              </w:rPr>
              <w:t>$</w:t>
            </w:r>
            <w:r w:rsidR="00D61355" w:rsidRPr="00F506E8">
              <w:rPr>
                <w:rFonts w:ascii="Times New Roman" w:hAnsi="Times New Roman"/>
                <w:sz w:val="24"/>
                <w:szCs w:val="24"/>
              </w:rPr>
              <w:t>402,608</w:t>
            </w:r>
          </w:p>
        </w:tc>
      </w:tr>
    </w:tbl>
    <w:p w14:paraId="518AA5B5" w14:textId="77777777" w:rsidR="000D5108" w:rsidRPr="00F506E8" w:rsidRDefault="000D5108" w:rsidP="00F506E8">
      <w:pPr>
        <w:rPr>
          <w:b/>
        </w:rPr>
      </w:pPr>
    </w:p>
    <w:p w14:paraId="4568DA48" w14:textId="56986589" w:rsidR="00C94162" w:rsidRPr="00F506E8" w:rsidRDefault="00C94162" w:rsidP="00F506E8">
      <w:r w:rsidRPr="00F506E8">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628AD7DE" w14:textId="77777777" w:rsidR="000D5108" w:rsidRPr="00F506E8" w:rsidRDefault="000D5108" w:rsidP="00F506E8"/>
    <w:p w14:paraId="03884614" w14:textId="77777777" w:rsidR="00C94162" w:rsidRPr="00F506E8" w:rsidRDefault="00C94162" w:rsidP="00F506E8">
      <w:pPr>
        <w:pStyle w:val="FERCparanumber"/>
        <w:numPr>
          <w:ilvl w:val="0"/>
          <w:numId w:val="2"/>
        </w:numPr>
        <w:rPr>
          <w:b/>
          <w:sz w:val="24"/>
        </w:rPr>
      </w:pPr>
      <w:r w:rsidRPr="00F506E8">
        <w:rPr>
          <w:b/>
          <w:sz w:val="24"/>
        </w:rPr>
        <w:t>REASONS FOR CHANGES IN BURDEN INCLUDING THE NEED FOR ANY INCREASE</w:t>
      </w:r>
    </w:p>
    <w:p w14:paraId="1DF52C5C" w14:textId="77777777" w:rsidR="00C94162" w:rsidRPr="00F506E8" w:rsidRDefault="00C94162" w:rsidP="00F506E8">
      <w:pPr>
        <w:pStyle w:val="FERCparanumber"/>
        <w:numPr>
          <w:ilvl w:val="0"/>
          <w:numId w:val="0"/>
        </w:numPr>
        <w:rPr>
          <w:b/>
          <w:sz w:val="24"/>
        </w:rPr>
      </w:pPr>
    </w:p>
    <w:p w14:paraId="61B376A6" w14:textId="77777777" w:rsidR="00D073FF" w:rsidRDefault="009B4438" w:rsidP="00C91FC9">
      <w:r>
        <w:rPr>
          <w:b/>
        </w:rPr>
        <w:t>FERC-516 changes due to RM16-6-000</w:t>
      </w:r>
      <w:r w:rsidR="00D10FA7" w:rsidRPr="00F506E8">
        <w:rPr>
          <w:b/>
        </w:rPr>
        <w:t xml:space="preserve">. </w:t>
      </w:r>
      <w:r w:rsidR="00D073FF">
        <w:t>T</w:t>
      </w:r>
      <w:r w:rsidR="00D073FF" w:rsidRPr="00B37D55">
        <w:t>he Federal Energy Regulatory Commission (Commission) is</w:t>
      </w:r>
      <w:r w:rsidR="00D073FF">
        <w:t xml:space="preserve"> revising its regulations to require newly interconnecting large and small generating facilities, both synchronous and non-synchronous, to install, maintain, and operate equipment capable of providing primary frequency response as a condition of interconnection.  To implement these requirements, the Commission is modifying the </w:t>
      </w:r>
      <w:r w:rsidR="00D073FF">
        <w:rPr>
          <w:i/>
        </w:rPr>
        <w:t xml:space="preserve">pro forma </w:t>
      </w:r>
      <w:r w:rsidR="00D073FF">
        <w:t xml:space="preserve">Large Generator Interconnection Agreement (LGIA) and the </w:t>
      </w:r>
      <w:r w:rsidR="00D073FF">
        <w:rPr>
          <w:i/>
        </w:rPr>
        <w:t>pro forma</w:t>
      </w:r>
      <w:r w:rsidR="00D073FF">
        <w:t xml:space="preserve"> Small Generator Interconnection Agreement (SGIA).  These changes are designed to address the potential reliability impact of the evolving generation resource mix, and to ensure that the relevant provisions of the </w:t>
      </w:r>
      <w:r w:rsidR="00D073FF">
        <w:rPr>
          <w:i/>
        </w:rPr>
        <w:t xml:space="preserve">pro forma </w:t>
      </w:r>
      <w:r w:rsidR="00D073FF">
        <w:t xml:space="preserve">LGIA and </w:t>
      </w:r>
      <w:r w:rsidR="00D073FF">
        <w:rPr>
          <w:i/>
        </w:rPr>
        <w:t xml:space="preserve">pro forma </w:t>
      </w:r>
      <w:r w:rsidR="00D073FF">
        <w:t>SGIA are just, reasonable, and not unduly discriminatory or preferential.</w:t>
      </w:r>
    </w:p>
    <w:p w14:paraId="3CDBA51B" w14:textId="77777777" w:rsidR="00C91FC9" w:rsidRPr="00A7048B" w:rsidRDefault="00C91FC9" w:rsidP="00C91FC9"/>
    <w:p w14:paraId="5159DEBD" w14:textId="77777777" w:rsidR="00C94162" w:rsidRPr="00F506E8" w:rsidRDefault="00C94162" w:rsidP="00F506E8">
      <w:r w:rsidRPr="00F506E8">
        <w:t xml:space="preserve">The following table </w:t>
      </w:r>
      <w:r w:rsidR="00C10E41" w:rsidRPr="00F506E8">
        <w:t>is a summary of the current OMB-approved inventory and the changes due to the Final Rule in RM16-6.</w:t>
      </w:r>
    </w:p>
    <w:p w14:paraId="7FC2E201" w14:textId="77777777" w:rsidR="00C94162" w:rsidRPr="00F506E8" w:rsidRDefault="00C94162" w:rsidP="00F506E8">
      <w:pPr>
        <w:widowControl/>
        <w:tabs>
          <w:tab w:val="left" w:pos="2394"/>
        </w:tabs>
      </w:pPr>
      <w:r w:rsidRPr="00F506E8">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C94162" w:rsidRPr="00F506E8" w14:paraId="5D161E4A" w14:textId="77777777" w:rsidTr="002246A6">
        <w:trPr>
          <w:trHeight w:val="870"/>
        </w:trPr>
        <w:tc>
          <w:tcPr>
            <w:tcW w:w="1442" w:type="pct"/>
            <w:shd w:val="clear" w:color="auto" w:fill="D9D9D9"/>
            <w:vAlign w:val="bottom"/>
          </w:tcPr>
          <w:p w14:paraId="72654F66" w14:textId="77777777" w:rsidR="00C94162" w:rsidRPr="00F506E8" w:rsidRDefault="00C94162" w:rsidP="00F506E8">
            <w:pPr>
              <w:jc w:val="center"/>
              <w:rPr>
                <w:b/>
              </w:rPr>
            </w:pPr>
            <w:r w:rsidRPr="00F506E8">
              <w:rPr>
                <w:b/>
              </w:rPr>
              <w:t>FERC-516</w:t>
            </w:r>
          </w:p>
        </w:tc>
        <w:tc>
          <w:tcPr>
            <w:tcW w:w="829" w:type="pct"/>
            <w:shd w:val="clear" w:color="auto" w:fill="D9D9D9"/>
            <w:vAlign w:val="bottom"/>
          </w:tcPr>
          <w:p w14:paraId="33A3F2D1" w14:textId="77777777" w:rsidR="00C94162" w:rsidRPr="00F506E8" w:rsidRDefault="00C94162" w:rsidP="00F506E8">
            <w:pPr>
              <w:jc w:val="center"/>
              <w:rPr>
                <w:b/>
              </w:rPr>
            </w:pPr>
            <w:r w:rsidRPr="00F506E8">
              <w:rPr>
                <w:b/>
              </w:rPr>
              <w:t>Total Request</w:t>
            </w:r>
          </w:p>
        </w:tc>
        <w:tc>
          <w:tcPr>
            <w:tcW w:w="854" w:type="pct"/>
            <w:shd w:val="clear" w:color="auto" w:fill="D9D9D9"/>
            <w:vAlign w:val="bottom"/>
          </w:tcPr>
          <w:p w14:paraId="33A71205" w14:textId="77777777" w:rsidR="00C94162" w:rsidRPr="00F506E8" w:rsidRDefault="00C94162" w:rsidP="00F506E8">
            <w:pPr>
              <w:jc w:val="center"/>
              <w:rPr>
                <w:b/>
              </w:rPr>
            </w:pPr>
            <w:r w:rsidRPr="00F506E8">
              <w:rPr>
                <w:b/>
              </w:rPr>
              <w:t>Previously Approved</w:t>
            </w:r>
          </w:p>
        </w:tc>
        <w:tc>
          <w:tcPr>
            <w:tcW w:w="1010" w:type="pct"/>
            <w:shd w:val="clear" w:color="auto" w:fill="D9D9D9"/>
            <w:vAlign w:val="bottom"/>
          </w:tcPr>
          <w:p w14:paraId="2B6B1858" w14:textId="77777777" w:rsidR="00C94162" w:rsidRPr="00F506E8" w:rsidRDefault="00C94162" w:rsidP="00F506E8">
            <w:pPr>
              <w:jc w:val="center"/>
              <w:rPr>
                <w:b/>
              </w:rPr>
            </w:pPr>
            <w:r w:rsidRPr="00F506E8">
              <w:rPr>
                <w:b/>
              </w:rPr>
              <w:t>Change due to Adjustment in Estimate</w:t>
            </w:r>
          </w:p>
        </w:tc>
        <w:tc>
          <w:tcPr>
            <w:tcW w:w="865" w:type="pct"/>
            <w:shd w:val="clear" w:color="auto" w:fill="D9D9D9"/>
            <w:vAlign w:val="bottom"/>
          </w:tcPr>
          <w:p w14:paraId="4691A93B" w14:textId="77777777" w:rsidR="00C94162" w:rsidRPr="00F506E8" w:rsidRDefault="00C94162" w:rsidP="00F506E8">
            <w:pPr>
              <w:jc w:val="center"/>
              <w:rPr>
                <w:b/>
              </w:rPr>
            </w:pPr>
            <w:r w:rsidRPr="00F506E8">
              <w:rPr>
                <w:b/>
              </w:rPr>
              <w:t>Change Due to Agency Discretion</w:t>
            </w:r>
          </w:p>
        </w:tc>
      </w:tr>
      <w:tr w:rsidR="00C94162" w:rsidRPr="00F506E8" w14:paraId="0124255B" w14:textId="77777777" w:rsidTr="002246A6">
        <w:trPr>
          <w:trHeight w:val="591"/>
        </w:trPr>
        <w:tc>
          <w:tcPr>
            <w:tcW w:w="1442" w:type="pct"/>
            <w:shd w:val="clear" w:color="auto" w:fill="auto"/>
          </w:tcPr>
          <w:p w14:paraId="3494DF44" w14:textId="77777777" w:rsidR="00C94162" w:rsidRPr="00F506E8" w:rsidRDefault="00C94162" w:rsidP="00F506E8">
            <w:pPr>
              <w:jc w:val="center"/>
            </w:pPr>
            <w:r w:rsidRPr="00F506E8">
              <w:t>Annual Number of Responses</w:t>
            </w:r>
          </w:p>
        </w:tc>
        <w:tc>
          <w:tcPr>
            <w:tcW w:w="829" w:type="pct"/>
            <w:shd w:val="clear" w:color="auto" w:fill="auto"/>
            <w:vAlign w:val="center"/>
          </w:tcPr>
          <w:p w14:paraId="4E45FA23" w14:textId="77777777" w:rsidR="00C94162" w:rsidRPr="00F506E8" w:rsidRDefault="00EC362E" w:rsidP="00F506E8">
            <w:pPr>
              <w:jc w:val="right"/>
            </w:pPr>
            <w:r w:rsidRPr="00F506E8">
              <w:t>5,881</w:t>
            </w:r>
          </w:p>
        </w:tc>
        <w:tc>
          <w:tcPr>
            <w:tcW w:w="854" w:type="pct"/>
            <w:shd w:val="clear" w:color="auto" w:fill="auto"/>
            <w:vAlign w:val="center"/>
          </w:tcPr>
          <w:p w14:paraId="6D99E0A9" w14:textId="77777777" w:rsidR="00C94162" w:rsidRPr="00F506E8" w:rsidRDefault="00C94162" w:rsidP="00F506E8">
            <w:pPr>
              <w:jc w:val="right"/>
            </w:pPr>
            <w:r w:rsidRPr="00F506E8">
              <w:t>5,807</w:t>
            </w:r>
          </w:p>
        </w:tc>
        <w:tc>
          <w:tcPr>
            <w:tcW w:w="1010" w:type="pct"/>
            <w:shd w:val="clear" w:color="auto" w:fill="auto"/>
            <w:vAlign w:val="center"/>
          </w:tcPr>
          <w:p w14:paraId="434CAC54" w14:textId="77777777" w:rsidR="00C94162" w:rsidRPr="00F506E8" w:rsidRDefault="00C94162" w:rsidP="00F506E8">
            <w:pPr>
              <w:jc w:val="right"/>
            </w:pPr>
            <w:r w:rsidRPr="00F506E8">
              <w:t>0</w:t>
            </w:r>
          </w:p>
        </w:tc>
        <w:tc>
          <w:tcPr>
            <w:tcW w:w="865" w:type="pct"/>
            <w:shd w:val="clear" w:color="auto" w:fill="auto"/>
            <w:vAlign w:val="center"/>
          </w:tcPr>
          <w:p w14:paraId="6F7BF2F2" w14:textId="77777777" w:rsidR="00C94162" w:rsidRPr="00F506E8" w:rsidRDefault="00EC362E" w:rsidP="00F506E8">
            <w:pPr>
              <w:jc w:val="right"/>
            </w:pPr>
            <w:r w:rsidRPr="00F506E8">
              <w:t>74</w:t>
            </w:r>
          </w:p>
        </w:tc>
      </w:tr>
      <w:tr w:rsidR="00C94162" w:rsidRPr="00F506E8" w14:paraId="54568BF0" w14:textId="77777777" w:rsidTr="002246A6">
        <w:trPr>
          <w:trHeight w:val="575"/>
        </w:trPr>
        <w:tc>
          <w:tcPr>
            <w:tcW w:w="1442" w:type="pct"/>
            <w:shd w:val="clear" w:color="auto" w:fill="auto"/>
          </w:tcPr>
          <w:p w14:paraId="62B9B5D9" w14:textId="77777777" w:rsidR="00C94162" w:rsidRPr="00F506E8" w:rsidRDefault="00C94162" w:rsidP="00F506E8">
            <w:pPr>
              <w:jc w:val="center"/>
            </w:pPr>
            <w:r w:rsidRPr="00F506E8">
              <w:t>Annual Time Burden (Hours)</w:t>
            </w:r>
          </w:p>
        </w:tc>
        <w:tc>
          <w:tcPr>
            <w:tcW w:w="829" w:type="pct"/>
            <w:shd w:val="clear" w:color="auto" w:fill="auto"/>
            <w:vAlign w:val="center"/>
          </w:tcPr>
          <w:p w14:paraId="098242F8" w14:textId="77777777" w:rsidR="00C94162" w:rsidRPr="00F506E8" w:rsidRDefault="00EC362E" w:rsidP="00F506E8">
            <w:pPr>
              <w:jc w:val="right"/>
            </w:pPr>
            <w:r w:rsidRPr="00F506E8">
              <w:t>500,647</w:t>
            </w:r>
          </w:p>
        </w:tc>
        <w:tc>
          <w:tcPr>
            <w:tcW w:w="854" w:type="pct"/>
            <w:shd w:val="clear" w:color="auto" w:fill="auto"/>
            <w:vAlign w:val="center"/>
          </w:tcPr>
          <w:p w14:paraId="654FC9B5" w14:textId="77777777" w:rsidR="00C94162" w:rsidRPr="00F506E8" w:rsidRDefault="00C94162" w:rsidP="00F506E8">
            <w:pPr>
              <w:jc w:val="right"/>
            </w:pPr>
            <w:r w:rsidRPr="00F506E8">
              <w:t>499,907</w:t>
            </w:r>
          </w:p>
        </w:tc>
        <w:tc>
          <w:tcPr>
            <w:tcW w:w="1010" w:type="pct"/>
            <w:shd w:val="clear" w:color="auto" w:fill="auto"/>
            <w:vAlign w:val="center"/>
          </w:tcPr>
          <w:p w14:paraId="40FA05A3" w14:textId="77777777" w:rsidR="00C94162" w:rsidRPr="00F506E8" w:rsidRDefault="00C94162" w:rsidP="00F506E8">
            <w:pPr>
              <w:jc w:val="right"/>
            </w:pPr>
            <w:r w:rsidRPr="00F506E8">
              <w:t>0</w:t>
            </w:r>
          </w:p>
        </w:tc>
        <w:tc>
          <w:tcPr>
            <w:tcW w:w="865" w:type="pct"/>
            <w:shd w:val="clear" w:color="auto" w:fill="auto"/>
            <w:vAlign w:val="center"/>
          </w:tcPr>
          <w:p w14:paraId="52B712BC" w14:textId="77777777" w:rsidR="00C94162" w:rsidRPr="00F506E8" w:rsidRDefault="00EC362E" w:rsidP="00F506E8">
            <w:pPr>
              <w:jc w:val="right"/>
            </w:pPr>
            <w:r w:rsidRPr="00F506E8">
              <w:t>740</w:t>
            </w:r>
          </w:p>
        </w:tc>
      </w:tr>
      <w:tr w:rsidR="00C94162" w:rsidRPr="00F506E8" w14:paraId="17088304" w14:textId="77777777" w:rsidTr="002246A6">
        <w:trPr>
          <w:trHeight w:val="295"/>
        </w:trPr>
        <w:tc>
          <w:tcPr>
            <w:tcW w:w="1442" w:type="pct"/>
            <w:tcBorders>
              <w:bottom w:val="single" w:sz="4" w:space="0" w:color="auto"/>
            </w:tcBorders>
            <w:shd w:val="clear" w:color="auto" w:fill="auto"/>
          </w:tcPr>
          <w:p w14:paraId="174367A2" w14:textId="77777777" w:rsidR="00C94162" w:rsidRPr="00F506E8" w:rsidRDefault="00C94162" w:rsidP="00F506E8">
            <w:pPr>
              <w:jc w:val="center"/>
            </w:pPr>
            <w:r w:rsidRPr="00FD11CC">
              <w:t>Annual Cost Burden</w:t>
            </w:r>
            <w:r w:rsidRPr="00F506E8">
              <w:t xml:space="preserve"> ($)</w:t>
            </w:r>
          </w:p>
        </w:tc>
        <w:tc>
          <w:tcPr>
            <w:tcW w:w="829" w:type="pct"/>
            <w:tcBorders>
              <w:bottom w:val="single" w:sz="4" w:space="0" w:color="auto"/>
            </w:tcBorders>
            <w:shd w:val="clear" w:color="auto" w:fill="auto"/>
            <w:vAlign w:val="center"/>
          </w:tcPr>
          <w:p w14:paraId="0FEB657B" w14:textId="77777777" w:rsidR="00C94162" w:rsidRPr="00F506E8" w:rsidRDefault="00C94162" w:rsidP="00F506E8">
            <w:pPr>
              <w:jc w:val="right"/>
            </w:pPr>
            <w:r w:rsidRPr="00F506E8">
              <w:t>$0</w:t>
            </w:r>
          </w:p>
        </w:tc>
        <w:tc>
          <w:tcPr>
            <w:tcW w:w="854" w:type="pct"/>
            <w:tcBorders>
              <w:bottom w:val="single" w:sz="4" w:space="0" w:color="auto"/>
            </w:tcBorders>
            <w:shd w:val="clear" w:color="auto" w:fill="auto"/>
            <w:vAlign w:val="center"/>
          </w:tcPr>
          <w:p w14:paraId="54A0D8EE" w14:textId="77777777" w:rsidR="00C94162" w:rsidRPr="00F506E8" w:rsidRDefault="00C94162" w:rsidP="00F506E8">
            <w:pPr>
              <w:jc w:val="right"/>
            </w:pPr>
            <w:r w:rsidRPr="00F506E8">
              <w:t>$0</w:t>
            </w:r>
          </w:p>
        </w:tc>
        <w:tc>
          <w:tcPr>
            <w:tcW w:w="1010" w:type="pct"/>
            <w:tcBorders>
              <w:bottom w:val="single" w:sz="4" w:space="0" w:color="auto"/>
            </w:tcBorders>
            <w:shd w:val="clear" w:color="auto" w:fill="auto"/>
            <w:vAlign w:val="center"/>
          </w:tcPr>
          <w:p w14:paraId="39AEF39C" w14:textId="77777777" w:rsidR="00C94162" w:rsidRPr="00F506E8" w:rsidRDefault="00C94162" w:rsidP="00F506E8">
            <w:pPr>
              <w:jc w:val="right"/>
            </w:pPr>
            <w:r w:rsidRPr="00F506E8">
              <w:t>$0</w:t>
            </w:r>
          </w:p>
        </w:tc>
        <w:tc>
          <w:tcPr>
            <w:tcW w:w="865" w:type="pct"/>
            <w:tcBorders>
              <w:bottom w:val="single" w:sz="4" w:space="0" w:color="auto"/>
            </w:tcBorders>
            <w:shd w:val="clear" w:color="auto" w:fill="auto"/>
            <w:vAlign w:val="center"/>
          </w:tcPr>
          <w:p w14:paraId="07C476A6" w14:textId="77777777" w:rsidR="00C94162" w:rsidRPr="00F506E8" w:rsidRDefault="00C94162" w:rsidP="00F506E8">
            <w:pPr>
              <w:jc w:val="right"/>
            </w:pPr>
            <w:r w:rsidRPr="00F506E8">
              <w:t>$0</w:t>
            </w:r>
          </w:p>
        </w:tc>
      </w:tr>
    </w:tbl>
    <w:p w14:paraId="3C96F995" w14:textId="77777777" w:rsidR="000D5108" w:rsidRPr="00F506E8" w:rsidRDefault="000D5108" w:rsidP="00F506E8">
      <w:pPr>
        <w:widowControl/>
        <w:rPr>
          <w:b/>
        </w:rPr>
      </w:pPr>
    </w:p>
    <w:p w14:paraId="06F1ADC3" w14:textId="77777777" w:rsidR="00C94162" w:rsidRPr="00F506E8" w:rsidRDefault="00C94162" w:rsidP="00F506E8">
      <w:pPr>
        <w:pStyle w:val="FERCparanumber"/>
        <w:numPr>
          <w:ilvl w:val="0"/>
          <w:numId w:val="0"/>
        </w:numPr>
        <w:rPr>
          <w:b/>
          <w:sz w:val="24"/>
        </w:rPr>
      </w:pPr>
    </w:p>
    <w:p w14:paraId="00A3C326" w14:textId="77777777" w:rsidR="00C94162" w:rsidRPr="00F506E8" w:rsidRDefault="00C94162" w:rsidP="00F506E8">
      <w:pPr>
        <w:pStyle w:val="FERCparanumber"/>
        <w:numPr>
          <w:ilvl w:val="0"/>
          <w:numId w:val="2"/>
        </w:numPr>
        <w:rPr>
          <w:b/>
          <w:sz w:val="24"/>
        </w:rPr>
      </w:pPr>
      <w:r w:rsidRPr="00F506E8">
        <w:rPr>
          <w:b/>
          <w:sz w:val="24"/>
        </w:rPr>
        <w:t>TIME SCHEDULE FOR PUBLICATION OF DATA</w:t>
      </w:r>
    </w:p>
    <w:p w14:paraId="258229DA" w14:textId="77777777" w:rsidR="00C94162" w:rsidRPr="00F506E8" w:rsidRDefault="00C94162" w:rsidP="00F506E8">
      <w:pPr>
        <w:pStyle w:val="FERCparanumber"/>
        <w:numPr>
          <w:ilvl w:val="0"/>
          <w:numId w:val="0"/>
        </w:numPr>
        <w:rPr>
          <w:b/>
          <w:sz w:val="24"/>
        </w:rPr>
      </w:pPr>
    </w:p>
    <w:p w14:paraId="0D8C47A6" w14:textId="2F7C1289" w:rsidR="00FA4481" w:rsidRPr="00FA4481" w:rsidRDefault="00FA4481" w:rsidP="00FA4481">
      <w:pPr>
        <w:rPr>
          <w:rFonts w:eastAsiaTheme="minorHAnsi"/>
          <w:color w:val="92D050"/>
        </w:rPr>
      </w:pPr>
      <w:r w:rsidRPr="00FA4481">
        <w:rPr>
          <w:rFonts w:eastAsiaTheme="minorHAnsi"/>
        </w:rPr>
        <w:t xml:space="preserve">Unless confidential treatment is sought, the FERC-516 tariff filing related to the Final Rule in </w:t>
      </w:r>
      <w:r w:rsidRPr="005C0272">
        <w:rPr>
          <w:rFonts w:eastAsiaTheme="minorHAnsi"/>
        </w:rPr>
        <w:t>RM</w:t>
      </w:r>
      <w:r>
        <w:rPr>
          <w:rFonts w:eastAsiaTheme="minorHAnsi"/>
        </w:rPr>
        <w:t>16-6-000</w:t>
      </w:r>
      <w:r w:rsidRPr="00FA4481">
        <w:rPr>
          <w:rFonts w:eastAsiaTheme="minorHAnsi"/>
        </w:rPr>
        <w:t xml:space="preserve"> is publicly posted in our eTariff and eLibrary web-based systems when filed.  However, FERC does not publish data associated with </w:t>
      </w:r>
      <w:r w:rsidR="00FD11CC">
        <w:rPr>
          <w:rFonts w:eastAsiaTheme="minorHAnsi"/>
        </w:rPr>
        <w:t xml:space="preserve">this </w:t>
      </w:r>
      <w:r w:rsidRPr="00FA4481">
        <w:rPr>
          <w:rFonts w:eastAsiaTheme="minorHAnsi"/>
        </w:rPr>
        <w:t xml:space="preserve">collection. </w:t>
      </w:r>
    </w:p>
    <w:p w14:paraId="59A553CD" w14:textId="77777777" w:rsidR="00C94162" w:rsidRPr="00F506E8" w:rsidRDefault="00C94162" w:rsidP="00F506E8">
      <w:pPr>
        <w:pStyle w:val="FERCparanumber"/>
        <w:numPr>
          <w:ilvl w:val="0"/>
          <w:numId w:val="0"/>
        </w:numPr>
        <w:rPr>
          <w:b/>
          <w:sz w:val="24"/>
        </w:rPr>
      </w:pPr>
    </w:p>
    <w:p w14:paraId="368CD346" w14:textId="77777777" w:rsidR="00C94162" w:rsidRPr="00F506E8" w:rsidRDefault="00C94162" w:rsidP="00F506E8">
      <w:pPr>
        <w:pStyle w:val="FERCparanumber"/>
        <w:numPr>
          <w:ilvl w:val="0"/>
          <w:numId w:val="2"/>
        </w:numPr>
        <w:rPr>
          <w:b/>
          <w:sz w:val="24"/>
        </w:rPr>
      </w:pPr>
      <w:r w:rsidRPr="00F506E8">
        <w:rPr>
          <w:b/>
          <w:sz w:val="24"/>
        </w:rPr>
        <w:t>DISPLAY OF EXPIRATION DATE</w:t>
      </w:r>
    </w:p>
    <w:p w14:paraId="539206E2" w14:textId="77777777" w:rsidR="00C94162" w:rsidRPr="00F506E8" w:rsidRDefault="00C94162" w:rsidP="00F506E8">
      <w:pPr>
        <w:pStyle w:val="FERCparanumber"/>
        <w:numPr>
          <w:ilvl w:val="0"/>
          <w:numId w:val="0"/>
        </w:numPr>
        <w:rPr>
          <w:b/>
          <w:sz w:val="24"/>
        </w:rPr>
      </w:pPr>
    </w:p>
    <w:p w14:paraId="241EFFDE" w14:textId="77777777" w:rsidR="00FA4481" w:rsidRDefault="00FA4481" w:rsidP="00FA4481">
      <w:pPr>
        <w:rPr>
          <w:rFonts w:eastAsiaTheme="minorHAnsi"/>
        </w:rPr>
      </w:pPr>
      <w:r w:rsidRPr="00FA4481">
        <w:rPr>
          <w:rFonts w:eastAsiaTheme="minorHAnsi"/>
        </w:rPr>
        <w:t xml:space="preserve"> The clearance information and expiration dates are available at </w:t>
      </w:r>
      <w:hyperlink r:id="rId15" w:history="1">
        <w:r w:rsidRPr="00FA4481">
          <w:rPr>
            <w:rFonts w:eastAsiaTheme="minorHAnsi"/>
            <w:color w:val="0563C1" w:themeColor="hyperlink"/>
            <w:u w:val="single"/>
          </w:rPr>
          <w:t>http://www.ferc.gov/docs-filing/info-collections.asp</w:t>
        </w:r>
      </w:hyperlink>
      <w:r w:rsidRPr="00FA4481">
        <w:rPr>
          <w:rFonts w:eastAsiaTheme="minorHAnsi"/>
        </w:rPr>
        <w:t xml:space="preserve">. </w:t>
      </w:r>
    </w:p>
    <w:p w14:paraId="544AB37A" w14:textId="77777777" w:rsidR="00C91FC9" w:rsidRPr="00FA4481" w:rsidRDefault="00C91FC9" w:rsidP="00FA4481">
      <w:pPr>
        <w:rPr>
          <w:rFonts w:eastAsiaTheme="minorHAnsi"/>
        </w:rPr>
      </w:pPr>
    </w:p>
    <w:p w14:paraId="50D42244" w14:textId="77777777" w:rsidR="00C94162" w:rsidRPr="00F506E8" w:rsidRDefault="00C94162" w:rsidP="00F506E8">
      <w:pPr>
        <w:widowControl/>
        <w:numPr>
          <w:ilvl w:val="0"/>
          <w:numId w:val="2"/>
        </w:numPr>
        <w:ind w:hanging="720"/>
        <w:rPr>
          <w:b/>
        </w:rPr>
      </w:pPr>
      <w:r w:rsidRPr="00F506E8">
        <w:rPr>
          <w:b/>
        </w:rPr>
        <w:t>EXCEPTIONS TO THE CERTIFICATION STATEMENT</w:t>
      </w:r>
    </w:p>
    <w:p w14:paraId="75336776" w14:textId="77777777" w:rsidR="00C94162" w:rsidRPr="00F506E8" w:rsidRDefault="00C94162" w:rsidP="00F506E8">
      <w:pPr>
        <w:widowControl/>
        <w:ind w:left="720"/>
        <w:rPr>
          <w:b/>
        </w:rPr>
      </w:pPr>
    </w:p>
    <w:p w14:paraId="50151520" w14:textId="77777777" w:rsidR="00FA4481" w:rsidRPr="00FA4481" w:rsidRDefault="00FA4481" w:rsidP="00FA4481">
      <w:pPr>
        <w:widowControl/>
        <w:autoSpaceDE/>
        <w:autoSpaceDN/>
        <w:adjustRightInd/>
        <w:rPr>
          <w:rFonts w:eastAsiaTheme="minorHAnsi"/>
        </w:rPr>
      </w:pPr>
      <w:r w:rsidRPr="00FA4481">
        <w:rPr>
          <w:rFonts w:eastAsiaTheme="minorHAnsi"/>
        </w:rPr>
        <w:t>There are no exceptions.</w:t>
      </w:r>
    </w:p>
    <w:p w14:paraId="53D83ED2" w14:textId="77777777" w:rsidR="003155C7" w:rsidRPr="00F506E8" w:rsidRDefault="003155C7" w:rsidP="00F506E8"/>
    <w:sectPr w:rsidR="003155C7" w:rsidRPr="00F506E8" w:rsidSect="00703122">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9471C" w14:textId="77777777" w:rsidR="00202411" w:rsidRDefault="00202411" w:rsidP="00C94162">
      <w:r>
        <w:separator/>
      </w:r>
    </w:p>
  </w:endnote>
  <w:endnote w:type="continuationSeparator" w:id="0">
    <w:p w14:paraId="56E8026C" w14:textId="77777777" w:rsidR="00202411" w:rsidRDefault="00202411" w:rsidP="00C9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C161F" w14:textId="77777777" w:rsidR="00E32773" w:rsidRDefault="00F96660">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2C07">
          <w:rPr>
            <w:noProof/>
          </w:rPr>
          <w:t>1</w:t>
        </w:r>
        <w:r>
          <w:rPr>
            <w:noProof/>
          </w:rPr>
          <w:fldChar w:fldCharType="end"/>
        </w:r>
      </w:sdtContent>
    </w:sdt>
  </w:p>
  <w:p w14:paraId="50B9717C" w14:textId="77777777" w:rsidR="00E32773" w:rsidRDefault="00812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DBB6F" w14:textId="77777777" w:rsidR="00202411" w:rsidRDefault="00202411" w:rsidP="00C94162">
      <w:r>
        <w:separator/>
      </w:r>
    </w:p>
  </w:footnote>
  <w:footnote w:type="continuationSeparator" w:id="0">
    <w:p w14:paraId="19F1E52C" w14:textId="77777777" w:rsidR="00202411" w:rsidRDefault="00202411" w:rsidP="00C94162">
      <w:r>
        <w:continuationSeparator/>
      </w:r>
    </w:p>
  </w:footnote>
  <w:footnote w:id="1">
    <w:p w14:paraId="79422F5B" w14:textId="3EA532BC" w:rsidR="00D10FA7" w:rsidRPr="00796B2B" w:rsidRDefault="00D10FA7" w:rsidP="00796B2B">
      <w:pPr>
        <w:rPr>
          <w:sz w:val="26"/>
          <w:szCs w:val="26"/>
        </w:rPr>
      </w:pPr>
      <w:r w:rsidRPr="00A10D2D">
        <w:rPr>
          <w:rStyle w:val="FootnoteReference"/>
          <w:vertAlign w:val="superscript"/>
        </w:rPr>
        <w:footnoteRef/>
      </w:r>
      <w:r w:rsidRPr="00A10D2D">
        <w:rPr>
          <w:vertAlign w:val="superscript"/>
        </w:rPr>
        <w:t xml:space="preserve"> </w:t>
      </w:r>
      <w:r w:rsidR="00026FCF" w:rsidRPr="00020888">
        <w:rPr>
          <w:sz w:val="26"/>
          <w:szCs w:val="26"/>
        </w:rPr>
        <w:t>In the Notice of Action (</w:t>
      </w:r>
      <w:r w:rsidR="00A10D2D" w:rsidRPr="00796B2B">
        <w:rPr>
          <w:color w:val="000000"/>
          <w:sz w:val="26"/>
          <w:szCs w:val="26"/>
        </w:rPr>
        <w:t>Terms of Clearance</w:t>
      </w:r>
      <w:r w:rsidR="00026FCF" w:rsidRPr="00026FCF">
        <w:rPr>
          <w:color w:val="000000"/>
          <w:sz w:val="26"/>
          <w:szCs w:val="26"/>
        </w:rPr>
        <w:t xml:space="preserve"> </w:t>
      </w:r>
      <w:r w:rsidR="00026FCF">
        <w:rPr>
          <w:color w:val="000000"/>
          <w:sz w:val="26"/>
          <w:szCs w:val="26"/>
        </w:rPr>
        <w:t xml:space="preserve">for </w:t>
      </w:r>
      <w:r w:rsidR="00026FCF" w:rsidRPr="00796B2B">
        <w:rPr>
          <w:color w:val="000000"/>
          <w:sz w:val="26"/>
          <w:szCs w:val="26"/>
        </w:rPr>
        <w:t>ICR Reference No: 201611-1902-005</w:t>
      </w:r>
      <w:r w:rsidR="00026FCF">
        <w:rPr>
          <w:color w:val="000000"/>
          <w:sz w:val="26"/>
          <w:szCs w:val="26"/>
        </w:rPr>
        <w:t>)</w:t>
      </w:r>
      <w:r w:rsidR="00A10D2D" w:rsidRPr="00796B2B">
        <w:rPr>
          <w:color w:val="000000"/>
          <w:sz w:val="26"/>
          <w:szCs w:val="26"/>
        </w:rPr>
        <w:t xml:space="preserve"> for FERC-516, Electric Rate Schedules and Tariff Filings,</w:t>
      </w:r>
      <w:r w:rsidR="00662183" w:rsidRPr="00796B2B">
        <w:rPr>
          <w:color w:val="000000"/>
          <w:sz w:val="26"/>
          <w:szCs w:val="26"/>
        </w:rPr>
        <w:t xml:space="preserve"> OMB included comments.  </w:t>
      </w:r>
      <w:r w:rsidR="00FD11CC" w:rsidRPr="00796B2B">
        <w:rPr>
          <w:sz w:val="26"/>
          <w:szCs w:val="26"/>
        </w:rPr>
        <w:t>Those comments state “FERC will include in the next OMB submission for this ICR a full description and accounting of the burden associated with the entire information collecti</w:t>
      </w:r>
      <w:r w:rsidR="00346558" w:rsidRPr="00796B2B">
        <w:rPr>
          <w:sz w:val="26"/>
          <w:szCs w:val="26"/>
        </w:rPr>
        <w:t>o</w:t>
      </w:r>
      <w:r w:rsidR="00FD11CC" w:rsidRPr="00796B2B">
        <w:rPr>
          <w:sz w:val="26"/>
          <w:szCs w:val="26"/>
        </w:rPr>
        <w:t>n whether new or existing.”  This sup</w:t>
      </w:r>
      <w:r w:rsidR="00BC4CA6" w:rsidRPr="00796B2B">
        <w:rPr>
          <w:sz w:val="26"/>
          <w:szCs w:val="26"/>
        </w:rPr>
        <w:t>porting statement addresses OMB</w:t>
      </w:r>
      <w:r w:rsidR="00026FCF">
        <w:rPr>
          <w:sz w:val="26"/>
          <w:szCs w:val="26"/>
        </w:rPr>
        <w:t>’s</w:t>
      </w:r>
      <w:r w:rsidR="00BC4CA6" w:rsidRPr="00796B2B">
        <w:rPr>
          <w:sz w:val="26"/>
          <w:szCs w:val="26"/>
        </w:rPr>
        <w:t xml:space="preserve"> comment. </w:t>
      </w:r>
    </w:p>
  </w:footnote>
  <w:footnote w:id="2">
    <w:p w14:paraId="7B1FA83F" w14:textId="0EF77511" w:rsidR="002A59CE" w:rsidRPr="00796B2B" w:rsidRDefault="002A59CE" w:rsidP="00796B2B">
      <w:pPr>
        <w:widowControl/>
        <w:autoSpaceDE/>
        <w:autoSpaceDN/>
        <w:adjustRightInd/>
        <w:rPr>
          <w:sz w:val="26"/>
          <w:szCs w:val="26"/>
        </w:rPr>
      </w:pPr>
      <w:r w:rsidRPr="00796B2B">
        <w:rPr>
          <w:rStyle w:val="FootnoteReference"/>
          <w:sz w:val="26"/>
          <w:szCs w:val="26"/>
          <w:vertAlign w:val="superscript"/>
        </w:rPr>
        <w:footnoteRef/>
      </w:r>
      <w:r w:rsidRPr="00796B2B">
        <w:rPr>
          <w:sz w:val="26"/>
          <w:szCs w:val="26"/>
        </w:rPr>
        <w:t xml:space="preserve"> </w:t>
      </w:r>
      <w:r w:rsidR="00CF1A72" w:rsidRPr="00796B2B">
        <w:rPr>
          <w:sz w:val="26"/>
          <w:szCs w:val="26"/>
        </w:rPr>
        <w:t>On an administrative note, t</w:t>
      </w:r>
      <w:r w:rsidR="005037A8" w:rsidRPr="00796B2B">
        <w:rPr>
          <w:sz w:val="26"/>
          <w:szCs w:val="26"/>
        </w:rPr>
        <w:t xml:space="preserve">he reporting requirements in the NOPR </w:t>
      </w:r>
      <w:r w:rsidR="001227A1" w:rsidRPr="00796B2B">
        <w:rPr>
          <w:sz w:val="26"/>
          <w:szCs w:val="26"/>
        </w:rPr>
        <w:t xml:space="preserve">in Docket RM16-6 </w:t>
      </w:r>
      <w:r w:rsidR="005037A8" w:rsidRPr="00796B2B">
        <w:rPr>
          <w:sz w:val="26"/>
          <w:szCs w:val="26"/>
        </w:rPr>
        <w:t>were included under FERC-516B</w:t>
      </w:r>
      <w:r w:rsidR="00CF1A72" w:rsidRPr="00796B2B">
        <w:rPr>
          <w:sz w:val="26"/>
          <w:szCs w:val="26"/>
        </w:rPr>
        <w:t>, a temporary place holder</w:t>
      </w:r>
      <w:r w:rsidR="005037A8" w:rsidRPr="00796B2B">
        <w:rPr>
          <w:sz w:val="26"/>
          <w:szCs w:val="26"/>
        </w:rPr>
        <w:t xml:space="preserve"> (OMB Control No. 1902-0286), because FERC-516 was pending review at OMB in an unrelated action. The reporting requirements in this Final Rule are included under FERC-516 (OMB Control No. 1902-0096). </w:t>
      </w:r>
      <w:r w:rsidR="00972C91">
        <w:rPr>
          <w:sz w:val="26"/>
          <w:szCs w:val="26"/>
        </w:rPr>
        <w:t>Final Rule issued 2/15/2018. Errata notice issued 3/5/30</w:t>
      </w:r>
      <w:r w:rsidR="00DE08F5">
        <w:rPr>
          <w:sz w:val="26"/>
          <w:szCs w:val="26"/>
        </w:rPr>
        <w:t xml:space="preserve">18 </w:t>
      </w:r>
      <w:hyperlink r:id="rId1" w:history="1">
        <w:r w:rsidR="00DE08F5" w:rsidRPr="00DE08F5">
          <w:rPr>
            <w:rStyle w:val="Hyperlink"/>
            <w:sz w:val="26"/>
            <w:szCs w:val="26"/>
          </w:rPr>
          <w:t>https://elibrary.ferc.gov/idmws/common/opennat.asp?fileID=14834136</w:t>
        </w:r>
      </w:hyperlink>
    </w:p>
  </w:footnote>
  <w:footnote w:id="3">
    <w:p w14:paraId="08867233" w14:textId="77777777" w:rsidR="00807287" w:rsidRPr="00796B2B" w:rsidRDefault="00807287" w:rsidP="00807287">
      <w:pPr>
        <w:pStyle w:val="FootnoteText"/>
        <w:rPr>
          <w:sz w:val="26"/>
          <w:szCs w:val="26"/>
        </w:rPr>
      </w:pPr>
      <w:r w:rsidRPr="00796B2B">
        <w:rPr>
          <w:rStyle w:val="FootnoteReference"/>
          <w:sz w:val="26"/>
          <w:szCs w:val="26"/>
        </w:rPr>
        <w:footnoteRef/>
      </w:r>
      <w:r w:rsidRPr="00796B2B">
        <w:rPr>
          <w:sz w:val="26"/>
          <w:szCs w:val="26"/>
        </w:rPr>
        <w:t xml:space="preserve"> 16 U.S.C. 824e.</w:t>
      </w:r>
    </w:p>
  </w:footnote>
  <w:footnote w:id="4">
    <w:p w14:paraId="28D7C501" w14:textId="77777777" w:rsidR="00807287" w:rsidRPr="00796B2B" w:rsidRDefault="00807287" w:rsidP="00807287">
      <w:pPr>
        <w:pStyle w:val="FootnoteText"/>
        <w:rPr>
          <w:sz w:val="26"/>
          <w:szCs w:val="26"/>
        </w:rPr>
      </w:pPr>
      <w:r w:rsidRPr="00796B2B">
        <w:rPr>
          <w:rStyle w:val="FootnoteReference"/>
          <w:sz w:val="26"/>
          <w:szCs w:val="26"/>
          <w:vertAlign w:val="superscript"/>
        </w:rPr>
        <w:footnoteRef/>
      </w:r>
      <w:r w:rsidRPr="00796B2B">
        <w:rPr>
          <w:sz w:val="26"/>
          <w:szCs w:val="26"/>
        </w:rPr>
        <w:t xml:space="preserve"> As discussed below in Section II.G, we will not impose primary frequency response requirements on existing generating facilities that do not submit new interconnection requests that result in an executed or unexecuted interconnection agreement at this time.</w:t>
      </w:r>
    </w:p>
  </w:footnote>
  <w:footnote w:id="5">
    <w:p w14:paraId="78AD6CDC" w14:textId="77777777" w:rsidR="00CE1E20" w:rsidRPr="00796B2B" w:rsidRDefault="00CE1E20" w:rsidP="00CE1E20">
      <w:pPr>
        <w:pStyle w:val="FootnoteText"/>
        <w:rPr>
          <w:sz w:val="26"/>
          <w:szCs w:val="26"/>
        </w:rPr>
      </w:pPr>
      <w:r w:rsidRPr="00796B2B">
        <w:rPr>
          <w:rStyle w:val="FootnoteReference"/>
          <w:sz w:val="26"/>
          <w:szCs w:val="26"/>
          <w:vertAlign w:val="superscript"/>
        </w:rPr>
        <w:footnoteRef/>
      </w:r>
      <w:r w:rsidRPr="00796B2B">
        <w:rPr>
          <w:sz w:val="26"/>
          <w:szCs w:val="26"/>
          <w:vertAlign w:val="superscript"/>
        </w:rPr>
        <w:t xml:space="preserve"> </w:t>
      </w:r>
      <w:r w:rsidRPr="00796B2B">
        <w:rPr>
          <w:sz w:val="26"/>
          <w:szCs w:val="26"/>
        </w:rPr>
        <w:t>16 U.S.C. 824d(a)</w:t>
      </w:r>
    </w:p>
  </w:footnote>
  <w:footnote w:id="6">
    <w:p w14:paraId="30362849" w14:textId="77777777" w:rsidR="003E06B1" w:rsidRPr="00796B2B" w:rsidRDefault="003E06B1" w:rsidP="003E06B1">
      <w:pPr>
        <w:pStyle w:val="FootnoteText"/>
        <w:rPr>
          <w:sz w:val="26"/>
          <w:szCs w:val="26"/>
        </w:rPr>
      </w:pPr>
      <w:r w:rsidRPr="00796B2B">
        <w:rPr>
          <w:rStyle w:val="FootnoteReference"/>
          <w:sz w:val="26"/>
          <w:szCs w:val="26"/>
          <w:vertAlign w:val="superscript"/>
        </w:rPr>
        <w:footnoteRef/>
      </w:r>
      <w:r w:rsidRPr="00796B2B">
        <w:rPr>
          <w:sz w:val="26"/>
          <w:szCs w:val="26"/>
        </w:rPr>
        <w:t xml:space="preserve"> 16 U.S.C. 824e.</w:t>
      </w:r>
    </w:p>
  </w:footnote>
  <w:footnote w:id="7">
    <w:p w14:paraId="28B455CF" w14:textId="77777777" w:rsidR="003E06B1" w:rsidRPr="00796B2B" w:rsidRDefault="003E06B1" w:rsidP="003E06B1">
      <w:pPr>
        <w:pStyle w:val="FootnoteText"/>
        <w:rPr>
          <w:sz w:val="26"/>
          <w:szCs w:val="26"/>
        </w:rPr>
      </w:pPr>
      <w:r w:rsidRPr="00796B2B">
        <w:rPr>
          <w:rStyle w:val="FootnoteReference"/>
          <w:sz w:val="26"/>
          <w:szCs w:val="26"/>
          <w:vertAlign w:val="superscript"/>
        </w:rPr>
        <w:footnoteRef/>
      </w:r>
      <w:r w:rsidRPr="00796B2B">
        <w:rPr>
          <w:sz w:val="26"/>
          <w:szCs w:val="26"/>
        </w:rPr>
        <w:t xml:space="preserve"> The NERC Compliance Registry lists 80 entities that administer a transmission tariff and provide transmission service.  The Commission identifies only 74 as being subject to the proposed requirements because six are Canadian entities and are not under the Commission’s jurisdiction. </w:t>
      </w:r>
    </w:p>
  </w:footnote>
  <w:footnote w:id="8">
    <w:p w14:paraId="294C9F25" w14:textId="77777777" w:rsidR="00934B3E" w:rsidRPr="00796B2B" w:rsidRDefault="00934B3E" w:rsidP="00934B3E">
      <w:pPr>
        <w:pStyle w:val="FootnoteText"/>
        <w:rPr>
          <w:sz w:val="26"/>
          <w:szCs w:val="26"/>
        </w:rPr>
      </w:pPr>
      <w:r w:rsidRPr="00796B2B">
        <w:rPr>
          <w:rStyle w:val="FootnoteReference"/>
          <w:sz w:val="26"/>
          <w:szCs w:val="26"/>
          <w:vertAlign w:val="superscript"/>
        </w:rPr>
        <w:footnoteRef/>
      </w:r>
      <w:r w:rsidRPr="00796B2B">
        <w:rPr>
          <w:sz w:val="26"/>
          <w:szCs w:val="26"/>
        </w:rPr>
        <w:t xml:space="preserve"> </w:t>
      </w:r>
      <w:r w:rsidR="00796B2B" w:rsidRPr="00796B2B">
        <w:rPr>
          <w:sz w:val="26"/>
          <w:szCs w:val="26"/>
        </w:rPr>
        <w:t xml:space="preserve">The definition of small entity refers to the definition provided in the Small Business Act, which defines a small business concern as a business that is independently owned and operated and that is not dominant in its field of operation.  The Small Business Administration’s regulations at 13 CFR 121.201 define the threshold for a small Electric Bulk Power Transmission and Control entity (NAICS code 221121) to be 500 employees.  </w:t>
      </w:r>
      <w:r w:rsidR="00796B2B" w:rsidRPr="00796B2B">
        <w:rPr>
          <w:i/>
          <w:sz w:val="26"/>
          <w:szCs w:val="26"/>
        </w:rPr>
        <w:t>See</w:t>
      </w:r>
      <w:r w:rsidR="00796B2B" w:rsidRPr="00796B2B">
        <w:rPr>
          <w:sz w:val="26"/>
          <w:szCs w:val="26"/>
        </w:rPr>
        <w:t xml:space="preserve"> 5 U.S.C. 601(3) (citing to section 3 of the Small Business Act, 15 U.S.C. 632). </w:t>
      </w:r>
    </w:p>
  </w:footnote>
  <w:footnote w:id="9">
    <w:p w14:paraId="7B822A13" w14:textId="77777777" w:rsidR="003E06B1" w:rsidRPr="00796B2B" w:rsidRDefault="003E06B1" w:rsidP="003E06B1">
      <w:pPr>
        <w:pStyle w:val="FootnoteText"/>
        <w:rPr>
          <w:sz w:val="26"/>
          <w:szCs w:val="26"/>
        </w:rPr>
      </w:pPr>
      <w:r w:rsidRPr="00796B2B">
        <w:rPr>
          <w:rStyle w:val="FootnoteReference"/>
          <w:sz w:val="26"/>
          <w:szCs w:val="26"/>
          <w:vertAlign w:val="superscript"/>
        </w:rPr>
        <w:footnoteRef/>
      </w:r>
      <w:r w:rsidRPr="00796B2B">
        <w:rPr>
          <w:sz w:val="26"/>
          <w:szCs w:val="26"/>
          <w:vertAlign w:val="superscript"/>
        </w:rPr>
        <w:t xml:space="preserve"> </w:t>
      </w:r>
      <w:r w:rsidRPr="00796B2B">
        <w:rPr>
          <w:sz w:val="26"/>
          <w:szCs w:val="26"/>
        </w:rPr>
        <w:t xml:space="preserve">U.S. Small Business Administration, </w:t>
      </w:r>
      <w:r w:rsidRPr="00796B2B">
        <w:rPr>
          <w:i/>
          <w:sz w:val="26"/>
          <w:szCs w:val="26"/>
        </w:rPr>
        <w:t>A Guide for Government Agencies How to Comply with the Regulatory Flexibility Act</w:t>
      </w:r>
      <w:r w:rsidRPr="00796B2B">
        <w:rPr>
          <w:sz w:val="26"/>
          <w:szCs w:val="26"/>
        </w:rPr>
        <w:t>, at 18 (May 2012), </w:t>
      </w:r>
      <w:hyperlink r:id="rId2" w:history="1">
        <w:r w:rsidRPr="00796B2B">
          <w:rPr>
            <w:rStyle w:val="Hyperlink"/>
            <w:sz w:val="26"/>
            <w:szCs w:val="26"/>
          </w:rPr>
          <w:t>https://www.sba.gov/sites/default/files/advocacy/rfaguide_0512_0.pdf</w:t>
        </w:r>
      </w:hyperlink>
      <w:r w:rsidRPr="00796B2B">
        <w:rPr>
          <w:sz w:val="26"/>
          <w:szCs w:val="26"/>
        </w:rPr>
        <w:t>.</w:t>
      </w:r>
    </w:p>
  </w:footnote>
  <w:footnote w:id="10">
    <w:p w14:paraId="4B9520B9" w14:textId="77777777" w:rsidR="00B248D7" w:rsidRPr="00796B2B" w:rsidRDefault="00B248D7" w:rsidP="00B248D7">
      <w:pPr>
        <w:pStyle w:val="FootnoteText"/>
        <w:rPr>
          <w:sz w:val="26"/>
          <w:szCs w:val="26"/>
        </w:rPr>
      </w:pPr>
      <w:r w:rsidRPr="00796B2B">
        <w:rPr>
          <w:rStyle w:val="FootnoteReference"/>
          <w:sz w:val="26"/>
          <w:szCs w:val="26"/>
          <w:vertAlign w:val="superscript"/>
        </w:rPr>
        <w:footnoteRef/>
      </w:r>
      <w:r w:rsidRPr="00796B2B">
        <w:rPr>
          <w:sz w:val="26"/>
          <w:szCs w:val="26"/>
          <w:vertAlign w:val="superscript"/>
        </w:rPr>
        <w:t xml:space="preserve"> </w:t>
      </w:r>
      <w:r w:rsidRPr="00796B2B">
        <w:rPr>
          <w:i/>
          <w:sz w:val="26"/>
          <w:szCs w:val="26"/>
        </w:rPr>
        <w:t>Id.</w:t>
      </w:r>
      <w:r w:rsidRPr="00796B2B">
        <w:rPr>
          <w:sz w:val="26"/>
          <w:szCs w:val="26"/>
        </w:rPr>
        <w:t xml:space="preserve"> P 54.</w:t>
      </w:r>
    </w:p>
  </w:footnote>
  <w:footnote w:id="11">
    <w:p w14:paraId="331542EF" w14:textId="77777777" w:rsidR="00BA009E" w:rsidRPr="00796B2B" w:rsidRDefault="00BA009E" w:rsidP="00BA009E">
      <w:pPr>
        <w:pStyle w:val="FootnoteText"/>
        <w:rPr>
          <w:sz w:val="26"/>
          <w:szCs w:val="26"/>
          <w:highlight w:val="yellow"/>
        </w:rPr>
      </w:pPr>
      <w:r w:rsidRPr="00796B2B">
        <w:rPr>
          <w:rStyle w:val="FootnoteReference"/>
          <w:sz w:val="26"/>
          <w:szCs w:val="26"/>
          <w:vertAlign w:val="superscript"/>
        </w:rPr>
        <w:footnoteRef/>
      </w:r>
      <w:r w:rsidRPr="00796B2B">
        <w:rPr>
          <w:sz w:val="26"/>
          <w:szCs w:val="26"/>
        </w:rPr>
        <w:t xml:space="preserve"> 8</w:t>
      </w:r>
      <w:r w:rsidR="00DF0F66" w:rsidRPr="00796B2B">
        <w:rPr>
          <w:sz w:val="26"/>
          <w:szCs w:val="26"/>
        </w:rPr>
        <w:t>1</w:t>
      </w:r>
      <w:r w:rsidRPr="00796B2B">
        <w:rPr>
          <w:sz w:val="26"/>
          <w:szCs w:val="26"/>
        </w:rPr>
        <w:t xml:space="preserve"> FR </w:t>
      </w:r>
      <w:r w:rsidR="00866F6A" w:rsidRPr="00796B2B">
        <w:rPr>
          <w:sz w:val="26"/>
          <w:szCs w:val="26"/>
        </w:rPr>
        <w:t>85176</w:t>
      </w:r>
    </w:p>
  </w:footnote>
  <w:footnote w:id="12">
    <w:p w14:paraId="51B5899D" w14:textId="3AB6B567" w:rsidR="0062038E" w:rsidRPr="00796B2B" w:rsidRDefault="00BA009E" w:rsidP="00BA009E">
      <w:pPr>
        <w:pStyle w:val="FootnoteText"/>
        <w:rPr>
          <w:sz w:val="26"/>
          <w:szCs w:val="26"/>
        </w:rPr>
      </w:pPr>
      <w:r w:rsidRPr="00796B2B">
        <w:rPr>
          <w:rStyle w:val="FootnoteReference"/>
          <w:sz w:val="26"/>
          <w:szCs w:val="26"/>
          <w:vertAlign w:val="superscript"/>
        </w:rPr>
        <w:footnoteRef/>
      </w:r>
      <w:r w:rsidRPr="00796B2B">
        <w:rPr>
          <w:sz w:val="26"/>
          <w:szCs w:val="26"/>
          <w:vertAlign w:val="superscript"/>
        </w:rPr>
        <w:t xml:space="preserve"> </w:t>
      </w:r>
      <w:r w:rsidR="0062038E" w:rsidRPr="00796B2B">
        <w:rPr>
          <w:sz w:val="26"/>
          <w:szCs w:val="26"/>
        </w:rPr>
        <w:t xml:space="preserve">The Final Rule is posted in FERC’s eLibrary at   </w:t>
      </w:r>
      <w:hyperlink r:id="rId3" w:history="1">
        <w:r w:rsidR="00796B2B" w:rsidRPr="00AC054A">
          <w:rPr>
            <w:rStyle w:val="Hyperlink"/>
            <w:sz w:val="26"/>
            <w:szCs w:val="26"/>
          </w:rPr>
          <w:t>https://elibrary.ferc.gov/idmws/doc_info.asp?document_id=14643623</w:t>
        </w:r>
      </w:hyperlink>
      <w:r w:rsidR="00796B2B">
        <w:rPr>
          <w:sz w:val="26"/>
          <w:szCs w:val="26"/>
        </w:rPr>
        <w:t xml:space="preserve"> </w:t>
      </w:r>
      <w:r w:rsidR="007E18C5">
        <w:rPr>
          <w:sz w:val="26"/>
          <w:szCs w:val="26"/>
        </w:rPr>
        <w:t xml:space="preserve">The Errata Notice (issued 3/5/2018) is posted at </w:t>
      </w:r>
      <w:hyperlink r:id="rId4" w:history="1">
        <w:r w:rsidR="00F56D19" w:rsidRPr="004D41EF">
          <w:rPr>
            <w:rStyle w:val="Hyperlink"/>
            <w:sz w:val="26"/>
            <w:szCs w:val="26"/>
          </w:rPr>
          <w:t>https://elibrary.ferc.gov/idmws/doc_info.asp?document_id=14647259</w:t>
        </w:r>
      </w:hyperlink>
      <w:r w:rsidR="00F56D19">
        <w:rPr>
          <w:sz w:val="26"/>
          <w:szCs w:val="26"/>
        </w:rPr>
        <w:t xml:space="preserve"> </w:t>
      </w:r>
    </w:p>
  </w:footnote>
  <w:footnote w:id="13">
    <w:p w14:paraId="3C6D2E1E" w14:textId="77777777" w:rsidR="00041A88" w:rsidRPr="00796B2B" w:rsidRDefault="00041A88">
      <w:pPr>
        <w:pStyle w:val="FootnoteText"/>
        <w:rPr>
          <w:sz w:val="26"/>
          <w:szCs w:val="26"/>
        </w:rPr>
      </w:pPr>
      <w:r w:rsidRPr="00796B2B">
        <w:rPr>
          <w:rStyle w:val="FootnoteReference"/>
          <w:sz w:val="26"/>
          <w:szCs w:val="26"/>
          <w:vertAlign w:val="superscript"/>
        </w:rPr>
        <w:footnoteRef/>
      </w:r>
      <w:r w:rsidRPr="00796B2B">
        <w:rPr>
          <w:sz w:val="26"/>
          <w:szCs w:val="26"/>
        </w:rPr>
        <w:t xml:space="preserve"> </w:t>
      </w:r>
      <w:r w:rsidR="00B4794C" w:rsidRPr="00796B2B">
        <w:rPr>
          <w:i/>
          <w:sz w:val="26"/>
          <w:szCs w:val="26"/>
        </w:rPr>
        <w:t>Essential Reliability Services and the Evolving Bulk-Power System—Primary Frequency Response</w:t>
      </w:r>
      <w:r w:rsidR="00B4794C" w:rsidRPr="00796B2B">
        <w:rPr>
          <w:sz w:val="26"/>
          <w:szCs w:val="26"/>
        </w:rPr>
        <w:t xml:space="preserve">, Notice of Request for Supplemental Comments, 82 FR 40081 (Aug. 24, 2017), </w:t>
      </w:r>
      <w:r w:rsidRPr="00796B2B">
        <w:rPr>
          <w:sz w:val="26"/>
          <w:szCs w:val="26"/>
        </w:rPr>
        <w:t xml:space="preserve">160 FERC ¶ 61,011 (August </w:t>
      </w:r>
      <w:r w:rsidR="00B4794C" w:rsidRPr="00796B2B">
        <w:rPr>
          <w:sz w:val="26"/>
          <w:szCs w:val="26"/>
        </w:rPr>
        <w:t>24</w:t>
      </w:r>
      <w:r w:rsidRPr="00796B2B">
        <w:rPr>
          <w:sz w:val="26"/>
          <w:szCs w:val="26"/>
        </w:rPr>
        <w:t>, 2017).</w:t>
      </w:r>
    </w:p>
  </w:footnote>
  <w:footnote w:id="14">
    <w:p w14:paraId="438F05D2" w14:textId="6313CEDC" w:rsidR="00FE375D" w:rsidRPr="00796B2B" w:rsidRDefault="00FE375D" w:rsidP="00FE375D">
      <w:pPr>
        <w:pStyle w:val="FootnoteText"/>
        <w:rPr>
          <w:sz w:val="26"/>
          <w:szCs w:val="26"/>
        </w:rPr>
      </w:pPr>
      <w:r w:rsidRPr="00796B2B">
        <w:rPr>
          <w:rStyle w:val="FootnoteReference"/>
          <w:sz w:val="26"/>
          <w:szCs w:val="26"/>
          <w:vertAlign w:val="superscript"/>
        </w:rPr>
        <w:footnoteRef/>
      </w:r>
      <w:r w:rsidRPr="00796B2B">
        <w:rPr>
          <w:sz w:val="26"/>
          <w:szCs w:val="26"/>
        </w:rPr>
        <w:t xml:space="preserve"> The estimates for cost per response are derived using the following formula: Average Burden Hours per Response * $76.50 per Hour = Average Cost per Response. </w:t>
      </w:r>
      <w:r w:rsidR="00B4794C" w:rsidRPr="00020888">
        <w:rPr>
          <w:sz w:val="26"/>
          <w:szCs w:val="26"/>
        </w:rPr>
        <w:t>This estimated hourly cost include salary plus benefits and is based on FERC</w:t>
      </w:r>
      <w:r w:rsidR="00EC1C7C" w:rsidRPr="00020888">
        <w:rPr>
          <w:sz w:val="26"/>
          <w:szCs w:val="26"/>
        </w:rPr>
        <w:t>’s</w:t>
      </w:r>
      <w:r w:rsidR="00B4794C" w:rsidRPr="00020888">
        <w:rPr>
          <w:sz w:val="26"/>
          <w:szCs w:val="26"/>
        </w:rPr>
        <w:t xml:space="preserve"> </w:t>
      </w:r>
      <w:r w:rsidR="00EC1C7C" w:rsidRPr="00020888">
        <w:rPr>
          <w:sz w:val="26"/>
          <w:szCs w:val="26"/>
        </w:rPr>
        <w:t>2017 FTE average annual salary plus benefits.</w:t>
      </w:r>
      <w:r w:rsidR="00020888">
        <w:rPr>
          <w:sz w:val="26"/>
          <w:szCs w:val="26"/>
        </w:rPr>
        <w:t xml:space="preserve">  We assume that respondents earn at a similar rate. </w:t>
      </w:r>
    </w:p>
  </w:footnote>
  <w:footnote w:id="15">
    <w:p w14:paraId="60DF29B8" w14:textId="77777777" w:rsidR="00FE375D" w:rsidRPr="00796B2B" w:rsidRDefault="00FE375D" w:rsidP="00FE375D">
      <w:pPr>
        <w:pStyle w:val="FootnoteText"/>
        <w:rPr>
          <w:sz w:val="26"/>
          <w:szCs w:val="26"/>
        </w:rPr>
      </w:pPr>
      <w:r w:rsidRPr="00796B2B">
        <w:rPr>
          <w:rStyle w:val="FootnoteReference"/>
          <w:sz w:val="26"/>
          <w:szCs w:val="26"/>
          <w:vertAlign w:val="superscript"/>
        </w:rPr>
        <w:footnoteRef/>
      </w:r>
      <w:r w:rsidRPr="00796B2B">
        <w:rPr>
          <w:sz w:val="26"/>
          <w:szCs w:val="26"/>
        </w:rPr>
        <w:t xml:space="preserve"> The NERC Compliance Registry lists 80 entities that administer a transmission tariff and provide transmission service.  The Commission identifies only 74 as being subject to the proposed requirements because 6 are Canadian entities and are not under the Commission’s jurisdiction. </w:t>
      </w:r>
    </w:p>
  </w:footnote>
  <w:footnote w:id="16">
    <w:p w14:paraId="6C506F47" w14:textId="77777777" w:rsidR="00C94162" w:rsidRPr="00796B2B" w:rsidRDefault="00C94162" w:rsidP="00C94162">
      <w:pPr>
        <w:rPr>
          <w:sz w:val="26"/>
          <w:szCs w:val="26"/>
        </w:rPr>
      </w:pPr>
      <w:r w:rsidRPr="00796B2B">
        <w:rPr>
          <w:rStyle w:val="FootnoteReference"/>
          <w:b/>
          <w:sz w:val="26"/>
          <w:szCs w:val="26"/>
          <w:vertAlign w:val="superscript"/>
        </w:rPr>
        <w:footnoteRef/>
      </w:r>
      <w:r w:rsidRPr="00796B2B">
        <w:rPr>
          <w:b/>
          <w:sz w:val="26"/>
          <w:szCs w:val="26"/>
        </w:rPr>
        <w:t xml:space="preserve"> </w:t>
      </w:r>
      <w:r w:rsidRPr="00796B2B">
        <w:rPr>
          <w:sz w:val="26"/>
          <w:szCs w:val="26"/>
        </w:rPr>
        <w:t xml:space="preserve">Based upon </w:t>
      </w:r>
      <w:r w:rsidR="00802AD8" w:rsidRPr="00796B2B">
        <w:rPr>
          <w:sz w:val="26"/>
          <w:szCs w:val="26"/>
        </w:rPr>
        <w:t xml:space="preserve">FERC’s </w:t>
      </w:r>
      <w:r w:rsidRPr="00796B2B">
        <w:rPr>
          <w:sz w:val="26"/>
          <w:szCs w:val="26"/>
        </w:rPr>
        <w:t>201</w:t>
      </w:r>
      <w:r w:rsidR="00903A11" w:rsidRPr="00796B2B">
        <w:rPr>
          <w:sz w:val="26"/>
          <w:szCs w:val="26"/>
        </w:rPr>
        <w:t>7</w:t>
      </w:r>
      <w:r w:rsidRPr="00796B2B">
        <w:rPr>
          <w:sz w:val="26"/>
          <w:szCs w:val="26"/>
        </w:rPr>
        <w:t xml:space="preserve"> FTE average annual salary plus benefits ($15</w:t>
      </w:r>
      <w:r w:rsidR="00903A11" w:rsidRPr="00796B2B">
        <w:rPr>
          <w:sz w:val="26"/>
          <w:szCs w:val="26"/>
        </w:rPr>
        <w:t>8,754</w:t>
      </w:r>
      <w:r w:rsidRPr="00796B2B">
        <w:rPr>
          <w:sz w:val="26"/>
          <w:szCs w:val="26"/>
        </w:rPr>
        <w:t>).</w:t>
      </w:r>
    </w:p>
  </w:footnote>
  <w:footnote w:id="17">
    <w:p w14:paraId="64C9E529" w14:textId="77777777" w:rsidR="00C94162" w:rsidRPr="00796B2B" w:rsidRDefault="00C94162" w:rsidP="00C94162">
      <w:pPr>
        <w:pStyle w:val="FootnoteText"/>
        <w:rPr>
          <w:sz w:val="26"/>
          <w:szCs w:val="26"/>
        </w:rPr>
      </w:pPr>
      <w:r w:rsidRPr="00796B2B">
        <w:rPr>
          <w:rStyle w:val="FootnoteReference"/>
          <w:b/>
          <w:sz w:val="26"/>
          <w:szCs w:val="26"/>
          <w:vertAlign w:val="superscript"/>
        </w:rPr>
        <w:footnoteRef/>
      </w:r>
      <w:r w:rsidRPr="00796B2B">
        <w:rPr>
          <w:sz w:val="26"/>
          <w:szCs w:val="26"/>
          <w:vertAlign w:val="superscript"/>
        </w:rPr>
        <w:t xml:space="preserve"> </w:t>
      </w:r>
      <w:r w:rsidRPr="00796B2B">
        <w:rPr>
          <w:sz w:val="26"/>
          <w:szCs w:val="26"/>
        </w:rPr>
        <w:t>Paperwork Reduction Act of 1995 (PRA).</w:t>
      </w:r>
    </w:p>
  </w:footnote>
  <w:footnote w:id="18">
    <w:p w14:paraId="3069452A" w14:textId="77777777" w:rsidR="00C94162" w:rsidRPr="00796B2B" w:rsidRDefault="00C94162" w:rsidP="00C94162">
      <w:pPr>
        <w:pStyle w:val="FootnoteText"/>
        <w:rPr>
          <w:sz w:val="26"/>
          <w:szCs w:val="26"/>
        </w:rPr>
      </w:pPr>
      <w:r w:rsidRPr="00796B2B">
        <w:rPr>
          <w:rStyle w:val="FootnoteReference"/>
          <w:b/>
          <w:sz w:val="26"/>
          <w:szCs w:val="26"/>
          <w:vertAlign w:val="superscript"/>
        </w:rPr>
        <w:footnoteRef/>
      </w:r>
      <w:r w:rsidRPr="00796B2B">
        <w:rPr>
          <w:sz w:val="26"/>
          <w:szCs w:val="26"/>
          <w:vertAlign w:val="superscript"/>
        </w:rPr>
        <w:t xml:space="preserve"> </w:t>
      </w:r>
      <w:r w:rsidRPr="00796B2B">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39E2" w14:textId="77777777" w:rsidR="003A5BA7" w:rsidRDefault="00F96660">
    <w:pPr>
      <w:pStyle w:val="Header"/>
    </w:pPr>
    <w:r>
      <w:t>FERC-516 (OMB Control No. 1902-0096)</w:t>
    </w:r>
  </w:p>
  <w:p w14:paraId="2920133A" w14:textId="77777777" w:rsidR="007E18C5" w:rsidRDefault="00C94162">
    <w:pPr>
      <w:pStyle w:val="Header"/>
    </w:pPr>
    <w:r>
      <w:t xml:space="preserve">Final Rule </w:t>
    </w:r>
    <w:r w:rsidR="00DD7344">
      <w:t>(</w:t>
    </w:r>
    <w:r w:rsidR="00DD7344" w:rsidRPr="00796B2B">
      <w:t>issued</w:t>
    </w:r>
    <w:r w:rsidR="00A73799" w:rsidRPr="00796B2B">
      <w:t xml:space="preserve"> 2/15/</w:t>
    </w:r>
    <w:r w:rsidR="00DD7344" w:rsidRPr="00796B2B">
      <w:t>2018</w:t>
    </w:r>
    <w:r w:rsidR="007E18C5">
      <w:t>, with Errata Notice issued 3/5/2018)</w:t>
    </w:r>
  </w:p>
  <w:p w14:paraId="2F99896E" w14:textId="49336F23" w:rsidR="00F37BCE" w:rsidRDefault="00F96660">
    <w:pPr>
      <w:pStyle w:val="Header"/>
    </w:pPr>
    <w:r>
      <w:t>in Docket No. RM16-</w:t>
    </w:r>
    <w:r w:rsidR="00C94162">
      <w:t>6</w:t>
    </w:r>
    <w:r>
      <w:t xml:space="preserve">-000 </w:t>
    </w:r>
  </w:p>
  <w:p w14:paraId="303A0DB0" w14:textId="77777777" w:rsidR="00A4077E" w:rsidRDefault="00F96660">
    <w:pPr>
      <w:pStyle w:val="Header"/>
    </w:pPr>
    <w:r w:rsidRPr="007F7FBE">
      <w:t>RIN 1902-</w:t>
    </w:r>
    <w:r w:rsidR="00DD7344">
      <w:t>AF</w:t>
    </w:r>
    <w:r w:rsidR="001B40E3">
      <w:t>20</w:t>
    </w:r>
  </w:p>
  <w:p w14:paraId="553B64BC" w14:textId="62946406" w:rsidR="007E18C5" w:rsidRDefault="007E18C5">
    <w:pPr>
      <w:pStyle w:val="Header"/>
    </w:pPr>
    <w:r>
      <w:t>(Updated: 3/8/2018)</w:t>
    </w:r>
  </w:p>
  <w:p w14:paraId="3E2BF2C7" w14:textId="77777777" w:rsidR="007F7FBE" w:rsidRDefault="007F7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7DB3C" w14:textId="77777777" w:rsidR="001D2EC1" w:rsidRDefault="00F96660">
    <w:pPr>
      <w:pStyle w:val="Header"/>
    </w:pPr>
    <w:r>
      <w:t>FERC Form 730 (OMB Control No. 1902-0239)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3E6E"/>
    <w:multiLevelType w:val="hybridMultilevel"/>
    <w:tmpl w:val="9D9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7D55EA"/>
    <w:multiLevelType w:val="hybridMultilevel"/>
    <w:tmpl w:val="4F18D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4E4DD3"/>
    <w:multiLevelType w:val="hybridMultilevel"/>
    <w:tmpl w:val="D1DA363A"/>
    <w:lvl w:ilvl="0" w:tplc="AF664CE2">
      <w:start w:val="1"/>
      <w:numFmt w:val="decimal"/>
      <w:lvlText w:val="%1."/>
      <w:lvlJc w:val="left"/>
      <w:pPr>
        <w:tabs>
          <w:tab w:val="num" w:pos="720"/>
        </w:tabs>
        <w:ind w:left="0" w:firstLine="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EB3BE3"/>
    <w:multiLevelType w:val="hybridMultilevel"/>
    <w:tmpl w:val="3D5EC9D8"/>
    <w:lvl w:ilvl="0" w:tplc="1122A1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62"/>
    <w:rsid w:val="00020888"/>
    <w:rsid w:val="00026FCF"/>
    <w:rsid w:val="00041A88"/>
    <w:rsid w:val="00052FA0"/>
    <w:rsid w:val="000B5B8B"/>
    <w:rsid w:val="000D2B08"/>
    <w:rsid w:val="000D5108"/>
    <w:rsid w:val="000D6E21"/>
    <w:rsid w:val="000D78C2"/>
    <w:rsid w:val="00114EAC"/>
    <w:rsid w:val="001227A1"/>
    <w:rsid w:val="001350E8"/>
    <w:rsid w:val="00155B5D"/>
    <w:rsid w:val="001919A8"/>
    <w:rsid w:val="001A4DDC"/>
    <w:rsid w:val="001B40E3"/>
    <w:rsid w:val="001C73E9"/>
    <w:rsid w:val="001C7A97"/>
    <w:rsid w:val="00202411"/>
    <w:rsid w:val="00217AD1"/>
    <w:rsid w:val="00225886"/>
    <w:rsid w:val="00231F12"/>
    <w:rsid w:val="002608B6"/>
    <w:rsid w:val="002635B3"/>
    <w:rsid w:val="00285160"/>
    <w:rsid w:val="0028627F"/>
    <w:rsid w:val="002918B4"/>
    <w:rsid w:val="002957B1"/>
    <w:rsid w:val="002A59CE"/>
    <w:rsid w:val="002A7C44"/>
    <w:rsid w:val="002C2C1A"/>
    <w:rsid w:val="002D4CD7"/>
    <w:rsid w:val="002E59A6"/>
    <w:rsid w:val="003155C7"/>
    <w:rsid w:val="00324B12"/>
    <w:rsid w:val="00346558"/>
    <w:rsid w:val="00354E99"/>
    <w:rsid w:val="003766E3"/>
    <w:rsid w:val="00394BCD"/>
    <w:rsid w:val="003C5178"/>
    <w:rsid w:val="003D718A"/>
    <w:rsid w:val="003E06B1"/>
    <w:rsid w:val="003E0A20"/>
    <w:rsid w:val="0041235E"/>
    <w:rsid w:val="00416C3C"/>
    <w:rsid w:val="004423CB"/>
    <w:rsid w:val="00491391"/>
    <w:rsid w:val="004B4418"/>
    <w:rsid w:val="004B7608"/>
    <w:rsid w:val="004C0524"/>
    <w:rsid w:val="004D1714"/>
    <w:rsid w:val="004F33F0"/>
    <w:rsid w:val="004F405F"/>
    <w:rsid w:val="004F4822"/>
    <w:rsid w:val="005037A8"/>
    <w:rsid w:val="00520BC0"/>
    <w:rsid w:val="00533ECA"/>
    <w:rsid w:val="005359DB"/>
    <w:rsid w:val="0055630C"/>
    <w:rsid w:val="00557895"/>
    <w:rsid w:val="00567A7B"/>
    <w:rsid w:val="005B107C"/>
    <w:rsid w:val="005C0272"/>
    <w:rsid w:val="005D13D1"/>
    <w:rsid w:val="005D461E"/>
    <w:rsid w:val="0061416B"/>
    <w:rsid w:val="0061697D"/>
    <w:rsid w:val="0062038E"/>
    <w:rsid w:val="00662183"/>
    <w:rsid w:val="00666F30"/>
    <w:rsid w:val="006A4C1C"/>
    <w:rsid w:val="006C6B7C"/>
    <w:rsid w:val="00725094"/>
    <w:rsid w:val="0072729C"/>
    <w:rsid w:val="00781C85"/>
    <w:rsid w:val="00796B2B"/>
    <w:rsid w:val="007B028E"/>
    <w:rsid w:val="007D5E24"/>
    <w:rsid w:val="007E18C5"/>
    <w:rsid w:val="007F7FBE"/>
    <w:rsid w:val="00802AD8"/>
    <w:rsid w:val="00804CE7"/>
    <w:rsid w:val="00807287"/>
    <w:rsid w:val="00811EF1"/>
    <w:rsid w:val="00812C07"/>
    <w:rsid w:val="00814E3F"/>
    <w:rsid w:val="00866F6A"/>
    <w:rsid w:val="00875B71"/>
    <w:rsid w:val="00876D1B"/>
    <w:rsid w:val="00894F2F"/>
    <w:rsid w:val="0089528D"/>
    <w:rsid w:val="008A5F00"/>
    <w:rsid w:val="008C21E3"/>
    <w:rsid w:val="008C2AA9"/>
    <w:rsid w:val="008C68DF"/>
    <w:rsid w:val="008F74FA"/>
    <w:rsid w:val="008F7753"/>
    <w:rsid w:val="0090252C"/>
    <w:rsid w:val="00903A11"/>
    <w:rsid w:val="00920513"/>
    <w:rsid w:val="00934B3E"/>
    <w:rsid w:val="00950AF7"/>
    <w:rsid w:val="00972C91"/>
    <w:rsid w:val="00980DD3"/>
    <w:rsid w:val="00992A82"/>
    <w:rsid w:val="009946DF"/>
    <w:rsid w:val="00994EE4"/>
    <w:rsid w:val="009B4438"/>
    <w:rsid w:val="00A06191"/>
    <w:rsid w:val="00A10D2D"/>
    <w:rsid w:val="00A27680"/>
    <w:rsid w:val="00A35BBE"/>
    <w:rsid w:val="00A43679"/>
    <w:rsid w:val="00A73799"/>
    <w:rsid w:val="00A74201"/>
    <w:rsid w:val="00AA054D"/>
    <w:rsid w:val="00AA4DF6"/>
    <w:rsid w:val="00AC2920"/>
    <w:rsid w:val="00AC6913"/>
    <w:rsid w:val="00AD3D1E"/>
    <w:rsid w:val="00B022AA"/>
    <w:rsid w:val="00B05B5C"/>
    <w:rsid w:val="00B12B46"/>
    <w:rsid w:val="00B248D7"/>
    <w:rsid w:val="00B34536"/>
    <w:rsid w:val="00B362AC"/>
    <w:rsid w:val="00B4794C"/>
    <w:rsid w:val="00B53457"/>
    <w:rsid w:val="00B557BA"/>
    <w:rsid w:val="00BA009E"/>
    <w:rsid w:val="00BC4CA6"/>
    <w:rsid w:val="00BD278A"/>
    <w:rsid w:val="00BE66A4"/>
    <w:rsid w:val="00C10E41"/>
    <w:rsid w:val="00C150B5"/>
    <w:rsid w:val="00C3413C"/>
    <w:rsid w:val="00C52AB7"/>
    <w:rsid w:val="00C56212"/>
    <w:rsid w:val="00C7436E"/>
    <w:rsid w:val="00C91FC9"/>
    <w:rsid w:val="00C94162"/>
    <w:rsid w:val="00CE1E20"/>
    <w:rsid w:val="00CF1A72"/>
    <w:rsid w:val="00CF63B1"/>
    <w:rsid w:val="00D073FF"/>
    <w:rsid w:val="00D10FA7"/>
    <w:rsid w:val="00D202CF"/>
    <w:rsid w:val="00D223E0"/>
    <w:rsid w:val="00D57B9D"/>
    <w:rsid w:val="00D61355"/>
    <w:rsid w:val="00D63A70"/>
    <w:rsid w:val="00D65A67"/>
    <w:rsid w:val="00D72FCB"/>
    <w:rsid w:val="00D741D3"/>
    <w:rsid w:val="00D84980"/>
    <w:rsid w:val="00D86B5B"/>
    <w:rsid w:val="00D87C9B"/>
    <w:rsid w:val="00DA4689"/>
    <w:rsid w:val="00DA4D32"/>
    <w:rsid w:val="00DB203D"/>
    <w:rsid w:val="00DC1F4C"/>
    <w:rsid w:val="00DC2AE5"/>
    <w:rsid w:val="00DC74F6"/>
    <w:rsid w:val="00DC7725"/>
    <w:rsid w:val="00DD7344"/>
    <w:rsid w:val="00DE08F5"/>
    <w:rsid w:val="00DE7A33"/>
    <w:rsid w:val="00DF0F66"/>
    <w:rsid w:val="00DF602B"/>
    <w:rsid w:val="00E050CB"/>
    <w:rsid w:val="00E72801"/>
    <w:rsid w:val="00EA4475"/>
    <w:rsid w:val="00EC1C7C"/>
    <w:rsid w:val="00EC362E"/>
    <w:rsid w:val="00EC3D8C"/>
    <w:rsid w:val="00F2733F"/>
    <w:rsid w:val="00F31C1A"/>
    <w:rsid w:val="00F506E8"/>
    <w:rsid w:val="00F55A35"/>
    <w:rsid w:val="00F56D19"/>
    <w:rsid w:val="00F5799A"/>
    <w:rsid w:val="00F842D1"/>
    <w:rsid w:val="00F96660"/>
    <w:rsid w:val="00FA4481"/>
    <w:rsid w:val="00FA628B"/>
    <w:rsid w:val="00FB6FD2"/>
    <w:rsid w:val="00FD11CC"/>
    <w:rsid w:val="00FD6436"/>
    <w:rsid w:val="00FE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69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C94162"/>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qFormat/>
    <w:rsid w:val="00C94162"/>
    <w:rPr>
      <w:sz w:val="20"/>
      <w:szCs w:val="20"/>
    </w:rPr>
  </w:style>
  <w:style w:type="character" w:customStyle="1" w:styleId="FootnoteTextChar">
    <w:name w:val="Footnote Text Char"/>
    <w:aliases w:val="Footnote Text MRP Char,Footnote Text Char3 Char,ft Char Char,ft Char1,f Char"/>
    <w:basedOn w:val="DefaultParagraphFont"/>
    <w:rsid w:val="00C94162"/>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C94162"/>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C94162"/>
    <w:rPr>
      <w:rFonts w:ascii="Times New Roman" w:eastAsia="Times New Roman" w:hAnsi="Times New Roman" w:cs="Times New Roman"/>
      <w:sz w:val="20"/>
      <w:szCs w:val="20"/>
    </w:rPr>
  </w:style>
  <w:style w:type="character" w:customStyle="1" w:styleId="FERCparanumberChar">
    <w:name w:val="FERC paranumber Char"/>
    <w:link w:val="FERCparanumber"/>
    <w:rsid w:val="00C94162"/>
    <w:rPr>
      <w:rFonts w:ascii="Times New Roman" w:eastAsia="Times New Roman" w:hAnsi="Times New Roman" w:cs="Times New Roman"/>
      <w:sz w:val="26"/>
      <w:szCs w:val="24"/>
    </w:rPr>
  </w:style>
  <w:style w:type="character" w:styleId="Hyperlink">
    <w:name w:val="Hyperlink"/>
    <w:uiPriority w:val="99"/>
    <w:rsid w:val="00C94162"/>
    <w:rPr>
      <w:color w:val="0000FF"/>
      <w:u w:val="single"/>
    </w:rPr>
  </w:style>
  <w:style w:type="paragraph" w:styleId="ListParagraph">
    <w:name w:val="List Paragraph"/>
    <w:basedOn w:val="Normal"/>
    <w:uiPriority w:val="34"/>
    <w:qFormat/>
    <w:rsid w:val="00C94162"/>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C94162"/>
    <w:pPr>
      <w:tabs>
        <w:tab w:val="center" w:pos="4680"/>
        <w:tab w:val="right" w:pos="9360"/>
      </w:tabs>
    </w:pPr>
  </w:style>
  <w:style w:type="character" w:customStyle="1" w:styleId="HeaderChar">
    <w:name w:val="Header Char"/>
    <w:basedOn w:val="DefaultParagraphFont"/>
    <w:link w:val="Header"/>
    <w:rsid w:val="00C941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4162"/>
    <w:pPr>
      <w:tabs>
        <w:tab w:val="center" w:pos="4680"/>
        <w:tab w:val="right" w:pos="9360"/>
      </w:tabs>
    </w:pPr>
  </w:style>
  <w:style w:type="character" w:customStyle="1" w:styleId="FooterChar">
    <w:name w:val="Footer Char"/>
    <w:basedOn w:val="DefaultParagraphFont"/>
    <w:link w:val="Footer"/>
    <w:uiPriority w:val="99"/>
    <w:rsid w:val="00C9416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7FBE"/>
    <w:rPr>
      <w:sz w:val="16"/>
      <w:szCs w:val="16"/>
    </w:rPr>
  </w:style>
  <w:style w:type="paragraph" w:styleId="CommentText">
    <w:name w:val="annotation text"/>
    <w:basedOn w:val="Normal"/>
    <w:link w:val="CommentTextChar"/>
    <w:uiPriority w:val="99"/>
    <w:semiHidden/>
    <w:unhideWhenUsed/>
    <w:rsid w:val="007F7FBE"/>
    <w:rPr>
      <w:sz w:val="20"/>
      <w:szCs w:val="20"/>
    </w:rPr>
  </w:style>
  <w:style w:type="character" w:customStyle="1" w:styleId="CommentTextChar">
    <w:name w:val="Comment Text Char"/>
    <w:basedOn w:val="DefaultParagraphFont"/>
    <w:link w:val="CommentText"/>
    <w:uiPriority w:val="99"/>
    <w:semiHidden/>
    <w:rsid w:val="007F7F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7FBE"/>
    <w:rPr>
      <w:b/>
      <w:bCs/>
    </w:rPr>
  </w:style>
  <w:style w:type="character" w:customStyle="1" w:styleId="CommentSubjectChar">
    <w:name w:val="Comment Subject Char"/>
    <w:basedOn w:val="CommentTextChar"/>
    <w:link w:val="CommentSubject"/>
    <w:uiPriority w:val="99"/>
    <w:semiHidden/>
    <w:rsid w:val="007F7F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7F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FB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B40E3"/>
    <w:rPr>
      <w:color w:val="954F72" w:themeColor="followedHyperlink"/>
      <w:u w:val="single"/>
    </w:rPr>
  </w:style>
  <w:style w:type="paragraph" w:customStyle="1" w:styleId="Non-TOCStyle">
    <w:name w:val="Non-TOC Style"/>
    <w:basedOn w:val="Normal"/>
    <w:next w:val="FERCparanumber"/>
    <w:rsid w:val="00807287"/>
    <w:pPr>
      <w:keepNext/>
      <w:keepLines/>
      <w:tabs>
        <w:tab w:val="num" w:pos="720"/>
      </w:tabs>
      <w:jc w:val="center"/>
      <w:outlineLvl w:val="4"/>
    </w:pPr>
    <w:rPr>
      <w:b/>
      <w:sz w:val="26"/>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C94162"/>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qFormat/>
    <w:rsid w:val="00C94162"/>
    <w:rPr>
      <w:sz w:val="20"/>
      <w:szCs w:val="20"/>
    </w:rPr>
  </w:style>
  <w:style w:type="character" w:customStyle="1" w:styleId="FootnoteTextChar">
    <w:name w:val="Footnote Text Char"/>
    <w:aliases w:val="Footnote Text MRP Char,Footnote Text Char3 Char,ft Char Char,ft Char1,f Char"/>
    <w:basedOn w:val="DefaultParagraphFont"/>
    <w:rsid w:val="00C94162"/>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C94162"/>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C94162"/>
    <w:rPr>
      <w:rFonts w:ascii="Times New Roman" w:eastAsia="Times New Roman" w:hAnsi="Times New Roman" w:cs="Times New Roman"/>
      <w:sz w:val="20"/>
      <w:szCs w:val="20"/>
    </w:rPr>
  </w:style>
  <w:style w:type="character" w:customStyle="1" w:styleId="FERCparanumberChar">
    <w:name w:val="FERC paranumber Char"/>
    <w:link w:val="FERCparanumber"/>
    <w:rsid w:val="00C94162"/>
    <w:rPr>
      <w:rFonts w:ascii="Times New Roman" w:eastAsia="Times New Roman" w:hAnsi="Times New Roman" w:cs="Times New Roman"/>
      <w:sz w:val="26"/>
      <w:szCs w:val="24"/>
    </w:rPr>
  </w:style>
  <w:style w:type="character" w:styleId="Hyperlink">
    <w:name w:val="Hyperlink"/>
    <w:uiPriority w:val="99"/>
    <w:rsid w:val="00C94162"/>
    <w:rPr>
      <w:color w:val="0000FF"/>
      <w:u w:val="single"/>
    </w:rPr>
  </w:style>
  <w:style w:type="paragraph" w:styleId="ListParagraph">
    <w:name w:val="List Paragraph"/>
    <w:basedOn w:val="Normal"/>
    <w:uiPriority w:val="34"/>
    <w:qFormat/>
    <w:rsid w:val="00C94162"/>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C94162"/>
    <w:pPr>
      <w:tabs>
        <w:tab w:val="center" w:pos="4680"/>
        <w:tab w:val="right" w:pos="9360"/>
      </w:tabs>
    </w:pPr>
  </w:style>
  <w:style w:type="character" w:customStyle="1" w:styleId="HeaderChar">
    <w:name w:val="Header Char"/>
    <w:basedOn w:val="DefaultParagraphFont"/>
    <w:link w:val="Header"/>
    <w:rsid w:val="00C941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4162"/>
    <w:pPr>
      <w:tabs>
        <w:tab w:val="center" w:pos="4680"/>
        <w:tab w:val="right" w:pos="9360"/>
      </w:tabs>
    </w:pPr>
  </w:style>
  <w:style w:type="character" w:customStyle="1" w:styleId="FooterChar">
    <w:name w:val="Footer Char"/>
    <w:basedOn w:val="DefaultParagraphFont"/>
    <w:link w:val="Footer"/>
    <w:uiPriority w:val="99"/>
    <w:rsid w:val="00C9416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7FBE"/>
    <w:rPr>
      <w:sz w:val="16"/>
      <w:szCs w:val="16"/>
    </w:rPr>
  </w:style>
  <w:style w:type="paragraph" w:styleId="CommentText">
    <w:name w:val="annotation text"/>
    <w:basedOn w:val="Normal"/>
    <w:link w:val="CommentTextChar"/>
    <w:uiPriority w:val="99"/>
    <w:semiHidden/>
    <w:unhideWhenUsed/>
    <w:rsid w:val="007F7FBE"/>
    <w:rPr>
      <w:sz w:val="20"/>
      <w:szCs w:val="20"/>
    </w:rPr>
  </w:style>
  <w:style w:type="character" w:customStyle="1" w:styleId="CommentTextChar">
    <w:name w:val="Comment Text Char"/>
    <w:basedOn w:val="DefaultParagraphFont"/>
    <w:link w:val="CommentText"/>
    <w:uiPriority w:val="99"/>
    <w:semiHidden/>
    <w:rsid w:val="007F7F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7FBE"/>
    <w:rPr>
      <w:b/>
      <w:bCs/>
    </w:rPr>
  </w:style>
  <w:style w:type="character" w:customStyle="1" w:styleId="CommentSubjectChar">
    <w:name w:val="Comment Subject Char"/>
    <w:basedOn w:val="CommentTextChar"/>
    <w:link w:val="CommentSubject"/>
    <w:uiPriority w:val="99"/>
    <w:semiHidden/>
    <w:rsid w:val="007F7F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7F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FB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B40E3"/>
    <w:rPr>
      <w:color w:val="954F72" w:themeColor="followedHyperlink"/>
      <w:u w:val="single"/>
    </w:rPr>
  </w:style>
  <w:style w:type="paragraph" w:customStyle="1" w:styleId="Non-TOCStyle">
    <w:name w:val="Non-TOC Style"/>
    <w:basedOn w:val="Normal"/>
    <w:next w:val="FERCparanumber"/>
    <w:rsid w:val="00807287"/>
    <w:pPr>
      <w:keepNext/>
      <w:keepLines/>
      <w:tabs>
        <w:tab w:val="num" w:pos="720"/>
      </w:tabs>
      <w:jc w:val="center"/>
      <w:outlineLvl w:val="4"/>
    </w:pPr>
    <w:rPr>
      <w:b/>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5548">
      <w:bodyDiv w:val="1"/>
      <w:marLeft w:val="0"/>
      <w:marRight w:val="0"/>
      <w:marTop w:val="0"/>
      <w:marBottom w:val="0"/>
      <w:divBdr>
        <w:top w:val="none" w:sz="0" w:space="0" w:color="auto"/>
        <w:left w:val="none" w:sz="0" w:space="0" w:color="auto"/>
        <w:bottom w:val="none" w:sz="0" w:space="0" w:color="auto"/>
        <w:right w:val="none" w:sz="0" w:space="0" w:color="auto"/>
      </w:divBdr>
    </w:div>
    <w:div w:id="353698094">
      <w:bodyDiv w:val="1"/>
      <w:marLeft w:val="0"/>
      <w:marRight w:val="0"/>
      <w:marTop w:val="0"/>
      <w:marBottom w:val="0"/>
      <w:divBdr>
        <w:top w:val="none" w:sz="0" w:space="0" w:color="auto"/>
        <w:left w:val="none" w:sz="0" w:space="0" w:color="auto"/>
        <w:bottom w:val="none" w:sz="0" w:space="0" w:color="auto"/>
        <w:right w:val="none" w:sz="0" w:space="0" w:color="auto"/>
      </w:divBdr>
    </w:div>
    <w:div w:id="420837587">
      <w:bodyDiv w:val="1"/>
      <w:marLeft w:val="0"/>
      <w:marRight w:val="0"/>
      <w:marTop w:val="0"/>
      <w:marBottom w:val="0"/>
      <w:divBdr>
        <w:top w:val="none" w:sz="0" w:space="0" w:color="auto"/>
        <w:left w:val="none" w:sz="0" w:space="0" w:color="auto"/>
        <w:bottom w:val="none" w:sz="0" w:space="0" w:color="auto"/>
        <w:right w:val="none" w:sz="0" w:space="0" w:color="auto"/>
      </w:divBdr>
    </w:div>
    <w:div w:id="646862535">
      <w:bodyDiv w:val="1"/>
      <w:marLeft w:val="0"/>
      <w:marRight w:val="0"/>
      <w:marTop w:val="0"/>
      <w:marBottom w:val="0"/>
      <w:divBdr>
        <w:top w:val="none" w:sz="0" w:space="0" w:color="auto"/>
        <w:left w:val="none" w:sz="0" w:space="0" w:color="auto"/>
        <w:bottom w:val="none" w:sz="0" w:space="0" w:color="auto"/>
        <w:right w:val="none" w:sz="0" w:space="0" w:color="auto"/>
      </w:divBdr>
    </w:div>
    <w:div w:id="1845634266">
      <w:bodyDiv w:val="1"/>
      <w:marLeft w:val="0"/>
      <w:marRight w:val="0"/>
      <w:marTop w:val="0"/>
      <w:marBottom w:val="0"/>
      <w:divBdr>
        <w:top w:val="none" w:sz="0" w:space="0" w:color="auto"/>
        <w:left w:val="none" w:sz="0" w:space="0" w:color="auto"/>
        <w:bottom w:val="none" w:sz="0" w:space="0" w:color="auto"/>
        <w:right w:val="none" w:sz="0" w:space="0" w:color="auto"/>
      </w:divBdr>
    </w:div>
    <w:div w:id="21021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ferc.gov/docs-filing/etariff.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doc_info.asp?document_id=14643623" TargetMode="External"/><Relationship Id="rId2" Type="http://schemas.openxmlformats.org/officeDocument/2006/relationships/hyperlink" Target="https://www.sba.gov/sites/default/files/advocacy/rfaguide_0512_0.pdf" TargetMode="External"/><Relationship Id="rId1" Type="http://schemas.openxmlformats.org/officeDocument/2006/relationships/hyperlink" Target="https://elibrary.ferc.gov/idmws/common/opennat.asp?fileID=14834136" TargetMode="External"/><Relationship Id="rId4" Type="http://schemas.openxmlformats.org/officeDocument/2006/relationships/hyperlink" Target="https://elibrary.ferc.gov/idmws/doc_info.asp?document_id=14647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2018-03-08T05:00:00+00:00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RM16-6</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BF3EE-7402-49AC-B2BB-F6CAC6C955A0}">
  <ds:schemaRefs>
    <ds:schemaRef ds:uri="http://schemas.microsoft.com/office/2006/metadata/customXsn"/>
  </ds:schemaRefs>
</ds:datastoreItem>
</file>

<file path=customXml/itemProps2.xml><?xml version="1.0" encoding="utf-8"?>
<ds:datastoreItem xmlns:ds="http://schemas.openxmlformats.org/officeDocument/2006/customXml" ds:itemID="{D20AF9B7-961B-4908-B2E4-87B76C768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C708C-E8B1-4C95-AC6F-2D467E7A0387}">
  <ds:schemaRefs>
    <ds:schemaRef ds:uri="http://www.w3.org/XML/1998/namespace"/>
    <ds:schemaRef ds:uri="http://purl.org/dc/elements/1.1/"/>
    <ds:schemaRef ds:uri="d6eefc7d-9817-4fa6-84d5-3bc009be21b8"/>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s>
</ds:datastoreItem>
</file>

<file path=customXml/itemProps4.xml><?xml version="1.0" encoding="utf-8"?>
<ds:datastoreItem xmlns:ds="http://schemas.openxmlformats.org/officeDocument/2006/customXml" ds:itemID="{834BE09A-78D4-4E0E-8594-1B897444FE6A}">
  <ds:schemaRefs>
    <ds:schemaRef ds:uri="http://schemas.microsoft.com/sharepoint/v3/contenttype/forms"/>
  </ds:schemaRefs>
</ds:datastoreItem>
</file>

<file path=customXml/itemProps5.xml><?xml version="1.0" encoding="utf-8"?>
<ds:datastoreItem xmlns:ds="http://schemas.openxmlformats.org/officeDocument/2006/customXml" ds:itemID="{00DC6B90-E360-41EB-A8F4-8917CCF1C69E}">
  <ds:schemaRefs>
    <ds:schemaRef ds:uri="Microsoft.SharePoint.Taxonomy.ContentTypeSync"/>
  </ds:schemaRefs>
</ds:datastoreItem>
</file>

<file path=customXml/itemProps6.xml><?xml version="1.0" encoding="utf-8"?>
<ds:datastoreItem xmlns:ds="http://schemas.openxmlformats.org/officeDocument/2006/customXml" ds:itemID="{14FF646C-6EA4-4D7D-9A07-67CB3457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Electric Rate Schedule</vt:lpstr>
    </vt:vector>
  </TitlesOfParts>
  <Company>FERC</Company>
  <LinksUpToDate>false</LinksUpToDate>
  <CharactersWithSpaces>15467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Rate Schedule</dc:title>
  <dc:subject/>
  <dc:creator>Michele Chambers</dc:creator>
  <cp:keywords/>
  <dc:description/>
  <cp:lastModifiedBy>SYSTEM</cp:lastModifiedBy>
  <cp:revision>2</cp:revision>
  <cp:lastPrinted>2018-02-06T18:25:00Z</cp:lastPrinted>
  <dcterms:created xsi:type="dcterms:W3CDTF">2018-04-09T21:07:00Z</dcterms:created>
  <dcterms:modified xsi:type="dcterms:W3CDTF">2018-04-09T21:07:00Z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