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4A579" w14:textId="49EDF71A" w:rsidR="00AE776E" w:rsidRPr="009370E6" w:rsidRDefault="009370E6" w:rsidP="00896C68">
      <w:pPr>
        <w:jc w:val="center"/>
      </w:pPr>
      <w:bookmarkStart w:id="0" w:name="_GoBack"/>
      <w:bookmarkEnd w:id="0"/>
      <w:r>
        <w:t>154 FERC ¶ 61,117</w:t>
      </w:r>
    </w:p>
    <w:p w14:paraId="5CEDB619" w14:textId="77777777" w:rsidR="00896C68" w:rsidRPr="00797BFA" w:rsidRDefault="00896C68" w:rsidP="00896C68">
      <w:pPr>
        <w:jc w:val="center"/>
      </w:pPr>
      <w:r w:rsidRPr="00797BFA">
        <w:t>UNITED STATES OF AMERICA</w:t>
      </w:r>
    </w:p>
    <w:p w14:paraId="48F7479B" w14:textId="71FA84ED" w:rsidR="00896C68" w:rsidRPr="00797BFA" w:rsidRDefault="00896C68" w:rsidP="00034581">
      <w:pPr>
        <w:jc w:val="center"/>
      </w:pPr>
      <w:r w:rsidRPr="00797BFA">
        <w:t>FEDERAL ENERGY REGULATORY COMMISSION</w:t>
      </w:r>
    </w:p>
    <w:p w14:paraId="32CA6951" w14:textId="77777777" w:rsidR="00034581" w:rsidRPr="00797BFA" w:rsidRDefault="00034581" w:rsidP="00034581">
      <w:pPr>
        <w:jc w:val="center"/>
      </w:pPr>
    </w:p>
    <w:p w14:paraId="5182E06C" w14:textId="77777777" w:rsidR="00896C68" w:rsidRPr="00797BFA" w:rsidRDefault="00896C68" w:rsidP="00896C68">
      <w:pPr>
        <w:jc w:val="center"/>
      </w:pPr>
    </w:p>
    <w:p w14:paraId="24E86448" w14:textId="77777777" w:rsidR="00896C68" w:rsidRPr="00797BFA" w:rsidRDefault="00896C68" w:rsidP="00896C68">
      <w:pPr>
        <w:jc w:val="center"/>
      </w:pPr>
      <w:r w:rsidRPr="00797BFA">
        <w:t xml:space="preserve">Docket No. </w:t>
      </w:r>
      <w:r w:rsidR="00AE0570" w:rsidRPr="00797BFA">
        <w:t>RM16-6</w:t>
      </w:r>
      <w:r w:rsidR="00100A27" w:rsidRPr="00797BFA">
        <w:t>-000</w:t>
      </w:r>
    </w:p>
    <w:p w14:paraId="025BD7DB" w14:textId="77777777" w:rsidR="00896C68" w:rsidRPr="00797BFA" w:rsidRDefault="00896C68" w:rsidP="00896C68">
      <w:pPr>
        <w:jc w:val="center"/>
      </w:pPr>
    </w:p>
    <w:p w14:paraId="18749ACB" w14:textId="4CC9B26C" w:rsidR="00896C68" w:rsidRPr="00797BFA" w:rsidRDefault="00B40470" w:rsidP="00896C68">
      <w:pPr>
        <w:jc w:val="center"/>
      </w:pPr>
      <w:r w:rsidRPr="00797BFA">
        <w:t>Essential Reliability Services and the Evolving Bulk-Power System—Primary Frequency Response</w:t>
      </w:r>
    </w:p>
    <w:p w14:paraId="4C6313FF" w14:textId="77777777" w:rsidR="00896C68" w:rsidRPr="00797BFA" w:rsidRDefault="00896C68" w:rsidP="00896C68">
      <w:pPr>
        <w:jc w:val="center"/>
      </w:pPr>
    </w:p>
    <w:p w14:paraId="5D7AEDE1" w14:textId="719409D2" w:rsidR="00896C68" w:rsidRDefault="009370E6" w:rsidP="009370E6">
      <w:pPr>
        <w:widowControl/>
        <w:jc w:val="center"/>
      </w:pPr>
      <w:r w:rsidRPr="009370E6">
        <w:t>(Issued February 1</w:t>
      </w:r>
      <w:r>
        <w:t>8</w:t>
      </w:r>
      <w:r w:rsidRPr="009370E6">
        <w:t>, 2016)</w:t>
      </w:r>
    </w:p>
    <w:p w14:paraId="4C359387" w14:textId="77777777" w:rsidR="009370E6" w:rsidRPr="009370E6" w:rsidRDefault="009370E6" w:rsidP="009370E6">
      <w:pPr>
        <w:widowControl/>
      </w:pPr>
    </w:p>
    <w:p w14:paraId="5004ADA6" w14:textId="77777777" w:rsidR="008D7172" w:rsidRPr="00797BFA" w:rsidRDefault="008D7172" w:rsidP="00896C68"/>
    <w:p w14:paraId="5E869C22" w14:textId="77777777" w:rsidR="00896C68" w:rsidRPr="00797BFA" w:rsidRDefault="00896C68" w:rsidP="00896C68">
      <w:pPr>
        <w:spacing w:line="480" w:lineRule="auto"/>
      </w:pPr>
      <w:r w:rsidRPr="00797BFA">
        <w:rPr>
          <w:u w:val="single"/>
        </w:rPr>
        <w:t>AGENCY</w:t>
      </w:r>
      <w:r w:rsidRPr="00797BFA">
        <w:t>:  Federal Energy Regulatory Commission.</w:t>
      </w:r>
    </w:p>
    <w:p w14:paraId="6D20B497" w14:textId="77777777" w:rsidR="00896C68" w:rsidRPr="00797BFA" w:rsidRDefault="00896C68" w:rsidP="00896C68">
      <w:pPr>
        <w:spacing w:line="480" w:lineRule="auto"/>
      </w:pPr>
      <w:r w:rsidRPr="00797BFA">
        <w:rPr>
          <w:u w:val="single"/>
        </w:rPr>
        <w:t>ACTION</w:t>
      </w:r>
      <w:r w:rsidRPr="00797BFA">
        <w:t>:  Notice of Inquiry.</w:t>
      </w:r>
    </w:p>
    <w:p w14:paraId="1ABD08CF" w14:textId="31DA06CC" w:rsidR="00896C68" w:rsidRPr="00797BFA" w:rsidRDefault="00896C68" w:rsidP="00896C68">
      <w:pPr>
        <w:spacing w:line="480" w:lineRule="auto"/>
      </w:pPr>
      <w:r w:rsidRPr="00797BFA">
        <w:rPr>
          <w:u w:val="single"/>
        </w:rPr>
        <w:t>SUMMARY</w:t>
      </w:r>
      <w:r w:rsidRPr="00797BFA">
        <w:t xml:space="preserve">: </w:t>
      </w:r>
      <w:r w:rsidR="00D83F76" w:rsidRPr="00797BFA">
        <w:t xml:space="preserve"> </w:t>
      </w:r>
      <w:r w:rsidRPr="00797BFA">
        <w:t xml:space="preserve">In this Notice of Inquiry, the Federal Energy Regulatory Commission (Commission) seeks comment </w:t>
      </w:r>
      <w:r w:rsidR="005F23DF" w:rsidRPr="00797BFA">
        <w:t>on the need for reforms to its rules and regulations regarding the provision and compensation of primary frequency response.</w:t>
      </w:r>
    </w:p>
    <w:p w14:paraId="61079BBA" w14:textId="1A6B587E" w:rsidR="00896C68" w:rsidRPr="00797BFA" w:rsidRDefault="00896C68" w:rsidP="00896C68">
      <w:pPr>
        <w:spacing w:line="480" w:lineRule="auto"/>
      </w:pPr>
      <w:r w:rsidRPr="00797BFA">
        <w:rPr>
          <w:u w:val="single"/>
        </w:rPr>
        <w:t>DATES</w:t>
      </w:r>
      <w:r w:rsidRPr="00797BFA">
        <w:t>:  Comments are due</w:t>
      </w:r>
      <w:r w:rsidRPr="00797BFA">
        <w:rPr>
          <w:b/>
        </w:rPr>
        <w:t xml:space="preserve"> </w:t>
      </w:r>
      <w:r w:rsidR="00D2491A" w:rsidRPr="00797BFA">
        <w:rPr>
          <w:b/>
        </w:rPr>
        <w:t>[</w:t>
      </w:r>
      <w:r w:rsidR="00D2491A" w:rsidRPr="00797BFA">
        <w:t xml:space="preserve">Insert date that is </w:t>
      </w:r>
      <w:r w:rsidR="00401F77" w:rsidRPr="00797BFA">
        <w:t>60</w:t>
      </w:r>
      <w:r w:rsidRPr="00797BFA">
        <w:t xml:space="preserve"> days after publication in the </w:t>
      </w:r>
      <w:r w:rsidRPr="00797BFA">
        <w:rPr>
          <w:b/>
        </w:rPr>
        <w:t>FEDERAL REGISTER]</w:t>
      </w:r>
      <w:r w:rsidR="00D2491A" w:rsidRPr="00797BFA">
        <w:t>.</w:t>
      </w:r>
      <w:r w:rsidR="003F6040" w:rsidRPr="00797BFA">
        <w:t xml:space="preserve"> </w:t>
      </w:r>
    </w:p>
    <w:p w14:paraId="7BEE270D" w14:textId="77777777" w:rsidR="00896C68" w:rsidRPr="00797BFA" w:rsidRDefault="00896C68" w:rsidP="00896C68">
      <w:pPr>
        <w:spacing w:line="480" w:lineRule="auto"/>
      </w:pPr>
      <w:r w:rsidRPr="00797BFA">
        <w:rPr>
          <w:u w:val="single"/>
        </w:rPr>
        <w:t>ADDRESSES</w:t>
      </w:r>
      <w:r w:rsidRPr="00797BFA">
        <w:t>:  You may submit comments, identified by docket number</w:t>
      </w:r>
      <w:r w:rsidR="00AF2306" w:rsidRPr="00797BFA">
        <w:t xml:space="preserve"> and in accordance with the requirements posted on the Commission’s website, </w:t>
      </w:r>
      <w:hyperlink r:id="rId12" w:history="1">
        <w:r w:rsidR="00AF2306" w:rsidRPr="00547095">
          <w:rPr>
            <w:rStyle w:val="Hyperlink"/>
            <w:u w:val="none"/>
          </w:rPr>
          <w:t>http://www.ferc.gov</w:t>
        </w:r>
      </w:hyperlink>
      <w:r w:rsidR="00AF2306" w:rsidRPr="00797BFA">
        <w:t>.  Comments may be submitted</w:t>
      </w:r>
      <w:r w:rsidRPr="00797BFA">
        <w:t xml:space="preserve"> by any of the following methods:</w:t>
      </w:r>
    </w:p>
    <w:p w14:paraId="7A5D20EB" w14:textId="77777777" w:rsidR="00896C68" w:rsidRPr="00797BFA" w:rsidRDefault="00AF2306" w:rsidP="00896C68">
      <w:pPr>
        <w:numPr>
          <w:ilvl w:val="0"/>
          <w:numId w:val="2"/>
        </w:numPr>
        <w:spacing w:line="480" w:lineRule="auto"/>
      </w:pPr>
      <w:r w:rsidRPr="00797BFA">
        <w:t>Agency Web</w:t>
      </w:r>
      <w:r w:rsidR="00DD150C" w:rsidRPr="00797BFA">
        <w:t>s</w:t>
      </w:r>
      <w:r w:rsidRPr="00797BFA">
        <w:t xml:space="preserve">ite: </w:t>
      </w:r>
      <w:r w:rsidR="00896C68" w:rsidRPr="00797BFA">
        <w:t xml:space="preserve"> Documents created electronically using word processing software should be filed in native applications or print-to-PDF format and not in a scanned format</w:t>
      </w:r>
      <w:r w:rsidRPr="00797BFA">
        <w:t xml:space="preserve">, at </w:t>
      </w:r>
      <w:hyperlink r:id="rId13" w:history="1">
        <w:r w:rsidRPr="00547095">
          <w:rPr>
            <w:rStyle w:val="Hyperlink"/>
            <w:u w:val="none"/>
          </w:rPr>
          <w:t>http://www.ferc.gov/docs-filing/efiling.asp</w:t>
        </w:r>
      </w:hyperlink>
      <w:r w:rsidRPr="00797BFA">
        <w:t>.</w:t>
      </w:r>
    </w:p>
    <w:p w14:paraId="61C4D9AB" w14:textId="3C99BA0E" w:rsidR="00896C68" w:rsidRPr="00797BFA" w:rsidRDefault="00896C68" w:rsidP="00896C68">
      <w:pPr>
        <w:numPr>
          <w:ilvl w:val="0"/>
          <w:numId w:val="2"/>
        </w:numPr>
        <w:spacing w:line="480" w:lineRule="auto"/>
      </w:pPr>
      <w:r w:rsidRPr="00797BFA">
        <w:t xml:space="preserve">Mail/Hand Delivery:  </w:t>
      </w:r>
      <w:r w:rsidR="00034581" w:rsidRPr="00797BFA">
        <w:t>Those</w:t>
      </w:r>
      <w:r w:rsidRPr="00797BFA">
        <w:t xml:space="preserve"> unable to file electronically must mail or hand deliver comments to:  Federal Energy Regulatory Commission, Secretary of the </w:t>
      </w:r>
      <w:r w:rsidRPr="00797BFA">
        <w:lastRenderedPageBreak/>
        <w:t xml:space="preserve">Commission, 888 First Street, NE, Washington, DC </w:t>
      </w:r>
      <w:r w:rsidR="00CE1300" w:rsidRPr="00797BFA">
        <w:t xml:space="preserve"> </w:t>
      </w:r>
      <w:r w:rsidRPr="00797BFA">
        <w:t>20426.</w:t>
      </w:r>
      <w:r w:rsidR="00AF2306" w:rsidRPr="00797BFA">
        <w:t xml:space="preserve">  </w:t>
      </w:r>
    </w:p>
    <w:p w14:paraId="29A2B7FC" w14:textId="56AA0DAD" w:rsidR="00034581" w:rsidRPr="00797BFA" w:rsidRDefault="00034581" w:rsidP="00034581">
      <w:pPr>
        <w:spacing w:line="480" w:lineRule="auto"/>
      </w:pPr>
      <w:r w:rsidRPr="00797BFA">
        <w:rPr>
          <w:i/>
        </w:rPr>
        <w:t>Instructions:</w:t>
      </w:r>
      <w:r w:rsidRPr="00797BFA">
        <w:t xml:space="preserve">  For detailed instructions on submitting comments and additional information on the rulemaking process, see the Comment Procedures Section of this document.</w:t>
      </w:r>
    </w:p>
    <w:p w14:paraId="57DF7087" w14:textId="77777777" w:rsidR="00896C68" w:rsidRPr="00797BFA" w:rsidRDefault="00896C68" w:rsidP="00896C68">
      <w:r w:rsidRPr="00797BFA">
        <w:rPr>
          <w:u w:val="single"/>
        </w:rPr>
        <w:t>FOR FURTHER INFORMATION CONTACT</w:t>
      </w:r>
      <w:r w:rsidRPr="00797BFA">
        <w:t>:</w:t>
      </w:r>
    </w:p>
    <w:p w14:paraId="31ECCB1A" w14:textId="77777777" w:rsidR="00896C68" w:rsidRPr="00797BFA" w:rsidRDefault="00896C68" w:rsidP="00896C68"/>
    <w:p w14:paraId="6438790A" w14:textId="77777777" w:rsidR="00896C68" w:rsidRPr="00797BFA" w:rsidRDefault="001F193D" w:rsidP="00896C68">
      <w:r w:rsidRPr="00797BFA">
        <w:t>Jomo Richardson</w:t>
      </w:r>
      <w:r w:rsidR="00716661" w:rsidRPr="00797BFA">
        <w:t xml:space="preserve"> (Technical Information)</w:t>
      </w:r>
    </w:p>
    <w:p w14:paraId="6588513E" w14:textId="77777777" w:rsidR="00896C68" w:rsidRPr="00797BFA" w:rsidRDefault="001F193D" w:rsidP="00896C68">
      <w:r w:rsidRPr="00797BFA">
        <w:t>Office of Electric Reliability</w:t>
      </w:r>
    </w:p>
    <w:p w14:paraId="39A1A4D8" w14:textId="77777777" w:rsidR="00896C68" w:rsidRPr="00797BFA" w:rsidRDefault="00716661" w:rsidP="00896C68">
      <w:r w:rsidRPr="00797BFA">
        <w:fldChar w:fldCharType="begin"/>
      </w:r>
      <w:r w:rsidRPr="00797BFA">
        <w:instrText xml:space="preserve"> MACROBUTTON  AcceptAllChangesInDoc </w:instrText>
      </w:r>
      <w:r w:rsidRPr="00797BFA">
        <w:fldChar w:fldCharType="end"/>
      </w:r>
      <w:r w:rsidRPr="00797BFA">
        <w:fldChar w:fldCharType="begin"/>
      </w:r>
      <w:r w:rsidRPr="00797BFA">
        <w:instrText xml:space="preserve"> MACROBUTTON  AcceptAllChangesInDoc </w:instrText>
      </w:r>
      <w:r w:rsidRPr="00797BFA">
        <w:fldChar w:fldCharType="end"/>
      </w:r>
      <w:r w:rsidRPr="00797BFA">
        <w:t>Federal Energy Regulatory Commission</w:t>
      </w:r>
    </w:p>
    <w:p w14:paraId="093DCCD6" w14:textId="77777777" w:rsidR="00896C68" w:rsidRPr="00797BFA" w:rsidRDefault="00716661" w:rsidP="00896C68">
      <w:r w:rsidRPr="00797BFA">
        <w:t>888 First Street, NE</w:t>
      </w:r>
    </w:p>
    <w:p w14:paraId="22E7E378" w14:textId="77777777" w:rsidR="00896C68" w:rsidRPr="00797BFA" w:rsidRDefault="00716661" w:rsidP="00896C68">
      <w:r w:rsidRPr="00797BFA">
        <w:t>Washington, DC</w:t>
      </w:r>
      <w:r w:rsidR="00FA237D" w:rsidRPr="00797BFA">
        <w:t xml:space="preserve"> </w:t>
      </w:r>
      <w:r w:rsidRPr="00797BFA">
        <w:t xml:space="preserve"> 20426</w:t>
      </w:r>
    </w:p>
    <w:p w14:paraId="350E2F23" w14:textId="77777777" w:rsidR="00896C68" w:rsidRPr="00797BFA" w:rsidRDefault="00B40470" w:rsidP="00896C68">
      <w:r w:rsidRPr="00797BFA">
        <w:t>(202) 502-6281</w:t>
      </w:r>
    </w:p>
    <w:p w14:paraId="7C33228F" w14:textId="77777777" w:rsidR="00896C68" w:rsidRPr="00797BFA" w:rsidRDefault="00B40470" w:rsidP="00896C68">
      <w:r w:rsidRPr="00797BFA">
        <w:t>Jomo.Richardson</w:t>
      </w:r>
      <w:r w:rsidR="00716661" w:rsidRPr="00797BFA">
        <w:t>@ferc.gov</w:t>
      </w:r>
    </w:p>
    <w:p w14:paraId="50C1C7C7" w14:textId="77777777" w:rsidR="00716661" w:rsidRPr="00797BFA" w:rsidRDefault="00716661" w:rsidP="00896C68"/>
    <w:p w14:paraId="3519F2A3" w14:textId="77777777" w:rsidR="00716661" w:rsidRPr="00797BFA" w:rsidRDefault="00DD150C" w:rsidP="00896C68">
      <w:r w:rsidRPr="00797BFA">
        <w:t>Mark Bennett</w:t>
      </w:r>
      <w:r w:rsidR="00716661" w:rsidRPr="00797BFA">
        <w:t xml:space="preserve"> (Legal Information)</w:t>
      </w:r>
    </w:p>
    <w:p w14:paraId="3F7E2CC9" w14:textId="77777777" w:rsidR="00716661" w:rsidRPr="00797BFA" w:rsidRDefault="00716661" w:rsidP="00896C68">
      <w:r w:rsidRPr="00797BFA">
        <w:t>Office of</w:t>
      </w:r>
      <w:r w:rsidR="00DD150C" w:rsidRPr="00797BFA">
        <w:t xml:space="preserve"> the General Counsel </w:t>
      </w:r>
    </w:p>
    <w:p w14:paraId="6688DF21" w14:textId="77777777" w:rsidR="00716661" w:rsidRPr="00797BFA" w:rsidRDefault="00716661" w:rsidP="00716661">
      <w:r w:rsidRPr="00797BFA">
        <w:t>Federal Energy Regulatory Commission</w:t>
      </w:r>
    </w:p>
    <w:p w14:paraId="2BE4D31A" w14:textId="77777777" w:rsidR="00716661" w:rsidRPr="00797BFA" w:rsidRDefault="00716661" w:rsidP="00716661">
      <w:r w:rsidRPr="00797BFA">
        <w:t>888 First Street, NE</w:t>
      </w:r>
    </w:p>
    <w:p w14:paraId="04834552" w14:textId="77777777" w:rsidR="00716661" w:rsidRPr="00797BFA" w:rsidRDefault="00716661" w:rsidP="00716661">
      <w:r w:rsidRPr="00797BFA">
        <w:t>Washington, DC</w:t>
      </w:r>
      <w:r w:rsidR="00FA237D" w:rsidRPr="00797BFA">
        <w:t xml:space="preserve"> </w:t>
      </w:r>
      <w:r w:rsidRPr="00797BFA">
        <w:t xml:space="preserve"> 20426</w:t>
      </w:r>
    </w:p>
    <w:p w14:paraId="3B070918" w14:textId="77777777" w:rsidR="00716661" w:rsidRPr="00797BFA" w:rsidRDefault="00716661" w:rsidP="00716661">
      <w:r w:rsidRPr="00797BFA">
        <w:t>(202) 502-</w:t>
      </w:r>
      <w:r w:rsidR="00DD150C" w:rsidRPr="00797BFA">
        <w:t>8524</w:t>
      </w:r>
    </w:p>
    <w:p w14:paraId="17F4C14D" w14:textId="77777777" w:rsidR="009E52CD" w:rsidRPr="00797BFA" w:rsidRDefault="00DD150C" w:rsidP="00716661">
      <w:r w:rsidRPr="00797BFA">
        <w:t>Mark.Bennett</w:t>
      </w:r>
      <w:r w:rsidR="009E52CD" w:rsidRPr="00797BFA">
        <w:t>@ferc.gov</w:t>
      </w:r>
    </w:p>
    <w:p w14:paraId="23A869D0" w14:textId="77777777" w:rsidR="00896C68" w:rsidRPr="00797BFA" w:rsidRDefault="00896C68" w:rsidP="00896C68"/>
    <w:p w14:paraId="0EF004F1" w14:textId="77777777" w:rsidR="00896C68" w:rsidRPr="00797BFA" w:rsidRDefault="00896C68" w:rsidP="00896C68">
      <w:pPr>
        <w:sectPr w:rsidR="00896C68" w:rsidRPr="00797BFA" w:rsidSect="00581547">
          <w:headerReference w:type="even" r:id="rId14"/>
          <w:headerReference w:type="default" r:id="rId15"/>
          <w:pgSz w:w="12240" w:h="15840"/>
          <w:pgMar w:top="1440" w:right="1440" w:bottom="1440" w:left="1440" w:header="720" w:footer="720" w:gutter="0"/>
          <w:pgNumType w:fmt="lowerRoman"/>
          <w:cols w:space="720"/>
          <w:titlePg/>
          <w:docGrid w:linePitch="360"/>
        </w:sectPr>
      </w:pPr>
      <w:r w:rsidRPr="00797BFA">
        <w:rPr>
          <w:u w:val="single"/>
        </w:rPr>
        <w:t>SUPPLEMENTARY INFORMATION</w:t>
      </w:r>
      <w:r w:rsidRPr="00797BFA">
        <w:t>:</w:t>
      </w:r>
    </w:p>
    <w:p w14:paraId="4C3CA073" w14:textId="2FAEB24F" w:rsidR="00A90390" w:rsidRPr="00A90390" w:rsidRDefault="00A90390" w:rsidP="00896C68">
      <w:pPr>
        <w:jc w:val="center"/>
      </w:pPr>
      <w:bookmarkStart w:id="1" w:name="_Start_TOC"/>
      <w:bookmarkStart w:id="2" w:name="_End_TOC"/>
      <w:bookmarkEnd w:id="1"/>
      <w:bookmarkEnd w:id="2"/>
      <w:r>
        <w:lastRenderedPageBreak/>
        <w:t>154 FERC ¶ 61,117</w:t>
      </w:r>
    </w:p>
    <w:p w14:paraId="2406116A" w14:textId="77777777" w:rsidR="00896C68" w:rsidRPr="00797BFA" w:rsidRDefault="00896C68" w:rsidP="00896C68">
      <w:pPr>
        <w:jc w:val="center"/>
      </w:pPr>
      <w:r w:rsidRPr="00797BFA">
        <w:t>UNITED STATES OF AMERICA</w:t>
      </w:r>
    </w:p>
    <w:p w14:paraId="17D6E23B" w14:textId="77777777" w:rsidR="00896C68" w:rsidRPr="00797BFA" w:rsidRDefault="00896C68" w:rsidP="00896C68">
      <w:pPr>
        <w:jc w:val="center"/>
      </w:pPr>
      <w:r w:rsidRPr="00797BFA">
        <w:t>FEDERAL ENERGY REGULATORY COMMISSION</w:t>
      </w:r>
    </w:p>
    <w:p w14:paraId="29B1B94B" w14:textId="77777777" w:rsidR="00896C68" w:rsidRPr="00797BFA" w:rsidRDefault="00896C68" w:rsidP="00896C68"/>
    <w:p w14:paraId="221E2D24" w14:textId="77777777" w:rsidR="00896C68" w:rsidRPr="00797BFA" w:rsidRDefault="00896C68" w:rsidP="00896C68">
      <w:pPr>
        <w:ind w:left="1440" w:hanging="1440"/>
      </w:pPr>
    </w:p>
    <w:tbl>
      <w:tblPr>
        <w:tblW w:w="0" w:type="auto"/>
        <w:tblCellMar>
          <w:left w:w="0" w:type="dxa"/>
          <w:right w:w="0" w:type="dxa"/>
        </w:tblCellMar>
        <w:tblLook w:val="01E0" w:firstRow="1" w:lastRow="1" w:firstColumn="1" w:lastColumn="1" w:noHBand="0" w:noVBand="0"/>
      </w:tblPr>
      <w:tblGrid>
        <w:gridCol w:w="5929"/>
        <w:gridCol w:w="1536"/>
        <w:gridCol w:w="1895"/>
      </w:tblGrid>
      <w:tr w:rsidR="00896C68" w:rsidRPr="00797BFA" w14:paraId="1D8E569B" w14:textId="77777777" w:rsidTr="003A38E4">
        <w:tc>
          <w:tcPr>
            <w:tcW w:w="5929" w:type="dxa"/>
            <w:shd w:val="clear" w:color="auto" w:fill="auto"/>
          </w:tcPr>
          <w:p w14:paraId="489BB34E" w14:textId="406BE01B" w:rsidR="00B40470" w:rsidRPr="00797BFA" w:rsidRDefault="00B40470" w:rsidP="00136F93">
            <w:r w:rsidRPr="00797BFA">
              <w:t>Essential Reliability Services and the Evolving Bulk-Power System—Primary Frequency Response</w:t>
            </w:r>
          </w:p>
          <w:p w14:paraId="183A844A" w14:textId="77777777" w:rsidR="00896C68" w:rsidRPr="00797BFA" w:rsidRDefault="00896C68" w:rsidP="00896C68"/>
        </w:tc>
        <w:tc>
          <w:tcPr>
            <w:tcW w:w="1536" w:type="dxa"/>
            <w:shd w:val="clear" w:color="auto" w:fill="auto"/>
            <w:tcMar>
              <w:left w:w="72" w:type="dxa"/>
            </w:tcMar>
          </w:tcPr>
          <w:p w14:paraId="17F1D344" w14:textId="77777777" w:rsidR="00896C68" w:rsidRPr="00797BFA" w:rsidRDefault="00896C68" w:rsidP="006E0245">
            <w:pPr>
              <w:jc w:val="right"/>
            </w:pPr>
            <w:r w:rsidRPr="00797BFA">
              <w:t>Docket No.</w:t>
            </w:r>
          </w:p>
        </w:tc>
        <w:tc>
          <w:tcPr>
            <w:tcW w:w="1895" w:type="dxa"/>
            <w:shd w:val="clear" w:color="auto" w:fill="auto"/>
            <w:tcMar>
              <w:left w:w="144" w:type="dxa"/>
            </w:tcMar>
          </w:tcPr>
          <w:p w14:paraId="33429D03" w14:textId="77777777" w:rsidR="00896C68" w:rsidRPr="00797BFA" w:rsidRDefault="00AE0570" w:rsidP="00896C68">
            <w:r w:rsidRPr="00797BFA">
              <w:t>RM16-6</w:t>
            </w:r>
            <w:r w:rsidR="006B1356" w:rsidRPr="00797BFA">
              <w:t>-000</w:t>
            </w:r>
          </w:p>
        </w:tc>
      </w:tr>
    </w:tbl>
    <w:p w14:paraId="789D3BF7" w14:textId="77777777" w:rsidR="00896C68" w:rsidRPr="00797BFA" w:rsidRDefault="00896C68" w:rsidP="00896C68"/>
    <w:p w14:paraId="431273C2" w14:textId="77777777" w:rsidR="00896C68" w:rsidRPr="00797BFA" w:rsidRDefault="00896C68" w:rsidP="00896C68"/>
    <w:p w14:paraId="35EFAB39" w14:textId="77777777" w:rsidR="00896C68" w:rsidRPr="00797BFA" w:rsidRDefault="00896C68" w:rsidP="00896C68">
      <w:pPr>
        <w:jc w:val="center"/>
      </w:pPr>
      <w:r w:rsidRPr="00797BFA">
        <w:t>NOTICE OF INQUIRY</w:t>
      </w:r>
    </w:p>
    <w:p w14:paraId="46888A11" w14:textId="77777777" w:rsidR="00896C68" w:rsidRPr="00797BFA" w:rsidRDefault="00896C68" w:rsidP="00FA237D">
      <w:pPr>
        <w:jc w:val="center"/>
      </w:pPr>
    </w:p>
    <w:p w14:paraId="5B842E48" w14:textId="3A4F5CD1" w:rsidR="00CE1300" w:rsidRDefault="00A90390" w:rsidP="00A90390">
      <w:pPr>
        <w:widowControl/>
        <w:jc w:val="center"/>
      </w:pPr>
      <w:r w:rsidRPr="00A90390">
        <w:t>(Issued February 1</w:t>
      </w:r>
      <w:r>
        <w:t>8</w:t>
      </w:r>
      <w:r w:rsidRPr="00A90390">
        <w:t>, 2016)</w:t>
      </w:r>
    </w:p>
    <w:p w14:paraId="06389DF9" w14:textId="77777777" w:rsidR="00A90390" w:rsidRPr="00A90390" w:rsidRDefault="00A90390" w:rsidP="00A90390">
      <w:pPr>
        <w:widowControl/>
      </w:pPr>
    </w:p>
    <w:p w14:paraId="78F06EF9" w14:textId="77777777" w:rsidR="00CE1300" w:rsidRPr="00797BFA" w:rsidRDefault="00CE1300" w:rsidP="00896C68"/>
    <w:p w14:paraId="3ADE3919" w14:textId="7271F539" w:rsidR="00554023" w:rsidRPr="00797BFA" w:rsidRDefault="00896C68" w:rsidP="000608F4">
      <w:pPr>
        <w:pStyle w:val="FERCparanumber"/>
        <w:tabs>
          <w:tab w:val="num" w:pos="720"/>
        </w:tabs>
        <w:ind w:left="0"/>
      </w:pPr>
      <w:r w:rsidRPr="00797BFA">
        <w:t>In this Notice of Inquiry</w:t>
      </w:r>
      <w:r w:rsidR="00BA08E8" w:rsidRPr="00797BFA">
        <w:t xml:space="preserve"> (NOI)</w:t>
      </w:r>
      <w:r w:rsidRPr="00797BFA">
        <w:t xml:space="preserve">, the Commission seeks comment </w:t>
      </w:r>
      <w:r w:rsidR="001C25FC" w:rsidRPr="00797BFA">
        <w:t xml:space="preserve">on the need for reforms to its rules and regulations regarding the provision and compensation of primary frequency response.  In recent years, the nation’s electric supply portfolio has transformed to a point where fewer resources may now be providing </w:t>
      </w:r>
      <w:r w:rsidR="00601626" w:rsidRPr="00797BFA">
        <w:t xml:space="preserve">primary </w:t>
      </w:r>
      <w:r w:rsidR="001C25FC" w:rsidRPr="00797BFA">
        <w:t xml:space="preserve">frequency response than when </w:t>
      </w:r>
      <w:r w:rsidR="00187D6A" w:rsidRPr="00797BFA">
        <w:t xml:space="preserve">the Commission </w:t>
      </w:r>
      <w:r w:rsidR="00511732" w:rsidRPr="00797BFA">
        <w:t>considered this issue in other</w:t>
      </w:r>
      <w:r w:rsidR="00187D6A" w:rsidRPr="00797BFA">
        <w:t xml:space="preserve"> </w:t>
      </w:r>
      <w:r w:rsidR="001C25FC" w:rsidRPr="00797BFA">
        <w:t xml:space="preserve">relevant </w:t>
      </w:r>
      <w:r w:rsidR="00511732" w:rsidRPr="00797BFA">
        <w:t>proceedings</w:t>
      </w:r>
      <w:r w:rsidR="001C25FC" w:rsidRPr="00797BFA">
        <w:t>.</w:t>
      </w:r>
      <w:r w:rsidR="00A55EFC" w:rsidRPr="00797BFA">
        <w:t xml:space="preserve">  As discussed below, in light of the changing resource mix and other factors, it is reasonable to expect this trend to continue.</w:t>
      </w:r>
      <w:r w:rsidR="001C25FC" w:rsidRPr="00797BFA">
        <w:t xml:space="preserve">  </w:t>
      </w:r>
      <w:r w:rsidR="00B55D75" w:rsidRPr="00797BFA">
        <w:t xml:space="preserve">Considering </w:t>
      </w:r>
      <w:r w:rsidR="00543B38" w:rsidRPr="00797BFA">
        <w:t>the</w:t>
      </w:r>
      <w:r w:rsidR="00B55D75" w:rsidRPr="00797BFA">
        <w:t xml:space="preserve"> significance</w:t>
      </w:r>
      <w:r w:rsidR="001C25FC" w:rsidRPr="00797BFA">
        <w:t xml:space="preserve"> </w:t>
      </w:r>
      <w:r w:rsidR="00543B38" w:rsidRPr="00797BFA">
        <w:t xml:space="preserve">of primary frequency response </w:t>
      </w:r>
      <w:r w:rsidR="00B55D75" w:rsidRPr="00797BFA">
        <w:t>to</w:t>
      </w:r>
      <w:r w:rsidR="001C25FC" w:rsidRPr="00797BFA">
        <w:t xml:space="preserve"> the reliable operation of the B</w:t>
      </w:r>
      <w:r w:rsidR="00543B38" w:rsidRPr="00797BFA">
        <w:t>ulk-</w:t>
      </w:r>
      <w:r w:rsidR="001C25FC" w:rsidRPr="00797BFA">
        <w:t>P</w:t>
      </w:r>
      <w:r w:rsidR="00543B38" w:rsidRPr="00797BFA">
        <w:t xml:space="preserve">ower </w:t>
      </w:r>
      <w:r w:rsidR="001C25FC" w:rsidRPr="00797BFA">
        <w:t>S</w:t>
      </w:r>
      <w:r w:rsidR="00543B38" w:rsidRPr="00797BFA">
        <w:t>ystem,</w:t>
      </w:r>
      <w:r w:rsidR="00543B38" w:rsidRPr="00797BFA">
        <w:rPr>
          <w:rStyle w:val="FootnoteReference"/>
        </w:rPr>
        <w:footnoteReference w:id="2"/>
      </w:r>
      <w:r w:rsidR="001C25FC" w:rsidRPr="00797BFA">
        <w:t xml:space="preserve"> the Commission seeks input on whether </w:t>
      </w:r>
      <w:r w:rsidR="00B55D75" w:rsidRPr="00797BFA">
        <w:t xml:space="preserve">and what </w:t>
      </w:r>
      <w:r w:rsidR="001C25FC" w:rsidRPr="00797BFA">
        <w:t xml:space="preserve">action is </w:t>
      </w:r>
      <w:r w:rsidR="004A35F1" w:rsidRPr="00797BFA">
        <w:t>need</w:t>
      </w:r>
      <w:r w:rsidR="00AA5B15" w:rsidRPr="00797BFA">
        <w:t xml:space="preserve">ed </w:t>
      </w:r>
      <w:r w:rsidR="001C25FC" w:rsidRPr="00797BFA">
        <w:t xml:space="preserve">to address the provision </w:t>
      </w:r>
      <w:r w:rsidR="00554023" w:rsidRPr="00797BFA">
        <w:t xml:space="preserve">and compensation </w:t>
      </w:r>
      <w:r w:rsidR="001C25FC" w:rsidRPr="00797BFA">
        <w:t>o</w:t>
      </w:r>
      <w:r w:rsidR="00554023" w:rsidRPr="00797BFA">
        <w:t xml:space="preserve">f </w:t>
      </w:r>
      <w:r w:rsidR="00185E6F" w:rsidRPr="00797BFA">
        <w:t xml:space="preserve">primary </w:t>
      </w:r>
      <w:r w:rsidR="00554023" w:rsidRPr="00797BFA">
        <w:t>frequency response</w:t>
      </w:r>
      <w:r w:rsidR="001C25FC" w:rsidRPr="00797BFA">
        <w:t>.</w:t>
      </w:r>
    </w:p>
    <w:p w14:paraId="6AD52A2A" w14:textId="5750BB92" w:rsidR="00AF4881" w:rsidRPr="00797BFA" w:rsidRDefault="00FD1790" w:rsidP="00530CD5">
      <w:pPr>
        <w:pStyle w:val="FERCparanumber"/>
        <w:tabs>
          <w:tab w:val="num" w:pos="720"/>
        </w:tabs>
        <w:ind w:left="0"/>
      </w:pPr>
      <w:r w:rsidRPr="00797BFA">
        <w:t xml:space="preserve">Specifically, the Commission seeks comment on whether amendments to the </w:t>
      </w:r>
      <w:r w:rsidR="00FE7A46">
        <w:t xml:space="preserve">    </w:t>
      </w:r>
      <w:r w:rsidRPr="00797BFA">
        <w:rPr>
          <w:i/>
        </w:rPr>
        <w:t xml:space="preserve">pro forma </w:t>
      </w:r>
      <w:r w:rsidRPr="00797BFA">
        <w:t>L</w:t>
      </w:r>
      <w:r w:rsidR="00543B38" w:rsidRPr="00797BFA">
        <w:t xml:space="preserve">arge </w:t>
      </w:r>
      <w:r w:rsidRPr="00797BFA">
        <w:t>G</w:t>
      </w:r>
      <w:r w:rsidR="00543B38" w:rsidRPr="00797BFA">
        <w:t xml:space="preserve">enerator </w:t>
      </w:r>
      <w:r w:rsidRPr="00797BFA">
        <w:t>I</w:t>
      </w:r>
      <w:r w:rsidR="00543B38" w:rsidRPr="00797BFA">
        <w:t xml:space="preserve">nterconnection </w:t>
      </w:r>
      <w:r w:rsidRPr="00797BFA">
        <w:t>A</w:t>
      </w:r>
      <w:r w:rsidR="00543B38" w:rsidRPr="00797BFA">
        <w:t>greement (LGIA)</w:t>
      </w:r>
      <w:r w:rsidRPr="00797BFA">
        <w:t xml:space="preserve"> and S</w:t>
      </w:r>
      <w:r w:rsidR="00543B38" w:rsidRPr="00797BFA">
        <w:t xml:space="preserve">mall </w:t>
      </w:r>
      <w:r w:rsidRPr="00797BFA">
        <w:t>G</w:t>
      </w:r>
      <w:r w:rsidR="00543B38" w:rsidRPr="00797BFA">
        <w:t xml:space="preserve">enerator </w:t>
      </w:r>
      <w:r w:rsidRPr="00797BFA">
        <w:t>I</w:t>
      </w:r>
      <w:r w:rsidR="00543B38" w:rsidRPr="00797BFA">
        <w:t xml:space="preserve">nterconnection </w:t>
      </w:r>
      <w:r w:rsidRPr="00797BFA">
        <w:t>A</w:t>
      </w:r>
      <w:r w:rsidR="00543B38" w:rsidRPr="00797BFA">
        <w:t>greement (SGIA)</w:t>
      </w:r>
      <w:r w:rsidRPr="00797BFA">
        <w:t xml:space="preserve"> are warranted to require all new </w:t>
      </w:r>
      <w:r w:rsidR="00F773BE" w:rsidRPr="00797BFA">
        <w:t xml:space="preserve">generation </w:t>
      </w:r>
      <w:r w:rsidRPr="00797BFA">
        <w:t>resources to have frequency response capabilities as a pre</w:t>
      </w:r>
      <w:r w:rsidR="00DF0DC4" w:rsidRPr="00797BFA">
        <w:t>condition</w:t>
      </w:r>
      <w:r w:rsidRPr="00797BFA">
        <w:t xml:space="preserve"> </w:t>
      </w:r>
      <w:r w:rsidR="00DF0DC4" w:rsidRPr="00797BFA">
        <w:t>of interconnection.</w:t>
      </w:r>
      <w:r w:rsidR="00E34280" w:rsidRPr="00797BFA">
        <w:t xml:space="preserve">  T</w:t>
      </w:r>
      <w:r w:rsidRPr="00797BFA">
        <w:t xml:space="preserve">he Commission </w:t>
      </w:r>
      <w:r w:rsidR="00E34280" w:rsidRPr="00797BFA">
        <w:t xml:space="preserve">also </w:t>
      </w:r>
      <w:r w:rsidRPr="00797BFA">
        <w:t xml:space="preserve">seeks comment on the performance of existing resources and whether primary frequency response requirements for these resources are warranted.  Further, the Commission seeks </w:t>
      </w:r>
      <w:r w:rsidR="00DF0DC4" w:rsidRPr="00797BFA">
        <w:t>comment on</w:t>
      </w:r>
      <w:r w:rsidRPr="00797BFA">
        <w:t xml:space="preserve"> </w:t>
      </w:r>
      <w:r w:rsidR="00DF0DC4" w:rsidRPr="00797BFA">
        <w:t xml:space="preserve">the </w:t>
      </w:r>
      <w:r w:rsidR="00703992" w:rsidRPr="00797BFA">
        <w:t>requirement to provide and compensate for primary frequency response</w:t>
      </w:r>
      <w:r w:rsidRPr="00797BFA">
        <w:t>.</w:t>
      </w:r>
    </w:p>
    <w:p w14:paraId="4285B53F" w14:textId="77777777" w:rsidR="00AF4881" w:rsidRPr="00797BFA" w:rsidRDefault="00896C68" w:rsidP="00E61265">
      <w:pPr>
        <w:pStyle w:val="Heading1"/>
      </w:pPr>
      <w:r w:rsidRPr="00797BFA">
        <w:t>Backgroun</w:t>
      </w:r>
      <w:r w:rsidR="00F773BE" w:rsidRPr="00797BFA">
        <w:t>d</w:t>
      </w:r>
    </w:p>
    <w:p w14:paraId="5851C403" w14:textId="1FB704CB" w:rsidR="00F773BE" w:rsidRPr="00797BFA" w:rsidRDefault="00AF4881" w:rsidP="00FE7A46">
      <w:pPr>
        <w:pStyle w:val="Heading2"/>
        <w:tabs>
          <w:tab w:val="clear" w:pos="1080"/>
          <w:tab w:val="num" w:pos="1440"/>
        </w:tabs>
        <w:ind w:left="1440"/>
      </w:pPr>
      <w:r w:rsidRPr="00797BFA">
        <w:t>Technical Overview:  The Nature and Operation of Frequency Response</w:t>
      </w:r>
    </w:p>
    <w:p w14:paraId="549BC421" w14:textId="75800F67" w:rsidR="00C35869" w:rsidRPr="00797BFA" w:rsidRDefault="00C35869" w:rsidP="000608F4">
      <w:pPr>
        <w:pStyle w:val="FERCparanumber"/>
        <w:tabs>
          <w:tab w:val="clear" w:pos="1170"/>
          <w:tab w:val="num" w:pos="720"/>
        </w:tabs>
        <w:ind w:left="0"/>
        <w:rPr>
          <w:szCs w:val="26"/>
        </w:rPr>
      </w:pPr>
      <w:r w:rsidRPr="00797BFA">
        <w:t>Reliably operating a</w:t>
      </w:r>
      <w:r w:rsidR="00515645" w:rsidRPr="00797BFA">
        <w:t>n</w:t>
      </w:r>
      <w:r w:rsidR="00347892" w:rsidRPr="00797BFA">
        <w:t xml:space="preserve"> </w:t>
      </w:r>
      <w:r w:rsidR="00515645" w:rsidRPr="00797BFA">
        <w:t>Interconnection</w:t>
      </w:r>
      <w:r w:rsidR="00515645" w:rsidRPr="00797BFA">
        <w:rPr>
          <w:rStyle w:val="FootnoteReference"/>
        </w:rPr>
        <w:footnoteReference w:id="3"/>
      </w:r>
      <w:r w:rsidRPr="00797BFA">
        <w:t xml:space="preserve"> requires maintaining balance between generation and load so that frequency remains within predetermined boundaries around a scheduled value (60 Hz in the United States).  Interconnections occasionally experience system contingencies </w:t>
      </w:r>
      <w:r w:rsidR="00114FB4" w:rsidRPr="00797BFA">
        <w:t xml:space="preserve">(e.g., the loss of a large generator) </w:t>
      </w:r>
      <w:r w:rsidRPr="00797BFA">
        <w:t xml:space="preserve">that disrupt the balance between generation and load.  These contingencies result in frequency </w:t>
      </w:r>
      <w:r w:rsidR="00B55D75" w:rsidRPr="00797BFA">
        <w:t>deviations that</w:t>
      </w:r>
      <w:r w:rsidRPr="00797BFA">
        <w:t xml:space="preserve"> can potentially cause under</w:t>
      </w:r>
      <w:r w:rsidR="00C97738" w:rsidRPr="00797BFA">
        <w:t xml:space="preserve"> </w:t>
      </w:r>
      <w:r w:rsidRPr="00797BFA">
        <w:t>frequency load shedding (UFLS), additional generation tripping, or cascading outages.</w:t>
      </w:r>
      <w:r w:rsidRPr="00797BFA">
        <w:rPr>
          <w:b/>
          <w:vertAlign w:val="superscript"/>
        </w:rPr>
        <w:footnoteReference w:id="4"/>
      </w:r>
      <w:r w:rsidRPr="00797BFA">
        <w:t xml:space="preserve">  Consequently, some generators within an Interconnection automatically deploy frequency control actions, including inertial response and primary frequency response, during disturbances to arrest and stabilize frequency deviations.</w:t>
      </w:r>
      <w:r w:rsidR="00FC265D" w:rsidRPr="00797BFA">
        <w:t xml:space="preserve">  </w:t>
      </w:r>
      <w:r w:rsidRPr="00797BFA">
        <w:t xml:space="preserve">The reliability of the </w:t>
      </w:r>
      <w:r w:rsidR="004A0C54" w:rsidRPr="00797BFA">
        <w:t>Bulk-Power System</w:t>
      </w:r>
      <w:r w:rsidRPr="00797BFA">
        <w:t xml:space="preserve"> depends in part on the operating characteristics of generating resources that </w:t>
      </w:r>
      <w:r w:rsidR="00F41EB6" w:rsidRPr="00797BFA">
        <w:t>balancing authorit</w:t>
      </w:r>
      <w:r w:rsidRPr="00797BFA">
        <w:t>ies</w:t>
      </w:r>
      <w:r w:rsidRPr="00797BFA">
        <w:rPr>
          <w:rStyle w:val="FootnoteReference"/>
        </w:rPr>
        <w:footnoteReference w:id="5"/>
      </w:r>
      <w:r w:rsidRPr="00797BFA">
        <w:t xml:space="preserve"> commit to serve load.  However, not all generating resources provide frequency support </w:t>
      </w:r>
      <w:r w:rsidR="00FC265D" w:rsidRPr="00797BFA">
        <w:t>services, which</w:t>
      </w:r>
      <w:r w:rsidR="00114FB4" w:rsidRPr="00797BFA">
        <w:t xml:space="preserve"> are </w:t>
      </w:r>
      <w:r w:rsidRPr="00797BFA">
        <w:t xml:space="preserve">essential to maintaining the reliability and stability of the </w:t>
      </w:r>
      <w:r w:rsidR="004A0C54" w:rsidRPr="00797BFA">
        <w:t>Bulk-Power System</w:t>
      </w:r>
      <w:r w:rsidRPr="00797BFA">
        <w:t>.</w:t>
      </w:r>
      <w:r w:rsidR="00FC265D" w:rsidRPr="00797BFA">
        <w:rPr>
          <w:rStyle w:val="FootnoteReference"/>
        </w:rPr>
        <w:footnoteReference w:id="6"/>
      </w:r>
    </w:p>
    <w:p w14:paraId="76C01807" w14:textId="69FDCBE5" w:rsidR="00E85248" w:rsidRPr="00797BFA" w:rsidRDefault="00053C81" w:rsidP="00AF4881">
      <w:pPr>
        <w:pStyle w:val="FERCparanumber"/>
        <w:tabs>
          <w:tab w:val="num" w:pos="720"/>
          <w:tab w:val="num" w:pos="1080"/>
        </w:tabs>
        <w:ind w:left="0"/>
        <w:rPr>
          <w:szCs w:val="26"/>
        </w:rPr>
      </w:pPr>
      <w:r w:rsidRPr="00797BFA">
        <w:rPr>
          <w:szCs w:val="26"/>
        </w:rPr>
        <w:t xml:space="preserve">Frequency response </w:t>
      </w:r>
      <w:r w:rsidR="00446989" w:rsidRPr="00797BFA">
        <w:rPr>
          <w:szCs w:val="26"/>
        </w:rPr>
        <w:t>is a measure of an Interconnection’s ability to arrest and stabilize frequency deviations within pre-determined limits following the sudden loss of generation or load.  Frequency response</w:t>
      </w:r>
      <w:r w:rsidR="004A0C54" w:rsidRPr="00797BFA">
        <w:rPr>
          <w:szCs w:val="26"/>
        </w:rPr>
        <w:t xml:space="preserve"> </w:t>
      </w:r>
      <w:r w:rsidR="00E556E8" w:rsidRPr="00797BFA">
        <w:rPr>
          <w:szCs w:val="26"/>
        </w:rPr>
        <w:t xml:space="preserve">is affected by the collective responses of generation and load resources throughout the entire Interconnection.  Inertial response, primary frequency response, and secondary frequency response all contribute to stabilizing the </w:t>
      </w:r>
      <w:r w:rsidR="004A0C54" w:rsidRPr="00797BFA">
        <w:rPr>
          <w:szCs w:val="26"/>
        </w:rPr>
        <w:t>Bulk-Power System</w:t>
      </w:r>
      <w:r w:rsidR="00E556E8" w:rsidRPr="00797BFA">
        <w:rPr>
          <w:szCs w:val="26"/>
        </w:rPr>
        <w:t xml:space="preserve"> by correct</w:t>
      </w:r>
      <w:r w:rsidR="00B55D75" w:rsidRPr="00797BFA">
        <w:rPr>
          <w:szCs w:val="26"/>
        </w:rPr>
        <w:t>ing</w:t>
      </w:r>
      <w:r w:rsidR="00E556E8" w:rsidRPr="00797BFA">
        <w:rPr>
          <w:szCs w:val="26"/>
        </w:rPr>
        <w:t xml:space="preserve"> frequency deviations.</w:t>
      </w:r>
    </w:p>
    <w:p w14:paraId="4266AFEA" w14:textId="3AF0B03C" w:rsidR="00053C81" w:rsidRPr="00797BFA" w:rsidRDefault="00E1404B" w:rsidP="00AF4881">
      <w:pPr>
        <w:pStyle w:val="FERCparanumber"/>
        <w:tabs>
          <w:tab w:val="num" w:pos="720"/>
          <w:tab w:val="num" w:pos="1080"/>
        </w:tabs>
        <w:ind w:left="0"/>
        <w:rPr>
          <w:szCs w:val="26"/>
        </w:rPr>
      </w:pPr>
      <w:r w:rsidRPr="00797BFA">
        <w:rPr>
          <w:color w:val="000000"/>
          <w:szCs w:val="26"/>
        </w:rPr>
        <w:t>Inertial response</w:t>
      </w:r>
      <w:r w:rsidR="00FC265D" w:rsidRPr="00797BFA">
        <w:rPr>
          <w:color w:val="000000"/>
          <w:szCs w:val="26"/>
        </w:rPr>
        <w:t>, or</w:t>
      </w:r>
      <w:r w:rsidRPr="00797BFA">
        <w:rPr>
          <w:color w:val="000000"/>
          <w:szCs w:val="26"/>
        </w:rPr>
        <w:t xml:space="preserve"> system inertia</w:t>
      </w:r>
      <w:r w:rsidR="00FC265D" w:rsidRPr="00797BFA">
        <w:rPr>
          <w:color w:val="000000"/>
          <w:szCs w:val="26"/>
        </w:rPr>
        <w:t>,</w:t>
      </w:r>
      <w:r w:rsidR="004A7DB4" w:rsidRPr="00797BFA">
        <w:rPr>
          <w:szCs w:val="26"/>
        </w:rPr>
        <w:t xml:space="preserve"> involves the release or absorption of kinetic energy by the rotating masses of online generation and load within an Interconnection, and </w:t>
      </w:r>
      <w:r w:rsidR="004A7DB4" w:rsidRPr="00797BFA">
        <w:rPr>
          <w:color w:val="000000"/>
          <w:szCs w:val="26"/>
        </w:rPr>
        <w:t>is the result of the coupling between the rotating masses of synchronous generation and load and the electric system.</w:t>
      </w:r>
      <w:r w:rsidR="00041AD0">
        <w:rPr>
          <w:rStyle w:val="FootnoteReference"/>
          <w:color w:val="000000"/>
        </w:rPr>
        <w:footnoteReference w:id="7"/>
      </w:r>
      <w:r w:rsidR="004A7DB4" w:rsidRPr="00797BFA">
        <w:rPr>
          <w:color w:val="000000"/>
          <w:szCs w:val="26"/>
        </w:rPr>
        <w:t xml:space="preserve">  An Interconnection’s inertial response</w:t>
      </w:r>
      <w:r w:rsidR="00752A71" w:rsidRPr="00797BFA">
        <w:rPr>
          <w:color w:val="000000"/>
          <w:szCs w:val="26"/>
        </w:rPr>
        <w:t xml:space="preserve"> influences how fast frequency </w:t>
      </w:r>
      <w:r w:rsidRPr="00797BFA">
        <w:rPr>
          <w:color w:val="000000"/>
          <w:szCs w:val="26"/>
        </w:rPr>
        <w:t>drops</w:t>
      </w:r>
      <w:r w:rsidR="00752A71" w:rsidRPr="00797BFA">
        <w:rPr>
          <w:color w:val="000000"/>
          <w:szCs w:val="26"/>
        </w:rPr>
        <w:t xml:space="preserve"> after the loss of generation and how fast it rises after a reduction of load</w:t>
      </w:r>
      <w:r w:rsidRPr="00797BFA">
        <w:rPr>
          <w:color w:val="000000"/>
          <w:szCs w:val="26"/>
        </w:rPr>
        <w:t xml:space="preserve">.  </w:t>
      </w:r>
      <w:r w:rsidR="00752A71" w:rsidRPr="00797BFA">
        <w:rPr>
          <w:color w:val="000000"/>
          <w:szCs w:val="26"/>
        </w:rPr>
        <w:t>The less system inertia there is, the faster the rate of change of frequency</w:t>
      </w:r>
      <w:r w:rsidR="00507B38" w:rsidRPr="00797BFA">
        <w:rPr>
          <w:b/>
          <w:szCs w:val="26"/>
          <w:vertAlign w:val="superscript"/>
        </w:rPr>
        <w:footnoteReference w:id="8"/>
      </w:r>
      <w:r w:rsidR="00752A71" w:rsidRPr="00797BFA">
        <w:rPr>
          <w:color w:val="000000"/>
          <w:szCs w:val="26"/>
        </w:rPr>
        <w:t xml:space="preserve"> during disturbances.  </w:t>
      </w:r>
      <w:r w:rsidR="00BA15E0" w:rsidRPr="00797BFA">
        <w:rPr>
          <w:szCs w:val="26"/>
        </w:rPr>
        <w:t xml:space="preserve">An adequate amount of system inertia is important since </w:t>
      </w:r>
      <w:r w:rsidR="00BA15E0" w:rsidRPr="00797BFA">
        <w:t xml:space="preserve">following the sudden loss of generation, inertia serves to reduce the rate of change of frequency, allowing time for primary frequency response actions to arrest </w:t>
      </w:r>
      <w:r w:rsidR="00E62BB5" w:rsidRPr="00797BFA">
        <w:t xml:space="preserve">the frequency deviation </w:t>
      </w:r>
      <w:r w:rsidR="00BA15E0" w:rsidRPr="00797BFA">
        <w:t>and stabilize the power system.</w:t>
      </w:r>
    </w:p>
    <w:p w14:paraId="30DADD1C" w14:textId="1E5B2C5F" w:rsidR="0093735B" w:rsidRPr="00797BFA" w:rsidRDefault="001F08A9" w:rsidP="00E61265">
      <w:pPr>
        <w:pStyle w:val="FERCparanumber"/>
        <w:tabs>
          <w:tab w:val="left" w:pos="720"/>
        </w:tabs>
        <w:ind w:left="0"/>
      </w:pPr>
      <w:r w:rsidRPr="00797BFA">
        <w:t>Primary frequency response</w:t>
      </w:r>
      <w:r w:rsidR="00B55D75" w:rsidRPr="00797BFA">
        <w:t xml:space="preserve">, </w:t>
      </w:r>
      <w:r w:rsidRPr="00797BFA">
        <w:t xml:space="preserve">net of changes in generation </w:t>
      </w:r>
      <w:r w:rsidR="006F2E5A" w:rsidRPr="00797BFA">
        <w:t>real power</w:t>
      </w:r>
      <w:r w:rsidR="004D1216" w:rsidRPr="00797BFA">
        <w:t xml:space="preserve"> (</w:t>
      </w:r>
      <w:r w:rsidRPr="00797BFA">
        <w:t>MW</w:t>
      </w:r>
      <w:r w:rsidR="004D1216" w:rsidRPr="00797BFA">
        <w:t>)</w:t>
      </w:r>
      <w:r w:rsidRPr="00797BFA">
        <w:t xml:space="preserve"> output and power consumed by load in response to a frequency deviation</w:t>
      </w:r>
      <w:r w:rsidR="00B55D75" w:rsidRPr="00797BFA">
        <w:t>,</w:t>
      </w:r>
      <w:r w:rsidRPr="00797BFA">
        <w:t xml:space="preserve"> is the first stage of overall frequency control, begins within seconds after the frequency changes</w:t>
      </w:r>
      <w:r w:rsidR="00FC265D" w:rsidRPr="00797BFA">
        <w:t>,</w:t>
      </w:r>
      <w:r w:rsidRPr="00797BFA">
        <w:t xml:space="preserve"> and is critical</w:t>
      </w:r>
      <w:r w:rsidR="00FC265D" w:rsidRPr="00797BFA">
        <w:t xml:space="preserve"> </w:t>
      </w:r>
      <w:r w:rsidRPr="00797BFA">
        <w:t xml:space="preserve">to the reliable operation of the </w:t>
      </w:r>
      <w:r w:rsidR="004A0C54" w:rsidRPr="00797BFA">
        <w:t>Bulk-Power System</w:t>
      </w:r>
      <w:r w:rsidRPr="00797BFA">
        <w:t>.</w:t>
      </w:r>
      <w:r w:rsidR="00840B3B">
        <w:rPr>
          <w:rStyle w:val="FootnoteReference"/>
        </w:rPr>
        <w:footnoteReference w:id="9"/>
      </w:r>
      <w:r w:rsidRPr="00797BFA">
        <w:t xml:space="preserve">  </w:t>
      </w:r>
      <w:r w:rsidR="006B5B70">
        <w:rPr>
          <w:szCs w:val="26"/>
        </w:rPr>
        <w:t xml:space="preserve">Primary frequency response is </w:t>
      </w:r>
      <w:r w:rsidR="00EA4C08">
        <w:rPr>
          <w:szCs w:val="26"/>
        </w:rPr>
        <w:t xml:space="preserve">mostly </w:t>
      </w:r>
      <w:r w:rsidR="004A7DB4" w:rsidRPr="00797BFA">
        <w:rPr>
          <w:szCs w:val="26"/>
        </w:rPr>
        <w:t>provided by the automatic and autonomous actions (i.e., outside of system operator control) of turbine-governors,</w:t>
      </w:r>
      <w:r w:rsidR="00446989" w:rsidRPr="00797BFA">
        <w:rPr>
          <w:szCs w:val="26"/>
        </w:rPr>
        <w:t xml:space="preserve"> </w:t>
      </w:r>
      <w:r w:rsidR="004A7DB4" w:rsidRPr="00797BFA">
        <w:rPr>
          <w:szCs w:val="26"/>
        </w:rPr>
        <w:t xml:space="preserve">while some response is provided by frequency responsive loads due to changes in system frequency.  </w:t>
      </w:r>
      <w:r w:rsidRPr="00797BFA">
        <w:t xml:space="preserve">Primary frequency response actions </w:t>
      </w:r>
      <w:r w:rsidR="00FC265D" w:rsidRPr="00797BFA">
        <w:t xml:space="preserve">are intended to </w:t>
      </w:r>
      <w:r w:rsidRPr="00797BFA">
        <w:t>arrest the frequency deviation until it reaches the minimum frequency, or nadir.</w:t>
      </w:r>
      <w:r w:rsidRPr="00797BFA">
        <w:rPr>
          <w:rStyle w:val="FootnoteReference"/>
          <w:color w:val="000000"/>
        </w:rPr>
        <w:footnoteReference w:id="10"/>
      </w:r>
      <w:r w:rsidRPr="00797BFA">
        <w:t xml:space="preserve">  </w:t>
      </w:r>
      <w:r w:rsidR="00B55D75" w:rsidRPr="00797BFA">
        <w:t xml:space="preserve">An important goal </w:t>
      </w:r>
      <w:r w:rsidRPr="00797BFA">
        <w:t xml:space="preserve">for system </w:t>
      </w:r>
      <w:r w:rsidR="000705C9" w:rsidRPr="00797BFA">
        <w:t xml:space="preserve">planners and </w:t>
      </w:r>
      <w:r w:rsidRPr="00797BFA">
        <w:t xml:space="preserve">operators is </w:t>
      </w:r>
      <w:r w:rsidR="004A0C54" w:rsidRPr="00797BFA">
        <w:t xml:space="preserve">for </w:t>
      </w:r>
      <w:r w:rsidRPr="00797BFA">
        <w:t xml:space="preserve">the </w:t>
      </w:r>
      <w:r w:rsidR="00502CDC" w:rsidRPr="00797BFA">
        <w:t xml:space="preserve">frequency </w:t>
      </w:r>
      <w:r w:rsidRPr="00797BFA">
        <w:t xml:space="preserve">nadir, during </w:t>
      </w:r>
      <w:r w:rsidR="00502CDC" w:rsidRPr="00797BFA">
        <w:t>large disturbances</w:t>
      </w:r>
      <w:r w:rsidRPr="00797BFA">
        <w:t>,</w:t>
      </w:r>
      <w:r w:rsidR="00502CDC" w:rsidRPr="00797BFA">
        <w:t xml:space="preserve"> </w:t>
      </w:r>
      <w:r w:rsidR="009640EA" w:rsidRPr="00797BFA">
        <w:t xml:space="preserve">to </w:t>
      </w:r>
      <w:r w:rsidR="00502CDC" w:rsidRPr="00797BFA">
        <w:t xml:space="preserve">remain </w:t>
      </w:r>
      <w:r w:rsidRPr="00797BFA">
        <w:t xml:space="preserve">above the first stage of firm UFLS </w:t>
      </w:r>
      <w:r w:rsidR="00502CDC" w:rsidRPr="00797BFA">
        <w:t>set points</w:t>
      </w:r>
      <w:r w:rsidRPr="00797BFA">
        <w:t xml:space="preserve"> within </w:t>
      </w:r>
      <w:r w:rsidR="00B12A3C" w:rsidRPr="00797BFA">
        <w:t xml:space="preserve">an </w:t>
      </w:r>
      <w:r w:rsidRPr="00797BFA">
        <w:t>Interconnection</w:t>
      </w:r>
      <w:r w:rsidR="009A66AA" w:rsidRPr="00797BFA">
        <w:t>.</w:t>
      </w:r>
      <w:r w:rsidR="004A7DB4" w:rsidRPr="00797BFA">
        <w:t xml:space="preserve">  </w:t>
      </w:r>
      <w:r w:rsidR="00505DD8" w:rsidRPr="00797BFA">
        <w:rPr>
          <w:szCs w:val="26"/>
        </w:rPr>
        <w:t>The time-</w:t>
      </w:r>
      <w:r w:rsidR="004A7DB4" w:rsidRPr="00797BFA">
        <w:rPr>
          <w:szCs w:val="26"/>
        </w:rPr>
        <w:t xml:space="preserve">frame to arrest frequency deviations typically ranges from </w:t>
      </w:r>
      <w:r w:rsidR="003E360C">
        <w:rPr>
          <w:szCs w:val="26"/>
        </w:rPr>
        <w:t>five</w:t>
      </w:r>
      <w:r w:rsidR="003E360C" w:rsidRPr="00797BFA">
        <w:rPr>
          <w:szCs w:val="26"/>
        </w:rPr>
        <w:t xml:space="preserve"> </w:t>
      </w:r>
      <w:r w:rsidR="004A7DB4" w:rsidRPr="00797BFA">
        <w:rPr>
          <w:szCs w:val="26"/>
        </w:rPr>
        <w:t>to 15 seconds, depending on the Interconnection.</w:t>
      </w:r>
    </w:p>
    <w:p w14:paraId="6826DBAB" w14:textId="3EE2BD6B" w:rsidR="004A7DB4" w:rsidRPr="00797BFA" w:rsidRDefault="004A7DB4" w:rsidP="00E61265">
      <w:pPr>
        <w:pStyle w:val="FERCparanumber"/>
        <w:tabs>
          <w:tab w:val="left" w:pos="720"/>
        </w:tabs>
        <w:ind w:left="0"/>
      </w:pPr>
      <w:r w:rsidRPr="00797BFA">
        <w:rPr>
          <w:szCs w:val="26"/>
        </w:rPr>
        <w:t>Secondary frequency response involves changes to the MW output of resources on automatic generation control (e.g., regulation resources) that respond to dispatch instructions.</w:t>
      </w:r>
      <w:r w:rsidR="00840B3B">
        <w:rPr>
          <w:rStyle w:val="FootnoteReference"/>
        </w:rPr>
        <w:footnoteReference w:id="11"/>
      </w:r>
      <w:r w:rsidRPr="00797BFA">
        <w:rPr>
          <w:szCs w:val="26"/>
        </w:rPr>
        <w:t xml:space="preserve">  Secondary frequency response actions usually begin after 30 seconds or more following a contingency, and can take </w:t>
      </w:r>
      <w:r w:rsidR="0089534C" w:rsidRPr="00797BFA">
        <w:rPr>
          <w:szCs w:val="26"/>
        </w:rPr>
        <w:t>5</w:t>
      </w:r>
      <w:r w:rsidRPr="00797BFA">
        <w:rPr>
          <w:szCs w:val="26"/>
        </w:rPr>
        <w:t xml:space="preserve"> minutes or more to restore system frequency to its scheduled value.</w:t>
      </w:r>
    </w:p>
    <w:p w14:paraId="24E1C841" w14:textId="0BBFF348" w:rsidR="00177607" w:rsidRPr="00797BFA" w:rsidRDefault="00177607" w:rsidP="00E6654A">
      <w:pPr>
        <w:pStyle w:val="Heading2"/>
        <w:tabs>
          <w:tab w:val="clear" w:pos="1080"/>
          <w:tab w:val="num" w:pos="1440"/>
        </w:tabs>
        <w:ind w:left="1440"/>
      </w:pPr>
      <w:r w:rsidRPr="00797BFA">
        <w:t xml:space="preserve">Evolving </w:t>
      </w:r>
      <w:r w:rsidR="00B0191A" w:rsidRPr="00797BFA">
        <w:t xml:space="preserve">Generation </w:t>
      </w:r>
      <w:r w:rsidRPr="00797BFA">
        <w:t>Resource Mix</w:t>
      </w:r>
    </w:p>
    <w:p w14:paraId="529B84FB" w14:textId="0174AD0A" w:rsidR="002874A3" w:rsidRPr="00797BFA" w:rsidRDefault="001F08A9" w:rsidP="00E61265">
      <w:pPr>
        <w:pStyle w:val="FERCparanumber"/>
        <w:tabs>
          <w:tab w:val="clear" w:pos="1170"/>
          <w:tab w:val="num" w:pos="720"/>
        </w:tabs>
        <w:ind w:left="0"/>
        <w:rPr>
          <w:szCs w:val="26"/>
        </w:rPr>
      </w:pPr>
      <w:r w:rsidRPr="00797BFA">
        <w:t>T</w:t>
      </w:r>
      <w:r w:rsidR="00A105F6" w:rsidRPr="00797BFA">
        <w:t xml:space="preserve">he nation’s generation resource mix is undergoing a transformation </w:t>
      </w:r>
      <w:r w:rsidR="00F41B48">
        <w:t xml:space="preserve">that includes </w:t>
      </w:r>
      <w:r w:rsidR="00070AC9" w:rsidRPr="00797BFA">
        <w:t>the retirement of baseload, synchronous units</w:t>
      </w:r>
      <w:r w:rsidR="00F63290" w:rsidRPr="00797BFA">
        <w:t>,</w:t>
      </w:r>
      <w:r w:rsidR="00070AC9" w:rsidRPr="00797BFA">
        <w:t xml:space="preserve"> with large rotational inertia</w:t>
      </w:r>
      <w:r w:rsidR="00032AF4" w:rsidRPr="00797BFA">
        <w:t>.  T</w:t>
      </w:r>
      <w:r w:rsidR="00070AC9" w:rsidRPr="00797BFA">
        <w:t xml:space="preserve">he </w:t>
      </w:r>
      <w:r w:rsidR="00032AF4" w:rsidRPr="00797BFA">
        <w:t xml:space="preserve">changing resource mix </w:t>
      </w:r>
      <w:r w:rsidR="00F41B48">
        <w:t xml:space="preserve">also </w:t>
      </w:r>
      <w:r w:rsidR="00032AF4" w:rsidRPr="00797BFA">
        <w:t xml:space="preserve">includes the </w:t>
      </w:r>
      <w:r w:rsidR="00070AC9" w:rsidRPr="00797BFA">
        <w:t xml:space="preserve">integration of more </w:t>
      </w:r>
      <w:r w:rsidR="00C9672E" w:rsidRPr="00797BFA">
        <w:t xml:space="preserve">distributed generation, demand response, and </w:t>
      </w:r>
      <w:r w:rsidR="00070AC9" w:rsidRPr="00797BFA">
        <w:t>natural gas</w:t>
      </w:r>
      <w:r w:rsidR="00F63290" w:rsidRPr="00797BFA">
        <w:t xml:space="preserve"> resources</w:t>
      </w:r>
      <w:r w:rsidR="00070AC9" w:rsidRPr="00797BFA">
        <w:t xml:space="preserve">, and the </w:t>
      </w:r>
      <w:r w:rsidR="00F307DE" w:rsidRPr="00797BFA">
        <w:t>rapid expansion of variable energy resources (VERs)</w:t>
      </w:r>
      <w:r w:rsidR="00F307DE" w:rsidRPr="00797BFA">
        <w:rPr>
          <w:rStyle w:val="FootnoteReference"/>
          <w:rFonts w:eastAsia="Calibri"/>
        </w:rPr>
        <w:footnoteReference w:id="12"/>
      </w:r>
      <w:r w:rsidR="00F307DE" w:rsidRPr="00797BFA">
        <w:t xml:space="preserve"> such as wind and solar.</w:t>
      </w:r>
      <w:r w:rsidR="00F307DE" w:rsidRPr="00797BFA">
        <w:rPr>
          <w:b/>
          <w:vertAlign w:val="superscript"/>
        </w:rPr>
        <w:footnoteReference w:id="13"/>
      </w:r>
      <w:r w:rsidR="00F307DE" w:rsidRPr="00797BFA">
        <w:t xml:space="preserve">  </w:t>
      </w:r>
      <w:r w:rsidR="00F43B2D" w:rsidRPr="00797BFA">
        <w:t>Several factors</w:t>
      </w:r>
      <w:r w:rsidR="0089534C" w:rsidRPr="00797BFA">
        <w:t>,</w:t>
      </w:r>
      <w:r w:rsidR="00F43B2D" w:rsidRPr="00797BFA">
        <w:t xml:space="preserve"> such as</w:t>
      </w:r>
      <w:r w:rsidR="000E0AB3" w:rsidRPr="00797BFA">
        <w:t xml:space="preserve"> existing and proposed federal and </w:t>
      </w:r>
      <w:r w:rsidR="00F307DE" w:rsidRPr="00797BFA">
        <w:t>state</w:t>
      </w:r>
      <w:r w:rsidR="000E0AB3" w:rsidRPr="00797BFA">
        <w:t xml:space="preserve"> </w:t>
      </w:r>
      <w:r w:rsidR="00F307DE" w:rsidRPr="00797BFA">
        <w:t xml:space="preserve">environmental regulations, </w:t>
      </w:r>
      <w:r w:rsidR="005B6F81" w:rsidRPr="00797BFA">
        <w:t>renewable portfolio standards,</w:t>
      </w:r>
      <w:r w:rsidR="00265682">
        <w:t xml:space="preserve"> tax incentives,</w:t>
      </w:r>
      <w:r w:rsidR="005B6F81" w:rsidRPr="00797BFA">
        <w:t xml:space="preserve"> </w:t>
      </w:r>
      <w:r w:rsidR="00C957B6" w:rsidRPr="00797BFA">
        <w:t xml:space="preserve">and </w:t>
      </w:r>
      <w:r w:rsidR="00F307DE" w:rsidRPr="00797BFA">
        <w:t>low natural gas prices</w:t>
      </w:r>
      <w:r w:rsidR="00CE3C1D" w:rsidRPr="00797BFA">
        <w:t>,</w:t>
      </w:r>
      <w:r w:rsidR="00F43B2D" w:rsidRPr="00797BFA">
        <w:t xml:space="preserve"> have driven these developments</w:t>
      </w:r>
      <w:r w:rsidR="00C957B6" w:rsidRPr="00797BFA">
        <w:t>.</w:t>
      </w:r>
    </w:p>
    <w:p w14:paraId="5F663740" w14:textId="1F6B7F67" w:rsidR="000F1E42" w:rsidRPr="00797BFA" w:rsidRDefault="00D800C9" w:rsidP="00E61265">
      <w:pPr>
        <w:pStyle w:val="FERCparanumber"/>
        <w:tabs>
          <w:tab w:val="num" w:pos="720"/>
          <w:tab w:val="num" w:pos="1080"/>
        </w:tabs>
        <w:ind w:left="0"/>
      </w:pPr>
      <w:r w:rsidRPr="00797BFA">
        <w:rPr>
          <w:szCs w:val="26"/>
        </w:rPr>
        <w:t xml:space="preserve">During </w:t>
      </w:r>
      <w:r w:rsidR="00E7136E" w:rsidRPr="00797BFA">
        <w:rPr>
          <w:szCs w:val="26"/>
        </w:rPr>
        <w:t>2015, n</w:t>
      </w:r>
      <w:r w:rsidR="00E542DD" w:rsidRPr="00797BFA">
        <w:t>atural</w:t>
      </w:r>
      <w:r w:rsidR="00B476A9">
        <w:t xml:space="preserve"> </w:t>
      </w:r>
      <w:r w:rsidR="00E542DD" w:rsidRPr="00797BFA">
        <w:t>gas-fired generation surpassed coal as the predominant fuel source for electric generation</w:t>
      </w:r>
      <w:r w:rsidR="00E7136E" w:rsidRPr="00797BFA">
        <w:t>,</w:t>
      </w:r>
      <w:r w:rsidR="00E542DD" w:rsidRPr="00797BFA">
        <w:t xml:space="preserve"> </w:t>
      </w:r>
      <w:r w:rsidR="00032AF4" w:rsidRPr="00797BFA">
        <w:t xml:space="preserve">and </w:t>
      </w:r>
      <w:r w:rsidR="00E542DD" w:rsidRPr="00797BFA">
        <w:t xml:space="preserve">is </w:t>
      </w:r>
      <w:r w:rsidR="00032AF4" w:rsidRPr="00797BFA">
        <w:t xml:space="preserve">now </w:t>
      </w:r>
      <w:r w:rsidR="00E542DD" w:rsidRPr="00797BFA">
        <w:t>the leading fuel type for capacity additions.</w:t>
      </w:r>
      <w:r w:rsidR="00E542DD" w:rsidRPr="00797BFA">
        <w:rPr>
          <w:rStyle w:val="FootnoteReference"/>
        </w:rPr>
        <w:footnoteReference w:id="14"/>
      </w:r>
      <w:r w:rsidR="002874A3" w:rsidRPr="00797BFA">
        <w:t xml:space="preserve">  </w:t>
      </w:r>
      <w:r w:rsidR="00E542DD" w:rsidRPr="00797BFA">
        <w:t xml:space="preserve">In addition, </w:t>
      </w:r>
      <w:r w:rsidR="002937CF" w:rsidRPr="00797BFA">
        <w:t>NERC</w:t>
      </w:r>
      <w:r w:rsidR="00F30595" w:rsidRPr="00797BFA">
        <w:t xml:space="preserve"> </w:t>
      </w:r>
      <w:r w:rsidR="001264F1" w:rsidRPr="00797BFA">
        <w:t xml:space="preserve">recently </w:t>
      </w:r>
      <w:r w:rsidR="005B510C" w:rsidRPr="00797BFA">
        <w:t xml:space="preserve">determined </w:t>
      </w:r>
      <w:r w:rsidR="002937CF" w:rsidRPr="00797BFA">
        <w:t>that there has been almost 50 GW of baseload (</w:t>
      </w:r>
      <w:r w:rsidR="00E542DD" w:rsidRPr="00797BFA">
        <w:t xml:space="preserve">e.g., </w:t>
      </w:r>
      <w:r w:rsidR="002937CF" w:rsidRPr="00797BFA">
        <w:t>coal, nuclear, petroleum, and natural gas) retirements since 2011</w:t>
      </w:r>
      <w:r w:rsidR="001F08A9" w:rsidRPr="00797BFA">
        <w:t>.</w:t>
      </w:r>
      <w:r w:rsidR="002937CF" w:rsidRPr="00797BFA">
        <w:rPr>
          <w:rStyle w:val="FootnoteReference"/>
        </w:rPr>
        <w:footnoteReference w:id="15"/>
      </w:r>
      <w:r w:rsidR="002937CF" w:rsidRPr="00797BFA">
        <w:t xml:space="preserve">  </w:t>
      </w:r>
    </w:p>
    <w:p w14:paraId="367622CB" w14:textId="5A5E4ED5" w:rsidR="00632F04" w:rsidRPr="00797BFA" w:rsidRDefault="001264F1" w:rsidP="00136F93">
      <w:pPr>
        <w:pStyle w:val="ListParagraph"/>
        <w:numPr>
          <w:ilvl w:val="0"/>
          <w:numId w:val="1"/>
        </w:numPr>
        <w:tabs>
          <w:tab w:val="num" w:pos="720"/>
          <w:tab w:val="num" w:pos="1080"/>
        </w:tabs>
        <w:autoSpaceDE w:val="0"/>
        <w:autoSpaceDN w:val="0"/>
        <w:adjustRightInd w:val="0"/>
        <w:spacing w:line="480" w:lineRule="auto"/>
        <w:ind w:left="0"/>
        <w:contextualSpacing w:val="0"/>
        <w:rPr>
          <w:szCs w:val="26"/>
        </w:rPr>
      </w:pPr>
      <w:r w:rsidRPr="00797BFA">
        <w:rPr>
          <w:szCs w:val="26"/>
        </w:rPr>
        <w:t xml:space="preserve">In addition, </w:t>
      </w:r>
      <w:r w:rsidR="002E19DA">
        <w:rPr>
          <w:szCs w:val="26"/>
        </w:rPr>
        <w:t xml:space="preserve">between </w:t>
      </w:r>
      <w:r w:rsidR="002874A3" w:rsidRPr="00797BFA">
        <w:rPr>
          <w:szCs w:val="26"/>
        </w:rPr>
        <w:t xml:space="preserve">2014 and 2015, </w:t>
      </w:r>
      <w:r w:rsidRPr="00797BFA">
        <w:rPr>
          <w:szCs w:val="26"/>
        </w:rPr>
        <w:t>a</w:t>
      </w:r>
      <w:r w:rsidR="000F1E42" w:rsidRPr="00797BFA">
        <w:rPr>
          <w:szCs w:val="26"/>
        </w:rPr>
        <w:t xml:space="preserve">ll </w:t>
      </w:r>
      <w:r w:rsidR="007732B8" w:rsidRPr="00797BFA">
        <w:rPr>
          <w:szCs w:val="26"/>
        </w:rPr>
        <w:t xml:space="preserve">three </w:t>
      </w:r>
      <w:r w:rsidRPr="00797BFA">
        <w:rPr>
          <w:szCs w:val="26"/>
        </w:rPr>
        <w:t xml:space="preserve">U.S. </w:t>
      </w:r>
      <w:r w:rsidR="000F1E42" w:rsidRPr="00797BFA">
        <w:rPr>
          <w:szCs w:val="26"/>
        </w:rPr>
        <w:t xml:space="preserve">Interconnections </w:t>
      </w:r>
      <w:r w:rsidR="002E19DA">
        <w:rPr>
          <w:szCs w:val="26"/>
        </w:rPr>
        <w:t xml:space="preserve">have </w:t>
      </w:r>
      <w:r w:rsidR="000F1E42" w:rsidRPr="00797BFA">
        <w:rPr>
          <w:szCs w:val="26"/>
        </w:rPr>
        <w:t>experienced growth in the installed nameplate capacity of wind and solar generation.</w:t>
      </w:r>
      <w:r w:rsidR="008C11DA" w:rsidRPr="00797BFA">
        <w:rPr>
          <w:szCs w:val="26"/>
        </w:rPr>
        <w:t xml:space="preserve">  </w:t>
      </w:r>
      <w:r w:rsidR="00C044BC" w:rsidRPr="00797BFA">
        <w:rPr>
          <w:szCs w:val="26"/>
        </w:rPr>
        <w:t xml:space="preserve">For </w:t>
      </w:r>
      <w:r w:rsidR="00C044BC" w:rsidRPr="00911E06">
        <w:rPr>
          <w:szCs w:val="26"/>
        </w:rPr>
        <w:t xml:space="preserve">example, </w:t>
      </w:r>
      <w:r w:rsidR="00000D54" w:rsidRPr="00911E06">
        <w:rPr>
          <w:szCs w:val="26"/>
        </w:rPr>
        <w:t xml:space="preserve">as illustrated by the figure below, </w:t>
      </w:r>
      <w:r w:rsidR="000F1E42" w:rsidRPr="00911E06">
        <w:rPr>
          <w:szCs w:val="26"/>
        </w:rPr>
        <w:t>NERC</w:t>
      </w:r>
      <w:r w:rsidR="00952DB2" w:rsidRPr="00911E06">
        <w:rPr>
          <w:szCs w:val="26"/>
        </w:rPr>
        <w:t xml:space="preserve"> </w:t>
      </w:r>
      <w:r w:rsidR="00E7136E" w:rsidRPr="00911E06">
        <w:rPr>
          <w:szCs w:val="26"/>
        </w:rPr>
        <w:t xml:space="preserve">has </w:t>
      </w:r>
      <w:r w:rsidR="002874A3" w:rsidRPr="00911E06">
        <w:rPr>
          <w:szCs w:val="26"/>
        </w:rPr>
        <w:t xml:space="preserve">observed </w:t>
      </w:r>
      <w:r w:rsidR="00830746" w:rsidRPr="00911E06">
        <w:rPr>
          <w:szCs w:val="26"/>
        </w:rPr>
        <w:t>that the three</w:t>
      </w:r>
      <w:r w:rsidR="004E208B" w:rsidRPr="00797BFA">
        <w:rPr>
          <w:szCs w:val="26"/>
        </w:rPr>
        <w:t xml:space="preserve"> </w:t>
      </w:r>
      <w:r w:rsidR="00157947" w:rsidRPr="00797BFA">
        <w:rPr>
          <w:szCs w:val="26"/>
        </w:rPr>
        <w:t>I</w:t>
      </w:r>
      <w:r w:rsidR="00830746" w:rsidRPr="00797BFA">
        <w:rPr>
          <w:szCs w:val="26"/>
        </w:rPr>
        <w:t>nterconnections c</w:t>
      </w:r>
      <w:r w:rsidR="00830746" w:rsidRPr="00797BFA">
        <w:rPr>
          <w:rFonts w:eastAsia="Times New Roman"/>
          <w:szCs w:val="26"/>
        </w:rPr>
        <w:t xml:space="preserve">ollectively added approximately 11.1 GW of wind and 1.73 GW of solar generation between 2014 </w:t>
      </w:r>
      <w:r w:rsidR="00755C62" w:rsidRPr="00797BFA">
        <w:rPr>
          <w:rFonts w:eastAsia="Times New Roman"/>
          <w:szCs w:val="26"/>
        </w:rPr>
        <w:t>and</w:t>
      </w:r>
      <w:r w:rsidR="00830746" w:rsidRPr="00797BFA">
        <w:rPr>
          <w:rFonts w:eastAsia="Times New Roman"/>
          <w:szCs w:val="26"/>
        </w:rPr>
        <w:t xml:space="preserve"> 2015.</w:t>
      </w:r>
      <w:r w:rsidR="00830746" w:rsidRPr="00797BFA">
        <w:rPr>
          <w:rStyle w:val="FootnoteReference"/>
        </w:rPr>
        <w:footnoteReference w:id="16"/>
      </w:r>
      <w:r w:rsidR="00D800C9" w:rsidRPr="00797BFA">
        <w:rPr>
          <w:szCs w:val="26"/>
        </w:rPr>
        <w:t xml:space="preserve">  </w:t>
      </w:r>
      <w:r w:rsidR="00830746" w:rsidRPr="00797BFA">
        <w:rPr>
          <w:szCs w:val="26"/>
        </w:rPr>
        <w:t xml:space="preserve">More specifically, </w:t>
      </w:r>
      <w:r w:rsidR="000F1E42" w:rsidRPr="00797BFA">
        <w:rPr>
          <w:szCs w:val="26"/>
        </w:rPr>
        <w:t>in 2015</w:t>
      </w:r>
      <w:r w:rsidR="003E360C">
        <w:rPr>
          <w:szCs w:val="26"/>
        </w:rPr>
        <w:t xml:space="preserve">: </w:t>
      </w:r>
      <w:r w:rsidR="00E470FD">
        <w:rPr>
          <w:szCs w:val="26"/>
        </w:rPr>
        <w:t>(1) </w:t>
      </w:r>
      <w:r w:rsidR="000F1E42" w:rsidRPr="00797BFA">
        <w:rPr>
          <w:szCs w:val="26"/>
        </w:rPr>
        <w:t xml:space="preserve">the Eastern Interconnection had 37.6 GW of wind and 1.6 GW of solar capacity, </w:t>
      </w:r>
      <w:r w:rsidR="00D06312" w:rsidRPr="00797BFA">
        <w:rPr>
          <w:szCs w:val="26"/>
        </w:rPr>
        <w:t>r</w:t>
      </w:r>
      <w:r w:rsidR="000F1E42" w:rsidRPr="00797BFA">
        <w:rPr>
          <w:szCs w:val="26"/>
        </w:rPr>
        <w:t>epresent</w:t>
      </w:r>
      <w:r w:rsidR="00D06312" w:rsidRPr="00797BFA">
        <w:rPr>
          <w:szCs w:val="26"/>
        </w:rPr>
        <w:t>ing</w:t>
      </w:r>
      <w:r w:rsidR="000F1E42" w:rsidRPr="00797BFA">
        <w:rPr>
          <w:szCs w:val="26"/>
        </w:rPr>
        <w:t xml:space="preserve"> a growth rate of 12 percent and 116 percent over the respective 2014 levels of 33.5 GW and 0.73 GW</w:t>
      </w:r>
      <w:r w:rsidR="00E470FD">
        <w:rPr>
          <w:szCs w:val="26"/>
        </w:rPr>
        <w:t>;</w:t>
      </w:r>
      <w:r w:rsidR="00230C74" w:rsidRPr="00797BFA">
        <w:rPr>
          <w:rStyle w:val="FootnoteReference"/>
        </w:rPr>
        <w:footnoteReference w:id="17"/>
      </w:r>
      <w:r w:rsidR="000F1E42" w:rsidRPr="00797BFA">
        <w:rPr>
          <w:szCs w:val="26"/>
        </w:rPr>
        <w:t xml:space="preserve"> </w:t>
      </w:r>
      <w:r w:rsidR="00E470FD">
        <w:rPr>
          <w:szCs w:val="26"/>
        </w:rPr>
        <w:t>(2) </w:t>
      </w:r>
      <w:r w:rsidR="000F1E42" w:rsidRPr="00797BFA">
        <w:rPr>
          <w:szCs w:val="26"/>
        </w:rPr>
        <w:t xml:space="preserve">ERCOT had 14.7 GW of wind and 0.18 </w:t>
      </w:r>
      <w:r w:rsidR="007732B8" w:rsidRPr="00797BFA">
        <w:rPr>
          <w:szCs w:val="26"/>
        </w:rPr>
        <w:t>G</w:t>
      </w:r>
      <w:r w:rsidR="000F1E42" w:rsidRPr="00797BFA">
        <w:rPr>
          <w:szCs w:val="26"/>
        </w:rPr>
        <w:t>W of solar, representing a growth rate of 29 percent and 50 percent over the respective 2014 levels of 11.4 GW and 0.12 GW</w:t>
      </w:r>
      <w:r w:rsidR="00E470FD">
        <w:rPr>
          <w:szCs w:val="26"/>
        </w:rPr>
        <w:t>;</w:t>
      </w:r>
      <w:r w:rsidR="005D5C2A" w:rsidRPr="00797BFA">
        <w:rPr>
          <w:rStyle w:val="FootnoteReference"/>
        </w:rPr>
        <w:footnoteReference w:id="18"/>
      </w:r>
      <w:r w:rsidR="000F1E42" w:rsidRPr="00797BFA">
        <w:rPr>
          <w:szCs w:val="26"/>
        </w:rPr>
        <w:t xml:space="preserve"> </w:t>
      </w:r>
      <w:r w:rsidR="00E470FD">
        <w:rPr>
          <w:szCs w:val="26"/>
        </w:rPr>
        <w:t>and (3) </w:t>
      </w:r>
      <w:r w:rsidR="000F1E42" w:rsidRPr="00797BFA">
        <w:rPr>
          <w:szCs w:val="26"/>
        </w:rPr>
        <w:t>Western Interconnection had 24.8 GW of wind and 8.4 GW of solar,</w:t>
      </w:r>
      <w:r w:rsidR="007732B8" w:rsidRPr="00797BFA">
        <w:rPr>
          <w:szCs w:val="26"/>
        </w:rPr>
        <w:t xml:space="preserve"> </w:t>
      </w:r>
      <w:r w:rsidR="000F1E42" w:rsidRPr="00797BFA">
        <w:rPr>
          <w:szCs w:val="26"/>
        </w:rPr>
        <w:t>represent</w:t>
      </w:r>
      <w:r w:rsidR="007732B8" w:rsidRPr="00797BFA">
        <w:rPr>
          <w:szCs w:val="26"/>
        </w:rPr>
        <w:t>ing</w:t>
      </w:r>
      <w:r w:rsidR="000F1E42" w:rsidRPr="00797BFA">
        <w:rPr>
          <w:szCs w:val="26"/>
        </w:rPr>
        <w:t xml:space="preserve"> a growth rate of 17 percent and 11 percent over the respective 2014 levels of 21.1 GW and </w:t>
      </w:r>
      <w:r w:rsidR="00E542DD" w:rsidRPr="00797BFA">
        <w:rPr>
          <w:szCs w:val="26"/>
        </w:rPr>
        <w:t>7</w:t>
      </w:r>
      <w:r w:rsidR="000F1E42" w:rsidRPr="00797BFA">
        <w:rPr>
          <w:szCs w:val="26"/>
        </w:rPr>
        <w:t>.6 GW.</w:t>
      </w:r>
      <w:r w:rsidR="005D5C2A" w:rsidRPr="00797BFA">
        <w:rPr>
          <w:rStyle w:val="FootnoteReference"/>
        </w:rPr>
        <w:footnoteReference w:id="19"/>
      </w:r>
    </w:p>
    <w:p w14:paraId="39C77885" w14:textId="42BBAB99" w:rsidR="00E85247" w:rsidRPr="00911E06" w:rsidRDefault="00000D54" w:rsidP="00136F93">
      <w:pPr>
        <w:pStyle w:val="ListParagraph"/>
        <w:tabs>
          <w:tab w:val="num" w:pos="1170"/>
        </w:tabs>
        <w:autoSpaceDE w:val="0"/>
        <w:autoSpaceDN w:val="0"/>
        <w:adjustRightInd w:val="0"/>
        <w:spacing w:line="480" w:lineRule="auto"/>
        <w:ind w:left="0"/>
        <w:contextualSpacing w:val="0"/>
        <w:jc w:val="center"/>
        <w:rPr>
          <w:u w:val="single"/>
        </w:rPr>
      </w:pPr>
      <w:r w:rsidRPr="00911E06">
        <w:rPr>
          <w:noProof/>
          <w:u w:val="single"/>
        </w:rPr>
        <w:drawing>
          <wp:inline distT="0" distB="0" distL="0" distR="0" wp14:anchorId="661D8B25" wp14:editId="17B6B4E5">
            <wp:extent cx="4731316" cy="3438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7404" cy="3450217"/>
                    </a:xfrm>
                    <a:prstGeom prst="rect">
                      <a:avLst/>
                    </a:prstGeom>
                    <a:noFill/>
                  </pic:spPr>
                </pic:pic>
              </a:graphicData>
            </a:graphic>
          </wp:inline>
        </w:drawing>
      </w:r>
    </w:p>
    <w:p w14:paraId="0ACAB5FE" w14:textId="68580757" w:rsidR="009E7274" w:rsidRPr="00797BFA" w:rsidRDefault="00D97B5A" w:rsidP="00E61265">
      <w:pPr>
        <w:pStyle w:val="FERCparanumber"/>
        <w:tabs>
          <w:tab w:val="clear" w:pos="1170"/>
          <w:tab w:val="num" w:pos="720"/>
        </w:tabs>
        <w:ind w:left="0"/>
        <w:rPr>
          <w:szCs w:val="26"/>
        </w:rPr>
      </w:pPr>
      <w:r w:rsidRPr="00797BFA">
        <w:t xml:space="preserve">The changing </w:t>
      </w:r>
      <w:r w:rsidR="00933203" w:rsidRPr="00797BFA">
        <w:t xml:space="preserve">generation </w:t>
      </w:r>
      <w:r w:rsidRPr="00797BFA">
        <w:t xml:space="preserve">resource mix has the potential to reduce </w:t>
      </w:r>
      <w:r w:rsidR="009E7274" w:rsidRPr="00797BFA">
        <w:t xml:space="preserve">the inertial response </w:t>
      </w:r>
      <w:r w:rsidR="006112E4" w:rsidRPr="00797BFA">
        <w:t>within</w:t>
      </w:r>
      <w:r w:rsidR="009E7274" w:rsidRPr="00797BFA">
        <w:t xml:space="preserve"> some Interconnections</w:t>
      </w:r>
      <w:r w:rsidR="0063121D" w:rsidRPr="00797BFA">
        <w:t xml:space="preserve">, as </w:t>
      </w:r>
      <w:r w:rsidR="009E7274" w:rsidRPr="00797BFA">
        <w:t>V</w:t>
      </w:r>
      <w:r w:rsidR="009E7274" w:rsidRPr="00797BFA">
        <w:rPr>
          <w:szCs w:val="26"/>
        </w:rPr>
        <w:t>ERs do not contribute to inertia unless they are specifically designed to do so.  For example, solar photovoltaic resources have no rotating mass and thus no rotational inertia</w:t>
      </w:r>
      <w:r w:rsidR="001B7DE0">
        <w:rPr>
          <w:szCs w:val="26"/>
        </w:rPr>
        <w:t>.  Similarly,</w:t>
      </w:r>
      <w:r w:rsidR="009E7274" w:rsidRPr="00797BFA">
        <w:rPr>
          <w:szCs w:val="26"/>
        </w:rPr>
        <w:t xml:space="preserve"> while wind turbines have a rotating mass, </w:t>
      </w:r>
      <w:r w:rsidR="00B13E31" w:rsidRPr="00797BFA">
        <w:rPr>
          <w:szCs w:val="26"/>
        </w:rPr>
        <w:t xml:space="preserve">power converters that interconnect </w:t>
      </w:r>
      <w:r w:rsidR="009E7274" w:rsidRPr="00797BFA">
        <w:rPr>
          <w:szCs w:val="26"/>
        </w:rPr>
        <w:t>modern wind turbines decouple the rotation of their turbines from the grid</w:t>
      </w:r>
      <w:r w:rsidR="00B96433" w:rsidRPr="00797BFA">
        <w:rPr>
          <w:szCs w:val="26"/>
        </w:rPr>
        <w:t>.</w:t>
      </w:r>
      <w:r w:rsidR="009E7274" w:rsidRPr="00797BFA">
        <w:rPr>
          <w:szCs w:val="26"/>
        </w:rPr>
        <w:t xml:space="preserve"> </w:t>
      </w:r>
      <w:r w:rsidR="00B96433" w:rsidRPr="00797BFA">
        <w:rPr>
          <w:szCs w:val="26"/>
        </w:rPr>
        <w:t xml:space="preserve"> A</w:t>
      </w:r>
      <w:r w:rsidR="009E7274" w:rsidRPr="00797BFA">
        <w:rPr>
          <w:szCs w:val="26"/>
        </w:rPr>
        <w:t xml:space="preserve">s such, </w:t>
      </w:r>
      <w:r w:rsidR="00B96433" w:rsidRPr="00797BFA">
        <w:rPr>
          <w:szCs w:val="26"/>
        </w:rPr>
        <w:t>modern wind turbines</w:t>
      </w:r>
      <w:r w:rsidR="009E7274" w:rsidRPr="00797BFA">
        <w:rPr>
          <w:szCs w:val="26"/>
        </w:rPr>
        <w:t xml:space="preserve"> do not contribute to the system’s inertia unless specifically configured to do so.</w:t>
      </w:r>
      <w:r w:rsidR="009E7274" w:rsidRPr="00797BFA">
        <w:rPr>
          <w:rStyle w:val="FootnoteReference"/>
        </w:rPr>
        <w:footnoteReference w:id="20"/>
      </w:r>
      <w:r w:rsidR="009E7274" w:rsidRPr="00797BFA">
        <w:rPr>
          <w:szCs w:val="26"/>
        </w:rPr>
        <w:t xml:space="preserve">  </w:t>
      </w:r>
      <w:r w:rsidRPr="00797BFA">
        <w:rPr>
          <w:szCs w:val="26"/>
        </w:rPr>
        <w:t>Therefore, increased numbers of VERs, in conjunction with</w:t>
      </w:r>
      <w:r w:rsidR="009E7274" w:rsidRPr="00797BFA">
        <w:rPr>
          <w:szCs w:val="26"/>
        </w:rPr>
        <w:t xml:space="preserve"> significant retirements of large conventional resources with large rotational inertia</w:t>
      </w:r>
      <w:r w:rsidR="00B40202">
        <w:rPr>
          <w:szCs w:val="26"/>
        </w:rPr>
        <w:t>,</w:t>
      </w:r>
      <w:r w:rsidR="0063121D" w:rsidRPr="00797BFA">
        <w:rPr>
          <w:szCs w:val="26"/>
        </w:rPr>
        <w:t xml:space="preserve"> </w:t>
      </w:r>
      <w:r w:rsidRPr="00797BFA">
        <w:rPr>
          <w:szCs w:val="26"/>
        </w:rPr>
        <w:t xml:space="preserve">have </w:t>
      </w:r>
      <w:r w:rsidR="009E7274" w:rsidRPr="00797BFA">
        <w:rPr>
          <w:szCs w:val="26"/>
        </w:rPr>
        <w:t>the potential to reduc</w:t>
      </w:r>
      <w:r w:rsidR="00CE2029" w:rsidRPr="00797BFA">
        <w:rPr>
          <w:szCs w:val="26"/>
        </w:rPr>
        <w:t>e</w:t>
      </w:r>
      <w:r w:rsidR="009E7274" w:rsidRPr="00797BFA">
        <w:rPr>
          <w:szCs w:val="26"/>
        </w:rPr>
        <w:t xml:space="preserve"> system inertia</w:t>
      </w:r>
      <w:r w:rsidR="004E737D" w:rsidRPr="00797BFA">
        <w:rPr>
          <w:szCs w:val="26"/>
        </w:rPr>
        <w:t>.</w:t>
      </w:r>
    </w:p>
    <w:p w14:paraId="53407BDA" w14:textId="70B6239B" w:rsidR="004309E8" w:rsidRPr="00797BFA" w:rsidRDefault="004B2F7F" w:rsidP="00600070">
      <w:pPr>
        <w:pStyle w:val="FERCparanumber"/>
        <w:tabs>
          <w:tab w:val="num" w:pos="720"/>
          <w:tab w:val="num" w:pos="1080"/>
        </w:tabs>
        <w:ind w:left="0"/>
        <w:rPr>
          <w:szCs w:val="26"/>
        </w:rPr>
      </w:pPr>
      <w:r>
        <w:rPr>
          <w:szCs w:val="26"/>
        </w:rPr>
        <w:t>In addition</w:t>
      </w:r>
      <w:r w:rsidR="0098696F" w:rsidRPr="00797BFA">
        <w:rPr>
          <w:szCs w:val="26"/>
        </w:rPr>
        <w:t xml:space="preserve">, </w:t>
      </w:r>
      <w:r w:rsidR="009E7274" w:rsidRPr="00797BFA">
        <w:rPr>
          <w:szCs w:val="26"/>
        </w:rPr>
        <w:t>VERs</w:t>
      </w:r>
      <w:r w:rsidR="0003467A" w:rsidRPr="00797BFA">
        <w:rPr>
          <w:szCs w:val="26"/>
        </w:rPr>
        <w:t xml:space="preserve"> </w:t>
      </w:r>
      <w:r w:rsidR="009E7274" w:rsidRPr="00797BFA">
        <w:rPr>
          <w:szCs w:val="26"/>
        </w:rPr>
        <w:t>do not provide primary frequency response unless specifically configur</w:t>
      </w:r>
      <w:r w:rsidR="004309E8" w:rsidRPr="00797BFA">
        <w:rPr>
          <w:szCs w:val="26"/>
        </w:rPr>
        <w:t xml:space="preserve">ed to do so.  </w:t>
      </w:r>
      <w:r>
        <w:rPr>
          <w:szCs w:val="26"/>
        </w:rPr>
        <w:t>Furthermore</w:t>
      </w:r>
      <w:r w:rsidR="00B42F49" w:rsidRPr="00797BFA">
        <w:rPr>
          <w:szCs w:val="26"/>
        </w:rPr>
        <w:t>, since VERs typically have low marginal costs of production, they would likely not be dispatched in a manner necessary to provide primary frequency response, since the provision of primary frequency response involves the reservation of capacity (</w:t>
      </w:r>
      <w:r w:rsidR="00EF17CC" w:rsidRPr="00797BFA">
        <w:rPr>
          <w:szCs w:val="26"/>
        </w:rPr>
        <w:t xml:space="preserve">or </w:t>
      </w:r>
      <w:r w:rsidR="00B42F49" w:rsidRPr="00797BFA">
        <w:rPr>
          <w:szCs w:val="26"/>
        </w:rPr>
        <w:t>“headroom”) in order for a resource to automatically increase its MW output in response to drops in system frequency.</w:t>
      </w:r>
      <w:r w:rsidR="00B0435C" w:rsidRPr="00797BFA">
        <w:rPr>
          <w:szCs w:val="26"/>
        </w:rPr>
        <w:t xml:space="preserve">  </w:t>
      </w:r>
      <w:r w:rsidR="00B13E31" w:rsidRPr="00797BFA">
        <w:rPr>
          <w:szCs w:val="26"/>
        </w:rPr>
        <w:t>Therefore, there is a significant risk that</w:t>
      </w:r>
      <w:r w:rsidR="00650281" w:rsidRPr="00797BFA">
        <w:rPr>
          <w:szCs w:val="26"/>
        </w:rPr>
        <w:t>,</w:t>
      </w:r>
      <w:r w:rsidR="00B13E31" w:rsidRPr="00797BFA">
        <w:rPr>
          <w:szCs w:val="26"/>
        </w:rPr>
        <w:t xml:space="preserve"> a</w:t>
      </w:r>
      <w:r w:rsidR="004309E8" w:rsidRPr="00797BFA">
        <w:rPr>
          <w:szCs w:val="26"/>
        </w:rPr>
        <w:t xml:space="preserve">s conventional synchronous resources retire or are displaced by increased </w:t>
      </w:r>
      <w:r w:rsidR="00B13E31" w:rsidRPr="00797BFA">
        <w:rPr>
          <w:szCs w:val="26"/>
        </w:rPr>
        <w:t>numbers</w:t>
      </w:r>
      <w:r w:rsidR="004309E8" w:rsidRPr="00797BFA">
        <w:rPr>
          <w:szCs w:val="26"/>
        </w:rPr>
        <w:t xml:space="preserve"> of VERs that do not </w:t>
      </w:r>
      <w:r w:rsidR="00B13E31" w:rsidRPr="00797BFA">
        <w:rPr>
          <w:szCs w:val="26"/>
        </w:rPr>
        <w:t>typically</w:t>
      </w:r>
      <w:r w:rsidR="004309E8" w:rsidRPr="00797BFA">
        <w:rPr>
          <w:szCs w:val="26"/>
        </w:rPr>
        <w:t xml:space="preserve"> have primary frequency response capabilities, the net amount of frequency responsive generation online </w:t>
      </w:r>
      <w:r w:rsidR="00650281" w:rsidRPr="00797BFA">
        <w:rPr>
          <w:szCs w:val="26"/>
        </w:rPr>
        <w:t>will</w:t>
      </w:r>
      <w:r w:rsidR="005A72AE" w:rsidRPr="00797BFA">
        <w:rPr>
          <w:szCs w:val="26"/>
        </w:rPr>
        <w:t xml:space="preserve"> </w:t>
      </w:r>
      <w:r w:rsidR="004309E8" w:rsidRPr="00797BFA">
        <w:rPr>
          <w:szCs w:val="26"/>
        </w:rPr>
        <w:t>be reduced</w:t>
      </w:r>
      <w:r w:rsidR="00B42F49" w:rsidRPr="00797BFA">
        <w:rPr>
          <w:szCs w:val="26"/>
        </w:rPr>
        <w:t>.</w:t>
      </w:r>
      <w:r w:rsidR="00B42F49" w:rsidRPr="00797BFA">
        <w:rPr>
          <w:rStyle w:val="FootnoteReference"/>
        </w:rPr>
        <w:footnoteReference w:id="21"/>
      </w:r>
    </w:p>
    <w:p w14:paraId="66013D03" w14:textId="1680EAD8" w:rsidR="00320C40" w:rsidRPr="00797BFA" w:rsidRDefault="009E7274" w:rsidP="00E61265">
      <w:pPr>
        <w:pStyle w:val="FERCparanumber"/>
        <w:tabs>
          <w:tab w:val="num" w:pos="720"/>
          <w:tab w:val="num" w:pos="1080"/>
        </w:tabs>
        <w:ind w:left="0"/>
        <w:rPr>
          <w:szCs w:val="26"/>
        </w:rPr>
      </w:pPr>
      <w:r w:rsidRPr="00797BFA">
        <w:rPr>
          <w:szCs w:val="26"/>
        </w:rPr>
        <w:t xml:space="preserve">The combined impacts of lower system inertia and lower frequency responsive capability </w:t>
      </w:r>
      <w:r w:rsidR="00B42F49" w:rsidRPr="00797BFA">
        <w:rPr>
          <w:szCs w:val="26"/>
        </w:rPr>
        <w:t>online may adversely affect</w:t>
      </w:r>
      <w:r w:rsidRPr="00797BFA">
        <w:rPr>
          <w:szCs w:val="26"/>
        </w:rPr>
        <w:t xml:space="preserve"> reliability during disturbances </w:t>
      </w:r>
      <w:r w:rsidR="00B42F49" w:rsidRPr="00797BFA">
        <w:rPr>
          <w:szCs w:val="26"/>
        </w:rPr>
        <w:t xml:space="preserve">because </w:t>
      </w:r>
      <w:r w:rsidRPr="00797BFA">
        <w:rPr>
          <w:szCs w:val="26"/>
        </w:rPr>
        <w:t xml:space="preserve">lower </w:t>
      </w:r>
      <w:r w:rsidR="000705C9" w:rsidRPr="00797BFA">
        <w:rPr>
          <w:szCs w:val="26"/>
        </w:rPr>
        <w:t xml:space="preserve">system </w:t>
      </w:r>
      <w:r w:rsidRPr="00797BFA">
        <w:rPr>
          <w:szCs w:val="26"/>
        </w:rPr>
        <w:t>inertia results in more rapid frequency deviations during disturbances</w:t>
      </w:r>
      <w:r w:rsidR="00D61D67" w:rsidRPr="00797BFA">
        <w:rPr>
          <w:szCs w:val="26"/>
        </w:rPr>
        <w:t>.  This, in turn</w:t>
      </w:r>
      <w:r w:rsidR="00B42F49" w:rsidRPr="00797BFA">
        <w:rPr>
          <w:szCs w:val="26"/>
        </w:rPr>
        <w:t>,</w:t>
      </w:r>
      <w:r w:rsidRPr="00797BFA">
        <w:rPr>
          <w:szCs w:val="26"/>
        </w:rPr>
        <w:t xml:space="preserve"> </w:t>
      </w:r>
      <w:r w:rsidR="00D61D67" w:rsidRPr="00797BFA">
        <w:rPr>
          <w:szCs w:val="26"/>
        </w:rPr>
        <w:t>may</w:t>
      </w:r>
      <w:r w:rsidR="00D61D67" w:rsidRPr="00797BFA">
        <w:t xml:space="preserve"> </w:t>
      </w:r>
      <w:r w:rsidRPr="00797BFA">
        <w:t>result</w:t>
      </w:r>
      <w:r w:rsidRPr="00797BFA">
        <w:rPr>
          <w:szCs w:val="26"/>
        </w:rPr>
        <w:t xml:space="preserve"> in lower frequency nadirs, particularly if the primary frequency capability online is not sufficiently fast.  This is a potential reliability concern because</w:t>
      </w:r>
      <w:r w:rsidR="00D61D67" w:rsidRPr="00797BFA">
        <w:rPr>
          <w:szCs w:val="26"/>
        </w:rPr>
        <w:t>,</w:t>
      </w:r>
      <w:r w:rsidRPr="00797BFA">
        <w:rPr>
          <w:szCs w:val="26"/>
        </w:rPr>
        <w:t xml:space="preserve"> as the frequency nadir lowers, it </w:t>
      </w:r>
      <w:r w:rsidR="00D61D67" w:rsidRPr="00797BFA">
        <w:rPr>
          <w:szCs w:val="26"/>
        </w:rPr>
        <w:t>approaches</w:t>
      </w:r>
      <w:r w:rsidRPr="00797BFA">
        <w:rPr>
          <w:szCs w:val="26"/>
        </w:rPr>
        <w:t xml:space="preserve"> the</w:t>
      </w:r>
      <w:r w:rsidR="00933203" w:rsidRPr="00797BFA">
        <w:rPr>
          <w:szCs w:val="26"/>
        </w:rPr>
        <w:t xml:space="preserve"> Interconnection’s</w:t>
      </w:r>
      <w:r w:rsidRPr="00797BFA">
        <w:rPr>
          <w:szCs w:val="26"/>
        </w:rPr>
        <w:t xml:space="preserve"> UFLS trip setting</w:t>
      </w:r>
      <w:r w:rsidR="00D61D67" w:rsidRPr="00797BFA">
        <w:rPr>
          <w:szCs w:val="26"/>
        </w:rPr>
        <w:t>,</w:t>
      </w:r>
      <w:r w:rsidRPr="00797BFA">
        <w:rPr>
          <w:szCs w:val="26"/>
        </w:rPr>
        <w:t xml:space="preserve"> which could result in the loss of load and additional generation</w:t>
      </w:r>
      <w:r w:rsidR="001B7DE0">
        <w:rPr>
          <w:szCs w:val="26"/>
        </w:rPr>
        <w:t xml:space="preserve"> across the </w:t>
      </w:r>
      <w:r w:rsidR="00CF69E3">
        <w:rPr>
          <w:szCs w:val="26"/>
        </w:rPr>
        <w:t>I</w:t>
      </w:r>
      <w:r w:rsidR="001B7DE0">
        <w:rPr>
          <w:szCs w:val="26"/>
        </w:rPr>
        <w:t>nterconnection</w:t>
      </w:r>
      <w:r w:rsidRPr="00797BFA">
        <w:rPr>
          <w:szCs w:val="26"/>
        </w:rPr>
        <w:t>.</w:t>
      </w:r>
    </w:p>
    <w:p w14:paraId="515C0D21" w14:textId="795AE554" w:rsidR="00B42F49" w:rsidRPr="00797BFA" w:rsidRDefault="009E7274" w:rsidP="00E61265">
      <w:pPr>
        <w:pStyle w:val="FERCparanumber"/>
        <w:tabs>
          <w:tab w:val="num" w:pos="720"/>
          <w:tab w:val="num" w:pos="1080"/>
        </w:tabs>
        <w:ind w:left="0"/>
        <w:rPr>
          <w:szCs w:val="26"/>
        </w:rPr>
      </w:pPr>
      <w:r w:rsidRPr="00797BFA">
        <w:t xml:space="preserve">These </w:t>
      </w:r>
      <w:r w:rsidR="00F4001D" w:rsidRPr="00797BFA">
        <w:t xml:space="preserve">developments and their potential </w:t>
      </w:r>
      <w:r w:rsidRPr="00797BFA">
        <w:t xml:space="preserve">impacts </w:t>
      </w:r>
      <w:r w:rsidR="00F4001D" w:rsidRPr="00797BFA">
        <w:t>could</w:t>
      </w:r>
      <w:r w:rsidRPr="00797BFA">
        <w:t xml:space="preserve"> challenge system opera</w:t>
      </w:r>
      <w:r w:rsidR="00F4001D" w:rsidRPr="00797BFA">
        <w:t>tors in maintaining reliability.</w:t>
      </w:r>
      <w:r w:rsidRPr="00797BFA">
        <w:t xml:space="preserve"> </w:t>
      </w:r>
      <w:r w:rsidR="00F4001D" w:rsidRPr="00797BFA">
        <w:t xml:space="preserve"> T</w:t>
      </w:r>
      <w:r w:rsidRPr="00797BFA">
        <w:t xml:space="preserve">he Commission believes </w:t>
      </w:r>
      <w:r w:rsidR="00F4001D" w:rsidRPr="00797BFA">
        <w:t>that a substantial</w:t>
      </w:r>
      <w:r w:rsidRPr="00797BFA">
        <w:t xml:space="preserve"> </w:t>
      </w:r>
      <w:r w:rsidR="00F4001D" w:rsidRPr="00797BFA">
        <w:t>body of evidence has emerged warranting consideration of possible actions to ensure</w:t>
      </w:r>
      <w:r w:rsidRPr="00797BFA">
        <w:t xml:space="preserve"> </w:t>
      </w:r>
      <w:r w:rsidR="00402AB8" w:rsidRPr="00797BFA">
        <w:t xml:space="preserve">that </w:t>
      </w:r>
      <w:r w:rsidR="00484F5F" w:rsidRPr="00797BFA">
        <w:t>resources capable of providing primary frequency response are</w:t>
      </w:r>
      <w:r w:rsidR="00402AB8" w:rsidRPr="00797BFA">
        <w:t xml:space="preserve"> </w:t>
      </w:r>
      <w:r w:rsidRPr="00797BFA">
        <w:t xml:space="preserve">adequately maintained as the nation’s resource mix </w:t>
      </w:r>
      <w:r w:rsidR="0063461A" w:rsidRPr="00797BFA">
        <w:t xml:space="preserve">continues to </w:t>
      </w:r>
      <w:r w:rsidRPr="00797BFA">
        <w:t>evolve.</w:t>
      </w:r>
    </w:p>
    <w:p w14:paraId="4EA4C2F4" w14:textId="551038CF" w:rsidR="00CB3B8A" w:rsidRPr="00797BFA" w:rsidRDefault="00CB3B8A" w:rsidP="00E61265">
      <w:pPr>
        <w:pStyle w:val="ListParagraph"/>
        <w:numPr>
          <w:ilvl w:val="0"/>
          <w:numId w:val="1"/>
        </w:numPr>
        <w:tabs>
          <w:tab w:val="clear" w:pos="1170"/>
          <w:tab w:val="num" w:pos="720"/>
        </w:tabs>
        <w:autoSpaceDE w:val="0"/>
        <w:autoSpaceDN w:val="0"/>
        <w:adjustRightInd w:val="0"/>
        <w:spacing w:line="480" w:lineRule="auto"/>
        <w:ind w:left="0"/>
        <w:contextualSpacing w:val="0"/>
        <w:rPr>
          <w:szCs w:val="26"/>
        </w:rPr>
      </w:pPr>
      <w:r w:rsidRPr="00911E06">
        <w:rPr>
          <w:szCs w:val="26"/>
          <w:u w:val="single"/>
        </w:rPr>
        <w:t xml:space="preserve">In 2014, </w:t>
      </w:r>
      <w:r w:rsidR="004733B6" w:rsidRPr="00911E06">
        <w:rPr>
          <w:szCs w:val="26"/>
          <w:u w:val="single"/>
        </w:rPr>
        <w:t xml:space="preserve">NERC </w:t>
      </w:r>
      <w:r w:rsidR="00484F5F" w:rsidRPr="00911E06">
        <w:rPr>
          <w:szCs w:val="26"/>
          <w:u w:val="single"/>
        </w:rPr>
        <w:t>initiated</w:t>
      </w:r>
      <w:r w:rsidR="004733B6" w:rsidRPr="00911E06">
        <w:rPr>
          <w:szCs w:val="26"/>
          <w:u w:val="single"/>
        </w:rPr>
        <w:t xml:space="preserve"> the Essential Reliability Services Task Force</w:t>
      </w:r>
      <w:r w:rsidRPr="00911E06">
        <w:rPr>
          <w:szCs w:val="26"/>
          <w:u w:val="single"/>
        </w:rPr>
        <w:t xml:space="preserve"> (Task</w:t>
      </w:r>
      <w:r w:rsidRPr="00797BFA">
        <w:rPr>
          <w:szCs w:val="26"/>
        </w:rPr>
        <w:t xml:space="preserve"> Force) </w:t>
      </w:r>
      <w:r w:rsidR="004733B6" w:rsidRPr="00797BFA">
        <w:rPr>
          <w:szCs w:val="26"/>
        </w:rPr>
        <w:t xml:space="preserve">to </w:t>
      </w:r>
      <w:r w:rsidR="005E2F02" w:rsidRPr="00797BFA">
        <w:rPr>
          <w:szCs w:val="26"/>
        </w:rPr>
        <w:t xml:space="preserve">analyze and better understand the impacts of the changing resource mix and develop </w:t>
      </w:r>
      <w:r w:rsidR="004733B6" w:rsidRPr="00797BFA">
        <w:rPr>
          <w:szCs w:val="26"/>
        </w:rPr>
        <w:t xml:space="preserve">technical </w:t>
      </w:r>
      <w:r w:rsidRPr="00797BFA">
        <w:rPr>
          <w:szCs w:val="26"/>
        </w:rPr>
        <w:t>assessments of</w:t>
      </w:r>
      <w:r w:rsidR="004733B6" w:rsidRPr="00797BFA">
        <w:rPr>
          <w:szCs w:val="26"/>
        </w:rPr>
        <w:t xml:space="preserve"> essential reliability services.</w:t>
      </w:r>
      <w:r w:rsidR="004733B6" w:rsidRPr="00797BFA">
        <w:rPr>
          <w:rStyle w:val="FootnoteReference"/>
        </w:rPr>
        <w:footnoteReference w:id="22"/>
      </w:r>
      <w:r w:rsidR="005E2F02" w:rsidRPr="00797BFA">
        <w:rPr>
          <w:szCs w:val="26"/>
        </w:rPr>
        <w:t xml:space="preserve">  </w:t>
      </w:r>
      <w:r w:rsidR="00033569" w:rsidRPr="00797BFA">
        <w:t xml:space="preserve">The Task Force </w:t>
      </w:r>
      <w:r w:rsidR="00B2418A" w:rsidRPr="00797BFA">
        <w:t>focused on</w:t>
      </w:r>
      <w:r w:rsidR="00DA6514" w:rsidRPr="00797BFA">
        <w:t xml:space="preserve"> </w:t>
      </w:r>
      <w:r w:rsidR="003B2314" w:rsidRPr="00797BFA">
        <w:t>three</w:t>
      </w:r>
      <w:r w:rsidR="00033569" w:rsidRPr="00797BFA">
        <w:t xml:space="preserve"> essential reliability services</w:t>
      </w:r>
      <w:r w:rsidR="00DA6514" w:rsidRPr="00797BFA">
        <w:t>:</w:t>
      </w:r>
      <w:r w:rsidR="00033569" w:rsidRPr="00797BFA">
        <w:t xml:space="preserve">  frequency support, </w:t>
      </w:r>
      <w:r w:rsidR="00AD5A25" w:rsidRPr="00797BFA">
        <w:t>ramping capability, and voltage support</w:t>
      </w:r>
      <w:r w:rsidR="00033569" w:rsidRPr="00797BFA">
        <w:t>.</w:t>
      </w:r>
      <w:r w:rsidR="00AD5A25" w:rsidRPr="00797BFA">
        <w:rPr>
          <w:rStyle w:val="FootnoteReference"/>
        </w:rPr>
        <w:footnoteReference w:id="23"/>
      </w:r>
      <w:r w:rsidR="00033569" w:rsidRPr="00797BFA">
        <w:t xml:space="preserve">  </w:t>
      </w:r>
    </w:p>
    <w:p w14:paraId="2B5BC6A8" w14:textId="77777777" w:rsidR="00DD2428" w:rsidRDefault="00DD2428">
      <w:pPr>
        <w:widowControl/>
        <w:autoSpaceDE/>
        <w:autoSpaceDN/>
        <w:adjustRightInd/>
        <w:rPr>
          <w:rFonts w:eastAsia="Calibri"/>
          <w:szCs w:val="26"/>
        </w:rPr>
      </w:pPr>
      <w:r>
        <w:rPr>
          <w:szCs w:val="26"/>
        </w:rPr>
        <w:br w:type="page"/>
      </w:r>
    </w:p>
    <w:p w14:paraId="0A6D693C" w14:textId="55D6C54C" w:rsidR="00CE2029" w:rsidRPr="00797BFA" w:rsidRDefault="004733B6" w:rsidP="00E61265">
      <w:pPr>
        <w:pStyle w:val="ListParagraph"/>
        <w:numPr>
          <w:ilvl w:val="0"/>
          <w:numId w:val="1"/>
        </w:numPr>
        <w:tabs>
          <w:tab w:val="num" w:pos="720"/>
          <w:tab w:val="num" w:pos="1080"/>
        </w:tabs>
        <w:autoSpaceDE w:val="0"/>
        <w:autoSpaceDN w:val="0"/>
        <w:adjustRightInd w:val="0"/>
        <w:spacing w:line="480" w:lineRule="auto"/>
        <w:ind w:left="0"/>
        <w:contextualSpacing w:val="0"/>
        <w:rPr>
          <w:szCs w:val="26"/>
        </w:rPr>
      </w:pPr>
      <w:r w:rsidRPr="00797BFA">
        <w:rPr>
          <w:szCs w:val="26"/>
        </w:rPr>
        <w:t>The Task Force consider</w:t>
      </w:r>
      <w:r w:rsidR="0004745A" w:rsidRPr="00797BFA">
        <w:rPr>
          <w:szCs w:val="26"/>
        </w:rPr>
        <w:t>ed</w:t>
      </w:r>
      <w:r w:rsidRPr="00797BFA">
        <w:rPr>
          <w:szCs w:val="26"/>
        </w:rPr>
        <w:t xml:space="preserve"> the seven ancillary services</w:t>
      </w:r>
      <w:r w:rsidR="00A73F44" w:rsidRPr="00797BFA">
        <w:rPr>
          <w:rStyle w:val="FootnoteReference"/>
        </w:rPr>
        <w:footnoteReference w:id="24"/>
      </w:r>
      <w:r w:rsidRPr="00797BFA">
        <w:rPr>
          <w:szCs w:val="26"/>
        </w:rPr>
        <w:t xml:space="preserve"> adopted by the Commission in Order Nos. </w:t>
      </w:r>
      <w:r w:rsidR="007E704A" w:rsidRPr="00797BFA">
        <w:rPr>
          <w:szCs w:val="26"/>
        </w:rPr>
        <w:t>888</w:t>
      </w:r>
      <w:r w:rsidR="007E704A" w:rsidRPr="00797BFA">
        <w:rPr>
          <w:rStyle w:val="FootnoteReference"/>
        </w:rPr>
        <w:footnoteReference w:id="25"/>
      </w:r>
      <w:r w:rsidR="007E704A" w:rsidRPr="00797BFA">
        <w:rPr>
          <w:szCs w:val="26"/>
        </w:rPr>
        <w:t xml:space="preserve"> and 890</w:t>
      </w:r>
      <w:r w:rsidR="007E704A" w:rsidRPr="00797BFA">
        <w:rPr>
          <w:rStyle w:val="FootnoteReference"/>
        </w:rPr>
        <w:footnoteReference w:id="26"/>
      </w:r>
      <w:r w:rsidRPr="00797BFA">
        <w:rPr>
          <w:szCs w:val="26"/>
        </w:rPr>
        <w:t xml:space="preserve"> as a subset of the essential reliability services that may need to be augmented by additional services as the </w:t>
      </w:r>
      <w:r w:rsidR="004A0C54" w:rsidRPr="00797BFA">
        <w:rPr>
          <w:szCs w:val="26"/>
        </w:rPr>
        <w:t>Bulk-Power System</w:t>
      </w:r>
      <w:r w:rsidRPr="00797BFA">
        <w:rPr>
          <w:szCs w:val="26"/>
        </w:rPr>
        <w:t xml:space="preserve"> characteristics change.  However, the Task Force did not intend to </w:t>
      </w:r>
      <w:r w:rsidR="00CB3B8A" w:rsidRPr="00797BFA">
        <w:rPr>
          <w:szCs w:val="26"/>
        </w:rPr>
        <w:t xml:space="preserve">recommend </w:t>
      </w:r>
      <w:r w:rsidRPr="00797BFA">
        <w:rPr>
          <w:szCs w:val="26"/>
        </w:rPr>
        <w:t xml:space="preserve">new </w:t>
      </w:r>
      <w:r w:rsidR="00CB3B8A" w:rsidRPr="00797BFA">
        <w:rPr>
          <w:szCs w:val="26"/>
        </w:rPr>
        <w:t>r</w:t>
      </w:r>
      <w:r w:rsidRPr="00797BFA">
        <w:rPr>
          <w:szCs w:val="26"/>
        </w:rPr>
        <w:t xml:space="preserve">eliability </w:t>
      </w:r>
      <w:r w:rsidR="00CB3B8A" w:rsidRPr="00797BFA">
        <w:rPr>
          <w:szCs w:val="26"/>
        </w:rPr>
        <w:t>s</w:t>
      </w:r>
      <w:r w:rsidRPr="00797BFA">
        <w:rPr>
          <w:szCs w:val="26"/>
        </w:rPr>
        <w:t xml:space="preserve">tandards or </w:t>
      </w:r>
      <w:r w:rsidR="00CB3B8A" w:rsidRPr="00797BFA">
        <w:rPr>
          <w:szCs w:val="26"/>
        </w:rPr>
        <w:t xml:space="preserve">propose </w:t>
      </w:r>
      <w:r w:rsidRPr="00797BFA">
        <w:rPr>
          <w:szCs w:val="26"/>
        </w:rPr>
        <w:t>action</w:t>
      </w:r>
      <w:r w:rsidR="00CB3B8A" w:rsidRPr="00797BFA">
        <w:rPr>
          <w:szCs w:val="26"/>
        </w:rPr>
        <w:t>s</w:t>
      </w:r>
      <w:r w:rsidRPr="00797BFA">
        <w:rPr>
          <w:szCs w:val="26"/>
        </w:rPr>
        <w:t xml:space="preserve"> to alter the existing suite of </w:t>
      </w:r>
      <w:r w:rsidR="00D70705" w:rsidRPr="00797BFA">
        <w:rPr>
          <w:szCs w:val="26"/>
        </w:rPr>
        <w:t>a</w:t>
      </w:r>
      <w:r w:rsidRPr="00797BFA">
        <w:rPr>
          <w:szCs w:val="26"/>
        </w:rPr>
        <w:t xml:space="preserve">ncillary </w:t>
      </w:r>
      <w:r w:rsidR="00D70705" w:rsidRPr="00797BFA">
        <w:rPr>
          <w:szCs w:val="26"/>
        </w:rPr>
        <w:t>s</w:t>
      </w:r>
      <w:r w:rsidRPr="00797BFA">
        <w:rPr>
          <w:szCs w:val="26"/>
        </w:rPr>
        <w:t>ervices</w:t>
      </w:r>
      <w:r w:rsidR="005E2F02" w:rsidRPr="00797BFA">
        <w:rPr>
          <w:szCs w:val="26"/>
        </w:rPr>
        <w:t>.</w:t>
      </w:r>
      <w:r w:rsidR="005E2F02" w:rsidRPr="00797BFA">
        <w:rPr>
          <w:rStyle w:val="FootnoteReference"/>
        </w:rPr>
        <w:footnoteReference w:id="27"/>
      </w:r>
      <w:r w:rsidR="005E2F02" w:rsidRPr="00797BFA">
        <w:rPr>
          <w:szCs w:val="26"/>
        </w:rPr>
        <w:t xml:space="preserve">  I</w:t>
      </w:r>
      <w:r w:rsidRPr="00797BFA">
        <w:rPr>
          <w:szCs w:val="26"/>
        </w:rPr>
        <w:t>nstead</w:t>
      </w:r>
      <w:r w:rsidR="00DA480B" w:rsidRPr="00797BFA">
        <w:rPr>
          <w:szCs w:val="26"/>
        </w:rPr>
        <w:t>,</w:t>
      </w:r>
      <w:r w:rsidRPr="00797BFA">
        <w:rPr>
          <w:szCs w:val="26"/>
        </w:rPr>
        <w:t xml:space="preserve"> </w:t>
      </w:r>
      <w:r w:rsidR="00214BDA" w:rsidRPr="00797BFA">
        <w:rPr>
          <w:szCs w:val="26"/>
        </w:rPr>
        <w:t>it</w:t>
      </w:r>
      <w:r w:rsidR="00CB3B8A" w:rsidRPr="00797BFA">
        <w:rPr>
          <w:szCs w:val="26"/>
        </w:rPr>
        <w:t>s</w:t>
      </w:r>
      <w:r w:rsidR="00214BDA" w:rsidRPr="00797BFA">
        <w:rPr>
          <w:szCs w:val="26"/>
        </w:rPr>
        <w:t xml:space="preserve"> </w:t>
      </w:r>
      <w:r w:rsidR="00CB3B8A" w:rsidRPr="00797BFA">
        <w:rPr>
          <w:szCs w:val="26"/>
        </w:rPr>
        <w:t>focus</w:t>
      </w:r>
      <w:r w:rsidR="0025513C" w:rsidRPr="00797BFA">
        <w:rPr>
          <w:szCs w:val="26"/>
        </w:rPr>
        <w:t xml:space="preserve"> </w:t>
      </w:r>
      <w:r w:rsidR="00CB3B8A" w:rsidRPr="00797BFA">
        <w:rPr>
          <w:szCs w:val="26"/>
        </w:rPr>
        <w:t xml:space="preserve">was on </w:t>
      </w:r>
      <w:r w:rsidRPr="00797BFA">
        <w:rPr>
          <w:szCs w:val="26"/>
        </w:rPr>
        <w:t>educat</w:t>
      </w:r>
      <w:r w:rsidR="00CB3B8A" w:rsidRPr="00797BFA">
        <w:rPr>
          <w:szCs w:val="26"/>
        </w:rPr>
        <w:t>ing</w:t>
      </w:r>
      <w:r w:rsidRPr="00797BFA">
        <w:rPr>
          <w:szCs w:val="26"/>
        </w:rPr>
        <w:t xml:space="preserve"> and inform</w:t>
      </w:r>
      <w:r w:rsidR="00CB3B8A" w:rsidRPr="00797BFA">
        <w:rPr>
          <w:szCs w:val="26"/>
        </w:rPr>
        <w:t>ing</w:t>
      </w:r>
      <w:r w:rsidRPr="00797BFA">
        <w:rPr>
          <w:szCs w:val="26"/>
        </w:rPr>
        <w:t xml:space="preserve"> industry</w:t>
      </w:r>
      <w:r w:rsidR="00B06BDC" w:rsidRPr="00797BFA">
        <w:rPr>
          <w:szCs w:val="26"/>
        </w:rPr>
        <w:t xml:space="preserve"> and other stakeholders </w:t>
      </w:r>
      <w:r w:rsidRPr="00797BFA">
        <w:rPr>
          <w:szCs w:val="26"/>
        </w:rPr>
        <w:t>about essential reliability services, develop</w:t>
      </w:r>
      <w:r w:rsidR="00966D6E" w:rsidRPr="00797BFA">
        <w:rPr>
          <w:szCs w:val="26"/>
        </w:rPr>
        <w:t>ing</w:t>
      </w:r>
      <w:r w:rsidRPr="00797BFA">
        <w:rPr>
          <w:szCs w:val="26"/>
        </w:rPr>
        <w:t xml:space="preserve"> measures and industry best practices for tracking essential reliability services, and </w:t>
      </w:r>
      <w:r w:rsidR="00966D6E" w:rsidRPr="00797BFA">
        <w:rPr>
          <w:szCs w:val="26"/>
        </w:rPr>
        <w:t>developing</w:t>
      </w:r>
      <w:r w:rsidRPr="00797BFA">
        <w:rPr>
          <w:szCs w:val="26"/>
        </w:rPr>
        <w:t xml:space="preserve"> recommendations to ensure that essential reliability services continue to be provided </w:t>
      </w:r>
      <w:r w:rsidR="00070AC9" w:rsidRPr="00797BFA">
        <w:rPr>
          <w:szCs w:val="26"/>
        </w:rPr>
        <w:t xml:space="preserve">as the </w:t>
      </w:r>
      <w:r w:rsidR="003754B2" w:rsidRPr="00797BFA">
        <w:rPr>
          <w:szCs w:val="26"/>
        </w:rPr>
        <w:t xml:space="preserve">nation’s </w:t>
      </w:r>
      <w:r w:rsidR="00E7136E" w:rsidRPr="00797BFA">
        <w:rPr>
          <w:szCs w:val="26"/>
        </w:rPr>
        <w:t xml:space="preserve">generation </w:t>
      </w:r>
      <w:r w:rsidR="00070AC9" w:rsidRPr="00797BFA">
        <w:rPr>
          <w:szCs w:val="26"/>
        </w:rPr>
        <w:t xml:space="preserve">resource mix </w:t>
      </w:r>
      <w:r w:rsidR="003754B2" w:rsidRPr="00797BFA">
        <w:rPr>
          <w:szCs w:val="26"/>
        </w:rPr>
        <w:t>evolve</w:t>
      </w:r>
      <w:r w:rsidR="007D0C41" w:rsidRPr="00797BFA">
        <w:rPr>
          <w:szCs w:val="26"/>
        </w:rPr>
        <w:t>s</w:t>
      </w:r>
      <w:r w:rsidRPr="00797BFA">
        <w:rPr>
          <w:szCs w:val="26"/>
        </w:rPr>
        <w:t>.</w:t>
      </w:r>
      <w:r w:rsidR="005E2F02" w:rsidRPr="00797BFA">
        <w:rPr>
          <w:rStyle w:val="FootnoteReference"/>
        </w:rPr>
        <w:footnoteReference w:id="28"/>
      </w:r>
      <w:r w:rsidRPr="00797BFA">
        <w:rPr>
          <w:szCs w:val="26"/>
        </w:rPr>
        <w:t xml:space="preserve"> </w:t>
      </w:r>
      <w:r w:rsidR="00466F1B" w:rsidRPr="00797BFA">
        <w:rPr>
          <w:szCs w:val="26"/>
        </w:rPr>
        <w:t xml:space="preserve"> </w:t>
      </w:r>
    </w:p>
    <w:p w14:paraId="5EB48034" w14:textId="142090F0" w:rsidR="00CE2029" w:rsidRPr="00797BFA" w:rsidRDefault="00B008C1" w:rsidP="00E61265">
      <w:pPr>
        <w:pStyle w:val="ListParagraph"/>
        <w:numPr>
          <w:ilvl w:val="0"/>
          <w:numId w:val="1"/>
        </w:numPr>
        <w:tabs>
          <w:tab w:val="num" w:pos="720"/>
          <w:tab w:val="num" w:pos="1080"/>
        </w:tabs>
        <w:autoSpaceDE w:val="0"/>
        <w:autoSpaceDN w:val="0"/>
        <w:adjustRightInd w:val="0"/>
        <w:spacing w:line="480" w:lineRule="auto"/>
        <w:ind w:left="0"/>
        <w:contextualSpacing w:val="0"/>
        <w:rPr>
          <w:szCs w:val="26"/>
        </w:rPr>
      </w:pPr>
      <w:r w:rsidRPr="00797BFA">
        <w:t xml:space="preserve">The </w:t>
      </w:r>
      <w:r w:rsidR="00755C62" w:rsidRPr="00797BFA">
        <w:t xml:space="preserve">reliability of the </w:t>
      </w:r>
      <w:r w:rsidR="004A0C54" w:rsidRPr="00797BFA">
        <w:t>Bulk-Power System</w:t>
      </w:r>
      <w:r w:rsidRPr="00797BFA">
        <w:t xml:space="preserve"> will be increasingly dependent upon the operational characteristics of natural gas and renewable generating units, as these types </w:t>
      </w:r>
      <w:r w:rsidR="00BE0694">
        <w:t xml:space="preserve"> </w:t>
      </w:r>
      <w:r w:rsidRPr="00797BFA">
        <w:t>of resources are expected to comprise an increasing percentage of the future generation resource mix.</w:t>
      </w:r>
      <w:r w:rsidRPr="00797BFA">
        <w:rPr>
          <w:szCs w:val="26"/>
        </w:rPr>
        <w:t xml:space="preserve">  </w:t>
      </w:r>
      <w:r w:rsidR="00CE2029" w:rsidRPr="00797BFA">
        <w:rPr>
          <w:szCs w:val="26"/>
        </w:rPr>
        <w:t xml:space="preserve">The Task Force </w:t>
      </w:r>
      <w:r w:rsidR="00B6478E" w:rsidRPr="00797BFA">
        <w:rPr>
          <w:szCs w:val="26"/>
        </w:rPr>
        <w:t>stated</w:t>
      </w:r>
      <w:r w:rsidR="00CE2029" w:rsidRPr="00797BFA">
        <w:rPr>
          <w:szCs w:val="26"/>
        </w:rPr>
        <w:t xml:space="preserve"> that “the reliability of the electric grid depends on the operating characteristics of the replacement resources.”</w:t>
      </w:r>
      <w:r w:rsidR="00CE2029" w:rsidRPr="00797BFA">
        <w:rPr>
          <w:rStyle w:val="FootnoteReference"/>
        </w:rPr>
        <w:footnoteReference w:id="29"/>
      </w:r>
      <w:r w:rsidR="00CE2029" w:rsidRPr="00797BFA">
        <w:rPr>
          <w:szCs w:val="26"/>
        </w:rPr>
        <w:t xml:space="preserve">  NERC observed that “wind, solar, and other variable energy resources that are an increasingly greater share of the </w:t>
      </w:r>
      <w:r w:rsidR="004A0C54" w:rsidRPr="00797BFA">
        <w:rPr>
          <w:szCs w:val="26"/>
        </w:rPr>
        <w:t>Bulk-Power System</w:t>
      </w:r>
      <w:r w:rsidR="00CE2029" w:rsidRPr="00797BFA">
        <w:rPr>
          <w:szCs w:val="26"/>
        </w:rPr>
        <w:t xml:space="preserve"> provide a significantly lower level of essential reliability services than conventional generation.”</w:t>
      </w:r>
      <w:r w:rsidR="00CE2029" w:rsidRPr="00797BFA">
        <w:rPr>
          <w:rStyle w:val="FootnoteReference"/>
        </w:rPr>
        <w:footnoteReference w:id="30"/>
      </w:r>
      <w:r w:rsidR="00CE2029" w:rsidRPr="00797BFA">
        <w:t xml:space="preserve">  </w:t>
      </w:r>
      <w:r w:rsidR="00466F1B" w:rsidRPr="00797BFA">
        <w:t>T</w:t>
      </w:r>
      <w:r w:rsidR="00A2278A" w:rsidRPr="00797BFA">
        <w:rPr>
          <w:szCs w:val="26"/>
        </w:rPr>
        <w:t xml:space="preserve">he Task Force concluded that it is prudent and necessary to ensure that primary frequency </w:t>
      </w:r>
      <w:r w:rsidR="00A2278A" w:rsidRPr="00797BFA">
        <w:t xml:space="preserve">capabilities are present in the future generation resource mix, and </w:t>
      </w:r>
      <w:r w:rsidR="00A2278A" w:rsidRPr="00797BFA">
        <w:rPr>
          <w:szCs w:val="26"/>
        </w:rPr>
        <w:t>recommends that all new generators support the capability to manage frequency.</w:t>
      </w:r>
      <w:r w:rsidR="00466F1B" w:rsidRPr="00797BFA">
        <w:rPr>
          <w:rStyle w:val="FootnoteReference"/>
        </w:rPr>
        <w:footnoteReference w:id="31"/>
      </w:r>
    </w:p>
    <w:p w14:paraId="4EBF4B5E" w14:textId="7E989E50" w:rsidR="00D80081" w:rsidRPr="00797BFA" w:rsidRDefault="007C070C" w:rsidP="00AF4881">
      <w:pPr>
        <w:pStyle w:val="FERCparanumber"/>
        <w:tabs>
          <w:tab w:val="num" w:pos="720"/>
          <w:tab w:val="num" w:pos="1080"/>
        </w:tabs>
        <w:ind w:left="0"/>
        <w:rPr>
          <w:b/>
          <w:sz w:val="24"/>
        </w:rPr>
      </w:pPr>
      <w:r w:rsidRPr="00797BFA">
        <w:t>Contributing to the concerns associated with the nature and operational characteristics of the evolving resource mix is the uncertainty</w:t>
      </w:r>
      <w:r w:rsidR="00210559" w:rsidRPr="00797BFA">
        <w:t xml:space="preserve"> </w:t>
      </w:r>
      <w:r w:rsidR="00096CE2" w:rsidRPr="00797BFA">
        <w:t>whether</w:t>
      </w:r>
      <w:r w:rsidR="00210559" w:rsidRPr="00797BFA">
        <w:t xml:space="preserve"> a resource configured to provide primary frequency response </w:t>
      </w:r>
      <w:r w:rsidR="00096CE2" w:rsidRPr="00797BFA">
        <w:t>is</w:t>
      </w:r>
      <w:r w:rsidR="00210559" w:rsidRPr="00797BFA">
        <w:t xml:space="preserve"> </w:t>
      </w:r>
      <w:r w:rsidRPr="00797BFA">
        <w:t xml:space="preserve">willing and </w:t>
      </w:r>
      <w:r w:rsidR="00210559" w:rsidRPr="00797BFA">
        <w:t>able to offer such a service when called upon to do so.  While almost all existing</w:t>
      </w:r>
      <w:r w:rsidR="002F1138" w:rsidRPr="00797BFA">
        <w:t xml:space="preserve"> </w:t>
      </w:r>
      <w:r w:rsidR="002F1138" w:rsidRPr="00797BFA">
        <w:rPr>
          <w:szCs w:val="26"/>
        </w:rPr>
        <w:t xml:space="preserve">synchronous resources </w:t>
      </w:r>
      <w:r w:rsidR="00BE0694">
        <w:rPr>
          <w:szCs w:val="26"/>
        </w:rPr>
        <w:t xml:space="preserve">   </w:t>
      </w:r>
      <w:r w:rsidR="002F1138" w:rsidRPr="00797BFA">
        <w:rPr>
          <w:szCs w:val="26"/>
        </w:rPr>
        <w:t>and some non-synchronous resources have governors or equivalent control equipment capable of providing primary frequency response, generator owners and operators can independently decide whether units</w:t>
      </w:r>
      <w:r w:rsidR="00AC5D28" w:rsidRPr="00797BFA">
        <w:rPr>
          <w:szCs w:val="26"/>
        </w:rPr>
        <w:t xml:space="preserve"> </w:t>
      </w:r>
      <w:r w:rsidR="002F1138" w:rsidRPr="00797BFA">
        <w:rPr>
          <w:szCs w:val="26"/>
        </w:rPr>
        <w:t>provide primary frequency response.</w:t>
      </w:r>
      <w:r w:rsidR="005467F4" w:rsidRPr="00797BFA">
        <w:rPr>
          <w:rStyle w:val="FootnoteReference"/>
        </w:rPr>
        <w:footnoteReference w:id="32"/>
      </w:r>
      <w:r w:rsidR="002F1138" w:rsidRPr="00797BFA">
        <w:rPr>
          <w:szCs w:val="26"/>
        </w:rPr>
        <w:t xml:space="preserve">  </w:t>
      </w:r>
    </w:p>
    <w:p w14:paraId="1BBB2EB1" w14:textId="14485739" w:rsidR="001654A2" w:rsidRPr="00797BFA" w:rsidRDefault="002F1138" w:rsidP="00AF4881">
      <w:pPr>
        <w:pStyle w:val="FERCparanumber"/>
        <w:tabs>
          <w:tab w:val="num" w:pos="720"/>
          <w:tab w:val="num" w:pos="1080"/>
        </w:tabs>
        <w:ind w:left="0"/>
        <w:rPr>
          <w:b/>
          <w:sz w:val="24"/>
        </w:rPr>
      </w:pPr>
      <w:r w:rsidRPr="00797BFA">
        <w:rPr>
          <w:szCs w:val="26"/>
        </w:rPr>
        <w:t xml:space="preserve">For example, </w:t>
      </w:r>
      <w:r w:rsidR="007C070C" w:rsidRPr="00797BFA">
        <w:rPr>
          <w:szCs w:val="26"/>
        </w:rPr>
        <w:t xml:space="preserve">at present, </w:t>
      </w:r>
      <w:r w:rsidRPr="00797BFA">
        <w:rPr>
          <w:szCs w:val="26"/>
        </w:rPr>
        <w:t>it is possible for a generator owner/operator to block or disable the governor or to set a wide dead band setting.  A wide dead band setting can result in a unit not providing primary frequency response for most frequency deviations.</w:t>
      </w:r>
      <w:r w:rsidR="001654A2" w:rsidRPr="00797BFA">
        <w:t xml:space="preserve">  </w:t>
      </w:r>
      <w:r w:rsidR="002127E2" w:rsidRPr="00797BFA">
        <w:t xml:space="preserve">As discussed more fully below, </w:t>
      </w:r>
      <w:r w:rsidR="007C070C" w:rsidRPr="00797BFA">
        <w:t xml:space="preserve">in February 2015, </w:t>
      </w:r>
      <w:r w:rsidR="00210559" w:rsidRPr="00797BFA">
        <w:rPr>
          <w:szCs w:val="26"/>
        </w:rPr>
        <w:t xml:space="preserve">NERC issued </w:t>
      </w:r>
      <w:r w:rsidR="00210559" w:rsidRPr="00797BFA">
        <w:t xml:space="preserve">an </w:t>
      </w:r>
      <w:r w:rsidR="00210559" w:rsidRPr="00797BFA">
        <w:rPr>
          <w:szCs w:val="26"/>
        </w:rPr>
        <w:t>Industry Advisory</w:t>
      </w:r>
      <w:r w:rsidR="007C070C" w:rsidRPr="00797BFA">
        <w:rPr>
          <w:szCs w:val="26"/>
        </w:rPr>
        <w:t xml:space="preserve"> </w:t>
      </w:r>
      <w:r w:rsidR="00210559" w:rsidRPr="00797BFA">
        <w:rPr>
          <w:rFonts w:eastAsia="Calibri"/>
          <w:szCs w:val="26"/>
        </w:rPr>
        <w:t>which determined that a</w:t>
      </w:r>
      <w:r w:rsidR="00210559" w:rsidRPr="00797BFA">
        <w:rPr>
          <w:szCs w:val="26"/>
        </w:rPr>
        <w:t xml:space="preserve"> significant portion of generators within the Eastern Interconnection utilize dead bands or governor control settings that either inhibit or prevent the provision of primary frequency response.</w:t>
      </w:r>
      <w:r w:rsidR="001654A2" w:rsidRPr="00797BFA">
        <w:rPr>
          <w:rStyle w:val="FootnoteReference"/>
        </w:rPr>
        <w:footnoteReference w:id="33"/>
      </w:r>
      <w:r w:rsidR="001654A2" w:rsidRPr="00797BFA">
        <w:rPr>
          <w:szCs w:val="26"/>
        </w:rPr>
        <w:t xml:space="preserve">  </w:t>
      </w:r>
      <w:r w:rsidR="00564A99" w:rsidRPr="00797BFA">
        <w:rPr>
          <w:szCs w:val="26"/>
        </w:rPr>
        <w:t xml:space="preserve">In response to this issue and other concerns, </w:t>
      </w:r>
      <w:r w:rsidR="00564A99" w:rsidRPr="00797BFA">
        <w:t>NERC’s Operating Committee recently approved a Primary Frequency Control Guideline that contains recommended settings for generator governors and other plant control systems</w:t>
      </w:r>
      <w:r w:rsidR="004F49CE" w:rsidRPr="00797BFA">
        <w:t>, and</w:t>
      </w:r>
      <w:r w:rsidR="00564A99" w:rsidRPr="00797BFA">
        <w:t xml:space="preserve"> </w:t>
      </w:r>
      <w:r w:rsidR="00DF7D63" w:rsidRPr="00797BFA">
        <w:t>encourage</w:t>
      </w:r>
      <w:r w:rsidR="004F49CE" w:rsidRPr="00797BFA">
        <w:t>s</w:t>
      </w:r>
      <w:r w:rsidR="00DF7D63" w:rsidRPr="00797BFA">
        <w:t xml:space="preserve"> </w:t>
      </w:r>
      <w:r w:rsidR="00564A99" w:rsidRPr="00797BFA">
        <w:t xml:space="preserve">generators within the three U.S. Interconnections </w:t>
      </w:r>
      <w:r w:rsidR="00DF7D63" w:rsidRPr="00797BFA">
        <w:t xml:space="preserve">to </w:t>
      </w:r>
      <w:r w:rsidR="00564A99" w:rsidRPr="00797BFA">
        <w:t>provide sustained and effective primary frequency response</w:t>
      </w:r>
      <w:r w:rsidR="00EE0A47" w:rsidRPr="00797BFA">
        <w:t>.</w:t>
      </w:r>
      <w:r w:rsidR="00EE0A47" w:rsidRPr="00797BFA">
        <w:rPr>
          <w:rStyle w:val="FootnoteReference"/>
        </w:rPr>
        <w:footnoteReference w:id="34"/>
      </w:r>
    </w:p>
    <w:p w14:paraId="76FAF219" w14:textId="517156D4" w:rsidR="00D909FF" w:rsidRPr="00797BFA" w:rsidRDefault="00EE3407" w:rsidP="00AF4881">
      <w:pPr>
        <w:pStyle w:val="FERCparanumber"/>
        <w:tabs>
          <w:tab w:val="num" w:pos="720"/>
          <w:tab w:val="num" w:pos="1080"/>
        </w:tabs>
        <w:ind w:left="0"/>
        <w:rPr>
          <w:szCs w:val="26"/>
        </w:rPr>
      </w:pPr>
      <w:r w:rsidRPr="00797BFA">
        <w:rPr>
          <w:szCs w:val="26"/>
        </w:rPr>
        <w:t xml:space="preserve">NERC’s State of Reliability Report for 2015 </w:t>
      </w:r>
      <w:r w:rsidR="00435A26" w:rsidRPr="00797BFA">
        <w:rPr>
          <w:szCs w:val="26"/>
        </w:rPr>
        <w:t xml:space="preserve">explained </w:t>
      </w:r>
      <w:r w:rsidRPr="00797BFA">
        <w:rPr>
          <w:szCs w:val="26"/>
        </w:rPr>
        <w:t xml:space="preserve">that the three U.S. Interconnections currently exhibit stable frequency response </w:t>
      </w:r>
      <w:r w:rsidR="00075856" w:rsidRPr="00797BFA">
        <w:rPr>
          <w:szCs w:val="26"/>
        </w:rPr>
        <w:t>performance above their Interconnection Frequency Response Obligations.</w:t>
      </w:r>
      <w:r w:rsidR="00075856" w:rsidRPr="00797BFA">
        <w:rPr>
          <w:b/>
          <w:szCs w:val="26"/>
          <w:vertAlign w:val="superscript"/>
        </w:rPr>
        <w:footnoteReference w:id="35"/>
      </w:r>
      <w:r w:rsidRPr="00797BFA">
        <w:rPr>
          <w:szCs w:val="26"/>
        </w:rPr>
        <w:t xml:space="preserve">  However, NERC has pointed out a historic decline </w:t>
      </w:r>
      <w:r w:rsidR="00455FDA" w:rsidRPr="00797BFA">
        <w:rPr>
          <w:szCs w:val="26"/>
        </w:rPr>
        <w:t>in</w:t>
      </w:r>
      <w:r w:rsidRPr="00797BFA">
        <w:rPr>
          <w:szCs w:val="26"/>
        </w:rPr>
        <w:t xml:space="preserve"> frequency response performance in both the Western and Eastern Interconnections.</w:t>
      </w:r>
      <w:r w:rsidR="00075856" w:rsidRPr="00797BFA">
        <w:rPr>
          <w:rStyle w:val="FootnoteReference"/>
        </w:rPr>
        <w:footnoteReference w:id="36"/>
      </w:r>
      <w:r w:rsidRPr="00797BFA">
        <w:rPr>
          <w:szCs w:val="26"/>
        </w:rPr>
        <w:t xml:space="preserve">  NERC identified several key reasons for the decline, mainly tied to the primary frequency response performance of generators.</w:t>
      </w:r>
      <w:r w:rsidR="00075856" w:rsidRPr="00797BFA">
        <w:rPr>
          <w:rStyle w:val="FootnoteReference"/>
        </w:rPr>
        <w:footnoteReference w:id="37"/>
      </w:r>
      <w:r w:rsidRPr="00797BFA">
        <w:rPr>
          <w:szCs w:val="26"/>
        </w:rPr>
        <w:t xml:space="preserve">  </w:t>
      </w:r>
    </w:p>
    <w:p w14:paraId="65D82566" w14:textId="7496ECF8" w:rsidR="00435A26" w:rsidRPr="00797BFA" w:rsidRDefault="0009527B" w:rsidP="008366BE">
      <w:pPr>
        <w:pStyle w:val="Heading2"/>
        <w:tabs>
          <w:tab w:val="clear" w:pos="1080"/>
          <w:tab w:val="num" w:pos="1440"/>
        </w:tabs>
        <w:ind w:left="1440"/>
      </w:pPr>
      <w:r w:rsidRPr="00797BFA">
        <w:t xml:space="preserve">Prior Commission and Industry </w:t>
      </w:r>
      <w:r w:rsidR="00435A26" w:rsidRPr="00797BFA">
        <w:t>Actions</w:t>
      </w:r>
    </w:p>
    <w:p w14:paraId="26E08DCF" w14:textId="56487664" w:rsidR="007A21AB" w:rsidRPr="00797BFA" w:rsidRDefault="00C517A2" w:rsidP="00E61265">
      <w:pPr>
        <w:pStyle w:val="FERCparanumber"/>
        <w:tabs>
          <w:tab w:val="clear" w:pos="1170"/>
          <w:tab w:val="num" w:pos="720"/>
        </w:tabs>
        <w:ind w:left="0"/>
        <w:rPr>
          <w:szCs w:val="26"/>
        </w:rPr>
      </w:pPr>
      <w:r w:rsidRPr="00797BFA">
        <w:rPr>
          <w:szCs w:val="26"/>
        </w:rPr>
        <w:t xml:space="preserve">In this proceeding, the Commission seeks </w:t>
      </w:r>
      <w:r w:rsidR="00EF17CC" w:rsidRPr="00797BFA">
        <w:rPr>
          <w:szCs w:val="26"/>
        </w:rPr>
        <w:t xml:space="preserve">comment on the need for reforms to </w:t>
      </w:r>
      <w:r w:rsidR="008366BE">
        <w:rPr>
          <w:szCs w:val="26"/>
        </w:rPr>
        <w:t xml:space="preserve">   </w:t>
      </w:r>
      <w:r w:rsidR="00EF17CC" w:rsidRPr="00797BFA">
        <w:rPr>
          <w:szCs w:val="26"/>
        </w:rPr>
        <w:t>its rules and regulations regarding the provision of primary frequency response</w:t>
      </w:r>
      <w:r w:rsidR="00A77B5C" w:rsidRPr="00797BFA">
        <w:rPr>
          <w:szCs w:val="26"/>
        </w:rPr>
        <w:t xml:space="preserve">.  This section </w:t>
      </w:r>
      <w:r w:rsidR="00E6605B" w:rsidRPr="00797BFA">
        <w:rPr>
          <w:szCs w:val="26"/>
        </w:rPr>
        <w:t>offers</w:t>
      </w:r>
      <w:r w:rsidR="00A77B5C" w:rsidRPr="00797BFA">
        <w:rPr>
          <w:szCs w:val="26"/>
        </w:rPr>
        <w:t xml:space="preserve"> an overview of Commission and industry action </w:t>
      </w:r>
      <w:r w:rsidR="00E6605B" w:rsidRPr="00797BFA">
        <w:rPr>
          <w:szCs w:val="26"/>
        </w:rPr>
        <w:t>to date relat</w:t>
      </w:r>
      <w:r w:rsidR="001B6F19" w:rsidRPr="00797BFA">
        <w:rPr>
          <w:szCs w:val="26"/>
        </w:rPr>
        <w:t xml:space="preserve">ed </w:t>
      </w:r>
      <w:r w:rsidR="00E6605B" w:rsidRPr="00797BFA">
        <w:rPr>
          <w:szCs w:val="26"/>
        </w:rPr>
        <w:t>to</w:t>
      </w:r>
      <w:r w:rsidR="00A77B5C" w:rsidRPr="00797BFA">
        <w:rPr>
          <w:szCs w:val="26"/>
        </w:rPr>
        <w:t xml:space="preserve"> frequency response</w:t>
      </w:r>
      <w:r w:rsidR="00E6605B" w:rsidRPr="00797BFA">
        <w:rPr>
          <w:szCs w:val="26"/>
        </w:rPr>
        <w:t xml:space="preserve"> </w:t>
      </w:r>
      <w:r w:rsidR="00A23FC7" w:rsidRPr="00797BFA">
        <w:rPr>
          <w:szCs w:val="26"/>
        </w:rPr>
        <w:t>to provide</w:t>
      </w:r>
      <w:r w:rsidR="00E6605B" w:rsidRPr="00797BFA">
        <w:rPr>
          <w:szCs w:val="26"/>
        </w:rPr>
        <w:t xml:space="preserve"> </w:t>
      </w:r>
      <w:r w:rsidR="000E310F" w:rsidRPr="00797BFA">
        <w:rPr>
          <w:szCs w:val="26"/>
        </w:rPr>
        <w:t xml:space="preserve">the </w:t>
      </w:r>
      <w:r w:rsidR="00E6605B" w:rsidRPr="00797BFA">
        <w:rPr>
          <w:szCs w:val="26"/>
        </w:rPr>
        <w:t>context</w:t>
      </w:r>
      <w:r w:rsidR="009D5831" w:rsidRPr="00797BFA">
        <w:rPr>
          <w:szCs w:val="26"/>
        </w:rPr>
        <w:t xml:space="preserve"> for </w:t>
      </w:r>
      <w:r w:rsidR="001B6F19" w:rsidRPr="00797BFA">
        <w:rPr>
          <w:szCs w:val="26"/>
        </w:rPr>
        <w:t xml:space="preserve">the consideration of what, if any, actions </w:t>
      </w:r>
      <w:r w:rsidR="002B48FC" w:rsidRPr="00797BFA">
        <w:rPr>
          <w:szCs w:val="26"/>
        </w:rPr>
        <w:t xml:space="preserve">the Commission </w:t>
      </w:r>
      <w:r w:rsidR="001B6F19" w:rsidRPr="00797BFA">
        <w:rPr>
          <w:szCs w:val="26"/>
        </w:rPr>
        <w:t>should take to ensure that adequate frequency response is available to maintain grid reliability</w:t>
      </w:r>
      <w:r w:rsidR="00A77B5C" w:rsidRPr="00797BFA">
        <w:rPr>
          <w:szCs w:val="26"/>
        </w:rPr>
        <w:t>.</w:t>
      </w:r>
    </w:p>
    <w:p w14:paraId="0FACF8A6" w14:textId="26A7C7B0" w:rsidR="00053C81" w:rsidRPr="00797BFA" w:rsidRDefault="00053C81" w:rsidP="006C2F01">
      <w:pPr>
        <w:pStyle w:val="FERCparanumber"/>
        <w:tabs>
          <w:tab w:val="num" w:pos="720"/>
          <w:tab w:val="num" w:pos="1080"/>
        </w:tabs>
        <w:ind w:left="0"/>
        <w:rPr>
          <w:szCs w:val="26"/>
        </w:rPr>
      </w:pPr>
      <w:r w:rsidRPr="00797BFA">
        <w:rPr>
          <w:szCs w:val="26"/>
        </w:rPr>
        <w:t xml:space="preserve">In </w:t>
      </w:r>
      <w:r w:rsidR="001C7904" w:rsidRPr="00797BFA">
        <w:rPr>
          <w:szCs w:val="26"/>
        </w:rPr>
        <w:t xml:space="preserve">April 1996, the Commission issued </w:t>
      </w:r>
      <w:r w:rsidRPr="00797BFA">
        <w:rPr>
          <w:szCs w:val="26"/>
        </w:rPr>
        <w:t>Order No. 888,</w:t>
      </w:r>
      <w:r w:rsidR="008E5137" w:rsidRPr="00797BFA">
        <w:rPr>
          <w:szCs w:val="26"/>
        </w:rPr>
        <w:t xml:space="preserve"> </w:t>
      </w:r>
      <w:r w:rsidR="000E310F" w:rsidRPr="00797BFA">
        <w:rPr>
          <w:szCs w:val="26"/>
        </w:rPr>
        <w:t>to address</w:t>
      </w:r>
      <w:r w:rsidR="008E5137" w:rsidRPr="00797BFA">
        <w:rPr>
          <w:szCs w:val="26"/>
        </w:rPr>
        <w:t xml:space="preserve"> undue discrimination</w:t>
      </w:r>
      <w:r w:rsidR="000E310F" w:rsidRPr="00797BFA">
        <w:rPr>
          <w:szCs w:val="26"/>
        </w:rPr>
        <w:t xml:space="preserve"> in transmission service</w:t>
      </w:r>
      <w:r w:rsidR="008E5137" w:rsidRPr="00797BFA">
        <w:rPr>
          <w:szCs w:val="26"/>
        </w:rPr>
        <w:t xml:space="preserve"> by requiring all public utilities to provide open access transmission service consistent with the terms of a </w:t>
      </w:r>
      <w:r w:rsidR="008E5137" w:rsidRPr="00797BFA">
        <w:rPr>
          <w:i/>
          <w:szCs w:val="26"/>
        </w:rPr>
        <w:t xml:space="preserve">pro forma </w:t>
      </w:r>
      <w:r w:rsidR="008E5137" w:rsidRPr="00797BFA">
        <w:rPr>
          <w:szCs w:val="26"/>
        </w:rPr>
        <w:t>Open Access Transmission Tariff (OATT).</w:t>
      </w:r>
      <w:r w:rsidR="000E310F" w:rsidRPr="00797BFA">
        <w:rPr>
          <w:rStyle w:val="FootnoteReference"/>
        </w:rPr>
        <w:footnoteReference w:id="38"/>
      </w:r>
      <w:r w:rsidR="000E310F" w:rsidRPr="00797BFA">
        <w:rPr>
          <w:szCs w:val="26"/>
        </w:rPr>
        <w:t xml:space="preserve"> </w:t>
      </w:r>
      <w:r w:rsidRPr="00797BFA">
        <w:rPr>
          <w:szCs w:val="26"/>
        </w:rPr>
        <w:t xml:space="preserve"> </w:t>
      </w:r>
      <w:r w:rsidR="008E5137" w:rsidRPr="00797BFA">
        <w:rPr>
          <w:szCs w:val="26"/>
        </w:rPr>
        <w:t xml:space="preserve">The </w:t>
      </w:r>
      <w:r w:rsidR="008E5137" w:rsidRPr="00797BFA">
        <w:rPr>
          <w:i/>
          <w:szCs w:val="26"/>
        </w:rPr>
        <w:t xml:space="preserve">pro forma </w:t>
      </w:r>
      <w:r w:rsidR="00507585" w:rsidRPr="00797BFA">
        <w:rPr>
          <w:szCs w:val="26"/>
        </w:rPr>
        <w:t xml:space="preserve">OATT </w:t>
      </w:r>
      <w:r w:rsidR="000E310F" w:rsidRPr="00797BFA">
        <w:rPr>
          <w:szCs w:val="26"/>
        </w:rPr>
        <w:t xml:space="preserve">sets forth </w:t>
      </w:r>
      <w:r w:rsidR="008E5137" w:rsidRPr="00797BFA">
        <w:rPr>
          <w:szCs w:val="26"/>
        </w:rPr>
        <w:t>the terms of transm</w:t>
      </w:r>
      <w:r w:rsidR="00933203" w:rsidRPr="00797BFA">
        <w:rPr>
          <w:szCs w:val="26"/>
        </w:rPr>
        <w:t>ission service</w:t>
      </w:r>
      <w:r w:rsidR="008E5137" w:rsidRPr="00797BFA">
        <w:rPr>
          <w:szCs w:val="26"/>
        </w:rPr>
        <w:t xml:space="preserve"> including, among other things, the </w:t>
      </w:r>
      <w:r w:rsidR="00507585" w:rsidRPr="00797BFA">
        <w:rPr>
          <w:szCs w:val="26"/>
        </w:rPr>
        <w:t xml:space="preserve">provision of ancillary services.  </w:t>
      </w:r>
      <w:r w:rsidR="000E310F" w:rsidRPr="00797BFA">
        <w:rPr>
          <w:szCs w:val="26"/>
        </w:rPr>
        <w:t>Additionally</w:t>
      </w:r>
      <w:r w:rsidR="00C51C3A" w:rsidRPr="00797BFA">
        <w:rPr>
          <w:szCs w:val="26"/>
        </w:rPr>
        <w:t>, t</w:t>
      </w:r>
      <w:r w:rsidR="00507585" w:rsidRPr="00797BFA">
        <w:rPr>
          <w:szCs w:val="26"/>
        </w:rPr>
        <w:t>he</w:t>
      </w:r>
      <w:r w:rsidR="00C51C3A" w:rsidRPr="00797BFA">
        <w:rPr>
          <w:szCs w:val="26"/>
        </w:rPr>
        <w:t xml:space="preserve"> Commission adopted six ancillary services </w:t>
      </w:r>
      <w:r w:rsidR="000E310F" w:rsidRPr="00797BFA">
        <w:rPr>
          <w:szCs w:val="26"/>
        </w:rPr>
        <w:t xml:space="preserve">stating they </w:t>
      </w:r>
      <w:r w:rsidR="00507585" w:rsidRPr="00797BFA">
        <w:rPr>
          <w:szCs w:val="26"/>
        </w:rPr>
        <w:t>are “needed to accomplish transmission service while maintaining reliability within and among control areas affected by the transmission service.”</w:t>
      </w:r>
      <w:r w:rsidR="00507585" w:rsidRPr="00797BFA">
        <w:rPr>
          <w:rStyle w:val="FootnoteReference"/>
        </w:rPr>
        <w:footnoteReference w:id="39"/>
      </w:r>
      <w:r w:rsidR="00507585" w:rsidRPr="00797BFA">
        <w:rPr>
          <w:szCs w:val="26"/>
        </w:rPr>
        <w:t xml:space="preserve">  The ancillary service </w:t>
      </w:r>
      <w:r w:rsidR="000E310F" w:rsidRPr="00797BFA">
        <w:rPr>
          <w:szCs w:val="26"/>
        </w:rPr>
        <w:t>involved in</w:t>
      </w:r>
      <w:r w:rsidR="00507585" w:rsidRPr="00797BFA">
        <w:rPr>
          <w:szCs w:val="26"/>
        </w:rPr>
        <w:t xml:space="preserve"> this proceeding is Regulation and Frequency Response Service, found in Schedule 3 of the </w:t>
      </w:r>
      <w:r w:rsidR="00507585" w:rsidRPr="00797BFA">
        <w:rPr>
          <w:i/>
          <w:szCs w:val="26"/>
        </w:rPr>
        <w:t>pro forma</w:t>
      </w:r>
      <w:r w:rsidR="00507585" w:rsidRPr="00797BFA">
        <w:rPr>
          <w:szCs w:val="26"/>
        </w:rPr>
        <w:t xml:space="preserve"> OATT</w:t>
      </w:r>
      <w:r w:rsidR="00C51C3A" w:rsidRPr="00797BFA">
        <w:rPr>
          <w:szCs w:val="26"/>
        </w:rPr>
        <w:t>.</w:t>
      </w:r>
      <w:r w:rsidR="00C51C3A" w:rsidRPr="00797BFA" w:rsidDel="008E5137">
        <w:rPr>
          <w:szCs w:val="26"/>
        </w:rPr>
        <w:t xml:space="preserve"> </w:t>
      </w:r>
    </w:p>
    <w:p w14:paraId="79CB9F7D" w14:textId="7CAB1412" w:rsidR="009F6681" w:rsidRPr="00797BFA" w:rsidRDefault="00053C81" w:rsidP="006C2F01">
      <w:pPr>
        <w:pStyle w:val="FERCparanumber"/>
        <w:tabs>
          <w:tab w:val="num" w:pos="720"/>
          <w:tab w:val="num" w:pos="1080"/>
        </w:tabs>
        <w:ind w:left="0"/>
        <w:rPr>
          <w:szCs w:val="26"/>
        </w:rPr>
      </w:pPr>
      <w:r w:rsidRPr="00797BFA">
        <w:rPr>
          <w:szCs w:val="26"/>
        </w:rPr>
        <w:t xml:space="preserve">In </w:t>
      </w:r>
      <w:r w:rsidR="002C5A91" w:rsidRPr="00797BFA">
        <w:rPr>
          <w:szCs w:val="26"/>
        </w:rPr>
        <w:t xml:space="preserve">July 2003, the Commission issued </w:t>
      </w:r>
      <w:r w:rsidRPr="00797BFA">
        <w:rPr>
          <w:szCs w:val="26"/>
        </w:rPr>
        <w:t xml:space="preserve">Order </w:t>
      </w:r>
      <w:r w:rsidR="00952129" w:rsidRPr="00797BFA">
        <w:rPr>
          <w:szCs w:val="26"/>
        </w:rPr>
        <w:t xml:space="preserve">No. </w:t>
      </w:r>
      <w:r w:rsidRPr="00797BFA">
        <w:rPr>
          <w:szCs w:val="26"/>
        </w:rPr>
        <w:t xml:space="preserve">2003, </w:t>
      </w:r>
      <w:r w:rsidR="002C5A91" w:rsidRPr="00797BFA">
        <w:rPr>
          <w:szCs w:val="26"/>
        </w:rPr>
        <w:t>which</w:t>
      </w:r>
      <w:r w:rsidRPr="00797BFA">
        <w:rPr>
          <w:szCs w:val="26"/>
        </w:rPr>
        <w:t xml:space="preserve"> revised the </w:t>
      </w:r>
      <w:r w:rsidRPr="00797BFA">
        <w:rPr>
          <w:i/>
          <w:szCs w:val="26"/>
        </w:rPr>
        <w:t>pro forma</w:t>
      </w:r>
      <w:r w:rsidRPr="00797BFA">
        <w:rPr>
          <w:szCs w:val="26"/>
        </w:rPr>
        <w:t xml:space="preserve"> OATT to include a </w:t>
      </w:r>
      <w:r w:rsidR="00B1048B" w:rsidRPr="00797BFA">
        <w:rPr>
          <w:i/>
          <w:szCs w:val="26"/>
        </w:rPr>
        <w:t xml:space="preserve">pro forma </w:t>
      </w:r>
      <w:r w:rsidRPr="00797BFA">
        <w:rPr>
          <w:szCs w:val="26"/>
        </w:rPr>
        <w:t xml:space="preserve">LGIA, which applies to </w:t>
      </w:r>
      <w:r w:rsidR="00D645DC" w:rsidRPr="00797BFA">
        <w:rPr>
          <w:szCs w:val="26"/>
        </w:rPr>
        <w:t>i</w:t>
      </w:r>
      <w:r w:rsidRPr="00797BFA">
        <w:rPr>
          <w:szCs w:val="26"/>
        </w:rPr>
        <w:t xml:space="preserve">nterconnection </w:t>
      </w:r>
      <w:r w:rsidR="00D645DC" w:rsidRPr="00797BFA">
        <w:rPr>
          <w:szCs w:val="26"/>
        </w:rPr>
        <w:t>r</w:t>
      </w:r>
      <w:r w:rsidRPr="00797BFA">
        <w:rPr>
          <w:szCs w:val="26"/>
        </w:rPr>
        <w:t>equest</w:t>
      </w:r>
      <w:r w:rsidR="00D645DC" w:rsidRPr="00797BFA">
        <w:rPr>
          <w:szCs w:val="26"/>
        </w:rPr>
        <w:t>s</w:t>
      </w:r>
      <w:r w:rsidRPr="00797BFA">
        <w:rPr>
          <w:szCs w:val="26"/>
        </w:rPr>
        <w:t xml:space="preserve"> </w:t>
      </w:r>
      <w:r w:rsidR="00B647BF" w:rsidRPr="00797BFA">
        <w:rPr>
          <w:szCs w:val="26"/>
        </w:rPr>
        <w:t xml:space="preserve">of </w:t>
      </w:r>
      <w:r w:rsidR="00D645DC" w:rsidRPr="00797BFA">
        <w:rPr>
          <w:szCs w:val="26"/>
        </w:rPr>
        <w:t>l</w:t>
      </w:r>
      <w:r w:rsidR="00727066" w:rsidRPr="00797BFA">
        <w:rPr>
          <w:szCs w:val="26"/>
        </w:rPr>
        <w:t xml:space="preserve">arge </w:t>
      </w:r>
      <w:r w:rsidR="00D645DC" w:rsidRPr="00797BFA">
        <w:rPr>
          <w:szCs w:val="26"/>
        </w:rPr>
        <w:t>g</w:t>
      </w:r>
      <w:r w:rsidR="00727066" w:rsidRPr="00797BFA">
        <w:rPr>
          <w:szCs w:val="26"/>
        </w:rPr>
        <w:t xml:space="preserve">enerators (i.e., </w:t>
      </w:r>
      <w:r w:rsidR="00B647BF" w:rsidRPr="00797BFA">
        <w:rPr>
          <w:szCs w:val="26"/>
        </w:rPr>
        <w:t>generators larger than 20 MW</w:t>
      </w:r>
      <w:r w:rsidR="00727066" w:rsidRPr="00797BFA">
        <w:rPr>
          <w:szCs w:val="26"/>
        </w:rPr>
        <w:t>)</w:t>
      </w:r>
      <w:r w:rsidRPr="00797BFA">
        <w:rPr>
          <w:szCs w:val="26"/>
        </w:rPr>
        <w:t>.</w:t>
      </w:r>
      <w:r w:rsidR="00BE4D71" w:rsidRPr="00797BFA">
        <w:rPr>
          <w:rStyle w:val="FootnoteReference"/>
        </w:rPr>
        <w:footnoteReference w:id="40"/>
      </w:r>
      <w:r w:rsidR="00B647BF" w:rsidRPr="00797BFA">
        <w:rPr>
          <w:szCs w:val="26"/>
        </w:rPr>
        <w:t xml:space="preserve">  </w:t>
      </w:r>
      <w:r w:rsidR="009F6681" w:rsidRPr="00797BFA">
        <w:rPr>
          <w:szCs w:val="26"/>
        </w:rPr>
        <w:t xml:space="preserve">While the </w:t>
      </w:r>
      <w:r w:rsidR="009F6681" w:rsidRPr="00797BFA">
        <w:rPr>
          <w:i/>
          <w:szCs w:val="26"/>
        </w:rPr>
        <w:t xml:space="preserve">pro forma </w:t>
      </w:r>
      <w:r w:rsidR="009F6681" w:rsidRPr="00797BFA">
        <w:rPr>
          <w:szCs w:val="26"/>
        </w:rPr>
        <w:t>LGIA adopted standard procedures and a standard agreement for the int</w:t>
      </w:r>
      <w:r w:rsidR="00727066" w:rsidRPr="00797BFA">
        <w:rPr>
          <w:szCs w:val="26"/>
        </w:rPr>
        <w:t>erconnection of large generating</w:t>
      </w:r>
      <w:r w:rsidR="009F6681" w:rsidRPr="00797BFA">
        <w:rPr>
          <w:szCs w:val="26"/>
        </w:rPr>
        <w:t xml:space="preserve"> facilities, it was “designed around the needs of large synchronous generators.”</w:t>
      </w:r>
      <w:r w:rsidR="009F6681" w:rsidRPr="00797BFA">
        <w:rPr>
          <w:rStyle w:val="FootnoteReference"/>
        </w:rPr>
        <w:footnoteReference w:id="41"/>
      </w:r>
      <w:r w:rsidR="009F6681" w:rsidRPr="00797BFA">
        <w:rPr>
          <w:szCs w:val="26"/>
        </w:rPr>
        <w:t xml:space="preserve">  </w:t>
      </w:r>
      <w:r w:rsidR="007912AC" w:rsidRPr="00797BFA">
        <w:rPr>
          <w:szCs w:val="26"/>
        </w:rPr>
        <w:t>T</w:t>
      </w:r>
      <w:r w:rsidR="009F6681" w:rsidRPr="00797BFA">
        <w:rPr>
          <w:szCs w:val="26"/>
        </w:rPr>
        <w:t xml:space="preserve">he Commission </w:t>
      </w:r>
      <w:r w:rsidR="007912AC" w:rsidRPr="00797BFA">
        <w:rPr>
          <w:szCs w:val="26"/>
        </w:rPr>
        <w:t xml:space="preserve">also </w:t>
      </w:r>
      <w:r w:rsidR="009F6681" w:rsidRPr="00797BFA">
        <w:rPr>
          <w:szCs w:val="26"/>
        </w:rPr>
        <w:t xml:space="preserve">added a blank Appendix G (Requirements of Generators Relying on </w:t>
      </w:r>
      <w:r w:rsidR="00C35CC0" w:rsidRPr="00797BFA">
        <w:rPr>
          <w:szCs w:val="26"/>
        </w:rPr>
        <w:t>Newer</w:t>
      </w:r>
      <w:r w:rsidR="009F6681" w:rsidRPr="00797BFA">
        <w:rPr>
          <w:szCs w:val="26"/>
        </w:rPr>
        <w:t xml:space="preserve"> Technologies) to the LGIA to serve as a means by which to apply interconnection requirements specific </w:t>
      </w:r>
      <w:r w:rsidR="00C35CC0" w:rsidRPr="00797BFA">
        <w:rPr>
          <w:szCs w:val="26"/>
        </w:rPr>
        <w:t>for generators relying on newer technologies, such as wind generators</w:t>
      </w:r>
      <w:r w:rsidR="009F6681" w:rsidRPr="00797BFA">
        <w:rPr>
          <w:szCs w:val="26"/>
        </w:rPr>
        <w:t>.</w:t>
      </w:r>
      <w:r w:rsidR="009F6681" w:rsidRPr="00797BFA">
        <w:rPr>
          <w:rStyle w:val="FootnoteReference"/>
        </w:rPr>
        <w:footnoteReference w:id="42"/>
      </w:r>
      <w:r w:rsidR="009F6681" w:rsidRPr="00797BFA">
        <w:rPr>
          <w:szCs w:val="26"/>
        </w:rPr>
        <w:t xml:space="preserve">  </w:t>
      </w:r>
    </w:p>
    <w:p w14:paraId="13B27E8A" w14:textId="46017A31" w:rsidR="00B647BF" w:rsidRPr="00797BFA" w:rsidRDefault="009F6681" w:rsidP="006C2F01">
      <w:pPr>
        <w:pStyle w:val="FERCparanumber"/>
        <w:tabs>
          <w:tab w:val="num" w:pos="720"/>
          <w:tab w:val="num" w:pos="1080"/>
        </w:tabs>
        <w:ind w:left="0"/>
        <w:rPr>
          <w:szCs w:val="26"/>
        </w:rPr>
      </w:pPr>
      <w:r w:rsidRPr="00797BFA">
        <w:rPr>
          <w:szCs w:val="26"/>
        </w:rPr>
        <w:t xml:space="preserve">In May 2005, the Commission issued Order No. 2006, which </w:t>
      </w:r>
      <w:r w:rsidR="00053C81" w:rsidRPr="00797BFA">
        <w:rPr>
          <w:szCs w:val="26"/>
        </w:rPr>
        <w:t>requir</w:t>
      </w:r>
      <w:r w:rsidRPr="00797BFA">
        <w:rPr>
          <w:szCs w:val="26"/>
        </w:rPr>
        <w:t>ed</w:t>
      </w:r>
      <w:r w:rsidR="00053C81" w:rsidRPr="00797BFA">
        <w:rPr>
          <w:szCs w:val="26"/>
        </w:rPr>
        <w:t xml:space="preserve"> all public utilities to adopt standard terms and conditions for new interconnecting </w:t>
      </w:r>
      <w:r w:rsidR="008A7312" w:rsidRPr="00797BFA">
        <w:rPr>
          <w:szCs w:val="26"/>
        </w:rPr>
        <w:t>s</w:t>
      </w:r>
      <w:r w:rsidR="00727066" w:rsidRPr="00797BFA">
        <w:rPr>
          <w:szCs w:val="26"/>
        </w:rPr>
        <w:t xml:space="preserve">mall </w:t>
      </w:r>
      <w:r w:rsidR="008A7312" w:rsidRPr="00797BFA">
        <w:rPr>
          <w:szCs w:val="26"/>
        </w:rPr>
        <w:t>g</w:t>
      </w:r>
      <w:r w:rsidR="00727066" w:rsidRPr="00797BFA">
        <w:rPr>
          <w:szCs w:val="26"/>
        </w:rPr>
        <w:t xml:space="preserve">enerators (i.e., those </w:t>
      </w:r>
      <w:r w:rsidR="00053C81" w:rsidRPr="00797BFA">
        <w:rPr>
          <w:szCs w:val="26"/>
        </w:rPr>
        <w:t>no larger than 20 MW</w:t>
      </w:r>
      <w:r w:rsidR="00727066" w:rsidRPr="00797BFA">
        <w:rPr>
          <w:szCs w:val="26"/>
        </w:rPr>
        <w:t>)</w:t>
      </w:r>
      <w:r w:rsidR="00053C81" w:rsidRPr="00797BFA">
        <w:rPr>
          <w:szCs w:val="26"/>
        </w:rPr>
        <w:t xml:space="preserve"> under </w:t>
      </w:r>
      <w:r w:rsidR="00B1048B" w:rsidRPr="00797BFA">
        <w:rPr>
          <w:szCs w:val="26"/>
        </w:rPr>
        <w:t>a</w:t>
      </w:r>
      <w:r w:rsidR="00053C81" w:rsidRPr="00797BFA">
        <w:rPr>
          <w:szCs w:val="26"/>
        </w:rPr>
        <w:t xml:space="preserve"> </w:t>
      </w:r>
      <w:r w:rsidR="00053C81" w:rsidRPr="00797BFA">
        <w:rPr>
          <w:i/>
          <w:szCs w:val="26"/>
        </w:rPr>
        <w:t>pro forma</w:t>
      </w:r>
      <w:r w:rsidR="00053C81" w:rsidRPr="00797BFA">
        <w:rPr>
          <w:szCs w:val="26"/>
        </w:rPr>
        <w:t xml:space="preserve"> </w:t>
      </w:r>
      <w:r w:rsidR="00741778" w:rsidRPr="00797BFA">
        <w:rPr>
          <w:szCs w:val="26"/>
        </w:rPr>
        <w:t>SGIA.</w:t>
      </w:r>
      <w:r w:rsidR="00BE4D71" w:rsidRPr="00797BFA">
        <w:rPr>
          <w:rStyle w:val="FootnoteReference"/>
        </w:rPr>
        <w:footnoteReference w:id="43"/>
      </w:r>
    </w:p>
    <w:p w14:paraId="41AD3EFD" w14:textId="64CF3F2E" w:rsidR="009F6681" w:rsidRPr="00797BFA" w:rsidRDefault="009F6681" w:rsidP="006C2F01">
      <w:pPr>
        <w:pStyle w:val="FERCparanumber"/>
        <w:tabs>
          <w:tab w:val="num" w:pos="720"/>
          <w:tab w:val="num" w:pos="1080"/>
        </w:tabs>
        <w:ind w:left="0"/>
        <w:rPr>
          <w:szCs w:val="26"/>
        </w:rPr>
      </w:pPr>
      <w:r w:rsidRPr="00797BFA">
        <w:rPr>
          <w:szCs w:val="26"/>
        </w:rPr>
        <w:t xml:space="preserve">The Commission recently issued a </w:t>
      </w:r>
      <w:r w:rsidR="00601626" w:rsidRPr="00797BFA">
        <w:rPr>
          <w:szCs w:val="26"/>
        </w:rPr>
        <w:t>no</w:t>
      </w:r>
      <w:r w:rsidR="0004745A" w:rsidRPr="00797BFA">
        <w:rPr>
          <w:szCs w:val="26"/>
        </w:rPr>
        <w:t xml:space="preserve">tice </w:t>
      </w:r>
      <w:r w:rsidR="00601626" w:rsidRPr="00797BFA">
        <w:rPr>
          <w:szCs w:val="26"/>
        </w:rPr>
        <w:t>of proposed r</w:t>
      </w:r>
      <w:r w:rsidR="0004745A" w:rsidRPr="00797BFA">
        <w:rPr>
          <w:szCs w:val="26"/>
        </w:rPr>
        <w:t>ulemaking</w:t>
      </w:r>
      <w:r w:rsidRPr="00797BFA">
        <w:rPr>
          <w:szCs w:val="26"/>
        </w:rPr>
        <w:t xml:space="preserve"> to revise the</w:t>
      </w:r>
      <w:r w:rsidR="002435B2" w:rsidRPr="00797BFA">
        <w:rPr>
          <w:szCs w:val="26"/>
        </w:rPr>
        <w:t xml:space="preserve"> </w:t>
      </w:r>
      <w:r w:rsidR="009D5381">
        <w:rPr>
          <w:szCs w:val="26"/>
        </w:rPr>
        <w:t xml:space="preserve"> </w:t>
      </w:r>
      <w:r w:rsidR="00F8253D" w:rsidRPr="00797BFA">
        <w:rPr>
          <w:i/>
          <w:szCs w:val="26"/>
        </w:rPr>
        <w:t>pro forma</w:t>
      </w:r>
      <w:r w:rsidR="00F8253D" w:rsidRPr="00797BFA">
        <w:rPr>
          <w:szCs w:val="26"/>
        </w:rPr>
        <w:t xml:space="preserve"> </w:t>
      </w:r>
      <w:r w:rsidR="002435B2" w:rsidRPr="00797BFA">
        <w:rPr>
          <w:szCs w:val="26"/>
        </w:rPr>
        <w:t>LGIA and</w:t>
      </w:r>
      <w:r w:rsidR="00F8253D" w:rsidRPr="00797BFA">
        <w:rPr>
          <w:szCs w:val="26"/>
        </w:rPr>
        <w:t xml:space="preserve"> </w:t>
      </w:r>
      <w:r w:rsidRPr="00797BFA">
        <w:rPr>
          <w:szCs w:val="26"/>
        </w:rPr>
        <w:t xml:space="preserve">SGIA to eliminate the exemption </w:t>
      </w:r>
      <w:r w:rsidR="00727066" w:rsidRPr="00797BFA">
        <w:rPr>
          <w:szCs w:val="26"/>
        </w:rPr>
        <w:t xml:space="preserve">for wind generators and other non-synchronous generators </w:t>
      </w:r>
      <w:r w:rsidR="00C35CC0" w:rsidRPr="00797BFA">
        <w:rPr>
          <w:szCs w:val="26"/>
        </w:rPr>
        <w:t>regard</w:t>
      </w:r>
      <w:r w:rsidR="001F718A" w:rsidRPr="00797BFA">
        <w:rPr>
          <w:szCs w:val="26"/>
        </w:rPr>
        <w:t>ing</w:t>
      </w:r>
      <w:r w:rsidR="00C35CC0" w:rsidRPr="00797BFA">
        <w:rPr>
          <w:szCs w:val="26"/>
        </w:rPr>
        <w:t xml:space="preserve"> </w:t>
      </w:r>
      <w:r w:rsidRPr="00797BFA">
        <w:rPr>
          <w:szCs w:val="26"/>
        </w:rPr>
        <w:t>reactive power requirements.</w:t>
      </w:r>
      <w:r w:rsidRPr="00797BFA">
        <w:rPr>
          <w:rStyle w:val="FootnoteReference"/>
        </w:rPr>
        <w:footnoteReference w:id="44"/>
      </w:r>
      <w:r w:rsidR="00F8253D" w:rsidRPr="00797BFA">
        <w:rPr>
          <w:szCs w:val="26"/>
        </w:rPr>
        <w:t xml:space="preserve">  The </w:t>
      </w:r>
      <w:r w:rsidR="0004745A" w:rsidRPr="00797BFA">
        <w:rPr>
          <w:szCs w:val="26"/>
        </w:rPr>
        <w:t>p</w:t>
      </w:r>
      <w:r w:rsidR="000608F4" w:rsidRPr="00797BFA">
        <w:rPr>
          <w:szCs w:val="26"/>
        </w:rPr>
        <w:t xml:space="preserve">roposed </w:t>
      </w:r>
      <w:r w:rsidR="0004745A" w:rsidRPr="00797BFA">
        <w:rPr>
          <w:szCs w:val="26"/>
        </w:rPr>
        <w:t>r</w:t>
      </w:r>
      <w:r w:rsidR="000608F4" w:rsidRPr="00797BFA">
        <w:rPr>
          <w:szCs w:val="26"/>
        </w:rPr>
        <w:t>ule</w:t>
      </w:r>
      <w:r w:rsidR="008A7312" w:rsidRPr="00797BFA">
        <w:rPr>
          <w:szCs w:val="26"/>
        </w:rPr>
        <w:t xml:space="preserve"> </w:t>
      </w:r>
      <w:r w:rsidR="00F8253D" w:rsidRPr="00797BFA">
        <w:t>proposes to require all newly interconnecting generators, both synchronous and non-synchronous, to provide reactive power.</w:t>
      </w:r>
    </w:p>
    <w:p w14:paraId="2E5634FF" w14:textId="77777777" w:rsidR="00053C81" w:rsidRPr="00797BFA" w:rsidRDefault="007B7B24" w:rsidP="006C2F01">
      <w:pPr>
        <w:pStyle w:val="FERCparanumber"/>
        <w:tabs>
          <w:tab w:val="num" w:pos="720"/>
          <w:tab w:val="num" w:pos="1080"/>
        </w:tabs>
        <w:ind w:left="0"/>
        <w:rPr>
          <w:szCs w:val="26"/>
        </w:rPr>
      </w:pPr>
      <w:r w:rsidRPr="00797BFA">
        <w:rPr>
          <w:szCs w:val="26"/>
        </w:rPr>
        <w:t>Although the Commission has previously included technical requirements for generators in the LGIA and Large Generator Interconnection Procedures (LGIP),</w:t>
      </w:r>
      <w:r w:rsidRPr="00797BFA">
        <w:rPr>
          <w:rStyle w:val="FootnoteReference"/>
        </w:rPr>
        <w:footnoteReference w:id="45"/>
      </w:r>
      <w:r w:rsidRPr="00797BFA">
        <w:rPr>
          <w:szCs w:val="26"/>
        </w:rPr>
        <w:t xml:space="preserve"> both</w:t>
      </w:r>
      <w:r w:rsidR="00053C81" w:rsidRPr="00797BFA">
        <w:rPr>
          <w:szCs w:val="26"/>
        </w:rPr>
        <w:t xml:space="preserve"> the </w:t>
      </w:r>
      <w:r w:rsidR="00053C81" w:rsidRPr="00797BFA">
        <w:rPr>
          <w:i/>
          <w:szCs w:val="26"/>
        </w:rPr>
        <w:t>pro forma</w:t>
      </w:r>
      <w:r w:rsidR="00053C81" w:rsidRPr="00797BFA">
        <w:rPr>
          <w:szCs w:val="26"/>
        </w:rPr>
        <w:t xml:space="preserve"> LGIA and SGIA are silent with respect to primary frequency response</w:t>
      </w:r>
      <w:r w:rsidRPr="00797BFA">
        <w:rPr>
          <w:szCs w:val="26"/>
        </w:rPr>
        <w:t xml:space="preserve"> requirements.</w:t>
      </w:r>
    </w:p>
    <w:p w14:paraId="3C3BE03F" w14:textId="1CA21376" w:rsidR="003A1ED6" w:rsidRPr="00797BFA" w:rsidRDefault="006D7803" w:rsidP="006C2F01">
      <w:pPr>
        <w:pStyle w:val="FERCparanumber"/>
        <w:tabs>
          <w:tab w:val="num" w:pos="720"/>
          <w:tab w:val="num" w:pos="1080"/>
        </w:tabs>
        <w:ind w:left="0"/>
        <w:rPr>
          <w:szCs w:val="26"/>
        </w:rPr>
      </w:pPr>
      <w:r w:rsidRPr="00797BFA">
        <w:t>In a final rule issued on January 16, 2014,</w:t>
      </w:r>
      <w:r w:rsidR="00C81D30" w:rsidRPr="00797BFA">
        <w:t xml:space="preserve"> </w:t>
      </w:r>
      <w:r w:rsidR="00C81D30" w:rsidRPr="00797BFA">
        <w:rPr>
          <w:szCs w:val="26"/>
        </w:rPr>
        <w:t>t</w:t>
      </w:r>
      <w:r w:rsidR="00053C81" w:rsidRPr="00797BFA">
        <w:rPr>
          <w:szCs w:val="26"/>
        </w:rPr>
        <w:t xml:space="preserve">he Commission </w:t>
      </w:r>
      <w:r w:rsidRPr="00797BFA">
        <w:t xml:space="preserve">approved Reliability Standard BAL-003-1, which </w:t>
      </w:r>
      <w:r w:rsidR="00292105" w:rsidRPr="00797BFA">
        <w:rPr>
          <w:szCs w:val="26"/>
        </w:rPr>
        <w:t>establishe</w:t>
      </w:r>
      <w:r w:rsidRPr="00797BFA">
        <w:rPr>
          <w:szCs w:val="26"/>
        </w:rPr>
        <w:t>s</w:t>
      </w:r>
      <w:r w:rsidR="00292105" w:rsidRPr="00797BFA">
        <w:rPr>
          <w:szCs w:val="26"/>
        </w:rPr>
        <w:t xml:space="preserve"> </w:t>
      </w:r>
      <w:r w:rsidR="00935442" w:rsidRPr="00797BFA">
        <w:rPr>
          <w:szCs w:val="26"/>
        </w:rPr>
        <w:t>f</w:t>
      </w:r>
      <w:r w:rsidR="00952129" w:rsidRPr="00797BFA">
        <w:rPr>
          <w:szCs w:val="26"/>
        </w:rPr>
        <w:t xml:space="preserve">requency </w:t>
      </w:r>
      <w:r w:rsidR="00935442" w:rsidRPr="00797BFA">
        <w:rPr>
          <w:szCs w:val="26"/>
        </w:rPr>
        <w:t>r</w:t>
      </w:r>
      <w:r w:rsidR="00952129" w:rsidRPr="00797BFA">
        <w:rPr>
          <w:szCs w:val="26"/>
        </w:rPr>
        <w:t xml:space="preserve">esponse </w:t>
      </w:r>
      <w:r w:rsidR="00292105" w:rsidRPr="00797BFA">
        <w:rPr>
          <w:szCs w:val="26"/>
        </w:rPr>
        <w:t xml:space="preserve">requirements for </w:t>
      </w:r>
      <w:r w:rsidR="00F41EB6" w:rsidRPr="00797BFA">
        <w:rPr>
          <w:szCs w:val="26"/>
        </w:rPr>
        <w:t>balancing authorit</w:t>
      </w:r>
      <w:r w:rsidR="00292105" w:rsidRPr="00797BFA">
        <w:rPr>
          <w:szCs w:val="26"/>
        </w:rPr>
        <w:t>ies</w:t>
      </w:r>
      <w:r w:rsidR="0006467A" w:rsidRPr="00797BFA">
        <w:rPr>
          <w:szCs w:val="26"/>
        </w:rPr>
        <w:t>.</w:t>
      </w:r>
      <w:r w:rsidR="00F540B5" w:rsidRPr="00797BFA">
        <w:rPr>
          <w:rStyle w:val="FootnoteReference"/>
        </w:rPr>
        <w:footnoteReference w:id="46"/>
      </w:r>
      <w:r w:rsidR="0006467A" w:rsidRPr="00797BFA">
        <w:rPr>
          <w:szCs w:val="26"/>
        </w:rPr>
        <w:t xml:space="preserve">  </w:t>
      </w:r>
      <w:r w:rsidR="003F16DD" w:rsidRPr="00797BFA">
        <w:t>Reliability Standard</w:t>
      </w:r>
      <w:r w:rsidR="003F16DD" w:rsidRPr="00797BFA">
        <w:rPr>
          <w:szCs w:val="26"/>
        </w:rPr>
        <w:t xml:space="preserve"> </w:t>
      </w:r>
      <w:r w:rsidR="00053C81" w:rsidRPr="00797BFA">
        <w:rPr>
          <w:szCs w:val="26"/>
        </w:rPr>
        <w:t>BAL-003-1 established</w:t>
      </w:r>
      <w:r w:rsidR="004011AD" w:rsidRPr="00797BFA">
        <w:rPr>
          <w:szCs w:val="26"/>
        </w:rPr>
        <w:t xml:space="preserve"> </w:t>
      </w:r>
      <w:r w:rsidR="004011AD" w:rsidRPr="00797BFA">
        <w:t>Interconnection Frequency Response Obligations</w:t>
      </w:r>
      <w:r w:rsidR="00053C81" w:rsidRPr="00797BFA">
        <w:rPr>
          <w:szCs w:val="26"/>
        </w:rPr>
        <w:t xml:space="preserve"> that </w:t>
      </w:r>
      <w:r w:rsidR="009730F0" w:rsidRPr="00797BFA">
        <w:rPr>
          <w:szCs w:val="26"/>
        </w:rPr>
        <w:t>prescribe</w:t>
      </w:r>
      <w:r w:rsidR="00053C81" w:rsidRPr="00797BFA">
        <w:rPr>
          <w:szCs w:val="26"/>
        </w:rPr>
        <w:t xml:space="preserve"> the minimum frequency response that must be maintained by an Interconnection.</w:t>
      </w:r>
      <w:r w:rsidR="0006467A" w:rsidRPr="00797BFA">
        <w:rPr>
          <w:szCs w:val="26"/>
        </w:rPr>
        <w:t xml:space="preserve">  </w:t>
      </w:r>
      <w:r w:rsidR="00053C81" w:rsidRPr="00797BFA">
        <w:rPr>
          <w:szCs w:val="26"/>
        </w:rPr>
        <w:t xml:space="preserve">The </w:t>
      </w:r>
      <w:r w:rsidR="00B62FAE" w:rsidRPr="00797BFA">
        <w:rPr>
          <w:szCs w:val="26"/>
        </w:rPr>
        <w:t xml:space="preserve">purpose </w:t>
      </w:r>
      <w:r w:rsidR="00053C81" w:rsidRPr="00797BFA">
        <w:rPr>
          <w:szCs w:val="26"/>
        </w:rPr>
        <w:t>of the</w:t>
      </w:r>
      <w:r w:rsidR="00C81D30" w:rsidRPr="00797BFA">
        <w:rPr>
          <w:szCs w:val="26"/>
        </w:rPr>
        <w:t xml:space="preserve"> </w:t>
      </w:r>
      <w:r w:rsidR="00A20D67" w:rsidRPr="00797BFA">
        <w:rPr>
          <w:szCs w:val="26"/>
        </w:rPr>
        <w:t>Interconnection Frequency Response Obligation</w:t>
      </w:r>
      <w:r w:rsidR="00A20D67" w:rsidRPr="00797BFA" w:rsidDel="00A20D67">
        <w:t xml:space="preserve"> </w:t>
      </w:r>
      <w:r w:rsidR="00053C81" w:rsidRPr="00797BFA">
        <w:rPr>
          <w:szCs w:val="26"/>
        </w:rPr>
        <w:t xml:space="preserve">is </w:t>
      </w:r>
      <w:r w:rsidR="00B62FAE" w:rsidRPr="00797BFA">
        <w:rPr>
          <w:szCs w:val="26"/>
        </w:rPr>
        <w:t xml:space="preserve">to maintain </w:t>
      </w:r>
      <w:r w:rsidR="00053C81" w:rsidRPr="00797BFA">
        <w:rPr>
          <w:szCs w:val="26"/>
        </w:rPr>
        <w:t xml:space="preserve">the minimum frequency (nadir) above </w:t>
      </w:r>
      <w:r w:rsidR="00DF7D63" w:rsidRPr="00797BFA">
        <w:rPr>
          <w:szCs w:val="26"/>
        </w:rPr>
        <w:t>UFLS</w:t>
      </w:r>
      <w:r w:rsidR="00053C81" w:rsidRPr="00797BFA">
        <w:rPr>
          <w:szCs w:val="26"/>
        </w:rPr>
        <w:t xml:space="preserve"> </w:t>
      </w:r>
      <w:r w:rsidR="00FD0255" w:rsidRPr="00797BFA">
        <w:rPr>
          <w:szCs w:val="26"/>
        </w:rPr>
        <w:t>set points</w:t>
      </w:r>
      <w:r w:rsidR="00B62FAE" w:rsidRPr="00797BFA">
        <w:rPr>
          <w:szCs w:val="26"/>
        </w:rPr>
        <w:t xml:space="preserve"> </w:t>
      </w:r>
      <w:r w:rsidR="00053C81" w:rsidRPr="00797BFA">
        <w:rPr>
          <w:szCs w:val="26"/>
        </w:rPr>
        <w:t xml:space="preserve">following the largest contingency of the Interconnection as defined by the </w:t>
      </w:r>
      <w:r w:rsidR="00B62FAE" w:rsidRPr="00797BFA">
        <w:rPr>
          <w:szCs w:val="26"/>
        </w:rPr>
        <w:t>r</w:t>
      </w:r>
      <w:r w:rsidR="00053C81" w:rsidRPr="00797BFA">
        <w:rPr>
          <w:szCs w:val="26"/>
        </w:rPr>
        <w:t xml:space="preserve">esource </w:t>
      </w:r>
      <w:r w:rsidR="00B62FAE" w:rsidRPr="00797BFA">
        <w:rPr>
          <w:szCs w:val="26"/>
        </w:rPr>
        <w:t>c</w:t>
      </w:r>
      <w:r w:rsidR="00053C81" w:rsidRPr="00797BFA">
        <w:rPr>
          <w:szCs w:val="26"/>
        </w:rPr>
        <w:t xml:space="preserve">ontingency </w:t>
      </w:r>
      <w:r w:rsidR="00B62FAE" w:rsidRPr="00797BFA">
        <w:rPr>
          <w:szCs w:val="26"/>
        </w:rPr>
        <w:t>c</w:t>
      </w:r>
      <w:r w:rsidR="00053C81" w:rsidRPr="00797BFA">
        <w:rPr>
          <w:szCs w:val="26"/>
        </w:rPr>
        <w:t>riteria in BAL-003-1.</w:t>
      </w:r>
      <w:r w:rsidR="00CA682F" w:rsidRPr="00797BFA">
        <w:rPr>
          <w:szCs w:val="26"/>
        </w:rPr>
        <w:t xml:space="preserve">  </w:t>
      </w:r>
      <w:r w:rsidR="00053C81" w:rsidRPr="00797BFA">
        <w:rPr>
          <w:szCs w:val="26"/>
        </w:rPr>
        <w:t xml:space="preserve">Each </w:t>
      </w:r>
      <w:r w:rsidR="00F41EB6" w:rsidRPr="00797BFA">
        <w:rPr>
          <w:szCs w:val="26"/>
        </w:rPr>
        <w:t>balancing authorit</w:t>
      </w:r>
      <w:r w:rsidR="00806395" w:rsidRPr="00797BFA">
        <w:rPr>
          <w:szCs w:val="26"/>
        </w:rPr>
        <w:t>y</w:t>
      </w:r>
      <w:r w:rsidR="00053C81" w:rsidRPr="00797BFA">
        <w:rPr>
          <w:szCs w:val="26"/>
        </w:rPr>
        <w:t xml:space="preserve"> is assigned a</w:t>
      </w:r>
      <w:r w:rsidR="004011AD" w:rsidRPr="00797BFA">
        <w:rPr>
          <w:szCs w:val="26"/>
        </w:rPr>
        <w:t xml:space="preserve"> F</w:t>
      </w:r>
      <w:r w:rsidR="00806395" w:rsidRPr="00797BFA">
        <w:rPr>
          <w:szCs w:val="26"/>
        </w:rPr>
        <w:t xml:space="preserve">requency </w:t>
      </w:r>
      <w:r w:rsidR="004011AD" w:rsidRPr="00797BFA">
        <w:rPr>
          <w:szCs w:val="26"/>
        </w:rPr>
        <w:t>R</w:t>
      </w:r>
      <w:r w:rsidR="00806395" w:rsidRPr="00797BFA">
        <w:rPr>
          <w:szCs w:val="26"/>
        </w:rPr>
        <w:t xml:space="preserve">esponse </w:t>
      </w:r>
      <w:r w:rsidR="004011AD" w:rsidRPr="00797BFA">
        <w:rPr>
          <w:szCs w:val="26"/>
        </w:rPr>
        <w:t>O</w:t>
      </w:r>
      <w:r w:rsidR="00806395" w:rsidRPr="00797BFA">
        <w:rPr>
          <w:szCs w:val="26"/>
        </w:rPr>
        <w:t>bligation</w:t>
      </w:r>
      <w:r w:rsidR="00E10D97" w:rsidRPr="00797BFA">
        <w:rPr>
          <w:rStyle w:val="FootnoteReference"/>
        </w:rPr>
        <w:footnoteReference w:id="47"/>
      </w:r>
      <w:r w:rsidR="00053C81" w:rsidRPr="00797BFA">
        <w:rPr>
          <w:szCs w:val="26"/>
        </w:rPr>
        <w:t xml:space="preserve"> that is a proportionate share of the I</w:t>
      </w:r>
      <w:r w:rsidR="00516CC7" w:rsidRPr="00797BFA">
        <w:rPr>
          <w:szCs w:val="26"/>
        </w:rPr>
        <w:t xml:space="preserve">nterconnection </w:t>
      </w:r>
      <w:r w:rsidR="00053C81" w:rsidRPr="00797BFA">
        <w:rPr>
          <w:szCs w:val="26"/>
        </w:rPr>
        <w:t>F</w:t>
      </w:r>
      <w:r w:rsidR="00516CC7" w:rsidRPr="00797BFA">
        <w:rPr>
          <w:szCs w:val="26"/>
        </w:rPr>
        <w:t xml:space="preserve">requency </w:t>
      </w:r>
      <w:r w:rsidR="00053C81" w:rsidRPr="00797BFA">
        <w:rPr>
          <w:szCs w:val="26"/>
        </w:rPr>
        <w:t>R</w:t>
      </w:r>
      <w:r w:rsidR="00516CC7" w:rsidRPr="00797BFA">
        <w:rPr>
          <w:szCs w:val="26"/>
        </w:rPr>
        <w:t xml:space="preserve">esponse </w:t>
      </w:r>
      <w:r w:rsidR="00053C81" w:rsidRPr="00797BFA">
        <w:rPr>
          <w:szCs w:val="26"/>
        </w:rPr>
        <w:t>O</w:t>
      </w:r>
      <w:r w:rsidR="00516CC7" w:rsidRPr="00797BFA">
        <w:rPr>
          <w:szCs w:val="26"/>
        </w:rPr>
        <w:t>bligation</w:t>
      </w:r>
      <w:r w:rsidR="00053C81" w:rsidRPr="00797BFA">
        <w:rPr>
          <w:szCs w:val="26"/>
        </w:rPr>
        <w:t>, and is based on its annual generation and load.</w:t>
      </w:r>
      <w:r w:rsidR="00F540B5" w:rsidRPr="00797BFA">
        <w:rPr>
          <w:rStyle w:val="FootnoteReference"/>
        </w:rPr>
        <w:footnoteReference w:id="48"/>
      </w:r>
      <w:r w:rsidR="00053C81" w:rsidRPr="00797BFA">
        <w:rPr>
          <w:szCs w:val="26"/>
        </w:rPr>
        <w:t xml:space="preserve"> Requirement R1 of BAL-003-1 requires each </w:t>
      </w:r>
      <w:r w:rsidR="00F41EB6" w:rsidRPr="00797BFA">
        <w:rPr>
          <w:szCs w:val="26"/>
        </w:rPr>
        <w:t>balancing authorit</w:t>
      </w:r>
      <w:r w:rsidR="00806395" w:rsidRPr="00797BFA">
        <w:rPr>
          <w:szCs w:val="26"/>
        </w:rPr>
        <w:t>y</w:t>
      </w:r>
      <w:r w:rsidR="00053C81" w:rsidRPr="00797BFA">
        <w:rPr>
          <w:szCs w:val="26"/>
        </w:rPr>
        <w:t xml:space="preserve"> to achieve an annual Frequency Response Measure t</w:t>
      </w:r>
      <w:r w:rsidR="00CA682F" w:rsidRPr="00797BFA">
        <w:rPr>
          <w:szCs w:val="26"/>
        </w:rPr>
        <w:t xml:space="preserve">hat equals or exceeds </w:t>
      </w:r>
      <w:r w:rsidR="00806395" w:rsidRPr="00797BFA">
        <w:rPr>
          <w:szCs w:val="26"/>
        </w:rPr>
        <w:t xml:space="preserve">its </w:t>
      </w:r>
      <w:r w:rsidR="00CA682F" w:rsidRPr="00797BFA">
        <w:rPr>
          <w:szCs w:val="26"/>
        </w:rPr>
        <w:t>F</w:t>
      </w:r>
      <w:r w:rsidR="00806395" w:rsidRPr="00797BFA">
        <w:rPr>
          <w:szCs w:val="26"/>
        </w:rPr>
        <w:t xml:space="preserve">requency </w:t>
      </w:r>
      <w:r w:rsidR="00CA682F" w:rsidRPr="00797BFA">
        <w:rPr>
          <w:szCs w:val="26"/>
        </w:rPr>
        <w:t>R</w:t>
      </w:r>
      <w:r w:rsidR="00806395" w:rsidRPr="00797BFA">
        <w:rPr>
          <w:szCs w:val="26"/>
        </w:rPr>
        <w:t xml:space="preserve">esponse </w:t>
      </w:r>
      <w:r w:rsidR="00CA682F" w:rsidRPr="00797BFA">
        <w:rPr>
          <w:szCs w:val="26"/>
        </w:rPr>
        <w:t>O</w:t>
      </w:r>
      <w:r w:rsidR="00806395" w:rsidRPr="00797BFA">
        <w:rPr>
          <w:szCs w:val="26"/>
        </w:rPr>
        <w:t>bligation</w:t>
      </w:r>
      <w:r w:rsidR="00053C81" w:rsidRPr="00797BFA">
        <w:rPr>
          <w:szCs w:val="26"/>
        </w:rPr>
        <w:t xml:space="preserve">.  </w:t>
      </w:r>
      <w:r w:rsidR="00B64FD5" w:rsidRPr="00797BFA">
        <w:rPr>
          <w:szCs w:val="26"/>
        </w:rPr>
        <w:t xml:space="preserve">The Frequency Response Measure is the median value of a </w:t>
      </w:r>
      <w:r w:rsidR="00F41EB6" w:rsidRPr="00797BFA">
        <w:rPr>
          <w:szCs w:val="26"/>
        </w:rPr>
        <w:t>balancing authorit</w:t>
      </w:r>
      <w:r w:rsidR="00B64FD5" w:rsidRPr="00797BFA">
        <w:rPr>
          <w:szCs w:val="26"/>
        </w:rPr>
        <w:t>y’s frequency response performance during selected events over the course of a year.</w:t>
      </w:r>
      <w:r w:rsidR="00B64FD5" w:rsidRPr="00797BFA">
        <w:rPr>
          <w:rStyle w:val="FootnoteReference"/>
        </w:rPr>
        <w:footnoteReference w:id="49"/>
      </w:r>
      <w:r w:rsidR="00B64FD5" w:rsidRPr="00797BFA">
        <w:rPr>
          <w:szCs w:val="26"/>
        </w:rPr>
        <w:t xml:space="preserve">  </w:t>
      </w:r>
      <w:r w:rsidR="00053C81" w:rsidRPr="00797BFA">
        <w:rPr>
          <w:szCs w:val="26"/>
        </w:rPr>
        <w:t xml:space="preserve">Requirement R1 of BAL-003-1 becomes effective on April 1, 2016, </w:t>
      </w:r>
      <w:r w:rsidR="00E556E8" w:rsidRPr="00797BFA">
        <w:rPr>
          <w:szCs w:val="26"/>
        </w:rPr>
        <w:t xml:space="preserve">and </w:t>
      </w:r>
      <w:r w:rsidR="00053C81" w:rsidRPr="00797BFA">
        <w:rPr>
          <w:szCs w:val="26"/>
        </w:rPr>
        <w:t xml:space="preserve">compliance </w:t>
      </w:r>
      <w:r w:rsidR="004011AD" w:rsidRPr="00797BFA">
        <w:rPr>
          <w:szCs w:val="26"/>
        </w:rPr>
        <w:t>begins on December 1, 2016.</w:t>
      </w:r>
    </w:p>
    <w:p w14:paraId="2B40D6AC" w14:textId="6328B478" w:rsidR="000F58A6" w:rsidRPr="00797BFA" w:rsidRDefault="00806395" w:rsidP="0009527B">
      <w:pPr>
        <w:pStyle w:val="FERCparanumber"/>
        <w:tabs>
          <w:tab w:val="num" w:pos="720"/>
          <w:tab w:val="num" w:pos="1080"/>
        </w:tabs>
        <w:ind w:left="0"/>
        <w:rPr>
          <w:szCs w:val="26"/>
        </w:rPr>
      </w:pPr>
      <w:r w:rsidRPr="00797BFA">
        <w:rPr>
          <w:szCs w:val="26"/>
        </w:rPr>
        <w:t>Alt</w:t>
      </w:r>
      <w:r w:rsidR="004011AD" w:rsidRPr="00797BFA">
        <w:rPr>
          <w:szCs w:val="26"/>
        </w:rPr>
        <w:t xml:space="preserve">hough </w:t>
      </w:r>
      <w:r w:rsidR="00053C81" w:rsidRPr="00797BFA">
        <w:rPr>
          <w:szCs w:val="26"/>
        </w:rPr>
        <w:t xml:space="preserve">Reliability Standard BAL-003-1 requires sufficient frequency response from </w:t>
      </w:r>
      <w:r w:rsidR="00F41EB6" w:rsidRPr="00797BFA">
        <w:rPr>
          <w:szCs w:val="26"/>
        </w:rPr>
        <w:t>balancing authorit</w:t>
      </w:r>
      <w:r w:rsidR="008B1B00" w:rsidRPr="00797BFA">
        <w:rPr>
          <w:szCs w:val="26"/>
        </w:rPr>
        <w:t>ie</w:t>
      </w:r>
      <w:r w:rsidR="00053C81" w:rsidRPr="00797BFA">
        <w:rPr>
          <w:szCs w:val="26"/>
        </w:rPr>
        <w:t xml:space="preserve">s, on average, to maintain Interconnection frequency, </w:t>
      </w:r>
      <w:r w:rsidR="004011AD" w:rsidRPr="00797BFA">
        <w:rPr>
          <w:szCs w:val="26"/>
        </w:rPr>
        <w:t>it</w:t>
      </w:r>
      <w:r w:rsidR="00053C81" w:rsidRPr="00797BFA">
        <w:rPr>
          <w:szCs w:val="26"/>
        </w:rPr>
        <w:t xml:space="preserve"> does not </w:t>
      </w:r>
      <w:r w:rsidR="00053C81" w:rsidRPr="00797BFA">
        <w:t xml:space="preserve">require generators </w:t>
      </w:r>
      <w:r w:rsidR="00546175" w:rsidRPr="00797BFA">
        <w:rPr>
          <w:szCs w:val="26"/>
        </w:rPr>
        <w:t>to</w:t>
      </w:r>
      <w:r w:rsidR="00053C81" w:rsidRPr="00797BFA">
        <w:t xml:space="preserve"> </w:t>
      </w:r>
      <w:r w:rsidR="00053C81" w:rsidRPr="00797BFA">
        <w:rPr>
          <w:szCs w:val="26"/>
        </w:rPr>
        <w:t>provi</w:t>
      </w:r>
      <w:r w:rsidR="00546175" w:rsidRPr="00797BFA">
        <w:rPr>
          <w:szCs w:val="26"/>
        </w:rPr>
        <w:t>de</w:t>
      </w:r>
      <w:r w:rsidR="00053C81" w:rsidRPr="00797BFA">
        <w:rPr>
          <w:szCs w:val="26"/>
        </w:rPr>
        <w:t xml:space="preserve"> primary frequency response.</w:t>
      </w:r>
      <w:r w:rsidR="0009527B" w:rsidRPr="00797BFA">
        <w:rPr>
          <w:szCs w:val="26"/>
        </w:rPr>
        <w:t xml:space="preserve">  </w:t>
      </w:r>
      <w:r w:rsidR="00583764" w:rsidRPr="00797BFA">
        <w:rPr>
          <w:szCs w:val="26"/>
        </w:rPr>
        <w:t>In the rulemaking in which the Commission approved Reliability Standard BAL-003-1, s</w:t>
      </w:r>
      <w:r w:rsidR="00EE0A47" w:rsidRPr="00797BFA">
        <w:rPr>
          <w:szCs w:val="26"/>
        </w:rPr>
        <w:t>ome</w:t>
      </w:r>
      <w:r w:rsidR="00EE0A47" w:rsidRPr="00797BFA">
        <w:t xml:space="preserve"> </w:t>
      </w:r>
      <w:r w:rsidR="00EE0A47" w:rsidRPr="00797BFA">
        <w:rPr>
          <w:szCs w:val="26"/>
        </w:rPr>
        <w:t>c</w:t>
      </w:r>
      <w:r w:rsidR="00714CD3" w:rsidRPr="00797BFA">
        <w:rPr>
          <w:szCs w:val="26"/>
        </w:rPr>
        <w:t>omment</w:t>
      </w:r>
      <w:r w:rsidR="00583764" w:rsidRPr="00797BFA">
        <w:rPr>
          <w:szCs w:val="26"/>
        </w:rPr>
        <w:t>ers</w:t>
      </w:r>
      <w:r w:rsidR="00B62FAE" w:rsidRPr="00797BFA">
        <w:t xml:space="preserve"> </w:t>
      </w:r>
      <w:r w:rsidR="00714CD3" w:rsidRPr="00797BFA">
        <w:t>expressed concern</w:t>
      </w:r>
      <w:r w:rsidR="00B62FAE" w:rsidRPr="00797BFA">
        <w:t xml:space="preserve"> </w:t>
      </w:r>
      <w:r w:rsidR="00714CD3" w:rsidRPr="00797BFA">
        <w:t xml:space="preserve">that </w:t>
      </w:r>
      <w:r w:rsidR="00583764" w:rsidRPr="00797BFA">
        <w:rPr>
          <w:szCs w:val="26"/>
        </w:rPr>
        <w:t>the standard does</w:t>
      </w:r>
      <w:r w:rsidR="00714CD3" w:rsidRPr="00797BFA">
        <w:rPr>
          <w:szCs w:val="26"/>
        </w:rPr>
        <w:t xml:space="preserve"> not address the availability of </w:t>
      </w:r>
      <w:r w:rsidR="00666062" w:rsidRPr="00797BFA">
        <w:rPr>
          <w:szCs w:val="26"/>
        </w:rPr>
        <w:t xml:space="preserve">generator </w:t>
      </w:r>
      <w:r w:rsidR="00714CD3" w:rsidRPr="00797BFA">
        <w:rPr>
          <w:szCs w:val="26"/>
        </w:rPr>
        <w:t xml:space="preserve">resources to provide primary frequency response or the </w:t>
      </w:r>
      <w:r w:rsidR="0027082D" w:rsidRPr="00797BFA">
        <w:rPr>
          <w:szCs w:val="26"/>
        </w:rPr>
        <w:t xml:space="preserve">premature </w:t>
      </w:r>
      <w:r w:rsidR="002913B1" w:rsidRPr="00797BFA">
        <w:rPr>
          <w:szCs w:val="26"/>
        </w:rPr>
        <w:t>withdrawal</w:t>
      </w:r>
      <w:r w:rsidR="0027082D" w:rsidRPr="00797BFA">
        <w:rPr>
          <w:rStyle w:val="FootnoteReference"/>
        </w:rPr>
        <w:footnoteReference w:id="50"/>
      </w:r>
      <w:r w:rsidR="00C5112D" w:rsidRPr="00797BFA">
        <w:rPr>
          <w:szCs w:val="26"/>
        </w:rPr>
        <w:t xml:space="preserve"> </w:t>
      </w:r>
      <w:r w:rsidR="002913B1" w:rsidRPr="00797BFA">
        <w:rPr>
          <w:szCs w:val="26"/>
        </w:rPr>
        <w:t xml:space="preserve">of </w:t>
      </w:r>
      <w:r w:rsidR="00B64FD5" w:rsidRPr="00797BFA">
        <w:rPr>
          <w:szCs w:val="26"/>
        </w:rPr>
        <w:t xml:space="preserve">primary </w:t>
      </w:r>
      <w:r w:rsidR="00714CD3" w:rsidRPr="00797BFA">
        <w:rPr>
          <w:szCs w:val="26"/>
        </w:rPr>
        <w:t>frequency response.</w:t>
      </w:r>
      <w:r w:rsidR="009818ED" w:rsidRPr="00797BFA">
        <w:rPr>
          <w:szCs w:val="26"/>
        </w:rPr>
        <w:t xml:space="preserve">  </w:t>
      </w:r>
      <w:r w:rsidR="00714CD3" w:rsidRPr="00797BFA">
        <w:rPr>
          <w:szCs w:val="26"/>
        </w:rPr>
        <w:t>I</w:t>
      </w:r>
      <w:r w:rsidR="0064073F" w:rsidRPr="00797BFA">
        <w:rPr>
          <w:szCs w:val="26"/>
        </w:rPr>
        <w:t>n Order No. 794</w:t>
      </w:r>
      <w:r w:rsidR="00714CD3" w:rsidRPr="00797BFA">
        <w:rPr>
          <w:szCs w:val="26"/>
        </w:rPr>
        <w:t>, the Commission</w:t>
      </w:r>
      <w:r w:rsidR="0064073F" w:rsidRPr="00797BFA">
        <w:rPr>
          <w:szCs w:val="26"/>
        </w:rPr>
        <w:t xml:space="preserve"> </w:t>
      </w:r>
      <w:r w:rsidR="00714CD3" w:rsidRPr="00797BFA">
        <w:rPr>
          <w:szCs w:val="26"/>
        </w:rPr>
        <w:t>directed NERC to submit a report by July 2018</w:t>
      </w:r>
      <w:r w:rsidR="00FD0255" w:rsidRPr="00797BFA">
        <w:rPr>
          <w:szCs w:val="26"/>
        </w:rPr>
        <w:t xml:space="preserve"> </w:t>
      </w:r>
      <w:r w:rsidR="00714CD3" w:rsidRPr="00797BFA">
        <w:rPr>
          <w:szCs w:val="26"/>
        </w:rPr>
        <w:t>analyz</w:t>
      </w:r>
      <w:r w:rsidR="00FD0255" w:rsidRPr="00797BFA">
        <w:rPr>
          <w:szCs w:val="26"/>
        </w:rPr>
        <w:t>ing</w:t>
      </w:r>
      <w:r w:rsidR="00714CD3" w:rsidRPr="00797BFA">
        <w:rPr>
          <w:szCs w:val="26"/>
        </w:rPr>
        <w:t xml:space="preserve"> the availability of resources for each </w:t>
      </w:r>
      <w:r w:rsidR="00F41EB6" w:rsidRPr="00797BFA">
        <w:rPr>
          <w:szCs w:val="26"/>
        </w:rPr>
        <w:t>balancing authorit</w:t>
      </w:r>
      <w:r w:rsidR="00714CD3" w:rsidRPr="00797BFA">
        <w:rPr>
          <w:szCs w:val="26"/>
        </w:rPr>
        <w:t>y and Frequency Response Sharing Group</w:t>
      </w:r>
      <w:r w:rsidR="00714CD3" w:rsidRPr="00797BFA">
        <w:rPr>
          <w:rStyle w:val="FootnoteReference"/>
        </w:rPr>
        <w:footnoteReference w:id="51"/>
      </w:r>
      <w:r w:rsidR="00714CD3" w:rsidRPr="00797BFA">
        <w:rPr>
          <w:szCs w:val="26"/>
        </w:rPr>
        <w:t xml:space="preserve"> to meet </w:t>
      </w:r>
      <w:r w:rsidR="00B62FAE" w:rsidRPr="00797BFA">
        <w:rPr>
          <w:szCs w:val="26"/>
        </w:rPr>
        <w:t xml:space="preserve">their </w:t>
      </w:r>
      <w:r w:rsidR="00714CD3" w:rsidRPr="00797BFA">
        <w:rPr>
          <w:szCs w:val="26"/>
        </w:rPr>
        <w:t>Frequency Response Obligation.</w:t>
      </w:r>
      <w:r w:rsidR="00714CD3" w:rsidRPr="00797BFA">
        <w:rPr>
          <w:rStyle w:val="FootnoteReference"/>
        </w:rPr>
        <w:footnoteReference w:id="52"/>
      </w:r>
      <w:r w:rsidR="00714CD3" w:rsidRPr="00797BFA">
        <w:rPr>
          <w:szCs w:val="26"/>
        </w:rPr>
        <w:t xml:space="preserve">  Furthermore, the Commission stated that</w:t>
      </w:r>
      <w:r w:rsidR="00F60738" w:rsidRPr="00797BFA">
        <w:rPr>
          <w:szCs w:val="26"/>
        </w:rPr>
        <w:t>,</w:t>
      </w:r>
      <w:r w:rsidR="00714CD3" w:rsidRPr="00797BFA">
        <w:rPr>
          <w:szCs w:val="26"/>
        </w:rPr>
        <w:t xml:space="preserve"> if NERC learns that </w:t>
      </w:r>
      <w:r w:rsidR="00B62FAE" w:rsidRPr="00797BFA">
        <w:rPr>
          <w:szCs w:val="26"/>
        </w:rPr>
        <w:t xml:space="preserve">balancing authorities </w:t>
      </w:r>
      <w:r w:rsidR="00714CD3" w:rsidRPr="00797BFA">
        <w:rPr>
          <w:szCs w:val="26"/>
        </w:rPr>
        <w:t>are experiencing difficulty in procuring sufficient resources to satisfy their F</w:t>
      </w:r>
      <w:r w:rsidR="00B62FAE" w:rsidRPr="00797BFA">
        <w:rPr>
          <w:szCs w:val="26"/>
        </w:rPr>
        <w:t xml:space="preserve">requency </w:t>
      </w:r>
      <w:r w:rsidR="00714CD3" w:rsidRPr="00797BFA">
        <w:rPr>
          <w:szCs w:val="26"/>
        </w:rPr>
        <w:t>R</w:t>
      </w:r>
      <w:r w:rsidR="00B62FAE" w:rsidRPr="00797BFA">
        <w:rPr>
          <w:szCs w:val="26"/>
        </w:rPr>
        <w:t xml:space="preserve">esponse </w:t>
      </w:r>
      <w:r w:rsidR="00714CD3" w:rsidRPr="00797BFA">
        <w:rPr>
          <w:szCs w:val="26"/>
        </w:rPr>
        <w:t>O</w:t>
      </w:r>
      <w:r w:rsidR="00B62FAE" w:rsidRPr="00797BFA">
        <w:rPr>
          <w:szCs w:val="26"/>
        </w:rPr>
        <w:t>bligation</w:t>
      </w:r>
      <w:r w:rsidR="00714CD3" w:rsidRPr="00797BFA">
        <w:rPr>
          <w:szCs w:val="26"/>
        </w:rPr>
        <w:t xml:space="preserve">s, NERC should immediately report </w:t>
      </w:r>
      <w:r w:rsidR="00E9359C" w:rsidRPr="00797BFA">
        <w:rPr>
          <w:szCs w:val="26"/>
        </w:rPr>
        <w:t xml:space="preserve">it </w:t>
      </w:r>
      <w:r w:rsidR="00714CD3" w:rsidRPr="00797BFA">
        <w:rPr>
          <w:szCs w:val="26"/>
        </w:rPr>
        <w:t>to the Commission with appropriate recommendations for mitigation.</w:t>
      </w:r>
      <w:r w:rsidR="00714CD3" w:rsidRPr="00797BFA">
        <w:rPr>
          <w:rStyle w:val="FootnoteReference"/>
        </w:rPr>
        <w:footnoteReference w:id="53"/>
      </w:r>
    </w:p>
    <w:p w14:paraId="71785135" w14:textId="51F9CFB9" w:rsidR="00714CD3" w:rsidRPr="00797BFA" w:rsidRDefault="00C65CDA" w:rsidP="006C2F01">
      <w:pPr>
        <w:pStyle w:val="FERCparanumber"/>
        <w:tabs>
          <w:tab w:val="num" w:pos="720"/>
          <w:tab w:val="num" w:pos="1080"/>
        </w:tabs>
        <w:ind w:left="0"/>
        <w:rPr>
          <w:szCs w:val="26"/>
        </w:rPr>
      </w:pPr>
      <w:r w:rsidRPr="00797BFA">
        <w:rPr>
          <w:szCs w:val="26"/>
        </w:rPr>
        <w:t xml:space="preserve">Additionally, in </w:t>
      </w:r>
      <w:r w:rsidR="00E54B62" w:rsidRPr="00797BFA">
        <w:rPr>
          <w:szCs w:val="26"/>
        </w:rPr>
        <w:t>Order No. 794, the Commission stated that the nature and extent of the problems that could result from the premature withdrawal of primary frequency response, and how best to address t</w:t>
      </w:r>
      <w:r w:rsidR="00E9359C" w:rsidRPr="00797BFA">
        <w:rPr>
          <w:szCs w:val="26"/>
        </w:rPr>
        <w:t>hem</w:t>
      </w:r>
      <w:r w:rsidR="00D65CF5" w:rsidRPr="00797BFA">
        <w:rPr>
          <w:szCs w:val="26"/>
        </w:rPr>
        <w:t>,</w:t>
      </w:r>
      <w:r w:rsidR="00E54B62" w:rsidRPr="00797BFA">
        <w:rPr>
          <w:szCs w:val="26"/>
        </w:rPr>
        <w:t xml:space="preserve"> will be better understood after NERC and balancing authorities have more experience with Reliability Standard BAL-003-1.</w:t>
      </w:r>
      <w:r w:rsidR="00E54B62" w:rsidRPr="00797BFA">
        <w:rPr>
          <w:rStyle w:val="FootnoteReference"/>
        </w:rPr>
        <w:footnoteReference w:id="54"/>
      </w:r>
      <w:r w:rsidR="00E54B62" w:rsidRPr="00797BFA">
        <w:rPr>
          <w:szCs w:val="26"/>
        </w:rPr>
        <w:t xml:space="preserve">  The Commission also stated that the need to take action</w:t>
      </w:r>
      <w:r w:rsidR="00D77EB3" w:rsidRPr="00797BFA">
        <w:rPr>
          <w:szCs w:val="26"/>
        </w:rPr>
        <w:t xml:space="preserve"> regarding the premature withdrawal of primary frequency response</w:t>
      </w:r>
      <w:r w:rsidR="00E54B62" w:rsidRPr="00797BFA">
        <w:rPr>
          <w:szCs w:val="26"/>
        </w:rPr>
        <w:t>, including requiring load controllers to include a frequency bias term to sustain frequency response or otherwise modifying Reliability Standard BAL-003-1, should be decided after we have actual experience with the Reliability Standard.</w:t>
      </w:r>
      <w:r w:rsidR="00E54B62" w:rsidRPr="00797BFA">
        <w:rPr>
          <w:rStyle w:val="FootnoteReference"/>
        </w:rPr>
        <w:footnoteReference w:id="55"/>
      </w:r>
    </w:p>
    <w:p w14:paraId="2FD05E75" w14:textId="1538A023" w:rsidR="00A86D45" w:rsidRPr="00797BFA" w:rsidRDefault="009818ED" w:rsidP="006C2F01">
      <w:pPr>
        <w:pStyle w:val="FERCparanumber"/>
        <w:tabs>
          <w:tab w:val="num" w:pos="720"/>
          <w:tab w:val="num" w:pos="1080"/>
        </w:tabs>
        <w:ind w:left="0"/>
        <w:rPr>
          <w:szCs w:val="26"/>
        </w:rPr>
      </w:pPr>
      <w:r w:rsidRPr="00797BFA">
        <w:rPr>
          <w:szCs w:val="26"/>
        </w:rPr>
        <w:t xml:space="preserve">In light of the ongoing evolution of the nation’s generation resource mix, and other factors, such as NERC’s Generator Governor Industry Advisory released in February 2015, the Commission </w:t>
      </w:r>
      <w:r w:rsidR="00F60738" w:rsidRPr="00797BFA">
        <w:rPr>
          <w:szCs w:val="26"/>
        </w:rPr>
        <w:t xml:space="preserve">believes that it is prudent to take </w:t>
      </w:r>
      <w:r w:rsidRPr="00797BFA">
        <w:rPr>
          <w:szCs w:val="26"/>
        </w:rPr>
        <w:t>a proactive approach to better understand the issues related to primary frequency response performance and determine what additional actions beyond Reliability Standard BAL-003-1</w:t>
      </w:r>
      <w:r w:rsidR="00D65CF5" w:rsidRPr="00797BFA">
        <w:rPr>
          <w:szCs w:val="26"/>
        </w:rPr>
        <w:t xml:space="preserve"> may be appropriate</w:t>
      </w:r>
      <w:r w:rsidRPr="00797BFA">
        <w:rPr>
          <w:szCs w:val="26"/>
        </w:rPr>
        <w:t>.</w:t>
      </w:r>
      <w:r w:rsidR="00F60738" w:rsidRPr="00797BFA">
        <w:rPr>
          <w:szCs w:val="26"/>
        </w:rPr>
        <w:t xml:space="preserve">  Thus, the Commission is proceeding with a Notice of Inquiry at this time rather than waiting until NERC submits a report in 2018.</w:t>
      </w:r>
      <w:r w:rsidR="00E54B62" w:rsidRPr="00797BFA">
        <w:rPr>
          <w:szCs w:val="26"/>
        </w:rPr>
        <w:t xml:space="preserve"> </w:t>
      </w:r>
    </w:p>
    <w:p w14:paraId="67C48040" w14:textId="420D37D3" w:rsidR="00DC4D5A" w:rsidRPr="00797BFA" w:rsidRDefault="00DC4D5A" w:rsidP="006C2F01">
      <w:pPr>
        <w:pStyle w:val="FERCparanumber"/>
        <w:tabs>
          <w:tab w:val="num" w:pos="720"/>
          <w:tab w:val="num" w:pos="1080"/>
        </w:tabs>
        <w:ind w:left="0"/>
        <w:rPr>
          <w:szCs w:val="26"/>
        </w:rPr>
      </w:pPr>
      <w:r w:rsidRPr="00797BFA">
        <w:rPr>
          <w:szCs w:val="26"/>
        </w:rPr>
        <w:t>In the absence of national primary frequency response requirements applicable to individual generating resources, some areas</w:t>
      </w:r>
      <w:r w:rsidR="006E4241" w:rsidRPr="00797BFA">
        <w:rPr>
          <w:szCs w:val="26"/>
        </w:rPr>
        <w:t xml:space="preserve">, including ERCOT, ISO New England Inc. (ISO-NE), and </w:t>
      </w:r>
      <w:r w:rsidR="006E4241" w:rsidRPr="00797BFA">
        <w:t xml:space="preserve">PJM Interconnection, L.L.C. </w:t>
      </w:r>
      <w:r w:rsidR="006E4241" w:rsidRPr="00797BFA">
        <w:rPr>
          <w:szCs w:val="26"/>
        </w:rPr>
        <w:t xml:space="preserve">(PJM), have implemented regional requirements for individual generating resources </w:t>
      </w:r>
      <w:r w:rsidR="008B1B00" w:rsidRPr="00797BFA">
        <w:rPr>
          <w:szCs w:val="26"/>
        </w:rPr>
        <w:t xml:space="preserve">within their regions </w:t>
      </w:r>
      <w:r w:rsidR="006E4241" w:rsidRPr="00797BFA">
        <w:rPr>
          <w:szCs w:val="26"/>
        </w:rPr>
        <w:t xml:space="preserve">in order to maintain </w:t>
      </w:r>
      <w:r w:rsidR="00C31761" w:rsidRPr="00797BFA">
        <w:rPr>
          <w:szCs w:val="26"/>
        </w:rPr>
        <w:t>reliability.</w:t>
      </w:r>
    </w:p>
    <w:p w14:paraId="7878F79B" w14:textId="121DD191" w:rsidR="00053C81" w:rsidRPr="00797BFA" w:rsidRDefault="001557CE" w:rsidP="006C2F01">
      <w:pPr>
        <w:pStyle w:val="FERCparanumber"/>
        <w:tabs>
          <w:tab w:val="num" w:pos="720"/>
          <w:tab w:val="num" w:pos="1080"/>
        </w:tabs>
        <w:ind w:left="0"/>
        <w:rPr>
          <w:szCs w:val="26"/>
        </w:rPr>
      </w:pPr>
      <w:r w:rsidRPr="00797BFA">
        <w:rPr>
          <w:szCs w:val="26"/>
        </w:rPr>
        <w:t>For example, t</w:t>
      </w:r>
      <w:r w:rsidR="00714CD3" w:rsidRPr="00797BFA">
        <w:rPr>
          <w:szCs w:val="26"/>
        </w:rPr>
        <w:t xml:space="preserve">he Commission accepted </w:t>
      </w:r>
      <w:r w:rsidR="00886759" w:rsidRPr="00797BFA">
        <w:rPr>
          <w:szCs w:val="26"/>
        </w:rPr>
        <w:t>T</w:t>
      </w:r>
      <w:r w:rsidR="007D7EE3" w:rsidRPr="00797BFA">
        <w:rPr>
          <w:szCs w:val="26"/>
        </w:rPr>
        <w:t xml:space="preserve">exas </w:t>
      </w:r>
      <w:r w:rsidR="00886759" w:rsidRPr="00797BFA">
        <w:rPr>
          <w:szCs w:val="26"/>
        </w:rPr>
        <w:t>R</w:t>
      </w:r>
      <w:r w:rsidR="007D7EE3" w:rsidRPr="00797BFA">
        <w:rPr>
          <w:szCs w:val="26"/>
        </w:rPr>
        <w:t xml:space="preserve">eliability </w:t>
      </w:r>
      <w:r w:rsidR="00886759" w:rsidRPr="00797BFA">
        <w:rPr>
          <w:szCs w:val="26"/>
        </w:rPr>
        <w:t>E</w:t>
      </w:r>
      <w:r w:rsidR="007D7EE3" w:rsidRPr="00797BFA">
        <w:rPr>
          <w:szCs w:val="26"/>
        </w:rPr>
        <w:t>ntity Inc.’s</w:t>
      </w:r>
      <w:r w:rsidR="00053C81" w:rsidRPr="00797BFA">
        <w:rPr>
          <w:szCs w:val="26"/>
        </w:rPr>
        <w:t xml:space="preserve"> Regional Reliability Standard BAL-001-TRE-0</w:t>
      </w:r>
      <w:r w:rsidR="007D7EE3" w:rsidRPr="00797BFA">
        <w:rPr>
          <w:szCs w:val="26"/>
        </w:rPr>
        <w:t>1 (</w:t>
      </w:r>
      <w:r w:rsidR="007D7EE3" w:rsidRPr="00797BFA">
        <w:t>Primary Frequency Response in the ERCOT Region)</w:t>
      </w:r>
      <w:r w:rsidR="00886759" w:rsidRPr="00797BFA">
        <w:rPr>
          <w:szCs w:val="26"/>
        </w:rPr>
        <w:t xml:space="preserve"> </w:t>
      </w:r>
      <w:r w:rsidR="00714CD3" w:rsidRPr="00797BFA">
        <w:rPr>
          <w:szCs w:val="26"/>
        </w:rPr>
        <w:t>as mandatory and enforceable,</w:t>
      </w:r>
      <w:r w:rsidR="00053C81" w:rsidRPr="00797BFA">
        <w:rPr>
          <w:szCs w:val="26"/>
        </w:rPr>
        <w:t xml:space="preserve"> </w:t>
      </w:r>
      <w:r w:rsidR="00714CD3" w:rsidRPr="00797BFA">
        <w:rPr>
          <w:szCs w:val="26"/>
        </w:rPr>
        <w:t xml:space="preserve">which </w:t>
      </w:r>
      <w:r w:rsidR="00053C81" w:rsidRPr="00797BFA">
        <w:rPr>
          <w:szCs w:val="26"/>
        </w:rPr>
        <w:t xml:space="preserve">places </w:t>
      </w:r>
      <w:r w:rsidR="00714CD3" w:rsidRPr="00797BFA">
        <w:rPr>
          <w:szCs w:val="26"/>
        </w:rPr>
        <w:t>r</w:t>
      </w:r>
      <w:r w:rsidR="00053C81" w:rsidRPr="00797BFA">
        <w:rPr>
          <w:szCs w:val="26"/>
        </w:rPr>
        <w:t xml:space="preserve">equirements on </w:t>
      </w:r>
      <w:r w:rsidR="009818ED" w:rsidRPr="00797BFA">
        <w:rPr>
          <w:szCs w:val="26"/>
        </w:rPr>
        <w:t>g</w:t>
      </w:r>
      <w:r w:rsidR="00053C81" w:rsidRPr="00797BFA">
        <w:rPr>
          <w:szCs w:val="26"/>
        </w:rPr>
        <w:t xml:space="preserve">enerator </w:t>
      </w:r>
      <w:r w:rsidR="009818ED" w:rsidRPr="00797BFA">
        <w:rPr>
          <w:szCs w:val="26"/>
        </w:rPr>
        <w:t>o</w:t>
      </w:r>
      <w:r w:rsidR="00053C81" w:rsidRPr="00797BFA">
        <w:rPr>
          <w:szCs w:val="26"/>
        </w:rPr>
        <w:t xml:space="preserve">wners </w:t>
      </w:r>
      <w:r w:rsidR="0056575D" w:rsidRPr="00797BFA">
        <w:rPr>
          <w:szCs w:val="26"/>
        </w:rPr>
        <w:t xml:space="preserve">and </w:t>
      </w:r>
      <w:r w:rsidR="009818ED" w:rsidRPr="00797BFA">
        <w:rPr>
          <w:szCs w:val="26"/>
        </w:rPr>
        <w:t>o</w:t>
      </w:r>
      <w:r w:rsidR="0056575D" w:rsidRPr="00797BFA">
        <w:rPr>
          <w:szCs w:val="26"/>
        </w:rPr>
        <w:t xml:space="preserve">perators </w:t>
      </w:r>
      <w:r w:rsidR="00053C81" w:rsidRPr="00797BFA">
        <w:rPr>
          <w:szCs w:val="26"/>
        </w:rPr>
        <w:t>with respect to the provision of primary frequency response</w:t>
      </w:r>
      <w:r w:rsidR="0056575D" w:rsidRPr="00797BFA">
        <w:rPr>
          <w:szCs w:val="26"/>
        </w:rPr>
        <w:t xml:space="preserve"> within the ERCOT region</w:t>
      </w:r>
      <w:r w:rsidR="00053C81" w:rsidRPr="00797BFA">
        <w:rPr>
          <w:szCs w:val="26"/>
        </w:rPr>
        <w:t>.</w:t>
      </w:r>
      <w:r w:rsidR="00291138" w:rsidRPr="00797BFA">
        <w:rPr>
          <w:rStyle w:val="FootnoteReference"/>
        </w:rPr>
        <w:footnoteReference w:id="56"/>
      </w:r>
      <w:r w:rsidR="00291138" w:rsidRPr="00797BFA">
        <w:rPr>
          <w:szCs w:val="26"/>
        </w:rPr>
        <w:t xml:space="preserve">  </w:t>
      </w:r>
      <w:r w:rsidR="0056575D" w:rsidRPr="00797BFA">
        <w:rPr>
          <w:szCs w:val="26"/>
        </w:rPr>
        <w:t xml:space="preserve">In particular, </w:t>
      </w:r>
      <w:r w:rsidR="00EE3407" w:rsidRPr="00797BFA">
        <w:rPr>
          <w:szCs w:val="26"/>
        </w:rPr>
        <w:t>BAL-001-TRE-01</w:t>
      </w:r>
      <w:r w:rsidR="00053C81" w:rsidRPr="00797BFA">
        <w:rPr>
          <w:szCs w:val="26"/>
        </w:rPr>
        <w:t xml:space="preserve"> requires</w:t>
      </w:r>
      <w:r w:rsidR="008B1B00" w:rsidRPr="00797BFA">
        <w:rPr>
          <w:szCs w:val="26"/>
        </w:rPr>
        <w:t xml:space="preserve"> </w:t>
      </w:r>
      <w:r w:rsidR="009818ED" w:rsidRPr="00797BFA">
        <w:rPr>
          <w:szCs w:val="26"/>
        </w:rPr>
        <w:t>g</w:t>
      </w:r>
      <w:r w:rsidR="00EE3407" w:rsidRPr="00797BFA">
        <w:rPr>
          <w:szCs w:val="26"/>
        </w:rPr>
        <w:t xml:space="preserve">enerator </w:t>
      </w:r>
      <w:r w:rsidR="009818ED" w:rsidRPr="00797BFA">
        <w:rPr>
          <w:szCs w:val="26"/>
        </w:rPr>
        <w:t>o</w:t>
      </w:r>
      <w:r w:rsidR="00EE3407" w:rsidRPr="00797BFA">
        <w:rPr>
          <w:szCs w:val="26"/>
        </w:rPr>
        <w:t>wner</w:t>
      </w:r>
      <w:r w:rsidR="006E0F63" w:rsidRPr="00797BFA">
        <w:rPr>
          <w:szCs w:val="26"/>
        </w:rPr>
        <w:t>s</w:t>
      </w:r>
      <w:r w:rsidR="00053C81" w:rsidRPr="00797BFA">
        <w:rPr>
          <w:szCs w:val="26"/>
        </w:rPr>
        <w:t xml:space="preserve"> </w:t>
      </w:r>
      <w:r w:rsidR="00806395" w:rsidRPr="00797BFA">
        <w:rPr>
          <w:szCs w:val="26"/>
        </w:rPr>
        <w:t xml:space="preserve">to </w:t>
      </w:r>
      <w:r w:rsidR="00053C81" w:rsidRPr="00797BFA">
        <w:rPr>
          <w:szCs w:val="26"/>
        </w:rPr>
        <w:t xml:space="preserve">operate each generating unit/generating facility that is connected to the interconnected transmission system with the </w:t>
      </w:r>
      <w:r w:rsidR="008B1B00" w:rsidRPr="00797BFA">
        <w:rPr>
          <w:szCs w:val="26"/>
        </w:rPr>
        <w:t>g</w:t>
      </w:r>
      <w:r w:rsidR="00053C81" w:rsidRPr="00797BFA">
        <w:rPr>
          <w:szCs w:val="26"/>
        </w:rPr>
        <w:t>overnor in service and responsive to frequency when the generating unit/generating facility is online and released for dispatch</w:t>
      </w:r>
      <w:r w:rsidR="00413093" w:rsidRPr="00797BFA">
        <w:rPr>
          <w:szCs w:val="26"/>
        </w:rPr>
        <w:t xml:space="preserve">, and to promptly notify the </w:t>
      </w:r>
      <w:r w:rsidR="00F41EB6" w:rsidRPr="00797BFA">
        <w:rPr>
          <w:szCs w:val="26"/>
        </w:rPr>
        <w:t>balancing authorit</w:t>
      </w:r>
      <w:r w:rsidR="00413093" w:rsidRPr="00797BFA">
        <w:rPr>
          <w:szCs w:val="26"/>
        </w:rPr>
        <w:t>y of any change in governor status</w:t>
      </w:r>
      <w:r w:rsidR="00053C81" w:rsidRPr="00797BFA">
        <w:rPr>
          <w:szCs w:val="26"/>
        </w:rPr>
        <w:t>.</w:t>
      </w:r>
      <w:r w:rsidR="008B1B00" w:rsidRPr="00797BFA">
        <w:rPr>
          <w:rStyle w:val="FootnoteReference"/>
        </w:rPr>
        <w:footnoteReference w:id="57"/>
      </w:r>
      <w:r w:rsidR="00053C81" w:rsidRPr="00797BFA">
        <w:rPr>
          <w:szCs w:val="26"/>
        </w:rPr>
        <w:t xml:space="preserve">  </w:t>
      </w:r>
      <w:r w:rsidR="008B1B00" w:rsidRPr="00797BFA">
        <w:rPr>
          <w:szCs w:val="26"/>
        </w:rPr>
        <w:t>Additionally</w:t>
      </w:r>
      <w:r w:rsidR="00EE3407" w:rsidRPr="00797BFA">
        <w:rPr>
          <w:szCs w:val="26"/>
        </w:rPr>
        <w:t xml:space="preserve">, </w:t>
      </w:r>
      <w:r w:rsidR="00CF4DEF">
        <w:rPr>
          <w:szCs w:val="26"/>
        </w:rPr>
        <w:t xml:space="preserve">       </w:t>
      </w:r>
      <w:r w:rsidR="003E3450" w:rsidRPr="00797BFA">
        <w:rPr>
          <w:szCs w:val="26"/>
        </w:rPr>
        <w:t>BAL-001-TRE-01 requires</w:t>
      </w:r>
      <w:r w:rsidR="00F606D3" w:rsidRPr="00797BFA">
        <w:rPr>
          <w:szCs w:val="26"/>
        </w:rPr>
        <w:t xml:space="preserve"> </w:t>
      </w:r>
      <w:r w:rsidR="009818ED" w:rsidRPr="00797BFA">
        <w:rPr>
          <w:szCs w:val="26"/>
        </w:rPr>
        <w:t>g</w:t>
      </w:r>
      <w:r w:rsidR="00264909" w:rsidRPr="00797BFA">
        <w:rPr>
          <w:szCs w:val="26"/>
        </w:rPr>
        <w:t xml:space="preserve">enerator </w:t>
      </w:r>
      <w:r w:rsidR="009818ED" w:rsidRPr="00797BFA">
        <w:rPr>
          <w:szCs w:val="26"/>
        </w:rPr>
        <w:t>o</w:t>
      </w:r>
      <w:r w:rsidR="00264909" w:rsidRPr="00797BFA">
        <w:rPr>
          <w:szCs w:val="26"/>
        </w:rPr>
        <w:t>wner</w:t>
      </w:r>
      <w:r w:rsidR="00F606D3" w:rsidRPr="00797BFA">
        <w:rPr>
          <w:szCs w:val="26"/>
        </w:rPr>
        <w:t>s</w:t>
      </w:r>
      <w:r w:rsidR="00EE3407" w:rsidRPr="00797BFA">
        <w:rPr>
          <w:szCs w:val="26"/>
        </w:rPr>
        <w:t xml:space="preserve"> to </w:t>
      </w:r>
      <w:r w:rsidR="00053C81" w:rsidRPr="00797BFA">
        <w:rPr>
          <w:szCs w:val="26"/>
        </w:rPr>
        <w:t xml:space="preserve">set specified </w:t>
      </w:r>
      <w:r w:rsidR="003E3450" w:rsidRPr="00797BFA">
        <w:rPr>
          <w:szCs w:val="26"/>
        </w:rPr>
        <w:t>g</w:t>
      </w:r>
      <w:r w:rsidR="00053C81" w:rsidRPr="00797BFA">
        <w:rPr>
          <w:szCs w:val="26"/>
        </w:rPr>
        <w:t>overnor dead</w:t>
      </w:r>
      <w:r w:rsidR="00264909" w:rsidRPr="00797BFA">
        <w:rPr>
          <w:szCs w:val="26"/>
        </w:rPr>
        <w:t xml:space="preserve"> </w:t>
      </w:r>
      <w:r w:rsidR="00053C81" w:rsidRPr="00797BFA">
        <w:rPr>
          <w:szCs w:val="26"/>
        </w:rPr>
        <w:t>band and droop parameters</w:t>
      </w:r>
      <w:r w:rsidR="008B1B00" w:rsidRPr="00797BFA">
        <w:rPr>
          <w:szCs w:val="26"/>
        </w:rPr>
        <w:t>.</w:t>
      </w:r>
      <w:r w:rsidR="008B1B00" w:rsidRPr="00797BFA">
        <w:rPr>
          <w:rStyle w:val="FootnoteReference"/>
        </w:rPr>
        <w:footnoteReference w:id="58"/>
      </w:r>
      <w:r w:rsidR="008B1B00" w:rsidRPr="00797BFA">
        <w:rPr>
          <w:szCs w:val="26"/>
        </w:rPr>
        <w:t xml:space="preserve">  Moreover, BAL-001-TRE-01 requires </w:t>
      </w:r>
      <w:r w:rsidR="009818ED" w:rsidRPr="00797BFA">
        <w:rPr>
          <w:szCs w:val="26"/>
        </w:rPr>
        <w:t>g</w:t>
      </w:r>
      <w:r w:rsidR="008B1B00" w:rsidRPr="00797BFA">
        <w:rPr>
          <w:szCs w:val="26"/>
        </w:rPr>
        <w:t xml:space="preserve">enerator </w:t>
      </w:r>
      <w:r w:rsidR="009818ED" w:rsidRPr="00797BFA">
        <w:rPr>
          <w:szCs w:val="26"/>
        </w:rPr>
        <w:t>o</w:t>
      </w:r>
      <w:r w:rsidR="008B1B00" w:rsidRPr="00797BFA">
        <w:rPr>
          <w:szCs w:val="26"/>
        </w:rPr>
        <w:t xml:space="preserve">wners to </w:t>
      </w:r>
      <w:r w:rsidR="003E3450" w:rsidRPr="00797BFA">
        <w:rPr>
          <w:szCs w:val="26"/>
        </w:rPr>
        <w:t xml:space="preserve">provide </w:t>
      </w:r>
      <w:r w:rsidR="00413093" w:rsidRPr="00797BFA">
        <w:rPr>
          <w:szCs w:val="26"/>
        </w:rPr>
        <w:t>minimum</w:t>
      </w:r>
      <w:r w:rsidR="00A90062" w:rsidRPr="00797BFA">
        <w:rPr>
          <w:szCs w:val="26"/>
        </w:rPr>
        <w:t xml:space="preserve"> </w:t>
      </w:r>
      <w:r w:rsidR="00053C81" w:rsidRPr="00797BFA">
        <w:rPr>
          <w:szCs w:val="26"/>
        </w:rPr>
        <w:t xml:space="preserve">initial and sustained </w:t>
      </w:r>
      <w:r w:rsidR="009818ED" w:rsidRPr="00797BFA">
        <w:rPr>
          <w:szCs w:val="26"/>
        </w:rPr>
        <w:t>p</w:t>
      </w:r>
      <w:r w:rsidR="00053C81" w:rsidRPr="00797BFA">
        <w:rPr>
          <w:szCs w:val="26"/>
        </w:rPr>
        <w:t xml:space="preserve">rimary </w:t>
      </w:r>
      <w:r w:rsidR="009818ED" w:rsidRPr="00797BFA">
        <w:rPr>
          <w:szCs w:val="26"/>
        </w:rPr>
        <w:t>f</w:t>
      </w:r>
      <w:r w:rsidR="00053C81" w:rsidRPr="00797BFA">
        <w:rPr>
          <w:szCs w:val="26"/>
        </w:rPr>
        <w:t xml:space="preserve">requency </w:t>
      </w:r>
      <w:r w:rsidR="009818ED" w:rsidRPr="00797BFA">
        <w:rPr>
          <w:szCs w:val="26"/>
        </w:rPr>
        <w:t>r</w:t>
      </w:r>
      <w:r w:rsidR="00053C81" w:rsidRPr="00797BFA">
        <w:rPr>
          <w:szCs w:val="26"/>
        </w:rPr>
        <w:t>esponse performance.</w:t>
      </w:r>
      <w:r w:rsidR="00264909" w:rsidRPr="00797BFA">
        <w:rPr>
          <w:rStyle w:val="FootnoteReference"/>
        </w:rPr>
        <w:footnoteReference w:id="59"/>
      </w:r>
      <w:r w:rsidR="00053C81" w:rsidRPr="00797BFA">
        <w:rPr>
          <w:szCs w:val="26"/>
        </w:rPr>
        <w:t xml:space="preserve">  NERC recently noted that ERCOT experienced a significant improvement in its frequency response performance as generators with</w:t>
      </w:r>
      <w:r w:rsidR="00E9359C" w:rsidRPr="00797BFA">
        <w:rPr>
          <w:szCs w:val="26"/>
        </w:rPr>
        <w:t>in</w:t>
      </w:r>
      <w:r w:rsidR="00053C81" w:rsidRPr="00797BFA">
        <w:rPr>
          <w:szCs w:val="26"/>
        </w:rPr>
        <w:t xml:space="preserve"> its region adjusted their governor settings </w:t>
      </w:r>
      <w:r w:rsidR="00CF4DEF">
        <w:rPr>
          <w:szCs w:val="26"/>
        </w:rPr>
        <w:t xml:space="preserve">   </w:t>
      </w:r>
      <w:r w:rsidR="00053C81" w:rsidRPr="00797BFA">
        <w:rPr>
          <w:szCs w:val="26"/>
        </w:rPr>
        <w:t>for compliance with BAL-001-TRE-01.</w:t>
      </w:r>
      <w:r w:rsidR="00D86089" w:rsidRPr="00797BFA">
        <w:rPr>
          <w:rStyle w:val="FootnoteReference"/>
        </w:rPr>
        <w:footnoteReference w:id="60"/>
      </w:r>
    </w:p>
    <w:p w14:paraId="53BFE5C6" w14:textId="3D2BE986" w:rsidR="00714CD3" w:rsidRPr="00797BFA" w:rsidRDefault="00F606D3" w:rsidP="006C2F01">
      <w:pPr>
        <w:pStyle w:val="FERCparanumber"/>
        <w:tabs>
          <w:tab w:val="num" w:pos="720"/>
          <w:tab w:val="num" w:pos="1080"/>
        </w:tabs>
        <w:ind w:left="0"/>
        <w:rPr>
          <w:szCs w:val="26"/>
        </w:rPr>
      </w:pPr>
      <w:r w:rsidRPr="00797BFA">
        <w:rPr>
          <w:szCs w:val="26"/>
        </w:rPr>
        <w:t xml:space="preserve">ISO-NE requires each generator within its region with a capability of ten MW </w:t>
      </w:r>
      <w:r w:rsidR="00CF4DEF">
        <w:rPr>
          <w:szCs w:val="26"/>
        </w:rPr>
        <w:t xml:space="preserve">    </w:t>
      </w:r>
      <w:r w:rsidRPr="00797BFA">
        <w:rPr>
          <w:szCs w:val="26"/>
        </w:rPr>
        <w:t xml:space="preserve">or more, including renewable resources, to operate with a functioning governor </w:t>
      </w:r>
      <w:r w:rsidR="004B50A2" w:rsidRPr="00797BFA">
        <w:rPr>
          <w:szCs w:val="26"/>
        </w:rPr>
        <w:t>with</w:t>
      </w:r>
      <w:r w:rsidR="00B73FE8" w:rsidRPr="00797BFA">
        <w:rPr>
          <w:szCs w:val="26"/>
        </w:rPr>
        <w:t xml:space="preserve"> </w:t>
      </w:r>
      <w:r w:rsidRPr="00797BFA">
        <w:rPr>
          <w:szCs w:val="26"/>
        </w:rPr>
        <w:t xml:space="preserve">specified </w:t>
      </w:r>
      <w:r w:rsidR="008E1B68" w:rsidRPr="00797BFA">
        <w:rPr>
          <w:szCs w:val="26"/>
        </w:rPr>
        <w:t>dead</w:t>
      </w:r>
      <w:r w:rsidR="003A7C20" w:rsidRPr="00797BFA">
        <w:rPr>
          <w:szCs w:val="26"/>
        </w:rPr>
        <w:t xml:space="preserve"> </w:t>
      </w:r>
      <w:r w:rsidR="008E1B68" w:rsidRPr="00797BFA">
        <w:rPr>
          <w:szCs w:val="26"/>
        </w:rPr>
        <w:t xml:space="preserve">band </w:t>
      </w:r>
      <w:r w:rsidRPr="00797BFA">
        <w:rPr>
          <w:szCs w:val="26"/>
        </w:rPr>
        <w:t>and droop setting</w:t>
      </w:r>
      <w:r w:rsidR="007D7EE3" w:rsidRPr="00797BFA">
        <w:rPr>
          <w:szCs w:val="26"/>
        </w:rPr>
        <w:t>s</w:t>
      </w:r>
      <w:r w:rsidRPr="00797BFA">
        <w:rPr>
          <w:szCs w:val="26"/>
        </w:rPr>
        <w:t>, and to also ensure that the provision of primary frequency response is not inhibited by the effects of outer</w:t>
      </w:r>
      <w:r w:rsidR="000B2117" w:rsidRPr="00797BFA">
        <w:rPr>
          <w:szCs w:val="26"/>
        </w:rPr>
        <w:t>-</w:t>
      </w:r>
      <w:r w:rsidRPr="00797BFA">
        <w:rPr>
          <w:szCs w:val="26"/>
        </w:rPr>
        <w:t>loop controls.</w:t>
      </w:r>
      <w:r w:rsidRPr="00797BFA">
        <w:rPr>
          <w:rStyle w:val="FootnoteReference"/>
          <w:rFonts w:eastAsia="Calibri"/>
        </w:rPr>
        <w:footnoteReference w:id="61"/>
      </w:r>
      <w:r w:rsidRPr="00797BFA">
        <w:rPr>
          <w:szCs w:val="26"/>
        </w:rPr>
        <w:t xml:space="preserve"> </w:t>
      </w:r>
    </w:p>
    <w:p w14:paraId="1A6E0C08" w14:textId="35C093FA" w:rsidR="009818ED" w:rsidRPr="00797BFA" w:rsidRDefault="00A57EA1" w:rsidP="00E61265">
      <w:pPr>
        <w:pStyle w:val="FERCparanumber"/>
        <w:tabs>
          <w:tab w:val="clear" w:pos="1170"/>
          <w:tab w:val="num" w:pos="720"/>
        </w:tabs>
        <w:ind w:left="0"/>
        <w:rPr>
          <w:szCs w:val="26"/>
        </w:rPr>
      </w:pPr>
      <w:r w:rsidRPr="00797BFA">
        <w:rPr>
          <w:szCs w:val="26"/>
        </w:rPr>
        <w:t xml:space="preserve">PJM has </w:t>
      </w:r>
      <w:r w:rsidRPr="00797BFA">
        <w:rPr>
          <w:i/>
          <w:szCs w:val="26"/>
        </w:rPr>
        <w:t>pro forma</w:t>
      </w:r>
      <w:r w:rsidRPr="00797BFA">
        <w:rPr>
          <w:szCs w:val="26"/>
        </w:rPr>
        <w:t xml:space="preserve"> </w:t>
      </w:r>
      <w:r w:rsidR="0004745A" w:rsidRPr="00797BFA">
        <w:rPr>
          <w:szCs w:val="26"/>
        </w:rPr>
        <w:t>i</w:t>
      </w:r>
      <w:r w:rsidRPr="00797BFA">
        <w:rPr>
          <w:szCs w:val="26"/>
        </w:rPr>
        <w:t xml:space="preserve">nterconnection </w:t>
      </w:r>
      <w:r w:rsidR="0004745A" w:rsidRPr="00797BFA">
        <w:rPr>
          <w:szCs w:val="26"/>
        </w:rPr>
        <w:t>a</w:t>
      </w:r>
      <w:r w:rsidRPr="00797BFA">
        <w:rPr>
          <w:szCs w:val="26"/>
        </w:rPr>
        <w:t xml:space="preserve">greements that obligate </w:t>
      </w:r>
      <w:r w:rsidR="009818ED" w:rsidRPr="00797BFA">
        <w:rPr>
          <w:szCs w:val="26"/>
        </w:rPr>
        <w:t>i</w:t>
      </w:r>
      <w:r w:rsidRPr="00797BFA">
        <w:rPr>
          <w:szCs w:val="26"/>
        </w:rPr>
        <w:t xml:space="preserve">nterconnection </w:t>
      </w:r>
      <w:r w:rsidR="009818ED" w:rsidRPr="00797BFA">
        <w:rPr>
          <w:szCs w:val="26"/>
        </w:rPr>
        <w:t>c</w:t>
      </w:r>
      <w:r w:rsidRPr="00797BFA">
        <w:rPr>
          <w:szCs w:val="26"/>
        </w:rPr>
        <w:t>ustomers within its region to abide by all PJM rules and procedures pertaining to generation and transmission, including rules and procedures set forth in the PJM Manuals.</w:t>
      </w:r>
      <w:r w:rsidRPr="00797BFA">
        <w:rPr>
          <w:rStyle w:val="FootnoteReference"/>
        </w:rPr>
        <w:footnoteReference w:id="62"/>
      </w:r>
      <w:r w:rsidRPr="00797BFA">
        <w:t xml:space="preserve">  PJM requires large, conventional generators to operate on unrestricted governor control to assist in maintaining Interconnection frequency, and recently established specified governor dead band and droop requirements for all generating resources (excluding nuclear units) with a gross plant/facility aggregate nameplate </w:t>
      </w:r>
      <w:r w:rsidR="001D7D5A">
        <w:t xml:space="preserve">  </w:t>
      </w:r>
      <w:r w:rsidRPr="00797BFA">
        <w:t>rating greater than 75 MVA.</w:t>
      </w:r>
      <w:r w:rsidRPr="00797BFA">
        <w:rPr>
          <w:rStyle w:val="FootnoteReference"/>
        </w:rPr>
        <w:footnoteReference w:id="63"/>
      </w:r>
      <w:r w:rsidRPr="00797BFA">
        <w:t xml:space="preserve">  </w:t>
      </w:r>
      <w:r w:rsidRPr="00797BFA">
        <w:rPr>
          <w:rFonts w:eastAsia="Calibri"/>
          <w:szCs w:val="26"/>
        </w:rPr>
        <w:t xml:space="preserve">In addition, </w:t>
      </w:r>
      <w:r w:rsidR="0056575D" w:rsidRPr="00797BFA">
        <w:rPr>
          <w:rFonts w:eastAsia="Calibri"/>
          <w:szCs w:val="26"/>
        </w:rPr>
        <w:t xml:space="preserve">PJM recently added </w:t>
      </w:r>
      <w:r w:rsidR="006E0F63" w:rsidRPr="00797BFA">
        <w:rPr>
          <w:rFonts w:eastAsia="Calibri"/>
          <w:szCs w:val="26"/>
        </w:rPr>
        <w:t xml:space="preserve">new </w:t>
      </w:r>
      <w:r w:rsidR="0056575D" w:rsidRPr="00797BFA">
        <w:rPr>
          <w:rFonts w:eastAsia="Calibri"/>
          <w:szCs w:val="26"/>
        </w:rPr>
        <w:t xml:space="preserve">interconnection requirements for </w:t>
      </w:r>
      <w:r w:rsidR="00586476" w:rsidRPr="00797BFA">
        <w:t xml:space="preserve">interconnection customers </w:t>
      </w:r>
      <w:r w:rsidR="00586476" w:rsidRPr="00797BFA">
        <w:rPr>
          <w:szCs w:val="26"/>
        </w:rPr>
        <w:t xml:space="preserve">entering its queue after May 2015 and </w:t>
      </w:r>
      <w:r w:rsidR="00586476" w:rsidRPr="00797BFA">
        <w:t xml:space="preserve">seeking to interconnect non-synchronous generators, </w:t>
      </w:r>
      <w:r w:rsidR="00875ACE" w:rsidRPr="00797BFA">
        <w:t>including wind generators, to use “enhanced inverters” with the capability to, among other things, provide primary frequency response.</w:t>
      </w:r>
      <w:r w:rsidR="00586476" w:rsidRPr="00797BFA">
        <w:rPr>
          <w:rStyle w:val="FootnoteReference"/>
        </w:rPr>
        <w:footnoteReference w:id="64"/>
      </w:r>
      <w:r w:rsidR="00586476" w:rsidRPr="00797BFA">
        <w:rPr>
          <w:szCs w:val="26"/>
        </w:rPr>
        <w:t xml:space="preserve">  </w:t>
      </w:r>
      <w:r w:rsidR="00467DA6" w:rsidRPr="00797BFA">
        <w:rPr>
          <w:szCs w:val="26"/>
        </w:rPr>
        <w:t xml:space="preserve">PJM stated that the installed capacity of VERs in its region is expected to increase to approximately 15 GW by </w:t>
      </w:r>
      <w:r w:rsidR="007040B9" w:rsidRPr="00797BFA">
        <w:rPr>
          <w:szCs w:val="26"/>
        </w:rPr>
        <w:t>the 2016-</w:t>
      </w:r>
      <w:r w:rsidR="00467DA6" w:rsidRPr="00797BFA">
        <w:rPr>
          <w:szCs w:val="26"/>
        </w:rPr>
        <w:t>17</w:t>
      </w:r>
      <w:r w:rsidR="007040B9" w:rsidRPr="00797BFA">
        <w:rPr>
          <w:szCs w:val="26"/>
        </w:rPr>
        <w:t xml:space="preserve"> delivery year</w:t>
      </w:r>
      <w:r w:rsidR="00467DA6" w:rsidRPr="00797BFA">
        <w:rPr>
          <w:szCs w:val="26"/>
        </w:rPr>
        <w:t>, and that it has an additional 25 GW of VERs in its interconnection queue.</w:t>
      </w:r>
      <w:r w:rsidR="00467DA6" w:rsidRPr="00797BFA">
        <w:rPr>
          <w:rStyle w:val="FootnoteReference"/>
        </w:rPr>
        <w:footnoteReference w:id="65"/>
      </w:r>
      <w:r w:rsidR="00467DA6" w:rsidRPr="00797BFA">
        <w:rPr>
          <w:szCs w:val="26"/>
        </w:rPr>
        <w:t xml:space="preserve">  PJM expressed a need for VERs to install the capability to automatically reduce or increase </w:t>
      </w:r>
      <w:r w:rsidR="0056575D" w:rsidRPr="00797BFA">
        <w:rPr>
          <w:szCs w:val="26"/>
        </w:rPr>
        <w:t xml:space="preserve">their </w:t>
      </w:r>
      <w:r w:rsidR="00467DA6" w:rsidRPr="00797BFA">
        <w:rPr>
          <w:szCs w:val="26"/>
        </w:rPr>
        <w:t>real power output in order to respond to a variety of system conditions, including high or low frequencies.  PJM also stated that this capability will provide flexibility in responding to transmission system events using all available resources</w:t>
      </w:r>
      <w:r w:rsidR="00586476" w:rsidRPr="00797BFA">
        <w:rPr>
          <w:szCs w:val="26"/>
        </w:rPr>
        <w:t xml:space="preserve"> which, according to PJM, </w:t>
      </w:r>
      <w:r w:rsidR="00467DA6" w:rsidRPr="00797BFA">
        <w:rPr>
          <w:szCs w:val="26"/>
        </w:rPr>
        <w:t>will be increasingly important as VERs displace synchronous generators that have these capabilities.</w:t>
      </w:r>
      <w:r w:rsidR="00586476" w:rsidRPr="00797BFA">
        <w:rPr>
          <w:rStyle w:val="FootnoteReference"/>
        </w:rPr>
        <w:footnoteReference w:id="66"/>
      </w:r>
    </w:p>
    <w:p w14:paraId="44E68AA6" w14:textId="01529167" w:rsidR="009818ED" w:rsidRPr="00797BFA" w:rsidRDefault="009818ED" w:rsidP="004D24E5">
      <w:pPr>
        <w:pStyle w:val="Heading2"/>
        <w:tabs>
          <w:tab w:val="clear" w:pos="1080"/>
          <w:tab w:val="num" w:pos="1440"/>
        </w:tabs>
        <w:ind w:left="1440"/>
      </w:pPr>
      <w:r w:rsidRPr="00797BFA">
        <w:t xml:space="preserve">Compensation for </w:t>
      </w:r>
      <w:r w:rsidR="00F31367" w:rsidRPr="00797BFA">
        <w:t xml:space="preserve">Primary </w:t>
      </w:r>
      <w:r w:rsidRPr="00797BFA">
        <w:t>Frequency Response Service</w:t>
      </w:r>
    </w:p>
    <w:p w14:paraId="7F9D199D" w14:textId="77777777" w:rsidR="003A38E4" w:rsidRDefault="00164631" w:rsidP="00B40202">
      <w:pPr>
        <w:pStyle w:val="FERCparanumber"/>
        <w:tabs>
          <w:tab w:val="clear" w:pos="1170"/>
          <w:tab w:val="num" w:pos="720"/>
        </w:tabs>
        <w:ind w:left="0"/>
        <w:rPr>
          <w:szCs w:val="26"/>
        </w:rPr>
      </w:pPr>
      <w:r w:rsidRPr="00797BFA">
        <w:rPr>
          <w:szCs w:val="26"/>
        </w:rPr>
        <w:t>This section offers an overview of Commission and industry action to date related</w:t>
      </w:r>
      <w:r w:rsidR="0004745A" w:rsidRPr="00797BFA">
        <w:rPr>
          <w:szCs w:val="26"/>
        </w:rPr>
        <w:t xml:space="preserve"> to </w:t>
      </w:r>
      <w:r w:rsidR="009818ED" w:rsidRPr="00797BFA">
        <w:rPr>
          <w:szCs w:val="26"/>
        </w:rPr>
        <w:t>compensation</w:t>
      </w:r>
      <w:r w:rsidR="00185E6F" w:rsidRPr="00797BFA">
        <w:rPr>
          <w:szCs w:val="26"/>
        </w:rPr>
        <w:t xml:space="preserve"> for primary frequency response</w:t>
      </w:r>
      <w:r w:rsidR="009818ED" w:rsidRPr="00797BFA">
        <w:rPr>
          <w:szCs w:val="26"/>
        </w:rPr>
        <w:t xml:space="preserve">.  </w:t>
      </w:r>
      <w:r w:rsidR="00B77902" w:rsidRPr="00B40202">
        <w:rPr>
          <w:szCs w:val="26"/>
        </w:rPr>
        <w:t>At present, t</w:t>
      </w:r>
      <w:r w:rsidR="00C219E1" w:rsidRPr="00B40202">
        <w:rPr>
          <w:szCs w:val="26"/>
        </w:rPr>
        <w:t>he</w:t>
      </w:r>
      <w:r w:rsidR="009818ED" w:rsidRPr="00B40202">
        <w:rPr>
          <w:szCs w:val="26"/>
        </w:rPr>
        <w:t>re</w:t>
      </w:r>
      <w:r w:rsidR="00C219E1" w:rsidRPr="00B40202">
        <w:rPr>
          <w:szCs w:val="26"/>
        </w:rPr>
        <w:t xml:space="preserve"> </w:t>
      </w:r>
      <w:r w:rsidR="009818ED" w:rsidRPr="00B40202">
        <w:rPr>
          <w:szCs w:val="26"/>
        </w:rPr>
        <w:t>are few, if</w:t>
      </w:r>
      <w:r w:rsidR="00C219E1" w:rsidRPr="00B40202">
        <w:rPr>
          <w:szCs w:val="26"/>
        </w:rPr>
        <w:t xml:space="preserve"> any</w:t>
      </w:r>
      <w:r w:rsidR="00B77902" w:rsidRPr="00B40202">
        <w:rPr>
          <w:szCs w:val="26"/>
        </w:rPr>
        <w:t>,</w:t>
      </w:r>
      <w:r w:rsidR="00C219E1" w:rsidRPr="00B40202">
        <w:rPr>
          <w:szCs w:val="26"/>
        </w:rPr>
        <w:t xml:space="preserve"> entit</w:t>
      </w:r>
      <w:r w:rsidR="00D26ED7" w:rsidRPr="00B40202">
        <w:rPr>
          <w:szCs w:val="26"/>
        </w:rPr>
        <w:t>ies</w:t>
      </w:r>
      <w:r w:rsidR="00C219E1" w:rsidRPr="00B40202">
        <w:rPr>
          <w:szCs w:val="26"/>
        </w:rPr>
        <w:t xml:space="preserve"> </w:t>
      </w:r>
      <w:r w:rsidR="00B77902" w:rsidRPr="00B40202">
        <w:rPr>
          <w:szCs w:val="26"/>
        </w:rPr>
        <w:t xml:space="preserve">receiving compensation for </w:t>
      </w:r>
      <w:r w:rsidR="00C219E1" w:rsidRPr="00B40202">
        <w:rPr>
          <w:szCs w:val="26"/>
        </w:rPr>
        <w:t>selling primary frequency response</w:t>
      </w:r>
      <w:r w:rsidR="00F44009" w:rsidRPr="00B40202">
        <w:rPr>
          <w:szCs w:val="26"/>
        </w:rPr>
        <w:t xml:space="preserve"> as a stand-alone product</w:t>
      </w:r>
      <w:r w:rsidR="00B77902" w:rsidRPr="00B40202">
        <w:rPr>
          <w:szCs w:val="26"/>
        </w:rPr>
        <w:t>,</w:t>
      </w:r>
      <w:r w:rsidR="00D26ED7" w:rsidRPr="00B40202">
        <w:rPr>
          <w:szCs w:val="26"/>
        </w:rPr>
        <w:t xml:space="preserve"> and</w:t>
      </w:r>
      <w:r w:rsidR="00C219E1" w:rsidRPr="00B40202">
        <w:rPr>
          <w:szCs w:val="26"/>
        </w:rPr>
        <w:t xml:space="preserve"> there are no current rates </w:t>
      </w:r>
      <w:r w:rsidR="00B77902" w:rsidRPr="00B40202">
        <w:rPr>
          <w:szCs w:val="26"/>
        </w:rPr>
        <w:t xml:space="preserve">applicable to sales of </w:t>
      </w:r>
      <w:r w:rsidR="00C219E1" w:rsidRPr="00B40202">
        <w:rPr>
          <w:szCs w:val="26"/>
        </w:rPr>
        <w:t>primary frequency response</w:t>
      </w:r>
      <w:r w:rsidR="00F44009" w:rsidRPr="00B40202">
        <w:rPr>
          <w:szCs w:val="26"/>
        </w:rPr>
        <w:t xml:space="preserve"> alone</w:t>
      </w:r>
      <w:r w:rsidR="00B77902" w:rsidRPr="00B40202">
        <w:rPr>
          <w:szCs w:val="26"/>
        </w:rPr>
        <w:t>.</w:t>
      </w:r>
      <w:r w:rsidR="00D26ED7" w:rsidRPr="00B40202">
        <w:rPr>
          <w:szCs w:val="26"/>
        </w:rPr>
        <w:t xml:space="preserve">  However, </w:t>
      </w:r>
      <w:r w:rsidR="00C219E1" w:rsidRPr="00B40202">
        <w:rPr>
          <w:szCs w:val="26"/>
        </w:rPr>
        <w:t>several options for tra</w:t>
      </w:r>
      <w:r w:rsidR="00D26ED7" w:rsidRPr="00B40202">
        <w:rPr>
          <w:szCs w:val="26"/>
        </w:rPr>
        <w:t>nsactions involving primary frequency response</w:t>
      </w:r>
      <w:r w:rsidR="003F62F5" w:rsidRPr="00B40202">
        <w:rPr>
          <w:szCs w:val="26"/>
        </w:rPr>
        <w:t xml:space="preserve"> have been </w:t>
      </w:r>
      <w:r w:rsidR="00153C27" w:rsidRPr="00B40202">
        <w:rPr>
          <w:szCs w:val="26"/>
        </w:rPr>
        <w:t>developed</w:t>
      </w:r>
      <w:r w:rsidR="00C219E1" w:rsidRPr="00B40202">
        <w:rPr>
          <w:szCs w:val="26"/>
        </w:rPr>
        <w:t xml:space="preserve">.  Transmission </w:t>
      </w:r>
      <w:r w:rsidR="00D26ED7" w:rsidRPr="00B40202">
        <w:rPr>
          <w:szCs w:val="26"/>
        </w:rPr>
        <w:t>p</w:t>
      </w:r>
      <w:r w:rsidR="00C219E1" w:rsidRPr="00B40202">
        <w:rPr>
          <w:szCs w:val="26"/>
        </w:rPr>
        <w:t xml:space="preserve">roviders may sell primary frequency response service in combination with regulation service under the bundled </w:t>
      </w:r>
      <w:r w:rsidR="00C219E1" w:rsidRPr="00B40202">
        <w:rPr>
          <w:i/>
          <w:szCs w:val="26"/>
        </w:rPr>
        <w:t xml:space="preserve">pro forma </w:t>
      </w:r>
      <w:r w:rsidR="005F52F7" w:rsidRPr="00B40202">
        <w:rPr>
          <w:szCs w:val="26"/>
        </w:rPr>
        <w:t>OATT</w:t>
      </w:r>
      <w:r w:rsidR="00C219E1" w:rsidRPr="00B40202">
        <w:rPr>
          <w:szCs w:val="26"/>
        </w:rPr>
        <w:t xml:space="preserve"> Schedule 3 product, </w:t>
      </w:r>
      <w:r w:rsidR="00C219E1" w:rsidRPr="00797BFA">
        <w:t>Regulation</w:t>
      </w:r>
      <w:r w:rsidR="00C219E1" w:rsidRPr="00B40202">
        <w:rPr>
          <w:szCs w:val="26"/>
        </w:rPr>
        <w:t xml:space="preserve"> and Frequency Response Service.</w:t>
      </w:r>
      <w:r w:rsidR="00C219E1" w:rsidRPr="00797BFA">
        <w:rPr>
          <w:rStyle w:val="FootnoteReference"/>
        </w:rPr>
        <w:footnoteReference w:id="67"/>
      </w:r>
      <w:r w:rsidR="00C219E1" w:rsidRPr="00B40202">
        <w:rPr>
          <w:szCs w:val="26"/>
        </w:rPr>
        <w:t xml:space="preserve">  Schedule 3 in the </w:t>
      </w:r>
    </w:p>
    <w:p w14:paraId="39B99052" w14:textId="77777777" w:rsidR="003A38E4" w:rsidRDefault="003A38E4">
      <w:pPr>
        <w:widowControl/>
        <w:autoSpaceDE/>
        <w:autoSpaceDN/>
        <w:adjustRightInd/>
        <w:rPr>
          <w:szCs w:val="26"/>
        </w:rPr>
      </w:pPr>
      <w:r>
        <w:rPr>
          <w:szCs w:val="26"/>
        </w:rPr>
        <w:br w:type="page"/>
      </w:r>
    </w:p>
    <w:p w14:paraId="090F185D" w14:textId="48ECA66D" w:rsidR="00C219E1" w:rsidRPr="00B40202" w:rsidRDefault="00C219E1" w:rsidP="003A38E4">
      <w:pPr>
        <w:pStyle w:val="FERCparanumber"/>
        <w:numPr>
          <w:ilvl w:val="0"/>
          <w:numId w:val="0"/>
        </w:numPr>
        <w:rPr>
          <w:szCs w:val="26"/>
        </w:rPr>
      </w:pPr>
      <w:r w:rsidRPr="00B40202">
        <w:rPr>
          <w:i/>
          <w:szCs w:val="26"/>
        </w:rPr>
        <w:t>pro forma</w:t>
      </w:r>
      <w:r w:rsidRPr="00B40202">
        <w:rPr>
          <w:szCs w:val="26"/>
        </w:rPr>
        <w:t xml:space="preserve"> OATT in Order Nos. 888</w:t>
      </w:r>
      <w:r w:rsidRPr="00797BFA">
        <w:rPr>
          <w:rStyle w:val="FootnoteReference"/>
        </w:rPr>
        <w:footnoteReference w:id="68"/>
      </w:r>
      <w:r w:rsidRPr="00B40202">
        <w:rPr>
          <w:szCs w:val="26"/>
        </w:rPr>
        <w:t xml:space="preserve"> and 890</w:t>
      </w:r>
      <w:r w:rsidRPr="00797BFA">
        <w:rPr>
          <w:rStyle w:val="FootnoteReference"/>
        </w:rPr>
        <w:footnoteReference w:id="69"/>
      </w:r>
      <w:r w:rsidRPr="00B40202">
        <w:rPr>
          <w:szCs w:val="26"/>
        </w:rPr>
        <w:t xml:space="preserve"> permits jurisdictional </w:t>
      </w:r>
      <w:r w:rsidR="00876F75" w:rsidRPr="00B40202">
        <w:rPr>
          <w:szCs w:val="26"/>
        </w:rPr>
        <w:t>t</w:t>
      </w:r>
      <w:r w:rsidRPr="00B40202">
        <w:rPr>
          <w:szCs w:val="26"/>
        </w:rPr>
        <w:t xml:space="preserve">ransmission </w:t>
      </w:r>
      <w:r w:rsidR="00876F75" w:rsidRPr="00B40202">
        <w:rPr>
          <w:szCs w:val="26"/>
        </w:rPr>
        <w:t>p</w:t>
      </w:r>
      <w:r w:rsidRPr="00B40202">
        <w:rPr>
          <w:szCs w:val="26"/>
        </w:rPr>
        <w:t xml:space="preserve">roviders to outline their rates for this regulation and frequency response service </w:t>
      </w:r>
      <w:r w:rsidR="008D31D5">
        <w:rPr>
          <w:szCs w:val="26"/>
        </w:rPr>
        <w:t xml:space="preserve">  </w:t>
      </w:r>
      <w:r w:rsidRPr="00B40202">
        <w:rPr>
          <w:szCs w:val="26"/>
        </w:rPr>
        <w:t>through a filing</w:t>
      </w:r>
      <w:r w:rsidR="0060238A" w:rsidRPr="00B40202">
        <w:rPr>
          <w:szCs w:val="26"/>
        </w:rPr>
        <w:t xml:space="preserve"> under </w:t>
      </w:r>
      <w:r w:rsidR="0006465C" w:rsidRPr="00B40202">
        <w:rPr>
          <w:szCs w:val="26"/>
        </w:rPr>
        <w:t xml:space="preserve">FPA </w:t>
      </w:r>
      <w:r w:rsidR="0060238A" w:rsidRPr="00B40202">
        <w:rPr>
          <w:szCs w:val="26"/>
        </w:rPr>
        <w:t>section 205</w:t>
      </w:r>
      <w:r w:rsidRPr="00B40202">
        <w:rPr>
          <w:szCs w:val="26"/>
        </w:rPr>
        <w:t xml:space="preserve">.  Schedule 3 charges are cost-based rates paid by </w:t>
      </w:r>
      <w:r w:rsidR="00876F75" w:rsidRPr="00B40202">
        <w:rPr>
          <w:szCs w:val="26"/>
        </w:rPr>
        <w:t>t</w:t>
      </w:r>
      <w:r w:rsidRPr="00B40202">
        <w:rPr>
          <w:szCs w:val="26"/>
        </w:rPr>
        <w:t xml:space="preserve">ransmission </w:t>
      </w:r>
      <w:r w:rsidR="00876F75" w:rsidRPr="00B40202">
        <w:rPr>
          <w:szCs w:val="26"/>
        </w:rPr>
        <w:t>c</w:t>
      </w:r>
      <w:r w:rsidRPr="00B40202">
        <w:rPr>
          <w:szCs w:val="26"/>
        </w:rPr>
        <w:t xml:space="preserve">ustomers to the </w:t>
      </w:r>
      <w:r w:rsidR="00876F75" w:rsidRPr="00B40202">
        <w:rPr>
          <w:szCs w:val="26"/>
        </w:rPr>
        <w:t>t</w:t>
      </w:r>
      <w:r w:rsidRPr="00B40202">
        <w:rPr>
          <w:szCs w:val="26"/>
        </w:rPr>
        <w:t xml:space="preserve">ransmission </w:t>
      </w:r>
      <w:r w:rsidR="00876F75" w:rsidRPr="00B40202">
        <w:rPr>
          <w:szCs w:val="26"/>
        </w:rPr>
        <w:t>p</w:t>
      </w:r>
      <w:r w:rsidRPr="00B40202">
        <w:rPr>
          <w:szCs w:val="26"/>
        </w:rPr>
        <w:t>rovider.  Additionally, Order No. 784 made it possible for third</w:t>
      </w:r>
      <w:r w:rsidR="00876F75" w:rsidRPr="00B40202">
        <w:rPr>
          <w:szCs w:val="26"/>
        </w:rPr>
        <w:t>-</w:t>
      </w:r>
      <w:r w:rsidRPr="00B40202">
        <w:rPr>
          <w:szCs w:val="26"/>
        </w:rPr>
        <w:t xml:space="preserve">party sellers to offer Schedule 3 service to the </w:t>
      </w:r>
      <w:r w:rsidR="00876F75" w:rsidRPr="00B40202">
        <w:rPr>
          <w:szCs w:val="26"/>
        </w:rPr>
        <w:t>t</w:t>
      </w:r>
      <w:r w:rsidRPr="00B40202">
        <w:rPr>
          <w:szCs w:val="26"/>
        </w:rPr>
        <w:t xml:space="preserve">ransmission </w:t>
      </w:r>
      <w:r w:rsidR="00876F75" w:rsidRPr="00B40202">
        <w:rPr>
          <w:szCs w:val="26"/>
        </w:rPr>
        <w:t>p</w:t>
      </w:r>
      <w:r w:rsidRPr="00B40202">
        <w:rPr>
          <w:szCs w:val="26"/>
        </w:rPr>
        <w:t>rovider at a rate up to the published Schedule 3 rate, or at rates that result from an appropriate competitive solicitation.</w:t>
      </w:r>
      <w:r w:rsidR="00876F75" w:rsidRPr="00797BFA">
        <w:rPr>
          <w:rStyle w:val="FootnoteReference"/>
        </w:rPr>
        <w:footnoteReference w:id="70"/>
      </w:r>
      <w:r w:rsidRPr="00B40202">
        <w:rPr>
          <w:szCs w:val="26"/>
        </w:rPr>
        <w:t xml:space="preserve">  </w:t>
      </w:r>
      <w:r w:rsidRPr="00797BFA">
        <w:t>Such third-party sales could involve any combination of regulation and primary frequency response services, including unbundled primary frequency response service by itself.</w:t>
      </w:r>
    </w:p>
    <w:p w14:paraId="137C1483" w14:textId="5B382886" w:rsidR="00C219E1" w:rsidRPr="00797BFA" w:rsidRDefault="00C219E1" w:rsidP="00DC18E7">
      <w:pPr>
        <w:pStyle w:val="FERCparanumber"/>
        <w:tabs>
          <w:tab w:val="num" w:pos="720"/>
          <w:tab w:val="num" w:pos="1080"/>
        </w:tabs>
        <w:ind w:left="0"/>
      </w:pPr>
      <w:r w:rsidRPr="00797BFA">
        <w:t>Finally,</w:t>
      </w:r>
      <w:r w:rsidR="003764DB" w:rsidRPr="00797BFA">
        <w:t xml:space="preserve"> in</w:t>
      </w:r>
      <w:r w:rsidRPr="00797BFA">
        <w:t xml:space="preserve"> Order No. 819</w:t>
      </w:r>
      <w:r w:rsidR="00876F75" w:rsidRPr="00797BFA">
        <w:t xml:space="preserve">, the Commission </w:t>
      </w:r>
      <w:r w:rsidR="009F24B1">
        <w:t>revised its regulations to foster competition in the sale of primary frequency response service.</w:t>
      </w:r>
      <w:r w:rsidR="009F24B1" w:rsidRPr="00797BFA">
        <w:rPr>
          <w:b/>
          <w:vertAlign w:val="superscript"/>
        </w:rPr>
        <w:footnoteReference w:id="71"/>
      </w:r>
      <w:r w:rsidR="009F24B1">
        <w:t xml:space="preserve">  In the final rule, the Commission </w:t>
      </w:r>
      <w:r w:rsidR="00876F75" w:rsidRPr="00797BFA">
        <w:t>approved the sale of primary frequency response service at market-based rates by</w:t>
      </w:r>
      <w:r w:rsidRPr="00797BFA">
        <w:t xml:space="preserve"> entities that qualify for market-based rate authority for sales of energy and capacity to any willing buyer.</w:t>
      </w:r>
      <w:r w:rsidR="00794CDA" w:rsidRPr="00797BFA">
        <w:t xml:space="preserve">  </w:t>
      </w:r>
      <w:r w:rsidR="003612E5" w:rsidRPr="00797BFA">
        <w:rPr>
          <w:szCs w:val="26"/>
        </w:rPr>
        <w:t>Order No. 819 focuse</w:t>
      </w:r>
      <w:r w:rsidR="008D3116" w:rsidRPr="00797BFA">
        <w:rPr>
          <w:szCs w:val="26"/>
        </w:rPr>
        <w:t>d</w:t>
      </w:r>
      <w:r w:rsidR="003612E5" w:rsidRPr="00797BFA">
        <w:rPr>
          <w:szCs w:val="26"/>
        </w:rPr>
        <w:t xml:space="preserve"> on how jurisdictional entities can qualify for market-based rates for primary frequency response service in the context of voluntary bilateral sales, and d</w:t>
      </w:r>
      <w:r w:rsidR="008D3116" w:rsidRPr="00797BFA">
        <w:rPr>
          <w:szCs w:val="26"/>
        </w:rPr>
        <w:t>id</w:t>
      </w:r>
      <w:r w:rsidR="003612E5" w:rsidRPr="00797BFA">
        <w:rPr>
          <w:szCs w:val="26"/>
        </w:rPr>
        <w:t xml:space="preserve"> not place any limits on the types of transactions available to procure primary frequency response service; they may be cost-based or market-based, bundled with other services or unbundled, and inside or outside of organized markets.</w:t>
      </w:r>
      <w:r w:rsidR="003612E5" w:rsidRPr="00797BFA">
        <w:rPr>
          <w:rStyle w:val="FootnoteReference"/>
        </w:rPr>
        <w:footnoteReference w:id="72"/>
      </w:r>
      <w:r w:rsidR="003612E5" w:rsidRPr="00797BFA">
        <w:rPr>
          <w:szCs w:val="26"/>
        </w:rPr>
        <w:t xml:space="preserve"> </w:t>
      </w:r>
      <w:r w:rsidR="008D3116" w:rsidRPr="00797BFA">
        <w:rPr>
          <w:szCs w:val="26"/>
        </w:rPr>
        <w:t xml:space="preserve"> </w:t>
      </w:r>
      <w:r w:rsidR="003612E5" w:rsidRPr="00797BFA">
        <w:rPr>
          <w:szCs w:val="26"/>
        </w:rPr>
        <w:t>Order No. 819 d</w:t>
      </w:r>
      <w:r w:rsidR="008D3116" w:rsidRPr="00797BFA">
        <w:rPr>
          <w:szCs w:val="26"/>
        </w:rPr>
        <w:t>id</w:t>
      </w:r>
      <w:r w:rsidR="003612E5" w:rsidRPr="00797BFA">
        <w:rPr>
          <w:szCs w:val="26"/>
        </w:rPr>
        <w:t xml:space="preserve"> not require any entity to purchase primary frequency response from third parties or develop an organized market for primary frequency response.</w:t>
      </w:r>
      <w:r w:rsidR="003612E5" w:rsidRPr="00797BFA">
        <w:rPr>
          <w:rStyle w:val="FootnoteReference"/>
        </w:rPr>
        <w:footnoteReference w:id="73"/>
      </w:r>
    </w:p>
    <w:p w14:paraId="148F279B" w14:textId="68B602BB" w:rsidR="00896C68" w:rsidRPr="00797BFA" w:rsidRDefault="00601626" w:rsidP="00896C68">
      <w:pPr>
        <w:pStyle w:val="Heading1"/>
      </w:pPr>
      <w:r w:rsidRPr="00797BFA">
        <w:t>Request for Comments</w:t>
      </w:r>
    </w:p>
    <w:p w14:paraId="52EF1FC0" w14:textId="0415B410" w:rsidR="00A86D45" w:rsidRPr="00797BFA" w:rsidRDefault="006A24F7" w:rsidP="00ED4FE5">
      <w:pPr>
        <w:pStyle w:val="FERCparanumber"/>
        <w:tabs>
          <w:tab w:val="clear" w:pos="1170"/>
          <w:tab w:val="num" w:pos="720"/>
        </w:tabs>
        <w:ind w:left="0"/>
      </w:pPr>
      <w:r w:rsidRPr="00797BFA">
        <w:t>T</w:t>
      </w:r>
      <w:r w:rsidR="00E654B0" w:rsidRPr="00797BFA">
        <w:t xml:space="preserve">he Commission seeks comment on </w:t>
      </w:r>
      <w:r w:rsidR="00601626" w:rsidRPr="00797BFA">
        <w:t xml:space="preserve">the need for reforms to its rules and regulations regarding the provision and compensation of primary frequency response.  Specifically, the Commission seeks comment on </w:t>
      </w:r>
      <w:r w:rsidR="00E654B0" w:rsidRPr="00797BFA">
        <w:t>possible actions to</w:t>
      </w:r>
      <w:r w:rsidRPr="00797BFA">
        <w:t xml:space="preserve"> ensure that the provision of primary frequency response continues to remain at levels adequate to maintain the reliability of the </w:t>
      </w:r>
      <w:r w:rsidR="004A0C54" w:rsidRPr="00797BFA">
        <w:t>Bulk-Power System</w:t>
      </w:r>
      <w:r w:rsidRPr="00797BFA">
        <w:t xml:space="preserve"> in light of</w:t>
      </w:r>
      <w:r w:rsidR="00E654B0" w:rsidRPr="00797BFA">
        <w:t xml:space="preserve"> the ongoing transformation of the nation’s generation resource mix</w:t>
      </w:r>
      <w:r w:rsidR="00D12F4E" w:rsidRPr="00797BFA">
        <w:t>.</w:t>
      </w:r>
      <w:r w:rsidR="001A0418" w:rsidRPr="00797BFA">
        <w:t xml:space="preserve">  T</w:t>
      </w:r>
      <w:r w:rsidR="00D12F4E" w:rsidRPr="00797BFA">
        <w:t>he Commission</w:t>
      </w:r>
      <w:r w:rsidR="0004734D" w:rsidRPr="00797BFA">
        <w:t xml:space="preserve"> understands</w:t>
      </w:r>
      <w:r w:rsidR="00E654B0" w:rsidRPr="00797BFA">
        <w:t xml:space="preserve"> </w:t>
      </w:r>
      <w:r w:rsidR="0004734D" w:rsidRPr="00797BFA">
        <w:t xml:space="preserve">that this transformation </w:t>
      </w:r>
      <w:r w:rsidR="007D3D75" w:rsidRPr="00797BFA">
        <w:t xml:space="preserve">in the nation’s generation portfolio </w:t>
      </w:r>
      <w:r w:rsidR="0004734D" w:rsidRPr="00797BFA">
        <w:t xml:space="preserve">could eventually </w:t>
      </w:r>
      <w:r w:rsidR="00A86D45" w:rsidRPr="00797BFA">
        <w:t xml:space="preserve">result in a </w:t>
      </w:r>
      <w:r w:rsidR="001A0418" w:rsidRPr="00797BFA">
        <w:t xml:space="preserve">reduction </w:t>
      </w:r>
      <w:r w:rsidR="00CF69E3">
        <w:t>of</w:t>
      </w:r>
      <w:r w:rsidR="00CF69E3" w:rsidRPr="00797BFA">
        <w:t xml:space="preserve"> </w:t>
      </w:r>
      <w:r w:rsidR="001A0418" w:rsidRPr="00797BFA">
        <w:t>system inertia</w:t>
      </w:r>
      <w:r w:rsidR="00A86D45" w:rsidRPr="00797BFA">
        <w:t xml:space="preserve"> and </w:t>
      </w:r>
      <w:r w:rsidR="007C7659">
        <w:t xml:space="preserve">fewer generation resources with </w:t>
      </w:r>
      <w:r w:rsidR="00A86D45" w:rsidRPr="00797BFA">
        <w:t>primary frequency response capabilit</w:t>
      </w:r>
      <w:r w:rsidR="00905203">
        <w:t>ies</w:t>
      </w:r>
      <w:r w:rsidR="00B505B0">
        <w:t xml:space="preserve">. </w:t>
      </w:r>
      <w:r w:rsidR="001A0418" w:rsidRPr="00797BFA">
        <w:t xml:space="preserve"> </w:t>
      </w:r>
      <w:r w:rsidR="00B505B0" w:rsidRPr="00797BFA">
        <w:t xml:space="preserve">In addition, as discussed above, NERC has indicated that a </w:t>
      </w:r>
      <w:r w:rsidR="00B505B0" w:rsidRPr="00797BFA">
        <w:rPr>
          <w:szCs w:val="26"/>
        </w:rPr>
        <w:t>significant number of generators within the Eastern Interconnection utilize dead bands or governor control settings that either inhibit or prevent the provision of primary frequency response</w:t>
      </w:r>
      <w:r w:rsidR="00B505B0">
        <w:rPr>
          <w:szCs w:val="26"/>
        </w:rPr>
        <w:t xml:space="preserve">.  </w:t>
      </w:r>
      <w:r w:rsidR="007C7659">
        <w:t>Together, these factors could result in</w:t>
      </w:r>
      <w:r w:rsidR="00A86D45" w:rsidRPr="00797BFA">
        <w:t xml:space="preserve"> </w:t>
      </w:r>
      <w:r w:rsidR="00360825" w:rsidRPr="00797BFA">
        <w:t>potential</w:t>
      </w:r>
      <w:r w:rsidR="00A86D45" w:rsidRPr="00797BFA">
        <w:t xml:space="preserve"> </w:t>
      </w:r>
      <w:r w:rsidR="001A0418" w:rsidRPr="00797BFA">
        <w:t xml:space="preserve">downward shifts of the frequency nadir </w:t>
      </w:r>
      <w:r w:rsidR="00A86D45" w:rsidRPr="00797BFA">
        <w:t xml:space="preserve">during disturbances, </w:t>
      </w:r>
      <w:r w:rsidR="001A0418" w:rsidRPr="00797BFA">
        <w:t xml:space="preserve">closer to UFLS </w:t>
      </w:r>
      <w:r w:rsidR="001F2156" w:rsidRPr="00797BFA">
        <w:t>set points</w:t>
      </w:r>
      <w:r w:rsidR="007C7659">
        <w:t xml:space="preserve"> that </w:t>
      </w:r>
      <w:r w:rsidR="007C7659" w:rsidRPr="008668F4">
        <w:t>would</w:t>
      </w:r>
      <w:r w:rsidR="007C7659">
        <w:t xml:space="preserve"> trigger significant widespread outages</w:t>
      </w:r>
      <w:r w:rsidR="001F2156" w:rsidRPr="00797BFA">
        <w:t>.</w:t>
      </w:r>
      <w:r w:rsidR="00A86D45" w:rsidRPr="00797BFA">
        <w:t xml:space="preserve">  </w:t>
      </w:r>
    </w:p>
    <w:p w14:paraId="35AEDDBA" w14:textId="3417596C" w:rsidR="00DC18E7" w:rsidRPr="00797BFA" w:rsidRDefault="003612E5" w:rsidP="00ED4FE5">
      <w:pPr>
        <w:pStyle w:val="FERCparanumber"/>
        <w:tabs>
          <w:tab w:val="clear" w:pos="1170"/>
          <w:tab w:val="num" w:pos="720"/>
        </w:tabs>
        <w:ind w:left="0"/>
      </w:pPr>
      <w:r w:rsidRPr="00797BFA">
        <w:t xml:space="preserve">Presently, there are no </w:t>
      </w:r>
      <w:r w:rsidRPr="00797BFA">
        <w:rPr>
          <w:i/>
        </w:rPr>
        <w:t>pro forma</w:t>
      </w:r>
      <w:r w:rsidRPr="00797BFA">
        <w:t xml:space="preserve"> agreements for primary frequency response transactions.  </w:t>
      </w:r>
      <w:r w:rsidR="00B608DF" w:rsidRPr="00797BFA">
        <w:t>V</w:t>
      </w:r>
      <w:r w:rsidRPr="00797BFA">
        <w:t>oluntary sales</w:t>
      </w:r>
      <w:r w:rsidR="00B608DF" w:rsidRPr="00797BFA">
        <w:t xml:space="preserve"> of primary frequency response,</w:t>
      </w:r>
      <w:r w:rsidRPr="00797BFA">
        <w:t xml:space="preserve"> would most likely involve negotiated, bilateral contracts between buyers and sellers.  In this regard, considering their compliance obligations under Reliability Standard BAL-003-1, balancing authorities will be the most likely source of demand for voluntary purchases of primary frequency response service from third-party sellers, including those who have not provided the service in the past.  </w:t>
      </w:r>
      <w:r w:rsidR="00431D9C">
        <w:t>Accordingly, as discussed further below, t</w:t>
      </w:r>
      <w:r w:rsidRPr="00797BFA">
        <w:t xml:space="preserve">he Commission seeks comment on whether and to what extent balancing authority </w:t>
      </w:r>
      <w:r w:rsidR="008668F4">
        <w:t xml:space="preserve">demand </w:t>
      </w:r>
      <w:r w:rsidR="00431D9C">
        <w:t xml:space="preserve">for voluntary purchases of frequency response </w:t>
      </w:r>
      <w:r w:rsidRPr="00797BFA">
        <w:t xml:space="preserve"> would be reduced if all or all newly interconnecting resources were required to provide frequency </w:t>
      </w:r>
      <w:r w:rsidRPr="00797BFA">
        <w:rPr>
          <w:szCs w:val="26"/>
        </w:rPr>
        <w:t>response service</w:t>
      </w:r>
      <w:r w:rsidR="00431D9C">
        <w:rPr>
          <w:szCs w:val="26"/>
        </w:rPr>
        <w:t>.  Further, we also seek comment on</w:t>
      </w:r>
      <w:r w:rsidR="00D84A51">
        <w:rPr>
          <w:szCs w:val="26"/>
        </w:rPr>
        <w:t xml:space="preserve"> the impact this would have on the Commission’s efforts under Order</w:t>
      </w:r>
      <w:r w:rsidR="008D31D5">
        <w:rPr>
          <w:szCs w:val="26"/>
        </w:rPr>
        <w:t xml:space="preserve">       </w:t>
      </w:r>
      <w:r w:rsidR="00D84A51">
        <w:rPr>
          <w:szCs w:val="26"/>
        </w:rPr>
        <w:t xml:space="preserve"> No. 819 to foster the development of a bilateral market for market-based rate sales of primary frequency response service as a means of cost-effectively meeting such demand.</w:t>
      </w:r>
      <w:r w:rsidR="00B608DF" w:rsidRPr="00797BFA">
        <w:rPr>
          <w:szCs w:val="26"/>
        </w:rPr>
        <w:t xml:space="preserve"> </w:t>
      </w:r>
    </w:p>
    <w:p w14:paraId="5C8BAED2" w14:textId="3D397BC8" w:rsidR="003612E5" w:rsidRPr="00797BFA" w:rsidRDefault="00153C27" w:rsidP="00ED4FE5">
      <w:pPr>
        <w:pStyle w:val="FERCparanumber"/>
        <w:tabs>
          <w:tab w:val="clear" w:pos="1170"/>
          <w:tab w:val="num" w:pos="720"/>
        </w:tabs>
        <w:ind w:left="0"/>
      </w:pPr>
      <w:r w:rsidRPr="00797BFA">
        <w:rPr>
          <w:szCs w:val="26"/>
        </w:rPr>
        <w:t>W</w:t>
      </w:r>
      <w:r w:rsidR="00DC18E7" w:rsidRPr="00797BFA">
        <w:rPr>
          <w:szCs w:val="26"/>
        </w:rPr>
        <w:t xml:space="preserve">ithin </w:t>
      </w:r>
      <w:r w:rsidR="00DC18E7" w:rsidRPr="00797BFA">
        <w:t xml:space="preserve">RTO/ISO </w:t>
      </w:r>
      <w:r w:rsidR="00DC18E7" w:rsidRPr="00797BFA">
        <w:rPr>
          <w:szCs w:val="26"/>
        </w:rPr>
        <w:t xml:space="preserve">markets, no current stand-alone primary frequency response product exists.  </w:t>
      </w:r>
      <w:r w:rsidR="00DC18E7" w:rsidRPr="00797BFA">
        <w:t>Any RTO/ISO that desires to explicitly procure and compensate primary frequency response would need new tariff provisions because no RTO/ISO currently defines or procures such a product.</w:t>
      </w:r>
      <w:r w:rsidR="00D84A51">
        <w:t xml:space="preserve">  </w:t>
      </w:r>
      <w:r w:rsidR="00431D9C">
        <w:t>As discussed below, t</w:t>
      </w:r>
      <w:r w:rsidR="00D84A51">
        <w:t>he Commission seeks comment on the need for and the nature of frequency response compensation within the context of current RTO/ISO market optimization processes.</w:t>
      </w:r>
    </w:p>
    <w:p w14:paraId="7366DF85" w14:textId="4AA8F6DB" w:rsidR="00896C68" w:rsidRPr="00797BFA" w:rsidRDefault="00A57EA1" w:rsidP="00ED4FE5">
      <w:pPr>
        <w:pStyle w:val="FERCparanumber"/>
        <w:tabs>
          <w:tab w:val="clear" w:pos="1170"/>
          <w:tab w:val="num" w:pos="720"/>
        </w:tabs>
        <w:ind w:left="0"/>
      </w:pPr>
      <w:r w:rsidRPr="00797BFA">
        <w:t>Accordingly</w:t>
      </w:r>
      <w:r w:rsidR="00A40373" w:rsidRPr="00797BFA">
        <w:t xml:space="preserve">, </w:t>
      </w:r>
      <w:r w:rsidRPr="00797BFA">
        <w:t xml:space="preserve">the </w:t>
      </w:r>
      <w:r w:rsidR="00D001F8" w:rsidRPr="00797BFA">
        <w:t>Commission seeks comment</w:t>
      </w:r>
      <w:r w:rsidR="007D3D75" w:rsidRPr="00797BFA">
        <w:t xml:space="preserve"> </w:t>
      </w:r>
      <w:r w:rsidR="00D001F8" w:rsidRPr="00797BFA">
        <w:t xml:space="preserve">on </w:t>
      </w:r>
      <w:r w:rsidR="007D3D75" w:rsidRPr="00797BFA">
        <w:t xml:space="preserve">the following </w:t>
      </w:r>
      <w:r w:rsidR="00D001F8" w:rsidRPr="00797BFA">
        <w:t>possible actions</w:t>
      </w:r>
      <w:r w:rsidR="007D3D75" w:rsidRPr="00797BFA">
        <w:t>, discussed in more detail below</w:t>
      </w:r>
      <w:r w:rsidR="00D001F8" w:rsidRPr="00797BFA">
        <w:t xml:space="preserve">: </w:t>
      </w:r>
      <w:r w:rsidR="008D31D5">
        <w:t xml:space="preserve"> </w:t>
      </w:r>
      <w:r w:rsidR="00D001F8" w:rsidRPr="00797BFA">
        <w:t xml:space="preserve">(1) modifications to the </w:t>
      </w:r>
      <w:r w:rsidR="00D001F8" w:rsidRPr="00797BFA">
        <w:rPr>
          <w:i/>
        </w:rPr>
        <w:t xml:space="preserve">pro forma </w:t>
      </w:r>
      <w:r w:rsidR="00D001F8" w:rsidRPr="00797BFA">
        <w:t>LGIA and SGIA mandating primary frequency response requirements for new resources, among other changes</w:t>
      </w:r>
      <w:r w:rsidR="00FE0167" w:rsidRPr="00797BFA">
        <w:t xml:space="preserve">; </w:t>
      </w:r>
      <w:r w:rsidR="00CB7B4A" w:rsidRPr="00797BFA">
        <w:t>(</w:t>
      </w:r>
      <w:r w:rsidR="00BF5341" w:rsidRPr="00797BFA">
        <w:t>2</w:t>
      </w:r>
      <w:r w:rsidR="00CB7B4A" w:rsidRPr="00797BFA">
        <w:t xml:space="preserve">) </w:t>
      </w:r>
      <w:r w:rsidR="00BF5341" w:rsidRPr="00797BFA">
        <w:t xml:space="preserve">new primary frequency response requirements for existing resources; </w:t>
      </w:r>
      <w:r w:rsidR="00743EEA" w:rsidRPr="00797BFA">
        <w:t xml:space="preserve">and </w:t>
      </w:r>
      <w:r w:rsidR="008D31D5">
        <w:t xml:space="preserve"> </w:t>
      </w:r>
      <w:r w:rsidR="00BF5341" w:rsidRPr="00797BFA">
        <w:t xml:space="preserve">(3) </w:t>
      </w:r>
      <w:r w:rsidR="00842382" w:rsidRPr="00797BFA">
        <w:t>the requirement to provide and compensate for primary frequency response</w:t>
      </w:r>
      <w:r w:rsidR="00896C68" w:rsidRPr="00797BFA">
        <w:t>.</w:t>
      </w:r>
    </w:p>
    <w:p w14:paraId="468EA730" w14:textId="77777777" w:rsidR="00896C68" w:rsidRPr="00797BFA" w:rsidRDefault="00944707" w:rsidP="008F5D2A">
      <w:pPr>
        <w:pStyle w:val="Heading2"/>
        <w:tabs>
          <w:tab w:val="clear" w:pos="1080"/>
          <w:tab w:val="num" w:pos="1440"/>
        </w:tabs>
        <w:ind w:left="1440"/>
      </w:pPr>
      <w:r w:rsidRPr="00797BFA">
        <w:t xml:space="preserve">Modifications to the </w:t>
      </w:r>
      <w:r w:rsidR="00DA43AC" w:rsidRPr="00797BFA">
        <w:rPr>
          <w:i/>
        </w:rPr>
        <w:t>p</w:t>
      </w:r>
      <w:r w:rsidRPr="00797BFA">
        <w:rPr>
          <w:i/>
        </w:rPr>
        <w:t xml:space="preserve">ro </w:t>
      </w:r>
      <w:r w:rsidR="00DA43AC" w:rsidRPr="00797BFA">
        <w:rPr>
          <w:i/>
        </w:rPr>
        <w:t>f</w:t>
      </w:r>
      <w:r w:rsidRPr="00797BFA">
        <w:rPr>
          <w:i/>
        </w:rPr>
        <w:t>orma</w:t>
      </w:r>
      <w:r w:rsidRPr="00797BFA">
        <w:t xml:space="preserve"> LGIA and SGIA</w:t>
      </w:r>
    </w:p>
    <w:p w14:paraId="4DB15EF2" w14:textId="10A1A89B" w:rsidR="00D55013" w:rsidRPr="00797BFA" w:rsidRDefault="0060238A" w:rsidP="00E61265">
      <w:pPr>
        <w:pStyle w:val="FERCparanumber"/>
        <w:tabs>
          <w:tab w:val="clear" w:pos="1170"/>
          <w:tab w:val="num" w:pos="720"/>
        </w:tabs>
        <w:ind w:left="0"/>
      </w:pPr>
      <w:r w:rsidRPr="00797BFA">
        <w:t xml:space="preserve">Reliability Standard </w:t>
      </w:r>
      <w:r w:rsidR="002435B2" w:rsidRPr="00797BFA">
        <w:t xml:space="preserve">BAL-003-1 and the </w:t>
      </w:r>
      <w:r w:rsidR="002435B2" w:rsidRPr="00797BFA">
        <w:rPr>
          <w:i/>
        </w:rPr>
        <w:t>pro forma</w:t>
      </w:r>
      <w:r w:rsidR="002435B2" w:rsidRPr="00797BFA">
        <w:t xml:space="preserve"> LGIA and SGIA do not specifically address </w:t>
      </w:r>
      <w:r w:rsidR="00C63F4C">
        <w:t xml:space="preserve">generators’ provision of </w:t>
      </w:r>
      <w:r w:rsidR="002435B2" w:rsidRPr="00797BFA">
        <w:t>primary frequency response.</w:t>
      </w:r>
      <w:r w:rsidR="00934D3A" w:rsidRPr="00797BFA">
        <w:t xml:space="preserve">  Article 9.6.2.1 of the </w:t>
      </w:r>
      <w:r w:rsidR="00934D3A" w:rsidRPr="00797BFA">
        <w:rPr>
          <w:i/>
        </w:rPr>
        <w:t xml:space="preserve">pro forma </w:t>
      </w:r>
      <w:r w:rsidR="00934D3A" w:rsidRPr="00797BFA">
        <w:t>LGIA (Governors and Regulators) requires that if speed governors are installed</w:t>
      </w:r>
      <w:r w:rsidR="00F61766" w:rsidRPr="00797BFA">
        <w:t>,</w:t>
      </w:r>
      <w:r w:rsidR="00934D3A" w:rsidRPr="00797BFA">
        <w:t xml:space="preserve"> they should be operated in automatic mode.</w:t>
      </w:r>
      <w:r w:rsidR="00934D3A" w:rsidRPr="00797BFA">
        <w:rPr>
          <w:b/>
          <w:vertAlign w:val="superscript"/>
        </w:rPr>
        <w:footnoteReference w:id="74"/>
      </w:r>
      <w:r w:rsidR="00934D3A" w:rsidRPr="00797BFA">
        <w:t xml:space="preserve">  </w:t>
      </w:r>
      <w:r w:rsidR="002179AC" w:rsidRPr="00797BFA">
        <w:t xml:space="preserve">Reliability Standard </w:t>
      </w:r>
      <w:r w:rsidR="00934D3A" w:rsidRPr="00797BFA">
        <w:t xml:space="preserve">BAL-003-1 and the </w:t>
      </w:r>
      <w:r w:rsidR="00934D3A" w:rsidRPr="00797BFA">
        <w:rPr>
          <w:i/>
        </w:rPr>
        <w:t>pro forma</w:t>
      </w:r>
      <w:r w:rsidR="00934D3A" w:rsidRPr="00797BFA">
        <w:t xml:space="preserve"> LGIA and SGIA do not</w:t>
      </w:r>
      <w:r w:rsidR="008C228A" w:rsidRPr="00797BFA">
        <w:t xml:space="preserve"> explicitly</w:t>
      </w:r>
      <w:r w:rsidR="00934D3A" w:rsidRPr="00797BFA">
        <w:t xml:space="preserve">: </w:t>
      </w:r>
      <w:r w:rsidRPr="00797BFA">
        <w:t xml:space="preserve"> (</w:t>
      </w:r>
      <w:r w:rsidR="00934D3A" w:rsidRPr="00797BFA">
        <w:t xml:space="preserve">1) require generators to install the necessary capability to provide primary frequency response; </w:t>
      </w:r>
      <w:r w:rsidRPr="00797BFA">
        <w:t>(</w:t>
      </w:r>
      <w:r w:rsidR="00934D3A" w:rsidRPr="00797BFA">
        <w:t>2) prescribe specific governor settings that would support the provision of primary frequency response;</w:t>
      </w:r>
      <w:r w:rsidR="00085746" w:rsidRPr="00797BFA">
        <w:rPr>
          <w:rStyle w:val="FootnoteReference"/>
        </w:rPr>
        <w:footnoteReference w:id="75"/>
      </w:r>
      <w:r w:rsidR="00934D3A" w:rsidRPr="00797BFA">
        <w:t xml:space="preserve"> or </w:t>
      </w:r>
      <w:r w:rsidRPr="00797BFA">
        <w:t>(</w:t>
      </w:r>
      <w:r w:rsidR="00934D3A" w:rsidRPr="00797BFA">
        <w:t xml:space="preserve">3) establish </w:t>
      </w:r>
      <w:r w:rsidR="003A7C20" w:rsidRPr="00797BFA">
        <w:t xml:space="preserve">generator </w:t>
      </w:r>
      <w:r w:rsidR="00934D3A" w:rsidRPr="00797BFA">
        <w:t xml:space="preserve">primary frequency response performance requirements during disturbances (e.g., require the response to be sustained, and not prematurely withdrawn prior to the initiation of secondary frequency response actions to return system frequency back to its nominal value </w:t>
      </w:r>
      <w:r w:rsidR="006F0A5C" w:rsidRPr="00797BFA">
        <w:t>and back</w:t>
      </w:r>
      <w:r w:rsidR="00934D3A" w:rsidRPr="00797BFA">
        <w:t xml:space="preserve"> within </w:t>
      </w:r>
      <w:r w:rsidR="008C228A" w:rsidRPr="00797BFA">
        <w:t xml:space="preserve">a generator’s </w:t>
      </w:r>
      <w:r w:rsidR="00934D3A" w:rsidRPr="00797BFA">
        <w:t xml:space="preserve">dead band </w:t>
      </w:r>
      <w:r w:rsidR="008C228A" w:rsidRPr="00797BFA">
        <w:t>setting</w:t>
      </w:r>
      <w:r w:rsidR="00085746" w:rsidRPr="00797BFA">
        <w:t>)</w:t>
      </w:r>
      <w:r w:rsidR="00934D3A" w:rsidRPr="00797BFA">
        <w:t>.</w:t>
      </w:r>
      <w:r w:rsidR="008C228A" w:rsidRPr="00797BFA">
        <w:rPr>
          <w:rStyle w:val="FootnoteReference"/>
        </w:rPr>
        <w:footnoteReference w:id="76"/>
      </w:r>
      <w:r w:rsidR="00652F0F" w:rsidRPr="00797BFA">
        <w:rPr>
          <w:szCs w:val="26"/>
        </w:rPr>
        <w:t xml:space="preserve">  </w:t>
      </w:r>
    </w:p>
    <w:p w14:paraId="28944567" w14:textId="650ACA4C" w:rsidR="00CE69D2" w:rsidRPr="00797BFA" w:rsidRDefault="00652F0F" w:rsidP="00BC1917">
      <w:pPr>
        <w:pStyle w:val="FERCparanumber"/>
        <w:tabs>
          <w:tab w:val="clear" w:pos="1170"/>
          <w:tab w:val="num" w:pos="720"/>
        </w:tabs>
        <w:ind w:left="0"/>
      </w:pPr>
      <w:r w:rsidRPr="00797BFA">
        <w:t xml:space="preserve">The Commission’s </w:t>
      </w:r>
      <w:r w:rsidR="0060238A" w:rsidRPr="00797BFA">
        <w:rPr>
          <w:i/>
        </w:rPr>
        <w:t xml:space="preserve">pro forma </w:t>
      </w:r>
      <w:r w:rsidR="0060238A" w:rsidRPr="00797BFA">
        <w:t>g</w:t>
      </w:r>
      <w:r w:rsidRPr="00797BFA">
        <w:t xml:space="preserve">enerator </w:t>
      </w:r>
      <w:r w:rsidR="0060238A" w:rsidRPr="00797BFA">
        <w:t>i</w:t>
      </w:r>
      <w:r w:rsidRPr="00797BFA">
        <w:t xml:space="preserve">nterconnection </w:t>
      </w:r>
      <w:r w:rsidR="0060238A" w:rsidRPr="00797BFA">
        <w:t>a</w:t>
      </w:r>
      <w:r w:rsidRPr="00797BFA">
        <w:t xml:space="preserve">greements and </w:t>
      </w:r>
      <w:r w:rsidR="0060238A" w:rsidRPr="00797BFA">
        <w:t>p</w:t>
      </w:r>
      <w:r w:rsidRPr="00797BFA">
        <w:t xml:space="preserve">rocedures were developed at a time when traditional generating resources with standard governor controls and large rotational inertia were the predominant sources of electricity generation.  However, </w:t>
      </w:r>
      <w:r w:rsidR="00207E57" w:rsidRPr="00797BFA">
        <w:t>circumstances are evolving</w:t>
      </w:r>
      <w:r w:rsidR="000F4BD1" w:rsidRPr="00797BFA">
        <w:t>,</w:t>
      </w:r>
      <w:r w:rsidR="00207E57" w:rsidRPr="00797BFA">
        <w:t xml:space="preserve"> with</w:t>
      </w:r>
      <w:r w:rsidR="000F4BD1" w:rsidRPr="00797BFA">
        <w:t xml:space="preserve"> </w:t>
      </w:r>
      <w:r w:rsidRPr="00797BFA">
        <w:t>NERC and others predict</w:t>
      </w:r>
      <w:r w:rsidR="00207E57" w:rsidRPr="00797BFA">
        <w:t>ing</w:t>
      </w:r>
      <w:r w:rsidRPr="00797BFA">
        <w:t xml:space="preserve"> significant retirements of conventional synchronous resources, all of which contribute to system inertia, and some of which provide primary frequency response.  In addition, VERs are projected to comprise an increasing portion of the installed capacity in many regions of the country, but they do not </w:t>
      </w:r>
      <w:r w:rsidR="00207E57" w:rsidRPr="00797BFA">
        <w:t>typically</w:t>
      </w:r>
      <w:r w:rsidRPr="00797BFA">
        <w:t xml:space="preserve"> provide inertial response or primary frequency response unless specifically configured to do so.</w:t>
      </w:r>
    </w:p>
    <w:p w14:paraId="22A33AD5" w14:textId="77E0ADFB" w:rsidR="0058706E" w:rsidRPr="00797BFA" w:rsidRDefault="000B51F9" w:rsidP="00E61265">
      <w:pPr>
        <w:pStyle w:val="FERCparanumber"/>
        <w:tabs>
          <w:tab w:val="clear" w:pos="1170"/>
          <w:tab w:val="num" w:pos="720"/>
        </w:tabs>
        <w:ind w:left="0"/>
      </w:pPr>
      <w:r w:rsidRPr="00797BFA">
        <w:rPr>
          <w:szCs w:val="26"/>
        </w:rPr>
        <w:t>Regarding</w:t>
      </w:r>
      <w:r w:rsidR="00CC5ED2" w:rsidRPr="00797BFA">
        <w:rPr>
          <w:szCs w:val="26"/>
        </w:rPr>
        <w:t xml:space="preserve"> </w:t>
      </w:r>
      <w:r w:rsidR="004B3DA6" w:rsidRPr="00797BFA">
        <w:rPr>
          <w:szCs w:val="26"/>
        </w:rPr>
        <w:t>VER</w:t>
      </w:r>
      <w:r w:rsidR="00CC5ED2" w:rsidRPr="00797BFA">
        <w:rPr>
          <w:szCs w:val="26"/>
        </w:rPr>
        <w:t>s</w:t>
      </w:r>
      <w:r w:rsidR="004B3DA6" w:rsidRPr="00797BFA">
        <w:rPr>
          <w:szCs w:val="26"/>
        </w:rPr>
        <w:t xml:space="preserve">, </w:t>
      </w:r>
      <w:r w:rsidR="00CC5ED2" w:rsidRPr="00797BFA">
        <w:rPr>
          <w:szCs w:val="26"/>
        </w:rPr>
        <w:t xml:space="preserve">the Commission understands that </w:t>
      </w:r>
      <w:r w:rsidR="00642517" w:rsidRPr="00797BFA">
        <w:rPr>
          <w:szCs w:val="26"/>
        </w:rPr>
        <w:t xml:space="preserve">in previous years, </w:t>
      </w:r>
      <w:r w:rsidR="00CC5ED2" w:rsidRPr="00797BFA">
        <w:rPr>
          <w:szCs w:val="26"/>
        </w:rPr>
        <w:t xml:space="preserve">many non-synchronous resources </w:t>
      </w:r>
      <w:r w:rsidR="00642517" w:rsidRPr="00797BFA">
        <w:rPr>
          <w:szCs w:val="26"/>
        </w:rPr>
        <w:t xml:space="preserve">were not </w:t>
      </w:r>
      <w:r w:rsidR="00DE67B4" w:rsidRPr="00797BFA">
        <w:rPr>
          <w:szCs w:val="26"/>
        </w:rPr>
        <w:t>consistently</w:t>
      </w:r>
      <w:r w:rsidR="00642517" w:rsidRPr="00797BFA">
        <w:rPr>
          <w:szCs w:val="26"/>
        </w:rPr>
        <w:t xml:space="preserve"> </w:t>
      </w:r>
      <w:r w:rsidR="00CC5ED2" w:rsidRPr="00797BFA">
        <w:rPr>
          <w:szCs w:val="26"/>
        </w:rPr>
        <w:t xml:space="preserve">designed with primary frequency response capabilities.  However, </w:t>
      </w:r>
      <w:r w:rsidR="0058706E" w:rsidRPr="00797BFA">
        <w:rPr>
          <w:szCs w:val="26"/>
        </w:rPr>
        <w:t xml:space="preserve">NERC and others have </w:t>
      </w:r>
      <w:r w:rsidR="00122B1A" w:rsidRPr="00797BFA">
        <w:rPr>
          <w:szCs w:val="26"/>
        </w:rPr>
        <w:t xml:space="preserve">stated </w:t>
      </w:r>
      <w:r w:rsidR="0058706E" w:rsidRPr="00797BFA">
        <w:rPr>
          <w:szCs w:val="26"/>
        </w:rPr>
        <w:t>that VER manufacturers have made significant advancements in recent years to develop the necessary controls that would enable VERs to provide frequency response.</w:t>
      </w:r>
      <w:r w:rsidR="0058706E" w:rsidRPr="00797BFA">
        <w:rPr>
          <w:rStyle w:val="FootnoteReference"/>
        </w:rPr>
        <w:footnoteReference w:id="77"/>
      </w:r>
      <w:r w:rsidRPr="00797BFA">
        <w:t xml:space="preserve">  </w:t>
      </w:r>
      <w:r w:rsidR="0058706E" w:rsidRPr="00797BFA">
        <w:rPr>
          <w:szCs w:val="26"/>
        </w:rPr>
        <w:t xml:space="preserve">NERC recommends that the industry analyze how wind and solar </w:t>
      </w:r>
      <w:r w:rsidR="00EF17CC" w:rsidRPr="00797BFA">
        <w:rPr>
          <w:szCs w:val="26"/>
        </w:rPr>
        <w:t>photovoltaic</w:t>
      </w:r>
      <w:r w:rsidR="0058706E" w:rsidRPr="00797BFA">
        <w:rPr>
          <w:szCs w:val="26"/>
        </w:rPr>
        <w:t xml:space="preserve"> </w:t>
      </w:r>
      <w:r w:rsidR="004B3DA6" w:rsidRPr="00797BFA">
        <w:rPr>
          <w:szCs w:val="26"/>
        </w:rPr>
        <w:t>resources</w:t>
      </w:r>
      <w:r w:rsidR="0058706E" w:rsidRPr="00797BFA">
        <w:rPr>
          <w:szCs w:val="26"/>
        </w:rPr>
        <w:t xml:space="preserve"> can contribute to frequency response and to work toward interconnection requirements that ensure system operators will continue to maintain essential reliability services.</w:t>
      </w:r>
      <w:r w:rsidR="0058706E" w:rsidRPr="00797BFA">
        <w:rPr>
          <w:rStyle w:val="FootnoteReference"/>
        </w:rPr>
        <w:footnoteReference w:id="78"/>
      </w:r>
      <w:r w:rsidR="00CC5ED2" w:rsidRPr="00797BFA">
        <w:rPr>
          <w:szCs w:val="26"/>
        </w:rPr>
        <w:t xml:space="preserve">  </w:t>
      </w:r>
      <w:r w:rsidR="00CE69D2" w:rsidRPr="00797BFA">
        <w:rPr>
          <w:szCs w:val="26"/>
        </w:rPr>
        <w:t>Also</w:t>
      </w:r>
      <w:r w:rsidRPr="00797BFA">
        <w:rPr>
          <w:szCs w:val="26"/>
        </w:rPr>
        <w:t xml:space="preserve"> relevant are </w:t>
      </w:r>
      <w:r w:rsidR="00CE69D2" w:rsidRPr="00797BFA">
        <w:rPr>
          <w:szCs w:val="26"/>
        </w:rPr>
        <w:t>PJM</w:t>
      </w:r>
      <w:r w:rsidRPr="00797BFA">
        <w:rPr>
          <w:szCs w:val="26"/>
        </w:rPr>
        <w:t>’s</w:t>
      </w:r>
      <w:r w:rsidR="00CE69D2" w:rsidRPr="00797BFA">
        <w:rPr>
          <w:szCs w:val="26"/>
        </w:rPr>
        <w:t xml:space="preserve"> recent add</w:t>
      </w:r>
      <w:r w:rsidRPr="00797BFA">
        <w:rPr>
          <w:szCs w:val="26"/>
        </w:rPr>
        <w:t>itions</w:t>
      </w:r>
      <w:r w:rsidR="00CE69D2" w:rsidRPr="00797BFA">
        <w:rPr>
          <w:szCs w:val="26"/>
        </w:rPr>
        <w:t xml:space="preserve"> </w:t>
      </w:r>
      <w:r w:rsidRPr="00797BFA">
        <w:rPr>
          <w:szCs w:val="26"/>
        </w:rPr>
        <w:t xml:space="preserve">of </w:t>
      </w:r>
      <w:r w:rsidR="00CE69D2" w:rsidRPr="00797BFA">
        <w:rPr>
          <w:szCs w:val="26"/>
        </w:rPr>
        <w:t xml:space="preserve">new interconnection requirements </w:t>
      </w:r>
      <w:r w:rsidR="00C31761" w:rsidRPr="00797BFA">
        <w:rPr>
          <w:rFonts w:eastAsia="Calibri"/>
          <w:szCs w:val="26"/>
        </w:rPr>
        <w:t>for VERs</w:t>
      </w:r>
      <w:r w:rsidR="00C31761" w:rsidRPr="00797BFA">
        <w:rPr>
          <w:szCs w:val="26"/>
        </w:rPr>
        <w:t xml:space="preserve"> entering its queue after </w:t>
      </w:r>
      <w:r w:rsidR="004F1860">
        <w:rPr>
          <w:szCs w:val="26"/>
        </w:rPr>
        <w:t xml:space="preserve">        </w:t>
      </w:r>
      <w:r w:rsidR="00C31761" w:rsidRPr="00797BFA">
        <w:rPr>
          <w:szCs w:val="26"/>
        </w:rPr>
        <w:t>May 2015</w:t>
      </w:r>
      <w:r w:rsidR="00BA1AAE" w:rsidRPr="00797BFA">
        <w:rPr>
          <w:szCs w:val="26"/>
        </w:rPr>
        <w:t>.</w:t>
      </w:r>
      <w:r w:rsidR="00DD4E76" w:rsidRPr="00797BFA">
        <w:rPr>
          <w:rStyle w:val="FootnoteReference"/>
        </w:rPr>
        <w:footnoteReference w:id="79"/>
      </w:r>
      <w:r w:rsidR="00BA1AAE" w:rsidRPr="00797BFA">
        <w:rPr>
          <w:szCs w:val="26"/>
        </w:rPr>
        <w:t xml:space="preserve">  PJM </w:t>
      </w:r>
      <w:r w:rsidRPr="00797BFA">
        <w:rPr>
          <w:szCs w:val="26"/>
        </w:rPr>
        <w:t xml:space="preserve">has stated </w:t>
      </w:r>
      <w:r w:rsidR="00BA1AAE" w:rsidRPr="00797BFA">
        <w:rPr>
          <w:szCs w:val="26"/>
        </w:rPr>
        <w:t>that the necessary capabilities</w:t>
      </w:r>
      <w:r w:rsidR="00CC5ED2" w:rsidRPr="00797BFA">
        <w:rPr>
          <w:szCs w:val="26"/>
        </w:rPr>
        <w:t xml:space="preserve"> </w:t>
      </w:r>
      <w:r w:rsidR="00BA1AAE" w:rsidRPr="00797BFA">
        <w:rPr>
          <w:szCs w:val="26"/>
        </w:rPr>
        <w:t xml:space="preserve">for non-synchronous resources </w:t>
      </w:r>
      <w:r w:rsidR="00BA1AAE" w:rsidRPr="00797BFA">
        <w:t xml:space="preserve">to provide primary frequency response, among other services, are now </w:t>
      </w:r>
      <w:r w:rsidR="004F1860">
        <w:t xml:space="preserve">   </w:t>
      </w:r>
      <w:r w:rsidR="00BA1AAE" w:rsidRPr="00797BFA">
        <w:t>“baked in” as enhancements to inverter capabilities.</w:t>
      </w:r>
      <w:r w:rsidR="00BA1AAE" w:rsidRPr="00797BFA">
        <w:rPr>
          <w:rStyle w:val="FootnoteReference"/>
        </w:rPr>
        <w:footnoteReference w:id="80"/>
      </w:r>
      <w:r w:rsidR="00CC5ED2" w:rsidRPr="00797BFA">
        <w:rPr>
          <w:szCs w:val="26"/>
        </w:rPr>
        <w:t xml:space="preserve"> </w:t>
      </w:r>
    </w:p>
    <w:p w14:paraId="41A93D0F" w14:textId="017F6FA6" w:rsidR="00BC1917" w:rsidRPr="00797BFA" w:rsidRDefault="003F6095" w:rsidP="00BC1917">
      <w:pPr>
        <w:pStyle w:val="FERCparanumber"/>
        <w:tabs>
          <w:tab w:val="clear" w:pos="1170"/>
          <w:tab w:val="num" w:pos="720"/>
        </w:tabs>
        <w:ind w:left="0"/>
      </w:pPr>
      <w:r w:rsidRPr="00797BFA">
        <w:t xml:space="preserve">In light of the ongoing changes in the nation’s resource mix as well as </w:t>
      </w:r>
      <w:r w:rsidR="00133B5D" w:rsidRPr="00797BFA">
        <w:t xml:space="preserve">NERC’s </w:t>
      </w:r>
      <w:r w:rsidRPr="00797BFA">
        <w:t>concerns regard</w:t>
      </w:r>
      <w:r w:rsidR="00133B5D" w:rsidRPr="00797BFA">
        <w:t>ing</w:t>
      </w:r>
      <w:r w:rsidRPr="00797BFA">
        <w:t xml:space="preserve"> the primary frequency </w:t>
      </w:r>
      <w:r w:rsidR="00281F14" w:rsidRPr="00797BFA">
        <w:t xml:space="preserve">response </w:t>
      </w:r>
      <w:r w:rsidRPr="00797BFA">
        <w:t xml:space="preserve">performance </w:t>
      </w:r>
      <w:r w:rsidR="00133B5D" w:rsidRPr="00797BFA">
        <w:t xml:space="preserve">of </w:t>
      </w:r>
      <w:r w:rsidRPr="00797BFA">
        <w:t>existing resources, the Commission seeks comment on whether</w:t>
      </w:r>
      <w:r w:rsidR="00133B5D" w:rsidRPr="00797BFA">
        <w:t xml:space="preserve"> and </w:t>
      </w:r>
      <w:r w:rsidRPr="00797BFA">
        <w:t xml:space="preserve">how to modify the </w:t>
      </w:r>
      <w:r w:rsidRPr="00797BFA">
        <w:rPr>
          <w:i/>
        </w:rPr>
        <w:t>pro forma</w:t>
      </w:r>
      <w:r w:rsidRPr="00797BFA">
        <w:t xml:space="preserve"> LGIA </w:t>
      </w:r>
      <w:r w:rsidR="004F1860">
        <w:t xml:space="preserve">  </w:t>
      </w:r>
      <w:r w:rsidRPr="00797BFA">
        <w:t>and SGIA to require primary frequency response capability and performance of new generating resources.</w:t>
      </w:r>
    </w:p>
    <w:p w14:paraId="175DEA5E" w14:textId="347085A8" w:rsidR="0046354B" w:rsidRPr="00797BFA" w:rsidRDefault="00BC1917" w:rsidP="00E61265">
      <w:pPr>
        <w:pStyle w:val="FERCparanumber"/>
        <w:tabs>
          <w:tab w:val="clear" w:pos="1170"/>
          <w:tab w:val="num" w:pos="720"/>
        </w:tabs>
        <w:ind w:left="0"/>
      </w:pPr>
      <w:r w:rsidRPr="00797BFA">
        <w:t xml:space="preserve">To that end, </w:t>
      </w:r>
      <w:r w:rsidR="00896C68" w:rsidRPr="00797BFA">
        <w:t>the Commission seeks comment on the following questions:</w:t>
      </w:r>
    </w:p>
    <w:p w14:paraId="08F4CD6D" w14:textId="77777777" w:rsidR="000A48EA" w:rsidRPr="00797BFA" w:rsidRDefault="000A48EA" w:rsidP="00586673">
      <w:pPr>
        <w:numPr>
          <w:ilvl w:val="0"/>
          <w:numId w:val="4"/>
        </w:numPr>
        <w:spacing w:line="480" w:lineRule="auto"/>
      </w:pPr>
      <w:r w:rsidRPr="00797BFA">
        <w:t xml:space="preserve">Should the </w:t>
      </w:r>
      <w:r w:rsidRPr="00797BFA">
        <w:rPr>
          <w:i/>
        </w:rPr>
        <w:t>pro forma</w:t>
      </w:r>
      <w:r w:rsidRPr="00797BFA">
        <w:t xml:space="preserve"> LGIA and SGIA be revised to include requirements for all newly interconnecting generating resources, including non-synchronous resources, to:</w:t>
      </w:r>
    </w:p>
    <w:p w14:paraId="327987B2" w14:textId="77777777" w:rsidR="000A48EA" w:rsidRPr="00797BFA" w:rsidRDefault="000A48EA" w:rsidP="001C25FC">
      <w:pPr>
        <w:numPr>
          <w:ilvl w:val="1"/>
          <w:numId w:val="4"/>
        </w:numPr>
        <w:spacing w:line="480" w:lineRule="auto"/>
      </w:pPr>
      <w:r w:rsidRPr="00797BFA">
        <w:t>Install the capability necessary to provide primary frequency response?</w:t>
      </w:r>
    </w:p>
    <w:p w14:paraId="7B577ADF" w14:textId="77777777" w:rsidR="000A48EA" w:rsidRPr="00797BFA" w:rsidRDefault="000A48EA" w:rsidP="001C25FC">
      <w:pPr>
        <w:numPr>
          <w:ilvl w:val="1"/>
          <w:numId w:val="4"/>
        </w:numPr>
        <w:spacing w:line="480" w:lineRule="auto"/>
      </w:pPr>
      <w:r w:rsidRPr="00797BFA">
        <w:t>Ensure that prime mover governors (or equivalent frequency control devices) are enabled and set pursuant to NERC’s Primary Frequency Control Guideline (i.e., droop characteristics not to exceed 5 percent, and dead band settings not to exceed ±0.036 Hz)?</w:t>
      </w:r>
    </w:p>
    <w:p w14:paraId="6611BA97" w14:textId="77777777" w:rsidR="000A48EA" w:rsidRPr="00797BFA" w:rsidRDefault="000A48EA" w:rsidP="001C25FC">
      <w:pPr>
        <w:numPr>
          <w:ilvl w:val="1"/>
          <w:numId w:val="4"/>
        </w:numPr>
        <w:spacing w:line="480" w:lineRule="auto"/>
      </w:pPr>
      <w:r w:rsidRPr="00797BFA">
        <w:t>Ensure that the MW response provided (when there is available headroom) in response to frequency deviations above or below the governor’s dead band from 60 Hz is:</w:t>
      </w:r>
    </w:p>
    <w:p w14:paraId="51301D2E" w14:textId="6734F92D" w:rsidR="000A48EA" w:rsidRPr="00797BFA" w:rsidRDefault="000A48EA" w:rsidP="001C25FC">
      <w:pPr>
        <w:numPr>
          <w:ilvl w:val="2"/>
          <w:numId w:val="4"/>
        </w:numPr>
        <w:spacing w:line="480" w:lineRule="auto"/>
      </w:pPr>
      <w:r w:rsidRPr="00797BFA">
        <w:t xml:space="preserve">Sustained until system frequency returns to within the </w:t>
      </w:r>
      <w:r w:rsidR="004F1860">
        <w:tab/>
      </w:r>
      <w:r w:rsidR="004F1860">
        <w:tab/>
      </w:r>
      <w:r w:rsidR="004F1860">
        <w:tab/>
        <w:t xml:space="preserve">           </w:t>
      </w:r>
      <w:r w:rsidRPr="00797BFA">
        <w:t xml:space="preserve">governor’s </w:t>
      </w:r>
      <w:r w:rsidR="006E2149" w:rsidRPr="00797BFA">
        <w:t>dead</w:t>
      </w:r>
      <w:r w:rsidR="003A7C20" w:rsidRPr="00797BFA">
        <w:t xml:space="preserve"> </w:t>
      </w:r>
      <w:r w:rsidR="006E2149" w:rsidRPr="00797BFA">
        <w:t>band</w:t>
      </w:r>
      <w:r w:rsidRPr="00797BFA">
        <w:t xml:space="preserve"> setting? </w:t>
      </w:r>
    </w:p>
    <w:p w14:paraId="3DDC3DE2" w14:textId="47B85EE2" w:rsidR="007E031E" w:rsidRPr="00797BFA" w:rsidRDefault="000A48EA" w:rsidP="001C25FC">
      <w:pPr>
        <w:numPr>
          <w:ilvl w:val="2"/>
          <w:numId w:val="4"/>
        </w:numPr>
        <w:spacing w:line="480" w:lineRule="auto"/>
      </w:pPr>
      <w:r w:rsidRPr="00797BFA">
        <w:t>Provided without undue delay and respon</w:t>
      </w:r>
      <w:r w:rsidR="00600070" w:rsidRPr="00797BFA">
        <w:t>ds</w:t>
      </w:r>
      <w:r w:rsidRPr="00797BFA">
        <w:t xml:space="preserve"> in accordance </w:t>
      </w:r>
      <w:r w:rsidR="004F1860">
        <w:tab/>
        <w:t xml:space="preserve">   </w:t>
      </w:r>
      <w:r w:rsidR="004F1860">
        <w:tab/>
      </w:r>
      <w:r w:rsidR="004F1860">
        <w:tab/>
      </w:r>
      <w:r w:rsidRPr="00797BFA">
        <w:t xml:space="preserve">with </w:t>
      </w:r>
      <w:r w:rsidR="006E2149" w:rsidRPr="00797BFA">
        <w:t xml:space="preserve">a specified </w:t>
      </w:r>
      <w:r w:rsidRPr="00797BFA">
        <w:t>droop parameter?</w:t>
      </w:r>
    </w:p>
    <w:p w14:paraId="453EEE94" w14:textId="5506FD06" w:rsidR="009D585E" w:rsidRPr="00797BFA" w:rsidRDefault="009D585E" w:rsidP="00586673">
      <w:pPr>
        <w:numPr>
          <w:ilvl w:val="0"/>
          <w:numId w:val="4"/>
        </w:numPr>
        <w:spacing w:line="480" w:lineRule="auto"/>
      </w:pPr>
      <w:r w:rsidRPr="00797BFA">
        <w:t>What are the costs associated with making a newly interconnecting generation resource capable of providing primary frequency response?  Specifically, what are the pieces of equipment or software needed to provide primary frequency response, and what are the costs associated with those pieces of equipment or software?  Are there significant differences between synchronous and non-synchronous resources in providing primary frequency response</w:t>
      </w:r>
      <w:r w:rsidR="00180666" w:rsidRPr="00797BFA">
        <w:t>, (e.g., the type of equipment necessary)</w:t>
      </w:r>
      <w:r w:rsidRPr="00797BFA">
        <w:t>?</w:t>
      </w:r>
    </w:p>
    <w:p w14:paraId="1A5377B0" w14:textId="36F3F1DF" w:rsidR="00831736" w:rsidRPr="00797BFA" w:rsidRDefault="00600070" w:rsidP="00586673">
      <w:pPr>
        <w:numPr>
          <w:ilvl w:val="0"/>
          <w:numId w:val="4"/>
        </w:numPr>
        <w:spacing w:line="480" w:lineRule="auto"/>
      </w:pPr>
      <w:r w:rsidRPr="00797BFA">
        <w:t>R</w:t>
      </w:r>
      <w:r w:rsidR="00831736" w:rsidRPr="00797BFA">
        <w:t>egard</w:t>
      </w:r>
      <w:r w:rsidRPr="00797BFA">
        <w:t>ing</w:t>
      </w:r>
      <w:r w:rsidR="00831736" w:rsidRPr="00797BFA">
        <w:t xml:space="preserve"> question (1) above, are the governor </w:t>
      </w:r>
      <w:r w:rsidR="0057329F" w:rsidRPr="00797BFA">
        <w:t xml:space="preserve">control </w:t>
      </w:r>
      <w:r w:rsidR="00831736" w:rsidRPr="00797BFA">
        <w:t xml:space="preserve">settings recommended by NERC’s Primary Frequency Control Guideline the appropriate settings to include in the </w:t>
      </w:r>
      <w:r w:rsidR="004A0403" w:rsidRPr="00797BFA">
        <w:rPr>
          <w:i/>
        </w:rPr>
        <w:t>pro forma</w:t>
      </w:r>
      <w:r w:rsidR="004A0403" w:rsidRPr="00797BFA">
        <w:t xml:space="preserve"> </w:t>
      </w:r>
      <w:r w:rsidR="00831736" w:rsidRPr="00797BFA">
        <w:t>LGIA and SGIA?  Why or why not?</w:t>
      </w:r>
    </w:p>
    <w:p w14:paraId="3344C117" w14:textId="5BA588EB" w:rsidR="0046354B" w:rsidRPr="00797BFA" w:rsidRDefault="00600070" w:rsidP="00E61265">
      <w:pPr>
        <w:numPr>
          <w:ilvl w:val="0"/>
          <w:numId w:val="4"/>
        </w:numPr>
        <w:spacing w:line="480" w:lineRule="auto"/>
      </w:pPr>
      <w:r w:rsidRPr="00797BFA">
        <w:t>R</w:t>
      </w:r>
      <w:r w:rsidR="005F340B" w:rsidRPr="00797BFA">
        <w:t>egard</w:t>
      </w:r>
      <w:r w:rsidRPr="00797BFA">
        <w:t>ing</w:t>
      </w:r>
      <w:r w:rsidR="005F340B" w:rsidRPr="00797BFA">
        <w:t xml:space="preserve"> new resources</w:t>
      </w:r>
      <w:r w:rsidR="00CC5ED2" w:rsidRPr="00797BFA">
        <w:t>, including non-synchronous resources</w:t>
      </w:r>
      <w:r w:rsidR="004A0403" w:rsidRPr="00797BFA">
        <w:t>, a</w:t>
      </w:r>
      <w:r w:rsidR="005F340B" w:rsidRPr="00797BFA">
        <w:t xml:space="preserve">re there physical, technical, or operational limitations/concerns to </w:t>
      </w:r>
      <w:r w:rsidR="00831736" w:rsidRPr="00797BFA">
        <w:t xml:space="preserve">promptly </w:t>
      </w:r>
      <w:r w:rsidR="005F340B" w:rsidRPr="00797BFA">
        <w:t>providing sustained primary frequency response in the direction necessary to counteract under-frequency</w:t>
      </w:r>
      <w:r w:rsidR="00476EFC" w:rsidRPr="00797BFA">
        <w:t xml:space="preserve"> and over-frequency deviations?</w:t>
      </w:r>
      <w:r w:rsidR="004A0403" w:rsidRPr="00797BFA">
        <w:t xml:space="preserve">  </w:t>
      </w:r>
      <w:r w:rsidR="005F340B" w:rsidRPr="00797BFA">
        <w:t>How should new requirements account for such limitations?</w:t>
      </w:r>
    </w:p>
    <w:p w14:paraId="6FB06BE4" w14:textId="2C53C2DD" w:rsidR="00831736" w:rsidRPr="00797BFA" w:rsidRDefault="000143C4" w:rsidP="00B64FD5">
      <w:pPr>
        <w:numPr>
          <w:ilvl w:val="0"/>
          <w:numId w:val="4"/>
        </w:numPr>
        <w:spacing w:line="480" w:lineRule="auto"/>
      </w:pPr>
      <w:r w:rsidRPr="00797BFA">
        <w:t>Are metrics or monitoring</w:t>
      </w:r>
      <w:r w:rsidR="00831736" w:rsidRPr="00797BFA">
        <w:t xml:space="preserve"> </w:t>
      </w:r>
      <w:r w:rsidR="00D43D88" w:rsidRPr="00797BFA">
        <w:t>useful</w:t>
      </w:r>
      <w:r w:rsidRPr="00797BFA">
        <w:t xml:space="preserve"> to </w:t>
      </w:r>
      <w:r w:rsidR="00831736" w:rsidRPr="00797BFA">
        <w:t>evaluate whether new resources:</w:t>
      </w:r>
    </w:p>
    <w:p w14:paraId="5E27F02E" w14:textId="77777777" w:rsidR="00831736" w:rsidRPr="00797BFA" w:rsidRDefault="00831736" w:rsidP="001C25FC">
      <w:pPr>
        <w:numPr>
          <w:ilvl w:val="1"/>
          <w:numId w:val="4"/>
        </w:numPr>
        <w:spacing w:line="480" w:lineRule="auto"/>
      </w:pPr>
      <w:r w:rsidRPr="00797BFA">
        <w:t>O</w:t>
      </w:r>
      <w:r w:rsidR="000143C4" w:rsidRPr="00797BFA">
        <w:t>perate with governors (or equivalent frequency control devices) enabled</w:t>
      </w:r>
      <w:r w:rsidRPr="00797BFA">
        <w:t xml:space="preserve">? </w:t>
      </w:r>
    </w:p>
    <w:p w14:paraId="3D35F359" w14:textId="4792CDA8" w:rsidR="00831736" w:rsidRPr="00797BFA" w:rsidRDefault="00831736" w:rsidP="001C25FC">
      <w:pPr>
        <w:numPr>
          <w:ilvl w:val="1"/>
          <w:numId w:val="4"/>
        </w:numPr>
        <w:spacing w:line="480" w:lineRule="auto"/>
      </w:pPr>
      <w:r w:rsidRPr="00797BFA">
        <w:t xml:space="preserve">Set governor </w:t>
      </w:r>
      <w:r w:rsidR="0057329F" w:rsidRPr="00797BFA">
        <w:t xml:space="preserve">control </w:t>
      </w:r>
      <w:r w:rsidRPr="00797BFA">
        <w:t>settings as described in question (1) above?</w:t>
      </w:r>
    </w:p>
    <w:p w14:paraId="59C5609E" w14:textId="54D9FDA8" w:rsidR="000143C4" w:rsidRPr="00797BFA" w:rsidRDefault="00600070" w:rsidP="001C25FC">
      <w:pPr>
        <w:numPr>
          <w:ilvl w:val="1"/>
          <w:numId w:val="4"/>
        </w:numPr>
        <w:spacing w:line="480" w:lineRule="auto"/>
      </w:pPr>
      <w:r w:rsidRPr="00797BFA">
        <w:t>P</w:t>
      </w:r>
      <w:r w:rsidR="00831736" w:rsidRPr="00797BFA">
        <w:t xml:space="preserve">rovide sustained </w:t>
      </w:r>
      <w:r w:rsidR="000143C4" w:rsidRPr="00797BFA">
        <w:t>MW response (when the unit has available headroom and system frequency deviates outside of</w:t>
      </w:r>
      <w:r w:rsidR="00B03E3F" w:rsidRPr="00797BFA">
        <w:t xml:space="preserve"> the dead</w:t>
      </w:r>
      <w:r w:rsidR="003E360C">
        <w:t xml:space="preserve"> </w:t>
      </w:r>
      <w:r w:rsidR="00B03E3F" w:rsidRPr="00797BFA">
        <w:t>band) that is i</w:t>
      </w:r>
      <w:r w:rsidR="000143C4" w:rsidRPr="00797BFA">
        <w:t xml:space="preserve">n the direction necessary to correct the frequency deviation and responsive in accordance with </w:t>
      </w:r>
      <w:r w:rsidR="0057329F" w:rsidRPr="00797BFA">
        <w:t>a specified</w:t>
      </w:r>
      <w:r w:rsidR="000143C4" w:rsidRPr="00797BFA">
        <w:t xml:space="preserve"> droop parameter?</w:t>
      </w:r>
    </w:p>
    <w:p w14:paraId="04186B96" w14:textId="3CB65760" w:rsidR="002C67BB" w:rsidRPr="00797BFA" w:rsidRDefault="002C67BB" w:rsidP="002C67BB">
      <w:pPr>
        <w:numPr>
          <w:ilvl w:val="0"/>
          <w:numId w:val="4"/>
        </w:numPr>
        <w:spacing w:line="480" w:lineRule="auto"/>
      </w:pPr>
      <w:r w:rsidRPr="00797BFA">
        <w:t xml:space="preserve">How would </w:t>
      </w:r>
      <w:r w:rsidR="00600070" w:rsidRPr="00797BFA">
        <w:t>t</w:t>
      </w:r>
      <w:r w:rsidRPr="00797BFA">
        <w:t xml:space="preserve">ransmission </w:t>
      </w:r>
      <w:r w:rsidR="00600070" w:rsidRPr="00797BFA">
        <w:t>p</w:t>
      </w:r>
      <w:r w:rsidRPr="00797BFA">
        <w:t xml:space="preserve">roviders verify that new resources provide adequate primary frequency response performance? </w:t>
      </w:r>
    </w:p>
    <w:p w14:paraId="37E41955" w14:textId="77777777" w:rsidR="002C67BB" w:rsidRPr="00797BFA" w:rsidRDefault="002C67BB" w:rsidP="001C25FC">
      <w:pPr>
        <w:numPr>
          <w:ilvl w:val="1"/>
          <w:numId w:val="4"/>
        </w:numPr>
        <w:spacing w:line="480" w:lineRule="auto"/>
      </w:pPr>
      <w:r w:rsidRPr="00797BFA">
        <w:t>What information is necessary in order to facilitate performance verification?</w:t>
      </w:r>
    </w:p>
    <w:p w14:paraId="44ACA26D" w14:textId="77777777" w:rsidR="002C67BB" w:rsidRPr="00797BFA" w:rsidRDefault="002C67BB" w:rsidP="001C25FC">
      <w:pPr>
        <w:numPr>
          <w:ilvl w:val="1"/>
          <w:numId w:val="4"/>
        </w:numPr>
        <w:spacing w:line="480" w:lineRule="auto"/>
      </w:pPr>
      <w:r w:rsidRPr="00797BFA">
        <w:t>What changes, if any, to existing infrastructure (including, but not limited to telemetry and software tools) would be required in order to verify primary frequency response performance?</w:t>
      </w:r>
    </w:p>
    <w:p w14:paraId="2DE0138E" w14:textId="77777777" w:rsidR="00B90336" w:rsidRPr="00797BFA" w:rsidRDefault="002C67BB" w:rsidP="001C25FC">
      <w:pPr>
        <w:numPr>
          <w:ilvl w:val="1"/>
          <w:numId w:val="4"/>
        </w:numPr>
        <w:spacing w:line="480" w:lineRule="auto"/>
      </w:pPr>
      <w:r w:rsidRPr="00797BFA">
        <w:t>What limitations based on resource type, if any, should be considered when evaluating primary frequency response performance?</w:t>
      </w:r>
    </w:p>
    <w:p w14:paraId="085AEDE7" w14:textId="31ECF28F" w:rsidR="00B03E3F" w:rsidRPr="00797BFA" w:rsidRDefault="002C67BB" w:rsidP="00586673">
      <w:pPr>
        <w:numPr>
          <w:ilvl w:val="0"/>
          <w:numId w:val="4"/>
        </w:numPr>
        <w:spacing w:line="480" w:lineRule="auto"/>
      </w:pPr>
      <w:r w:rsidRPr="00797BFA">
        <w:t xml:space="preserve">How would </w:t>
      </w:r>
      <w:r w:rsidR="00600070" w:rsidRPr="00797BFA">
        <w:t>t</w:t>
      </w:r>
      <w:r w:rsidRPr="00797BFA">
        <w:t xml:space="preserve">ransmission </w:t>
      </w:r>
      <w:r w:rsidR="00600070" w:rsidRPr="00797BFA">
        <w:t>p</w:t>
      </w:r>
      <w:r w:rsidRPr="00797BFA">
        <w:t xml:space="preserve">roviders ensure compliance with the new rules?  </w:t>
      </w:r>
    </w:p>
    <w:p w14:paraId="23657D0E" w14:textId="7EB41240" w:rsidR="002C67BB" w:rsidRDefault="002C67BB" w:rsidP="001C25FC">
      <w:pPr>
        <w:numPr>
          <w:ilvl w:val="1"/>
          <w:numId w:val="4"/>
        </w:numPr>
        <w:spacing w:line="480" w:lineRule="auto"/>
      </w:pPr>
      <w:r w:rsidRPr="00797BFA">
        <w:t xml:space="preserve">Are penalties appropriate to ensure that new generating resources adhere to the new requirements described in </w:t>
      </w:r>
      <w:r w:rsidR="00831736" w:rsidRPr="00797BFA">
        <w:t xml:space="preserve">question </w:t>
      </w:r>
      <w:r w:rsidRPr="00797BFA">
        <w:t>(1) above, and if so, how should such penalties be structured and implemented?</w:t>
      </w:r>
      <w:r w:rsidR="00B01232">
        <w:t xml:space="preserve"> </w:t>
      </w:r>
    </w:p>
    <w:p w14:paraId="33988F09" w14:textId="5B6610E9" w:rsidR="00B01232" w:rsidRPr="00797BFA" w:rsidRDefault="00B01232" w:rsidP="001C25FC">
      <w:pPr>
        <w:numPr>
          <w:ilvl w:val="1"/>
          <w:numId w:val="4"/>
        </w:numPr>
        <w:spacing w:line="480" w:lineRule="auto"/>
      </w:pPr>
      <w:r>
        <w:t>Are penalties appropriate only if a resource receives compensation for adhering to the new requirement</w:t>
      </w:r>
      <w:r w:rsidR="00DF1F23">
        <w:t xml:space="preserve">s </w:t>
      </w:r>
      <w:r>
        <w:t>described in question (1) above?</w:t>
      </w:r>
    </w:p>
    <w:p w14:paraId="077B362A" w14:textId="77777777" w:rsidR="004142B5" w:rsidRPr="00797BFA" w:rsidRDefault="004142B5" w:rsidP="007258A5">
      <w:pPr>
        <w:pStyle w:val="Heading2"/>
        <w:tabs>
          <w:tab w:val="clear" w:pos="1080"/>
          <w:tab w:val="num" w:pos="1440"/>
        </w:tabs>
        <w:ind w:left="1440"/>
      </w:pPr>
      <w:r w:rsidRPr="00797BFA">
        <w:t>New Primary Frequency Response Requirements for Existing Resources</w:t>
      </w:r>
    </w:p>
    <w:p w14:paraId="64C03A0F" w14:textId="7A3F050C" w:rsidR="00C222DB" w:rsidRPr="00797BFA" w:rsidRDefault="004142B5" w:rsidP="00DC0AAB">
      <w:pPr>
        <w:pStyle w:val="FERCparanumber"/>
        <w:tabs>
          <w:tab w:val="clear" w:pos="1170"/>
          <w:tab w:val="num" w:pos="720"/>
        </w:tabs>
        <w:ind w:left="0"/>
      </w:pPr>
      <w:r w:rsidRPr="00797BFA">
        <w:t xml:space="preserve">The Commission </w:t>
      </w:r>
      <w:r w:rsidR="00EA12A0">
        <w:t>seeks comment</w:t>
      </w:r>
      <w:r w:rsidRPr="00797BFA">
        <w:t xml:space="preserve"> on how it might address the issue of primary frequency response performance in existing generators.  </w:t>
      </w:r>
      <w:r w:rsidR="005652D0">
        <w:t>As discussed above,</w:t>
      </w:r>
      <w:r w:rsidR="00C545FD" w:rsidRPr="00797BFA">
        <w:t xml:space="preserve"> the Commission is</w:t>
      </w:r>
      <w:r w:rsidR="004E0139">
        <w:t xml:space="preserve"> </w:t>
      </w:r>
      <w:r w:rsidR="00C545FD" w:rsidRPr="00797BFA">
        <w:t>considering amendments</w:t>
      </w:r>
      <w:r w:rsidR="00EA12A0">
        <w:t xml:space="preserve"> to the </w:t>
      </w:r>
      <w:r w:rsidR="00EA12A0">
        <w:rPr>
          <w:i/>
        </w:rPr>
        <w:t>pro forma</w:t>
      </w:r>
      <w:r w:rsidR="00EA12A0">
        <w:t xml:space="preserve"> LGIA and SGIA</w:t>
      </w:r>
      <w:r w:rsidR="00C545FD" w:rsidRPr="00797BFA">
        <w:t xml:space="preserve"> that </w:t>
      </w:r>
      <w:r w:rsidRPr="00797BFA">
        <w:rPr>
          <w:szCs w:val="26"/>
        </w:rPr>
        <w:t xml:space="preserve">would apply </w:t>
      </w:r>
      <w:r w:rsidR="00A947A2" w:rsidRPr="00797BFA">
        <w:rPr>
          <w:szCs w:val="26"/>
        </w:rPr>
        <w:t xml:space="preserve">prospectively and </w:t>
      </w:r>
      <w:r w:rsidRPr="00797BFA">
        <w:rPr>
          <w:szCs w:val="26"/>
        </w:rPr>
        <w:t xml:space="preserve">only to new generating resources and not </w:t>
      </w:r>
      <w:r w:rsidR="004B3DA6" w:rsidRPr="00797BFA">
        <w:rPr>
          <w:szCs w:val="26"/>
        </w:rPr>
        <w:t>the existing generating fleet</w:t>
      </w:r>
      <w:r w:rsidR="004A0403" w:rsidRPr="00797BFA">
        <w:rPr>
          <w:szCs w:val="26"/>
        </w:rPr>
        <w:t>.</w:t>
      </w:r>
      <w:r w:rsidR="00020A6A" w:rsidRPr="00797BFA">
        <w:rPr>
          <w:szCs w:val="26"/>
        </w:rPr>
        <w:t xml:space="preserve">  </w:t>
      </w:r>
      <w:r w:rsidR="00F8671A" w:rsidRPr="00797BFA">
        <w:rPr>
          <w:szCs w:val="26"/>
        </w:rPr>
        <w:t>However, t</w:t>
      </w:r>
      <w:r w:rsidR="00020A6A" w:rsidRPr="00797BFA">
        <w:rPr>
          <w:szCs w:val="26"/>
        </w:rPr>
        <w:t xml:space="preserve">he Commission notes that </w:t>
      </w:r>
      <w:r w:rsidR="004B3DA6" w:rsidRPr="00797BFA">
        <w:rPr>
          <w:szCs w:val="26"/>
        </w:rPr>
        <w:t xml:space="preserve">NERC has </w:t>
      </w:r>
      <w:r w:rsidR="006F3F73">
        <w:rPr>
          <w:szCs w:val="26"/>
        </w:rPr>
        <w:t xml:space="preserve">also </w:t>
      </w:r>
      <w:r w:rsidR="004B3DA6" w:rsidRPr="00797BFA">
        <w:rPr>
          <w:szCs w:val="26"/>
        </w:rPr>
        <w:t xml:space="preserve">expressed </w:t>
      </w:r>
      <w:r w:rsidRPr="00797BFA">
        <w:rPr>
          <w:szCs w:val="26"/>
        </w:rPr>
        <w:t xml:space="preserve">concerns related to </w:t>
      </w:r>
      <w:r w:rsidR="00E53829" w:rsidRPr="00797BFA">
        <w:rPr>
          <w:szCs w:val="26"/>
        </w:rPr>
        <w:t xml:space="preserve">the primary frequency </w:t>
      </w:r>
      <w:r w:rsidR="00EA12A0">
        <w:rPr>
          <w:szCs w:val="26"/>
        </w:rPr>
        <w:t xml:space="preserve">response </w:t>
      </w:r>
      <w:r w:rsidR="00E53829" w:rsidRPr="00797BFA">
        <w:rPr>
          <w:szCs w:val="26"/>
        </w:rPr>
        <w:t xml:space="preserve">performance of the </w:t>
      </w:r>
      <w:r w:rsidRPr="00797BFA">
        <w:rPr>
          <w:szCs w:val="26"/>
        </w:rPr>
        <w:t>existing generating fleet.</w:t>
      </w:r>
    </w:p>
    <w:p w14:paraId="3D804909" w14:textId="1D00FF0B" w:rsidR="00C222DB" w:rsidRPr="00797BFA" w:rsidRDefault="00C222DB" w:rsidP="00DC0AAB">
      <w:pPr>
        <w:pStyle w:val="FERCparanumber"/>
        <w:tabs>
          <w:tab w:val="clear" w:pos="1170"/>
          <w:tab w:val="num" w:pos="720"/>
        </w:tabs>
        <w:ind w:left="0"/>
      </w:pPr>
      <w:r w:rsidRPr="00797BFA">
        <w:t xml:space="preserve">For example, in 2010, NERC conducted a </w:t>
      </w:r>
      <w:r w:rsidR="007D12B5" w:rsidRPr="00797BFA">
        <w:t>g</w:t>
      </w:r>
      <w:r w:rsidRPr="00797BFA">
        <w:t xml:space="preserve">overnor </w:t>
      </w:r>
      <w:r w:rsidR="007D12B5" w:rsidRPr="00797BFA">
        <w:t>r</w:t>
      </w:r>
      <w:r w:rsidRPr="00797BFA">
        <w:t xml:space="preserve">esponse </w:t>
      </w:r>
      <w:r w:rsidR="007D12B5" w:rsidRPr="00797BFA">
        <w:t>s</w:t>
      </w:r>
      <w:r w:rsidRPr="00797BFA">
        <w:t>urvey to gain insight into governor settings from several turbine governors across the three U.S. Interconnections.</w:t>
      </w:r>
      <w:r w:rsidRPr="00797BFA">
        <w:rPr>
          <w:rStyle w:val="FootnoteReference"/>
        </w:rPr>
        <w:footnoteReference w:id="81"/>
      </w:r>
      <w:r w:rsidRPr="00797BFA">
        <w:t xml:space="preserve">  Analysis revealed</w:t>
      </w:r>
      <w:r w:rsidR="00E5633A" w:rsidRPr="00797BFA">
        <w:t xml:space="preserve"> a</w:t>
      </w:r>
      <w:r w:rsidRPr="00797BFA">
        <w:t xml:space="preserve"> wide di</w:t>
      </w:r>
      <w:r w:rsidR="007D12B5" w:rsidRPr="00797BFA">
        <w:t>sparity</w:t>
      </w:r>
      <w:r w:rsidRPr="00797BFA">
        <w:t xml:space="preserve"> in the reported governor </w:t>
      </w:r>
      <w:r w:rsidR="0057329F" w:rsidRPr="00797BFA">
        <w:t xml:space="preserve">control </w:t>
      </w:r>
      <w:r w:rsidRPr="00797BFA">
        <w:t>settings.  For example, NERC found that several generator owners or operators reported dead</w:t>
      </w:r>
      <w:r w:rsidR="00586491" w:rsidRPr="00797BFA">
        <w:t xml:space="preserve"> </w:t>
      </w:r>
      <w:r w:rsidRPr="00797BFA">
        <w:t>bands between 0.05 Hz and 0.3 Hz, which are wider than those prescribed by ERCOT’S BAL-001-TRE-01 Regional Standard or recommended by NERC’s 2015 Generator Governor Frequency Response Industry Advisory</w:t>
      </w:r>
      <w:r w:rsidRPr="00797BFA">
        <w:rPr>
          <w:rStyle w:val="FootnoteReference"/>
        </w:rPr>
        <w:footnoteReference w:id="82"/>
      </w:r>
      <w:r w:rsidRPr="00797BFA">
        <w:t xml:space="preserve"> and Primary Frequency Control Guideline.</w:t>
      </w:r>
      <w:r w:rsidRPr="00797BFA">
        <w:rPr>
          <w:rStyle w:val="FootnoteReference"/>
        </w:rPr>
        <w:footnoteReference w:id="83"/>
      </w:r>
    </w:p>
    <w:p w14:paraId="6ED644B1" w14:textId="04837AC6" w:rsidR="00831736" w:rsidRPr="00797BFA" w:rsidRDefault="00254184" w:rsidP="00DC0AAB">
      <w:pPr>
        <w:pStyle w:val="FERCparanumber"/>
        <w:tabs>
          <w:tab w:val="clear" w:pos="1170"/>
          <w:tab w:val="num" w:pos="720"/>
        </w:tabs>
        <w:ind w:left="0"/>
      </w:pPr>
      <w:r w:rsidRPr="00797BFA">
        <w:rPr>
          <w:szCs w:val="26"/>
        </w:rPr>
        <w:t xml:space="preserve">In February 2015, NERC issued an Industry </w:t>
      </w:r>
      <w:r w:rsidR="0057329F" w:rsidRPr="00797BFA">
        <w:rPr>
          <w:szCs w:val="26"/>
        </w:rPr>
        <w:t>Advisory, which</w:t>
      </w:r>
      <w:r w:rsidRPr="00797BFA">
        <w:rPr>
          <w:rFonts w:eastAsia="Calibri"/>
          <w:szCs w:val="26"/>
        </w:rPr>
        <w:t xml:space="preserve"> </w:t>
      </w:r>
      <w:r w:rsidR="00F8671A" w:rsidRPr="00797BFA">
        <w:rPr>
          <w:rFonts w:eastAsia="Calibri"/>
          <w:szCs w:val="26"/>
        </w:rPr>
        <w:t xml:space="preserve">expressed its </w:t>
      </w:r>
      <w:r w:rsidRPr="00797BFA">
        <w:rPr>
          <w:rFonts w:eastAsia="Calibri"/>
          <w:szCs w:val="26"/>
        </w:rPr>
        <w:t>determin</w:t>
      </w:r>
      <w:r w:rsidR="00F8671A" w:rsidRPr="00797BFA">
        <w:rPr>
          <w:rFonts w:eastAsia="Calibri"/>
          <w:szCs w:val="26"/>
        </w:rPr>
        <w:t>ation</w:t>
      </w:r>
      <w:r w:rsidRPr="00797BFA">
        <w:rPr>
          <w:rFonts w:eastAsia="Calibri"/>
          <w:szCs w:val="26"/>
        </w:rPr>
        <w:t xml:space="preserve"> that a</w:t>
      </w:r>
      <w:r w:rsidRPr="00797BFA">
        <w:rPr>
          <w:szCs w:val="26"/>
        </w:rPr>
        <w:t xml:space="preserve"> significant portion of generators within the Eastern Interconnection utilize governor dead</w:t>
      </w:r>
      <w:r w:rsidR="00586491" w:rsidRPr="00797BFA">
        <w:rPr>
          <w:szCs w:val="26"/>
        </w:rPr>
        <w:t xml:space="preserve"> </w:t>
      </w:r>
      <w:r w:rsidRPr="00797BFA">
        <w:rPr>
          <w:szCs w:val="26"/>
        </w:rPr>
        <w:t>bands or other control settings that either inhibit or prevent the provision of primary frequency response.</w:t>
      </w:r>
      <w:r w:rsidRPr="00797BFA">
        <w:rPr>
          <w:rStyle w:val="FootnoteReference"/>
        </w:rPr>
        <w:footnoteReference w:id="84"/>
      </w:r>
    </w:p>
    <w:p w14:paraId="17AB90BE" w14:textId="71F5219F" w:rsidR="00B03E3F" w:rsidRPr="00797BFA" w:rsidRDefault="00E06025" w:rsidP="00E61265">
      <w:pPr>
        <w:pStyle w:val="FERCparanumber"/>
        <w:tabs>
          <w:tab w:val="clear" w:pos="1170"/>
          <w:tab w:val="num" w:pos="720"/>
        </w:tabs>
        <w:ind w:left="0"/>
      </w:pPr>
      <w:r w:rsidRPr="00797BFA">
        <w:rPr>
          <w:szCs w:val="26"/>
        </w:rPr>
        <w:t xml:space="preserve">Furthermore, </w:t>
      </w:r>
      <w:r w:rsidR="007D12B5" w:rsidRPr="00797BFA">
        <w:rPr>
          <w:szCs w:val="26"/>
        </w:rPr>
        <w:t xml:space="preserve">some </w:t>
      </w:r>
      <w:r w:rsidR="00E53829" w:rsidRPr="00797BFA">
        <w:rPr>
          <w:szCs w:val="26"/>
        </w:rPr>
        <w:t xml:space="preserve">generating units have controls that withdraw primary frequency response </w:t>
      </w:r>
      <w:r w:rsidR="007D12B5" w:rsidRPr="00797BFA">
        <w:rPr>
          <w:szCs w:val="26"/>
        </w:rPr>
        <w:t xml:space="preserve">prior to the initiation of </w:t>
      </w:r>
      <w:r w:rsidR="00E53829" w:rsidRPr="00797BFA">
        <w:rPr>
          <w:szCs w:val="26"/>
        </w:rPr>
        <w:t xml:space="preserve">secondary frequency controls, which is a </w:t>
      </w:r>
      <w:r w:rsidR="00E307EA" w:rsidRPr="00797BFA">
        <w:rPr>
          <w:szCs w:val="26"/>
        </w:rPr>
        <w:t>significant concern</w:t>
      </w:r>
      <w:r w:rsidR="00E53829" w:rsidRPr="00797BFA">
        <w:rPr>
          <w:szCs w:val="26"/>
        </w:rPr>
        <w:t xml:space="preserve"> in the Eastern Interconnection and a somewhat smaller issue in the Western Interconnection.</w:t>
      </w:r>
      <w:r w:rsidR="007D12B5" w:rsidRPr="00797BFA">
        <w:t xml:space="preserve">  </w:t>
      </w:r>
      <w:r w:rsidR="00E53829" w:rsidRPr="00797BFA">
        <w:rPr>
          <w:szCs w:val="26"/>
        </w:rPr>
        <w:t xml:space="preserve">These </w:t>
      </w:r>
      <w:r w:rsidR="00586491" w:rsidRPr="00797BFA">
        <w:rPr>
          <w:szCs w:val="26"/>
        </w:rPr>
        <w:t xml:space="preserve">controls </w:t>
      </w:r>
      <w:r w:rsidR="00E53829" w:rsidRPr="00797BFA">
        <w:rPr>
          <w:szCs w:val="26"/>
        </w:rPr>
        <w:t>are known as outer</w:t>
      </w:r>
      <w:r w:rsidR="000B2117" w:rsidRPr="00797BFA">
        <w:rPr>
          <w:szCs w:val="26"/>
        </w:rPr>
        <w:t>-</w:t>
      </w:r>
      <w:r w:rsidR="00E53829" w:rsidRPr="00797BFA">
        <w:rPr>
          <w:szCs w:val="26"/>
        </w:rPr>
        <w:t xml:space="preserve">loop controls to distinguish them from more direct, lower-level control of the generator operations. </w:t>
      </w:r>
      <w:r w:rsidR="007D12B5" w:rsidRPr="00797BFA">
        <w:t xml:space="preserve"> </w:t>
      </w:r>
      <w:r w:rsidR="00E53829" w:rsidRPr="00797BFA">
        <w:rPr>
          <w:szCs w:val="26"/>
        </w:rPr>
        <w:t xml:space="preserve">Primary frequency response withdrawal occurs when outer-loop controls deliberately act to nullify a generator’s governor response and return the unit to operate at a pre-disturbance scheduled MW output.  This is especially problematic when it occurs prior to the activation of secondary response, and has the potential to degrade the overall response </w:t>
      </w:r>
      <w:r w:rsidR="00762013" w:rsidRPr="00797BFA">
        <w:rPr>
          <w:szCs w:val="26"/>
        </w:rPr>
        <w:t xml:space="preserve">of the Interconnection </w:t>
      </w:r>
      <w:r w:rsidR="00E53829" w:rsidRPr="00797BFA">
        <w:rPr>
          <w:szCs w:val="26"/>
        </w:rPr>
        <w:t>and result in a frequency that declines below the original nadir</w:t>
      </w:r>
      <w:r w:rsidR="001F1B3E" w:rsidRPr="00797BFA">
        <w:rPr>
          <w:szCs w:val="26"/>
        </w:rPr>
        <w:t>.  N</w:t>
      </w:r>
      <w:r w:rsidR="007D12B5" w:rsidRPr="00797BFA">
        <w:t xml:space="preserve">ERC has </w:t>
      </w:r>
      <w:r w:rsidR="00B80CD3" w:rsidRPr="00797BFA">
        <w:t>observed</w:t>
      </w:r>
      <w:r w:rsidR="007D12B5" w:rsidRPr="00797BFA">
        <w:t xml:space="preserve"> </w:t>
      </w:r>
      <w:r w:rsidR="00E53829" w:rsidRPr="00797BFA">
        <w:t>that early withdrawal</w:t>
      </w:r>
      <w:r w:rsidR="007D12B5" w:rsidRPr="00797BFA">
        <w:t xml:space="preserve"> of primary frequency response </w:t>
      </w:r>
      <w:r w:rsidR="00E53829" w:rsidRPr="00797BFA">
        <w:t>continues to occur within the Eastern Interconnection.</w:t>
      </w:r>
      <w:r w:rsidR="00E53829" w:rsidRPr="00797BFA">
        <w:rPr>
          <w:rStyle w:val="FootnoteReference"/>
        </w:rPr>
        <w:footnoteReference w:id="85"/>
      </w:r>
    </w:p>
    <w:p w14:paraId="4780EB10" w14:textId="40B25CAF" w:rsidR="00254184" w:rsidRPr="00797BFA" w:rsidRDefault="00020A6A" w:rsidP="00DC0AAB">
      <w:pPr>
        <w:pStyle w:val="FERCparanumber"/>
        <w:tabs>
          <w:tab w:val="clear" w:pos="1170"/>
          <w:tab w:val="num" w:pos="720"/>
        </w:tabs>
        <w:ind w:left="0"/>
        <w:rPr>
          <w:szCs w:val="26"/>
        </w:rPr>
      </w:pPr>
      <w:r w:rsidRPr="00797BFA">
        <w:t>Furthermore</w:t>
      </w:r>
      <w:r w:rsidR="00E53829" w:rsidRPr="00797BFA">
        <w:t xml:space="preserve">, </w:t>
      </w:r>
      <w:r w:rsidR="00FA6E05" w:rsidRPr="00797BFA">
        <w:t>NERC</w:t>
      </w:r>
      <w:r w:rsidR="00E53829" w:rsidRPr="00797BFA">
        <w:t>’s</w:t>
      </w:r>
      <w:r w:rsidR="00FA6E05" w:rsidRPr="00797BFA">
        <w:t xml:space="preserve"> Resources Subcommittee has </w:t>
      </w:r>
      <w:r w:rsidR="00894FBE" w:rsidRPr="00797BFA">
        <w:t xml:space="preserve">determined </w:t>
      </w:r>
      <w:r w:rsidR="00FA6E05" w:rsidRPr="00797BFA">
        <w:t>that the majority of gas turbines operate in some type of MW Set Point control mode</w:t>
      </w:r>
      <w:r w:rsidRPr="00797BFA">
        <w:t>.</w:t>
      </w:r>
      <w:r w:rsidR="00FA6E05" w:rsidRPr="00797BFA">
        <w:rPr>
          <w:rStyle w:val="FootnoteReference"/>
        </w:rPr>
        <w:footnoteReference w:id="86"/>
      </w:r>
      <w:r w:rsidR="00831736" w:rsidRPr="00797BFA">
        <w:t xml:space="preserve">  </w:t>
      </w:r>
      <w:r w:rsidR="00FA6E05" w:rsidRPr="00797BFA">
        <w:t xml:space="preserve">According to the </w:t>
      </w:r>
      <w:r w:rsidR="00E307EA" w:rsidRPr="00797BFA">
        <w:t xml:space="preserve">NERC </w:t>
      </w:r>
      <w:r w:rsidR="00FA6E05" w:rsidRPr="00797BFA">
        <w:t xml:space="preserve">Resources Subcommittee, the Eastern Interconnection Initiative has uncovered that in order for </w:t>
      </w:r>
      <w:r w:rsidR="000A23AC" w:rsidRPr="00797BFA">
        <w:t>gas turbine</w:t>
      </w:r>
      <w:r w:rsidR="00894FBE" w:rsidRPr="00797BFA">
        <w:t>s</w:t>
      </w:r>
      <w:r w:rsidR="000A23AC" w:rsidRPr="00797BFA">
        <w:t xml:space="preserve"> </w:t>
      </w:r>
      <w:r w:rsidR="00FA6E05" w:rsidRPr="00797BFA">
        <w:t>to respond in MW Set Point control mode, an additional frequency algorithm has to be installed.</w:t>
      </w:r>
      <w:r w:rsidR="00FA6E05" w:rsidRPr="00797BFA">
        <w:rPr>
          <w:rStyle w:val="FootnoteReference"/>
        </w:rPr>
        <w:footnoteReference w:id="87"/>
      </w:r>
      <w:r w:rsidR="00FA6E05" w:rsidRPr="00797BFA">
        <w:t xml:space="preserve">  </w:t>
      </w:r>
      <w:r w:rsidRPr="00797BFA">
        <w:t>Moreover</w:t>
      </w:r>
      <w:r w:rsidR="00FA6E05" w:rsidRPr="00797BFA">
        <w:t>,</w:t>
      </w:r>
      <w:r w:rsidR="00E53829" w:rsidRPr="00797BFA">
        <w:t xml:space="preserve"> </w:t>
      </w:r>
      <w:r w:rsidR="006E400A" w:rsidRPr="00797BFA">
        <w:t>NERC</w:t>
      </w:r>
      <w:r w:rsidR="00E53829" w:rsidRPr="00797BFA">
        <w:t>’s</w:t>
      </w:r>
      <w:r w:rsidR="006E400A" w:rsidRPr="00797BFA">
        <w:t xml:space="preserve"> </w:t>
      </w:r>
      <w:r w:rsidR="00FA6E05" w:rsidRPr="00797BFA">
        <w:t>Resources Subcommittee stated that “</w:t>
      </w:r>
      <w:r w:rsidR="00FA6E05" w:rsidRPr="00797BFA">
        <w:rPr>
          <w:bCs/>
        </w:rPr>
        <w:t>the net result is that the gas turbine fleet that has been installed in the past 20+ years is not frequency responsive, [which]</w:t>
      </w:r>
      <w:r w:rsidR="00FA6E05" w:rsidRPr="00797BFA">
        <w:t xml:space="preserve"> has to be corrected.”</w:t>
      </w:r>
      <w:r w:rsidR="00FA6E05" w:rsidRPr="00797BFA">
        <w:rPr>
          <w:rStyle w:val="FootnoteReference"/>
        </w:rPr>
        <w:footnoteReference w:id="88"/>
      </w:r>
      <w:r w:rsidR="00E004F6" w:rsidRPr="00797BFA">
        <w:rPr>
          <w:szCs w:val="26"/>
        </w:rPr>
        <w:t xml:space="preserve">  </w:t>
      </w:r>
      <w:r w:rsidR="00AC5D28" w:rsidRPr="00797BFA">
        <w:rPr>
          <w:szCs w:val="26"/>
        </w:rPr>
        <w:t xml:space="preserve">NERC </w:t>
      </w:r>
      <w:r w:rsidR="00E004F6" w:rsidRPr="00797BFA">
        <w:rPr>
          <w:szCs w:val="26"/>
        </w:rPr>
        <w:t xml:space="preserve">has also </w:t>
      </w:r>
      <w:r w:rsidR="00894FBE" w:rsidRPr="00797BFA">
        <w:rPr>
          <w:szCs w:val="26"/>
        </w:rPr>
        <w:t xml:space="preserve">observed </w:t>
      </w:r>
      <w:r w:rsidR="00AC5D28" w:rsidRPr="00797BFA">
        <w:rPr>
          <w:szCs w:val="26"/>
        </w:rPr>
        <w:t>that in many conventional steam plants</w:t>
      </w:r>
      <w:r w:rsidR="00E004F6" w:rsidRPr="00797BFA">
        <w:rPr>
          <w:szCs w:val="26"/>
        </w:rPr>
        <w:t>,</w:t>
      </w:r>
      <w:r w:rsidR="00AC5D28" w:rsidRPr="00797BFA">
        <w:rPr>
          <w:szCs w:val="26"/>
        </w:rPr>
        <w:t xml:space="preserve"> dead band </w:t>
      </w:r>
      <w:r w:rsidR="00762013" w:rsidRPr="00797BFA">
        <w:rPr>
          <w:szCs w:val="26"/>
        </w:rPr>
        <w:t xml:space="preserve">settings </w:t>
      </w:r>
      <w:r w:rsidR="00AC5D28" w:rsidRPr="00797BFA">
        <w:rPr>
          <w:szCs w:val="26"/>
        </w:rPr>
        <w:t>exceed the maximum ±0.036 Hz dead band</w:t>
      </w:r>
      <w:r w:rsidR="00E004F6" w:rsidRPr="00797BFA">
        <w:rPr>
          <w:szCs w:val="26"/>
        </w:rPr>
        <w:t>,</w:t>
      </w:r>
      <w:r w:rsidR="00AC5D28" w:rsidRPr="00797BFA">
        <w:rPr>
          <w:szCs w:val="26"/>
        </w:rPr>
        <w:t xml:space="preserve"> and </w:t>
      </w:r>
      <w:r w:rsidR="00762013" w:rsidRPr="00797BFA">
        <w:rPr>
          <w:szCs w:val="26"/>
        </w:rPr>
        <w:t xml:space="preserve">the resulting </w:t>
      </w:r>
      <w:r w:rsidR="00AC5D28" w:rsidRPr="00797BFA">
        <w:rPr>
          <w:szCs w:val="26"/>
        </w:rPr>
        <w:t>response is squelched and not sustained.</w:t>
      </w:r>
      <w:r w:rsidR="00831736" w:rsidRPr="00797BFA">
        <w:rPr>
          <w:rStyle w:val="FootnoteReference"/>
        </w:rPr>
        <w:footnoteReference w:id="89"/>
      </w:r>
    </w:p>
    <w:p w14:paraId="1644D1AA" w14:textId="42E01216" w:rsidR="005D34A9" w:rsidRPr="00797BFA" w:rsidRDefault="00B92D30" w:rsidP="00DC0AAB">
      <w:pPr>
        <w:pStyle w:val="FERCparanumber"/>
        <w:tabs>
          <w:tab w:val="clear" w:pos="1170"/>
          <w:tab w:val="num" w:pos="720"/>
        </w:tabs>
        <w:ind w:left="0"/>
      </w:pPr>
      <w:r w:rsidRPr="00797BFA">
        <w:rPr>
          <w:szCs w:val="26"/>
        </w:rPr>
        <w:t xml:space="preserve">As noted above, </w:t>
      </w:r>
      <w:r w:rsidR="00600070" w:rsidRPr="00797BFA">
        <w:rPr>
          <w:szCs w:val="26"/>
        </w:rPr>
        <w:t xml:space="preserve">in December 2015, </w:t>
      </w:r>
      <w:r w:rsidR="00254184" w:rsidRPr="00797BFA">
        <w:t>NERC’s Operating Committee approved a Primary Frequency Control Guideline that contains recommended settings for generator governors and other plant control systems</w:t>
      </w:r>
      <w:r w:rsidR="005C4F14" w:rsidRPr="00797BFA">
        <w:t>,</w:t>
      </w:r>
      <w:r w:rsidR="00254184" w:rsidRPr="00797BFA">
        <w:t xml:space="preserve"> </w:t>
      </w:r>
      <w:r w:rsidR="005C4F14" w:rsidRPr="00797BFA">
        <w:t>and encourages</w:t>
      </w:r>
      <w:r w:rsidR="00254184" w:rsidRPr="00797BFA">
        <w:t xml:space="preserve"> generators within the three U.S. Interconnections </w:t>
      </w:r>
      <w:r w:rsidR="00022597">
        <w:t xml:space="preserve">to </w:t>
      </w:r>
      <w:r w:rsidR="00254184" w:rsidRPr="00797BFA">
        <w:t>provide sustained and effective primary frequency response during major grid events in order to stabilize and maintain system frequency within allowable limits.</w:t>
      </w:r>
      <w:r w:rsidR="00254184" w:rsidRPr="00797BFA">
        <w:rPr>
          <w:rStyle w:val="FootnoteReference"/>
        </w:rPr>
        <w:footnoteReference w:id="90"/>
      </w:r>
      <w:r w:rsidR="00254184" w:rsidRPr="00797BFA">
        <w:t xml:space="preserve">  </w:t>
      </w:r>
      <w:r w:rsidR="00F8671A" w:rsidRPr="00797BFA">
        <w:t>However, t</w:t>
      </w:r>
      <w:r w:rsidR="00254184" w:rsidRPr="00797BFA">
        <w:t xml:space="preserve">he Commission notes that </w:t>
      </w:r>
      <w:r w:rsidR="00254184" w:rsidRPr="00797BFA">
        <w:rPr>
          <w:szCs w:val="26"/>
        </w:rPr>
        <w:t xml:space="preserve">NERC’s </w:t>
      </w:r>
      <w:r w:rsidR="00254184" w:rsidRPr="00797BFA">
        <w:t xml:space="preserve">Primary Frequency Control </w:t>
      </w:r>
      <w:r w:rsidR="00254184" w:rsidRPr="00797BFA">
        <w:rPr>
          <w:szCs w:val="26"/>
        </w:rPr>
        <w:t>Guideline is not mandatory and enforceable and does not alter any approved Reliability Standards.</w:t>
      </w:r>
      <w:r w:rsidR="00E72960" w:rsidRPr="00797BFA">
        <w:rPr>
          <w:szCs w:val="26"/>
        </w:rPr>
        <w:t xml:space="preserve">  </w:t>
      </w:r>
    </w:p>
    <w:p w14:paraId="5CC35849" w14:textId="38CB0FD4" w:rsidR="00FA71CE" w:rsidRPr="00797BFA" w:rsidRDefault="006C0E5E" w:rsidP="00DC0AAB">
      <w:pPr>
        <w:pStyle w:val="FERCparanumber"/>
        <w:tabs>
          <w:tab w:val="clear" w:pos="1170"/>
          <w:tab w:val="num" w:pos="720"/>
        </w:tabs>
        <w:ind w:left="0"/>
      </w:pPr>
      <w:r w:rsidRPr="00797BFA">
        <w:rPr>
          <w:szCs w:val="26"/>
        </w:rPr>
        <w:t xml:space="preserve">In light of the above discussion, </w:t>
      </w:r>
      <w:r w:rsidRPr="00797BFA">
        <w:t>t</w:t>
      </w:r>
      <w:r w:rsidR="004142B5" w:rsidRPr="00797BFA">
        <w:rPr>
          <w:szCs w:val="26"/>
        </w:rPr>
        <w:t xml:space="preserve">he Commission seeks to </w:t>
      </w:r>
      <w:r w:rsidR="00012FCE" w:rsidRPr="00797BFA">
        <w:rPr>
          <w:szCs w:val="26"/>
        </w:rPr>
        <w:t xml:space="preserve">further </w:t>
      </w:r>
      <w:r w:rsidR="004142B5" w:rsidRPr="00797BFA">
        <w:rPr>
          <w:szCs w:val="26"/>
        </w:rPr>
        <w:t xml:space="preserve">explore </w:t>
      </w:r>
      <w:r w:rsidR="00012FCE" w:rsidRPr="00797BFA">
        <w:t>issue</w:t>
      </w:r>
      <w:r w:rsidR="005D34A9" w:rsidRPr="00797BFA">
        <w:t>s</w:t>
      </w:r>
      <w:r w:rsidR="00E307EA" w:rsidRPr="00797BFA">
        <w:rPr>
          <w:szCs w:val="26"/>
        </w:rPr>
        <w:t xml:space="preserve"> regarding the provision of primary frequency response by the existing generation fleet and</w:t>
      </w:r>
      <w:r w:rsidR="00FA71CE" w:rsidRPr="00797BFA">
        <w:t xml:space="preserve"> seeks comment on the following questions:</w:t>
      </w:r>
    </w:p>
    <w:p w14:paraId="4D1ED038" w14:textId="5C9DAA03" w:rsidR="00FA71CE" w:rsidRPr="005652D0" w:rsidRDefault="00FA71CE" w:rsidP="00431D9C">
      <w:pPr>
        <w:numPr>
          <w:ilvl w:val="0"/>
          <w:numId w:val="18"/>
        </w:numPr>
        <w:spacing w:line="480" w:lineRule="auto"/>
      </w:pPr>
      <w:r w:rsidRPr="00797BFA">
        <w:t xml:space="preserve">Should the Commission implement primary frequency </w:t>
      </w:r>
      <w:r w:rsidR="00257029" w:rsidRPr="00797BFA">
        <w:t xml:space="preserve">response </w:t>
      </w:r>
      <w:r w:rsidRPr="00797BFA">
        <w:t xml:space="preserve">requirements </w:t>
      </w:r>
      <w:r w:rsidR="00600070" w:rsidRPr="00797BFA">
        <w:t xml:space="preserve">for existing resources, </w:t>
      </w:r>
      <w:r w:rsidRPr="00797BFA">
        <w:t xml:space="preserve">as </w:t>
      </w:r>
      <w:r w:rsidR="00995F6E" w:rsidRPr="00797BFA">
        <w:t xml:space="preserve">discussed </w:t>
      </w:r>
      <w:r w:rsidRPr="00797BFA">
        <w:t xml:space="preserve">above for </w:t>
      </w:r>
      <w:r w:rsidR="00600070" w:rsidRPr="00797BFA">
        <w:t>new generators</w:t>
      </w:r>
      <w:r w:rsidRPr="00797BFA">
        <w:t>?  If so, what is an appropriate means of doing so</w:t>
      </w:r>
      <w:r w:rsidR="00EA12A0">
        <w:t xml:space="preserve"> (e.g., changes to transmission provider tariffs</w:t>
      </w:r>
      <w:r w:rsidR="00AB3F83">
        <w:t xml:space="preserve"> or</w:t>
      </w:r>
      <w:r w:rsidR="00EA12A0">
        <w:t xml:space="preserve"> </w:t>
      </w:r>
      <w:r w:rsidR="008C70AD">
        <w:t xml:space="preserve">improvements to existing </w:t>
      </w:r>
      <w:r w:rsidR="00431D9C">
        <w:t>reliability standards)</w:t>
      </w:r>
      <w:r w:rsidR="00AB3F83">
        <w:t>?</w:t>
      </w:r>
      <w:r w:rsidRPr="005652D0">
        <w:t xml:space="preserve"> </w:t>
      </w:r>
      <w:r w:rsidR="00AB3F83">
        <w:t xml:space="preserve"> </w:t>
      </w:r>
      <w:r w:rsidR="00431D9C" w:rsidRPr="00797BFA">
        <w:t>How would transmission providers ensure that existing resources adhere to new primary frequency response requirements?</w:t>
      </w:r>
      <w:r w:rsidR="0060238A" w:rsidRPr="005652D0">
        <w:t xml:space="preserve"> </w:t>
      </w:r>
    </w:p>
    <w:p w14:paraId="3226DD2B" w14:textId="7DF11469" w:rsidR="00FA71CE" w:rsidRPr="00797BFA" w:rsidRDefault="00012FCE" w:rsidP="00E61265">
      <w:pPr>
        <w:numPr>
          <w:ilvl w:val="0"/>
          <w:numId w:val="18"/>
        </w:numPr>
        <w:spacing w:line="480" w:lineRule="auto"/>
      </w:pPr>
      <w:r w:rsidRPr="00797BFA">
        <w:t>As noted above,</w:t>
      </w:r>
      <w:r w:rsidR="00FA71CE" w:rsidRPr="00797BFA">
        <w:t xml:space="preserve"> some </w:t>
      </w:r>
      <w:r w:rsidR="00B92D30" w:rsidRPr="00797BFA">
        <w:t xml:space="preserve">existing </w:t>
      </w:r>
      <w:r w:rsidR="00FA71CE" w:rsidRPr="00797BFA">
        <w:t xml:space="preserve">generating </w:t>
      </w:r>
      <w:r w:rsidR="00B92D30" w:rsidRPr="00797BFA">
        <w:t>units set dead bands wider than those recommended by NERC’s Primary Frequency Control Guideline</w:t>
      </w:r>
      <w:r w:rsidR="00E004F6" w:rsidRPr="00797BFA">
        <w:t xml:space="preserve">, </w:t>
      </w:r>
      <w:r w:rsidR="00BB072F" w:rsidRPr="00797BFA">
        <w:t>and</w:t>
      </w:r>
      <w:r w:rsidR="00E004F6" w:rsidRPr="00797BFA">
        <w:t xml:space="preserve"> some </w:t>
      </w:r>
      <w:r w:rsidR="00B80CD3" w:rsidRPr="00797BFA">
        <w:t xml:space="preserve">units </w:t>
      </w:r>
      <w:r w:rsidRPr="00797BFA">
        <w:t xml:space="preserve">have </w:t>
      </w:r>
      <w:r w:rsidR="00BB072F" w:rsidRPr="00797BFA">
        <w:t>control settings</w:t>
      </w:r>
      <w:r w:rsidR="00FA71CE" w:rsidRPr="00797BFA">
        <w:t xml:space="preserve"> </w:t>
      </w:r>
      <w:r w:rsidR="00B80CD3" w:rsidRPr="00797BFA">
        <w:t xml:space="preserve">set in a manner </w:t>
      </w:r>
      <w:r w:rsidR="00FA71CE" w:rsidRPr="00797BFA">
        <w:t>that result</w:t>
      </w:r>
      <w:r w:rsidR="002A6960" w:rsidRPr="00797BFA">
        <w:t>s</w:t>
      </w:r>
      <w:r w:rsidR="00FA71CE" w:rsidRPr="00797BFA">
        <w:t xml:space="preserve"> in the premature withdrawal </w:t>
      </w:r>
      <w:r w:rsidRPr="00797BFA">
        <w:t xml:space="preserve">of primary frequency response.  </w:t>
      </w:r>
      <w:r w:rsidR="00FA71CE" w:rsidRPr="00797BFA">
        <w:t xml:space="preserve">Should the Commission </w:t>
      </w:r>
      <w:r w:rsidR="00600070" w:rsidRPr="00797BFA">
        <w:t xml:space="preserve">prohibit </w:t>
      </w:r>
      <w:r w:rsidR="00FA71CE" w:rsidRPr="00797BFA">
        <w:t>th</w:t>
      </w:r>
      <w:r w:rsidR="00B92D30" w:rsidRPr="00797BFA">
        <w:t>ese</w:t>
      </w:r>
      <w:r w:rsidR="00FA71CE" w:rsidRPr="00797BFA">
        <w:t xml:space="preserve"> practice</w:t>
      </w:r>
      <w:r w:rsidR="00B92D30" w:rsidRPr="00797BFA">
        <w:t>s</w:t>
      </w:r>
      <w:r w:rsidR="00FA71CE" w:rsidRPr="00797BFA">
        <w:t xml:space="preserve">?  If so, by what means? </w:t>
      </w:r>
    </w:p>
    <w:p w14:paraId="17FF98E2" w14:textId="24A8F077" w:rsidR="00FA71CE" w:rsidRPr="00797BFA" w:rsidRDefault="00FA71CE" w:rsidP="00E61265">
      <w:pPr>
        <w:numPr>
          <w:ilvl w:val="0"/>
          <w:numId w:val="18"/>
        </w:numPr>
        <w:spacing w:line="480" w:lineRule="auto"/>
      </w:pPr>
      <w:r w:rsidRPr="00797BFA">
        <w:t>What are the costs of retrofitting existing units, including non-synchronous resources</w:t>
      </w:r>
      <w:r w:rsidR="00570167" w:rsidRPr="00797BFA">
        <w:t>, and with specific reference to such factors as equipment types and MW capacity,</w:t>
      </w:r>
      <w:r w:rsidRPr="00797BFA">
        <w:t xml:space="preserve"> to be capable of providing sustained primary frequency response</w:t>
      </w:r>
      <w:r w:rsidR="00180666" w:rsidRPr="00797BFA">
        <w:t>?</w:t>
      </w:r>
    </w:p>
    <w:p w14:paraId="4398DCE9" w14:textId="2283C13A" w:rsidR="004142B5" w:rsidRPr="00797BFA" w:rsidRDefault="00B92D30" w:rsidP="00E61265">
      <w:pPr>
        <w:numPr>
          <w:ilvl w:val="0"/>
          <w:numId w:val="18"/>
        </w:numPr>
        <w:spacing w:line="480" w:lineRule="auto"/>
      </w:pPr>
      <w:r w:rsidRPr="00797BFA">
        <w:t>Regarding existing units, are there physical, technical, or operational limitations</w:t>
      </w:r>
      <w:r w:rsidR="006529EF" w:rsidRPr="00797BFA">
        <w:t xml:space="preserve"> or </w:t>
      </w:r>
      <w:r w:rsidRPr="00797BFA">
        <w:t>concerns to promptly providing sustained primary frequency response in the direction necessary to counteract under-frequency and over-frequency deviations?</w:t>
      </w:r>
    </w:p>
    <w:p w14:paraId="21FFCDDF" w14:textId="555B7FDB" w:rsidR="00896C68" w:rsidRPr="00797BFA" w:rsidRDefault="00622AD9" w:rsidP="00AE5B1C">
      <w:pPr>
        <w:pStyle w:val="Heading2"/>
        <w:tabs>
          <w:tab w:val="clear" w:pos="1080"/>
          <w:tab w:val="num" w:pos="1440"/>
        </w:tabs>
        <w:ind w:left="1440"/>
      </w:pPr>
      <w:r w:rsidRPr="00797BFA">
        <w:t>Requirement to Provide and Compensate for Primary Frequency Response Service</w:t>
      </w:r>
    </w:p>
    <w:p w14:paraId="5DE98BF7" w14:textId="7E583D28" w:rsidR="001F2156" w:rsidRPr="00797BFA" w:rsidRDefault="00315359" w:rsidP="00FA0351">
      <w:pPr>
        <w:pStyle w:val="FERCparanumber"/>
        <w:tabs>
          <w:tab w:val="clear" w:pos="1170"/>
          <w:tab w:val="num" w:pos="720"/>
        </w:tabs>
        <w:ind w:left="0"/>
      </w:pPr>
      <w:r w:rsidRPr="00797BFA">
        <w:t xml:space="preserve">Without </w:t>
      </w:r>
      <w:r w:rsidR="008A7AD7" w:rsidRPr="00797BFA">
        <w:t xml:space="preserve">the explicit </w:t>
      </w:r>
      <w:r w:rsidRPr="00797BFA">
        <w:t>requirement</w:t>
      </w:r>
      <w:r w:rsidR="008A7AD7" w:rsidRPr="00797BFA">
        <w:t xml:space="preserve"> to provide primary frequency response</w:t>
      </w:r>
      <w:r w:rsidRPr="00797BFA">
        <w:t xml:space="preserve"> or appropriate compensation</w:t>
      </w:r>
      <w:r w:rsidR="008A7AD7" w:rsidRPr="00797BFA">
        <w:t xml:space="preserve"> for the provision of such service</w:t>
      </w:r>
      <w:r w:rsidRPr="00797BFA">
        <w:t xml:space="preserve">, resource owners may choose to disable or otherwise </w:t>
      </w:r>
      <w:r w:rsidR="00C10157">
        <w:t>reduce</w:t>
      </w:r>
      <w:r w:rsidRPr="00797BFA">
        <w:t xml:space="preserve"> the provision of primary frequency response from their existing resources or not install the equipment on their new resources.</w:t>
      </w:r>
      <w:r w:rsidRPr="00797BFA">
        <w:rPr>
          <w:b/>
          <w:vertAlign w:val="superscript"/>
        </w:rPr>
        <w:footnoteReference w:id="91"/>
      </w:r>
      <w:r w:rsidRPr="00797BFA">
        <w:t xml:space="preserve">  </w:t>
      </w:r>
    </w:p>
    <w:p w14:paraId="693C1C26" w14:textId="4F44A7DB" w:rsidR="000307C3" w:rsidRPr="00797BFA" w:rsidRDefault="00CC4953" w:rsidP="00E61265">
      <w:pPr>
        <w:pStyle w:val="FERCparanumber"/>
        <w:tabs>
          <w:tab w:val="clear" w:pos="1170"/>
          <w:tab w:val="num" w:pos="720"/>
        </w:tabs>
        <w:ind w:left="0"/>
      </w:pPr>
      <w:r w:rsidRPr="00797BFA">
        <w:t>The Commission</w:t>
      </w:r>
      <w:r w:rsidR="00A032AB" w:rsidRPr="00797BFA">
        <w:t xml:space="preserve"> seeks information</w:t>
      </w:r>
      <w:r w:rsidR="00F522A9" w:rsidRPr="00797BFA">
        <w:t xml:space="preserve"> on </w:t>
      </w:r>
      <w:r w:rsidRPr="00797BFA">
        <w:t>whether there is a</w:t>
      </w:r>
      <w:r w:rsidR="00AE26E4">
        <w:t xml:space="preserve"> </w:t>
      </w:r>
      <w:r w:rsidRPr="00797BFA">
        <w:t xml:space="preserve">need to establish </w:t>
      </w:r>
      <w:r w:rsidR="008C70AD">
        <w:t xml:space="preserve">or modify </w:t>
      </w:r>
      <w:r w:rsidRPr="00797BFA">
        <w:t>procurement and compensation mechanisms for primary frequency response</w:t>
      </w:r>
      <w:r w:rsidR="00F522A9" w:rsidRPr="00797BFA">
        <w:t>, and whether th</w:t>
      </w:r>
      <w:r w:rsidR="007800B3">
        <w:t xml:space="preserve">ese mechanisms will </w:t>
      </w:r>
      <w:r w:rsidRPr="00797BFA">
        <w:t>ensur</w:t>
      </w:r>
      <w:r w:rsidR="007800B3">
        <w:t>e</w:t>
      </w:r>
      <w:r w:rsidRPr="00797BFA">
        <w:t xml:space="preserve"> that </w:t>
      </w:r>
      <w:r w:rsidR="000D43A9" w:rsidRPr="00797BFA">
        <w:t xml:space="preserve">the resulting </w:t>
      </w:r>
      <w:r w:rsidRPr="00797BFA">
        <w:t xml:space="preserve">rates are just and reasonable.  </w:t>
      </w:r>
      <w:r w:rsidR="00F522A9" w:rsidRPr="00797BFA">
        <w:t xml:space="preserve">The Commission invites commenters to share their overall views, including the operational, technical and commercial impacts that may result from mandates to provide primary frequency response.  </w:t>
      </w:r>
      <w:r w:rsidRPr="00797BFA">
        <w:t>To that end, the Commission seeks comment on the following questions:</w:t>
      </w:r>
    </w:p>
    <w:p w14:paraId="5282B497" w14:textId="0285C91B" w:rsidR="000D43A9" w:rsidRPr="00797BFA" w:rsidRDefault="00CC4953" w:rsidP="00E61265">
      <w:pPr>
        <w:numPr>
          <w:ilvl w:val="0"/>
          <w:numId w:val="19"/>
        </w:numPr>
        <w:spacing w:line="480" w:lineRule="auto"/>
      </w:pPr>
      <w:r w:rsidRPr="00797BFA">
        <w:t>Should all resources be required to provide minimum levels of</w:t>
      </w:r>
      <w:r w:rsidR="00651693" w:rsidRPr="00797BFA">
        <w:t>:</w:t>
      </w:r>
      <w:r w:rsidRPr="00797BFA">
        <w:t xml:space="preserve"> </w:t>
      </w:r>
      <w:r w:rsidR="00AE5B1C">
        <w:t xml:space="preserve"> </w:t>
      </w:r>
      <w:r w:rsidR="00E9294C" w:rsidRPr="00797BFA">
        <w:t xml:space="preserve">(1) </w:t>
      </w:r>
      <w:r w:rsidRPr="00797BFA">
        <w:t>primary frequency response capability</w:t>
      </w:r>
      <w:r w:rsidR="00E9294C" w:rsidRPr="00797BFA">
        <w:t>;</w:t>
      </w:r>
      <w:r w:rsidRPr="00797BFA">
        <w:t xml:space="preserve"> </w:t>
      </w:r>
      <w:r w:rsidR="00FE3101" w:rsidRPr="00797BFA">
        <w:t xml:space="preserve">and </w:t>
      </w:r>
      <w:r w:rsidRPr="00797BFA">
        <w:t>(</w:t>
      </w:r>
      <w:r w:rsidR="00E9294C" w:rsidRPr="00797BFA">
        <w:t>2</w:t>
      </w:r>
      <w:r w:rsidRPr="00797BFA">
        <w:t xml:space="preserve">) primary frequency response </w:t>
      </w:r>
      <w:r w:rsidR="00FE3101" w:rsidRPr="00797BFA">
        <w:t xml:space="preserve">performance </w:t>
      </w:r>
      <w:r w:rsidRPr="00797BFA">
        <w:t>in real-time?</w:t>
      </w:r>
    </w:p>
    <w:p w14:paraId="78778EB1" w14:textId="40A3D6B4" w:rsidR="00AE3275" w:rsidRPr="00797BFA" w:rsidRDefault="00AE3275" w:rsidP="00E61265">
      <w:pPr>
        <w:numPr>
          <w:ilvl w:val="1"/>
          <w:numId w:val="19"/>
        </w:numPr>
        <w:spacing w:line="480" w:lineRule="auto"/>
      </w:pPr>
      <w:r w:rsidRPr="00797BFA">
        <w:t xml:space="preserve">“Capability” involves having a turbine governor or equivalent equipment that has the ability to sense changes in system frequency, and is </w:t>
      </w:r>
      <w:r w:rsidR="00CA426B" w:rsidRPr="00797BFA">
        <w:t xml:space="preserve">enabled and </w:t>
      </w:r>
      <w:r w:rsidRPr="00797BFA">
        <w:t xml:space="preserve">set with appropriate governor settings (e.g., droop and dead band), and assuming capacity (or “headroom”) has been set aside, the physical ability to ramp the resource quickly enough </w:t>
      </w:r>
      <w:r w:rsidR="00651693" w:rsidRPr="00797BFA">
        <w:t xml:space="preserve">in order </w:t>
      </w:r>
      <w:r w:rsidRPr="00797BFA">
        <w:t xml:space="preserve">to provide useful levels of primary frequency response to </w:t>
      </w:r>
      <w:r w:rsidR="00651693" w:rsidRPr="00797BFA">
        <w:t xml:space="preserve">help </w:t>
      </w:r>
      <w:r w:rsidRPr="00797BFA">
        <w:t>arrest the frequency deviation.</w:t>
      </w:r>
    </w:p>
    <w:p w14:paraId="4A5018F8" w14:textId="7E448948" w:rsidR="00AE3275" w:rsidRPr="00797BFA" w:rsidRDefault="00AE3275" w:rsidP="00AE3275">
      <w:pPr>
        <w:numPr>
          <w:ilvl w:val="1"/>
          <w:numId w:val="19"/>
        </w:numPr>
        <w:spacing w:line="480" w:lineRule="auto"/>
      </w:pPr>
      <w:r w:rsidRPr="00797BFA">
        <w:t>“Performance” would involve putting the “capability” into actual service</w:t>
      </w:r>
      <w:r w:rsidR="00EA4E7D" w:rsidRPr="00797BFA">
        <w:t>:</w:t>
      </w:r>
      <w:r w:rsidRPr="00797BFA">
        <w:t xml:space="preserve"> i.e., actually operating the resource with governor</w:t>
      </w:r>
      <w:r w:rsidR="006620AF" w:rsidRPr="00797BFA">
        <w:t>s or equivalent equipment enabled, ensuring that governor</w:t>
      </w:r>
      <w:r w:rsidRPr="00797BFA">
        <w:t xml:space="preserve"> controls </w:t>
      </w:r>
      <w:r w:rsidR="008F358C">
        <w:t xml:space="preserve">       </w:t>
      </w:r>
      <w:r w:rsidRPr="00797BFA">
        <w:t xml:space="preserve">(e.g., droop and dead band) and other settings </w:t>
      </w:r>
      <w:r w:rsidR="00030CAE" w:rsidRPr="00797BFA">
        <w:t>are properly set and coordinated, such that when capacity (or “headroom”) has been set aside, the unit</w:t>
      </w:r>
      <w:r w:rsidRPr="00797BFA">
        <w:t xml:space="preserve"> </w:t>
      </w:r>
      <w:r w:rsidR="005C4F14" w:rsidRPr="00797BFA">
        <w:t xml:space="preserve">promptly </w:t>
      </w:r>
      <w:r w:rsidRPr="00797BFA">
        <w:t>provide</w:t>
      </w:r>
      <w:r w:rsidR="00030CAE" w:rsidRPr="00797BFA">
        <w:t>s</w:t>
      </w:r>
      <w:r w:rsidRPr="00797BFA">
        <w:t xml:space="preserve"> sustained primary frequency response during frequency excursions</w:t>
      </w:r>
      <w:r w:rsidR="00651693" w:rsidRPr="00797BFA">
        <w:t>,</w:t>
      </w:r>
      <w:r w:rsidRPr="00797BFA">
        <w:t xml:space="preserve"> until system frequency returns to within the governor’s dead band setting.</w:t>
      </w:r>
    </w:p>
    <w:p w14:paraId="73D76A7E" w14:textId="3CE21767" w:rsidR="005D264E" w:rsidRDefault="00C10157" w:rsidP="00136F93">
      <w:pPr>
        <w:numPr>
          <w:ilvl w:val="0"/>
          <w:numId w:val="19"/>
        </w:numPr>
        <w:spacing w:line="480" w:lineRule="auto"/>
      </w:pPr>
      <w:r>
        <w:t>I</w:t>
      </w:r>
      <w:r w:rsidR="00E22B5A" w:rsidRPr="00797BFA">
        <w:t xml:space="preserve">s it necessary for every generating resource to install the capability necessary to provide primary frequency response?  Or </w:t>
      </w:r>
      <w:r w:rsidR="00CC4953" w:rsidRPr="00797BFA">
        <w:t xml:space="preserve">is it more appropriate </w:t>
      </w:r>
      <w:r w:rsidR="00AB3F83">
        <w:t>for</w:t>
      </w:r>
      <w:r w:rsidR="00E22B5A" w:rsidRPr="00797BFA">
        <w:t xml:space="preserve"> </w:t>
      </w:r>
      <w:r w:rsidR="00F41EB6" w:rsidRPr="00797BFA">
        <w:t>balancing authorit</w:t>
      </w:r>
      <w:r w:rsidR="00CC4953" w:rsidRPr="00797BFA">
        <w:t xml:space="preserve">ies </w:t>
      </w:r>
      <w:r w:rsidR="00E22B5A" w:rsidRPr="00797BFA">
        <w:t xml:space="preserve">to </w:t>
      </w:r>
      <w:r w:rsidR="00CC4953" w:rsidRPr="00797BFA">
        <w:t>identify</w:t>
      </w:r>
      <w:r>
        <w:t xml:space="preserve"> and procure</w:t>
      </w:r>
      <w:r w:rsidR="00CC4953" w:rsidRPr="00797BFA">
        <w:t xml:space="preserve"> </w:t>
      </w:r>
      <w:r w:rsidR="00852F11">
        <w:t>the amount</w:t>
      </w:r>
      <w:r>
        <w:t xml:space="preserve"> </w:t>
      </w:r>
      <w:r w:rsidR="00CC4953" w:rsidRPr="00797BFA">
        <w:t xml:space="preserve">of primary frequency response service </w:t>
      </w:r>
      <w:r w:rsidR="009702DF" w:rsidRPr="00797BFA">
        <w:t xml:space="preserve">that </w:t>
      </w:r>
      <w:r w:rsidR="00CC4953" w:rsidRPr="00797BFA">
        <w:t xml:space="preserve">they need to meet their </w:t>
      </w:r>
      <w:r w:rsidR="00E22B5A" w:rsidRPr="00797BFA">
        <w:t xml:space="preserve">obligations under Reliability Standard </w:t>
      </w:r>
      <w:r w:rsidR="00CC4953" w:rsidRPr="00797BFA">
        <w:t xml:space="preserve">BAL-003-1 </w:t>
      </w:r>
      <w:r w:rsidR="00CC4953" w:rsidRPr="003E02ED">
        <w:t>and the optimum mix of resources to meet that need</w:t>
      </w:r>
      <w:r w:rsidR="00CC4953" w:rsidRPr="00797BFA">
        <w:t>?</w:t>
      </w:r>
      <w:r w:rsidR="00D56AF9">
        <w:t xml:space="preserve"> </w:t>
      </w:r>
    </w:p>
    <w:p w14:paraId="28C60785" w14:textId="6063D6C9" w:rsidR="00E46A67" w:rsidRDefault="003E02ED" w:rsidP="00AE776E">
      <w:pPr>
        <w:numPr>
          <w:ilvl w:val="1"/>
          <w:numId w:val="19"/>
        </w:numPr>
        <w:spacing w:line="480" w:lineRule="auto"/>
      </w:pPr>
      <w:r>
        <w:t xml:space="preserve">To the extent that </w:t>
      </w:r>
      <w:r w:rsidR="00AB3F83">
        <w:t>b</w:t>
      </w:r>
      <w:r w:rsidR="00E46A67">
        <w:t xml:space="preserve">alancing </w:t>
      </w:r>
      <w:r w:rsidR="00AB3F83">
        <w:t>a</w:t>
      </w:r>
      <w:r w:rsidR="00E46A67">
        <w:t xml:space="preserve">uthorities </w:t>
      </w:r>
      <w:r>
        <w:t>are</w:t>
      </w:r>
      <w:r w:rsidR="00E46A67">
        <w:t xml:space="preserve"> responsible for procuring adequate primary frequency response service, does the current framework for blackstart </w:t>
      </w:r>
      <w:r w:rsidR="00E46A67" w:rsidRPr="00797BFA">
        <w:t>provide a useful guide for</w:t>
      </w:r>
      <w:r w:rsidR="00E46A67">
        <w:t xml:space="preserve"> how</w:t>
      </w:r>
      <w:r w:rsidR="00E46A67" w:rsidRPr="00797BFA">
        <w:t xml:space="preserve"> primary frequency response service</w:t>
      </w:r>
      <w:r w:rsidR="00E46A67" w:rsidRPr="00797BFA" w:rsidDel="00CC5579">
        <w:t xml:space="preserve"> </w:t>
      </w:r>
      <w:r w:rsidR="00E46A67">
        <w:t>could be procured?</w:t>
      </w:r>
    </w:p>
    <w:p w14:paraId="6ED7558F" w14:textId="6C1CB800" w:rsidR="00E46A67" w:rsidRPr="00797BFA" w:rsidRDefault="00E46A67" w:rsidP="00AE776E">
      <w:pPr>
        <w:numPr>
          <w:ilvl w:val="1"/>
          <w:numId w:val="19"/>
        </w:numPr>
        <w:spacing w:line="480" w:lineRule="auto"/>
      </w:pPr>
      <w:r>
        <w:t xml:space="preserve">Does the Commission’s recent rulemaking allowing third-party sales of frequency response services at market based rates allow </w:t>
      </w:r>
      <w:r w:rsidR="00AB3F83">
        <w:t>b</w:t>
      </w:r>
      <w:r>
        <w:t xml:space="preserve">alancing </w:t>
      </w:r>
      <w:r w:rsidR="00AB3F83">
        <w:t>a</w:t>
      </w:r>
      <w:r>
        <w:t>uthorities to procure sufficient amounts of primary frequency response</w:t>
      </w:r>
      <w:r w:rsidR="00CA21CA">
        <w:t xml:space="preserve"> as required by BAL-003-1</w:t>
      </w:r>
      <w:r>
        <w:t xml:space="preserve">? </w:t>
      </w:r>
    </w:p>
    <w:p w14:paraId="1702444C" w14:textId="24CBC360" w:rsidR="00CC4953" w:rsidRPr="00797BFA" w:rsidRDefault="00A032AB" w:rsidP="00E61265">
      <w:pPr>
        <w:numPr>
          <w:ilvl w:val="1"/>
          <w:numId w:val="19"/>
        </w:numPr>
        <w:spacing w:line="480" w:lineRule="auto"/>
      </w:pPr>
      <w:r w:rsidRPr="00797BFA">
        <w:t>T</w:t>
      </w:r>
      <w:r w:rsidR="00C04031" w:rsidRPr="00797BFA">
        <w:t>o the extent that</w:t>
      </w:r>
      <w:r w:rsidR="00E9294C" w:rsidRPr="00797BFA">
        <w:t xml:space="preserve"> </w:t>
      </w:r>
      <w:r w:rsidR="00F41EB6" w:rsidRPr="00797BFA">
        <w:t>balancing authorit</w:t>
      </w:r>
      <w:r w:rsidR="00C04031" w:rsidRPr="00797BFA">
        <w:t xml:space="preserve">ies </w:t>
      </w:r>
      <w:r w:rsidR="00E9294C" w:rsidRPr="00797BFA">
        <w:t>centrally optimize primary</w:t>
      </w:r>
      <w:r w:rsidR="00C04031" w:rsidRPr="00797BFA">
        <w:t xml:space="preserve"> frequency response, wherein an algorithm optimizes </w:t>
      </w:r>
      <w:r w:rsidR="00B01232">
        <w:t xml:space="preserve">in the operating horizon </w:t>
      </w:r>
      <w:r w:rsidR="00C04031" w:rsidRPr="00797BFA">
        <w:t xml:space="preserve">the set of resources in which to allocate primary frequency response headroom: should all newly interconnecting resources </w:t>
      </w:r>
      <w:r w:rsidR="00FE3101" w:rsidRPr="00797BFA">
        <w:t xml:space="preserve">be required to </w:t>
      </w:r>
      <w:r w:rsidR="00C04031" w:rsidRPr="00797BFA">
        <w:t xml:space="preserve">install the necessary capability in these areas? </w:t>
      </w:r>
      <w:r w:rsidR="009A38E8" w:rsidRPr="00797BFA">
        <w:t xml:space="preserve"> </w:t>
      </w:r>
      <w:r w:rsidR="00CB2BF0">
        <w:t>C</w:t>
      </w:r>
      <w:r w:rsidR="00C04031" w:rsidRPr="00797BFA">
        <w:t xml:space="preserve">an </w:t>
      </w:r>
      <w:r w:rsidR="00F41EB6" w:rsidRPr="00797BFA">
        <w:t>balancing authorit</w:t>
      </w:r>
      <w:r w:rsidR="00C04031" w:rsidRPr="00797BFA">
        <w:t xml:space="preserve">ies predict </w:t>
      </w:r>
      <w:r w:rsidR="00CB2BF0">
        <w:t xml:space="preserve">far ahead of the operating horizon </w:t>
      </w:r>
      <w:r w:rsidR="00C04031" w:rsidRPr="00797BFA">
        <w:t xml:space="preserve">the </w:t>
      </w:r>
      <w:r w:rsidR="00775437" w:rsidRPr="00797BFA">
        <w:t xml:space="preserve">least-cost </w:t>
      </w:r>
      <w:r w:rsidR="00C04031" w:rsidRPr="00797BFA">
        <w:t xml:space="preserve">set of resources </w:t>
      </w:r>
      <w:r w:rsidR="00CB2BF0">
        <w:t xml:space="preserve">from which it will optimize </w:t>
      </w:r>
      <w:r w:rsidR="00DF1F23">
        <w:t xml:space="preserve">the </w:t>
      </w:r>
      <w:r w:rsidR="00775437" w:rsidRPr="00797BFA">
        <w:t>provi</w:t>
      </w:r>
      <w:r w:rsidR="0034603B">
        <w:t>sio</w:t>
      </w:r>
      <w:r w:rsidR="00DF1F23">
        <w:t>n</w:t>
      </w:r>
      <w:r w:rsidR="0034603B">
        <w:t xml:space="preserve"> </w:t>
      </w:r>
      <w:r w:rsidR="00DF1F23">
        <w:t>of</w:t>
      </w:r>
      <w:r w:rsidR="00775437" w:rsidRPr="00797BFA">
        <w:t xml:space="preserve"> primary frequency response?</w:t>
      </w:r>
    </w:p>
    <w:p w14:paraId="4D02E1CA" w14:textId="21B154E5" w:rsidR="00CC4953" w:rsidRPr="00797BFA" w:rsidRDefault="00CC4953" w:rsidP="00E61265">
      <w:pPr>
        <w:numPr>
          <w:ilvl w:val="1"/>
          <w:numId w:val="19"/>
        </w:numPr>
        <w:spacing w:line="480" w:lineRule="auto"/>
      </w:pPr>
      <w:r w:rsidRPr="00797BFA">
        <w:t xml:space="preserve">Would the costs of requiring all resources to </w:t>
      </w:r>
      <w:r w:rsidR="008251A5" w:rsidRPr="00797BFA">
        <w:t xml:space="preserve">have the capability to </w:t>
      </w:r>
      <w:r w:rsidRPr="00797BFA">
        <w:t xml:space="preserve">provide primary frequency response be significantly greater than the costs that would result from an </w:t>
      </w:r>
      <w:r w:rsidR="00FE3101" w:rsidRPr="00797BFA">
        <w:t>I</w:t>
      </w:r>
      <w:r w:rsidRPr="00797BFA">
        <w:t xml:space="preserve">nterconnection-wide or </w:t>
      </w:r>
      <w:r w:rsidR="00F41EB6" w:rsidRPr="00797BFA">
        <w:t>balancing authorit</w:t>
      </w:r>
      <w:r w:rsidRPr="00797BFA">
        <w:t>y-wide optimization of which generators</w:t>
      </w:r>
      <w:r w:rsidR="006C67B2" w:rsidRPr="00797BFA">
        <w:t xml:space="preserve"> should be capable of </w:t>
      </w:r>
      <w:r w:rsidRPr="00797BFA">
        <w:t>provid</w:t>
      </w:r>
      <w:r w:rsidR="006C67B2" w:rsidRPr="00797BFA">
        <w:t>ing</w:t>
      </w:r>
      <w:r w:rsidRPr="00797BFA">
        <w:t xml:space="preserve"> primary frequency response</w:t>
      </w:r>
      <w:r w:rsidR="00E5633A" w:rsidRPr="00797BFA">
        <w:t>?</w:t>
      </w:r>
      <w:r w:rsidR="00A032AB" w:rsidRPr="00797BFA">
        <w:t xml:space="preserve">  </w:t>
      </w:r>
    </w:p>
    <w:p w14:paraId="029CD57B" w14:textId="6865CCCF" w:rsidR="006C67B2" w:rsidRPr="00797BFA" w:rsidRDefault="006C67B2" w:rsidP="00E61265">
      <w:pPr>
        <w:numPr>
          <w:ilvl w:val="1"/>
          <w:numId w:val="19"/>
        </w:numPr>
        <w:spacing w:line="480" w:lineRule="auto"/>
      </w:pPr>
      <w:r w:rsidRPr="00797BFA">
        <w:t xml:space="preserve">Would the costs of requiring all </w:t>
      </w:r>
      <w:r w:rsidR="00BB072F" w:rsidRPr="00797BFA">
        <w:t xml:space="preserve">new </w:t>
      </w:r>
      <w:r w:rsidRPr="00797BFA">
        <w:t xml:space="preserve">resources to </w:t>
      </w:r>
      <w:r w:rsidR="00526A71" w:rsidRPr="00797BFA">
        <w:t>enable and set their governors</w:t>
      </w:r>
      <w:r w:rsidRPr="00797BFA">
        <w:t xml:space="preserve">, or equivalent equipment, to be able to provide primary frequency response in real-time be significantly greater than the costs that would result from an </w:t>
      </w:r>
      <w:r w:rsidR="00FE3101" w:rsidRPr="00797BFA">
        <w:t>I</w:t>
      </w:r>
      <w:r w:rsidRPr="00797BFA">
        <w:t xml:space="preserve">nterconnection-wide or </w:t>
      </w:r>
      <w:r w:rsidR="00F41EB6" w:rsidRPr="00797BFA">
        <w:t>balancing authorit</w:t>
      </w:r>
      <w:r w:rsidRPr="00797BFA">
        <w:t>y-wide optimization of which generators should provide primary frequency response in real-time</w:t>
      </w:r>
      <w:r w:rsidR="00E5633A" w:rsidRPr="00797BFA">
        <w:t>?</w:t>
      </w:r>
    </w:p>
    <w:p w14:paraId="7F426220" w14:textId="25D4BE60" w:rsidR="00472708" w:rsidRPr="00797BFA" w:rsidRDefault="00472708" w:rsidP="00E61265">
      <w:pPr>
        <w:numPr>
          <w:ilvl w:val="1"/>
          <w:numId w:val="19"/>
        </w:numPr>
        <w:spacing w:line="480" w:lineRule="auto"/>
      </w:pPr>
      <w:r w:rsidRPr="00797BFA">
        <w:t>Please discuss the viability of implementing an Interconnection-wide optimization mechanism.</w:t>
      </w:r>
    </w:p>
    <w:p w14:paraId="00C61AB3" w14:textId="7D852A42" w:rsidR="00A20EE7" w:rsidRPr="00797BFA" w:rsidRDefault="00CC4953" w:rsidP="00E62BB5">
      <w:pPr>
        <w:numPr>
          <w:ilvl w:val="1"/>
          <w:numId w:val="19"/>
        </w:numPr>
        <w:spacing w:line="480" w:lineRule="auto"/>
      </w:pPr>
      <w:r w:rsidRPr="00797BFA">
        <w:t xml:space="preserve">Would requiring every resource to </w:t>
      </w:r>
      <w:r w:rsidR="00257029" w:rsidRPr="00797BFA">
        <w:t>be capable</w:t>
      </w:r>
      <w:r w:rsidR="00E5633A" w:rsidRPr="00797BFA">
        <w:t xml:space="preserve"> </w:t>
      </w:r>
      <w:r w:rsidR="00257029" w:rsidRPr="00797BFA">
        <w:t xml:space="preserve">of </w:t>
      </w:r>
      <w:r w:rsidRPr="00797BFA">
        <w:t>provid</w:t>
      </w:r>
      <w:r w:rsidR="00257029" w:rsidRPr="00797BFA">
        <w:t>ing</w:t>
      </w:r>
      <w:r w:rsidRPr="00797BFA">
        <w:t xml:space="preserve"> primary frequency response result in over</w:t>
      </w:r>
      <w:r w:rsidR="001D7065" w:rsidRPr="00797BFA">
        <w:t>-</w:t>
      </w:r>
      <w:r w:rsidRPr="00797BFA">
        <w:t xml:space="preserve">procurement </w:t>
      </w:r>
      <w:r w:rsidR="00257029" w:rsidRPr="00797BFA">
        <w:t xml:space="preserve">or inefficient investment in primary frequency response capability </w:t>
      </w:r>
      <w:r w:rsidRPr="00797BFA">
        <w:t>to the detriment of customers?</w:t>
      </w:r>
    </w:p>
    <w:p w14:paraId="58595078" w14:textId="5308A4A1" w:rsidR="00701D84" w:rsidRPr="00797BFA" w:rsidRDefault="00701D84" w:rsidP="00E61265">
      <w:pPr>
        <w:numPr>
          <w:ilvl w:val="1"/>
          <w:numId w:val="19"/>
        </w:numPr>
        <w:spacing w:line="480" w:lineRule="auto"/>
      </w:pPr>
      <w:r w:rsidRPr="00797BFA">
        <w:t xml:space="preserve">Without rules to compel performance, how would </w:t>
      </w:r>
      <w:r w:rsidR="00F41EB6" w:rsidRPr="00797BFA">
        <w:t>balancing authorit</w:t>
      </w:r>
      <w:r w:rsidRPr="00797BFA">
        <w:t>ies ensure that the optimal set of resources chosen by an optimization algorithm actually enable governor controls with appropriate governor settings</w:t>
      </w:r>
      <w:r w:rsidR="00FA2FD7" w:rsidRPr="00797BFA">
        <w:t xml:space="preserve"> so that they provide </w:t>
      </w:r>
      <w:r w:rsidR="001D7065" w:rsidRPr="00797BFA">
        <w:t xml:space="preserve">sustained </w:t>
      </w:r>
      <w:r w:rsidR="00FA2FD7" w:rsidRPr="00797BFA">
        <w:t xml:space="preserve">primary frequency response when </w:t>
      </w:r>
      <w:r w:rsidR="003E74DC" w:rsidRPr="00797BFA">
        <w:t>capacity</w:t>
      </w:r>
      <w:r w:rsidR="00FE3101" w:rsidRPr="00797BFA">
        <w:t xml:space="preserve"> </w:t>
      </w:r>
      <w:r w:rsidR="003E74DC" w:rsidRPr="00797BFA">
        <w:t>(or “</w:t>
      </w:r>
      <w:r w:rsidR="00FE3101" w:rsidRPr="00797BFA">
        <w:t>headroom</w:t>
      </w:r>
      <w:r w:rsidR="003E74DC" w:rsidRPr="00797BFA">
        <w:t>”) has been reserved</w:t>
      </w:r>
      <w:r w:rsidR="00FE3101" w:rsidRPr="00797BFA">
        <w:t xml:space="preserve"> and </w:t>
      </w:r>
      <w:r w:rsidR="00FA2FD7" w:rsidRPr="00797BFA">
        <w:t>frequency deviates outside of their dead band settings</w:t>
      </w:r>
      <w:r w:rsidRPr="00797BFA">
        <w:t>?</w:t>
      </w:r>
    </w:p>
    <w:p w14:paraId="6C8928A0" w14:textId="3812F897" w:rsidR="00CC4953" w:rsidRPr="00797BFA" w:rsidRDefault="00CC4953" w:rsidP="00136F93">
      <w:pPr>
        <w:numPr>
          <w:ilvl w:val="0"/>
          <w:numId w:val="19"/>
        </w:numPr>
        <w:spacing w:line="480" w:lineRule="auto"/>
      </w:pPr>
      <w:r w:rsidRPr="00797BFA">
        <w:t xml:space="preserve">If </w:t>
      </w:r>
      <w:r w:rsidR="00B834AC" w:rsidRPr="00797BFA">
        <w:t>generation resources were</w:t>
      </w:r>
      <w:r w:rsidRPr="00797BFA">
        <w:t xml:space="preserve"> require</w:t>
      </w:r>
      <w:r w:rsidR="00B834AC" w:rsidRPr="00797BFA">
        <w:t>d to</w:t>
      </w:r>
      <w:r w:rsidRPr="00797BFA">
        <w:t xml:space="preserve"> </w:t>
      </w:r>
      <w:r w:rsidR="00B834AC" w:rsidRPr="00797BFA">
        <w:t xml:space="preserve">have </w:t>
      </w:r>
      <w:r w:rsidRPr="00797BFA">
        <w:t xml:space="preserve">minimum levels of primary frequency response capability </w:t>
      </w:r>
      <w:r w:rsidR="00B834AC" w:rsidRPr="00797BFA">
        <w:t>or performance</w:t>
      </w:r>
      <w:r w:rsidRPr="00797BFA">
        <w:t>, should such resources be compensated for providing primary frequency response capability, performance, or both?  If so, why?</w:t>
      </w:r>
      <w:r w:rsidR="004142B5" w:rsidRPr="00797BFA">
        <w:t xml:space="preserve">  If not, why?</w:t>
      </w:r>
    </w:p>
    <w:p w14:paraId="45A3506F" w14:textId="77777777" w:rsidR="00F41289" w:rsidRDefault="00CC4953" w:rsidP="00E61265">
      <w:pPr>
        <w:numPr>
          <w:ilvl w:val="1"/>
          <w:numId w:val="19"/>
        </w:numPr>
        <w:spacing w:line="480" w:lineRule="auto"/>
      </w:pPr>
      <w:r w:rsidRPr="00797BFA">
        <w:t>If payment is based on capacity</w:t>
      </w:r>
      <w:r w:rsidR="002547DA" w:rsidRPr="00797BFA">
        <w:t xml:space="preserve"> (or </w:t>
      </w:r>
      <w:r w:rsidR="00532EE5" w:rsidRPr="00797BFA">
        <w:t>“</w:t>
      </w:r>
      <w:r w:rsidR="002547DA" w:rsidRPr="00797BFA">
        <w:t>headroom</w:t>
      </w:r>
      <w:r w:rsidR="00532EE5" w:rsidRPr="00797BFA">
        <w:t>”</w:t>
      </w:r>
      <w:r w:rsidR="00046702" w:rsidRPr="00797BFA">
        <w:t>)</w:t>
      </w:r>
      <w:r w:rsidR="002547DA" w:rsidRPr="00797BFA">
        <w:t xml:space="preserve"> that is set aside for primary frequency response</w:t>
      </w:r>
      <w:r w:rsidRPr="00797BFA">
        <w:t xml:space="preserve">, how </w:t>
      </w:r>
      <w:r w:rsidR="002E0ABC" w:rsidRPr="00797BFA">
        <w:t>sh</w:t>
      </w:r>
      <w:r w:rsidRPr="00797BFA">
        <w:t>ould such a capacity payment be structured</w:t>
      </w:r>
      <w:r w:rsidR="00F847FE" w:rsidRPr="00797BFA">
        <w:t xml:space="preserve"> and determined</w:t>
      </w:r>
      <w:r w:rsidRPr="00797BFA">
        <w:t xml:space="preserve">?  </w:t>
      </w:r>
    </w:p>
    <w:p w14:paraId="61947ABB" w14:textId="2B28FD91" w:rsidR="004A7410" w:rsidRPr="00797BFA" w:rsidRDefault="004A7410" w:rsidP="00E61265">
      <w:pPr>
        <w:numPr>
          <w:ilvl w:val="1"/>
          <w:numId w:val="19"/>
        </w:numPr>
        <w:spacing w:line="480" w:lineRule="auto"/>
      </w:pPr>
      <w:r w:rsidRPr="00797BFA">
        <w:t>If payment is based on actual performance, either alone or in combination with a capacity-based payment, please discuss possible rate structures applicable to primary frequency response performance.</w:t>
      </w:r>
    </w:p>
    <w:p w14:paraId="4CC28028" w14:textId="3A9CF9AF" w:rsidR="00CB2BF0" w:rsidDel="00953BED" w:rsidRDefault="00CB2BF0" w:rsidP="00AE776E">
      <w:pPr>
        <w:numPr>
          <w:ilvl w:val="1"/>
          <w:numId w:val="19"/>
        </w:numPr>
        <w:spacing w:line="480" w:lineRule="auto"/>
      </w:pPr>
      <w:r>
        <w:t>Will a market price provide resources with sufficient</w:t>
      </w:r>
      <w:r w:rsidR="00585DE7">
        <w:t xml:space="preserve"> incentive to invest in primary frequency response capability and make the service available to the balancing authority in real-time, absent a requirement that resources maintain the capability to provide primary frequency response and perform as required?</w:t>
      </w:r>
    </w:p>
    <w:p w14:paraId="6C94F2BE" w14:textId="519EF1CE" w:rsidR="000D43A9" w:rsidRPr="00797BFA" w:rsidRDefault="002547DA" w:rsidP="00E61265">
      <w:pPr>
        <w:numPr>
          <w:ilvl w:val="0"/>
          <w:numId w:val="19"/>
        </w:numPr>
        <w:spacing w:line="480" w:lineRule="auto"/>
      </w:pPr>
      <w:r w:rsidRPr="00797BFA">
        <w:t>Currently, how do RTOs/ISOs</w:t>
      </w:r>
      <w:r w:rsidR="005C6971" w:rsidRPr="00797BFA">
        <w:t xml:space="preserve"> </w:t>
      </w:r>
      <w:r w:rsidRPr="00797BFA">
        <w:t xml:space="preserve">ensure that they have the appropriate amount of </w:t>
      </w:r>
      <w:r w:rsidR="005C6971" w:rsidRPr="00797BFA">
        <w:t>p</w:t>
      </w:r>
      <w:r w:rsidRPr="00797BFA">
        <w:t xml:space="preserve">rimary </w:t>
      </w:r>
      <w:r w:rsidR="005C6971" w:rsidRPr="00797BFA">
        <w:t>f</w:t>
      </w:r>
      <w:r w:rsidRPr="00797BFA">
        <w:t xml:space="preserve">requency </w:t>
      </w:r>
      <w:r w:rsidR="005C6971" w:rsidRPr="00797BFA">
        <w:t>r</w:t>
      </w:r>
      <w:r w:rsidRPr="00797BFA">
        <w:t xml:space="preserve">esponse </w:t>
      </w:r>
      <w:r w:rsidR="005C6971" w:rsidRPr="00797BFA">
        <w:t>c</w:t>
      </w:r>
      <w:r w:rsidRPr="00797BFA">
        <w:t xml:space="preserve">apability during operations?  </w:t>
      </w:r>
    </w:p>
    <w:p w14:paraId="63A7BD0C" w14:textId="364A98EB" w:rsidR="000D43A9" w:rsidRPr="00797BFA" w:rsidRDefault="002547DA" w:rsidP="00E61265">
      <w:pPr>
        <w:numPr>
          <w:ilvl w:val="1"/>
          <w:numId w:val="19"/>
        </w:numPr>
        <w:spacing w:line="480" w:lineRule="auto"/>
      </w:pPr>
      <w:r w:rsidRPr="00797BFA">
        <w:t xml:space="preserve">Are resources contracted for </w:t>
      </w:r>
      <w:r w:rsidR="005C6971" w:rsidRPr="00797BFA">
        <w:t>p</w:t>
      </w:r>
      <w:r w:rsidRPr="00797BFA">
        <w:t xml:space="preserve">rimary </w:t>
      </w:r>
      <w:r w:rsidR="005C6971" w:rsidRPr="00797BFA">
        <w:t>f</w:t>
      </w:r>
      <w:r w:rsidRPr="00797BFA">
        <w:t xml:space="preserve">requency </w:t>
      </w:r>
      <w:r w:rsidR="005C6971" w:rsidRPr="00797BFA">
        <w:t>r</w:t>
      </w:r>
      <w:r w:rsidRPr="00797BFA">
        <w:t xml:space="preserve">esponse outside of the market optimization and dispatch?  </w:t>
      </w:r>
    </w:p>
    <w:p w14:paraId="44D414EC" w14:textId="210A0D6B" w:rsidR="002547DA" w:rsidRPr="00797BFA" w:rsidRDefault="005C6971" w:rsidP="00E61265">
      <w:pPr>
        <w:numPr>
          <w:ilvl w:val="1"/>
          <w:numId w:val="19"/>
        </w:numPr>
        <w:spacing w:line="480" w:lineRule="auto"/>
      </w:pPr>
      <w:r w:rsidRPr="00797BFA">
        <w:t>Alternatively, d</w:t>
      </w:r>
      <w:r w:rsidR="002547DA" w:rsidRPr="00797BFA">
        <w:t xml:space="preserve">oes the market optimization and dispatch incorporate </w:t>
      </w:r>
      <w:r w:rsidRPr="00797BFA">
        <w:t>p</w:t>
      </w:r>
      <w:r w:rsidR="002547DA" w:rsidRPr="00797BFA">
        <w:t xml:space="preserve">rimary </w:t>
      </w:r>
      <w:r w:rsidRPr="00797BFA">
        <w:t>f</w:t>
      </w:r>
      <w:r w:rsidR="002547DA" w:rsidRPr="00797BFA">
        <w:t xml:space="preserve">requency </w:t>
      </w:r>
      <w:r w:rsidRPr="00797BFA">
        <w:t>r</w:t>
      </w:r>
      <w:r w:rsidR="002547DA" w:rsidRPr="00797BFA">
        <w:t>esponse in its optimization?</w:t>
      </w:r>
    </w:p>
    <w:p w14:paraId="375887AC" w14:textId="45F2114E" w:rsidR="008D2CD8" w:rsidRPr="00797BFA" w:rsidRDefault="0066168C" w:rsidP="00E61265">
      <w:pPr>
        <w:numPr>
          <w:ilvl w:val="0"/>
          <w:numId w:val="19"/>
        </w:numPr>
        <w:spacing w:line="480" w:lineRule="auto"/>
      </w:pPr>
      <w:r w:rsidRPr="00797BFA">
        <w:t xml:space="preserve">Would it be appropriate for RTOs/ISOs to create a product for </w:t>
      </w:r>
      <w:r w:rsidR="008D2CD8" w:rsidRPr="00797BFA">
        <w:t>p</w:t>
      </w:r>
      <w:r w:rsidRPr="00797BFA">
        <w:t xml:space="preserve">rimary </w:t>
      </w:r>
      <w:r w:rsidR="008D2CD8" w:rsidRPr="00797BFA">
        <w:t>f</w:t>
      </w:r>
      <w:r w:rsidRPr="00797BFA">
        <w:t xml:space="preserve">requency </w:t>
      </w:r>
      <w:r w:rsidR="008D2CD8" w:rsidRPr="00797BFA">
        <w:t>r</w:t>
      </w:r>
      <w:r w:rsidRPr="00797BFA">
        <w:t>esponse</w:t>
      </w:r>
      <w:r w:rsidR="00DF1F23">
        <w:t xml:space="preserve"> service</w:t>
      </w:r>
      <w:r w:rsidRPr="00797BFA">
        <w:t>?</w:t>
      </w:r>
    </w:p>
    <w:p w14:paraId="49E3DF15" w14:textId="32834152" w:rsidR="00DF1F23" w:rsidRPr="00797BFA" w:rsidRDefault="0066168C">
      <w:pPr>
        <w:numPr>
          <w:ilvl w:val="1"/>
          <w:numId w:val="19"/>
        </w:numPr>
        <w:spacing w:line="480" w:lineRule="auto"/>
      </w:pPr>
      <w:r w:rsidRPr="00797BFA">
        <w:t xml:space="preserve">Should this product be similar to a capacity product for the procurement of </w:t>
      </w:r>
      <w:r w:rsidR="008D2CD8" w:rsidRPr="00797BFA">
        <w:t>p</w:t>
      </w:r>
      <w:r w:rsidRPr="00797BFA">
        <w:t xml:space="preserve">rimary </w:t>
      </w:r>
      <w:r w:rsidR="008D2CD8" w:rsidRPr="00797BFA">
        <w:t>f</w:t>
      </w:r>
      <w:r w:rsidRPr="00797BFA">
        <w:t xml:space="preserve">requency </w:t>
      </w:r>
      <w:r w:rsidR="008D2CD8" w:rsidRPr="00797BFA">
        <w:t>r</w:t>
      </w:r>
      <w:r w:rsidRPr="00797BFA">
        <w:t>esponse capability from resources?</w:t>
      </w:r>
    </w:p>
    <w:p w14:paraId="2B217EB5" w14:textId="24860ED3" w:rsidR="0066168C" w:rsidRDefault="0066168C" w:rsidP="00E61265">
      <w:pPr>
        <w:numPr>
          <w:ilvl w:val="1"/>
          <w:numId w:val="19"/>
        </w:numPr>
        <w:spacing w:line="480" w:lineRule="auto"/>
      </w:pPr>
      <w:r w:rsidRPr="00797BFA">
        <w:t xml:space="preserve">Should this product be similar to other ancillary service products </w:t>
      </w:r>
      <w:r w:rsidR="004436E6">
        <w:t>in which</w:t>
      </w:r>
      <w:r w:rsidR="004436E6" w:rsidRPr="00797BFA">
        <w:t xml:space="preserve"> </w:t>
      </w:r>
      <w:r w:rsidRPr="00797BFA">
        <w:t xml:space="preserve">certain resources </w:t>
      </w:r>
      <w:r w:rsidR="00BA318D">
        <w:t xml:space="preserve">would be </w:t>
      </w:r>
      <w:r w:rsidR="00585DE7">
        <w:t>selected</w:t>
      </w:r>
      <w:r w:rsidRPr="00797BFA">
        <w:t xml:space="preserve"> in the day-ahead or real-time markets to provide </w:t>
      </w:r>
      <w:r w:rsidR="008D2CD8" w:rsidRPr="00797BFA">
        <w:t>p</w:t>
      </w:r>
      <w:r w:rsidRPr="00797BFA">
        <w:t xml:space="preserve">rimary </w:t>
      </w:r>
      <w:r w:rsidR="008D2CD8" w:rsidRPr="00797BFA">
        <w:t>f</w:t>
      </w:r>
      <w:r w:rsidRPr="00797BFA">
        <w:t xml:space="preserve">requency </w:t>
      </w:r>
      <w:r w:rsidR="008D2CD8" w:rsidRPr="00797BFA">
        <w:t>r</w:t>
      </w:r>
      <w:r w:rsidRPr="00797BFA">
        <w:t>esponse</w:t>
      </w:r>
      <w:r w:rsidR="008D2CD8" w:rsidRPr="00797BFA">
        <w:t>?</w:t>
      </w:r>
    </w:p>
    <w:p w14:paraId="633D1004" w14:textId="77777777" w:rsidR="007850A9" w:rsidRDefault="007850A9">
      <w:pPr>
        <w:widowControl/>
        <w:autoSpaceDE/>
        <w:autoSpaceDN/>
        <w:adjustRightInd/>
      </w:pPr>
      <w:r>
        <w:br w:type="page"/>
      </w:r>
    </w:p>
    <w:p w14:paraId="016B9B6C" w14:textId="337D268F" w:rsidR="00DF1F23" w:rsidRDefault="00DF1F23">
      <w:pPr>
        <w:numPr>
          <w:ilvl w:val="1"/>
          <w:numId w:val="19"/>
        </w:numPr>
        <w:spacing w:line="480" w:lineRule="auto"/>
      </w:pPr>
      <w:r>
        <w:t xml:space="preserve">Are there benefits to co-optimizing the capacity (or “headroom”) allocated on generating units for primary frequency response </w:t>
      </w:r>
      <w:r w:rsidRPr="00797BFA">
        <w:t xml:space="preserve">with </w:t>
      </w:r>
      <w:r>
        <w:t xml:space="preserve">the </w:t>
      </w:r>
      <w:r w:rsidRPr="00797BFA">
        <w:t>market</w:t>
      </w:r>
      <w:r>
        <w:t xml:space="preserve"> optimization</w:t>
      </w:r>
      <w:r w:rsidRPr="00797BFA">
        <w:t xml:space="preserve"> and dispatch</w:t>
      </w:r>
      <w:r>
        <w:t xml:space="preserve"> of RTOs/ISOs?  If so, what are the challenges associated with doing so?</w:t>
      </w:r>
    </w:p>
    <w:p w14:paraId="78712E91" w14:textId="61F3A197" w:rsidR="00CC4953" w:rsidRPr="00797BFA" w:rsidRDefault="00CC4953" w:rsidP="00E61265">
      <w:pPr>
        <w:numPr>
          <w:ilvl w:val="0"/>
          <w:numId w:val="19"/>
        </w:numPr>
        <w:spacing w:line="480" w:lineRule="auto"/>
      </w:pPr>
      <w:r w:rsidRPr="00797BFA">
        <w:t xml:space="preserve">Are there benefits to separating </w:t>
      </w:r>
      <w:r w:rsidR="001D5D26" w:rsidRPr="00797BFA">
        <w:t>F</w:t>
      </w:r>
      <w:r w:rsidRPr="00797BFA">
        <w:t xml:space="preserve">requency </w:t>
      </w:r>
      <w:r w:rsidR="001D5D26" w:rsidRPr="00797BFA">
        <w:t>R</w:t>
      </w:r>
      <w:r w:rsidRPr="00797BFA">
        <w:t xml:space="preserve">esponse </w:t>
      </w:r>
      <w:r w:rsidR="001D5D26" w:rsidRPr="00797BFA">
        <w:t>S</w:t>
      </w:r>
      <w:r w:rsidRPr="00797BFA">
        <w:t xml:space="preserve">ervice </w:t>
      </w:r>
      <w:r w:rsidR="001D5D26" w:rsidRPr="00797BFA">
        <w:t xml:space="preserve">under </w:t>
      </w:r>
      <w:r w:rsidRPr="00797BFA">
        <w:t>Schedule 3 and creating a separate ancillary service</w:t>
      </w:r>
      <w:r w:rsidR="001D5D26" w:rsidRPr="00797BFA">
        <w:t xml:space="preserve"> covering each individually</w:t>
      </w:r>
      <w:r w:rsidRPr="00797BFA">
        <w:t xml:space="preserve">?  If so, how should </w:t>
      </w:r>
      <w:r w:rsidR="001D5D26" w:rsidRPr="00797BFA">
        <w:t xml:space="preserve">a </w:t>
      </w:r>
      <w:r w:rsidRPr="00797BFA">
        <w:t xml:space="preserve">new </w:t>
      </w:r>
      <w:r w:rsidR="0008460F" w:rsidRPr="00797BFA">
        <w:rPr>
          <w:i/>
        </w:rPr>
        <w:t>pro forma</w:t>
      </w:r>
      <w:r w:rsidR="0008460F" w:rsidRPr="00797BFA">
        <w:t xml:space="preserve"> </w:t>
      </w:r>
      <w:r w:rsidR="001D5D26" w:rsidRPr="00797BFA">
        <w:t xml:space="preserve">Primary Frequency Response </w:t>
      </w:r>
      <w:r w:rsidR="008C094E" w:rsidRPr="00797BFA">
        <w:t xml:space="preserve">Ancillary </w:t>
      </w:r>
      <w:r w:rsidR="001D5D26" w:rsidRPr="00797BFA">
        <w:t xml:space="preserve">Service </w:t>
      </w:r>
      <w:r w:rsidRPr="00797BFA">
        <w:t>be structured?</w:t>
      </w:r>
    </w:p>
    <w:p w14:paraId="29147813" w14:textId="2E2C4D47" w:rsidR="00896C68" w:rsidRDefault="00464A93" w:rsidP="00E61265">
      <w:pPr>
        <w:numPr>
          <w:ilvl w:val="0"/>
          <w:numId w:val="19"/>
        </w:numPr>
        <w:spacing w:line="480" w:lineRule="auto"/>
      </w:pPr>
      <w:r w:rsidRPr="00797BFA">
        <w:t>When compen</w:t>
      </w:r>
      <w:r w:rsidR="00CC4953" w:rsidRPr="00797BFA">
        <w:t>sating for primary frequency response, should compensation be different inside and outside of RTOs/ISOs?</w:t>
      </w:r>
    </w:p>
    <w:p w14:paraId="1206927D" w14:textId="6311BABC" w:rsidR="00265682" w:rsidRPr="00797BFA" w:rsidRDefault="00265682" w:rsidP="00E61265">
      <w:pPr>
        <w:numPr>
          <w:ilvl w:val="0"/>
          <w:numId w:val="19"/>
        </w:numPr>
        <w:spacing w:line="480" w:lineRule="auto"/>
      </w:pPr>
      <w:r>
        <w:t xml:space="preserve">What procurement requirements or compensation mechanisms could be used </w:t>
      </w:r>
      <w:r w:rsidR="00FB1D32">
        <w:t>for</w:t>
      </w:r>
      <w:r>
        <w:t xml:space="preserve"> primary frequency response </w:t>
      </w:r>
      <w:r w:rsidR="00FB1D32">
        <w:t>from</w:t>
      </w:r>
      <w:r>
        <w:t xml:space="preserve"> stored energy resources? </w:t>
      </w:r>
      <w:r w:rsidR="00FB1D32">
        <w:t>W</w:t>
      </w:r>
      <w:r>
        <w:t>hen considering requirements or compensation for stored energy resources</w:t>
      </w:r>
      <w:r w:rsidR="00FB1D32">
        <w:t>, how should possible additional costs or other concerns be addressed</w:t>
      </w:r>
      <w:r>
        <w:t>?</w:t>
      </w:r>
    </w:p>
    <w:p w14:paraId="6F159FB1" w14:textId="77777777" w:rsidR="00896C68" w:rsidRPr="00797BFA" w:rsidRDefault="00896C68" w:rsidP="00896C68">
      <w:pPr>
        <w:pStyle w:val="Heading1"/>
      </w:pPr>
      <w:r w:rsidRPr="00797BFA">
        <w:t>Comment Procedures</w:t>
      </w:r>
    </w:p>
    <w:p w14:paraId="2B9C2FF4" w14:textId="77777777" w:rsidR="00926E17" w:rsidRPr="00797BFA" w:rsidRDefault="00896C68" w:rsidP="00FA0351">
      <w:pPr>
        <w:pStyle w:val="FERCparanumber"/>
        <w:tabs>
          <w:tab w:val="clear" w:pos="1170"/>
          <w:tab w:val="num" w:pos="720"/>
        </w:tabs>
        <w:ind w:left="0"/>
      </w:pPr>
      <w:r w:rsidRPr="00797BFA">
        <w:t xml:space="preserve">The Commission invites interested persons to submit </w:t>
      </w:r>
      <w:r w:rsidR="00926E17" w:rsidRPr="00797BFA">
        <w:t xml:space="preserve">comments, and other information on the matters, issues and specific questions identified in this notice. </w:t>
      </w:r>
    </w:p>
    <w:p w14:paraId="30A53129" w14:textId="7E3EFC3F" w:rsidR="00F0675C" w:rsidRPr="00797BFA" w:rsidRDefault="00896C68" w:rsidP="00136F93">
      <w:pPr>
        <w:pStyle w:val="FERCparanumber"/>
        <w:numPr>
          <w:ilvl w:val="0"/>
          <w:numId w:val="0"/>
        </w:numPr>
      </w:pPr>
      <w:r w:rsidRPr="00797BFA">
        <w:t>Comments are due [</w:t>
      </w:r>
      <w:r w:rsidR="00BF2017" w:rsidRPr="00797BFA">
        <w:t xml:space="preserve">Insert date that is </w:t>
      </w:r>
      <w:r w:rsidR="00401F77" w:rsidRPr="00797BFA">
        <w:t>60</w:t>
      </w:r>
      <w:r w:rsidRPr="00797BFA">
        <w:t xml:space="preserve"> days from publication in the </w:t>
      </w:r>
      <w:r w:rsidRPr="00797BFA">
        <w:rPr>
          <w:b/>
        </w:rPr>
        <w:t>FEDERAL REGISTER</w:t>
      </w:r>
      <w:r w:rsidRPr="00797BFA">
        <w:t xml:space="preserve">].  Comments must refer to Docket No. </w:t>
      </w:r>
      <w:r w:rsidR="00AE0570" w:rsidRPr="00797BFA">
        <w:t>RM16-6</w:t>
      </w:r>
      <w:r w:rsidR="009B1E11" w:rsidRPr="00797BFA">
        <w:t xml:space="preserve">-000, </w:t>
      </w:r>
      <w:r w:rsidRPr="00797BFA">
        <w:t>and must include the commenter</w:t>
      </w:r>
      <w:r w:rsidR="007202E0" w:rsidRPr="00797BFA">
        <w:t>’</w:t>
      </w:r>
      <w:r w:rsidRPr="00797BFA">
        <w:t>s name, the organization they represent, if applicable, and their address in their comments.</w:t>
      </w:r>
    </w:p>
    <w:p w14:paraId="62E071C1" w14:textId="095CAD93" w:rsidR="00896C68" w:rsidRPr="00797BFA" w:rsidRDefault="00896C68" w:rsidP="00E61265">
      <w:pPr>
        <w:pStyle w:val="FERCparanumber"/>
        <w:tabs>
          <w:tab w:val="clear" w:pos="1170"/>
          <w:tab w:val="num" w:pos="810"/>
        </w:tabs>
        <w:ind w:left="0"/>
      </w:pPr>
      <w:r w:rsidRPr="00797BFA">
        <w:t xml:space="preserve">The Commission encourages comments to be filed electronically via the eFiling link on the </w:t>
      </w:r>
      <w:r w:rsidR="009B1E11" w:rsidRPr="00797BFA">
        <w:t xml:space="preserve">Commission’s </w:t>
      </w:r>
      <w:r w:rsidRPr="00797BFA">
        <w:t>web site at http://www.ferc.gov.  The Commission accepts most standard word processing formats.  Documents created electronically usin</w:t>
      </w:r>
      <w:r w:rsidR="00F0675C" w:rsidRPr="00797BFA">
        <w:t>g word processing software</w:t>
      </w:r>
      <w:r w:rsidRPr="00797BFA">
        <w:t xml:space="preserve"> should be filed in native applications or print-to-PDF format and not in a scanned format.  Commenters filing electronically do not need to make a paper filing.</w:t>
      </w:r>
    </w:p>
    <w:p w14:paraId="5778F7AB" w14:textId="00C466F6" w:rsidR="00896C68" w:rsidRPr="00797BFA" w:rsidRDefault="00896C68" w:rsidP="00FA0351">
      <w:pPr>
        <w:pStyle w:val="FERCparanumber"/>
        <w:tabs>
          <w:tab w:val="clear" w:pos="1170"/>
          <w:tab w:val="num" w:pos="720"/>
        </w:tabs>
        <w:ind w:left="0"/>
      </w:pPr>
      <w:r w:rsidRPr="00797BFA">
        <w:t>Commenters that are not able to file comments electronically must send an original</w:t>
      </w:r>
      <w:r w:rsidR="006E66DF" w:rsidRPr="00797BFA">
        <w:t xml:space="preserve"> </w:t>
      </w:r>
      <w:r w:rsidRPr="00797BFA">
        <w:t xml:space="preserve">of their comments to: </w:t>
      </w:r>
      <w:r w:rsidR="000828DD" w:rsidRPr="00797BFA">
        <w:t xml:space="preserve"> </w:t>
      </w:r>
      <w:r w:rsidRPr="00797BFA">
        <w:t>Federal Energy Regulatory Commission, Secretary of the Commission, 888 First Street NE, Washington, DC</w:t>
      </w:r>
      <w:r w:rsidR="000828DD" w:rsidRPr="00797BFA">
        <w:t xml:space="preserve"> </w:t>
      </w:r>
      <w:r w:rsidRPr="00797BFA">
        <w:t xml:space="preserve"> 20426.</w:t>
      </w:r>
    </w:p>
    <w:p w14:paraId="56C22CF1" w14:textId="77777777" w:rsidR="00896C68" w:rsidRPr="00797BFA" w:rsidRDefault="00896C68" w:rsidP="00FA0351">
      <w:pPr>
        <w:pStyle w:val="FERCparanumber"/>
        <w:tabs>
          <w:tab w:val="clear" w:pos="1170"/>
          <w:tab w:val="num" w:pos="720"/>
        </w:tabs>
        <w:ind w:left="0"/>
      </w:pPr>
      <w:r w:rsidRPr="00797BFA">
        <w:t>All comments will be placed in the Commission</w:t>
      </w:r>
      <w:r w:rsidR="007202E0" w:rsidRPr="00797BFA">
        <w:t>’</w:t>
      </w:r>
      <w:r w:rsidRPr="00797BFA">
        <w:t>s public files and may be viewed, printed, or downloaded remotely as described in the Document Availability section below.  Commenters on this proposal are not required to serve copies of their comments on other commenters.</w:t>
      </w:r>
    </w:p>
    <w:p w14:paraId="724300E0" w14:textId="77777777" w:rsidR="00896C68" w:rsidRPr="00797BFA" w:rsidRDefault="00896C68" w:rsidP="00896C68">
      <w:pPr>
        <w:pStyle w:val="Heading1"/>
      </w:pPr>
      <w:r w:rsidRPr="00797BFA">
        <w:t>Document Availability</w:t>
      </w:r>
    </w:p>
    <w:p w14:paraId="0F857DB9" w14:textId="77777777" w:rsidR="00896C68" w:rsidRPr="00797BFA" w:rsidRDefault="00896C68" w:rsidP="00FA0351">
      <w:pPr>
        <w:pStyle w:val="FERCparanumber"/>
        <w:tabs>
          <w:tab w:val="clear" w:pos="1170"/>
          <w:tab w:val="num" w:pos="720"/>
        </w:tabs>
        <w:ind w:left="0"/>
      </w:pPr>
      <w:r w:rsidRPr="00797BFA">
        <w:t xml:space="preserve">In addition to publishing the full text of this document in the </w:t>
      </w:r>
      <w:r w:rsidRPr="00797BFA">
        <w:rPr>
          <w:u w:val="single"/>
        </w:rPr>
        <w:t>Federal Register</w:t>
      </w:r>
      <w:r w:rsidRPr="00797BFA">
        <w:t>, the Commission provides all interested persons an opportunity to view and/or print the contents of this document via the Internet through FERC</w:t>
      </w:r>
      <w:r w:rsidR="007202E0" w:rsidRPr="00797BFA">
        <w:t>’</w:t>
      </w:r>
      <w:r w:rsidRPr="00797BFA">
        <w:t>s Home Page (http://www.ferc.gov) and in FERC</w:t>
      </w:r>
      <w:r w:rsidR="007202E0" w:rsidRPr="00797BFA">
        <w:t>’</w:t>
      </w:r>
      <w:r w:rsidRPr="00797BFA">
        <w:t>s Public Reference Room during normal business hours (8:30 a.m. to 5:00 p.m. Eastern time) at 888 First Street, NE, Room 2A, Washington</w:t>
      </w:r>
      <w:r w:rsidR="000828DD" w:rsidRPr="00797BFA">
        <w:t>,</w:t>
      </w:r>
      <w:r w:rsidRPr="00797BFA">
        <w:t xml:space="preserve"> DC</w:t>
      </w:r>
      <w:r w:rsidR="000828DD" w:rsidRPr="00797BFA">
        <w:t xml:space="preserve"> </w:t>
      </w:r>
      <w:r w:rsidRPr="00797BFA">
        <w:t xml:space="preserve"> 20426.</w:t>
      </w:r>
    </w:p>
    <w:p w14:paraId="0F34EEDD" w14:textId="02112BB5" w:rsidR="00896C68" w:rsidRPr="00797BFA" w:rsidRDefault="00896C68" w:rsidP="00FA0351">
      <w:pPr>
        <w:pStyle w:val="FERCparanumber"/>
        <w:tabs>
          <w:tab w:val="clear" w:pos="1170"/>
          <w:tab w:val="num" w:pos="720"/>
        </w:tabs>
        <w:ind w:left="0"/>
      </w:pPr>
      <w:r w:rsidRPr="00797BFA">
        <w:t>From FERC</w:t>
      </w:r>
      <w:r w:rsidR="007202E0" w:rsidRPr="00797BFA">
        <w:t>’</w:t>
      </w:r>
      <w:r w:rsidRPr="00797BFA">
        <w:t xml:space="preserve">s Home Page on the Internet, this information is available on eLibrary.  The full text of this document is available on eLibrary in PDF and Microsoft Word format for viewing, printing, and/or downloading. </w:t>
      </w:r>
      <w:r w:rsidR="00FC37B3">
        <w:t xml:space="preserve"> </w:t>
      </w:r>
      <w:r w:rsidRPr="00797BFA">
        <w:t>To access this document in eLibrary, type the docket number excluding the last three digits of this document in the docket number field.</w:t>
      </w:r>
    </w:p>
    <w:p w14:paraId="7CBC40CA" w14:textId="67C68050" w:rsidR="00896C68" w:rsidRPr="00797BFA" w:rsidRDefault="00896C68" w:rsidP="00FA0351">
      <w:pPr>
        <w:pStyle w:val="FERCparanumber"/>
        <w:tabs>
          <w:tab w:val="clear" w:pos="1170"/>
          <w:tab w:val="num" w:pos="720"/>
        </w:tabs>
        <w:ind w:left="0"/>
      </w:pPr>
      <w:r w:rsidRPr="00797BFA">
        <w:t>User assistance is available for eLibrary and the FERC’s website during normal business hours from FERC Online Support at 202-502-6652 (toll free at 1-866-208-3676) or email at ferconlinesupport@ferc.gov, or the Public Reference Room at (202) 502-8371, TTY (202)</w:t>
      </w:r>
      <w:r w:rsidR="00FC37B3">
        <w:t xml:space="preserve"> </w:t>
      </w:r>
      <w:r w:rsidRPr="00797BFA">
        <w:t>502-8659.  E-mail the Public Reference Room at public.referenceroom@ferc.gov.</w:t>
      </w:r>
    </w:p>
    <w:p w14:paraId="5D0E818A" w14:textId="77777777" w:rsidR="00896C68" w:rsidRPr="00797BFA" w:rsidRDefault="00896C68" w:rsidP="00896C68"/>
    <w:p w14:paraId="6AF78174" w14:textId="45357ACB" w:rsidR="00555C81" w:rsidRDefault="00896C68" w:rsidP="00FC37B3">
      <w:pPr>
        <w:widowControl/>
      </w:pPr>
      <w:r w:rsidRPr="00797BFA">
        <w:t xml:space="preserve">By </w:t>
      </w:r>
      <w:r w:rsidR="00966322" w:rsidRPr="00797BFA">
        <w:t xml:space="preserve">direction of </w:t>
      </w:r>
      <w:r w:rsidRPr="00797BFA">
        <w:t>the Commission.</w:t>
      </w:r>
    </w:p>
    <w:p w14:paraId="67AC70A5" w14:textId="77777777" w:rsidR="00DA6661" w:rsidRDefault="00DA6661" w:rsidP="00FC37B3">
      <w:pPr>
        <w:widowControl/>
      </w:pPr>
    </w:p>
    <w:p w14:paraId="5D6A46C7" w14:textId="5786F888" w:rsidR="00DA6661" w:rsidRDefault="00DA6661" w:rsidP="00DA6661">
      <w:pPr>
        <w:widowControl/>
      </w:pPr>
      <w:r w:rsidRPr="00DA6661">
        <w:t>( S E A L )</w:t>
      </w:r>
    </w:p>
    <w:p w14:paraId="6FF9569D" w14:textId="77777777" w:rsidR="00DA6661" w:rsidRPr="00DA6661" w:rsidRDefault="00DA6661" w:rsidP="00DA6661">
      <w:pPr>
        <w:widowControl/>
      </w:pPr>
    </w:p>
    <w:p w14:paraId="2FB4A6A6" w14:textId="4069ED2B" w:rsidR="00FC37B3" w:rsidRDefault="00FC37B3" w:rsidP="00FC37B3">
      <w:pPr>
        <w:widowControl/>
      </w:pPr>
    </w:p>
    <w:p w14:paraId="3ABC73AC" w14:textId="6AAE5A49" w:rsidR="00FC37B3" w:rsidRDefault="00FC37B3" w:rsidP="00FC37B3">
      <w:pPr>
        <w:widowControl/>
      </w:pPr>
    </w:p>
    <w:p w14:paraId="3DCA8354" w14:textId="1D1CFB12" w:rsidR="00FC37B3" w:rsidRDefault="00FC37B3" w:rsidP="00FC37B3">
      <w:pPr>
        <w:widowControl/>
      </w:pPr>
    </w:p>
    <w:p w14:paraId="6A4DA29B" w14:textId="77777777" w:rsidR="00FC37B3" w:rsidRDefault="00FC37B3" w:rsidP="00FC37B3">
      <w:pPr>
        <w:widowControl/>
        <w:ind w:firstLine="2606"/>
        <w:jc w:val="center"/>
      </w:pPr>
    </w:p>
    <w:p w14:paraId="7BD894F0" w14:textId="19EAE715" w:rsidR="00FC37B3" w:rsidRPr="00FC37B3" w:rsidRDefault="00FC37B3" w:rsidP="00FC37B3">
      <w:pPr>
        <w:widowControl/>
        <w:ind w:firstLine="2606"/>
        <w:jc w:val="center"/>
      </w:pPr>
      <w:r w:rsidRPr="00FC37B3">
        <w:t>Nathaniel J. Davis, Sr.,</w:t>
      </w:r>
    </w:p>
    <w:p w14:paraId="4C9B1733" w14:textId="63AFCCB8" w:rsidR="00FC37B3" w:rsidRPr="00FC37B3" w:rsidRDefault="00FC37B3" w:rsidP="00FC37B3">
      <w:pPr>
        <w:widowControl/>
        <w:ind w:firstLine="2606"/>
        <w:jc w:val="center"/>
      </w:pPr>
      <w:r w:rsidRPr="00FC37B3">
        <w:t>Deputy Secretary.</w:t>
      </w:r>
    </w:p>
    <w:p w14:paraId="4A40257C" w14:textId="77777777" w:rsidR="00FC37B3" w:rsidRDefault="00FC37B3" w:rsidP="00FC37B3">
      <w:pPr>
        <w:widowControl/>
      </w:pPr>
    </w:p>
    <w:sectPr w:rsidR="00FC37B3" w:rsidSect="00581547">
      <w:headerReference w:type="even" r:id="rId17"/>
      <w:headerReference w:type="default" r:id="rId18"/>
      <w:headerReference w:type="first" r:id="rId1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7C8B1" w14:textId="77777777" w:rsidR="00F858B3" w:rsidRDefault="00F858B3">
      <w:r>
        <w:separator/>
      </w:r>
    </w:p>
  </w:endnote>
  <w:endnote w:type="continuationSeparator" w:id="0">
    <w:p w14:paraId="007C2108" w14:textId="77777777" w:rsidR="00F858B3" w:rsidRDefault="00F858B3">
      <w:r>
        <w:continuationSeparator/>
      </w:r>
    </w:p>
  </w:endnote>
  <w:endnote w:type="continuationNotice" w:id="1">
    <w:p w14:paraId="2175B6ED" w14:textId="77777777" w:rsidR="00F858B3" w:rsidRDefault="00F85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CAD8F" w14:textId="77777777" w:rsidR="00F858B3" w:rsidRDefault="00F858B3">
      <w:r>
        <w:separator/>
      </w:r>
    </w:p>
  </w:footnote>
  <w:footnote w:type="continuationSeparator" w:id="0">
    <w:p w14:paraId="4C308A66" w14:textId="77777777" w:rsidR="00F858B3" w:rsidRDefault="00F858B3">
      <w:r>
        <w:continuationSeparator/>
      </w:r>
    </w:p>
  </w:footnote>
  <w:footnote w:type="continuationNotice" w:id="1">
    <w:p w14:paraId="3D584F0C" w14:textId="77777777" w:rsidR="00F858B3" w:rsidRDefault="00F858B3" w:rsidP="00FE7A46">
      <w:pPr>
        <w:jc w:val="right"/>
      </w:pPr>
      <w:r>
        <w:tab/>
      </w:r>
      <w:r>
        <w:tab/>
      </w:r>
      <w:r>
        <w:tab/>
      </w:r>
      <w:r>
        <w:tab/>
      </w:r>
      <w:r>
        <w:tab/>
      </w:r>
      <w:r>
        <w:tab/>
      </w:r>
      <w:r>
        <w:tab/>
      </w:r>
      <w:r>
        <w:tab/>
        <w:t xml:space="preserve">          </w:t>
      </w:r>
    </w:p>
    <w:p w14:paraId="7FDD5C31" w14:textId="77777777" w:rsidR="00F858B3" w:rsidRDefault="00F858B3" w:rsidP="00FE7A46">
      <w:pPr>
        <w:jc w:val="right"/>
      </w:pPr>
      <w:r>
        <w:t xml:space="preserve"> (continued…)</w:t>
      </w:r>
    </w:p>
  </w:footnote>
  <w:footnote w:id="2">
    <w:p w14:paraId="044AD605" w14:textId="38FF732F" w:rsidR="00CF69E3" w:rsidRPr="00797BFA" w:rsidRDefault="00CF69E3" w:rsidP="00543B38">
      <w:pPr>
        <w:pStyle w:val="FootnoteText"/>
        <w:rPr>
          <w:szCs w:val="26"/>
        </w:rPr>
      </w:pPr>
      <w:r w:rsidRPr="00797BFA">
        <w:rPr>
          <w:rStyle w:val="FootnoteReference"/>
        </w:rPr>
        <w:footnoteRef/>
      </w:r>
      <w:r w:rsidRPr="00797BFA">
        <w:rPr>
          <w:szCs w:val="26"/>
        </w:rPr>
        <w:t xml:space="preserve"> Section 215(a)(1) of the Federal Power Act (FPA), 16 U.S.C. 824o(a)(1) (2012)</w:t>
      </w:r>
      <w:r w:rsidRPr="00797BFA">
        <w:t xml:space="preserve"> </w:t>
      </w:r>
      <w:r w:rsidRPr="00797BFA">
        <w:rPr>
          <w:szCs w:val="26"/>
        </w:rPr>
        <w:t xml:space="preserve">defines “Bulk-Power System” as those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w:t>
      </w:r>
      <w:r w:rsidRPr="00797BFA">
        <w:rPr>
          <w:i/>
          <w:szCs w:val="26"/>
        </w:rPr>
        <w:t>See also</w:t>
      </w:r>
      <w:r w:rsidRPr="00797BFA">
        <w:rPr>
          <w:szCs w:val="26"/>
        </w:rPr>
        <w:t xml:space="preserve"> </w:t>
      </w:r>
      <w:r w:rsidRPr="00797BFA">
        <w:rPr>
          <w:i/>
          <w:szCs w:val="26"/>
        </w:rPr>
        <w:t>Mandatory Reliability Standards for the Bulk-Power System</w:t>
      </w:r>
      <w:r w:rsidRPr="00797BFA">
        <w:rPr>
          <w:szCs w:val="26"/>
        </w:rPr>
        <w:t xml:space="preserve">, Order </w:t>
      </w:r>
      <w:r w:rsidR="00FE7A46">
        <w:rPr>
          <w:szCs w:val="26"/>
        </w:rPr>
        <w:t xml:space="preserve">  </w:t>
      </w:r>
      <w:r w:rsidRPr="00797BFA">
        <w:rPr>
          <w:szCs w:val="26"/>
        </w:rPr>
        <w:t xml:space="preserve">No. 693, FERC Stats. &amp; Regs. ¶ 31,242, at P 76, </w:t>
      </w:r>
      <w:r w:rsidRPr="00797BFA">
        <w:rPr>
          <w:i/>
          <w:szCs w:val="26"/>
        </w:rPr>
        <w:t>order on reh’g</w:t>
      </w:r>
      <w:r w:rsidRPr="00797BFA">
        <w:rPr>
          <w:szCs w:val="26"/>
        </w:rPr>
        <w:t xml:space="preserve">, Order No. 693-A, </w:t>
      </w:r>
      <w:r w:rsidR="00B8601B">
        <w:rPr>
          <w:szCs w:val="26"/>
        </w:rPr>
        <w:t xml:space="preserve">     </w:t>
      </w:r>
      <w:r w:rsidRPr="00797BFA">
        <w:rPr>
          <w:szCs w:val="26"/>
        </w:rPr>
        <w:t xml:space="preserve">120 FERC ¶ 61,053 (2007).  </w:t>
      </w:r>
    </w:p>
  </w:footnote>
  <w:footnote w:id="3">
    <w:p w14:paraId="74E9FC8D" w14:textId="382D6739" w:rsidR="00CF69E3" w:rsidRPr="00797BFA" w:rsidRDefault="00CF69E3" w:rsidP="00515645">
      <w:pPr>
        <w:pStyle w:val="FootnoteText"/>
        <w:rPr>
          <w:szCs w:val="26"/>
        </w:rPr>
      </w:pPr>
      <w:r w:rsidRPr="00797BFA">
        <w:rPr>
          <w:rStyle w:val="FootnoteReference"/>
        </w:rPr>
        <w:footnoteRef/>
      </w:r>
      <w:r w:rsidRPr="00797BFA">
        <w:rPr>
          <w:szCs w:val="26"/>
        </w:rPr>
        <w:t xml:space="preserve"> An Interconnection is a geographic area in which the operation of Bulk-Power System components is synchronized.  In the continental United States, there are three Interconnections, namely the Eastern, Electric Reliability Council of Texas (ERCOT), and Western Interconnections.</w:t>
      </w:r>
    </w:p>
  </w:footnote>
  <w:footnote w:id="4">
    <w:p w14:paraId="5DFAE9FE" w14:textId="7BBC4C46" w:rsidR="00CF69E3" w:rsidRPr="00797BFA" w:rsidRDefault="00CF69E3" w:rsidP="00C35869">
      <w:pPr>
        <w:pStyle w:val="FootnoteText"/>
        <w:rPr>
          <w:szCs w:val="26"/>
        </w:rPr>
      </w:pPr>
      <w:r w:rsidRPr="00797BFA">
        <w:rPr>
          <w:rStyle w:val="FootnoteReference"/>
          <w:rFonts w:eastAsia="Calibri"/>
        </w:rPr>
        <w:footnoteRef/>
      </w:r>
      <w:r w:rsidRPr="00797BFA">
        <w:rPr>
          <w:szCs w:val="26"/>
        </w:rPr>
        <w:t xml:space="preserve"> </w:t>
      </w:r>
      <w:r w:rsidRPr="00797BFA">
        <w:t xml:space="preserve">UFLS is designed for use in extreme conditions to stabilize the balance between generation and load.  Under frequency protection schemes are drastic measures employed if system frequency falls below a specified value.  </w:t>
      </w:r>
      <w:r w:rsidRPr="00797BFA">
        <w:rPr>
          <w:i/>
        </w:rPr>
        <w:t>Automatic Underfrequency Load Shedding and Load Shedding Plans Reliability Standards</w:t>
      </w:r>
      <w:r w:rsidRPr="00797BFA">
        <w:t>, Notice of Proposed Rulemaking, 137 FERC ¶ 61,067 (2011).</w:t>
      </w:r>
    </w:p>
  </w:footnote>
  <w:footnote w:id="5">
    <w:p w14:paraId="3A1693BC" w14:textId="5F7C077E" w:rsidR="00CF69E3" w:rsidRPr="00797BFA" w:rsidRDefault="00CF69E3" w:rsidP="00C35869">
      <w:pPr>
        <w:pStyle w:val="FootnoteText"/>
        <w:rPr>
          <w:szCs w:val="26"/>
        </w:rPr>
      </w:pPr>
      <w:r w:rsidRPr="00797BFA">
        <w:rPr>
          <w:rStyle w:val="FootnoteReference"/>
        </w:rPr>
        <w:footnoteRef/>
      </w:r>
      <w:r w:rsidRPr="00797BFA">
        <w:rPr>
          <w:szCs w:val="26"/>
        </w:rPr>
        <w:t xml:space="preserve"> The North American Electric Reliability Corporation’s (NERC) Glossary of Terms defines a balancing authority as “(t)he responsible entity that integrates resource plans ahead of time, maintains load-interchange-generation balance within a balancing authority area, and supports Interconnection frequency in real time.”</w:t>
      </w:r>
    </w:p>
  </w:footnote>
  <w:footnote w:id="6">
    <w:p w14:paraId="37E795E6" w14:textId="151EA561" w:rsidR="00CF69E3" w:rsidRPr="00797BFA" w:rsidRDefault="00CF69E3" w:rsidP="00FC265D">
      <w:pPr>
        <w:pStyle w:val="FootnoteText"/>
        <w:rPr>
          <w:szCs w:val="26"/>
        </w:rPr>
      </w:pPr>
      <w:r w:rsidRPr="00797BFA">
        <w:rPr>
          <w:rStyle w:val="FootnoteReference"/>
        </w:rPr>
        <w:footnoteRef/>
      </w:r>
      <w:r w:rsidRPr="00797BFA">
        <w:rPr>
          <w:szCs w:val="26"/>
        </w:rPr>
        <w:t xml:space="preserve"> As discussed below, NERC Reliability Standard BAL-003-1 has requirements related to frequency response, but it is applicable to balancing authorities and not individual generating resources.</w:t>
      </w:r>
    </w:p>
  </w:footnote>
  <w:footnote w:id="7">
    <w:p w14:paraId="3EA5D14D" w14:textId="3C2D72E5" w:rsidR="00041AD0" w:rsidRDefault="00041AD0" w:rsidP="004B206F">
      <w:pPr>
        <w:widowControl/>
        <w:autoSpaceDE/>
        <w:autoSpaceDN/>
        <w:adjustRightInd/>
        <w:ind w:firstLine="720"/>
      </w:pPr>
      <w:r>
        <w:rPr>
          <w:rStyle w:val="FootnoteReference"/>
        </w:rPr>
        <w:footnoteRef/>
      </w:r>
      <w:r>
        <w:t xml:space="preserve"> </w:t>
      </w:r>
      <w:r w:rsidR="00840B3B" w:rsidRPr="004B206F">
        <w:rPr>
          <w:i/>
          <w:szCs w:val="26"/>
        </w:rPr>
        <w:t>See, e.g.,</w:t>
      </w:r>
      <w:r w:rsidR="00840B3B" w:rsidRPr="00E1622A">
        <w:rPr>
          <w:szCs w:val="26"/>
        </w:rPr>
        <w:t xml:space="preserve"> </w:t>
      </w:r>
      <w:r w:rsidR="00E1622A" w:rsidRPr="004B206F">
        <w:rPr>
          <w:i/>
          <w:szCs w:val="26"/>
        </w:rPr>
        <w:t>Use of Frequency Response Metrics to Assess the Planning and Operating Requirements for Reliable Integration of Variable Renewable Generation</w:t>
      </w:r>
      <w:r w:rsidR="00E1622A" w:rsidRPr="00E1622A">
        <w:rPr>
          <w:i/>
          <w:szCs w:val="26"/>
        </w:rPr>
        <w:t xml:space="preserve">, </w:t>
      </w:r>
      <w:r w:rsidR="00E1622A" w:rsidRPr="004B206F">
        <w:rPr>
          <w:szCs w:val="26"/>
        </w:rPr>
        <w:t>Ernest Orlando Lawrence Berkeley National Laboratory</w:t>
      </w:r>
      <w:r w:rsidR="00E1622A">
        <w:rPr>
          <w:szCs w:val="26"/>
        </w:rPr>
        <w:t xml:space="preserve">, </w:t>
      </w:r>
      <w:r w:rsidR="00840B3B">
        <w:t>at 13-14</w:t>
      </w:r>
      <w:r w:rsidR="00E1622A">
        <w:t xml:space="preserve"> (December 2010), </w:t>
      </w:r>
      <w:r w:rsidR="00E1622A" w:rsidRPr="004B206F">
        <w:rPr>
          <w:i/>
        </w:rPr>
        <w:t>available at:</w:t>
      </w:r>
      <w:r w:rsidR="00E1622A">
        <w:t xml:space="preserve"> </w:t>
      </w:r>
      <w:hyperlink r:id="rId1" w:history="1">
        <w:r w:rsidR="00C032D0" w:rsidRPr="00903BF6">
          <w:rPr>
            <w:rStyle w:val="Hyperlink"/>
          </w:rPr>
          <w:t>http://energy.lbl.gov/ea/certs/pdf/lbnl-4142e.pdf</w:t>
        </w:r>
      </w:hyperlink>
      <w:r w:rsidR="00C032D0">
        <w:t xml:space="preserve"> (LBNL Frequency Response Metrics Report)</w:t>
      </w:r>
      <w:r w:rsidR="00925DAF">
        <w:t>.</w:t>
      </w:r>
    </w:p>
    <w:p w14:paraId="388B6DEB" w14:textId="77777777" w:rsidR="00E1622A" w:rsidRPr="00E1622A" w:rsidRDefault="00E1622A" w:rsidP="004B206F">
      <w:pPr>
        <w:widowControl/>
        <w:autoSpaceDE/>
        <w:autoSpaceDN/>
        <w:adjustRightInd/>
        <w:ind w:firstLine="720"/>
        <w:rPr>
          <w:szCs w:val="26"/>
        </w:rPr>
      </w:pPr>
    </w:p>
  </w:footnote>
  <w:footnote w:id="8">
    <w:p w14:paraId="45AB7ECF" w14:textId="10475CCE" w:rsidR="00CF69E3" w:rsidRPr="00797BFA" w:rsidRDefault="00CF69E3" w:rsidP="00360825">
      <w:pPr>
        <w:pStyle w:val="FootnoteText"/>
        <w:rPr>
          <w:szCs w:val="26"/>
        </w:rPr>
      </w:pPr>
      <w:r w:rsidRPr="00797BFA">
        <w:rPr>
          <w:rStyle w:val="FootnoteReference"/>
          <w:rFonts w:eastAsia="Calibri"/>
        </w:rPr>
        <w:footnoteRef/>
      </w:r>
      <w:r w:rsidRPr="00797BFA">
        <w:rPr>
          <w:szCs w:val="26"/>
        </w:rPr>
        <w:t xml:space="preserve"> Rate of change of frequency is mainly a function of the magnitude of the loss of generation (or load) and system inertia and is measured in Hz/second.</w:t>
      </w:r>
    </w:p>
  </w:footnote>
  <w:footnote w:id="9">
    <w:p w14:paraId="2AC20145" w14:textId="14FF06E0" w:rsidR="00840B3B" w:rsidRPr="00840B3B" w:rsidRDefault="00840B3B">
      <w:pPr>
        <w:pStyle w:val="FootnoteText"/>
      </w:pPr>
      <w:r>
        <w:rPr>
          <w:rStyle w:val="FootnoteReference"/>
        </w:rPr>
        <w:footnoteRef/>
      </w:r>
      <w:r>
        <w:t xml:space="preserve"> </w:t>
      </w:r>
      <w:r w:rsidRPr="004B206F">
        <w:rPr>
          <w:i/>
        </w:rPr>
        <w:t>See</w:t>
      </w:r>
      <w:r>
        <w:rPr>
          <w:i/>
        </w:rPr>
        <w:t xml:space="preserve">, e.g., </w:t>
      </w:r>
      <w:r>
        <w:t xml:space="preserve">LBNL </w:t>
      </w:r>
      <w:r w:rsidR="00C032D0">
        <w:t xml:space="preserve">Frequency Response Metrics Report </w:t>
      </w:r>
      <w:r>
        <w:t>at</w:t>
      </w:r>
      <w:r w:rsidR="00ED7B6C">
        <w:t xml:space="preserve"> </w:t>
      </w:r>
      <w:r>
        <w:t>15-16</w:t>
      </w:r>
      <w:r w:rsidR="00C032D0">
        <w:t>.</w:t>
      </w:r>
    </w:p>
  </w:footnote>
  <w:footnote w:id="10">
    <w:p w14:paraId="5F2C96A7" w14:textId="21E35588" w:rsidR="00CF69E3" w:rsidRPr="00797BFA" w:rsidRDefault="00CF69E3" w:rsidP="001F08A9">
      <w:pPr>
        <w:pStyle w:val="FootnoteText"/>
        <w:rPr>
          <w:szCs w:val="26"/>
        </w:rPr>
      </w:pPr>
      <w:r w:rsidRPr="00797BFA">
        <w:rPr>
          <w:rStyle w:val="FootnoteReference"/>
        </w:rPr>
        <w:footnoteRef/>
      </w:r>
      <w:r w:rsidRPr="00797BFA">
        <w:rPr>
          <w:szCs w:val="26"/>
        </w:rPr>
        <w:t xml:space="preserve"> The point at which the frequency decline is arrested (following the sudden loss of generation) is called the frequency nadir, and </w:t>
      </w:r>
      <w:r w:rsidRPr="00797BFA">
        <w:rPr>
          <w:color w:val="000000"/>
          <w:szCs w:val="26"/>
        </w:rPr>
        <w:t>represents the point in which the net primary frequency response (MW) output from all generating units and the decrease in power consumed by the load within an Interconnection matches the net initial MW loss of generation.</w:t>
      </w:r>
    </w:p>
  </w:footnote>
  <w:footnote w:id="11">
    <w:p w14:paraId="1B8989EA" w14:textId="16E907CA" w:rsidR="00840B3B" w:rsidRDefault="00840B3B">
      <w:pPr>
        <w:pStyle w:val="FootnoteText"/>
      </w:pPr>
      <w:r>
        <w:rPr>
          <w:rStyle w:val="FootnoteReference"/>
        </w:rPr>
        <w:footnoteRef/>
      </w:r>
      <w:r>
        <w:t xml:space="preserve"> </w:t>
      </w:r>
      <w:r w:rsidR="00E1622A" w:rsidRPr="004B206F">
        <w:rPr>
          <w:i/>
        </w:rPr>
        <w:t>See e.g.,</w:t>
      </w:r>
      <w:r w:rsidR="00E1622A">
        <w:t xml:space="preserve"> LBNL </w:t>
      </w:r>
      <w:r w:rsidR="00C032D0">
        <w:t xml:space="preserve">Frequency Response Metrics Report </w:t>
      </w:r>
      <w:r w:rsidR="00E1622A">
        <w:t>at 9-11</w:t>
      </w:r>
      <w:r w:rsidR="00C032D0">
        <w:t>.</w:t>
      </w:r>
    </w:p>
  </w:footnote>
  <w:footnote w:id="12">
    <w:p w14:paraId="4C9C5B23" w14:textId="4504BA80" w:rsidR="00CF69E3" w:rsidRPr="00797BFA" w:rsidRDefault="00CF69E3" w:rsidP="00F307DE">
      <w:pPr>
        <w:pStyle w:val="FootnoteText"/>
        <w:rPr>
          <w:szCs w:val="26"/>
        </w:rPr>
      </w:pPr>
      <w:r w:rsidRPr="00797BFA">
        <w:rPr>
          <w:rStyle w:val="FootnoteReference"/>
          <w:rFonts w:eastAsia="Calibri"/>
        </w:rPr>
        <w:footnoteRef/>
      </w:r>
      <w:r w:rsidRPr="00797BFA">
        <w:rPr>
          <w:szCs w:val="26"/>
        </w:rPr>
        <w:t xml:space="preserve"> For the purposes of this proceeding, the term </w:t>
      </w:r>
      <w:r w:rsidRPr="00D42D61">
        <w:rPr>
          <w:szCs w:val="26"/>
        </w:rPr>
        <w:t xml:space="preserve">Variable Energy Resource </w:t>
      </w:r>
      <w:r>
        <w:rPr>
          <w:szCs w:val="26"/>
        </w:rPr>
        <w:t>refers to</w:t>
      </w:r>
      <w:r w:rsidRPr="00D42D61">
        <w:rPr>
          <w:szCs w:val="26"/>
        </w:rPr>
        <w:t xml:space="preserve"> a device for the production of electricity that is characterized by an energy source that: (1) is renewable; (2) cannot be stored by the facility owner or operator; and (3) has variability that is beyond the control of the facility owner or operator. </w:t>
      </w:r>
      <w:r>
        <w:rPr>
          <w:szCs w:val="26"/>
        </w:rPr>
        <w:t xml:space="preserve"> </w:t>
      </w:r>
      <w:r w:rsidRPr="00D42D61">
        <w:rPr>
          <w:szCs w:val="26"/>
        </w:rPr>
        <w:t>This includes, for example, wind, solar thermal and photovoltaic, and hydrokinetic generating facilities.</w:t>
      </w:r>
      <w:r>
        <w:rPr>
          <w:szCs w:val="26"/>
        </w:rPr>
        <w:t xml:space="preserve">  </w:t>
      </w:r>
      <w:r>
        <w:rPr>
          <w:i/>
          <w:szCs w:val="26"/>
        </w:rPr>
        <w:t>See</w:t>
      </w:r>
      <w:r w:rsidRPr="00D42D61">
        <w:rPr>
          <w:i/>
        </w:rPr>
        <w:t xml:space="preserve"> </w:t>
      </w:r>
      <w:r w:rsidRPr="003B76A9">
        <w:rPr>
          <w:i/>
        </w:rPr>
        <w:t>Integration of Variable Energy Resources</w:t>
      </w:r>
      <w:r>
        <w:t xml:space="preserve">, Order No. 764, FERC Stats. &amp; Regs. </w:t>
      </w:r>
      <w:r w:rsidR="00E6654A">
        <w:t xml:space="preserve">       </w:t>
      </w:r>
      <w:r w:rsidRPr="004E361D">
        <w:t>¶ 31,</w:t>
      </w:r>
      <w:r>
        <w:t xml:space="preserve">331 </w:t>
      </w:r>
      <w:r w:rsidRPr="00ED7B6C">
        <w:t>at n. 1</w:t>
      </w:r>
      <w:r>
        <w:t xml:space="preserve"> (2012), </w:t>
      </w:r>
      <w:r>
        <w:rPr>
          <w:i/>
        </w:rPr>
        <w:t>order on reh’g and clarification</w:t>
      </w:r>
      <w:r>
        <w:t xml:space="preserve">, Order No. 764-A, 141 FERC </w:t>
      </w:r>
      <w:r w:rsidR="00E6654A">
        <w:t xml:space="preserve">    </w:t>
      </w:r>
      <w:r>
        <w:t xml:space="preserve">¶ 61,232 (2012), </w:t>
      </w:r>
      <w:r>
        <w:rPr>
          <w:i/>
        </w:rPr>
        <w:t>order on clarification and reh’g</w:t>
      </w:r>
      <w:r>
        <w:t>, Order No. 764-B, 144 FERC ¶ 61,222 (2013).</w:t>
      </w:r>
      <w:r w:rsidRPr="00797BFA">
        <w:rPr>
          <w:szCs w:val="26"/>
        </w:rPr>
        <w:t xml:space="preserve"> </w:t>
      </w:r>
    </w:p>
  </w:footnote>
  <w:footnote w:id="13">
    <w:p w14:paraId="256118B8" w14:textId="21695D5B" w:rsidR="00CF69E3" w:rsidRPr="00797BFA" w:rsidRDefault="00CF69E3" w:rsidP="00F307DE">
      <w:pPr>
        <w:pStyle w:val="FootnoteText"/>
        <w:rPr>
          <w:szCs w:val="26"/>
        </w:rPr>
      </w:pPr>
      <w:r w:rsidRPr="00797BFA">
        <w:rPr>
          <w:rStyle w:val="FootnoteReference"/>
          <w:rFonts w:eastAsia="Calibri"/>
        </w:rPr>
        <w:footnoteRef/>
      </w:r>
      <w:r w:rsidRPr="00797BFA">
        <w:rPr>
          <w:szCs w:val="26"/>
        </w:rPr>
        <w:t xml:space="preserve"> The Solar Energy Industries Association (SEIA) recently reported that more than 50 percent of newly installed electric generating capacity in the U.S. came from solar generation in the first quarter of 2015.  </w:t>
      </w:r>
      <w:r w:rsidRPr="00797BFA">
        <w:rPr>
          <w:i/>
          <w:szCs w:val="26"/>
        </w:rPr>
        <w:t xml:space="preserve">See </w:t>
      </w:r>
      <w:r w:rsidRPr="00797BFA">
        <w:rPr>
          <w:szCs w:val="26"/>
        </w:rPr>
        <w:t xml:space="preserve">SEIA Solar Market Insight Report 2015 Q1 (2015), </w:t>
      </w:r>
      <w:hyperlink r:id="rId2" w:history="1">
        <w:r w:rsidRPr="00911E06">
          <w:rPr>
            <w:rStyle w:val="Hyperlink"/>
            <w:szCs w:val="26"/>
            <w:u w:val="none"/>
          </w:rPr>
          <w:t>http://www.seia.org/research-resources/solar-market-insight-report-2015-q1</w:t>
        </w:r>
      </w:hyperlink>
      <w:r w:rsidRPr="00797BFA">
        <w:rPr>
          <w:szCs w:val="26"/>
        </w:rPr>
        <w:t xml:space="preserve">. </w:t>
      </w:r>
    </w:p>
  </w:footnote>
  <w:footnote w:id="14">
    <w:p w14:paraId="18FE1DDE" w14:textId="622F20A8"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 xml:space="preserve">See </w:t>
      </w:r>
      <w:r w:rsidRPr="00797BFA">
        <w:rPr>
          <w:szCs w:val="26"/>
        </w:rPr>
        <w:t xml:space="preserve">NERC 2015 Long Term Reliability Assessment </w:t>
      </w:r>
      <w:r>
        <w:rPr>
          <w:szCs w:val="26"/>
        </w:rPr>
        <w:t xml:space="preserve">at 1 </w:t>
      </w:r>
      <w:r w:rsidRPr="00797BFA">
        <w:rPr>
          <w:szCs w:val="26"/>
        </w:rPr>
        <w:t xml:space="preserve">(December 2015), </w:t>
      </w:r>
      <w:hyperlink r:id="rId3" w:history="1">
        <w:r w:rsidRPr="00911E06">
          <w:rPr>
            <w:rStyle w:val="Hyperlink"/>
            <w:szCs w:val="26"/>
            <w:u w:val="none"/>
          </w:rPr>
          <w:t>http://www.nerc.com/pa/RAPA/ra/Reliability%20Assessments%20DL/2015LTRA%20-%20Final%20Report.pdf</w:t>
        </w:r>
      </w:hyperlink>
      <w:r w:rsidRPr="00797BFA">
        <w:rPr>
          <w:szCs w:val="26"/>
        </w:rPr>
        <w:t xml:space="preserve">. </w:t>
      </w:r>
    </w:p>
  </w:footnote>
  <w:footnote w:id="15">
    <w:p w14:paraId="67CC8B03" w14:textId="42B72DB9" w:rsidR="00CF69E3" w:rsidRPr="00797BFA" w:rsidRDefault="00CF69E3" w:rsidP="002937CF">
      <w:pPr>
        <w:pStyle w:val="FootnoteText"/>
        <w:spacing w:after="200"/>
        <w:rPr>
          <w:szCs w:val="26"/>
        </w:rPr>
      </w:pPr>
      <w:r w:rsidRPr="00797BFA">
        <w:rPr>
          <w:rStyle w:val="FootnoteReference"/>
        </w:rPr>
        <w:footnoteRef/>
      </w:r>
      <w:r w:rsidRPr="00797BFA">
        <w:rPr>
          <w:szCs w:val="26"/>
        </w:rPr>
        <w:t xml:space="preserve"> </w:t>
      </w:r>
      <w:r w:rsidRPr="00797BFA">
        <w:rPr>
          <w:i/>
          <w:szCs w:val="26"/>
        </w:rPr>
        <w:t xml:space="preserve">See </w:t>
      </w:r>
      <w:r w:rsidRPr="00797BFA">
        <w:rPr>
          <w:szCs w:val="26"/>
        </w:rPr>
        <w:t xml:space="preserve">NERC 2015 Summer Reliability Assessment </w:t>
      </w:r>
      <w:r>
        <w:rPr>
          <w:szCs w:val="26"/>
        </w:rPr>
        <w:t xml:space="preserve">at 5 </w:t>
      </w:r>
      <w:r w:rsidRPr="00797BFA">
        <w:rPr>
          <w:szCs w:val="26"/>
        </w:rPr>
        <w:t>(May 2015)</w:t>
      </w:r>
      <w:r>
        <w:rPr>
          <w:szCs w:val="26"/>
        </w:rPr>
        <w:t>,</w:t>
      </w:r>
      <w:r w:rsidRPr="00797BFA">
        <w:rPr>
          <w:szCs w:val="26"/>
        </w:rPr>
        <w:t xml:space="preserve">  </w:t>
      </w:r>
      <w:hyperlink r:id="rId4" w:history="1">
        <w:r w:rsidRPr="00911E06">
          <w:rPr>
            <w:rStyle w:val="Hyperlink"/>
            <w:szCs w:val="26"/>
            <w:u w:val="none"/>
          </w:rPr>
          <w:t>http://www.nerc.com/pa/RAPA/ra/Reliability%20Assessments%20DL/2015_Summer_Reliability_Assessment.pdf</w:t>
        </w:r>
      </w:hyperlink>
      <w:r w:rsidR="00911E06" w:rsidRPr="00911E06">
        <w:rPr>
          <w:rStyle w:val="Hyperlink"/>
          <w:szCs w:val="26"/>
          <w:u w:val="none"/>
        </w:rPr>
        <w:t>.</w:t>
      </w:r>
      <w:r w:rsidRPr="00911E06">
        <w:rPr>
          <w:szCs w:val="26"/>
        </w:rPr>
        <w:t xml:space="preserve"> </w:t>
      </w:r>
    </w:p>
  </w:footnote>
  <w:footnote w:id="16">
    <w:p w14:paraId="23E92892" w14:textId="13CBE404" w:rsidR="00CF69E3" w:rsidRPr="00797BFA" w:rsidRDefault="00CF69E3" w:rsidP="00830746">
      <w:pPr>
        <w:pStyle w:val="FootnoteText"/>
        <w:spacing w:after="200"/>
        <w:rPr>
          <w:szCs w:val="26"/>
        </w:rPr>
      </w:pPr>
      <w:r w:rsidRPr="00797BFA">
        <w:rPr>
          <w:rStyle w:val="FootnoteReference"/>
        </w:rPr>
        <w:footnoteRef/>
      </w:r>
      <w:r w:rsidRPr="00797BFA">
        <w:rPr>
          <w:szCs w:val="26"/>
        </w:rPr>
        <w:t xml:space="preserve"> NERC 2015 Summer Reliability Assessment, Table 3 at page 7. </w:t>
      </w:r>
    </w:p>
  </w:footnote>
  <w:footnote w:id="17">
    <w:p w14:paraId="42C61BFE" w14:textId="77777777" w:rsidR="00CF69E3" w:rsidRPr="00797BFA" w:rsidRDefault="00CF69E3" w:rsidP="00230C74">
      <w:pPr>
        <w:pStyle w:val="FootnoteText"/>
        <w:rPr>
          <w:szCs w:val="26"/>
        </w:rPr>
      </w:pPr>
      <w:r w:rsidRPr="00797BFA">
        <w:rPr>
          <w:rStyle w:val="FootnoteReference"/>
        </w:rPr>
        <w:footnoteRef/>
      </w:r>
      <w:r w:rsidRPr="00797BFA">
        <w:rPr>
          <w:szCs w:val="26"/>
        </w:rPr>
        <w:t xml:space="preserve"> </w:t>
      </w:r>
      <w:r w:rsidRPr="00797BFA">
        <w:rPr>
          <w:i/>
          <w:szCs w:val="26"/>
        </w:rPr>
        <w:t>Id.</w:t>
      </w:r>
    </w:p>
  </w:footnote>
  <w:footnote w:id="18">
    <w:p w14:paraId="452CA688" w14:textId="77777777"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Id.</w:t>
      </w:r>
    </w:p>
  </w:footnote>
  <w:footnote w:id="19">
    <w:p w14:paraId="5CFD7F47" w14:textId="77777777"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Id.</w:t>
      </w:r>
    </w:p>
  </w:footnote>
  <w:footnote w:id="20">
    <w:p w14:paraId="41C262F3" w14:textId="7B0AA07F" w:rsidR="00CF69E3" w:rsidRPr="00797BFA" w:rsidRDefault="00CF69E3" w:rsidP="009E7274">
      <w:pPr>
        <w:pStyle w:val="FootnoteText"/>
      </w:pPr>
      <w:r w:rsidRPr="00797BFA">
        <w:rPr>
          <w:rStyle w:val="FootnoteReference"/>
        </w:rPr>
        <w:footnoteRef/>
      </w:r>
      <w:r w:rsidRPr="00797BFA">
        <w:t xml:space="preserve"> </w:t>
      </w:r>
      <w:r w:rsidRPr="00797BFA">
        <w:rPr>
          <w:i/>
        </w:rPr>
        <w:t>See,</w:t>
      </w:r>
      <w:r w:rsidRPr="00797BFA">
        <w:t xml:space="preserve"> </w:t>
      </w:r>
      <w:r w:rsidRPr="00797BFA">
        <w:rPr>
          <w:i/>
        </w:rPr>
        <w:t>e.g.</w:t>
      </w:r>
      <w:r w:rsidRPr="00797BFA">
        <w:t xml:space="preserve">, General Electric </w:t>
      </w:r>
      <w:r w:rsidRPr="00797BFA">
        <w:rPr>
          <w:szCs w:val="26"/>
        </w:rPr>
        <w:t xml:space="preserve">WindINERTIA Control Fact Sheet (2009), </w:t>
      </w:r>
      <w:r w:rsidRPr="00797BFA">
        <w:rPr>
          <w:i/>
          <w:szCs w:val="26"/>
        </w:rPr>
        <w:t xml:space="preserve"> </w:t>
      </w:r>
      <w:hyperlink r:id="rId5" w:history="1">
        <w:r w:rsidRPr="00911E06">
          <w:rPr>
            <w:rStyle w:val="Hyperlink"/>
            <w:szCs w:val="26"/>
            <w:u w:val="none"/>
          </w:rPr>
          <w:t>http://site.ge-energy.com/prod_serv/products/renewable_energy/en/downloads/GEA17210.pdf</w:t>
        </w:r>
      </w:hyperlink>
      <w:r w:rsidRPr="00797BFA">
        <w:rPr>
          <w:szCs w:val="26"/>
        </w:rPr>
        <w:t xml:space="preserve">. </w:t>
      </w:r>
    </w:p>
  </w:footnote>
  <w:footnote w:id="21">
    <w:p w14:paraId="410CA76E" w14:textId="61BC28F0" w:rsidR="00CF69E3" w:rsidRPr="00797BFA" w:rsidRDefault="00CF69E3" w:rsidP="00B42F49">
      <w:pPr>
        <w:pStyle w:val="FootnoteText"/>
        <w:rPr>
          <w:szCs w:val="26"/>
        </w:rPr>
      </w:pPr>
      <w:r w:rsidRPr="00797BFA">
        <w:rPr>
          <w:rStyle w:val="FootnoteReference"/>
        </w:rPr>
        <w:footnoteRef/>
      </w:r>
      <w:r w:rsidRPr="00797BFA">
        <w:rPr>
          <w:szCs w:val="26"/>
        </w:rPr>
        <w:t xml:space="preserve"> Non-synchronous generators such as VERs (e.g., wind and solar resources) </w:t>
      </w:r>
      <w:r w:rsidRPr="00797BFA">
        <w:t xml:space="preserve">produce electricity that is not synchronized to the electric grid (i.e., direct current (DC) power or alternating current (AC) power at a frequency other than 60 hertz). </w:t>
      </w:r>
      <w:r w:rsidR="00911E06">
        <w:t xml:space="preserve"> </w:t>
      </w:r>
      <w:r w:rsidRPr="00797BFA">
        <w:t xml:space="preserve">Inverters convert non-synchronized AC or DC power into synchronized AC power that can be transmitted on the transmission system.  </w:t>
      </w:r>
      <w:r w:rsidRPr="00797BFA">
        <w:rPr>
          <w:szCs w:val="26"/>
        </w:rPr>
        <w:t xml:space="preserve">These resources do not operate in the same way as conventional generators and respond differently to network disturbances.  </w:t>
      </w:r>
    </w:p>
  </w:footnote>
  <w:footnote w:id="22">
    <w:p w14:paraId="0408B8C3" w14:textId="3A77A32E" w:rsidR="00CF69E3" w:rsidRPr="008668F4" w:rsidRDefault="00CF69E3" w:rsidP="004733B6">
      <w:pPr>
        <w:pStyle w:val="FootnoteText"/>
        <w:rPr>
          <w:szCs w:val="26"/>
        </w:rPr>
      </w:pPr>
      <w:r w:rsidRPr="00797BFA">
        <w:rPr>
          <w:rStyle w:val="FootnoteReference"/>
        </w:rPr>
        <w:footnoteRef/>
      </w:r>
      <w:r w:rsidRPr="00797BFA">
        <w:rPr>
          <w:szCs w:val="26"/>
        </w:rPr>
        <w:t xml:space="preserve"> Essential reliability services are referred to as elemental reliability building blocks from resources (generation and load) that are necessary to maintain the reliability of the Bulk-Power System. </w:t>
      </w:r>
      <w:r>
        <w:rPr>
          <w:szCs w:val="26"/>
        </w:rPr>
        <w:t xml:space="preserve"> </w:t>
      </w:r>
      <w:r w:rsidRPr="00AE776E">
        <w:rPr>
          <w:i/>
          <w:szCs w:val="26"/>
        </w:rPr>
        <w:t>See</w:t>
      </w:r>
      <w:r>
        <w:rPr>
          <w:i/>
          <w:szCs w:val="26"/>
        </w:rPr>
        <w:t xml:space="preserve"> </w:t>
      </w:r>
      <w:r>
        <w:rPr>
          <w:szCs w:val="26"/>
        </w:rPr>
        <w:t xml:space="preserve">Essential Reliability Services Task Force Scope Document at 1 (April 2014), </w:t>
      </w:r>
      <w:hyperlink r:id="rId6" w:history="1">
        <w:r w:rsidRPr="00911E06">
          <w:rPr>
            <w:rStyle w:val="Hyperlink"/>
            <w:szCs w:val="26"/>
            <w:u w:val="none"/>
          </w:rPr>
          <w:t>http://www.nerc.com/comm/Other/essntlrlbltysrvcstskfrcDL/Scope_ERSTF_Final.pdf</w:t>
        </w:r>
      </w:hyperlink>
      <w:r>
        <w:rPr>
          <w:i/>
          <w:szCs w:val="26"/>
        </w:rPr>
        <w:t xml:space="preserve"> </w:t>
      </w:r>
    </w:p>
  </w:footnote>
  <w:footnote w:id="23">
    <w:p w14:paraId="5DA4CEE1" w14:textId="0A7B6252" w:rsidR="00CF69E3" w:rsidRPr="00797BFA" w:rsidRDefault="00CF69E3" w:rsidP="00AD5A25">
      <w:pPr>
        <w:pStyle w:val="FootnoteText"/>
      </w:pPr>
      <w:r w:rsidRPr="00797BFA">
        <w:rPr>
          <w:rStyle w:val="FootnoteReference"/>
        </w:rPr>
        <w:footnoteRef/>
      </w:r>
      <w:r w:rsidRPr="00797BFA">
        <w:t xml:space="preserve"> </w:t>
      </w:r>
      <w:r w:rsidRPr="00797BFA">
        <w:rPr>
          <w:szCs w:val="26"/>
        </w:rPr>
        <w:t xml:space="preserve">Essential Reliability Services Task Force Measures Report at 22 (December 2015), </w:t>
      </w:r>
      <w:hyperlink r:id="rId7" w:history="1">
        <w:r w:rsidRPr="00911E06">
          <w:rPr>
            <w:rStyle w:val="Hyperlink"/>
            <w:szCs w:val="26"/>
            <w:u w:val="none"/>
          </w:rPr>
          <w:t>http://www.nerc.com/comm/Other/essntlrlbltysrvcstskfrcDL/ERSTF%20Framework%20Report%20-%20Final.pdf</w:t>
        </w:r>
      </w:hyperlink>
      <w:r w:rsidRPr="00797BFA">
        <w:t>.</w:t>
      </w:r>
    </w:p>
  </w:footnote>
  <w:footnote w:id="24">
    <w:p w14:paraId="16A176DE" w14:textId="2286878A" w:rsidR="00CF69E3" w:rsidRPr="00797BFA" w:rsidRDefault="00CF69E3" w:rsidP="00A73F44">
      <w:pPr>
        <w:ind w:firstLine="720"/>
        <w:rPr>
          <w:rFonts w:eastAsia="Calibri"/>
          <w:szCs w:val="26"/>
        </w:rPr>
      </w:pPr>
      <w:r w:rsidRPr="00797BFA">
        <w:rPr>
          <w:rStyle w:val="FootnoteReference"/>
        </w:rPr>
        <w:footnoteRef/>
      </w:r>
      <w:r w:rsidRPr="00797BFA">
        <w:rPr>
          <w:szCs w:val="26"/>
        </w:rPr>
        <w:t xml:space="preserve"> The seven ancillary services are:</w:t>
      </w:r>
      <w:r w:rsidR="0072222A">
        <w:rPr>
          <w:szCs w:val="26"/>
        </w:rPr>
        <w:t xml:space="preserve"> </w:t>
      </w:r>
      <w:r w:rsidRPr="00797BFA">
        <w:rPr>
          <w:szCs w:val="26"/>
        </w:rPr>
        <w:t xml:space="preserve"> </w:t>
      </w:r>
      <w:r w:rsidRPr="00797BFA">
        <w:rPr>
          <w:rFonts w:eastAsia="Calibri"/>
          <w:szCs w:val="26"/>
        </w:rPr>
        <w:t>(1) Scheduling, System Control and Dispatch Service; (2) Reactive Supply and Voltage Control from Generation Sources Service;</w:t>
      </w:r>
      <w:r w:rsidR="00DD2428">
        <w:rPr>
          <w:rFonts w:eastAsia="Calibri"/>
          <w:szCs w:val="26"/>
        </w:rPr>
        <w:t xml:space="preserve">    </w:t>
      </w:r>
      <w:r w:rsidRPr="00797BFA">
        <w:rPr>
          <w:rFonts w:eastAsia="Calibri"/>
          <w:szCs w:val="26"/>
        </w:rPr>
        <w:t xml:space="preserve"> (3) Regulation and Frequency Response Service; (4) Energy Imbalance Service;</w:t>
      </w:r>
      <w:r w:rsidR="00DD2428">
        <w:rPr>
          <w:rFonts w:eastAsia="Calibri"/>
          <w:szCs w:val="26"/>
        </w:rPr>
        <w:t xml:space="preserve">           </w:t>
      </w:r>
      <w:r w:rsidRPr="00797BFA">
        <w:rPr>
          <w:rFonts w:eastAsia="Calibri"/>
          <w:szCs w:val="26"/>
        </w:rPr>
        <w:t xml:space="preserve"> (5) Operating Reserve - Spinning Reserve Service; (6) Operating Reserve - Supplemental Reserve Service; and (7) Generator Imbalance Service. </w:t>
      </w:r>
    </w:p>
    <w:p w14:paraId="4B59D00E" w14:textId="77777777" w:rsidR="00CF69E3" w:rsidRPr="00797BFA" w:rsidRDefault="00CF69E3" w:rsidP="00A73F44">
      <w:pPr>
        <w:rPr>
          <w:rFonts w:eastAsia="Calibri"/>
          <w:szCs w:val="26"/>
        </w:rPr>
      </w:pPr>
    </w:p>
  </w:footnote>
  <w:footnote w:id="25">
    <w:p w14:paraId="4F8F85C6" w14:textId="5676AF7D" w:rsidR="00CF69E3" w:rsidRPr="00797BFA" w:rsidRDefault="00CF69E3" w:rsidP="007E704A">
      <w:pPr>
        <w:ind w:firstLine="720"/>
        <w:rPr>
          <w:szCs w:val="26"/>
        </w:rPr>
      </w:pPr>
      <w:r w:rsidRPr="00797BFA">
        <w:rPr>
          <w:rStyle w:val="FootnoteReference"/>
        </w:rPr>
        <w:footnoteRef/>
      </w:r>
      <w:r w:rsidRPr="00797BFA">
        <w:rPr>
          <w:szCs w:val="26"/>
        </w:rPr>
        <w:t xml:space="preserve"> </w:t>
      </w:r>
      <w:r w:rsidRPr="00797BFA">
        <w:rPr>
          <w:i/>
          <w:szCs w:val="26"/>
        </w:rPr>
        <w:t xml:space="preserve">Promoting Wholesale Competition Through Open Access Non-Discriminatory Transmission Services by Public Utilities; Recovery of Stranded Costs by Public </w:t>
      </w:r>
      <w:r w:rsidR="00DA6824">
        <w:rPr>
          <w:i/>
          <w:szCs w:val="26"/>
        </w:rPr>
        <w:t xml:space="preserve">  </w:t>
      </w:r>
      <w:r w:rsidRPr="00797BFA">
        <w:rPr>
          <w:i/>
          <w:szCs w:val="26"/>
        </w:rPr>
        <w:t>Utilities and Transmitting Utilities</w:t>
      </w:r>
      <w:r w:rsidRPr="00797BFA">
        <w:rPr>
          <w:szCs w:val="26"/>
        </w:rPr>
        <w:t xml:space="preserve">, Order No. 888, FERC Stats. &amp; Regs. ¶ 31,036 (1996), </w:t>
      </w:r>
      <w:r w:rsidRPr="00797BFA">
        <w:rPr>
          <w:i/>
          <w:szCs w:val="26"/>
        </w:rPr>
        <w:t>order on reh’g</w:t>
      </w:r>
      <w:r w:rsidRPr="00797BFA">
        <w:rPr>
          <w:szCs w:val="26"/>
        </w:rPr>
        <w:t xml:space="preserve">, Order No. 888-A, FERC Stats. &amp; Regs. ¶ 31,048, </w:t>
      </w:r>
      <w:r w:rsidRPr="00797BFA">
        <w:rPr>
          <w:i/>
          <w:szCs w:val="26"/>
        </w:rPr>
        <w:t>order on</w:t>
      </w:r>
      <w:r w:rsidR="007A72CA">
        <w:rPr>
          <w:i/>
          <w:szCs w:val="26"/>
        </w:rPr>
        <w:t xml:space="preserve">   </w:t>
      </w:r>
      <w:r w:rsidRPr="00797BFA">
        <w:rPr>
          <w:i/>
          <w:szCs w:val="26"/>
        </w:rPr>
        <w:t>reh’g</w:t>
      </w:r>
      <w:r w:rsidRPr="00797BFA">
        <w:rPr>
          <w:szCs w:val="26"/>
        </w:rPr>
        <w:t>, Order</w:t>
      </w:r>
      <w:r w:rsidR="00DA6824">
        <w:rPr>
          <w:szCs w:val="26"/>
        </w:rPr>
        <w:t xml:space="preserve"> </w:t>
      </w:r>
      <w:r w:rsidRPr="00797BFA">
        <w:rPr>
          <w:szCs w:val="26"/>
        </w:rPr>
        <w:t xml:space="preserve">No. 888-B, 81 FERC ¶ 61,248 (1997), </w:t>
      </w:r>
      <w:r w:rsidRPr="00797BFA">
        <w:rPr>
          <w:i/>
          <w:szCs w:val="26"/>
        </w:rPr>
        <w:t>order on reh’g</w:t>
      </w:r>
      <w:r w:rsidRPr="00797BFA">
        <w:rPr>
          <w:szCs w:val="26"/>
        </w:rPr>
        <w:t xml:space="preserve">, Order No. 888-C, </w:t>
      </w:r>
      <w:r w:rsidR="0022509E">
        <w:rPr>
          <w:szCs w:val="26"/>
        </w:rPr>
        <w:t xml:space="preserve">             </w:t>
      </w:r>
      <w:r w:rsidRPr="00797BFA">
        <w:rPr>
          <w:szCs w:val="26"/>
        </w:rPr>
        <w:t>82 FERC</w:t>
      </w:r>
      <w:r w:rsidR="00DA6824">
        <w:rPr>
          <w:szCs w:val="26"/>
        </w:rPr>
        <w:t xml:space="preserve"> </w:t>
      </w:r>
      <w:r w:rsidRPr="00797BFA">
        <w:rPr>
          <w:szCs w:val="26"/>
        </w:rPr>
        <w:t xml:space="preserve">¶ 61,046 (1998), </w:t>
      </w:r>
      <w:r w:rsidRPr="00797BFA">
        <w:rPr>
          <w:i/>
          <w:szCs w:val="26"/>
        </w:rPr>
        <w:t xml:space="preserve">aff’d in relevant part sub nom. Transmission Access Policy Study </w:t>
      </w:r>
      <w:r w:rsidR="00DA6824">
        <w:rPr>
          <w:i/>
          <w:szCs w:val="26"/>
        </w:rPr>
        <w:t xml:space="preserve"> </w:t>
      </w:r>
      <w:r w:rsidRPr="00797BFA">
        <w:rPr>
          <w:i/>
          <w:szCs w:val="26"/>
        </w:rPr>
        <w:t>Group v. FERC</w:t>
      </w:r>
      <w:r w:rsidRPr="00797BFA">
        <w:rPr>
          <w:szCs w:val="26"/>
        </w:rPr>
        <w:t xml:space="preserve">, 225 F.3d 667 (D.C. Cir. 2000), </w:t>
      </w:r>
      <w:r w:rsidRPr="00797BFA">
        <w:rPr>
          <w:i/>
          <w:szCs w:val="26"/>
        </w:rPr>
        <w:t>aff’d sub nom. New York</w:t>
      </w:r>
      <w:r w:rsidR="0022509E">
        <w:rPr>
          <w:i/>
          <w:szCs w:val="26"/>
        </w:rPr>
        <w:t xml:space="preserve"> </w:t>
      </w:r>
      <w:r w:rsidR="004300E7">
        <w:rPr>
          <w:i/>
          <w:szCs w:val="26"/>
        </w:rPr>
        <w:t xml:space="preserve">            </w:t>
      </w:r>
      <w:r w:rsidRPr="00797BFA">
        <w:rPr>
          <w:i/>
          <w:szCs w:val="26"/>
        </w:rPr>
        <w:t>v. FERC</w:t>
      </w:r>
      <w:r w:rsidRPr="00797BFA">
        <w:rPr>
          <w:szCs w:val="26"/>
        </w:rPr>
        <w:t>,</w:t>
      </w:r>
      <w:r w:rsidR="00DA6824">
        <w:rPr>
          <w:szCs w:val="26"/>
        </w:rPr>
        <w:t xml:space="preserve"> </w:t>
      </w:r>
      <w:r w:rsidRPr="00797BFA">
        <w:rPr>
          <w:szCs w:val="26"/>
        </w:rPr>
        <w:t>535 U.S. 1 (2002).</w:t>
      </w:r>
    </w:p>
    <w:p w14:paraId="500BCADB" w14:textId="77777777" w:rsidR="00CF69E3" w:rsidRPr="00797BFA" w:rsidRDefault="00CF69E3" w:rsidP="007E704A">
      <w:pPr>
        <w:ind w:firstLine="720"/>
        <w:rPr>
          <w:szCs w:val="26"/>
        </w:rPr>
      </w:pPr>
    </w:p>
  </w:footnote>
  <w:footnote w:id="26">
    <w:p w14:paraId="6F7209CC" w14:textId="6D7F0AC9" w:rsidR="00CF69E3" w:rsidRPr="00797BFA" w:rsidRDefault="00CF69E3" w:rsidP="007E704A">
      <w:pPr>
        <w:ind w:firstLine="720"/>
        <w:rPr>
          <w:szCs w:val="26"/>
        </w:rPr>
      </w:pPr>
      <w:r w:rsidRPr="00797BFA">
        <w:rPr>
          <w:rStyle w:val="FootnoteReference"/>
        </w:rPr>
        <w:footnoteRef/>
      </w:r>
      <w:r w:rsidRPr="00797BFA">
        <w:rPr>
          <w:szCs w:val="26"/>
        </w:rPr>
        <w:t xml:space="preserve"> </w:t>
      </w:r>
      <w:r w:rsidRPr="00797BFA">
        <w:rPr>
          <w:i/>
          <w:iCs/>
          <w:szCs w:val="26"/>
        </w:rPr>
        <w:t>Preventing Undue Discrimination and Preference in Transmission Service</w:t>
      </w:r>
      <w:r w:rsidRPr="00797BFA">
        <w:rPr>
          <w:szCs w:val="26"/>
        </w:rPr>
        <w:t xml:space="preserve">, Order No. 890, FERC Stats. &amp; Regs. ¶ 31,241, </w:t>
      </w:r>
      <w:r w:rsidRPr="00797BFA">
        <w:rPr>
          <w:i/>
          <w:iCs/>
          <w:szCs w:val="26"/>
        </w:rPr>
        <w:t>order on reh’g</w:t>
      </w:r>
      <w:r w:rsidRPr="00797BFA">
        <w:rPr>
          <w:szCs w:val="26"/>
        </w:rPr>
        <w:t xml:space="preserve">, Order No. 890-A, FERC Stats. &amp; Regs. ¶ 31,261 (2007), </w:t>
      </w:r>
      <w:r w:rsidRPr="00797BFA">
        <w:rPr>
          <w:i/>
          <w:iCs/>
          <w:szCs w:val="26"/>
        </w:rPr>
        <w:t>order on reh’g</w:t>
      </w:r>
      <w:r w:rsidRPr="00797BFA">
        <w:rPr>
          <w:szCs w:val="26"/>
        </w:rPr>
        <w:t>, Order No. 890-B, 123 FERC ¶ 61,299 (2008),</w:t>
      </w:r>
      <w:r w:rsidRPr="00797BFA">
        <w:rPr>
          <w:i/>
          <w:szCs w:val="26"/>
        </w:rPr>
        <w:t xml:space="preserve"> order on reh’g</w:t>
      </w:r>
      <w:r w:rsidRPr="00797BFA">
        <w:rPr>
          <w:szCs w:val="26"/>
        </w:rPr>
        <w:t>, Ord</w:t>
      </w:r>
      <w:r w:rsidR="00C82236">
        <w:rPr>
          <w:szCs w:val="26"/>
        </w:rPr>
        <w:t>er No. 890-C, 126 FERC ¶ 61,228</w:t>
      </w:r>
      <w:r w:rsidRPr="00797BFA">
        <w:rPr>
          <w:szCs w:val="26"/>
        </w:rPr>
        <w:t xml:space="preserve">, </w:t>
      </w:r>
      <w:r w:rsidRPr="00797BFA">
        <w:rPr>
          <w:i/>
          <w:szCs w:val="26"/>
        </w:rPr>
        <w:t>order on clarification</w:t>
      </w:r>
      <w:r w:rsidRPr="00797BFA">
        <w:rPr>
          <w:szCs w:val="26"/>
        </w:rPr>
        <w:t xml:space="preserve">, </w:t>
      </w:r>
      <w:r w:rsidRPr="00797BFA">
        <w:rPr>
          <w:color w:val="000000"/>
          <w:szCs w:val="26"/>
        </w:rPr>
        <w:t>Order No. 890-D, 129 FERC ¶ 61,126 (2009)</w:t>
      </w:r>
      <w:r w:rsidRPr="00797BFA">
        <w:rPr>
          <w:szCs w:val="26"/>
        </w:rPr>
        <w:t>.</w:t>
      </w:r>
    </w:p>
    <w:p w14:paraId="04EED9F0" w14:textId="77777777" w:rsidR="00CF69E3" w:rsidRPr="00797BFA" w:rsidRDefault="00CF69E3" w:rsidP="007E704A">
      <w:pPr>
        <w:ind w:firstLine="720"/>
        <w:rPr>
          <w:szCs w:val="26"/>
        </w:rPr>
      </w:pPr>
    </w:p>
  </w:footnote>
  <w:footnote w:id="27">
    <w:p w14:paraId="5A2B855B" w14:textId="6F4E8F25" w:rsidR="00CF69E3" w:rsidRPr="00797BFA" w:rsidRDefault="00CF69E3" w:rsidP="005E2F02">
      <w:pPr>
        <w:pStyle w:val="FootnoteText"/>
        <w:rPr>
          <w:szCs w:val="26"/>
        </w:rPr>
      </w:pPr>
      <w:r w:rsidRPr="00797BFA">
        <w:rPr>
          <w:rStyle w:val="FootnoteReference"/>
        </w:rPr>
        <w:footnoteRef/>
      </w:r>
      <w:r w:rsidRPr="00797BFA">
        <w:rPr>
          <w:szCs w:val="26"/>
        </w:rPr>
        <w:t xml:space="preserve"> NERC Essential Reliability Services Task Force Scope Document at 2.</w:t>
      </w:r>
    </w:p>
  </w:footnote>
  <w:footnote w:id="28">
    <w:p w14:paraId="52A7E49A" w14:textId="77777777" w:rsidR="00CF69E3" w:rsidRPr="00797BFA" w:rsidRDefault="00CF69E3" w:rsidP="005E2F02">
      <w:pPr>
        <w:pStyle w:val="FootnoteText"/>
        <w:rPr>
          <w:szCs w:val="26"/>
        </w:rPr>
      </w:pPr>
      <w:r w:rsidRPr="00797BFA">
        <w:rPr>
          <w:rStyle w:val="FootnoteReference"/>
        </w:rPr>
        <w:footnoteRef/>
      </w:r>
      <w:r w:rsidRPr="00797BFA">
        <w:rPr>
          <w:szCs w:val="26"/>
        </w:rPr>
        <w:t xml:space="preserve"> </w:t>
      </w:r>
      <w:r w:rsidRPr="00797BFA">
        <w:rPr>
          <w:i/>
          <w:szCs w:val="26"/>
        </w:rPr>
        <w:t>Id</w:t>
      </w:r>
      <w:r w:rsidRPr="00797BFA">
        <w:rPr>
          <w:szCs w:val="26"/>
        </w:rPr>
        <w:t>.</w:t>
      </w:r>
    </w:p>
  </w:footnote>
  <w:footnote w:id="29">
    <w:p w14:paraId="5F783745" w14:textId="3158CD66" w:rsidR="00CF69E3" w:rsidRPr="00797BFA" w:rsidRDefault="00CF69E3" w:rsidP="00CE2029">
      <w:pPr>
        <w:pStyle w:val="FootnoteText"/>
      </w:pPr>
      <w:r w:rsidRPr="00797BFA">
        <w:rPr>
          <w:rStyle w:val="FootnoteReference"/>
        </w:rPr>
        <w:footnoteRef/>
      </w:r>
      <w:r w:rsidRPr="00797BFA">
        <w:t xml:space="preserve"> </w:t>
      </w:r>
      <w:r w:rsidRPr="00797BFA">
        <w:rPr>
          <w:szCs w:val="26"/>
        </w:rPr>
        <w:t>Essential Reliability Services Task Force Measures Report at iv.</w:t>
      </w:r>
    </w:p>
  </w:footnote>
  <w:footnote w:id="30">
    <w:p w14:paraId="60647F1D" w14:textId="54B9FFD6" w:rsidR="00CF69E3" w:rsidRPr="00797BFA" w:rsidRDefault="00CF69E3" w:rsidP="00CE2029">
      <w:pPr>
        <w:pStyle w:val="FootnoteText"/>
        <w:spacing w:after="200"/>
        <w:rPr>
          <w:szCs w:val="26"/>
        </w:rPr>
      </w:pPr>
      <w:r w:rsidRPr="00797BFA">
        <w:rPr>
          <w:rStyle w:val="FootnoteReference"/>
        </w:rPr>
        <w:footnoteRef/>
      </w:r>
      <w:r w:rsidRPr="00797BFA">
        <w:rPr>
          <w:szCs w:val="26"/>
        </w:rPr>
        <w:t xml:space="preserve"> </w:t>
      </w:r>
      <w:r w:rsidRPr="00797BFA">
        <w:rPr>
          <w:i/>
          <w:szCs w:val="26"/>
        </w:rPr>
        <w:t xml:space="preserve">See </w:t>
      </w:r>
      <w:r w:rsidRPr="00797BFA">
        <w:rPr>
          <w:szCs w:val="26"/>
        </w:rPr>
        <w:t xml:space="preserve">NERC State of Reliability 2015 Report at 16 (May 2015),  </w:t>
      </w:r>
      <w:hyperlink r:id="rId8" w:history="1">
        <w:r w:rsidRPr="00BE0694">
          <w:rPr>
            <w:rStyle w:val="Hyperlink"/>
            <w:szCs w:val="26"/>
            <w:u w:val="none"/>
          </w:rPr>
          <w:t>http://www.nerc.com/pa/RAPA/PA/Performance%20Analysis%20DL/2015%20State%20of%20Reliability.pdf</w:t>
        </w:r>
      </w:hyperlink>
      <w:r w:rsidRPr="00797BFA">
        <w:rPr>
          <w:szCs w:val="26"/>
        </w:rPr>
        <w:t>.</w:t>
      </w:r>
    </w:p>
  </w:footnote>
  <w:footnote w:id="31">
    <w:p w14:paraId="40895955" w14:textId="4CC5FD87" w:rsidR="00CF69E3" w:rsidRPr="00797BFA" w:rsidRDefault="00CF69E3" w:rsidP="00466F1B">
      <w:pPr>
        <w:pStyle w:val="FootnoteText"/>
        <w:rPr>
          <w:szCs w:val="26"/>
        </w:rPr>
      </w:pPr>
      <w:r w:rsidRPr="00797BFA">
        <w:rPr>
          <w:rStyle w:val="FootnoteReference"/>
          <w:rFonts w:eastAsia="Calibri"/>
        </w:rPr>
        <w:footnoteRef/>
      </w:r>
      <w:r w:rsidRPr="00797BFA">
        <w:rPr>
          <w:szCs w:val="26"/>
        </w:rPr>
        <w:t xml:space="preserve"> Essential Reliability Services Task Force Measures Report at vi.</w:t>
      </w:r>
    </w:p>
  </w:footnote>
  <w:footnote w:id="32">
    <w:p w14:paraId="7A3B6638" w14:textId="3FFE60A5" w:rsidR="00CF69E3" w:rsidRPr="00797BFA" w:rsidRDefault="00CF69E3">
      <w:pPr>
        <w:pStyle w:val="FootnoteText"/>
      </w:pPr>
      <w:r w:rsidRPr="00797BFA">
        <w:rPr>
          <w:rStyle w:val="FootnoteReference"/>
        </w:rPr>
        <w:footnoteRef/>
      </w:r>
      <w:r>
        <w:t xml:space="preserve"> </w:t>
      </w:r>
      <w:r w:rsidRPr="00797BFA">
        <w:t>A governor is an electronic or mechanical device that implements primary frequency response on a generator via a droop parameter.  Droop</w:t>
      </w:r>
      <w:r w:rsidRPr="00797BFA">
        <w:rPr>
          <w:szCs w:val="26"/>
        </w:rPr>
        <w:t xml:space="preserve"> refers to the variation </w:t>
      </w:r>
      <w:r w:rsidR="00BE0694">
        <w:rPr>
          <w:szCs w:val="26"/>
        </w:rPr>
        <w:t xml:space="preserve"> </w:t>
      </w:r>
      <w:r w:rsidRPr="00797BFA">
        <w:rPr>
          <w:szCs w:val="26"/>
        </w:rPr>
        <w:t>in MW output due to variations in system frequency.  A governor also has a dead band which establishes a minimum frequency deviation (from nominal) that must be exceeded in order for the governor to act.  Example droop and dead band settings are 5 percent and ±0.036 Hz, respectively.</w:t>
      </w:r>
    </w:p>
  </w:footnote>
  <w:footnote w:id="33">
    <w:p w14:paraId="67588AC1" w14:textId="5CFF2C8D" w:rsidR="00CF69E3" w:rsidRPr="00797BFA" w:rsidRDefault="00CF69E3">
      <w:pPr>
        <w:pStyle w:val="FootnoteText"/>
        <w:rPr>
          <w:szCs w:val="26"/>
        </w:rPr>
      </w:pPr>
      <w:r w:rsidRPr="00797BFA">
        <w:rPr>
          <w:rStyle w:val="FootnoteReference"/>
        </w:rPr>
        <w:footnoteRef/>
      </w:r>
      <w:r w:rsidRPr="00797BFA">
        <w:rPr>
          <w:szCs w:val="26"/>
        </w:rPr>
        <w:t xml:space="preserve"> NERC Generator Governor Frequency Response Industry Advisory (February 2015), </w:t>
      </w:r>
      <w:hyperlink r:id="rId9" w:history="1">
        <w:r w:rsidRPr="004E3B75">
          <w:rPr>
            <w:rStyle w:val="Hyperlink"/>
            <w:szCs w:val="26"/>
            <w:u w:val="none"/>
          </w:rPr>
          <w:t>http://www.nerc.com/pa/rrm/bpsa/Alerts%20DL/2015%20Alerts/NERC%20Alert%20A-2015-02-05-01%20Generator%20Governor%20Frequency%20Response.pdf</w:t>
        </w:r>
      </w:hyperlink>
      <w:r w:rsidR="00215D63">
        <w:rPr>
          <w:rStyle w:val="Hyperlink"/>
          <w:szCs w:val="26"/>
          <w:u w:val="none"/>
        </w:rPr>
        <w:t>.</w:t>
      </w:r>
    </w:p>
  </w:footnote>
  <w:footnote w:id="34">
    <w:p w14:paraId="4ACFEF38" w14:textId="68ED3B76" w:rsidR="00CF69E3" w:rsidRPr="00797BFA" w:rsidRDefault="00CF69E3" w:rsidP="00EE0A47">
      <w:pPr>
        <w:pStyle w:val="FootnoteText"/>
      </w:pPr>
      <w:r w:rsidRPr="00797BFA">
        <w:rPr>
          <w:rStyle w:val="FootnoteReference"/>
        </w:rPr>
        <w:footnoteRef/>
      </w:r>
      <w:r w:rsidRPr="00797BFA">
        <w:t xml:space="preserve"> </w:t>
      </w:r>
      <w:r w:rsidRPr="00797BFA">
        <w:rPr>
          <w:i/>
        </w:rPr>
        <w:t xml:space="preserve">See </w:t>
      </w:r>
      <w:r w:rsidRPr="00797BFA">
        <w:t>NERC Primary Frequency Control Guideline Final Draft</w:t>
      </w:r>
      <w:r w:rsidRPr="00797BFA">
        <w:rPr>
          <w:i/>
        </w:rPr>
        <w:t xml:space="preserve"> </w:t>
      </w:r>
      <w:r w:rsidRPr="00797BFA">
        <w:t xml:space="preserve">(December 2015), </w:t>
      </w:r>
      <w:hyperlink r:id="rId10" w:history="1">
        <w:r w:rsidRPr="00B86C23">
          <w:rPr>
            <w:rStyle w:val="Hyperlink"/>
            <w:u w:val="none"/>
          </w:rPr>
          <w:t>http://www.nerc.com/comm/OC/Reliability%20Guideline%20DL/Primary_Frequency_Control_final.pdf</w:t>
        </w:r>
      </w:hyperlink>
      <w:r w:rsidRPr="00797BFA">
        <w:t xml:space="preserve">.  </w:t>
      </w:r>
      <w:r w:rsidR="00B86C23">
        <w:rPr>
          <w:i/>
        </w:rPr>
        <w:t>See also</w:t>
      </w:r>
      <w:r w:rsidRPr="00797BFA">
        <w:rPr>
          <w:i/>
        </w:rPr>
        <w:t xml:space="preserve"> </w:t>
      </w:r>
      <w:r w:rsidRPr="00797BFA">
        <w:t xml:space="preserve">NERC Operating Committee Meeting Minutes (January 2016), </w:t>
      </w:r>
      <w:hyperlink r:id="rId11" w:history="1">
        <w:r w:rsidRPr="00B86C23">
          <w:rPr>
            <w:rStyle w:val="Hyperlink"/>
            <w:u w:val="none"/>
          </w:rPr>
          <w:t>http://www.nerc.com/comm/OC/AgendasHighlightsMinutes/Operating%20Committee%20Minutes%20-%20Dec%2015-16%202015-Final.pdf</w:t>
        </w:r>
      </w:hyperlink>
      <w:r w:rsidRPr="00797BFA">
        <w:t xml:space="preserve">. </w:t>
      </w:r>
      <w:r w:rsidRPr="00797BFA">
        <w:rPr>
          <w:i/>
        </w:rPr>
        <w:t xml:space="preserve"> </w:t>
      </w:r>
    </w:p>
  </w:footnote>
  <w:footnote w:id="35">
    <w:p w14:paraId="261920C5" w14:textId="4CE94E5A" w:rsidR="00CF69E3" w:rsidRPr="00797BFA" w:rsidRDefault="00CF69E3" w:rsidP="00075856">
      <w:pPr>
        <w:pStyle w:val="FootnoteText"/>
      </w:pPr>
      <w:r w:rsidRPr="00797BFA">
        <w:rPr>
          <w:rStyle w:val="FootnoteReference"/>
        </w:rPr>
        <w:footnoteRef/>
      </w:r>
      <w:r w:rsidRPr="00797BFA">
        <w:t xml:space="preserve"> NERC State of Reliability Report 2015 at 9 (May 2015).  </w:t>
      </w:r>
      <w:r w:rsidRPr="00797BFA">
        <w:rPr>
          <w:i/>
        </w:rPr>
        <w:t xml:space="preserve">See </w:t>
      </w:r>
      <w:hyperlink r:id="rId12" w:history="1">
        <w:r w:rsidRPr="00FE4CB5">
          <w:rPr>
            <w:rStyle w:val="Hyperlink"/>
            <w:u w:val="none"/>
          </w:rPr>
          <w:t>http://www.nerc.com/pa/RAPA/PA/Performance%20Analysis%20DL/2015%20State%20of%20Reliability.pdf</w:t>
        </w:r>
      </w:hyperlink>
      <w:r w:rsidRPr="00797BFA">
        <w:t>.  Reliability Standard BAL-003-1 establishes Interconnection Frequency Response Obligations that are designed to require sufficient frequency response for each Interconnection to arrest frequency declines even for severe, but possible, contingencies.</w:t>
      </w:r>
    </w:p>
  </w:footnote>
  <w:footnote w:id="36">
    <w:p w14:paraId="2D0AEED9" w14:textId="433C981D" w:rsidR="00CF69E3" w:rsidRPr="00797BFA" w:rsidRDefault="00CF69E3" w:rsidP="00075856">
      <w:pPr>
        <w:pStyle w:val="FootnoteText"/>
      </w:pPr>
      <w:r w:rsidRPr="00797BFA">
        <w:rPr>
          <w:rStyle w:val="FootnoteReference"/>
        </w:rPr>
        <w:footnoteRef/>
      </w:r>
      <w:r w:rsidRPr="00797BFA">
        <w:t xml:space="preserve"> </w:t>
      </w:r>
      <w:r w:rsidRPr="00797BFA">
        <w:rPr>
          <w:i/>
        </w:rPr>
        <w:t>See</w:t>
      </w:r>
      <w:r w:rsidRPr="00797BFA">
        <w:t xml:space="preserve"> NERC </w:t>
      </w:r>
      <w:r w:rsidRPr="00797BFA">
        <w:rPr>
          <w:i/>
        </w:rPr>
        <w:t>Frequency Response Initiative Industry Advisory – Generator Governor Frequency Response</w:t>
      </w:r>
      <w:r w:rsidRPr="00797BFA">
        <w:t xml:space="preserve"> at slide 10 (April 2015), </w:t>
      </w:r>
      <w:hyperlink r:id="rId13" w:history="1">
        <w:r w:rsidRPr="00FE4CB5">
          <w:rPr>
            <w:rStyle w:val="Hyperlink"/>
            <w:u w:val="none"/>
          </w:rPr>
          <w:t>http://www.nerc.com/pa/rrm/Webinars%20DL/Generator_Governor_Frequency_Response_Webinar_April_2015.pdf</w:t>
        </w:r>
      </w:hyperlink>
      <w:r w:rsidRPr="00797BFA">
        <w:t xml:space="preserve">.  </w:t>
      </w:r>
      <w:r w:rsidRPr="00797BFA">
        <w:rPr>
          <w:i/>
        </w:rPr>
        <w:t>See</w:t>
      </w:r>
      <w:r w:rsidRPr="00797BFA">
        <w:t xml:space="preserve"> </w:t>
      </w:r>
      <w:r w:rsidRPr="00797BFA">
        <w:rPr>
          <w:i/>
        </w:rPr>
        <w:t>also</w:t>
      </w:r>
      <w:r w:rsidR="00FE4CB5">
        <w:rPr>
          <w:i/>
        </w:rPr>
        <w:t xml:space="preserve"> </w:t>
      </w:r>
      <w:r w:rsidRPr="00797BFA">
        <w:rPr>
          <w:i/>
        </w:rPr>
        <w:t xml:space="preserve">Review of the Recent Frequency Performance of the Eastern, Western and ERCOT Interconnections, </w:t>
      </w:r>
      <w:r w:rsidRPr="00797BFA">
        <w:t xml:space="preserve">Ernest Orlando Lawrence Berkeley National Laboratory, at pp xiv-xv (December 2010), </w:t>
      </w:r>
      <w:hyperlink r:id="rId14" w:history="1">
        <w:r w:rsidRPr="00FE4CB5">
          <w:rPr>
            <w:rStyle w:val="Hyperlink"/>
            <w:u w:val="none"/>
          </w:rPr>
          <w:t>http://energy.lbl.gov/ea/certs/pdf/lbnl-4144e.pdf</w:t>
        </w:r>
      </w:hyperlink>
      <w:r w:rsidRPr="00797BFA">
        <w:t xml:space="preserve">. </w:t>
      </w:r>
    </w:p>
  </w:footnote>
  <w:footnote w:id="37">
    <w:p w14:paraId="1779C709" w14:textId="06A456BF" w:rsidR="00CF69E3" w:rsidRPr="00797BFA" w:rsidRDefault="00CF69E3" w:rsidP="00075856">
      <w:pPr>
        <w:pStyle w:val="FootnoteText"/>
      </w:pPr>
      <w:r w:rsidRPr="00797BFA">
        <w:rPr>
          <w:rStyle w:val="FootnoteReference"/>
        </w:rPr>
        <w:footnoteRef/>
      </w:r>
      <w:r w:rsidRPr="00797BFA">
        <w:t xml:space="preserve"> </w:t>
      </w:r>
      <w:r w:rsidRPr="00797BFA">
        <w:rPr>
          <w:i/>
        </w:rPr>
        <w:t xml:space="preserve">See </w:t>
      </w:r>
      <w:r w:rsidRPr="00797BFA">
        <w:t xml:space="preserve">NERC </w:t>
      </w:r>
      <w:r w:rsidRPr="00797BFA">
        <w:rPr>
          <w:i/>
        </w:rPr>
        <w:t>Frequency Response Initiative Report: The Reliability Role of Frequency Response</w:t>
      </w:r>
      <w:r w:rsidRPr="00797BFA">
        <w:t xml:space="preserve"> (October 2012), </w:t>
      </w:r>
      <w:hyperlink r:id="rId15" w:history="1">
        <w:r w:rsidRPr="00FE4CB5">
          <w:rPr>
            <w:rStyle w:val="Hyperlink"/>
            <w:szCs w:val="26"/>
            <w:u w:val="none"/>
          </w:rPr>
          <w:t>http://www.nerc.com/docs/pc/FRI_Report_10-30-12_Master_w-appendices.pdf</w:t>
        </w:r>
      </w:hyperlink>
      <w:r w:rsidRPr="00797BFA">
        <w:rPr>
          <w:szCs w:val="26"/>
        </w:rPr>
        <w:t xml:space="preserve"> </w:t>
      </w:r>
      <w:r w:rsidRPr="00797BFA">
        <w:t>(Frequency Response Initiative Report).</w:t>
      </w:r>
    </w:p>
  </w:footnote>
  <w:footnote w:id="38">
    <w:p w14:paraId="591887CC" w14:textId="77777777" w:rsidR="00CF69E3" w:rsidRPr="00797BFA" w:rsidRDefault="00CF69E3" w:rsidP="000E310F">
      <w:pPr>
        <w:pStyle w:val="FootnoteText"/>
        <w:rPr>
          <w:szCs w:val="26"/>
        </w:rPr>
      </w:pPr>
      <w:r w:rsidRPr="00797BFA">
        <w:rPr>
          <w:rStyle w:val="FootnoteReference"/>
        </w:rPr>
        <w:footnoteRef/>
      </w:r>
      <w:r w:rsidRPr="00797BFA">
        <w:rPr>
          <w:szCs w:val="26"/>
        </w:rPr>
        <w:t xml:space="preserve"> Order No. 888, FERC Stats. &amp; Regs. ¶ 31,036.</w:t>
      </w:r>
    </w:p>
  </w:footnote>
  <w:footnote w:id="39">
    <w:p w14:paraId="248305F7" w14:textId="77777777" w:rsidR="00CF69E3" w:rsidRPr="00797BFA" w:rsidRDefault="00CF69E3" w:rsidP="00507585">
      <w:pPr>
        <w:pStyle w:val="FootnoteText"/>
      </w:pPr>
      <w:r w:rsidRPr="00797BFA">
        <w:rPr>
          <w:rStyle w:val="FootnoteReference"/>
        </w:rPr>
        <w:footnoteRef/>
      </w:r>
      <w:r w:rsidRPr="00797BFA">
        <w:t xml:space="preserve"> </w:t>
      </w:r>
      <w:r w:rsidRPr="00797BFA">
        <w:rPr>
          <w:i/>
        </w:rPr>
        <w:t>Id.</w:t>
      </w:r>
      <w:r w:rsidRPr="00797BFA">
        <w:t xml:space="preserve"> at 31,705.</w:t>
      </w:r>
    </w:p>
  </w:footnote>
  <w:footnote w:id="40">
    <w:p w14:paraId="51889757" w14:textId="7DDE7C0B"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Standardization of Generator Interconnection Agreements and Procedures</w:t>
      </w:r>
      <w:r w:rsidRPr="00797BFA">
        <w:rPr>
          <w:szCs w:val="26"/>
        </w:rPr>
        <w:t xml:space="preserve">, Order No. 2003, FERC Stats. &amp; Regs. ¶ 31,146, app. 6 (LGIP), app. C (LGIA) (2003), </w:t>
      </w:r>
      <w:r w:rsidRPr="00EA4C08">
        <w:rPr>
          <w:i/>
          <w:szCs w:val="26"/>
        </w:rPr>
        <w:t>order on reh’g</w:t>
      </w:r>
      <w:r w:rsidRPr="00797BFA">
        <w:rPr>
          <w:szCs w:val="26"/>
        </w:rPr>
        <w:t xml:space="preserve">, Order No. 2003-A, FERC Stats. &amp; Regs. ¶ 31,160, </w:t>
      </w:r>
      <w:r w:rsidRPr="00EA4C08">
        <w:rPr>
          <w:i/>
          <w:szCs w:val="26"/>
        </w:rPr>
        <w:t>order on reh’g</w:t>
      </w:r>
      <w:r w:rsidRPr="00797BFA">
        <w:rPr>
          <w:szCs w:val="26"/>
        </w:rPr>
        <w:t xml:space="preserve">, Order No. 2003-B, FERC Stats. &amp; Regs. ¶ 31,171 (2004), </w:t>
      </w:r>
      <w:r w:rsidRPr="00797BFA">
        <w:rPr>
          <w:i/>
          <w:szCs w:val="26"/>
        </w:rPr>
        <w:t>order on reh’g</w:t>
      </w:r>
      <w:r w:rsidRPr="00797BFA">
        <w:rPr>
          <w:szCs w:val="26"/>
        </w:rPr>
        <w:t xml:space="preserve">, Order No. 2003-C, FERC Stats. &amp; Regs. ¶ 31,190 (2005), </w:t>
      </w:r>
      <w:r w:rsidRPr="00EA4C08">
        <w:rPr>
          <w:i/>
          <w:szCs w:val="26"/>
        </w:rPr>
        <w:t>aff'd sub nom. Nat’l Ass’n of Regulatory Util. Comm’rs v. FERC</w:t>
      </w:r>
      <w:r w:rsidRPr="00797BFA">
        <w:rPr>
          <w:szCs w:val="26"/>
        </w:rPr>
        <w:t xml:space="preserve">, 475 F.3d 1277 (D.C. Cir. 2007), </w:t>
      </w:r>
      <w:r w:rsidRPr="00797BFA">
        <w:rPr>
          <w:i/>
          <w:szCs w:val="26"/>
        </w:rPr>
        <w:t>cert. denied</w:t>
      </w:r>
      <w:r w:rsidRPr="00797BFA">
        <w:rPr>
          <w:szCs w:val="26"/>
        </w:rPr>
        <w:t>, 552 U.S. 1230 (2008).</w:t>
      </w:r>
    </w:p>
  </w:footnote>
  <w:footnote w:id="41">
    <w:p w14:paraId="0022D0CE" w14:textId="77777777" w:rsidR="00CF69E3" w:rsidRPr="00797BFA" w:rsidRDefault="00CF69E3" w:rsidP="009F6681">
      <w:pPr>
        <w:pStyle w:val="FootnoteText"/>
      </w:pPr>
      <w:r w:rsidRPr="00797BFA">
        <w:rPr>
          <w:rStyle w:val="FootnoteReference"/>
        </w:rPr>
        <w:footnoteRef/>
      </w:r>
      <w:r w:rsidRPr="00797BFA">
        <w:t xml:space="preserve"> </w:t>
      </w:r>
      <w:r w:rsidRPr="00797BFA">
        <w:rPr>
          <w:szCs w:val="26"/>
        </w:rPr>
        <w:t>Order No. 2003-A, FERC Stats. &amp; Regs. ¶ 31,160 at P 407 &amp; n.85.</w:t>
      </w:r>
    </w:p>
  </w:footnote>
  <w:footnote w:id="42">
    <w:p w14:paraId="52B12D66" w14:textId="77777777" w:rsidR="00CF69E3" w:rsidRPr="00797BFA" w:rsidRDefault="00CF69E3" w:rsidP="009F6681">
      <w:pPr>
        <w:pStyle w:val="FootnoteText"/>
      </w:pPr>
      <w:r w:rsidRPr="00797BFA">
        <w:rPr>
          <w:rStyle w:val="FootnoteReference"/>
        </w:rPr>
        <w:footnoteRef/>
      </w:r>
      <w:r w:rsidRPr="00797BFA">
        <w:t xml:space="preserve"> </w:t>
      </w:r>
      <w:r w:rsidRPr="00797BFA">
        <w:rPr>
          <w:i/>
        </w:rPr>
        <w:t>Id</w:t>
      </w:r>
      <w:r w:rsidRPr="00797BFA">
        <w:t>.</w:t>
      </w:r>
    </w:p>
  </w:footnote>
  <w:footnote w:id="43">
    <w:p w14:paraId="73A2D3E3" w14:textId="60358D6D"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Standardization of Small Generator Interconnection Agreements and Procedures</w:t>
      </w:r>
      <w:r w:rsidRPr="00797BFA">
        <w:rPr>
          <w:szCs w:val="26"/>
        </w:rPr>
        <w:t xml:space="preserve">, Order No. 2006, FERC Stats. &amp; Regs. ¶ 31,180, </w:t>
      </w:r>
      <w:r w:rsidRPr="00797BFA">
        <w:rPr>
          <w:i/>
          <w:szCs w:val="26"/>
        </w:rPr>
        <w:t>order on</w:t>
      </w:r>
      <w:r w:rsidRPr="00797BFA">
        <w:rPr>
          <w:szCs w:val="26"/>
        </w:rPr>
        <w:t xml:space="preserve"> </w:t>
      </w:r>
      <w:r w:rsidRPr="00797BFA">
        <w:rPr>
          <w:i/>
          <w:szCs w:val="26"/>
        </w:rPr>
        <w:t>reh’g</w:t>
      </w:r>
      <w:r w:rsidRPr="00797BFA">
        <w:rPr>
          <w:szCs w:val="26"/>
        </w:rPr>
        <w:t>, Order</w:t>
      </w:r>
      <w:r w:rsidR="008366BE">
        <w:rPr>
          <w:szCs w:val="26"/>
        </w:rPr>
        <w:t xml:space="preserve">    </w:t>
      </w:r>
      <w:r w:rsidRPr="00797BFA">
        <w:rPr>
          <w:szCs w:val="26"/>
        </w:rPr>
        <w:t xml:space="preserve"> No. 2006-A, FERC Stats. &amp; Regs. ¶ 31,196 (2005), </w:t>
      </w:r>
      <w:r w:rsidRPr="00797BFA">
        <w:rPr>
          <w:i/>
          <w:szCs w:val="26"/>
        </w:rPr>
        <w:t>order granting clarification</w:t>
      </w:r>
      <w:r w:rsidRPr="00797BFA">
        <w:rPr>
          <w:szCs w:val="26"/>
        </w:rPr>
        <w:t xml:space="preserve">, </w:t>
      </w:r>
      <w:r w:rsidR="008366BE">
        <w:rPr>
          <w:szCs w:val="26"/>
        </w:rPr>
        <w:t xml:space="preserve">     </w:t>
      </w:r>
      <w:r w:rsidRPr="00797BFA">
        <w:rPr>
          <w:szCs w:val="26"/>
        </w:rPr>
        <w:t>Order No. 2006-B, FERC Stats. &amp; Regs. ¶ 31,221 (2006).</w:t>
      </w:r>
    </w:p>
  </w:footnote>
  <w:footnote w:id="44">
    <w:p w14:paraId="48A7AC6B" w14:textId="58E6E156" w:rsidR="00CF69E3" w:rsidRPr="00797BFA" w:rsidRDefault="00CF69E3" w:rsidP="009F6681">
      <w:pPr>
        <w:pStyle w:val="FootnoteText"/>
        <w:rPr>
          <w:i/>
        </w:rPr>
      </w:pPr>
      <w:r w:rsidRPr="00797BFA">
        <w:rPr>
          <w:rStyle w:val="FootnoteReference"/>
        </w:rPr>
        <w:footnoteRef/>
      </w:r>
      <w:r w:rsidRPr="00797BFA">
        <w:t xml:space="preserve"> </w:t>
      </w:r>
      <w:r w:rsidRPr="00797BFA">
        <w:rPr>
          <w:i/>
        </w:rPr>
        <w:t>Reactive Power Requirements for Non-Synchronous Generation</w:t>
      </w:r>
      <w:r w:rsidRPr="00797BFA">
        <w:t xml:space="preserve">, 153 FERC </w:t>
      </w:r>
      <w:r w:rsidR="009D5381">
        <w:t xml:space="preserve">     </w:t>
      </w:r>
      <w:r w:rsidRPr="00797BFA">
        <w:rPr>
          <w:szCs w:val="26"/>
        </w:rPr>
        <w:t>¶ 61,175 (2015).</w:t>
      </w:r>
    </w:p>
  </w:footnote>
  <w:footnote w:id="45">
    <w:p w14:paraId="638E4F93" w14:textId="2065F589" w:rsidR="00CF69E3" w:rsidRPr="00797BFA" w:rsidRDefault="00CF69E3" w:rsidP="007B7B24">
      <w:pPr>
        <w:pStyle w:val="FootnoteText"/>
        <w:rPr>
          <w:szCs w:val="26"/>
        </w:rPr>
      </w:pPr>
      <w:r w:rsidRPr="00797BFA">
        <w:rPr>
          <w:rStyle w:val="FootnoteReference"/>
        </w:rPr>
        <w:footnoteRef/>
      </w:r>
      <w:r w:rsidRPr="00797BFA">
        <w:rPr>
          <w:szCs w:val="26"/>
        </w:rPr>
        <w:t xml:space="preserve"> For example, in Order Nos. 661 and 661-A, the Commission adopted standard procedures and technical requirements related to low voltage ride thru and power factor design criteria for the interconnection of large wind plants, and required all public utilities that own, control, or operate facilities for transmitting electric energy in interstate commerce to append Appendix G to their LGIPs and LGIAs in their OATTs to include these requirements.  </w:t>
      </w:r>
      <w:r w:rsidRPr="00797BFA">
        <w:rPr>
          <w:i/>
          <w:szCs w:val="26"/>
        </w:rPr>
        <w:t>Interconnection for Wind Energy</w:t>
      </w:r>
      <w:r w:rsidRPr="00797BFA">
        <w:rPr>
          <w:szCs w:val="26"/>
        </w:rPr>
        <w:t xml:space="preserve">, Order No. 661, FERC Stats. &amp; Regs. ¶ 31,186, </w:t>
      </w:r>
      <w:r w:rsidRPr="00797BFA">
        <w:rPr>
          <w:i/>
        </w:rPr>
        <w:t xml:space="preserve">order on reh’g,  </w:t>
      </w:r>
      <w:r w:rsidRPr="00797BFA">
        <w:rPr>
          <w:szCs w:val="26"/>
        </w:rPr>
        <w:t>Order No. 661-A, FERC Stats. &amp; Regs. ¶ 31,198 (2005).</w:t>
      </w:r>
    </w:p>
  </w:footnote>
  <w:footnote w:id="46">
    <w:p w14:paraId="50C3B9DC" w14:textId="2C5F8552"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Frequency Response and Frequency Bias Setting Reliability Standard</w:t>
      </w:r>
      <w:r w:rsidRPr="00797BFA">
        <w:rPr>
          <w:szCs w:val="26"/>
        </w:rPr>
        <w:t>, Order No. 794, 146 FERC ¶ 61,024 (2014).  Reliability Standards proposed by NERC are submitted</w:t>
      </w:r>
      <w:r w:rsidRPr="00797BFA">
        <w:t xml:space="preserve"> to the Commission </w:t>
      </w:r>
      <w:r w:rsidRPr="00797BFA">
        <w:rPr>
          <w:szCs w:val="26"/>
        </w:rPr>
        <w:t xml:space="preserve">for approval pursuant to </w:t>
      </w:r>
      <w:r w:rsidRPr="00797BFA">
        <w:t>section 215</w:t>
      </w:r>
      <w:r w:rsidRPr="00797BFA">
        <w:rPr>
          <w:szCs w:val="26"/>
        </w:rPr>
        <w:t>(d)</w:t>
      </w:r>
      <w:r w:rsidRPr="00797BFA">
        <w:t xml:space="preserve"> of the </w:t>
      </w:r>
      <w:r w:rsidRPr="00797BFA">
        <w:rPr>
          <w:szCs w:val="26"/>
        </w:rPr>
        <w:t>FPA</w:t>
      </w:r>
      <w:r w:rsidRPr="00797BFA">
        <w:t>;</w:t>
      </w:r>
      <w:r w:rsidR="009D5381">
        <w:t xml:space="preserve">         </w:t>
      </w:r>
      <w:r w:rsidRPr="00797BFA">
        <w:t xml:space="preserve"> 16 U.S.C. 824o(d).  </w:t>
      </w:r>
    </w:p>
  </w:footnote>
  <w:footnote w:id="47">
    <w:p w14:paraId="7BCBFCBD" w14:textId="6B696780" w:rsidR="00CF69E3" w:rsidRPr="00797BFA" w:rsidRDefault="00CF69E3">
      <w:pPr>
        <w:pStyle w:val="FootnoteText"/>
      </w:pPr>
      <w:r w:rsidRPr="00797BFA">
        <w:rPr>
          <w:rStyle w:val="FootnoteReference"/>
        </w:rPr>
        <w:footnoteRef/>
      </w:r>
      <w:r w:rsidRPr="00797BFA">
        <w:t xml:space="preserve"> NERC’s Glossary of Terms defines Frequency Response Obligation as “[t]he balancing authority’s share of the required Frequency Response needed for the reliable operation of an Interconnection.”</w:t>
      </w:r>
    </w:p>
  </w:footnote>
  <w:footnote w:id="48">
    <w:p w14:paraId="792A23F0" w14:textId="67A54D99" w:rsidR="00CF69E3" w:rsidRPr="00797BFA" w:rsidRDefault="00CF69E3" w:rsidP="00F540B5">
      <w:pPr>
        <w:pStyle w:val="FootnoteText"/>
        <w:rPr>
          <w:szCs w:val="26"/>
        </w:rPr>
      </w:pPr>
      <w:r w:rsidRPr="00797BFA">
        <w:rPr>
          <w:rStyle w:val="FootnoteReference"/>
        </w:rPr>
        <w:footnoteRef/>
      </w:r>
      <w:r w:rsidRPr="00797BFA">
        <w:rPr>
          <w:szCs w:val="26"/>
        </w:rPr>
        <w:t xml:space="preserve"> The Interconnection Frequency Response Obligation and Frequency Response Obligation</w:t>
      </w:r>
      <w:r w:rsidRPr="00797BFA" w:rsidDel="001F718A">
        <w:rPr>
          <w:szCs w:val="26"/>
        </w:rPr>
        <w:t xml:space="preserve"> </w:t>
      </w:r>
      <w:r w:rsidRPr="00797BFA">
        <w:rPr>
          <w:szCs w:val="26"/>
        </w:rPr>
        <w:t>are expressed in MW per 0.1 Hertz (MW/0.1 Hz).</w:t>
      </w:r>
    </w:p>
  </w:footnote>
  <w:footnote w:id="49">
    <w:p w14:paraId="2FDF68B1" w14:textId="4A989A69" w:rsidR="00CF69E3" w:rsidRPr="00797BFA" w:rsidRDefault="00CF69E3" w:rsidP="00B64FD5">
      <w:pPr>
        <w:pStyle w:val="FootnoteText"/>
      </w:pPr>
      <w:r w:rsidRPr="00797BFA">
        <w:rPr>
          <w:rStyle w:val="FootnoteReference"/>
        </w:rPr>
        <w:footnoteRef/>
      </w:r>
      <w:r w:rsidRPr="00797BFA">
        <w:t xml:space="preserve"> Attachment A of BAL-003-1.  NERC will identify between 20 to 35 events annually in each Interconnection for calculating the Frequency Response Measure.  </w:t>
      </w:r>
      <w:r w:rsidRPr="00797BFA">
        <w:rPr>
          <w:i/>
        </w:rPr>
        <w:t>See</w:t>
      </w:r>
      <w:r w:rsidRPr="00797BFA">
        <w:t xml:space="preserve"> </w:t>
      </w:r>
      <w:r w:rsidRPr="00797BFA">
        <w:rPr>
          <w:i/>
        </w:rPr>
        <w:t>also</w:t>
      </w:r>
      <w:r w:rsidRPr="00797BFA">
        <w:t xml:space="preserve"> Procedure for ERO Support of Frequency Response and Frequency Bias Setting Standard, (November 30, 2012), </w:t>
      </w:r>
      <w:hyperlink r:id="rId16" w:history="1">
        <w:r w:rsidRPr="00706BC2">
          <w:rPr>
            <w:rStyle w:val="Hyperlink"/>
            <w:u w:val="none"/>
          </w:rPr>
          <w:t>http://www.nerc.com/pa/Stand/Project%20200712%20Frequency%20Response%20DL/Procedure_Clean_20121130.pdf</w:t>
        </w:r>
      </w:hyperlink>
      <w:r w:rsidRPr="00797BFA">
        <w:t xml:space="preserve">. </w:t>
      </w:r>
    </w:p>
  </w:footnote>
  <w:footnote w:id="50">
    <w:p w14:paraId="0BB778EB" w14:textId="283C735F" w:rsidR="00CF69E3" w:rsidRPr="00797BFA" w:rsidRDefault="00CF69E3" w:rsidP="0027082D">
      <w:pPr>
        <w:pStyle w:val="FootnoteText"/>
      </w:pPr>
      <w:r w:rsidRPr="00797BFA">
        <w:rPr>
          <w:rStyle w:val="FootnoteReference"/>
        </w:rPr>
        <w:footnoteRef/>
      </w:r>
      <w:r w:rsidRPr="00797BFA">
        <w:t xml:space="preserve"> NERC has stated that “[w]ithdrawal of primary frequency response is an undesirable characteristic associated most often with digital turbine-generator control systems using setpoint output targets for generator output.  These are typically outer-loop control systems that defeat the primary frequency response of the governors after a short time to return the unit to operating at a requested MW output.”  </w:t>
      </w:r>
      <w:r w:rsidRPr="00797BFA">
        <w:rPr>
          <w:i/>
        </w:rPr>
        <w:t xml:space="preserve">See </w:t>
      </w:r>
      <w:r w:rsidRPr="00797BFA">
        <w:rPr>
          <w:szCs w:val="26"/>
        </w:rPr>
        <w:t xml:space="preserve">Order No. 794, </w:t>
      </w:r>
      <w:r w:rsidR="00D307AA">
        <w:rPr>
          <w:szCs w:val="26"/>
        </w:rPr>
        <w:t xml:space="preserve">    </w:t>
      </w:r>
      <w:r w:rsidRPr="00797BFA">
        <w:rPr>
          <w:szCs w:val="26"/>
        </w:rPr>
        <w:t>146 FERC ¶ 61,024 at P 65</w:t>
      </w:r>
      <w:r w:rsidRPr="00797BFA">
        <w:t xml:space="preserve"> (citing NERC’s Frequency Response Initiative Report). </w:t>
      </w:r>
    </w:p>
  </w:footnote>
  <w:footnote w:id="51">
    <w:p w14:paraId="05E0ED3B" w14:textId="3222DCFA" w:rsidR="00CF69E3" w:rsidRPr="00797BFA" w:rsidRDefault="00CF69E3" w:rsidP="00714CD3">
      <w:pPr>
        <w:pStyle w:val="FootnoteText"/>
      </w:pPr>
      <w:r w:rsidRPr="00797BFA">
        <w:rPr>
          <w:rStyle w:val="FootnoteReference"/>
        </w:rPr>
        <w:footnoteRef/>
      </w:r>
      <w:r w:rsidRPr="00797BFA">
        <w:t xml:space="preserve"> NERC’s Glossary of Terms defines a Frequency Response Sharing Group as </w:t>
      </w:r>
      <w:r w:rsidR="00D307AA">
        <w:t xml:space="preserve">    </w:t>
      </w:r>
      <w:r w:rsidRPr="00797BFA">
        <w:t>a “group whose members consist of two or more Balancing Authorities that collectively maintain, allocate, and supply operating resources required to jointly meet the sum of the Frequency Response Obligations of its members.”</w:t>
      </w:r>
    </w:p>
  </w:footnote>
  <w:footnote w:id="52">
    <w:p w14:paraId="20F99B98" w14:textId="77777777" w:rsidR="00CF69E3" w:rsidRPr="00797BFA" w:rsidRDefault="00CF69E3" w:rsidP="00714CD3">
      <w:pPr>
        <w:pStyle w:val="FootnoteText"/>
      </w:pPr>
      <w:r w:rsidRPr="00797BFA">
        <w:rPr>
          <w:rStyle w:val="FootnoteReference"/>
        </w:rPr>
        <w:footnoteRef/>
      </w:r>
      <w:r w:rsidRPr="00797BFA">
        <w:t xml:space="preserve"> Order No. 794, 146 FERC ¶ 61,024 at P 60.</w:t>
      </w:r>
    </w:p>
  </w:footnote>
  <w:footnote w:id="53">
    <w:p w14:paraId="22D2E1AC" w14:textId="77777777" w:rsidR="00CF69E3" w:rsidRPr="00797BFA" w:rsidRDefault="00CF69E3" w:rsidP="00714CD3">
      <w:pPr>
        <w:pStyle w:val="FootnoteText"/>
      </w:pPr>
      <w:r w:rsidRPr="00797BFA">
        <w:rPr>
          <w:rStyle w:val="FootnoteReference"/>
        </w:rPr>
        <w:footnoteRef/>
      </w:r>
      <w:r w:rsidRPr="00797BFA">
        <w:t xml:space="preserve"> </w:t>
      </w:r>
      <w:r w:rsidRPr="00797BFA">
        <w:rPr>
          <w:i/>
        </w:rPr>
        <w:t>Id.</w:t>
      </w:r>
      <w:r w:rsidRPr="00797BFA">
        <w:t xml:space="preserve"> P 63. </w:t>
      </w:r>
    </w:p>
  </w:footnote>
  <w:footnote w:id="54">
    <w:p w14:paraId="0F2859F4" w14:textId="77777777" w:rsidR="00CF69E3" w:rsidRPr="00797BFA" w:rsidRDefault="00CF69E3" w:rsidP="00E54B62">
      <w:pPr>
        <w:pStyle w:val="FootnoteText"/>
        <w:spacing w:after="200"/>
        <w:rPr>
          <w:szCs w:val="26"/>
        </w:rPr>
      </w:pPr>
      <w:r w:rsidRPr="00797BFA">
        <w:rPr>
          <w:rStyle w:val="FootnoteReference"/>
        </w:rPr>
        <w:footnoteRef/>
      </w:r>
      <w:r w:rsidRPr="00797BFA">
        <w:rPr>
          <w:szCs w:val="26"/>
        </w:rPr>
        <w:t xml:space="preserve"> </w:t>
      </w:r>
      <w:r w:rsidRPr="00797BFA">
        <w:rPr>
          <w:i/>
          <w:szCs w:val="26"/>
        </w:rPr>
        <w:t xml:space="preserve">Id. </w:t>
      </w:r>
      <w:r w:rsidRPr="00797BFA">
        <w:rPr>
          <w:szCs w:val="26"/>
        </w:rPr>
        <w:t>P</w:t>
      </w:r>
      <w:r w:rsidRPr="00797BFA">
        <w:rPr>
          <w:i/>
          <w:szCs w:val="26"/>
        </w:rPr>
        <w:t xml:space="preserve"> </w:t>
      </w:r>
      <w:r w:rsidRPr="00797BFA">
        <w:rPr>
          <w:szCs w:val="26"/>
        </w:rPr>
        <w:t>75.</w:t>
      </w:r>
    </w:p>
  </w:footnote>
  <w:footnote w:id="55">
    <w:p w14:paraId="1A0FB0A6" w14:textId="77777777" w:rsidR="00CF69E3" w:rsidRPr="00797BFA" w:rsidRDefault="00CF69E3" w:rsidP="00E54B62">
      <w:pPr>
        <w:pStyle w:val="FootnoteText"/>
        <w:spacing w:after="200"/>
        <w:rPr>
          <w:szCs w:val="26"/>
        </w:rPr>
      </w:pPr>
      <w:r w:rsidRPr="00797BFA">
        <w:rPr>
          <w:rStyle w:val="FootnoteReference"/>
        </w:rPr>
        <w:footnoteRef/>
      </w:r>
      <w:r w:rsidRPr="00797BFA">
        <w:rPr>
          <w:szCs w:val="26"/>
        </w:rPr>
        <w:t xml:space="preserve"> </w:t>
      </w:r>
      <w:r w:rsidRPr="00797BFA">
        <w:rPr>
          <w:i/>
          <w:szCs w:val="26"/>
        </w:rPr>
        <w:t xml:space="preserve">Id. </w:t>
      </w:r>
      <w:r w:rsidRPr="00797BFA">
        <w:rPr>
          <w:szCs w:val="26"/>
        </w:rPr>
        <w:t>P</w:t>
      </w:r>
      <w:r w:rsidRPr="00797BFA">
        <w:rPr>
          <w:i/>
          <w:szCs w:val="26"/>
        </w:rPr>
        <w:t xml:space="preserve"> </w:t>
      </w:r>
      <w:r w:rsidRPr="00797BFA">
        <w:rPr>
          <w:szCs w:val="26"/>
        </w:rPr>
        <w:t>76.</w:t>
      </w:r>
    </w:p>
  </w:footnote>
  <w:footnote w:id="56">
    <w:p w14:paraId="66F87CF6" w14:textId="6A682618" w:rsidR="00CF69E3" w:rsidRPr="00797BFA" w:rsidRDefault="00CF69E3" w:rsidP="00A57EA1">
      <w:pPr>
        <w:pStyle w:val="FootnoteText"/>
        <w:rPr>
          <w:szCs w:val="26"/>
        </w:rPr>
      </w:pPr>
      <w:r w:rsidRPr="00797BFA">
        <w:rPr>
          <w:rStyle w:val="FootnoteReference"/>
        </w:rPr>
        <w:footnoteRef/>
      </w:r>
      <w:r w:rsidRPr="00797BFA">
        <w:rPr>
          <w:szCs w:val="26"/>
        </w:rPr>
        <w:t xml:space="preserve"> </w:t>
      </w:r>
      <w:r w:rsidRPr="00797BFA">
        <w:rPr>
          <w:i/>
          <w:szCs w:val="26"/>
        </w:rPr>
        <w:t>North American Electric Reliability Corporation</w:t>
      </w:r>
      <w:r w:rsidRPr="00797BFA">
        <w:rPr>
          <w:szCs w:val="26"/>
        </w:rPr>
        <w:t>, 146 FERC ¶ 61,025 (2014).  The requirements of BAL-001-TRE-01 help to ensure that generation and load remain balanced – or are quickly restored to balance – in the ERCOT Interconnection so that system frequency is restored to stability and near normal frequency even after a significant event occurs on the system.  In Order No. 693, the Commission approved</w:t>
      </w:r>
      <w:r w:rsidR="003439A4">
        <w:rPr>
          <w:szCs w:val="26"/>
        </w:rPr>
        <w:t xml:space="preserve">      </w:t>
      </w:r>
      <w:r w:rsidRPr="00797BFA">
        <w:rPr>
          <w:szCs w:val="26"/>
        </w:rPr>
        <w:t xml:space="preserve"> a regional difference for the ERCOT Interconnection from Reliability Standard </w:t>
      </w:r>
      <w:r w:rsidR="003439A4">
        <w:rPr>
          <w:szCs w:val="26"/>
        </w:rPr>
        <w:t xml:space="preserve">          </w:t>
      </w:r>
      <w:r w:rsidRPr="00797BFA">
        <w:rPr>
          <w:szCs w:val="26"/>
        </w:rPr>
        <w:t xml:space="preserve">BAL-001-0, allowing ERCOT to be exempt from Requirement R2, and found that ERCOT’s approach to frequency response under its own market protocols appeared to </w:t>
      </w:r>
      <w:r w:rsidR="003439A4">
        <w:rPr>
          <w:szCs w:val="26"/>
        </w:rPr>
        <w:t xml:space="preserve">  </w:t>
      </w:r>
      <w:r w:rsidRPr="00797BFA">
        <w:rPr>
          <w:szCs w:val="26"/>
        </w:rPr>
        <w:t>be more stringent than Requirement R2. Order No. 693, FERC Stats. &amp; Regs. ¶ 31,242</w:t>
      </w:r>
      <w:r w:rsidR="003439A4">
        <w:rPr>
          <w:szCs w:val="26"/>
        </w:rPr>
        <w:t xml:space="preserve">      </w:t>
      </w:r>
      <w:r w:rsidRPr="00797BFA">
        <w:rPr>
          <w:i/>
        </w:rPr>
        <w:t xml:space="preserve"> </w:t>
      </w:r>
      <w:r w:rsidRPr="00797BFA">
        <w:rPr>
          <w:szCs w:val="26"/>
        </w:rPr>
        <w:t>at PP 313-</w:t>
      </w:r>
      <w:r w:rsidR="007A3CF5">
        <w:rPr>
          <w:szCs w:val="26"/>
        </w:rPr>
        <w:t>3</w:t>
      </w:r>
      <w:r w:rsidRPr="00797BFA">
        <w:rPr>
          <w:szCs w:val="26"/>
        </w:rPr>
        <w:t>15.</w:t>
      </w:r>
    </w:p>
  </w:footnote>
  <w:footnote w:id="57">
    <w:p w14:paraId="65DECD18" w14:textId="1478110E" w:rsidR="00CF69E3" w:rsidRPr="00797BFA" w:rsidRDefault="00CF69E3">
      <w:pPr>
        <w:pStyle w:val="FootnoteText"/>
        <w:rPr>
          <w:szCs w:val="26"/>
        </w:rPr>
      </w:pPr>
      <w:r w:rsidRPr="00797BFA">
        <w:rPr>
          <w:rStyle w:val="FootnoteReference"/>
        </w:rPr>
        <w:footnoteRef/>
      </w:r>
      <w:r w:rsidRPr="00797BFA">
        <w:rPr>
          <w:szCs w:val="26"/>
        </w:rPr>
        <w:t xml:space="preserve"> Reliability Standard BAL-001-TRE-01, at Requirements R7 and R8.</w:t>
      </w:r>
    </w:p>
  </w:footnote>
  <w:footnote w:id="58">
    <w:p w14:paraId="2F6F08DB" w14:textId="48E4B2EF" w:rsidR="00CF69E3" w:rsidRPr="00797BFA" w:rsidRDefault="00CF69E3">
      <w:pPr>
        <w:pStyle w:val="FootnoteText"/>
        <w:rPr>
          <w:szCs w:val="26"/>
        </w:rPr>
      </w:pPr>
      <w:r w:rsidRPr="00797BFA">
        <w:rPr>
          <w:rStyle w:val="FootnoteReference"/>
        </w:rPr>
        <w:footnoteRef/>
      </w:r>
      <w:r w:rsidRPr="00797BFA">
        <w:rPr>
          <w:szCs w:val="26"/>
        </w:rPr>
        <w:t xml:space="preserve"> Reliability Standard BAL-001-TRE-01, at Requirement R6.</w:t>
      </w:r>
    </w:p>
  </w:footnote>
  <w:footnote w:id="59">
    <w:p w14:paraId="51B38C0E" w14:textId="372FFF58" w:rsidR="00CF69E3" w:rsidRPr="00797BFA" w:rsidRDefault="00CF69E3">
      <w:pPr>
        <w:pStyle w:val="FootnoteText"/>
        <w:rPr>
          <w:szCs w:val="26"/>
        </w:rPr>
      </w:pPr>
      <w:r w:rsidRPr="00797BFA">
        <w:rPr>
          <w:rStyle w:val="FootnoteReference"/>
        </w:rPr>
        <w:footnoteRef/>
      </w:r>
      <w:r w:rsidRPr="00797BFA">
        <w:rPr>
          <w:szCs w:val="26"/>
        </w:rPr>
        <w:t xml:space="preserve"> Reliability Standard BAL-001-TRE-01, at Requirements R9 and R10.</w:t>
      </w:r>
    </w:p>
  </w:footnote>
  <w:footnote w:id="60">
    <w:p w14:paraId="7010CE66" w14:textId="446ECB21" w:rsidR="00CF69E3" w:rsidRPr="00797BFA" w:rsidRDefault="00CF69E3" w:rsidP="00D86089">
      <w:pPr>
        <w:pStyle w:val="FootnoteText"/>
      </w:pPr>
      <w:r w:rsidRPr="00797BFA">
        <w:rPr>
          <w:rStyle w:val="FootnoteReference"/>
        </w:rPr>
        <w:footnoteRef/>
      </w:r>
      <w:r w:rsidRPr="00797BFA">
        <w:t xml:space="preserve"> NERC 2014 Frequency Response Annual Analysis Report at 6 (February 2015), </w:t>
      </w:r>
      <w:hyperlink r:id="rId17" w:history="1">
        <w:r w:rsidRPr="002B22D3">
          <w:rPr>
            <w:rStyle w:val="Hyperlink"/>
            <w:u w:val="none"/>
          </w:rPr>
          <w:t>http://www.nerc.com/FilingsOrders/us/NERC%20Filings%20to%20FERC%20DL/Final_Info_Filing_Freq_Resp_Annual_Report_03202015.pdf</w:t>
        </w:r>
      </w:hyperlink>
      <w:r w:rsidRPr="00797BFA">
        <w:t xml:space="preserve">.  </w:t>
      </w:r>
      <w:r w:rsidRPr="00797BFA">
        <w:rPr>
          <w:i/>
        </w:rPr>
        <w:t>See</w:t>
      </w:r>
      <w:r w:rsidRPr="00797BFA">
        <w:t xml:space="preserve"> </w:t>
      </w:r>
      <w:r w:rsidRPr="00797BFA">
        <w:rPr>
          <w:i/>
        </w:rPr>
        <w:t>also</w:t>
      </w:r>
      <w:r w:rsidRPr="00797BFA">
        <w:t xml:space="preserve"> Table 3 at 6.</w:t>
      </w:r>
    </w:p>
  </w:footnote>
  <w:footnote w:id="61">
    <w:p w14:paraId="4FCB0CAD" w14:textId="47A23B0F" w:rsidR="00CF69E3" w:rsidRPr="00797BFA" w:rsidRDefault="00CF69E3" w:rsidP="00875ACE">
      <w:pPr>
        <w:pStyle w:val="FootnoteText"/>
        <w:rPr>
          <w:szCs w:val="26"/>
        </w:rPr>
      </w:pPr>
      <w:r w:rsidRPr="00797BFA">
        <w:rPr>
          <w:rStyle w:val="FootnoteReference"/>
          <w:rFonts w:eastAsia="Calibri"/>
        </w:rPr>
        <w:footnoteRef/>
      </w:r>
      <w:r w:rsidRPr="00797BFA">
        <w:rPr>
          <w:szCs w:val="26"/>
        </w:rPr>
        <w:t xml:space="preserve"> Section I of ISO-NE’s Operating Procedure No. 14 – Technical Requirements for Generators, Demand Resources, Asset Related Demands and Alternative Technology Regulation Resources, </w:t>
      </w:r>
      <w:hyperlink r:id="rId18" w:history="1">
        <w:r w:rsidRPr="001D7D5A">
          <w:rPr>
            <w:rStyle w:val="Hyperlink"/>
            <w:szCs w:val="26"/>
            <w:u w:val="none"/>
          </w:rPr>
          <w:t>http://www.iso-ne.com/rules_proceds/operating/isone/op14/op14_rto_final.pdf</w:t>
        </w:r>
      </w:hyperlink>
      <w:r w:rsidRPr="001D7D5A">
        <w:rPr>
          <w:rStyle w:val="Hyperlink"/>
          <w:szCs w:val="26"/>
          <w:u w:val="none"/>
        </w:rPr>
        <w:t>.</w:t>
      </w:r>
      <w:r w:rsidRPr="00797BFA">
        <w:rPr>
          <w:szCs w:val="26"/>
        </w:rPr>
        <w:t xml:space="preserve"> </w:t>
      </w:r>
    </w:p>
  </w:footnote>
  <w:footnote w:id="62">
    <w:p w14:paraId="3BB218CC" w14:textId="77777777" w:rsidR="00CF69E3" w:rsidRPr="00797BFA" w:rsidRDefault="00CF69E3" w:rsidP="00A57EA1">
      <w:pPr>
        <w:pStyle w:val="FootnoteText"/>
        <w:rPr>
          <w:szCs w:val="26"/>
        </w:rPr>
      </w:pPr>
      <w:r w:rsidRPr="00797BFA">
        <w:rPr>
          <w:rStyle w:val="FootnoteReference"/>
        </w:rPr>
        <w:footnoteRef/>
      </w:r>
      <w:r w:rsidRPr="00797BFA">
        <w:rPr>
          <w:szCs w:val="26"/>
        </w:rPr>
        <w:t xml:space="preserve"> PJM Tariff, Attachment O § 8.0.</w:t>
      </w:r>
    </w:p>
  </w:footnote>
  <w:footnote w:id="63">
    <w:p w14:paraId="3A6E1CAE" w14:textId="77777777" w:rsidR="00CF69E3" w:rsidRPr="00797BFA" w:rsidRDefault="00CF69E3" w:rsidP="00A57EA1">
      <w:pPr>
        <w:pStyle w:val="FootnoteText"/>
        <w:rPr>
          <w:szCs w:val="26"/>
        </w:rPr>
      </w:pPr>
      <w:r w:rsidRPr="00797BFA">
        <w:rPr>
          <w:rStyle w:val="FootnoteReference"/>
        </w:rPr>
        <w:footnoteRef/>
      </w:r>
      <w:r w:rsidRPr="00797BFA">
        <w:rPr>
          <w:szCs w:val="26"/>
        </w:rPr>
        <w:t xml:space="preserve"> PJM Manual 14D.</w:t>
      </w:r>
    </w:p>
  </w:footnote>
  <w:footnote w:id="64">
    <w:p w14:paraId="2D4F1F7F" w14:textId="02BCB7EC" w:rsidR="00CF69E3" w:rsidRPr="00797BFA" w:rsidRDefault="00CF69E3" w:rsidP="00586476">
      <w:pPr>
        <w:pStyle w:val="FootnoteText"/>
        <w:rPr>
          <w:szCs w:val="26"/>
        </w:rPr>
      </w:pPr>
      <w:r w:rsidRPr="00797BFA">
        <w:rPr>
          <w:rStyle w:val="FootnoteReference"/>
        </w:rPr>
        <w:footnoteRef/>
      </w:r>
      <w:r w:rsidRPr="00797BFA">
        <w:rPr>
          <w:szCs w:val="26"/>
        </w:rPr>
        <w:t xml:space="preserve"> </w:t>
      </w:r>
      <w:r w:rsidRPr="00797BFA">
        <w:rPr>
          <w:i/>
          <w:szCs w:val="26"/>
        </w:rPr>
        <w:t>PJM Interconnection, L.L.C.</w:t>
      </w:r>
      <w:r w:rsidR="001D7D5A">
        <w:rPr>
          <w:szCs w:val="26"/>
        </w:rPr>
        <w:t>, 151 FERC ¶ 61,097, at n.</w:t>
      </w:r>
      <w:r w:rsidRPr="00797BFA">
        <w:rPr>
          <w:szCs w:val="26"/>
        </w:rPr>
        <w:t>58 (2015).</w:t>
      </w:r>
    </w:p>
  </w:footnote>
  <w:footnote w:id="65">
    <w:p w14:paraId="4F780E46" w14:textId="5CE5C25B" w:rsidR="00CF69E3" w:rsidRPr="00797BFA" w:rsidRDefault="00CF69E3" w:rsidP="00467DA6">
      <w:pPr>
        <w:pStyle w:val="FootnoteText"/>
        <w:rPr>
          <w:szCs w:val="26"/>
        </w:rPr>
      </w:pPr>
      <w:r w:rsidRPr="00797BFA">
        <w:rPr>
          <w:rStyle w:val="FootnoteReference"/>
        </w:rPr>
        <w:footnoteRef/>
      </w:r>
      <w:r w:rsidRPr="00797BFA">
        <w:rPr>
          <w:i/>
          <w:szCs w:val="26"/>
        </w:rPr>
        <w:t xml:space="preserve"> </w:t>
      </w:r>
      <w:r w:rsidRPr="00797BFA">
        <w:rPr>
          <w:szCs w:val="26"/>
        </w:rPr>
        <w:t xml:space="preserve">PJM Interconnection, L.L.C., </w:t>
      </w:r>
      <w:r>
        <w:rPr>
          <w:szCs w:val="26"/>
        </w:rPr>
        <w:t>Transmittal Letter, Docket No. ER15-1193-000, at 2 (filed Mar.</w:t>
      </w:r>
      <w:r w:rsidRPr="00797BFA">
        <w:rPr>
          <w:szCs w:val="26"/>
        </w:rPr>
        <w:t xml:space="preserve"> 6, 2015</w:t>
      </w:r>
      <w:r>
        <w:rPr>
          <w:szCs w:val="26"/>
        </w:rPr>
        <w:t>)</w:t>
      </w:r>
      <w:r w:rsidRPr="00797BFA">
        <w:rPr>
          <w:szCs w:val="26"/>
        </w:rPr>
        <w:t xml:space="preserve">. </w:t>
      </w:r>
    </w:p>
  </w:footnote>
  <w:footnote w:id="66">
    <w:p w14:paraId="4BC863AD" w14:textId="77777777" w:rsidR="00CF69E3" w:rsidRPr="00797BFA" w:rsidRDefault="00CF69E3">
      <w:pPr>
        <w:pStyle w:val="FootnoteText"/>
        <w:rPr>
          <w:szCs w:val="26"/>
        </w:rPr>
      </w:pPr>
      <w:r w:rsidRPr="00797BFA">
        <w:rPr>
          <w:rStyle w:val="FootnoteReference"/>
        </w:rPr>
        <w:footnoteRef/>
      </w:r>
      <w:r w:rsidRPr="00797BFA">
        <w:rPr>
          <w:szCs w:val="26"/>
        </w:rPr>
        <w:t xml:space="preserve"> </w:t>
      </w:r>
      <w:r w:rsidRPr="00797BFA">
        <w:rPr>
          <w:i/>
          <w:szCs w:val="26"/>
        </w:rPr>
        <w:t>Id.</w:t>
      </w:r>
      <w:r w:rsidRPr="00797BFA">
        <w:rPr>
          <w:szCs w:val="26"/>
        </w:rPr>
        <w:t xml:space="preserve"> at 11.</w:t>
      </w:r>
    </w:p>
  </w:footnote>
  <w:footnote w:id="67">
    <w:p w14:paraId="0B24570C" w14:textId="08099314" w:rsidR="00CF69E3" w:rsidRPr="00797BFA" w:rsidRDefault="00CF69E3" w:rsidP="00C219E1">
      <w:pPr>
        <w:pStyle w:val="HTMLPreformatted"/>
        <w:ind w:firstLine="720"/>
        <w:rPr>
          <w:rFonts w:ascii="Times New Roman" w:hAnsi="Times New Roman"/>
          <w:color w:val="000000"/>
          <w:sz w:val="26"/>
          <w:szCs w:val="26"/>
        </w:rPr>
      </w:pPr>
      <w:r w:rsidRPr="00797BFA">
        <w:rPr>
          <w:rStyle w:val="FootnoteReference"/>
        </w:rPr>
        <w:footnoteRef/>
      </w:r>
      <w:r w:rsidRPr="00797BFA">
        <w:rPr>
          <w:rFonts w:ascii="Times New Roman" w:hAnsi="Times New Roman"/>
          <w:sz w:val="26"/>
          <w:szCs w:val="26"/>
        </w:rPr>
        <w:t xml:space="preserve"> Regulation service is different than primary frequency response because regulation resources respond to automatic generation control signals, which responds to Area Control Error.  Regulation is centrally coordinated by the balancing authority.  Primary frequency response, in contrast, is autonomous and is not centrally coordinated.  Schedule 3 lumps these different services together, despite their differences.  The Commission in Order No. 888 found that “</w:t>
      </w:r>
      <w:r w:rsidRPr="00797BFA">
        <w:rPr>
          <w:rFonts w:ascii="Times New Roman" w:hAnsi="Times New Roman"/>
          <w:color w:val="000000"/>
          <w:sz w:val="26"/>
          <w:szCs w:val="26"/>
        </w:rPr>
        <w:t>while the services provided by Regulation Service and Frequency Response Service are different, they are complementary services that are made available using the same equipment.  For this reason, we believe that Frequency Response Service and Regulation Service should not be offered separately, but should be offered as part of one service.”  Order No. 888, FERC Stats. &amp; Regs. ¶ 31,036, at PP 212-213 (1996).</w:t>
      </w:r>
    </w:p>
    <w:p w14:paraId="0C2C2BFF" w14:textId="77777777" w:rsidR="00CF69E3" w:rsidRPr="00797BFA" w:rsidRDefault="00CF69E3" w:rsidP="00C219E1">
      <w:pPr>
        <w:pStyle w:val="HTMLPreformatted"/>
        <w:ind w:firstLine="720"/>
        <w:rPr>
          <w:rFonts w:ascii="Times New Roman" w:hAnsi="Times New Roman"/>
          <w:color w:val="000000"/>
          <w:sz w:val="26"/>
          <w:szCs w:val="26"/>
        </w:rPr>
      </w:pPr>
    </w:p>
  </w:footnote>
  <w:footnote w:id="68">
    <w:p w14:paraId="15A097CD" w14:textId="2B1F8A81" w:rsidR="00CF69E3" w:rsidRPr="00797BFA" w:rsidRDefault="00CF69E3" w:rsidP="00C219E1">
      <w:pPr>
        <w:ind w:firstLine="720"/>
        <w:rPr>
          <w:szCs w:val="26"/>
        </w:rPr>
      </w:pPr>
      <w:r w:rsidRPr="00797BFA">
        <w:rPr>
          <w:rStyle w:val="FootnoteReference"/>
        </w:rPr>
        <w:footnoteRef/>
      </w:r>
      <w:r w:rsidRPr="00797BFA">
        <w:rPr>
          <w:szCs w:val="26"/>
        </w:rPr>
        <w:t xml:space="preserve"> Order No. 888, FERC Stats. &amp; Regs. ¶ 31,036.</w:t>
      </w:r>
    </w:p>
    <w:p w14:paraId="4CEC55DC" w14:textId="77777777" w:rsidR="00CF69E3" w:rsidRPr="00797BFA" w:rsidRDefault="00CF69E3" w:rsidP="00C219E1">
      <w:pPr>
        <w:ind w:firstLine="720"/>
        <w:rPr>
          <w:szCs w:val="26"/>
        </w:rPr>
      </w:pPr>
    </w:p>
  </w:footnote>
  <w:footnote w:id="69">
    <w:p w14:paraId="21A6B037" w14:textId="746C171D" w:rsidR="00CF69E3" w:rsidRPr="00797BFA" w:rsidRDefault="00CF69E3" w:rsidP="00C219E1">
      <w:pPr>
        <w:ind w:firstLine="720"/>
        <w:rPr>
          <w:szCs w:val="26"/>
        </w:rPr>
      </w:pPr>
      <w:r w:rsidRPr="00797BFA">
        <w:rPr>
          <w:rStyle w:val="FootnoteReference"/>
        </w:rPr>
        <w:footnoteRef/>
      </w:r>
      <w:r w:rsidRPr="00797BFA">
        <w:rPr>
          <w:szCs w:val="26"/>
        </w:rPr>
        <w:t xml:space="preserve"> Order No. 890, FERC Stats. &amp; Regs. ¶ 31,241.</w:t>
      </w:r>
    </w:p>
    <w:p w14:paraId="12C2F8E9" w14:textId="77777777" w:rsidR="00CF69E3" w:rsidRPr="00797BFA" w:rsidRDefault="00CF69E3" w:rsidP="00C219E1">
      <w:pPr>
        <w:ind w:firstLine="720"/>
        <w:rPr>
          <w:szCs w:val="26"/>
        </w:rPr>
      </w:pPr>
    </w:p>
  </w:footnote>
  <w:footnote w:id="70">
    <w:p w14:paraId="1CA71C12" w14:textId="4881BC08" w:rsidR="00CF69E3" w:rsidRPr="00797BFA" w:rsidRDefault="00CF69E3" w:rsidP="00876F75">
      <w:pPr>
        <w:pStyle w:val="FootnoteText"/>
        <w:rPr>
          <w:szCs w:val="26"/>
        </w:rPr>
      </w:pPr>
      <w:r w:rsidRPr="00797BFA">
        <w:rPr>
          <w:rStyle w:val="FootnoteReference"/>
        </w:rPr>
        <w:footnoteRef/>
      </w:r>
      <w:r w:rsidRPr="00797BFA">
        <w:rPr>
          <w:szCs w:val="26"/>
        </w:rPr>
        <w:t xml:space="preserve"> </w:t>
      </w:r>
      <w:r w:rsidRPr="00797BFA">
        <w:rPr>
          <w:i/>
        </w:rPr>
        <w:t>Third-Party Provision of Ancillary Services; Accounting and Financial Reporting for New Electric Storage Technologies</w:t>
      </w:r>
      <w:r w:rsidRPr="00797BFA">
        <w:t xml:space="preserve">, Order No. 784, FERC Stats. &amp; Regs. </w:t>
      </w:r>
      <w:r w:rsidR="008D31D5">
        <w:t xml:space="preserve"> </w:t>
      </w:r>
      <w:r w:rsidRPr="00797BFA">
        <w:t xml:space="preserve">¶ 31,349, at PP 6-7 (2013), </w:t>
      </w:r>
      <w:r w:rsidRPr="00797BFA">
        <w:rPr>
          <w:i/>
        </w:rPr>
        <w:t>order on clarification</w:t>
      </w:r>
      <w:r w:rsidRPr="00797BFA">
        <w:t>, Order No. 784-A, 146 FERC ¶ 61,114 (2014).</w:t>
      </w:r>
    </w:p>
  </w:footnote>
  <w:footnote w:id="71">
    <w:p w14:paraId="4516D921" w14:textId="77777777" w:rsidR="00CF69E3" w:rsidRPr="00797BFA" w:rsidRDefault="00CF69E3" w:rsidP="009F24B1">
      <w:pPr>
        <w:pStyle w:val="FootnoteText"/>
        <w:rPr>
          <w:szCs w:val="26"/>
        </w:rPr>
      </w:pPr>
      <w:r w:rsidRPr="00797BFA">
        <w:rPr>
          <w:rStyle w:val="FootnoteReference"/>
        </w:rPr>
        <w:footnoteRef/>
      </w:r>
      <w:r w:rsidRPr="00797BFA">
        <w:rPr>
          <w:szCs w:val="26"/>
        </w:rPr>
        <w:t xml:space="preserve"> </w:t>
      </w:r>
      <w:r w:rsidRPr="00797BFA">
        <w:rPr>
          <w:i/>
          <w:szCs w:val="26"/>
        </w:rPr>
        <w:t>Third-Party Provision of Primary Frequency Response Service,</w:t>
      </w:r>
      <w:r w:rsidRPr="00797BFA">
        <w:rPr>
          <w:szCs w:val="26"/>
        </w:rPr>
        <w:t xml:space="preserve"> Order No. 819, 153 FERC ¶ 61,220 (2015).</w:t>
      </w:r>
    </w:p>
  </w:footnote>
  <w:footnote w:id="72">
    <w:p w14:paraId="3EB240B0" w14:textId="77777777" w:rsidR="00CF69E3" w:rsidRPr="00797BFA" w:rsidRDefault="00CF69E3" w:rsidP="003612E5">
      <w:pPr>
        <w:pStyle w:val="FootnoteText"/>
      </w:pPr>
      <w:r w:rsidRPr="00797BFA">
        <w:rPr>
          <w:rStyle w:val="FootnoteReference"/>
        </w:rPr>
        <w:footnoteRef/>
      </w:r>
      <w:r w:rsidRPr="00797BFA">
        <w:t xml:space="preserve"> </w:t>
      </w:r>
      <w:r w:rsidRPr="00797BFA">
        <w:rPr>
          <w:i/>
        </w:rPr>
        <w:t>Id</w:t>
      </w:r>
      <w:r w:rsidRPr="00797BFA">
        <w:t>. P 13.</w:t>
      </w:r>
    </w:p>
  </w:footnote>
  <w:footnote w:id="73">
    <w:p w14:paraId="5768864A" w14:textId="38C09AA9" w:rsidR="00CF69E3" w:rsidRPr="00797BFA" w:rsidRDefault="00CF69E3" w:rsidP="003612E5">
      <w:pPr>
        <w:pStyle w:val="FootnoteText"/>
      </w:pPr>
      <w:r w:rsidRPr="00797BFA">
        <w:rPr>
          <w:rStyle w:val="FootnoteReference"/>
        </w:rPr>
        <w:footnoteRef/>
      </w:r>
      <w:r w:rsidRPr="00797BFA">
        <w:t xml:space="preserve"> </w:t>
      </w:r>
      <w:r w:rsidRPr="00797BFA">
        <w:rPr>
          <w:i/>
        </w:rPr>
        <w:t>Id</w:t>
      </w:r>
      <w:r w:rsidRPr="00797BFA">
        <w:t>. P 37.  The Commission denied Calpine Corporation’s request for Regional Transmission Organizations (RTOs) and Independent System Operators (ISOs) to be given a deadline to develop tariff changes that would enable them to implement primary frequency response compensation mechanisms</w:t>
      </w:r>
      <w:r w:rsidRPr="00797BFA">
        <w:rPr>
          <w:szCs w:val="26"/>
        </w:rPr>
        <w:t>.</w:t>
      </w:r>
    </w:p>
  </w:footnote>
  <w:footnote w:id="74">
    <w:p w14:paraId="55EBC4B6" w14:textId="03E098DF" w:rsidR="00CF69E3" w:rsidRPr="00797BFA" w:rsidRDefault="00CF69E3" w:rsidP="00934D3A">
      <w:pPr>
        <w:pStyle w:val="FootnoteText"/>
        <w:rPr>
          <w:szCs w:val="26"/>
        </w:rPr>
      </w:pPr>
      <w:r w:rsidRPr="00797BFA">
        <w:rPr>
          <w:rStyle w:val="FootnoteReference"/>
          <w:rFonts w:eastAsia="Calibri"/>
        </w:rPr>
        <w:footnoteRef/>
      </w:r>
      <w:r w:rsidRPr="00797BFA">
        <w:rPr>
          <w:szCs w:val="26"/>
        </w:rPr>
        <w:t xml:space="preserve"> Order No. 2003, FERC Stats. &amp; Regs. ¶ 31,146, app. C (LGIA).</w:t>
      </w:r>
    </w:p>
  </w:footnote>
  <w:footnote w:id="75">
    <w:p w14:paraId="3DACDA9A" w14:textId="11C7455A" w:rsidR="00CF69E3" w:rsidRPr="00797BFA" w:rsidRDefault="00CF69E3" w:rsidP="002D0AE7">
      <w:pPr>
        <w:pStyle w:val="FootnoteText"/>
      </w:pPr>
      <w:r w:rsidRPr="00797BFA">
        <w:rPr>
          <w:rStyle w:val="FootnoteReference"/>
        </w:rPr>
        <w:footnoteRef/>
      </w:r>
      <w:r w:rsidRPr="00797BFA">
        <w:t xml:space="preserve"> Generator governors can be enabled or disabled which determines whether or not primary frequency response is provided at all by the generator.  In addition, even if a governor is enabled, its control settings can limit the conditions under which the generator provides primary frequency response.</w:t>
      </w:r>
    </w:p>
  </w:footnote>
  <w:footnote w:id="76">
    <w:p w14:paraId="50E66809" w14:textId="77777777" w:rsidR="00CF69E3" w:rsidRPr="00797BFA" w:rsidRDefault="00CF69E3">
      <w:pPr>
        <w:pStyle w:val="FootnoteText"/>
      </w:pPr>
      <w:r w:rsidRPr="00797BFA">
        <w:rPr>
          <w:rStyle w:val="FootnoteReference"/>
        </w:rPr>
        <w:footnoteRef/>
      </w:r>
      <w:r w:rsidRPr="00797BFA">
        <w:t xml:space="preserve"> Primary frequency response would not be expected to be provided if no capacity (or “headroom”) is reserved on a unit.</w:t>
      </w:r>
    </w:p>
  </w:footnote>
  <w:footnote w:id="77">
    <w:p w14:paraId="32320D05" w14:textId="3A149776" w:rsidR="00CF69E3" w:rsidRPr="00797BFA" w:rsidRDefault="00CF69E3" w:rsidP="0058706E">
      <w:pPr>
        <w:pStyle w:val="FootnoteText"/>
      </w:pPr>
      <w:r w:rsidRPr="00797BFA">
        <w:rPr>
          <w:rStyle w:val="FootnoteReference"/>
        </w:rPr>
        <w:footnoteRef/>
      </w:r>
      <w:r w:rsidRPr="00797BFA">
        <w:t xml:space="preserve"> NERC Long Term Reliability Assessment at 27 (November 2014), </w:t>
      </w:r>
      <w:hyperlink r:id="rId19" w:history="1">
        <w:r w:rsidRPr="002508BF">
          <w:rPr>
            <w:rStyle w:val="Hyperlink"/>
            <w:u w:val="none"/>
          </w:rPr>
          <w:t>http://www.nerc.com/pa/RAPA/ra/Reliability%20Assessments%20DL/2014LTRA_ERATTA.pdf</w:t>
        </w:r>
      </w:hyperlink>
      <w:r w:rsidRPr="00797BFA">
        <w:t>.</w:t>
      </w:r>
    </w:p>
  </w:footnote>
  <w:footnote w:id="78">
    <w:p w14:paraId="452A33EF" w14:textId="0525EBE8" w:rsidR="00CF69E3" w:rsidRPr="00797BFA" w:rsidRDefault="00CF69E3" w:rsidP="0058706E">
      <w:pPr>
        <w:pStyle w:val="FootnoteText"/>
      </w:pPr>
      <w:r w:rsidRPr="00797BFA">
        <w:rPr>
          <w:rStyle w:val="FootnoteReference"/>
        </w:rPr>
        <w:footnoteRef/>
      </w:r>
      <w:r w:rsidRPr="00797BFA">
        <w:t xml:space="preserve"> </w:t>
      </w:r>
      <w:r w:rsidRPr="00797BFA">
        <w:rPr>
          <w:i/>
        </w:rPr>
        <w:t>Id.</w:t>
      </w:r>
      <w:r w:rsidRPr="00797BFA">
        <w:t xml:space="preserve"> </w:t>
      </w:r>
    </w:p>
  </w:footnote>
  <w:footnote w:id="79">
    <w:p w14:paraId="355F035A" w14:textId="18791E9C" w:rsidR="00CF69E3" w:rsidRPr="00797BFA" w:rsidRDefault="00CF69E3" w:rsidP="00DD4E76">
      <w:pPr>
        <w:pStyle w:val="FootnoteText"/>
      </w:pPr>
      <w:r w:rsidRPr="00797BFA">
        <w:rPr>
          <w:rStyle w:val="FootnoteReference"/>
        </w:rPr>
        <w:footnoteRef/>
      </w:r>
      <w:r w:rsidRPr="00797BFA">
        <w:t xml:space="preserve"> </w:t>
      </w:r>
      <w:r w:rsidRPr="00797BFA">
        <w:rPr>
          <w:i/>
        </w:rPr>
        <w:t>PJM Interconnection, L.L.C.</w:t>
      </w:r>
      <w:r w:rsidRPr="00797BFA">
        <w:t>, 151 FERC ¶ 61,097, at n.58 (2015).</w:t>
      </w:r>
    </w:p>
  </w:footnote>
  <w:footnote w:id="80">
    <w:p w14:paraId="7F173DB9" w14:textId="591EDD71" w:rsidR="00CF69E3" w:rsidRPr="00797BFA" w:rsidRDefault="00CF69E3">
      <w:pPr>
        <w:pStyle w:val="FootnoteText"/>
      </w:pPr>
      <w:r w:rsidRPr="00797BFA">
        <w:rPr>
          <w:rStyle w:val="FootnoteReference"/>
        </w:rPr>
        <w:footnoteRef/>
      </w:r>
      <w:r w:rsidRPr="00797BFA">
        <w:t xml:space="preserve"> PJM Interconnection, L.L.C., Docket No. ER15-1193-000 (March 6, 2015) Transmittal Letter at 11.</w:t>
      </w:r>
    </w:p>
  </w:footnote>
  <w:footnote w:id="81">
    <w:p w14:paraId="39A7E39C" w14:textId="7A1455DB" w:rsidR="00CF69E3" w:rsidRPr="00797BFA" w:rsidRDefault="00CF69E3" w:rsidP="00C222DB">
      <w:pPr>
        <w:pStyle w:val="FootnoteText"/>
      </w:pPr>
      <w:r w:rsidRPr="00797BFA">
        <w:rPr>
          <w:rStyle w:val="FootnoteReference"/>
        </w:rPr>
        <w:footnoteRef/>
      </w:r>
      <w:r w:rsidRPr="00797BFA">
        <w:t xml:space="preserve"> Frequency Response Initiative Report at 87.</w:t>
      </w:r>
    </w:p>
  </w:footnote>
  <w:footnote w:id="82">
    <w:p w14:paraId="78D3A5D2" w14:textId="2BDCFE49" w:rsidR="00CF69E3" w:rsidRPr="00797BFA" w:rsidRDefault="00CF69E3" w:rsidP="00C222DB">
      <w:pPr>
        <w:pStyle w:val="FootnoteText"/>
      </w:pPr>
      <w:r w:rsidRPr="00797BFA">
        <w:rPr>
          <w:rStyle w:val="FootnoteReference"/>
        </w:rPr>
        <w:footnoteRef/>
      </w:r>
      <w:r w:rsidRPr="00797BFA">
        <w:t xml:space="preserve"> NERC Generator Governor Frequency Response Industry Advisory.</w:t>
      </w:r>
    </w:p>
  </w:footnote>
  <w:footnote w:id="83">
    <w:p w14:paraId="6A8D546F" w14:textId="4B957A89" w:rsidR="00CF69E3" w:rsidRPr="00797BFA" w:rsidRDefault="00CF69E3" w:rsidP="00C222DB">
      <w:pPr>
        <w:pStyle w:val="FootnoteText"/>
      </w:pPr>
      <w:r w:rsidRPr="00797BFA">
        <w:rPr>
          <w:rStyle w:val="FootnoteReference"/>
        </w:rPr>
        <w:footnoteRef/>
      </w:r>
      <w:r w:rsidRPr="00797BFA">
        <w:t xml:space="preserve"> NERC Primary Frequency Control Guideline Final Draft.  </w:t>
      </w:r>
      <w:r w:rsidRPr="00797BFA">
        <w:rPr>
          <w:i/>
        </w:rPr>
        <w:t xml:space="preserve"> </w:t>
      </w:r>
    </w:p>
  </w:footnote>
  <w:footnote w:id="84">
    <w:p w14:paraId="02055A49" w14:textId="77777777" w:rsidR="00CF69E3" w:rsidRPr="00797BFA" w:rsidRDefault="00CF69E3" w:rsidP="00254184">
      <w:pPr>
        <w:pStyle w:val="FootnoteText"/>
      </w:pPr>
      <w:r w:rsidRPr="00797BFA">
        <w:rPr>
          <w:rStyle w:val="FootnoteReference"/>
        </w:rPr>
        <w:footnoteRef/>
      </w:r>
      <w:r w:rsidRPr="00797BFA">
        <w:t xml:space="preserve"> NERC Generator Governor Frequency Response Industry Advisory. </w:t>
      </w:r>
    </w:p>
  </w:footnote>
  <w:footnote w:id="85">
    <w:p w14:paraId="26D44FF7" w14:textId="4CF019D1" w:rsidR="00CF69E3" w:rsidRPr="00797BFA" w:rsidRDefault="00CF69E3" w:rsidP="00E53829">
      <w:pPr>
        <w:pStyle w:val="FootnoteText"/>
      </w:pPr>
      <w:r w:rsidRPr="00797BFA">
        <w:rPr>
          <w:rStyle w:val="FootnoteReference"/>
        </w:rPr>
        <w:footnoteRef/>
      </w:r>
      <w:r w:rsidRPr="00797BFA">
        <w:t xml:space="preserve"> NERC 2015 Frequency Response Annual Analysis Report at vi (September 2015), </w:t>
      </w:r>
      <w:hyperlink r:id="rId20" w:history="1">
        <w:r w:rsidRPr="007A0ADC">
          <w:rPr>
            <w:rStyle w:val="Hyperlink"/>
            <w:u w:val="none"/>
          </w:rPr>
          <w:t>http://www.nerc.com/comm/OC/RS%20Landing%20Page%20DL/Related%20Files/2015_FRAA_Report_Final.pdf</w:t>
        </w:r>
      </w:hyperlink>
      <w:r w:rsidRPr="00797BFA">
        <w:t xml:space="preserve">.   </w:t>
      </w:r>
    </w:p>
  </w:footnote>
  <w:footnote w:id="86">
    <w:p w14:paraId="0C6401A0" w14:textId="321B5525" w:rsidR="00CF69E3" w:rsidRPr="00797BFA" w:rsidRDefault="00CF69E3" w:rsidP="00FA6E05">
      <w:pPr>
        <w:pStyle w:val="FootnoteText"/>
        <w:spacing w:after="200"/>
        <w:rPr>
          <w:szCs w:val="26"/>
        </w:rPr>
      </w:pPr>
      <w:r w:rsidRPr="00797BFA">
        <w:rPr>
          <w:rStyle w:val="FootnoteReference"/>
        </w:rPr>
        <w:footnoteRef/>
      </w:r>
      <w:r w:rsidRPr="00797BFA">
        <w:rPr>
          <w:szCs w:val="26"/>
        </w:rPr>
        <w:t xml:space="preserve"> </w:t>
      </w:r>
      <w:r w:rsidRPr="00797BFA">
        <w:rPr>
          <w:i/>
          <w:szCs w:val="26"/>
        </w:rPr>
        <w:t>See News from SERC’s NERC Resources Subcommittee Rep - Primary Frequency Response</w:t>
      </w:r>
      <w:r w:rsidRPr="00797BFA">
        <w:rPr>
          <w:szCs w:val="26"/>
        </w:rPr>
        <w:t xml:space="preserve"> at 1 (May 2015), </w:t>
      </w:r>
      <w:hyperlink r:id="rId21" w:history="1">
        <w:r w:rsidRPr="007A0ADC">
          <w:rPr>
            <w:rStyle w:val="Hyperlink"/>
            <w:szCs w:val="26"/>
            <w:u w:val="none"/>
          </w:rPr>
          <w:t>https://www.serc1.org/docs/default-source/outreach/communications/resource-documents/serc-transmission-reference/201505---st/primary-frequency-response.pdf?sfvrsn=2</w:t>
        </w:r>
      </w:hyperlink>
      <w:r w:rsidRPr="00797BFA">
        <w:rPr>
          <w:szCs w:val="26"/>
        </w:rPr>
        <w:t xml:space="preserve">.  </w:t>
      </w:r>
      <w:r w:rsidRPr="00797BFA">
        <w:t xml:space="preserve">MW set-point control mode automatically interrupts governor response in order for a generating unit to maintain a pre-disturbance dispatch.  </w:t>
      </w:r>
    </w:p>
  </w:footnote>
  <w:footnote w:id="87">
    <w:p w14:paraId="6DD802C7" w14:textId="66645500" w:rsidR="00CF69E3" w:rsidRPr="00797BFA" w:rsidRDefault="00CF69E3">
      <w:pPr>
        <w:pStyle w:val="FootnoteText"/>
      </w:pPr>
      <w:r w:rsidRPr="00797BFA">
        <w:rPr>
          <w:rStyle w:val="FootnoteReference"/>
        </w:rPr>
        <w:footnoteRef/>
      </w:r>
      <w:r w:rsidRPr="00797BFA">
        <w:t xml:space="preserve"> </w:t>
      </w:r>
      <w:r w:rsidRPr="00797BFA">
        <w:rPr>
          <w:i/>
          <w:szCs w:val="26"/>
        </w:rPr>
        <w:t>Id.</w:t>
      </w:r>
    </w:p>
  </w:footnote>
  <w:footnote w:id="88">
    <w:p w14:paraId="12EF6D67" w14:textId="77777777" w:rsidR="00CF69E3" w:rsidRPr="00797BFA" w:rsidRDefault="00CF69E3">
      <w:pPr>
        <w:pStyle w:val="FootnoteText"/>
      </w:pPr>
      <w:r w:rsidRPr="00797BFA">
        <w:rPr>
          <w:rStyle w:val="FootnoteReference"/>
        </w:rPr>
        <w:footnoteRef/>
      </w:r>
      <w:r w:rsidRPr="00797BFA">
        <w:t xml:space="preserve"> </w:t>
      </w:r>
      <w:r w:rsidRPr="00797BFA">
        <w:rPr>
          <w:i/>
        </w:rPr>
        <w:t>Id.</w:t>
      </w:r>
    </w:p>
  </w:footnote>
  <w:footnote w:id="89">
    <w:p w14:paraId="0644CB7C" w14:textId="7A05F102" w:rsidR="00CF69E3" w:rsidRPr="00797BFA" w:rsidRDefault="00CF69E3" w:rsidP="00831736">
      <w:pPr>
        <w:pStyle w:val="FootnoteText"/>
        <w:spacing w:after="200"/>
        <w:rPr>
          <w:szCs w:val="26"/>
        </w:rPr>
      </w:pPr>
      <w:r w:rsidRPr="00797BFA">
        <w:rPr>
          <w:rStyle w:val="FootnoteReference"/>
        </w:rPr>
        <w:footnoteRef/>
      </w:r>
      <w:r w:rsidRPr="00797BFA">
        <w:rPr>
          <w:szCs w:val="26"/>
        </w:rPr>
        <w:t xml:space="preserve"> </w:t>
      </w:r>
      <w:r w:rsidRPr="00797BFA">
        <w:rPr>
          <w:i/>
          <w:szCs w:val="26"/>
        </w:rPr>
        <w:t xml:space="preserve">See </w:t>
      </w:r>
      <w:r w:rsidRPr="00797BFA">
        <w:rPr>
          <w:szCs w:val="26"/>
        </w:rPr>
        <w:t xml:space="preserve">NERC Generator Governor Frequency Response Advisory – Webinar Questions and Answers at 1 (April 2015), </w:t>
      </w:r>
      <w:hyperlink r:id="rId22" w:history="1">
        <w:r w:rsidRPr="00EF6507">
          <w:rPr>
            <w:rStyle w:val="Hyperlink"/>
            <w:szCs w:val="26"/>
            <w:u w:val="none"/>
          </w:rPr>
          <w:t>http://www.nerc.com/pa/rrm/Webinars%20DL/Generator_Governor_Frequency_Response_Webinar_QandA_April_2015.pdf</w:t>
        </w:r>
      </w:hyperlink>
      <w:r w:rsidRPr="00797BFA">
        <w:rPr>
          <w:szCs w:val="26"/>
        </w:rPr>
        <w:t xml:space="preserve">. </w:t>
      </w:r>
    </w:p>
  </w:footnote>
  <w:footnote w:id="90">
    <w:p w14:paraId="183EF6F7" w14:textId="6AF9DB40" w:rsidR="00CF69E3" w:rsidRPr="00797BFA" w:rsidRDefault="00CF69E3" w:rsidP="00254184">
      <w:pPr>
        <w:pStyle w:val="FootnoteText"/>
      </w:pPr>
      <w:r w:rsidRPr="00797BFA">
        <w:rPr>
          <w:rStyle w:val="FootnoteReference"/>
        </w:rPr>
        <w:footnoteRef/>
      </w:r>
      <w:r w:rsidRPr="00797BFA">
        <w:t xml:space="preserve"> NERC Primary Frequency Control Guideline Final Draft. </w:t>
      </w:r>
      <w:r w:rsidRPr="00797BFA">
        <w:rPr>
          <w:i/>
        </w:rPr>
        <w:t xml:space="preserve"> </w:t>
      </w:r>
    </w:p>
  </w:footnote>
  <w:footnote w:id="91">
    <w:p w14:paraId="42952DEF" w14:textId="05C415EF" w:rsidR="00CF69E3" w:rsidRPr="00472DAB" w:rsidRDefault="00CF69E3" w:rsidP="00315359">
      <w:pPr>
        <w:pStyle w:val="FootnoteText"/>
        <w:rPr>
          <w:szCs w:val="26"/>
        </w:rPr>
      </w:pPr>
      <w:r w:rsidRPr="00797BFA">
        <w:rPr>
          <w:rStyle w:val="FootnoteReference"/>
        </w:rPr>
        <w:footnoteRef/>
      </w:r>
      <w:r w:rsidRPr="00797BFA">
        <w:rPr>
          <w:szCs w:val="26"/>
        </w:rPr>
        <w:t xml:space="preserve"> IEEE, </w:t>
      </w:r>
      <w:r w:rsidRPr="00797BFA">
        <w:rPr>
          <w:i/>
          <w:szCs w:val="26"/>
        </w:rPr>
        <w:t>Interconnected Power System Response to Generation Governing:  Present Practice and Outstanding Concerns</w:t>
      </w:r>
      <w:r w:rsidRPr="00797BFA">
        <w:rPr>
          <w:szCs w:val="26"/>
        </w:rPr>
        <w:t xml:space="preserve"> (May 2007) (citing </w:t>
      </w:r>
      <w:r w:rsidRPr="00797BFA">
        <w:rPr>
          <w:i/>
          <w:szCs w:val="26"/>
        </w:rPr>
        <w:t>Cost of Providing Ancillary Services from Power Plants - Volume 1: A Primer</w:t>
      </w:r>
      <w:r w:rsidRPr="00797BFA">
        <w:rPr>
          <w:szCs w:val="26"/>
        </w:rPr>
        <w:t>, EPRI TR-1 07270-V1, 4161, Final Report, March 1997),</w:t>
      </w:r>
      <w:r w:rsidRPr="00797BFA">
        <w:t xml:space="preserve"> </w:t>
      </w:r>
      <w:r w:rsidRPr="00262D21">
        <w:rPr>
          <w:rStyle w:val="Hyperlink"/>
          <w:szCs w:val="26"/>
          <w:u w:val="none"/>
        </w:rPr>
        <w:t>http://resourcecenter.ieee-pes.org/pes/product/technical-reports/PESTR13</w:t>
      </w:r>
      <w:r w:rsidRPr="00797BFA">
        <w:rPr>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ED0FB" w14:textId="77777777" w:rsidR="00CF69E3" w:rsidRDefault="00CF69E3" w:rsidP="00896C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8D6">
      <w:rPr>
        <w:rStyle w:val="PageNumber"/>
        <w:noProof/>
      </w:rPr>
      <w:t>xliii</w:t>
    </w:r>
    <w:r>
      <w:rPr>
        <w:rStyle w:val="PageNumber"/>
      </w:rPr>
      <w:fldChar w:fldCharType="end"/>
    </w:r>
  </w:p>
  <w:p w14:paraId="63840CCA" w14:textId="77777777" w:rsidR="00CF69E3" w:rsidRDefault="00CF69E3" w:rsidP="00896C6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582A" w14:textId="09AEA73D" w:rsidR="00CF69E3" w:rsidRDefault="00CF69E3">
    <w:pPr>
      <w:pStyle w:val="Header"/>
    </w:pPr>
    <w:r>
      <w:t>Docket No. RM16-6-000</w:t>
    </w:r>
    <w:r>
      <w:tab/>
    </w:r>
    <w:r>
      <w:fldChar w:fldCharType="begin"/>
    </w:r>
    <w:r>
      <w:instrText xml:space="preserve"> PAGE  \* MERGEFORMAT </w:instrText>
    </w:r>
    <w:r>
      <w:fldChar w:fldCharType="separate"/>
    </w:r>
    <w:r w:rsidR="00DC7C9A">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23C15" w14:textId="77777777" w:rsidR="00CF69E3" w:rsidRDefault="00CF69E3" w:rsidP="00896C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48D6">
      <w:rPr>
        <w:rStyle w:val="PageNumber"/>
        <w:noProof/>
      </w:rPr>
      <w:t>- 43 -</w:t>
    </w:r>
    <w:r>
      <w:rPr>
        <w:rStyle w:val="PageNumber"/>
      </w:rPr>
      <w:fldChar w:fldCharType="end"/>
    </w:r>
  </w:p>
  <w:p w14:paraId="0697DD4E" w14:textId="77777777" w:rsidR="00CF69E3" w:rsidRDefault="00CF69E3" w:rsidP="00896C68">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C37F1" w14:textId="0C5287A9" w:rsidR="00CF69E3" w:rsidRDefault="00CF69E3" w:rsidP="00581547">
    <w:pPr>
      <w:pStyle w:val="Header"/>
    </w:pPr>
    <w:r>
      <w:t>Docket No. RM16-6-000</w:t>
    </w:r>
    <w:r>
      <w:tab/>
    </w:r>
    <w:r>
      <w:fldChar w:fldCharType="begin"/>
    </w:r>
    <w:r>
      <w:instrText xml:space="preserve"> PAGE  \* MERGEFORMAT </w:instrText>
    </w:r>
    <w:r>
      <w:fldChar w:fldCharType="separate"/>
    </w:r>
    <w:r w:rsidR="00875694">
      <w:rPr>
        <w:noProof/>
      </w:rPr>
      <w:t>- 2 -</w:t>
    </w:r>
    <w:r>
      <w:fldChar w:fldCharType="end"/>
    </w:r>
  </w:p>
  <w:p w14:paraId="613AEF17" w14:textId="77777777" w:rsidR="00CF69E3" w:rsidRPr="00581547" w:rsidRDefault="00CF69E3" w:rsidP="0058154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7E34" w14:textId="77777777" w:rsidR="00CF69E3" w:rsidRDefault="00CF69E3">
    <w:pPr>
      <w:pStyle w:val="Header"/>
    </w:pPr>
  </w:p>
  <w:p w14:paraId="31004EA2" w14:textId="77777777" w:rsidR="00CF69E3" w:rsidRDefault="00CF6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669F"/>
    <w:multiLevelType w:val="multilevel"/>
    <w:tmpl w:val="0A0CACA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
    <w:nsid w:val="0B1C6A57"/>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nsid w:val="10566F54"/>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nsid w:val="193B133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nsid w:val="216259A7"/>
    <w:multiLevelType w:val="multilevel"/>
    <w:tmpl w:val="B2D883E8"/>
    <w:lvl w:ilvl="0">
      <w:start w:val="1"/>
      <w:numFmt w:val="decimal"/>
      <w:lvlText w:val="%1."/>
      <w:lvlJc w:val="left"/>
      <w:pPr>
        <w:tabs>
          <w:tab w:val="num" w:pos="1224"/>
        </w:tabs>
        <w:ind w:left="1224" w:hanging="504"/>
      </w:pPr>
      <w:rPr>
        <w:rFonts w:hint="default"/>
      </w:rPr>
    </w:lvl>
    <w:lvl w:ilvl="1">
      <w:start w:val="1"/>
      <w:numFmt w:val="decimal"/>
      <w:lvlText w:val="%1.%2."/>
      <w:lvlJc w:val="left"/>
      <w:pPr>
        <w:tabs>
          <w:tab w:val="num" w:pos="1872"/>
        </w:tabs>
        <w:ind w:left="1872" w:hanging="648"/>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5">
    <w:nsid w:val="2B4D651D"/>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nsid w:val="31694C67"/>
    <w:multiLevelType w:val="multilevel"/>
    <w:tmpl w:val="B2D883E8"/>
    <w:lvl w:ilvl="0">
      <w:start w:val="1"/>
      <w:numFmt w:val="decimal"/>
      <w:lvlText w:val="%1."/>
      <w:lvlJc w:val="left"/>
      <w:pPr>
        <w:tabs>
          <w:tab w:val="num" w:pos="1224"/>
        </w:tabs>
        <w:ind w:left="1224" w:hanging="504"/>
      </w:pPr>
      <w:rPr>
        <w:rFonts w:hint="default"/>
      </w:rPr>
    </w:lvl>
    <w:lvl w:ilvl="1">
      <w:start w:val="1"/>
      <w:numFmt w:val="decimal"/>
      <w:lvlText w:val="%1.%2."/>
      <w:lvlJc w:val="left"/>
      <w:pPr>
        <w:tabs>
          <w:tab w:val="num" w:pos="1872"/>
        </w:tabs>
        <w:ind w:left="1872" w:hanging="648"/>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7">
    <w:nsid w:val="35535DA6"/>
    <w:multiLevelType w:val="multilevel"/>
    <w:tmpl w:val="91F4A55C"/>
    <w:lvl w:ilvl="0">
      <w:start w:val="1"/>
      <w:numFmt w:val="decimal"/>
      <w:lvlText w:val="%1."/>
      <w:lvlJc w:val="left"/>
      <w:pPr>
        <w:tabs>
          <w:tab w:val="num" w:pos="1224"/>
        </w:tabs>
        <w:ind w:left="1224" w:hanging="504"/>
      </w:pPr>
      <w:rPr>
        <w:rFonts w:hint="default"/>
      </w:rPr>
    </w:lvl>
    <w:lvl w:ilvl="1">
      <w:start w:val="1"/>
      <w:numFmt w:val="decimal"/>
      <w:lvlText w:val="%1.%2."/>
      <w:lvlJc w:val="left"/>
      <w:pPr>
        <w:tabs>
          <w:tab w:val="num" w:pos="1872"/>
        </w:tabs>
        <w:ind w:left="1872" w:hanging="648"/>
      </w:pPr>
      <w:rPr>
        <w:rFonts w:hint="default"/>
      </w:rPr>
    </w:lvl>
    <w:lvl w:ilvl="2">
      <w:start w:val="1"/>
      <w:numFmt w:val="decimal"/>
      <w:lvlText w:val="%1.%2.%3."/>
      <w:lvlJc w:val="left"/>
      <w:pPr>
        <w:tabs>
          <w:tab w:val="num" w:pos="2160"/>
        </w:tabs>
        <w:ind w:left="1944" w:hanging="14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8">
    <w:nsid w:val="3AB21103"/>
    <w:multiLevelType w:val="hybridMultilevel"/>
    <w:tmpl w:val="B7AC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E9197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0">
    <w:nsid w:val="4B912D1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1">
    <w:nsid w:val="4BA777F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2">
    <w:nsid w:val="5253117C"/>
    <w:multiLevelType w:val="hybridMultilevel"/>
    <w:tmpl w:val="E258C5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E719D3"/>
    <w:multiLevelType w:val="hybridMultilevel"/>
    <w:tmpl w:val="D5DE3366"/>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646187"/>
    <w:multiLevelType w:val="hybridMultilevel"/>
    <w:tmpl w:val="9DCC217A"/>
    <w:lvl w:ilvl="0" w:tplc="FFFFFFFF">
      <w:start w:val="1"/>
      <w:numFmt w:val="bullet"/>
      <w:lvlText w:val=""/>
      <w:lvlJc w:val="left"/>
      <w:pPr>
        <w:tabs>
          <w:tab w:val="num" w:pos="36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EDA79E8"/>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6">
    <w:nsid w:val="75FD4AC9"/>
    <w:multiLevelType w:val="multilevel"/>
    <w:tmpl w:val="B2D883E8"/>
    <w:lvl w:ilvl="0">
      <w:start w:val="1"/>
      <w:numFmt w:val="decimal"/>
      <w:lvlText w:val="%1."/>
      <w:lvlJc w:val="left"/>
      <w:pPr>
        <w:tabs>
          <w:tab w:val="num" w:pos="1224"/>
        </w:tabs>
        <w:ind w:left="1224" w:hanging="504"/>
      </w:pPr>
      <w:rPr>
        <w:rFonts w:hint="default"/>
      </w:rPr>
    </w:lvl>
    <w:lvl w:ilvl="1">
      <w:start w:val="1"/>
      <w:numFmt w:val="decimal"/>
      <w:lvlText w:val="%1.%2."/>
      <w:lvlJc w:val="left"/>
      <w:pPr>
        <w:tabs>
          <w:tab w:val="num" w:pos="1872"/>
        </w:tabs>
        <w:ind w:left="1872" w:hanging="648"/>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7">
    <w:nsid w:val="7E4E4DD3"/>
    <w:multiLevelType w:val="hybridMultilevel"/>
    <w:tmpl w:val="6EDA2E0C"/>
    <w:lvl w:ilvl="0" w:tplc="E96C994C">
      <w:start w:val="1"/>
      <w:numFmt w:val="decimal"/>
      <w:pStyle w:val="FERCparanumber"/>
      <w:lvlText w:val="%1."/>
      <w:lvlJc w:val="left"/>
      <w:pPr>
        <w:tabs>
          <w:tab w:val="num" w:pos="1170"/>
        </w:tabs>
        <w:ind w:left="450" w:firstLine="0"/>
      </w:pPr>
      <w:rPr>
        <w:rFonts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7"/>
  </w:num>
  <w:num w:numId="2">
    <w:abstractNumId w:val="14"/>
  </w:num>
  <w:num w:numId="3">
    <w:abstractNumId w:val="0"/>
  </w:num>
  <w:num w:numId="4">
    <w:abstractNumId w:val="7"/>
  </w:num>
  <w:num w:numId="5">
    <w:abstractNumId w:val="5"/>
  </w:num>
  <w:num w:numId="6">
    <w:abstractNumId w:val="11"/>
  </w:num>
  <w:num w:numId="7">
    <w:abstractNumId w:val="1"/>
  </w:num>
  <w:num w:numId="8">
    <w:abstractNumId w:val="15"/>
  </w:num>
  <w:num w:numId="9">
    <w:abstractNumId w:val="2"/>
  </w:num>
  <w:num w:numId="10">
    <w:abstractNumId w:val="3"/>
  </w:num>
  <w:num w:numId="11">
    <w:abstractNumId w:val="10"/>
  </w:num>
  <w:num w:numId="12">
    <w:abstractNumId w:val="9"/>
  </w:num>
  <w:num w:numId="13">
    <w:abstractNumId w:val="0"/>
  </w:num>
  <w:num w:numId="14">
    <w:abstractNumId w:val="12"/>
  </w:num>
  <w:num w:numId="15">
    <w:abstractNumId w:val="13"/>
  </w:num>
  <w:num w:numId="16">
    <w:abstractNumId w:val="8"/>
  </w:num>
  <w:num w:numId="17">
    <w:abstractNumId w:val="16"/>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1BD"/>
    <w:rsid w:val="00000D54"/>
    <w:rsid w:val="00004246"/>
    <w:rsid w:val="0001120F"/>
    <w:rsid w:val="0001187C"/>
    <w:rsid w:val="00012FCE"/>
    <w:rsid w:val="000143C4"/>
    <w:rsid w:val="0001575D"/>
    <w:rsid w:val="00015F36"/>
    <w:rsid w:val="00017B4F"/>
    <w:rsid w:val="00017D9D"/>
    <w:rsid w:val="00020A6A"/>
    <w:rsid w:val="00022597"/>
    <w:rsid w:val="00024919"/>
    <w:rsid w:val="000279FA"/>
    <w:rsid w:val="000307C3"/>
    <w:rsid w:val="00030CAE"/>
    <w:rsid w:val="00032AF4"/>
    <w:rsid w:val="00033569"/>
    <w:rsid w:val="00034581"/>
    <w:rsid w:val="0003467A"/>
    <w:rsid w:val="000348FA"/>
    <w:rsid w:val="00035F0B"/>
    <w:rsid w:val="00040A5C"/>
    <w:rsid w:val="00041AD0"/>
    <w:rsid w:val="00043CC3"/>
    <w:rsid w:val="00046702"/>
    <w:rsid w:val="0004734D"/>
    <w:rsid w:val="0004745A"/>
    <w:rsid w:val="00053C81"/>
    <w:rsid w:val="000549C7"/>
    <w:rsid w:val="000608F4"/>
    <w:rsid w:val="000622D0"/>
    <w:rsid w:val="0006465C"/>
    <w:rsid w:val="0006467A"/>
    <w:rsid w:val="00064C81"/>
    <w:rsid w:val="00064E3E"/>
    <w:rsid w:val="00066B41"/>
    <w:rsid w:val="000705C9"/>
    <w:rsid w:val="00070AC9"/>
    <w:rsid w:val="00073906"/>
    <w:rsid w:val="00073E05"/>
    <w:rsid w:val="000746FA"/>
    <w:rsid w:val="00075856"/>
    <w:rsid w:val="0007649F"/>
    <w:rsid w:val="00076C9B"/>
    <w:rsid w:val="00080402"/>
    <w:rsid w:val="0008188D"/>
    <w:rsid w:val="000828DD"/>
    <w:rsid w:val="00083C82"/>
    <w:rsid w:val="0008460F"/>
    <w:rsid w:val="000852A2"/>
    <w:rsid w:val="00085746"/>
    <w:rsid w:val="000865B5"/>
    <w:rsid w:val="0008675B"/>
    <w:rsid w:val="00087723"/>
    <w:rsid w:val="00087B86"/>
    <w:rsid w:val="0009216F"/>
    <w:rsid w:val="00093E74"/>
    <w:rsid w:val="00094218"/>
    <w:rsid w:val="0009527B"/>
    <w:rsid w:val="000966B6"/>
    <w:rsid w:val="00096CE2"/>
    <w:rsid w:val="00096FE8"/>
    <w:rsid w:val="00097CE0"/>
    <w:rsid w:val="000A07C6"/>
    <w:rsid w:val="000A23AC"/>
    <w:rsid w:val="000A2587"/>
    <w:rsid w:val="000A3F0F"/>
    <w:rsid w:val="000A48EA"/>
    <w:rsid w:val="000A68B1"/>
    <w:rsid w:val="000A714E"/>
    <w:rsid w:val="000B1B4C"/>
    <w:rsid w:val="000B1C66"/>
    <w:rsid w:val="000B2117"/>
    <w:rsid w:val="000B2930"/>
    <w:rsid w:val="000B454A"/>
    <w:rsid w:val="000B4B97"/>
    <w:rsid w:val="000B51F9"/>
    <w:rsid w:val="000B56AB"/>
    <w:rsid w:val="000C054C"/>
    <w:rsid w:val="000C1D43"/>
    <w:rsid w:val="000C2811"/>
    <w:rsid w:val="000C4C3C"/>
    <w:rsid w:val="000D1D12"/>
    <w:rsid w:val="000D1F66"/>
    <w:rsid w:val="000D43A9"/>
    <w:rsid w:val="000D49AB"/>
    <w:rsid w:val="000E0AB3"/>
    <w:rsid w:val="000E1AF8"/>
    <w:rsid w:val="000E310F"/>
    <w:rsid w:val="000E3D3F"/>
    <w:rsid w:val="000E7638"/>
    <w:rsid w:val="000F1E42"/>
    <w:rsid w:val="000F3C4F"/>
    <w:rsid w:val="000F4BD1"/>
    <w:rsid w:val="000F5071"/>
    <w:rsid w:val="000F5843"/>
    <w:rsid w:val="000F58A6"/>
    <w:rsid w:val="000F63A7"/>
    <w:rsid w:val="0010048F"/>
    <w:rsid w:val="001008DD"/>
    <w:rsid w:val="00100A27"/>
    <w:rsid w:val="00100BD0"/>
    <w:rsid w:val="0010352D"/>
    <w:rsid w:val="0010549D"/>
    <w:rsid w:val="00107240"/>
    <w:rsid w:val="0010762E"/>
    <w:rsid w:val="001121C6"/>
    <w:rsid w:val="001132F3"/>
    <w:rsid w:val="00114FB4"/>
    <w:rsid w:val="001158EA"/>
    <w:rsid w:val="00122A72"/>
    <w:rsid w:val="00122B1A"/>
    <w:rsid w:val="00123507"/>
    <w:rsid w:val="001264F1"/>
    <w:rsid w:val="00130769"/>
    <w:rsid w:val="00132316"/>
    <w:rsid w:val="00132F9F"/>
    <w:rsid w:val="0013307B"/>
    <w:rsid w:val="00133B5D"/>
    <w:rsid w:val="00133DEF"/>
    <w:rsid w:val="00133EEA"/>
    <w:rsid w:val="00134875"/>
    <w:rsid w:val="00136F93"/>
    <w:rsid w:val="0014012B"/>
    <w:rsid w:val="00140518"/>
    <w:rsid w:val="001411F4"/>
    <w:rsid w:val="0014147F"/>
    <w:rsid w:val="00141A35"/>
    <w:rsid w:val="00142B8C"/>
    <w:rsid w:val="00146A1A"/>
    <w:rsid w:val="00151935"/>
    <w:rsid w:val="00153C27"/>
    <w:rsid w:val="001557CE"/>
    <w:rsid w:val="00155D13"/>
    <w:rsid w:val="00157947"/>
    <w:rsid w:val="00160F0B"/>
    <w:rsid w:val="00161BB0"/>
    <w:rsid w:val="00162C85"/>
    <w:rsid w:val="00164631"/>
    <w:rsid w:val="001654A2"/>
    <w:rsid w:val="001719C8"/>
    <w:rsid w:val="001747A6"/>
    <w:rsid w:val="00175F94"/>
    <w:rsid w:val="00177607"/>
    <w:rsid w:val="00180666"/>
    <w:rsid w:val="0018151C"/>
    <w:rsid w:val="00181553"/>
    <w:rsid w:val="0018318A"/>
    <w:rsid w:val="00183BD0"/>
    <w:rsid w:val="00185E6F"/>
    <w:rsid w:val="00187D6A"/>
    <w:rsid w:val="001932D6"/>
    <w:rsid w:val="00194D86"/>
    <w:rsid w:val="001A0418"/>
    <w:rsid w:val="001A6508"/>
    <w:rsid w:val="001A7461"/>
    <w:rsid w:val="001A7E9B"/>
    <w:rsid w:val="001B022C"/>
    <w:rsid w:val="001B6F19"/>
    <w:rsid w:val="001B7796"/>
    <w:rsid w:val="001B7DE0"/>
    <w:rsid w:val="001C125A"/>
    <w:rsid w:val="001C25FC"/>
    <w:rsid w:val="001C3504"/>
    <w:rsid w:val="001C4DAA"/>
    <w:rsid w:val="001C7904"/>
    <w:rsid w:val="001D0FFD"/>
    <w:rsid w:val="001D343F"/>
    <w:rsid w:val="001D3B79"/>
    <w:rsid w:val="001D5D26"/>
    <w:rsid w:val="001D7065"/>
    <w:rsid w:val="001D7D5A"/>
    <w:rsid w:val="001E59BC"/>
    <w:rsid w:val="001E65AF"/>
    <w:rsid w:val="001F05E4"/>
    <w:rsid w:val="001F08A9"/>
    <w:rsid w:val="001F193D"/>
    <w:rsid w:val="001F1B3E"/>
    <w:rsid w:val="001F2156"/>
    <w:rsid w:val="001F4573"/>
    <w:rsid w:val="001F4C22"/>
    <w:rsid w:val="001F718A"/>
    <w:rsid w:val="001F7EFF"/>
    <w:rsid w:val="00200061"/>
    <w:rsid w:val="002055E0"/>
    <w:rsid w:val="002059F1"/>
    <w:rsid w:val="00207E57"/>
    <w:rsid w:val="00210559"/>
    <w:rsid w:val="00211020"/>
    <w:rsid w:val="002117C5"/>
    <w:rsid w:val="002127E2"/>
    <w:rsid w:val="00213F26"/>
    <w:rsid w:val="00214BDA"/>
    <w:rsid w:val="00215D63"/>
    <w:rsid w:val="00217578"/>
    <w:rsid w:val="002179AC"/>
    <w:rsid w:val="0022509E"/>
    <w:rsid w:val="00225864"/>
    <w:rsid w:val="00227125"/>
    <w:rsid w:val="00227882"/>
    <w:rsid w:val="00230247"/>
    <w:rsid w:val="00230C74"/>
    <w:rsid w:val="002334D2"/>
    <w:rsid w:val="00235D18"/>
    <w:rsid w:val="00237468"/>
    <w:rsid w:val="002421C0"/>
    <w:rsid w:val="002435B2"/>
    <w:rsid w:val="002461C5"/>
    <w:rsid w:val="00247050"/>
    <w:rsid w:val="00247B0A"/>
    <w:rsid w:val="002508BF"/>
    <w:rsid w:val="00251DA1"/>
    <w:rsid w:val="00254027"/>
    <w:rsid w:val="00254184"/>
    <w:rsid w:val="002545BC"/>
    <w:rsid w:val="002547DA"/>
    <w:rsid w:val="0025513C"/>
    <w:rsid w:val="00256AB2"/>
    <w:rsid w:val="00257029"/>
    <w:rsid w:val="00260500"/>
    <w:rsid w:val="00262D21"/>
    <w:rsid w:val="00264909"/>
    <w:rsid w:val="00265682"/>
    <w:rsid w:val="00267188"/>
    <w:rsid w:val="0027082D"/>
    <w:rsid w:val="0027437F"/>
    <w:rsid w:val="00275E81"/>
    <w:rsid w:val="00276B38"/>
    <w:rsid w:val="00281F14"/>
    <w:rsid w:val="00281F3A"/>
    <w:rsid w:val="00283777"/>
    <w:rsid w:val="002874A3"/>
    <w:rsid w:val="00291138"/>
    <w:rsid w:val="002913B1"/>
    <w:rsid w:val="00291E68"/>
    <w:rsid w:val="00292105"/>
    <w:rsid w:val="002937CF"/>
    <w:rsid w:val="002940A9"/>
    <w:rsid w:val="002953AB"/>
    <w:rsid w:val="00296784"/>
    <w:rsid w:val="002A2A18"/>
    <w:rsid w:val="002A3CC5"/>
    <w:rsid w:val="002A6960"/>
    <w:rsid w:val="002A79E9"/>
    <w:rsid w:val="002B0D0D"/>
    <w:rsid w:val="002B1487"/>
    <w:rsid w:val="002B1918"/>
    <w:rsid w:val="002B22D3"/>
    <w:rsid w:val="002B48FC"/>
    <w:rsid w:val="002B6002"/>
    <w:rsid w:val="002B6AC8"/>
    <w:rsid w:val="002C5A91"/>
    <w:rsid w:val="002C67BB"/>
    <w:rsid w:val="002D0AE7"/>
    <w:rsid w:val="002D0BBB"/>
    <w:rsid w:val="002D37EB"/>
    <w:rsid w:val="002D7FA9"/>
    <w:rsid w:val="002E0ABC"/>
    <w:rsid w:val="002E19DA"/>
    <w:rsid w:val="002E1EA9"/>
    <w:rsid w:val="002E29D4"/>
    <w:rsid w:val="002F1138"/>
    <w:rsid w:val="002F68AC"/>
    <w:rsid w:val="00300D24"/>
    <w:rsid w:val="003042FD"/>
    <w:rsid w:val="0030448F"/>
    <w:rsid w:val="003078ED"/>
    <w:rsid w:val="003108F0"/>
    <w:rsid w:val="00315359"/>
    <w:rsid w:val="00320C40"/>
    <w:rsid w:val="00325C5B"/>
    <w:rsid w:val="00327868"/>
    <w:rsid w:val="003304FB"/>
    <w:rsid w:val="00331335"/>
    <w:rsid w:val="00331A26"/>
    <w:rsid w:val="003347A8"/>
    <w:rsid w:val="003370A3"/>
    <w:rsid w:val="0034008C"/>
    <w:rsid w:val="003427DA"/>
    <w:rsid w:val="003439A4"/>
    <w:rsid w:val="0034603B"/>
    <w:rsid w:val="00347892"/>
    <w:rsid w:val="00347951"/>
    <w:rsid w:val="00351B03"/>
    <w:rsid w:val="00351E5D"/>
    <w:rsid w:val="00352030"/>
    <w:rsid w:val="003528D8"/>
    <w:rsid w:val="00353957"/>
    <w:rsid w:val="00353BB1"/>
    <w:rsid w:val="00360825"/>
    <w:rsid w:val="003612E5"/>
    <w:rsid w:val="00363113"/>
    <w:rsid w:val="003648CD"/>
    <w:rsid w:val="0036646F"/>
    <w:rsid w:val="0036697E"/>
    <w:rsid w:val="003679B0"/>
    <w:rsid w:val="0037128E"/>
    <w:rsid w:val="0037546C"/>
    <w:rsid w:val="003754B2"/>
    <w:rsid w:val="003754E5"/>
    <w:rsid w:val="003764DB"/>
    <w:rsid w:val="003766C5"/>
    <w:rsid w:val="00376C16"/>
    <w:rsid w:val="00391031"/>
    <w:rsid w:val="00394CBD"/>
    <w:rsid w:val="003955D9"/>
    <w:rsid w:val="00397759"/>
    <w:rsid w:val="00397FE5"/>
    <w:rsid w:val="003A049B"/>
    <w:rsid w:val="003A1ED6"/>
    <w:rsid w:val="003A32F2"/>
    <w:rsid w:val="003A38E4"/>
    <w:rsid w:val="003A62CE"/>
    <w:rsid w:val="003A7C20"/>
    <w:rsid w:val="003B2314"/>
    <w:rsid w:val="003B414C"/>
    <w:rsid w:val="003B449B"/>
    <w:rsid w:val="003B500D"/>
    <w:rsid w:val="003C7F03"/>
    <w:rsid w:val="003D70D2"/>
    <w:rsid w:val="003D7638"/>
    <w:rsid w:val="003E02ED"/>
    <w:rsid w:val="003E0437"/>
    <w:rsid w:val="003E27FF"/>
    <w:rsid w:val="003E3450"/>
    <w:rsid w:val="003E360C"/>
    <w:rsid w:val="003E5ABF"/>
    <w:rsid w:val="003E74DC"/>
    <w:rsid w:val="003F05A4"/>
    <w:rsid w:val="003F16DD"/>
    <w:rsid w:val="003F566B"/>
    <w:rsid w:val="003F6040"/>
    <w:rsid w:val="003F6095"/>
    <w:rsid w:val="003F62F5"/>
    <w:rsid w:val="00400963"/>
    <w:rsid w:val="004011AD"/>
    <w:rsid w:val="00401F77"/>
    <w:rsid w:val="00402AB8"/>
    <w:rsid w:val="00404550"/>
    <w:rsid w:val="00404CE7"/>
    <w:rsid w:val="00410F2E"/>
    <w:rsid w:val="00411F08"/>
    <w:rsid w:val="00413093"/>
    <w:rsid w:val="004142B5"/>
    <w:rsid w:val="004163C4"/>
    <w:rsid w:val="00417BEE"/>
    <w:rsid w:val="00423F0F"/>
    <w:rsid w:val="00423F26"/>
    <w:rsid w:val="004241F3"/>
    <w:rsid w:val="0042481C"/>
    <w:rsid w:val="00424BCE"/>
    <w:rsid w:val="004300E7"/>
    <w:rsid w:val="004309E8"/>
    <w:rsid w:val="00431D9C"/>
    <w:rsid w:val="00433E19"/>
    <w:rsid w:val="00435A26"/>
    <w:rsid w:val="00435E15"/>
    <w:rsid w:val="00440567"/>
    <w:rsid w:val="00440A59"/>
    <w:rsid w:val="00441F35"/>
    <w:rsid w:val="004436E6"/>
    <w:rsid w:val="00443E37"/>
    <w:rsid w:val="004450CA"/>
    <w:rsid w:val="00445291"/>
    <w:rsid w:val="00445C79"/>
    <w:rsid w:val="00446989"/>
    <w:rsid w:val="00446E00"/>
    <w:rsid w:val="00447F02"/>
    <w:rsid w:val="0045126A"/>
    <w:rsid w:val="00451842"/>
    <w:rsid w:val="00452785"/>
    <w:rsid w:val="00453132"/>
    <w:rsid w:val="00453692"/>
    <w:rsid w:val="0045393A"/>
    <w:rsid w:val="00455FDA"/>
    <w:rsid w:val="004610FF"/>
    <w:rsid w:val="004613DE"/>
    <w:rsid w:val="00462C2F"/>
    <w:rsid w:val="0046354B"/>
    <w:rsid w:val="00463704"/>
    <w:rsid w:val="00464A93"/>
    <w:rsid w:val="00465D4E"/>
    <w:rsid w:val="00465FF5"/>
    <w:rsid w:val="004665F1"/>
    <w:rsid w:val="00466F1B"/>
    <w:rsid w:val="00467DA6"/>
    <w:rsid w:val="00472252"/>
    <w:rsid w:val="00472708"/>
    <w:rsid w:val="00472DAB"/>
    <w:rsid w:val="004733B6"/>
    <w:rsid w:val="004760EB"/>
    <w:rsid w:val="00476EFC"/>
    <w:rsid w:val="00476F7F"/>
    <w:rsid w:val="00481010"/>
    <w:rsid w:val="00484F5F"/>
    <w:rsid w:val="00486284"/>
    <w:rsid w:val="00486DA9"/>
    <w:rsid w:val="0049241B"/>
    <w:rsid w:val="00494559"/>
    <w:rsid w:val="004945F3"/>
    <w:rsid w:val="004960AD"/>
    <w:rsid w:val="004A0403"/>
    <w:rsid w:val="004A0B98"/>
    <w:rsid w:val="004A0C54"/>
    <w:rsid w:val="004A1542"/>
    <w:rsid w:val="004A2861"/>
    <w:rsid w:val="004A2E91"/>
    <w:rsid w:val="004A35F1"/>
    <w:rsid w:val="004A5F01"/>
    <w:rsid w:val="004A6C33"/>
    <w:rsid w:val="004A71DC"/>
    <w:rsid w:val="004A7410"/>
    <w:rsid w:val="004A7DB4"/>
    <w:rsid w:val="004B014D"/>
    <w:rsid w:val="004B206F"/>
    <w:rsid w:val="004B2F7F"/>
    <w:rsid w:val="004B3DA6"/>
    <w:rsid w:val="004B50A2"/>
    <w:rsid w:val="004B67F7"/>
    <w:rsid w:val="004B7C35"/>
    <w:rsid w:val="004B7F67"/>
    <w:rsid w:val="004C0777"/>
    <w:rsid w:val="004C2E06"/>
    <w:rsid w:val="004C41C6"/>
    <w:rsid w:val="004C663F"/>
    <w:rsid w:val="004D04EA"/>
    <w:rsid w:val="004D1216"/>
    <w:rsid w:val="004D24E5"/>
    <w:rsid w:val="004E0139"/>
    <w:rsid w:val="004E10D0"/>
    <w:rsid w:val="004E208B"/>
    <w:rsid w:val="004E3AC8"/>
    <w:rsid w:val="004E3B75"/>
    <w:rsid w:val="004E3D76"/>
    <w:rsid w:val="004E4945"/>
    <w:rsid w:val="004E6D74"/>
    <w:rsid w:val="004E737D"/>
    <w:rsid w:val="004F1860"/>
    <w:rsid w:val="004F22BD"/>
    <w:rsid w:val="004F26EA"/>
    <w:rsid w:val="004F3296"/>
    <w:rsid w:val="004F3928"/>
    <w:rsid w:val="004F49CE"/>
    <w:rsid w:val="004F68D6"/>
    <w:rsid w:val="004F7F8D"/>
    <w:rsid w:val="0050019F"/>
    <w:rsid w:val="005007B9"/>
    <w:rsid w:val="005011B1"/>
    <w:rsid w:val="00502CDC"/>
    <w:rsid w:val="00505DD8"/>
    <w:rsid w:val="00507585"/>
    <w:rsid w:val="00507B38"/>
    <w:rsid w:val="00511732"/>
    <w:rsid w:val="00515645"/>
    <w:rsid w:val="00516CC7"/>
    <w:rsid w:val="00524B0D"/>
    <w:rsid w:val="00525E9A"/>
    <w:rsid w:val="00526A71"/>
    <w:rsid w:val="005270C5"/>
    <w:rsid w:val="00527F20"/>
    <w:rsid w:val="00530251"/>
    <w:rsid w:val="00530CD5"/>
    <w:rsid w:val="00531527"/>
    <w:rsid w:val="00532EE5"/>
    <w:rsid w:val="00533024"/>
    <w:rsid w:val="00543387"/>
    <w:rsid w:val="00543B38"/>
    <w:rsid w:val="00544195"/>
    <w:rsid w:val="005447F4"/>
    <w:rsid w:val="00546175"/>
    <w:rsid w:val="005467F4"/>
    <w:rsid w:val="00547095"/>
    <w:rsid w:val="00550190"/>
    <w:rsid w:val="00551FEF"/>
    <w:rsid w:val="00554023"/>
    <w:rsid w:val="00555C81"/>
    <w:rsid w:val="00556130"/>
    <w:rsid w:val="005626A0"/>
    <w:rsid w:val="0056320C"/>
    <w:rsid w:val="00564570"/>
    <w:rsid w:val="00564A99"/>
    <w:rsid w:val="005652D0"/>
    <w:rsid w:val="0056575D"/>
    <w:rsid w:val="00570167"/>
    <w:rsid w:val="005714C4"/>
    <w:rsid w:val="00571FAE"/>
    <w:rsid w:val="0057329F"/>
    <w:rsid w:val="00574F3A"/>
    <w:rsid w:val="00575224"/>
    <w:rsid w:val="005757B2"/>
    <w:rsid w:val="00581547"/>
    <w:rsid w:val="00583764"/>
    <w:rsid w:val="00583B88"/>
    <w:rsid w:val="00585DE7"/>
    <w:rsid w:val="00586476"/>
    <w:rsid w:val="00586491"/>
    <w:rsid w:val="00586673"/>
    <w:rsid w:val="0058706E"/>
    <w:rsid w:val="005878EC"/>
    <w:rsid w:val="005918BB"/>
    <w:rsid w:val="005A0D42"/>
    <w:rsid w:val="005A1E2F"/>
    <w:rsid w:val="005A586D"/>
    <w:rsid w:val="005A658F"/>
    <w:rsid w:val="005A72AE"/>
    <w:rsid w:val="005B0546"/>
    <w:rsid w:val="005B4F72"/>
    <w:rsid w:val="005B510C"/>
    <w:rsid w:val="005B6F81"/>
    <w:rsid w:val="005B7BC5"/>
    <w:rsid w:val="005C2178"/>
    <w:rsid w:val="005C4F14"/>
    <w:rsid w:val="005C6971"/>
    <w:rsid w:val="005C6EFB"/>
    <w:rsid w:val="005D1D7C"/>
    <w:rsid w:val="005D264E"/>
    <w:rsid w:val="005D34A9"/>
    <w:rsid w:val="005D451B"/>
    <w:rsid w:val="005D5C2A"/>
    <w:rsid w:val="005D6410"/>
    <w:rsid w:val="005D7765"/>
    <w:rsid w:val="005D7E38"/>
    <w:rsid w:val="005E1AD0"/>
    <w:rsid w:val="005E2F02"/>
    <w:rsid w:val="005E5686"/>
    <w:rsid w:val="005E707E"/>
    <w:rsid w:val="005F0162"/>
    <w:rsid w:val="005F23DF"/>
    <w:rsid w:val="005F2CE4"/>
    <w:rsid w:val="005F340B"/>
    <w:rsid w:val="005F42C7"/>
    <w:rsid w:val="005F52F7"/>
    <w:rsid w:val="005F591B"/>
    <w:rsid w:val="005F5D42"/>
    <w:rsid w:val="005F67B2"/>
    <w:rsid w:val="00600042"/>
    <w:rsid w:val="00600070"/>
    <w:rsid w:val="00600A03"/>
    <w:rsid w:val="00600E69"/>
    <w:rsid w:val="00601446"/>
    <w:rsid w:val="00601626"/>
    <w:rsid w:val="0060238A"/>
    <w:rsid w:val="00602B1C"/>
    <w:rsid w:val="00603D2B"/>
    <w:rsid w:val="00605D41"/>
    <w:rsid w:val="00607780"/>
    <w:rsid w:val="006112E4"/>
    <w:rsid w:val="00612712"/>
    <w:rsid w:val="0061278A"/>
    <w:rsid w:val="00612E5E"/>
    <w:rsid w:val="006144B2"/>
    <w:rsid w:val="006227C4"/>
    <w:rsid w:val="00622AD9"/>
    <w:rsid w:val="00623554"/>
    <w:rsid w:val="00623974"/>
    <w:rsid w:val="00625F49"/>
    <w:rsid w:val="006268E8"/>
    <w:rsid w:val="00626AE2"/>
    <w:rsid w:val="0063121D"/>
    <w:rsid w:val="00632F04"/>
    <w:rsid w:val="0063461A"/>
    <w:rsid w:val="0064073F"/>
    <w:rsid w:val="00642517"/>
    <w:rsid w:val="006432FC"/>
    <w:rsid w:val="00644829"/>
    <w:rsid w:val="00646F96"/>
    <w:rsid w:val="00650281"/>
    <w:rsid w:val="00650B30"/>
    <w:rsid w:val="00651693"/>
    <w:rsid w:val="00652613"/>
    <w:rsid w:val="006529EF"/>
    <w:rsid w:val="00652F0F"/>
    <w:rsid w:val="00653565"/>
    <w:rsid w:val="00656AF9"/>
    <w:rsid w:val="006571F6"/>
    <w:rsid w:val="0066168C"/>
    <w:rsid w:val="006620AF"/>
    <w:rsid w:val="006646DE"/>
    <w:rsid w:val="00666062"/>
    <w:rsid w:val="006735FB"/>
    <w:rsid w:val="00676B59"/>
    <w:rsid w:val="00682221"/>
    <w:rsid w:val="006861B2"/>
    <w:rsid w:val="006902A4"/>
    <w:rsid w:val="00693830"/>
    <w:rsid w:val="00695412"/>
    <w:rsid w:val="00697D0B"/>
    <w:rsid w:val="006A02FD"/>
    <w:rsid w:val="006A2307"/>
    <w:rsid w:val="006A24F7"/>
    <w:rsid w:val="006A5E92"/>
    <w:rsid w:val="006A5FF3"/>
    <w:rsid w:val="006A6CAA"/>
    <w:rsid w:val="006A78AC"/>
    <w:rsid w:val="006A7AA1"/>
    <w:rsid w:val="006B00DE"/>
    <w:rsid w:val="006B1356"/>
    <w:rsid w:val="006B5B70"/>
    <w:rsid w:val="006B7106"/>
    <w:rsid w:val="006B7EA5"/>
    <w:rsid w:val="006C0E5E"/>
    <w:rsid w:val="006C2F01"/>
    <w:rsid w:val="006C3E61"/>
    <w:rsid w:val="006C67B2"/>
    <w:rsid w:val="006D066F"/>
    <w:rsid w:val="006D0782"/>
    <w:rsid w:val="006D0AD8"/>
    <w:rsid w:val="006D41FB"/>
    <w:rsid w:val="006D5FE3"/>
    <w:rsid w:val="006D6536"/>
    <w:rsid w:val="006D7803"/>
    <w:rsid w:val="006E0245"/>
    <w:rsid w:val="006E0D41"/>
    <w:rsid w:val="006E0F63"/>
    <w:rsid w:val="006E2149"/>
    <w:rsid w:val="006E400A"/>
    <w:rsid w:val="006E4241"/>
    <w:rsid w:val="006E66B8"/>
    <w:rsid w:val="006E66DF"/>
    <w:rsid w:val="006F0808"/>
    <w:rsid w:val="006F0A5C"/>
    <w:rsid w:val="006F0E77"/>
    <w:rsid w:val="006F2E5A"/>
    <w:rsid w:val="006F3F73"/>
    <w:rsid w:val="006F408E"/>
    <w:rsid w:val="006F4AC2"/>
    <w:rsid w:val="006F5C31"/>
    <w:rsid w:val="006F695C"/>
    <w:rsid w:val="006F7D06"/>
    <w:rsid w:val="00701D84"/>
    <w:rsid w:val="00702716"/>
    <w:rsid w:val="00703221"/>
    <w:rsid w:val="00703992"/>
    <w:rsid w:val="007040B9"/>
    <w:rsid w:val="007067AA"/>
    <w:rsid w:val="00706BC2"/>
    <w:rsid w:val="0071174B"/>
    <w:rsid w:val="00713EEE"/>
    <w:rsid w:val="00714CD3"/>
    <w:rsid w:val="00716661"/>
    <w:rsid w:val="0071746C"/>
    <w:rsid w:val="007202E0"/>
    <w:rsid w:val="0072222A"/>
    <w:rsid w:val="007258A5"/>
    <w:rsid w:val="00726690"/>
    <w:rsid w:val="00727066"/>
    <w:rsid w:val="00730B92"/>
    <w:rsid w:val="007363D7"/>
    <w:rsid w:val="0073764D"/>
    <w:rsid w:val="00741567"/>
    <w:rsid w:val="00741778"/>
    <w:rsid w:val="007436ED"/>
    <w:rsid w:val="00743EEA"/>
    <w:rsid w:val="00745981"/>
    <w:rsid w:val="007502C3"/>
    <w:rsid w:val="00751240"/>
    <w:rsid w:val="00752A71"/>
    <w:rsid w:val="00755C62"/>
    <w:rsid w:val="00757862"/>
    <w:rsid w:val="0076008F"/>
    <w:rsid w:val="00762013"/>
    <w:rsid w:val="0076465E"/>
    <w:rsid w:val="00766C56"/>
    <w:rsid w:val="00767DFA"/>
    <w:rsid w:val="00772131"/>
    <w:rsid w:val="00772DAD"/>
    <w:rsid w:val="007732B8"/>
    <w:rsid w:val="0077437F"/>
    <w:rsid w:val="00774F2B"/>
    <w:rsid w:val="00774FEF"/>
    <w:rsid w:val="00775437"/>
    <w:rsid w:val="007800B3"/>
    <w:rsid w:val="00781D4F"/>
    <w:rsid w:val="007832F3"/>
    <w:rsid w:val="00784739"/>
    <w:rsid w:val="007850A9"/>
    <w:rsid w:val="00786733"/>
    <w:rsid w:val="00786C94"/>
    <w:rsid w:val="007912AC"/>
    <w:rsid w:val="00793139"/>
    <w:rsid w:val="00794CDA"/>
    <w:rsid w:val="007953D7"/>
    <w:rsid w:val="0079542D"/>
    <w:rsid w:val="0079587A"/>
    <w:rsid w:val="00797BFA"/>
    <w:rsid w:val="007A08D7"/>
    <w:rsid w:val="007A0ADC"/>
    <w:rsid w:val="007A21AB"/>
    <w:rsid w:val="007A3728"/>
    <w:rsid w:val="007A3CF5"/>
    <w:rsid w:val="007A64BC"/>
    <w:rsid w:val="007A72CA"/>
    <w:rsid w:val="007B026D"/>
    <w:rsid w:val="007B4696"/>
    <w:rsid w:val="007B6273"/>
    <w:rsid w:val="007B7B24"/>
    <w:rsid w:val="007C070C"/>
    <w:rsid w:val="007C292A"/>
    <w:rsid w:val="007C2A4D"/>
    <w:rsid w:val="007C3311"/>
    <w:rsid w:val="007C459D"/>
    <w:rsid w:val="007C7659"/>
    <w:rsid w:val="007D0C41"/>
    <w:rsid w:val="007D12B5"/>
    <w:rsid w:val="007D3D75"/>
    <w:rsid w:val="007D7EE3"/>
    <w:rsid w:val="007E031E"/>
    <w:rsid w:val="007E68CA"/>
    <w:rsid w:val="007E704A"/>
    <w:rsid w:val="007E7D33"/>
    <w:rsid w:val="007F0017"/>
    <w:rsid w:val="007F1A65"/>
    <w:rsid w:val="007F3CBF"/>
    <w:rsid w:val="007F6C66"/>
    <w:rsid w:val="008003F2"/>
    <w:rsid w:val="00805082"/>
    <w:rsid w:val="00805212"/>
    <w:rsid w:val="00806395"/>
    <w:rsid w:val="00806DA2"/>
    <w:rsid w:val="00807320"/>
    <w:rsid w:val="008079CA"/>
    <w:rsid w:val="00810BD0"/>
    <w:rsid w:val="00815538"/>
    <w:rsid w:val="00816D4F"/>
    <w:rsid w:val="00820BB8"/>
    <w:rsid w:val="00822609"/>
    <w:rsid w:val="00824D6B"/>
    <w:rsid w:val="008251A5"/>
    <w:rsid w:val="00825C5E"/>
    <w:rsid w:val="00826501"/>
    <w:rsid w:val="00830746"/>
    <w:rsid w:val="00831736"/>
    <w:rsid w:val="00834222"/>
    <w:rsid w:val="00834313"/>
    <w:rsid w:val="00834DB8"/>
    <w:rsid w:val="00836355"/>
    <w:rsid w:val="008366BE"/>
    <w:rsid w:val="00840B3B"/>
    <w:rsid w:val="008422DA"/>
    <w:rsid w:val="00842382"/>
    <w:rsid w:val="00846ED9"/>
    <w:rsid w:val="00847FBE"/>
    <w:rsid w:val="00852750"/>
    <w:rsid w:val="00852F11"/>
    <w:rsid w:val="00854281"/>
    <w:rsid w:val="008656AA"/>
    <w:rsid w:val="008668F4"/>
    <w:rsid w:val="00870412"/>
    <w:rsid w:val="008748B0"/>
    <w:rsid w:val="00874FA8"/>
    <w:rsid w:val="00875694"/>
    <w:rsid w:val="00875ACE"/>
    <w:rsid w:val="00876F75"/>
    <w:rsid w:val="008811CE"/>
    <w:rsid w:val="00884A4B"/>
    <w:rsid w:val="00886335"/>
    <w:rsid w:val="00886759"/>
    <w:rsid w:val="008931B8"/>
    <w:rsid w:val="00893877"/>
    <w:rsid w:val="00893B00"/>
    <w:rsid w:val="00894FBE"/>
    <w:rsid w:val="0089534C"/>
    <w:rsid w:val="00896BED"/>
    <w:rsid w:val="00896C68"/>
    <w:rsid w:val="008A7312"/>
    <w:rsid w:val="008A7AD7"/>
    <w:rsid w:val="008B0D82"/>
    <w:rsid w:val="008B1B00"/>
    <w:rsid w:val="008B7FE1"/>
    <w:rsid w:val="008C094E"/>
    <w:rsid w:val="008C11DA"/>
    <w:rsid w:val="008C228A"/>
    <w:rsid w:val="008C2A12"/>
    <w:rsid w:val="008C61D5"/>
    <w:rsid w:val="008C70AD"/>
    <w:rsid w:val="008D0B81"/>
    <w:rsid w:val="008D15B5"/>
    <w:rsid w:val="008D26E3"/>
    <w:rsid w:val="008D2CD8"/>
    <w:rsid w:val="008D30BE"/>
    <w:rsid w:val="008D3116"/>
    <w:rsid w:val="008D31D5"/>
    <w:rsid w:val="008D7172"/>
    <w:rsid w:val="008E0B93"/>
    <w:rsid w:val="008E1344"/>
    <w:rsid w:val="008E1B68"/>
    <w:rsid w:val="008E5137"/>
    <w:rsid w:val="008E7EF7"/>
    <w:rsid w:val="008F1BCA"/>
    <w:rsid w:val="008F358C"/>
    <w:rsid w:val="008F3DFB"/>
    <w:rsid w:val="008F5D2A"/>
    <w:rsid w:val="008F5F71"/>
    <w:rsid w:val="008F7411"/>
    <w:rsid w:val="00900DC5"/>
    <w:rsid w:val="0090228C"/>
    <w:rsid w:val="00902D6E"/>
    <w:rsid w:val="0090350B"/>
    <w:rsid w:val="00904F14"/>
    <w:rsid w:val="00905203"/>
    <w:rsid w:val="00906274"/>
    <w:rsid w:val="0090703D"/>
    <w:rsid w:val="00911A38"/>
    <w:rsid w:val="00911E06"/>
    <w:rsid w:val="009126BF"/>
    <w:rsid w:val="009137F6"/>
    <w:rsid w:val="009173CC"/>
    <w:rsid w:val="009204F9"/>
    <w:rsid w:val="00921307"/>
    <w:rsid w:val="009223E0"/>
    <w:rsid w:val="00925DAF"/>
    <w:rsid w:val="00926E17"/>
    <w:rsid w:val="009271DA"/>
    <w:rsid w:val="00931AB2"/>
    <w:rsid w:val="00933203"/>
    <w:rsid w:val="00933B78"/>
    <w:rsid w:val="00934D3A"/>
    <w:rsid w:val="00935442"/>
    <w:rsid w:val="009370E6"/>
    <w:rsid w:val="0093735B"/>
    <w:rsid w:val="0094106A"/>
    <w:rsid w:val="00941DE9"/>
    <w:rsid w:val="00943502"/>
    <w:rsid w:val="00944707"/>
    <w:rsid w:val="00947EEE"/>
    <w:rsid w:val="00950BCC"/>
    <w:rsid w:val="00952129"/>
    <w:rsid w:val="00952DB2"/>
    <w:rsid w:val="00953BED"/>
    <w:rsid w:val="00955490"/>
    <w:rsid w:val="009602B3"/>
    <w:rsid w:val="00962146"/>
    <w:rsid w:val="009627B3"/>
    <w:rsid w:val="009640EA"/>
    <w:rsid w:val="0096497E"/>
    <w:rsid w:val="00965A43"/>
    <w:rsid w:val="00966322"/>
    <w:rsid w:val="00966A5B"/>
    <w:rsid w:val="00966D6E"/>
    <w:rsid w:val="009702DF"/>
    <w:rsid w:val="009727CB"/>
    <w:rsid w:val="009730F0"/>
    <w:rsid w:val="00973C0B"/>
    <w:rsid w:val="0097516D"/>
    <w:rsid w:val="00976D43"/>
    <w:rsid w:val="00981308"/>
    <w:rsid w:val="009818ED"/>
    <w:rsid w:val="00981CF3"/>
    <w:rsid w:val="00984C29"/>
    <w:rsid w:val="00984DAA"/>
    <w:rsid w:val="0098696F"/>
    <w:rsid w:val="00990DFD"/>
    <w:rsid w:val="009921C5"/>
    <w:rsid w:val="00994A91"/>
    <w:rsid w:val="00995F6E"/>
    <w:rsid w:val="00996FD9"/>
    <w:rsid w:val="009A0FA6"/>
    <w:rsid w:val="009A38E8"/>
    <w:rsid w:val="009A4317"/>
    <w:rsid w:val="009A4660"/>
    <w:rsid w:val="009A66AA"/>
    <w:rsid w:val="009A7D9C"/>
    <w:rsid w:val="009B07B3"/>
    <w:rsid w:val="009B1E11"/>
    <w:rsid w:val="009B2B84"/>
    <w:rsid w:val="009B7424"/>
    <w:rsid w:val="009C2C69"/>
    <w:rsid w:val="009D2A29"/>
    <w:rsid w:val="009D370B"/>
    <w:rsid w:val="009D5381"/>
    <w:rsid w:val="009D5831"/>
    <w:rsid w:val="009D585E"/>
    <w:rsid w:val="009D6D19"/>
    <w:rsid w:val="009D7B61"/>
    <w:rsid w:val="009E2EC9"/>
    <w:rsid w:val="009E369B"/>
    <w:rsid w:val="009E3B5C"/>
    <w:rsid w:val="009E4F1F"/>
    <w:rsid w:val="009E52CD"/>
    <w:rsid w:val="009E7274"/>
    <w:rsid w:val="009F24B1"/>
    <w:rsid w:val="009F59C5"/>
    <w:rsid w:val="009F6399"/>
    <w:rsid w:val="009F6681"/>
    <w:rsid w:val="009F78BC"/>
    <w:rsid w:val="00A032AB"/>
    <w:rsid w:val="00A06E01"/>
    <w:rsid w:val="00A105F6"/>
    <w:rsid w:val="00A146E3"/>
    <w:rsid w:val="00A14862"/>
    <w:rsid w:val="00A14D4D"/>
    <w:rsid w:val="00A20D67"/>
    <w:rsid w:val="00A20EE7"/>
    <w:rsid w:val="00A2278A"/>
    <w:rsid w:val="00A2329D"/>
    <w:rsid w:val="00A238F2"/>
    <w:rsid w:val="00A23FC7"/>
    <w:rsid w:val="00A303F0"/>
    <w:rsid w:val="00A37E06"/>
    <w:rsid w:val="00A37FB5"/>
    <w:rsid w:val="00A4023A"/>
    <w:rsid w:val="00A40373"/>
    <w:rsid w:val="00A419A4"/>
    <w:rsid w:val="00A42351"/>
    <w:rsid w:val="00A4238A"/>
    <w:rsid w:val="00A4279B"/>
    <w:rsid w:val="00A449EB"/>
    <w:rsid w:val="00A46A8C"/>
    <w:rsid w:val="00A5015B"/>
    <w:rsid w:val="00A548DF"/>
    <w:rsid w:val="00A5585E"/>
    <w:rsid w:val="00A55EFC"/>
    <w:rsid w:val="00A57EA1"/>
    <w:rsid w:val="00A57F15"/>
    <w:rsid w:val="00A65474"/>
    <w:rsid w:val="00A73F44"/>
    <w:rsid w:val="00A770D6"/>
    <w:rsid w:val="00A77B5C"/>
    <w:rsid w:val="00A81305"/>
    <w:rsid w:val="00A81A83"/>
    <w:rsid w:val="00A82548"/>
    <w:rsid w:val="00A82BF5"/>
    <w:rsid w:val="00A86D45"/>
    <w:rsid w:val="00A87375"/>
    <w:rsid w:val="00A90062"/>
    <w:rsid w:val="00A90390"/>
    <w:rsid w:val="00A90D1A"/>
    <w:rsid w:val="00A947A2"/>
    <w:rsid w:val="00AA5305"/>
    <w:rsid w:val="00AA5B15"/>
    <w:rsid w:val="00AB11FD"/>
    <w:rsid w:val="00AB31A2"/>
    <w:rsid w:val="00AB3F83"/>
    <w:rsid w:val="00AC0855"/>
    <w:rsid w:val="00AC3BC2"/>
    <w:rsid w:val="00AC48A5"/>
    <w:rsid w:val="00AC5D28"/>
    <w:rsid w:val="00AD150D"/>
    <w:rsid w:val="00AD2C55"/>
    <w:rsid w:val="00AD5A25"/>
    <w:rsid w:val="00AE0570"/>
    <w:rsid w:val="00AE0663"/>
    <w:rsid w:val="00AE1A33"/>
    <w:rsid w:val="00AE26E4"/>
    <w:rsid w:val="00AE3228"/>
    <w:rsid w:val="00AE3275"/>
    <w:rsid w:val="00AE34F1"/>
    <w:rsid w:val="00AE3F9B"/>
    <w:rsid w:val="00AE5B1C"/>
    <w:rsid w:val="00AE776E"/>
    <w:rsid w:val="00AE7E59"/>
    <w:rsid w:val="00AF2306"/>
    <w:rsid w:val="00AF3CB5"/>
    <w:rsid w:val="00AF47A6"/>
    <w:rsid w:val="00AF4881"/>
    <w:rsid w:val="00AF55C7"/>
    <w:rsid w:val="00AF6F09"/>
    <w:rsid w:val="00B008C1"/>
    <w:rsid w:val="00B00EFE"/>
    <w:rsid w:val="00B01232"/>
    <w:rsid w:val="00B0191A"/>
    <w:rsid w:val="00B03E3F"/>
    <w:rsid w:val="00B0435C"/>
    <w:rsid w:val="00B06BDC"/>
    <w:rsid w:val="00B07686"/>
    <w:rsid w:val="00B1048B"/>
    <w:rsid w:val="00B12A3C"/>
    <w:rsid w:val="00B13E31"/>
    <w:rsid w:val="00B16703"/>
    <w:rsid w:val="00B16ACB"/>
    <w:rsid w:val="00B2012E"/>
    <w:rsid w:val="00B20147"/>
    <w:rsid w:val="00B2418A"/>
    <w:rsid w:val="00B246D3"/>
    <w:rsid w:val="00B25855"/>
    <w:rsid w:val="00B25943"/>
    <w:rsid w:val="00B30190"/>
    <w:rsid w:val="00B31BF5"/>
    <w:rsid w:val="00B349AE"/>
    <w:rsid w:val="00B35469"/>
    <w:rsid w:val="00B3630B"/>
    <w:rsid w:val="00B40202"/>
    <w:rsid w:val="00B402A7"/>
    <w:rsid w:val="00B40470"/>
    <w:rsid w:val="00B42786"/>
    <w:rsid w:val="00B42DBB"/>
    <w:rsid w:val="00B42F49"/>
    <w:rsid w:val="00B43128"/>
    <w:rsid w:val="00B476A9"/>
    <w:rsid w:val="00B505B0"/>
    <w:rsid w:val="00B508F8"/>
    <w:rsid w:val="00B5166A"/>
    <w:rsid w:val="00B534DA"/>
    <w:rsid w:val="00B55D75"/>
    <w:rsid w:val="00B564ED"/>
    <w:rsid w:val="00B568F2"/>
    <w:rsid w:val="00B5749C"/>
    <w:rsid w:val="00B60173"/>
    <w:rsid w:val="00B606BE"/>
    <w:rsid w:val="00B608DF"/>
    <w:rsid w:val="00B62E43"/>
    <w:rsid w:val="00B62FAE"/>
    <w:rsid w:val="00B6478E"/>
    <w:rsid w:val="00B647BF"/>
    <w:rsid w:val="00B64FD5"/>
    <w:rsid w:val="00B71AFF"/>
    <w:rsid w:val="00B73819"/>
    <w:rsid w:val="00B73FE8"/>
    <w:rsid w:val="00B74C4A"/>
    <w:rsid w:val="00B75EBB"/>
    <w:rsid w:val="00B77902"/>
    <w:rsid w:val="00B80CD3"/>
    <w:rsid w:val="00B81263"/>
    <w:rsid w:val="00B82E36"/>
    <w:rsid w:val="00B834AC"/>
    <w:rsid w:val="00B8601B"/>
    <w:rsid w:val="00B86714"/>
    <w:rsid w:val="00B86C23"/>
    <w:rsid w:val="00B90336"/>
    <w:rsid w:val="00B92D30"/>
    <w:rsid w:val="00B96433"/>
    <w:rsid w:val="00B971B0"/>
    <w:rsid w:val="00BA08E8"/>
    <w:rsid w:val="00BA15E0"/>
    <w:rsid w:val="00BA1AAE"/>
    <w:rsid w:val="00BA1D05"/>
    <w:rsid w:val="00BA2E99"/>
    <w:rsid w:val="00BA318D"/>
    <w:rsid w:val="00BA33F7"/>
    <w:rsid w:val="00BA4DC0"/>
    <w:rsid w:val="00BA70DE"/>
    <w:rsid w:val="00BB072F"/>
    <w:rsid w:val="00BB3655"/>
    <w:rsid w:val="00BB6D12"/>
    <w:rsid w:val="00BB7EF0"/>
    <w:rsid w:val="00BC1917"/>
    <w:rsid w:val="00BC606F"/>
    <w:rsid w:val="00BD1DC2"/>
    <w:rsid w:val="00BD25B5"/>
    <w:rsid w:val="00BD4545"/>
    <w:rsid w:val="00BD4773"/>
    <w:rsid w:val="00BE0694"/>
    <w:rsid w:val="00BE13B9"/>
    <w:rsid w:val="00BE28F0"/>
    <w:rsid w:val="00BE4D71"/>
    <w:rsid w:val="00BF2017"/>
    <w:rsid w:val="00BF5341"/>
    <w:rsid w:val="00BF579F"/>
    <w:rsid w:val="00BF5AA0"/>
    <w:rsid w:val="00C032D0"/>
    <w:rsid w:val="00C04031"/>
    <w:rsid w:val="00C044BC"/>
    <w:rsid w:val="00C06D2F"/>
    <w:rsid w:val="00C06F42"/>
    <w:rsid w:val="00C10157"/>
    <w:rsid w:val="00C13480"/>
    <w:rsid w:val="00C144F3"/>
    <w:rsid w:val="00C14DFF"/>
    <w:rsid w:val="00C154CF"/>
    <w:rsid w:val="00C162AF"/>
    <w:rsid w:val="00C219E1"/>
    <w:rsid w:val="00C222DB"/>
    <w:rsid w:val="00C3045E"/>
    <w:rsid w:val="00C31761"/>
    <w:rsid w:val="00C32D0D"/>
    <w:rsid w:val="00C345A7"/>
    <w:rsid w:val="00C35869"/>
    <w:rsid w:val="00C35CC0"/>
    <w:rsid w:val="00C36CA8"/>
    <w:rsid w:val="00C3783B"/>
    <w:rsid w:val="00C455DC"/>
    <w:rsid w:val="00C4578E"/>
    <w:rsid w:val="00C47288"/>
    <w:rsid w:val="00C5112D"/>
    <w:rsid w:val="00C517A2"/>
    <w:rsid w:val="00C51C3A"/>
    <w:rsid w:val="00C5207F"/>
    <w:rsid w:val="00C545FD"/>
    <w:rsid w:val="00C547C4"/>
    <w:rsid w:val="00C5485C"/>
    <w:rsid w:val="00C63F4C"/>
    <w:rsid w:val="00C647A1"/>
    <w:rsid w:val="00C649F7"/>
    <w:rsid w:val="00C65CDA"/>
    <w:rsid w:val="00C7695B"/>
    <w:rsid w:val="00C81D30"/>
    <w:rsid w:val="00C82236"/>
    <w:rsid w:val="00C84636"/>
    <w:rsid w:val="00C8748C"/>
    <w:rsid w:val="00C87AB7"/>
    <w:rsid w:val="00C91563"/>
    <w:rsid w:val="00C922E8"/>
    <w:rsid w:val="00C934D3"/>
    <w:rsid w:val="00C95583"/>
    <w:rsid w:val="00C957B6"/>
    <w:rsid w:val="00C9672E"/>
    <w:rsid w:val="00C97738"/>
    <w:rsid w:val="00C97B63"/>
    <w:rsid w:val="00CA21CA"/>
    <w:rsid w:val="00CA426B"/>
    <w:rsid w:val="00CA59D1"/>
    <w:rsid w:val="00CA682F"/>
    <w:rsid w:val="00CB0C1C"/>
    <w:rsid w:val="00CB0E50"/>
    <w:rsid w:val="00CB2BF0"/>
    <w:rsid w:val="00CB3B8A"/>
    <w:rsid w:val="00CB7B4A"/>
    <w:rsid w:val="00CC2C41"/>
    <w:rsid w:val="00CC4953"/>
    <w:rsid w:val="00CC5579"/>
    <w:rsid w:val="00CC5950"/>
    <w:rsid w:val="00CC5ED2"/>
    <w:rsid w:val="00CC6086"/>
    <w:rsid w:val="00CD1475"/>
    <w:rsid w:val="00CD308B"/>
    <w:rsid w:val="00CD5181"/>
    <w:rsid w:val="00CD543C"/>
    <w:rsid w:val="00CE0322"/>
    <w:rsid w:val="00CE1300"/>
    <w:rsid w:val="00CE2029"/>
    <w:rsid w:val="00CE3108"/>
    <w:rsid w:val="00CE3C1D"/>
    <w:rsid w:val="00CE52CF"/>
    <w:rsid w:val="00CE62BA"/>
    <w:rsid w:val="00CE69D2"/>
    <w:rsid w:val="00CE708C"/>
    <w:rsid w:val="00CF0949"/>
    <w:rsid w:val="00CF27CE"/>
    <w:rsid w:val="00CF3C13"/>
    <w:rsid w:val="00CF4DEF"/>
    <w:rsid w:val="00CF69E3"/>
    <w:rsid w:val="00CF6C52"/>
    <w:rsid w:val="00CF7822"/>
    <w:rsid w:val="00D001F8"/>
    <w:rsid w:val="00D01698"/>
    <w:rsid w:val="00D0188B"/>
    <w:rsid w:val="00D02D66"/>
    <w:rsid w:val="00D039F8"/>
    <w:rsid w:val="00D03B36"/>
    <w:rsid w:val="00D04F07"/>
    <w:rsid w:val="00D05235"/>
    <w:rsid w:val="00D06312"/>
    <w:rsid w:val="00D1012B"/>
    <w:rsid w:val="00D12F4E"/>
    <w:rsid w:val="00D15916"/>
    <w:rsid w:val="00D16181"/>
    <w:rsid w:val="00D21888"/>
    <w:rsid w:val="00D225CB"/>
    <w:rsid w:val="00D2491A"/>
    <w:rsid w:val="00D26529"/>
    <w:rsid w:val="00D26ED7"/>
    <w:rsid w:val="00D307AA"/>
    <w:rsid w:val="00D316AB"/>
    <w:rsid w:val="00D406A3"/>
    <w:rsid w:val="00D42D61"/>
    <w:rsid w:val="00D430BA"/>
    <w:rsid w:val="00D43D88"/>
    <w:rsid w:val="00D46429"/>
    <w:rsid w:val="00D477CA"/>
    <w:rsid w:val="00D47EF6"/>
    <w:rsid w:val="00D55013"/>
    <w:rsid w:val="00D56AF9"/>
    <w:rsid w:val="00D57BEC"/>
    <w:rsid w:val="00D61D67"/>
    <w:rsid w:val="00D62F88"/>
    <w:rsid w:val="00D645DC"/>
    <w:rsid w:val="00D64AD5"/>
    <w:rsid w:val="00D64D51"/>
    <w:rsid w:val="00D656E3"/>
    <w:rsid w:val="00D65CF5"/>
    <w:rsid w:val="00D67743"/>
    <w:rsid w:val="00D70705"/>
    <w:rsid w:val="00D740CE"/>
    <w:rsid w:val="00D74C23"/>
    <w:rsid w:val="00D74F82"/>
    <w:rsid w:val="00D77EB3"/>
    <w:rsid w:val="00D80081"/>
    <w:rsid w:val="00D800C9"/>
    <w:rsid w:val="00D80756"/>
    <w:rsid w:val="00D83F76"/>
    <w:rsid w:val="00D845D0"/>
    <w:rsid w:val="00D84A51"/>
    <w:rsid w:val="00D86089"/>
    <w:rsid w:val="00D909FF"/>
    <w:rsid w:val="00D91E7A"/>
    <w:rsid w:val="00D9406D"/>
    <w:rsid w:val="00D9409B"/>
    <w:rsid w:val="00D97B5A"/>
    <w:rsid w:val="00DA0D5F"/>
    <w:rsid w:val="00DA11B4"/>
    <w:rsid w:val="00DA43AC"/>
    <w:rsid w:val="00DA480B"/>
    <w:rsid w:val="00DA6514"/>
    <w:rsid w:val="00DA65E5"/>
    <w:rsid w:val="00DA6661"/>
    <w:rsid w:val="00DA6824"/>
    <w:rsid w:val="00DB4DBC"/>
    <w:rsid w:val="00DB512A"/>
    <w:rsid w:val="00DB72F8"/>
    <w:rsid w:val="00DB7B79"/>
    <w:rsid w:val="00DC0AAB"/>
    <w:rsid w:val="00DC18E7"/>
    <w:rsid w:val="00DC4D5A"/>
    <w:rsid w:val="00DC76D8"/>
    <w:rsid w:val="00DC7C9A"/>
    <w:rsid w:val="00DD150C"/>
    <w:rsid w:val="00DD2428"/>
    <w:rsid w:val="00DD4427"/>
    <w:rsid w:val="00DD4E76"/>
    <w:rsid w:val="00DD61BD"/>
    <w:rsid w:val="00DD670B"/>
    <w:rsid w:val="00DE2A41"/>
    <w:rsid w:val="00DE3A9F"/>
    <w:rsid w:val="00DE40C6"/>
    <w:rsid w:val="00DE67B4"/>
    <w:rsid w:val="00DE7548"/>
    <w:rsid w:val="00DF0977"/>
    <w:rsid w:val="00DF0DC4"/>
    <w:rsid w:val="00DF1671"/>
    <w:rsid w:val="00DF1F23"/>
    <w:rsid w:val="00DF2A02"/>
    <w:rsid w:val="00DF4BEA"/>
    <w:rsid w:val="00DF6244"/>
    <w:rsid w:val="00DF7D63"/>
    <w:rsid w:val="00E00120"/>
    <w:rsid w:val="00E004F6"/>
    <w:rsid w:val="00E02118"/>
    <w:rsid w:val="00E0322C"/>
    <w:rsid w:val="00E06025"/>
    <w:rsid w:val="00E06F3B"/>
    <w:rsid w:val="00E10D97"/>
    <w:rsid w:val="00E1404B"/>
    <w:rsid w:val="00E1622A"/>
    <w:rsid w:val="00E17AF6"/>
    <w:rsid w:val="00E2012E"/>
    <w:rsid w:val="00E21200"/>
    <w:rsid w:val="00E222A1"/>
    <w:rsid w:val="00E22B5A"/>
    <w:rsid w:val="00E25604"/>
    <w:rsid w:val="00E307EA"/>
    <w:rsid w:val="00E32AA1"/>
    <w:rsid w:val="00E33ADD"/>
    <w:rsid w:val="00E34280"/>
    <w:rsid w:val="00E41AF4"/>
    <w:rsid w:val="00E428CC"/>
    <w:rsid w:val="00E42F57"/>
    <w:rsid w:val="00E46A67"/>
    <w:rsid w:val="00E470FD"/>
    <w:rsid w:val="00E51760"/>
    <w:rsid w:val="00E52E6E"/>
    <w:rsid w:val="00E53829"/>
    <w:rsid w:val="00E542DD"/>
    <w:rsid w:val="00E54B62"/>
    <w:rsid w:val="00E5559A"/>
    <w:rsid w:val="00E556E8"/>
    <w:rsid w:val="00E5633A"/>
    <w:rsid w:val="00E5761C"/>
    <w:rsid w:val="00E61265"/>
    <w:rsid w:val="00E62BB5"/>
    <w:rsid w:val="00E638F3"/>
    <w:rsid w:val="00E650DC"/>
    <w:rsid w:val="00E654B0"/>
    <w:rsid w:val="00E6605B"/>
    <w:rsid w:val="00E6654A"/>
    <w:rsid w:val="00E7136E"/>
    <w:rsid w:val="00E71D70"/>
    <w:rsid w:val="00E72960"/>
    <w:rsid w:val="00E76447"/>
    <w:rsid w:val="00E76CA1"/>
    <w:rsid w:val="00E81256"/>
    <w:rsid w:val="00E85247"/>
    <w:rsid w:val="00E85248"/>
    <w:rsid w:val="00E86488"/>
    <w:rsid w:val="00E8724E"/>
    <w:rsid w:val="00E9294C"/>
    <w:rsid w:val="00E92E79"/>
    <w:rsid w:val="00E9359C"/>
    <w:rsid w:val="00EA12A0"/>
    <w:rsid w:val="00EA29A6"/>
    <w:rsid w:val="00EA4C08"/>
    <w:rsid w:val="00EA4E7D"/>
    <w:rsid w:val="00EA6417"/>
    <w:rsid w:val="00EA77CD"/>
    <w:rsid w:val="00EB2245"/>
    <w:rsid w:val="00EB2A3A"/>
    <w:rsid w:val="00EB6A5B"/>
    <w:rsid w:val="00EC00F6"/>
    <w:rsid w:val="00EC02F4"/>
    <w:rsid w:val="00EC11D3"/>
    <w:rsid w:val="00EC3DA9"/>
    <w:rsid w:val="00EC5455"/>
    <w:rsid w:val="00EC5A2B"/>
    <w:rsid w:val="00EC7713"/>
    <w:rsid w:val="00ED07A2"/>
    <w:rsid w:val="00ED201A"/>
    <w:rsid w:val="00ED48D6"/>
    <w:rsid w:val="00ED4FE5"/>
    <w:rsid w:val="00ED6582"/>
    <w:rsid w:val="00ED7B6C"/>
    <w:rsid w:val="00EE0A47"/>
    <w:rsid w:val="00EE20EB"/>
    <w:rsid w:val="00EE3407"/>
    <w:rsid w:val="00EE4491"/>
    <w:rsid w:val="00EE4A3F"/>
    <w:rsid w:val="00EE55F3"/>
    <w:rsid w:val="00EE59AB"/>
    <w:rsid w:val="00EE5FFA"/>
    <w:rsid w:val="00EE6ED8"/>
    <w:rsid w:val="00EF17CC"/>
    <w:rsid w:val="00EF2D3E"/>
    <w:rsid w:val="00EF4BD7"/>
    <w:rsid w:val="00EF50BD"/>
    <w:rsid w:val="00EF6507"/>
    <w:rsid w:val="00EF7920"/>
    <w:rsid w:val="00EF7AA9"/>
    <w:rsid w:val="00F0675C"/>
    <w:rsid w:val="00F06FBB"/>
    <w:rsid w:val="00F07B04"/>
    <w:rsid w:val="00F10957"/>
    <w:rsid w:val="00F1203C"/>
    <w:rsid w:val="00F12CD4"/>
    <w:rsid w:val="00F12D21"/>
    <w:rsid w:val="00F2235A"/>
    <w:rsid w:val="00F2274D"/>
    <w:rsid w:val="00F266F3"/>
    <w:rsid w:val="00F30481"/>
    <w:rsid w:val="00F30595"/>
    <w:rsid w:val="00F307DE"/>
    <w:rsid w:val="00F31367"/>
    <w:rsid w:val="00F34F7E"/>
    <w:rsid w:val="00F35B7F"/>
    <w:rsid w:val="00F36308"/>
    <w:rsid w:val="00F36671"/>
    <w:rsid w:val="00F37270"/>
    <w:rsid w:val="00F4001D"/>
    <w:rsid w:val="00F41289"/>
    <w:rsid w:val="00F41B48"/>
    <w:rsid w:val="00F41EB6"/>
    <w:rsid w:val="00F43545"/>
    <w:rsid w:val="00F43B2D"/>
    <w:rsid w:val="00F44009"/>
    <w:rsid w:val="00F44EFC"/>
    <w:rsid w:val="00F47AF5"/>
    <w:rsid w:val="00F522A9"/>
    <w:rsid w:val="00F52CE6"/>
    <w:rsid w:val="00F53E90"/>
    <w:rsid w:val="00F540B5"/>
    <w:rsid w:val="00F606D3"/>
    <w:rsid w:val="00F60738"/>
    <w:rsid w:val="00F61444"/>
    <w:rsid w:val="00F61766"/>
    <w:rsid w:val="00F63290"/>
    <w:rsid w:val="00F656D9"/>
    <w:rsid w:val="00F67F17"/>
    <w:rsid w:val="00F7357A"/>
    <w:rsid w:val="00F773BE"/>
    <w:rsid w:val="00F81ACA"/>
    <w:rsid w:val="00F8253D"/>
    <w:rsid w:val="00F847FE"/>
    <w:rsid w:val="00F858B3"/>
    <w:rsid w:val="00F8671A"/>
    <w:rsid w:val="00F878E0"/>
    <w:rsid w:val="00F95B88"/>
    <w:rsid w:val="00FA0351"/>
    <w:rsid w:val="00FA1DB7"/>
    <w:rsid w:val="00FA237D"/>
    <w:rsid w:val="00FA25A8"/>
    <w:rsid w:val="00FA2AE9"/>
    <w:rsid w:val="00FA2FD7"/>
    <w:rsid w:val="00FA3BFD"/>
    <w:rsid w:val="00FA677B"/>
    <w:rsid w:val="00FA6E05"/>
    <w:rsid w:val="00FA71CE"/>
    <w:rsid w:val="00FB089E"/>
    <w:rsid w:val="00FB1D32"/>
    <w:rsid w:val="00FB5E8D"/>
    <w:rsid w:val="00FB7F26"/>
    <w:rsid w:val="00FC265D"/>
    <w:rsid w:val="00FC37B3"/>
    <w:rsid w:val="00FD0255"/>
    <w:rsid w:val="00FD0EDA"/>
    <w:rsid w:val="00FD16E3"/>
    <w:rsid w:val="00FD1790"/>
    <w:rsid w:val="00FD354F"/>
    <w:rsid w:val="00FD3AFB"/>
    <w:rsid w:val="00FD6640"/>
    <w:rsid w:val="00FE0167"/>
    <w:rsid w:val="00FE0BE6"/>
    <w:rsid w:val="00FE1526"/>
    <w:rsid w:val="00FE3101"/>
    <w:rsid w:val="00FE3427"/>
    <w:rsid w:val="00FE4CB5"/>
    <w:rsid w:val="00FE5D7D"/>
    <w:rsid w:val="00FE7A46"/>
    <w:rsid w:val="00FF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3E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BD"/>
    <w:pPr>
      <w:widowControl w:val="0"/>
      <w:autoSpaceDE w:val="0"/>
      <w:autoSpaceDN w:val="0"/>
      <w:adjustRightInd w:val="0"/>
    </w:pPr>
    <w:rPr>
      <w:sz w:val="26"/>
      <w:szCs w:val="24"/>
    </w:rPr>
  </w:style>
  <w:style w:type="paragraph" w:styleId="Heading1">
    <w:name w:val="heading 1"/>
    <w:basedOn w:val="Normal"/>
    <w:next w:val="FERCparanumber"/>
    <w:qFormat/>
    <w:rsid w:val="00DD61BD"/>
    <w:pPr>
      <w:keepNext/>
      <w:keepLines/>
      <w:widowControl/>
      <w:numPr>
        <w:numId w:val="3"/>
      </w:numPr>
      <w:spacing w:after="260"/>
      <w:outlineLvl w:val="0"/>
    </w:pPr>
    <w:rPr>
      <w:b/>
      <w:bCs/>
      <w:kern w:val="32"/>
      <w:szCs w:val="32"/>
      <w:u w:val="single"/>
    </w:rPr>
  </w:style>
  <w:style w:type="paragraph" w:styleId="Heading2">
    <w:name w:val="heading 2"/>
    <w:basedOn w:val="Normal"/>
    <w:next w:val="FERCparanumber"/>
    <w:qFormat/>
    <w:rsid w:val="00DD61BD"/>
    <w:pPr>
      <w:keepNext/>
      <w:keepLines/>
      <w:widowControl/>
      <w:numPr>
        <w:ilvl w:val="1"/>
        <w:numId w:val="3"/>
      </w:numPr>
      <w:spacing w:after="260"/>
      <w:outlineLvl w:val="1"/>
    </w:pPr>
    <w:rPr>
      <w:b/>
      <w:bCs/>
      <w:iCs/>
      <w:kern w:val="32"/>
      <w:szCs w:val="28"/>
      <w:u w:val="single"/>
    </w:rPr>
  </w:style>
  <w:style w:type="paragraph" w:styleId="Heading3">
    <w:name w:val="heading 3"/>
    <w:basedOn w:val="Normal"/>
    <w:next w:val="FERCparanumber"/>
    <w:qFormat/>
    <w:rsid w:val="00DD61BD"/>
    <w:pPr>
      <w:keepNext/>
      <w:keepLines/>
      <w:widowControl/>
      <w:numPr>
        <w:ilvl w:val="2"/>
        <w:numId w:val="3"/>
      </w:numPr>
      <w:spacing w:after="260"/>
      <w:outlineLvl w:val="2"/>
    </w:pPr>
    <w:rPr>
      <w:b/>
      <w:bCs/>
      <w:kern w:val="32"/>
      <w:szCs w:val="26"/>
      <w:u w:val="single"/>
    </w:rPr>
  </w:style>
  <w:style w:type="paragraph" w:styleId="Heading4">
    <w:name w:val="heading 4"/>
    <w:basedOn w:val="Normal"/>
    <w:next w:val="FERCparanumber"/>
    <w:qFormat/>
    <w:rsid w:val="00DD61BD"/>
    <w:pPr>
      <w:keepNext/>
      <w:keepLines/>
      <w:widowControl/>
      <w:numPr>
        <w:ilvl w:val="3"/>
        <w:numId w:val="3"/>
      </w:numPr>
      <w:spacing w:after="260"/>
      <w:outlineLvl w:val="3"/>
    </w:pPr>
    <w:rPr>
      <w:b/>
      <w:bCs/>
      <w:kern w:val="32"/>
      <w:szCs w:val="28"/>
      <w:u w:val="single"/>
    </w:rPr>
  </w:style>
  <w:style w:type="paragraph" w:styleId="Heading5">
    <w:name w:val="heading 5"/>
    <w:basedOn w:val="Normal"/>
    <w:next w:val="FERCparanumber"/>
    <w:qFormat/>
    <w:rsid w:val="00DD61BD"/>
    <w:pPr>
      <w:keepNext/>
      <w:keepLines/>
      <w:widowControl/>
      <w:numPr>
        <w:ilvl w:val="4"/>
        <w:numId w:val="3"/>
      </w:numPr>
      <w:spacing w:after="260"/>
      <w:outlineLvl w:val="4"/>
    </w:pPr>
    <w:rPr>
      <w:b/>
      <w:bCs/>
      <w:iCs/>
      <w:kern w:val="32"/>
      <w:szCs w:val="26"/>
      <w:u w:val="single"/>
    </w:rPr>
  </w:style>
  <w:style w:type="paragraph" w:styleId="Heading6">
    <w:name w:val="heading 6"/>
    <w:basedOn w:val="Normal"/>
    <w:next w:val="FERCparanumber"/>
    <w:qFormat/>
    <w:rsid w:val="00DD61BD"/>
    <w:pPr>
      <w:keepNext/>
      <w:keepLines/>
      <w:widowControl/>
      <w:numPr>
        <w:ilvl w:val="5"/>
        <w:numId w:val="3"/>
      </w:numPr>
      <w:spacing w:after="260"/>
      <w:outlineLvl w:val="5"/>
    </w:pPr>
    <w:rPr>
      <w:b/>
      <w:bCs/>
      <w:kern w:val="32"/>
      <w:szCs w:val="22"/>
      <w:u w:val="single"/>
    </w:rPr>
  </w:style>
  <w:style w:type="paragraph" w:styleId="Heading7">
    <w:name w:val="heading 7"/>
    <w:basedOn w:val="Normal"/>
    <w:next w:val="FERCparanumber"/>
    <w:link w:val="Heading7Char"/>
    <w:qFormat/>
    <w:rsid w:val="00DD61BD"/>
    <w:pPr>
      <w:numPr>
        <w:ilvl w:val="6"/>
        <w:numId w:val="3"/>
      </w:numPr>
      <w:spacing w:after="260"/>
      <w:outlineLvl w:val="6"/>
    </w:pPr>
    <w:rPr>
      <w:b/>
      <w:kern w:val="32"/>
      <w:u w:val="single"/>
    </w:rPr>
  </w:style>
  <w:style w:type="paragraph" w:styleId="Heading8">
    <w:name w:val="heading 8"/>
    <w:basedOn w:val="Normal"/>
    <w:next w:val="FERCparanumber"/>
    <w:qFormat/>
    <w:rsid w:val="00DD61BD"/>
    <w:pPr>
      <w:keepNext/>
      <w:keepLines/>
      <w:widowControl/>
      <w:numPr>
        <w:ilvl w:val="7"/>
        <w:numId w:val="3"/>
      </w:numPr>
      <w:spacing w:after="260"/>
      <w:outlineLvl w:val="7"/>
    </w:pPr>
    <w:rPr>
      <w:b/>
      <w:iCs/>
      <w:kern w:val="32"/>
      <w:u w:val="single"/>
    </w:rPr>
  </w:style>
  <w:style w:type="paragraph" w:styleId="Heading9">
    <w:name w:val="heading 9"/>
    <w:basedOn w:val="Normal"/>
    <w:next w:val="FERCparanumber"/>
    <w:qFormat/>
    <w:rsid w:val="00DD61BD"/>
    <w:pPr>
      <w:keepNext/>
      <w:keepLines/>
      <w:widowControl/>
      <w:numPr>
        <w:ilvl w:val="8"/>
        <w:numId w:val="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n Char Char,Footnote Text Char1 Char1 Char,Footnote Text Char Char Char1 Char,Footnote Text Char1 Char Char Char,Footnote Text Char Char Char Char Char,Footnote Text Char Char1,ft,fn,fn Char,f,C"/>
    <w:basedOn w:val="Normal"/>
    <w:link w:val="FootnoteTextChar"/>
    <w:uiPriority w:val="99"/>
    <w:qFormat/>
    <w:rsid w:val="00DD61BD"/>
    <w:pPr>
      <w:spacing w:after="240"/>
      <w:ind w:firstLine="720"/>
    </w:pPr>
    <w:rPr>
      <w:szCs w:val="20"/>
    </w:rPr>
  </w:style>
  <w:style w:type="character" w:styleId="FootnoteReference">
    <w:name w:val="footnote reference"/>
    <w:aliases w:val="o,fr,Style 17,Style 13,Style 12,Style 15,Style 9,o1,fr1,o2,fr2,o3,fr3,Style 18,(NECG) Footnote Reference,Style 20,Style 7,Style 8,Style 19,Style 28,Style 11,Style 16,Styl,Footnote Reference (EIS),fnr,Footnote reference (EA),Style 30,."/>
    <w:uiPriority w:val="99"/>
    <w:qFormat/>
    <w:rsid w:val="00DD61BD"/>
    <w:rPr>
      <w:rFonts w:ascii="Times New Roman" w:hAnsi="Times New Roman"/>
      <w:b/>
      <w:dstrike w:val="0"/>
      <w:sz w:val="26"/>
      <w:szCs w:val="26"/>
      <w:vertAlign w:val="superscript"/>
    </w:rPr>
  </w:style>
  <w:style w:type="character" w:styleId="Hyperlink">
    <w:name w:val="Hyperlink"/>
    <w:uiPriority w:val="99"/>
    <w:rsid w:val="00DD61BD"/>
    <w:rPr>
      <w:color w:val="0000FF"/>
      <w:u w:val="single"/>
    </w:rPr>
  </w:style>
  <w:style w:type="paragraph" w:styleId="Footer">
    <w:name w:val="footer"/>
    <w:basedOn w:val="Normal"/>
    <w:rsid w:val="00DD61BD"/>
    <w:pPr>
      <w:tabs>
        <w:tab w:val="center" w:pos="4320"/>
        <w:tab w:val="right" w:pos="8640"/>
      </w:tabs>
    </w:pPr>
  </w:style>
  <w:style w:type="paragraph" w:styleId="Header">
    <w:name w:val="header"/>
    <w:basedOn w:val="Normal"/>
    <w:link w:val="HeaderChar"/>
    <w:uiPriority w:val="99"/>
    <w:rsid w:val="00DD61BD"/>
    <w:pPr>
      <w:tabs>
        <w:tab w:val="right" w:pos="8640"/>
      </w:tabs>
      <w:spacing w:after="120"/>
    </w:pPr>
  </w:style>
  <w:style w:type="character" w:styleId="PageNumber">
    <w:name w:val="page number"/>
    <w:basedOn w:val="DefaultParagraphFont"/>
    <w:rsid w:val="00DD61BD"/>
  </w:style>
  <w:style w:type="paragraph" w:customStyle="1" w:styleId="FERCparanumber">
    <w:name w:val="FERC paranumber"/>
    <w:basedOn w:val="Normal"/>
    <w:link w:val="FERCparanumberChar"/>
    <w:qFormat/>
    <w:rsid w:val="00DD61BD"/>
    <w:pPr>
      <w:widowControl/>
      <w:numPr>
        <w:numId w:val="1"/>
      </w:numPr>
      <w:spacing w:line="480" w:lineRule="auto"/>
    </w:pPr>
  </w:style>
  <w:style w:type="table" w:styleId="TableGrid">
    <w:name w:val="Table Grid"/>
    <w:basedOn w:val="TableNormal"/>
    <w:rsid w:val="00DD61B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1 Char,Footnote Text Char Char Char,fn Char Char Char,Footnote Text Char1 Char1 Char Char,Footnote Text Char Char Char1 Char Char,Footnote Text Char1 Char Char Char Char,Footnote Text Char Char Char Char Char Char"/>
    <w:link w:val="FootnoteText"/>
    <w:uiPriority w:val="99"/>
    <w:rsid w:val="00DD61BD"/>
    <w:rPr>
      <w:sz w:val="26"/>
      <w:lang w:val="en-US" w:eastAsia="en-US" w:bidi="ar-SA"/>
    </w:rPr>
  </w:style>
  <w:style w:type="paragraph" w:styleId="BalloonText">
    <w:name w:val="Balloon Text"/>
    <w:basedOn w:val="Normal"/>
    <w:semiHidden/>
    <w:rsid w:val="00EF229D"/>
    <w:rPr>
      <w:rFonts w:ascii="Tahoma" w:hAnsi="Tahoma" w:cs="Tahoma"/>
      <w:sz w:val="16"/>
      <w:szCs w:val="16"/>
    </w:rPr>
  </w:style>
  <w:style w:type="paragraph" w:styleId="ListParagraph">
    <w:name w:val="List Paragraph"/>
    <w:basedOn w:val="Normal"/>
    <w:link w:val="ListParagraphChar"/>
    <w:uiPriority w:val="34"/>
    <w:qFormat/>
    <w:rsid w:val="00446E00"/>
    <w:pPr>
      <w:widowControl/>
      <w:autoSpaceDE/>
      <w:autoSpaceDN/>
      <w:adjustRightInd/>
      <w:ind w:left="720"/>
      <w:contextualSpacing/>
    </w:pPr>
    <w:rPr>
      <w:rFonts w:eastAsia="Calibri"/>
    </w:rPr>
  </w:style>
  <w:style w:type="character" w:customStyle="1" w:styleId="ListParagraphChar">
    <w:name w:val="List Paragraph Char"/>
    <w:link w:val="ListParagraph"/>
    <w:uiPriority w:val="34"/>
    <w:locked/>
    <w:rsid w:val="00446E00"/>
    <w:rPr>
      <w:rFonts w:eastAsia="Calibri"/>
      <w:sz w:val="26"/>
      <w:szCs w:val="24"/>
    </w:rPr>
  </w:style>
  <w:style w:type="paragraph" w:styleId="HTMLPreformatted">
    <w:name w:val="HTML Preformatted"/>
    <w:basedOn w:val="Normal"/>
    <w:link w:val="HTMLPreformattedChar"/>
    <w:uiPriority w:val="99"/>
    <w:rsid w:val="00774F2B"/>
    <w:pPr>
      <w:widowControl/>
      <w:autoSpaceDE/>
      <w:autoSpaceDN/>
      <w:adjustRightInd/>
    </w:pPr>
    <w:rPr>
      <w:rFonts w:ascii="Consolas" w:hAnsi="Consolas"/>
      <w:sz w:val="20"/>
      <w:szCs w:val="20"/>
    </w:rPr>
  </w:style>
  <w:style w:type="character" w:customStyle="1" w:styleId="HTMLPreformattedChar">
    <w:name w:val="HTML Preformatted Char"/>
    <w:link w:val="HTMLPreformatted"/>
    <w:uiPriority w:val="99"/>
    <w:rsid w:val="00774F2B"/>
    <w:rPr>
      <w:rFonts w:ascii="Consolas" w:hAnsi="Consolas"/>
    </w:rPr>
  </w:style>
  <w:style w:type="character" w:customStyle="1" w:styleId="HeaderChar">
    <w:name w:val="Header Char"/>
    <w:link w:val="Header"/>
    <w:uiPriority w:val="99"/>
    <w:rsid w:val="00BA08E8"/>
    <w:rPr>
      <w:sz w:val="26"/>
      <w:szCs w:val="24"/>
    </w:rPr>
  </w:style>
  <w:style w:type="character" w:styleId="CommentReference">
    <w:name w:val="annotation reference"/>
    <w:uiPriority w:val="99"/>
    <w:semiHidden/>
    <w:unhideWhenUsed/>
    <w:rsid w:val="00D46429"/>
    <w:rPr>
      <w:sz w:val="16"/>
      <w:szCs w:val="16"/>
    </w:rPr>
  </w:style>
  <w:style w:type="paragraph" w:styleId="CommentText">
    <w:name w:val="annotation text"/>
    <w:basedOn w:val="Normal"/>
    <w:link w:val="CommentTextChar"/>
    <w:uiPriority w:val="99"/>
    <w:unhideWhenUsed/>
    <w:rsid w:val="00D46429"/>
    <w:rPr>
      <w:sz w:val="20"/>
      <w:szCs w:val="20"/>
    </w:rPr>
  </w:style>
  <w:style w:type="character" w:customStyle="1" w:styleId="CommentTextChar">
    <w:name w:val="Comment Text Char"/>
    <w:basedOn w:val="DefaultParagraphFont"/>
    <w:link w:val="CommentText"/>
    <w:uiPriority w:val="99"/>
    <w:rsid w:val="00D46429"/>
  </w:style>
  <w:style w:type="paragraph" w:styleId="CommentSubject">
    <w:name w:val="annotation subject"/>
    <w:basedOn w:val="CommentText"/>
    <w:next w:val="CommentText"/>
    <w:link w:val="CommentSubjectChar"/>
    <w:uiPriority w:val="99"/>
    <w:semiHidden/>
    <w:unhideWhenUsed/>
    <w:rsid w:val="00D46429"/>
    <w:rPr>
      <w:b/>
      <w:bCs/>
    </w:rPr>
  </w:style>
  <w:style w:type="character" w:customStyle="1" w:styleId="CommentSubjectChar">
    <w:name w:val="Comment Subject Char"/>
    <w:link w:val="CommentSubject"/>
    <w:uiPriority w:val="99"/>
    <w:semiHidden/>
    <w:rsid w:val="00D46429"/>
    <w:rPr>
      <w:b/>
      <w:bCs/>
    </w:rPr>
  </w:style>
  <w:style w:type="character" w:customStyle="1" w:styleId="FERCparanumberChar">
    <w:name w:val="FERC paranumber Char"/>
    <w:link w:val="FERCparanumber"/>
    <w:rsid w:val="006E4241"/>
    <w:rPr>
      <w:sz w:val="26"/>
      <w:szCs w:val="24"/>
    </w:rPr>
  </w:style>
  <w:style w:type="character" w:customStyle="1" w:styleId="Heading7Char">
    <w:name w:val="Heading 7 Char"/>
    <w:link w:val="Heading7"/>
    <w:rsid w:val="004733B6"/>
    <w:rPr>
      <w:b/>
      <w:kern w:val="32"/>
      <w:sz w:val="26"/>
      <w:szCs w:val="24"/>
      <w:u w:val="single"/>
    </w:rPr>
  </w:style>
  <w:style w:type="paragraph" w:styleId="Revision">
    <w:name w:val="Revision"/>
    <w:hidden/>
    <w:uiPriority w:val="99"/>
    <w:semiHidden/>
    <w:rsid w:val="007C2A4D"/>
    <w:rPr>
      <w:sz w:val="26"/>
      <w:szCs w:val="24"/>
    </w:rPr>
  </w:style>
  <w:style w:type="character" w:styleId="FollowedHyperlink">
    <w:name w:val="FollowedHyperlink"/>
    <w:uiPriority w:val="99"/>
    <w:semiHidden/>
    <w:unhideWhenUsed/>
    <w:rsid w:val="004F7F8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1BD"/>
    <w:pPr>
      <w:widowControl w:val="0"/>
      <w:autoSpaceDE w:val="0"/>
      <w:autoSpaceDN w:val="0"/>
      <w:adjustRightInd w:val="0"/>
    </w:pPr>
    <w:rPr>
      <w:sz w:val="26"/>
      <w:szCs w:val="24"/>
    </w:rPr>
  </w:style>
  <w:style w:type="paragraph" w:styleId="Heading1">
    <w:name w:val="heading 1"/>
    <w:basedOn w:val="Normal"/>
    <w:next w:val="FERCparanumber"/>
    <w:qFormat/>
    <w:rsid w:val="00DD61BD"/>
    <w:pPr>
      <w:keepNext/>
      <w:keepLines/>
      <w:widowControl/>
      <w:numPr>
        <w:numId w:val="3"/>
      </w:numPr>
      <w:spacing w:after="260"/>
      <w:outlineLvl w:val="0"/>
    </w:pPr>
    <w:rPr>
      <w:b/>
      <w:bCs/>
      <w:kern w:val="32"/>
      <w:szCs w:val="32"/>
      <w:u w:val="single"/>
    </w:rPr>
  </w:style>
  <w:style w:type="paragraph" w:styleId="Heading2">
    <w:name w:val="heading 2"/>
    <w:basedOn w:val="Normal"/>
    <w:next w:val="FERCparanumber"/>
    <w:qFormat/>
    <w:rsid w:val="00DD61BD"/>
    <w:pPr>
      <w:keepNext/>
      <w:keepLines/>
      <w:widowControl/>
      <w:numPr>
        <w:ilvl w:val="1"/>
        <w:numId w:val="3"/>
      </w:numPr>
      <w:spacing w:after="260"/>
      <w:outlineLvl w:val="1"/>
    </w:pPr>
    <w:rPr>
      <w:b/>
      <w:bCs/>
      <w:iCs/>
      <w:kern w:val="32"/>
      <w:szCs w:val="28"/>
      <w:u w:val="single"/>
    </w:rPr>
  </w:style>
  <w:style w:type="paragraph" w:styleId="Heading3">
    <w:name w:val="heading 3"/>
    <w:basedOn w:val="Normal"/>
    <w:next w:val="FERCparanumber"/>
    <w:qFormat/>
    <w:rsid w:val="00DD61BD"/>
    <w:pPr>
      <w:keepNext/>
      <w:keepLines/>
      <w:widowControl/>
      <w:numPr>
        <w:ilvl w:val="2"/>
        <w:numId w:val="3"/>
      </w:numPr>
      <w:spacing w:after="260"/>
      <w:outlineLvl w:val="2"/>
    </w:pPr>
    <w:rPr>
      <w:b/>
      <w:bCs/>
      <w:kern w:val="32"/>
      <w:szCs w:val="26"/>
      <w:u w:val="single"/>
    </w:rPr>
  </w:style>
  <w:style w:type="paragraph" w:styleId="Heading4">
    <w:name w:val="heading 4"/>
    <w:basedOn w:val="Normal"/>
    <w:next w:val="FERCparanumber"/>
    <w:qFormat/>
    <w:rsid w:val="00DD61BD"/>
    <w:pPr>
      <w:keepNext/>
      <w:keepLines/>
      <w:widowControl/>
      <w:numPr>
        <w:ilvl w:val="3"/>
        <w:numId w:val="3"/>
      </w:numPr>
      <w:spacing w:after="260"/>
      <w:outlineLvl w:val="3"/>
    </w:pPr>
    <w:rPr>
      <w:b/>
      <w:bCs/>
      <w:kern w:val="32"/>
      <w:szCs w:val="28"/>
      <w:u w:val="single"/>
    </w:rPr>
  </w:style>
  <w:style w:type="paragraph" w:styleId="Heading5">
    <w:name w:val="heading 5"/>
    <w:basedOn w:val="Normal"/>
    <w:next w:val="FERCparanumber"/>
    <w:qFormat/>
    <w:rsid w:val="00DD61BD"/>
    <w:pPr>
      <w:keepNext/>
      <w:keepLines/>
      <w:widowControl/>
      <w:numPr>
        <w:ilvl w:val="4"/>
        <w:numId w:val="3"/>
      </w:numPr>
      <w:spacing w:after="260"/>
      <w:outlineLvl w:val="4"/>
    </w:pPr>
    <w:rPr>
      <w:b/>
      <w:bCs/>
      <w:iCs/>
      <w:kern w:val="32"/>
      <w:szCs w:val="26"/>
      <w:u w:val="single"/>
    </w:rPr>
  </w:style>
  <w:style w:type="paragraph" w:styleId="Heading6">
    <w:name w:val="heading 6"/>
    <w:basedOn w:val="Normal"/>
    <w:next w:val="FERCparanumber"/>
    <w:qFormat/>
    <w:rsid w:val="00DD61BD"/>
    <w:pPr>
      <w:keepNext/>
      <w:keepLines/>
      <w:widowControl/>
      <w:numPr>
        <w:ilvl w:val="5"/>
        <w:numId w:val="3"/>
      </w:numPr>
      <w:spacing w:after="260"/>
      <w:outlineLvl w:val="5"/>
    </w:pPr>
    <w:rPr>
      <w:b/>
      <w:bCs/>
      <w:kern w:val="32"/>
      <w:szCs w:val="22"/>
      <w:u w:val="single"/>
    </w:rPr>
  </w:style>
  <w:style w:type="paragraph" w:styleId="Heading7">
    <w:name w:val="heading 7"/>
    <w:basedOn w:val="Normal"/>
    <w:next w:val="FERCparanumber"/>
    <w:link w:val="Heading7Char"/>
    <w:qFormat/>
    <w:rsid w:val="00DD61BD"/>
    <w:pPr>
      <w:numPr>
        <w:ilvl w:val="6"/>
        <w:numId w:val="3"/>
      </w:numPr>
      <w:spacing w:after="260"/>
      <w:outlineLvl w:val="6"/>
    </w:pPr>
    <w:rPr>
      <w:b/>
      <w:kern w:val="32"/>
      <w:u w:val="single"/>
    </w:rPr>
  </w:style>
  <w:style w:type="paragraph" w:styleId="Heading8">
    <w:name w:val="heading 8"/>
    <w:basedOn w:val="Normal"/>
    <w:next w:val="FERCparanumber"/>
    <w:qFormat/>
    <w:rsid w:val="00DD61BD"/>
    <w:pPr>
      <w:keepNext/>
      <w:keepLines/>
      <w:widowControl/>
      <w:numPr>
        <w:ilvl w:val="7"/>
        <w:numId w:val="3"/>
      </w:numPr>
      <w:spacing w:after="260"/>
      <w:outlineLvl w:val="7"/>
    </w:pPr>
    <w:rPr>
      <w:b/>
      <w:iCs/>
      <w:kern w:val="32"/>
      <w:u w:val="single"/>
    </w:rPr>
  </w:style>
  <w:style w:type="paragraph" w:styleId="Heading9">
    <w:name w:val="heading 9"/>
    <w:basedOn w:val="Normal"/>
    <w:next w:val="FERCparanumber"/>
    <w:qFormat/>
    <w:rsid w:val="00DD61BD"/>
    <w:pPr>
      <w:keepNext/>
      <w:keepLines/>
      <w:widowControl/>
      <w:numPr>
        <w:ilvl w:val="8"/>
        <w:numId w:val="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n Char Char,Footnote Text Char1 Char1 Char,Footnote Text Char Char Char1 Char,Footnote Text Char1 Char Char Char,Footnote Text Char Char Char Char Char,Footnote Text Char Char1,ft,fn,fn Char,f,C"/>
    <w:basedOn w:val="Normal"/>
    <w:link w:val="FootnoteTextChar"/>
    <w:uiPriority w:val="99"/>
    <w:qFormat/>
    <w:rsid w:val="00DD61BD"/>
    <w:pPr>
      <w:spacing w:after="240"/>
      <w:ind w:firstLine="720"/>
    </w:pPr>
    <w:rPr>
      <w:szCs w:val="20"/>
    </w:rPr>
  </w:style>
  <w:style w:type="character" w:styleId="FootnoteReference">
    <w:name w:val="footnote reference"/>
    <w:aliases w:val="o,fr,Style 17,Style 13,Style 12,Style 15,Style 9,o1,fr1,o2,fr2,o3,fr3,Style 18,(NECG) Footnote Reference,Style 20,Style 7,Style 8,Style 19,Style 28,Style 11,Style 16,Styl,Footnote Reference (EIS),fnr,Footnote reference (EA),Style 30,."/>
    <w:uiPriority w:val="99"/>
    <w:qFormat/>
    <w:rsid w:val="00DD61BD"/>
    <w:rPr>
      <w:rFonts w:ascii="Times New Roman" w:hAnsi="Times New Roman"/>
      <w:b/>
      <w:dstrike w:val="0"/>
      <w:sz w:val="26"/>
      <w:szCs w:val="26"/>
      <w:vertAlign w:val="superscript"/>
    </w:rPr>
  </w:style>
  <w:style w:type="character" w:styleId="Hyperlink">
    <w:name w:val="Hyperlink"/>
    <w:uiPriority w:val="99"/>
    <w:rsid w:val="00DD61BD"/>
    <w:rPr>
      <w:color w:val="0000FF"/>
      <w:u w:val="single"/>
    </w:rPr>
  </w:style>
  <w:style w:type="paragraph" w:styleId="Footer">
    <w:name w:val="footer"/>
    <w:basedOn w:val="Normal"/>
    <w:rsid w:val="00DD61BD"/>
    <w:pPr>
      <w:tabs>
        <w:tab w:val="center" w:pos="4320"/>
        <w:tab w:val="right" w:pos="8640"/>
      </w:tabs>
    </w:pPr>
  </w:style>
  <w:style w:type="paragraph" w:styleId="Header">
    <w:name w:val="header"/>
    <w:basedOn w:val="Normal"/>
    <w:link w:val="HeaderChar"/>
    <w:uiPriority w:val="99"/>
    <w:rsid w:val="00DD61BD"/>
    <w:pPr>
      <w:tabs>
        <w:tab w:val="right" w:pos="8640"/>
      </w:tabs>
      <w:spacing w:after="120"/>
    </w:pPr>
  </w:style>
  <w:style w:type="character" w:styleId="PageNumber">
    <w:name w:val="page number"/>
    <w:basedOn w:val="DefaultParagraphFont"/>
    <w:rsid w:val="00DD61BD"/>
  </w:style>
  <w:style w:type="paragraph" w:customStyle="1" w:styleId="FERCparanumber">
    <w:name w:val="FERC paranumber"/>
    <w:basedOn w:val="Normal"/>
    <w:link w:val="FERCparanumberChar"/>
    <w:qFormat/>
    <w:rsid w:val="00DD61BD"/>
    <w:pPr>
      <w:widowControl/>
      <w:numPr>
        <w:numId w:val="1"/>
      </w:numPr>
      <w:spacing w:line="480" w:lineRule="auto"/>
    </w:pPr>
  </w:style>
  <w:style w:type="table" w:styleId="TableGrid">
    <w:name w:val="Table Grid"/>
    <w:basedOn w:val="TableNormal"/>
    <w:rsid w:val="00DD61B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1 Char,Footnote Text Char Char Char,fn Char Char Char,Footnote Text Char1 Char1 Char Char,Footnote Text Char Char Char1 Char Char,Footnote Text Char1 Char Char Char Char,Footnote Text Char Char Char Char Char Char"/>
    <w:link w:val="FootnoteText"/>
    <w:uiPriority w:val="99"/>
    <w:rsid w:val="00DD61BD"/>
    <w:rPr>
      <w:sz w:val="26"/>
      <w:lang w:val="en-US" w:eastAsia="en-US" w:bidi="ar-SA"/>
    </w:rPr>
  </w:style>
  <w:style w:type="paragraph" w:styleId="BalloonText">
    <w:name w:val="Balloon Text"/>
    <w:basedOn w:val="Normal"/>
    <w:semiHidden/>
    <w:rsid w:val="00EF229D"/>
    <w:rPr>
      <w:rFonts w:ascii="Tahoma" w:hAnsi="Tahoma" w:cs="Tahoma"/>
      <w:sz w:val="16"/>
      <w:szCs w:val="16"/>
    </w:rPr>
  </w:style>
  <w:style w:type="paragraph" w:styleId="ListParagraph">
    <w:name w:val="List Paragraph"/>
    <w:basedOn w:val="Normal"/>
    <w:link w:val="ListParagraphChar"/>
    <w:uiPriority w:val="34"/>
    <w:qFormat/>
    <w:rsid w:val="00446E00"/>
    <w:pPr>
      <w:widowControl/>
      <w:autoSpaceDE/>
      <w:autoSpaceDN/>
      <w:adjustRightInd/>
      <w:ind w:left="720"/>
      <w:contextualSpacing/>
    </w:pPr>
    <w:rPr>
      <w:rFonts w:eastAsia="Calibri"/>
    </w:rPr>
  </w:style>
  <w:style w:type="character" w:customStyle="1" w:styleId="ListParagraphChar">
    <w:name w:val="List Paragraph Char"/>
    <w:link w:val="ListParagraph"/>
    <w:uiPriority w:val="34"/>
    <w:locked/>
    <w:rsid w:val="00446E00"/>
    <w:rPr>
      <w:rFonts w:eastAsia="Calibri"/>
      <w:sz w:val="26"/>
      <w:szCs w:val="24"/>
    </w:rPr>
  </w:style>
  <w:style w:type="paragraph" w:styleId="HTMLPreformatted">
    <w:name w:val="HTML Preformatted"/>
    <w:basedOn w:val="Normal"/>
    <w:link w:val="HTMLPreformattedChar"/>
    <w:uiPriority w:val="99"/>
    <w:rsid w:val="00774F2B"/>
    <w:pPr>
      <w:widowControl/>
      <w:autoSpaceDE/>
      <w:autoSpaceDN/>
      <w:adjustRightInd/>
    </w:pPr>
    <w:rPr>
      <w:rFonts w:ascii="Consolas" w:hAnsi="Consolas"/>
      <w:sz w:val="20"/>
      <w:szCs w:val="20"/>
    </w:rPr>
  </w:style>
  <w:style w:type="character" w:customStyle="1" w:styleId="HTMLPreformattedChar">
    <w:name w:val="HTML Preformatted Char"/>
    <w:link w:val="HTMLPreformatted"/>
    <w:uiPriority w:val="99"/>
    <w:rsid w:val="00774F2B"/>
    <w:rPr>
      <w:rFonts w:ascii="Consolas" w:hAnsi="Consolas"/>
    </w:rPr>
  </w:style>
  <w:style w:type="character" w:customStyle="1" w:styleId="HeaderChar">
    <w:name w:val="Header Char"/>
    <w:link w:val="Header"/>
    <w:uiPriority w:val="99"/>
    <w:rsid w:val="00BA08E8"/>
    <w:rPr>
      <w:sz w:val="26"/>
      <w:szCs w:val="24"/>
    </w:rPr>
  </w:style>
  <w:style w:type="character" w:styleId="CommentReference">
    <w:name w:val="annotation reference"/>
    <w:uiPriority w:val="99"/>
    <w:semiHidden/>
    <w:unhideWhenUsed/>
    <w:rsid w:val="00D46429"/>
    <w:rPr>
      <w:sz w:val="16"/>
      <w:szCs w:val="16"/>
    </w:rPr>
  </w:style>
  <w:style w:type="paragraph" w:styleId="CommentText">
    <w:name w:val="annotation text"/>
    <w:basedOn w:val="Normal"/>
    <w:link w:val="CommentTextChar"/>
    <w:uiPriority w:val="99"/>
    <w:unhideWhenUsed/>
    <w:rsid w:val="00D46429"/>
    <w:rPr>
      <w:sz w:val="20"/>
      <w:szCs w:val="20"/>
    </w:rPr>
  </w:style>
  <w:style w:type="character" w:customStyle="1" w:styleId="CommentTextChar">
    <w:name w:val="Comment Text Char"/>
    <w:basedOn w:val="DefaultParagraphFont"/>
    <w:link w:val="CommentText"/>
    <w:uiPriority w:val="99"/>
    <w:rsid w:val="00D46429"/>
  </w:style>
  <w:style w:type="paragraph" w:styleId="CommentSubject">
    <w:name w:val="annotation subject"/>
    <w:basedOn w:val="CommentText"/>
    <w:next w:val="CommentText"/>
    <w:link w:val="CommentSubjectChar"/>
    <w:uiPriority w:val="99"/>
    <w:semiHidden/>
    <w:unhideWhenUsed/>
    <w:rsid w:val="00D46429"/>
    <w:rPr>
      <w:b/>
      <w:bCs/>
    </w:rPr>
  </w:style>
  <w:style w:type="character" w:customStyle="1" w:styleId="CommentSubjectChar">
    <w:name w:val="Comment Subject Char"/>
    <w:link w:val="CommentSubject"/>
    <w:uiPriority w:val="99"/>
    <w:semiHidden/>
    <w:rsid w:val="00D46429"/>
    <w:rPr>
      <w:b/>
      <w:bCs/>
    </w:rPr>
  </w:style>
  <w:style w:type="character" w:customStyle="1" w:styleId="FERCparanumberChar">
    <w:name w:val="FERC paranumber Char"/>
    <w:link w:val="FERCparanumber"/>
    <w:rsid w:val="006E4241"/>
    <w:rPr>
      <w:sz w:val="26"/>
      <w:szCs w:val="24"/>
    </w:rPr>
  </w:style>
  <w:style w:type="character" w:customStyle="1" w:styleId="Heading7Char">
    <w:name w:val="Heading 7 Char"/>
    <w:link w:val="Heading7"/>
    <w:rsid w:val="004733B6"/>
    <w:rPr>
      <w:b/>
      <w:kern w:val="32"/>
      <w:sz w:val="26"/>
      <w:szCs w:val="24"/>
      <w:u w:val="single"/>
    </w:rPr>
  </w:style>
  <w:style w:type="paragraph" w:styleId="Revision">
    <w:name w:val="Revision"/>
    <w:hidden/>
    <w:uiPriority w:val="99"/>
    <w:semiHidden/>
    <w:rsid w:val="007C2A4D"/>
    <w:rPr>
      <w:sz w:val="26"/>
      <w:szCs w:val="24"/>
    </w:rPr>
  </w:style>
  <w:style w:type="character" w:styleId="FollowedHyperlink">
    <w:name w:val="FollowedHyperlink"/>
    <w:uiPriority w:val="99"/>
    <w:semiHidden/>
    <w:unhideWhenUsed/>
    <w:rsid w:val="004F7F8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5645">
      <w:bodyDiv w:val="1"/>
      <w:marLeft w:val="0"/>
      <w:marRight w:val="0"/>
      <w:marTop w:val="0"/>
      <w:marBottom w:val="0"/>
      <w:divBdr>
        <w:top w:val="none" w:sz="0" w:space="0" w:color="auto"/>
        <w:left w:val="none" w:sz="0" w:space="0" w:color="auto"/>
        <w:bottom w:val="none" w:sz="0" w:space="0" w:color="auto"/>
        <w:right w:val="none" w:sz="0" w:space="0" w:color="auto"/>
      </w:divBdr>
    </w:div>
    <w:div w:id="739982403">
      <w:bodyDiv w:val="1"/>
      <w:marLeft w:val="0"/>
      <w:marRight w:val="0"/>
      <w:marTop w:val="0"/>
      <w:marBottom w:val="0"/>
      <w:divBdr>
        <w:top w:val="none" w:sz="0" w:space="0" w:color="auto"/>
        <w:left w:val="none" w:sz="0" w:space="0" w:color="auto"/>
        <w:bottom w:val="none" w:sz="0" w:space="0" w:color="auto"/>
        <w:right w:val="none" w:sz="0" w:space="0" w:color="auto"/>
      </w:divBdr>
    </w:div>
    <w:div w:id="778598866">
      <w:bodyDiv w:val="1"/>
      <w:marLeft w:val="0"/>
      <w:marRight w:val="0"/>
      <w:marTop w:val="0"/>
      <w:marBottom w:val="0"/>
      <w:divBdr>
        <w:top w:val="none" w:sz="0" w:space="0" w:color="auto"/>
        <w:left w:val="none" w:sz="0" w:space="0" w:color="auto"/>
        <w:bottom w:val="none" w:sz="0" w:space="0" w:color="auto"/>
        <w:right w:val="none" w:sz="0" w:space="0" w:color="auto"/>
      </w:divBdr>
    </w:div>
    <w:div w:id="866986346">
      <w:bodyDiv w:val="1"/>
      <w:marLeft w:val="0"/>
      <w:marRight w:val="0"/>
      <w:marTop w:val="0"/>
      <w:marBottom w:val="0"/>
      <w:divBdr>
        <w:top w:val="none" w:sz="0" w:space="0" w:color="auto"/>
        <w:left w:val="none" w:sz="0" w:space="0" w:color="auto"/>
        <w:bottom w:val="none" w:sz="0" w:space="0" w:color="auto"/>
        <w:right w:val="none" w:sz="0" w:space="0" w:color="auto"/>
      </w:divBdr>
    </w:div>
    <w:div w:id="1323046219">
      <w:bodyDiv w:val="1"/>
      <w:marLeft w:val="0"/>
      <w:marRight w:val="0"/>
      <w:marTop w:val="0"/>
      <w:marBottom w:val="0"/>
      <w:divBdr>
        <w:top w:val="none" w:sz="0" w:space="0" w:color="auto"/>
        <w:left w:val="none" w:sz="0" w:space="0" w:color="auto"/>
        <w:bottom w:val="none" w:sz="0" w:space="0" w:color="auto"/>
        <w:right w:val="none" w:sz="0" w:space="0" w:color="auto"/>
      </w:divBdr>
    </w:div>
    <w:div w:id="1539852672">
      <w:bodyDiv w:val="1"/>
      <w:marLeft w:val="0"/>
      <w:marRight w:val="0"/>
      <w:marTop w:val="0"/>
      <w:marBottom w:val="0"/>
      <w:divBdr>
        <w:top w:val="none" w:sz="0" w:space="0" w:color="auto"/>
        <w:left w:val="none" w:sz="0" w:space="0" w:color="auto"/>
        <w:bottom w:val="none" w:sz="0" w:space="0" w:color="auto"/>
        <w:right w:val="none" w:sz="0" w:space="0" w:color="auto"/>
      </w:divBdr>
    </w:div>
    <w:div w:id="1803497655">
      <w:bodyDiv w:val="1"/>
      <w:marLeft w:val="0"/>
      <w:marRight w:val="0"/>
      <w:marTop w:val="0"/>
      <w:marBottom w:val="0"/>
      <w:divBdr>
        <w:top w:val="none" w:sz="0" w:space="0" w:color="auto"/>
        <w:left w:val="none" w:sz="0" w:space="0" w:color="auto"/>
        <w:bottom w:val="none" w:sz="0" w:space="0" w:color="auto"/>
        <w:right w:val="none" w:sz="0" w:space="0" w:color="auto"/>
      </w:divBdr>
    </w:div>
    <w:div w:id="1912498157">
      <w:bodyDiv w:val="1"/>
      <w:marLeft w:val="0"/>
      <w:marRight w:val="0"/>
      <w:marTop w:val="0"/>
      <w:marBottom w:val="0"/>
      <w:divBdr>
        <w:top w:val="none" w:sz="0" w:space="0" w:color="auto"/>
        <w:left w:val="none" w:sz="0" w:space="0" w:color="auto"/>
        <w:bottom w:val="none" w:sz="0" w:space="0" w:color="auto"/>
        <w:right w:val="none" w:sz="0" w:space="0" w:color="auto"/>
      </w:divBdr>
    </w:div>
    <w:div w:id="206663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nerc.com/pa/RAPA/PA/Performance%20Analysis%20DL/2015%20State%20of%20Reliability.pdf" TargetMode="External"/><Relationship Id="rId13" Type="http://schemas.openxmlformats.org/officeDocument/2006/relationships/hyperlink" Target="http://www.nerc.com/pa/rrm/Webinars%20DL/Generator_Governor_Frequency_Response_Webinar_April_2015.pdf" TargetMode="External"/><Relationship Id="rId18" Type="http://schemas.openxmlformats.org/officeDocument/2006/relationships/hyperlink" Target="http://www.iso-ne.com/rules_proceds/operating/isone/op14/op14_rto_final.pdf" TargetMode="External"/><Relationship Id="rId3" Type="http://schemas.openxmlformats.org/officeDocument/2006/relationships/hyperlink" Target="http://www.nerc.com/pa/RAPA/ra/Reliability%20Assessments%20DL/2015LTRA%20-%20Final%20Report.pdf" TargetMode="External"/><Relationship Id="rId21" Type="http://schemas.openxmlformats.org/officeDocument/2006/relationships/hyperlink" Target="https://www.serc1.org/docs/default-source/outreach/communications/resource-documents/serc-transmission-reference/201505---st/primary-frequency-response.pdf?sfvrsn=2" TargetMode="External"/><Relationship Id="rId7" Type="http://schemas.openxmlformats.org/officeDocument/2006/relationships/hyperlink" Target="http://www.nerc.com/comm/Other/essntlrlbltysrvcstskfrcDL/ERSTF%20Framework%20Report%20-%20Final.pdf" TargetMode="External"/><Relationship Id="rId12" Type="http://schemas.openxmlformats.org/officeDocument/2006/relationships/hyperlink" Target="http://www.nerc.com/pa/RAPA/PA/Performance%20Analysis%20DL/2015%20State%20of%20Reliability.pdf" TargetMode="External"/><Relationship Id="rId17" Type="http://schemas.openxmlformats.org/officeDocument/2006/relationships/hyperlink" Target="http://www.nerc.com/FilingsOrders/us/NERC%20Filings%20to%20FERC%20DL/Final_Info_Filing_Freq_Resp_Annual_Report_03202015.pdf" TargetMode="External"/><Relationship Id="rId2" Type="http://schemas.openxmlformats.org/officeDocument/2006/relationships/hyperlink" Target="http://www.seia.org/research-resources/solar-market-insight-report-2015-q1" TargetMode="External"/><Relationship Id="rId16" Type="http://schemas.openxmlformats.org/officeDocument/2006/relationships/hyperlink" Target="http://www.nerc.com/pa/Stand/Project%20200712%20Frequency%20Response%20DL/Procedure_Clean_20121130.pdf" TargetMode="External"/><Relationship Id="rId20" Type="http://schemas.openxmlformats.org/officeDocument/2006/relationships/hyperlink" Target="http://www.nerc.com/comm/OC/RS%20Landing%20Page%20DL/Related%20Files/2015_FRAA_Report_Final.pdf" TargetMode="External"/><Relationship Id="rId1" Type="http://schemas.openxmlformats.org/officeDocument/2006/relationships/hyperlink" Target="http://energy.lbl.gov/ea/certs/pdf/lbnl-4142e.pdf" TargetMode="External"/><Relationship Id="rId6" Type="http://schemas.openxmlformats.org/officeDocument/2006/relationships/hyperlink" Target="http://www.nerc.com/comm/Other/essntlrlbltysrvcstskfrcDL/Scope_ERSTF_Final.pdf" TargetMode="External"/><Relationship Id="rId11" Type="http://schemas.openxmlformats.org/officeDocument/2006/relationships/hyperlink" Target="http://www.nerc.com/comm/OC/AgendasHighlightsMinutes/Operating%20Committee%20Minutes%20-%20Dec%2015-16%202015-Final.pdf" TargetMode="External"/><Relationship Id="rId5" Type="http://schemas.openxmlformats.org/officeDocument/2006/relationships/hyperlink" Target="http://site.ge-energy.com/prod_serv/products/renewable_energy/en/downloads/GEA17210.pdf" TargetMode="External"/><Relationship Id="rId15" Type="http://schemas.openxmlformats.org/officeDocument/2006/relationships/hyperlink" Target="http://www.nerc.com/docs/pc/FRI_Report_10-30-12_Master_w-appendices.pdf" TargetMode="External"/><Relationship Id="rId10" Type="http://schemas.openxmlformats.org/officeDocument/2006/relationships/hyperlink" Target="http://www.nerc.com/comm/OC/Reliability%20Guideline%20DL/Primary_Frequency_Control_final.pdf" TargetMode="External"/><Relationship Id="rId19" Type="http://schemas.openxmlformats.org/officeDocument/2006/relationships/hyperlink" Target="http://www.nerc.com/pa/RAPA/ra/Reliability%20Assessments%20DL/2014LTRA_ERATTA.pdf" TargetMode="External"/><Relationship Id="rId4" Type="http://schemas.openxmlformats.org/officeDocument/2006/relationships/hyperlink" Target="http://www.nerc.com/pa/RAPA/ra/Reliability%20Assessments%20DL/2015_Summer_Reliability_Assessment.pdf" TargetMode="External"/><Relationship Id="rId9" Type="http://schemas.openxmlformats.org/officeDocument/2006/relationships/hyperlink" Target="http://www.nerc.com/pa/rrm/bpsa/Alerts%20DL/2015%20Alerts/NERC%20Alert%20A-2015-02-05-01%20Generator%20Governor%20Frequency%20Response.pdf" TargetMode="External"/><Relationship Id="rId14" Type="http://schemas.openxmlformats.org/officeDocument/2006/relationships/hyperlink" Target="http://energy.lbl.gov/ea/certs/pdf/lbnl-4144e.pdf" TargetMode="External"/><Relationship Id="rId22" Type="http://schemas.openxmlformats.org/officeDocument/2006/relationships/hyperlink" Target="http://www.nerc.com/pa/rrm/Webinars%20DL/Generator_Governor_Frequency_Response_Webinar_QandA_April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7DF4-D4D9-405D-A8D3-37A6B3D35410}">
  <ds:schemaRefs>
    <ds:schemaRef ds:uri="http://schemas.microsoft.com/sharepoint/v3/contenttype/forms"/>
  </ds:schemaRefs>
</ds:datastoreItem>
</file>

<file path=customXml/itemProps2.xml><?xml version="1.0" encoding="utf-8"?>
<ds:datastoreItem xmlns:ds="http://schemas.openxmlformats.org/officeDocument/2006/customXml" ds:itemID="{975EEBC3-6976-49FF-A2FC-603295273118}">
  <ds:schemaRefs>
    <ds:schemaRef ds:uri="http://schemas.microsoft.com/office/2006/metadata/properties"/>
  </ds:schemaRefs>
</ds:datastoreItem>
</file>

<file path=customXml/itemProps3.xml><?xml version="1.0" encoding="utf-8"?>
<ds:datastoreItem xmlns:ds="http://schemas.openxmlformats.org/officeDocument/2006/customXml" ds:itemID="{A6E5863B-CED0-4888-9C05-68A12EDA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2C28FE8-4F66-4B3C-9B55-6180A211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7871</Words>
  <Characters>44867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52633</CharactersWithSpaces>
  <SharedDoc>false</SharedDoc>
  <HyperlinkBase/>
  <HLinks>
    <vt:vector size="168" baseType="variant">
      <vt:variant>
        <vt:i4>4128873</vt:i4>
      </vt:variant>
      <vt:variant>
        <vt:i4>6</vt:i4>
      </vt:variant>
      <vt:variant>
        <vt:i4>0</vt:i4>
      </vt:variant>
      <vt:variant>
        <vt:i4>5</vt:i4>
      </vt:variant>
      <vt:variant>
        <vt:lpwstr>http://www.ferc.gov/docs-filing/efiling.asp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5308487</vt:i4>
      </vt:variant>
      <vt:variant>
        <vt:i4>0</vt:i4>
      </vt:variant>
      <vt:variant>
        <vt:i4>0</vt:i4>
      </vt:variant>
      <vt:variant>
        <vt:i4>5</vt:i4>
      </vt:variant>
      <vt:variant>
        <vt:lpwstr>http://www.ferc.gov/</vt:lpwstr>
      </vt:variant>
      <vt:variant>
        <vt:lpwstr/>
      </vt:variant>
      <vt:variant>
        <vt:i4>720928</vt:i4>
      </vt:variant>
      <vt:variant>
        <vt:i4>87</vt:i4>
      </vt:variant>
      <vt:variant>
        <vt:i4>0</vt:i4>
      </vt:variant>
      <vt:variant>
        <vt:i4>5</vt:i4>
      </vt:variant>
      <vt:variant>
        <vt:lpwstr>http://resourcecenter.ieee-pes.org/files/2013/11/TR13_TP180_Full_Content.pdf</vt:lpwstr>
      </vt:variant>
      <vt:variant>
        <vt:lpwstr/>
      </vt:variant>
      <vt:variant>
        <vt:i4>393261</vt:i4>
      </vt:variant>
      <vt:variant>
        <vt:i4>84</vt:i4>
      </vt:variant>
      <vt:variant>
        <vt:i4>0</vt:i4>
      </vt:variant>
      <vt:variant>
        <vt:i4>5</vt:i4>
      </vt:variant>
      <vt:variant>
        <vt:lpwstr>http://www.nerc.com/comm/OC/Reliability Guideline DL/Primary_Frequency_Control_DRAFT.pdf</vt:lpwstr>
      </vt:variant>
      <vt:variant>
        <vt:lpwstr/>
      </vt:variant>
      <vt:variant>
        <vt:i4>4784176</vt:i4>
      </vt:variant>
      <vt:variant>
        <vt:i4>81</vt:i4>
      </vt:variant>
      <vt:variant>
        <vt:i4>0</vt:i4>
      </vt:variant>
      <vt:variant>
        <vt:i4>5</vt:i4>
      </vt:variant>
      <vt:variant>
        <vt:lpwstr>http://www.nerc.com/pa/rrm/Webinars DL/Generator_Governor_Frequency_Response_Webinar_QandA_April_2015.pdf</vt:lpwstr>
      </vt:variant>
      <vt:variant>
        <vt:lpwstr/>
      </vt:variant>
      <vt:variant>
        <vt:i4>1310813</vt:i4>
      </vt:variant>
      <vt:variant>
        <vt:i4>78</vt:i4>
      </vt:variant>
      <vt:variant>
        <vt:i4>0</vt:i4>
      </vt:variant>
      <vt:variant>
        <vt:i4>5</vt:i4>
      </vt:variant>
      <vt:variant>
        <vt:lpwstr>https://www.serc1.org/docs/default-source/outreach/communications/resource-documents/serc-transmission-reference/201505---st/primary-frequency-response.pdf?sfvrsn=2</vt:lpwstr>
      </vt:variant>
      <vt:variant>
        <vt:lpwstr/>
      </vt:variant>
      <vt:variant>
        <vt:i4>1245233</vt:i4>
      </vt:variant>
      <vt:variant>
        <vt:i4>63</vt:i4>
      </vt:variant>
      <vt:variant>
        <vt:i4>0</vt:i4>
      </vt:variant>
      <vt:variant>
        <vt:i4>5</vt:i4>
      </vt:variant>
      <vt:variant>
        <vt:lpwstr>http://www.nerc.com/comm/OC/Reliability Guideline DL/Primary_Frequency_Control_final.pdf</vt:lpwstr>
      </vt:variant>
      <vt:variant>
        <vt:lpwstr/>
      </vt:variant>
      <vt:variant>
        <vt:i4>4063269</vt:i4>
      </vt:variant>
      <vt:variant>
        <vt:i4>60</vt:i4>
      </vt:variant>
      <vt:variant>
        <vt:i4>0</vt:i4>
      </vt:variant>
      <vt:variant>
        <vt:i4>5</vt:i4>
      </vt:variant>
      <vt:variant>
        <vt:lpwstr>http://www.nerc.com/pa/rrm/bpsa/Alerts DL/2015 Alerts/NERC Alert A-2015-02-05-01 Generator Governor Frequency Response.pdf</vt:lpwstr>
      </vt:variant>
      <vt:variant>
        <vt:lpwstr/>
      </vt:variant>
      <vt:variant>
        <vt:i4>2228279</vt:i4>
      </vt:variant>
      <vt:variant>
        <vt:i4>57</vt:i4>
      </vt:variant>
      <vt:variant>
        <vt:i4>0</vt:i4>
      </vt:variant>
      <vt:variant>
        <vt:i4>5</vt:i4>
      </vt:variant>
      <vt:variant>
        <vt:lpwstr>http://www.nerc.com/docs/pc/FRI_Report_10-30-12_Master_w-appendices.pdf</vt:lpwstr>
      </vt:variant>
      <vt:variant>
        <vt:lpwstr/>
      </vt:variant>
      <vt:variant>
        <vt:i4>196705</vt:i4>
      </vt:variant>
      <vt:variant>
        <vt:i4>54</vt:i4>
      </vt:variant>
      <vt:variant>
        <vt:i4>0</vt:i4>
      </vt:variant>
      <vt:variant>
        <vt:i4>5</vt:i4>
      </vt:variant>
      <vt:variant>
        <vt:lpwstr>http://www.nerc.com/pa/RAPA/ra/Reliability Assessments DL/2014LTRA_ERATTA.pdf</vt:lpwstr>
      </vt:variant>
      <vt:variant>
        <vt:lpwstr/>
      </vt:variant>
      <vt:variant>
        <vt:i4>4194374</vt:i4>
      </vt:variant>
      <vt:variant>
        <vt:i4>51</vt:i4>
      </vt:variant>
      <vt:variant>
        <vt:i4>0</vt:i4>
      </vt:variant>
      <vt:variant>
        <vt:i4>5</vt:i4>
      </vt:variant>
      <vt:variant>
        <vt:lpwstr>https://www.wecc.biz/Reliability/PRC-001-WECC-CRT-1.1.pdf</vt:lpwstr>
      </vt:variant>
      <vt:variant>
        <vt:lpwstr/>
      </vt:variant>
      <vt:variant>
        <vt:i4>1114171</vt:i4>
      </vt:variant>
      <vt:variant>
        <vt:i4>48</vt:i4>
      </vt:variant>
      <vt:variant>
        <vt:i4>0</vt:i4>
      </vt:variant>
      <vt:variant>
        <vt:i4>5</vt:i4>
      </vt:variant>
      <vt:variant>
        <vt:lpwstr>http://www.iso-ne.com/rules_proceds/operating/isone/op14/op14_rto_final.pdf</vt:lpwstr>
      </vt:variant>
      <vt:variant>
        <vt:lpwstr/>
      </vt:variant>
      <vt:variant>
        <vt:i4>4784231</vt:i4>
      </vt:variant>
      <vt:variant>
        <vt:i4>45</vt:i4>
      </vt:variant>
      <vt:variant>
        <vt:i4>0</vt:i4>
      </vt:variant>
      <vt:variant>
        <vt:i4>5</vt:i4>
      </vt:variant>
      <vt:variant>
        <vt:lpwstr>http://www.nerc.com/FilingsOrders/us/NERC Filings to FERC DL/Final_Info_Filing_Freq_Resp_Annual_Report_03202015.pdf</vt:lpwstr>
      </vt:variant>
      <vt:variant>
        <vt:lpwstr/>
      </vt:variant>
      <vt:variant>
        <vt:i4>1114181</vt:i4>
      </vt:variant>
      <vt:variant>
        <vt:i4>42</vt:i4>
      </vt:variant>
      <vt:variant>
        <vt:i4>0</vt:i4>
      </vt:variant>
      <vt:variant>
        <vt:i4>5</vt:i4>
      </vt:variant>
      <vt:variant>
        <vt:lpwstr>https://www.wecc.biz/Reliability/WECC-0115 BAL-002-WECC-2 Request to Retire R2 - NERC BAL-003-1 Implementation Plan Timeline.pdf</vt:lpwstr>
      </vt:variant>
      <vt:variant>
        <vt:lpwstr/>
      </vt:variant>
      <vt:variant>
        <vt:i4>3932197</vt:i4>
      </vt:variant>
      <vt:variant>
        <vt:i4>39</vt:i4>
      </vt:variant>
      <vt:variant>
        <vt:i4>0</vt:i4>
      </vt:variant>
      <vt:variant>
        <vt:i4>5</vt:i4>
      </vt:variant>
      <vt:variant>
        <vt:lpwstr>http://www.nerc.com/pa/Stand/Project 200712 Frequency Response DL/Procedure_Clean_20121130.pdf</vt:lpwstr>
      </vt:variant>
      <vt:variant>
        <vt:lpwstr/>
      </vt:variant>
      <vt:variant>
        <vt:i4>196705</vt:i4>
      </vt:variant>
      <vt:variant>
        <vt:i4>36</vt:i4>
      </vt:variant>
      <vt:variant>
        <vt:i4>0</vt:i4>
      </vt:variant>
      <vt:variant>
        <vt:i4>5</vt:i4>
      </vt:variant>
      <vt:variant>
        <vt:lpwstr>http://www.nerc.com/pa/RAPA/ra/Reliability Assessments DL/2014LTRA_ERATTA.pdf</vt:lpwstr>
      </vt:variant>
      <vt:variant>
        <vt:lpwstr/>
      </vt:variant>
      <vt:variant>
        <vt:i4>2228279</vt:i4>
      </vt:variant>
      <vt:variant>
        <vt:i4>33</vt:i4>
      </vt:variant>
      <vt:variant>
        <vt:i4>0</vt:i4>
      </vt:variant>
      <vt:variant>
        <vt:i4>5</vt:i4>
      </vt:variant>
      <vt:variant>
        <vt:lpwstr>http://www.nerc.com/docs/pc/FRI_Report_10-30-12_Master_w-appendices.pdf</vt:lpwstr>
      </vt:variant>
      <vt:variant>
        <vt:lpwstr/>
      </vt:variant>
      <vt:variant>
        <vt:i4>1769561</vt:i4>
      </vt:variant>
      <vt:variant>
        <vt:i4>30</vt:i4>
      </vt:variant>
      <vt:variant>
        <vt:i4>0</vt:i4>
      </vt:variant>
      <vt:variant>
        <vt:i4>5</vt:i4>
      </vt:variant>
      <vt:variant>
        <vt:lpwstr>http://energy.lbl.gov/ea/certs/pdf/lbnl-4144e.pdf</vt:lpwstr>
      </vt:variant>
      <vt:variant>
        <vt:lpwstr/>
      </vt:variant>
      <vt:variant>
        <vt:i4>3604586</vt:i4>
      </vt:variant>
      <vt:variant>
        <vt:i4>27</vt:i4>
      </vt:variant>
      <vt:variant>
        <vt:i4>0</vt:i4>
      </vt:variant>
      <vt:variant>
        <vt:i4>5</vt:i4>
      </vt:variant>
      <vt:variant>
        <vt:lpwstr>http://www.nerc.com/pa/rrm/Webinars DL/Generator_Governor_Frequency_Response_Webinar_April_2015.pdf</vt:lpwstr>
      </vt:variant>
      <vt:variant>
        <vt:lpwstr/>
      </vt:variant>
      <vt:variant>
        <vt:i4>1245233</vt:i4>
      </vt:variant>
      <vt:variant>
        <vt:i4>24</vt:i4>
      </vt:variant>
      <vt:variant>
        <vt:i4>0</vt:i4>
      </vt:variant>
      <vt:variant>
        <vt:i4>5</vt:i4>
      </vt:variant>
      <vt:variant>
        <vt:lpwstr>http://www.nerc.com/comm/OC/Reliability Guideline DL/Primary_Frequency_Control_final.pdf</vt:lpwstr>
      </vt:variant>
      <vt:variant>
        <vt:lpwstr/>
      </vt:variant>
      <vt:variant>
        <vt:i4>4063269</vt:i4>
      </vt:variant>
      <vt:variant>
        <vt:i4>21</vt:i4>
      </vt:variant>
      <vt:variant>
        <vt:i4>0</vt:i4>
      </vt:variant>
      <vt:variant>
        <vt:i4>5</vt:i4>
      </vt:variant>
      <vt:variant>
        <vt:lpwstr>http://www.nerc.com/pa/rrm/bpsa/Alerts DL/2015 Alerts/NERC Alert A-2015-02-05-01 Generator Governor Frequency Response.pdf</vt:lpwstr>
      </vt:variant>
      <vt:variant>
        <vt:lpwstr/>
      </vt:variant>
      <vt:variant>
        <vt:i4>3997752</vt:i4>
      </vt:variant>
      <vt:variant>
        <vt:i4>18</vt:i4>
      </vt:variant>
      <vt:variant>
        <vt:i4>0</vt:i4>
      </vt:variant>
      <vt:variant>
        <vt:i4>5</vt:i4>
      </vt:variant>
      <vt:variant>
        <vt:lpwstr>http://site.ge-energy.com/prod_serv/products/renewable_energy/en/downloads/GEA17210.pdf</vt:lpwstr>
      </vt:variant>
      <vt:variant>
        <vt:lpwstr/>
      </vt:variant>
      <vt:variant>
        <vt:i4>5636163</vt:i4>
      </vt:variant>
      <vt:variant>
        <vt:i4>15</vt:i4>
      </vt:variant>
      <vt:variant>
        <vt:i4>0</vt:i4>
      </vt:variant>
      <vt:variant>
        <vt:i4>5</vt:i4>
      </vt:variant>
      <vt:variant>
        <vt:lpwstr>http://www.nerc.com/pa/RAPA/PA/Performance Analysis DL/2015 State of Reliability.pdf</vt:lpwstr>
      </vt:variant>
      <vt:variant>
        <vt:lpwstr/>
      </vt:variant>
      <vt:variant>
        <vt:i4>6291491</vt:i4>
      </vt:variant>
      <vt:variant>
        <vt:i4>12</vt:i4>
      </vt:variant>
      <vt:variant>
        <vt:i4>0</vt:i4>
      </vt:variant>
      <vt:variant>
        <vt:i4>5</vt:i4>
      </vt:variant>
      <vt:variant>
        <vt:lpwstr>http://www.nerc.com/comm/Other/essntlrlbltysrvcstskfrcDL/ERSTF Framework Report - Final.pdf</vt:lpwstr>
      </vt:variant>
      <vt:variant>
        <vt:lpwstr/>
      </vt:variant>
      <vt:variant>
        <vt:i4>196628</vt:i4>
      </vt:variant>
      <vt:variant>
        <vt:i4>6</vt:i4>
      </vt:variant>
      <vt:variant>
        <vt:i4>0</vt:i4>
      </vt:variant>
      <vt:variant>
        <vt:i4>5</vt:i4>
      </vt:variant>
      <vt:variant>
        <vt:lpwstr>https://www.eia.gov/analysis/requests/powerplants/cleanplan/</vt:lpwstr>
      </vt:variant>
      <vt:variant>
        <vt:lpwstr/>
      </vt:variant>
      <vt:variant>
        <vt:i4>4325420</vt:i4>
      </vt:variant>
      <vt:variant>
        <vt:i4>3</vt:i4>
      </vt:variant>
      <vt:variant>
        <vt:i4>0</vt:i4>
      </vt:variant>
      <vt:variant>
        <vt:i4>5</vt:i4>
      </vt:variant>
      <vt:variant>
        <vt:lpwstr>http://www.nerc.com/pa/RAPA/ra/Reliability Assessments DL/2015_Summer_Reliability_Assessment.pdf</vt:lpwstr>
      </vt:variant>
      <vt:variant>
        <vt:lpwstr/>
      </vt:variant>
      <vt:variant>
        <vt:i4>4915215</vt:i4>
      </vt:variant>
      <vt:variant>
        <vt:i4>0</vt:i4>
      </vt:variant>
      <vt:variant>
        <vt:i4>0</vt:i4>
      </vt:variant>
      <vt:variant>
        <vt:i4>5</vt:i4>
      </vt:variant>
      <vt:variant>
        <vt:lpwstr>http://www.nerc.com/pa/RAPA/ra/Reliability Assessments DL/2015LTRA - Final 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2017-10-02T19:00:00Z</dcterms:created>
  <dcterms:modified xsi:type="dcterms:W3CDTF">2017-10-02T19:00:00Z</dcterms:modified>
  <cp:category/>
  <dc:identifier/>
  <cp:contentStatus/>
  <cp:version/>
</cp:coreProperties>
</file>