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7322CFDA"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198CD4BC" w14:textId="77777777" w:rsidR="004E385E" w:rsidRDefault="004E385E" w:rsidP="004E385E">
          <w:pPr>
            <w:pStyle w:val="CoverTitle"/>
            <w:spacing w:before="0" w:after="0"/>
            <w:rPr>
              <w:rFonts w:ascii="Franklin Gothic Book" w:eastAsia="Times New Roman" w:hAnsi="Franklin Gothic Book"/>
              <w:noProof/>
              <w:color w:val="595959"/>
              <w:sz w:val="28"/>
              <w:szCs w:val="28"/>
            </w:rPr>
          </w:pPr>
        </w:p>
        <w:p w14:paraId="4AC9F18F" w14:textId="77777777" w:rsidR="008C3E81" w:rsidRPr="00590EBD" w:rsidRDefault="00115F1B" w:rsidP="004E385E">
          <w:pPr>
            <w:pStyle w:val="CoverTitle"/>
            <w:spacing w:before="0" w:after="0"/>
          </w:pPr>
          <w:r w:rsidRPr="00590EBD">
            <w:rPr>
              <w:noProof/>
            </w:rPr>
            <mc:AlternateContent>
              <mc:Choice Requires="wps">
                <w:drawing>
                  <wp:anchor distT="0" distB="0" distL="114300" distR="114300" simplePos="0" relativeHeight="251658752" behindDoc="0" locked="0" layoutInCell="1" allowOverlap="1" wp14:anchorId="3B2A97AA" wp14:editId="6C0916EB">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BD8A" w14:textId="77777777" w:rsidR="00F83282" w:rsidRDefault="00F83282">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17F8BD8A" w14:textId="77777777" w:rsidR="00F83282" w:rsidRDefault="00F83282">
                          <w:pPr>
                            <w:rPr>
                              <w:rFonts w:ascii="Franklin Gothic Book" w:hAnsi="Franklin Gothic Book"/>
                              <w:color w:val="FFFFFF"/>
                              <w:sz w:val="20"/>
                              <w:szCs w:val="20"/>
                            </w:rPr>
                          </w:pPr>
                        </w:p>
                      </w:txbxContent>
                    </v:textbox>
                  </v:shape>
                </w:pict>
              </mc:Fallback>
            </mc:AlternateContent>
          </w:r>
          <w:r w:rsidRPr="00590EBD">
            <w:t>OMB Clearance Request:</w:t>
          </w:r>
        </w:p>
        <w:p w14:paraId="4044DCCE" w14:textId="77777777" w:rsidR="008C3E81" w:rsidRPr="00590EBD" w:rsidRDefault="00115F1B">
          <w:pPr>
            <w:pStyle w:val="CoverTitle"/>
            <w:spacing w:before="0"/>
          </w:pPr>
          <w:r w:rsidRPr="00590EBD">
            <w:t>Part A—Justification</w:t>
          </w:r>
        </w:p>
        <w:p w14:paraId="2CD7AD38" w14:textId="77777777" w:rsidR="008C3E81" w:rsidRDefault="00590EBD">
          <w:pPr>
            <w:pStyle w:val="CoverSubtitle"/>
          </w:pPr>
          <w:r w:rsidRPr="00590EBD">
            <w:t>Study of Higher Education Articulation Agreements Covering the Early Care and Education Workforce</w:t>
          </w:r>
        </w:p>
        <w:p w14:paraId="691D03C6" w14:textId="77777777" w:rsidR="008C3E81" w:rsidRDefault="008C3E81">
          <w:pPr>
            <w:pStyle w:val="CoverSubtitle"/>
          </w:pPr>
        </w:p>
        <w:p w14:paraId="1926B93F" w14:textId="77777777" w:rsidR="008C3E81" w:rsidRDefault="00115F1B">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33C11E1F" wp14:editId="12AD62B5">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76AA4" w14:textId="77777777" w:rsidR="00F83282" w:rsidRDefault="00F832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64576AA4" w14:textId="77777777" w:rsidR="00F83282" w:rsidRDefault="00F83282"/>
                      </w:txbxContent>
                    </v:textbox>
                  </v:shape>
                </w:pict>
              </mc:Fallback>
            </mc:AlternateContent>
          </w:r>
          <w:r>
            <w:rPr>
              <w:rFonts w:ascii="Franklin Gothic Demi" w:hAnsi="Franklin Gothic Demi"/>
              <w:color w:val="595959"/>
              <w:sz w:val="28"/>
              <w:szCs w:val="28"/>
            </w:rPr>
            <w:t>PREPARED BY:</w:t>
          </w:r>
        </w:p>
        <w:p w14:paraId="7D9D5217" w14:textId="77777777" w:rsidR="008C3E81" w:rsidRDefault="00115F1B">
          <w:pPr>
            <w:spacing w:after="0"/>
            <w:ind w:left="2434"/>
          </w:pPr>
          <w:r>
            <w:t>American Institutes for Research</w:t>
          </w:r>
          <w:r>
            <w:rPr>
              <w:vertAlign w:val="superscript"/>
            </w:rPr>
            <w:t>®</w:t>
          </w:r>
          <w:r>
            <w:rPr>
              <w:vertAlign w:val="superscript"/>
            </w:rPr>
            <w:br/>
          </w:r>
          <w:r>
            <w:t>1000 Thomas Jefferson Street, NW, Suite 200</w:t>
          </w:r>
        </w:p>
        <w:p w14:paraId="17634301" w14:textId="77777777" w:rsidR="008C3E81" w:rsidRDefault="00115F1B">
          <w:pPr>
            <w:spacing w:after="0"/>
            <w:ind w:left="2430"/>
          </w:pPr>
          <w:r>
            <w:t>Washington, DC 20007-3835</w:t>
          </w:r>
        </w:p>
        <w:p w14:paraId="560E4093" w14:textId="77777777" w:rsidR="008C3E81" w:rsidRDefault="008C3E81">
          <w:pPr>
            <w:spacing w:after="0"/>
            <w:ind w:left="2430"/>
          </w:pPr>
        </w:p>
        <w:p w14:paraId="7BD01E9E" w14:textId="77777777" w:rsidR="008C3E81" w:rsidRDefault="008C3E81">
          <w:pPr>
            <w:spacing w:after="0"/>
            <w:ind w:left="2430"/>
          </w:pPr>
        </w:p>
        <w:p w14:paraId="7A337DB8" w14:textId="77777777" w:rsidR="008C3E81" w:rsidRDefault="00115F1B">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246AF275" w14:textId="77777777" w:rsidR="008C3E81" w:rsidRDefault="00115F1B">
          <w:pPr>
            <w:spacing w:after="0"/>
            <w:ind w:left="2430"/>
          </w:pPr>
          <w:r>
            <w:t>Policy and Program Studies Service</w:t>
          </w:r>
        </w:p>
        <w:p w14:paraId="35E43AA9" w14:textId="77777777" w:rsidR="003D4FAD" w:rsidRDefault="003D4FAD" w:rsidP="003D4FAD">
          <w:pPr>
            <w:spacing w:after="0"/>
            <w:ind w:left="2434"/>
          </w:pPr>
          <w:r>
            <w:t>Office of Planning, Evaluation and Policy Development</w:t>
          </w:r>
        </w:p>
        <w:p w14:paraId="0FAB3C2A" w14:textId="77777777" w:rsidR="003D4FAD" w:rsidRDefault="003D4FAD" w:rsidP="003D4FAD">
          <w:pPr>
            <w:spacing w:after="0"/>
            <w:ind w:left="2434"/>
          </w:pPr>
          <w:r>
            <w:t>U.S. Department of Education</w:t>
          </w:r>
        </w:p>
        <w:p w14:paraId="372FD7C6" w14:textId="77777777" w:rsidR="003D4FAD" w:rsidRDefault="003D4FAD">
          <w:pPr>
            <w:spacing w:after="0"/>
            <w:ind w:left="2430"/>
          </w:pPr>
        </w:p>
        <w:p w14:paraId="41758977" w14:textId="77777777" w:rsidR="008C3E81" w:rsidRDefault="00590EBD" w:rsidP="00A3578A">
          <w:pPr>
            <w:ind w:left="2430"/>
            <w:rPr>
              <w:rFonts w:ascii="Franklin Gothic Demi" w:hAnsi="Franklin Gothic Demi"/>
              <w:color w:val="595959"/>
              <w:sz w:val="28"/>
              <w:szCs w:val="28"/>
            </w:rPr>
            <w:sectPr w:rsidR="008C3E81">
              <w:headerReference w:type="default" r:id="rId12"/>
              <w:footerReference w:type="default" r:id="rId13"/>
              <w:pgSz w:w="12240" w:h="15840"/>
              <w:pgMar w:top="1440" w:right="1440" w:bottom="1440" w:left="1440" w:header="720" w:footer="720" w:gutter="0"/>
              <w:pgNumType w:start="0"/>
              <w:cols w:space="720"/>
              <w:titlePg/>
              <w:docGrid w:linePitch="360"/>
            </w:sectPr>
          </w:pPr>
          <w:r w:rsidRPr="00590EBD">
            <w:rPr>
              <w:rFonts w:ascii="Franklin Gothic Demi" w:hAnsi="Franklin Gothic Demi"/>
              <w:color w:val="595959"/>
              <w:sz w:val="28"/>
              <w:szCs w:val="28"/>
            </w:rPr>
            <w:t xml:space="preserve">September </w:t>
          </w:r>
          <w:r w:rsidR="009F0658">
            <w:rPr>
              <w:rFonts w:ascii="Franklin Gothic Demi" w:hAnsi="Franklin Gothic Demi"/>
              <w:color w:val="595959"/>
              <w:sz w:val="28"/>
              <w:szCs w:val="28"/>
            </w:rPr>
            <w:t>1</w:t>
          </w:r>
          <w:r w:rsidR="0063518F">
            <w:rPr>
              <w:rFonts w:ascii="Franklin Gothic Demi" w:hAnsi="Franklin Gothic Demi"/>
              <w:color w:val="595959"/>
              <w:sz w:val="28"/>
              <w:szCs w:val="28"/>
            </w:rPr>
            <w:t>4</w:t>
          </w:r>
          <w:r w:rsidR="00115F1B">
            <w:rPr>
              <w:rFonts w:ascii="Franklin Gothic Demi" w:hAnsi="Franklin Gothic Demi"/>
              <w:color w:val="595959"/>
              <w:sz w:val="28"/>
              <w:szCs w:val="28"/>
            </w:rPr>
            <w:t>, 2017</w:t>
          </w:r>
          <w:r w:rsidR="0065559A">
            <w:rPr>
              <w:rFonts w:ascii="Franklin Gothic Demi" w:hAnsi="Franklin Gothic Demi"/>
              <w:color w:val="595959"/>
              <w:sz w:val="28"/>
              <w:szCs w:val="28"/>
            </w:rPr>
            <w:tab/>
          </w:r>
        </w:p>
      </w:sdtContent>
    </w:sdt>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55277F75" w14:textId="77777777" w:rsidR="008C3E81" w:rsidRDefault="00115F1B">
          <w:pPr>
            <w:pStyle w:val="TOCHeading"/>
            <w:jc w:val="center"/>
            <w:rPr>
              <w:rFonts w:ascii="Arial" w:hAnsi="Arial" w:cs="Arial"/>
              <w:color w:val="002060"/>
              <w:sz w:val="28"/>
              <w:szCs w:val="28"/>
            </w:rPr>
          </w:pPr>
          <w:r>
            <w:rPr>
              <w:rFonts w:ascii="Arial" w:hAnsi="Arial" w:cs="Arial"/>
              <w:color w:val="002060"/>
              <w:sz w:val="28"/>
              <w:szCs w:val="28"/>
            </w:rPr>
            <w:t>Contents</w:t>
          </w:r>
        </w:p>
        <w:p w14:paraId="6751948D" w14:textId="77777777" w:rsidR="00D11CFA" w:rsidRDefault="00115F1B">
          <w:pPr>
            <w:pStyle w:val="TOC1"/>
            <w:rPr>
              <w:rFonts w:eastAsiaTheme="minorEastAsia" w:cstheme="minorBidi"/>
              <w:b w:val="0"/>
              <w:noProof/>
              <w:sz w:val="22"/>
            </w:rPr>
          </w:pPr>
          <w:r>
            <w:fldChar w:fldCharType="begin"/>
          </w:r>
          <w:r>
            <w:instrText xml:space="preserve"> TOC \o "1-3" \h \z \u </w:instrText>
          </w:r>
          <w:r>
            <w:fldChar w:fldCharType="separate"/>
          </w:r>
          <w:hyperlink w:anchor="_Toc492536516" w:history="1">
            <w:r w:rsidR="00D11CFA" w:rsidRPr="007C616A">
              <w:rPr>
                <w:rStyle w:val="Hyperlink"/>
                <w:noProof/>
              </w:rPr>
              <w:t>Study Overview</w:t>
            </w:r>
            <w:r w:rsidR="00D11CFA">
              <w:rPr>
                <w:noProof/>
                <w:webHidden/>
              </w:rPr>
              <w:tab/>
            </w:r>
            <w:r w:rsidR="00D11CFA">
              <w:rPr>
                <w:noProof/>
                <w:webHidden/>
              </w:rPr>
              <w:fldChar w:fldCharType="begin"/>
            </w:r>
            <w:r w:rsidR="00D11CFA">
              <w:rPr>
                <w:noProof/>
                <w:webHidden/>
              </w:rPr>
              <w:instrText xml:space="preserve"> PAGEREF _Toc492536516 \h </w:instrText>
            </w:r>
            <w:r w:rsidR="00D11CFA">
              <w:rPr>
                <w:noProof/>
                <w:webHidden/>
              </w:rPr>
            </w:r>
            <w:r w:rsidR="00D11CFA">
              <w:rPr>
                <w:noProof/>
                <w:webHidden/>
              </w:rPr>
              <w:fldChar w:fldCharType="separate"/>
            </w:r>
            <w:r w:rsidR="00D11CFA">
              <w:rPr>
                <w:noProof/>
                <w:webHidden/>
              </w:rPr>
              <w:t>1</w:t>
            </w:r>
            <w:r w:rsidR="00D11CFA">
              <w:rPr>
                <w:noProof/>
                <w:webHidden/>
              </w:rPr>
              <w:fldChar w:fldCharType="end"/>
            </w:r>
          </w:hyperlink>
        </w:p>
        <w:p w14:paraId="3FBCD863" w14:textId="77777777" w:rsidR="00D11CFA" w:rsidRDefault="00937F8B">
          <w:pPr>
            <w:pStyle w:val="TOC2"/>
            <w:rPr>
              <w:rFonts w:eastAsiaTheme="minorEastAsia" w:cstheme="minorBidi"/>
              <w:noProof/>
              <w:sz w:val="22"/>
            </w:rPr>
          </w:pPr>
          <w:hyperlink w:anchor="_Toc492536517" w:history="1">
            <w:r w:rsidR="00D11CFA" w:rsidRPr="007C616A">
              <w:rPr>
                <w:rStyle w:val="Hyperlink"/>
                <w:noProof/>
              </w:rPr>
              <w:t>Study Purpose</w:t>
            </w:r>
            <w:r w:rsidR="00D11CFA">
              <w:rPr>
                <w:noProof/>
                <w:webHidden/>
              </w:rPr>
              <w:tab/>
            </w:r>
            <w:r w:rsidR="00D11CFA">
              <w:rPr>
                <w:noProof/>
                <w:webHidden/>
              </w:rPr>
              <w:fldChar w:fldCharType="begin"/>
            </w:r>
            <w:r w:rsidR="00D11CFA">
              <w:rPr>
                <w:noProof/>
                <w:webHidden/>
              </w:rPr>
              <w:instrText xml:space="preserve"> PAGEREF _Toc492536517 \h </w:instrText>
            </w:r>
            <w:r w:rsidR="00D11CFA">
              <w:rPr>
                <w:noProof/>
                <w:webHidden/>
              </w:rPr>
            </w:r>
            <w:r w:rsidR="00D11CFA">
              <w:rPr>
                <w:noProof/>
                <w:webHidden/>
              </w:rPr>
              <w:fldChar w:fldCharType="separate"/>
            </w:r>
            <w:r w:rsidR="00D11CFA">
              <w:rPr>
                <w:noProof/>
                <w:webHidden/>
              </w:rPr>
              <w:t>1</w:t>
            </w:r>
            <w:r w:rsidR="00D11CFA">
              <w:rPr>
                <w:noProof/>
                <w:webHidden/>
              </w:rPr>
              <w:fldChar w:fldCharType="end"/>
            </w:r>
          </w:hyperlink>
        </w:p>
        <w:p w14:paraId="4AC62EC6" w14:textId="77777777" w:rsidR="00D11CFA" w:rsidRDefault="00937F8B">
          <w:pPr>
            <w:pStyle w:val="TOC2"/>
            <w:rPr>
              <w:rFonts w:eastAsiaTheme="minorEastAsia" w:cstheme="minorBidi"/>
              <w:noProof/>
              <w:sz w:val="22"/>
            </w:rPr>
          </w:pPr>
          <w:hyperlink w:anchor="_Toc492536518" w:history="1">
            <w:r w:rsidR="00D11CFA" w:rsidRPr="007C616A">
              <w:rPr>
                <w:rStyle w:val="Hyperlink"/>
                <w:noProof/>
              </w:rPr>
              <w:t>Policy Context</w:t>
            </w:r>
            <w:r w:rsidR="00D11CFA">
              <w:rPr>
                <w:noProof/>
                <w:webHidden/>
              </w:rPr>
              <w:tab/>
            </w:r>
            <w:r w:rsidR="00D11CFA">
              <w:rPr>
                <w:noProof/>
                <w:webHidden/>
              </w:rPr>
              <w:fldChar w:fldCharType="begin"/>
            </w:r>
            <w:r w:rsidR="00D11CFA">
              <w:rPr>
                <w:noProof/>
                <w:webHidden/>
              </w:rPr>
              <w:instrText xml:space="preserve"> PAGEREF _Toc492536518 \h </w:instrText>
            </w:r>
            <w:r w:rsidR="00D11CFA">
              <w:rPr>
                <w:noProof/>
                <w:webHidden/>
              </w:rPr>
            </w:r>
            <w:r w:rsidR="00D11CFA">
              <w:rPr>
                <w:noProof/>
                <w:webHidden/>
              </w:rPr>
              <w:fldChar w:fldCharType="separate"/>
            </w:r>
            <w:r w:rsidR="00D11CFA">
              <w:rPr>
                <w:noProof/>
                <w:webHidden/>
              </w:rPr>
              <w:t>1</w:t>
            </w:r>
            <w:r w:rsidR="00D11CFA">
              <w:rPr>
                <w:noProof/>
                <w:webHidden/>
              </w:rPr>
              <w:fldChar w:fldCharType="end"/>
            </w:r>
          </w:hyperlink>
        </w:p>
        <w:p w14:paraId="2FFD2F7B" w14:textId="77777777" w:rsidR="00D11CFA" w:rsidRDefault="00937F8B">
          <w:pPr>
            <w:pStyle w:val="TOC2"/>
            <w:rPr>
              <w:rFonts w:eastAsiaTheme="minorEastAsia" w:cstheme="minorBidi"/>
              <w:noProof/>
              <w:sz w:val="22"/>
            </w:rPr>
          </w:pPr>
          <w:hyperlink w:anchor="_Toc492536519" w:history="1">
            <w:r w:rsidR="00D11CFA" w:rsidRPr="007C616A">
              <w:rPr>
                <w:rStyle w:val="Hyperlink"/>
                <w:noProof/>
              </w:rPr>
              <w:t>Study Design</w:t>
            </w:r>
            <w:r w:rsidR="00D11CFA">
              <w:rPr>
                <w:noProof/>
                <w:webHidden/>
              </w:rPr>
              <w:tab/>
            </w:r>
            <w:r w:rsidR="00D11CFA">
              <w:rPr>
                <w:noProof/>
                <w:webHidden/>
              </w:rPr>
              <w:fldChar w:fldCharType="begin"/>
            </w:r>
            <w:r w:rsidR="00D11CFA">
              <w:rPr>
                <w:noProof/>
                <w:webHidden/>
              </w:rPr>
              <w:instrText xml:space="preserve"> PAGEREF _Toc492536519 \h </w:instrText>
            </w:r>
            <w:r w:rsidR="00D11CFA">
              <w:rPr>
                <w:noProof/>
                <w:webHidden/>
              </w:rPr>
            </w:r>
            <w:r w:rsidR="00D11CFA">
              <w:rPr>
                <w:noProof/>
                <w:webHidden/>
              </w:rPr>
              <w:fldChar w:fldCharType="separate"/>
            </w:r>
            <w:r w:rsidR="00D11CFA">
              <w:rPr>
                <w:noProof/>
                <w:webHidden/>
              </w:rPr>
              <w:t>1</w:t>
            </w:r>
            <w:r w:rsidR="00D11CFA">
              <w:rPr>
                <w:noProof/>
                <w:webHidden/>
              </w:rPr>
              <w:fldChar w:fldCharType="end"/>
            </w:r>
          </w:hyperlink>
        </w:p>
        <w:p w14:paraId="1F135B73" w14:textId="77777777" w:rsidR="00D11CFA" w:rsidRDefault="00937F8B">
          <w:pPr>
            <w:pStyle w:val="TOC2"/>
            <w:rPr>
              <w:rFonts w:eastAsiaTheme="minorEastAsia" w:cstheme="minorBidi"/>
              <w:noProof/>
              <w:sz w:val="22"/>
            </w:rPr>
          </w:pPr>
          <w:hyperlink w:anchor="_Toc492536520" w:history="1">
            <w:r w:rsidR="00D11CFA" w:rsidRPr="007C616A">
              <w:rPr>
                <w:rStyle w:val="Hyperlink"/>
                <w:noProof/>
              </w:rPr>
              <w:t>Elements of Successful Articulation</w:t>
            </w:r>
            <w:r w:rsidR="00D11CFA">
              <w:rPr>
                <w:noProof/>
                <w:webHidden/>
              </w:rPr>
              <w:tab/>
            </w:r>
            <w:r w:rsidR="00D11CFA">
              <w:rPr>
                <w:noProof/>
                <w:webHidden/>
              </w:rPr>
              <w:fldChar w:fldCharType="begin"/>
            </w:r>
            <w:r w:rsidR="00D11CFA">
              <w:rPr>
                <w:noProof/>
                <w:webHidden/>
              </w:rPr>
              <w:instrText xml:space="preserve"> PAGEREF _Toc492536520 \h </w:instrText>
            </w:r>
            <w:r w:rsidR="00D11CFA">
              <w:rPr>
                <w:noProof/>
                <w:webHidden/>
              </w:rPr>
            </w:r>
            <w:r w:rsidR="00D11CFA">
              <w:rPr>
                <w:noProof/>
                <w:webHidden/>
              </w:rPr>
              <w:fldChar w:fldCharType="separate"/>
            </w:r>
            <w:r w:rsidR="00D11CFA">
              <w:rPr>
                <w:noProof/>
                <w:webHidden/>
              </w:rPr>
              <w:t>2</w:t>
            </w:r>
            <w:r w:rsidR="00D11CFA">
              <w:rPr>
                <w:noProof/>
                <w:webHidden/>
              </w:rPr>
              <w:fldChar w:fldCharType="end"/>
            </w:r>
          </w:hyperlink>
        </w:p>
        <w:p w14:paraId="44A8157B" w14:textId="77777777" w:rsidR="00D11CFA" w:rsidRDefault="00937F8B">
          <w:pPr>
            <w:pStyle w:val="TOC1"/>
            <w:rPr>
              <w:rFonts w:eastAsiaTheme="minorEastAsia" w:cstheme="minorBidi"/>
              <w:b w:val="0"/>
              <w:noProof/>
              <w:sz w:val="22"/>
            </w:rPr>
          </w:pPr>
          <w:hyperlink w:anchor="_Toc492536521" w:history="1">
            <w:r w:rsidR="00D11CFA" w:rsidRPr="007C616A">
              <w:rPr>
                <w:rStyle w:val="Hyperlink"/>
                <w:noProof/>
              </w:rPr>
              <w:t>Supporting Statement for Paperwork Reduction Act Submission</w:t>
            </w:r>
            <w:r w:rsidR="00D11CFA">
              <w:rPr>
                <w:noProof/>
                <w:webHidden/>
              </w:rPr>
              <w:tab/>
            </w:r>
            <w:r w:rsidR="00D11CFA">
              <w:rPr>
                <w:noProof/>
                <w:webHidden/>
              </w:rPr>
              <w:fldChar w:fldCharType="begin"/>
            </w:r>
            <w:r w:rsidR="00D11CFA">
              <w:rPr>
                <w:noProof/>
                <w:webHidden/>
              </w:rPr>
              <w:instrText xml:space="preserve"> PAGEREF _Toc492536521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7F4CED31" w14:textId="77777777" w:rsidR="00D11CFA" w:rsidRDefault="00937F8B">
          <w:pPr>
            <w:pStyle w:val="TOC2"/>
            <w:rPr>
              <w:rFonts w:eastAsiaTheme="minorEastAsia" w:cstheme="minorBidi"/>
              <w:noProof/>
              <w:sz w:val="22"/>
            </w:rPr>
          </w:pPr>
          <w:hyperlink w:anchor="_Toc492536522" w:history="1">
            <w:r w:rsidR="00D11CFA" w:rsidRPr="007C616A">
              <w:rPr>
                <w:rStyle w:val="Hyperlink"/>
                <w:noProof/>
              </w:rPr>
              <w:t>Justification</w:t>
            </w:r>
            <w:r w:rsidR="00D11CFA">
              <w:rPr>
                <w:noProof/>
                <w:webHidden/>
              </w:rPr>
              <w:tab/>
            </w:r>
            <w:r w:rsidR="00D11CFA">
              <w:rPr>
                <w:noProof/>
                <w:webHidden/>
              </w:rPr>
              <w:fldChar w:fldCharType="begin"/>
            </w:r>
            <w:r w:rsidR="00D11CFA">
              <w:rPr>
                <w:noProof/>
                <w:webHidden/>
              </w:rPr>
              <w:instrText xml:space="preserve"> PAGEREF _Toc492536522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45346504" w14:textId="77777777" w:rsidR="00D11CFA" w:rsidRDefault="00937F8B">
          <w:pPr>
            <w:pStyle w:val="TOC3"/>
            <w:rPr>
              <w:rFonts w:eastAsiaTheme="minorEastAsia" w:cstheme="minorBidi"/>
              <w:noProof/>
              <w:sz w:val="22"/>
            </w:rPr>
          </w:pPr>
          <w:hyperlink w:anchor="_Toc492536523" w:history="1">
            <w:r w:rsidR="00D11CFA" w:rsidRPr="007C616A">
              <w:rPr>
                <w:rStyle w:val="Hyperlink"/>
                <w:noProof/>
              </w:rPr>
              <w:t>1. Circumstances Making Collection of Information Necessary</w:t>
            </w:r>
            <w:r w:rsidR="00D11CFA">
              <w:rPr>
                <w:noProof/>
                <w:webHidden/>
              </w:rPr>
              <w:tab/>
            </w:r>
            <w:r w:rsidR="00D11CFA">
              <w:rPr>
                <w:noProof/>
                <w:webHidden/>
              </w:rPr>
              <w:fldChar w:fldCharType="begin"/>
            </w:r>
            <w:r w:rsidR="00D11CFA">
              <w:rPr>
                <w:noProof/>
                <w:webHidden/>
              </w:rPr>
              <w:instrText xml:space="preserve"> PAGEREF _Toc492536523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061419CE" w14:textId="77777777" w:rsidR="00D11CFA" w:rsidRDefault="00937F8B">
          <w:pPr>
            <w:pStyle w:val="TOC3"/>
            <w:rPr>
              <w:rFonts w:eastAsiaTheme="minorEastAsia" w:cstheme="minorBidi"/>
              <w:noProof/>
              <w:sz w:val="22"/>
            </w:rPr>
          </w:pPr>
          <w:hyperlink w:anchor="_Toc492536524" w:history="1">
            <w:r w:rsidR="00D11CFA" w:rsidRPr="007C616A">
              <w:rPr>
                <w:rStyle w:val="Hyperlink"/>
                <w:noProof/>
              </w:rPr>
              <w:t>2. Use of Information</w:t>
            </w:r>
            <w:r w:rsidR="00D11CFA">
              <w:rPr>
                <w:noProof/>
                <w:webHidden/>
              </w:rPr>
              <w:tab/>
            </w:r>
            <w:r w:rsidR="00D11CFA">
              <w:rPr>
                <w:noProof/>
                <w:webHidden/>
              </w:rPr>
              <w:fldChar w:fldCharType="begin"/>
            </w:r>
            <w:r w:rsidR="00D11CFA">
              <w:rPr>
                <w:noProof/>
                <w:webHidden/>
              </w:rPr>
              <w:instrText xml:space="preserve"> PAGEREF _Toc492536524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4C2EB506" w14:textId="77777777" w:rsidR="00D11CFA" w:rsidRDefault="00937F8B">
          <w:pPr>
            <w:pStyle w:val="TOC3"/>
            <w:rPr>
              <w:rFonts w:eastAsiaTheme="minorEastAsia" w:cstheme="minorBidi"/>
              <w:noProof/>
              <w:sz w:val="22"/>
            </w:rPr>
          </w:pPr>
          <w:hyperlink w:anchor="_Toc492536525" w:history="1">
            <w:r w:rsidR="00D11CFA" w:rsidRPr="007C616A">
              <w:rPr>
                <w:rStyle w:val="Hyperlink"/>
                <w:noProof/>
              </w:rPr>
              <w:t>3. Use of Improved Technology to Reduce Burden</w:t>
            </w:r>
            <w:r w:rsidR="00D11CFA">
              <w:rPr>
                <w:noProof/>
                <w:webHidden/>
              </w:rPr>
              <w:tab/>
            </w:r>
            <w:r w:rsidR="00D11CFA">
              <w:rPr>
                <w:noProof/>
                <w:webHidden/>
              </w:rPr>
              <w:fldChar w:fldCharType="begin"/>
            </w:r>
            <w:r w:rsidR="00D11CFA">
              <w:rPr>
                <w:noProof/>
                <w:webHidden/>
              </w:rPr>
              <w:instrText xml:space="preserve"> PAGEREF _Toc492536525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36E38212" w14:textId="77777777" w:rsidR="00D11CFA" w:rsidRDefault="00937F8B">
          <w:pPr>
            <w:pStyle w:val="TOC3"/>
            <w:rPr>
              <w:rFonts w:eastAsiaTheme="minorEastAsia" w:cstheme="minorBidi"/>
              <w:noProof/>
              <w:sz w:val="22"/>
            </w:rPr>
          </w:pPr>
          <w:hyperlink w:anchor="_Toc492536526" w:history="1">
            <w:r w:rsidR="00D11CFA" w:rsidRPr="007C616A">
              <w:rPr>
                <w:rStyle w:val="Hyperlink"/>
                <w:noProof/>
              </w:rPr>
              <w:t>4. Efforts to Avoid Duplication of Effort</w:t>
            </w:r>
            <w:r w:rsidR="00D11CFA">
              <w:rPr>
                <w:noProof/>
                <w:webHidden/>
              </w:rPr>
              <w:tab/>
            </w:r>
            <w:r w:rsidR="00D11CFA">
              <w:rPr>
                <w:noProof/>
                <w:webHidden/>
              </w:rPr>
              <w:fldChar w:fldCharType="begin"/>
            </w:r>
            <w:r w:rsidR="00D11CFA">
              <w:rPr>
                <w:noProof/>
                <w:webHidden/>
              </w:rPr>
              <w:instrText xml:space="preserve"> PAGEREF _Toc492536526 \h </w:instrText>
            </w:r>
            <w:r w:rsidR="00D11CFA">
              <w:rPr>
                <w:noProof/>
                <w:webHidden/>
              </w:rPr>
            </w:r>
            <w:r w:rsidR="00D11CFA">
              <w:rPr>
                <w:noProof/>
                <w:webHidden/>
              </w:rPr>
              <w:fldChar w:fldCharType="separate"/>
            </w:r>
            <w:r w:rsidR="00D11CFA">
              <w:rPr>
                <w:noProof/>
                <w:webHidden/>
              </w:rPr>
              <w:t>7</w:t>
            </w:r>
            <w:r w:rsidR="00D11CFA">
              <w:rPr>
                <w:noProof/>
                <w:webHidden/>
              </w:rPr>
              <w:fldChar w:fldCharType="end"/>
            </w:r>
          </w:hyperlink>
        </w:p>
        <w:p w14:paraId="5101ACAD" w14:textId="77777777" w:rsidR="00D11CFA" w:rsidRDefault="00937F8B">
          <w:pPr>
            <w:pStyle w:val="TOC3"/>
            <w:rPr>
              <w:rFonts w:eastAsiaTheme="minorEastAsia" w:cstheme="minorBidi"/>
              <w:noProof/>
              <w:sz w:val="22"/>
            </w:rPr>
          </w:pPr>
          <w:hyperlink w:anchor="_Toc492536527" w:history="1">
            <w:r w:rsidR="00D11CFA" w:rsidRPr="007C616A">
              <w:rPr>
                <w:rStyle w:val="Hyperlink"/>
                <w:noProof/>
              </w:rPr>
              <w:t>5. Efforts to Minimize Burden on Small Businesses and Other Small Entities</w:t>
            </w:r>
            <w:r w:rsidR="00D11CFA">
              <w:rPr>
                <w:noProof/>
                <w:webHidden/>
              </w:rPr>
              <w:tab/>
            </w:r>
            <w:r w:rsidR="00D11CFA">
              <w:rPr>
                <w:noProof/>
                <w:webHidden/>
              </w:rPr>
              <w:fldChar w:fldCharType="begin"/>
            </w:r>
            <w:r w:rsidR="00D11CFA">
              <w:rPr>
                <w:noProof/>
                <w:webHidden/>
              </w:rPr>
              <w:instrText xml:space="preserve"> PAGEREF _Toc492536527 \h </w:instrText>
            </w:r>
            <w:r w:rsidR="00D11CFA">
              <w:rPr>
                <w:noProof/>
                <w:webHidden/>
              </w:rPr>
            </w:r>
            <w:r w:rsidR="00D11CFA">
              <w:rPr>
                <w:noProof/>
                <w:webHidden/>
              </w:rPr>
              <w:fldChar w:fldCharType="separate"/>
            </w:r>
            <w:r w:rsidR="00D11CFA">
              <w:rPr>
                <w:noProof/>
                <w:webHidden/>
              </w:rPr>
              <w:t>8</w:t>
            </w:r>
            <w:r w:rsidR="00D11CFA">
              <w:rPr>
                <w:noProof/>
                <w:webHidden/>
              </w:rPr>
              <w:fldChar w:fldCharType="end"/>
            </w:r>
          </w:hyperlink>
        </w:p>
        <w:p w14:paraId="484A5545" w14:textId="77777777" w:rsidR="00D11CFA" w:rsidRDefault="00937F8B">
          <w:pPr>
            <w:pStyle w:val="TOC3"/>
            <w:rPr>
              <w:rFonts w:eastAsiaTheme="minorEastAsia" w:cstheme="minorBidi"/>
              <w:noProof/>
              <w:sz w:val="22"/>
            </w:rPr>
          </w:pPr>
          <w:hyperlink w:anchor="_Toc492536528" w:history="1">
            <w:r w:rsidR="00D11CFA" w:rsidRPr="007C616A">
              <w:rPr>
                <w:rStyle w:val="Hyperlink"/>
                <w:noProof/>
              </w:rPr>
              <w:t>6. Consequences of Not Collecting the Data</w:t>
            </w:r>
            <w:r w:rsidR="00D11CFA">
              <w:rPr>
                <w:noProof/>
                <w:webHidden/>
              </w:rPr>
              <w:tab/>
            </w:r>
            <w:r w:rsidR="00D11CFA">
              <w:rPr>
                <w:noProof/>
                <w:webHidden/>
              </w:rPr>
              <w:fldChar w:fldCharType="begin"/>
            </w:r>
            <w:r w:rsidR="00D11CFA">
              <w:rPr>
                <w:noProof/>
                <w:webHidden/>
              </w:rPr>
              <w:instrText xml:space="preserve"> PAGEREF _Toc492536528 \h </w:instrText>
            </w:r>
            <w:r w:rsidR="00D11CFA">
              <w:rPr>
                <w:noProof/>
                <w:webHidden/>
              </w:rPr>
            </w:r>
            <w:r w:rsidR="00D11CFA">
              <w:rPr>
                <w:noProof/>
                <w:webHidden/>
              </w:rPr>
              <w:fldChar w:fldCharType="separate"/>
            </w:r>
            <w:r w:rsidR="00D11CFA">
              <w:rPr>
                <w:noProof/>
                <w:webHidden/>
              </w:rPr>
              <w:t>8</w:t>
            </w:r>
            <w:r w:rsidR="00D11CFA">
              <w:rPr>
                <w:noProof/>
                <w:webHidden/>
              </w:rPr>
              <w:fldChar w:fldCharType="end"/>
            </w:r>
          </w:hyperlink>
        </w:p>
        <w:p w14:paraId="66B60B89" w14:textId="77777777" w:rsidR="00D11CFA" w:rsidRDefault="00937F8B">
          <w:pPr>
            <w:pStyle w:val="TOC3"/>
            <w:rPr>
              <w:rFonts w:eastAsiaTheme="minorEastAsia" w:cstheme="minorBidi"/>
              <w:noProof/>
              <w:sz w:val="22"/>
            </w:rPr>
          </w:pPr>
          <w:hyperlink w:anchor="_Toc492536529" w:history="1">
            <w:r w:rsidR="00D11CFA" w:rsidRPr="007C616A">
              <w:rPr>
                <w:rStyle w:val="Hyperlink"/>
                <w:noProof/>
              </w:rPr>
              <w:t>7. Special Circumstances Causing Particular Anomalies in Data Collection</w:t>
            </w:r>
            <w:r w:rsidR="00D11CFA">
              <w:rPr>
                <w:noProof/>
                <w:webHidden/>
              </w:rPr>
              <w:tab/>
            </w:r>
            <w:r w:rsidR="00D11CFA">
              <w:rPr>
                <w:noProof/>
                <w:webHidden/>
              </w:rPr>
              <w:fldChar w:fldCharType="begin"/>
            </w:r>
            <w:r w:rsidR="00D11CFA">
              <w:rPr>
                <w:noProof/>
                <w:webHidden/>
              </w:rPr>
              <w:instrText xml:space="preserve"> PAGEREF _Toc492536529 \h </w:instrText>
            </w:r>
            <w:r w:rsidR="00D11CFA">
              <w:rPr>
                <w:noProof/>
                <w:webHidden/>
              </w:rPr>
            </w:r>
            <w:r w:rsidR="00D11CFA">
              <w:rPr>
                <w:noProof/>
                <w:webHidden/>
              </w:rPr>
              <w:fldChar w:fldCharType="separate"/>
            </w:r>
            <w:r w:rsidR="00D11CFA">
              <w:rPr>
                <w:noProof/>
                <w:webHidden/>
              </w:rPr>
              <w:t>8</w:t>
            </w:r>
            <w:r w:rsidR="00D11CFA">
              <w:rPr>
                <w:noProof/>
                <w:webHidden/>
              </w:rPr>
              <w:fldChar w:fldCharType="end"/>
            </w:r>
          </w:hyperlink>
        </w:p>
        <w:p w14:paraId="70E56DF1" w14:textId="77777777" w:rsidR="00D11CFA" w:rsidRDefault="00937F8B">
          <w:pPr>
            <w:pStyle w:val="TOC3"/>
            <w:rPr>
              <w:rFonts w:eastAsiaTheme="minorEastAsia" w:cstheme="minorBidi"/>
              <w:noProof/>
              <w:sz w:val="22"/>
            </w:rPr>
          </w:pPr>
          <w:hyperlink w:anchor="_Toc492536530" w:history="1">
            <w:r w:rsidR="00D11CFA" w:rsidRPr="007C616A">
              <w:rPr>
                <w:rStyle w:val="Hyperlink"/>
                <w:noProof/>
              </w:rPr>
              <w:t>8. Federal Register Announcement and Consultation</w:t>
            </w:r>
            <w:r w:rsidR="00D11CFA">
              <w:rPr>
                <w:noProof/>
                <w:webHidden/>
              </w:rPr>
              <w:tab/>
            </w:r>
            <w:r w:rsidR="00D11CFA">
              <w:rPr>
                <w:noProof/>
                <w:webHidden/>
              </w:rPr>
              <w:fldChar w:fldCharType="begin"/>
            </w:r>
            <w:r w:rsidR="00D11CFA">
              <w:rPr>
                <w:noProof/>
                <w:webHidden/>
              </w:rPr>
              <w:instrText xml:space="preserve"> PAGEREF _Toc492536530 \h </w:instrText>
            </w:r>
            <w:r w:rsidR="00D11CFA">
              <w:rPr>
                <w:noProof/>
                <w:webHidden/>
              </w:rPr>
            </w:r>
            <w:r w:rsidR="00D11CFA">
              <w:rPr>
                <w:noProof/>
                <w:webHidden/>
              </w:rPr>
              <w:fldChar w:fldCharType="separate"/>
            </w:r>
            <w:r w:rsidR="00D11CFA">
              <w:rPr>
                <w:noProof/>
                <w:webHidden/>
              </w:rPr>
              <w:t>8</w:t>
            </w:r>
            <w:r w:rsidR="00D11CFA">
              <w:rPr>
                <w:noProof/>
                <w:webHidden/>
              </w:rPr>
              <w:fldChar w:fldCharType="end"/>
            </w:r>
          </w:hyperlink>
        </w:p>
        <w:p w14:paraId="2CB7BB53" w14:textId="77777777" w:rsidR="00D11CFA" w:rsidRDefault="00937F8B">
          <w:pPr>
            <w:pStyle w:val="TOC3"/>
            <w:rPr>
              <w:rFonts w:eastAsiaTheme="minorEastAsia" w:cstheme="minorBidi"/>
              <w:noProof/>
              <w:sz w:val="22"/>
            </w:rPr>
          </w:pPr>
          <w:hyperlink w:anchor="_Toc492536531" w:history="1">
            <w:r w:rsidR="00D11CFA" w:rsidRPr="007C616A">
              <w:rPr>
                <w:rStyle w:val="Hyperlink"/>
                <w:noProof/>
              </w:rPr>
              <w:t>9. Payment or Gift to Respondents</w:t>
            </w:r>
            <w:r w:rsidR="00D11CFA">
              <w:rPr>
                <w:noProof/>
                <w:webHidden/>
              </w:rPr>
              <w:tab/>
            </w:r>
            <w:r w:rsidR="00D11CFA">
              <w:rPr>
                <w:noProof/>
                <w:webHidden/>
              </w:rPr>
              <w:fldChar w:fldCharType="begin"/>
            </w:r>
            <w:r w:rsidR="00D11CFA">
              <w:rPr>
                <w:noProof/>
                <w:webHidden/>
              </w:rPr>
              <w:instrText xml:space="preserve"> PAGEREF _Toc492536531 \h </w:instrText>
            </w:r>
            <w:r w:rsidR="00D11CFA">
              <w:rPr>
                <w:noProof/>
                <w:webHidden/>
              </w:rPr>
            </w:r>
            <w:r w:rsidR="00D11CFA">
              <w:rPr>
                <w:noProof/>
                <w:webHidden/>
              </w:rPr>
              <w:fldChar w:fldCharType="separate"/>
            </w:r>
            <w:r w:rsidR="00D11CFA">
              <w:rPr>
                <w:noProof/>
                <w:webHidden/>
              </w:rPr>
              <w:t>9</w:t>
            </w:r>
            <w:r w:rsidR="00D11CFA">
              <w:rPr>
                <w:noProof/>
                <w:webHidden/>
              </w:rPr>
              <w:fldChar w:fldCharType="end"/>
            </w:r>
          </w:hyperlink>
        </w:p>
        <w:p w14:paraId="1F9A33E6" w14:textId="77777777" w:rsidR="00D11CFA" w:rsidRDefault="00937F8B">
          <w:pPr>
            <w:pStyle w:val="TOC3"/>
            <w:rPr>
              <w:rFonts w:eastAsiaTheme="minorEastAsia" w:cstheme="minorBidi"/>
              <w:noProof/>
              <w:sz w:val="22"/>
            </w:rPr>
          </w:pPr>
          <w:hyperlink w:anchor="_Toc492536532" w:history="1">
            <w:r w:rsidR="00D11CFA" w:rsidRPr="007C616A">
              <w:rPr>
                <w:rStyle w:val="Hyperlink"/>
                <w:noProof/>
              </w:rPr>
              <w:t>10. Assurance of Confidentiality</w:t>
            </w:r>
            <w:r w:rsidR="00D11CFA">
              <w:rPr>
                <w:noProof/>
                <w:webHidden/>
              </w:rPr>
              <w:tab/>
            </w:r>
            <w:r w:rsidR="00D11CFA">
              <w:rPr>
                <w:noProof/>
                <w:webHidden/>
              </w:rPr>
              <w:fldChar w:fldCharType="begin"/>
            </w:r>
            <w:r w:rsidR="00D11CFA">
              <w:rPr>
                <w:noProof/>
                <w:webHidden/>
              </w:rPr>
              <w:instrText xml:space="preserve"> PAGEREF _Toc492536532 \h </w:instrText>
            </w:r>
            <w:r w:rsidR="00D11CFA">
              <w:rPr>
                <w:noProof/>
                <w:webHidden/>
              </w:rPr>
            </w:r>
            <w:r w:rsidR="00D11CFA">
              <w:rPr>
                <w:noProof/>
                <w:webHidden/>
              </w:rPr>
              <w:fldChar w:fldCharType="separate"/>
            </w:r>
            <w:r w:rsidR="00D11CFA">
              <w:rPr>
                <w:noProof/>
                <w:webHidden/>
              </w:rPr>
              <w:t>9</w:t>
            </w:r>
            <w:r w:rsidR="00D11CFA">
              <w:rPr>
                <w:noProof/>
                <w:webHidden/>
              </w:rPr>
              <w:fldChar w:fldCharType="end"/>
            </w:r>
          </w:hyperlink>
        </w:p>
        <w:p w14:paraId="79C5C2BC" w14:textId="77777777" w:rsidR="00D11CFA" w:rsidRDefault="00937F8B">
          <w:pPr>
            <w:pStyle w:val="TOC3"/>
            <w:rPr>
              <w:rFonts w:eastAsiaTheme="minorEastAsia" w:cstheme="minorBidi"/>
              <w:noProof/>
              <w:sz w:val="22"/>
            </w:rPr>
          </w:pPr>
          <w:hyperlink w:anchor="_Toc492536533" w:history="1">
            <w:r w:rsidR="00D11CFA" w:rsidRPr="007C616A">
              <w:rPr>
                <w:rStyle w:val="Hyperlink"/>
                <w:noProof/>
              </w:rPr>
              <w:t>11. Sensitive Questions</w:t>
            </w:r>
            <w:r w:rsidR="00D11CFA">
              <w:rPr>
                <w:noProof/>
                <w:webHidden/>
              </w:rPr>
              <w:tab/>
            </w:r>
            <w:r w:rsidR="00D11CFA">
              <w:rPr>
                <w:noProof/>
                <w:webHidden/>
              </w:rPr>
              <w:fldChar w:fldCharType="begin"/>
            </w:r>
            <w:r w:rsidR="00D11CFA">
              <w:rPr>
                <w:noProof/>
                <w:webHidden/>
              </w:rPr>
              <w:instrText xml:space="preserve"> PAGEREF _Toc492536533 \h </w:instrText>
            </w:r>
            <w:r w:rsidR="00D11CFA">
              <w:rPr>
                <w:noProof/>
                <w:webHidden/>
              </w:rPr>
            </w:r>
            <w:r w:rsidR="00D11CFA">
              <w:rPr>
                <w:noProof/>
                <w:webHidden/>
              </w:rPr>
              <w:fldChar w:fldCharType="separate"/>
            </w:r>
            <w:r w:rsidR="00D11CFA">
              <w:rPr>
                <w:noProof/>
                <w:webHidden/>
              </w:rPr>
              <w:t>10</w:t>
            </w:r>
            <w:r w:rsidR="00D11CFA">
              <w:rPr>
                <w:noProof/>
                <w:webHidden/>
              </w:rPr>
              <w:fldChar w:fldCharType="end"/>
            </w:r>
          </w:hyperlink>
        </w:p>
        <w:p w14:paraId="32CCB1BD" w14:textId="77777777" w:rsidR="00D11CFA" w:rsidRDefault="00937F8B">
          <w:pPr>
            <w:pStyle w:val="TOC3"/>
            <w:rPr>
              <w:rFonts w:eastAsiaTheme="minorEastAsia" w:cstheme="minorBidi"/>
              <w:noProof/>
              <w:sz w:val="22"/>
            </w:rPr>
          </w:pPr>
          <w:hyperlink w:anchor="_Toc492536534" w:history="1">
            <w:r w:rsidR="00D11CFA" w:rsidRPr="007C616A">
              <w:rPr>
                <w:rStyle w:val="Hyperlink"/>
                <w:noProof/>
              </w:rPr>
              <w:t>12. Estimated Response Burden</w:t>
            </w:r>
            <w:r w:rsidR="00D11CFA">
              <w:rPr>
                <w:noProof/>
                <w:webHidden/>
              </w:rPr>
              <w:tab/>
            </w:r>
            <w:r w:rsidR="00D11CFA">
              <w:rPr>
                <w:noProof/>
                <w:webHidden/>
              </w:rPr>
              <w:fldChar w:fldCharType="begin"/>
            </w:r>
            <w:r w:rsidR="00D11CFA">
              <w:rPr>
                <w:noProof/>
                <w:webHidden/>
              </w:rPr>
              <w:instrText xml:space="preserve"> PAGEREF _Toc492536534 \h </w:instrText>
            </w:r>
            <w:r w:rsidR="00D11CFA">
              <w:rPr>
                <w:noProof/>
                <w:webHidden/>
              </w:rPr>
            </w:r>
            <w:r w:rsidR="00D11CFA">
              <w:rPr>
                <w:noProof/>
                <w:webHidden/>
              </w:rPr>
              <w:fldChar w:fldCharType="separate"/>
            </w:r>
            <w:r w:rsidR="00D11CFA">
              <w:rPr>
                <w:noProof/>
                <w:webHidden/>
              </w:rPr>
              <w:t>10</w:t>
            </w:r>
            <w:r w:rsidR="00D11CFA">
              <w:rPr>
                <w:noProof/>
                <w:webHidden/>
              </w:rPr>
              <w:fldChar w:fldCharType="end"/>
            </w:r>
          </w:hyperlink>
        </w:p>
        <w:p w14:paraId="71CB7AD8" w14:textId="77777777" w:rsidR="00D11CFA" w:rsidRDefault="00937F8B">
          <w:pPr>
            <w:pStyle w:val="TOC3"/>
            <w:rPr>
              <w:rFonts w:eastAsiaTheme="minorEastAsia" w:cstheme="minorBidi"/>
              <w:noProof/>
              <w:sz w:val="22"/>
            </w:rPr>
          </w:pPr>
          <w:hyperlink w:anchor="_Toc492536535" w:history="1">
            <w:r w:rsidR="00D11CFA" w:rsidRPr="007C616A">
              <w:rPr>
                <w:rStyle w:val="Hyperlink"/>
                <w:noProof/>
              </w:rPr>
              <w:t>13. Estimate of Annualized Cost for Data Collection Activities</w:t>
            </w:r>
            <w:r w:rsidR="00D11CFA">
              <w:rPr>
                <w:noProof/>
                <w:webHidden/>
              </w:rPr>
              <w:tab/>
            </w:r>
            <w:r w:rsidR="00D11CFA">
              <w:rPr>
                <w:noProof/>
                <w:webHidden/>
              </w:rPr>
              <w:fldChar w:fldCharType="begin"/>
            </w:r>
            <w:r w:rsidR="00D11CFA">
              <w:rPr>
                <w:noProof/>
                <w:webHidden/>
              </w:rPr>
              <w:instrText xml:space="preserve"> PAGEREF _Toc492536535 \h </w:instrText>
            </w:r>
            <w:r w:rsidR="00D11CFA">
              <w:rPr>
                <w:noProof/>
                <w:webHidden/>
              </w:rPr>
            </w:r>
            <w:r w:rsidR="00D11CFA">
              <w:rPr>
                <w:noProof/>
                <w:webHidden/>
              </w:rPr>
              <w:fldChar w:fldCharType="separate"/>
            </w:r>
            <w:r w:rsidR="00D11CFA">
              <w:rPr>
                <w:noProof/>
                <w:webHidden/>
              </w:rPr>
              <w:t>11</w:t>
            </w:r>
            <w:r w:rsidR="00D11CFA">
              <w:rPr>
                <w:noProof/>
                <w:webHidden/>
              </w:rPr>
              <w:fldChar w:fldCharType="end"/>
            </w:r>
          </w:hyperlink>
        </w:p>
        <w:p w14:paraId="2634B2D9" w14:textId="77777777" w:rsidR="00D11CFA" w:rsidRDefault="00937F8B">
          <w:pPr>
            <w:pStyle w:val="TOC3"/>
            <w:rPr>
              <w:rFonts w:eastAsiaTheme="minorEastAsia" w:cstheme="minorBidi"/>
              <w:noProof/>
              <w:sz w:val="22"/>
            </w:rPr>
          </w:pPr>
          <w:hyperlink w:anchor="_Toc492536536" w:history="1">
            <w:r w:rsidR="00D11CFA" w:rsidRPr="007C616A">
              <w:rPr>
                <w:rStyle w:val="Hyperlink"/>
                <w:noProof/>
              </w:rPr>
              <w:t>14. Estimate of Annualized Cost to Federal Government</w:t>
            </w:r>
            <w:r w:rsidR="00D11CFA">
              <w:rPr>
                <w:noProof/>
                <w:webHidden/>
              </w:rPr>
              <w:tab/>
            </w:r>
            <w:r w:rsidR="00D11CFA">
              <w:rPr>
                <w:noProof/>
                <w:webHidden/>
              </w:rPr>
              <w:fldChar w:fldCharType="begin"/>
            </w:r>
            <w:r w:rsidR="00D11CFA">
              <w:rPr>
                <w:noProof/>
                <w:webHidden/>
              </w:rPr>
              <w:instrText xml:space="preserve"> PAGEREF _Toc492536536 \h </w:instrText>
            </w:r>
            <w:r w:rsidR="00D11CFA">
              <w:rPr>
                <w:noProof/>
                <w:webHidden/>
              </w:rPr>
            </w:r>
            <w:r w:rsidR="00D11CFA">
              <w:rPr>
                <w:noProof/>
                <w:webHidden/>
              </w:rPr>
              <w:fldChar w:fldCharType="separate"/>
            </w:r>
            <w:r w:rsidR="00D11CFA">
              <w:rPr>
                <w:noProof/>
                <w:webHidden/>
              </w:rPr>
              <w:t>11</w:t>
            </w:r>
            <w:r w:rsidR="00D11CFA">
              <w:rPr>
                <w:noProof/>
                <w:webHidden/>
              </w:rPr>
              <w:fldChar w:fldCharType="end"/>
            </w:r>
          </w:hyperlink>
        </w:p>
        <w:p w14:paraId="4EBDE468" w14:textId="77777777" w:rsidR="00D11CFA" w:rsidRDefault="00937F8B">
          <w:pPr>
            <w:pStyle w:val="TOC3"/>
            <w:rPr>
              <w:rFonts w:eastAsiaTheme="minorEastAsia" w:cstheme="minorBidi"/>
              <w:noProof/>
              <w:sz w:val="22"/>
            </w:rPr>
          </w:pPr>
          <w:hyperlink w:anchor="_Toc492536537" w:history="1">
            <w:r w:rsidR="00D11CFA" w:rsidRPr="007C616A">
              <w:rPr>
                <w:rStyle w:val="Hyperlink"/>
                <w:noProof/>
              </w:rPr>
              <w:t>15. Reasons for Changes in Estimated Burden</w:t>
            </w:r>
            <w:r w:rsidR="00D11CFA">
              <w:rPr>
                <w:noProof/>
                <w:webHidden/>
              </w:rPr>
              <w:tab/>
            </w:r>
            <w:r w:rsidR="00D11CFA">
              <w:rPr>
                <w:noProof/>
                <w:webHidden/>
              </w:rPr>
              <w:fldChar w:fldCharType="begin"/>
            </w:r>
            <w:r w:rsidR="00D11CFA">
              <w:rPr>
                <w:noProof/>
                <w:webHidden/>
              </w:rPr>
              <w:instrText xml:space="preserve"> PAGEREF _Toc492536537 \h </w:instrText>
            </w:r>
            <w:r w:rsidR="00D11CFA">
              <w:rPr>
                <w:noProof/>
                <w:webHidden/>
              </w:rPr>
            </w:r>
            <w:r w:rsidR="00D11CFA">
              <w:rPr>
                <w:noProof/>
                <w:webHidden/>
              </w:rPr>
              <w:fldChar w:fldCharType="separate"/>
            </w:r>
            <w:r w:rsidR="00D11CFA">
              <w:rPr>
                <w:noProof/>
                <w:webHidden/>
              </w:rPr>
              <w:t>11</w:t>
            </w:r>
            <w:r w:rsidR="00D11CFA">
              <w:rPr>
                <w:noProof/>
                <w:webHidden/>
              </w:rPr>
              <w:fldChar w:fldCharType="end"/>
            </w:r>
          </w:hyperlink>
        </w:p>
        <w:p w14:paraId="65F03EBF" w14:textId="77777777" w:rsidR="00D11CFA" w:rsidRDefault="00937F8B">
          <w:pPr>
            <w:pStyle w:val="TOC3"/>
            <w:rPr>
              <w:rFonts w:eastAsiaTheme="minorEastAsia" w:cstheme="minorBidi"/>
              <w:noProof/>
              <w:sz w:val="22"/>
            </w:rPr>
          </w:pPr>
          <w:hyperlink w:anchor="_Toc492536538" w:history="1">
            <w:r w:rsidR="00D11CFA" w:rsidRPr="007C616A">
              <w:rPr>
                <w:rStyle w:val="Hyperlink"/>
                <w:noProof/>
              </w:rPr>
              <w:t>16. Plans for Tabulation and Publication</w:t>
            </w:r>
            <w:r w:rsidR="00D11CFA">
              <w:rPr>
                <w:noProof/>
                <w:webHidden/>
              </w:rPr>
              <w:tab/>
            </w:r>
            <w:r w:rsidR="00D11CFA">
              <w:rPr>
                <w:noProof/>
                <w:webHidden/>
              </w:rPr>
              <w:fldChar w:fldCharType="begin"/>
            </w:r>
            <w:r w:rsidR="00D11CFA">
              <w:rPr>
                <w:noProof/>
                <w:webHidden/>
              </w:rPr>
              <w:instrText xml:space="preserve"> PAGEREF _Toc492536538 \h </w:instrText>
            </w:r>
            <w:r w:rsidR="00D11CFA">
              <w:rPr>
                <w:noProof/>
                <w:webHidden/>
              </w:rPr>
            </w:r>
            <w:r w:rsidR="00D11CFA">
              <w:rPr>
                <w:noProof/>
                <w:webHidden/>
              </w:rPr>
              <w:fldChar w:fldCharType="separate"/>
            </w:r>
            <w:r w:rsidR="00D11CFA">
              <w:rPr>
                <w:noProof/>
                <w:webHidden/>
              </w:rPr>
              <w:t>12</w:t>
            </w:r>
            <w:r w:rsidR="00D11CFA">
              <w:rPr>
                <w:noProof/>
                <w:webHidden/>
              </w:rPr>
              <w:fldChar w:fldCharType="end"/>
            </w:r>
          </w:hyperlink>
        </w:p>
        <w:p w14:paraId="4CA424D7" w14:textId="77777777" w:rsidR="00D11CFA" w:rsidRDefault="00937F8B">
          <w:pPr>
            <w:pStyle w:val="TOC3"/>
            <w:rPr>
              <w:rFonts w:eastAsiaTheme="minorEastAsia" w:cstheme="minorBidi"/>
              <w:noProof/>
              <w:sz w:val="22"/>
            </w:rPr>
          </w:pPr>
          <w:hyperlink w:anchor="_Toc492536539" w:history="1">
            <w:r w:rsidR="00D11CFA" w:rsidRPr="007C616A">
              <w:rPr>
                <w:rStyle w:val="Hyperlink"/>
                <w:noProof/>
              </w:rPr>
              <w:t>17. Display of Expiration Date for OMB Approval</w:t>
            </w:r>
            <w:r w:rsidR="00D11CFA">
              <w:rPr>
                <w:noProof/>
                <w:webHidden/>
              </w:rPr>
              <w:tab/>
            </w:r>
            <w:r w:rsidR="00D11CFA">
              <w:rPr>
                <w:noProof/>
                <w:webHidden/>
              </w:rPr>
              <w:fldChar w:fldCharType="begin"/>
            </w:r>
            <w:r w:rsidR="00D11CFA">
              <w:rPr>
                <w:noProof/>
                <w:webHidden/>
              </w:rPr>
              <w:instrText xml:space="preserve"> PAGEREF _Toc492536539 \h </w:instrText>
            </w:r>
            <w:r w:rsidR="00D11CFA">
              <w:rPr>
                <w:noProof/>
                <w:webHidden/>
              </w:rPr>
            </w:r>
            <w:r w:rsidR="00D11CFA">
              <w:rPr>
                <w:noProof/>
                <w:webHidden/>
              </w:rPr>
              <w:fldChar w:fldCharType="separate"/>
            </w:r>
            <w:r w:rsidR="00D11CFA">
              <w:rPr>
                <w:noProof/>
                <w:webHidden/>
              </w:rPr>
              <w:t>12</w:t>
            </w:r>
            <w:r w:rsidR="00D11CFA">
              <w:rPr>
                <w:noProof/>
                <w:webHidden/>
              </w:rPr>
              <w:fldChar w:fldCharType="end"/>
            </w:r>
          </w:hyperlink>
        </w:p>
        <w:p w14:paraId="502624D2" w14:textId="77777777" w:rsidR="00D11CFA" w:rsidRDefault="00937F8B">
          <w:pPr>
            <w:pStyle w:val="TOC3"/>
            <w:rPr>
              <w:rFonts w:eastAsiaTheme="minorEastAsia" w:cstheme="minorBidi"/>
              <w:noProof/>
              <w:sz w:val="22"/>
            </w:rPr>
          </w:pPr>
          <w:hyperlink w:anchor="_Toc492536540" w:history="1">
            <w:r w:rsidR="00D11CFA" w:rsidRPr="007C616A">
              <w:rPr>
                <w:rStyle w:val="Hyperlink"/>
                <w:noProof/>
              </w:rPr>
              <w:t>18. Exceptions to Certification for Paperwork Reduction Act Submissions</w:t>
            </w:r>
            <w:r w:rsidR="00D11CFA">
              <w:rPr>
                <w:noProof/>
                <w:webHidden/>
              </w:rPr>
              <w:tab/>
            </w:r>
            <w:r w:rsidR="00D11CFA">
              <w:rPr>
                <w:noProof/>
                <w:webHidden/>
              </w:rPr>
              <w:fldChar w:fldCharType="begin"/>
            </w:r>
            <w:r w:rsidR="00D11CFA">
              <w:rPr>
                <w:noProof/>
                <w:webHidden/>
              </w:rPr>
              <w:instrText xml:space="preserve"> PAGEREF _Toc492536540 \h </w:instrText>
            </w:r>
            <w:r w:rsidR="00D11CFA">
              <w:rPr>
                <w:noProof/>
                <w:webHidden/>
              </w:rPr>
            </w:r>
            <w:r w:rsidR="00D11CFA">
              <w:rPr>
                <w:noProof/>
                <w:webHidden/>
              </w:rPr>
              <w:fldChar w:fldCharType="separate"/>
            </w:r>
            <w:r w:rsidR="00D11CFA">
              <w:rPr>
                <w:noProof/>
                <w:webHidden/>
              </w:rPr>
              <w:t>12</w:t>
            </w:r>
            <w:r w:rsidR="00D11CFA">
              <w:rPr>
                <w:noProof/>
                <w:webHidden/>
              </w:rPr>
              <w:fldChar w:fldCharType="end"/>
            </w:r>
          </w:hyperlink>
        </w:p>
        <w:p w14:paraId="625F6886" w14:textId="77777777" w:rsidR="00D11CFA" w:rsidRDefault="00937F8B">
          <w:pPr>
            <w:pStyle w:val="TOC1"/>
            <w:rPr>
              <w:rFonts w:eastAsiaTheme="minorEastAsia" w:cstheme="minorBidi"/>
              <w:b w:val="0"/>
              <w:noProof/>
              <w:sz w:val="22"/>
            </w:rPr>
          </w:pPr>
          <w:hyperlink w:anchor="_Toc492536541" w:history="1">
            <w:r w:rsidR="00D11CFA" w:rsidRPr="007C616A">
              <w:rPr>
                <w:rStyle w:val="Hyperlink"/>
                <w:noProof/>
              </w:rPr>
              <w:t>References</w:t>
            </w:r>
            <w:r w:rsidR="00D11CFA">
              <w:rPr>
                <w:noProof/>
                <w:webHidden/>
              </w:rPr>
              <w:tab/>
            </w:r>
            <w:r w:rsidR="00D11CFA">
              <w:rPr>
                <w:noProof/>
                <w:webHidden/>
              </w:rPr>
              <w:fldChar w:fldCharType="begin"/>
            </w:r>
            <w:r w:rsidR="00D11CFA">
              <w:rPr>
                <w:noProof/>
                <w:webHidden/>
              </w:rPr>
              <w:instrText xml:space="preserve"> PAGEREF _Toc492536541 \h </w:instrText>
            </w:r>
            <w:r w:rsidR="00D11CFA">
              <w:rPr>
                <w:noProof/>
                <w:webHidden/>
              </w:rPr>
            </w:r>
            <w:r w:rsidR="00D11CFA">
              <w:rPr>
                <w:noProof/>
                <w:webHidden/>
              </w:rPr>
              <w:fldChar w:fldCharType="separate"/>
            </w:r>
            <w:r w:rsidR="00D11CFA">
              <w:rPr>
                <w:noProof/>
                <w:webHidden/>
              </w:rPr>
              <w:t>13</w:t>
            </w:r>
            <w:r w:rsidR="00D11CFA">
              <w:rPr>
                <w:noProof/>
                <w:webHidden/>
              </w:rPr>
              <w:fldChar w:fldCharType="end"/>
            </w:r>
          </w:hyperlink>
        </w:p>
        <w:p w14:paraId="0139CD87" w14:textId="77777777" w:rsidR="008C3E81" w:rsidRDefault="00115F1B">
          <w:pPr>
            <w:rPr>
              <w:b/>
              <w:bCs/>
              <w:noProof/>
            </w:rPr>
          </w:pPr>
          <w:r>
            <w:rPr>
              <w:b/>
              <w:bCs/>
              <w:noProof/>
            </w:rPr>
            <w:fldChar w:fldCharType="end"/>
          </w:r>
        </w:p>
        <w:p w14:paraId="218E564A" w14:textId="77777777" w:rsidR="00225CF7" w:rsidRDefault="00937F8B" w:rsidP="007204D2">
          <w:pPr>
            <w:spacing w:after="0" w:line="240" w:lineRule="auto"/>
            <w:rPr>
              <w:b/>
              <w:bCs/>
              <w:noProof/>
            </w:rPr>
          </w:pPr>
        </w:p>
      </w:sdtContent>
    </w:sdt>
    <w:p w14:paraId="6C9108BB" w14:textId="77777777" w:rsidR="007204D2" w:rsidRDefault="00225CF7" w:rsidP="007204D2">
      <w:pPr>
        <w:spacing w:after="0" w:line="240" w:lineRule="auto"/>
        <w:rPr>
          <w:b/>
          <w:bCs/>
          <w:noProof/>
        </w:rPr>
      </w:pPr>
      <w:r>
        <w:rPr>
          <w:b/>
          <w:bCs/>
          <w:noProof/>
        </w:rPr>
        <w:t>Appendix A</w:t>
      </w:r>
      <w:r w:rsidR="0047492B">
        <w:rPr>
          <w:b/>
          <w:bCs/>
          <w:noProof/>
        </w:rPr>
        <w:t>. Notification Letters</w:t>
      </w:r>
    </w:p>
    <w:p w14:paraId="1308EDF4" w14:textId="77777777" w:rsidR="0047492B" w:rsidRDefault="0047492B" w:rsidP="007204D2">
      <w:pPr>
        <w:spacing w:after="0" w:line="240" w:lineRule="auto"/>
        <w:rPr>
          <w:b/>
          <w:bCs/>
          <w:noProof/>
        </w:rPr>
      </w:pPr>
      <w:r>
        <w:rPr>
          <w:b/>
          <w:bCs/>
          <w:noProof/>
        </w:rPr>
        <w:t>Appendix B. Student Recruitment Fl</w:t>
      </w:r>
      <w:r w:rsidR="00F41F5F">
        <w:rPr>
          <w:b/>
          <w:bCs/>
          <w:noProof/>
        </w:rPr>
        <w:t>i</w:t>
      </w:r>
      <w:r>
        <w:rPr>
          <w:b/>
          <w:bCs/>
          <w:noProof/>
        </w:rPr>
        <w:t>er</w:t>
      </w:r>
    </w:p>
    <w:p w14:paraId="589D56D2" w14:textId="77777777" w:rsidR="00EF72AF" w:rsidRDefault="0047492B" w:rsidP="007204D2">
      <w:pPr>
        <w:spacing w:after="0" w:line="240" w:lineRule="auto"/>
        <w:rPr>
          <w:b/>
          <w:bCs/>
          <w:noProof/>
        </w:rPr>
      </w:pPr>
      <w:r>
        <w:rPr>
          <w:b/>
          <w:bCs/>
          <w:noProof/>
        </w:rPr>
        <w:t>Appendix C.</w:t>
      </w:r>
      <w:r w:rsidR="00EF72AF">
        <w:rPr>
          <w:b/>
          <w:bCs/>
          <w:noProof/>
        </w:rPr>
        <w:t xml:space="preserve"> State Administrator Protocol</w:t>
      </w:r>
    </w:p>
    <w:p w14:paraId="2718A46F" w14:textId="77777777" w:rsidR="00EF72AF" w:rsidRDefault="00EF72AF" w:rsidP="007204D2">
      <w:pPr>
        <w:spacing w:after="0" w:line="240" w:lineRule="auto"/>
        <w:rPr>
          <w:b/>
          <w:bCs/>
          <w:noProof/>
        </w:rPr>
      </w:pPr>
      <w:r>
        <w:rPr>
          <w:b/>
          <w:bCs/>
          <w:noProof/>
        </w:rPr>
        <w:t xml:space="preserve">Appendix D. Polic </w:t>
      </w:r>
      <w:r w:rsidR="008E740C">
        <w:rPr>
          <w:b/>
          <w:bCs/>
          <w:noProof/>
        </w:rPr>
        <w:t>y</w:t>
      </w:r>
      <w:r>
        <w:rPr>
          <w:b/>
          <w:bCs/>
          <w:noProof/>
        </w:rPr>
        <w:t>Staff Protocol</w:t>
      </w:r>
    </w:p>
    <w:p w14:paraId="7769109C" w14:textId="77777777" w:rsidR="00EF72AF" w:rsidRDefault="00EF72AF" w:rsidP="007204D2">
      <w:pPr>
        <w:spacing w:after="0" w:line="240" w:lineRule="auto"/>
        <w:rPr>
          <w:b/>
          <w:bCs/>
          <w:noProof/>
        </w:rPr>
      </w:pPr>
      <w:r>
        <w:rPr>
          <w:b/>
          <w:bCs/>
          <w:noProof/>
        </w:rPr>
        <w:t>Appendix E. State Governing Members Protoc</w:t>
      </w:r>
      <w:r w:rsidR="008E740C">
        <w:rPr>
          <w:b/>
          <w:bCs/>
          <w:noProof/>
        </w:rPr>
        <w:t>o</w:t>
      </w:r>
      <w:r>
        <w:rPr>
          <w:b/>
          <w:bCs/>
          <w:noProof/>
        </w:rPr>
        <w:t>l</w:t>
      </w:r>
    </w:p>
    <w:p w14:paraId="14AF2C28" w14:textId="77777777" w:rsidR="00EF72AF" w:rsidRDefault="00EF72AF" w:rsidP="007204D2">
      <w:pPr>
        <w:spacing w:after="0" w:line="240" w:lineRule="auto"/>
        <w:rPr>
          <w:b/>
          <w:bCs/>
          <w:noProof/>
        </w:rPr>
      </w:pPr>
      <w:r>
        <w:rPr>
          <w:b/>
          <w:bCs/>
          <w:noProof/>
        </w:rPr>
        <w:t>Appendix F. Faculty Protocol</w:t>
      </w:r>
    </w:p>
    <w:p w14:paraId="1F3DBB32" w14:textId="77777777" w:rsidR="00EF72AF" w:rsidRDefault="00EF72AF" w:rsidP="007204D2">
      <w:pPr>
        <w:spacing w:after="0" w:line="240" w:lineRule="auto"/>
        <w:rPr>
          <w:b/>
          <w:bCs/>
          <w:noProof/>
        </w:rPr>
      </w:pPr>
      <w:r>
        <w:rPr>
          <w:b/>
          <w:bCs/>
          <w:noProof/>
        </w:rPr>
        <w:t>Appendix G. IHE Senior Administrator Protocol</w:t>
      </w:r>
    </w:p>
    <w:p w14:paraId="1E433DA4" w14:textId="77777777" w:rsidR="00EF72AF" w:rsidRDefault="00EF72AF" w:rsidP="007204D2">
      <w:pPr>
        <w:spacing w:after="0" w:line="240" w:lineRule="auto"/>
        <w:rPr>
          <w:b/>
          <w:bCs/>
          <w:noProof/>
        </w:rPr>
      </w:pPr>
      <w:r>
        <w:rPr>
          <w:b/>
          <w:bCs/>
          <w:noProof/>
        </w:rPr>
        <w:t>Appendix H. Support Staff Protocol</w:t>
      </w:r>
    </w:p>
    <w:p w14:paraId="14A07334" w14:textId="77777777" w:rsidR="00EF72AF" w:rsidRDefault="00EF72AF" w:rsidP="007204D2">
      <w:pPr>
        <w:spacing w:after="0" w:line="240" w:lineRule="auto"/>
        <w:rPr>
          <w:b/>
          <w:bCs/>
          <w:noProof/>
        </w:rPr>
      </w:pPr>
      <w:r>
        <w:rPr>
          <w:b/>
          <w:bCs/>
          <w:noProof/>
        </w:rPr>
        <w:t>Appendix I. ECE Industry Representantative Protocol</w:t>
      </w:r>
    </w:p>
    <w:p w14:paraId="6A705553" w14:textId="77777777" w:rsidR="00EF72AF" w:rsidRDefault="00EF72AF" w:rsidP="007204D2">
      <w:pPr>
        <w:spacing w:after="0" w:line="240" w:lineRule="auto"/>
        <w:rPr>
          <w:b/>
          <w:bCs/>
          <w:noProof/>
        </w:rPr>
      </w:pPr>
      <w:r>
        <w:rPr>
          <w:b/>
          <w:bCs/>
          <w:noProof/>
        </w:rPr>
        <w:t>Appendix J. Teach</w:t>
      </w:r>
      <w:r w:rsidR="00F41F5F">
        <w:rPr>
          <w:b/>
          <w:bCs/>
          <w:noProof/>
        </w:rPr>
        <w:t>er</w:t>
      </w:r>
      <w:r>
        <w:rPr>
          <w:b/>
          <w:bCs/>
          <w:noProof/>
        </w:rPr>
        <w:t xml:space="preserve"> Licensing Agency Representative Protocol</w:t>
      </w:r>
    </w:p>
    <w:p w14:paraId="72863D45" w14:textId="77777777" w:rsidR="0047492B" w:rsidRDefault="00EF72AF" w:rsidP="007204D2">
      <w:pPr>
        <w:spacing w:after="0" w:line="240" w:lineRule="auto"/>
        <w:rPr>
          <w:b/>
          <w:bCs/>
          <w:noProof/>
        </w:rPr>
      </w:pPr>
      <w:r>
        <w:rPr>
          <w:b/>
          <w:bCs/>
          <w:noProof/>
        </w:rPr>
        <w:t>Appendix K. Student Protocol</w:t>
      </w:r>
      <w:r w:rsidR="0047492B">
        <w:rPr>
          <w:b/>
          <w:bCs/>
          <w:noProof/>
        </w:rPr>
        <w:t xml:space="preserve"> </w:t>
      </w:r>
      <w:r>
        <w:rPr>
          <w:b/>
          <w:bCs/>
          <w:noProof/>
        </w:rPr>
        <w:t xml:space="preserve"> </w:t>
      </w:r>
    </w:p>
    <w:p w14:paraId="22E98464" w14:textId="77777777" w:rsidR="008C3E81" w:rsidRDefault="008C3E81">
      <w:pPr>
        <w:pStyle w:val="Heading1"/>
        <w:jc w:val="left"/>
        <w:rPr>
          <w:bCs w:val="0"/>
        </w:rPr>
        <w:sectPr w:rsidR="008C3E81">
          <w:footerReference w:type="default" r:id="rId14"/>
          <w:pgSz w:w="12240" w:h="15840" w:code="1"/>
          <w:pgMar w:top="1152" w:right="1152" w:bottom="1152" w:left="1152" w:header="720" w:footer="720" w:gutter="0"/>
          <w:pgNumType w:start="1"/>
          <w:cols w:space="720"/>
          <w:docGrid w:linePitch="360"/>
        </w:sectPr>
      </w:pPr>
    </w:p>
    <w:p w14:paraId="7388C1C6" w14:textId="77777777" w:rsidR="0049310F" w:rsidRDefault="0049310F" w:rsidP="007204D2">
      <w:pPr>
        <w:pStyle w:val="Heading1"/>
        <w:tabs>
          <w:tab w:val="left" w:pos="1804"/>
          <w:tab w:val="center" w:pos="4968"/>
        </w:tabs>
        <w:rPr>
          <w:rFonts w:cs="Arial"/>
          <w:sz w:val="32"/>
        </w:rPr>
      </w:pPr>
      <w:bookmarkStart w:id="2" w:name="_Toc492536516"/>
      <w:bookmarkStart w:id="3" w:name="_Toc468353964"/>
      <w:bookmarkStart w:id="4" w:name="_Toc471750234"/>
      <w:bookmarkStart w:id="5" w:name="_Toc459811999"/>
      <w:bookmarkStart w:id="6" w:name="_Toc465415008"/>
      <w:r>
        <w:lastRenderedPageBreak/>
        <w:t xml:space="preserve">Study </w:t>
      </w:r>
      <w:r w:rsidR="00C97A55">
        <w:t>Overview</w:t>
      </w:r>
      <w:bookmarkEnd w:id="2"/>
    </w:p>
    <w:p w14:paraId="607EB3C7" w14:textId="77777777" w:rsidR="00A66B70" w:rsidRPr="00D731F3" w:rsidRDefault="00A66B70" w:rsidP="00D731F3">
      <w:pPr>
        <w:pStyle w:val="Heading2"/>
        <w:spacing w:after="180"/>
        <w:rPr>
          <w:color w:val="0070C0"/>
        </w:rPr>
      </w:pPr>
      <w:bookmarkStart w:id="7" w:name="_Toc492025188"/>
      <w:bookmarkStart w:id="8" w:name="_Toc492043162"/>
      <w:bookmarkStart w:id="9" w:name="_Toc492536517"/>
      <w:bookmarkStart w:id="10" w:name="_Toc492043164"/>
      <w:bookmarkEnd w:id="3"/>
      <w:bookmarkEnd w:id="4"/>
      <w:bookmarkEnd w:id="5"/>
      <w:bookmarkEnd w:id="6"/>
      <w:r w:rsidRPr="00D731F3">
        <w:rPr>
          <w:color w:val="0070C0"/>
        </w:rPr>
        <w:t>Study Purpose</w:t>
      </w:r>
      <w:bookmarkEnd w:id="7"/>
      <w:bookmarkEnd w:id="8"/>
      <w:bookmarkEnd w:id="9"/>
    </w:p>
    <w:p w14:paraId="77C3B407" w14:textId="77777777" w:rsidR="00D731F3" w:rsidRDefault="00A66B70" w:rsidP="00D731F3">
      <w:pPr>
        <w:pStyle w:val="NoSpacing"/>
        <w:spacing w:after="200"/>
      </w:pPr>
      <w:r w:rsidRPr="000E5998">
        <w:t xml:space="preserve">The purpose of this study is to </w:t>
      </w:r>
      <w:r w:rsidRPr="00785A11">
        <w:t>identif</w:t>
      </w:r>
      <w:r>
        <w:t>y</w:t>
      </w:r>
      <w:r w:rsidRPr="00785A11">
        <w:t xml:space="preserve"> elements that states have in place to enable successful articulation as early care and education (ECE) workers progress from an </w:t>
      </w:r>
      <w:r>
        <w:t>a</w:t>
      </w:r>
      <w:r w:rsidRPr="00785A11">
        <w:t xml:space="preserve">ssociate’s degree to a </w:t>
      </w:r>
      <w:r>
        <w:t>b</w:t>
      </w:r>
      <w:r w:rsidRPr="00785A11">
        <w:t>achelor’s degree</w:t>
      </w:r>
      <w:r>
        <w:t xml:space="preserve"> and describe states’ successes and challenges in implementing the elements. Specifically, the study will use telephone interviews, focus groups, and review of extant documents to examine ECE articulation policies and their implementation in </w:t>
      </w:r>
      <w:bookmarkStart w:id="11" w:name="_Toc492025189"/>
      <w:bookmarkStart w:id="12" w:name="_Toc492043163"/>
      <w:r w:rsidR="00D731F3">
        <w:t>six focal states — California, Florida, Indiana, Massachusetts, New Mexico, and Pennsylvania — that have statewide articulation policies addressing degrees or coursework in early childhood education.</w:t>
      </w:r>
    </w:p>
    <w:p w14:paraId="29DE6F79" w14:textId="77777777" w:rsidR="00D731F3" w:rsidRPr="00D731F3" w:rsidRDefault="00D731F3" w:rsidP="00D731F3">
      <w:pPr>
        <w:pStyle w:val="Heading2"/>
        <w:spacing w:after="180"/>
        <w:rPr>
          <w:color w:val="0070C0"/>
        </w:rPr>
      </w:pPr>
      <w:bookmarkStart w:id="13" w:name="_Toc492536518"/>
      <w:bookmarkEnd w:id="11"/>
      <w:bookmarkEnd w:id="12"/>
      <w:r w:rsidRPr="00D731F3">
        <w:rPr>
          <w:color w:val="0070C0"/>
        </w:rPr>
        <w:t>Policy Context</w:t>
      </w:r>
      <w:bookmarkEnd w:id="13"/>
    </w:p>
    <w:p w14:paraId="55674368" w14:textId="77777777" w:rsidR="00A66B70" w:rsidRPr="007A3B03" w:rsidRDefault="00A66B70" w:rsidP="00A66B70">
      <w:pPr>
        <w:pStyle w:val="BodyText"/>
        <w:spacing w:after="200"/>
        <w:rPr>
          <w:sz w:val="22"/>
          <w:szCs w:val="22"/>
        </w:rPr>
      </w:pPr>
      <w:r w:rsidRPr="007A3B03">
        <w:rPr>
          <w:sz w:val="22"/>
          <w:szCs w:val="22"/>
        </w:rPr>
        <w:t xml:space="preserve">Given the importance of early childhood experiences </w:t>
      </w:r>
      <w:r>
        <w:rPr>
          <w:sz w:val="22"/>
          <w:szCs w:val="22"/>
        </w:rPr>
        <w:t xml:space="preserve">for </w:t>
      </w:r>
      <w:r w:rsidRPr="007A3B03">
        <w:rPr>
          <w:sz w:val="22"/>
          <w:szCs w:val="22"/>
        </w:rPr>
        <w:t>build</w:t>
      </w:r>
      <w:r>
        <w:rPr>
          <w:sz w:val="22"/>
          <w:szCs w:val="22"/>
        </w:rPr>
        <w:t>ing</w:t>
      </w:r>
      <w:r w:rsidRPr="007A3B03">
        <w:rPr>
          <w:sz w:val="22"/>
          <w:szCs w:val="22"/>
        </w:rPr>
        <w:t xml:space="preserve"> critical foundations for </w:t>
      </w:r>
      <w:r w:rsidR="00670B3A">
        <w:rPr>
          <w:sz w:val="22"/>
          <w:szCs w:val="22"/>
        </w:rPr>
        <w:t>children’s</w:t>
      </w:r>
      <w:r w:rsidR="00670B3A" w:rsidRPr="007A3B03">
        <w:rPr>
          <w:sz w:val="22"/>
          <w:szCs w:val="22"/>
        </w:rPr>
        <w:t xml:space="preserve"> </w:t>
      </w:r>
      <w:r w:rsidRPr="007A3B03">
        <w:rPr>
          <w:sz w:val="22"/>
          <w:szCs w:val="22"/>
        </w:rPr>
        <w:t xml:space="preserve">future success </w:t>
      </w:r>
      <w:r>
        <w:rPr>
          <w:sz w:val="22"/>
          <w:szCs w:val="22"/>
        </w:rPr>
        <w:t xml:space="preserve">in life </w:t>
      </w:r>
      <w:r w:rsidRPr="007A3B03">
        <w:rPr>
          <w:sz w:val="22"/>
          <w:szCs w:val="22"/>
        </w:rPr>
        <w:t xml:space="preserve">(Institute of Medicine and National Research Council of the National Academies 2015; National Scientific Council on the Developing Child 2007), there is growing interest in ensuring that educators who work with young children have the knowledge, skills, and abilities needed to leverage the developmental opportunities possible in the early years. </w:t>
      </w:r>
      <w:r>
        <w:rPr>
          <w:sz w:val="22"/>
          <w:szCs w:val="22"/>
        </w:rPr>
        <w:t>T</w:t>
      </w:r>
      <w:r w:rsidRPr="007A3B03">
        <w:rPr>
          <w:sz w:val="22"/>
          <w:szCs w:val="22"/>
        </w:rPr>
        <w:t xml:space="preserve">he National Academies of Sciences recently recommended that </w:t>
      </w:r>
      <w:r>
        <w:rPr>
          <w:sz w:val="22"/>
          <w:szCs w:val="22"/>
        </w:rPr>
        <w:t xml:space="preserve">early childhood </w:t>
      </w:r>
      <w:r w:rsidRPr="007A3B03">
        <w:rPr>
          <w:sz w:val="22"/>
          <w:szCs w:val="22"/>
        </w:rPr>
        <w:t>educators working with children from birth through age 8</w:t>
      </w:r>
      <w:r>
        <w:rPr>
          <w:sz w:val="22"/>
          <w:szCs w:val="22"/>
        </w:rPr>
        <w:t xml:space="preserve"> should </w:t>
      </w:r>
      <w:r w:rsidRPr="007A3B03">
        <w:rPr>
          <w:sz w:val="22"/>
          <w:szCs w:val="22"/>
        </w:rPr>
        <w:t>be required to hold a bachelor’s degree</w:t>
      </w:r>
      <w:r>
        <w:rPr>
          <w:sz w:val="22"/>
          <w:szCs w:val="22"/>
        </w:rPr>
        <w:t xml:space="preserve"> and that </w:t>
      </w:r>
      <w:r w:rsidRPr="007A3B03">
        <w:rPr>
          <w:sz w:val="22"/>
          <w:szCs w:val="22"/>
        </w:rPr>
        <w:t xml:space="preserve">comprehensive pathways at the individual, institutional, and policy levels </w:t>
      </w:r>
      <w:r>
        <w:rPr>
          <w:sz w:val="22"/>
          <w:szCs w:val="22"/>
        </w:rPr>
        <w:t>are needed to help t</w:t>
      </w:r>
      <w:r w:rsidRPr="007A3B03">
        <w:rPr>
          <w:sz w:val="22"/>
          <w:szCs w:val="22"/>
        </w:rPr>
        <w:t xml:space="preserve">ransition to </w:t>
      </w:r>
      <w:r>
        <w:rPr>
          <w:sz w:val="22"/>
          <w:szCs w:val="22"/>
        </w:rPr>
        <w:t xml:space="preserve">this </w:t>
      </w:r>
      <w:r w:rsidRPr="007A3B03">
        <w:rPr>
          <w:sz w:val="22"/>
          <w:szCs w:val="22"/>
        </w:rPr>
        <w:t xml:space="preserve">requirement (Institute of Medicine and National Research Council of the National Academies </w:t>
      </w:r>
      <w:r>
        <w:rPr>
          <w:sz w:val="22"/>
          <w:szCs w:val="22"/>
        </w:rPr>
        <w:t>2015).</w:t>
      </w:r>
      <w:r w:rsidRPr="007A3B03">
        <w:rPr>
          <w:sz w:val="22"/>
          <w:szCs w:val="22"/>
        </w:rPr>
        <w:t xml:space="preserve"> </w:t>
      </w:r>
    </w:p>
    <w:p w14:paraId="7591CD70" w14:textId="77777777" w:rsidR="00A66B70" w:rsidRDefault="00A66B70" w:rsidP="00A66B70">
      <w:pPr>
        <w:pStyle w:val="BodyText"/>
        <w:spacing w:after="200"/>
        <w:rPr>
          <w:sz w:val="22"/>
          <w:szCs w:val="22"/>
        </w:rPr>
      </w:pPr>
      <w:r>
        <w:rPr>
          <w:sz w:val="22"/>
          <w:szCs w:val="22"/>
        </w:rPr>
        <w:t xml:space="preserve">At this time, however, </w:t>
      </w:r>
      <w:r w:rsidRPr="007A3B03">
        <w:rPr>
          <w:sz w:val="22"/>
          <w:szCs w:val="22"/>
        </w:rPr>
        <w:t>the education level of the early childhood workforce</w:t>
      </w:r>
      <w:r>
        <w:rPr>
          <w:sz w:val="22"/>
          <w:szCs w:val="22"/>
        </w:rPr>
        <w:t xml:space="preserve"> is quite low </w:t>
      </w:r>
      <w:r w:rsidRPr="007A3B03">
        <w:rPr>
          <w:sz w:val="22"/>
          <w:szCs w:val="22"/>
        </w:rPr>
        <w:t>compared with the K</w:t>
      </w:r>
      <w:r>
        <w:rPr>
          <w:sz w:val="22"/>
          <w:szCs w:val="22"/>
        </w:rPr>
        <w:noBreakHyphen/>
      </w:r>
      <w:r w:rsidRPr="007A3B03">
        <w:rPr>
          <w:sz w:val="22"/>
          <w:szCs w:val="22"/>
        </w:rPr>
        <w:t xml:space="preserve">12 workforce. Less than half of teachers or child care providers working with preschool-aged children hold a bachelor’s degree or above (Bureau of Labor Statistics 2015; National Survey of Early Care Education 2013). Similarly, less than one in five home-based and infant-toddler caregivers has a bachelor’s degree. </w:t>
      </w:r>
    </w:p>
    <w:p w14:paraId="758327A9" w14:textId="77777777" w:rsidR="00A66B70" w:rsidRPr="007A3B03" w:rsidRDefault="00A66B70" w:rsidP="00A66B70">
      <w:pPr>
        <w:pStyle w:val="BodyText"/>
        <w:spacing w:after="200"/>
        <w:rPr>
          <w:sz w:val="22"/>
          <w:szCs w:val="22"/>
        </w:rPr>
      </w:pPr>
      <w:r w:rsidRPr="007A3B03">
        <w:rPr>
          <w:sz w:val="22"/>
          <w:szCs w:val="22"/>
        </w:rPr>
        <w:t xml:space="preserve">One barrier </w:t>
      </w:r>
      <w:r>
        <w:rPr>
          <w:sz w:val="22"/>
          <w:szCs w:val="22"/>
        </w:rPr>
        <w:t xml:space="preserve">faced by </w:t>
      </w:r>
      <w:r w:rsidRPr="007A3B03">
        <w:rPr>
          <w:sz w:val="22"/>
          <w:szCs w:val="22"/>
        </w:rPr>
        <w:t>ECE</w:t>
      </w:r>
      <w:r>
        <w:rPr>
          <w:sz w:val="22"/>
          <w:szCs w:val="22"/>
        </w:rPr>
        <w:t xml:space="preserve"> workers</w:t>
      </w:r>
      <w:r w:rsidRPr="007A3B03">
        <w:rPr>
          <w:sz w:val="22"/>
          <w:szCs w:val="22"/>
        </w:rPr>
        <w:t xml:space="preserve"> in </w:t>
      </w:r>
      <w:r>
        <w:rPr>
          <w:sz w:val="22"/>
          <w:szCs w:val="22"/>
        </w:rPr>
        <w:t xml:space="preserve">their </w:t>
      </w:r>
      <w:r w:rsidRPr="007A3B03">
        <w:rPr>
          <w:sz w:val="22"/>
          <w:szCs w:val="22"/>
        </w:rPr>
        <w:t xml:space="preserve">attempts to advance their education level is </w:t>
      </w:r>
      <w:r>
        <w:rPr>
          <w:sz w:val="22"/>
          <w:szCs w:val="22"/>
        </w:rPr>
        <w:t>a</w:t>
      </w:r>
      <w:r w:rsidRPr="007A3B03">
        <w:rPr>
          <w:sz w:val="22"/>
          <w:szCs w:val="22"/>
        </w:rPr>
        <w:t xml:space="preserve"> scarcity of articulation agreements t</w:t>
      </w:r>
      <w:r>
        <w:rPr>
          <w:sz w:val="22"/>
          <w:szCs w:val="22"/>
        </w:rPr>
        <w:t>o</w:t>
      </w:r>
      <w:r w:rsidRPr="007A3B03">
        <w:rPr>
          <w:sz w:val="22"/>
          <w:szCs w:val="22"/>
        </w:rPr>
        <w:t xml:space="preserve"> facilitate transfer of credits and coursework between degree programs (Limardo, Sweeney, and Taylor 2016). Early childhood educators who pursue additional education may experience a loss of course credit and a disruption of degree progress as they transfer between two- and four-year colleges and universities (Jenkins and Fink 2015)</w:t>
      </w:r>
      <w:r>
        <w:rPr>
          <w:sz w:val="22"/>
          <w:szCs w:val="22"/>
        </w:rPr>
        <w:t xml:space="preserve">, which </w:t>
      </w:r>
      <w:r w:rsidRPr="007A3B03">
        <w:rPr>
          <w:sz w:val="22"/>
          <w:szCs w:val="22"/>
        </w:rPr>
        <w:t xml:space="preserve">can add substantial time and cost to pursuing </w:t>
      </w:r>
      <w:r>
        <w:rPr>
          <w:sz w:val="22"/>
          <w:szCs w:val="22"/>
        </w:rPr>
        <w:t>a bachelor’s degree.</w:t>
      </w:r>
    </w:p>
    <w:p w14:paraId="439586D7" w14:textId="77777777" w:rsidR="00A66B70" w:rsidRPr="007A3B03" w:rsidRDefault="00A66B70" w:rsidP="00A66B70">
      <w:pPr>
        <w:pStyle w:val="BodyText"/>
        <w:spacing w:after="200"/>
        <w:rPr>
          <w:sz w:val="22"/>
          <w:szCs w:val="22"/>
        </w:rPr>
      </w:pPr>
      <w:r w:rsidRPr="007A3B03">
        <w:rPr>
          <w:sz w:val="22"/>
          <w:szCs w:val="22"/>
        </w:rPr>
        <w:t xml:space="preserve">As federal and local governments seek to </w:t>
      </w:r>
      <w:r>
        <w:rPr>
          <w:sz w:val="22"/>
          <w:szCs w:val="22"/>
        </w:rPr>
        <w:t>improve</w:t>
      </w:r>
      <w:r w:rsidRPr="007A3B03">
        <w:rPr>
          <w:sz w:val="22"/>
          <w:szCs w:val="22"/>
        </w:rPr>
        <w:t xml:space="preserve"> the qualifications of early childhood educators and develop more seamless pathways to the baccalaureate, policymakers may wish to strengthen systems of articulation that govern transfer </w:t>
      </w:r>
      <w:r>
        <w:rPr>
          <w:sz w:val="22"/>
          <w:szCs w:val="22"/>
        </w:rPr>
        <w:t xml:space="preserve">of course credits </w:t>
      </w:r>
      <w:r w:rsidRPr="007A3B03">
        <w:rPr>
          <w:sz w:val="22"/>
          <w:szCs w:val="22"/>
        </w:rPr>
        <w:t xml:space="preserve">between public two- and four-year colleges and universities. To inform </w:t>
      </w:r>
      <w:r>
        <w:rPr>
          <w:sz w:val="22"/>
          <w:szCs w:val="22"/>
        </w:rPr>
        <w:t>such efforts</w:t>
      </w:r>
      <w:r w:rsidRPr="007A3B03">
        <w:rPr>
          <w:sz w:val="22"/>
          <w:szCs w:val="22"/>
        </w:rPr>
        <w:t xml:space="preserve">, this study </w:t>
      </w:r>
      <w:r>
        <w:rPr>
          <w:sz w:val="22"/>
          <w:szCs w:val="22"/>
        </w:rPr>
        <w:t xml:space="preserve">is examining a </w:t>
      </w:r>
      <w:r w:rsidRPr="007A3B03">
        <w:rPr>
          <w:sz w:val="22"/>
          <w:szCs w:val="22"/>
        </w:rPr>
        <w:t xml:space="preserve">variety of approaches </w:t>
      </w:r>
      <w:r>
        <w:rPr>
          <w:sz w:val="22"/>
          <w:szCs w:val="22"/>
        </w:rPr>
        <w:t xml:space="preserve">that </w:t>
      </w:r>
      <w:r w:rsidRPr="007A3B03">
        <w:rPr>
          <w:sz w:val="22"/>
          <w:szCs w:val="22"/>
        </w:rPr>
        <w:t xml:space="preserve">states have taken to implement ECE articulation and </w:t>
      </w:r>
      <w:r>
        <w:rPr>
          <w:sz w:val="22"/>
          <w:szCs w:val="22"/>
        </w:rPr>
        <w:t xml:space="preserve">to </w:t>
      </w:r>
      <w:r w:rsidRPr="007A3B03">
        <w:rPr>
          <w:sz w:val="22"/>
          <w:szCs w:val="22"/>
        </w:rPr>
        <w:t>help students transfer and complete ECE degrees. The study also will discuss successes, challenges, and lessons learned in implementation of those policies.</w:t>
      </w:r>
    </w:p>
    <w:p w14:paraId="5A62B71A" w14:textId="77777777" w:rsidR="00A66B70" w:rsidRPr="00D731F3" w:rsidRDefault="00A66B70" w:rsidP="00D731F3">
      <w:pPr>
        <w:pStyle w:val="Heading2"/>
        <w:spacing w:after="180"/>
        <w:rPr>
          <w:color w:val="0070C0"/>
        </w:rPr>
      </w:pPr>
      <w:bookmarkStart w:id="14" w:name="_Toc492536519"/>
      <w:r w:rsidRPr="00D731F3">
        <w:rPr>
          <w:color w:val="0070C0"/>
        </w:rPr>
        <w:t>Study Design</w:t>
      </w:r>
      <w:bookmarkEnd w:id="10"/>
      <w:bookmarkEnd w:id="14"/>
    </w:p>
    <w:p w14:paraId="181747D9" w14:textId="77777777" w:rsidR="00A66B70" w:rsidRPr="007A3B03" w:rsidRDefault="00A66B70" w:rsidP="00A66B70">
      <w:pPr>
        <w:pStyle w:val="BodyText"/>
        <w:spacing w:after="200"/>
        <w:rPr>
          <w:sz w:val="22"/>
          <w:szCs w:val="22"/>
        </w:rPr>
      </w:pPr>
      <w:r>
        <w:rPr>
          <w:sz w:val="22"/>
          <w:szCs w:val="22"/>
        </w:rPr>
        <w:t>T</w:t>
      </w:r>
      <w:r w:rsidRPr="007A3B03">
        <w:rPr>
          <w:sz w:val="22"/>
          <w:szCs w:val="22"/>
        </w:rPr>
        <w:t>h</w:t>
      </w:r>
      <w:r>
        <w:rPr>
          <w:sz w:val="22"/>
          <w:szCs w:val="22"/>
        </w:rPr>
        <w:t>e</w:t>
      </w:r>
      <w:r w:rsidRPr="007A3B03">
        <w:rPr>
          <w:sz w:val="22"/>
          <w:szCs w:val="22"/>
        </w:rPr>
        <w:t xml:space="preserve"> study will examine ECE articulation policies and their implementation in six focal states</w:t>
      </w:r>
      <w:r>
        <w:rPr>
          <w:sz w:val="22"/>
          <w:szCs w:val="22"/>
        </w:rPr>
        <w:t xml:space="preserve"> </w:t>
      </w:r>
      <w:r w:rsidR="00D731F3">
        <w:t>—</w:t>
      </w:r>
      <w:r>
        <w:rPr>
          <w:sz w:val="22"/>
          <w:szCs w:val="22"/>
        </w:rPr>
        <w:t xml:space="preserve"> </w:t>
      </w:r>
      <w:r w:rsidRPr="007A3B03">
        <w:rPr>
          <w:sz w:val="22"/>
          <w:szCs w:val="22"/>
        </w:rPr>
        <w:t>California, Florida, Indiana, Massachusett</w:t>
      </w:r>
      <w:r>
        <w:rPr>
          <w:sz w:val="22"/>
          <w:szCs w:val="22"/>
        </w:rPr>
        <w:t xml:space="preserve">s, New Mexico, and Pennsylvania </w:t>
      </w:r>
      <w:r w:rsidR="00D731F3">
        <w:t>—</w:t>
      </w:r>
      <w:r>
        <w:rPr>
          <w:sz w:val="22"/>
          <w:szCs w:val="22"/>
        </w:rPr>
        <w:t xml:space="preserve"> and</w:t>
      </w:r>
      <w:r w:rsidRPr="007A3B03">
        <w:rPr>
          <w:sz w:val="22"/>
          <w:szCs w:val="22"/>
        </w:rPr>
        <w:t xml:space="preserve"> will address three study questions:</w:t>
      </w:r>
    </w:p>
    <w:p w14:paraId="502C1CC8" w14:textId="77777777" w:rsidR="00A66B70" w:rsidRPr="007A3B03" w:rsidRDefault="00A66B70" w:rsidP="00047254">
      <w:pPr>
        <w:pStyle w:val="ListParagraph"/>
        <w:numPr>
          <w:ilvl w:val="0"/>
          <w:numId w:val="25"/>
        </w:numPr>
        <w:autoSpaceDE/>
        <w:autoSpaceDN/>
        <w:adjustRightInd/>
        <w:spacing w:after="100"/>
        <w:contextualSpacing w:val="0"/>
      </w:pPr>
      <w:r w:rsidRPr="007A3B03">
        <w:t>What policies have focal states adopted to enable successful ECE articulation?</w:t>
      </w:r>
    </w:p>
    <w:p w14:paraId="47591366" w14:textId="77777777" w:rsidR="00A66B70" w:rsidRPr="007A3B03" w:rsidRDefault="00A66B70" w:rsidP="00047254">
      <w:pPr>
        <w:pStyle w:val="ListParagraph"/>
        <w:numPr>
          <w:ilvl w:val="0"/>
          <w:numId w:val="25"/>
        </w:numPr>
        <w:autoSpaceDE/>
        <w:autoSpaceDN/>
        <w:adjustRightInd/>
        <w:spacing w:after="100"/>
        <w:contextualSpacing w:val="0"/>
      </w:pPr>
      <w:r w:rsidRPr="007A3B03">
        <w:t>What ECE policies and practices— including aspects of policy, practice, and state and institutional context — support a framework for successful statewide articulation of ECE coursework?</w:t>
      </w:r>
    </w:p>
    <w:p w14:paraId="3F4A1BBA" w14:textId="77777777" w:rsidR="00A66B70" w:rsidRPr="007A3B03" w:rsidRDefault="00A66B70" w:rsidP="00047254">
      <w:pPr>
        <w:pStyle w:val="ListParagraph"/>
        <w:numPr>
          <w:ilvl w:val="0"/>
          <w:numId w:val="25"/>
        </w:numPr>
        <w:autoSpaceDE/>
        <w:autoSpaceDN/>
        <w:adjustRightInd/>
        <w:spacing w:after="0"/>
        <w:contextualSpacing w:val="0"/>
      </w:pPr>
      <w:r w:rsidRPr="007A3B03">
        <w:t xml:space="preserve">In focal states, what successes and challenges have states and institutions encountered in creating and implementing articulation agreements and supports? How have they addressed these challenges? </w:t>
      </w:r>
    </w:p>
    <w:p w14:paraId="19168916" w14:textId="77777777" w:rsidR="00A66B70" w:rsidRPr="007A3B03" w:rsidRDefault="00A66B70" w:rsidP="00A66B70">
      <w:pPr>
        <w:pStyle w:val="BodyText"/>
        <w:spacing w:before="240" w:after="120"/>
        <w:rPr>
          <w:sz w:val="22"/>
          <w:szCs w:val="22"/>
        </w:rPr>
      </w:pPr>
      <w:r w:rsidRPr="007A3B03">
        <w:rPr>
          <w:sz w:val="22"/>
          <w:szCs w:val="22"/>
        </w:rPr>
        <w:t xml:space="preserve">This analysis will rely on three types of data </w:t>
      </w:r>
      <w:r>
        <w:rPr>
          <w:sz w:val="22"/>
          <w:szCs w:val="22"/>
        </w:rPr>
        <w:t>sources:</w:t>
      </w:r>
    </w:p>
    <w:p w14:paraId="1095D4A8" w14:textId="77777777" w:rsidR="00A66B70" w:rsidRPr="007A3B03" w:rsidRDefault="00A66B70" w:rsidP="00047254">
      <w:pPr>
        <w:pStyle w:val="ListNumber"/>
        <w:numPr>
          <w:ilvl w:val="0"/>
          <w:numId w:val="27"/>
        </w:numPr>
        <w:spacing w:after="120" w:line="240" w:lineRule="auto"/>
        <w:contextualSpacing w:val="0"/>
      </w:pPr>
      <w:r w:rsidRPr="007A3B03">
        <w:rPr>
          <w:b/>
        </w:rPr>
        <w:t xml:space="preserve">Telephone interviews. </w:t>
      </w:r>
      <w:r w:rsidRPr="007A3B03">
        <w:t>One-on-one phone inte</w:t>
      </w:r>
      <w:r w:rsidR="00623F32">
        <w:t>rviews will be conducted with 76</w:t>
      </w:r>
      <w:r w:rsidRPr="007A3B03">
        <w:t xml:space="preserve"> individuals including: faculty and college administrators from states’ two-</w:t>
      </w:r>
      <w:r>
        <w:t>year</w:t>
      </w:r>
      <w:r w:rsidRPr="007A3B03">
        <w:t xml:space="preserve"> and four-year institutions of higher education; state higher education administrators; representatives from higher education governing bodies and ECE licensure bodies; and other individuals who are knowledgeable about development, implementation, and monitoring of ECE articulation policies and the ECE workforce.</w:t>
      </w:r>
    </w:p>
    <w:p w14:paraId="5F0BE554" w14:textId="77777777" w:rsidR="00A66B70" w:rsidRPr="007A3B03" w:rsidRDefault="00A66B70" w:rsidP="00047254">
      <w:pPr>
        <w:pStyle w:val="ListNumber"/>
        <w:numPr>
          <w:ilvl w:val="0"/>
          <w:numId w:val="27"/>
        </w:numPr>
        <w:spacing w:after="120" w:line="240" w:lineRule="auto"/>
        <w:contextualSpacing w:val="0"/>
      </w:pPr>
      <w:r w:rsidRPr="007A3B03">
        <w:rPr>
          <w:b/>
        </w:rPr>
        <w:t xml:space="preserve">Focus groups. </w:t>
      </w:r>
      <w:r>
        <w:t>V</w:t>
      </w:r>
      <w:r w:rsidRPr="007A3B03">
        <w:t>irtual focus groups will be held</w:t>
      </w:r>
      <w:r>
        <w:t xml:space="preserve"> in each of the six states, including s</w:t>
      </w:r>
      <w:r w:rsidRPr="007A3B03">
        <w:t>tudent focus groups</w:t>
      </w:r>
      <w:r>
        <w:t xml:space="preserve"> </w:t>
      </w:r>
      <w:r w:rsidR="00623F32">
        <w:t xml:space="preserve">(with 24 students total) </w:t>
      </w:r>
      <w:r>
        <w:t>and</w:t>
      </w:r>
      <w:r w:rsidRPr="007A3B03">
        <w:t xml:space="preserve"> focus groups of institutional support staff</w:t>
      </w:r>
      <w:r w:rsidR="00623F32">
        <w:t xml:space="preserve"> (with </w:t>
      </w:r>
      <w:r w:rsidR="00D031B1">
        <w:t xml:space="preserve">20 </w:t>
      </w:r>
      <w:r w:rsidR="00623F32">
        <w:t>staff total)</w:t>
      </w:r>
      <w:r>
        <w:t>.</w:t>
      </w:r>
    </w:p>
    <w:p w14:paraId="6669BF79" w14:textId="77777777" w:rsidR="00A66B70" w:rsidRPr="007A3B03" w:rsidRDefault="00A66B70" w:rsidP="00047254">
      <w:pPr>
        <w:pStyle w:val="ListNumber"/>
        <w:numPr>
          <w:ilvl w:val="0"/>
          <w:numId w:val="27"/>
        </w:numPr>
        <w:spacing w:line="240" w:lineRule="auto"/>
        <w:rPr>
          <w:rFonts w:asciiTheme="minorHAnsi" w:hAnsiTheme="minorHAnsi" w:cs="Calibri"/>
          <w:bCs/>
          <w:color w:val="000000"/>
        </w:rPr>
      </w:pPr>
      <w:r w:rsidRPr="007A3B03">
        <w:rPr>
          <w:b/>
        </w:rPr>
        <w:t xml:space="preserve">Review of extant documents. </w:t>
      </w:r>
      <w:r w:rsidRPr="007A3B03">
        <w:t>These documents will include articulation policies, legislation, and governing body meeting notes.</w:t>
      </w:r>
    </w:p>
    <w:p w14:paraId="01E37DBF" w14:textId="77777777" w:rsidR="00A66B70" w:rsidRPr="00E32C84" w:rsidRDefault="00A66B70" w:rsidP="00A66B70">
      <w:pPr>
        <w:pStyle w:val="Heading2"/>
        <w:spacing w:after="200"/>
        <w:rPr>
          <w:color w:val="0070C0"/>
        </w:rPr>
      </w:pPr>
      <w:bookmarkStart w:id="15" w:name="_Toc490831201"/>
      <w:bookmarkStart w:id="16" w:name="_Toc492025191"/>
      <w:bookmarkStart w:id="17" w:name="_Toc492043165"/>
      <w:bookmarkStart w:id="18" w:name="_Toc492536520"/>
      <w:r w:rsidRPr="00E32C84">
        <w:rPr>
          <w:color w:val="0070C0"/>
        </w:rPr>
        <w:t>Elements of Successful Articulation</w:t>
      </w:r>
      <w:bookmarkEnd w:id="15"/>
      <w:bookmarkEnd w:id="16"/>
      <w:bookmarkEnd w:id="17"/>
      <w:bookmarkEnd w:id="18"/>
    </w:p>
    <w:p w14:paraId="0F5BB45F" w14:textId="77777777" w:rsidR="00207804" w:rsidRDefault="00A66B70" w:rsidP="00A66B70">
      <w:pPr>
        <w:pStyle w:val="BodyText"/>
        <w:spacing w:after="200"/>
        <w:rPr>
          <w:sz w:val="22"/>
          <w:szCs w:val="22"/>
        </w:rPr>
      </w:pPr>
      <w:r w:rsidRPr="007204D2">
        <w:rPr>
          <w:sz w:val="22"/>
          <w:szCs w:val="22"/>
        </w:rPr>
        <w:t>To provide a framework for examining articulation policies and practices in the six focal states, the study convened a Technical Working Group (TWG) comprised of 12 technical experts who were responsible for defining elements of successful statewide articulation for higher education programs in early childhood education. Experts were chosen based on their experience with articulation policies and represented a variety of stakeholders, including two-year college faculty, four-year college faculty, policy representatives, higher education administrators, and early childhood representatives. The group met on April 3, 2017 at the Department headquarters in Washington, D.C., for a full-</w:t>
      </w:r>
      <w:r w:rsidRPr="00207804">
        <w:rPr>
          <w:sz w:val="22"/>
          <w:szCs w:val="22"/>
        </w:rPr>
        <w:t xml:space="preserve">day meeting. </w:t>
      </w:r>
    </w:p>
    <w:p w14:paraId="4C236BE4" w14:textId="77777777" w:rsidR="00A66B70" w:rsidRPr="00207804" w:rsidRDefault="00207804" w:rsidP="00A66B70">
      <w:pPr>
        <w:pStyle w:val="BodyText"/>
        <w:spacing w:after="200"/>
        <w:rPr>
          <w:sz w:val="22"/>
          <w:szCs w:val="22"/>
        </w:rPr>
      </w:pPr>
      <w:r w:rsidRPr="00207804">
        <w:rPr>
          <w:sz w:val="22"/>
          <w:szCs w:val="22"/>
        </w:rPr>
        <w:t>Based on input from the TWG, the study team created a framework for successful ECE articulation, including four core elements: 1) governance, 2) academic policy, 3) articulation agreements provisions, 4) articulation and transfer supports—each with between two to four sub-elements that describe practices and considerations from the field. Additionally, the TWG noted that it was important for states to consider their own policy contexts and the need for evaluation.</w:t>
      </w:r>
    </w:p>
    <w:p w14:paraId="05EEF055" w14:textId="77777777" w:rsidR="00A66B70" w:rsidRPr="00D731F3" w:rsidRDefault="00A66B70" w:rsidP="00D731F3">
      <w:pPr>
        <w:pStyle w:val="ExhibitTitle"/>
        <w:jc w:val="left"/>
        <w:rPr>
          <w:rFonts w:asciiTheme="minorHAnsi" w:hAnsiTheme="minorHAnsi"/>
          <w:b/>
        </w:rPr>
      </w:pPr>
      <w:r w:rsidRPr="00D731F3">
        <w:rPr>
          <w:rFonts w:asciiTheme="minorHAnsi" w:eastAsia="Calibri" w:hAnsiTheme="minorHAnsi"/>
          <w:b/>
        </w:rPr>
        <w:t xml:space="preserve">Exhibit 1. Elements of Successful Statewide Articulation </w:t>
      </w:r>
      <w:r w:rsidR="00207804">
        <w:rPr>
          <w:rFonts w:asciiTheme="minorHAnsi" w:eastAsia="Calibri" w:hAnsiTheme="minorHAnsi"/>
          <w:b/>
        </w:rPr>
        <w:t xml:space="preserve">and Statewide Considerations </w:t>
      </w:r>
      <w:r w:rsidRPr="00D731F3">
        <w:rPr>
          <w:rFonts w:asciiTheme="minorHAnsi" w:eastAsia="Calibri" w:hAnsiTheme="minorHAnsi"/>
          <w:b/>
        </w:rPr>
        <w:t>Identified by Technical Working Group</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78"/>
        <w:gridCol w:w="7974"/>
      </w:tblGrid>
      <w:tr w:rsidR="00A66B70" w:rsidRPr="00273D72" w14:paraId="6D073835" w14:textId="77777777" w:rsidTr="00207804">
        <w:tc>
          <w:tcPr>
            <w:tcW w:w="2178" w:type="dxa"/>
          </w:tcPr>
          <w:p w14:paraId="3A86B2F0"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Governance</w:t>
            </w:r>
          </w:p>
        </w:tc>
        <w:tc>
          <w:tcPr>
            <w:tcW w:w="7974" w:type="dxa"/>
          </w:tcPr>
          <w:p w14:paraId="5C8B74A8"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A governance structure that develops and then actively maintains articulation; components of governance include oversight, administration, and stakeholder involvement and coordination.</w:t>
            </w:r>
          </w:p>
        </w:tc>
      </w:tr>
      <w:tr w:rsidR="00A66B70" w:rsidRPr="00273D72" w14:paraId="25AC0E0D" w14:textId="77777777" w:rsidTr="00207804">
        <w:tc>
          <w:tcPr>
            <w:tcW w:w="2178" w:type="dxa"/>
          </w:tcPr>
          <w:p w14:paraId="490427AA"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Academic policy</w:t>
            </w:r>
          </w:p>
        </w:tc>
        <w:tc>
          <w:tcPr>
            <w:tcW w:w="7974" w:type="dxa"/>
          </w:tcPr>
          <w:p w14:paraId="3F727981" w14:textId="77777777" w:rsidR="00A66B70" w:rsidRPr="00273D72" w:rsidRDefault="00A66B70" w:rsidP="00207804">
            <w:pPr>
              <w:pStyle w:val="BodyText"/>
              <w:spacing w:after="0"/>
              <w:rPr>
                <w:sz w:val="20"/>
                <w:szCs w:val="20"/>
              </w:rPr>
            </w:pPr>
            <w:r w:rsidRPr="00273D72">
              <w:rPr>
                <w:rFonts w:eastAsiaTheme="majorEastAsia"/>
                <w:sz w:val="20"/>
                <w:szCs w:val="20"/>
              </w:rPr>
              <w:t xml:space="preserve">Consideration of a variety of academic policy and practice issues in both </w:t>
            </w:r>
            <w:r>
              <w:rPr>
                <w:rFonts w:eastAsiaTheme="majorEastAsia"/>
                <w:sz w:val="20"/>
                <w:szCs w:val="20"/>
              </w:rPr>
              <w:t>2-year</w:t>
            </w:r>
            <w:r w:rsidRPr="00273D72">
              <w:rPr>
                <w:rFonts w:eastAsiaTheme="majorEastAsia"/>
                <w:sz w:val="20"/>
                <w:szCs w:val="20"/>
              </w:rPr>
              <w:t xml:space="preserve"> and </w:t>
            </w:r>
            <w:r>
              <w:rPr>
                <w:rFonts w:eastAsiaTheme="majorEastAsia"/>
                <w:sz w:val="20"/>
                <w:szCs w:val="20"/>
              </w:rPr>
              <w:t>4</w:t>
            </w:r>
            <w:r w:rsidRPr="00273D72">
              <w:rPr>
                <w:rFonts w:eastAsiaTheme="majorEastAsia"/>
                <w:sz w:val="20"/>
                <w:szCs w:val="20"/>
              </w:rPr>
              <w:t>-year institutions; components of academic policy include degree pathways, teacher licensure, faculty and curricular alignment, and accreditation.</w:t>
            </w:r>
          </w:p>
        </w:tc>
      </w:tr>
      <w:tr w:rsidR="00A66B70" w:rsidRPr="00273D72" w14:paraId="32A40384" w14:textId="77777777" w:rsidTr="00207804">
        <w:tc>
          <w:tcPr>
            <w:tcW w:w="2178" w:type="dxa"/>
          </w:tcPr>
          <w:p w14:paraId="54A3C770"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Articulation agreement provisions</w:t>
            </w:r>
          </w:p>
        </w:tc>
        <w:tc>
          <w:tcPr>
            <w:tcW w:w="7974" w:type="dxa"/>
          </w:tcPr>
          <w:p w14:paraId="2A26EECD" w14:textId="77777777" w:rsidR="00A66B70" w:rsidRPr="00273D72" w:rsidRDefault="00A66B70" w:rsidP="00207804">
            <w:pPr>
              <w:spacing w:after="0" w:line="240" w:lineRule="auto"/>
              <w:rPr>
                <w:rFonts w:asciiTheme="minorHAnsi" w:hAnsiTheme="minorHAnsi"/>
                <w:sz w:val="20"/>
                <w:szCs w:val="20"/>
              </w:rPr>
            </w:pPr>
            <w:r w:rsidRPr="00273D72">
              <w:rPr>
                <w:rFonts w:eastAsiaTheme="majorEastAsia"/>
                <w:spacing w:val="-2"/>
                <w:sz w:val="20"/>
                <w:szCs w:val="20"/>
              </w:rPr>
              <w:t>S</w:t>
            </w:r>
            <w:r w:rsidRPr="00273D72">
              <w:rPr>
                <w:rFonts w:asciiTheme="minorHAnsi" w:eastAsiaTheme="majorEastAsia" w:hAnsiTheme="minorHAnsi"/>
                <w:spacing w:val="-2"/>
                <w:sz w:val="20"/>
                <w:szCs w:val="20"/>
              </w:rPr>
              <w:t>pecific provisions that facilitate credit transfer within articulation agreements; such provisions address the portability of credits, data sharing, and other issues.</w:t>
            </w:r>
          </w:p>
        </w:tc>
      </w:tr>
      <w:tr w:rsidR="00A66B70" w:rsidRPr="00273D72" w14:paraId="40BBD830" w14:textId="77777777" w:rsidTr="00207804">
        <w:tc>
          <w:tcPr>
            <w:tcW w:w="2178" w:type="dxa"/>
          </w:tcPr>
          <w:p w14:paraId="5927BF03"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Articulation and transfer supports</w:t>
            </w:r>
          </w:p>
        </w:tc>
        <w:tc>
          <w:tcPr>
            <w:tcW w:w="7974" w:type="dxa"/>
          </w:tcPr>
          <w:p w14:paraId="64D7AAAF"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eastAsiaTheme="majorEastAsia" w:hAnsiTheme="minorHAnsi"/>
                <w:sz w:val="20"/>
                <w:szCs w:val="20"/>
              </w:rPr>
              <w:t>Providing students with transparent information, accessible resources and supports, and considers the costs of degree attainment.</w:t>
            </w:r>
          </w:p>
        </w:tc>
      </w:tr>
      <w:tr w:rsidR="00A66B70" w:rsidRPr="00273D72" w14:paraId="30F8CE2D" w14:textId="77777777" w:rsidTr="00207804">
        <w:tc>
          <w:tcPr>
            <w:tcW w:w="2178" w:type="dxa"/>
          </w:tcPr>
          <w:p w14:paraId="01617066" w14:textId="77777777" w:rsidR="00A66B70" w:rsidRPr="00273D72" w:rsidRDefault="00A66B70" w:rsidP="00207804">
            <w:pPr>
              <w:spacing w:after="0" w:line="240" w:lineRule="auto"/>
              <w:rPr>
                <w:rFonts w:asciiTheme="minorHAnsi" w:hAnsiTheme="minorHAnsi"/>
                <w:sz w:val="20"/>
                <w:szCs w:val="20"/>
              </w:rPr>
            </w:pPr>
            <w:r w:rsidRPr="00273D72">
              <w:rPr>
                <w:rFonts w:asciiTheme="minorHAnsi" w:hAnsiTheme="minorHAnsi"/>
                <w:sz w:val="20"/>
                <w:szCs w:val="20"/>
              </w:rPr>
              <w:t>State considerations</w:t>
            </w:r>
          </w:p>
        </w:tc>
        <w:tc>
          <w:tcPr>
            <w:tcW w:w="7974" w:type="dxa"/>
          </w:tcPr>
          <w:p w14:paraId="1221AD0F" w14:textId="77777777" w:rsidR="00A66B70" w:rsidRPr="00273D72" w:rsidRDefault="00A66B70" w:rsidP="00207804">
            <w:pPr>
              <w:pStyle w:val="BodyText"/>
              <w:spacing w:after="0"/>
              <w:rPr>
                <w:rFonts w:eastAsiaTheme="majorEastAsia"/>
                <w:sz w:val="20"/>
                <w:szCs w:val="20"/>
              </w:rPr>
            </w:pPr>
            <w:r w:rsidRPr="00273D72">
              <w:rPr>
                <w:rFonts w:eastAsiaTheme="majorEastAsia"/>
                <w:sz w:val="20"/>
                <w:szCs w:val="20"/>
              </w:rPr>
              <w:t>State policy contexts can influence the success of articulation efforts, and states’ investment in gathering data to evaluate the effectiveness of articulation can support refinement of articulation systems.</w:t>
            </w:r>
          </w:p>
        </w:tc>
      </w:tr>
    </w:tbl>
    <w:p w14:paraId="540A5C64" w14:textId="77777777" w:rsidR="00A66B70" w:rsidRPr="007E46A1" w:rsidRDefault="00A66B70" w:rsidP="00A66B70">
      <w:pPr>
        <w:spacing w:after="0" w:line="240" w:lineRule="auto"/>
        <w:rPr>
          <w:rFonts w:asciiTheme="minorHAnsi" w:hAnsiTheme="minorHAnsi"/>
        </w:rPr>
      </w:pPr>
    </w:p>
    <w:p w14:paraId="2C8747D3" w14:textId="77777777" w:rsidR="00A66B70" w:rsidRPr="007E46A1" w:rsidRDefault="00A66B70" w:rsidP="00A66B70">
      <w:pPr>
        <w:pStyle w:val="BodyText"/>
        <w:rPr>
          <w:rFonts w:eastAsiaTheme="majorEastAsia"/>
          <w:spacing w:val="-2"/>
          <w:sz w:val="22"/>
          <w:szCs w:val="22"/>
        </w:rPr>
      </w:pPr>
      <w:bookmarkStart w:id="19" w:name="_Toc430169771"/>
      <w:bookmarkStart w:id="20" w:name="_Toc390352635"/>
      <w:bookmarkStart w:id="21" w:name="_Toc419906652"/>
      <w:bookmarkStart w:id="22" w:name="_Toc393008825"/>
      <w:bookmarkStart w:id="23" w:name="_Toc405563629"/>
      <w:r>
        <w:rPr>
          <w:rFonts w:eastAsiaTheme="majorEastAsia"/>
          <w:spacing w:val="-2"/>
          <w:sz w:val="22"/>
          <w:szCs w:val="22"/>
        </w:rPr>
        <w:t>The section below further describes each of these elements.</w:t>
      </w:r>
    </w:p>
    <w:p w14:paraId="5CDB4391" w14:textId="77777777" w:rsidR="00A66B70" w:rsidRPr="002F73D4" w:rsidRDefault="00A66B70" w:rsidP="00A66B70">
      <w:pPr>
        <w:pStyle w:val="Heading3NoTOC"/>
        <w:tabs>
          <w:tab w:val="left" w:pos="1260"/>
        </w:tabs>
        <w:rPr>
          <w:rFonts w:asciiTheme="minorHAnsi" w:eastAsiaTheme="majorEastAsia" w:hAnsiTheme="minorHAnsi"/>
          <w:sz w:val="22"/>
          <w:szCs w:val="22"/>
        </w:rPr>
      </w:pPr>
      <w:r w:rsidRPr="002F73D4">
        <w:rPr>
          <w:rFonts w:asciiTheme="minorHAnsi" w:eastAsiaTheme="majorEastAsia" w:hAnsiTheme="minorHAnsi"/>
          <w:sz w:val="22"/>
          <w:szCs w:val="22"/>
        </w:rPr>
        <w:t xml:space="preserve">Governance </w:t>
      </w:r>
    </w:p>
    <w:p w14:paraId="62BBEA50" w14:textId="77777777" w:rsidR="00A66B70" w:rsidRPr="007204D2" w:rsidRDefault="00A66B70" w:rsidP="00A66B70">
      <w:pPr>
        <w:pStyle w:val="Heading4"/>
        <w:rPr>
          <w:b w:val="0"/>
          <w:sz w:val="22"/>
          <w:szCs w:val="22"/>
        </w:rPr>
      </w:pPr>
      <w:r w:rsidRPr="007204D2">
        <w:rPr>
          <w:b w:val="0"/>
          <w:sz w:val="22"/>
          <w:szCs w:val="22"/>
        </w:rPr>
        <w:t>Oversight and Administration</w:t>
      </w:r>
    </w:p>
    <w:p w14:paraId="5E18FAB1" w14:textId="77777777" w:rsidR="00A66B70" w:rsidRPr="007204D2" w:rsidRDefault="00A66B70" w:rsidP="00A66B70">
      <w:pPr>
        <w:pStyle w:val="Bullet1"/>
        <w:spacing w:after="80"/>
        <w:contextualSpacing w:val="0"/>
        <w:rPr>
          <w:rFonts w:eastAsiaTheme="majorEastAsia"/>
          <w:sz w:val="22"/>
        </w:rPr>
      </w:pPr>
      <w:r w:rsidRPr="007204D2">
        <w:rPr>
          <w:rFonts w:eastAsiaTheme="majorEastAsia"/>
          <w:i/>
          <w:sz w:val="22"/>
          <w:u w:val="single"/>
        </w:rPr>
        <w:t>Types of administrative bodies</w:t>
      </w:r>
      <w:r w:rsidRPr="007204D2">
        <w:rPr>
          <w:rFonts w:eastAsiaTheme="majorEastAsia"/>
          <w:sz w:val="22"/>
        </w:rPr>
        <w:t>. Higher education governance structures at the state-level have an important influence on articulation, and the type of administrative body determines its ability to establish and enforce articulation policy. Examples of administrative bodies overseeing articulation include coordinating boards, governing boards, and higher education agencies.</w:t>
      </w:r>
    </w:p>
    <w:p w14:paraId="7F564D43" w14:textId="77777777" w:rsidR="00A66B70" w:rsidRPr="007204D2" w:rsidRDefault="00A66B70" w:rsidP="00A66B70">
      <w:pPr>
        <w:pStyle w:val="Bullet1"/>
        <w:spacing w:after="80"/>
        <w:contextualSpacing w:val="0"/>
        <w:rPr>
          <w:rFonts w:eastAsiaTheme="majorEastAsia"/>
          <w:sz w:val="22"/>
        </w:rPr>
      </w:pPr>
      <w:r w:rsidRPr="007204D2">
        <w:rPr>
          <w:i/>
          <w:sz w:val="22"/>
          <w:u w:val="single"/>
        </w:rPr>
        <w:t>Monitoring implementation</w:t>
      </w:r>
      <w:r w:rsidRPr="007204D2">
        <w:rPr>
          <w:sz w:val="22"/>
        </w:rPr>
        <w:t>. Administrative bodies may monitor whether institutions of higher education are implementing articulation policies as intended.</w:t>
      </w:r>
    </w:p>
    <w:p w14:paraId="2CDEF1EF" w14:textId="77777777" w:rsidR="00A66B70" w:rsidRPr="007204D2" w:rsidRDefault="00A66B70" w:rsidP="00A66B70">
      <w:pPr>
        <w:pStyle w:val="Bullet1"/>
        <w:spacing w:after="80"/>
        <w:contextualSpacing w:val="0"/>
        <w:rPr>
          <w:rFonts w:eastAsiaTheme="majorEastAsia"/>
          <w:sz w:val="22"/>
        </w:rPr>
      </w:pPr>
      <w:r w:rsidRPr="007204D2">
        <w:rPr>
          <w:i/>
          <w:sz w:val="22"/>
          <w:u w:val="single"/>
        </w:rPr>
        <w:t>Updating policies</w:t>
      </w:r>
      <w:r w:rsidRPr="007204D2">
        <w:rPr>
          <w:sz w:val="22"/>
        </w:rPr>
        <w:t>. Administrative bodies may update articulation policies and processes regularly in response to changes in legislation and higher education policy.</w:t>
      </w:r>
    </w:p>
    <w:p w14:paraId="7FF43B8E" w14:textId="77777777" w:rsidR="00A66B70" w:rsidRPr="007204D2" w:rsidRDefault="00A66B70" w:rsidP="00A66B70">
      <w:pPr>
        <w:pStyle w:val="Bullet1"/>
        <w:spacing w:after="80"/>
        <w:contextualSpacing w:val="0"/>
        <w:rPr>
          <w:rFonts w:eastAsiaTheme="majorEastAsia"/>
          <w:sz w:val="22"/>
        </w:rPr>
      </w:pPr>
      <w:r w:rsidRPr="007204D2">
        <w:rPr>
          <w:rFonts w:eastAsiaTheme="majorEastAsia"/>
          <w:i/>
          <w:sz w:val="22"/>
          <w:u w:val="single"/>
        </w:rPr>
        <w:t>Enforcement and appeals process</w:t>
      </w:r>
      <w:r w:rsidRPr="007204D2">
        <w:rPr>
          <w:rFonts w:eastAsiaTheme="majorEastAsia"/>
          <w:i/>
          <w:sz w:val="22"/>
        </w:rPr>
        <w:t xml:space="preserve">. </w:t>
      </w:r>
      <w:r w:rsidRPr="007204D2">
        <w:rPr>
          <w:rFonts w:eastAsiaTheme="majorEastAsia"/>
          <w:sz w:val="22"/>
        </w:rPr>
        <w:t>Administrative bodies may oversee the appeals process for students who claim that the terms of the articulation agreement have been violated or who would like to appeal decisions about credit transfer at receiving institutions.</w:t>
      </w:r>
    </w:p>
    <w:p w14:paraId="579DBFB4" w14:textId="77777777" w:rsidR="00A66B70" w:rsidRPr="007204D2" w:rsidRDefault="00A66B70" w:rsidP="00A66B70">
      <w:pPr>
        <w:pStyle w:val="Bullet1"/>
        <w:spacing w:after="80"/>
        <w:contextualSpacing w:val="0"/>
        <w:rPr>
          <w:rFonts w:eastAsiaTheme="majorEastAsia"/>
          <w:sz w:val="22"/>
        </w:rPr>
      </w:pPr>
      <w:r w:rsidRPr="007204D2">
        <w:rPr>
          <w:rFonts w:eastAsiaTheme="majorEastAsia"/>
          <w:i/>
          <w:sz w:val="22"/>
          <w:u w:val="single"/>
        </w:rPr>
        <w:t>Funding for administration</w:t>
      </w:r>
      <w:r w:rsidRPr="007204D2">
        <w:rPr>
          <w:rFonts w:eastAsiaTheme="majorEastAsia"/>
          <w:i/>
          <w:sz w:val="22"/>
        </w:rPr>
        <w:t xml:space="preserve">. </w:t>
      </w:r>
      <w:r w:rsidRPr="007204D2">
        <w:rPr>
          <w:rFonts w:eastAsiaTheme="majorEastAsia"/>
          <w:sz w:val="22"/>
        </w:rPr>
        <w:t>Dedicated, ongoing funding supports the work of the administrative body. This funding may cover the cost of staff support and pay members for the expense involved in attending committee meetings.</w:t>
      </w:r>
    </w:p>
    <w:p w14:paraId="59D045D0" w14:textId="77777777" w:rsidR="00A66B70" w:rsidRPr="007204D2" w:rsidRDefault="00A66B70" w:rsidP="00382EFA">
      <w:pPr>
        <w:pStyle w:val="Heading4"/>
        <w:spacing w:before="120"/>
        <w:rPr>
          <w:b w:val="0"/>
          <w:sz w:val="22"/>
          <w:szCs w:val="22"/>
        </w:rPr>
      </w:pPr>
      <w:r w:rsidRPr="007204D2">
        <w:rPr>
          <w:b w:val="0"/>
          <w:sz w:val="22"/>
          <w:szCs w:val="22"/>
        </w:rPr>
        <w:t>Stakeholder Involvement and Coordination</w:t>
      </w:r>
    </w:p>
    <w:p w14:paraId="26132C35" w14:textId="77777777" w:rsidR="00A66B70" w:rsidRPr="007204D2" w:rsidRDefault="00A66B70" w:rsidP="00A66B70">
      <w:pPr>
        <w:pStyle w:val="Bullet1"/>
        <w:spacing w:after="80"/>
        <w:contextualSpacing w:val="0"/>
        <w:rPr>
          <w:sz w:val="22"/>
        </w:rPr>
      </w:pPr>
      <w:r w:rsidRPr="007204D2">
        <w:rPr>
          <w:i/>
          <w:sz w:val="22"/>
          <w:u w:val="single"/>
        </w:rPr>
        <w:t>Involvement of multiple sectors</w:t>
      </w:r>
      <w:r w:rsidRPr="007204D2">
        <w:rPr>
          <w:i/>
          <w:sz w:val="22"/>
        </w:rPr>
        <w:t>.</w:t>
      </w:r>
      <w:r w:rsidRPr="007204D2">
        <w:rPr>
          <w:sz w:val="22"/>
        </w:rPr>
        <w:t xml:space="preserve"> Articulation policies are strengthened when stakeholders from a variety of sectors are involved in their development. </w:t>
      </w:r>
    </w:p>
    <w:p w14:paraId="4893B975" w14:textId="77777777" w:rsidR="00A66B70" w:rsidRPr="007204D2" w:rsidRDefault="00A66B70" w:rsidP="00A66B70">
      <w:pPr>
        <w:pStyle w:val="Bullet1"/>
        <w:spacing w:after="80"/>
        <w:contextualSpacing w:val="0"/>
        <w:rPr>
          <w:sz w:val="22"/>
        </w:rPr>
      </w:pPr>
      <w:r w:rsidRPr="007204D2">
        <w:rPr>
          <w:i/>
          <w:sz w:val="22"/>
          <w:u w:val="single"/>
        </w:rPr>
        <w:t>Stakeholder types</w:t>
      </w:r>
      <w:r w:rsidRPr="007204D2">
        <w:rPr>
          <w:i/>
          <w:sz w:val="22"/>
        </w:rPr>
        <w:t xml:space="preserve">. </w:t>
      </w:r>
      <w:r w:rsidRPr="007204D2">
        <w:rPr>
          <w:sz w:val="22"/>
        </w:rPr>
        <w:t xml:space="preserve">Stakeholders for ECE articulation include internal stakeholders, such as higher education administrators, faculty, and students, and external stakeholders, such as ECE employers, ECE teachers, teacher licensing agencies, nonprofit organizations, and state government and policy representatives. </w:t>
      </w:r>
    </w:p>
    <w:p w14:paraId="663E8CED" w14:textId="77777777" w:rsidR="00A66B70" w:rsidRPr="007204D2" w:rsidRDefault="00A66B70" w:rsidP="00A66B70">
      <w:pPr>
        <w:pStyle w:val="Bullet1"/>
        <w:spacing w:after="80"/>
        <w:contextualSpacing w:val="0"/>
        <w:rPr>
          <w:rFonts w:eastAsiaTheme="majorEastAsia" w:cstheme="majorBidi"/>
          <w:sz w:val="22"/>
        </w:rPr>
      </w:pPr>
      <w:r w:rsidRPr="007204D2">
        <w:rPr>
          <w:i/>
          <w:sz w:val="22"/>
          <w:u w:val="single"/>
        </w:rPr>
        <w:t>Role of faculty</w:t>
      </w:r>
      <w:r w:rsidRPr="007204D2">
        <w:rPr>
          <w:i/>
          <w:sz w:val="22"/>
        </w:rPr>
        <w:t xml:space="preserve">. </w:t>
      </w:r>
      <w:r w:rsidRPr="007204D2">
        <w:rPr>
          <w:sz w:val="22"/>
        </w:rPr>
        <w:t>As content area experts, two- and four-year faculty can play an especially important role in the development of articulation agreements.</w:t>
      </w:r>
    </w:p>
    <w:p w14:paraId="08B14E9F" w14:textId="77777777" w:rsidR="00A66B70" w:rsidRPr="002F73D4" w:rsidRDefault="00A66B70" w:rsidP="00A66B70">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Academic Policy</w:t>
      </w:r>
    </w:p>
    <w:p w14:paraId="1521DA2B" w14:textId="77777777" w:rsidR="00A66B70" w:rsidRPr="007204D2" w:rsidRDefault="00A66B70" w:rsidP="00A66B70">
      <w:pPr>
        <w:pStyle w:val="Heading4"/>
        <w:rPr>
          <w:b w:val="0"/>
          <w:sz w:val="22"/>
          <w:szCs w:val="22"/>
        </w:rPr>
      </w:pPr>
      <w:r w:rsidRPr="007204D2">
        <w:rPr>
          <w:b w:val="0"/>
          <w:sz w:val="22"/>
          <w:szCs w:val="22"/>
        </w:rPr>
        <w:t xml:space="preserve">Degree Pathways </w:t>
      </w:r>
    </w:p>
    <w:p w14:paraId="4EBB6422" w14:textId="77777777" w:rsidR="00A66B70" w:rsidRPr="007204D2" w:rsidRDefault="00A66B70" w:rsidP="00A66B70">
      <w:pPr>
        <w:pStyle w:val="Bullet1"/>
        <w:spacing w:after="80"/>
        <w:contextualSpacing w:val="0"/>
        <w:rPr>
          <w:sz w:val="22"/>
        </w:rPr>
      </w:pPr>
      <w:r w:rsidRPr="007204D2">
        <w:rPr>
          <w:i/>
          <w:sz w:val="22"/>
          <w:u w:val="single"/>
        </w:rPr>
        <w:t>Multiple degree pathways</w:t>
      </w:r>
      <w:r w:rsidRPr="007204D2">
        <w:rPr>
          <w:i/>
          <w:sz w:val="22"/>
        </w:rPr>
        <w:t>.</w:t>
      </w:r>
      <w:r w:rsidRPr="007204D2">
        <w:rPr>
          <w:sz w:val="22"/>
        </w:rPr>
        <w:t xml:space="preserve"> Students may follow a variety of degree pathways to a career in ECE. Articulation policies should be inclusive of these multiple pathways. </w:t>
      </w:r>
    </w:p>
    <w:p w14:paraId="05FD5541" w14:textId="77777777" w:rsidR="00A66B70" w:rsidRPr="007204D2" w:rsidRDefault="00A66B70" w:rsidP="00A66B70">
      <w:pPr>
        <w:pStyle w:val="Bullet1"/>
        <w:spacing w:after="80"/>
        <w:contextualSpacing w:val="0"/>
        <w:rPr>
          <w:sz w:val="22"/>
        </w:rPr>
      </w:pPr>
      <w:r w:rsidRPr="007204D2">
        <w:rPr>
          <w:i/>
          <w:sz w:val="22"/>
          <w:u w:val="single"/>
        </w:rPr>
        <w:t>Types of associate’s degrees</w:t>
      </w:r>
      <w:r w:rsidRPr="007204D2">
        <w:rPr>
          <w:i/>
          <w:sz w:val="22"/>
        </w:rPr>
        <w:t>.</w:t>
      </w:r>
      <w:r w:rsidRPr="007204D2">
        <w:rPr>
          <w:sz w:val="22"/>
        </w:rPr>
        <w:t xml:space="preserve"> Articulation policies may acknowledge these pathways by including various types of associates’ degrees, such as associate of arts, associate of science, associate of applied science, and associate of arts in teaching. Additionally, some degrees may focus on training preschool teachers, while other degrees focus on training elementary school teachers. </w:t>
      </w:r>
    </w:p>
    <w:p w14:paraId="62BC5D7A" w14:textId="77777777" w:rsidR="00A66B70" w:rsidRPr="007204D2" w:rsidRDefault="00A66B70" w:rsidP="00A66B70">
      <w:pPr>
        <w:pStyle w:val="Bullet1"/>
        <w:spacing w:after="80"/>
        <w:contextualSpacing w:val="0"/>
        <w:rPr>
          <w:sz w:val="22"/>
        </w:rPr>
      </w:pPr>
      <w:r w:rsidRPr="007204D2">
        <w:rPr>
          <w:i/>
          <w:sz w:val="22"/>
          <w:u w:val="single"/>
        </w:rPr>
        <w:t>Stackable credentials</w:t>
      </w:r>
      <w:r w:rsidRPr="007204D2">
        <w:rPr>
          <w:i/>
          <w:sz w:val="22"/>
        </w:rPr>
        <w:t>.</w:t>
      </w:r>
      <w:r w:rsidRPr="007204D2">
        <w:rPr>
          <w:sz w:val="22"/>
        </w:rPr>
        <w:t xml:space="preserve"> Stackable credentials can streamline the path to a degree. Some students begin with a certificate and then choose to pursue a degree. When courses associated with certificates are embedded in degree programs, students who choose to enroll for the degree are given full credit within the same institution. </w:t>
      </w:r>
    </w:p>
    <w:p w14:paraId="6F5AFA5E" w14:textId="77777777" w:rsidR="00A66B70" w:rsidRPr="007204D2" w:rsidRDefault="00A66B70" w:rsidP="00A66B70">
      <w:pPr>
        <w:pStyle w:val="Bullet1"/>
        <w:spacing w:after="80"/>
        <w:contextualSpacing w:val="0"/>
        <w:rPr>
          <w:sz w:val="22"/>
        </w:rPr>
      </w:pPr>
      <w:r w:rsidRPr="007204D2">
        <w:rPr>
          <w:i/>
          <w:sz w:val="22"/>
          <w:u w:val="single"/>
        </w:rPr>
        <w:t>Dual enrollment programs</w:t>
      </w:r>
      <w:r w:rsidRPr="007204D2">
        <w:rPr>
          <w:i/>
          <w:sz w:val="22"/>
        </w:rPr>
        <w:t>.</w:t>
      </w:r>
      <w:r w:rsidRPr="007204D2">
        <w:rPr>
          <w:sz w:val="22"/>
        </w:rPr>
        <w:t xml:space="preserve"> Articulation policies that allow credits earned in dual-enrollment programs (i.e., college credit earned while in high school) to count toward a degree can benefit transfer students. For example, high schools may form partnerships with community colleges that allow students to acquire a CDA credential during high school and transfer the credits into a two-year program.</w:t>
      </w:r>
    </w:p>
    <w:p w14:paraId="1043DB51" w14:textId="77777777" w:rsidR="00A66B70" w:rsidRPr="007204D2" w:rsidRDefault="00A66B70" w:rsidP="00382EFA">
      <w:pPr>
        <w:pStyle w:val="Heading4"/>
        <w:spacing w:before="120"/>
        <w:rPr>
          <w:b w:val="0"/>
          <w:sz w:val="22"/>
          <w:szCs w:val="22"/>
        </w:rPr>
      </w:pPr>
      <w:r w:rsidRPr="007204D2">
        <w:rPr>
          <w:b w:val="0"/>
          <w:sz w:val="22"/>
          <w:szCs w:val="22"/>
        </w:rPr>
        <w:t>Teacher Licensure</w:t>
      </w:r>
    </w:p>
    <w:p w14:paraId="16416CF3" w14:textId="77777777" w:rsidR="00A66B70" w:rsidRPr="007204D2" w:rsidRDefault="00A66B70" w:rsidP="00A66B70">
      <w:pPr>
        <w:pStyle w:val="Bullet1"/>
        <w:spacing w:after="80"/>
        <w:contextualSpacing w:val="0"/>
        <w:rPr>
          <w:sz w:val="22"/>
        </w:rPr>
      </w:pPr>
      <w:r w:rsidRPr="007204D2">
        <w:rPr>
          <w:i/>
          <w:sz w:val="22"/>
          <w:u w:val="single"/>
        </w:rPr>
        <w:t>Degrees that lead to licensure</w:t>
      </w:r>
      <w:r w:rsidRPr="007204D2">
        <w:rPr>
          <w:i/>
          <w:sz w:val="22"/>
        </w:rPr>
        <w:t>.</w:t>
      </w:r>
      <w:r w:rsidRPr="007204D2">
        <w:rPr>
          <w:sz w:val="22"/>
        </w:rPr>
        <w:t xml:space="preserve"> States and institutions should be transparent with students about which degrees lead to licensure and which do not, while taking into account that some ECE teaching positions do not require licensure.</w:t>
      </w:r>
    </w:p>
    <w:p w14:paraId="66FD546E" w14:textId="77777777" w:rsidR="00A66B70" w:rsidRPr="007204D2" w:rsidRDefault="00A66B70" w:rsidP="00A66B70">
      <w:pPr>
        <w:pStyle w:val="Bullet1"/>
        <w:spacing w:after="80"/>
        <w:contextualSpacing w:val="0"/>
        <w:rPr>
          <w:color w:val="1F497D"/>
          <w:sz w:val="22"/>
        </w:rPr>
      </w:pPr>
      <w:r w:rsidRPr="007204D2">
        <w:rPr>
          <w:i/>
          <w:sz w:val="22"/>
          <w:u w:val="single"/>
        </w:rPr>
        <w:t>Multiple licensure options</w:t>
      </w:r>
      <w:r w:rsidRPr="007204D2">
        <w:rPr>
          <w:i/>
          <w:sz w:val="22"/>
        </w:rPr>
        <w:t>.</w:t>
      </w:r>
      <w:r w:rsidRPr="007204D2">
        <w:rPr>
          <w:sz w:val="22"/>
        </w:rPr>
        <w:t xml:space="preserve"> In some states, there are multiple licensure options for an ECE career. Two- and four-year institutions should work together to ensure they are consistently applying standards for licensure in their courses. </w:t>
      </w:r>
    </w:p>
    <w:p w14:paraId="1F9CFBF8" w14:textId="77777777" w:rsidR="00A66B70" w:rsidRPr="007204D2" w:rsidRDefault="00A66B70" w:rsidP="00A66B70">
      <w:pPr>
        <w:pStyle w:val="Bullet1"/>
        <w:spacing w:after="80"/>
        <w:contextualSpacing w:val="0"/>
        <w:rPr>
          <w:color w:val="1F497D"/>
          <w:sz w:val="22"/>
        </w:rPr>
      </w:pPr>
      <w:r w:rsidRPr="007204D2">
        <w:rPr>
          <w:i/>
          <w:sz w:val="22"/>
          <w:u w:val="single"/>
        </w:rPr>
        <w:t>Competing demands</w:t>
      </w:r>
      <w:r w:rsidRPr="007204D2">
        <w:rPr>
          <w:i/>
          <w:sz w:val="22"/>
        </w:rPr>
        <w:t>.</w:t>
      </w:r>
      <w:r w:rsidRPr="007204D2">
        <w:rPr>
          <w:sz w:val="22"/>
        </w:rPr>
        <w:t xml:space="preserve"> </w:t>
      </w:r>
      <w:r w:rsidRPr="007204D2">
        <w:rPr>
          <w:spacing w:val="-2"/>
          <w:sz w:val="22"/>
        </w:rPr>
        <w:t xml:space="preserve">Two-year colleges may have competing demands, with some students pursing </w:t>
      </w:r>
      <w:r w:rsidRPr="007204D2">
        <w:rPr>
          <w:color w:val="000000" w:themeColor="text1"/>
          <w:spacing w:val="-2"/>
          <w:sz w:val="22"/>
        </w:rPr>
        <w:t>ECE-related training, certificates, or associate degrees without teacher licensure and others earning credits with the hope of transferring into a four-year college in order to complete a bachelor’s degree and additional certifications required for teaching. To the extent that the requirements of two-year ECE-related programs and bachelor’s degree programs are not aligned, it may be difficult for two-year colleges to offer accessible and transparent pathways that serve the needs of all students. Misalignment could in turn also present challenges for allowing students to transfer credits from four-year to two-year institutions through reverse transfer.</w:t>
      </w:r>
    </w:p>
    <w:p w14:paraId="647B242C" w14:textId="77777777" w:rsidR="00A66B70" w:rsidRPr="007204D2" w:rsidRDefault="00A66B70" w:rsidP="00382EFA">
      <w:pPr>
        <w:pStyle w:val="Heading4"/>
        <w:spacing w:before="120"/>
        <w:rPr>
          <w:b w:val="0"/>
          <w:sz w:val="22"/>
          <w:szCs w:val="22"/>
        </w:rPr>
      </w:pPr>
      <w:r w:rsidRPr="007204D2">
        <w:rPr>
          <w:b w:val="0"/>
          <w:sz w:val="22"/>
          <w:szCs w:val="22"/>
        </w:rPr>
        <w:t>Faculty and Curricular Alignment</w:t>
      </w:r>
    </w:p>
    <w:p w14:paraId="632785F9" w14:textId="77777777" w:rsidR="00A66B70" w:rsidRPr="007204D2" w:rsidRDefault="00A66B70" w:rsidP="00A66B70">
      <w:pPr>
        <w:pStyle w:val="Bullet1"/>
        <w:spacing w:after="80"/>
        <w:contextualSpacing w:val="0"/>
        <w:rPr>
          <w:sz w:val="22"/>
        </w:rPr>
      </w:pPr>
      <w:r w:rsidRPr="007204D2">
        <w:rPr>
          <w:i/>
          <w:sz w:val="22"/>
          <w:u w:val="single"/>
        </w:rPr>
        <w:t>Curriculum and learning standards</w:t>
      </w:r>
      <w:r w:rsidRPr="007204D2">
        <w:rPr>
          <w:i/>
          <w:sz w:val="22"/>
        </w:rPr>
        <w:t>.</w:t>
      </w:r>
      <w:r w:rsidRPr="007204D2">
        <w:rPr>
          <w:sz w:val="22"/>
        </w:rPr>
        <w:t xml:space="preserve"> Alignment of curriculum and learning standards between two- and four-year institutions helps facilitate seamless student transfer among institutions of higher education.</w:t>
      </w:r>
    </w:p>
    <w:p w14:paraId="7E4B8110" w14:textId="77777777" w:rsidR="00A66B70" w:rsidRPr="007204D2" w:rsidRDefault="00A66B70" w:rsidP="00A66B70">
      <w:pPr>
        <w:pStyle w:val="Bullet1"/>
        <w:spacing w:after="80"/>
        <w:contextualSpacing w:val="0"/>
        <w:rPr>
          <w:color w:val="1F497D" w:themeColor="text2"/>
          <w:sz w:val="22"/>
        </w:rPr>
      </w:pPr>
      <w:r w:rsidRPr="007204D2">
        <w:rPr>
          <w:i/>
          <w:sz w:val="22"/>
          <w:u w:val="single"/>
        </w:rPr>
        <w:t>Course competencies and numbering</w:t>
      </w:r>
      <w:r w:rsidRPr="007204D2">
        <w:rPr>
          <w:i/>
          <w:sz w:val="22"/>
        </w:rPr>
        <w:t>.</w:t>
      </w:r>
      <w:r w:rsidRPr="007204D2">
        <w:rPr>
          <w:sz w:val="22"/>
        </w:rPr>
        <w:t xml:space="preserve"> Common course competencies and common course numbering are helpful for articulation between two- and four-year institutions.</w:t>
      </w:r>
    </w:p>
    <w:p w14:paraId="31A33A53" w14:textId="77777777" w:rsidR="00A66B70" w:rsidRPr="007204D2" w:rsidRDefault="00A66B70" w:rsidP="00A66B70">
      <w:pPr>
        <w:pStyle w:val="Bullet1"/>
        <w:spacing w:after="80"/>
        <w:contextualSpacing w:val="0"/>
        <w:rPr>
          <w:color w:val="1F497D" w:themeColor="text2"/>
          <w:sz w:val="22"/>
        </w:rPr>
      </w:pPr>
      <w:r w:rsidRPr="007204D2">
        <w:rPr>
          <w:i/>
          <w:sz w:val="22"/>
          <w:u w:val="single"/>
        </w:rPr>
        <w:t>General education common core</w:t>
      </w:r>
      <w:r w:rsidRPr="007204D2">
        <w:rPr>
          <w:i/>
          <w:sz w:val="22"/>
        </w:rPr>
        <w:t>.</w:t>
      </w:r>
      <w:r w:rsidRPr="007204D2">
        <w:rPr>
          <w:sz w:val="22"/>
        </w:rPr>
        <w:t xml:space="preserve"> The existence of a general education common core curriculum supports articulation.</w:t>
      </w:r>
    </w:p>
    <w:p w14:paraId="5E015133" w14:textId="77777777" w:rsidR="00A66B70" w:rsidRPr="007204D2" w:rsidRDefault="00A66B70" w:rsidP="00A66B70">
      <w:pPr>
        <w:pStyle w:val="Bullet1"/>
        <w:spacing w:after="80"/>
        <w:contextualSpacing w:val="0"/>
        <w:rPr>
          <w:color w:val="1F497D" w:themeColor="text2"/>
          <w:sz w:val="22"/>
        </w:rPr>
      </w:pPr>
      <w:r w:rsidRPr="007204D2">
        <w:rPr>
          <w:i/>
          <w:sz w:val="22"/>
          <w:u w:val="single"/>
        </w:rPr>
        <w:t>Faculty qualifications</w:t>
      </w:r>
      <w:r w:rsidRPr="007204D2">
        <w:rPr>
          <w:i/>
          <w:sz w:val="22"/>
        </w:rPr>
        <w:t>.</w:t>
      </w:r>
      <w:r w:rsidRPr="007204D2">
        <w:rPr>
          <w:sz w:val="22"/>
        </w:rPr>
        <w:t xml:space="preserve"> </w:t>
      </w:r>
      <w:r w:rsidRPr="007204D2">
        <w:rPr>
          <w:spacing w:val="-2"/>
          <w:sz w:val="22"/>
        </w:rPr>
        <w:t>When two-year faculty have similar academic qualifications as four-year faculty, the faculties may be more willing to enter into articulation agreements, due to a perception that courses at two-year institutions are equivalent to courses at four-year institutions.</w:t>
      </w:r>
    </w:p>
    <w:p w14:paraId="73950391" w14:textId="77777777" w:rsidR="00A66B70" w:rsidRPr="007204D2" w:rsidRDefault="00A66B70" w:rsidP="00382EFA">
      <w:pPr>
        <w:pStyle w:val="Heading4"/>
        <w:spacing w:before="120"/>
        <w:rPr>
          <w:b w:val="0"/>
          <w:sz w:val="22"/>
          <w:szCs w:val="22"/>
        </w:rPr>
      </w:pPr>
      <w:r w:rsidRPr="007204D2">
        <w:rPr>
          <w:b w:val="0"/>
          <w:sz w:val="22"/>
          <w:szCs w:val="22"/>
        </w:rPr>
        <w:t>Accreditation</w:t>
      </w:r>
    </w:p>
    <w:p w14:paraId="36B6BD0D" w14:textId="77777777" w:rsidR="00A66B70" w:rsidRPr="007204D2" w:rsidRDefault="00A66B70" w:rsidP="00A66B70">
      <w:pPr>
        <w:pStyle w:val="Bullet1"/>
        <w:spacing w:after="80"/>
        <w:contextualSpacing w:val="0"/>
        <w:rPr>
          <w:sz w:val="22"/>
        </w:rPr>
      </w:pPr>
      <w:r w:rsidRPr="007204D2">
        <w:rPr>
          <w:i/>
          <w:sz w:val="22"/>
          <w:u w:val="single"/>
        </w:rPr>
        <w:t>A symbol of quality</w:t>
      </w:r>
      <w:r w:rsidRPr="007204D2">
        <w:rPr>
          <w:i/>
          <w:sz w:val="22"/>
        </w:rPr>
        <w:t>.</w:t>
      </w:r>
      <w:r w:rsidRPr="007204D2">
        <w:rPr>
          <w:sz w:val="22"/>
        </w:rPr>
        <w:t xml:space="preserve"> Accreditation of ECE programs may reduce barriers to articulation by validating the quality and rigor of ECE associate’s degree programs.</w:t>
      </w:r>
    </w:p>
    <w:p w14:paraId="1B7F5A71" w14:textId="77777777" w:rsidR="00A66B70" w:rsidRPr="007204D2" w:rsidRDefault="00A66B70" w:rsidP="00A66B70">
      <w:pPr>
        <w:pStyle w:val="Bullet1"/>
        <w:spacing w:after="80"/>
        <w:contextualSpacing w:val="0"/>
        <w:rPr>
          <w:sz w:val="22"/>
        </w:rPr>
      </w:pPr>
      <w:r w:rsidRPr="007204D2">
        <w:rPr>
          <w:i/>
          <w:spacing w:val="-2"/>
          <w:sz w:val="22"/>
          <w:u w:val="single"/>
        </w:rPr>
        <w:t>Encouragement for articulation</w:t>
      </w:r>
      <w:r w:rsidRPr="007204D2">
        <w:rPr>
          <w:i/>
          <w:spacing w:val="-2"/>
          <w:sz w:val="22"/>
        </w:rPr>
        <w:t xml:space="preserve">. </w:t>
      </w:r>
      <w:r w:rsidRPr="007204D2">
        <w:rPr>
          <w:spacing w:val="-2"/>
          <w:sz w:val="22"/>
        </w:rPr>
        <w:t>Institutional and programmatic accreditors, such as the National Association for the Education of Young Children, can encourage institutions to develop student-focused articulation policies.</w:t>
      </w:r>
    </w:p>
    <w:p w14:paraId="7FBD55CC" w14:textId="77777777" w:rsidR="00A66B70" w:rsidRPr="007204D2" w:rsidRDefault="00A66B70" w:rsidP="00A66B70">
      <w:pPr>
        <w:pStyle w:val="Bullet1"/>
        <w:spacing w:after="80" w:line="259" w:lineRule="auto"/>
        <w:rPr>
          <w:sz w:val="22"/>
        </w:rPr>
      </w:pPr>
      <w:r w:rsidRPr="007204D2">
        <w:rPr>
          <w:i/>
          <w:spacing w:val="-2"/>
          <w:sz w:val="22"/>
          <w:u w:val="single"/>
        </w:rPr>
        <w:t>Mandate from licensing</w:t>
      </w:r>
      <w:r w:rsidRPr="007204D2">
        <w:rPr>
          <w:i/>
          <w:spacing w:val="-2"/>
          <w:sz w:val="22"/>
        </w:rPr>
        <w:t xml:space="preserve">. </w:t>
      </w:r>
      <w:r w:rsidRPr="007204D2">
        <w:rPr>
          <w:spacing w:val="-2"/>
          <w:sz w:val="22"/>
        </w:rPr>
        <w:t>When state educator licensing provisions require preparation programs at and beyond the baccalaureate level to receive both institutional and programmatic accreditation, those requirements may serve to reinforce specific articulation practices.</w:t>
      </w:r>
    </w:p>
    <w:p w14:paraId="1D916E85" w14:textId="77777777" w:rsidR="00A66B70" w:rsidRPr="002F73D4" w:rsidRDefault="00A66B70" w:rsidP="00A66B70">
      <w:pPr>
        <w:pStyle w:val="Heading3NoTOC"/>
        <w:keepLines w:val="0"/>
        <w:rPr>
          <w:rFonts w:asciiTheme="minorHAnsi" w:eastAsiaTheme="majorEastAsia" w:hAnsiTheme="minorHAnsi"/>
          <w:sz w:val="22"/>
          <w:szCs w:val="22"/>
        </w:rPr>
      </w:pPr>
      <w:r w:rsidRPr="002F73D4">
        <w:rPr>
          <w:rFonts w:asciiTheme="minorHAnsi" w:eastAsiaTheme="majorEastAsia" w:hAnsiTheme="minorHAnsi"/>
          <w:sz w:val="22"/>
          <w:szCs w:val="22"/>
        </w:rPr>
        <w:t>Articulation Agreement Provisions</w:t>
      </w:r>
    </w:p>
    <w:p w14:paraId="6F499E15" w14:textId="77777777" w:rsidR="00A66B70" w:rsidRPr="007204D2" w:rsidRDefault="00A66B70" w:rsidP="00A66B70">
      <w:pPr>
        <w:pStyle w:val="Heading4"/>
        <w:keepLines w:val="0"/>
        <w:rPr>
          <w:b w:val="0"/>
          <w:sz w:val="22"/>
          <w:szCs w:val="22"/>
        </w:rPr>
      </w:pPr>
      <w:r w:rsidRPr="007204D2">
        <w:rPr>
          <w:b w:val="0"/>
          <w:sz w:val="22"/>
          <w:szCs w:val="22"/>
        </w:rPr>
        <w:t>Portability of Credits</w:t>
      </w:r>
    </w:p>
    <w:p w14:paraId="76428D8D" w14:textId="77777777" w:rsidR="00A66B70" w:rsidRPr="007204D2" w:rsidRDefault="00A66B70" w:rsidP="00A66B70">
      <w:pPr>
        <w:pStyle w:val="Bullet1"/>
        <w:spacing w:after="80"/>
        <w:contextualSpacing w:val="0"/>
        <w:rPr>
          <w:sz w:val="22"/>
        </w:rPr>
      </w:pPr>
      <w:r w:rsidRPr="007204D2">
        <w:rPr>
          <w:i/>
          <w:sz w:val="22"/>
          <w:u w:val="single"/>
        </w:rPr>
        <w:t>Block transfer</w:t>
      </w:r>
      <w:r w:rsidRPr="007204D2">
        <w:rPr>
          <w:i/>
          <w:sz w:val="22"/>
        </w:rPr>
        <w:t>.</w:t>
      </w:r>
      <w:r w:rsidRPr="007204D2">
        <w:rPr>
          <w:sz w:val="22"/>
        </w:rPr>
        <w:t xml:space="preserve"> Transfer student degree progress is facilitated when articulation agreements specify that all lower division coursework, including general education and early childhood credits, will transfer into the four-year degree program as a block. </w:t>
      </w:r>
    </w:p>
    <w:p w14:paraId="723D5939" w14:textId="77777777" w:rsidR="00A66B70" w:rsidRPr="007204D2" w:rsidRDefault="00A66B70" w:rsidP="00A66B70">
      <w:pPr>
        <w:pStyle w:val="Bullet1"/>
        <w:spacing w:after="80"/>
        <w:contextualSpacing w:val="0"/>
        <w:rPr>
          <w:sz w:val="22"/>
        </w:rPr>
      </w:pPr>
      <w:r w:rsidRPr="007204D2">
        <w:rPr>
          <w:i/>
          <w:sz w:val="22"/>
          <w:u w:val="single"/>
        </w:rPr>
        <w:t>Course-by-course transfer</w:t>
      </w:r>
      <w:r w:rsidRPr="007204D2">
        <w:rPr>
          <w:i/>
          <w:sz w:val="22"/>
        </w:rPr>
        <w:t xml:space="preserve">. </w:t>
      </w:r>
      <w:r w:rsidRPr="007204D2">
        <w:rPr>
          <w:sz w:val="22"/>
        </w:rPr>
        <w:t xml:space="preserve">Articulation agreements that require course-by-course review of prior coursework based on course equivalencies or allow only a limited number of credits to transfer from the sending institution can hinder student degree progress. </w:t>
      </w:r>
    </w:p>
    <w:p w14:paraId="3694DB6A" w14:textId="77777777" w:rsidR="00A66B70" w:rsidRPr="007204D2" w:rsidRDefault="00A66B70" w:rsidP="00A66B70">
      <w:pPr>
        <w:pStyle w:val="Bullet1"/>
        <w:spacing w:after="80"/>
        <w:contextualSpacing w:val="0"/>
        <w:rPr>
          <w:sz w:val="22"/>
        </w:rPr>
      </w:pPr>
      <w:r w:rsidRPr="007204D2">
        <w:rPr>
          <w:rFonts w:eastAsiaTheme="majorEastAsia" w:cstheme="majorBidi"/>
          <w:i/>
          <w:sz w:val="22"/>
          <w:u w:val="single"/>
        </w:rPr>
        <w:t>Transfer without an associate’s degree</w:t>
      </w:r>
      <w:r w:rsidRPr="007204D2">
        <w:rPr>
          <w:rFonts w:eastAsiaTheme="majorEastAsia" w:cstheme="majorBidi"/>
          <w:i/>
          <w:sz w:val="22"/>
        </w:rPr>
        <w:t>.</w:t>
      </w:r>
      <w:r w:rsidRPr="007204D2">
        <w:rPr>
          <w:rFonts w:eastAsiaTheme="majorEastAsia" w:cstheme="majorBidi"/>
          <w:sz w:val="22"/>
        </w:rPr>
        <w:t xml:space="preserve"> Articulation agreements should allow students who choose to transfer from a two-year program to a four-year program before earning their associate’s degree to earn transfer credit for their prior coursework. </w:t>
      </w:r>
    </w:p>
    <w:p w14:paraId="07B24728" w14:textId="77777777" w:rsidR="00A66B70" w:rsidRPr="007204D2" w:rsidRDefault="00A66B70" w:rsidP="00A66B70">
      <w:pPr>
        <w:pStyle w:val="Bullet1"/>
        <w:spacing w:after="80"/>
        <w:contextualSpacing w:val="0"/>
        <w:rPr>
          <w:sz w:val="22"/>
        </w:rPr>
      </w:pPr>
      <w:r w:rsidRPr="007204D2">
        <w:rPr>
          <w:i/>
          <w:sz w:val="22"/>
          <w:u w:val="single"/>
        </w:rPr>
        <w:t>Reverse transfer</w:t>
      </w:r>
      <w:r w:rsidRPr="007204D2">
        <w:rPr>
          <w:i/>
          <w:sz w:val="22"/>
        </w:rPr>
        <w:t>.</w:t>
      </w:r>
      <w:r w:rsidRPr="007204D2">
        <w:rPr>
          <w:sz w:val="22"/>
        </w:rPr>
        <w:t xml:space="preserve"> Reverse transfer provisions ensure that students who transfer from a two-year to a four-year institution, and then back into a two-year institution do not lose credit. Reverse transfer provisions could include the opportunity for two-year to four-year transfer students to complete an associate or certificate degree, even if they do not complete their bachelor’s degree.</w:t>
      </w:r>
    </w:p>
    <w:p w14:paraId="5D606E3F" w14:textId="77777777" w:rsidR="00A66B70" w:rsidRPr="007204D2" w:rsidRDefault="00A66B70" w:rsidP="00A66B70">
      <w:pPr>
        <w:pStyle w:val="Heading4"/>
        <w:rPr>
          <w:b w:val="0"/>
          <w:sz w:val="22"/>
          <w:szCs w:val="22"/>
        </w:rPr>
      </w:pPr>
      <w:r w:rsidRPr="007204D2">
        <w:rPr>
          <w:b w:val="0"/>
          <w:sz w:val="22"/>
          <w:szCs w:val="22"/>
        </w:rPr>
        <w:t>Data Sharing</w:t>
      </w:r>
    </w:p>
    <w:p w14:paraId="577240E0" w14:textId="77777777" w:rsidR="00A66B70" w:rsidRPr="007204D2" w:rsidRDefault="00A66B70" w:rsidP="00A66B70">
      <w:pPr>
        <w:pStyle w:val="Bullet1"/>
        <w:spacing w:after="80"/>
        <w:contextualSpacing w:val="0"/>
        <w:rPr>
          <w:sz w:val="22"/>
        </w:rPr>
      </w:pPr>
      <w:r w:rsidRPr="007204D2">
        <w:rPr>
          <w:rFonts w:eastAsiaTheme="majorEastAsia"/>
          <w:i/>
          <w:sz w:val="22"/>
          <w:u w:val="single"/>
        </w:rPr>
        <w:t>Electronic record sharing</w:t>
      </w:r>
      <w:r w:rsidRPr="007204D2">
        <w:rPr>
          <w:rFonts w:eastAsiaTheme="majorEastAsia"/>
          <w:i/>
          <w:sz w:val="22"/>
        </w:rPr>
        <w:t>.</w:t>
      </w:r>
      <w:r w:rsidRPr="007204D2">
        <w:rPr>
          <w:rFonts w:eastAsiaTheme="majorEastAsia"/>
          <w:sz w:val="22"/>
        </w:rPr>
        <w:t xml:space="preserve"> In order to streamline articulation, transcripts should be shared electronically and systematically between two- and four-year institutions. </w:t>
      </w:r>
    </w:p>
    <w:p w14:paraId="552FB0FC" w14:textId="77777777" w:rsidR="00A66B70" w:rsidRPr="007204D2" w:rsidRDefault="00A66B70" w:rsidP="00A66B70">
      <w:pPr>
        <w:pStyle w:val="Bullet1"/>
        <w:spacing w:after="80"/>
        <w:contextualSpacing w:val="0"/>
        <w:rPr>
          <w:sz w:val="22"/>
        </w:rPr>
      </w:pPr>
      <w:r w:rsidRPr="007204D2">
        <w:rPr>
          <w:rFonts w:eastAsiaTheme="majorEastAsia"/>
          <w:i/>
          <w:sz w:val="22"/>
          <w:u w:val="single"/>
        </w:rPr>
        <w:t>Oversight of data sharing</w:t>
      </w:r>
      <w:r w:rsidRPr="007204D2">
        <w:rPr>
          <w:rFonts w:eastAsiaTheme="majorEastAsia"/>
          <w:i/>
          <w:sz w:val="22"/>
        </w:rPr>
        <w:t>.</w:t>
      </w:r>
      <w:r w:rsidRPr="007204D2">
        <w:rPr>
          <w:rFonts w:eastAsiaTheme="majorEastAsia"/>
          <w:sz w:val="22"/>
        </w:rPr>
        <w:t xml:space="preserve"> The administrative body that oversees articulation also may oversee a shared data system </w:t>
      </w:r>
      <w:r w:rsidRPr="007204D2">
        <w:rPr>
          <w:sz w:val="22"/>
        </w:rPr>
        <w:t>between two-year and four-year institutions</w:t>
      </w:r>
      <w:r w:rsidRPr="007204D2">
        <w:rPr>
          <w:rFonts w:eastAsiaTheme="majorEastAsia"/>
          <w:sz w:val="22"/>
        </w:rPr>
        <w:t xml:space="preserve">. </w:t>
      </w:r>
    </w:p>
    <w:p w14:paraId="21A584B2" w14:textId="77777777" w:rsidR="00A66B70" w:rsidRPr="007204D2" w:rsidRDefault="00A66B70" w:rsidP="00382EFA">
      <w:pPr>
        <w:pStyle w:val="Heading4"/>
        <w:spacing w:before="120"/>
        <w:rPr>
          <w:b w:val="0"/>
          <w:sz w:val="22"/>
          <w:szCs w:val="22"/>
        </w:rPr>
      </w:pPr>
      <w:r w:rsidRPr="007204D2">
        <w:rPr>
          <w:b w:val="0"/>
          <w:sz w:val="22"/>
          <w:szCs w:val="22"/>
        </w:rPr>
        <w:t xml:space="preserve">Other Provisions </w:t>
      </w:r>
    </w:p>
    <w:p w14:paraId="65E06FA3" w14:textId="77777777" w:rsidR="00A66B70" w:rsidRPr="007204D2" w:rsidRDefault="00A66B70" w:rsidP="00A66B70">
      <w:pPr>
        <w:pStyle w:val="Bullet1"/>
        <w:spacing w:after="80"/>
        <w:contextualSpacing w:val="0"/>
        <w:rPr>
          <w:sz w:val="22"/>
        </w:rPr>
      </w:pPr>
      <w:r w:rsidRPr="007204D2">
        <w:rPr>
          <w:i/>
          <w:sz w:val="22"/>
          <w:u w:val="single"/>
        </w:rPr>
        <w:t>Guaranteed admission</w:t>
      </w:r>
      <w:r w:rsidRPr="007204D2">
        <w:rPr>
          <w:i/>
          <w:sz w:val="22"/>
        </w:rPr>
        <w:t>.</w:t>
      </w:r>
      <w:r w:rsidRPr="007204D2">
        <w:rPr>
          <w:sz w:val="22"/>
        </w:rPr>
        <w:t xml:space="preserve"> Guaranteed admission into ECE programs at four-year institutions for students who complete associate’s degrees can be a feature of successful articulation agreements.</w:t>
      </w:r>
    </w:p>
    <w:p w14:paraId="6E27AB49" w14:textId="77777777" w:rsidR="00A66B70" w:rsidRPr="007204D2" w:rsidRDefault="00A66B70" w:rsidP="00A66B70">
      <w:pPr>
        <w:pStyle w:val="Bullet1"/>
        <w:spacing w:after="80"/>
        <w:contextualSpacing w:val="0"/>
        <w:rPr>
          <w:sz w:val="22"/>
        </w:rPr>
      </w:pPr>
      <w:r w:rsidRPr="007204D2">
        <w:rPr>
          <w:i/>
          <w:sz w:val="22"/>
          <w:u w:val="single"/>
        </w:rPr>
        <w:t>Private institutions</w:t>
      </w:r>
      <w:r w:rsidRPr="007204D2">
        <w:rPr>
          <w:i/>
          <w:sz w:val="22"/>
        </w:rPr>
        <w:t>.</w:t>
      </w:r>
      <w:r w:rsidRPr="007204D2">
        <w:rPr>
          <w:sz w:val="22"/>
        </w:rPr>
        <w:t xml:space="preserve"> Inclusion of private institutions of higher education in articulation agreements increases the number of students who benefit from articulation agreements. </w:t>
      </w:r>
    </w:p>
    <w:p w14:paraId="02E2FF04" w14:textId="77777777" w:rsidR="00A66B70" w:rsidRPr="002F73D4" w:rsidRDefault="00A66B70" w:rsidP="00A66B70">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Articulation and Transfer Supports</w:t>
      </w:r>
    </w:p>
    <w:p w14:paraId="595DFAB8" w14:textId="77777777" w:rsidR="00A66B70" w:rsidRPr="007204D2" w:rsidRDefault="00A66B70" w:rsidP="00A66B70">
      <w:pPr>
        <w:pStyle w:val="Heading4"/>
        <w:rPr>
          <w:b w:val="0"/>
          <w:sz w:val="22"/>
          <w:szCs w:val="22"/>
        </w:rPr>
      </w:pPr>
      <w:r w:rsidRPr="007204D2">
        <w:rPr>
          <w:b w:val="0"/>
          <w:sz w:val="22"/>
          <w:szCs w:val="22"/>
        </w:rPr>
        <w:t>Transparency and Accessibility</w:t>
      </w:r>
    </w:p>
    <w:p w14:paraId="05683C84" w14:textId="77777777" w:rsidR="00A66B70" w:rsidRPr="007204D2" w:rsidRDefault="00A66B70" w:rsidP="00A66B70">
      <w:pPr>
        <w:pStyle w:val="Bullet1"/>
        <w:spacing w:after="80"/>
        <w:contextualSpacing w:val="0"/>
        <w:rPr>
          <w:sz w:val="22"/>
        </w:rPr>
      </w:pPr>
      <w:r w:rsidRPr="007204D2">
        <w:rPr>
          <w:i/>
          <w:sz w:val="22"/>
          <w:u w:val="single"/>
        </w:rPr>
        <w:t>Transparent information</w:t>
      </w:r>
      <w:r w:rsidRPr="007204D2">
        <w:rPr>
          <w:i/>
          <w:sz w:val="22"/>
        </w:rPr>
        <w:t>.</w:t>
      </w:r>
      <w:r w:rsidRPr="007204D2">
        <w:rPr>
          <w:sz w:val="22"/>
        </w:rPr>
        <w:t xml:space="preserve"> Students require transparent, accessible information regarding transfer requirements, career pathways, and licensure options.</w:t>
      </w:r>
    </w:p>
    <w:p w14:paraId="0AE64C01" w14:textId="77777777" w:rsidR="00A66B70" w:rsidRPr="007204D2" w:rsidRDefault="00A66B70" w:rsidP="00A66B70">
      <w:pPr>
        <w:pStyle w:val="Bullet1"/>
        <w:spacing w:after="80"/>
        <w:contextualSpacing w:val="0"/>
        <w:rPr>
          <w:sz w:val="22"/>
        </w:rPr>
      </w:pPr>
      <w:r w:rsidRPr="007204D2">
        <w:rPr>
          <w:i/>
          <w:sz w:val="22"/>
          <w:u w:val="single"/>
        </w:rPr>
        <w:t>Web-based transfer resources</w:t>
      </w:r>
      <w:r w:rsidRPr="007204D2">
        <w:rPr>
          <w:i/>
          <w:sz w:val="22"/>
        </w:rPr>
        <w:t>.</w:t>
      </w:r>
      <w:r w:rsidRPr="007204D2">
        <w:rPr>
          <w:sz w:val="22"/>
        </w:rPr>
        <w:t xml:space="preserve"> Transfer guides and other Web-based resources such as online course catalogs and degree progress tools are important supports for students, advisors, and faculty.</w:t>
      </w:r>
    </w:p>
    <w:p w14:paraId="3FFE70BF" w14:textId="77777777" w:rsidR="00A66B70" w:rsidRPr="007204D2" w:rsidRDefault="00A66B70" w:rsidP="00A66B70">
      <w:pPr>
        <w:pStyle w:val="Bullet1"/>
        <w:spacing w:after="80"/>
        <w:contextualSpacing w:val="0"/>
        <w:rPr>
          <w:sz w:val="22"/>
        </w:rPr>
      </w:pPr>
      <w:r w:rsidRPr="007204D2">
        <w:rPr>
          <w:i/>
          <w:sz w:val="22"/>
          <w:u w:val="single"/>
        </w:rPr>
        <w:t>Accommodations for non-traditional students</w:t>
      </w:r>
      <w:r w:rsidRPr="007204D2">
        <w:rPr>
          <w:i/>
          <w:sz w:val="22"/>
        </w:rPr>
        <w:t>.</w:t>
      </w:r>
      <w:r w:rsidRPr="007204D2">
        <w:rPr>
          <w:sz w:val="22"/>
        </w:rPr>
        <w:t xml:space="preserve"> Because many ECE students may also be working, institutions should consider the convenience and accessibility of courses and academic and student services. </w:t>
      </w:r>
    </w:p>
    <w:p w14:paraId="1F381393" w14:textId="77777777" w:rsidR="00A66B70" w:rsidRPr="007204D2" w:rsidRDefault="00A66B70" w:rsidP="00382EFA">
      <w:pPr>
        <w:pStyle w:val="Heading4"/>
        <w:spacing w:before="120"/>
        <w:rPr>
          <w:b w:val="0"/>
          <w:sz w:val="22"/>
          <w:szCs w:val="22"/>
        </w:rPr>
      </w:pPr>
      <w:r w:rsidRPr="007204D2">
        <w:rPr>
          <w:b w:val="0"/>
          <w:sz w:val="22"/>
          <w:szCs w:val="22"/>
        </w:rPr>
        <w:t>Student Supports</w:t>
      </w:r>
    </w:p>
    <w:p w14:paraId="4553AD1E" w14:textId="77777777" w:rsidR="00A66B70" w:rsidRPr="007204D2" w:rsidRDefault="00A66B70" w:rsidP="00A66B70">
      <w:pPr>
        <w:pStyle w:val="Bullet1"/>
        <w:spacing w:after="80"/>
        <w:contextualSpacing w:val="0"/>
        <w:rPr>
          <w:sz w:val="22"/>
        </w:rPr>
      </w:pPr>
      <w:r w:rsidRPr="007204D2">
        <w:rPr>
          <w:i/>
          <w:sz w:val="22"/>
          <w:u w:val="single"/>
        </w:rPr>
        <w:t>Transfer advising services</w:t>
      </w:r>
      <w:r w:rsidRPr="007204D2">
        <w:rPr>
          <w:i/>
          <w:sz w:val="22"/>
        </w:rPr>
        <w:t>.</w:t>
      </w:r>
      <w:r w:rsidRPr="007204D2">
        <w:rPr>
          <w:sz w:val="22"/>
        </w:rPr>
        <w:t xml:space="preserve"> Transfer advising service centers at both sending and receiving institutions can promote student success and retention.</w:t>
      </w:r>
    </w:p>
    <w:p w14:paraId="36253303" w14:textId="77777777" w:rsidR="00A66B70" w:rsidRPr="007204D2" w:rsidRDefault="00A66B70" w:rsidP="00A66B70">
      <w:pPr>
        <w:pStyle w:val="Bullet1"/>
        <w:spacing w:after="80"/>
        <w:contextualSpacing w:val="0"/>
        <w:rPr>
          <w:sz w:val="22"/>
        </w:rPr>
      </w:pPr>
      <w:r w:rsidRPr="007204D2">
        <w:rPr>
          <w:i/>
          <w:sz w:val="22"/>
          <w:u w:val="single"/>
        </w:rPr>
        <w:t>Well-informed and resourced advisors</w:t>
      </w:r>
      <w:r w:rsidRPr="007204D2">
        <w:rPr>
          <w:i/>
          <w:sz w:val="22"/>
        </w:rPr>
        <w:t>.</w:t>
      </w:r>
      <w:r w:rsidRPr="007204D2">
        <w:rPr>
          <w:sz w:val="22"/>
        </w:rPr>
        <w:t xml:space="preserve"> Before and during the articulation process, students can benefit from the support of well-informed faculty advisors and guidance counselors with reasonable caseloads. Such advisors can help students them determine which degree pathways are best aligned to their personal and professional goals. </w:t>
      </w:r>
    </w:p>
    <w:p w14:paraId="4C22CF22" w14:textId="77777777" w:rsidR="00A66B70" w:rsidRPr="007204D2" w:rsidRDefault="00A66B70" w:rsidP="00382EFA">
      <w:pPr>
        <w:pStyle w:val="Heading4"/>
        <w:spacing w:before="120"/>
        <w:rPr>
          <w:b w:val="0"/>
          <w:sz w:val="22"/>
          <w:szCs w:val="22"/>
        </w:rPr>
      </w:pPr>
      <w:r w:rsidRPr="007204D2">
        <w:rPr>
          <w:b w:val="0"/>
          <w:sz w:val="22"/>
          <w:szCs w:val="22"/>
        </w:rPr>
        <w:t xml:space="preserve">Completion and Affordability </w:t>
      </w:r>
    </w:p>
    <w:p w14:paraId="6E712B68" w14:textId="77777777" w:rsidR="00A66B70" w:rsidRPr="007204D2" w:rsidRDefault="00A66B70" w:rsidP="00A66B70">
      <w:pPr>
        <w:pStyle w:val="Bullet1"/>
        <w:spacing w:after="80"/>
        <w:contextualSpacing w:val="0"/>
        <w:rPr>
          <w:sz w:val="22"/>
        </w:rPr>
      </w:pPr>
      <w:r w:rsidRPr="007204D2">
        <w:rPr>
          <w:i/>
          <w:sz w:val="22"/>
          <w:u w:val="single"/>
        </w:rPr>
        <w:t>Importance of affordability</w:t>
      </w:r>
      <w:r w:rsidRPr="007204D2">
        <w:rPr>
          <w:i/>
          <w:sz w:val="22"/>
        </w:rPr>
        <w:t>.</w:t>
      </w:r>
      <w:r w:rsidRPr="007204D2">
        <w:rPr>
          <w:sz w:val="22"/>
        </w:rPr>
        <w:t xml:space="preserve"> Statewide articulation policy should consider the affordability of earning a bachelor’s degree.</w:t>
      </w:r>
    </w:p>
    <w:p w14:paraId="069B2FBE" w14:textId="77777777" w:rsidR="00A66B70" w:rsidRPr="002F73D4" w:rsidRDefault="00A66B70" w:rsidP="00A66B70">
      <w:pPr>
        <w:pStyle w:val="Bullet1"/>
        <w:spacing w:after="80"/>
        <w:contextualSpacing w:val="0"/>
        <w:rPr>
          <w:sz w:val="22"/>
        </w:rPr>
      </w:pPr>
      <w:r w:rsidRPr="007204D2">
        <w:rPr>
          <w:i/>
          <w:sz w:val="22"/>
          <w:u w:val="single"/>
        </w:rPr>
        <w:t>Cost of degree versus earning potential</w:t>
      </w:r>
      <w:r w:rsidRPr="007204D2">
        <w:rPr>
          <w:i/>
          <w:sz w:val="22"/>
        </w:rPr>
        <w:t>.</w:t>
      </w:r>
      <w:r w:rsidRPr="007204D2">
        <w:rPr>
          <w:sz w:val="22"/>
        </w:rPr>
        <w:t xml:space="preserve"> Th</w:t>
      </w:r>
      <w:r w:rsidRPr="002F73D4">
        <w:rPr>
          <w:sz w:val="22"/>
        </w:rPr>
        <w:t>e affordability of a bachelor’s degree is particularly important for students in ECE programs because of the low wages that early childhood teachers earn.</w:t>
      </w:r>
    </w:p>
    <w:p w14:paraId="0A83425A" w14:textId="77777777" w:rsidR="00A66B70" w:rsidRPr="002F73D4" w:rsidRDefault="00A66B70" w:rsidP="00A66B70">
      <w:pPr>
        <w:pStyle w:val="Bullet1"/>
        <w:spacing w:after="80"/>
        <w:contextualSpacing w:val="0"/>
        <w:rPr>
          <w:sz w:val="22"/>
        </w:rPr>
      </w:pPr>
      <w:r w:rsidRPr="002F73D4">
        <w:rPr>
          <w:i/>
          <w:sz w:val="22"/>
          <w:u w:val="single"/>
        </w:rPr>
        <w:t>Dimensions of affordability</w:t>
      </w:r>
      <w:r w:rsidRPr="002F73D4">
        <w:rPr>
          <w:i/>
          <w:sz w:val="22"/>
        </w:rPr>
        <w:t>.</w:t>
      </w:r>
      <w:r w:rsidRPr="002F73D4">
        <w:rPr>
          <w:sz w:val="22"/>
          <w:u w:val="single"/>
        </w:rPr>
        <w:t xml:space="preserve"> </w:t>
      </w:r>
      <w:r w:rsidRPr="002F73D4">
        <w:rPr>
          <w:sz w:val="22"/>
        </w:rPr>
        <w:t xml:space="preserve">Affordability is determined by the total cost of earning a credential, including the cost of attendance, the cost of student debt, and opportunity cost of foregoing work while acquiring a degree. </w:t>
      </w:r>
    </w:p>
    <w:p w14:paraId="68951E41" w14:textId="77777777" w:rsidR="00A66B70" w:rsidRPr="002F73D4" w:rsidRDefault="00A66B70" w:rsidP="00A66B70">
      <w:pPr>
        <w:pStyle w:val="Bullet1"/>
        <w:spacing w:after="80"/>
        <w:contextualSpacing w:val="0"/>
        <w:rPr>
          <w:sz w:val="22"/>
        </w:rPr>
      </w:pPr>
      <w:r w:rsidRPr="002F73D4">
        <w:rPr>
          <w:i/>
          <w:sz w:val="22"/>
          <w:u w:val="single"/>
        </w:rPr>
        <w:t>Stackable credentials</w:t>
      </w:r>
      <w:r w:rsidRPr="002F73D4">
        <w:rPr>
          <w:i/>
          <w:sz w:val="22"/>
        </w:rPr>
        <w:t>.</w:t>
      </w:r>
      <w:r w:rsidRPr="002F73D4">
        <w:rPr>
          <w:sz w:val="22"/>
        </w:rPr>
        <w:t xml:space="preserve"> Stackable credentials may be an opportunity to help students increase their salaries as they acquire credentials.</w:t>
      </w:r>
    </w:p>
    <w:p w14:paraId="3BB6A038" w14:textId="77777777" w:rsidR="00A66B70" w:rsidRPr="002F73D4" w:rsidRDefault="00A66B70" w:rsidP="00A66B70">
      <w:pPr>
        <w:pStyle w:val="Bullet1"/>
        <w:spacing w:after="80"/>
        <w:contextualSpacing w:val="0"/>
        <w:rPr>
          <w:sz w:val="22"/>
        </w:rPr>
      </w:pPr>
      <w:r w:rsidRPr="002F73D4">
        <w:rPr>
          <w:i/>
          <w:sz w:val="22"/>
          <w:u w:val="single"/>
        </w:rPr>
        <w:t>Dual-credit programs</w:t>
      </w:r>
      <w:r w:rsidRPr="002F73D4">
        <w:rPr>
          <w:i/>
          <w:sz w:val="22"/>
        </w:rPr>
        <w:t>.</w:t>
      </w:r>
      <w:r w:rsidRPr="002F73D4">
        <w:rPr>
          <w:sz w:val="22"/>
        </w:rPr>
        <w:t xml:space="preserve"> Affordability in articulation agreements may be addressed by providing pathways for high school students to enter into dual-credit college courses as soon as possible to save money.</w:t>
      </w:r>
    </w:p>
    <w:p w14:paraId="682D60CE" w14:textId="77777777" w:rsidR="00A66B70" w:rsidRPr="002F73D4" w:rsidRDefault="00A66B70" w:rsidP="00A66B70">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State Considerations</w:t>
      </w:r>
    </w:p>
    <w:p w14:paraId="2FE79E39" w14:textId="77777777" w:rsidR="00A66B70" w:rsidRPr="007204D2" w:rsidRDefault="00A66B70" w:rsidP="00A66B70">
      <w:pPr>
        <w:pStyle w:val="Heading4"/>
        <w:rPr>
          <w:b w:val="0"/>
          <w:sz w:val="22"/>
          <w:szCs w:val="22"/>
        </w:rPr>
      </w:pPr>
      <w:r w:rsidRPr="007204D2">
        <w:rPr>
          <w:b w:val="0"/>
          <w:sz w:val="22"/>
          <w:szCs w:val="22"/>
        </w:rPr>
        <w:t>Policy Context</w:t>
      </w:r>
    </w:p>
    <w:p w14:paraId="63ADACF3" w14:textId="77777777" w:rsidR="00A66B70" w:rsidRPr="007204D2" w:rsidRDefault="00A66B70" w:rsidP="00A66B70">
      <w:pPr>
        <w:pStyle w:val="Bullet1"/>
        <w:spacing w:after="80"/>
        <w:contextualSpacing w:val="0"/>
        <w:rPr>
          <w:sz w:val="22"/>
        </w:rPr>
      </w:pPr>
      <w:r w:rsidRPr="007204D2">
        <w:rPr>
          <w:i/>
          <w:sz w:val="22"/>
          <w:u w:val="single"/>
        </w:rPr>
        <w:t>Policy mandate</w:t>
      </w:r>
      <w:r w:rsidRPr="007204D2">
        <w:rPr>
          <w:i/>
          <w:sz w:val="22"/>
        </w:rPr>
        <w:t>.</w:t>
      </w:r>
      <w:r w:rsidRPr="007204D2">
        <w:rPr>
          <w:sz w:val="22"/>
        </w:rPr>
        <w:t xml:space="preserve"> Successful statewide articulation is enabled by policies that mandate or facilitate articulation. </w:t>
      </w:r>
    </w:p>
    <w:p w14:paraId="18D0C19E" w14:textId="77777777" w:rsidR="00A66B70" w:rsidRPr="007204D2" w:rsidRDefault="00A66B70" w:rsidP="00A66B70">
      <w:pPr>
        <w:pStyle w:val="Bullet1"/>
        <w:spacing w:after="80"/>
        <w:contextualSpacing w:val="0"/>
        <w:rPr>
          <w:sz w:val="22"/>
        </w:rPr>
      </w:pPr>
      <w:r w:rsidRPr="007204D2">
        <w:rPr>
          <w:i/>
          <w:sz w:val="22"/>
          <w:u w:val="single"/>
        </w:rPr>
        <w:t>Compulsory articulation agreements</w:t>
      </w:r>
      <w:r w:rsidRPr="007204D2">
        <w:rPr>
          <w:i/>
          <w:sz w:val="22"/>
        </w:rPr>
        <w:t>.</w:t>
      </w:r>
      <w:r w:rsidRPr="007204D2">
        <w:rPr>
          <w:sz w:val="22"/>
        </w:rPr>
        <w:t xml:space="preserve"> State legislative or executive branch action can compel institutions of higher education to create articulation agreements when they might not have otherwise.</w:t>
      </w:r>
    </w:p>
    <w:p w14:paraId="1BA08DFC" w14:textId="77777777" w:rsidR="00A66B70" w:rsidRPr="007204D2" w:rsidRDefault="00A66B70" w:rsidP="00A66B70">
      <w:pPr>
        <w:pStyle w:val="Bullet1"/>
        <w:spacing w:after="80"/>
        <w:contextualSpacing w:val="0"/>
        <w:rPr>
          <w:sz w:val="22"/>
        </w:rPr>
      </w:pPr>
      <w:r w:rsidRPr="007204D2">
        <w:rPr>
          <w:i/>
          <w:sz w:val="22"/>
          <w:u w:val="single"/>
        </w:rPr>
        <w:t>Licensing policy</w:t>
      </w:r>
      <w:r w:rsidRPr="007204D2">
        <w:rPr>
          <w:i/>
          <w:sz w:val="22"/>
        </w:rPr>
        <w:t>.</w:t>
      </w:r>
      <w:r w:rsidRPr="007204D2">
        <w:rPr>
          <w:sz w:val="22"/>
        </w:rPr>
        <w:t xml:space="preserve"> State policies for teacher licensing can make the pathways into an ECE career more or less flexible.</w:t>
      </w:r>
    </w:p>
    <w:p w14:paraId="7973D03D" w14:textId="77777777" w:rsidR="00A66B70" w:rsidRPr="007204D2" w:rsidRDefault="00A66B70" w:rsidP="00382EFA">
      <w:pPr>
        <w:pStyle w:val="Heading4"/>
        <w:spacing w:before="120"/>
        <w:rPr>
          <w:b w:val="0"/>
          <w:sz w:val="22"/>
          <w:szCs w:val="22"/>
        </w:rPr>
      </w:pPr>
      <w:r w:rsidRPr="007204D2">
        <w:rPr>
          <w:b w:val="0"/>
          <w:sz w:val="22"/>
          <w:szCs w:val="22"/>
        </w:rPr>
        <w:t>Economic Context</w:t>
      </w:r>
    </w:p>
    <w:p w14:paraId="6B08B03D" w14:textId="77777777" w:rsidR="00A66B70" w:rsidRPr="007204D2" w:rsidRDefault="00A66B70" w:rsidP="00A66B70">
      <w:pPr>
        <w:pStyle w:val="Bullet1"/>
        <w:spacing w:after="80"/>
        <w:contextualSpacing w:val="0"/>
        <w:rPr>
          <w:sz w:val="22"/>
        </w:rPr>
      </w:pPr>
      <w:r w:rsidRPr="007204D2">
        <w:rPr>
          <w:i/>
          <w:sz w:val="22"/>
          <w:u w:val="single"/>
        </w:rPr>
        <w:t>Availability of funding</w:t>
      </w:r>
      <w:r w:rsidRPr="007204D2">
        <w:rPr>
          <w:i/>
          <w:sz w:val="22"/>
        </w:rPr>
        <w:t>.</w:t>
      </w:r>
      <w:r w:rsidRPr="007204D2">
        <w:rPr>
          <w:sz w:val="22"/>
        </w:rPr>
        <w:t xml:space="preserve"> The economic context and availability of funding within a state influences articulation policy.</w:t>
      </w:r>
    </w:p>
    <w:p w14:paraId="475E0C92" w14:textId="77777777" w:rsidR="00A66B70" w:rsidRPr="007204D2" w:rsidRDefault="00A66B70" w:rsidP="00A66B70">
      <w:pPr>
        <w:pStyle w:val="Bullet1"/>
        <w:spacing w:after="80"/>
        <w:contextualSpacing w:val="0"/>
        <w:rPr>
          <w:sz w:val="22"/>
        </w:rPr>
      </w:pPr>
      <w:r w:rsidRPr="007204D2">
        <w:rPr>
          <w:i/>
          <w:sz w:val="22"/>
          <w:u w:val="single"/>
        </w:rPr>
        <w:t>Workforce needs</w:t>
      </w:r>
      <w:r w:rsidRPr="007204D2">
        <w:rPr>
          <w:i/>
          <w:sz w:val="22"/>
        </w:rPr>
        <w:t>.</w:t>
      </w:r>
      <w:r w:rsidRPr="007204D2">
        <w:rPr>
          <w:sz w:val="22"/>
        </w:rPr>
        <w:t xml:space="preserve"> Articulation policy should take into account the state’s ECE workforce needs and the demographics of the existing teaching workforce.</w:t>
      </w:r>
    </w:p>
    <w:p w14:paraId="7E1512FA" w14:textId="77777777" w:rsidR="00A66B70" w:rsidRPr="007204D2" w:rsidRDefault="00A66B70" w:rsidP="00382EFA">
      <w:pPr>
        <w:pStyle w:val="Heading4"/>
        <w:spacing w:before="120"/>
        <w:rPr>
          <w:b w:val="0"/>
          <w:sz w:val="22"/>
          <w:szCs w:val="22"/>
        </w:rPr>
      </w:pPr>
      <w:r w:rsidRPr="007204D2">
        <w:rPr>
          <w:b w:val="0"/>
          <w:sz w:val="22"/>
          <w:szCs w:val="22"/>
        </w:rPr>
        <w:t>Evaluation and Evidence</w:t>
      </w:r>
    </w:p>
    <w:p w14:paraId="09860E24" w14:textId="77777777" w:rsidR="00A66B70" w:rsidRPr="002F73D4" w:rsidRDefault="00A66B70" w:rsidP="00A66B70">
      <w:pPr>
        <w:pStyle w:val="Bullet1"/>
        <w:keepNext/>
        <w:spacing w:after="80"/>
        <w:contextualSpacing w:val="0"/>
        <w:rPr>
          <w:sz w:val="22"/>
        </w:rPr>
      </w:pPr>
      <w:r w:rsidRPr="007204D2">
        <w:rPr>
          <w:i/>
          <w:sz w:val="22"/>
          <w:u w:val="single"/>
        </w:rPr>
        <w:t>Purpose</w:t>
      </w:r>
      <w:r w:rsidRPr="007204D2">
        <w:rPr>
          <w:i/>
          <w:sz w:val="22"/>
        </w:rPr>
        <w:t>.</w:t>
      </w:r>
      <w:r w:rsidRPr="007204D2">
        <w:rPr>
          <w:sz w:val="22"/>
        </w:rPr>
        <w:t xml:space="preserve"> Evaluation of art</w:t>
      </w:r>
      <w:r w:rsidRPr="002F73D4">
        <w:rPr>
          <w:sz w:val="22"/>
        </w:rPr>
        <w:t>iculation efforts may serve multiple purposes: (1) monitoring transfer student outcomes, (2) informing policy-makers about adjustments needed to articulation systems, (3) gathering data to make the case that articulation is needed.</w:t>
      </w:r>
    </w:p>
    <w:p w14:paraId="76D91E5E" w14:textId="77777777" w:rsidR="00A66B70" w:rsidRPr="002F73D4" w:rsidRDefault="00A66B70" w:rsidP="00A66B70">
      <w:pPr>
        <w:pStyle w:val="Bullet1"/>
        <w:spacing w:after="80"/>
        <w:contextualSpacing w:val="0"/>
        <w:rPr>
          <w:sz w:val="22"/>
        </w:rPr>
      </w:pPr>
      <w:r w:rsidRPr="002F73D4">
        <w:rPr>
          <w:i/>
          <w:sz w:val="22"/>
          <w:u w:val="single"/>
        </w:rPr>
        <w:t>Data</w:t>
      </w:r>
      <w:r w:rsidRPr="002F73D4">
        <w:rPr>
          <w:i/>
          <w:sz w:val="22"/>
        </w:rPr>
        <w:t>.</w:t>
      </w:r>
      <w:r w:rsidRPr="002F73D4">
        <w:rPr>
          <w:sz w:val="22"/>
        </w:rPr>
        <w:t xml:space="preserve"> Statewide longitudinal data systems that contain information about student transfer and course-taking behavior, along with information about credit transfer, help support evaluation of articulation policy.</w:t>
      </w:r>
    </w:p>
    <w:p w14:paraId="026EEB32" w14:textId="77777777" w:rsidR="00A66B70" w:rsidRPr="002F73D4" w:rsidRDefault="00A66B70" w:rsidP="00A66B70">
      <w:pPr>
        <w:pStyle w:val="Bullet1"/>
        <w:spacing w:after="80"/>
        <w:contextualSpacing w:val="0"/>
        <w:rPr>
          <w:sz w:val="22"/>
        </w:rPr>
      </w:pPr>
      <w:r w:rsidRPr="002F73D4">
        <w:rPr>
          <w:i/>
          <w:sz w:val="22"/>
          <w:u w:val="single"/>
        </w:rPr>
        <w:t>Transparency</w:t>
      </w:r>
      <w:r w:rsidRPr="002F73D4">
        <w:rPr>
          <w:i/>
          <w:sz w:val="22"/>
        </w:rPr>
        <w:t>.</w:t>
      </w:r>
      <w:r w:rsidRPr="002F73D4">
        <w:rPr>
          <w:sz w:val="22"/>
        </w:rPr>
        <w:t xml:space="preserve"> The results of evaluations should be made publicly available.</w:t>
      </w:r>
      <w:bookmarkEnd w:id="19"/>
      <w:bookmarkEnd w:id="20"/>
      <w:bookmarkEnd w:id="21"/>
      <w:bookmarkEnd w:id="22"/>
      <w:bookmarkEnd w:id="23"/>
    </w:p>
    <w:p w14:paraId="74419821" w14:textId="77777777" w:rsidR="00207804" w:rsidRPr="00623F32" w:rsidRDefault="00207804" w:rsidP="00207804">
      <w:pPr>
        <w:pStyle w:val="Bullet1"/>
        <w:numPr>
          <w:ilvl w:val="0"/>
          <w:numId w:val="0"/>
        </w:numPr>
        <w:rPr>
          <w:color w:val="auto"/>
          <w:sz w:val="22"/>
        </w:rPr>
      </w:pPr>
    </w:p>
    <w:p w14:paraId="13762853" w14:textId="77777777" w:rsidR="00207804" w:rsidRPr="00623F32" w:rsidRDefault="00670B3A" w:rsidP="00207804">
      <w:pPr>
        <w:pStyle w:val="BodyText"/>
        <w:rPr>
          <w:rFonts w:cs="Calibri"/>
          <w:color w:val="000000"/>
          <w:sz w:val="22"/>
          <w:szCs w:val="22"/>
        </w:rPr>
      </w:pPr>
      <w:r>
        <w:rPr>
          <w:sz w:val="22"/>
          <w:szCs w:val="22"/>
        </w:rPr>
        <w:t>One of the</w:t>
      </w:r>
      <w:r w:rsidRPr="00623F32">
        <w:rPr>
          <w:sz w:val="22"/>
          <w:szCs w:val="22"/>
        </w:rPr>
        <w:t xml:space="preserve"> </w:t>
      </w:r>
      <w:r w:rsidR="00207804" w:rsidRPr="00623F32">
        <w:rPr>
          <w:sz w:val="22"/>
          <w:szCs w:val="22"/>
        </w:rPr>
        <w:t>goal</w:t>
      </w:r>
      <w:r>
        <w:rPr>
          <w:sz w:val="22"/>
          <w:szCs w:val="22"/>
        </w:rPr>
        <w:t>s</w:t>
      </w:r>
      <w:r w:rsidR="00207804" w:rsidRPr="00623F32">
        <w:rPr>
          <w:sz w:val="22"/>
          <w:szCs w:val="22"/>
        </w:rPr>
        <w:t xml:space="preserve"> of this study is to highlight </w:t>
      </w:r>
      <w:r w:rsidR="00207804" w:rsidRPr="00623F32">
        <w:rPr>
          <w:rFonts w:cs="Calibri"/>
          <w:color w:val="000000"/>
          <w:sz w:val="22"/>
          <w:szCs w:val="22"/>
        </w:rPr>
        <w:t>successful ECE articulation practices to inform</w:t>
      </w:r>
      <w:r w:rsidR="00207804" w:rsidRPr="00623F32">
        <w:rPr>
          <w:color w:val="000000"/>
          <w:sz w:val="22"/>
          <w:szCs w:val="22"/>
        </w:rPr>
        <w:t xml:space="preserve"> the </w:t>
      </w:r>
      <w:r w:rsidR="00207804" w:rsidRPr="00623F32">
        <w:rPr>
          <w:rFonts w:cs="Calibri"/>
          <w:color w:val="000000"/>
          <w:sz w:val="22"/>
          <w:szCs w:val="22"/>
        </w:rPr>
        <w:t xml:space="preserve">work of state and higher education leaders who are </w:t>
      </w:r>
      <w:r w:rsidR="00207804" w:rsidRPr="00623F32">
        <w:rPr>
          <w:color w:val="000000"/>
          <w:sz w:val="22"/>
          <w:szCs w:val="22"/>
        </w:rPr>
        <w:t>developing</w:t>
      </w:r>
      <w:r w:rsidR="00207804" w:rsidRPr="00623F32">
        <w:rPr>
          <w:rFonts w:cs="Calibri"/>
          <w:color w:val="000000"/>
          <w:sz w:val="22"/>
          <w:szCs w:val="22"/>
        </w:rPr>
        <w:t xml:space="preserve">, revising, or </w:t>
      </w:r>
      <w:r w:rsidR="00207804" w:rsidRPr="00623F32">
        <w:rPr>
          <w:color w:val="000000"/>
          <w:sz w:val="22"/>
          <w:szCs w:val="22"/>
        </w:rPr>
        <w:t xml:space="preserve">implementing ECE articulation </w:t>
      </w:r>
      <w:r w:rsidR="00207804" w:rsidRPr="00623F32">
        <w:rPr>
          <w:rFonts w:cs="Calibri"/>
          <w:color w:val="000000"/>
          <w:sz w:val="22"/>
          <w:szCs w:val="22"/>
        </w:rPr>
        <w:t>policies.</w:t>
      </w:r>
      <w:r w:rsidR="00207804" w:rsidRPr="00623F32">
        <w:rPr>
          <w:color w:val="000000"/>
          <w:sz w:val="22"/>
          <w:szCs w:val="22"/>
        </w:rPr>
        <w:t xml:space="preserve"> The final report will </w:t>
      </w:r>
      <w:r w:rsidR="00207804" w:rsidRPr="00623F32">
        <w:rPr>
          <w:rFonts w:cs="Calibri"/>
          <w:color w:val="000000"/>
          <w:sz w:val="22"/>
          <w:szCs w:val="22"/>
        </w:rPr>
        <w:t>highlight promising practices and the specific approaches</w:t>
      </w:r>
      <w:r w:rsidR="004F79A9" w:rsidRPr="00623F32">
        <w:rPr>
          <w:rFonts w:cs="Calibri"/>
          <w:color w:val="000000"/>
          <w:sz w:val="22"/>
          <w:szCs w:val="22"/>
        </w:rPr>
        <w:t>, such as the sub-elements identified by the TWG,</w:t>
      </w:r>
      <w:r w:rsidR="00207804" w:rsidRPr="00623F32">
        <w:rPr>
          <w:rFonts w:cs="Calibri"/>
          <w:color w:val="000000"/>
          <w:sz w:val="22"/>
          <w:szCs w:val="22"/>
        </w:rPr>
        <w:t xml:space="preserve"> states have taken to successfully implement articulation policy, drawing on the experiences of stakeholders, including state higher education administrators and senior administrators, faculty, staff, and students in both two-year and four-year institutions of higher education in six focal states.</w:t>
      </w:r>
    </w:p>
    <w:p w14:paraId="36F5A5C9" w14:textId="77777777" w:rsidR="009F0658" w:rsidRDefault="009F0658">
      <w:pPr>
        <w:spacing w:after="0" w:line="240" w:lineRule="auto"/>
        <w:rPr>
          <w:rFonts w:ascii="Arial" w:eastAsia="Times New Roman" w:hAnsi="Arial"/>
          <w:b/>
          <w:bCs/>
          <w:color w:val="002060"/>
          <w:kern w:val="32"/>
          <w:sz w:val="28"/>
          <w:szCs w:val="32"/>
        </w:rPr>
      </w:pPr>
      <w:r>
        <w:br w:type="page"/>
      </w:r>
    </w:p>
    <w:p w14:paraId="08E5DB40" w14:textId="77777777" w:rsidR="008C3E81" w:rsidRDefault="00115F1B">
      <w:pPr>
        <w:pStyle w:val="Heading1"/>
      </w:pPr>
      <w:bookmarkStart w:id="24" w:name="_Toc492536521"/>
      <w:r>
        <w:t>Supporting Statement for Paperwork Reduction Act Submission</w:t>
      </w:r>
      <w:bookmarkEnd w:id="24"/>
    </w:p>
    <w:p w14:paraId="7518E7CF" w14:textId="77777777" w:rsidR="008C3E81" w:rsidRDefault="00115F1B">
      <w:pPr>
        <w:pStyle w:val="Heading2"/>
        <w:rPr>
          <w:sz w:val="28"/>
        </w:rPr>
      </w:pPr>
      <w:bookmarkStart w:id="25" w:name="_Toc492536522"/>
      <w:r>
        <w:rPr>
          <w:sz w:val="28"/>
        </w:rPr>
        <w:t>Justification</w:t>
      </w:r>
      <w:bookmarkEnd w:id="25"/>
    </w:p>
    <w:p w14:paraId="5781EDEE" w14:textId="77777777" w:rsidR="008C3E81" w:rsidRPr="00EC0E3B" w:rsidRDefault="00115F1B">
      <w:pPr>
        <w:pStyle w:val="Heading3"/>
        <w:rPr>
          <w:sz w:val="22"/>
          <w:szCs w:val="22"/>
        </w:rPr>
      </w:pPr>
      <w:bookmarkStart w:id="26" w:name="_Toc492536523"/>
      <w:r w:rsidRPr="00EC0E3B">
        <w:rPr>
          <w:sz w:val="22"/>
          <w:szCs w:val="22"/>
        </w:rPr>
        <w:t>1. Circumstances Making Collection of Information Necessary</w:t>
      </w:r>
      <w:bookmarkEnd w:id="26"/>
    </w:p>
    <w:p w14:paraId="2E919582" w14:textId="77777777" w:rsidR="00DB1A91" w:rsidRPr="00EC0E3B" w:rsidRDefault="007C081B" w:rsidP="00CA5CA1">
      <w:pPr>
        <w:pStyle w:val="NoSpacing"/>
      </w:pPr>
      <w:r w:rsidRPr="00EC0E3B">
        <w:t xml:space="preserve">As discussed in the Study Overview section, the purpose of this study is </w:t>
      </w:r>
      <w:r w:rsidR="00CA5CA1" w:rsidRPr="000E5998">
        <w:t xml:space="preserve">to </w:t>
      </w:r>
      <w:r w:rsidR="00CA5CA1" w:rsidRPr="00785A11">
        <w:t>identif</w:t>
      </w:r>
      <w:r w:rsidR="00CA5CA1">
        <w:t>y</w:t>
      </w:r>
      <w:r w:rsidR="00CA5CA1" w:rsidRPr="00785A11">
        <w:t xml:space="preserve"> elements that states have in place to enable successful articulation as early care and education (ECE) workers progress from an </w:t>
      </w:r>
      <w:r w:rsidR="00CA5CA1">
        <w:t>a</w:t>
      </w:r>
      <w:r w:rsidR="00CA5CA1" w:rsidRPr="00785A11">
        <w:t xml:space="preserve">ssociate’s degree to a </w:t>
      </w:r>
      <w:r w:rsidR="00CA5CA1">
        <w:t>b</w:t>
      </w:r>
      <w:r w:rsidR="00CA5CA1" w:rsidRPr="00785A11">
        <w:t>achelor’s degree</w:t>
      </w:r>
      <w:r w:rsidR="00CA5CA1">
        <w:t xml:space="preserve"> and describe states’ successes and challenges in implementing the elements. Specifically, the study will use telephone interviews, </w:t>
      </w:r>
      <w:r w:rsidR="004F79A9">
        <w:t xml:space="preserve">virtual </w:t>
      </w:r>
      <w:r w:rsidR="00CA5CA1">
        <w:t>focus groups, and review of extant documents to examine ECE articulation policies and their implementation in six focal states (California, Florida, Indiana, Massachusetts, New Mexico, and Pennsylvania) that have statewide articulation policies addressing degrees or coursework in early childhood education.</w:t>
      </w:r>
      <w:r w:rsidR="00013EBF" w:rsidRPr="00EC0E3B">
        <w:t xml:space="preserve"> </w:t>
      </w:r>
      <w:r w:rsidR="00115F1B" w:rsidRPr="00EC0E3B">
        <w:t>American Institutes for Research (AIR) is conducting this study on behalf of the Policy and Program Studies Service of the U.S. Department of Education</w:t>
      </w:r>
      <w:r w:rsidR="004F79A9">
        <w:t xml:space="preserve"> (ED)</w:t>
      </w:r>
      <w:r w:rsidR="00115F1B" w:rsidRPr="00EC0E3B">
        <w:t>.</w:t>
      </w:r>
    </w:p>
    <w:p w14:paraId="22217219" w14:textId="77777777" w:rsidR="008C3E81" w:rsidRPr="00EC0E3B" w:rsidRDefault="008C3E81" w:rsidP="00DB1A91">
      <w:pPr>
        <w:pStyle w:val="NoSpacing"/>
      </w:pPr>
    </w:p>
    <w:p w14:paraId="7822E2B3" w14:textId="77777777" w:rsidR="008C3E81" w:rsidRPr="00EC0E3B" w:rsidRDefault="00115F1B" w:rsidP="00013EBF">
      <w:pPr>
        <w:pStyle w:val="Heading3"/>
        <w:rPr>
          <w:sz w:val="22"/>
          <w:szCs w:val="22"/>
        </w:rPr>
      </w:pPr>
      <w:bookmarkStart w:id="27" w:name="_Toc492536524"/>
      <w:r w:rsidRPr="00EC0E3B">
        <w:rPr>
          <w:sz w:val="22"/>
          <w:szCs w:val="22"/>
        </w:rPr>
        <w:t>2. Use of Information</w:t>
      </w:r>
      <w:bookmarkEnd w:id="27"/>
    </w:p>
    <w:p w14:paraId="6D5FE104" w14:textId="77777777" w:rsidR="008C3E81" w:rsidRDefault="00115F1B" w:rsidP="00C46F39">
      <w:pPr>
        <w:pStyle w:val="NoSpacing"/>
      </w:pPr>
      <w:r w:rsidRPr="00EC0E3B">
        <w:t xml:space="preserve">The data collected </w:t>
      </w:r>
      <w:r w:rsidR="00EC0E3B" w:rsidRPr="00EC0E3B">
        <w:t xml:space="preserve">through this study will be used to prepare </w:t>
      </w:r>
      <w:r w:rsidRPr="00C46F39">
        <w:t>a report that</w:t>
      </w:r>
      <w:r w:rsidR="00D76321" w:rsidRPr="00D76321">
        <w:t xml:space="preserve"> </w:t>
      </w:r>
      <w:r w:rsidR="00D76321" w:rsidRPr="00BF6B64">
        <w:t>highlight</w:t>
      </w:r>
      <w:r w:rsidR="00D76321">
        <w:t>s</w:t>
      </w:r>
      <w:r w:rsidR="00D76321" w:rsidRPr="00BF6B64">
        <w:t xml:space="preserve"> </w:t>
      </w:r>
      <w:r w:rsidR="00D76321" w:rsidRPr="00C46F39">
        <w:t xml:space="preserve">successful ECE articulation practices </w:t>
      </w:r>
      <w:r w:rsidR="00A334E1">
        <w:t xml:space="preserve">in six states </w:t>
      </w:r>
      <w:r w:rsidR="00D76321" w:rsidRPr="00C46F39">
        <w:t xml:space="preserve">in order to inform the work of state and higher education leaders who are developing, revising, or implementing ECE articulation policies. This final report will highlight promising practices and the specific approaches states have taken to successfully implement articulation policy, drawing on the experiences of stakeholders, including state higher education administrators and senior administrators, faculty, staff, and students in both two-year and four-year institutions of higher education in </w:t>
      </w:r>
      <w:r w:rsidR="00C46F39">
        <w:t xml:space="preserve">the </w:t>
      </w:r>
      <w:r w:rsidR="00D76321" w:rsidRPr="00C46F39">
        <w:t xml:space="preserve">six focal states. </w:t>
      </w:r>
      <w:r w:rsidRPr="00EC0E3B">
        <w:t>The report will be written in a manner suitable for distribution to a broad audience of policymakers and educators and will be accompanied by a</w:t>
      </w:r>
      <w:r w:rsidR="00300A89" w:rsidRPr="00EC0E3B">
        <w:t xml:space="preserve"> two-page Results in</w:t>
      </w:r>
      <w:r w:rsidRPr="00EC0E3B">
        <w:t xml:space="preserve"> </w:t>
      </w:r>
      <w:r w:rsidR="00300A89" w:rsidRPr="00EC0E3B">
        <w:t>B</w:t>
      </w:r>
      <w:r w:rsidRPr="00EC0E3B">
        <w:t>rief. ED will publicly disseminate the report via its website.</w:t>
      </w:r>
    </w:p>
    <w:p w14:paraId="12483730" w14:textId="77777777" w:rsidR="00C46F39" w:rsidRPr="00EC0E3B" w:rsidRDefault="00C46F39" w:rsidP="00C46F39">
      <w:pPr>
        <w:pStyle w:val="NoSpacing"/>
      </w:pPr>
    </w:p>
    <w:p w14:paraId="7779F318" w14:textId="77777777" w:rsidR="008C3E81" w:rsidRPr="00EC0E3B" w:rsidRDefault="00115F1B">
      <w:pPr>
        <w:pStyle w:val="Heading3"/>
        <w:rPr>
          <w:sz w:val="22"/>
          <w:szCs w:val="22"/>
        </w:rPr>
      </w:pPr>
      <w:bookmarkStart w:id="28" w:name="_Toc492536525"/>
      <w:r w:rsidRPr="00EC0E3B">
        <w:rPr>
          <w:sz w:val="22"/>
          <w:szCs w:val="22"/>
        </w:rPr>
        <w:t>3. Use of Improved Technology to Reduce Burden</w:t>
      </w:r>
      <w:bookmarkEnd w:id="28"/>
    </w:p>
    <w:p w14:paraId="1C6FC493" w14:textId="77777777" w:rsidR="00F16F39" w:rsidRDefault="00F16F39" w:rsidP="00F16F39">
      <w:pPr>
        <w:spacing w:after="0" w:line="240" w:lineRule="auto"/>
        <w:rPr>
          <w:szCs w:val="24"/>
        </w:rPr>
      </w:pPr>
      <w:r>
        <w:rPr>
          <w:szCs w:val="24"/>
        </w:rPr>
        <w:t>We will collect t</w:t>
      </w:r>
      <w:r w:rsidRPr="0029350D">
        <w:rPr>
          <w:szCs w:val="24"/>
        </w:rPr>
        <w:t xml:space="preserve">he </w:t>
      </w:r>
      <w:r>
        <w:rPr>
          <w:szCs w:val="24"/>
        </w:rPr>
        <w:t>interview</w:t>
      </w:r>
      <w:r w:rsidRPr="0029350D">
        <w:rPr>
          <w:szCs w:val="24"/>
        </w:rPr>
        <w:t xml:space="preserve"> data </w:t>
      </w:r>
      <w:r>
        <w:rPr>
          <w:szCs w:val="24"/>
        </w:rPr>
        <w:t xml:space="preserve">by phone. All materials and data will be securely stored electronically and </w:t>
      </w:r>
      <w:r w:rsidRPr="00711E7C">
        <w:rPr>
          <w:szCs w:val="24"/>
        </w:rPr>
        <w:t>clearly labeled</w:t>
      </w:r>
      <w:r>
        <w:rPr>
          <w:szCs w:val="24"/>
        </w:rPr>
        <w:t xml:space="preserve"> with the date and time of the interview as well as with identifiers to</w:t>
      </w:r>
      <w:r w:rsidRPr="00711E7C">
        <w:rPr>
          <w:szCs w:val="24"/>
        </w:rPr>
        <w:t xml:space="preserve"> </w:t>
      </w:r>
      <w:r w:rsidRPr="00711E7C">
        <w:t>indicat</w:t>
      </w:r>
      <w:r>
        <w:t>e</w:t>
      </w:r>
      <w:r w:rsidRPr="00711E7C">
        <w:t xml:space="preserve"> the</w:t>
      </w:r>
      <w:r>
        <w:t xml:space="preserve"> specific</w:t>
      </w:r>
      <w:r w:rsidRPr="00711E7C">
        <w:t xml:space="preserve"> grantee</w:t>
      </w:r>
      <w:r>
        <w:t xml:space="preserve"> and interviewee and maintain confidentiality</w:t>
      </w:r>
      <w:r w:rsidRPr="0029350D">
        <w:rPr>
          <w:szCs w:val="24"/>
        </w:rPr>
        <w:t>.</w:t>
      </w:r>
      <w:r>
        <w:rPr>
          <w:szCs w:val="24"/>
        </w:rPr>
        <w:t xml:space="preserve"> With the permission of the participants, the interviews will be audio recorded </w:t>
      </w:r>
      <w:r w:rsidR="00670B3A">
        <w:rPr>
          <w:szCs w:val="24"/>
        </w:rPr>
        <w:t>and transcribed</w:t>
      </w:r>
      <w:r>
        <w:rPr>
          <w:szCs w:val="24"/>
        </w:rPr>
        <w:t xml:space="preserve">. </w:t>
      </w:r>
    </w:p>
    <w:p w14:paraId="06D501C4" w14:textId="77777777" w:rsidR="00F16F39" w:rsidRDefault="00F16F39" w:rsidP="00F16F39">
      <w:pPr>
        <w:spacing w:after="0" w:line="240" w:lineRule="auto"/>
        <w:rPr>
          <w:szCs w:val="24"/>
        </w:rPr>
      </w:pPr>
    </w:p>
    <w:p w14:paraId="34B15ED2" w14:textId="77777777" w:rsidR="00F16F39" w:rsidRPr="000B415A" w:rsidRDefault="00F16F39" w:rsidP="00F16F39">
      <w:pPr>
        <w:pStyle w:val="BodyText"/>
        <w:rPr>
          <w:sz w:val="22"/>
          <w:szCs w:val="22"/>
        </w:rPr>
      </w:pPr>
      <w:r>
        <w:rPr>
          <w:sz w:val="22"/>
          <w:szCs w:val="22"/>
        </w:rPr>
        <w:t xml:space="preserve">We will use </w:t>
      </w:r>
      <w:r w:rsidRPr="000B415A">
        <w:rPr>
          <w:sz w:val="22"/>
          <w:szCs w:val="22"/>
        </w:rPr>
        <w:t xml:space="preserve">GoToMeeting, a user-friendly system, </w:t>
      </w:r>
      <w:r>
        <w:rPr>
          <w:sz w:val="22"/>
          <w:szCs w:val="22"/>
        </w:rPr>
        <w:t>as the</w:t>
      </w:r>
      <w:r w:rsidRPr="000B415A">
        <w:rPr>
          <w:sz w:val="22"/>
          <w:szCs w:val="22"/>
        </w:rPr>
        <w:t xml:space="preserve"> platform for focus groups. To use this technology, all participants (including the interviewer) will log into the platform and enable their webcam. Students can use either their computer’s audio or call in by telephone. To aid the discussion, the interviewer also will share his or her screen, displaying the discussion questions, so that participants can follow along. The facilitator will set norms and expectations before starting the focus groups, including allowing all participants to speak, not using the speakerphone, and muting yourself when not speaking. In addition, the interviewer will remind participants to state their name before speaking. GoToMeeting is capable of recording the session. </w:t>
      </w:r>
    </w:p>
    <w:p w14:paraId="138F74FC" w14:textId="77777777" w:rsidR="00F16F39" w:rsidRPr="00711E7C" w:rsidRDefault="00F16F39" w:rsidP="00F16F39">
      <w:pPr>
        <w:spacing w:after="0" w:line="240" w:lineRule="auto"/>
        <w:rPr>
          <w:szCs w:val="24"/>
        </w:rPr>
      </w:pPr>
    </w:p>
    <w:p w14:paraId="0187A119" w14:textId="77777777" w:rsidR="008C3E81" w:rsidRPr="00EC0E3B" w:rsidRDefault="00115F1B">
      <w:pPr>
        <w:pStyle w:val="Heading3"/>
        <w:rPr>
          <w:sz w:val="22"/>
          <w:szCs w:val="22"/>
        </w:rPr>
      </w:pPr>
      <w:bookmarkStart w:id="29" w:name="_Toc492536526"/>
      <w:r w:rsidRPr="00EC0E3B">
        <w:rPr>
          <w:sz w:val="22"/>
          <w:szCs w:val="22"/>
        </w:rPr>
        <w:t>4. Efforts to Avoid Duplication of Effort</w:t>
      </w:r>
      <w:bookmarkEnd w:id="29"/>
    </w:p>
    <w:p w14:paraId="4B3BDC60" w14:textId="77777777" w:rsidR="00F16F39" w:rsidRPr="00F16F39" w:rsidRDefault="00894A3D" w:rsidP="00F16F39">
      <w:pPr>
        <w:pStyle w:val="BodyText"/>
        <w:rPr>
          <w:sz w:val="22"/>
          <w:szCs w:val="22"/>
        </w:rPr>
      </w:pPr>
      <w:r>
        <w:rPr>
          <w:sz w:val="22"/>
          <w:szCs w:val="22"/>
        </w:rPr>
        <w:t xml:space="preserve">The U.S. Department of Education and the U.S. Department of Health and Human Services are coordinating to inform this study and there is no similar work happening in either agency. </w:t>
      </w:r>
      <w:r w:rsidR="00F16F39" w:rsidRPr="00F16F39">
        <w:rPr>
          <w:sz w:val="22"/>
          <w:szCs w:val="22"/>
        </w:rPr>
        <w:t xml:space="preserve">The study team will avoid duplication of effort by using </w:t>
      </w:r>
      <w:r w:rsidR="00F16F39">
        <w:rPr>
          <w:sz w:val="22"/>
          <w:szCs w:val="22"/>
        </w:rPr>
        <w:t xml:space="preserve">extant data </w:t>
      </w:r>
      <w:r w:rsidR="00F16F39" w:rsidRPr="00F16F39">
        <w:rPr>
          <w:sz w:val="22"/>
          <w:szCs w:val="22"/>
        </w:rPr>
        <w:t xml:space="preserve">to guide </w:t>
      </w:r>
      <w:r w:rsidR="00F16F39">
        <w:rPr>
          <w:sz w:val="22"/>
          <w:szCs w:val="22"/>
        </w:rPr>
        <w:t>the selection of focal states and institutions of hig</w:t>
      </w:r>
      <w:r>
        <w:rPr>
          <w:sz w:val="22"/>
          <w:szCs w:val="22"/>
        </w:rPr>
        <w:t>h</w:t>
      </w:r>
      <w:r w:rsidR="00F16F39">
        <w:rPr>
          <w:sz w:val="22"/>
          <w:szCs w:val="22"/>
        </w:rPr>
        <w:t>er</w:t>
      </w:r>
      <w:r>
        <w:rPr>
          <w:sz w:val="22"/>
          <w:szCs w:val="22"/>
        </w:rPr>
        <w:t xml:space="preserve"> education.</w:t>
      </w:r>
      <w:r w:rsidR="00F16F39">
        <w:rPr>
          <w:sz w:val="22"/>
          <w:szCs w:val="22"/>
        </w:rPr>
        <w:t xml:space="preserve"> </w:t>
      </w:r>
      <w:r w:rsidR="00F16F39" w:rsidRPr="00F16F39">
        <w:rPr>
          <w:sz w:val="22"/>
          <w:szCs w:val="22"/>
        </w:rPr>
        <w:t>In addition, the study team will avoid selecting sites for which case studies have already been conducted, except in cases where the extant case study does not go into the detail needed to address the study’s research questions or was completed so long ago that it would be useful to learn updated information about the site’s work.</w:t>
      </w:r>
    </w:p>
    <w:p w14:paraId="528233BB" w14:textId="77777777" w:rsidR="008C3E81" w:rsidRPr="00EC0E3B" w:rsidRDefault="00115F1B">
      <w:pPr>
        <w:pStyle w:val="Heading3"/>
        <w:rPr>
          <w:sz w:val="22"/>
          <w:szCs w:val="22"/>
        </w:rPr>
      </w:pPr>
      <w:bookmarkStart w:id="30" w:name="_Toc492536527"/>
      <w:r w:rsidRPr="00EC0E3B">
        <w:rPr>
          <w:sz w:val="22"/>
          <w:szCs w:val="22"/>
        </w:rPr>
        <w:t>5. Efforts to Minimize Burden on Small Businesses and Other Small Entities</w:t>
      </w:r>
      <w:bookmarkEnd w:id="30"/>
    </w:p>
    <w:p w14:paraId="68075E9A" w14:textId="77777777" w:rsidR="00BA2F56" w:rsidRPr="00EC0E3B" w:rsidRDefault="00115F1B" w:rsidP="00BA2F56">
      <w:pPr>
        <w:pStyle w:val="BodyText"/>
        <w:rPr>
          <w:sz w:val="22"/>
          <w:szCs w:val="22"/>
        </w:rPr>
      </w:pPr>
      <w:r w:rsidRPr="00EC0E3B">
        <w:rPr>
          <w:sz w:val="22"/>
          <w:szCs w:val="22"/>
        </w:rPr>
        <w:t>No small businesses or other small entities will be involved in this project.</w:t>
      </w:r>
      <w:r w:rsidR="00945D75" w:rsidRPr="00EC0E3B">
        <w:rPr>
          <w:sz w:val="22"/>
          <w:szCs w:val="22"/>
        </w:rPr>
        <w:t xml:space="preserve"> </w:t>
      </w:r>
    </w:p>
    <w:p w14:paraId="7DC539B2" w14:textId="77777777" w:rsidR="008C3E81" w:rsidRPr="00EC0E3B" w:rsidRDefault="00115F1B">
      <w:pPr>
        <w:pStyle w:val="Heading3"/>
        <w:rPr>
          <w:sz w:val="22"/>
          <w:szCs w:val="22"/>
        </w:rPr>
      </w:pPr>
      <w:bookmarkStart w:id="31" w:name="_Toc492536528"/>
      <w:r w:rsidRPr="00EC0E3B">
        <w:rPr>
          <w:sz w:val="22"/>
          <w:szCs w:val="22"/>
        </w:rPr>
        <w:t>6. Consequences of Not Collecting the Data</w:t>
      </w:r>
      <w:bookmarkEnd w:id="31"/>
    </w:p>
    <w:p w14:paraId="12435641" w14:textId="77777777" w:rsidR="008C3E81" w:rsidRPr="00EC0E3B" w:rsidRDefault="00115F1B">
      <w:pPr>
        <w:pStyle w:val="BodyText"/>
        <w:rPr>
          <w:sz w:val="22"/>
          <w:szCs w:val="22"/>
        </w:rPr>
      </w:pPr>
      <w:r w:rsidRPr="00A334E1">
        <w:rPr>
          <w:sz w:val="22"/>
          <w:szCs w:val="22"/>
        </w:rPr>
        <w:t xml:space="preserve">Failure to collect the data proposed through this study would prevent ED from </w:t>
      </w:r>
      <w:r w:rsidR="00C46F39" w:rsidRPr="00A334E1">
        <w:rPr>
          <w:sz w:val="22"/>
          <w:szCs w:val="22"/>
        </w:rPr>
        <w:t xml:space="preserve">providing information to assist state administrators, institutions of higher education, educators, and policymakers, and educators in </w:t>
      </w:r>
      <w:r w:rsidR="00A334E1" w:rsidRPr="00A334E1">
        <w:rPr>
          <w:sz w:val="22"/>
          <w:szCs w:val="22"/>
        </w:rPr>
        <w:t>improving</w:t>
      </w:r>
      <w:r w:rsidR="00C46F39" w:rsidRPr="00A334E1">
        <w:rPr>
          <w:sz w:val="22"/>
          <w:szCs w:val="22"/>
        </w:rPr>
        <w:t xml:space="preserve"> the qualifications of early childhood educators and develop</w:t>
      </w:r>
      <w:r w:rsidR="00A334E1" w:rsidRPr="00A334E1">
        <w:rPr>
          <w:sz w:val="22"/>
          <w:szCs w:val="22"/>
        </w:rPr>
        <w:t>ing</w:t>
      </w:r>
      <w:r w:rsidR="00C46F39" w:rsidRPr="00A334E1">
        <w:rPr>
          <w:sz w:val="22"/>
          <w:szCs w:val="22"/>
        </w:rPr>
        <w:t xml:space="preserve"> more seamless pathways to the baccalaureate</w:t>
      </w:r>
      <w:r w:rsidR="00A334E1" w:rsidRPr="00A334E1">
        <w:rPr>
          <w:sz w:val="22"/>
          <w:szCs w:val="22"/>
        </w:rPr>
        <w:t>. This study will enable state and institutional leaders interested in developing and strengthening their</w:t>
      </w:r>
      <w:r w:rsidR="00C46F39" w:rsidRPr="00A334E1">
        <w:rPr>
          <w:sz w:val="22"/>
          <w:szCs w:val="22"/>
        </w:rPr>
        <w:t xml:space="preserve"> systems of articulation </w:t>
      </w:r>
      <w:r w:rsidR="00A334E1" w:rsidRPr="00A334E1">
        <w:rPr>
          <w:sz w:val="22"/>
          <w:szCs w:val="22"/>
        </w:rPr>
        <w:t>for</w:t>
      </w:r>
      <w:r w:rsidR="00C46F39" w:rsidRPr="00A334E1">
        <w:rPr>
          <w:sz w:val="22"/>
          <w:szCs w:val="22"/>
        </w:rPr>
        <w:t xml:space="preserve"> govern</w:t>
      </w:r>
      <w:r w:rsidR="00A334E1" w:rsidRPr="00A334E1">
        <w:rPr>
          <w:sz w:val="22"/>
          <w:szCs w:val="22"/>
        </w:rPr>
        <w:t>ing</w:t>
      </w:r>
      <w:r w:rsidR="00C46F39" w:rsidRPr="00A334E1">
        <w:rPr>
          <w:sz w:val="22"/>
          <w:szCs w:val="22"/>
        </w:rPr>
        <w:t xml:space="preserve"> transfer of course credits between public two- and four-year colleges and universities</w:t>
      </w:r>
      <w:r w:rsidR="00A334E1" w:rsidRPr="00A334E1">
        <w:rPr>
          <w:sz w:val="22"/>
          <w:szCs w:val="22"/>
        </w:rPr>
        <w:t xml:space="preserve">, by providing detailed information on how other states have approached this as well as their </w:t>
      </w:r>
      <w:r w:rsidR="00C46F39" w:rsidRPr="00A334E1">
        <w:rPr>
          <w:sz w:val="22"/>
          <w:szCs w:val="22"/>
        </w:rPr>
        <w:t>successes, challenges, and lessons learned in implementation of those policies.</w:t>
      </w:r>
    </w:p>
    <w:p w14:paraId="3C50C75E" w14:textId="77777777" w:rsidR="008C3E81" w:rsidRPr="005A4305" w:rsidRDefault="00115F1B">
      <w:pPr>
        <w:pStyle w:val="Heading3"/>
        <w:rPr>
          <w:sz w:val="22"/>
          <w:szCs w:val="22"/>
        </w:rPr>
      </w:pPr>
      <w:bookmarkStart w:id="32" w:name="_Toc492536529"/>
      <w:r w:rsidRPr="005A4305">
        <w:rPr>
          <w:sz w:val="22"/>
          <w:szCs w:val="22"/>
        </w:rPr>
        <w:t>7. Special Circumstances Causing Particular Anomalies in Data Collection</w:t>
      </w:r>
      <w:bookmarkEnd w:id="32"/>
    </w:p>
    <w:p w14:paraId="01FD2D21" w14:textId="77777777" w:rsidR="008C3E81" w:rsidRPr="005A4305" w:rsidRDefault="00115F1B">
      <w:pPr>
        <w:pStyle w:val="BodyText"/>
        <w:rPr>
          <w:sz w:val="22"/>
          <w:szCs w:val="22"/>
        </w:rPr>
      </w:pPr>
      <w:r w:rsidRPr="005A4305">
        <w:rPr>
          <w:sz w:val="22"/>
          <w:szCs w:val="22"/>
        </w:rPr>
        <w:t>None of the special circumstances listed apply to this data collection.</w:t>
      </w:r>
    </w:p>
    <w:p w14:paraId="68B90581" w14:textId="77777777" w:rsidR="008C3E81" w:rsidRPr="005A4305" w:rsidRDefault="00115F1B" w:rsidP="00F0562B">
      <w:pPr>
        <w:pStyle w:val="Heading3"/>
        <w:rPr>
          <w:sz w:val="22"/>
          <w:szCs w:val="22"/>
        </w:rPr>
      </w:pPr>
      <w:bookmarkStart w:id="33" w:name="_Toc492536530"/>
      <w:r w:rsidRPr="005A4305">
        <w:rPr>
          <w:sz w:val="22"/>
          <w:szCs w:val="22"/>
        </w:rPr>
        <w:t>8. Federal Register Announcement and Consultation</w:t>
      </w:r>
      <w:bookmarkEnd w:id="33"/>
    </w:p>
    <w:p w14:paraId="1D1520C0" w14:textId="77777777" w:rsidR="008C3E81" w:rsidRPr="005A4305" w:rsidRDefault="00115F1B" w:rsidP="00F0562B">
      <w:pPr>
        <w:pStyle w:val="ListParagraph"/>
        <w:numPr>
          <w:ilvl w:val="0"/>
          <w:numId w:val="18"/>
        </w:numPr>
      </w:pPr>
      <w:r w:rsidRPr="005A4305">
        <w:t>Federal Register Announcement</w:t>
      </w:r>
    </w:p>
    <w:p w14:paraId="4E962C08" w14:textId="77777777" w:rsidR="00F0562B" w:rsidRPr="00AF4D02" w:rsidRDefault="00F0562B" w:rsidP="00F0562B">
      <w:pPr>
        <w:spacing w:line="240" w:lineRule="auto"/>
      </w:pPr>
      <w:r>
        <w:t>T</w:t>
      </w:r>
      <w:r w:rsidRPr="00AF4D02">
        <w:t xml:space="preserve">he Department will solicit public comments through a notice concerning this study to be published in the Federal Register. Any comments that are received will be </w:t>
      </w:r>
      <w:r>
        <w:t xml:space="preserve">shared with </w:t>
      </w:r>
      <w:r w:rsidRPr="00AF4D02">
        <w:t>OMB.</w:t>
      </w:r>
    </w:p>
    <w:p w14:paraId="72241747" w14:textId="77777777" w:rsidR="008C3E81" w:rsidRPr="005A4305" w:rsidRDefault="00115F1B" w:rsidP="00F0562B">
      <w:pPr>
        <w:pStyle w:val="ListParagraph"/>
        <w:numPr>
          <w:ilvl w:val="0"/>
          <w:numId w:val="18"/>
        </w:numPr>
      </w:pPr>
      <w:r w:rsidRPr="005A4305">
        <w:t>Consultations Outside the Agency</w:t>
      </w:r>
    </w:p>
    <w:p w14:paraId="6D9DFFF8" w14:textId="77777777" w:rsidR="00E42190" w:rsidRDefault="00E42190" w:rsidP="00E42190">
      <w:pPr>
        <w:pStyle w:val="BodyText"/>
        <w:spacing w:after="120"/>
        <w:rPr>
          <w:sz w:val="22"/>
          <w:szCs w:val="22"/>
        </w:rPr>
      </w:pPr>
      <w:r w:rsidRPr="007204D2">
        <w:rPr>
          <w:sz w:val="22"/>
          <w:szCs w:val="22"/>
        </w:rPr>
        <w:t>To provide a framework for examining articulation policies and practices in the six focal states, the study convened a Technical Working Group (TWG) comprised of 12 technical expert</w:t>
      </w:r>
      <w:r w:rsidR="0033218C">
        <w:rPr>
          <w:sz w:val="22"/>
          <w:szCs w:val="22"/>
        </w:rPr>
        <w:t>s. While severing on the TWG, the experts w</w:t>
      </w:r>
      <w:r w:rsidRPr="005A4305">
        <w:rPr>
          <w:sz w:val="22"/>
          <w:szCs w:val="22"/>
        </w:rPr>
        <w:t>ere responsible for defining elements of successful statewide articulation for higher education programs in early childhood education</w:t>
      </w:r>
      <w:r w:rsidRPr="007204D2">
        <w:rPr>
          <w:sz w:val="22"/>
          <w:szCs w:val="22"/>
        </w:rPr>
        <w:t>. Experts were chosen based on their experience with articulation policies and represented a variety of stakeholders, including two-year college faculty, four-year college faculty, policy representatives, higher education administrators, and early childhood representatives.</w:t>
      </w:r>
      <w:r w:rsidRPr="00E42190">
        <w:rPr>
          <w:sz w:val="22"/>
          <w:szCs w:val="22"/>
        </w:rPr>
        <w:t xml:space="preserve"> </w:t>
      </w:r>
      <w:r>
        <w:rPr>
          <w:sz w:val="22"/>
          <w:szCs w:val="22"/>
        </w:rPr>
        <w:t xml:space="preserve">The 12 technical experts and their affiliations are shown in </w:t>
      </w:r>
      <w:r w:rsidR="00541C58">
        <w:rPr>
          <w:sz w:val="22"/>
          <w:szCs w:val="22"/>
        </w:rPr>
        <w:t>Exhibit 2</w:t>
      </w:r>
      <w:r>
        <w:rPr>
          <w:sz w:val="22"/>
          <w:szCs w:val="22"/>
        </w:rPr>
        <w:t>.</w:t>
      </w:r>
    </w:p>
    <w:p w14:paraId="6171ACA0" w14:textId="77777777" w:rsidR="007E46A1" w:rsidRPr="005A4305" w:rsidRDefault="007E46A1" w:rsidP="002F73D4">
      <w:pPr>
        <w:pStyle w:val="ExhibitTitle"/>
        <w:keepLines/>
        <w:pageBreakBefore/>
        <w:spacing w:before="240"/>
        <w:jc w:val="left"/>
      </w:pPr>
      <w:r w:rsidRPr="00EC0E3B">
        <w:rPr>
          <w:rFonts w:asciiTheme="minorHAnsi" w:eastAsia="Calibri" w:hAnsiTheme="minorHAnsi"/>
          <w:b/>
        </w:rPr>
        <w:t xml:space="preserve">Exhibit </w:t>
      </w:r>
      <w:r w:rsidR="00BE555D">
        <w:rPr>
          <w:rFonts w:asciiTheme="minorHAnsi" w:eastAsia="Calibri" w:hAnsiTheme="minorHAnsi"/>
          <w:b/>
        </w:rPr>
        <w:t>2</w:t>
      </w:r>
      <w:r w:rsidRPr="00EC0E3B">
        <w:rPr>
          <w:rFonts w:asciiTheme="minorHAnsi" w:eastAsia="Calibri" w:hAnsiTheme="minorHAnsi"/>
          <w:b/>
        </w:rPr>
        <w:t xml:space="preserve">. </w:t>
      </w:r>
      <w:r>
        <w:rPr>
          <w:rFonts w:asciiTheme="minorHAnsi" w:eastAsia="Calibri" w:hAnsiTheme="minorHAnsi"/>
          <w:b/>
        </w:rPr>
        <w:t>Members of Technical Working Group</w:t>
      </w:r>
    </w:p>
    <w:tbl>
      <w:tblPr>
        <w:tblStyle w:val="EDGrayText"/>
        <w:tblW w:w="9360" w:type="dxa"/>
        <w:jc w:val="left"/>
        <w:tblInd w:w="144" w:type="dxa"/>
        <w:tblLook w:val="0620" w:firstRow="1" w:lastRow="0" w:firstColumn="0" w:lastColumn="0" w:noHBand="1" w:noVBand="1"/>
      </w:tblPr>
      <w:tblGrid>
        <w:gridCol w:w="1465"/>
        <w:gridCol w:w="3600"/>
        <w:gridCol w:w="4295"/>
      </w:tblGrid>
      <w:tr w:rsidR="005A4305" w:rsidRPr="005A4305" w14:paraId="20B40111" w14:textId="77777777" w:rsidTr="002F73D4">
        <w:trPr>
          <w:cnfStyle w:val="100000000000" w:firstRow="1" w:lastRow="0" w:firstColumn="0" w:lastColumn="0" w:oddVBand="0" w:evenVBand="0" w:oddHBand="0" w:evenHBand="0" w:firstRowFirstColumn="0" w:firstRowLastColumn="0" w:lastRowFirstColumn="0" w:lastRowLastColumn="0"/>
          <w:jc w:val="left"/>
        </w:trPr>
        <w:tc>
          <w:tcPr>
            <w:tcW w:w="1465" w:type="dxa"/>
            <w:hideMark/>
          </w:tcPr>
          <w:p w14:paraId="60F866BE" w14:textId="77777777" w:rsidR="005A4305" w:rsidRPr="005A4305" w:rsidRDefault="005A4305" w:rsidP="002F73D4">
            <w:pPr>
              <w:pStyle w:val="TableColumnHeadLeft"/>
              <w:keepLines/>
              <w:rPr>
                <w:rFonts w:asciiTheme="minorHAnsi" w:eastAsiaTheme="minorEastAsia" w:hAnsiTheme="minorHAnsi"/>
                <w:b/>
              </w:rPr>
            </w:pPr>
            <w:r w:rsidRPr="005A4305">
              <w:rPr>
                <w:rFonts w:asciiTheme="minorHAnsi" w:eastAsiaTheme="minorEastAsia" w:hAnsiTheme="minorHAnsi"/>
                <w:b/>
              </w:rPr>
              <w:t>Name</w:t>
            </w:r>
          </w:p>
        </w:tc>
        <w:tc>
          <w:tcPr>
            <w:tcW w:w="3600" w:type="dxa"/>
          </w:tcPr>
          <w:p w14:paraId="348A6117" w14:textId="77777777" w:rsidR="005A4305" w:rsidRPr="005A4305" w:rsidRDefault="005A4305" w:rsidP="002F73D4">
            <w:pPr>
              <w:pStyle w:val="TableColumnHeadLeft"/>
              <w:keepNext/>
              <w:keepLines/>
              <w:rPr>
                <w:rFonts w:asciiTheme="minorHAnsi" w:eastAsiaTheme="minorEastAsia" w:hAnsiTheme="minorHAnsi"/>
                <w:b/>
              </w:rPr>
            </w:pPr>
            <w:r w:rsidRPr="005A4305">
              <w:rPr>
                <w:rFonts w:asciiTheme="minorHAnsi" w:eastAsiaTheme="minorEastAsia" w:hAnsiTheme="minorHAnsi"/>
                <w:b/>
              </w:rPr>
              <w:t>Title</w:t>
            </w:r>
          </w:p>
        </w:tc>
        <w:tc>
          <w:tcPr>
            <w:tcW w:w="4295" w:type="dxa"/>
            <w:hideMark/>
          </w:tcPr>
          <w:p w14:paraId="3BBB6F92" w14:textId="77777777" w:rsidR="005A4305" w:rsidRPr="005A4305" w:rsidRDefault="005A4305" w:rsidP="002F73D4">
            <w:pPr>
              <w:pStyle w:val="TableColumnHeadLeft"/>
              <w:keepLines/>
              <w:rPr>
                <w:rFonts w:asciiTheme="minorHAnsi" w:eastAsiaTheme="minorEastAsia" w:hAnsiTheme="minorHAnsi"/>
                <w:b/>
              </w:rPr>
            </w:pPr>
            <w:r w:rsidRPr="005A4305">
              <w:rPr>
                <w:rFonts w:asciiTheme="minorHAnsi" w:eastAsiaTheme="minorEastAsia" w:hAnsiTheme="minorHAnsi"/>
                <w:b/>
              </w:rPr>
              <w:t>Affiliation</w:t>
            </w:r>
          </w:p>
        </w:tc>
      </w:tr>
      <w:tr w:rsidR="005A4305" w:rsidRPr="005A4305" w14:paraId="1C194E4B" w14:textId="77777777" w:rsidTr="002F73D4">
        <w:trPr>
          <w:jc w:val="left"/>
        </w:trPr>
        <w:tc>
          <w:tcPr>
            <w:tcW w:w="1465" w:type="dxa"/>
          </w:tcPr>
          <w:p w14:paraId="3499B887" w14:textId="77777777" w:rsidR="005A4305" w:rsidRPr="005A4305" w:rsidRDefault="005A4305" w:rsidP="000E5998">
            <w:pPr>
              <w:pStyle w:val="TableText"/>
              <w:rPr>
                <w:szCs w:val="20"/>
              </w:rPr>
            </w:pPr>
            <w:r w:rsidRPr="005A4305">
              <w:rPr>
                <w:szCs w:val="20"/>
              </w:rPr>
              <w:t xml:space="preserve">David Atencio </w:t>
            </w:r>
          </w:p>
        </w:tc>
        <w:tc>
          <w:tcPr>
            <w:tcW w:w="3600" w:type="dxa"/>
          </w:tcPr>
          <w:p w14:paraId="0848D43C" w14:textId="77777777" w:rsidR="005A4305" w:rsidRPr="005A4305" w:rsidRDefault="005A4305" w:rsidP="000E5998">
            <w:pPr>
              <w:pStyle w:val="TableText"/>
              <w:rPr>
                <w:szCs w:val="20"/>
              </w:rPr>
            </w:pPr>
            <w:r w:rsidRPr="005A4305">
              <w:rPr>
                <w:szCs w:val="20"/>
              </w:rPr>
              <w:t>Associate Professor, Individual, Family, and Community Education</w:t>
            </w:r>
          </w:p>
        </w:tc>
        <w:tc>
          <w:tcPr>
            <w:tcW w:w="4295" w:type="dxa"/>
          </w:tcPr>
          <w:p w14:paraId="6D02B652" w14:textId="77777777" w:rsidR="005A4305" w:rsidRPr="005A4305" w:rsidRDefault="005A4305" w:rsidP="000E5998">
            <w:pPr>
              <w:pStyle w:val="TableText"/>
              <w:rPr>
                <w:szCs w:val="20"/>
              </w:rPr>
            </w:pPr>
            <w:r w:rsidRPr="005A4305">
              <w:rPr>
                <w:szCs w:val="20"/>
              </w:rPr>
              <w:t>University of New Mexico; New Mexico Early Childhood Higher Education Task Force</w:t>
            </w:r>
          </w:p>
        </w:tc>
      </w:tr>
      <w:tr w:rsidR="005A4305" w:rsidRPr="005A4305" w14:paraId="3728D793" w14:textId="77777777" w:rsidTr="002F73D4">
        <w:trPr>
          <w:jc w:val="left"/>
        </w:trPr>
        <w:tc>
          <w:tcPr>
            <w:tcW w:w="1465" w:type="dxa"/>
          </w:tcPr>
          <w:p w14:paraId="11DD594F" w14:textId="77777777" w:rsidR="005A4305" w:rsidRPr="005A4305" w:rsidRDefault="005A4305" w:rsidP="000E5998">
            <w:pPr>
              <w:pStyle w:val="TableText"/>
              <w:rPr>
                <w:szCs w:val="20"/>
              </w:rPr>
            </w:pPr>
            <w:r w:rsidRPr="005A4305">
              <w:rPr>
                <w:szCs w:val="20"/>
              </w:rPr>
              <w:t xml:space="preserve">Dawn Braa </w:t>
            </w:r>
          </w:p>
        </w:tc>
        <w:tc>
          <w:tcPr>
            <w:tcW w:w="3600" w:type="dxa"/>
          </w:tcPr>
          <w:p w14:paraId="73B7D8CE" w14:textId="77777777" w:rsidR="005A4305" w:rsidRPr="005A4305" w:rsidRDefault="005A4305" w:rsidP="000E5998">
            <w:pPr>
              <w:pStyle w:val="TableText"/>
              <w:rPr>
                <w:szCs w:val="20"/>
              </w:rPr>
            </w:pPr>
            <w:r w:rsidRPr="005A4305">
              <w:rPr>
                <w:szCs w:val="20"/>
              </w:rPr>
              <w:t>Instructor</w:t>
            </w:r>
          </w:p>
        </w:tc>
        <w:tc>
          <w:tcPr>
            <w:tcW w:w="4295" w:type="dxa"/>
          </w:tcPr>
          <w:p w14:paraId="6F053E02" w14:textId="77777777" w:rsidR="005A4305" w:rsidRPr="005A4305" w:rsidRDefault="005A4305" w:rsidP="000E5998">
            <w:pPr>
              <w:pStyle w:val="TableText"/>
              <w:rPr>
                <w:szCs w:val="20"/>
              </w:rPr>
            </w:pPr>
            <w:r w:rsidRPr="005A4305">
              <w:rPr>
                <w:szCs w:val="20"/>
              </w:rPr>
              <w:t>Dakota County Technical College</w:t>
            </w:r>
          </w:p>
        </w:tc>
      </w:tr>
      <w:tr w:rsidR="005A4305" w:rsidRPr="005A4305" w14:paraId="5886BE16" w14:textId="77777777" w:rsidTr="002F73D4">
        <w:trPr>
          <w:jc w:val="left"/>
        </w:trPr>
        <w:tc>
          <w:tcPr>
            <w:tcW w:w="1465" w:type="dxa"/>
          </w:tcPr>
          <w:p w14:paraId="34E2FE31" w14:textId="77777777" w:rsidR="005A4305" w:rsidRPr="005A4305" w:rsidRDefault="005A4305" w:rsidP="000E5998">
            <w:pPr>
              <w:pStyle w:val="TableText"/>
              <w:rPr>
                <w:szCs w:val="20"/>
              </w:rPr>
            </w:pPr>
            <w:r w:rsidRPr="005A4305">
              <w:rPr>
                <w:szCs w:val="20"/>
              </w:rPr>
              <w:t>Kathleen Bryan</w:t>
            </w:r>
          </w:p>
        </w:tc>
        <w:tc>
          <w:tcPr>
            <w:tcW w:w="3600" w:type="dxa"/>
          </w:tcPr>
          <w:p w14:paraId="033E64D6" w14:textId="77777777" w:rsidR="005A4305" w:rsidRPr="005A4305" w:rsidRDefault="005A4305" w:rsidP="000E5998">
            <w:pPr>
              <w:pStyle w:val="TableText"/>
              <w:rPr>
                <w:szCs w:val="20"/>
              </w:rPr>
            </w:pPr>
            <w:r w:rsidRPr="005A4305">
              <w:rPr>
                <w:szCs w:val="20"/>
              </w:rPr>
              <w:t>Assistant Professor; Education Program Coordinator ECE Online</w:t>
            </w:r>
          </w:p>
        </w:tc>
        <w:tc>
          <w:tcPr>
            <w:tcW w:w="4295" w:type="dxa"/>
          </w:tcPr>
          <w:p w14:paraId="0BAF20B7" w14:textId="77777777" w:rsidR="005A4305" w:rsidRPr="005A4305" w:rsidRDefault="005A4305" w:rsidP="000E5998">
            <w:pPr>
              <w:pStyle w:val="TableText"/>
              <w:rPr>
                <w:szCs w:val="20"/>
              </w:rPr>
            </w:pPr>
            <w:r w:rsidRPr="005A4305">
              <w:rPr>
                <w:szCs w:val="20"/>
              </w:rPr>
              <w:t>University of Cincinnati</w:t>
            </w:r>
          </w:p>
        </w:tc>
      </w:tr>
      <w:tr w:rsidR="005A4305" w:rsidRPr="005A4305" w14:paraId="63BDCD01" w14:textId="77777777" w:rsidTr="002F73D4">
        <w:trPr>
          <w:jc w:val="left"/>
        </w:trPr>
        <w:tc>
          <w:tcPr>
            <w:tcW w:w="1465" w:type="dxa"/>
          </w:tcPr>
          <w:p w14:paraId="443725E7" w14:textId="77777777" w:rsidR="005A4305" w:rsidRPr="005A4305" w:rsidRDefault="005A4305" w:rsidP="000E5998">
            <w:pPr>
              <w:pStyle w:val="TableText"/>
              <w:rPr>
                <w:szCs w:val="20"/>
              </w:rPr>
            </w:pPr>
            <w:r w:rsidRPr="005A4305">
              <w:rPr>
                <w:szCs w:val="20"/>
              </w:rPr>
              <w:t>Rebecca Carothers</w:t>
            </w:r>
          </w:p>
        </w:tc>
        <w:tc>
          <w:tcPr>
            <w:tcW w:w="3600" w:type="dxa"/>
          </w:tcPr>
          <w:p w14:paraId="12B5EA42" w14:textId="77777777" w:rsidR="005A4305" w:rsidRPr="005A4305" w:rsidRDefault="005A4305" w:rsidP="000E5998">
            <w:pPr>
              <w:pStyle w:val="TableText"/>
              <w:rPr>
                <w:szCs w:val="20"/>
              </w:rPr>
            </w:pPr>
            <w:r w:rsidRPr="005A4305">
              <w:rPr>
                <w:szCs w:val="20"/>
              </w:rPr>
              <w:t>Endowed Chair; Early Childhood Education Director</w:t>
            </w:r>
          </w:p>
        </w:tc>
        <w:tc>
          <w:tcPr>
            <w:tcW w:w="4295" w:type="dxa"/>
          </w:tcPr>
          <w:p w14:paraId="67E8A98F" w14:textId="77777777" w:rsidR="005A4305" w:rsidRPr="005A4305" w:rsidRDefault="005A4305" w:rsidP="000E5998">
            <w:pPr>
              <w:pStyle w:val="TableText"/>
              <w:rPr>
                <w:szCs w:val="20"/>
              </w:rPr>
            </w:pPr>
            <w:r w:rsidRPr="005A4305">
              <w:rPr>
                <w:szCs w:val="20"/>
              </w:rPr>
              <w:t>Ivy Tech Community College Northeast</w:t>
            </w:r>
          </w:p>
        </w:tc>
      </w:tr>
      <w:tr w:rsidR="005A4305" w:rsidRPr="005A4305" w14:paraId="6F1D6647" w14:textId="77777777" w:rsidTr="002F73D4">
        <w:trPr>
          <w:jc w:val="left"/>
        </w:trPr>
        <w:tc>
          <w:tcPr>
            <w:tcW w:w="1465" w:type="dxa"/>
          </w:tcPr>
          <w:p w14:paraId="036E9B73" w14:textId="77777777" w:rsidR="005A4305" w:rsidRPr="005A4305" w:rsidRDefault="005A4305" w:rsidP="000E5998">
            <w:pPr>
              <w:pStyle w:val="TableText"/>
              <w:rPr>
                <w:szCs w:val="20"/>
              </w:rPr>
            </w:pPr>
            <w:r w:rsidRPr="005A4305">
              <w:rPr>
                <w:szCs w:val="20"/>
              </w:rPr>
              <w:t xml:space="preserve">Steve Handel </w:t>
            </w:r>
          </w:p>
        </w:tc>
        <w:tc>
          <w:tcPr>
            <w:tcW w:w="3600" w:type="dxa"/>
          </w:tcPr>
          <w:p w14:paraId="454E3676" w14:textId="77777777" w:rsidR="005A4305" w:rsidRPr="005A4305" w:rsidRDefault="005A4305" w:rsidP="000E5998">
            <w:pPr>
              <w:pStyle w:val="TableText"/>
              <w:rPr>
                <w:szCs w:val="20"/>
              </w:rPr>
            </w:pPr>
            <w:r w:rsidRPr="005A4305">
              <w:rPr>
                <w:szCs w:val="20"/>
              </w:rPr>
              <w:t>Associate Vice President for Undergraduate Admissions</w:t>
            </w:r>
          </w:p>
        </w:tc>
        <w:tc>
          <w:tcPr>
            <w:tcW w:w="4295" w:type="dxa"/>
          </w:tcPr>
          <w:p w14:paraId="648C22BC" w14:textId="77777777" w:rsidR="005A4305" w:rsidRPr="005A4305" w:rsidRDefault="005A4305" w:rsidP="000E5998">
            <w:pPr>
              <w:pStyle w:val="TableText"/>
              <w:rPr>
                <w:szCs w:val="20"/>
              </w:rPr>
            </w:pPr>
            <w:r w:rsidRPr="005A4305">
              <w:rPr>
                <w:szCs w:val="20"/>
              </w:rPr>
              <w:t>University of California, Office of the President</w:t>
            </w:r>
          </w:p>
        </w:tc>
      </w:tr>
      <w:tr w:rsidR="005A4305" w:rsidRPr="005A4305" w14:paraId="2662DCAE" w14:textId="77777777" w:rsidTr="002F73D4">
        <w:trPr>
          <w:jc w:val="left"/>
        </w:trPr>
        <w:tc>
          <w:tcPr>
            <w:tcW w:w="1465" w:type="dxa"/>
          </w:tcPr>
          <w:p w14:paraId="55E9A5C8" w14:textId="77777777" w:rsidR="005A4305" w:rsidRPr="005A4305" w:rsidRDefault="005A4305" w:rsidP="000E5998">
            <w:pPr>
              <w:pStyle w:val="TableText"/>
              <w:rPr>
                <w:szCs w:val="20"/>
              </w:rPr>
            </w:pPr>
            <w:r w:rsidRPr="005A4305">
              <w:rPr>
                <w:szCs w:val="20"/>
              </w:rPr>
              <w:t>Mary Harrill</w:t>
            </w:r>
          </w:p>
        </w:tc>
        <w:tc>
          <w:tcPr>
            <w:tcW w:w="3600" w:type="dxa"/>
          </w:tcPr>
          <w:p w14:paraId="7F89CA63" w14:textId="77777777" w:rsidR="005A4305" w:rsidRPr="005A4305" w:rsidRDefault="005A4305" w:rsidP="000E5998">
            <w:pPr>
              <w:pStyle w:val="TableText"/>
              <w:rPr>
                <w:szCs w:val="20"/>
              </w:rPr>
            </w:pPr>
            <w:r w:rsidRPr="005A4305">
              <w:rPr>
                <w:szCs w:val="20"/>
              </w:rPr>
              <w:t>Senior Director of Higher Education Accreditation and Program Support</w:t>
            </w:r>
          </w:p>
        </w:tc>
        <w:tc>
          <w:tcPr>
            <w:tcW w:w="4295" w:type="dxa"/>
          </w:tcPr>
          <w:p w14:paraId="642624E9" w14:textId="77777777" w:rsidR="005A4305" w:rsidRPr="005A4305" w:rsidRDefault="005A4305" w:rsidP="000E5998">
            <w:pPr>
              <w:pStyle w:val="TableText"/>
              <w:rPr>
                <w:szCs w:val="20"/>
              </w:rPr>
            </w:pPr>
            <w:r w:rsidRPr="005A4305">
              <w:rPr>
                <w:szCs w:val="20"/>
              </w:rPr>
              <w:t>National Association for the Education of Young Children</w:t>
            </w:r>
          </w:p>
        </w:tc>
      </w:tr>
      <w:tr w:rsidR="005A4305" w:rsidRPr="005A4305" w14:paraId="1CD00C9A" w14:textId="77777777" w:rsidTr="002F73D4">
        <w:trPr>
          <w:jc w:val="left"/>
        </w:trPr>
        <w:tc>
          <w:tcPr>
            <w:tcW w:w="1465" w:type="dxa"/>
          </w:tcPr>
          <w:p w14:paraId="39B8D77A" w14:textId="77777777" w:rsidR="005A4305" w:rsidRPr="005A4305" w:rsidRDefault="005A4305" w:rsidP="000E5998">
            <w:pPr>
              <w:pStyle w:val="TableText"/>
              <w:rPr>
                <w:szCs w:val="20"/>
              </w:rPr>
            </w:pPr>
            <w:r w:rsidRPr="005A4305">
              <w:rPr>
                <w:szCs w:val="20"/>
              </w:rPr>
              <w:t>Jan Ignash</w:t>
            </w:r>
          </w:p>
        </w:tc>
        <w:tc>
          <w:tcPr>
            <w:tcW w:w="3600" w:type="dxa"/>
          </w:tcPr>
          <w:p w14:paraId="032F3C1D" w14:textId="77777777" w:rsidR="005A4305" w:rsidRPr="005A4305" w:rsidRDefault="005A4305" w:rsidP="000E5998">
            <w:pPr>
              <w:pStyle w:val="TableText"/>
              <w:rPr>
                <w:szCs w:val="20"/>
              </w:rPr>
            </w:pPr>
            <w:r w:rsidRPr="005A4305">
              <w:rPr>
                <w:szCs w:val="20"/>
              </w:rPr>
              <w:t>Vice Chancellor of Academic and Student Affairs</w:t>
            </w:r>
          </w:p>
        </w:tc>
        <w:tc>
          <w:tcPr>
            <w:tcW w:w="4295" w:type="dxa"/>
          </w:tcPr>
          <w:p w14:paraId="4621E160" w14:textId="77777777" w:rsidR="005A4305" w:rsidRPr="005A4305" w:rsidRDefault="005A4305" w:rsidP="000E5998">
            <w:pPr>
              <w:pStyle w:val="TableText"/>
              <w:rPr>
                <w:szCs w:val="20"/>
              </w:rPr>
            </w:pPr>
            <w:r w:rsidRPr="005A4305">
              <w:rPr>
                <w:szCs w:val="20"/>
              </w:rPr>
              <w:t>The State University System of Florida</w:t>
            </w:r>
          </w:p>
        </w:tc>
      </w:tr>
      <w:tr w:rsidR="005A4305" w:rsidRPr="005A4305" w14:paraId="08CFFD6A" w14:textId="77777777" w:rsidTr="002F73D4">
        <w:trPr>
          <w:jc w:val="left"/>
        </w:trPr>
        <w:tc>
          <w:tcPr>
            <w:tcW w:w="1465" w:type="dxa"/>
          </w:tcPr>
          <w:p w14:paraId="74802990" w14:textId="77777777" w:rsidR="005A4305" w:rsidRPr="005A4305" w:rsidRDefault="005A4305" w:rsidP="000E5998">
            <w:pPr>
              <w:pStyle w:val="TableText"/>
              <w:rPr>
                <w:szCs w:val="20"/>
              </w:rPr>
            </w:pPr>
            <w:r w:rsidRPr="005A4305">
              <w:rPr>
                <w:szCs w:val="20"/>
              </w:rPr>
              <w:t>Gail Joseph</w:t>
            </w:r>
          </w:p>
        </w:tc>
        <w:tc>
          <w:tcPr>
            <w:tcW w:w="3600" w:type="dxa"/>
          </w:tcPr>
          <w:p w14:paraId="73C76D4C" w14:textId="77777777" w:rsidR="005A4305" w:rsidRPr="005A4305" w:rsidRDefault="005A4305" w:rsidP="000E5998">
            <w:pPr>
              <w:pStyle w:val="TableText"/>
              <w:rPr>
                <w:szCs w:val="20"/>
              </w:rPr>
            </w:pPr>
            <w:r w:rsidRPr="005A4305">
              <w:rPr>
                <w:szCs w:val="20"/>
              </w:rPr>
              <w:t>Associate Professor, Educational Psychology; Director of the Early Childhood and Family Studies Program</w:t>
            </w:r>
          </w:p>
        </w:tc>
        <w:tc>
          <w:tcPr>
            <w:tcW w:w="4295" w:type="dxa"/>
          </w:tcPr>
          <w:p w14:paraId="44B903B5" w14:textId="77777777" w:rsidR="005A4305" w:rsidRPr="005A4305" w:rsidRDefault="005A4305" w:rsidP="000E5998">
            <w:pPr>
              <w:pStyle w:val="TableText"/>
              <w:rPr>
                <w:szCs w:val="20"/>
              </w:rPr>
            </w:pPr>
            <w:r w:rsidRPr="005A4305">
              <w:rPr>
                <w:szCs w:val="20"/>
              </w:rPr>
              <w:t>University of Washington</w:t>
            </w:r>
          </w:p>
        </w:tc>
      </w:tr>
      <w:tr w:rsidR="005A4305" w:rsidRPr="005A4305" w14:paraId="0707A455" w14:textId="77777777" w:rsidTr="002F73D4">
        <w:trPr>
          <w:jc w:val="left"/>
        </w:trPr>
        <w:tc>
          <w:tcPr>
            <w:tcW w:w="1465" w:type="dxa"/>
          </w:tcPr>
          <w:p w14:paraId="2E398A00" w14:textId="77777777" w:rsidR="005A4305" w:rsidRPr="005A4305" w:rsidRDefault="005A4305" w:rsidP="000E5998">
            <w:pPr>
              <w:pStyle w:val="TableText"/>
              <w:rPr>
                <w:szCs w:val="20"/>
              </w:rPr>
            </w:pPr>
            <w:r w:rsidRPr="005A4305">
              <w:rPr>
                <w:szCs w:val="20"/>
              </w:rPr>
              <w:t>Antoinette Mitchell</w:t>
            </w:r>
          </w:p>
        </w:tc>
        <w:tc>
          <w:tcPr>
            <w:tcW w:w="3600" w:type="dxa"/>
          </w:tcPr>
          <w:p w14:paraId="706FE835" w14:textId="77777777" w:rsidR="005A4305" w:rsidRPr="005A4305" w:rsidRDefault="005A4305" w:rsidP="000E5998">
            <w:pPr>
              <w:pStyle w:val="TableText"/>
              <w:rPr>
                <w:szCs w:val="20"/>
              </w:rPr>
            </w:pPr>
            <w:r w:rsidRPr="005A4305">
              <w:rPr>
                <w:szCs w:val="20"/>
              </w:rPr>
              <w:t>Assistant Superintendent, Postsecondary and Career Education</w:t>
            </w:r>
          </w:p>
        </w:tc>
        <w:tc>
          <w:tcPr>
            <w:tcW w:w="4295" w:type="dxa"/>
          </w:tcPr>
          <w:p w14:paraId="102C1AAA" w14:textId="77777777" w:rsidR="005A4305" w:rsidRPr="005A4305" w:rsidRDefault="005A4305" w:rsidP="000E5998">
            <w:pPr>
              <w:pStyle w:val="TableText"/>
              <w:rPr>
                <w:szCs w:val="20"/>
              </w:rPr>
            </w:pPr>
            <w:r w:rsidRPr="005A4305">
              <w:rPr>
                <w:szCs w:val="20"/>
              </w:rPr>
              <w:t>Office of the State Superintendent of Education, District of Columbia</w:t>
            </w:r>
          </w:p>
        </w:tc>
      </w:tr>
      <w:tr w:rsidR="005A4305" w:rsidRPr="005A4305" w14:paraId="56D7A7C6" w14:textId="77777777" w:rsidTr="002F73D4">
        <w:trPr>
          <w:jc w:val="left"/>
        </w:trPr>
        <w:tc>
          <w:tcPr>
            <w:tcW w:w="1465" w:type="dxa"/>
          </w:tcPr>
          <w:p w14:paraId="4B3809AD" w14:textId="77777777" w:rsidR="005A4305" w:rsidRPr="005A4305" w:rsidRDefault="005A4305" w:rsidP="000E5998">
            <w:pPr>
              <w:pStyle w:val="TableText"/>
              <w:rPr>
                <w:szCs w:val="20"/>
              </w:rPr>
            </w:pPr>
            <w:r w:rsidRPr="005A4305">
              <w:rPr>
                <w:szCs w:val="20"/>
              </w:rPr>
              <w:t>Elena Quiroz-Livanis</w:t>
            </w:r>
          </w:p>
        </w:tc>
        <w:tc>
          <w:tcPr>
            <w:tcW w:w="3600" w:type="dxa"/>
          </w:tcPr>
          <w:p w14:paraId="3FD7FF8C" w14:textId="77777777" w:rsidR="005A4305" w:rsidRPr="005A4305" w:rsidRDefault="005A4305" w:rsidP="000E5998">
            <w:pPr>
              <w:pStyle w:val="TableText"/>
              <w:rPr>
                <w:szCs w:val="20"/>
              </w:rPr>
            </w:pPr>
            <w:r w:rsidRPr="005A4305">
              <w:rPr>
                <w:szCs w:val="20"/>
              </w:rPr>
              <w:t>Director of Academic Policy and Student Success</w:t>
            </w:r>
          </w:p>
        </w:tc>
        <w:tc>
          <w:tcPr>
            <w:tcW w:w="4295" w:type="dxa"/>
          </w:tcPr>
          <w:p w14:paraId="5C73858F" w14:textId="77777777" w:rsidR="005A4305" w:rsidRPr="005A4305" w:rsidRDefault="005A4305" w:rsidP="000E5998">
            <w:pPr>
              <w:pStyle w:val="TableText"/>
              <w:rPr>
                <w:szCs w:val="20"/>
              </w:rPr>
            </w:pPr>
            <w:r w:rsidRPr="005A4305">
              <w:rPr>
                <w:szCs w:val="20"/>
              </w:rPr>
              <w:t xml:space="preserve">Massachusetts Department of Higher Education </w:t>
            </w:r>
          </w:p>
        </w:tc>
      </w:tr>
      <w:tr w:rsidR="005A4305" w:rsidRPr="005A4305" w14:paraId="60B99369" w14:textId="77777777" w:rsidTr="002F73D4">
        <w:trPr>
          <w:jc w:val="left"/>
        </w:trPr>
        <w:tc>
          <w:tcPr>
            <w:tcW w:w="1465" w:type="dxa"/>
          </w:tcPr>
          <w:p w14:paraId="2A4C3531" w14:textId="77777777" w:rsidR="005A4305" w:rsidRPr="005A4305" w:rsidRDefault="005A4305" w:rsidP="000E5998">
            <w:pPr>
              <w:pStyle w:val="TableText"/>
              <w:rPr>
                <w:szCs w:val="20"/>
              </w:rPr>
            </w:pPr>
            <w:r w:rsidRPr="005A4305">
              <w:rPr>
                <w:szCs w:val="20"/>
              </w:rPr>
              <w:t>Sue Russell</w:t>
            </w:r>
          </w:p>
        </w:tc>
        <w:tc>
          <w:tcPr>
            <w:tcW w:w="3600" w:type="dxa"/>
          </w:tcPr>
          <w:p w14:paraId="48A15F9C" w14:textId="77777777" w:rsidR="005A4305" w:rsidRPr="005A4305" w:rsidRDefault="005A4305" w:rsidP="000E5998">
            <w:pPr>
              <w:pStyle w:val="TableText"/>
              <w:rPr>
                <w:szCs w:val="20"/>
              </w:rPr>
            </w:pPr>
            <w:r w:rsidRPr="005A4305">
              <w:rPr>
                <w:szCs w:val="20"/>
              </w:rPr>
              <w:t>Executive Director</w:t>
            </w:r>
          </w:p>
        </w:tc>
        <w:tc>
          <w:tcPr>
            <w:tcW w:w="4295" w:type="dxa"/>
          </w:tcPr>
          <w:p w14:paraId="71DDB019" w14:textId="77777777" w:rsidR="005A4305" w:rsidRPr="005A4305" w:rsidRDefault="005A4305" w:rsidP="000E5998">
            <w:pPr>
              <w:pStyle w:val="TableText"/>
              <w:rPr>
                <w:szCs w:val="20"/>
              </w:rPr>
            </w:pPr>
            <w:r w:rsidRPr="005A4305">
              <w:rPr>
                <w:szCs w:val="20"/>
              </w:rPr>
              <w:t>T.E.A.C.H. Early Childhood National Center</w:t>
            </w:r>
          </w:p>
        </w:tc>
      </w:tr>
      <w:tr w:rsidR="005A4305" w:rsidRPr="005A4305" w14:paraId="14A6233C" w14:textId="77777777" w:rsidTr="002F73D4">
        <w:trPr>
          <w:jc w:val="left"/>
        </w:trPr>
        <w:tc>
          <w:tcPr>
            <w:tcW w:w="1465" w:type="dxa"/>
          </w:tcPr>
          <w:p w14:paraId="4A590560" w14:textId="77777777" w:rsidR="005A4305" w:rsidRPr="005A4305" w:rsidRDefault="005A4305" w:rsidP="000E5998">
            <w:pPr>
              <w:pStyle w:val="TableText"/>
              <w:rPr>
                <w:szCs w:val="20"/>
              </w:rPr>
            </w:pPr>
            <w:r w:rsidRPr="005A4305">
              <w:rPr>
                <w:szCs w:val="20"/>
              </w:rPr>
              <w:t>Tracye Strichik</w:t>
            </w:r>
          </w:p>
        </w:tc>
        <w:tc>
          <w:tcPr>
            <w:tcW w:w="3600" w:type="dxa"/>
          </w:tcPr>
          <w:p w14:paraId="543012BC" w14:textId="77777777" w:rsidR="005A4305" w:rsidRPr="005A4305" w:rsidRDefault="005A4305" w:rsidP="000E5998">
            <w:pPr>
              <w:pStyle w:val="TableText"/>
              <w:rPr>
                <w:szCs w:val="20"/>
              </w:rPr>
            </w:pPr>
            <w:r w:rsidRPr="005A4305">
              <w:rPr>
                <w:szCs w:val="20"/>
              </w:rPr>
              <w:t xml:space="preserve">Director, Office of Early Learning </w:t>
            </w:r>
          </w:p>
        </w:tc>
        <w:tc>
          <w:tcPr>
            <w:tcW w:w="4295" w:type="dxa"/>
          </w:tcPr>
          <w:p w14:paraId="534B8E7D" w14:textId="77777777" w:rsidR="005A4305" w:rsidRPr="005A4305" w:rsidRDefault="005A4305" w:rsidP="000E5998">
            <w:pPr>
              <w:pStyle w:val="TableText"/>
              <w:rPr>
                <w:szCs w:val="20"/>
              </w:rPr>
            </w:pPr>
            <w:r w:rsidRPr="005A4305">
              <w:rPr>
                <w:szCs w:val="20"/>
              </w:rPr>
              <w:t>Alabama Department of Early Childhood Education</w:t>
            </w:r>
          </w:p>
        </w:tc>
      </w:tr>
    </w:tbl>
    <w:p w14:paraId="44A275C2" w14:textId="77777777" w:rsidR="005A4305" w:rsidRDefault="005A4305" w:rsidP="006D728D">
      <w:pPr>
        <w:pStyle w:val="BodyText"/>
        <w:spacing w:after="120"/>
      </w:pPr>
    </w:p>
    <w:p w14:paraId="278C7FD3" w14:textId="77777777" w:rsidR="00E42190" w:rsidRDefault="00E84638" w:rsidP="006D728D">
      <w:pPr>
        <w:pStyle w:val="BodyText"/>
        <w:spacing w:after="120"/>
      </w:pPr>
      <w:r>
        <w:rPr>
          <w:sz w:val="22"/>
          <w:szCs w:val="22"/>
        </w:rPr>
        <w:t>The Technical Working G</w:t>
      </w:r>
      <w:r w:rsidR="00E42190" w:rsidRPr="007204D2">
        <w:rPr>
          <w:sz w:val="22"/>
          <w:szCs w:val="22"/>
        </w:rPr>
        <w:t>roup met on April 3, 2017 at the Department headquarters in Washington, D.C., for a full-day meeting</w:t>
      </w:r>
      <w:r>
        <w:rPr>
          <w:sz w:val="22"/>
          <w:szCs w:val="22"/>
        </w:rPr>
        <w:t xml:space="preserve">, at which the group identified </w:t>
      </w:r>
      <w:r w:rsidR="00E42190" w:rsidRPr="007204D2">
        <w:rPr>
          <w:sz w:val="22"/>
          <w:szCs w:val="22"/>
        </w:rPr>
        <w:t xml:space="preserve">elements of successful statewide articulation that </w:t>
      </w:r>
      <w:r w:rsidRPr="007204D2">
        <w:rPr>
          <w:sz w:val="22"/>
          <w:szCs w:val="22"/>
        </w:rPr>
        <w:t xml:space="preserve">provide a framework for </w:t>
      </w:r>
      <w:r>
        <w:rPr>
          <w:sz w:val="22"/>
          <w:szCs w:val="22"/>
        </w:rPr>
        <w:t xml:space="preserve">this study’s </w:t>
      </w:r>
      <w:r w:rsidRPr="007204D2">
        <w:rPr>
          <w:sz w:val="22"/>
          <w:szCs w:val="22"/>
        </w:rPr>
        <w:t>examin</w:t>
      </w:r>
      <w:r>
        <w:rPr>
          <w:sz w:val="22"/>
          <w:szCs w:val="22"/>
        </w:rPr>
        <w:t>ation of</w:t>
      </w:r>
      <w:r w:rsidRPr="007204D2">
        <w:rPr>
          <w:sz w:val="22"/>
          <w:szCs w:val="22"/>
        </w:rPr>
        <w:t xml:space="preserve"> articulation policies and practices in the six focal states</w:t>
      </w:r>
      <w:r w:rsidR="00746AEE">
        <w:rPr>
          <w:sz w:val="22"/>
          <w:szCs w:val="22"/>
        </w:rPr>
        <w:t>.</w:t>
      </w:r>
    </w:p>
    <w:p w14:paraId="54108E27" w14:textId="77777777" w:rsidR="008C3E81" w:rsidRPr="00EC0E3B" w:rsidRDefault="00115F1B">
      <w:pPr>
        <w:pStyle w:val="Heading3"/>
        <w:rPr>
          <w:sz w:val="22"/>
          <w:szCs w:val="22"/>
        </w:rPr>
      </w:pPr>
      <w:bookmarkStart w:id="34" w:name="_Toc492536531"/>
      <w:r w:rsidRPr="00EC0E3B">
        <w:rPr>
          <w:sz w:val="22"/>
          <w:szCs w:val="22"/>
        </w:rPr>
        <w:t>9. Payment or Gift to Respondents</w:t>
      </w:r>
      <w:bookmarkEnd w:id="34"/>
    </w:p>
    <w:p w14:paraId="1A2A5978" w14:textId="77777777" w:rsidR="008C3E81" w:rsidRPr="00EC0E3B" w:rsidRDefault="0003695D">
      <w:pPr>
        <w:pStyle w:val="BodyText"/>
        <w:rPr>
          <w:sz w:val="22"/>
          <w:szCs w:val="22"/>
        </w:rPr>
      </w:pPr>
      <w:r w:rsidRPr="0003695D">
        <w:rPr>
          <w:sz w:val="22"/>
          <w:szCs w:val="22"/>
        </w:rPr>
        <w:t>College students who participate in the focus groups will receive a $75</w:t>
      </w:r>
      <w:r w:rsidR="00D43BA5" w:rsidRPr="0003695D">
        <w:rPr>
          <w:sz w:val="22"/>
          <w:szCs w:val="22"/>
        </w:rPr>
        <w:t xml:space="preserve"> </w:t>
      </w:r>
      <w:r w:rsidR="00670B3A">
        <w:rPr>
          <w:sz w:val="22"/>
          <w:szCs w:val="22"/>
        </w:rPr>
        <w:t>gift car</w:t>
      </w:r>
      <w:r w:rsidR="005069CA">
        <w:rPr>
          <w:sz w:val="22"/>
          <w:szCs w:val="22"/>
        </w:rPr>
        <w:t xml:space="preserve">d </w:t>
      </w:r>
      <w:r w:rsidR="00935C60" w:rsidRPr="0003695D">
        <w:rPr>
          <w:sz w:val="22"/>
          <w:szCs w:val="22"/>
        </w:rPr>
        <w:t xml:space="preserve">as a token </w:t>
      </w:r>
      <w:r w:rsidR="001D6CAD" w:rsidRPr="0003695D">
        <w:rPr>
          <w:sz w:val="22"/>
          <w:szCs w:val="22"/>
        </w:rPr>
        <w:t xml:space="preserve">of </w:t>
      </w:r>
      <w:r w:rsidR="00935C60" w:rsidRPr="0003695D">
        <w:rPr>
          <w:sz w:val="22"/>
          <w:szCs w:val="22"/>
        </w:rPr>
        <w:t xml:space="preserve">appreciation for </w:t>
      </w:r>
      <w:r w:rsidR="001D6CAD" w:rsidRPr="0003695D">
        <w:rPr>
          <w:sz w:val="22"/>
          <w:szCs w:val="22"/>
        </w:rPr>
        <w:t xml:space="preserve">their time </w:t>
      </w:r>
      <w:r w:rsidR="00DF6886" w:rsidRPr="0003695D">
        <w:rPr>
          <w:sz w:val="22"/>
          <w:szCs w:val="22"/>
        </w:rPr>
        <w:t>and effort</w:t>
      </w:r>
      <w:r w:rsidR="00115F1B" w:rsidRPr="0003695D">
        <w:rPr>
          <w:sz w:val="22"/>
          <w:szCs w:val="22"/>
        </w:rPr>
        <w:t>.</w:t>
      </w:r>
      <w:r w:rsidR="00471EAA" w:rsidRPr="0003695D">
        <w:rPr>
          <w:sz w:val="22"/>
          <w:szCs w:val="22"/>
        </w:rPr>
        <w:t xml:space="preserve"> Based on the literature, these incentives are expected to increase response rates and reduce the need for </w:t>
      </w:r>
      <w:r w:rsidR="002E6497" w:rsidRPr="0003695D">
        <w:rPr>
          <w:sz w:val="22"/>
          <w:szCs w:val="22"/>
        </w:rPr>
        <w:t xml:space="preserve">more costly </w:t>
      </w:r>
      <w:r w:rsidR="00471EAA" w:rsidRPr="0003695D">
        <w:rPr>
          <w:sz w:val="22"/>
          <w:szCs w:val="22"/>
        </w:rPr>
        <w:t xml:space="preserve">survey follow-up (Singer &amp; Ye, 2012). </w:t>
      </w:r>
      <w:r w:rsidR="00471EAA" w:rsidRPr="0033218C">
        <w:rPr>
          <w:sz w:val="22"/>
          <w:szCs w:val="22"/>
        </w:rPr>
        <w:t xml:space="preserve">No additional funds will be sought for these incentives; other slight adjustments to the allocation of contract funding will be made in order to free up the funds for the incentive payments. </w:t>
      </w:r>
    </w:p>
    <w:p w14:paraId="65B70843" w14:textId="77777777" w:rsidR="008C3E81" w:rsidRPr="008D7094" w:rsidRDefault="00115F1B">
      <w:pPr>
        <w:pStyle w:val="Heading3"/>
        <w:rPr>
          <w:sz w:val="22"/>
          <w:szCs w:val="22"/>
        </w:rPr>
      </w:pPr>
      <w:bookmarkStart w:id="35" w:name="_Toc492536532"/>
      <w:r w:rsidRPr="008D7094">
        <w:rPr>
          <w:sz w:val="22"/>
          <w:szCs w:val="22"/>
        </w:rPr>
        <w:t>10. Assurance of Confidentiality</w:t>
      </w:r>
      <w:bookmarkEnd w:id="35"/>
    </w:p>
    <w:p w14:paraId="39C4F0F8" w14:textId="77777777" w:rsidR="008C3E81" w:rsidRPr="008D7094" w:rsidRDefault="00115F1B">
      <w:pPr>
        <w:pStyle w:val="BodyText"/>
        <w:rPr>
          <w:sz w:val="22"/>
          <w:szCs w:val="22"/>
        </w:rPr>
      </w:pPr>
      <w:r w:rsidRPr="008D7094">
        <w:rPr>
          <w:sz w:val="22"/>
          <w:szCs w:val="22"/>
        </w:rPr>
        <w:t xml:space="preserve">The study team is concerned with maintaining the </w:t>
      </w:r>
      <w:r w:rsidR="00945D75" w:rsidRPr="008D7094">
        <w:rPr>
          <w:sz w:val="22"/>
          <w:szCs w:val="22"/>
        </w:rPr>
        <w:t>confidentiality</w:t>
      </w:r>
      <w:r w:rsidRPr="008D7094">
        <w:rPr>
          <w:sz w:val="22"/>
          <w:szCs w:val="22"/>
        </w:rPr>
        <w:t xml:space="preserve"> and security of its records. The project staff have extensive experience collecting information and maintaining the confidentiality, security, and integrity of survey data. All members of the study team have obtained their certification on the use of human subjects in research. This training addresses the importance of the confidentiality assurances given to respondents and the sensitive nature of handling data. The team also has worked with the contractor’s Institutional Review Board (IRB) to seek and receive approval of this study, thereby ensuring that the data collection complies with professional standards and government regulations designed to safeguard research participants.</w:t>
      </w:r>
    </w:p>
    <w:p w14:paraId="535D32E2" w14:textId="77777777" w:rsidR="008C3E81" w:rsidRPr="008D7094" w:rsidRDefault="00115F1B">
      <w:pPr>
        <w:pStyle w:val="BodyText"/>
        <w:rPr>
          <w:sz w:val="22"/>
          <w:szCs w:val="22"/>
        </w:rPr>
      </w:pPr>
      <w:r w:rsidRPr="008D7094">
        <w:rPr>
          <w:sz w:val="22"/>
          <w:szCs w:val="22"/>
        </w:rPr>
        <w:t>The following data protection procedures will be in place:</w:t>
      </w:r>
    </w:p>
    <w:p w14:paraId="3975EB4F" w14:textId="77777777" w:rsidR="008C3E81" w:rsidRPr="008D7094" w:rsidRDefault="00115F1B">
      <w:pPr>
        <w:pStyle w:val="Bullet1"/>
        <w:rPr>
          <w:sz w:val="22"/>
        </w:rPr>
      </w:pPr>
      <w:r w:rsidRPr="008D7094">
        <w:rPr>
          <w:sz w:val="22"/>
        </w:rPr>
        <w:t>The study team will protect the identity of individuals from whom we will collect data for the study and use the data for research purposes only. Respondents’ names will be used for data collection purposes only and will be disassociated from the data prior to analysis.</w:t>
      </w:r>
    </w:p>
    <w:p w14:paraId="7BD0FC0E" w14:textId="77777777" w:rsidR="008C3E81" w:rsidRPr="008D7094" w:rsidRDefault="00115F1B">
      <w:pPr>
        <w:pStyle w:val="Bullet1"/>
        <w:rPr>
          <w:sz w:val="22"/>
        </w:rPr>
      </w:pPr>
      <w:r w:rsidRPr="008D7094">
        <w:rPr>
          <w:sz w:val="22"/>
        </w:rPr>
        <w:t xml:space="preserve">Although this study does not include the collection of sensitive information (the only data to be collected directly from </w:t>
      </w:r>
      <w:r w:rsidR="00670B3A" w:rsidRPr="008D7094">
        <w:rPr>
          <w:sz w:val="22"/>
        </w:rPr>
        <w:t>respondents is</w:t>
      </w:r>
      <w:r w:rsidRPr="008D7094">
        <w:rPr>
          <w:sz w:val="22"/>
        </w:rPr>
        <w:t xml:space="preserve"> focused on </w:t>
      </w:r>
      <w:r w:rsidR="00670B3A" w:rsidRPr="008D7094">
        <w:rPr>
          <w:sz w:val="22"/>
        </w:rPr>
        <w:t>state policies and practices within institutions of higher education</w:t>
      </w:r>
      <w:r w:rsidRPr="008D7094">
        <w:rPr>
          <w:sz w:val="22"/>
        </w:rPr>
        <w:t xml:space="preserve">), a member of the research team will explain to participants what will be discussed, how the data will be used and stored, and how their confidentiality will be maintained. Participants will be informed that they may stop participating at any time. The study’s goals, data collection activities, participation risks and benefits, and uses for the data are detailed in an informed consent form that all participants will read and prior to beginning any data collection activities. </w:t>
      </w:r>
      <w:r w:rsidR="00FA6315" w:rsidRPr="008D7094">
        <w:rPr>
          <w:sz w:val="22"/>
        </w:rPr>
        <w:t>At the beginning of the interview, respondents will be asked to consent to study participation based on the terms and conditions outlined in the written consent form.</w:t>
      </w:r>
    </w:p>
    <w:p w14:paraId="1B62946F" w14:textId="77777777" w:rsidR="008C3E81" w:rsidRPr="008D7094" w:rsidRDefault="00115F1B">
      <w:pPr>
        <w:pStyle w:val="Bullet1"/>
        <w:rPr>
          <w:sz w:val="22"/>
        </w:rPr>
      </w:pPr>
      <w:r w:rsidRPr="008D7094">
        <w:rPr>
          <w:sz w:val="22"/>
        </w:rPr>
        <w:t>All electronic data will be protected using several methods. The contractors’ internal networks are protected from unauthorized access, including firewalls and intrusion detection and prevention systems. Access to computer systems is password protected, and network passwords must be changed on a 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and workbooks associated with this study is limited to researchers on the case study data collection and analysis team.</w:t>
      </w:r>
    </w:p>
    <w:p w14:paraId="1AC53B37" w14:textId="77777777" w:rsidR="00F93812" w:rsidRPr="00F93812" w:rsidRDefault="00115F1B" w:rsidP="00047254">
      <w:pPr>
        <w:pStyle w:val="ListParagraph"/>
        <w:numPr>
          <w:ilvl w:val="0"/>
          <w:numId w:val="28"/>
        </w:numPr>
        <w:autoSpaceDE/>
        <w:autoSpaceDN/>
        <w:adjustRightInd/>
        <w:spacing w:after="0"/>
        <w:contextualSpacing w:val="0"/>
      </w:pPr>
      <w:r w:rsidRPr="008D7094">
        <w:t xml:space="preserve">The data collected will be used to summarize findings in an aggregate manner (across groups or sites), or to provide examples of program implementation. </w:t>
      </w:r>
      <w:r w:rsidR="00F908AC">
        <w:t>The study team</w:t>
      </w:r>
      <w:r w:rsidR="00F908AC" w:rsidRPr="00DD752D">
        <w:t xml:space="preserve"> will not use </w:t>
      </w:r>
      <w:r w:rsidR="00F908AC">
        <w:t>participants’</w:t>
      </w:r>
      <w:r w:rsidR="00F908AC" w:rsidRPr="00DD752D">
        <w:t xml:space="preserve"> name</w:t>
      </w:r>
      <w:r w:rsidR="00F908AC">
        <w:t>s</w:t>
      </w:r>
      <w:r w:rsidR="00F908AC" w:rsidRPr="00DD752D">
        <w:t xml:space="preserve"> in any reports, although states, </w:t>
      </w:r>
      <w:r w:rsidR="00F908AC">
        <w:t>a</w:t>
      </w:r>
      <w:r w:rsidR="00F908AC" w:rsidRPr="00F93812">
        <w:t xml:space="preserve">gencies, institutions of higher education, and/or job roles or titles may be named in some sections of the report. </w:t>
      </w:r>
    </w:p>
    <w:p w14:paraId="3606A1DD" w14:textId="77777777" w:rsidR="00F93812" w:rsidRPr="00F93812" w:rsidRDefault="00F93812" w:rsidP="00F93812">
      <w:pPr>
        <w:pStyle w:val="ListParagraph"/>
        <w:numPr>
          <w:ilvl w:val="0"/>
          <w:numId w:val="0"/>
        </w:numPr>
        <w:autoSpaceDE/>
        <w:autoSpaceDN/>
        <w:adjustRightInd/>
        <w:spacing w:after="0"/>
        <w:ind w:left="720"/>
        <w:contextualSpacing w:val="0"/>
      </w:pPr>
    </w:p>
    <w:p w14:paraId="1B802EF3" w14:textId="57665742" w:rsidR="00F908AC" w:rsidRPr="00F93812" w:rsidRDefault="00F908AC" w:rsidP="00047254">
      <w:pPr>
        <w:pStyle w:val="ListParagraph"/>
        <w:numPr>
          <w:ilvl w:val="0"/>
          <w:numId w:val="28"/>
        </w:numPr>
        <w:autoSpaceDE/>
        <w:autoSpaceDN/>
        <w:adjustRightInd/>
        <w:spacing w:after="0"/>
        <w:contextualSpacing w:val="0"/>
      </w:pPr>
      <w:r w:rsidRPr="00F93812">
        <w:t>Because the focus of the study is on state</w:t>
      </w:r>
      <w:r w:rsidR="00F93812" w:rsidRPr="00F93812">
        <w:t xml:space="preserve"> and institutional policies </w:t>
      </w:r>
      <w:r w:rsidRPr="00F93812">
        <w:t xml:space="preserve">that are public and not sensitive in any way, </w:t>
      </w:r>
      <w:r w:rsidR="00F93812" w:rsidRPr="00F93812">
        <w:t>the study team expects this study poses minimal risk to participants</w:t>
      </w:r>
      <w:r w:rsidRPr="00F93812">
        <w:t xml:space="preserve">. </w:t>
      </w:r>
    </w:p>
    <w:p w14:paraId="7181C73C" w14:textId="77777777" w:rsidR="00F93812" w:rsidRDefault="00F93812">
      <w:pPr>
        <w:pStyle w:val="Heading3"/>
        <w:rPr>
          <w:sz w:val="22"/>
          <w:szCs w:val="22"/>
        </w:rPr>
      </w:pPr>
      <w:bookmarkStart w:id="36" w:name="_Toc492536533"/>
    </w:p>
    <w:p w14:paraId="02A8A452" w14:textId="77777777" w:rsidR="008C3E81" w:rsidRPr="00EC0E3B" w:rsidRDefault="00115F1B">
      <w:pPr>
        <w:pStyle w:val="Heading3"/>
        <w:rPr>
          <w:sz w:val="22"/>
          <w:szCs w:val="22"/>
        </w:rPr>
      </w:pPr>
      <w:r w:rsidRPr="00EC0E3B">
        <w:rPr>
          <w:sz w:val="22"/>
          <w:szCs w:val="22"/>
        </w:rPr>
        <w:t>11. Sensitive Questions</w:t>
      </w:r>
      <w:bookmarkEnd w:id="36"/>
    </w:p>
    <w:p w14:paraId="1AB49C35" w14:textId="77777777" w:rsidR="008C3E81" w:rsidRDefault="00115F1B">
      <w:pPr>
        <w:pStyle w:val="BodyText"/>
        <w:rPr>
          <w:sz w:val="22"/>
          <w:szCs w:val="22"/>
        </w:rPr>
      </w:pPr>
      <w:r w:rsidRPr="00EC0E3B">
        <w:rPr>
          <w:sz w:val="22"/>
          <w:szCs w:val="22"/>
        </w:rPr>
        <w:t>No questions of a sensitive nature are included in this study.</w:t>
      </w:r>
    </w:p>
    <w:p w14:paraId="1DD95C80" w14:textId="77777777" w:rsidR="008C3E81" w:rsidRPr="00EC0E3B" w:rsidRDefault="00115F1B">
      <w:pPr>
        <w:pStyle w:val="Heading3"/>
        <w:rPr>
          <w:sz w:val="22"/>
          <w:szCs w:val="22"/>
        </w:rPr>
      </w:pPr>
      <w:bookmarkStart w:id="37" w:name="_Toc492536534"/>
      <w:r w:rsidRPr="00EC0E3B">
        <w:rPr>
          <w:sz w:val="22"/>
          <w:szCs w:val="22"/>
        </w:rPr>
        <w:t>12. Estimated Response Burden</w:t>
      </w:r>
      <w:bookmarkEnd w:id="37"/>
    </w:p>
    <w:p w14:paraId="36BE4A4E" w14:textId="77777777" w:rsidR="0003695D" w:rsidRPr="00EC0E3B" w:rsidRDefault="00CA5CA1" w:rsidP="0003695D">
      <w:pPr>
        <w:pStyle w:val="BodyText"/>
        <w:spacing w:after="120"/>
        <w:rPr>
          <w:sz w:val="22"/>
          <w:szCs w:val="22"/>
        </w:rPr>
      </w:pPr>
      <w:r>
        <w:rPr>
          <w:sz w:val="22"/>
          <w:szCs w:val="22"/>
        </w:rPr>
        <w:t>T</w:t>
      </w:r>
      <w:r w:rsidR="0003695D" w:rsidRPr="00EC0E3B">
        <w:rPr>
          <w:sz w:val="22"/>
          <w:szCs w:val="22"/>
        </w:rPr>
        <w:t xml:space="preserve">he total </w:t>
      </w:r>
      <w:r>
        <w:rPr>
          <w:sz w:val="22"/>
          <w:szCs w:val="22"/>
        </w:rPr>
        <w:t>number</w:t>
      </w:r>
      <w:r w:rsidR="0003695D" w:rsidRPr="00EC0E3B">
        <w:rPr>
          <w:sz w:val="22"/>
          <w:szCs w:val="22"/>
        </w:rPr>
        <w:t xml:space="preserve"> </w:t>
      </w:r>
      <w:r>
        <w:rPr>
          <w:sz w:val="22"/>
          <w:szCs w:val="22"/>
        </w:rPr>
        <w:t xml:space="preserve">of respondent </w:t>
      </w:r>
      <w:r w:rsidR="0003695D" w:rsidRPr="00EC0E3B">
        <w:rPr>
          <w:sz w:val="22"/>
          <w:szCs w:val="22"/>
        </w:rPr>
        <w:t xml:space="preserve">burden </w:t>
      </w:r>
      <w:r>
        <w:rPr>
          <w:sz w:val="22"/>
          <w:szCs w:val="22"/>
        </w:rPr>
        <w:t xml:space="preserve">hours </w:t>
      </w:r>
      <w:r w:rsidR="0003695D" w:rsidRPr="00EC0E3B">
        <w:rPr>
          <w:sz w:val="22"/>
          <w:szCs w:val="22"/>
        </w:rPr>
        <w:t>for th</w:t>
      </w:r>
      <w:r>
        <w:rPr>
          <w:sz w:val="22"/>
          <w:szCs w:val="22"/>
        </w:rPr>
        <w:t>is study</w:t>
      </w:r>
      <w:r w:rsidR="0003695D" w:rsidRPr="00EC0E3B">
        <w:rPr>
          <w:sz w:val="22"/>
          <w:szCs w:val="22"/>
        </w:rPr>
        <w:t xml:space="preserve"> is </w:t>
      </w:r>
      <w:r>
        <w:rPr>
          <w:sz w:val="22"/>
          <w:szCs w:val="22"/>
        </w:rPr>
        <w:t xml:space="preserve">estimated as </w:t>
      </w:r>
      <w:r w:rsidR="00D21C52">
        <w:rPr>
          <w:sz w:val="22"/>
          <w:szCs w:val="22"/>
        </w:rPr>
        <w:t>305</w:t>
      </w:r>
      <w:r w:rsidR="00D21C52" w:rsidRPr="00EC0E3B">
        <w:rPr>
          <w:sz w:val="22"/>
          <w:szCs w:val="22"/>
        </w:rPr>
        <w:t xml:space="preserve"> </w:t>
      </w:r>
      <w:r w:rsidR="0003695D" w:rsidRPr="00EC0E3B">
        <w:rPr>
          <w:sz w:val="22"/>
          <w:szCs w:val="22"/>
        </w:rPr>
        <w:t>hours</w:t>
      </w:r>
      <w:r>
        <w:rPr>
          <w:sz w:val="22"/>
          <w:szCs w:val="22"/>
        </w:rPr>
        <w:t xml:space="preserve">, including </w:t>
      </w:r>
      <w:r w:rsidR="0003695D" w:rsidRPr="00EC0E3B">
        <w:rPr>
          <w:sz w:val="22"/>
          <w:szCs w:val="22"/>
        </w:rPr>
        <w:t xml:space="preserve">gaining the cooperation from </w:t>
      </w:r>
      <w:r>
        <w:rPr>
          <w:sz w:val="22"/>
          <w:szCs w:val="22"/>
        </w:rPr>
        <w:t xml:space="preserve">states, higher education institutions, and other study participants, as well as participating in the telephone interviews and focus groups. </w:t>
      </w:r>
      <w:r w:rsidR="0003695D" w:rsidRPr="00EC0E3B">
        <w:rPr>
          <w:sz w:val="22"/>
          <w:szCs w:val="22"/>
        </w:rPr>
        <w:t xml:space="preserve">This </w:t>
      </w:r>
      <w:r>
        <w:rPr>
          <w:sz w:val="22"/>
          <w:szCs w:val="22"/>
        </w:rPr>
        <w:t xml:space="preserve">amounts to </w:t>
      </w:r>
      <w:r w:rsidR="0003695D" w:rsidRPr="00EC0E3B">
        <w:rPr>
          <w:sz w:val="22"/>
          <w:szCs w:val="22"/>
        </w:rPr>
        <w:t xml:space="preserve">an estimated cost </w:t>
      </w:r>
      <w:r w:rsidR="005069CA" w:rsidRPr="00EC0E3B">
        <w:rPr>
          <w:sz w:val="22"/>
          <w:szCs w:val="22"/>
        </w:rPr>
        <w:t xml:space="preserve">of </w:t>
      </w:r>
      <w:r w:rsidR="005069CA" w:rsidRPr="00D21C52">
        <w:rPr>
          <w:sz w:val="22"/>
          <w:szCs w:val="22"/>
        </w:rPr>
        <w:t>$</w:t>
      </w:r>
      <w:r w:rsidR="00D21C52" w:rsidRPr="00D21C52">
        <w:rPr>
          <w:sz w:val="22"/>
          <w:szCs w:val="22"/>
        </w:rPr>
        <w:t>10,562.83</w:t>
      </w:r>
      <w:r w:rsidR="0003695D" w:rsidRPr="00EC0E3B">
        <w:rPr>
          <w:sz w:val="22"/>
          <w:szCs w:val="22"/>
        </w:rPr>
        <w:t xml:space="preserve"> and is based on the estimated average hourly wages of participants (</w:t>
      </w:r>
      <w:r w:rsidR="008D7094">
        <w:rPr>
          <w:sz w:val="22"/>
          <w:szCs w:val="22"/>
        </w:rPr>
        <w:t xml:space="preserve">see </w:t>
      </w:r>
      <w:r w:rsidR="0003695D" w:rsidRPr="00EC0E3B">
        <w:rPr>
          <w:sz w:val="22"/>
          <w:szCs w:val="22"/>
        </w:rPr>
        <w:t xml:space="preserve">Exhibit 3). </w:t>
      </w:r>
    </w:p>
    <w:p w14:paraId="3D3567D4" w14:textId="77777777" w:rsidR="0003695D" w:rsidRPr="00EC0E3B" w:rsidRDefault="0003695D" w:rsidP="0003695D">
      <w:pPr>
        <w:pStyle w:val="ExhibitTitle"/>
        <w:spacing w:before="240"/>
        <w:jc w:val="left"/>
        <w:rPr>
          <w:rFonts w:asciiTheme="minorHAnsi" w:eastAsia="Calibri" w:hAnsiTheme="minorHAnsi"/>
          <w:b/>
        </w:rPr>
      </w:pPr>
      <w:r w:rsidRPr="00EC0E3B">
        <w:rPr>
          <w:rFonts w:asciiTheme="minorHAnsi" w:eastAsia="Calibri" w:hAnsiTheme="minorHAnsi"/>
          <w:b/>
        </w:rPr>
        <w:t>Exhibit 3. Summary of Estimated Response Burden</w:t>
      </w:r>
    </w:p>
    <w:tbl>
      <w:tblPr>
        <w:tblW w:w="10425" w:type="dxa"/>
        <w:tblInd w:w="-185" w:type="dxa"/>
        <w:tblLook w:val="04A0" w:firstRow="1" w:lastRow="0" w:firstColumn="1" w:lastColumn="0" w:noHBand="0" w:noVBand="1"/>
      </w:tblPr>
      <w:tblGrid>
        <w:gridCol w:w="2797"/>
        <w:gridCol w:w="960"/>
        <w:gridCol w:w="960"/>
        <w:gridCol w:w="1188"/>
        <w:gridCol w:w="960"/>
        <w:gridCol w:w="785"/>
        <w:gridCol w:w="1440"/>
        <w:gridCol w:w="1335"/>
      </w:tblGrid>
      <w:tr w:rsidR="00D21C52" w:rsidRPr="00D21C52" w14:paraId="0DB6B14C" w14:textId="77777777" w:rsidTr="00D21C52">
        <w:trPr>
          <w:trHeight w:val="1005"/>
        </w:trPr>
        <w:tc>
          <w:tcPr>
            <w:tcW w:w="2797"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44DD1385"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Activity</w:t>
            </w:r>
          </w:p>
        </w:tc>
        <w:tc>
          <w:tcPr>
            <w:tcW w:w="960" w:type="dxa"/>
            <w:tcBorders>
              <w:top w:val="single" w:sz="4" w:space="0" w:color="auto"/>
              <w:left w:val="nil"/>
              <w:bottom w:val="single" w:sz="4" w:space="0" w:color="auto"/>
              <w:right w:val="single" w:sz="4" w:space="0" w:color="auto"/>
            </w:tcBorders>
            <w:shd w:val="clear" w:color="000000" w:fill="B4C6E7"/>
            <w:vAlign w:val="bottom"/>
            <w:hideMark/>
          </w:tcPr>
          <w:p w14:paraId="7042B78B"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Sample Size</w:t>
            </w:r>
          </w:p>
        </w:tc>
        <w:tc>
          <w:tcPr>
            <w:tcW w:w="960" w:type="dxa"/>
            <w:tcBorders>
              <w:top w:val="single" w:sz="4" w:space="0" w:color="auto"/>
              <w:left w:val="nil"/>
              <w:bottom w:val="single" w:sz="4" w:space="0" w:color="auto"/>
              <w:right w:val="single" w:sz="4" w:space="0" w:color="auto"/>
            </w:tcBorders>
            <w:shd w:val="clear" w:color="000000" w:fill="B4C6E7"/>
            <w:vAlign w:val="bottom"/>
            <w:hideMark/>
          </w:tcPr>
          <w:p w14:paraId="4A8854B8"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Expected Response Rate</w:t>
            </w:r>
          </w:p>
        </w:tc>
        <w:tc>
          <w:tcPr>
            <w:tcW w:w="1188" w:type="dxa"/>
            <w:tcBorders>
              <w:top w:val="single" w:sz="4" w:space="0" w:color="auto"/>
              <w:left w:val="nil"/>
              <w:bottom w:val="single" w:sz="4" w:space="0" w:color="auto"/>
              <w:right w:val="single" w:sz="4" w:space="0" w:color="auto"/>
            </w:tcBorders>
            <w:shd w:val="clear" w:color="000000" w:fill="B4C6E7"/>
            <w:vAlign w:val="bottom"/>
            <w:hideMark/>
          </w:tcPr>
          <w:p w14:paraId="6B26EF2F"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Number of Respondents</w:t>
            </w:r>
          </w:p>
        </w:tc>
        <w:tc>
          <w:tcPr>
            <w:tcW w:w="960" w:type="dxa"/>
            <w:tcBorders>
              <w:top w:val="single" w:sz="4" w:space="0" w:color="auto"/>
              <w:left w:val="nil"/>
              <w:bottom w:val="single" w:sz="4" w:space="0" w:color="auto"/>
              <w:right w:val="single" w:sz="4" w:space="0" w:color="auto"/>
            </w:tcBorders>
            <w:shd w:val="clear" w:color="000000" w:fill="B4C6E7"/>
            <w:vAlign w:val="bottom"/>
            <w:hideMark/>
          </w:tcPr>
          <w:p w14:paraId="4FB2BDD5"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Average Burden Time (minutes)</w:t>
            </w:r>
          </w:p>
        </w:tc>
        <w:tc>
          <w:tcPr>
            <w:tcW w:w="785" w:type="dxa"/>
            <w:tcBorders>
              <w:top w:val="single" w:sz="4" w:space="0" w:color="auto"/>
              <w:left w:val="nil"/>
              <w:bottom w:val="single" w:sz="4" w:space="0" w:color="auto"/>
              <w:right w:val="single" w:sz="4" w:space="0" w:color="auto"/>
            </w:tcBorders>
            <w:shd w:val="clear" w:color="000000" w:fill="B4C6E7"/>
            <w:vAlign w:val="bottom"/>
            <w:hideMark/>
          </w:tcPr>
          <w:p w14:paraId="1729739E"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Total Burden (hours)</w:t>
            </w:r>
          </w:p>
        </w:tc>
        <w:tc>
          <w:tcPr>
            <w:tcW w:w="1440" w:type="dxa"/>
            <w:tcBorders>
              <w:top w:val="single" w:sz="4" w:space="0" w:color="auto"/>
              <w:left w:val="nil"/>
              <w:bottom w:val="single" w:sz="4" w:space="0" w:color="auto"/>
              <w:right w:val="single" w:sz="4" w:space="0" w:color="auto"/>
            </w:tcBorders>
            <w:shd w:val="clear" w:color="000000" w:fill="B4C6E7"/>
            <w:vAlign w:val="bottom"/>
            <w:hideMark/>
          </w:tcPr>
          <w:p w14:paraId="2C4522B5"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Estimated Respondent Average Hourly Wage</w:t>
            </w:r>
            <w:r w:rsidRPr="00D21C52">
              <w:rPr>
                <w:rFonts w:eastAsia="Times New Roman"/>
                <w:b/>
                <w:bCs/>
                <w:color w:val="000000"/>
                <w:sz w:val="18"/>
                <w:szCs w:val="18"/>
                <w:vertAlign w:val="superscript"/>
              </w:rPr>
              <w:t>1</w:t>
            </w:r>
          </w:p>
        </w:tc>
        <w:tc>
          <w:tcPr>
            <w:tcW w:w="1335" w:type="dxa"/>
            <w:tcBorders>
              <w:top w:val="single" w:sz="4" w:space="0" w:color="auto"/>
              <w:left w:val="nil"/>
              <w:bottom w:val="single" w:sz="4" w:space="0" w:color="auto"/>
              <w:right w:val="single" w:sz="4" w:space="0" w:color="auto"/>
            </w:tcBorders>
            <w:shd w:val="clear" w:color="000000" w:fill="B4C6E7"/>
            <w:vAlign w:val="bottom"/>
            <w:hideMark/>
          </w:tcPr>
          <w:p w14:paraId="735136F8" w14:textId="77777777" w:rsidR="00D21C52" w:rsidRPr="00D21C52" w:rsidRDefault="00D21C52" w:rsidP="00D21C52">
            <w:pPr>
              <w:spacing w:after="0" w:line="240" w:lineRule="auto"/>
              <w:jc w:val="center"/>
              <w:rPr>
                <w:rFonts w:eastAsia="Times New Roman"/>
                <w:b/>
                <w:bCs/>
                <w:color w:val="000000"/>
                <w:sz w:val="18"/>
                <w:szCs w:val="18"/>
              </w:rPr>
            </w:pPr>
            <w:r w:rsidRPr="00D21C52">
              <w:rPr>
                <w:rFonts w:eastAsia="Times New Roman"/>
                <w:b/>
                <w:bCs/>
                <w:color w:val="000000"/>
                <w:sz w:val="18"/>
                <w:szCs w:val="18"/>
              </w:rPr>
              <w:t xml:space="preserve"> Estimated Respondent Burden Time Cost </w:t>
            </w:r>
          </w:p>
        </w:tc>
      </w:tr>
      <w:tr w:rsidR="00D21C52" w:rsidRPr="00D21C52" w14:paraId="3A7AF01D" w14:textId="77777777" w:rsidTr="00D21C52">
        <w:trPr>
          <w:trHeight w:val="240"/>
        </w:trPr>
        <w:tc>
          <w:tcPr>
            <w:tcW w:w="10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4BC64FC" w14:textId="77777777" w:rsidR="00D21C52" w:rsidRPr="00D21C52" w:rsidRDefault="00D21C52" w:rsidP="00D21C52">
            <w:pPr>
              <w:spacing w:after="0" w:line="240" w:lineRule="auto"/>
              <w:rPr>
                <w:rFonts w:eastAsia="Times New Roman"/>
                <w:b/>
                <w:bCs/>
                <w:i/>
                <w:iCs/>
                <w:color w:val="000000"/>
                <w:sz w:val="18"/>
                <w:szCs w:val="18"/>
              </w:rPr>
            </w:pPr>
            <w:r w:rsidRPr="00D21C52">
              <w:rPr>
                <w:rFonts w:eastAsia="Times New Roman"/>
                <w:b/>
                <w:bCs/>
                <w:i/>
                <w:iCs/>
                <w:color w:val="000000"/>
                <w:sz w:val="18"/>
                <w:szCs w:val="18"/>
              </w:rPr>
              <w:t>Recruitment</w:t>
            </w:r>
          </w:p>
        </w:tc>
      </w:tr>
      <w:tr w:rsidR="00D21C52" w:rsidRPr="00D21C52" w14:paraId="4E6165EF"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195A56D7" w14:textId="77777777" w:rsidR="00D21C52" w:rsidRPr="00D21C52" w:rsidRDefault="00D21C52" w:rsidP="00D21C52">
            <w:pPr>
              <w:spacing w:after="0" w:line="240" w:lineRule="auto"/>
              <w:rPr>
                <w:rFonts w:eastAsia="Times New Roman"/>
                <w:color w:val="000000"/>
                <w:sz w:val="18"/>
                <w:szCs w:val="18"/>
              </w:rPr>
            </w:pPr>
            <w:r w:rsidRPr="00D21C52">
              <w:rPr>
                <w:rFonts w:eastAsia="Times New Roman"/>
                <w:color w:val="000000"/>
                <w:sz w:val="18"/>
                <w:szCs w:val="18"/>
              </w:rPr>
              <w:t>State Administrators</w:t>
            </w:r>
            <w:r w:rsidR="00225CF7">
              <w:rPr>
                <w:rFonts w:eastAsia="Times New Roman"/>
                <w:color w:val="000000"/>
                <w:sz w:val="18"/>
                <w:szCs w:val="18"/>
              </w:rPr>
              <w:t xml:space="preserve"> responsible for transfer policy</w:t>
            </w:r>
          </w:p>
        </w:tc>
        <w:tc>
          <w:tcPr>
            <w:tcW w:w="960" w:type="dxa"/>
            <w:tcBorders>
              <w:top w:val="nil"/>
              <w:left w:val="nil"/>
              <w:bottom w:val="single" w:sz="4" w:space="0" w:color="auto"/>
              <w:right w:val="single" w:sz="4" w:space="0" w:color="auto"/>
            </w:tcBorders>
            <w:shd w:val="clear" w:color="auto" w:fill="auto"/>
            <w:noWrap/>
            <w:vAlign w:val="bottom"/>
            <w:hideMark/>
          </w:tcPr>
          <w:p w14:paraId="39C22277" w14:textId="77777777" w:rsidR="00D21C52"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14:paraId="67B0F716" w14:textId="77777777" w:rsidR="00D21C52" w:rsidRPr="00D21C52" w:rsidRDefault="00D21C52"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0B03E841" w14:textId="77777777" w:rsidR="00D21C52"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14:paraId="2FF1B040" w14:textId="77777777" w:rsidR="00D21C52" w:rsidRPr="00D21C52" w:rsidRDefault="00D21C52"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66034849" w14:textId="77777777" w:rsidR="00D21C52"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3.75</w:t>
            </w:r>
          </w:p>
        </w:tc>
        <w:tc>
          <w:tcPr>
            <w:tcW w:w="1440" w:type="dxa"/>
            <w:tcBorders>
              <w:top w:val="nil"/>
              <w:left w:val="nil"/>
              <w:bottom w:val="single" w:sz="4" w:space="0" w:color="auto"/>
              <w:right w:val="single" w:sz="4" w:space="0" w:color="auto"/>
            </w:tcBorders>
            <w:shd w:val="clear" w:color="auto" w:fill="auto"/>
            <w:noWrap/>
            <w:vAlign w:val="bottom"/>
            <w:hideMark/>
          </w:tcPr>
          <w:p w14:paraId="26F90BD6" w14:textId="77777777" w:rsidR="00D21C52" w:rsidRPr="00D21C52" w:rsidRDefault="00D21C52"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65.23 </w:t>
            </w:r>
          </w:p>
        </w:tc>
        <w:tc>
          <w:tcPr>
            <w:tcW w:w="1335" w:type="dxa"/>
            <w:tcBorders>
              <w:top w:val="nil"/>
              <w:left w:val="nil"/>
              <w:bottom w:val="single" w:sz="4" w:space="0" w:color="auto"/>
              <w:right w:val="single" w:sz="4" w:space="0" w:color="auto"/>
            </w:tcBorders>
            <w:shd w:val="clear" w:color="auto" w:fill="auto"/>
            <w:noWrap/>
            <w:vAlign w:val="bottom"/>
            <w:hideMark/>
          </w:tcPr>
          <w:p w14:paraId="3B47D920" w14:textId="77777777" w:rsidR="00D21C52" w:rsidRPr="00D21C52" w:rsidRDefault="00D21C52" w:rsidP="00225CF7">
            <w:pPr>
              <w:spacing w:after="0" w:line="240" w:lineRule="auto"/>
              <w:jc w:val="right"/>
              <w:rPr>
                <w:rFonts w:eastAsia="Times New Roman"/>
                <w:color w:val="000000"/>
                <w:sz w:val="18"/>
                <w:szCs w:val="18"/>
              </w:rPr>
            </w:pPr>
            <w:r w:rsidRPr="00D21C52">
              <w:rPr>
                <w:rFonts w:eastAsia="Times New Roman"/>
                <w:color w:val="000000"/>
                <w:sz w:val="18"/>
                <w:szCs w:val="18"/>
              </w:rPr>
              <w:t xml:space="preserve"> $   </w:t>
            </w:r>
            <w:r w:rsidR="00225CF7">
              <w:rPr>
                <w:rFonts w:eastAsia="Times New Roman"/>
                <w:color w:val="000000"/>
                <w:sz w:val="18"/>
                <w:szCs w:val="18"/>
              </w:rPr>
              <w:t xml:space="preserve">        244.62 </w:t>
            </w:r>
            <w:r w:rsidRPr="00D21C52">
              <w:rPr>
                <w:rFonts w:eastAsia="Times New Roman"/>
                <w:color w:val="000000"/>
                <w:sz w:val="18"/>
                <w:szCs w:val="18"/>
              </w:rPr>
              <w:t xml:space="preserve">     </w:t>
            </w:r>
          </w:p>
        </w:tc>
      </w:tr>
      <w:tr w:rsidR="00225CF7" w:rsidRPr="00D21C52" w14:paraId="09F69266"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tcPr>
          <w:p w14:paraId="09905C57" w14:textId="77777777" w:rsidR="00225CF7" w:rsidRPr="00D21C52" w:rsidRDefault="00225CF7" w:rsidP="00D21C52">
            <w:pPr>
              <w:spacing w:after="0" w:line="240" w:lineRule="auto"/>
              <w:rPr>
                <w:rFonts w:eastAsia="Times New Roman"/>
                <w:color w:val="000000"/>
                <w:sz w:val="18"/>
                <w:szCs w:val="18"/>
              </w:rPr>
            </w:pPr>
            <w:r>
              <w:rPr>
                <w:rFonts w:eastAsia="Times New Roman"/>
                <w:color w:val="000000"/>
                <w:sz w:val="18"/>
                <w:szCs w:val="18"/>
              </w:rPr>
              <w:t>State policy staff involved in ECE articulation</w:t>
            </w:r>
          </w:p>
        </w:tc>
        <w:tc>
          <w:tcPr>
            <w:tcW w:w="960" w:type="dxa"/>
            <w:tcBorders>
              <w:top w:val="nil"/>
              <w:left w:val="nil"/>
              <w:bottom w:val="single" w:sz="4" w:space="0" w:color="auto"/>
              <w:right w:val="single" w:sz="4" w:space="0" w:color="auto"/>
            </w:tcBorders>
            <w:shd w:val="clear" w:color="auto" w:fill="auto"/>
            <w:noWrap/>
            <w:vAlign w:val="bottom"/>
          </w:tcPr>
          <w:p w14:paraId="02333945"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0228C05F"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tcPr>
          <w:p w14:paraId="7068A7BF"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79F833CE"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tcPr>
          <w:p w14:paraId="41E84DE9"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vAlign w:val="bottom"/>
          </w:tcPr>
          <w:p w14:paraId="0801C907"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65.23</w:t>
            </w:r>
          </w:p>
        </w:tc>
        <w:tc>
          <w:tcPr>
            <w:tcW w:w="1335" w:type="dxa"/>
            <w:tcBorders>
              <w:top w:val="nil"/>
              <w:left w:val="nil"/>
              <w:bottom w:val="single" w:sz="4" w:space="0" w:color="auto"/>
              <w:right w:val="single" w:sz="4" w:space="0" w:color="auto"/>
            </w:tcBorders>
            <w:shd w:val="clear" w:color="auto" w:fill="auto"/>
            <w:noWrap/>
            <w:vAlign w:val="bottom"/>
          </w:tcPr>
          <w:p w14:paraId="4789BBCD"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w:t>
            </w:r>
            <w:r>
              <w:rPr>
                <w:rFonts w:eastAsia="Times New Roman"/>
                <w:color w:val="000000"/>
                <w:sz w:val="18"/>
                <w:szCs w:val="18"/>
              </w:rPr>
              <w:t xml:space="preserve">       65.23</w:t>
            </w:r>
            <w:r w:rsidRPr="00D21C52">
              <w:rPr>
                <w:rFonts w:eastAsia="Times New Roman"/>
                <w:color w:val="000000"/>
                <w:sz w:val="18"/>
                <w:szCs w:val="18"/>
              </w:rPr>
              <w:t xml:space="preserve">     </w:t>
            </w:r>
          </w:p>
        </w:tc>
      </w:tr>
      <w:tr w:rsidR="00225CF7" w:rsidRPr="00D21C52" w14:paraId="32751522"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535B0E3F"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State Governing body members</w:t>
            </w:r>
          </w:p>
        </w:tc>
        <w:tc>
          <w:tcPr>
            <w:tcW w:w="960" w:type="dxa"/>
            <w:tcBorders>
              <w:top w:val="nil"/>
              <w:left w:val="nil"/>
              <w:bottom w:val="single" w:sz="4" w:space="0" w:color="auto"/>
              <w:right w:val="single" w:sz="4" w:space="0" w:color="auto"/>
            </w:tcBorders>
            <w:shd w:val="clear" w:color="auto" w:fill="auto"/>
            <w:noWrap/>
            <w:vAlign w:val="bottom"/>
            <w:hideMark/>
          </w:tcPr>
          <w:p w14:paraId="673E73C1"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14:paraId="61EBB064"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9DAE12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14:paraId="4CFC02BC"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7B01CC4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1.75</w:t>
            </w:r>
          </w:p>
        </w:tc>
        <w:tc>
          <w:tcPr>
            <w:tcW w:w="1440" w:type="dxa"/>
            <w:tcBorders>
              <w:top w:val="nil"/>
              <w:left w:val="nil"/>
              <w:bottom w:val="single" w:sz="4" w:space="0" w:color="auto"/>
              <w:right w:val="single" w:sz="4" w:space="0" w:color="auto"/>
            </w:tcBorders>
            <w:shd w:val="clear" w:color="auto" w:fill="auto"/>
            <w:noWrap/>
            <w:vAlign w:val="bottom"/>
            <w:hideMark/>
          </w:tcPr>
          <w:p w14:paraId="0F067B7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65.23 </w:t>
            </w:r>
          </w:p>
        </w:tc>
        <w:tc>
          <w:tcPr>
            <w:tcW w:w="1335" w:type="dxa"/>
            <w:tcBorders>
              <w:top w:val="nil"/>
              <w:left w:val="nil"/>
              <w:bottom w:val="single" w:sz="4" w:space="0" w:color="auto"/>
              <w:right w:val="single" w:sz="4" w:space="0" w:color="auto"/>
            </w:tcBorders>
            <w:shd w:val="clear" w:color="auto" w:fill="auto"/>
            <w:noWrap/>
            <w:vAlign w:val="bottom"/>
            <w:hideMark/>
          </w:tcPr>
          <w:p w14:paraId="06BA41A5"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114.15 </w:t>
            </w:r>
          </w:p>
        </w:tc>
      </w:tr>
      <w:tr w:rsidR="00225CF7" w:rsidRPr="00D21C52" w14:paraId="6D142AE7"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50B88A0C"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Faculty</w:t>
            </w:r>
          </w:p>
        </w:tc>
        <w:tc>
          <w:tcPr>
            <w:tcW w:w="960" w:type="dxa"/>
            <w:tcBorders>
              <w:top w:val="nil"/>
              <w:left w:val="nil"/>
              <w:bottom w:val="single" w:sz="4" w:space="0" w:color="auto"/>
              <w:right w:val="single" w:sz="4" w:space="0" w:color="auto"/>
            </w:tcBorders>
            <w:shd w:val="clear" w:color="auto" w:fill="auto"/>
            <w:noWrap/>
            <w:vAlign w:val="bottom"/>
            <w:hideMark/>
          </w:tcPr>
          <w:p w14:paraId="5294E04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346BD4B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7CB2AD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38368DAF"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1FE652C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5</w:t>
            </w:r>
          </w:p>
        </w:tc>
        <w:tc>
          <w:tcPr>
            <w:tcW w:w="1440" w:type="dxa"/>
            <w:tcBorders>
              <w:top w:val="nil"/>
              <w:left w:val="nil"/>
              <w:bottom w:val="single" w:sz="4" w:space="0" w:color="auto"/>
              <w:right w:val="single" w:sz="4" w:space="0" w:color="auto"/>
            </w:tcBorders>
            <w:shd w:val="clear" w:color="auto" w:fill="auto"/>
            <w:noWrap/>
            <w:vAlign w:val="bottom"/>
            <w:hideMark/>
          </w:tcPr>
          <w:p w14:paraId="6202A52F"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34.95 </w:t>
            </w:r>
          </w:p>
        </w:tc>
        <w:tc>
          <w:tcPr>
            <w:tcW w:w="1335" w:type="dxa"/>
            <w:tcBorders>
              <w:top w:val="nil"/>
              <w:left w:val="nil"/>
              <w:bottom w:val="single" w:sz="4" w:space="0" w:color="auto"/>
              <w:right w:val="single" w:sz="4" w:space="0" w:color="auto"/>
            </w:tcBorders>
            <w:shd w:val="clear" w:color="auto" w:fill="auto"/>
            <w:noWrap/>
            <w:vAlign w:val="bottom"/>
            <w:hideMark/>
          </w:tcPr>
          <w:p w14:paraId="1A87F6CF"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174.75 </w:t>
            </w:r>
          </w:p>
        </w:tc>
      </w:tr>
      <w:tr w:rsidR="00225CF7" w:rsidRPr="00D21C52" w14:paraId="37059EE1"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39BED99A"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Administrators</w:t>
            </w:r>
          </w:p>
        </w:tc>
        <w:tc>
          <w:tcPr>
            <w:tcW w:w="960" w:type="dxa"/>
            <w:tcBorders>
              <w:top w:val="nil"/>
              <w:left w:val="nil"/>
              <w:bottom w:val="single" w:sz="4" w:space="0" w:color="auto"/>
              <w:right w:val="single" w:sz="4" w:space="0" w:color="auto"/>
            </w:tcBorders>
            <w:shd w:val="clear" w:color="auto" w:fill="auto"/>
            <w:noWrap/>
            <w:vAlign w:val="bottom"/>
            <w:hideMark/>
          </w:tcPr>
          <w:p w14:paraId="69AEC22F"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705C6BB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49D9291"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4C0C8FF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18FC58B8"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5</w:t>
            </w:r>
          </w:p>
        </w:tc>
        <w:tc>
          <w:tcPr>
            <w:tcW w:w="1440" w:type="dxa"/>
            <w:tcBorders>
              <w:top w:val="nil"/>
              <w:left w:val="nil"/>
              <w:bottom w:val="single" w:sz="4" w:space="0" w:color="auto"/>
              <w:right w:val="single" w:sz="4" w:space="0" w:color="auto"/>
            </w:tcBorders>
            <w:shd w:val="clear" w:color="auto" w:fill="auto"/>
            <w:noWrap/>
            <w:vAlign w:val="bottom"/>
            <w:hideMark/>
          </w:tcPr>
          <w:p w14:paraId="23E437B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58.88 </w:t>
            </w:r>
          </w:p>
        </w:tc>
        <w:tc>
          <w:tcPr>
            <w:tcW w:w="1335" w:type="dxa"/>
            <w:tcBorders>
              <w:top w:val="nil"/>
              <w:left w:val="nil"/>
              <w:bottom w:val="single" w:sz="4" w:space="0" w:color="auto"/>
              <w:right w:val="single" w:sz="4" w:space="0" w:color="auto"/>
            </w:tcBorders>
            <w:shd w:val="clear" w:color="auto" w:fill="auto"/>
            <w:noWrap/>
            <w:vAlign w:val="bottom"/>
            <w:hideMark/>
          </w:tcPr>
          <w:p w14:paraId="053AACD8"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294.40 </w:t>
            </w:r>
          </w:p>
        </w:tc>
      </w:tr>
      <w:tr w:rsidR="00225CF7" w:rsidRPr="00D21C52" w14:paraId="4F4221A3"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6DACF15B"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Support Staff</w:t>
            </w:r>
          </w:p>
        </w:tc>
        <w:tc>
          <w:tcPr>
            <w:tcW w:w="960" w:type="dxa"/>
            <w:tcBorders>
              <w:top w:val="nil"/>
              <w:left w:val="nil"/>
              <w:bottom w:val="single" w:sz="4" w:space="0" w:color="auto"/>
              <w:right w:val="single" w:sz="4" w:space="0" w:color="auto"/>
            </w:tcBorders>
            <w:shd w:val="clear" w:color="auto" w:fill="auto"/>
            <w:noWrap/>
            <w:vAlign w:val="bottom"/>
            <w:hideMark/>
          </w:tcPr>
          <w:p w14:paraId="1EB4252D" w14:textId="2EE2CB84"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w:t>
            </w:r>
            <w:r w:rsidR="00225CF7" w:rsidRPr="00D21C52">
              <w:rPr>
                <w:rFonts w:eastAsia="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bottom"/>
            <w:hideMark/>
          </w:tcPr>
          <w:p w14:paraId="0002DF3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093A9089" w14:textId="4DA6413F"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14:paraId="26C790C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60</w:t>
            </w:r>
          </w:p>
        </w:tc>
        <w:tc>
          <w:tcPr>
            <w:tcW w:w="785" w:type="dxa"/>
            <w:tcBorders>
              <w:top w:val="nil"/>
              <w:left w:val="nil"/>
              <w:bottom w:val="single" w:sz="4" w:space="0" w:color="auto"/>
              <w:right w:val="single" w:sz="4" w:space="0" w:color="auto"/>
            </w:tcBorders>
            <w:shd w:val="clear" w:color="auto" w:fill="auto"/>
            <w:noWrap/>
            <w:vAlign w:val="bottom"/>
            <w:hideMark/>
          </w:tcPr>
          <w:p w14:paraId="510A85D2" w14:textId="7E21F3DC"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60</w:t>
            </w:r>
          </w:p>
        </w:tc>
        <w:tc>
          <w:tcPr>
            <w:tcW w:w="1440" w:type="dxa"/>
            <w:tcBorders>
              <w:top w:val="nil"/>
              <w:left w:val="nil"/>
              <w:bottom w:val="single" w:sz="4" w:space="0" w:color="auto"/>
              <w:right w:val="single" w:sz="4" w:space="0" w:color="auto"/>
            </w:tcBorders>
            <w:shd w:val="clear" w:color="auto" w:fill="auto"/>
            <w:noWrap/>
            <w:vAlign w:val="bottom"/>
            <w:hideMark/>
          </w:tcPr>
          <w:p w14:paraId="1BBCB45D"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20.12 </w:t>
            </w:r>
          </w:p>
        </w:tc>
        <w:tc>
          <w:tcPr>
            <w:tcW w:w="1335" w:type="dxa"/>
            <w:tcBorders>
              <w:top w:val="nil"/>
              <w:left w:val="nil"/>
              <w:bottom w:val="single" w:sz="4" w:space="0" w:color="auto"/>
              <w:right w:val="single" w:sz="4" w:space="0" w:color="auto"/>
            </w:tcBorders>
            <w:shd w:val="clear" w:color="auto" w:fill="auto"/>
            <w:noWrap/>
            <w:vAlign w:val="bottom"/>
            <w:hideMark/>
          </w:tcPr>
          <w:p w14:paraId="31601CEB" w14:textId="7795474A" w:rsidR="00225CF7" w:rsidRPr="00D21C52" w:rsidRDefault="00225CF7" w:rsidP="00996F3B">
            <w:pPr>
              <w:spacing w:after="0" w:line="240" w:lineRule="auto"/>
              <w:jc w:val="center"/>
              <w:rPr>
                <w:rFonts w:eastAsia="Times New Roman"/>
                <w:color w:val="000000"/>
                <w:sz w:val="18"/>
                <w:szCs w:val="18"/>
              </w:rPr>
            </w:pPr>
            <w:r w:rsidRPr="00D21C52">
              <w:rPr>
                <w:rFonts w:eastAsia="Times New Roman"/>
                <w:color w:val="000000"/>
                <w:sz w:val="18"/>
                <w:szCs w:val="18"/>
              </w:rPr>
              <w:t xml:space="preserve"> $</w:t>
            </w:r>
            <w:r w:rsidR="00996F3B">
              <w:rPr>
                <w:rFonts w:eastAsia="Times New Roman"/>
                <w:color w:val="000000"/>
                <w:sz w:val="18"/>
                <w:szCs w:val="18"/>
              </w:rPr>
              <w:t xml:space="preserve">  </w:t>
            </w:r>
            <w:r w:rsidRPr="00D21C52">
              <w:rPr>
                <w:rFonts w:eastAsia="Times New Roman"/>
                <w:color w:val="000000"/>
                <w:sz w:val="18"/>
                <w:szCs w:val="18"/>
              </w:rPr>
              <w:t xml:space="preserve">       </w:t>
            </w:r>
            <w:r w:rsidR="00996F3B">
              <w:rPr>
                <w:rFonts w:eastAsia="Times New Roman"/>
                <w:color w:val="000000"/>
                <w:sz w:val="18"/>
                <w:szCs w:val="18"/>
              </w:rPr>
              <w:t>1207</w:t>
            </w:r>
            <w:r w:rsidRPr="00D21C52">
              <w:rPr>
                <w:rFonts w:eastAsia="Times New Roman"/>
                <w:color w:val="000000"/>
                <w:sz w:val="18"/>
                <w:szCs w:val="18"/>
              </w:rPr>
              <w:t>.</w:t>
            </w:r>
            <w:r w:rsidR="00996F3B">
              <w:rPr>
                <w:rFonts w:eastAsia="Times New Roman"/>
                <w:color w:val="000000"/>
                <w:sz w:val="18"/>
                <w:szCs w:val="18"/>
              </w:rPr>
              <w:t>2</w:t>
            </w:r>
            <w:r w:rsidRPr="00D21C52">
              <w:rPr>
                <w:rFonts w:eastAsia="Times New Roman"/>
                <w:color w:val="000000"/>
                <w:sz w:val="18"/>
                <w:szCs w:val="18"/>
              </w:rPr>
              <w:t xml:space="preserve">0 </w:t>
            </w:r>
          </w:p>
        </w:tc>
      </w:tr>
      <w:tr w:rsidR="00225CF7" w:rsidRPr="00D21C52" w14:paraId="39AA5918"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371141E2"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ECE workforce</w:t>
            </w:r>
            <w:r>
              <w:rPr>
                <w:rFonts w:eastAsia="Times New Roman"/>
                <w:color w:val="000000"/>
                <w:sz w:val="18"/>
                <w:szCs w:val="18"/>
              </w:rPr>
              <w:t xml:space="preserve"> industry representative</w:t>
            </w:r>
          </w:p>
        </w:tc>
        <w:tc>
          <w:tcPr>
            <w:tcW w:w="960" w:type="dxa"/>
            <w:tcBorders>
              <w:top w:val="nil"/>
              <w:left w:val="nil"/>
              <w:bottom w:val="single" w:sz="4" w:space="0" w:color="auto"/>
              <w:right w:val="single" w:sz="4" w:space="0" w:color="auto"/>
            </w:tcBorders>
            <w:shd w:val="clear" w:color="auto" w:fill="auto"/>
            <w:noWrap/>
            <w:vAlign w:val="bottom"/>
            <w:hideMark/>
          </w:tcPr>
          <w:p w14:paraId="2C194283"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6019530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469369FE"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20561A6E"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2240A9AE"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1440" w:type="dxa"/>
            <w:tcBorders>
              <w:top w:val="nil"/>
              <w:left w:val="nil"/>
              <w:bottom w:val="single" w:sz="4" w:space="0" w:color="auto"/>
              <w:right w:val="single" w:sz="4" w:space="0" w:color="auto"/>
            </w:tcBorders>
            <w:shd w:val="clear" w:color="auto" w:fill="auto"/>
            <w:noWrap/>
            <w:vAlign w:val="bottom"/>
            <w:hideMark/>
          </w:tcPr>
          <w:p w14:paraId="25BA4923"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20.12 </w:t>
            </w:r>
          </w:p>
        </w:tc>
        <w:tc>
          <w:tcPr>
            <w:tcW w:w="1335" w:type="dxa"/>
            <w:tcBorders>
              <w:top w:val="nil"/>
              <w:left w:val="nil"/>
              <w:bottom w:val="single" w:sz="4" w:space="0" w:color="auto"/>
              <w:right w:val="single" w:sz="4" w:space="0" w:color="auto"/>
            </w:tcBorders>
            <w:shd w:val="clear" w:color="auto" w:fill="auto"/>
            <w:noWrap/>
            <w:vAlign w:val="bottom"/>
            <w:hideMark/>
          </w:tcPr>
          <w:p w14:paraId="76947DC8" w14:textId="77777777" w:rsidR="00225CF7" w:rsidRPr="00D21C52" w:rsidRDefault="00225CF7" w:rsidP="00D21C52">
            <w:pPr>
              <w:spacing w:after="0" w:line="240" w:lineRule="auto"/>
              <w:jc w:val="center"/>
              <w:rPr>
                <w:rFonts w:eastAsia="Times New Roman"/>
                <w:color w:val="000000"/>
                <w:sz w:val="18"/>
                <w:szCs w:val="18"/>
              </w:rPr>
            </w:pPr>
            <w:r>
              <w:rPr>
                <w:rFonts w:eastAsia="Times New Roman"/>
                <w:color w:val="000000"/>
                <w:sz w:val="18"/>
                <w:szCs w:val="18"/>
              </w:rPr>
              <w:t xml:space="preserve"> $            30.18</w:t>
            </w:r>
            <w:r w:rsidRPr="00D21C52">
              <w:rPr>
                <w:rFonts w:eastAsia="Times New Roman"/>
                <w:color w:val="000000"/>
                <w:sz w:val="18"/>
                <w:szCs w:val="18"/>
              </w:rPr>
              <w:t xml:space="preserve"> </w:t>
            </w:r>
          </w:p>
        </w:tc>
      </w:tr>
      <w:tr w:rsidR="00225CF7" w:rsidRPr="00D21C52" w14:paraId="63241512"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tcPr>
          <w:p w14:paraId="5728B5E0" w14:textId="77777777" w:rsidR="00225CF7" w:rsidRPr="00D21C52" w:rsidRDefault="00225CF7" w:rsidP="00D21C52">
            <w:pPr>
              <w:spacing w:after="0" w:line="240" w:lineRule="auto"/>
              <w:rPr>
                <w:rFonts w:eastAsia="Times New Roman"/>
                <w:color w:val="000000"/>
                <w:sz w:val="18"/>
                <w:szCs w:val="18"/>
              </w:rPr>
            </w:pPr>
            <w:r>
              <w:rPr>
                <w:rFonts w:eastAsia="Times New Roman"/>
                <w:color w:val="000000"/>
                <w:sz w:val="18"/>
                <w:szCs w:val="18"/>
              </w:rPr>
              <w:t>ECE workforce teacher licensing agency representative</w:t>
            </w:r>
          </w:p>
        </w:tc>
        <w:tc>
          <w:tcPr>
            <w:tcW w:w="960" w:type="dxa"/>
            <w:tcBorders>
              <w:top w:val="nil"/>
              <w:left w:val="nil"/>
              <w:bottom w:val="single" w:sz="4" w:space="0" w:color="auto"/>
              <w:right w:val="single" w:sz="4" w:space="0" w:color="auto"/>
            </w:tcBorders>
            <w:shd w:val="clear" w:color="auto" w:fill="auto"/>
            <w:noWrap/>
            <w:vAlign w:val="bottom"/>
          </w:tcPr>
          <w:p w14:paraId="4FD62924"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65F530F4"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tcPr>
          <w:p w14:paraId="0A63E98B"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3603385D"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tcPr>
          <w:p w14:paraId="34960A79"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w:t>
            </w:r>
          </w:p>
        </w:tc>
        <w:tc>
          <w:tcPr>
            <w:tcW w:w="1440" w:type="dxa"/>
            <w:tcBorders>
              <w:top w:val="nil"/>
              <w:left w:val="nil"/>
              <w:bottom w:val="single" w:sz="4" w:space="0" w:color="auto"/>
              <w:right w:val="single" w:sz="4" w:space="0" w:color="auto"/>
            </w:tcBorders>
            <w:shd w:val="clear" w:color="auto" w:fill="auto"/>
            <w:noWrap/>
            <w:vAlign w:val="bottom"/>
          </w:tcPr>
          <w:p w14:paraId="7B1C90C1"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20.12</w:t>
            </w:r>
          </w:p>
        </w:tc>
        <w:tc>
          <w:tcPr>
            <w:tcW w:w="1335" w:type="dxa"/>
            <w:tcBorders>
              <w:top w:val="nil"/>
              <w:left w:val="nil"/>
              <w:bottom w:val="single" w:sz="4" w:space="0" w:color="auto"/>
              <w:right w:val="single" w:sz="4" w:space="0" w:color="auto"/>
            </w:tcBorders>
            <w:shd w:val="clear" w:color="auto" w:fill="auto"/>
            <w:noWrap/>
            <w:vAlign w:val="bottom"/>
          </w:tcPr>
          <w:p w14:paraId="11EA4349" w14:textId="77777777" w:rsidR="00225CF7" w:rsidRPr="00D21C52" w:rsidRDefault="00225CF7" w:rsidP="00D21C52">
            <w:pPr>
              <w:spacing w:after="0" w:line="240" w:lineRule="auto"/>
              <w:jc w:val="center"/>
              <w:rPr>
                <w:rFonts w:eastAsia="Times New Roman"/>
                <w:color w:val="000000"/>
                <w:sz w:val="18"/>
                <w:szCs w:val="18"/>
              </w:rPr>
            </w:pPr>
            <w:r>
              <w:rPr>
                <w:rFonts w:eastAsia="Times New Roman"/>
                <w:color w:val="000000"/>
                <w:sz w:val="18"/>
                <w:szCs w:val="18"/>
              </w:rPr>
              <w:t>$            20.12</w:t>
            </w:r>
          </w:p>
        </w:tc>
      </w:tr>
      <w:tr w:rsidR="00225CF7" w:rsidRPr="00D21C52" w14:paraId="7CCB00C8"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7A492D4D"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students</w:t>
            </w:r>
          </w:p>
        </w:tc>
        <w:tc>
          <w:tcPr>
            <w:tcW w:w="960" w:type="dxa"/>
            <w:tcBorders>
              <w:top w:val="nil"/>
              <w:left w:val="nil"/>
              <w:bottom w:val="single" w:sz="4" w:space="0" w:color="auto"/>
              <w:right w:val="single" w:sz="4" w:space="0" w:color="auto"/>
            </w:tcBorders>
            <w:shd w:val="clear" w:color="auto" w:fill="auto"/>
            <w:noWrap/>
            <w:vAlign w:val="bottom"/>
            <w:hideMark/>
          </w:tcPr>
          <w:p w14:paraId="645BD40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14:paraId="31E26138"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54B8762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14:paraId="4399F46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785" w:type="dxa"/>
            <w:tcBorders>
              <w:top w:val="nil"/>
              <w:left w:val="nil"/>
              <w:bottom w:val="single" w:sz="4" w:space="0" w:color="auto"/>
              <w:right w:val="single" w:sz="4" w:space="0" w:color="auto"/>
            </w:tcBorders>
            <w:shd w:val="clear" w:color="auto" w:fill="auto"/>
            <w:noWrap/>
            <w:vAlign w:val="bottom"/>
            <w:hideMark/>
          </w:tcPr>
          <w:p w14:paraId="0442411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6</w:t>
            </w:r>
          </w:p>
        </w:tc>
        <w:tc>
          <w:tcPr>
            <w:tcW w:w="1440" w:type="dxa"/>
            <w:tcBorders>
              <w:top w:val="nil"/>
              <w:left w:val="nil"/>
              <w:bottom w:val="single" w:sz="4" w:space="0" w:color="auto"/>
              <w:right w:val="single" w:sz="4" w:space="0" w:color="auto"/>
            </w:tcBorders>
            <w:shd w:val="clear" w:color="auto" w:fill="auto"/>
            <w:noWrap/>
            <w:vAlign w:val="bottom"/>
            <w:hideMark/>
          </w:tcPr>
          <w:p w14:paraId="7CC85DEE"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7.25 </w:t>
            </w:r>
          </w:p>
        </w:tc>
        <w:tc>
          <w:tcPr>
            <w:tcW w:w="1335" w:type="dxa"/>
            <w:tcBorders>
              <w:top w:val="nil"/>
              <w:left w:val="nil"/>
              <w:bottom w:val="single" w:sz="4" w:space="0" w:color="auto"/>
              <w:right w:val="single" w:sz="4" w:space="0" w:color="auto"/>
            </w:tcBorders>
            <w:shd w:val="clear" w:color="auto" w:fill="auto"/>
            <w:noWrap/>
            <w:vAlign w:val="bottom"/>
            <w:hideMark/>
          </w:tcPr>
          <w:p w14:paraId="2DC86B59"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43.50 </w:t>
            </w:r>
          </w:p>
        </w:tc>
      </w:tr>
      <w:tr w:rsidR="00F0721E" w:rsidRPr="00D21C52" w14:paraId="27F509FB" w14:textId="77777777" w:rsidTr="00F0721E">
        <w:trPr>
          <w:trHeight w:val="260"/>
        </w:trPr>
        <w:tc>
          <w:tcPr>
            <w:tcW w:w="2797" w:type="dxa"/>
            <w:tcBorders>
              <w:top w:val="nil"/>
              <w:left w:val="single" w:sz="4" w:space="0" w:color="auto"/>
              <w:bottom w:val="single" w:sz="4" w:space="0" w:color="auto"/>
              <w:right w:val="single" w:sz="4" w:space="0" w:color="auto"/>
            </w:tcBorders>
            <w:shd w:val="clear" w:color="auto" w:fill="auto"/>
          </w:tcPr>
          <w:p w14:paraId="12E9F57D" w14:textId="77777777" w:rsidR="00F0721E" w:rsidRPr="00F0721E" w:rsidRDefault="00F0721E" w:rsidP="00D21C52">
            <w:pPr>
              <w:spacing w:after="0" w:line="240" w:lineRule="auto"/>
              <w:rPr>
                <w:rFonts w:eastAsia="Times New Roman"/>
                <w:color w:val="000000"/>
                <w:sz w:val="18"/>
                <w:szCs w:val="18"/>
              </w:rPr>
            </w:pPr>
            <w:r w:rsidRPr="00F0721E">
              <w:rPr>
                <w:sz w:val="18"/>
                <w:szCs w:val="18"/>
              </w:rPr>
              <w:t>IHE IRB study staff approval</w:t>
            </w:r>
          </w:p>
        </w:tc>
        <w:tc>
          <w:tcPr>
            <w:tcW w:w="960" w:type="dxa"/>
            <w:tcBorders>
              <w:top w:val="nil"/>
              <w:left w:val="nil"/>
              <w:bottom w:val="single" w:sz="4" w:space="0" w:color="auto"/>
              <w:right w:val="single" w:sz="4" w:space="0" w:color="auto"/>
            </w:tcBorders>
            <w:shd w:val="clear" w:color="auto" w:fill="auto"/>
            <w:noWrap/>
          </w:tcPr>
          <w:p w14:paraId="347B8790"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20</w:t>
            </w:r>
          </w:p>
        </w:tc>
        <w:tc>
          <w:tcPr>
            <w:tcW w:w="960" w:type="dxa"/>
            <w:tcBorders>
              <w:top w:val="nil"/>
              <w:left w:val="nil"/>
              <w:bottom w:val="single" w:sz="4" w:space="0" w:color="auto"/>
              <w:right w:val="single" w:sz="4" w:space="0" w:color="auto"/>
            </w:tcBorders>
            <w:shd w:val="clear" w:color="auto" w:fill="auto"/>
            <w:noWrap/>
          </w:tcPr>
          <w:p w14:paraId="020C8046"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100%</w:t>
            </w:r>
          </w:p>
        </w:tc>
        <w:tc>
          <w:tcPr>
            <w:tcW w:w="1188" w:type="dxa"/>
            <w:tcBorders>
              <w:top w:val="nil"/>
              <w:left w:val="nil"/>
              <w:bottom w:val="single" w:sz="4" w:space="0" w:color="auto"/>
              <w:right w:val="single" w:sz="4" w:space="0" w:color="auto"/>
            </w:tcBorders>
            <w:shd w:val="clear" w:color="auto" w:fill="auto"/>
            <w:noWrap/>
          </w:tcPr>
          <w:p w14:paraId="34A1B28E"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20</w:t>
            </w:r>
          </w:p>
        </w:tc>
        <w:tc>
          <w:tcPr>
            <w:tcW w:w="960" w:type="dxa"/>
            <w:tcBorders>
              <w:top w:val="nil"/>
              <w:left w:val="nil"/>
              <w:bottom w:val="single" w:sz="4" w:space="0" w:color="auto"/>
              <w:right w:val="single" w:sz="4" w:space="0" w:color="auto"/>
            </w:tcBorders>
            <w:shd w:val="clear" w:color="auto" w:fill="auto"/>
            <w:noWrap/>
          </w:tcPr>
          <w:p w14:paraId="3A4BC31C"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480</w:t>
            </w:r>
          </w:p>
        </w:tc>
        <w:tc>
          <w:tcPr>
            <w:tcW w:w="785" w:type="dxa"/>
            <w:tcBorders>
              <w:top w:val="nil"/>
              <w:left w:val="nil"/>
              <w:bottom w:val="single" w:sz="4" w:space="0" w:color="auto"/>
              <w:right w:val="single" w:sz="4" w:space="0" w:color="auto"/>
            </w:tcBorders>
            <w:shd w:val="clear" w:color="auto" w:fill="auto"/>
            <w:noWrap/>
          </w:tcPr>
          <w:p w14:paraId="0788EBA2"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160</w:t>
            </w:r>
          </w:p>
        </w:tc>
        <w:tc>
          <w:tcPr>
            <w:tcW w:w="1440" w:type="dxa"/>
            <w:tcBorders>
              <w:top w:val="nil"/>
              <w:left w:val="nil"/>
              <w:bottom w:val="single" w:sz="4" w:space="0" w:color="auto"/>
              <w:right w:val="single" w:sz="4" w:space="0" w:color="auto"/>
            </w:tcBorders>
            <w:shd w:val="clear" w:color="auto" w:fill="auto"/>
            <w:noWrap/>
          </w:tcPr>
          <w:p w14:paraId="2AC44CE4" w14:textId="77777777" w:rsidR="00F0721E" w:rsidRPr="00F0721E" w:rsidRDefault="00F0721E" w:rsidP="00D21C52">
            <w:pPr>
              <w:spacing w:after="0" w:line="240" w:lineRule="auto"/>
              <w:jc w:val="right"/>
              <w:rPr>
                <w:rFonts w:eastAsia="Times New Roman"/>
                <w:color w:val="000000"/>
                <w:sz w:val="18"/>
                <w:szCs w:val="18"/>
              </w:rPr>
            </w:pPr>
            <w:r w:rsidRPr="00F0721E">
              <w:rPr>
                <w:sz w:val="18"/>
                <w:szCs w:val="18"/>
              </w:rPr>
              <w:t xml:space="preserve"> $                34.95 </w:t>
            </w:r>
          </w:p>
        </w:tc>
        <w:tc>
          <w:tcPr>
            <w:tcW w:w="1335" w:type="dxa"/>
            <w:tcBorders>
              <w:top w:val="nil"/>
              <w:left w:val="nil"/>
              <w:bottom w:val="single" w:sz="4" w:space="0" w:color="auto"/>
              <w:right w:val="single" w:sz="4" w:space="0" w:color="auto"/>
            </w:tcBorders>
            <w:shd w:val="clear" w:color="auto" w:fill="auto"/>
            <w:noWrap/>
          </w:tcPr>
          <w:p w14:paraId="47C692A8" w14:textId="77777777" w:rsidR="00F0721E" w:rsidRPr="00F0721E" w:rsidRDefault="00F0721E" w:rsidP="00D21C52">
            <w:pPr>
              <w:spacing w:after="0" w:line="240" w:lineRule="auto"/>
              <w:jc w:val="center"/>
              <w:rPr>
                <w:rFonts w:eastAsia="Times New Roman"/>
                <w:color w:val="000000"/>
                <w:sz w:val="18"/>
                <w:szCs w:val="18"/>
              </w:rPr>
            </w:pPr>
            <w:r w:rsidRPr="00F0721E">
              <w:rPr>
                <w:sz w:val="18"/>
                <w:szCs w:val="18"/>
              </w:rPr>
              <w:t xml:space="preserve"> $       5,592.00 </w:t>
            </w:r>
          </w:p>
        </w:tc>
      </w:tr>
      <w:tr w:rsidR="00225CF7" w:rsidRPr="00D21C52" w14:paraId="1B1E80F7" w14:textId="77777777" w:rsidTr="00D21C52">
        <w:trPr>
          <w:trHeight w:val="240"/>
        </w:trPr>
        <w:tc>
          <w:tcPr>
            <w:tcW w:w="2797" w:type="dxa"/>
            <w:tcBorders>
              <w:top w:val="nil"/>
              <w:left w:val="single" w:sz="4" w:space="0" w:color="auto"/>
              <w:bottom w:val="single" w:sz="4" w:space="0" w:color="auto"/>
              <w:right w:val="single" w:sz="4" w:space="0" w:color="auto"/>
            </w:tcBorders>
            <w:shd w:val="clear" w:color="000000" w:fill="E7E6E6"/>
            <w:vAlign w:val="center"/>
            <w:hideMark/>
          </w:tcPr>
          <w:p w14:paraId="7E8C9894" w14:textId="77777777" w:rsidR="00225CF7" w:rsidRPr="00D21C52" w:rsidRDefault="00225CF7" w:rsidP="00D21C52">
            <w:pPr>
              <w:spacing w:after="0" w:line="240" w:lineRule="auto"/>
              <w:rPr>
                <w:rFonts w:eastAsia="Times New Roman"/>
                <w:b/>
                <w:bCs/>
                <w:color w:val="000000"/>
                <w:sz w:val="18"/>
                <w:szCs w:val="18"/>
              </w:rPr>
            </w:pPr>
            <w:r w:rsidRPr="00D21C52">
              <w:rPr>
                <w:rFonts w:eastAsia="Times New Roman"/>
                <w:b/>
                <w:bCs/>
                <w:color w:val="000000"/>
                <w:sz w:val="18"/>
                <w:szCs w:val="18"/>
              </w:rPr>
              <w:t>Total for Recruitment</w:t>
            </w:r>
          </w:p>
        </w:tc>
        <w:tc>
          <w:tcPr>
            <w:tcW w:w="960" w:type="dxa"/>
            <w:tcBorders>
              <w:top w:val="nil"/>
              <w:left w:val="nil"/>
              <w:bottom w:val="single" w:sz="4" w:space="0" w:color="auto"/>
              <w:right w:val="single" w:sz="4" w:space="0" w:color="auto"/>
            </w:tcBorders>
            <w:shd w:val="clear" w:color="000000" w:fill="E7E6E6"/>
            <w:noWrap/>
            <w:vAlign w:val="bottom"/>
            <w:hideMark/>
          </w:tcPr>
          <w:p w14:paraId="72C6610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140</w:t>
            </w:r>
          </w:p>
        </w:tc>
        <w:tc>
          <w:tcPr>
            <w:tcW w:w="960" w:type="dxa"/>
            <w:tcBorders>
              <w:top w:val="nil"/>
              <w:left w:val="nil"/>
              <w:bottom w:val="single" w:sz="4" w:space="0" w:color="auto"/>
              <w:right w:val="single" w:sz="4" w:space="0" w:color="auto"/>
            </w:tcBorders>
            <w:shd w:val="clear" w:color="000000" w:fill="E7E6E6"/>
            <w:noWrap/>
            <w:vAlign w:val="bottom"/>
            <w:hideMark/>
          </w:tcPr>
          <w:p w14:paraId="3F84F56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1188" w:type="dxa"/>
            <w:tcBorders>
              <w:top w:val="nil"/>
              <w:left w:val="nil"/>
              <w:bottom w:val="single" w:sz="4" w:space="0" w:color="auto"/>
              <w:right w:val="single" w:sz="4" w:space="0" w:color="auto"/>
            </w:tcBorders>
            <w:shd w:val="clear" w:color="000000" w:fill="E7E6E6"/>
            <w:noWrap/>
            <w:vAlign w:val="bottom"/>
            <w:hideMark/>
          </w:tcPr>
          <w:p w14:paraId="6AC647C1"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140</w:t>
            </w:r>
          </w:p>
        </w:tc>
        <w:tc>
          <w:tcPr>
            <w:tcW w:w="960" w:type="dxa"/>
            <w:tcBorders>
              <w:top w:val="nil"/>
              <w:left w:val="nil"/>
              <w:bottom w:val="single" w:sz="4" w:space="0" w:color="auto"/>
              <w:right w:val="single" w:sz="4" w:space="0" w:color="auto"/>
            </w:tcBorders>
            <w:shd w:val="clear" w:color="000000" w:fill="E7E6E6"/>
            <w:noWrap/>
            <w:vAlign w:val="bottom"/>
            <w:hideMark/>
          </w:tcPr>
          <w:p w14:paraId="53BB95D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785" w:type="dxa"/>
            <w:tcBorders>
              <w:top w:val="nil"/>
              <w:left w:val="nil"/>
              <w:bottom w:val="single" w:sz="4" w:space="0" w:color="auto"/>
              <w:right w:val="single" w:sz="4" w:space="0" w:color="auto"/>
            </w:tcBorders>
            <w:shd w:val="clear" w:color="000000" w:fill="E7E6E6"/>
            <w:noWrap/>
            <w:vAlign w:val="bottom"/>
            <w:hideMark/>
          </w:tcPr>
          <w:p w14:paraId="5E6F89E8" w14:textId="77777777" w:rsidR="00225CF7" w:rsidRPr="00D21C52" w:rsidRDefault="00F0721E" w:rsidP="00D21C52">
            <w:pPr>
              <w:spacing w:after="0" w:line="240" w:lineRule="auto"/>
              <w:jc w:val="right"/>
              <w:rPr>
                <w:rFonts w:eastAsia="Times New Roman"/>
                <w:color w:val="000000"/>
                <w:sz w:val="18"/>
                <w:szCs w:val="18"/>
              </w:rPr>
            </w:pPr>
            <w:r>
              <w:rPr>
                <w:rFonts w:eastAsia="Times New Roman"/>
                <w:color w:val="000000"/>
                <w:sz w:val="18"/>
                <w:szCs w:val="18"/>
              </w:rPr>
              <w:t>205</w:t>
            </w:r>
          </w:p>
        </w:tc>
        <w:tc>
          <w:tcPr>
            <w:tcW w:w="1440" w:type="dxa"/>
            <w:tcBorders>
              <w:top w:val="nil"/>
              <w:left w:val="nil"/>
              <w:bottom w:val="single" w:sz="4" w:space="0" w:color="auto"/>
              <w:right w:val="single" w:sz="4" w:space="0" w:color="auto"/>
            </w:tcBorders>
            <w:shd w:val="clear" w:color="000000" w:fill="E7E6E6"/>
            <w:noWrap/>
            <w:vAlign w:val="bottom"/>
            <w:hideMark/>
          </w:tcPr>
          <w:p w14:paraId="780A6358"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1335" w:type="dxa"/>
            <w:tcBorders>
              <w:top w:val="nil"/>
              <w:left w:val="nil"/>
              <w:bottom w:val="single" w:sz="4" w:space="0" w:color="auto"/>
              <w:right w:val="single" w:sz="4" w:space="0" w:color="auto"/>
            </w:tcBorders>
            <w:shd w:val="clear" w:color="000000" w:fill="E7E6E6"/>
            <w:noWrap/>
            <w:vAlign w:val="bottom"/>
            <w:hideMark/>
          </w:tcPr>
          <w:p w14:paraId="41920D8C"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6,981.35 </w:t>
            </w:r>
          </w:p>
        </w:tc>
      </w:tr>
      <w:tr w:rsidR="00225CF7" w:rsidRPr="00D21C52" w14:paraId="2C39A401" w14:textId="77777777" w:rsidTr="00D21C52">
        <w:trPr>
          <w:trHeight w:val="240"/>
        </w:trPr>
        <w:tc>
          <w:tcPr>
            <w:tcW w:w="10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C4633AE" w14:textId="77777777" w:rsidR="00225CF7" w:rsidRPr="00D21C52" w:rsidRDefault="00225CF7" w:rsidP="00D21C52">
            <w:pPr>
              <w:spacing w:after="0" w:line="240" w:lineRule="auto"/>
              <w:rPr>
                <w:rFonts w:eastAsia="Times New Roman"/>
                <w:b/>
                <w:bCs/>
                <w:i/>
                <w:iCs/>
                <w:color w:val="000000"/>
                <w:sz w:val="18"/>
                <w:szCs w:val="18"/>
              </w:rPr>
            </w:pPr>
            <w:r w:rsidRPr="00D21C52">
              <w:rPr>
                <w:rFonts w:eastAsia="Times New Roman"/>
                <w:b/>
                <w:bCs/>
                <w:i/>
                <w:iCs/>
                <w:color w:val="000000"/>
                <w:sz w:val="18"/>
                <w:szCs w:val="18"/>
              </w:rPr>
              <w:t>Data Collection</w:t>
            </w:r>
          </w:p>
        </w:tc>
      </w:tr>
      <w:tr w:rsidR="00225CF7" w:rsidRPr="00D21C52" w14:paraId="0B6BF69B"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3A5595B4" w14:textId="77777777" w:rsidR="00225CF7" w:rsidRPr="00D21C52" w:rsidRDefault="00225CF7" w:rsidP="00225CF7">
            <w:pPr>
              <w:spacing w:after="0" w:line="240" w:lineRule="auto"/>
              <w:rPr>
                <w:rFonts w:eastAsia="Times New Roman"/>
                <w:color w:val="000000"/>
                <w:sz w:val="18"/>
                <w:szCs w:val="18"/>
              </w:rPr>
            </w:pPr>
            <w:r w:rsidRPr="00D21C52">
              <w:rPr>
                <w:rFonts w:eastAsia="Times New Roman"/>
                <w:color w:val="000000"/>
                <w:sz w:val="18"/>
                <w:szCs w:val="18"/>
              </w:rPr>
              <w:t>State Administrator</w:t>
            </w:r>
            <w:r>
              <w:rPr>
                <w:rFonts w:eastAsia="Times New Roman"/>
                <w:color w:val="000000"/>
                <w:sz w:val="18"/>
                <w:szCs w:val="18"/>
              </w:rPr>
              <w:t xml:space="preserve"> responsible for transfer policy interview</w:t>
            </w:r>
          </w:p>
        </w:tc>
        <w:tc>
          <w:tcPr>
            <w:tcW w:w="960" w:type="dxa"/>
            <w:tcBorders>
              <w:top w:val="nil"/>
              <w:left w:val="nil"/>
              <w:bottom w:val="single" w:sz="4" w:space="0" w:color="auto"/>
              <w:right w:val="single" w:sz="4" w:space="0" w:color="auto"/>
            </w:tcBorders>
            <w:shd w:val="clear" w:color="auto" w:fill="auto"/>
            <w:noWrap/>
            <w:vAlign w:val="bottom"/>
            <w:hideMark/>
          </w:tcPr>
          <w:p w14:paraId="005CDDFB"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14:paraId="05BC938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E7404AD"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14:paraId="33E41AE7"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hideMark/>
          </w:tcPr>
          <w:p w14:paraId="50E8F076"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11.25</w:t>
            </w:r>
          </w:p>
        </w:tc>
        <w:tc>
          <w:tcPr>
            <w:tcW w:w="1440" w:type="dxa"/>
            <w:tcBorders>
              <w:top w:val="nil"/>
              <w:left w:val="nil"/>
              <w:bottom w:val="single" w:sz="4" w:space="0" w:color="auto"/>
              <w:right w:val="single" w:sz="4" w:space="0" w:color="auto"/>
            </w:tcBorders>
            <w:shd w:val="clear" w:color="auto" w:fill="auto"/>
            <w:noWrap/>
            <w:vAlign w:val="bottom"/>
            <w:hideMark/>
          </w:tcPr>
          <w:p w14:paraId="135DCD94"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65.23 </w:t>
            </w:r>
          </w:p>
        </w:tc>
        <w:tc>
          <w:tcPr>
            <w:tcW w:w="1335" w:type="dxa"/>
            <w:tcBorders>
              <w:top w:val="nil"/>
              <w:left w:val="nil"/>
              <w:bottom w:val="single" w:sz="4" w:space="0" w:color="auto"/>
              <w:right w:val="single" w:sz="4" w:space="0" w:color="auto"/>
            </w:tcBorders>
            <w:shd w:val="clear" w:color="auto" w:fill="auto"/>
            <w:noWrap/>
            <w:vAlign w:val="bottom"/>
            <w:hideMark/>
          </w:tcPr>
          <w:p w14:paraId="10A45560" w14:textId="77777777" w:rsidR="00225CF7" w:rsidRPr="00D21C52" w:rsidRDefault="00BA0807" w:rsidP="00D21C52">
            <w:pPr>
              <w:spacing w:after="0" w:line="240" w:lineRule="auto"/>
              <w:jc w:val="center"/>
              <w:rPr>
                <w:rFonts w:eastAsia="Times New Roman"/>
                <w:color w:val="000000"/>
                <w:sz w:val="18"/>
                <w:szCs w:val="18"/>
              </w:rPr>
            </w:pPr>
            <w:r>
              <w:rPr>
                <w:rFonts w:eastAsia="Times New Roman"/>
                <w:color w:val="000000"/>
                <w:sz w:val="18"/>
                <w:szCs w:val="18"/>
              </w:rPr>
              <w:t xml:space="preserve"> $          733.84</w:t>
            </w:r>
            <w:r w:rsidR="00225CF7" w:rsidRPr="00D21C52">
              <w:rPr>
                <w:rFonts w:eastAsia="Times New Roman"/>
                <w:color w:val="000000"/>
                <w:sz w:val="18"/>
                <w:szCs w:val="18"/>
              </w:rPr>
              <w:t xml:space="preserve"> </w:t>
            </w:r>
          </w:p>
        </w:tc>
      </w:tr>
      <w:tr w:rsidR="00225CF7" w:rsidRPr="00D21C52" w14:paraId="1760B506"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tcPr>
          <w:p w14:paraId="47E04AA9" w14:textId="77777777" w:rsidR="00225CF7" w:rsidRPr="00D21C52" w:rsidRDefault="00225CF7" w:rsidP="00D21C52">
            <w:pPr>
              <w:spacing w:after="0" w:line="240" w:lineRule="auto"/>
              <w:rPr>
                <w:rFonts w:eastAsia="Times New Roman"/>
                <w:color w:val="000000"/>
                <w:sz w:val="18"/>
                <w:szCs w:val="18"/>
              </w:rPr>
            </w:pPr>
            <w:r>
              <w:rPr>
                <w:rFonts w:eastAsia="Times New Roman"/>
                <w:color w:val="000000"/>
                <w:sz w:val="18"/>
                <w:szCs w:val="18"/>
              </w:rPr>
              <w:t>State policy staff involved in ECE articulation interview</w:t>
            </w:r>
          </w:p>
        </w:tc>
        <w:tc>
          <w:tcPr>
            <w:tcW w:w="960" w:type="dxa"/>
            <w:tcBorders>
              <w:top w:val="nil"/>
              <w:left w:val="nil"/>
              <w:bottom w:val="single" w:sz="4" w:space="0" w:color="auto"/>
              <w:right w:val="single" w:sz="4" w:space="0" w:color="auto"/>
            </w:tcBorders>
            <w:shd w:val="clear" w:color="auto" w:fill="auto"/>
            <w:noWrap/>
            <w:vAlign w:val="bottom"/>
          </w:tcPr>
          <w:p w14:paraId="029D11A3"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5EBA3E54"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tcPr>
          <w:p w14:paraId="29F60B7D"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5F238543" w14:textId="77777777" w:rsidR="00225CF7" w:rsidRPr="00D21C52" w:rsidRDefault="00225CF7" w:rsidP="00D21C52">
            <w:pPr>
              <w:spacing w:after="0" w:line="240" w:lineRule="auto"/>
              <w:jc w:val="right"/>
              <w:rPr>
                <w:rFonts w:eastAsia="Times New Roman"/>
                <w:color w:val="000000"/>
                <w:sz w:val="18"/>
                <w:szCs w:val="18"/>
              </w:rPr>
            </w:pPr>
            <w:r>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tcPr>
          <w:p w14:paraId="70BC46C9" w14:textId="77777777" w:rsidR="00225CF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3</w:t>
            </w:r>
          </w:p>
        </w:tc>
        <w:tc>
          <w:tcPr>
            <w:tcW w:w="1440" w:type="dxa"/>
            <w:tcBorders>
              <w:top w:val="nil"/>
              <w:left w:val="nil"/>
              <w:bottom w:val="single" w:sz="4" w:space="0" w:color="auto"/>
              <w:right w:val="single" w:sz="4" w:space="0" w:color="auto"/>
            </w:tcBorders>
            <w:shd w:val="clear" w:color="auto" w:fill="auto"/>
            <w:noWrap/>
            <w:vAlign w:val="bottom"/>
          </w:tcPr>
          <w:p w14:paraId="01F478FF" w14:textId="77777777" w:rsidR="00225CF7" w:rsidRPr="00D21C52" w:rsidRDefault="00BA0807" w:rsidP="00D21C52">
            <w:pPr>
              <w:spacing w:after="0" w:line="240" w:lineRule="auto"/>
              <w:jc w:val="right"/>
              <w:rPr>
                <w:rFonts w:eastAsia="Times New Roman"/>
                <w:color w:val="000000"/>
                <w:sz w:val="18"/>
                <w:szCs w:val="18"/>
              </w:rPr>
            </w:pPr>
            <w:r w:rsidRPr="00D21C52">
              <w:rPr>
                <w:rFonts w:eastAsia="Times New Roman"/>
                <w:color w:val="000000"/>
                <w:sz w:val="18"/>
                <w:szCs w:val="18"/>
              </w:rPr>
              <w:t>$                65.23</w:t>
            </w:r>
          </w:p>
        </w:tc>
        <w:tc>
          <w:tcPr>
            <w:tcW w:w="1335" w:type="dxa"/>
            <w:tcBorders>
              <w:top w:val="nil"/>
              <w:left w:val="nil"/>
              <w:bottom w:val="single" w:sz="4" w:space="0" w:color="auto"/>
              <w:right w:val="single" w:sz="4" w:space="0" w:color="auto"/>
            </w:tcBorders>
            <w:shd w:val="clear" w:color="auto" w:fill="auto"/>
            <w:noWrap/>
            <w:vAlign w:val="bottom"/>
          </w:tcPr>
          <w:p w14:paraId="1AD27860" w14:textId="77777777" w:rsidR="00225CF7" w:rsidRPr="00D21C52" w:rsidRDefault="00BA0807" w:rsidP="00D21C52">
            <w:pPr>
              <w:spacing w:after="0" w:line="240" w:lineRule="auto"/>
              <w:jc w:val="center"/>
              <w:rPr>
                <w:rFonts w:eastAsia="Times New Roman"/>
                <w:color w:val="000000"/>
                <w:sz w:val="18"/>
                <w:szCs w:val="18"/>
              </w:rPr>
            </w:pPr>
            <w:r>
              <w:rPr>
                <w:rFonts w:eastAsia="Times New Roman"/>
                <w:color w:val="000000"/>
                <w:sz w:val="18"/>
                <w:szCs w:val="18"/>
              </w:rPr>
              <w:t>$          195.69</w:t>
            </w:r>
          </w:p>
        </w:tc>
      </w:tr>
      <w:tr w:rsidR="00225CF7" w:rsidRPr="00D21C52" w14:paraId="752030E3"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740D6FDB"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State Governing body members interview</w:t>
            </w:r>
          </w:p>
        </w:tc>
        <w:tc>
          <w:tcPr>
            <w:tcW w:w="960" w:type="dxa"/>
            <w:tcBorders>
              <w:top w:val="nil"/>
              <w:left w:val="nil"/>
              <w:bottom w:val="single" w:sz="4" w:space="0" w:color="auto"/>
              <w:right w:val="single" w:sz="4" w:space="0" w:color="auto"/>
            </w:tcBorders>
            <w:shd w:val="clear" w:color="auto" w:fill="auto"/>
            <w:noWrap/>
            <w:vAlign w:val="bottom"/>
            <w:hideMark/>
          </w:tcPr>
          <w:p w14:paraId="42892C1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14:paraId="236DD1E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471ACA23"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14:paraId="69C9692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hideMark/>
          </w:tcPr>
          <w:p w14:paraId="6ED4894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5.25</w:t>
            </w:r>
          </w:p>
        </w:tc>
        <w:tc>
          <w:tcPr>
            <w:tcW w:w="1440" w:type="dxa"/>
            <w:tcBorders>
              <w:top w:val="nil"/>
              <w:left w:val="nil"/>
              <w:bottom w:val="single" w:sz="4" w:space="0" w:color="auto"/>
              <w:right w:val="single" w:sz="4" w:space="0" w:color="auto"/>
            </w:tcBorders>
            <w:shd w:val="clear" w:color="auto" w:fill="auto"/>
            <w:noWrap/>
            <w:vAlign w:val="bottom"/>
            <w:hideMark/>
          </w:tcPr>
          <w:p w14:paraId="6AA2A5B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65.23 </w:t>
            </w:r>
          </w:p>
        </w:tc>
        <w:tc>
          <w:tcPr>
            <w:tcW w:w="1335" w:type="dxa"/>
            <w:tcBorders>
              <w:top w:val="nil"/>
              <w:left w:val="nil"/>
              <w:bottom w:val="single" w:sz="4" w:space="0" w:color="auto"/>
              <w:right w:val="single" w:sz="4" w:space="0" w:color="auto"/>
            </w:tcBorders>
            <w:shd w:val="clear" w:color="auto" w:fill="auto"/>
            <w:noWrap/>
            <w:vAlign w:val="bottom"/>
            <w:hideMark/>
          </w:tcPr>
          <w:p w14:paraId="7CBCE167"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342.46 </w:t>
            </w:r>
          </w:p>
        </w:tc>
      </w:tr>
      <w:tr w:rsidR="00225CF7" w:rsidRPr="00D21C52" w14:paraId="7D1E0155"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6F007A0F"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Faculty interview</w:t>
            </w:r>
          </w:p>
        </w:tc>
        <w:tc>
          <w:tcPr>
            <w:tcW w:w="960" w:type="dxa"/>
            <w:tcBorders>
              <w:top w:val="nil"/>
              <w:left w:val="nil"/>
              <w:bottom w:val="single" w:sz="4" w:space="0" w:color="auto"/>
              <w:right w:val="single" w:sz="4" w:space="0" w:color="auto"/>
            </w:tcBorders>
            <w:shd w:val="clear" w:color="auto" w:fill="auto"/>
            <w:noWrap/>
            <w:vAlign w:val="bottom"/>
            <w:hideMark/>
          </w:tcPr>
          <w:p w14:paraId="00578C9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39B80E36"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6505F34D"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3053B65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60</w:t>
            </w:r>
          </w:p>
        </w:tc>
        <w:tc>
          <w:tcPr>
            <w:tcW w:w="785" w:type="dxa"/>
            <w:tcBorders>
              <w:top w:val="nil"/>
              <w:left w:val="nil"/>
              <w:bottom w:val="single" w:sz="4" w:space="0" w:color="auto"/>
              <w:right w:val="single" w:sz="4" w:space="0" w:color="auto"/>
            </w:tcBorders>
            <w:shd w:val="clear" w:color="auto" w:fill="auto"/>
            <w:noWrap/>
            <w:vAlign w:val="bottom"/>
            <w:hideMark/>
          </w:tcPr>
          <w:p w14:paraId="16876B5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1440" w:type="dxa"/>
            <w:tcBorders>
              <w:top w:val="nil"/>
              <w:left w:val="nil"/>
              <w:bottom w:val="single" w:sz="4" w:space="0" w:color="auto"/>
              <w:right w:val="single" w:sz="4" w:space="0" w:color="auto"/>
            </w:tcBorders>
            <w:shd w:val="clear" w:color="auto" w:fill="auto"/>
            <w:noWrap/>
            <w:vAlign w:val="bottom"/>
            <w:hideMark/>
          </w:tcPr>
          <w:p w14:paraId="642CED5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34.95 </w:t>
            </w:r>
          </w:p>
        </w:tc>
        <w:tc>
          <w:tcPr>
            <w:tcW w:w="1335" w:type="dxa"/>
            <w:tcBorders>
              <w:top w:val="nil"/>
              <w:left w:val="nil"/>
              <w:bottom w:val="single" w:sz="4" w:space="0" w:color="auto"/>
              <w:right w:val="single" w:sz="4" w:space="0" w:color="auto"/>
            </w:tcBorders>
            <w:shd w:val="clear" w:color="auto" w:fill="auto"/>
            <w:noWrap/>
            <w:vAlign w:val="bottom"/>
            <w:hideMark/>
          </w:tcPr>
          <w:p w14:paraId="2A9A50E4"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699.00 </w:t>
            </w:r>
          </w:p>
        </w:tc>
      </w:tr>
      <w:tr w:rsidR="00225CF7" w:rsidRPr="00D21C52" w14:paraId="3C4F4C1E"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0326172A"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Administrator interview</w:t>
            </w:r>
          </w:p>
        </w:tc>
        <w:tc>
          <w:tcPr>
            <w:tcW w:w="960" w:type="dxa"/>
            <w:tcBorders>
              <w:top w:val="nil"/>
              <w:left w:val="nil"/>
              <w:bottom w:val="single" w:sz="4" w:space="0" w:color="auto"/>
              <w:right w:val="single" w:sz="4" w:space="0" w:color="auto"/>
            </w:tcBorders>
            <w:shd w:val="clear" w:color="auto" w:fill="auto"/>
            <w:noWrap/>
            <w:vAlign w:val="bottom"/>
            <w:hideMark/>
          </w:tcPr>
          <w:p w14:paraId="67534E58"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01F166A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24FB051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4CFFB5C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hideMark/>
          </w:tcPr>
          <w:p w14:paraId="08EC6889"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15</w:t>
            </w:r>
          </w:p>
        </w:tc>
        <w:tc>
          <w:tcPr>
            <w:tcW w:w="1440" w:type="dxa"/>
            <w:tcBorders>
              <w:top w:val="nil"/>
              <w:left w:val="nil"/>
              <w:bottom w:val="single" w:sz="4" w:space="0" w:color="auto"/>
              <w:right w:val="single" w:sz="4" w:space="0" w:color="auto"/>
            </w:tcBorders>
            <w:shd w:val="clear" w:color="auto" w:fill="auto"/>
            <w:noWrap/>
            <w:vAlign w:val="bottom"/>
            <w:hideMark/>
          </w:tcPr>
          <w:p w14:paraId="707304D1"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58.88 </w:t>
            </w:r>
          </w:p>
        </w:tc>
        <w:tc>
          <w:tcPr>
            <w:tcW w:w="1335" w:type="dxa"/>
            <w:tcBorders>
              <w:top w:val="nil"/>
              <w:left w:val="nil"/>
              <w:bottom w:val="single" w:sz="4" w:space="0" w:color="auto"/>
              <w:right w:val="single" w:sz="4" w:space="0" w:color="auto"/>
            </w:tcBorders>
            <w:shd w:val="clear" w:color="auto" w:fill="auto"/>
            <w:noWrap/>
            <w:vAlign w:val="bottom"/>
            <w:hideMark/>
          </w:tcPr>
          <w:p w14:paraId="078CB6D9"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883.20 </w:t>
            </w:r>
          </w:p>
        </w:tc>
      </w:tr>
      <w:tr w:rsidR="00225CF7" w:rsidRPr="00D21C52" w14:paraId="36FAC098"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4927F7F6"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Support Staff focus group</w:t>
            </w:r>
          </w:p>
        </w:tc>
        <w:tc>
          <w:tcPr>
            <w:tcW w:w="960" w:type="dxa"/>
            <w:tcBorders>
              <w:top w:val="nil"/>
              <w:left w:val="nil"/>
              <w:bottom w:val="single" w:sz="4" w:space="0" w:color="auto"/>
              <w:right w:val="single" w:sz="4" w:space="0" w:color="auto"/>
            </w:tcBorders>
            <w:shd w:val="clear" w:color="auto" w:fill="auto"/>
            <w:noWrap/>
            <w:vAlign w:val="bottom"/>
            <w:hideMark/>
          </w:tcPr>
          <w:p w14:paraId="1D6062C6" w14:textId="34DCD234"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w:t>
            </w:r>
            <w:r w:rsidR="00225CF7" w:rsidRPr="00D21C52">
              <w:rPr>
                <w:rFonts w:eastAsia="Times New Roman"/>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bottom"/>
            <w:hideMark/>
          </w:tcPr>
          <w:p w14:paraId="15BA0792"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1CC12403" w14:textId="1678D329"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14:paraId="388F54DE"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60</w:t>
            </w:r>
          </w:p>
        </w:tc>
        <w:tc>
          <w:tcPr>
            <w:tcW w:w="785" w:type="dxa"/>
            <w:tcBorders>
              <w:top w:val="nil"/>
              <w:left w:val="nil"/>
              <w:bottom w:val="single" w:sz="4" w:space="0" w:color="auto"/>
              <w:right w:val="single" w:sz="4" w:space="0" w:color="auto"/>
            </w:tcBorders>
            <w:shd w:val="clear" w:color="auto" w:fill="auto"/>
            <w:noWrap/>
            <w:vAlign w:val="bottom"/>
            <w:hideMark/>
          </w:tcPr>
          <w:p w14:paraId="6DB790F4" w14:textId="34497D33" w:rsidR="00225CF7" w:rsidRPr="00D21C52" w:rsidRDefault="00996F3B" w:rsidP="00D21C52">
            <w:pPr>
              <w:spacing w:after="0" w:line="240" w:lineRule="auto"/>
              <w:jc w:val="right"/>
              <w:rPr>
                <w:rFonts w:eastAsia="Times New Roman"/>
                <w:color w:val="000000"/>
                <w:sz w:val="18"/>
                <w:szCs w:val="18"/>
              </w:rPr>
            </w:pPr>
            <w:r>
              <w:rPr>
                <w:rFonts w:eastAsia="Times New Roman"/>
                <w:color w:val="000000"/>
                <w:sz w:val="18"/>
                <w:szCs w:val="18"/>
              </w:rPr>
              <w:t>60</w:t>
            </w:r>
          </w:p>
        </w:tc>
        <w:tc>
          <w:tcPr>
            <w:tcW w:w="1440" w:type="dxa"/>
            <w:tcBorders>
              <w:top w:val="nil"/>
              <w:left w:val="nil"/>
              <w:bottom w:val="single" w:sz="4" w:space="0" w:color="auto"/>
              <w:right w:val="single" w:sz="4" w:space="0" w:color="auto"/>
            </w:tcBorders>
            <w:shd w:val="clear" w:color="auto" w:fill="auto"/>
            <w:noWrap/>
            <w:vAlign w:val="bottom"/>
            <w:hideMark/>
          </w:tcPr>
          <w:p w14:paraId="3640C558"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20.12 </w:t>
            </w:r>
          </w:p>
        </w:tc>
        <w:tc>
          <w:tcPr>
            <w:tcW w:w="1335" w:type="dxa"/>
            <w:tcBorders>
              <w:top w:val="nil"/>
              <w:left w:val="nil"/>
              <w:bottom w:val="single" w:sz="4" w:space="0" w:color="auto"/>
              <w:right w:val="single" w:sz="4" w:space="0" w:color="auto"/>
            </w:tcBorders>
            <w:shd w:val="clear" w:color="auto" w:fill="auto"/>
            <w:noWrap/>
            <w:vAlign w:val="bottom"/>
            <w:hideMark/>
          </w:tcPr>
          <w:p w14:paraId="6DDF9F9A" w14:textId="0254D4F0" w:rsidR="00225CF7" w:rsidRPr="00D21C52" w:rsidRDefault="00996F3B" w:rsidP="00D21C52">
            <w:pPr>
              <w:spacing w:after="0" w:line="240" w:lineRule="auto"/>
              <w:jc w:val="center"/>
              <w:rPr>
                <w:rFonts w:eastAsia="Times New Roman"/>
                <w:color w:val="000000"/>
                <w:sz w:val="18"/>
                <w:szCs w:val="18"/>
              </w:rPr>
            </w:pPr>
            <w:r w:rsidRPr="00D21C52">
              <w:rPr>
                <w:rFonts w:eastAsia="Times New Roman"/>
                <w:color w:val="000000"/>
                <w:sz w:val="18"/>
                <w:szCs w:val="18"/>
              </w:rPr>
              <w:t>$</w:t>
            </w:r>
            <w:r>
              <w:rPr>
                <w:rFonts w:eastAsia="Times New Roman"/>
                <w:color w:val="000000"/>
                <w:sz w:val="18"/>
                <w:szCs w:val="18"/>
              </w:rPr>
              <w:t xml:space="preserve">  </w:t>
            </w:r>
            <w:r w:rsidRPr="00D21C52">
              <w:rPr>
                <w:rFonts w:eastAsia="Times New Roman"/>
                <w:color w:val="000000"/>
                <w:sz w:val="18"/>
                <w:szCs w:val="18"/>
              </w:rPr>
              <w:t xml:space="preserve">       </w:t>
            </w:r>
            <w:r>
              <w:rPr>
                <w:rFonts w:eastAsia="Times New Roman"/>
                <w:color w:val="000000"/>
                <w:sz w:val="18"/>
                <w:szCs w:val="18"/>
              </w:rPr>
              <w:t>1207</w:t>
            </w:r>
            <w:r w:rsidRPr="00D21C52">
              <w:rPr>
                <w:rFonts w:eastAsia="Times New Roman"/>
                <w:color w:val="000000"/>
                <w:sz w:val="18"/>
                <w:szCs w:val="18"/>
              </w:rPr>
              <w:t>.</w:t>
            </w:r>
            <w:r>
              <w:rPr>
                <w:rFonts w:eastAsia="Times New Roman"/>
                <w:color w:val="000000"/>
                <w:sz w:val="18"/>
                <w:szCs w:val="18"/>
              </w:rPr>
              <w:t>2</w:t>
            </w:r>
            <w:r w:rsidRPr="00D21C52">
              <w:rPr>
                <w:rFonts w:eastAsia="Times New Roman"/>
                <w:color w:val="000000"/>
                <w:sz w:val="18"/>
                <w:szCs w:val="18"/>
              </w:rPr>
              <w:t>0</w:t>
            </w:r>
          </w:p>
        </w:tc>
      </w:tr>
      <w:tr w:rsidR="00BA0807" w:rsidRPr="00D21C52" w14:paraId="0EC452BB"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4CBB658E" w14:textId="77777777" w:rsidR="00BA0807" w:rsidRPr="00D21C52" w:rsidRDefault="00BA0807" w:rsidP="00D21C52">
            <w:pPr>
              <w:spacing w:after="0" w:line="240" w:lineRule="auto"/>
              <w:rPr>
                <w:rFonts w:eastAsia="Times New Roman"/>
                <w:color w:val="000000"/>
                <w:sz w:val="18"/>
                <w:szCs w:val="18"/>
              </w:rPr>
            </w:pPr>
            <w:r w:rsidRPr="00D21C52">
              <w:rPr>
                <w:rFonts w:eastAsia="Times New Roman"/>
                <w:color w:val="000000"/>
                <w:sz w:val="18"/>
                <w:szCs w:val="18"/>
              </w:rPr>
              <w:t>ECE workforce</w:t>
            </w:r>
            <w:r>
              <w:rPr>
                <w:rFonts w:eastAsia="Times New Roman"/>
                <w:color w:val="000000"/>
                <w:sz w:val="18"/>
                <w:szCs w:val="18"/>
              </w:rPr>
              <w:t xml:space="preserve"> industry representative interview</w:t>
            </w:r>
          </w:p>
        </w:tc>
        <w:tc>
          <w:tcPr>
            <w:tcW w:w="960" w:type="dxa"/>
            <w:tcBorders>
              <w:top w:val="nil"/>
              <w:left w:val="nil"/>
              <w:bottom w:val="single" w:sz="4" w:space="0" w:color="auto"/>
              <w:right w:val="single" w:sz="4" w:space="0" w:color="auto"/>
            </w:tcBorders>
            <w:shd w:val="clear" w:color="auto" w:fill="auto"/>
            <w:noWrap/>
            <w:vAlign w:val="bottom"/>
            <w:hideMark/>
          </w:tcPr>
          <w:p w14:paraId="4C33C65C"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794DA616" w14:textId="77777777" w:rsidR="00BA0807" w:rsidRPr="00D21C52" w:rsidRDefault="00BA080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32E9A50F"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486E0F15" w14:textId="77777777" w:rsidR="00BA0807" w:rsidRPr="00D21C52" w:rsidRDefault="00BA0807" w:rsidP="00D21C52">
            <w:pPr>
              <w:spacing w:after="0" w:line="240" w:lineRule="auto"/>
              <w:jc w:val="right"/>
              <w:rPr>
                <w:rFonts w:eastAsia="Times New Roman"/>
                <w:color w:val="000000"/>
                <w:sz w:val="18"/>
                <w:szCs w:val="18"/>
              </w:rPr>
            </w:pPr>
            <w:r w:rsidRPr="00D21C52">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hideMark/>
          </w:tcPr>
          <w:p w14:paraId="41458247"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4.5</w:t>
            </w:r>
          </w:p>
        </w:tc>
        <w:tc>
          <w:tcPr>
            <w:tcW w:w="1440" w:type="dxa"/>
            <w:tcBorders>
              <w:top w:val="nil"/>
              <w:left w:val="nil"/>
              <w:bottom w:val="single" w:sz="4" w:space="0" w:color="auto"/>
              <w:right w:val="single" w:sz="4" w:space="0" w:color="auto"/>
            </w:tcBorders>
            <w:shd w:val="clear" w:color="auto" w:fill="auto"/>
            <w:noWrap/>
            <w:vAlign w:val="bottom"/>
            <w:hideMark/>
          </w:tcPr>
          <w:p w14:paraId="22A3BBFB" w14:textId="77777777" w:rsidR="00BA0807" w:rsidRPr="00D21C52" w:rsidRDefault="00BA080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20.12 </w:t>
            </w:r>
          </w:p>
        </w:tc>
        <w:tc>
          <w:tcPr>
            <w:tcW w:w="1335" w:type="dxa"/>
            <w:tcBorders>
              <w:top w:val="nil"/>
              <w:left w:val="nil"/>
              <w:bottom w:val="single" w:sz="4" w:space="0" w:color="auto"/>
              <w:right w:val="single" w:sz="4" w:space="0" w:color="auto"/>
            </w:tcBorders>
            <w:shd w:val="clear" w:color="auto" w:fill="auto"/>
            <w:noWrap/>
            <w:vAlign w:val="bottom"/>
            <w:hideMark/>
          </w:tcPr>
          <w:p w14:paraId="7E6F4C05" w14:textId="77777777" w:rsidR="00BA0807" w:rsidRPr="00D21C52" w:rsidRDefault="00BA0807" w:rsidP="00D21C52">
            <w:pPr>
              <w:spacing w:after="0" w:line="240" w:lineRule="auto"/>
              <w:jc w:val="center"/>
              <w:rPr>
                <w:rFonts w:eastAsia="Times New Roman"/>
                <w:color w:val="000000"/>
                <w:sz w:val="18"/>
                <w:szCs w:val="18"/>
              </w:rPr>
            </w:pPr>
            <w:r>
              <w:rPr>
                <w:rFonts w:eastAsia="Times New Roman"/>
                <w:color w:val="000000"/>
                <w:sz w:val="18"/>
                <w:szCs w:val="18"/>
              </w:rPr>
              <w:t xml:space="preserve"> $          90.54</w:t>
            </w:r>
            <w:r w:rsidRPr="00D21C52">
              <w:rPr>
                <w:rFonts w:eastAsia="Times New Roman"/>
                <w:color w:val="000000"/>
                <w:sz w:val="18"/>
                <w:szCs w:val="18"/>
              </w:rPr>
              <w:t xml:space="preserve"> </w:t>
            </w:r>
          </w:p>
        </w:tc>
      </w:tr>
      <w:tr w:rsidR="00BA0807" w:rsidRPr="00D21C52" w14:paraId="503DDE77" w14:textId="77777777" w:rsidTr="00D21C52">
        <w:trPr>
          <w:trHeight w:val="240"/>
        </w:trPr>
        <w:tc>
          <w:tcPr>
            <w:tcW w:w="2797" w:type="dxa"/>
            <w:tcBorders>
              <w:top w:val="nil"/>
              <w:left w:val="single" w:sz="4" w:space="0" w:color="auto"/>
              <w:bottom w:val="single" w:sz="4" w:space="0" w:color="auto"/>
              <w:right w:val="single" w:sz="4" w:space="0" w:color="auto"/>
            </w:tcBorders>
            <w:shd w:val="clear" w:color="auto" w:fill="auto"/>
            <w:vAlign w:val="center"/>
          </w:tcPr>
          <w:p w14:paraId="1CA68D9A" w14:textId="77777777" w:rsidR="00BA0807" w:rsidRPr="00D21C52" w:rsidRDefault="00BA0807" w:rsidP="00D21C52">
            <w:pPr>
              <w:spacing w:after="0" w:line="240" w:lineRule="auto"/>
              <w:rPr>
                <w:rFonts w:eastAsia="Times New Roman"/>
                <w:color w:val="000000"/>
                <w:sz w:val="18"/>
                <w:szCs w:val="18"/>
              </w:rPr>
            </w:pPr>
            <w:r>
              <w:rPr>
                <w:rFonts w:eastAsia="Times New Roman"/>
                <w:color w:val="000000"/>
                <w:sz w:val="18"/>
                <w:szCs w:val="18"/>
              </w:rPr>
              <w:t>ECE workforce teacher licensing agency representative interview</w:t>
            </w:r>
          </w:p>
        </w:tc>
        <w:tc>
          <w:tcPr>
            <w:tcW w:w="960" w:type="dxa"/>
            <w:tcBorders>
              <w:top w:val="nil"/>
              <w:left w:val="nil"/>
              <w:bottom w:val="single" w:sz="4" w:space="0" w:color="auto"/>
              <w:right w:val="single" w:sz="4" w:space="0" w:color="auto"/>
            </w:tcBorders>
            <w:shd w:val="clear" w:color="auto" w:fill="auto"/>
            <w:noWrap/>
            <w:vAlign w:val="bottom"/>
          </w:tcPr>
          <w:p w14:paraId="3C93133B"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71558071"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tcPr>
          <w:p w14:paraId="782D7039"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tcPr>
          <w:p w14:paraId="0237409C"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45</w:t>
            </w:r>
          </w:p>
        </w:tc>
        <w:tc>
          <w:tcPr>
            <w:tcW w:w="785" w:type="dxa"/>
            <w:tcBorders>
              <w:top w:val="nil"/>
              <w:left w:val="nil"/>
              <w:bottom w:val="single" w:sz="4" w:space="0" w:color="auto"/>
              <w:right w:val="single" w:sz="4" w:space="0" w:color="auto"/>
            </w:tcBorders>
            <w:shd w:val="clear" w:color="auto" w:fill="auto"/>
            <w:noWrap/>
            <w:vAlign w:val="bottom"/>
          </w:tcPr>
          <w:p w14:paraId="1CB64491" w14:textId="77777777" w:rsidR="00BA0807" w:rsidRPr="00D21C52" w:rsidRDefault="00BA0807" w:rsidP="00D21C52">
            <w:pPr>
              <w:spacing w:after="0" w:line="240" w:lineRule="auto"/>
              <w:jc w:val="right"/>
              <w:rPr>
                <w:rFonts w:eastAsia="Times New Roman"/>
                <w:color w:val="000000"/>
                <w:sz w:val="18"/>
                <w:szCs w:val="18"/>
              </w:rPr>
            </w:pPr>
            <w:r>
              <w:rPr>
                <w:rFonts w:eastAsia="Times New Roman"/>
                <w:color w:val="000000"/>
                <w:sz w:val="18"/>
                <w:szCs w:val="18"/>
              </w:rPr>
              <w:t>3</w:t>
            </w:r>
          </w:p>
        </w:tc>
        <w:tc>
          <w:tcPr>
            <w:tcW w:w="1440" w:type="dxa"/>
            <w:tcBorders>
              <w:top w:val="nil"/>
              <w:left w:val="nil"/>
              <w:bottom w:val="single" w:sz="4" w:space="0" w:color="auto"/>
              <w:right w:val="single" w:sz="4" w:space="0" w:color="auto"/>
            </w:tcBorders>
            <w:shd w:val="clear" w:color="auto" w:fill="auto"/>
            <w:noWrap/>
            <w:vAlign w:val="bottom"/>
          </w:tcPr>
          <w:p w14:paraId="17712262" w14:textId="77777777" w:rsidR="00BA0807" w:rsidRPr="00D21C52" w:rsidRDefault="00BA0807" w:rsidP="00D21C52">
            <w:pPr>
              <w:spacing w:after="0" w:line="240" w:lineRule="auto"/>
              <w:jc w:val="right"/>
              <w:rPr>
                <w:rFonts w:eastAsia="Times New Roman"/>
                <w:color w:val="000000"/>
                <w:sz w:val="18"/>
                <w:szCs w:val="18"/>
              </w:rPr>
            </w:pPr>
            <w:r w:rsidRPr="00D21C52">
              <w:rPr>
                <w:rFonts w:eastAsia="Times New Roman"/>
                <w:color w:val="000000"/>
                <w:sz w:val="18"/>
                <w:szCs w:val="18"/>
              </w:rPr>
              <w:t>$                20.12</w:t>
            </w:r>
          </w:p>
        </w:tc>
        <w:tc>
          <w:tcPr>
            <w:tcW w:w="1335" w:type="dxa"/>
            <w:tcBorders>
              <w:top w:val="nil"/>
              <w:left w:val="nil"/>
              <w:bottom w:val="single" w:sz="4" w:space="0" w:color="auto"/>
              <w:right w:val="single" w:sz="4" w:space="0" w:color="auto"/>
            </w:tcBorders>
            <w:shd w:val="clear" w:color="auto" w:fill="auto"/>
            <w:noWrap/>
            <w:vAlign w:val="bottom"/>
          </w:tcPr>
          <w:p w14:paraId="6A40BA74" w14:textId="77777777" w:rsidR="00BA0807" w:rsidRPr="00D21C52" w:rsidRDefault="00BA0807" w:rsidP="00D21C52">
            <w:pPr>
              <w:spacing w:after="0" w:line="240" w:lineRule="auto"/>
              <w:jc w:val="center"/>
              <w:rPr>
                <w:rFonts w:eastAsia="Times New Roman"/>
                <w:color w:val="000000"/>
                <w:sz w:val="18"/>
                <w:szCs w:val="18"/>
              </w:rPr>
            </w:pPr>
            <w:r>
              <w:rPr>
                <w:rFonts w:eastAsia="Times New Roman"/>
                <w:color w:val="000000"/>
                <w:sz w:val="18"/>
                <w:szCs w:val="18"/>
              </w:rPr>
              <w:t>$          60.36</w:t>
            </w:r>
          </w:p>
        </w:tc>
      </w:tr>
      <w:tr w:rsidR="00225CF7" w:rsidRPr="00D21C52" w14:paraId="052D2314" w14:textId="77777777" w:rsidTr="00D21C52">
        <w:trPr>
          <w:trHeight w:val="480"/>
        </w:trPr>
        <w:tc>
          <w:tcPr>
            <w:tcW w:w="2797" w:type="dxa"/>
            <w:tcBorders>
              <w:top w:val="nil"/>
              <w:left w:val="single" w:sz="4" w:space="0" w:color="auto"/>
              <w:bottom w:val="single" w:sz="4" w:space="0" w:color="auto"/>
              <w:right w:val="single" w:sz="4" w:space="0" w:color="auto"/>
            </w:tcBorders>
            <w:shd w:val="clear" w:color="auto" w:fill="auto"/>
            <w:vAlign w:val="center"/>
            <w:hideMark/>
          </w:tcPr>
          <w:p w14:paraId="708C4B67" w14:textId="77777777" w:rsidR="00225CF7" w:rsidRPr="00D21C52" w:rsidRDefault="00225CF7" w:rsidP="00D21C52">
            <w:pPr>
              <w:spacing w:after="0" w:line="240" w:lineRule="auto"/>
              <w:rPr>
                <w:rFonts w:eastAsia="Times New Roman"/>
                <w:color w:val="000000"/>
                <w:sz w:val="18"/>
                <w:szCs w:val="18"/>
              </w:rPr>
            </w:pPr>
            <w:r w:rsidRPr="00D21C52">
              <w:rPr>
                <w:rFonts w:eastAsia="Times New Roman"/>
                <w:color w:val="000000"/>
                <w:sz w:val="18"/>
                <w:szCs w:val="18"/>
              </w:rPr>
              <w:t>IHE students focus group</w:t>
            </w:r>
          </w:p>
        </w:tc>
        <w:tc>
          <w:tcPr>
            <w:tcW w:w="960" w:type="dxa"/>
            <w:tcBorders>
              <w:top w:val="nil"/>
              <w:left w:val="nil"/>
              <w:bottom w:val="single" w:sz="4" w:space="0" w:color="auto"/>
              <w:right w:val="single" w:sz="4" w:space="0" w:color="auto"/>
            </w:tcBorders>
            <w:shd w:val="clear" w:color="auto" w:fill="auto"/>
            <w:noWrap/>
            <w:vAlign w:val="bottom"/>
            <w:hideMark/>
          </w:tcPr>
          <w:p w14:paraId="513595E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14:paraId="0FC4463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14:paraId="77C56AAA"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14:paraId="6B99E3AE"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60</w:t>
            </w:r>
          </w:p>
        </w:tc>
        <w:tc>
          <w:tcPr>
            <w:tcW w:w="785" w:type="dxa"/>
            <w:tcBorders>
              <w:top w:val="nil"/>
              <w:left w:val="nil"/>
              <w:bottom w:val="single" w:sz="4" w:space="0" w:color="auto"/>
              <w:right w:val="single" w:sz="4" w:space="0" w:color="auto"/>
            </w:tcBorders>
            <w:shd w:val="clear" w:color="auto" w:fill="auto"/>
            <w:noWrap/>
            <w:vAlign w:val="bottom"/>
            <w:hideMark/>
          </w:tcPr>
          <w:p w14:paraId="09C0880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24</w:t>
            </w:r>
          </w:p>
        </w:tc>
        <w:tc>
          <w:tcPr>
            <w:tcW w:w="1440" w:type="dxa"/>
            <w:tcBorders>
              <w:top w:val="nil"/>
              <w:left w:val="nil"/>
              <w:bottom w:val="single" w:sz="4" w:space="0" w:color="auto"/>
              <w:right w:val="single" w:sz="4" w:space="0" w:color="auto"/>
            </w:tcBorders>
            <w:shd w:val="clear" w:color="auto" w:fill="auto"/>
            <w:noWrap/>
            <w:vAlign w:val="bottom"/>
            <w:hideMark/>
          </w:tcPr>
          <w:p w14:paraId="3A2EDA6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 xml:space="preserve"> $                  7.25 </w:t>
            </w:r>
          </w:p>
        </w:tc>
        <w:tc>
          <w:tcPr>
            <w:tcW w:w="1335" w:type="dxa"/>
            <w:tcBorders>
              <w:top w:val="nil"/>
              <w:left w:val="nil"/>
              <w:bottom w:val="single" w:sz="4" w:space="0" w:color="auto"/>
              <w:right w:val="single" w:sz="4" w:space="0" w:color="auto"/>
            </w:tcBorders>
            <w:shd w:val="clear" w:color="auto" w:fill="auto"/>
            <w:noWrap/>
            <w:vAlign w:val="bottom"/>
            <w:hideMark/>
          </w:tcPr>
          <w:p w14:paraId="327D1F79"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174.00 </w:t>
            </w:r>
          </w:p>
        </w:tc>
      </w:tr>
      <w:tr w:rsidR="00225CF7" w:rsidRPr="00D21C52" w14:paraId="76959661" w14:textId="77777777" w:rsidTr="00D21C52">
        <w:trPr>
          <w:trHeight w:val="240"/>
        </w:trPr>
        <w:tc>
          <w:tcPr>
            <w:tcW w:w="2797" w:type="dxa"/>
            <w:tcBorders>
              <w:top w:val="nil"/>
              <w:left w:val="single" w:sz="4" w:space="0" w:color="auto"/>
              <w:bottom w:val="single" w:sz="4" w:space="0" w:color="auto"/>
              <w:right w:val="single" w:sz="4" w:space="0" w:color="auto"/>
            </w:tcBorders>
            <w:shd w:val="clear" w:color="000000" w:fill="E7E6E6"/>
            <w:vAlign w:val="center"/>
            <w:hideMark/>
          </w:tcPr>
          <w:p w14:paraId="2FA759A2" w14:textId="77777777" w:rsidR="00225CF7" w:rsidRPr="00D21C52" w:rsidRDefault="00225CF7" w:rsidP="00D21C52">
            <w:pPr>
              <w:spacing w:after="0" w:line="240" w:lineRule="auto"/>
              <w:rPr>
                <w:rFonts w:eastAsia="Times New Roman"/>
                <w:b/>
                <w:bCs/>
                <w:color w:val="000000"/>
                <w:sz w:val="18"/>
                <w:szCs w:val="18"/>
              </w:rPr>
            </w:pPr>
            <w:r w:rsidRPr="00D21C52">
              <w:rPr>
                <w:rFonts w:eastAsia="Times New Roman"/>
                <w:b/>
                <w:bCs/>
                <w:color w:val="000000"/>
                <w:sz w:val="18"/>
                <w:szCs w:val="18"/>
              </w:rPr>
              <w:t>Total for Data Collection</w:t>
            </w:r>
          </w:p>
        </w:tc>
        <w:tc>
          <w:tcPr>
            <w:tcW w:w="960" w:type="dxa"/>
            <w:tcBorders>
              <w:top w:val="nil"/>
              <w:left w:val="nil"/>
              <w:bottom w:val="single" w:sz="4" w:space="0" w:color="auto"/>
              <w:right w:val="single" w:sz="4" w:space="0" w:color="auto"/>
            </w:tcBorders>
            <w:shd w:val="clear" w:color="000000" w:fill="E7E6E6"/>
            <w:noWrap/>
            <w:vAlign w:val="bottom"/>
            <w:hideMark/>
          </w:tcPr>
          <w:p w14:paraId="42266B80"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120</w:t>
            </w:r>
          </w:p>
        </w:tc>
        <w:tc>
          <w:tcPr>
            <w:tcW w:w="960" w:type="dxa"/>
            <w:tcBorders>
              <w:top w:val="nil"/>
              <w:left w:val="nil"/>
              <w:bottom w:val="single" w:sz="4" w:space="0" w:color="auto"/>
              <w:right w:val="single" w:sz="4" w:space="0" w:color="auto"/>
            </w:tcBorders>
            <w:shd w:val="clear" w:color="000000" w:fill="E7E6E6"/>
            <w:noWrap/>
            <w:vAlign w:val="bottom"/>
            <w:hideMark/>
          </w:tcPr>
          <w:p w14:paraId="56F6EA8F"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1188" w:type="dxa"/>
            <w:tcBorders>
              <w:top w:val="nil"/>
              <w:left w:val="nil"/>
              <w:bottom w:val="single" w:sz="4" w:space="0" w:color="auto"/>
              <w:right w:val="single" w:sz="4" w:space="0" w:color="auto"/>
            </w:tcBorders>
            <w:shd w:val="clear" w:color="000000" w:fill="E7E6E6"/>
            <w:noWrap/>
            <w:vAlign w:val="bottom"/>
            <w:hideMark/>
          </w:tcPr>
          <w:p w14:paraId="599160B7"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120</w:t>
            </w:r>
          </w:p>
        </w:tc>
        <w:tc>
          <w:tcPr>
            <w:tcW w:w="960" w:type="dxa"/>
            <w:tcBorders>
              <w:top w:val="nil"/>
              <w:left w:val="nil"/>
              <w:bottom w:val="single" w:sz="4" w:space="0" w:color="auto"/>
              <w:right w:val="single" w:sz="4" w:space="0" w:color="auto"/>
            </w:tcBorders>
            <w:shd w:val="clear" w:color="000000" w:fill="E7E6E6"/>
            <w:noWrap/>
            <w:vAlign w:val="bottom"/>
            <w:hideMark/>
          </w:tcPr>
          <w:p w14:paraId="3938347B"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785" w:type="dxa"/>
            <w:tcBorders>
              <w:top w:val="nil"/>
              <w:left w:val="nil"/>
              <w:bottom w:val="single" w:sz="4" w:space="0" w:color="auto"/>
              <w:right w:val="single" w:sz="4" w:space="0" w:color="auto"/>
            </w:tcBorders>
            <w:shd w:val="clear" w:color="000000" w:fill="E7E6E6"/>
            <w:noWrap/>
            <w:vAlign w:val="bottom"/>
            <w:hideMark/>
          </w:tcPr>
          <w:p w14:paraId="3C423105"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106</w:t>
            </w:r>
          </w:p>
        </w:tc>
        <w:tc>
          <w:tcPr>
            <w:tcW w:w="1440" w:type="dxa"/>
            <w:tcBorders>
              <w:top w:val="nil"/>
              <w:left w:val="nil"/>
              <w:bottom w:val="single" w:sz="4" w:space="0" w:color="auto"/>
              <w:right w:val="single" w:sz="4" w:space="0" w:color="auto"/>
            </w:tcBorders>
            <w:shd w:val="clear" w:color="000000" w:fill="E7E6E6"/>
            <w:noWrap/>
            <w:vAlign w:val="bottom"/>
            <w:hideMark/>
          </w:tcPr>
          <w:p w14:paraId="525F5A97" w14:textId="77777777" w:rsidR="00225CF7" w:rsidRPr="00D21C52" w:rsidRDefault="00225CF7" w:rsidP="00D21C52">
            <w:pPr>
              <w:spacing w:after="0" w:line="240" w:lineRule="auto"/>
              <w:jc w:val="right"/>
              <w:rPr>
                <w:rFonts w:eastAsia="Times New Roman"/>
                <w:color w:val="000000"/>
                <w:sz w:val="18"/>
                <w:szCs w:val="18"/>
              </w:rPr>
            </w:pPr>
            <w:r w:rsidRPr="00D21C52">
              <w:rPr>
                <w:rFonts w:eastAsia="Times New Roman"/>
                <w:color w:val="000000"/>
                <w:sz w:val="18"/>
                <w:szCs w:val="18"/>
              </w:rPr>
              <w:t>-</w:t>
            </w:r>
          </w:p>
        </w:tc>
        <w:tc>
          <w:tcPr>
            <w:tcW w:w="1335" w:type="dxa"/>
            <w:tcBorders>
              <w:top w:val="nil"/>
              <w:left w:val="nil"/>
              <w:bottom w:val="single" w:sz="4" w:space="0" w:color="auto"/>
              <w:right w:val="single" w:sz="4" w:space="0" w:color="auto"/>
            </w:tcBorders>
            <w:shd w:val="clear" w:color="000000" w:fill="E7E6E6"/>
            <w:noWrap/>
            <w:vAlign w:val="bottom"/>
            <w:hideMark/>
          </w:tcPr>
          <w:p w14:paraId="2F234187" w14:textId="77777777" w:rsidR="00225CF7" w:rsidRPr="00D21C52" w:rsidRDefault="00225CF7" w:rsidP="00D21C52">
            <w:pPr>
              <w:spacing w:after="0" w:line="240" w:lineRule="auto"/>
              <w:jc w:val="center"/>
              <w:rPr>
                <w:rFonts w:eastAsia="Times New Roman"/>
                <w:color w:val="000000"/>
                <w:sz w:val="18"/>
                <w:szCs w:val="18"/>
              </w:rPr>
            </w:pPr>
            <w:r w:rsidRPr="00D21C52">
              <w:rPr>
                <w:rFonts w:eastAsia="Times New Roman"/>
                <w:color w:val="000000"/>
                <w:sz w:val="18"/>
                <w:szCs w:val="18"/>
              </w:rPr>
              <w:t xml:space="preserve"> $       3,581.49 </w:t>
            </w:r>
          </w:p>
        </w:tc>
      </w:tr>
      <w:tr w:rsidR="00225CF7" w:rsidRPr="00D21C52" w14:paraId="15189FBC" w14:textId="77777777" w:rsidTr="00D21C52">
        <w:trPr>
          <w:trHeight w:val="296"/>
        </w:trPr>
        <w:tc>
          <w:tcPr>
            <w:tcW w:w="2797" w:type="dxa"/>
            <w:tcBorders>
              <w:top w:val="nil"/>
              <w:left w:val="single" w:sz="4" w:space="0" w:color="auto"/>
              <w:bottom w:val="single" w:sz="4" w:space="0" w:color="auto"/>
              <w:right w:val="single" w:sz="4" w:space="0" w:color="auto"/>
            </w:tcBorders>
            <w:shd w:val="clear" w:color="000000" w:fill="00B0F0"/>
            <w:vAlign w:val="bottom"/>
            <w:hideMark/>
          </w:tcPr>
          <w:p w14:paraId="63B70C3C" w14:textId="77777777" w:rsidR="00225CF7" w:rsidRPr="00D21C52" w:rsidRDefault="00225CF7" w:rsidP="00D21C52">
            <w:pPr>
              <w:spacing w:after="0" w:line="240" w:lineRule="auto"/>
              <w:rPr>
                <w:rFonts w:eastAsia="Times New Roman"/>
                <w:b/>
                <w:bCs/>
                <w:color w:val="000000"/>
                <w:sz w:val="18"/>
                <w:szCs w:val="18"/>
              </w:rPr>
            </w:pPr>
            <w:r w:rsidRPr="00D21C52">
              <w:rPr>
                <w:rFonts w:eastAsia="Times New Roman"/>
                <w:b/>
                <w:bCs/>
                <w:color w:val="000000"/>
                <w:sz w:val="18"/>
                <w:szCs w:val="18"/>
              </w:rPr>
              <w:t>TOTAL</w:t>
            </w:r>
          </w:p>
        </w:tc>
        <w:tc>
          <w:tcPr>
            <w:tcW w:w="960" w:type="dxa"/>
            <w:tcBorders>
              <w:top w:val="nil"/>
              <w:left w:val="nil"/>
              <w:bottom w:val="single" w:sz="4" w:space="0" w:color="auto"/>
              <w:right w:val="single" w:sz="4" w:space="0" w:color="auto"/>
            </w:tcBorders>
            <w:shd w:val="clear" w:color="000000" w:fill="00B0F0"/>
            <w:noWrap/>
            <w:vAlign w:val="bottom"/>
            <w:hideMark/>
          </w:tcPr>
          <w:p w14:paraId="005D4386"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140</w:t>
            </w:r>
          </w:p>
        </w:tc>
        <w:tc>
          <w:tcPr>
            <w:tcW w:w="960" w:type="dxa"/>
            <w:tcBorders>
              <w:top w:val="nil"/>
              <w:left w:val="nil"/>
              <w:bottom w:val="single" w:sz="4" w:space="0" w:color="auto"/>
              <w:right w:val="single" w:sz="4" w:space="0" w:color="auto"/>
            </w:tcBorders>
            <w:shd w:val="clear" w:color="000000" w:fill="00B0F0"/>
            <w:noWrap/>
            <w:vAlign w:val="bottom"/>
            <w:hideMark/>
          </w:tcPr>
          <w:p w14:paraId="14F42A79"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w:t>
            </w:r>
          </w:p>
        </w:tc>
        <w:tc>
          <w:tcPr>
            <w:tcW w:w="1188" w:type="dxa"/>
            <w:tcBorders>
              <w:top w:val="nil"/>
              <w:left w:val="nil"/>
              <w:bottom w:val="single" w:sz="4" w:space="0" w:color="auto"/>
              <w:right w:val="single" w:sz="4" w:space="0" w:color="auto"/>
            </w:tcBorders>
            <w:shd w:val="clear" w:color="000000" w:fill="00B0F0"/>
            <w:noWrap/>
            <w:vAlign w:val="bottom"/>
            <w:hideMark/>
          </w:tcPr>
          <w:p w14:paraId="760E1FAC"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140</w:t>
            </w:r>
          </w:p>
        </w:tc>
        <w:tc>
          <w:tcPr>
            <w:tcW w:w="960" w:type="dxa"/>
            <w:tcBorders>
              <w:top w:val="nil"/>
              <w:left w:val="nil"/>
              <w:bottom w:val="single" w:sz="4" w:space="0" w:color="auto"/>
              <w:right w:val="single" w:sz="4" w:space="0" w:color="auto"/>
            </w:tcBorders>
            <w:shd w:val="clear" w:color="000000" w:fill="00B0F0"/>
            <w:noWrap/>
            <w:vAlign w:val="bottom"/>
            <w:hideMark/>
          </w:tcPr>
          <w:p w14:paraId="16E20F24"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w:t>
            </w:r>
          </w:p>
        </w:tc>
        <w:tc>
          <w:tcPr>
            <w:tcW w:w="785" w:type="dxa"/>
            <w:tcBorders>
              <w:top w:val="nil"/>
              <w:left w:val="nil"/>
              <w:bottom w:val="single" w:sz="4" w:space="0" w:color="auto"/>
              <w:right w:val="single" w:sz="4" w:space="0" w:color="auto"/>
            </w:tcBorders>
            <w:shd w:val="clear" w:color="000000" w:fill="00B0F0"/>
            <w:noWrap/>
            <w:vAlign w:val="bottom"/>
            <w:hideMark/>
          </w:tcPr>
          <w:p w14:paraId="796B954B" w14:textId="77777777" w:rsidR="00225CF7"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311</w:t>
            </w:r>
          </w:p>
        </w:tc>
        <w:tc>
          <w:tcPr>
            <w:tcW w:w="1440" w:type="dxa"/>
            <w:tcBorders>
              <w:top w:val="nil"/>
              <w:left w:val="nil"/>
              <w:bottom w:val="single" w:sz="4" w:space="0" w:color="auto"/>
              <w:right w:val="single" w:sz="4" w:space="0" w:color="auto"/>
            </w:tcBorders>
            <w:shd w:val="clear" w:color="000000" w:fill="00B0F0"/>
            <w:noWrap/>
            <w:vAlign w:val="bottom"/>
            <w:hideMark/>
          </w:tcPr>
          <w:p w14:paraId="2F4B4772"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w:t>
            </w:r>
          </w:p>
        </w:tc>
        <w:tc>
          <w:tcPr>
            <w:tcW w:w="1335" w:type="dxa"/>
            <w:tcBorders>
              <w:top w:val="nil"/>
              <w:left w:val="nil"/>
              <w:bottom w:val="single" w:sz="4" w:space="0" w:color="auto"/>
              <w:right w:val="single" w:sz="4" w:space="0" w:color="auto"/>
            </w:tcBorders>
            <w:shd w:val="clear" w:color="000000" w:fill="00B0F0"/>
            <w:noWrap/>
            <w:vAlign w:val="bottom"/>
            <w:hideMark/>
          </w:tcPr>
          <w:p w14:paraId="7600BB26" w14:textId="77777777" w:rsidR="00225CF7" w:rsidRPr="00D21C52" w:rsidRDefault="00225CF7" w:rsidP="00D21C52">
            <w:pPr>
              <w:spacing w:after="0" w:line="240" w:lineRule="auto"/>
              <w:jc w:val="right"/>
              <w:rPr>
                <w:rFonts w:eastAsia="Times New Roman"/>
                <w:b/>
                <w:bCs/>
                <w:color w:val="000000"/>
                <w:sz w:val="18"/>
                <w:szCs w:val="18"/>
              </w:rPr>
            </w:pPr>
            <w:r w:rsidRPr="00D21C52">
              <w:rPr>
                <w:rFonts w:eastAsia="Times New Roman"/>
                <w:b/>
                <w:bCs/>
                <w:color w:val="000000"/>
                <w:sz w:val="18"/>
                <w:szCs w:val="18"/>
              </w:rPr>
              <w:t xml:space="preserve"> $10,562.83 </w:t>
            </w:r>
          </w:p>
        </w:tc>
      </w:tr>
      <w:tr w:rsidR="00F0721E" w:rsidRPr="00D21C52" w14:paraId="4DA5F4C0" w14:textId="77777777" w:rsidTr="00D21C52">
        <w:trPr>
          <w:trHeight w:val="296"/>
        </w:trPr>
        <w:tc>
          <w:tcPr>
            <w:tcW w:w="2797" w:type="dxa"/>
            <w:tcBorders>
              <w:top w:val="nil"/>
              <w:left w:val="single" w:sz="4" w:space="0" w:color="auto"/>
              <w:bottom w:val="single" w:sz="4" w:space="0" w:color="auto"/>
              <w:right w:val="single" w:sz="4" w:space="0" w:color="auto"/>
            </w:tcBorders>
            <w:shd w:val="clear" w:color="000000" w:fill="00B0F0"/>
            <w:vAlign w:val="bottom"/>
          </w:tcPr>
          <w:p w14:paraId="6CB4BDBF" w14:textId="77777777" w:rsidR="00F0721E" w:rsidRPr="00D21C52" w:rsidRDefault="00F0721E" w:rsidP="00D21C52">
            <w:pPr>
              <w:spacing w:after="0" w:line="240" w:lineRule="auto"/>
              <w:rPr>
                <w:rFonts w:eastAsia="Times New Roman"/>
                <w:b/>
                <w:bCs/>
                <w:color w:val="000000"/>
                <w:sz w:val="18"/>
                <w:szCs w:val="18"/>
              </w:rPr>
            </w:pPr>
            <w:r>
              <w:rPr>
                <w:rFonts w:eastAsia="Times New Roman"/>
                <w:b/>
                <w:bCs/>
                <w:color w:val="000000"/>
                <w:sz w:val="18"/>
                <w:szCs w:val="18"/>
              </w:rPr>
              <w:t>TOTAL ANNUALIZED BURDEN</w:t>
            </w:r>
          </w:p>
        </w:tc>
        <w:tc>
          <w:tcPr>
            <w:tcW w:w="960" w:type="dxa"/>
            <w:tcBorders>
              <w:top w:val="nil"/>
              <w:left w:val="nil"/>
              <w:bottom w:val="single" w:sz="4" w:space="0" w:color="auto"/>
              <w:right w:val="single" w:sz="4" w:space="0" w:color="auto"/>
            </w:tcBorders>
            <w:shd w:val="clear" w:color="000000" w:fill="00B0F0"/>
            <w:noWrap/>
            <w:vAlign w:val="bottom"/>
          </w:tcPr>
          <w:p w14:paraId="6CE0290B"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46.7</w:t>
            </w:r>
          </w:p>
        </w:tc>
        <w:tc>
          <w:tcPr>
            <w:tcW w:w="960" w:type="dxa"/>
            <w:tcBorders>
              <w:top w:val="nil"/>
              <w:left w:val="nil"/>
              <w:bottom w:val="single" w:sz="4" w:space="0" w:color="auto"/>
              <w:right w:val="single" w:sz="4" w:space="0" w:color="auto"/>
            </w:tcBorders>
            <w:shd w:val="clear" w:color="000000" w:fill="00B0F0"/>
            <w:noWrap/>
            <w:vAlign w:val="bottom"/>
          </w:tcPr>
          <w:p w14:paraId="6E93711F"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w:t>
            </w:r>
          </w:p>
        </w:tc>
        <w:tc>
          <w:tcPr>
            <w:tcW w:w="1188" w:type="dxa"/>
            <w:tcBorders>
              <w:top w:val="nil"/>
              <w:left w:val="nil"/>
              <w:bottom w:val="single" w:sz="4" w:space="0" w:color="auto"/>
              <w:right w:val="single" w:sz="4" w:space="0" w:color="auto"/>
            </w:tcBorders>
            <w:shd w:val="clear" w:color="000000" w:fill="00B0F0"/>
            <w:noWrap/>
            <w:vAlign w:val="bottom"/>
          </w:tcPr>
          <w:p w14:paraId="2967A248"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46.7</w:t>
            </w:r>
          </w:p>
        </w:tc>
        <w:tc>
          <w:tcPr>
            <w:tcW w:w="960" w:type="dxa"/>
            <w:tcBorders>
              <w:top w:val="nil"/>
              <w:left w:val="nil"/>
              <w:bottom w:val="single" w:sz="4" w:space="0" w:color="auto"/>
              <w:right w:val="single" w:sz="4" w:space="0" w:color="auto"/>
            </w:tcBorders>
            <w:shd w:val="clear" w:color="000000" w:fill="00B0F0"/>
            <w:noWrap/>
            <w:vAlign w:val="bottom"/>
          </w:tcPr>
          <w:p w14:paraId="07C96CEA"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w:t>
            </w:r>
          </w:p>
        </w:tc>
        <w:tc>
          <w:tcPr>
            <w:tcW w:w="785" w:type="dxa"/>
            <w:tcBorders>
              <w:top w:val="nil"/>
              <w:left w:val="nil"/>
              <w:bottom w:val="single" w:sz="4" w:space="0" w:color="auto"/>
              <w:right w:val="single" w:sz="4" w:space="0" w:color="auto"/>
            </w:tcBorders>
            <w:shd w:val="clear" w:color="000000" w:fill="00B0F0"/>
            <w:noWrap/>
            <w:vAlign w:val="bottom"/>
          </w:tcPr>
          <w:p w14:paraId="55640ECB" w14:textId="77777777" w:rsidR="00F0721E"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103.7</w:t>
            </w:r>
          </w:p>
        </w:tc>
        <w:tc>
          <w:tcPr>
            <w:tcW w:w="1440" w:type="dxa"/>
            <w:tcBorders>
              <w:top w:val="nil"/>
              <w:left w:val="nil"/>
              <w:bottom w:val="single" w:sz="4" w:space="0" w:color="auto"/>
              <w:right w:val="single" w:sz="4" w:space="0" w:color="auto"/>
            </w:tcBorders>
            <w:shd w:val="clear" w:color="000000" w:fill="00B0F0"/>
            <w:noWrap/>
            <w:vAlign w:val="bottom"/>
          </w:tcPr>
          <w:p w14:paraId="7A986E04"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w:t>
            </w:r>
          </w:p>
        </w:tc>
        <w:tc>
          <w:tcPr>
            <w:tcW w:w="1335" w:type="dxa"/>
            <w:tcBorders>
              <w:top w:val="nil"/>
              <w:left w:val="nil"/>
              <w:bottom w:val="single" w:sz="4" w:space="0" w:color="auto"/>
              <w:right w:val="single" w:sz="4" w:space="0" w:color="auto"/>
            </w:tcBorders>
            <w:shd w:val="clear" w:color="000000" w:fill="00B0F0"/>
            <w:noWrap/>
            <w:vAlign w:val="bottom"/>
          </w:tcPr>
          <w:p w14:paraId="44C17B5A" w14:textId="77777777" w:rsidR="00F0721E" w:rsidRPr="00D21C52" w:rsidRDefault="00F0721E" w:rsidP="00D21C52">
            <w:pPr>
              <w:spacing w:after="0" w:line="240" w:lineRule="auto"/>
              <w:jc w:val="right"/>
              <w:rPr>
                <w:rFonts w:eastAsia="Times New Roman"/>
                <w:b/>
                <w:bCs/>
                <w:color w:val="000000"/>
                <w:sz w:val="18"/>
                <w:szCs w:val="18"/>
              </w:rPr>
            </w:pPr>
            <w:r>
              <w:rPr>
                <w:rFonts w:eastAsia="Times New Roman"/>
                <w:b/>
                <w:bCs/>
                <w:color w:val="000000"/>
                <w:sz w:val="18"/>
                <w:szCs w:val="18"/>
              </w:rPr>
              <w:t>$3,520.94</w:t>
            </w:r>
          </w:p>
        </w:tc>
      </w:tr>
      <w:tr w:rsidR="00225CF7" w:rsidRPr="00D21C52" w14:paraId="2FDF62EF" w14:textId="77777777" w:rsidTr="00D21C52">
        <w:trPr>
          <w:trHeight w:val="735"/>
        </w:trPr>
        <w:tc>
          <w:tcPr>
            <w:tcW w:w="10425" w:type="dxa"/>
            <w:gridSpan w:val="8"/>
            <w:tcBorders>
              <w:top w:val="nil"/>
              <w:left w:val="nil"/>
              <w:bottom w:val="nil"/>
              <w:right w:val="nil"/>
            </w:tcBorders>
            <w:shd w:val="clear" w:color="auto" w:fill="auto"/>
            <w:vAlign w:val="bottom"/>
            <w:hideMark/>
          </w:tcPr>
          <w:p w14:paraId="72AB4768" w14:textId="77777777" w:rsidR="00225CF7" w:rsidRPr="00D21C52" w:rsidRDefault="00225CF7" w:rsidP="00D21C52">
            <w:pPr>
              <w:spacing w:after="0" w:line="240" w:lineRule="auto"/>
              <w:rPr>
                <w:rFonts w:eastAsia="Times New Roman"/>
                <w:color w:val="000000"/>
                <w:sz w:val="16"/>
                <w:szCs w:val="16"/>
              </w:rPr>
            </w:pPr>
            <w:r w:rsidRPr="00D21C52">
              <w:rPr>
                <w:rFonts w:eastAsia="Times New Roman"/>
                <w:color w:val="000000"/>
                <w:sz w:val="16"/>
                <w:szCs w:val="16"/>
                <w:vertAlign w:val="superscript"/>
              </w:rPr>
              <w:t>1</w:t>
            </w:r>
            <w:r w:rsidRPr="00D21C52">
              <w:rPr>
                <w:rFonts w:eastAsia="Times New Roman"/>
                <w:color w:val="000000"/>
                <w:sz w:val="16"/>
                <w:szCs w:val="16"/>
              </w:rPr>
              <w:t>The average hourly earnings were provided using national, unleveled estimates provided in the 2016 Modeled Wage Estimates sponsored by the Bureau of Labor Statistics (BLS). The exception is the IHE student wage, which is based on the federal minimum wage. Source: BLS Modeled Wage Estimates, https://www.bls.gov/mwe/#data; accessed on September 6, 2017.</w:t>
            </w:r>
          </w:p>
        </w:tc>
      </w:tr>
    </w:tbl>
    <w:p w14:paraId="27E331EF" w14:textId="77777777" w:rsidR="000C0681" w:rsidRPr="000C0681" w:rsidRDefault="000C0681" w:rsidP="0003695D">
      <w:pPr>
        <w:pStyle w:val="ExhibitReads"/>
        <w:keepNext/>
        <w:shd w:val="clear" w:color="auto" w:fill="auto"/>
        <w:spacing w:before="120" w:after="240"/>
        <w:ind w:right="0"/>
        <w:rPr>
          <w:rFonts w:eastAsia="Calibri"/>
          <w:b/>
          <w:bCs w:val="0"/>
          <w:sz w:val="22"/>
          <w:szCs w:val="22"/>
        </w:rPr>
      </w:pPr>
    </w:p>
    <w:p w14:paraId="51FF5FC3" w14:textId="77777777" w:rsidR="008C3E81" w:rsidRPr="005A4305" w:rsidRDefault="00115F1B">
      <w:pPr>
        <w:pStyle w:val="Heading3"/>
        <w:rPr>
          <w:sz w:val="22"/>
          <w:szCs w:val="22"/>
        </w:rPr>
      </w:pPr>
      <w:bookmarkStart w:id="38" w:name="_Toc492536535"/>
      <w:r w:rsidRPr="005A4305">
        <w:rPr>
          <w:sz w:val="22"/>
          <w:szCs w:val="22"/>
        </w:rPr>
        <w:t>13. Estimate of Annualized Cost for Data Collection Activities</w:t>
      </w:r>
      <w:bookmarkEnd w:id="38"/>
    </w:p>
    <w:p w14:paraId="4D098FAF" w14:textId="77777777" w:rsidR="008C3E81" w:rsidRPr="005A4305" w:rsidRDefault="00115F1B">
      <w:pPr>
        <w:pStyle w:val="BodyText"/>
        <w:rPr>
          <w:sz w:val="22"/>
          <w:szCs w:val="22"/>
        </w:rPr>
      </w:pPr>
      <w:r w:rsidRPr="005A4305">
        <w:rPr>
          <w:sz w:val="22"/>
          <w:szCs w:val="22"/>
        </w:rPr>
        <w:t>No additional annualized costs for data collection activities are associated with this data collection beyond the hour burden estimated in item 12.</w:t>
      </w:r>
    </w:p>
    <w:p w14:paraId="02DA103C" w14:textId="77777777" w:rsidR="008C3E81" w:rsidRPr="005A4305" w:rsidRDefault="00115F1B">
      <w:pPr>
        <w:pStyle w:val="Heading3"/>
        <w:rPr>
          <w:sz w:val="22"/>
          <w:szCs w:val="22"/>
        </w:rPr>
      </w:pPr>
      <w:bookmarkStart w:id="39" w:name="_Toc492536536"/>
      <w:r w:rsidRPr="005A4305">
        <w:rPr>
          <w:sz w:val="22"/>
          <w:szCs w:val="22"/>
        </w:rPr>
        <w:t>14. Estimate of Annualized Cost to Federal Government</w:t>
      </w:r>
      <w:bookmarkEnd w:id="39"/>
    </w:p>
    <w:p w14:paraId="02AD713E" w14:textId="77777777" w:rsidR="008C3E81" w:rsidRPr="005A4305" w:rsidRDefault="00115F1B">
      <w:pPr>
        <w:pStyle w:val="BodyText"/>
        <w:rPr>
          <w:sz w:val="22"/>
          <w:szCs w:val="22"/>
        </w:rPr>
      </w:pPr>
      <w:r w:rsidRPr="005A4305">
        <w:rPr>
          <w:sz w:val="22"/>
          <w:szCs w:val="22"/>
        </w:rPr>
        <w:t>The estimated cost to the federal government for this study, including development of the data collection plan and data collection instruments</w:t>
      </w:r>
      <w:r w:rsidR="003663C8" w:rsidRPr="005A4305">
        <w:rPr>
          <w:sz w:val="22"/>
          <w:szCs w:val="22"/>
        </w:rPr>
        <w:t xml:space="preserve">, sample </w:t>
      </w:r>
      <w:r w:rsidR="00300A89" w:rsidRPr="005A4305">
        <w:rPr>
          <w:sz w:val="22"/>
          <w:szCs w:val="22"/>
        </w:rPr>
        <w:t xml:space="preserve">selection and </w:t>
      </w:r>
      <w:r w:rsidR="003663C8" w:rsidRPr="005A4305">
        <w:rPr>
          <w:sz w:val="22"/>
          <w:szCs w:val="22"/>
        </w:rPr>
        <w:t xml:space="preserve">recruitment, </w:t>
      </w:r>
      <w:r w:rsidRPr="005A4305">
        <w:rPr>
          <w:sz w:val="22"/>
          <w:szCs w:val="22"/>
        </w:rPr>
        <w:t>as well as data collection, analysis, and report preparation, is $</w:t>
      </w:r>
      <w:r w:rsidR="0033218C">
        <w:rPr>
          <w:sz w:val="22"/>
          <w:szCs w:val="22"/>
        </w:rPr>
        <w:t>550,000 over 25 months (annualized at $264,000</w:t>
      </w:r>
      <w:r w:rsidR="00BE555D">
        <w:rPr>
          <w:sz w:val="22"/>
          <w:szCs w:val="22"/>
        </w:rPr>
        <w:t>)</w:t>
      </w:r>
      <w:r w:rsidRPr="005A4305">
        <w:rPr>
          <w:sz w:val="22"/>
          <w:szCs w:val="22"/>
        </w:rPr>
        <w:t>.</w:t>
      </w:r>
    </w:p>
    <w:p w14:paraId="52DE07C7" w14:textId="77777777" w:rsidR="008C3E81" w:rsidRPr="005A4305" w:rsidRDefault="00115F1B">
      <w:pPr>
        <w:pStyle w:val="Heading3"/>
        <w:rPr>
          <w:sz w:val="22"/>
          <w:szCs w:val="22"/>
        </w:rPr>
      </w:pPr>
      <w:bookmarkStart w:id="40" w:name="_Toc492536537"/>
      <w:r w:rsidRPr="005A4305">
        <w:rPr>
          <w:sz w:val="22"/>
          <w:szCs w:val="22"/>
        </w:rPr>
        <w:t>15. Reasons for Changes in Estimated Burden</w:t>
      </w:r>
      <w:bookmarkEnd w:id="40"/>
    </w:p>
    <w:p w14:paraId="2ADD4D3C" w14:textId="77777777" w:rsidR="008C3E81" w:rsidRPr="005A4305" w:rsidRDefault="00115F1B">
      <w:pPr>
        <w:pStyle w:val="BodyText"/>
        <w:rPr>
          <w:sz w:val="22"/>
          <w:szCs w:val="22"/>
        </w:rPr>
      </w:pPr>
      <w:r w:rsidRPr="005A4305">
        <w:rPr>
          <w:sz w:val="22"/>
          <w:szCs w:val="22"/>
        </w:rPr>
        <w:t>This is a new collection so all burden hours are considered program changes.</w:t>
      </w:r>
    </w:p>
    <w:p w14:paraId="06E8B0DF" w14:textId="77777777" w:rsidR="008C3E81" w:rsidRPr="005A4305" w:rsidRDefault="00115F1B">
      <w:pPr>
        <w:pStyle w:val="Heading3"/>
        <w:rPr>
          <w:sz w:val="22"/>
          <w:szCs w:val="22"/>
        </w:rPr>
      </w:pPr>
      <w:bookmarkStart w:id="41" w:name="_Toc492536538"/>
      <w:r w:rsidRPr="005A4305">
        <w:rPr>
          <w:sz w:val="22"/>
          <w:szCs w:val="22"/>
        </w:rPr>
        <w:t>16. Plans for Tabulation and Publication</w:t>
      </w:r>
      <w:bookmarkEnd w:id="41"/>
    </w:p>
    <w:p w14:paraId="27D605B9" w14:textId="77777777" w:rsidR="008C3E81" w:rsidRPr="005A4305" w:rsidRDefault="00115F1B">
      <w:pPr>
        <w:pStyle w:val="BodyText"/>
        <w:rPr>
          <w:sz w:val="22"/>
          <w:szCs w:val="22"/>
        </w:rPr>
      </w:pPr>
      <w:r w:rsidRPr="005A4305">
        <w:rPr>
          <w:sz w:val="22"/>
          <w:szCs w:val="22"/>
        </w:rPr>
        <w:t xml:space="preserve">Findings from the study will be </w:t>
      </w:r>
      <w:r w:rsidR="00272982" w:rsidRPr="005A4305">
        <w:rPr>
          <w:sz w:val="22"/>
          <w:szCs w:val="22"/>
        </w:rPr>
        <w:t xml:space="preserve">published </w:t>
      </w:r>
      <w:r w:rsidRPr="005A4305">
        <w:rPr>
          <w:sz w:val="22"/>
          <w:szCs w:val="22"/>
        </w:rPr>
        <w:t>in a final report</w:t>
      </w:r>
      <w:r w:rsidR="000552C3" w:rsidRPr="005A4305">
        <w:rPr>
          <w:sz w:val="22"/>
          <w:szCs w:val="22"/>
        </w:rPr>
        <w:t xml:space="preserve">. </w:t>
      </w:r>
      <w:r w:rsidRPr="005A4305">
        <w:rPr>
          <w:sz w:val="22"/>
          <w:szCs w:val="22"/>
        </w:rPr>
        <w:t xml:space="preserve">The final report is expected to be cleared for released </w:t>
      </w:r>
      <w:r w:rsidR="00BE555D">
        <w:rPr>
          <w:sz w:val="22"/>
          <w:szCs w:val="22"/>
        </w:rPr>
        <w:t>in Winter</w:t>
      </w:r>
      <w:r w:rsidR="005A4305" w:rsidRPr="005A4305">
        <w:rPr>
          <w:sz w:val="22"/>
          <w:szCs w:val="22"/>
        </w:rPr>
        <w:t xml:space="preserve"> 2</w:t>
      </w:r>
      <w:r w:rsidRPr="005A4305">
        <w:rPr>
          <w:sz w:val="22"/>
          <w:szCs w:val="22"/>
        </w:rPr>
        <w:t>01</w:t>
      </w:r>
      <w:r w:rsidR="005A4305" w:rsidRPr="005A4305">
        <w:rPr>
          <w:sz w:val="22"/>
          <w:szCs w:val="22"/>
        </w:rPr>
        <w:t>9</w:t>
      </w:r>
      <w:r w:rsidRPr="005A4305">
        <w:rPr>
          <w:sz w:val="22"/>
          <w:szCs w:val="22"/>
        </w:rPr>
        <w:t xml:space="preserve"> </w:t>
      </w:r>
      <w:r w:rsidR="00AF6B67" w:rsidRPr="005A4305">
        <w:rPr>
          <w:sz w:val="22"/>
          <w:szCs w:val="22"/>
        </w:rPr>
        <w:t>and</w:t>
      </w:r>
      <w:r w:rsidR="00300A89" w:rsidRPr="005A4305">
        <w:rPr>
          <w:sz w:val="22"/>
          <w:szCs w:val="22"/>
        </w:rPr>
        <w:t xml:space="preserve"> </w:t>
      </w:r>
      <w:r w:rsidRPr="005A4305">
        <w:rPr>
          <w:sz w:val="22"/>
          <w:szCs w:val="22"/>
        </w:rPr>
        <w:t xml:space="preserve">will be </w:t>
      </w:r>
      <w:r w:rsidR="005A4305" w:rsidRPr="005A4305">
        <w:rPr>
          <w:sz w:val="22"/>
          <w:szCs w:val="22"/>
        </w:rPr>
        <w:t xml:space="preserve">made publicly </w:t>
      </w:r>
      <w:r w:rsidRPr="005A4305">
        <w:rPr>
          <w:sz w:val="22"/>
          <w:szCs w:val="22"/>
        </w:rPr>
        <w:t xml:space="preserve">available on </w:t>
      </w:r>
      <w:r w:rsidR="00BE555D">
        <w:rPr>
          <w:sz w:val="22"/>
          <w:szCs w:val="22"/>
        </w:rPr>
        <w:t>ED’s</w:t>
      </w:r>
      <w:r w:rsidR="00300A89" w:rsidRPr="005A4305">
        <w:rPr>
          <w:sz w:val="22"/>
          <w:szCs w:val="22"/>
        </w:rPr>
        <w:t xml:space="preserve"> </w:t>
      </w:r>
      <w:r w:rsidRPr="005A4305">
        <w:rPr>
          <w:sz w:val="22"/>
          <w:szCs w:val="22"/>
        </w:rPr>
        <w:t>website</w:t>
      </w:r>
      <w:r w:rsidR="00300A89" w:rsidRPr="005A4305">
        <w:rPr>
          <w:sz w:val="22"/>
          <w:szCs w:val="22"/>
        </w:rPr>
        <w:t xml:space="preserve"> as well as the contractor’s website.</w:t>
      </w:r>
      <w:r w:rsidRPr="005A4305">
        <w:rPr>
          <w:sz w:val="22"/>
          <w:szCs w:val="22"/>
        </w:rPr>
        <w:t xml:space="preserve"> </w:t>
      </w:r>
      <w:r w:rsidR="00AF6B67" w:rsidRPr="005A4305">
        <w:rPr>
          <w:sz w:val="22"/>
          <w:szCs w:val="22"/>
        </w:rPr>
        <w:t>It will also be</w:t>
      </w:r>
      <w:r w:rsidRPr="005A4305">
        <w:rPr>
          <w:sz w:val="22"/>
          <w:szCs w:val="22"/>
        </w:rPr>
        <w:t xml:space="preserve"> disseminated through ED’s public communication channels</w:t>
      </w:r>
      <w:r w:rsidR="00AF6B67" w:rsidRPr="005A4305">
        <w:rPr>
          <w:sz w:val="22"/>
          <w:szCs w:val="22"/>
        </w:rPr>
        <w:t xml:space="preserve"> and</w:t>
      </w:r>
      <w:r w:rsidRPr="005A4305">
        <w:rPr>
          <w:sz w:val="22"/>
          <w:szCs w:val="22"/>
        </w:rPr>
        <w:t xml:space="preserve"> through </w:t>
      </w:r>
      <w:r w:rsidR="00AF6B67" w:rsidRPr="005A4305">
        <w:rPr>
          <w:sz w:val="22"/>
          <w:szCs w:val="22"/>
        </w:rPr>
        <w:t xml:space="preserve">the contractor’s </w:t>
      </w:r>
      <w:r w:rsidRPr="005A4305">
        <w:rPr>
          <w:sz w:val="22"/>
          <w:szCs w:val="22"/>
        </w:rPr>
        <w:t>external contacts (newsletter and web logs)</w:t>
      </w:r>
      <w:r w:rsidR="00272982" w:rsidRPr="005A4305">
        <w:rPr>
          <w:sz w:val="22"/>
          <w:szCs w:val="22"/>
        </w:rPr>
        <w:t xml:space="preserve"> and directly to all participants in the study</w:t>
      </w:r>
      <w:r w:rsidRPr="005A4305">
        <w:rPr>
          <w:sz w:val="22"/>
          <w:szCs w:val="22"/>
        </w:rPr>
        <w:t>.</w:t>
      </w:r>
    </w:p>
    <w:p w14:paraId="58A65236" w14:textId="77777777" w:rsidR="008C3E81" w:rsidRPr="005A4305" w:rsidRDefault="00115F1B">
      <w:pPr>
        <w:pStyle w:val="Heading3"/>
        <w:rPr>
          <w:sz w:val="22"/>
          <w:szCs w:val="22"/>
        </w:rPr>
      </w:pPr>
      <w:bookmarkStart w:id="42" w:name="_Toc492536539"/>
      <w:r w:rsidRPr="005A4305">
        <w:rPr>
          <w:sz w:val="22"/>
          <w:szCs w:val="22"/>
        </w:rPr>
        <w:t>17. Display of Expiration Date for OMB Approval</w:t>
      </w:r>
      <w:bookmarkEnd w:id="42"/>
    </w:p>
    <w:p w14:paraId="7FACD0CF" w14:textId="77777777" w:rsidR="008C3E81" w:rsidRPr="005A4305" w:rsidRDefault="00115F1B">
      <w:pPr>
        <w:pStyle w:val="BodyText"/>
        <w:rPr>
          <w:sz w:val="22"/>
          <w:szCs w:val="22"/>
        </w:rPr>
      </w:pPr>
      <w:r w:rsidRPr="005A4305">
        <w:rPr>
          <w:sz w:val="22"/>
          <w:szCs w:val="22"/>
        </w:rPr>
        <w:t>All data collection instruments will display the OMB approval expiration date.</w:t>
      </w:r>
    </w:p>
    <w:p w14:paraId="23D38452" w14:textId="77777777" w:rsidR="008C3E81" w:rsidRPr="005A4305" w:rsidRDefault="00115F1B">
      <w:pPr>
        <w:pStyle w:val="Heading3"/>
        <w:rPr>
          <w:sz w:val="22"/>
          <w:szCs w:val="22"/>
        </w:rPr>
      </w:pPr>
      <w:bookmarkStart w:id="43" w:name="_Toc492536540"/>
      <w:r w:rsidRPr="005A4305">
        <w:rPr>
          <w:sz w:val="22"/>
          <w:szCs w:val="22"/>
        </w:rPr>
        <w:t>18. Exceptions to Certification for Paperwork Reduction Act Submissions</w:t>
      </w:r>
      <w:bookmarkEnd w:id="43"/>
    </w:p>
    <w:p w14:paraId="0487FFA8" w14:textId="77777777" w:rsidR="008C3E81" w:rsidRPr="005A4305" w:rsidRDefault="00115F1B" w:rsidP="0003695D">
      <w:pPr>
        <w:pStyle w:val="BodyText"/>
      </w:pPr>
      <w:r w:rsidRPr="005A4305">
        <w:rPr>
          <w:sz w:val="22"/>
          <w:szCs w:val="22"/>
        </w:rPr>
        <w:t>No exceptions to the certification statement identified in Item 19, “Certification for Paperwork Reduction Act Submissions,” of OMB Form 83-I are requested.</w:t>
      </w:r>
      <w:r w:rsidRPr="005A4305">
        <w:br w:type="page"/>
      </w:r>
    </w:p>
    <w:p w14:paraId="7067768B" w14:textId="77777777" w:rsidR="008C3E81" w:rsidRPr="00CA5CA1" w:rsidRDefault="00115F1B">
      <w:pPr>
        <w:pStyle w:val="Heading1"/>
        <w:rPr>
          <w:rFonts w:asciiTheme="minorHAnsi" w:hAnsiTheme="minorHAnsi"/>
          <w:b w:val="0"/>
          <w:sz w:val="22"/>
          <w:szCs w:val="22"/>
        </w:rPr>
      </w:pPr>
      <w:bookmarkStart w:id="44" w:name="_Toc277707151"/>
      <w:bookmarkStart w:id="45" w:name="_Toc492536541"/>
      <w:bookmarkEnd w:id="1"/>
      <w:r w:rsidRPr="005A4305">
        <w:rPr>
          <w:rFonts w:asciiTheme="minorHAnsi" w:hAnsiTheme="minorHAnsi"/>
          <w:sz w:val="22"/>
          <w:szCs w:val="22"/>
        </w:rPr>
        <w:t>References</w:t>
      </w:r>
      <w:bookmarkEnd w:id="44"/>
      <w:bookmarkEnd w:id="45"/>
    </w:p>
    <w:p w14:paraId="4C3B9A45" w14:textId="77777777" w:rsidR="000E48DB" w:rsidRPr="005A4305" w:rsidRDefault="000E48DB" w:rsidP="000E48DB">
      <w:pPr>
        <w:pStyle w:val="Reference"/>
        <w:spacing w:before="220"/>
        <w:rPr>
          <w:szCs w:val="22"/>
        </w:rPr>
      </w:pPr>
      <w:r w:rsidRPr="005A4305">
        <w:rPr>
          <w:szCs w:val="22"/>
        </w:rPr>
        <w:t xml:space="preserve">Bureau of Labor Statistics. 2015. </w:t>
      </w:r>
      <w:r w:rsidRPr="005A4305">
        <w:rPr>
          <w:i/>
          <w:szCs w:val="22"/>
        </w:rPr>
        <w:t>Table 1.11, Educational Attainment for Workers 25 Years and Older by Detailed Occupation</w:t>
      </w:r>
      <w:r w:rsidRPr="005A4305">
        <w:rPr>
          <w:szCs w:val="22"/>
        </w:rPr>
        <w:t xml:space="preserve">. Available at </w:t>
      </w:r>
      <w:hyperlink r:id="rId15" w:history="1">
        <w:r w:rsidRPr="005A4305">
          <w:rPr>
            <w:rStyle w:val="Hyperlink"/>
            <w:szCs w:val="22"/>
          </w:rPr>
          <w:t>http://www.bls.gov/emp/ep_table_111.htm</w:t>
        </w:r>
      </w:hyperlink>
      <w:r w:rsidRPr="005A4305">
        <w:rPr>
          <w:rStyle w:val="Hyperlink"/>
          <w:szCs w:val="22"/>
        </w:rPr>
        <w:t>.</w:t>
      </w:r>
    </w:p>
    <w:p w14:paraId="259A38F0" w14:textId="77777777" w:rsidR="000E48DB" w:rsidRPr="005A4305" w:rsidRDefault="000E48DB" w:rsidP="000E48DB">
      <w:pPr>
        <w:pStyle w:val="Reference"/>
        <w:rPr>
          <w:rStyle w:val="ReferenceItalics"/>
          <w:i w:val="0"/>
          <w:szCs w:val="22"/>
        </w:rPr>
      </w:pPr>
      <w:r w:rsidRPr="005A4305">
        <w:rPr>
          <w:rStyle w:val="ReferenceItalics"/>
          <w:szCs w:val="22"/>
        </w:rPr>
        <w:t>Institute of Medicine and National Research Council of the National Academies. 2015. Transforming the Workforce for Children Birth Through Age 8: A Unifying Foundation. Washington, DC: National Academies Press.</w:t>
      </w:r>
    </w:p>
    <w:p w14:paraId="288709EF" w14:textId="77777777" w:rsidR="000E48DB" w:rsidRPr="005A4305" w:rsidRDefault="000E48DB" w:rsidP="000E48DB">
      <w:pPr>
        <w:pStyle w:val="Reference"/>
        <w:rPr>
          <w:szCs w:val="22"/>
        </w:rPr>
      </w:pPr>
      <w:r w:rsidRPr="005A4305">
        <w:rPr>
          <w:szCs w:val="22"/>
        </w:rPr>
        <w:t xml:space="preserve">Jenkins, Davis, and John Fink. 2015. </w:t>
      </w:r>
      <w:r w:rsidRPr="005A4305">
        <w:rPr>
          <w:i/>
          <w:szCs w:val="22"/>
        </w:rPr>
        <w:t>What We Know About Transfer</w:t>
      </w:r>
      <w:r w:rsidRPr="005A4305">
        <w:rPr>
          <w:szCs w:val="22"/>
        </w:rPr>
        <w:t>. New York, NY: Teacher’s College, Community College Researcher Center. Available at h</w:t>
      </w:r>
      <w:hyperlink r:id="rId16" w:history="1">
        <w:r w:rsidRPr="005A4305">
          <w:rPr>
            <w:rStyle w:val="Hyperlink"/>
            <w:szCs w:val="22"/>
          </w:rPr>
          <w:t>ttp://ccrc.tc.columbia.edu/media/k2/attachments/what-we-know-about-transfer.pdf</w:t>
        </w:r>
      </w:hyperlink>
      <w:r w:rsidRPr="005A4305">
        <w:rPr>
          <w:szCs w:val="22"/>
        </w:rPr>
        <w:t>.</w:t>
      </w:r>
    </w:p>
    <w:p w14:paraId="5F94D8E2" w14:textId="77777777" w:rsidR="000E48DB" w:rsidRPr="005A4305" w:rsidRDefault="000E48DB" w:rsidP="000E48DB">
      <w:pPr>
        <w:pStyle w:val="Reference"/>
        <w:rPr>
          <w:szCs w:val="22"/>
        </w:rPr>
      </w:pPr>
      <w:r w:rsidRPr="005A4305">
        <w:rPr>
          <w:szCs w:val="22"/>
        </w:rPr>
        <w:t xml:space="preserve">Limardo, Chrys, Teresa Sweeney, and Laura Taylor. 2016. </w:t>
      </w:r>
      <w:r w:rsidRPr="005A4305">
        <w:rPr>
          <w:i/>
          <w:szCs w:val="22"/>
        </w:rPr>
        <w:t>Early Learning Career Pathways Initiative: Credentialing in the Early Care and Education Field</w:t>
      </w:r>
      <w:r w:rsidRPr="005A4305">
        <w:rPr>
          <w:szCs w:val="22"/>
        </w:rPr>
        <w:t>. Bethesda, MD: Manhattan Strategy Group.</w:t>
      </w:r>
    </w:p>
    <w:p w14:paraId="6C5145BE" w14:textId="77777777" w:rsidR="000E48DB" w:rsidRPr="005A4305" w:rsidRDefault="000E48DB" w:rsidP="000E48DB">
      <w:pPr>
        <w:pStyle w:val="Reference"/>
        <w:rPr>
          <w:szCs w:val="22"/>
        </w:rPr>
      </w:pPr>
      <w:r w:rsidRPr="005A4305">
        <w:rPr>
          <w:szCs w:val="22"/>
        </w:rPr>
        <w:t xml:space="preserve">National Scientific Council on the Developing Child. 2007. </w:t>
      </w:r>
      <w:r w:rsidRPr="005A4305">
        <w:rPr>
          <w:i/>
          <w:szCs w:val="22"/>
        </w:rPr>
        <w:t xml:space="preserve">The Timing and Quality of Early Experiences Combine to Shape Brain Architecture </w:t>
      </w:r>
      <w:r w:rsidRPr="005A4305">
        <w:rPr>
          <w:szCs w:val="22"/>
        </w:rPr>
        <w:t xml:space="preserve">(Working Paper #5). Cambridge, MA: Harvard University, Center on the Developing Child. Available at </w:t>
      </w:r>
      <w:hyperlink r:id="rId17" w:history="1">
        <w:r w:rsidRPr="005A4305">
          <w:rPr>
            <w:rStyle w:val="Hyperlink"/>
            <w:szCs w:val="22"/>
          </w:rPr>
          <w:t>http://developingchild.harvard.edu/wp-content/uploads/2007/05/Timing_Quality_Early_Experiences-1.pdf</w:t>
        </w:r>
      </w:hyperlink>
      <w:r w:rsidRPr="005A4305">
        <w:rPr>
          <w:szCs w:val="22"/>
        </w:rPr>
        <w:t>.</w:t>
      </w:r>
    </w:p>
    <w:p w14:paraId="04ED7C98" w14:textId="77777777" w:rsidR="000E48DB" w:rsidRPr="005A4305" w:rsidRDefault="000E48DB" w:rsidP="000E48DB">
      <w:pPr>
        <w:pStyle w:val="Reference"/>
        <w:rPr>
          <w:szCs w:val="22"/>
        </w:rPr>
      </w:pPr>
      <w:r w:rsidRPr="005A4305">
        <w:rPr>
          <w:szCs w:val="22"/>
        </w:rPr>
        <w:t xml:space="preserve">National Survey of Early Care and Education. 2013. </w:t>
      </w:r>
      <w:r w:rsidRPr="005A4305">
        <w:rPr>
          <w:i/>
          <w:szCs w:val="22"/>
        </w:rPr>
        <w:t xml:space="preserve">Number and Characteristics of Early Care and Education (ECE) Teachers and Caregivers: Initial Findings From the National Survey of Early Care and Education (NSECE) </w:t>
      </w:r>
      <w:r w:rsidRPr="005A4305">
        <w:rPr>
          <w:szCs w:val="22"/>
        </w:rPr>
        <w:t>(OPRE Report #2013-38). Washington, DC: U.S. Department of Health and Human Services, Administration for Children and Families, Office of Planning, Research and Evaluations.</w:t>
      </w:r>
    </w:p>
    <w:p w14:paraId="25D17C5B" w14:textId="77777777" w:rsidR="00BE555D" w:rsidRPr="00116F57" w:rsidRDefault="00BE555D" w:rsidP="00BE555D">
      <w:pPr>
        <w:pStyle w:val="References"/>
        <w:rPr>
          <w:rFonts w:asciiTheme="minorHAnsi" w:hAnsiTheme="minorHAnsi"/>
          <w:shd w:val="clear" w:color="auto" w:fill="FFFFFF"/>
        </w:rPr>
      </w:pPr>
      <w:r w:rsidRPr="00116F57">
        <w:rPr>
          <w:rFonts w:asciiTheme="minorHAnsi" w:eastAsia="Times New Roman" w:hAnsiTheme="minorHAnsi" w:cs="Arial"/>
        </w:rPr>
        <w:t xml:space="preserve">Singer, E., Ye, C. (2012). The Use and Effects of Incentives in Surveys. </w:t>
      </w:r>
      <w:r w:rsidRPr="00116F57">
        <w:rPr>
          <w:rFonts w:asciiTheme="minorHAnsi" w:eastAsia="Times New Roman" w:hAnsiTheme="minorHAnsi" w:cs="Arial"/>
          <w:i/>
        </w:rPr>
        <w:t>The Annals of the American Academy of Political and Social Science, 645</w:t>
      </w:r>
      <w:r w:rsidRPr="00116F57">
        <w:rPr>
          <w:rFonts w:asciiTheme="minorHAnsi" w:eastAsia="Times New Roman" w:hAnsiTheme="minorHAnsi" w:cs="Arial"/>
        </w:rPr>
        <w:t>(1), 112-141.</w:t>
      </w:r>
    </w:p>
    <w:sectPr w:rsidR="00BE555D" w:rsidRPr="00116F57" w:rsidSect="00A66B70">
      <w:footerReference w:type="default" r:id="rId18"/>
      <w:footnotePr>
        <w:pos w:val="beneathText"/>
        <w:numFmt w:val="lowerLetter"/>
      </w:footnotePr>
      <w:pgSz w:w="12240" w:h="15840" w:code="1"/>
      <w:pgMar w:top="1152" w:right="1152" w:bottom="1152" w:left="1152" w:header="720" w:footer="4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EAFA2" w14:textId="77777777" w:rsidR="00F83282" w:rsidRDefault="00F83282">
      <w:pPr>
        <w:spacing w:after="0" w:line="240" w:lineRule="auto"/>
      </w:pPr>
      <w:r>
        <w:separator/>
      </w:r>
    </w:p>
  </w:endnote>
  <w:endnote w:type="continuationSeparator" w:id="0">
    <w:p w14:paraId="032DF767" w14:textId="77777777" w:rsidR="00F83282" w:rsidRDefault="00F83282">
      <w:pPr>
        <w:spacing w:after="0" w:line="240" w:lineRule="auto"/>
      </w:pPr>
      <w:r>
        <w:continuationSeparator/>
      </w:r>
    </w:p>
  </w:endnote>
  <w:endnote w:type="continuationNotice" w:id="1">
    <w:p w14:paraId="5991E41B" w14:textId="77777777" w:rsidR="00F83282" w:rsidRDefault="00F83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0F2E0" w14:textId="77777777" w:rsidR="00F83282" w:rsidRDefault="00F8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AAF8" w14:textId="77777777" w:rsidR="00F83282" w:rsidRDefault="00F83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69885"/>
      <w:docPartObj>
        <w:docPartGallery w:val="Page Numbers (Bottom of Page)"/>
        <w:docPartUnique/>
      </w:docPartObj>
    </w:sdtPr>
    <w:sdtEndPr>
      <w:rPr>
        <w:rFonts w:asciiTheme="minorHAnsi" w:hAnsiTheme="minorHAnsi"/>
        <w:noProof/>
        <w:sz w:val="20"/>
        <w:szCs w:val="20"/>
      </w:rPr>
    </w:sdtEndPr>
    <w:sdtContent>
      <w:p w14:paraId="17508A85" w14:textId="77777777" w:rsidR="00F83282" w:rsidRPr="00D731F3" w:rsidRDefault="00F83282" w:rsidP="00D731F3">
        <w:pPr>
          <w:pStyle w:val="Footer"/>
          <w:jc w:val="center"/>
          <w:rPr>
            <w:rFonts w:asciiTheme="minorHAnsi" w:hAnsiTheme="minorHAnsi"/>
            <w:sz w:val="20"/>
            <w:szCs w:val="20"/>
          </w:rPr>
        </w:pPr>
        <w:r w:rsidRPr="00D731F3">
          <w:rPr>
            <w:rFonts w:asciiTheme="minorHAnsi" w:hAnsiTheme="minorHAnsi"/>
            <w:sz w:val="20"/>
            <w:szCs w:val="20"/>
          </w:rPr>
          <w:fldChar w:fldCharType="begin"/>
        </w:r>
        <w:r w:rsidRPr="00D731F3">
          <w:rPr>
            <w:rFonts w:asciiTheme="minorHAnsi" w:hAnsiTheme="minorHAnsi"/>
            <w:sz w:val="20"/>
            <w:szCs w:val="20"/>
          </w:rPr>
          <w:instrText xml:space="preserve"> PAGE   \* MERGEFORMAT </w:instrText>
        </w:r>
        <w:r w:rsidRPr="00D731F3">
          <w:rPr>
            <w:rFonts w:asciiTheme="minorHAnsi" w:hAnsiTheme="minorHAnsi"/>
            <w:sz w:val="20"/>
            <w:szCs w:val="20"/>
          </w:rPr>
          <w:fldChar w:fldCharType="separate"/>
        </w:r>
        <w:r w:rsidR="002F0B0A">
          <w:rPr>
            <w:rFonts w:asciiTheme="minorHAnsi" w:hAnsiTheme="minorHAnsi"/>
            <w:noProof/>
            <w:sz w:val="20"/>
            <w:szCs w:val="20"/>
          </w:rPr>
          <w:t>13</w:t>
        </w:r>
        <w:r w:rsidRPr="00D731F3">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17C0F" w14:textId="77777777" w:rsidR="00F83282" w:rsidRDefault="00F83282">
      <w:pPr>
        <w:spacing w:after="0" w:line="240" w:lineRule="auto"/>
      </w:pPr>
      <w:r>
        <w:separator/>
      </w:r>
    </w:p>
  </w:footnote>
  <w:footnote w:type="continuationSeparator" w:id="0">
    <w:p w14:paraId="4A3DDB1B" w14:textId="77777777" w:rsidR="00F83282" w:rsidRDefault="00F83282">
      <w:pPr>
        <w:spacing w:after="0" w:line="240" w:lineRule="auto"/>
      </w:pPr>
      <w:r>
        <w:continuationSeparator/>
      </w:r>
    </w:p>
  </w:footnote>
  <w:footnote w:type="continuationNotice" w:id="1">
    <w:p w14:paraId="4E1F039D" w14:textId="77777777" w:rsidR="00F83282" w:rsidRDefault="00F832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7E2E" w14:textId="77777777" w:rsidR="00F83282" w:rsidRDefault="00F83282">
    <w:pPr>
      <w:pStyle w:val="Header"/>
      <w:jc w:val="right"/>
    </w:pPr>
  </w:p>
  <w:p w14:paraId="3EA1A3B8" w14:textId="77777777" w:rsidR="00F83282" w:rsidRDefault="00F8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3B4D5BA"/>
    <w:lvl w:ilvl="0">
      <w:start w:val="1"/>
      <w:numFmt w:val="decimal"/>
      <w:pStyle w:val="ListNumber"/>
      <w:lvlText w:val="%1."/>
      <w:lvlJc w:val="left"/>
      <w:pPr>
        <w:tabs>
          <w:tab w:val="num" w:pos="360"/>
        </w:tabs>
        <w:ind w:left="360" w:hanging="360"/>
      </w:pPr>
    </w:lvl>
  </w:abstractNum>
  <w:abstractNum w:abstractNumId="1">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5">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A186B"/>
    <w:multiLevelType w:val="hybridMultilevel"/>
    <w:tmpl w:val="7480F20C"/>
    <w:lvl w:ilvl="0" w:tplc="4EA2047C">
      <w:start w:val="1"/>
      <w:numFmt w:val="decimal"/>
      <w:pStyle w:val="NumberedList"/>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489C5B79"/>
    <w:multiLevelType w:val="hybridMultilevel"/>
    <w:tmpl w:val="DF347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9">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1">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B27060"/>
    <w:multiLevelType w:val="hybridMultilevel"/>
    <w:tmpl w:val="C5BAE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6">
    <w:nsid w:val="6D4B2693"/>
    <w:multiLevelType w:val="hybridMultilevel"/>
    <w:tmpl w:val="18140AFA"/>
    <w:lvl w:ilvl="0" w:tplc="55309162">
      <w:start w:val="1"/>
      <w:numFmt w:val="decimal"/>
      <w:pStyle w:val="ListParagraph"/>
      <w:lvlText w:val="%1."/>
      <w:lvlJc w:val="left"/>
      <w:pPr>
        <w:ind w:left="63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2"/>
  </w:num>
  <w:num w:numId="3">
    <w:abstractNumId w:val="4"/>
  </w:num>
  <w:num w:numId="4">
    <w:abstractNumId w:val="16"/>
  </w:num>
  <w:num w:numId="5">
    <w:abstractNumId w:val="10"/>
  </w:num>
  <w:num w:numId="6">
    <w:abstractNumId w:val="19"/>
  </w:num>
  <w:num w:numId="7">
    <w:abstractNumId w:val="1"/>
  </w:num>
  <w:num w:numId="8">
    <w:abstractNumId w:val="18"/>
  </w:num>
  <w:num w:numId="9">
    <w:abstractNumId w:val="11"/>
  </w:num>
  <w:num w:numId="10">
    <w:abstractNumId w:val="9"/>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5"/>
  </w:num>
  <w:num w:numId="14">
    <w:abstractNumId w:val="27"/>
  </w:num>
  <w:num w:numId="15">
    <w:abstractNumId w:val="20"/>
  </w:num>
  <w:num w:numId="16">
    <w:abstractNumId w:val="21"/>
  </w:num>
  <w:num w:numId="17">
    <w:abstractNumId w:val="24"/>
  </w:num>
  <w:num w:numId="18">
    <w:abstractNumId w:val="3"/>
  </w:num>
  <w:num w:numId="19">
    <w:abstractNumId w:val="22"/>
  </w:num>
  <w:num w:numId="20">
    <w:abstractNumId w:val="17"/>
  </w:num>
  <w:num w:numId="21">
    <w:abstractNumId w:val="13"/>
  </w:num>
  <w:num w:numId="22">
    <w:abstractNumId w:val="12"/>
  </w:num>
  <w:num w:numId="23">
    <w:abstractNumId w:val="26"/>
  </w:num>
  <w:num w:numId="24">
    <w:abstractNumId w:val="0"/>
  </w:num>
  <w:num w:numId="25">
    <w:abstractNumId w:val="7"/>
  </w:num>
  <w:num w:numId="26">
    <w:abstractNumId w:val="8"/>
  </w:num>
  <w:num w:numId="27">
    <w:abstractNumId w:val="14"/>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81"/>
    <w:rsid w:val="00002138"/>
    <w:rsid w:val="00005979"/>
    <w:rsid w:val="00006B52"/>
    <w:rsid w:val="00011B2A"/>
    <w:rsid w:val="000139C5"/>
    <w:rsid w:val="00013EBF"/>
    <w:rsid w:val="00014303"/>
    <w:rsid w:val="000175C7"/>
    <w:rsid w:val="000175F4"/>
    <w:rsid w:val="0003695D"/>
    <w:rsid w:val="00047254"/>
    <w:rsid w:val="0005357C"/>
    <w:rsid w:val="000552C3"/>
    <w:rsid w:val="00062446"/>
    <w:rsid w:val="00062F68"/>
    <w:rsid w:val="00093A59"/>
    <w:rsid w:val="000B08BF"/>
    <w:rsid w:val="000C0681"/>
    <w:rsid w:val="000E2328"/>
    <w:rsid w:val="000E48DB"/>
    <w:rsid w:val="000E5998"/>
    <w:rsid w:val="000F5015"/>
    <w:rsid w:val="0010155B"/>
    <w:rsid w:val="00112AEE"/>
    <w:rsid w:val="00115F1B"/>
    <w:rsid w:val="00117AFC"/>
    <w:rsid w:val="00121DA5"/>
    <w:rsid w:val="001459AC"/>
    <w:rsid w:val="00154404"/>
    <w:rsid w:val="00154BE7"/>
    <w:rsid w:val="00166E1C"/>
    <w:rsid w:val="0018171D"/>
    <w:rsid w:val="001C0730"/>
    <w:rsid w:val="001C5365"/>
    <w:rsid w:val="001D2B4F"/>
    <w:rsid w:val="001D4A33"/>
    <w:rsid w:val="001D6CAD"/>
    <w:rsid w:val="001F6805"/>
    <w:rsid w:val="00200FCB"/>
    <w:rsid w:val="00207804"/>
    <w:rsid w:val="00225CF7"/>
    <w:rsid w:val="002312B5"/>
    <w:rsid w:val="00232F90"/>
    <w:rsid w:val="00243C6F"/>
    <w:rsid w:val="00264541"/>
    <w:rsid w:val="002678CD"/>
    <w:rsid w:val="00272982"/>
    <w:rsid w:val="002857E6"/>
    <w:rsid w:val="00290383"/>
    <w:rsid w:val="002909DF"/>
    <w:rsid w:val="00292B11"/>
    <w:rsid w:val="002D34E8"/>
    <w:rsid w:val="002E0221"/>
    <w:rsid w:val="002E6497"/>
    <w:rsid w:val="002F09C2"/>
    <w:rsid w:val="002F0B0A"/>
    <w:rsid w:val="002F73D4"/>
    <w:rsid w:val="00300A89"/>
    <w:rsid w:val="003024E9"/>
    <w:rsid w:val="00312ED8"/>
    <w:rsid w:val="00313050"/>
    <w:rsid w:val="00317A30"/>
    <w:rsid w:val="003254EE"/>
    <w:rsid w:val="00330143"/>
    <w:rsid w:val="0033218C"/>
    <w:rsid w:val="003413EB"/>
    <w:rsid w:val="00341EE3"/>
    <w:rsid w:val="00352ED8"/>
    <w:rsid w:val="003556F6"/>
    <w:rsid w:val="003619CE"/>
    <w:rsid w:val="003646D3"/>
    <w:rsid w:val="003663C8"/>
    <w:rsid w:val="00382EFA"/>
    <w:rsid w:val="00393C29"/>
    <w:rsid w:val="003B6369"/>
    <w:rsid w:val="003B63D8"/>
    <w:rsid w:val="003C6371"/>
    <w:rsid w:val="003D39F7"/>
    <w:rsid w:val="003D4FAD"/>
    <w:rsid w:val="003E0274"/>
    <w:rsid w:val="003E0DFC"/>
    <w:rsid w:val="003E4BEE"/>
    <w:rsid w:val="00420577"/>
    <w:rsid w:val="00453409"/>
    <w:rsid w:val="00463331"/>
    <w:rsid w:val="00471EAA"/>
    <w:rsid w:val="0047492B"/>
    <w:rsid w:val="00487ED4"/>
    <w:rsid w:val="0049310F"/>
    <w:rsid w:val="00496323"/>
    <w:rsid w:val="004B47A1"/>
    <w:rsid w:val="004D4435"/>
    <w:rsid w:val="004E385E"/>
    <w:rsid w:val="004F79A9"/>
    <w:rsid w:val="005069CA"/>
    <w:rsid w:val="00511C42"/>
    <w:rsid w:val="005143A6"/>
    <w:rsid w:val="005155DD"/>
    <w:rsid w:val="00524C1B"/>
    <w:rsid w:val="00525BE7"/>
    <w:rsid w:val="0052799E"/>
    <w:rsid w:val="00530D3F"/>
    <w:rsid w:val="00541C58"/>
    <w:rsid w:val="00543BC6"/>
    <w:rsid w:val="00556917"/>
    <w:rsid w:val="00590BB3"/>
    <w:rsid w:val="00590EBD"/>
    <w:rsid w:val="005A4305"/>
    <w:rsid w:val="005A766A"/>
    <w:rsid w:val="005B30B2"/>
    <w:rsid w:val="005C0384"/>
    <w:rsid w:val="005C371C"/>
    <w:rsid w:val="005D2F32"/>
    <w:rsid w:val="005D7A59"/>
    <w:rsid w:val="005E50D5"/>
    <w:rsid w:val="005F4A37"/>
    <w:rsid w:val="005F634F"/>
    <w:rsid w:val="0060030F"/>
    <w:rsid w:val="00623F32"/>
    <w:rsid w:val="00626EFD"/>
    <w:rsid w:val="0063518F"/>
    <w:rsid w:val="00647D22"/>
    <w:rsid w:val="006511AB"/>
    <w:rsid w:val="00651921"/>
    <w:rsid w:val="0065559A"/>
    <w:rsid w:val="0065563A"/>
    <w:rsid w:val="00670B3A"/>
    <w:rsid w:val="00671CFB"/>
    <w:rsid w:val="0068275B"/>
    <w:rsid w:val="0069148B"/>
    <w:rsid w:val="006A230E"/>
    <w:rsid w:val="006B19F3"/>
    <w:rsid w:val="006B2AEB"/>
    <w:rsid w:val="006B2C39"/>
    <w:rsid w:val="006B4643"/>
    <w:rsid w:val="006C0BB8"/>
    <w:rsid w:val="006C6B66"/>
    <w:rsid w:val="006D728D"/>
    <w:rsid w:val="006E29C7"/>
    <w:rsid w:val="00702E10"/>
    <w:rsid w:val="0071674E"/>
    <w:rsid w:val="007204D2"/>
    <w:rsid w:val="00746AEE"/>
    <w:rsid w:val="007513B6"/>
    <w:rsid w:val="00761713"/>
    <w:rsid w:val="00776D04"/>
    <w:rsid w:val="007A1E5F"/>
    <w:rsid w:val="007C081B"/>
    <w:rsid w:val="007D755E"/>
    <w:rsid w:val="007E46A1"/>
    <w:rsid w:val="007F3627"/>
    <w:rsid w:val="00810DA7"/>
    <w:rsid w:val="00816E40"/>
    <w:rsid w:val="00826BC5"/>
    <w:rsid w:val="00827E99"/>
    <w:rsid w:val="00830A7F"/>
    <w:rsid w:val="0084132F"/>
    <w:rsid w:val="0085097D"/>
    <w:rsid w:val="008600F6"/>
    <w:rsid w:val="008832A5"/>
    <w:rsid w:val="00894A3D"/>
    <w:rsid w:val="00895EA9"/>
    <w:rsid w:val="008B6C0E"/>
    <w:rsid w:val="008C3E81"/>
    <w:rsid w:val="008C4D7F"/>
    <w:rsid w:val="008D3AC6"/>
    <w:rsid w:val="008D7094"/>
    <w:rsid w:val="008D7D1D"/>
    <w:rsid w:val="008E0995"/>
    <w:rsid w:val="008E669D"/>
    <w:rsid w:val="008E740C"/>
    <w:rsid w:val="008F33FE"/>
    <w:rsid w:val="008F53D7"/>
    <w:rsid w:val="008F797E"/>
    <w:rsid w:val="00900AE2"/>
    <w:rsid w:val="00903F36"/>
    <w:rsid w:val="009100D3"/>
    <w:rsid w:val="00911D52"/>
    <w:rsid w:val="00913BD0"/>
    <w:rsid w:val="009154AC"/>
    <w:rsid w:val="0092589C"/>
    <w:rsid w:val="00935C60"/>
    <w:rsid w:val="00937F8B"/>
    <w:rsid w:val="00945D75"/>
    <w:rsid w:val="009657F9"/>
    <w:rsid w:val="00991086"/>
    <w:rsid w:val="009966AD"/>
    <w:rsid w:val="00996F3B"/>
    <w:rsid w:val="009A69D9"/>
    <w:rsid w:val="009C1A89"/>
    <w:rsid w:val="009D4868"/>
    <w:rsid w:val="009D7011"/>
    <w:rsid w:val="009E0499"/>
    <w:rsid w:val="009E44B4"/>
    <w:rsid w:val="009E539E"/>
    <w:rsid w:val="009E7665"/>
    <w:rsid w:val="009F0658"/>
    <w:rsid w:val="009F5688"/>
    <w:rsid w:val="00A00444"/>
    <w:rsid w:val="00A00A45"/>
    <w:rsid w:val="00A171AB"/>
    <w:rsid w:val="00A25A49"/>
    <w:rsid w:val="00A265BE"/>
    <w:rsid w:val="00A334E1"/>
    <w:rsid w:val="00A3578A"/>
    <w:rsid w:val="00A432AE"/>
    <w:rsid w:val="00A56B68"/>
    <w:rsid w:val="00A66B70"/>
    <w:rsid w:val="00AA3D80"/>
    <w:rsid w:val="00AB341C"/>
    <w:rsid w:val="00AC06E7"/>
    <w:rsid w:val="00AC47F9"/>
    <w:rsid w:val="00AD160C"/>
    <w:rsid w:val="00AD5C25"/>
    <w:rsid w:val="00AF6B67"/>
    <w:rsid w:val="00B04EA5"/>
    <w:rsid w:val="00B25CB7"/>
    <w:rsid w:val="00B47351"/>
    <w:rsid w:val="00B5173A"/>
    <w:rsid w:val="00B6395A"/>
    <w:rsid w:val="00B858A9"/>
    <w:rsid w:val="00B8652E"/>
    <w:rsid w:val="00B8740D"/>
    <w:rsid w:val="00B97CCD"/>
    <w:rsid w:val="00BA0807"/>
    <w:rsid w:val="00BA1775"/>
    <w:rsid w:val="00BA242F"/>
    <w:rsid w:val="00BA2F56"/>
    <w:rsid w:val="00BB0204"/>
    <w:rsid w:val="00BB0C1D"/>
    <w:rsid w:val="00BC1E12"/>
    <w:rsid w:val="00BC3AB2"/>
    <w:rsid w:val="00BC47BB"/>
    <w:rsid w:val="00BD04DC"/>
    <w:rsid w:val="00BD0CA7"/>
    <w:rsid w:val="00BD3991"/>
    <w:rsid w:val="00BE2EFD"/>
    <w:rsid w:val="00BE555D"/>
    <w:rsid w:val="00BE7CA4"/>
    <w:rsid w:val="00C009FD"/>
    <w:rsid w:val="00C04322"/>
    <w:rsid w:val="00C15402"/>
    <w:rsid w:val="00C15CD3"/>
    <w:rsid w:val="00C31D8E"/>
    <w:rsid w:val="00C33087"/>
    <w:rsid w:val="00C37FAC"/>
    <w:rsid w:val="00C41451"/>
    <w:rsid w:val="00C46174"/>
    <w:rsid w:val="00C46F39"/>
    <w:rsid w:val="00C60C62"/>
    <w:rsid w:val="00C70343"/>
    <w:rsid w:val="00C730DA"/>
    <w:rsid w:val="00C76737"/>
    <w:rsid w:val="00C83C1A"/>
    <w:rsid w:val="00C9222C"/>
    <w:rsid w:val="00C97A55"/>
    <w:rsid w:val="00CA3FD8"/>
    <w:rsid w:val="00CA546E"/>
    <w:rsid w:val="00CA5CA1"/>
    <w:rsid w:val="00CA7D29"/>
    <w:rsid w:val="00CB51D2"/>
    <w:rsid w:val="00CB6A5D"/>
    <w:rsid w:val="00CD3B0E"/>
    <w:rsid w:val="00CE0020"/>
    <w:rsid w:val="00CF09D6"/>
    <w:rsid w:val="00CF2A56"/>
    <w:rsid w:val="00D0105A"/>
    <w:rsid w:val="00D031B1"/>
    <w:rsid w:val="00D033B7"/>
    <w:rsid w:val="00D11CFA"/>
    <w:rsid w:val="00D145A4"/>
    <w:rsid w:val="00D14639"/>
    <w:rsid w:val="00D14C4C"/>
    <w:rsid w:val="00D21C52"/>
    <w:rsid w:val="00D33D53"/>
    <w:rsid w:val="00D43BA5"/>
    <w:rsid w:val="00D70FEB"/>
    <w:rsid w:val="00D731F3"/>
    <w:rsid w:val="00D74C39"/>
    <w:rsid w:val="00D762C7"/>
    <w:rsid w:val="00D76321"/>
    <w:rsid w:val="00D816CB"/>
    <w:rsid w:val="00D93CA7"/>
    <w:rsid w:val="00D95F5E"/>
    <w:rsid w:val="00DA0B76"/>
    <w:rsid w:val="00DA65E0"/>
    <w:rsid w:val="00DB1A91"/>
    <w:rsid w:val="00DC528F"/>
    <w:rsid w:val="00DE022C"/>
    <w:rsid w:val="00DE75AF"/>
    <w:rsid w:val="00DF026B"/>
    <w:rsid w:val="00DF6886"/>
    <w:rsid w:val="00DF7DC6"/>
    <w:rsid w:val="00E07109"/>
    <w:rsid w:val="00E14F1F"/>
    <w:rsid w:val="00E16153"/>
    <w:rsid w:val="00E246B9"/>
    <w:rsid w:val="00E26C71"/>
    <w:rsid w:val="00E31034"/>
    <w:rsid w:val="00E31CAD"/>
    <w:rsid w:val="00E42190"/>
    <w:rsid w:val="00E50748"/>
    <w:rsid w:val="00E542F4"/>
    <w:rsid w:val="00E66133"/>
    <w:rsid w:val="00E75DFF"/>
    <w:rsid w:val="00E83D04"/>
    <w:rsid w:val="00E84638"/>
    <w:rsid w:val="00E94E29"/>
    <w:rsid w:val="00EA3E5F"/>
    <w:rsid w:val="00EA49E7"/>
    <w:rsid w:val="00EA5531"/>
    <w:rsid w:val="00EA71C5"/>
    <w:rsid w:val="00EB772E"/>
    <w:rsid w:val="00EC0E3B"/>
    <w:rsid w:val="00EC675E"/>
    <w:rsid w:val="00ED2117"/>
    <w:rsid w:val="00ED498F"/>
    <w:rsid w:val="00ED730F"/>
    <w:rsid w:val="00EE2E67"/>
    <w:rsid w:val="00EE5BCC"/>
    <w:rsid w:val="00EF2283"/>
    <w:rsid w:val="00EF3D2F"/>
    <w:rsid w:val="00EF72AF"/>
    <w:rsid w:val="00F0562B"/>
    <w:rsid w:val="00F0721E"/>
    <w:rsid w:val="00F146CA"/>
    <w:rsid w:val="00F16F39"/>
    <w:rsid w:val="00F27481"/>
    <w:rsid w:val="00F3269C"/>
    <w:rsid w:val="00F335C5"/>
    <w:rsid w:val="00F34229"/>
    <w:rsid w:val="00F35999"/>
    <w:rsid w:val="00F40C1E"/>
    <w:rsid w:val="00F41F5F"/>
    <w:rsid w:val="00F427E1"/>
    <w:rsid w:val="00F5143C"/>
    <w:rsid w:val="00F5576E"/>
    <w:rsid w:val="00F563E9"/>
    <w:rsid w:val="00F7730B"/>
    <w:rsid w:val="00F80D36"/>
    <w:rsid w:val="00F83282"/>
    <w:rsid w:val="00F85C13"/>
    <w:rsid w:val="00F908AC"/>
    <w:rsid w:val="00F91740"/>
    <w:rsid w:val="00F93812"/>
    <w:rsid w:val="00F974DB"/>
    <w:rsid w:val="00FA6315"/>
    <w:rsid w:val="00FB1A53"/>
    <w:rsid w:val="00FC2F3E"/>
    <w:rsid w:val="00FC4C43"/>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23"/>
      </w:numPr>
      <w:autoSpaceDE w:val="0"/>
      <w:autoSpaceDN w:val="0"/>
      <w:adjustRightInd w:val="0"/>
      <w:spacing w:after="80" w:line="240" w:lineRule="auto"/>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34"/>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0"/>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2"/>
      </w:numPr>
      <w:spacing w:after="120"/>
      <w:contextualSpacing/>
    </w:pPr>
    <w:rPr>
      <w:rFonts w:eastAsia="Calibri"/>
      <w:color w:val="000000"/>
      <w:szCs w:val="22"/>
    </w:rPr>
  </w:style>
  <w:style w:type="numbering" w:customStyle="1" w:styleId="EDBullet">
    <w:name w:val="ED.Bullet"/>
    <w:uiPriority w:val="99"/>
    <w:pPr>
      <w:numPr>
        <w:numId w:val="21"/>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24"/>
      </w:numPr>
      <w:ind w:left="720"/>
      <w:contextualSpacing/>
    </w:pPr>
  </w:style>
  <w:style w:type="paragraph" w:customStyle="1" w:styleId="NumberedList">
    <w:name w:val="Numbered List"/>
    <w:basedOn w:val="BodyText"/>
    <w:uiPriority w:val="4"/>
    <w:qFormat/>
    <w:rsid w:val="00590EBD"/>
    <w:pPr>
      <w:numPr>
        <w:numId w:val="26"/>
      </w:numPr>
      <w:tabs>
        <w:tab w:val="num" w:pos="360"/>
      </w:tabs>
      <w:ind w:left="0" w:firstLine="0"/>
    </w:pPr>
    <w:rPr>
      <w:rFonts w:ascii="Times New Roman" w:eastAsia="Calibri" w:hAnsi="Times New Roman"/>
      <w:sz w:val="24"/>
      <w:szCs w:val="20"/>
    </w:rPr>
  </w:style>
  <w:style w:type="paragraph" w:customStyle="1" w:styleId="Reference">
    <w:name w:val="Reference"/>
    <w:link w:val="ReferenceChar"/>
    <w:qFormat/>
    <w:rsid w:val="000E48DB"/>
    <w:pPr>
      <w:keepLines/>
      <w:spacing w:before="240" w:after="120"/>
      <w:ind w:left="720" w:hanging="720"/>
    </w:pPr>
    <w:rPr>
      <w:rFonts w:asciiTheme="minorHAnsi" w:eastAsia="Times New Roman" w:hAnsiTheme="minorHAnsi"/>
      <w:sz w:val="22"/>
    </w:rPr>
  </w:style>
  <w:style w:type="character" w:customStyle="1" w:styleId="ReferenceChar">
    <w:name w:val="Reference Char"/>
    <w:basedOn w:val="DefaultParagraphFont"/>
    <w:link w:val="Reference"/>
    <w:rsid w:val="000E48DB"/>
    <w:rPr>
      <w:rFonts w:asciiTheme="minorHAnsi" w:eastAsia="Times New Roman" w:hAnsiTheme="minorHAnsi"/>
      <w:sz w:val="22"/>
    </w:rPr>
  </w:style>
  <w:style w:type="character" w:customStyle="1" w:styleId="ReferenceItalics">
    <w:name w:val="Reference Italics"/>
    <w:uiPriority w:val="20"/>
    <w:qFormat/>
    <w:rsid w:val="000E48DB"/>
    <w:rPr>
      <w:i/>
    </w:rPr>
  </w:style>
  <w:style w:type="paragraph" w:customStyle="1" w:styleId="TableText">
    <w:name w:val="Table Text"/>
    <w:uiPriority w:val="15"/>
    <w:qFormat/>
    <w:rsid w:val="005A4305"/>
    <w:pPr>
      <w:keepNext/>
      <w:tabs>
        <w:tab w:val="left" w:pos="360"/>
      </w:tabs>
      <w:spacing w:before="40" w:after="40"/>
    </w:pPr>
    <w:rPr>
      <w:rFonts w:asciiTheme="minorHAnsi" w:eastAsia="Times New Roman" w:hAnsiTheme="minorHAnsi" w:cs="Arial"/>
    </w:rPr>
  </w:style>
  <w:style w:type="table" w:customStyle="1" w:styleId="EDGrayText">
    <w:name w:val="ED.Gray Text"/>
    <w:basedOn w:val="TableNormal"/>
    <w:uiPriority w:val="99"/>
    <w:rsid w:val="005A4305"/>
    <w:rPr>
      <w:rFonts w:asciiTheme="majorHAnsi" w:eastAsiaTheme="minorHAnsi" w:hAnsiTheme="majorHAnsi" w:cstheme="minorBidi"/>
      <w:szCs w:val="22"/>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TableColumnHeadLeft">
    <w:name w:val="Table Column Head Left"/>
    <w:basedOn w:val="Normal"/>
    <w:uiPriority w:val="15"/>
    <w:qFormat/>
    <w:rsid w:val="005A4305"/>
    <w:pPr>
      <w:spacing w:before="40" w:after="40" w:line="240" w:lineRule="auto"/>
    </w:pPr>
    <w:rPr>
      <w:rFonts w:asciiTheme="majorHAnsi" w:eastAsia="Times New Roman" w:hAnsiTheme="majorHAnsi"/>
      <w:b/>
      <w:bCs/>
      <w:sz w:val="20"/>
      <w:szCs w:val="20"/>
    </w:rPr>
  </w:style>
  <w:style w:type="paragraph" w:customStyle="1" w:styleId="Call-outText">
    <w:name w:val="Call-out Text"/>
    <w:next w:val="BodyText"/>
    <w:uiPriority w:val="5"/>
    <w:rsid w:val="000E5998"/>
    <w:pPr>
      <w:keepNext/>
      <w:keepLines/>
      <w:spacing w:before="240" w:after="240"/>
      <w:ind w:left="720" w:right="720"/>
    </w:pPr>
    <w:rPr>
      <w:rFonts w:asciiTheme="minorHAnsi" w:hAnsiTheme="minorHAnsi" w:cstheme="minorHAnsi"/>
      <w:b/>
      <w:color w:val="1F497D" w:themeColor="text2"/>
      <w:sz w:val="22"/>
      <w:szCs w:val="24"/>
    </w:rPr>
  </w:style>
  <w:style w:type="paragraph" w:customStyle="1" w:styleId="Heading3NoTOC">
    <w:name w:val="Heading 3 No TOC"/>
    <w:basedOn w:val="Heading3"/>
    <w:next w:val="BodyText"/>
    <w:link w:val="Heading3NoTOCChar"/>
    <w:uiPriority w:val="9"/>
    <w:qFormat/>
    <w:rsid w:val="000139C5"/>
    <w:pPr>
      <w:spacing w:before="240" w:after="120"/>
      <w:ind w:left="0"/>
      <w:outlineLvl w:val="9"/>
    </w:pPr>
    <w:rPr>
      <w:rFonts w:asciiTheme="majorHAnsi" w:hAnsiTheme="majorHAnsi"/>
      <w:color w:val="1F497D" w:themeColor="text2"/>
      <w:sz w:val="28"/>
      <w:szCs w:val="26"/>
    </w:rPr>
  </w:style>
  <w:style w:type="character" w:customStyle="1" w:styleId="Heading3NoTOCChar">
    <w:name w:val="Heading 3 No TOC Char"/>
    <w:basedOn w:val="DefaultParagraphFont"/>
    <w:link w:val="Heading3NoTOC"/>
    <w:uiPriority w:val="9"/>
    <w:rsid w:val="000139C5"/>
    <w:rPr>
      <w:rFonts w:asciiTheme="majorHAnsi" w:eastAsia="Times New Roman" w:hAnsiTheme="majorHAnsi"/>
      <w:b/>
      <w:color w:val="1F497D" w:themeColor="text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4"/>
      </w:numPr>
      <w:spacing w:after="120"/>
      <w:outlineLvl w:val="4"/>
    </w:pPr>
    <w:rPr>
      <w:b/>
    </w:rPr>
  </w:style>
  <w:style w:type="paragraph" w:styleId="Heading6">
    <w:name w:val="heading 6"/>
    <w:basedOn w:val="Normal"/>
    <w:next w:val="Normal"/>
    <w:link w:val="Heading6Char"/>
    <w:unhideWhenUsed/>
    <w:qFormat/>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Pr>
      <w:rFonts w:ascii="Times New Roman" w:hAnsi="Times New Roman"/>
      <w:sz w:val="22"/>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bCs/>
      <w:color w:val="002060"/>
      <w:kern w:val="32"/>
      <w:sz w:val="28"/>
      <w:szCs w:val="32"/>
    </w:rPr>
  </w:style>
  <w:style w:type="character" w:customStyle="1" w:styleId="Heading2Char">
    <w:name w:val="Heading 2 Char"/>
    <w:basedOn w:val="DefaultParagraphFont"/>
    <w:link w:val="Heading2"/>
    <w:rPr>
      <w:rFonts w:eastAsia="Times New Roman"/>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Bullet">
    <w:name w:val="Bullet"/>
    <w:qFormat/>
    <w:pPr>
      <w:numPr>
        <w:numId w:val="3"/>
      </w:numPr>
      <w:spacing w:after="240"/>
      <w:contextualSpacing/>
    </w:pPr>
    <w:rPr>
      <w:rFonts w:eastAsia="Times New Roman"/>
      <w:color w:val="000000"/>
      <w:sz w:val="23"/>
      <w:szCs w:val="23"/>
    </w:rPr>
  </w:style>
  <w:style w:type="paragraph" w:customStyle="1" w:styleId="Footnote">
    <w:name w:val="Footnote"/>
    <w:rPr>
      <w:rFonts w:eastAsia="Times New Roman"/>
      <w:sz w:val="18"/>
      <w:szCs w:val="24"/>
    </w:rPr>
  </w:style>
  <w:style w:type="paragraph" w:customStyle="1" w:styleId="Bullet2">
    <w:name w:val="Bullet 2"/>
    <w:basedOn w:val="Normal"/>
    <w:qFormat/>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aliases w:val="Exhibit Note,Table Note,Figure Note"/>
    <w:uiPriority w:val="14"/>
    <w:qFormat/>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paragraph" w:customStyle="1" w:styleId="Bullet2Last">
    <w:name w:val="Bullet 2 Last"/>
    <w:basedOn w:val="Bullet2"/>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ind w:left="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numPr>
        <w:numId w:val="23"/>
      </w:numPr>
      <w:autoSpaceDE w:val="0"/>
      <w:autoSpaceDN w:val="0"/>
      <w:adjustRightInd w:val="0"/>
      <w:spacing w:after="80" w:line="240" w:lineRule="auto"/>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34"/>
    <w:rPr>
      <w:sz w:val="22"/>
      <w:szCs w:val="22"/>
    </w:rPr>
  </w:style>
  <w:style w:type="paragraph" w:customStyle="1" w:styleId="TOCItemnumbered">
    <w:name w:val="TOC Item (numbered)"/>
    <w:basedOn w:val="ListParagraph"/>
    <w:link w:val="TOCItemnumberedChar"/>
    <w:pPr>
      <w:numPr>
        <w:numId w:val="6"/>
      </w:numPr>
      <w:pBdr>
        <w:bottom w:val="single" w:sz="6" w:space="1" w:color="980C0C"/>
      </w:pBdr>
      <w:tabs>
        <w:tab w:val="right" w:pos="9360"/>
      </w:tabs>
      <w:spacing w:before="120" w:after="120"/>
      <w:ind w:left="360"/>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Bullets">
    <w:name w:val="Bullets"/>
    <w:basedOn w:val="ListParagraph"/>
    <w:link w:val="BulletsChar"/>
    <w:qFormat/>
    <w:pPr>
      <w:spacing w:before="60" w:after="60"/>
      <w:contextualSpacing w:val="0"/>
    </w:pPr>
    <w:rPr>
      <w:rFonts w:ascii="Times New Roman" w:hAnsi="Times New Roman"/>
      <w:sz w:val="20"/>
      <w:szCs w:val="20"/>
    </w:rPr>
  </w:style>
  <w:style w:type="character" w:customStyle="1" w:styleId="BulletsChar">
    <w:name w:val="Bullets Char"/>
    <w:link w:val="Bullets"/>
    <w:rPr>
      <w:rFonts w:ascii="Times New Roman" w:hAnsi="Times New Roman"/>
    </w:rPr>
  </w:style>
  <w:style w:type="paragraph" w:customStyle="1" w:styleId="SubBullet">
    <w:name w:val="SubBullet"/>
    <w:basedOn w:val="Bullets"/>
    <w:link w:val="SubBulletChar"/>
    <w:qFormat/>
    <w:pPr>
      <w:ind w:left="1440"/>
    </w:p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8"/>
      </w:numPr>
      <w:tabs>
        <w:tab w:val="clear" w:pos="720"/>
        <w:tab w:val="num" w:pos="360"/>
      </w:tabs>
      <w:ind w:left="1080"/>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9"/>
      </w:numPr>
      <w:spacing w:after="0"/>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paragraph" w:customStyle="1" w:styleId="bul">
    <w:name w:val="bul"/>
    <w:basedOn w:val="Normal"/>
    <w:link w:val="bulChar"/>
    <w:qFormat/>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Pr>
      <w:rFonts w:ascii="Arial" w:eastAsia="Times New Roman" w:hAnsi="Arial"/>
      <w:spacing w:val="-2"/>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14"/>
      </w:numPr>
      <w:spacing w:line="240" w:lineRule="auto"/>
    </w:pPr>
    <w:rPr>
      <w:rFonts w:ascii="Arial" w:eastAsia="MS Mincho" w:hAnsi="Arial"/>
      <w:sz w:val="24"/>
      <w:szCs w:val="20"/>
      <w:lang w:eastAsia="ja-JP"/>
    </w:rPr>
  </w:style>
  <w:style w:type="paragraph" w:customStyle="1" w:styleId="2ndbullet">
    <w:name w:val="2nd bullet"/>
    <w:basedOn w:val="Normal"/>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15"/>
      </w:numPr>
      <w:tabs>
        <w:tab w:val="num" w:pos="360"/>
      </w:tabs>
      <w:spacing w:after="0"/>
      <w:ind w:left="360" w:hanging="180"/>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Pr>
      <w:rFonts w:ascii="Times New Roman" w:hAnsi="Times New Roman"/>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7"/>
      </w:numPr>
      <w:tabs>
        <w:tab w:val="left" w:pos="1080"/>
      </w:tabs>
      <w:ind w:left="1080"/>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9"/>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20"/>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Franklin Gothic Heavy" w:eastAsia="Times New Roman" w:hAnsi="Franklin Gothic Heavy" w:cs="Arial"/>
      <w:sz w:val="22"/>
      <w:szCs w:val="22"/>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22"/>
      </w:numPr>
      <w:spacing w:after="120"/>
      <w:contextualSpacing/>
    </w:pPr>
    <w:rPr>
      <w:rFonts w:eastAsia="Calibri"/>
      <w:color w:val="000000"/>
      <w:szCs w:val="22"/>
    </w:rPr>
  </w:style>
  <w:style w:type="numbering" w:customStyle="1" w:styleId="EDBullet">
    <w:name w:val="ED.Bullet"/>
    <w:uiPriority w:val="99"/>
    <w:pPr>
      <w:numPr>
        <w:numId w:val="21"/>
      </w:numPr>
    </w:pPr>
  </w:style>
  <w:style w:type="paragraph" w:customStyle="1" w:styleId="Bullet3">
    <w:name w:val="Bullet 3"/>
    <w:basedOn w:val="BodyText"/>
    <w:uiPriority w:val="4"/>
    <w:qFormat/>
    <w:pPr>
      <w:kinsoku w:val="0"/>
      <w:autoSpaceDE w:val="0"/>
      <w:autoSpaceDN w:val="0"/>
      <w:spacing w:before="120" w:after="120"/>
      <w:ind w:left="1440" w:hanging="360"/>
      <w:contextualSpacing/>
    </w:pPr>
    <w:rPr>
      <w:sz w:val="22"/>
    </w:rPr>
  </w:style>
  <w:style w:type="table" w:customStyle="1" w:styleId="AIRTable1">
    <w:name w:val="AIR Table1"/>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apple-converted-space">
    <w:name w:val="apple-converted-space"/>
    <w:basedOn w:val="DefaultParagraphFont"/>
  </w:style>
  <w:style w:type="paragraph" w:styleId="ListNumber">
    <w:name w:val="List Number"/>
    <w:basedOn w:val="Normal"/>
    <w:uiPriority w:val="99"/>
    <w:unhideWhenUsed/>
    <w:pPr>
      <w:numPr>
        <w:numId w:val="24"/>
      </w:numPr>
      <w:ind w:left="720"/>
      <w:contextualSpacing/>
    </w:pPr>
  </w:style>
  <w:style w:type="paragraph" w:customStyle="1" w:styleId="NumberedList">
    <w:name w:val="Numbered List"/>
    <w:basedOn w:val="BodyText"/>
    <w:uiPriority w:val="4"/>
    <w:qFormat/>
    <w:rsid w:val="00590EBD"/>
    <w:pPr>
      <w:numPr>
        <w:numId w:val="26"/>
      </w:numPr>
      <w:tabs>
        <w:tab w:val="num" w:pos="360"/>
      </w:tabs>
      <w:ind w:left="0" w:firstLine="0"/>
    </w:pPr>
    <w:rPr>
      <w:rFonts w:ascii="Times New Roman" w:eastAsia="Calibri" w:hAnsi="Times New Roman"/>
      <w:sz w:val="24"/>
      <w:szCs w:val="20"/>
    </w:rPr>
  </w:style>
  <w:style w:type="paragraph" w:customStyle="1" w:styleId="Reference">
    <w:name w:val="Reference"/>
    <w:link w:val="ReferenceChar"/>
    <w:qFormat/>
    <w:rsid w:val="000E48DB"/>
    <w:pPr>
      <w:keepLines/>
      <w:spacing w:before="240" w:after="120"/>
      <w:ind w:left="720" w:hanging="720"/>
    </w:pPr>
    <w:rPr>
      <w:rFonts w:asciiTheme="minorHAnsi" w:eastAsia="Times New Roman" w:hAnsiTheme="minorHAnsi"/>
      <w:sz w:val="22"/>
    </w:rPr>
  </w:style>
  <w:style w:type="character" w:customStyle="1" w:styleId="ReferenceChar">
    <w:name w:val="Reference Char"/>
    <w:basedOn w:val="DefaultParagraphFont"/>
    <w:link w:val="Reference"/>
    <w:rsid w:val="000E48DB"/>
    <w:rPr>
      <w:rFonts w:asciiTheme="minorHAnsi" w:eastAsia="Times New Roman" w:hAnsiTheme="minorHAnsi"/>
      <w:sz w:val="22"/>
    </w:rPr>
  </w:style>
  <w:style w:type="character" w:customStyle="1" w:styleId="ReferenceItalics">
    <w:name w:val="Reference Italics"/>
    <w:uiPriority w:val="20"/>
    <w:qFormat/>
    <w:rsid w:val="000E48DB"/>
    <w:rPr>
      <w:i/>
    </w:rPr>
  </w:style>
  <w:style w:type="paragraph" w:customStyle="1" w:styleId="TableText">
    <w:name w:val="Table Text"/>
    <w:uiPriority w:val="15"/>
    <w:qFormat/>
    <w:rsid w:val="005A4305"/>
    <w:pPr>
      <w:keepNext/>
      <w:tabs>
        <w:tab w:val="left" w:pos="360"/>
      </w:tabs>
      <w:spacing w:before="40" w:after="40"/>
    </w:pPr>
    <w:rPr>
      <w:rFonts w:asciiTheme="minorHAnsi" w:eastAsia="Times New Roman" w:hAnsiTheme="minorHAnsi" w:cs="Arial"/>
    </w:rPr>
  </w:style>
  <w:style w:type="table" w:customStyle="1" w:styleId="EDGrayText">
    <w:name w:val="ED.Gray Text"/>
    <w:basedOn w:val="TableNormal"/>
    <w:uiPriority w:val="99"/>
    <w:rsid w:val="005A4305"/>
    <w:rPr>
      <w:rFonts w:asciiTheme="majorHAnsi" w:eastAsiaTheme="minorHAnsi" w:hAnsiTheme="majorHAnsi" w:cstheme="minorBidi"/>
      <w:szCs w:val="22"/>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TableColumnHeadLeft">
    <w:name w:val="Table Column Head Left"/>
    <w:basedOn w:val="Normal"/>
    <w:uiPriority w:val="15"/>
    <w:qFormat/>
    <w:rsid w:val="005A4305"/>
    <w:pPr>
      <w:spacing w:before="40" w:after="40" w:line="240" w:lineRule="auto"/>
    </w:pPr>
    <w:rPr>
      <w:rFonts w:asciiTheme="majorHAnsi" w:eastAsia="Times New Roman" w:hAnsiTheme="majorHAnsi"/>
      <w:b/>
      <w:bCs/>
      <w:sz w:val="20"/>
      <w:szCs w:val="20"/>
    </w:rPr>
  </w:style>
  <w:style w:type="paragraph" w:customStyle="1" w:styleId="Call-outText">
    <w:name w:val="Call-out Text"/>
    <w:next w:val="BodyText"/>
    <w:uiPriority w:val="5"/>
    <w:rsid w:val="000E5998"/>
    <w:pPr>
      <w:keepNext/>
      <w:keepLines/>
      <w:spacing w:before="240" w:after="240"/>
      <w:ind w:left="720" w:right="720"/>
    </w:pPr>
    <w:rPr>
      <w:rFonts w:asciiTheme="minorHAnsi" w:hAnsiTheme="minorHAnsi" w:cstheme="minorHAnsi"/>
      <w:b/>
      <w:color w:val="1F497D" w:themeColor="text2"/>
      <w:sz w:val="22"/>
      <w:szCs w:val="24"/>
    </w:rPr>
  </w:style>
  <w:style w:type="paragraph" w:customStyle="1" w:styleId="Heading3NoTOC">
    <w:name w:val="Heading 3 No TOC"/>
    <w:basedOn w:val="Heading3"/>
    <w:next w:val="BodyText"/>
    <w:link w:val="Heading3NoTOCChar"/>
    <w:uiPriority w:val="9"/>
    <w:qFormat/>
    <w:rsid w:val="000139C5"/>
    <w:pPr>
      <w:spacing w:before="240" w:after="120"/>
      <w:ind w:left="0"/>
      <w:outlineLvl w:val="9"/>
    </w:pPr>
    <w:rPr>
      <w:rFonts w:asciiTheme="majorHAnsi" w:hAnsiTheme="majorHAnsi"/>
      <w:color w:val="1F497D" w:themeColor="text2"/>
      <w:sz w:val="28"/>
      <w:szCs w:val="26"/>
    </w:rPr>
  </w:style>
  <w:style w:type="character" w:customStyle="1" w:styleId="Heading3NoTOCChar">
    <w:name w:val="Heading 3 No TOC Char"/>
    <w:basedOn w:val="DefaultParagraphFont"/>
    <w:link w:val="Heading3NoTOC"/>
    <w:uiPriority w:val="9"/>
    <w:rsid w:val="000139C5"/>
    <w:rPr>
      <w:rFonts w:asciiTheme="majorHAnsi" w:eastAsia="Times New Roman" w:hAnsiTheme="majorHAnsi"/>
      <w:b/>
      <w:color w:val="1F497D"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86855248">
      <w:bodyDiv w:val="1"/>
      <w:marLeft w:val="0"/>
      <w:marRight w:val="0"/>
      <w:marTop w:val="0"/>
      <w:marBottom w:val="0"/>
      <w:divBdr>
        <w:top w:val="none" w:sz="0" w:space="0" w:color="auto"/>
        <w:left w:val="none" w:sz="0" w:space="0" w:color="auto"/>
        <w:bottom w:val="none" w:sz="0" w:space="0" w:color="auto"/>
        <w:right w:val="none" w:sz="0" w:space="0" w:color="auto"/>
      </w:divBdr>
    </w:div>
    <w:div w:id="162935221">
      <w:bodyDiv w:val="1"/>
      <w:marLeft w:val="0"/>
      <w:marRight w:val="0"/>
      <w:marTop w:val="0"/>
      <w:marBottom w:val="0"/>
      <w:divBdr>
        <w:top w:val="none" w:sz="0" w:space="0" w:color="auto"/>
        <w:left w:val="none" w:sz="0" w:space="0" w:color="auto"/>
        <w:bottom w:val="none" w:sz="0" w:space="0" w:color="auto"/>
        <w:right w:val="none" w:sz="0" w:space="0" w:color="auto"/>
      </w:divBdr>
    </w:div>
    <w:div w:id="174080603">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73625550">
      <w:bodyDiv w:val="1"/>
      <w:marLeft w:val="0"/>
      <w:marRight w:val="0"/>
      <w:marTop w:val="0"/>
      <w:marBottom w:val="0"/>
      <w:divBdr>
        <w:top w:val="none" w:sz="0" w:space="0" w:color="auto"/>
        <w:left w:val="none" w:sz="0" w:space="0" w:color="auto"/>
        <w:bottom w:val="none" w:sz="0" w:space="0" w:color="auto"/>
        <w:right w:val="none" w:sz="0" w:space="0" w:color="auto"/>
      </w:divBdr>
    </w:div>
    <w:div w:id="379742776">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28938294">
      <w:bodyDiv w:val="1"/>
      <w:marLeft w:val="0"/>
      <w:marRight w:val="0"/>
      <w:marTop w:val="0"/>
      <w:marBottom w:val="0"/>
      <w:divBdr>
        <w:top w:val="none" w:sz="0" w:space="0" w:color="auto"/>
        <w:left w:val="none" w:sz="0" w:space="0" w:color="auto"/>
        <w:bottom w:val="none" w:sz="0" w:space="0" w:color="auto"/>
        <w:right w:val="none" w:sz="0" w:space="0" w:color="auto"/>
      </w:divBdr>
    </w:div>
    <w:div w:id="506867736">
      <w:bodyDiv w:val="1"/>
      <w:marLeft w:val="0"/>
      <w:marRight w:val="0"/>
      <w:marTop w:val="0"/>
      <w:marBottom w:val="0"/>
      <w:divBdr>
        <w:top w:val="none" w:sz="0" w:space="0" w:color="auto"/>
        <w:left w:val="none" w:sz="0" w:space="0" w:color="auto"/>
        <w:bottom w:val="none" w:sz="0" w:space="0" w:color="auto"/>
        <w:right w:val="none" w:sz="0" w:space="0" w:color="auto"/>
      </w:divBdr>
    </w:div>
    <w:div w:id="507255312">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49821935">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4648976">
      <w:bodyDiv w:val="1"/>
      <w:marLeft w:val="0"/>
      <w:marRight w:val="0"/>
      <w:marTop w:val="0"/>
      <w:marBottom w:val="0"/>
      <w:divBdr>
        <w:top w:val="none" w:sz="0" w:space="0" w:color="auto"/>
        <w:left w:val="none" w:sz="0" w:space="0" w:color="auto"/>
        <w:bottom w:val="none" w:sz="0" w:space="0" w:color="auto"/>
        <w:right w:val="none" w:sz="0" w:space="0" w:color="auto"/>
      </w:divBdr>
    </w:div>
    <w:div w:id="710501856">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51314612">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8102787">
      <w:bodyDiv w:val="1"/>
      <w:marLeft w:val="0"/>
      <w:marRight w:val="0"/>
      <w:marTop w:val="0"/>
      <w:marBottom w:val="0"/>
      <w:divBdr>
        <w:top w:val="none" w:sz="0" w:space="0" w:color="auto"/>
        <w:left w:val="none" w:sz="0" w:space="0" w:color="auto"/>
        <w:bottom w:val="none" w:sz="0" w:space="0" w:color="auto"/>
        <w:right w:val="none" w:sz="0" w:space="0" w:color="auto"/>
      </w:divBdr>
    </w:div>
    <w:div w:id="892303793">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30043533">
      <w:bodyDiv w:val="1"/>
      <w:marLeft w:val="0"/>
      <w:marRight w:val="0"/>
      <w:marTop w:val="0"/>
      <w:marBottom w:val="0"/>
      <w:divBdr>
        <w:top w:val="none" w:sz="0" w:space="0" w:color="auto"/>
        <w:left w:val="none" w:sz="0" w:space="0" w:color="auto"/>
        <w:bottom w:val="none" w:sz="0" w:space="0" w:color="auto"/>
        <w:right w:val="none" w:sz="0" w:space="0" w:color="auto"/>
      </w:divBdr>
    </w:div>
    <w:div w:id="932277434">
      <w:bodyDiv w:val="1"/>
      <w:marLeft w:val="0"/>
      <w:marRight w:val="0"/>
      <w:marTop w:val="0"/>
      <w:marBottom w:val="0"/>
      <w:divBdr>
        <w:top w:val="none" w:sz="0" w:space="0" w:color="auto"/>
        <w:left w:val="none" w:sz="0" w:space="0" w:color="auto"/>
        <w:bottom w:val="none" w:sz="0" w:space="0" w:color="auto"/>
        <w:right w:val="none" w:sz="0" w:space="0" w:color="auto"/>
      </w:divBdr>
    </w:div>
    <w:div w:id="953829324">
      <w:bodyDiv w:val="1"/>
      <w:marLeft w:val="0"/>
      <w:marRight w:val="0"/>
      <w:marTop w:val="0"/>
      <w:marBottom w:val="0"/>
      <w:divBdr>
        <w:top w:val="none" w:sz="0" w:space="0" w:color="auto"/>
        <w:left w:val="none" w:sz="0" w:space="0" w:color="auto"/>
        <w:bottom w:val="none" w:sz="0" w:space="0" w:color="auto"/>
        <w:right w:val="none" w:sz="0" w:space="0" w:color="auto"/>
      </w:divBdr>
    </w:div>
    <w:div w:id="1011028765">
      <w:bodyDiv w:val="1"/>
      <w:marLeft w:val="0"/>
      <w:marRight w:val="0"/>
      <w:marTop w:val="0"/>
      <w:marBottom w:val="0"/>
      <w:divBdr>
        <w:top w:val="none" w:sz="0" w:space="0" w:color="auto"/>
        <w:left w:val="none" w:sz="0" w:space="0" w:color="auto"/>
        <w:bottom w:val="none" w:sz="0" w:space="0" w:color="auto"/>
        <w:right w:val="none" w:sz="0" w:space="0" w:color="auto"/>
      </w:divBdr>
    </w:div>
    <w:div w:id="1025210749">
      <w:bodyDiv w:val="1"/>
      <w:marLeft w:val="0"/>
      <w:marRight w:val="0"/>
      <w:marTop w:val="0"/>
      <w:marBottom w:val="0"/>
      <w:divBdr>
        <w:top w:val="none" w:sz="0" w:space="0" w:color="auto"/>
        <w:left w:val="none" w:sz="0" w:space="0" w:color="auto"/>
        <w:bottom w:val="none" w:sz="0" w:space="0" w:color="auto"/>
        <w:right w:val="none" w:sz="0" w:space="0" w:color="auto"/>
      </w:divBdr>
    </w:div>
    <w:div w:id="103515441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092319896">
      <w:bodyDiv w:val="1"/>
      <w:marLeft w:val="0"/>
      <w:marRight w:val="0"/>
      <w:marTop w:val="0"/>
      <w:marBottom w:val="0"/>
      <w:divBdr>
        <w:top w:val="none" w:sz="0" w:space="0" w:color="auto"/>
        <w:left w:val="none" w:sz="0" w:space="0" w:color="auto"/>
        <w:bottom w:val="none" w:sz="0" w:space="0" w:color="auto"/>
        <w:right w:val="none" w:sz="0" w:space="0" w:color="auto"/>
      </w:divBdr>
    </w:div>
    <w:div w:id="1108161101">
      <w:bodyDiv w:val="1"/>
      <w:marLeft w:val="0"/>
      <w:marRight w:val="0"/>
      <w:marTop w:val="0"/>
      <w:marBottom w:val="0"/>
      <w:divBdr>
        <w:top w:val="none" w:sz="0" w:space="0" w:color="auto"/>
        <w:left w:val="none" w:sz="0" w:space="0" w:color="auto"/>
        <w:bottom w:val="none" w:sz="0" w:space="0" w:color="auto"/>
        <w:right w:val="none" w:sz="0" w:space="0" w:color="auto"/>
      </w:divBdr>
    </w:div>
    <w:div w:id="1136871232">
      <w:bodyDiv w:val="1"/>
      <w:marLeft w:val="0"/>
      <w:marRight w:val="0"/>
      <w:marTop w:val="0"/>
      <w:marBottom w:val="0"/>
      <w:divBdr>
        <w:top w:val="none" w:sz="0" w:space="0" w:color="auto"/>
        <w:left w:val="none" w:sz="0" w:space="0" w:color="auto"/>
        <w:bottom w:val="none" w:sz="0" w:space="0" w:color="auto"/>
        <w:right w:val="none" w:sz="0" w:space="0" w:color="auto"/>
      </w:divBdr>
    </w:div>
    <w:div w:id="1159659991">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3581604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7684813">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3523482">
      <w:bodyDiv w:val="1"/>
      <w:marLeft w:val="0"/>
      <w:marRight w:val="0"/>
      <w:marTop w:val="0"/>
      <w:marBottom w:val="0"/>
      <w:divBdr>
        <w:top w:val="none" w:sz="0" w:space="0" w:color="auto"/>
        <w:left w:val="none" w:sz="0" w:space="0" w:color="auto"/>
        <w:bottom w:val="none" w:sz="0" w:space="0" w:color="auto"/>
        <w:right w:val="none" w:sz="0" w:space="0" w:color="auto"/>
      </w:divBdr>
    </w:div>
    <w:div w:id="1525095669">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597128259">
      <w:bodyDiv w:val="1"/>
      <w:marLeft w:val="0"/>
      <w:marRight w:val="0"/>
      <w:marTop w:val="0"/>
      <w:marBottom w:val="0"/>
      <w:divBdr>
        <w:top w:val="none" w:sz="0" w:space="0" w:color="auto"/>
        <w:left w:val="none" w:sz="0" w:space="0" w:color="auto"/>
        <w:bottom w:val="none" w:sz="0" w:space="0" w:color="auto"/>
        <w:right w:val="none" w:sz="0" w:space="0" w:color="auto"/>
      </w:divBdr>
    </w:div>
    <w:div w:id="1608809959">
      <w:bodyDiv w:val="1"/>
      <w:marLeft w:val="0"/>
      <w:marRight w:val="0"/>
      <w:marTop w:val="0"/>
      <w:marBottom w:val="0"/>
      <w:divBdr>
        <w:top w:val="none" w:sz="0" w:space="0" w:color="auto"/>
        <w:left w:val="none" w:sz="0" w:space="0" w:color="auto"/>
        <w:bottom w:val="none" w:sz="0" w:space="0" w:color="auto"/>
        <w:right w:val="none" w:sz="0" w:space="0" w:color="auto"/>
      </w:divBdr>
    </w:div>
    <w:div w:id="1679846632">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61972065">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70292345">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0855132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44747441">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52460043">
      <w:bodyDiv w:val="1"/>
      <w:marLeft w:val="0"/>
      <w:marRight w:val="0"/>
      <w:marTop w:val="0"/>
      <w:marBottom w:val="0"/>
      <w:divBdr>
        <w:top w:val="none" w:sz="0" w:space="0" w:color="auto"/>
        <w:left w:val="none" w:sz="0" w:space="0" w:color="auto"/>
        <w:bottom w:val="none" w:sz="0" w:space="0" w:color="auto"/>
        <w:right w:val="none" w:sz="0" w:space="0" w:color="auto"/>
      </w:divBdr>
    </w:div>
    <w:div w:id="2064712860">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 w:id="21207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developingchild.harvard.edu/wp-content/uploads/2007/05/Timing_Quality_Early_Experiences-1.pdf" TargetMode="External"/><Relationship Id="rId2" Type="http://schemas.openxmlformats.org/officeDocument/2006/relationships/customXml" Target="../customXml/item2.xml"/><Relationship Id="rId16" Type="http://schemas.openxmlformats.org/officeDocument/2006/relationships/hyperlink" Target="http://ccrc.tc.columbia.edu/media/k2/attachments/what-we-know-about-transf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emp/ep_table_111.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2.xml><?xml version="1.0" encoding="utf-8"?>
<ds:datastoreItem xmlns:ds="http://schemas.openxmlformats.org/officeDocument/2006/customXml" ds:itemID="{E886728C-CF32-4D57-B042-E8B824B845F9}">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AC8337-7A16-476B-B253-108DDAE8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6071</Words>
  <Characters>34610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WSF OMB Part A Recruit Sample</vt:lpstr>
    </vt:vector>
  </TitlesOfParts>
  <Company>American Institutes for Research</Company>
  <LinksUpToDate>false</LinksUpToDate>
  <CharactersWithSpaces>40600</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 OMB Part A Recruit Sample</dc:title>
  <dc:creator>American Institutes for Research</dc:creator>
  <cp:lastModifiedBy>SYSTEM</cp:lastModifiedBy>
  <cp:revision>2</cp:revision>
  <cp:lastPrinted>2017-09-01T18:05:00Z</cp:lastPrinted>
  <dcterms:created xsi:type="dcterms:W3CDTF">2018-03-08T19:46:00Z</dcterms:created>
  <dcterms:modified xsi:type="dcterms:W3CDTF">2018-03-08T19:46:00Z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