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25" w:rsidRDefault="00AF4C25" w:rsidP="00AF4C25">
      <w:pPr>
        <w:tabs>
          <w:tab w:val="center" w:pos="4680"/>
        </w:tabs>
        <w:jc w:val="center"/>
        <w:rPr>
          <w:b/>
          <w:bCs/>
          <w:sz w:val="32"/>
          <w:szCs w:val="32"/>
        </w:rPr>
      </w:pPr>
      <w:bookmarkStart w:id="0" w:name="_GoBack"/>
      <w:bookmarkEnd w:id="0"/>
      <w:r>
        <w:rPr>
          <w:b/>
          <w:bCs/>
          <w:sz w:val="32"/>
          <w:szCs w:val="32"/>
        </w:rPr>
        <w:t xml:space="preserve">Supporting Statement for </w:t>
      </w:r>
    </w:p>
    <w:p w:rsidR="00AF4C25" w:rsidRDefault="00AF4C25" w:rsidP="00AF4C25">
      <w:pPr>
        <w:tabs>
          <w:tab w:val="center" w:pos="4680"/>
        </w:tabs>
        <w:jc w:val="center"/>
        <w:rPr>
          <w:b/>
          <w:bCs/>
          <w:sz w:val="32"/>
          <w:szCs w:val="32"/>
        </w:rPr>
      </w:pPr>
      <w:r>
        <w:rPr>
          <w:b/>
          <w:bCs/>
          <w:sz w:val="32"/>
          <w:szCs w:val="32"/>
        </w:rPr>
        <w:t xml:space="preserve">Title III Supplemental Form to </w:t>
      </w:r>
    </w:p>
    <w:p w:rsidR="00AF4C25" w:rsidRDefault="00AF4C25" w:rsidP="00AF4C25">
      <w:pPr>
        <w:tabs>
          <w:tab w:val="center" w:pos="4680"/>
        </w:tabs>
        <w:jc w:val="center"/>
        <w:rPr>
          <w:sz w:val="24"/>
        </w:rPr>
      </w:pPr>
      <w:r>
        <w:rPr>
          <w:b/>
          <w:bCs/>
          <w:sz w:val="32"/>
          <w:szCs w:val="32"/>
        </w:rPr>
        <w:t xml:space="preserve">Financial Status Report </w:t>
      </w:r>
      <w:r w:rsidR="00E61491">
        <w:rPr>
          <w:b/>
          <w:bCs/>
          <w:sz w:val="32"/>
          <w:szCs w:val="32"/>
        </w:rPr>
        <w:t>(SF-425)</w:t>
      </w:r>
    </w:p>
    <w:p w:rsidR="0043197A" w:rsidRDefault="0043197A">
      <w:pPr>
        <w:rPr>
          <w:sz w:val="24"/>
        </w:rPr>
      </w:pPr>
    </w:p>
    <w:p w:rsidR="00AF4C25" w:rsidRDefault="00AF4C25" w:rsidP="00AF4C25">
      <w:pPr>
        <w:rPr>
          <w:sz w:val="24"/>
        </w:rPr>
      </w:pPr>
      <w:r w:rsidRPr="00AF4C25">
        <w:rPr>
          <w:sz w:val="24"/>
        </w:rPr>
        <w:t>A.</w:t>
      </w:r>
      <w:r>
        <w:rPr>
          <w:sz w:val="24"/>
        </w:rPr>
        <w:tab/>
      </w:r>
      <w:r w:rsidRPr="00AF4C25">
        <w:rPr>
          <w:b/>
          <w:sz w:val="24"/>
        </w:rPr>
        <w:t>Justification</w:t>
      </w:r>
    </w:p>
    <w:p w:rsidR="00AF4C25" w:rsidRDefault="00AF4C25" w:rsidP="00AF4C25">
      <w:pPr>
        <w:rPr>
          <w:sz w:val="24"/>
        </w:rPr>
      </w:pPr>
    </w:p>
    <w:p w:rsidR="00AF4C25" w:rsidRPr="006A699F" w:rsidRDefault="00AF4C25" w:rsidP="006A699F">
      <w:pPr>
        <w:pStyle w:val="ListParagraph"/>
        <w:numPr>
          <w:ilvl w:val="0"/>
          <w:numId w:val="10"/>
        </w:numPr>
        <w:rPr>
          <w:b/>
          <w:sz w:val="24"/>
        </w:rPr>
      </w:pPr>
      <w:r w:rsidRPr="006A699F">
        <w:rPr>
          <w:b/>
          <w:sz w:val="24"/>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 </w:t>
      </w:r>
    </w:p>
    <w:p w:rsidR="00AF4C25" w:rsidRDefault="00AF4C25" w:rsidP="00AF4C25">
      <w:pPr>
        <w:pStyle w:val="ListParagraph"/>
        <w:rPr>
          <w:sz w:val="24"/>
        </w:rPr>
      </w:pPr>
    </w:p>
    <w:p w:rsidR="00AF4C25" w:rsidRDefault="00AF4C25" w:rsidP="006A699F">
      <w:pPr>
        <w:ind w:left="720"/>
        <w:rPr>
          <w:sz w:val="24"/>
        </w:rPr>
      </w:pPr>
      <w:r w:rsidRPr="00AF4C25">
        <w:rPr>
          <w:sz w:val="24"/>
        </w:rPr>
        <w:t xml:space="preserve">The Administration for Community Living (ACL) requires grantees funded under the Older Americans Act, P.L. 106-501, to report semi-annually on the financial status report of the performance of their projects.  The specifications for reporting are consistent with 45CFR75.342(b)(1).  The financial report is submitted on standard </w:t>
      </w:r>
      <w:r w:rsidR="00DD74E1">
        <w:rPr>
          <w:sz w:val="24"/>
        </w:rPr>
        <w:t>form 425.</w:t>
      </w:r>
      <w:r w:rsidRPr="00AF4C25">
        <w:rPr>
          <w:sz w:val="24"/>
        </w:rPr>
        <w:t xml:space="preserve">  The clearance requests a reinstatement with change of a previously approved collection.</w:t>
      </w:r>
    </w:p>
    <w:p w:rsidR="00DD74E1" w:rsidRDefault="00DD74E1" w:rsidP="006A699F">
      <w:pPr>
        <w:ind w:left="720"/>
        <w:rPr>
          <w:sz w:val="24"/>
        </w:rPr>
      </w:pPr>
    </w:p>
    <w:p w:rsidR="00DD74E1" w:rsidRDefault="00DD74E1" w:rsidP="00DD74E1">
      <w:pPr>
        <w:ind w:left="720"/>
        <w:contextualSpacing/>
        <w:rPr>
          <w:sz w:val="24"/>
        </w:rPr>
      </w:pPr>
      <w:r w:rsidRPr="00C10FF8">
        <w:rPr>
          <w:sz w:val="24"/>
        </w:rPr>
        <w:t xml:space="preserve">The </w:t>
      </w:r>
      <w:r w:rsidRPr="00C10FF8">
        <w:rPr>
          <w:i/>
          <w:iCs/>
          <w:sz w:val="24"/>
        </w:rPr>
        <w:t>Title III</w:t>
      </w:r>
      <w:r w:rsidRPr="00C10FF8">
        <w:rPr>
          <w:sz w:val="24"/>
        </w:rPr>
        <w:t xml:space="preserve"> </w:t>
      </w:r>
      <w:r w:rsidRPr="00C10FF8">
        <w:rPr>
          <w:i/>
          <w:iCs/>
          <w:sz w:val="24"/>
        </w:rPr>
        <w:t>Supplemental Form to the Financial Status Report</w:t>
      </w:r>
      <w:r w:rsidRPr="00C10FF8">
        <w:rPr>
          <w:sz w:val="24"/>
        </w:rPr>
        <w:t xml:space="preserve"> (SF-425) is used by ACL/AoA for all grantees to obtain a more detailed understanding of how projects funded under Title III of the Older Americans Act (OAA) of 1965, as amended, are being administered, and to ensure compliance with legislative requirements, pertinent Federal regulations and other applicable instructions and guidelines issued by the ACL.  The level of data detail necessary is not available through the </w:t>
      </w:r>
      <w:r>
        <w:rPr>
          <w:sz w:val="24"/>
        </w:rPr>
        <w:t>Federal Financial Status Report (</w:t>
      </w:r>
      <w:r w:rsidRPr="00C10FF8">
        <w:rPr>
          <w:sz w:val="24"/>
        </w:rPr>
        <w:t>SF</w:t>
      </w:r>
      <w:r>
        <w:rPr>
          <w:sz w:val="24"/>
        </w:rPr>
        <w:t>-</w:t>
      </w:r>
      <w:r w:rsidRPr="00C10FF8">
        <w:rPr>
          <w:sz w:val="24"/>
        </w:rPr>
        <w:t>425</w:t>
      </w:r>
      <w:r>
        <w:rPr>
          <w:sz w:val="24"/>
        </w:rPr>
        <w:t>)</w:t>
      </w:r>
      <w:r w:rsidRPr="00C10FF8">
        <w:rPr>
          <w:sz w:val="24"/>
        </w:rPr>
        <w:t xml:space="preserve"> form. The </w:t>
      </w:r>
      <w:r>
        <w:rPr>
          <w:sz w:val="24"/>
        </w:rPr>
        <w:t xml:space="preserve">Title III </w:t>
      </w:r>
      <w:r w:rsidRPr="00C10FF8">
        <w:rPr>
          <w:sz w:val="24"/>
        </w:rPr>
        <w:t xml:space="preserve">Supplemental Form provides necessary details on non-federal required match </w:t>
      </w:r>
      <w:r w:rsidR="003A6B4E">
        <w:rPr>
          <w:sz w:val="24"/>
        </w:rPr>
        <w:t xml:space="preserve">and </w:t>
      </w:r>
      <w:r w:rsidRPr="00C10FF8">
        <w:rPr>
          <w:sz w:val="24"/>
        </w:rPr>
        <w:t>expenditures</w:t>
      </w:r>
      <w:r w:rsidR="00FF420F">
        <w:rPr>
          <w:sz w:val="24"/>
        </w:rPr>
        <w:t xml:space="preserve"> for administration</w:t>
      </w:r>
      <w:r w:rsidRPr="00C10FF8">
        <w:rPr>
          <w:sz w:val="24"/>
        </w:rPr>
        <w:t>, Older Relative Caregivers expenditures, and Long Term Care Ombudsman expenditures.</w:t>
      </w:r>
    </w:p>
    <w:p w:rsidR="00DD74E1" w:rsidRPr="00C10FF8" w:rsidRDefault="00DD74E1" w:rsidP="00DD74E1">
      <w:pPr>
        <w:ind w:left="720"/>
        <w:contextualSpacing/>
        <w:rPr>
          <w:sz w:val="24"/>
        </w:rPr>
      </w:pPr>
    </w:p>
    <w:p w:rsidR="00DD74E1" w:rsidRPr="00AF4C25" w:rsidRDefault="00DD74E1" w:rsidP="00DD74E1">
      <w:pPr>
        <w:ind w:left="720"/>
        <w:rPr>
          <w:sz w:val="24"/>
        </w:rPr>
      </w:pPr>
      <w:r w:rsidRPr="00C10FF8">
        <w:rPr>
          <w:sz w:val="24"/>
        </w:rPr>
        <w:t>In addition to renewing OMB approval of this data collection, minor changes are being proposed to it to reflect changes in statutory language that occurred as a result of the 2016 reauthorization of the OAA.  Specifically, the term “Grandparents Only” has been changed to “Older Relative Caregivers,” the new term in the OAA that describes this population of eligible service recipients. Similarly, the accompanying instructions for completing the Title III Supplemental Form to the Financial Status Report were also modified to include this same language. References in the Code of Federal Regulation (CFR) have been updated addressing financial reporting requirements and non-substantive technical edits have been made to the instructions.</w:t>
      </w:r>
    </w:p>
    <w:p w:rsidR="00AF4C25" w:rsidRPr="00AF4C25" w:rsidRDefault="00AF4C25" w:rsidP="00AF4C25">
      <w:pPr>
        <w:ind w:left="720"/>
        <w:rPr>
          <w:sz w:val="24"/>
        </w:rPr>
      </w:pPr>
    </w:p>
    <w:p w:rsidR="00AF4C25" w:rsidRPr="00AF4C25" w:rsidRDefault="00AF4C25" w:rsidP="006A699F">
      <w:pPr>
        <w:ind w:left="720"/>
        <w:rPr>
          <w:sz w:val="24"/>
        </w:rPr>
      </w:pPr>
      <w:r w:rsidRPr="00AF4C25">
        <w:rPr>
          <w:sz w:val="24"/>
        </w:rPr>
        <w:t>Since the last clearance, the form has been updated to reflect changes to the Code of Federal Regulation and the Older American’s Act.  All information collected on the current form was collected</w:t>
      </w:r>
      <w:r w:rsidR="00FF420F">
        <w:rPr>
          <w:sz w:val="24"/>
        </w:rPr>
        <w:t xml:space="preserve"> in the previous form</w:t>
      </w:r>
      <w:r w:rsidRPr="00AF4C25">
        <w:rPr>
          <w:sz w:val="24"/>
        </w:rPr>
        <w:t>.</w:t>
      </w:r>
    </w:p>
    <w:p w:rsidR="00AF4C25" w:rsidRPr="00AF4C25" w:rsidRDefault="00AF4C25" w:rsidP="00AF4C25">
      <w:pPr>
        <w:rPr>
          <w:sz w:val="24"/>
        </w:rPr>
      </w:pPr>
    </w:p>
    <w:p w:rsidR="00AF4C25" w:rsidRDefault="006A699F" w:rsidP="006A699F">
      <w:pPr>
        <w:ind w:left="720" w:hanging="360"/>
        <w:rPr>
          <w:b/>
          <w:sz w:val="24"/>
        </w:rPr>
      </w:pPr>
      <w:r>
        <w:rPr>
          <w:b/>
          <w:sz w:val="24"/>
        </w:rPr>
        <w:t>2.</w:t>
      </w:r>
      <w:r>
        <w:rPr>
          <w:b/>
          <w:sz w:val="24"/>
        </w:rPr>
        <w:tab/>
        <w:t>Indicate how, by whom, and for what purpose the information is to be used. Except for a new collection, indicate the actual use the agency has made of the information received from the current collection.</w:t>
      </w:r>
    </w:p>
    <w:p w:rsidR="006A699F" w:rsidRDefault="006A699F" w:rsidP="006A699F">
      <w:pPr>
        <w:ind w:left="720" w:hanging="360"/>
        <w:rPr>
          <w:b/>
          <w:sz w:val="24"/>
        </w:rPr>
      </w:pPr>
    </w:p>
    <w:p w:rsidR="006A699F" w:rsidRPr="00DD2C0B" w:rsidRDefault="006A699F" w:rsidP="006A699F">
      <w:pPr>
        <w:ind w:left="720"/>
        <w:rPr>
          <w:sz w:val="24"/>
        </w:rPr>
      </w:pPr>
      <w:r w:rsidRPr="00DD2C0B">
        <w:rPr>
          <w:sz w:val="24"/>
        </w:rPr>
        <w:t xml:space="preserve">The information submitted by State Agencies will be used by </w:t>
      </w:r>
      <w:r>
        <w:rPr>
          <w:sz w:val="24"/>
        </w:rPr>
        <w:t>ACL/</w:t>
      </w:r>
      <w:r w:rsidRPr="00DD2C0B">
        <w:rPr>
          <w:sz w:val="24"/>
        </w:rPr>
        <w:t>AoA to respond to statutory requirements relative to expenditures of Title III program funds, to effectively monitor use of funds, and to respond to Congress, OMB, GAO and others.</w:t>
      </w:r>
    </w:p>
    <w:p w:rsidR="006A699F" w:rsidRDefault="006A699F" w:rsidP="006A699F">
      <w:pPr>
        <w:rPr>
          <w:b/>
          <w:sz w:val="24"/>
        </w:rPr>
      </w:pPr>
    </w:p>
    <w:p w:rsidR="006A699F" w:rsidRDefault="006A699F" w:rsidP="006A699F">
      <w:pPr>
        <w:ind w:left="720" w:hanging="360"/>
        <w:rPr>
          <w:b/>
          <w:sz w:val="24"/>
        </w:rPr>
      </w:pPr>
      <w:r>
        <w:rPr>
          <w:b/>
          <w:sz w:val="24"/>
        </w:rPr>
        <w:t>3.</w:t>
      </w:r>
      <w:r>
        <w:rPr>
          <w:b/>
          <w:sz w:val="24"/>
        </w:rPr>
        <w:tab/>
        <w:t>Describe whether, and to what extent, the collection of information involves the use of automated, electronic, mechanical, or other technological collection techniques or forms of information technology, e.g. permitting electronic submission or responses, and the basis for the decision of adopting this means of collection. Also, describe any consideration given to using technology to reduce burden.</w:t>
      </w:r>
    </w:p>
    <w:p w:rsidR="006A699F" w:rsidRDefault="006A699F" w:rsidP="006A699F">
      <w:pPr>
        <w:ind w:left="720" w:hanging="360"/>
        <w:rPr>
          <w:b/>
          <w:sz w:val="24"/>
        </w:rPr>
      </w:pPr>
    </w:p>
    <w:p w:rsidR="006A699F" w:rsidRDefault="006A699F" w:rsidP="006A699F">
      <w:pPr>
        <w:ind w:left="720" w:hanging="360"/>
        <w:rPr>
          <w:sz w:val="24"/>
        </w:rPr>
      </w:pPr>
      <w:r>
        <w:rPr>
          <w:b/>
          <w:sz w:val="24"/>
        </w:rPr>
        <w:tab/>
      </w:r>
      <w:r>
        <w:rPr>
          <w:sz w:val="24"/>
        </w:rPr>
        <w:t>The information may be submitted in electronic format.</w:t>
      </w:r>
    </w:p>
    <w:p w:rsidR="006A699F" w:rsidRDefault="006A699F" w:rsidP="006A699F">
      <w:pPr>
        <w:rPr>
          <w:sz w:val="24"/>
        </w:rPr>
      </w:pPr>
    </w:p>
    <w:p w:rsidR="006A699F" w:rsidRDefault="006A699F" w:rsidP="006A699F">
      <w:pPr>
        <w:ind w:left="720" w:hanging="360"/>
        <w:rPr>
          <w:b/>
          <w:sz w:val="24"/>
        </w:rPr>
      </w:pPr>
      <w:r>
        <w:rPr>
          <w:b/>
          <w:sz w:val="24"/>
        </w:rPr>
        <w:t>4.</w:t>
      </w:r>
      <w:r>
        <w:rPr>
          <w:b/>
          <w:sz w:val="24"/>
        </w:rPr>
        <w:tab/>
        <w:t>Describe efforts to identify duplication. Show specifically why any similar information already available cannot be used or modified for use for the purposes described in Item 2 above.</w:t>
      </w:r>
    </w:p>
    <w:p w:rsidR="00FF420F" w:rsidRDefault="006A699F" w:rsidP="006A699F">
      <w:pPr>
        <w:ind w:left="720" w:hanging="360"/>
        <w:rPr>
          <w:b/>
          <w:sz w:val="24"/>
        </w:rPr>
      </w:pPr>
      <w:r>
        <w:rPr>
          <w:b/>
          <w:sz w:val="24"/>
        </w:rPr>
        <w:tab/>
      </w:r>
    </w:p>
    <w:p w:rsidR="006A699F" w:rsidRDefault="006A699F" w:rsidP="0068585D">
      <w:pPr>
        <w:ind w:left="720"/>
        <w:rPr>
          <w:sz w:val="24"/>
        </w:rPr>
      </w:pPr>
      <w:r>
        <w:rPr>
          <w:sz w:val="24"/>
        </w:rPr>
        <w:t>No other data source collects similar information.</w:t>
      </w:r>
    </w:p>
    <w:p w:rsidR="006A699F" w:rsidRDefault="006A699F" w:rsidP="006A699F">
      <w:pPr>
        <w:rPr>
          <w:sz w:val="24"/>
        </w:rPr>
      </w:pPr>
    </w:p>
    <w:p w:rsidR="006A699F" w:rsidRDefault="006A699F" w:rsidP="0002471C">
      <w:pPr>
        <w:ind w:left="720" w:hanging="360"/>
        <w:rPr>
          <w:b/>
          <w:sz w:val="24"/>
        </w:rPr>
      </w:pPr>
      <w:r>
        <w:rPr>
          <w:b/>
          <w:sz w:val="24"/>
        </w:rPr>
        <w:t>5.</w:t>
      </w:r>
      <w:r>
        <w:rPr>
          <w:b/>
          <w:sz w:val="24"/>
        </w:rPr>
        <w:tab/>
        <w:t xml:space="preserve">If the collection of information </w:t>
      </w:r>
      <w:r w:rsidR="0002471C">
        <w:rPr>
          <w:b/>
          <w:sz w:val="24"/>
        </w:rPr>
        <w:t>impacts</w:t>
      </w:r>
      <w:r>
        <w:rPr>
          <w:b/>
          <w:sz w:val="24"/>
        </w:rPr>
        <w:t xml:space="preserve"> small businesses or other small entities, describe any methods used to minimize burden</w:t>
      </w:r>
      <w:r w:rsidR="0002471C">
        <w:rPr>
          <w:b/>
          <w:sz w:val="24"/>
        </w:rPr>
        <w:t>. A small entity may be (1) a small business which is deemed to be one that is independently owned and operated and that is not dominant in its field or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2471C" w:rsidRDefault="0002471C" w:rsidP="0002471C">
      <w:pPr>
        <w:ind w:left="720" w:hanging="360"/>
        <w:rPr>
          <w:b/>
          <w:sz w:val="24"/>
        </w:rPr>
      </w:pPr>
    </w:p>
    <w:p w:rsidR="0002471C" w:rsidRPr="00DD2C0B" w:rsidRDefault="0002471C" w:rsidP="0002471C">
      <w:pPr>
        <w:ind w:left="720"/>
        <w:rPr>
          <w:sz w:val="24"/>
        </w:rPr>
      </w:pPr>
      <w:r w:rsidRPr="00DD2C0B">
        <w:rPr>
          <w:sz w:val="24"/>
        </w:rPr>
        <w:t xml:space="preserve">This Information does not </w:t>
      </w:r>
      <w:r w:rsidR="00FF420F">
        <w:rPr>
          <w:sz w:val="24"/>
        </w:rPr>
        <w:t xml:space="preserve">impact </w:t>
      </w:r>
      <w:r w:rsidRPr="00DD2C0B">
        <w:rPr>
          <w:sz w:val="24"/>
        </w:rPr>
        <w:t>small businesses</w:t>
      </w:r>
      <w:r w:rsidR="00FF420F">
        <w:rPr>
          <w:sz w:val="24"/>
        </w:rPr>
        <w:t xml:space="preserve"> or other small entities</w:t>
      </w:r>
      <w:r w:rsidRPr="00DD2C0B">
        <w:rPr>
          <w:sz w:val="24"/>
        </w:rPr>
        <w:t>.  It is collected from the 56 Title III State Agencies on Aging</w:t>
      </w:r>
      <w:r w:rsidR="00FF420F">
        <w:rPr>
          <w:sz w:val="24"/>
        </w:rPr>
        <w:t>.</w:t>
      </w:r>
      <w:r>
        <w:rPr>
          <w:sz w:val="24"/>
        </w:rPr>
        <w:t xml:space="preserve"> </w:t>
      </w:r>
      <w:r w:rsidR="00FF420F">
        <w:rPr>
          <w:sz w:val="24"/>
        </w:rPr>
        <w:t>T</w:t>
      </w:r>
      <w:r>
        <w:rPr>
          <w:sz w:val="24"/>
        </w:rPr>
        <w:t>he submission</w:t>
      </w:r>
      <w:r w:rsidRPr="00DD2C0B">
        <w:rPr>
          <w:sz w:val="24"/>
        </w:rPr>
        <w:t xml:space="preserve"> is typically limited to two pages.</w:t>
      </w:r>
    </w:p>
    <w:p w:rsidR="0002471C" w:rsidRDefault="0002471C" w:rsidP="0002471C">
      <w:pPr>
        <w:rPr>
          <w:b/>
          <w:sz w:val="24"/>
        </w:rPr>
      </w:pPr>
    </w:p>
    <w:p w:rsidR="0002471C" w:rsidRDefault="0002471C" w:rsidP="0002471C">
      <w:pPr>
        <w:ind w:left="720" w:hanging="360"/>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02471C" w:rsidRDefault="0002471C" w:rsidP="0002471C">
      <w:pPr>
        <w:ind w:left="720" w:hanging="360"/>
        <w:rPr>
          <w:b/>
          <w:sz w:val="24"/>
        </w:rPr>
      </w:pPr>
    </w:p>
    <w:p w:rsidR="0002471C" w:rsidRPr="00DD2C0B" w:rsidRDefault="0002471C" w:rsidP="0002471C">
      <w:pPr>
        <w:ind w:left="720"/>
        <w:rPr>
          <w:sz w:val="24"/>
        </w:rPr>
      </w:pPr>
      <w:r w:rsidRPr="00DD2C0B">
        <w:rPr>
          <w:sz w:val="24"/>
        </w:rPr>
        <w:t xml:space="preserve">The Financial Status Report is a semi-annual report.  If the reports were </w:t>
      </w:r>
      <w:r>
        <w:rPr>
          <w:sz w:val="24"/>
        </w:rPr>
        <w:t>to</w:t>
      </w:r>
      <w:r w:rsidRPr="00DD2C0B">
        <w:rPr>
          <w:sz w:val="24"/>
        </w:rPr>
        <w:t xml:space="preserve"> be made less frequently, opportunities to monitor and provide needed guidance would not be available to grantees.</w:t>
      </w:r>
    </w:p>
    <w:p w:rsidR="0002471C" w:rsidRDefault="0002471C" w:rsidP="0002471C">
      <w:pPr>
        <w:rPr>
          <w:b/>
          <w:sz w:val="24"/>
        </w:rPr>
      </w:pPr>
    </w:p>
    <w:p w:rsidR="0002471C" w:rsidRDefault="0002471C" w:rsidP="0002471C">
      <w:pPr>
        <w:ind w:left="720" w:hanging="360"/>
        <w:rPr>
          <w:b/>
          <w:sz w:val="24"/>
        </w:rPr>
      </w:pPr>
      <w:r>
        <w:rPr>
          <w:b/>
          <w:sz w:val="24"/>
        </w:rPr>
        <w:t>7.</w:t>
      </w:r>
      <w:r>
        <w:rPr>
          <w:b/>
          <w:sz w:val="24"/>
        </w:rPr>
        <w:tab/>
        <w:t>Explain any special circumstances that would cause an information collection to be conducted in a manner:</w:t>
      </w:r>
    </w:p>
    <w:p w:rsidR="0002471C" w:rsidRDefault="0002471C" w:rsidP="0002471C">
      <w:pPr>
        <w:ind w:left="720" w:hanging="360"/>
        <w:rPr>
          <w:b/>
          <w:sz w:val="24"/>
        </w:rPr>
      </w:pPr>
    </w:p>
    <w:p w:rsidR="0002471C" w:rsidRDefault="0002471C" w:rsidP="0002471C">
      <w:pPr>
        <w:pStyle w:val="ListParagraph"/>
        <w:numPr>
          <w:ilvl w:val="0"/>
          <w:numId w:val="11"/>
        </w:numPr>
        <w:rPr>
          <w:b/>
          <w:sz w:val="24"/>
        </w:rPr>
      </w:pPr>
      <w:r>
        <w:rPr>
          <w:b/>
          <w:sz w:val="24"/>
        </w:rPr>
        <w:t>Requiring respondents to report information to the agency more often than quarterly;</w:t>
      </w:r>
    </w:p>
    <w:p w:rsidR="008C2E32" w:rsidRDefault="008C2E32" w:rsidP="008C2E32">
      <w:pPr>
        <w:pStyle w:val="ListParagraph"/>
        <w:ind w:left="1080"/>
        <w:rPr>
          <w:b/>
          <w:sz w:val="24"/>
        </w:rPr>
      </w:pPr>
    </w:p>
    <w:p w:rsidR="008C2E32" w:rsidRDefault="008C2E32" w:rsidP="008C2E32">
      <w:pPr>
        <w:ind w:left="1080"/>
        <w:rPr>
          <w:sz w:val="24"/>
        </w:rPr>
      </w:pPr>
      <w:r>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Requiring respondents to prepare a written response to a collection of information in fewer than 30 days after receipt of it;</w:t>
      </w:r>
    </w:p>
    <w:p w:rsidR="008C2E32" w:rsidRDefault="008C2E32" w:rsidP="008C2E32">
      <w:pPr>
        <w:rPr>
          <w:b/>
          <w:sz w:val="24"/>
        </w:rPr>
      </w:pPr>
    </w:p>
    <w:p w:rsidR="008C2E32" w:rsidRDefault="008C2E32" w:rsidP="008C2E32">
      <w:pPr>
        <w:ind w:left="1080"/>
        <w:rPr>
          <w:sz w:val="24"/>
        </w:rPr>
      </w:pPr>
      <w:r w:rsidRPr="008C2E32">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Requiring respondents to submit more than an original and two copies of any document;</w:t>
      </w:r>
    </w:p>
    <w:p w:rsidR="008C2E32" w:rsidRDefault="008C2E32" w:rsidP="008C2E32">
      <w:pPr>
        <w:rPr>
          <w:b/>
          <w:sz w:val="24"/>
        </w:rPr>
      </w:pPr>
    </w:p>
    <w:p w:rsidR="008C2E32" w:rsidRDefault="008C2E32" w:rsidP="008C2E32">
      <w:pPr>
        <w:ind w:left="1080"/>
        <w:rPr>
          <w:sz w:val="24"/>
        </w:rPr>
      </w:pPr>
      <w:r w:rsidRPr="008C2E32">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Requiring respondents to retain records, other than health, medical, government contract, grant-in-aid, or tax records for more than three years;</w:t>
      </w:r>
    </w:p>
    <w:p w:rsidR="008C2E32" w:rsidRDefault="008C2E32" w:rsidP="008C2E32">
      <w:pPr>
        <w:rPr>
          <w:b/>
          <w:sz w:val="24"/>
        </w:rPr>
      </w:pPr>
    </w:p>
    <w:p w:rsidR="008C2E32" w:rsidRDefault="008C2E32" w:rsidP="008C2E32">
      <w:pPr>
        <w:ind w:left="1080"/>
        <w:rPr>
          <w:sz w:val="24"/>
        </w:rPr>
      </w:pPr>
      <w:r w:rsidRPr="008C2E32">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In connection with a statistical survey, that is not designed to produce valid and reliable results than can be generalized to the universe of study;</w:t>
      </w:r>
    </w:p>
    <w:p w:rsidR="008C2E32" w:rsidRDefault="008C2E32" w:rsidP="008C2E32">
      <w:pPr>
        <w:rPr>
          <w:b/>
          <w:sz w:val="24"/>
        </w:rPr>
      </w:pPr>
    </w:p>
    <w:p w:rsidR="008C2E32" w:rsidRPr="008C2E32" w:rsidRDefault="008C2E32" w:rsidP="008C2E32">
      <w:pPr>
        <w:ind w:left="1080"/>
        <w:rPr>
          <w:sz w:val="24"/>
        </w:rPr>
      </w:pPr>
      <w:r w:rsidRPr="008C2E32">
        <w:rPr>
          <w:sz w:val="24"/>
        </w:rPr>
        <w:t>None</w:t>
      </w:r>
    </w:p>
    <w:p w:rsidR="008C2E32" w:rsidRPr="008C2E32" w:rsidRDefault="008C2E32" w:rsidP="008C2E32">
      <w:pPr>
        <w:ind w:left="1080"/>
        <w:rPr>
          <w:b/>
          <w:sz w:val="24"/>
        </w:rPr>
      </w:pPr>
    </w:p>
    <w:p w:rsidR="0002471C" w:rsidRDefault="0002471C" w:rsidP="0002471C">
      <w:pPr>
        <w:pStyle w:val="ListParagraph"/>
        <w:numPr>
          <w:ilvl w:val="0"/>
          <w:numId w:val="11"/>
        </w:numPr>
        <w:rPr>
          <w:b/>
          <w:sz w:val="24"/>
        </w:rPr>
      </w:pPr>
      <w:r>
        <w:rPr>
          <w:b/>
          <w:sz w:val="24"/>
        </w:rPr>
        <w:t>Requiring the use of a statistical data classification that has not been reviewed and approved by OMB;</w:t>
      </w:r>
    </w:p>
    <w:p w:rsidR="008C2E32" w:rsidRDefault="008C2E32" w:rsidP="008C2E32">
      <w:pPr>
        <w:rPr>
          <w:b/>
          <w:sz w:val="24"/>
        </w:rPr>
      </w:pPr>
    </w:p>
    <w:p w:rsidR="008C2E32" w:rsidRPr="008C2E32" w:rsidRDefault="008C2E32" w:rsidP="008C2E32">
      <w:pPr>
        <w:ind w:left="1080"/>
        <w:rPr>
          <w:sz w:val="24"/>
        </w:rPr>
      </w:pPr>
      <w:r w:rsidRPr="008C2E32">
        <w:rPr>
          <w:sz w:val="24"/>
        </w:rPr>
        <w:t>None</w:t>
      </w:r>
    </w:p>
    <w:p w:rsidR="008C2E32" w:rsidRPr="008C2E32" w:rsidRDefault="008C2E32" w:rsidP="008C2E32">
      <w:pPr>
        <w:ind w:left="1080"/>
        <w:rPr>
          <w:b/>
          <w:sz w:val="24"/>
        </w:rPr>
      </w:pPr>
    </w:p>
    <w:p w:rsidR="0002471C" w:rsidRDefault="0002471C" w:rsidP="0002471C">
      <w:pPr>
        <w:pStyle w:val="ListParagraph"/>
        <w:numPr>
          <w:ilvl w:val="0"/>
          <w:numId w:val="11"/>
        </w:numPr>
        <w:rPr>
          <w:b/>
          <w:sz w:val="24"/>
        </w:rPr>
      </w:pPr>
      <w:r>
        <w:rPr>
          <w:b/>
          <w:sz w:val="24"/>
        </w:rPr>
        <w:t>That includes a pledge of confidentiality that is not supported by</w:t>
      </w:r>
      <w:r w:rsidR="008C2E32">
        <w:rPr>
          <w:b/>
          <w:sz w:val="24"/>
        </w:rPr>
        <w:t xml:space="preserve"> authority established in statute or regulation, that is not supported by disclosure and data security policies that are consistent with the pledge, or that unnecessarily impedes sharing of data with other agencies for compatible confidential use; or</w:t>
      </w:r>
    </w:p>
    <w:p w:rsidR="008C2E32" w:rsidRDefault="008C2E32" w:rsidP="008C2E32">
      <w:pPr>
        <w:rPr>
          <w:b/>
          <w:sz w:val="24"/>
        </w:rPr>
      </w:pPr>
    </w:p>
    <w:p w:rsidR="008C2E32" w:rsidRPr="008C2E32" w:rsidRDefault="008C2E32" w:rsidP="008C2E32">
      <w:pPr>
        <w:ind w:left="1080"/>
        <w:rPr>
          <w:sz w:val="24"/>
        </w:rPr>
      </w:pPr>
      <w:r w:rsidRPr="008C2E32">
        <w:rPr>
          <w:sz w:val="24"/>
        </w:rPr>
        <w:t>None</w:t>
      </w:r>
    </w:p>
    <w:p w:rsidR="008C2E32" w:rsidRPr="008C2E32" w:rsidRDefault="008C2E32" w:rsidP="008C2E32">
      <w:pPr>
        <w:rPr>
          <w:b/>
          <w:sz w:val="24"/>
        </w:rPr>
      </w:pPr>
    </w:p>
    <w:p w:rsidR="008C2E32" w:rsidRDefault="008C2E32" w:rsidP="0002471C">
      <w:pPr>
        <w:pStyle w:val="ListParagraph"/>
        <w:numPr>
          <w:ilvl w:val="0"/>
          <w:numId w:val="11"/>
        </w:numPr>
        <w:rPr>
          <w:b/>
          <w:sz w:val="24"/>
        </w:rPr>
      </w:pPr>
      <w:r>
        <w:rPr>
          <w:b/>
          <w:sz w:val="24"/>
        </w:rPr>
        <w:t>Requiring respondents to submit proprietary trade secrets, or other confidential information unless the agency can demonstrate that is has instituted procedures to protect the information’s confidentiality to the extent permitted by law.</w:t>
      </w:r>
    </w:p>
    <w:p w:rsidR="00D03924" w:rsidRDefault="00D03924" w:rsidP="00D03924">
      <w:pPr>
        <w:rPr>
          <w:b/>
          <w:sz w:val="24"/>
        </w:rPr>
      </w:pPr>
    </w:p>
    <w:p w:rsidR="00D03924" w:rsidRDefault="00D03924" w:rsidP="00D03924">
      <w:pPr>
        <w:ind w:left="1080"/>
        <w:rPr>
          <w:sz w:val="24"/>
        </w:rPr>
      </w:pPr>
      <w:r w:rsidRPr="00D03924">
        <w:rPr>
          <w:sz w:val="24"/>
        </w:rPr>
        <w:t>None</w:t>
      </w:r>
    </w:p>
    <w:p w:rsidR="00D03924" w:rsidRDefault="00D03924" w:rsidP="00D03924">
      <w:pPr>
        <w:rPr>
          <w:sz w:val="24"/>
        </w:rPr>
      </w:pPr>
    </w:p>
    <w:p w:rsidR="00D03924" w:rsidRDefault="00D03924" w:rsidP="00D03924">
      <w:pPr>
        <w:ind w:left="720" w:hanging="720"/>
        <w:rPr>
          <w:b/>
          <w:sz w:val="24"/>
        </w:rPr>
      </w:pPr>
      <w:r>
        <w:rPr>
          <w:b/>
          <w:sz w:val="24"/>
        </w:rPr>
        <w:t>8.</w:t>
      </w:r>
      <w:r>
        <w:rPr>
          <w:b/>
          <w:sz w:val="24"/>
        </w:rPr>
        <w:tab/>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03924" w:rsidRDefault="00D03924" w:rsidP="00D03924">
      <w:pPr>
        <w:ind w:left="720" w:hanging="720"/>
        <w:rPr>
          <w:b/>
          <w:sz w:val="24"/>
        </w:rPr>
      </w:pPr>
    </w:p>
    <w:p w:rsidR="00ED6B57" w:rsidRPr="007C6C53" w:rsidRDefault="00377FF2" w:rsidP="007C6C53">
      <w:pPr>
        <w:widowControl/>
        <w:ind w:left="720"/>
        <w:rPr>
          <w:rFonts w:ascii="Melior-Italic" w:eastAsiaTheme="minorHAnsi" w:hAnsi="Melior-Italic" w:cs="Melior-Italic"/>
          <w:i/>
          <w:iCs/>
          <w:sz w:val="18"/>
          <w:szCs w:val="18"/>
        </w:rPr>
      </w:pPr>
      <w:r>
        <w:rPr>
          <w:sz w:val="24"/>
        </w:rPr>
        <w:t>ACL</w:t>
      </w:r>
      <w:r w:rsidR="00FF420F">
        <w:rPr>
          <w:sz w:val="24"/>
        </w:rPr>
        <w:t xml:space="preserve"> published</w:t>
      </w:r>
      <w:r w:rsidR="008B2FAC">
        <w:rPr>
          <w:sz w:val="24"/>
        </w:rPr>
        <w:t xml:space="preserve"> a</w:t>
      </w:r>
      <w:r w:rsidR="00FF420F">
        <w:rPr>
          <w:sz w:val="24"/>
        </w:rPr>
        <w:t xml:space="preserve"> 60-Day</w:t>
      </w:r>
      <w:r w:rsidR="00C54BA5">
        <w:rPr>
          <w:sz w:val="24"/>
        </w:rPr>
        <w:t xml:space="preserve"> Federal Register Notice</w:t>
      </w:r>
      <w:r w:rsidR="00406F18">
        <w:rPr>
          <w:sz w:val="24"/>
        </w:rPr>
        <w:t xml:space="preserve"> </w:t>
      </w:r>
      <w:r w:rsidR="008B2FAC">
        <w:rPr>
          <w:sz w:val="24"/>
        </w:rPr>
        <w:t xml:space="preserve">in </w:t>
      </w:r>
      <w:r w:rsidR="00024BF9">
        <w:rPr>
          <w:sz w:val="24"/>
        </w:rPr>
        <w:t>Vol.82, Page 28068</w:t>
      </w:r>
      <w:r w:rsidR="00C54BA5">
        <w:rPr>
          <w:sz w:val="24"/>
        </w:rPr>
        <w:t xml:space="preserve"> on </w:t>
      </w:r>
      <w:r w:rsidR="00E231B9">
        <w:rPr>
          <w:sz w:val="24"/>
        </w:rPr>
        <w:t xml:space="preserve">June 20, 2017. </w:t>
      </w:r>
      <w:r>
        <w:rPr>
          <w:sz w:val="24"/>
        </w:rPr>
        <w:t>Th</w:t>
      </w:r>
      <w:r w:rsidR="00C54BA5">
        <w:rPr>
          <w:sz w:val="24"/>
        </w:rPr>
        <w:t>e</w:t>
      </w:r>
      <w:r>
        <w:rPr>
          <w:sz w:val="24"/>
        </w:rPr>
        <w:t xml:space="preserve"> </w:t>
      </w:r>
      <w:r w:rsidR="008B2FAC">
        <w:rPr>
          <w:sz w:val="24"/>
        </w:rPr>
        <w:t>6</w:t>
      </w:r>
      <w:r>
        <w:rPr>
          <w:sz w:val="24"/>
        </w:rPr>
        <w:t>0-Day notice request</w:t>
      </w:r>
      <w:r w:rsidR="003A6B4E">
        <w:rPr>
          <w:sz w:val="24"/>
        </w:rPr>
        <w:t>ed</w:t>
      </w:r>
      <w:r>
        <w:rPr>
          <w:sz w:val="24"/>
        </w:rPr>
        <w:t xml:space="preserve"> comments on the information collection </w:t>
      </w:r>
      <w:r w:rsidR="00C54BA5">
        <w:rPr>
          <w:sz w:val="24"/>
        </w:rPr>
        <w:t xml:space="preserve">burden </w:t>
      </w:r>
      <w:r>
        <w:rPr>
          <w:sz w:val="24"/>
        </w:rPr>
        <w:t xml:space="preserve">related to </w:t>
      </w:r>
      <w:r w:rsidR="00C54BA5">
        <w:rPr>
          <w:sz w:val="24"/>
        </w:rPr>
        <w:t xml:space="preserve">the </w:t>
      </w:r>
      <w:r>
        <w:rPr>
          <w:sz w:val="24"/>
        </w:rPr>
        <w:t xml:space="preserve">proposed Supplemental Form to the Financial Status Report </w:t>
      </w:r>
      <w:r w:rsidR="00ED6B57">
        <w:rPr>
          <w:sz w:val="24"/>
        </w:rPr>
        <w:t xml:space="preserve">(SF-425) </w:t>
      </w:r>
      <w:r>
        <w:rPr>
          <w:sz w:val="24"/>
        </w:rPr>
        <w:t>for all ACL/AoA Title III Grantees</w:t>
      </w:r>
      <w:r w:rsidR="008B2FAC">
        <w:rPr>
          <w:rFonts w:eastAsiaTheme="minorHAnsi"/>
          <w:i/>
          <w:iCs/>
          <w:sz w:val="24"/>
        </w:rPr>
        <w:t>.</w:t>
      </w:r>
      <w:r w:rsidR="008B2FAC" w:rsidRPr="008B2FAC">
        <w:rPr>
          <w:sz w:val="24"/>
        </w:rPr>
        <w:t xml:space="preserve"> </w:t>
      </w:r>
      <w:r w:rsidR="008B2FAC">
        <w:rPr>
          <w:sz w:val="24"/>
        </w:rPr>
        <w:t xml:space="preserve">No comments were received related to the 60-Day notice. </w:t>
      </w:r>
      <w:r w:rsidR="00E231B9">
        <w:rPr>
          <w:sz w:val="24"/>
        </w:rPr>
        <w:t xml:space="preserve">ACL published a 30 day Federal Register Notice (Vol. 82, Page 45030) on September 27, 2017. </w:t>
      </w:r>
    </w:p>
    <w:p w:rsidR="00ED6B57" w:rsidRDefault="00ED6B57" w:rsidP="00377FF2">
      <w:pPr>
        <w:ind w:left="720" w:hanging="720"/>
        <w:rPr>
          <w:sz w:val="24"/>
        </w:rPr>
      </w:pPr>
    </w:p>
    <w:p w:rsidR="00377FF2" w:rsidRPr="0007288B" w:rsidRDefault="00377FF2" w:rsidP="0007288B">
      <w:pPr>
        <w:ind w:left="720"/>
        <w:rPr>
          <w:b/>
          <w:sz w:val="24"/>
        </w:rPr>
      </w:pPr>
      <w:r w:rsidRPr="0007288B">
        <w:rPr>
          <w:b/>
          <w:sz w:val="24"/>
        </w:rPr>
        <w:t>Describe efforts to consult with persons outside the agency to obtain their views on the av</w:t>
      </w:r>
      <w:r w:rsidR="0007288B" w:rsidRPr="0007288B">
        <w:rPr>
          <w:b/>
          <w:sz w:val="24"/>
        </w:rPr>
        <w:t>ailability of data, frequency of collection, the clarity of instruction and record keeping, disclosure, or reporting format (if any), and on the data elements to be recorded, disclosed, or reported.</w:t>
      </w:r>
    </w:p>
    <w:p w:rsidR="0007288B" w:rsidRDefault="0007288B" w:rsidP="00377FF2">
      <w:pPr>
        <w:rPr>
          <w:sz w:val="24"/>
        </w:rPr>
      </w:pPr>
    </w:p>
    <w:p w:rsidR="0007288B" w:rsidRDefault="0007288B" w:rsidP="0007288B">
      <w:pPr>
        <w:ind w:left="720"/>
        <w:rPr>
          <w:sz w:val="24"/>
        </w:rPr>
      </w:pPr>
      <w:r w:rsidRPr="0007288B">
        <w:rPr>
          <w:b/>
          <w:sz w:val="24"/>
        </w:rPr>
        <w:t>Consultation with representatives of those from whom information is to be obtained or those who must compile records should occur at least once every 3 years – even if the collection of information activity is the same as in prior periods. There may be</w:t>
      </w:r>
      <w:r>
        <w:rPr>
          <w:sz w:val="24"/>
        </w:rPr>
        <w:t xml:space="preserve"> </w:t>
      </w:r>
      <w:r w:rsidRPr="0007288B">
        <w:rPr>
          <w:b/>
          <w:sz w:val="24"/>
        </w:rPr>
        <w:t>circumstances that may preclude consultation in a specific situation. These circumstances should be explained.</w:t>
      </w:r>
    </w:p>
    <w:p w:rsidR="00377FF2" w:rsidRDefault="00377FF2" w:rsidP="00377FF2">
      <w:pPr>
        <w:rPr>
          <w:sz w:val="24"/>
        </w:rPr>
      </w:pPr>
    </w:p>
    <w:p w:rsidR="00391FC4" w:rsidRDefault="00BB7292" w:rsidP="00BB7292">
      <w:pPr>
        <w:ind w:left="720"/>
        <w:rPr>
          <w:sz w:val="24"/>
        </w:rPr>
      </w:pPr>
      <w:r>
        <w:rPr>
          <w:sz w:val="24"/>
        </w:rPr>
        <w:t>The current supplemental form was developed and approved after extensive outreach to stakeholders. The agency consulted with the State of Indiana in 2014 to review the proposed form. At that time</w:t>
      </w:r>
      <w:r w:rsidR="003A6B4E">
        <w:rPr>
          <w:sz w:val="24"/>
        </w:rPr>
        <w:t>,</w:t>
      </w:r>
      <w:r>
        <w:rPr>
          <w:sz w:val="24"/>
        </w:rPr>
        <w:t xml:space="preserve"> ACL conducted a series of meetings and teleconferences with interested parties to ensure that stakeholders understood the new form. The State of Indiana provided input on the instructions and format which were taken into consideration in the revision of instructions and format of the form. Additionally, the agency has regular webinar and teleconference trainings where the form is reviewed with all grantees. Grantees input from these trainings are used when updating and reviewing the form.</w:t>
      </w:r>
      <w:r w:rsidR="0007288B">
        <w:rPr>
          <w:sz w:val="24"/>
        </w:rPr>
        <w:t xml:space="preserve"> </w:t>
      </w:r>
    </w:p>
    <w:p w:rsidR="00391FC4" w:rsidRDefault="00391FC4" w:rsidP="00391FC4">
      <w:pPr>
        <w:rPr>
          <w:sz w:val="24"/>
        </w:rPr>
      </w:pPr>
    </w:p>
    <w:p w:rsidR="00391FC4" w:rsidRDefault="00391FC4" w:rsidP="00391FC4">
      <w:pPr>
        <w:ind w:left="720" w:hanging="720"/>
        <w:rPr>
          <w:b/>
          <w:sz w:val="24"/>
        </w:rPr>
      </w:pPr>
      <w:r>
        <w:rPr>
          <w:b/>
          <w:sz w:val="24"/>
        </w:rPr>
        <w:t>9.</w:t>
      </w:r>
      <w:r>
        <w:rPr>
          <w:b/>
          <w:sz w:val="24"/>
        </w:rPr>
        <w:tab/>
        <w:t>Explain any decision to provide any payment or gift to respondents, other than remuneration of contractors or grantees with meaningful justification.</w:t>
      </w:r>
    </w:p>
    <w:p w:rsidR="00391FC4" w:rsidRDefault="00391FC4" w:rsidP="00391FC4">
      <w:pPr>
        <w:ind w:left="720" w:hanging="720"/>
        <w:rPr>
          <w:b/>
          <w:sz w:val="24"/>
        </w:rPr>
      </w:pPr>
    </w:p>
    <w:p w:rsidR="00391FC4" w:rsidRDefault="00391FC4" w:rsidP="00391FC4">
      <w:pPr>
        <w:ind w:left="720" w:hanging="720"/>
        <w:rPr>
          <w:sz w:val="24"/>
        </w:rPr>
      </w:pPr>
      <w:r>
        <w:rPr>
          <w:b/>
          <w:sz w:val="24"/>
        </w:rPr>
        <w:tab/>
      </w:r>
      <w:r>
        <w:rPr>
          <w:sz w:val="24"/>
        </w:rPr>
        <w:t>None</w:t>
      </w:r>
    </w:p>
    <w:p w:rsidR="00ED6B57" w:rsidRDefault="00ED6B57" w:rsidP="00391FC4">
      <w:pPr>
        <w:ind w:left="720" w:hanging="720"/>
        <w:rPr>
          <w:sz w:val="24"/>
        </w:rPr>
      </w:pPr>
    </w:p>
    <w:p w:rsidR="00391FC4" w:rsidRDefault="00391FC4" w:rsidP="00F51D9C">
      <w:pPr>
        <w:ind w:left="720" w:hanging="720"/>
        <w:rPr>
          <w:b/>
          <w:sz w:val="24"/>
        </w:rPr>
      </w:pPr>
      <w:r>
        <w:rPr>
          <w:b/>
          <w:sz w:val="24"/>
        </w:rPr>
        <w:t>10.</w:t>
      </w:r>
      <w:r>
        <w:rPr>
          <w:b/>
          <w:sz w:val="24"/>
        </w:rPr>
        <w:tab/>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HHS and OMB policies: Privacy Act of 1974, OMB Circular A-108 – Privacy Act Implementation – Guidelines and Responsibilities, OMB Circular</w:t>
      </w:r>
      <w:r w:rsidR="00F51D9C">
        <w:rPr>
          <w:b/>
          <w:sz w:val="24"/>
        </w:rPr>
        <w:t xml:space="preserve">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F51D9C" w:rsidRDefault="00F51D9C" w:rsidP="00F51D9C">
      <w:pPr>
        <w:ind w:left="720" w:hanging="720"/>
        <w:rPr>
          <w:b/>
          <w:sz w:val="24"/>
        </w:rPr>
      </w:pPr>
    </w:p>
    <w:p w:rsidR="00F51D9C" w:rsidRDefault="00F51D9C" w:rsidP="00F51D9C">
      <w:pPr>
        <w:ind w:left="720" w:hanging="720"/>
        <w:rPr>
          <w:sz w:val="24"/>
        </w:rPr>
      </w:pPr>
      <w:r>
        <w:rPr>
          <w:b/>
          <w:sz w:val="24"/>
        </w:rPr>
        <w:tab/>
      </w:r>
      <w:r>
        <w:rPr>
          <w:sz w:val="24"/>
        </w:rPr>
        <w:t>No</w:t>
      </w:r>
      <w:r w:rsidR="005774D1">
        <w:rPr>
          <w:sz w:val="24"/>
        </w:rPr>
        <w:t xml:space="preserve"> assurances of confidentiality are provided. </w:t>
      </w:r>
    </w:p>
    <w:p w:rsidR="00F51D9C" w:rsidRDefault="00F51D9C" w:rsidP="00F51D9C">
      <w:pPr>
        <w:ind w:left="720" w:hanging="720"/>
        <w:rPr>
          <w:sz w:val="24"/>
        </w:rPr>
      </w:pPr>
    </w:p>
    <w:p w:rsidR="00F51D9C" w:rsidRDefault="00F51D9C" w:rsidP="00F51D9C">
      <w:pPr>
        <w:ind w:left="720" w:hanging="720"/>
        <w:rPr>
          <w:b/>
          <w:sz w:val="24"/>
        </w:rPr>
      </w:pPr>
      <w:r>
        <w:rPr>
          <w:b/>
          <w:sz w:val="24"/>
        </w:rPr>
        <w:t>11.</w:t>
      </w:r>
      <w:r>
        <w:rPr>
          <w:b/>
          <w:sz w:val="24"/>
        </w:rPr>
        <w:tab/>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1D9C" w:rsidRDefault="00F51D9C" w:rsidP="00F51D9C">
      <w:pPr>
        <w:ind w:left="720" w:hanging="720"/>
        <w:rPr>
          <w:b/>
          <w:sz w:val="24"/>
        </w:rPr>
      </w:pPr>
    </w:p>
    <w:p w:rsidR="00F51D9C" w:rsidRDefault="00F51D9C" w:rsidP="00F51D9C">
      <w:pPr>
        <w:ind w:left="720" w:hanging="720"/>
        <w:rPr>
          <w:b/>
          <w:sz w:val="24"/>
        </w:rPr>
      </w:pPr>
      <w:r>
        <w:rPr>
          <w:b/>
          <w:sz w:val="24"/>
        </w:rPr>
        <w:tab/>
      </w:r>
      <w:r w:rsidR="005774D1" w:rsidRPr="0068585D">
        <w:rPr>
          <w:sz w:val="24"/>
        </w:rPr>
        <w:t xml:space="preserve">This data collection does not include any questions of a sensitive nature. </w:t>
      </w:r>
      <w:r w:rsidR="005774D1">
        <w:rPr>
          <w:b/>
          <w:sz w:val="24"/>
        </w:rPr>
        <w:t xml:space="preserve"> </w:t>
      </w:r>
    </w:p>
    <w:p w:rsidR="0068585D" w:rsidRDefault="0068585D" w:rsidP="00F51D9C">
      <w:pPr>
        <w:ind w:left="720" w:hanging="720"/>
        <w:rPr>
          <w:sz w:val="24"/>
        </w:rPr>
      </w:pPr>
    </w:p>
    <w:p w:rsidR="00F51D9C" w:rsidRDefault="00F51D9C" w:rsidP="00F51D9C">
      <w:pPr>
        <w:ind w:left="720" w:hanging="720"/>
        <w:rPr>
          <w:b/>
          <w:sz w:val="24"/>
        </w:rPr>
      </w:pPr>
      <w:r>
        <w:rPr>
          <w:b/>
          <w:sz w:val="24"/>
        </w:rPr>
        <w:t>12.</w:t>
      </w:r>
      <w:r>
        <w:rPr>
          <w:b/>
          <w:sz w:val="24"/>
        </w:rPr>
        <w:tab/>
        <w:t>Provide estimates of the hour burden of the collection of information. The state should:</w:t>
      </w:r>
    </w:p>
    <w:p w:rsidR="00F51D9C" w:rsidRDefault="00F51D9C" w:rsidP="00F51D9C">
      <w:pPr>
        <w:ind w:left="720" w:hanging="720"/>
        <w:rPr>
          <w:b/>
          <w:sz w:val="24"/>
        </w:rPr>
      </w:pPr>
      <w:r>
        <w:rPr>
          <w:b/>
          <w:sz w:val="24"/>
        </w:rPr>
        <w:tab/>
      </w:r>
    </w:p>
    <w:p w:rsidR="00F51D9C" w:rsidRDefault="00F51D9C" w:rsidP="00F51D9C">
      <w:pPr>
        <w:ind w:left="720" w:hanging="720"/>
        <w:rPr>
          <w:b/>
          <w:sz w:val="24"/>
        </w:rPr>
      </w:pPr>
      <w:r>
        <w:rPr>
          <w:b/>
          <w:sz w:val="24"/>
        </w:rPr>
        <w:tab/>
        <w:t>Indicate the number of respondents by affected public type (federal government, individuals or households, private sector-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w:t>
      </w:r>
      <w:r w:rsidR="00204C0A">
        <w:rPr>
          <w:b/>
          <w:sz w:val="24"/>
        </w:rPr>
        <w:t xml:space="preserve"> vary widely because of differences in activity, size, or complexity, show the range of estimated hour burden, and explain the reasons for the variance. Generally, estimates should not include burden hours for customary and usual business practices. </w:t>
      </w:r>
    </w:p>
    <w:p w:rsidR="00DF2ABD" w:rsidRDefault="00DF2ABD" w:rsidP="00F51D9C">
      <w:pPr>
        <w:ind w:left="720" w:hanging="720"/>
        <w:rPr>
          <w:b/>
          <w:sz w:val="24"/>
        </w:rPr>
      </w:pPr>
    </w:p>
    <w:p w:rsidR="00BC7D64" w:rsidRDefault="00DF2ABD" w:rsidP="00F51D9C">
      <w:pPr>
        <w:ind w:left="720" w:hanging="720"/>
        <w:rPr>
          <w:sz w:val="24"/>
        </w:rPr>
      </w:pPr>
      <w:r>
        <w:rPr>
          <w:b/>
          <w:sz w:val="24"/>
        </w:rPr>
        <w:tab/>
      </w:r>
      <w:r>
        <w:rPr>
          <w:sz w:val="24"/>
        </w:rPr>
        <w:t>The Title III Supplemental</w:t>
      </w:r>
      <w:r w:rsidR="00CF7B2D">
        <w:rPr>
          <w:sz w:val="24"/>
        </w:rPr>
        <w:t xml:space="preserve"> to the SF-425</w:t>
      </w:r>
      <w:r>
        <w:rPr>
          <w:sz w:val="24"/>
        </w:rPr>
        <w:t xml:space="preserve"> </w:t>
      </w:r>
      <w:r w:rsidR="005774D1">
        <w:rPr>
          <w:sz w:val="24"/>
        </w:rPr>
        <w:t xml:space="preserve">includes </w:t>
      </w:r>
      <w:r>
        <w:rPr>
          <w:sz w:val="24"/>
        </w:rPr>
        <w:t xml:space="preserve">an estimated hour burden per respondent </w:t>
      </w:r>
      <w:r w:rsidR="005774D1">
        <w:rPr>
          <w:sz w:val="24"/>
        </w:rPr>
        <w:t xml:space="preserve">of two hours </w:t>
      </w:r>
      <w:r>
        <w:rPr>
          <w:sz w:val="24"/>
        </w:rPr>
        <w:t>in 2017</w:t>
      </w:r>
      <w:r w:rsidR="005774D1">
        <w:rPr>
          <w:sz w:val="24"/>
        </w:rPr>
        <w:t xml:space="preserve">. This estimate </w:t>
      </w:r>
      <w:r>
        <w:rPr>
          <w:sz w:val="24"/>
        </w:rPr>
        <w:t>remain</w:t>
      </w:r>
      <w:r w:rsidR="005774D1">
        <w:rPr>
          <w:sz w:val="24"/>
        </w:rPr>
        <w:t>s</w:t>
      </w:r>
      <w:r>
        <w:rPr>
          <w:sz w:val="24"/>
        </w:rPr>
        <w:t xml:space="preserve"> </w:t>
      </w:r>
      <w:r w:rsidR="005774D1">
        <w:rPr>
          <w:sz w:val="24"/>
        </w:rPr>
        <w:t xml:space="preserve">the same as the </w:t>
      </w:r>
      <w:r w:rsidR="008F3F6F">
        <w:rPr>
          <w:sz w:val="24"/>
        </w:rPr>
        <w:t xml:space="preserve">burden estimated </w:t>
      </w:r>
      <w:r w:rsidR="005774D1">
        <w:rPr>
          <w:sz w:val="24"/>
        </w:rPr>
        <w:t xml:space="preserve">the last </w:t>
      </w:r>
      <w:r w:rsidR="008F3F6F">
        <w:rPr>
          <w:sz w:val="24"/>
        </w:rPr>
        <w:t xml:space="preserve">time the data collection was </w:t>
      </w:r>
      <w:r w:rsidR="005774D1">
        <w:rPr>
          <w:sz w:val="24"/>
        </w:rPr>
        <w:t>approv</w:t>
      </w:r>
      <w:r w:rsidR="008F3F6F">
        <w:rPr>
          <w:sz w:val="24"/>
        </w:rPr>
        <w:t>ed.</w:t>
      </w:r>
      <w:r w:rsidR="005774D1">
        <w:rPr>
          <w:sz w:val="24"/>
        </w:rPr>
        <w:t xml:space="preserve"> The changes </w:t>
      </w:r>
      <w:r w:rsidR="008F3F6F">
        <w:rPr>
          <w:sz w:val="24"/>
        </w:rPr>
        <w:t xml:space="preserve">to this collection </w:t>
      </w:r>
      <w:r w:rsidR="005774D1">
        <w:rPr>
          <w:sz w:val="24"/>
        </w:rPr>
        <w:t>are minor and do not affect the overall burden estimate.</w:t>
      </w:r>
      <w:r w:rsidR="008F3F6F">
        <w:rPr>
          <w:sz w:val="24"/>
        </w:rPr>
        <w:t xml:space="preserve"> In addition, </w:t>
      </w:r>
      <w:r w:rsidR="0068585D">
        <w:rPr>
          <w:sz w:val="24"/>
        </w:rPr>
        <w:t>t</w:t>
      </w:r>
      <w:r w:rsidR="00BC7D64">
        <w:rPr>
          <w:sz w:val="24"/>
        </w:rPr>
        <w:t>he number of respondents, 56, has not changed since the previous</w:t>
      </w:r>
      <w:r w:rsidR="008F3F6F">
        <w:rPr>
          <w:sz w:val="24"/>
        </w:rPr>
        <w:t>ly</w:t>
      </w:r>
      <w:r w:rsidR="00BC7D64">
        <w:rPr>
          <w:sz w:val="24"/>
        </w:rPr>
        <w:t xml:space="preserve"> approved document.</w:t>
      </w:r>
    </w:p>
    <w:p w:rsidR="00BC7D64" w:rsidRDefault="00BC7D64" w:rsidP="00F51D9C">
      <w:pPr>
        <w:ind w:left="720" w:hanging="720"/>
        <w:rPr>
          <w:sz w:val="24"/>
        </w:rPr>
      </w:pPr>
    </w:p>
    <w:p w:rsidR="00BC7D64" w:rsidRPr="00BC7D64" w:rsidRDefault="00BC7D64" w:rsidP="00F51D9C">
      <w:pPr>
        <w:ind w:left="720" w:hanging="720"/>
        <w:rPr>
          <w:b/>
          <w:sz w:val="24"/>
        </w:rPr>
      </w:pPr>
      <w:r>
        <w:rPr>
          <w:sz w:val="24"/>
        </w:rPr>
        <w:tab/>
      </w:r>
      <w:r w:rsidRPr="00BC7D64">
        <w:rPr>
          <w:b/>
          <w:sz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BC7D64" w:rsidRDefault="00BC7D64" w:rsidP="00F51D9C">
      <w:pPr>
        <w:ind w:left="720" w:hanging="720"/>
        <w:rPr>
          <w:sz w:val="24"/>
        </w:rPr>
      </w:pPr>
    </w:p>
    <w:p w:rsidR="00DF2ABD" w:rsidRDefault="00BC7D64" w:rsidP="00F51D9C">
      <w:pPr>
        <w:ind w:left="720" w:hanging="720"/>
        <w:rPr>
          <w:sz w:val="24"/>
        </w:rPr>
      </w:pPr>
      <w:r>
        <w:rPr>
          <w:sz w:val="24"/>
        </w:rPr>
        <w:tab/>
        <w:t>N/A. This approval only covers one form.</w:t>
      </w:r>
      <w:r w:rsidR="00DF2ABD">
        <w:rPr>
          <w:sz w:val="24"/>
        </w:rPr>
        <w:t xml:space="preserve"> </w:t>
      </w:r>
    </w:p>
    <w:p w:rsidR="00BC7D64" w:rsidRDefault="00BC7D64" w:rsidP="00F51D9C">
      <w:pPr>
        <w:ind w:left="720" w:hanging="720"/>
        <w:rPr>
          <w:sz w:val="24"/>
        </w:rPr>
      </w:pPr>
    </w:p>
    <w:p w:rsidR="00BC7D64" w:rsidRDefault="00BC7D64" w:rsidP="00F51D9C">
      <w:pPr>
        <w:ind w:left="720" w:hanging="720"/>
        <w:rPr>
          <w:b/>
          <w:sz w:val="24"/>
        </w:rPr>
      </w:pPr>
      <w:r>
        <w:rPr>
          <w:sz w:val="24"/>
        </w:rPr>
        <w:tab/>
      </w:r>
      <w:r w:rsidRPr="00BC7D64">
        <w:rPr>
          <w:b/>
          <w:sz w:val="24"/>
        </w:rPr>
        <w:t>Provide estimate</w:t>
      </w:r>
      <w:r w:rsidR="008F3F6F">
        <w:rPr>
          <w:b/>
          <w:sz w:val="24"/>
        </w:rPr>
        <w:t>s</w:t>
      </w:r>
      <w:r w:rsidRPr="00BC7D64">
        <w:rPr>
          <w:b/>
          <w:sz w:val="24"/>
        </w:rPr>
        <w:t xml:space="preserve">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7D64" w:rsidRDefault="00BC7D64" w:rsidP="00F51D9C">
      <w:pPr>
        <w:ind w:left="720" w:hanging="720"/>
        <w:rPr>
          <w:b/>
          <w:sz w:val="24"/>
        </w:rPr>
      </w:pPr>
    </w:p>
    <w:p w:rsidR="005F0029" w:rsidRDefault="00BC7D64" w:rsidP="00F51D9C">
      <w:pPr>
        <w:ind w:left="720" w:hanging="720"/>
        <w:rPr>
          <w:sz w:val="24"/>
        </w:rPr>
      </w:pPr>
      <w:r>
        <w:rPr>
          <w:b/>
          <w:sz w:val="24"/>
        </w:rPr>
        <w:tab/>
      </w:r>
      <w:r w:rsidR="00383FE3">
        <w:rPr>
          <w:sz w:val="24"/>
        </w:rPr>
        <w:t xml:space="preserve">There are 56 respondents who provide 2 responses a year per respondent. The average burden per response is 2 hours. </w:t>
      </w:r>
      <w:r w:rsidR="008F3F6F">
        <w:rPr>
          <w:sz w:val="24"/>
        </w:rPr>
        <w:t xml:space="preserve">Multiplying </w:t>
      </w:r>
      <w:r w:rsidR="0023663F">
        <w:rPr>
          <w:sz w:val="24"/>
        </w:rPr>
        <w:t xml:space="preserve">56 </w:t>
      </w:r>
      <w:r w:rsidR="005F0029">
        <w:rPr>
          <w:sz w:val="24"/>
        </w:rPr>
        <w:t>respondents</w:t>
      </w:r>
      <w:r w:rsidR="0023663F">
        <w:rPr>
          <w:sz w:val="24"/>
        </w:rPr>
        <w:t xml:space="preserve"> times 2 hours </w:t>
      </w:r>
      <w:r w:rsidR="008F3F6F">
        <w:rPr>
          <w:sz w:val="24"/>
        </w:rPr>
        <w:t>equals</w:t>
      </w:r>
      <w:r w:rsidR="0023663F">
        <w:rPr>
          <w:sz w:val="24"/>
        </w:rPr>
        <w:t xml:space="preserve"> 112 hours for each submission</w:t>
      </w:r>
      <w:r w:rsidR="008F3F6F">
        <w:rPr>
          <w:sz w:val="24"/>
        </w:rPr>
        <w:t xml:space="preserve"> or 224 hours per year</w:t>
      </w:r>
      <w:r w:rsidR="0023663F">
        <w:rPr>
          <w:sz w:val="24"/>
        </w:rPr>
        <w:t xml:space="preserve">. </w:t>
      </w:r>
      <w:r w:rsidRPr="00A76F07">
        <w:rPr>
          <w:sz w:val="24"/>
        </w:rPr>
        <w:t>The cost for each year</w:t>
      </w:r>
      <w:r w:rsidR="0023663F">
        <w:rPr>
          <w:sz w:val="24"/>
        </w:rPr>
        <w:t>,</w:t>
      </w:r>
      <w:r w:rsidRPr="00A76F07">
        <w:rPr>
          <w:sz w:val="24"/>
        </w:rPr>
        <w:t xml:space="preserve"> in which the form is submitted</w:t>
      </w:r>
      <w:r w:rsidR="0023663F">
        <w:rPr>
          <w:sz w:val="24"/>
        </w:rPr>
        <w:t xml:space="preserve"> twice,</w:t>
      </w:r>
      <w:r w:rsidRPr="00A76F07">
        <w:rPr>
          <w:sz w:val="24"/>
        </w:rPr>
        <w:t xml:space="preserve"> is estimated by multiplying 224 hours times the </w:t>
      </w:r>
      <w:r w:rsidR="009D2799" w:rsidRPr="00A76F07">
        <w:rPr>
          <w:sz w:val="24"/>
        </w:rPr>
        <w:t xml:space="preserve">median wage for </w:t>
      </w:r>
      <w:r w:rsidR="007E7B2C" w:rsidRPr="00A76F07">
        <w:rPr>
          <w:sz w:val="24"/>
        </w:rPr>
        <w:t xml:space="preserve">Accountants and Auditors of $32.76/hour. </w:t>
      </w:r>
      <w:r w:rsidR="009D2799" w:rsidRPr="00A76F07">
        <w:rPr>
          <w:sz w:val="24"/>
        </w:rPr>
        <w:t>This re</w:t>
      </w:r>
      <w:r w:rsidR="007E7B2C" w:rsidRPr="00A76F07">
        <w:rPr>
          <w:sz w:val="24"/>
        </w:rPr>
        <w:t>sults in a total cost of $7,338.24</w:t>
      </w:r>
      <w:r w:rsidR="0023663F">
        <w:rPr>
          <w:sz w:val="24"/>
        </w:rPr>
        <w:t xml:space="preserve"> (</w:t>
      </w:r>
      <w:r w:rsidR="008F3F6F">
        <w:rPr>
          <w:sz w:val="24"/>
        </w:rPr>
        <w:t>224</w:t>
      </w:r>
      <w:r w:rsidR="005F0029">
        <w:rPr>
          <w:sz w:val="24"/>
        </w:rPr>
        <w:t xml:space="preserve"> </w:t>
      </w:r>
      <w:r w:rsidR="0023663F">
        <w:rPr>
          <w:sz w:val="24"/>
        </w:rPr>
        <w:t xml:space="preserve">times $32.76 </w:t>
      </w:r>
      <w:r w:rsidR="003A6B4E">
        <w:rPr>
          <w:sz w:val="24"/>
        </w:rPr>
        <w:t xml:space="preserve">equals </w:t>
      </w:r>
      <w:r w:rsidR="0023663F">
        <w:rPr>
          <w:sz w:val="24"/>
        </w:rPr>
        <w:t>$</w:t>
      </w:r>
      <w:r w:rsidR="008F3F6F">
        <w:rPr>
          <w:sz w:val="24"/>
        </w:rPr>
        <w:t>7,338.24</w:t>
      </w:r>
      <w:r w:rsidR="0023663F">
        <w:rPr>
          <w:sz w:val="24"/>
        </w:rPr>
        <w:t>)</w:t>
      </w:r>
      <w:r w:rsidR="009D2799" w:rsidRPr="00A76F07">
        <w:rPr>
          <w:sz w:val="24"/>
        </w:rPr>
        <w:t xml:space="preserve">. The </w:t>
      </w:r>
      <w:r w:rsidR="007E7B2C" w:rsidRPr="00A76F07">
        <w:rPr>
          <w:sz w:val="24"/>
        </w:rPr>
        <w:t>wage rate came from the May 2016</w:t>
      </w:r>
      <w:r w:rsidR="009D2799" w:rsidRPr="00A76F07">
        <w:rPr>
          <w:sz w:val="24"/>
        </w:rPr>
        <w:t xml:space="preserve"> National Occupational Employment and Wage Estimates report from the Bureau of Labor Statistics. Doubling this amount to take into account benefits and overhead c</w:t>
      </w:r>
      <w:r w:rsidR="007E7B2C" w:rsidRPr="00A76F07">
        <w:rPr>
          <w:sz w:val="24"/>
        </w:rPr>
        <w:t>osts brings the total to $14,676.48</w:t>
      </w:r>
      <w:r w:rsidR="009D2799" w:rsidRPr="00A76F07">
        <w:rPr>
          <w:sz w:val="24"/>
        </w:rPr>
        <w:t>.</w:t>
      </w:r>
    </w:p>
    <w:p w:rsidR="00237784" w:rsidRDefault="00237784" w:rsidP="00F51D9C">
      <w:pPr>
        <w:ind w:left="720" w:hanging="720"/>
        <w:rPr>
          <w:sz w:val="24"/>
        </w:rPr>
      </w:pPr>
    </w:p>
    <w:tbl>
      <w:tblPr>
        <w:tblW w:w="85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6"/>
        <w:gridCol w:w="1524"/>
        <w:gridCol w:w="1350"/>
        <w:gridCol w:w="1267"/>
        <w:gridCol w:w="1430"/>
      </w:tblGrid>
      <w:tr w:rsidR="00281F4B" w:rsidRPr="005F0029" w:rsidTr="002B3613">
        <w:tc>
          <w:tcPr>
            <w:tcW w:w="1440" w:type="dxa"/>
            <w:shd w:val="clear" w:color="auto" w:fill="auto"/>
          </w:tcPr>
          <w:p w:rsidR="005F0029" w:rsidRPr="005F0029" w:rsidRDefault="005F0029" w:rsidP="005F0029">
            <w:pPr>
              <w:widowControl/>
              <w:rPr>
                <w:b/>
                <w:bCs/>
                <w:sz w:val="24"/>
              </w:rPr>
            </w:pPr>
            <w:r w:rsidRPr="005F0029">
              <w:rPr>
                <w:b/>
                <w:bCs/>
                <w:sz w:val="24"/>
              </w:rPr>
              <w:t>Type of</w:t>
            </w:r>
          </w:p>
          <w:p w:rsidR="005F0029" w:rsidRPr="005F0029" w:rsidRDefault="005F0029" w:rsidP="005F0029">
            <w:pPr>
              <w:widowControl/>
              <w:rPr>
                <w:b/>
                <w:bCs/>
                <w:sz w:val="24"/>
              </w:rPr>
            </w:pPr>
            <w:r w:rsidRPr="005F0029">
              <w:rPr>
                <w:b/>
                <w:bCs/>
                <w:sz w:val="24"/>
              </w:rPr>
              <w:t>Respondent</w:t>
            </w:r>
          </w:p>
          <w:p w:rsidR="005F0029" w:rsidRPr="005F0029" w:rsidRDefault="005F0029" w:rsidP="005F0029">
            <w:pPr>
              <w:widowControl/>
              <w:rPr>
                <w:b/>
                <w:bCs/>
                <w:sz w:val="24"/>
              </w:rPr>
            </w:pPr>
          </w:p>
        </w:tc>
        <w:tc>
          <w:tcPr>
            <w:tcW w:w="1536" w:type="dxa"/>
            <w:shd w:val="clear" w:color="auto" w:fill="auto"/>
          </w:tcPr>
          <w:p w:rsidR="005F0029" w:rsidRPr="005F0029" w:rsidRDefault="005F0029" w:rsidP="005F0029">
            <w:pPr>
              <w:widowControl/>
              <w:rPr>
                <w:b/>
                <w:bCs/>
                <w:sz w:val="24"/>
              </w:rPr>
            </w:pPr>
            <w:r w:rsidRPr="005F0029">
              <w:rPr>
                <w:b/>
                <w:bCs/>
                <w:sz w:val="24"/>
              </w:rPr>
              <w:t>Form</w:t>
            </w:r>
          </w:p>
          <w:p w:rsidR="005F0029" w:rsidRPr="005F0029" w:rsidRDefault="005F0029" w:rsidP="005F0029">
            <w:pPr>
              <w:widowControl/>
              <w:rPr>
                <w:b/>
                <w:bCs/>
                <w:sz w:val="24"/>
              </w:rPr>
            </w:pPr>
            <w:r w:rsidRPr="005F0029">
              <w:rPr>
                <w:b/>
                <w:bCs/>
                <w:sz w:val="24"/>
              </w:rPr>
              <w:t>Name</w:t>
            </w:r>
          </w:p>
          <w:p w:rsidR="005F0029" w:rsidRPr="005F0029" w:rsidRDefault="005F0029" w:rsidP="005F0029">
            <w:pPr>
              <w:widowControl/>
              <w:rPr>
                <w:b/>
                <w:bCs/>
                <w:sz w:val="24"/>
              </w:rPr>
            </w:pPr>
          </w:p>
        </w:tc>
        <w:tc>
          <w:tcPr>
            <w:tcW w:w="1524" w:type="dxa"/>
            <w:shd w:val="clear" w:color="auto" w:fill="auto"/>
          </w:tcPr>
          <w:p w:rsidR="005F0029" w:rsidRPr="005F0029" w:rsidRDefault="005F0029" w:rsidP="005F0029">
            <w:pPr>
              <w:widowControl/>
              <w:rPr>
                <w:b/>
                <w:bCs/>
                <w:sz w:val="24"/>
              </w:rPr>
            </w:pPr>
            <w:r w:rsidRPr="005F0029">
              <w:rPr>
                <w:b/>
                <w:bCs/>
                <w:sz w:val="24"/>
              </w:rPr>
              <w:t>No. of</w:t>
            </w:r>
          </w:p>
          <w:p w:rsidR="005F0029" w:rsidRPr="005F0029" w:rsidRDefault="005F0029" w:rsidP="005F0029">
            <w:pPr>
              <w:widowControl/>
              <w:rPr>
                <w:b/>
                <w:bCs/>
                <w:sz w:val="24"/>
              </w:rPr>
            </w:pPr>
            <w:r w:rsidRPr="005F0029">
              <w:rPr>
                <w:b/>
                <w:bCs/>
                <w:sz w:val="24"/>
              </w:rPr>
              <w:t>Respondents</w:t>
            </w:r>
          </w:p>
        </w:tc>
        <w:tc>
          <w:tcPr>
            <w:tcW w:w="1350" w:type="dxa"/>
            <w:shd w:val="clear" w:color="auto" w:fill="auto"/>
          </w:tcPr>
          <w:p w:rsidR="005F0029" w:rsidRPr="005F0029" w:rsidRDefault="005F0029" w:rsidP="005F0029">
            <w:pPr>
              <w:widowControl/>
              <w:rPr>
                <w:b/>
                <w:bCs/>
                <w:sz w:val="24"/>
              </w:rPr>
            </w:pPr>
            <w:r w:rsidRPr="005F0029">
              <w:rPr>
                <w:b/>
                <w:bCs/>
                <w:sz w:val="24"/>
              </w:rPr>
              <w:t>No.</w:t>
            </w:r>
          </w:p>
          <w:p w:rsidR="005F0029" w:rsidRPr="005F0029" w:rsidRDefault="005F0029" w:rsidP="005F0029">
            <w:pPr>
              <w:widowControl/>
              <w:rPr>
                <w:b/>
                <w:bCs/>
                <w:sz w:val="24"/>
              </w:rPr>
            </w:pPr>
            <w:r w:rsidRPr="005F0029">
              <w:rPr>
                <w:b/>
                <w:bCs/>
                <w:sz w:val="24"/>
              </w:rPr>
              <w:t>Responses</w:t>
            </w:r>
          </w:p>
          <w:p w:rsidR="005F0029" w:rsidRPr="005F0029" w:rsidRDefault="005F0029" w:rsidP="005F0029">
            <w:pPr>
              <w:widowControl/>
              <w:rPr>
                <w:b/>
                <w:bCs/>
                <w:sz w:val="24"/>
              </w:rPr>
            </w:pPr>
            <w:r w:rsidRPr="005F0029">
              <w:rPr>
                <w:b/>
                <w:bCs/>
                <w:sz w:val="24"/>
              </w:rPr>
              <w:t>per</w:t>
            </w:r>
          </w:p>
          <w:p w:rsidR="005F0029" w:rsidRPr="005F0029" w:rsidRDefault="005F0029" w:rsidP="005F0029">
            <w:pPr>
              <w:widowControl/>
              <w:rPr>
                <w:b/>
                <w:bCs/>
                <w:sz w:val="24"/>
              </w:rPr>
            </w:pPr>
            <w:r w:rsidRPr="005F0029">
              <w:rPr>
                <w:b/>
                <w:bCs/>
                <w:sz w:val="24"/>
              </w:rPr>
              <w:t>Respondent</w:t>
            </w:r>
          </w:p>
        </w:tc>
        <w:tc>
          <w:tcPr>
            <w:tcW w:w="1267" w:type="dxa"/>
            <w:shd w:val="clear" w:color="auto" w:fill="auto"/>
          </w:tcPr>
          <w:p w:rsidR="005F0029" w:rsidRPr="005F0029" w:rsidRDefault="005F0029" w:rsidP="005F0029">
            <w:pPr>
              <w:widowControl/>
              <w:rPr>
                <w:b/>
                <w:bCs/>
                <w:sz w:val="24"/>
              </w:rPr>
            </w:pPr>
            <w:r w:rsidRPr="005F0029">
              <w:rPr>
                <w:b/>
                <w:bCs/>
                <w:sz w:val="24"/>
              </w:rPr>
              <w:t>Average</w:t>
            </w:r>
          </w:p>
          <w:p w:rsidR="005F0029" w:rsidRPr="005F0029" w:rsidRDefault="005F0029" w:rsidP="005F0029">
            <w:pPr>
              <w:widowControl/>
              <w:rPr>
                <w:b/>
                <w:bCs/>
                <w:sz w:val="24"/>
              </w:rPr>
            </w:pPr>
            <w:r w:rsidRPr="005F0029">
              <w:rPr>
                <w:b/>
                <w:bCs/>
                <w:sz w:val="24"/>
              </w:rPr>
              <w:t>Burden per</w:t>
            </w:r>
          </w:p>
          <w:p w:rsidR="005F0029" w:rsidRPr="005F0029" w:rsidRDefault="005F0029" w:rsidP="005F0029">
            <w:pPr>
              <w:widowControl/>
              <w:rPr>
                <w:b/>
                <w:bCs/>
                <w:sz w:val="24"/>
              </w:rPr>
            </w:pPr>
            <w:r w:rsidRPr="005F0029">
              <w:rPr>
                <w:b/>
                <w:bCs/>
                <w:sz w:val="24"/>
              </w:rPr>
              <w:t>Response</w:t>
            </w:r>
          </w:p>
          <w:p w:rsidR="005F0029" w:rsidRPr="005F0029" w:rsidRDefault="005F0029" w:rsidP="005F0029">
            <w:pPr>
              <w:widowControl/>
              <w:rPr>
                <w:b/>
                <w:bCs/>
                <w:sz w:val="24"/>
              </w:rPr>
            </w:pPr>
            <w:r w:rsidRPr="005F0029">
              <w:rPr>
                <w:b/>
                <w:bCs/>
                <w:sz w:val="24"/>
              </w:rPr>
              <w:t>(in hours)</w:t>
            </w:r>
          </w:p>
        </w:tc>
        <w:tc>
          <w:tcPr>
            <w:tcW w:w="1430" w:type="dxa"/>
            <w:shd w:val="clear" w:color="auto" w:fill="auto"/>
          </w:tcPr>
          <w:p w:rsidR="005F0029" w:rsidRPr="005F0029" w:rsidRDefault="005F0029" w:rsidP="005F0029">
            <w:pPr>
              <w:widowControl/>
              <w:rPr>
                <w:b/>
                <w:bCs/>
                <w:sz w:val="24"/>
              </w:rPr>
            </w:pPr>
            <w:r w:rsidRPr="005F0029">
              <w:rPr>
                <w:b/>
                <w:bCs/>
                <w:sz w:val="24"/>
              </w:rPr>
              <w:t>Total Burden Hours</w:t>
            </w:r>
          </w:p>
        </w:tc>
      </w:tr>
      <w:tr w:rsidR="00281F4B" w:rsidRPr="005F0029" w:rsidTr="002B3613">
        <w:tc>
          <w:tcPr>
            <w:tcW w:w="1440" w:type="dxa"/>
            <w:shd w:val="clear" w:color="auto" w:fill="auto"/>
          </w:tcPr>
          <w:p w:rsidR="005F0029" w:rsidRPr="005F0029" w:rsidRDefault="005F0029" w:rsidP="005F0029">
            <w:pPr>
              <w:widowControl/>
              <w:rPr>
                <w:b/>
                <w:bCs/>
                <w:sz w:val="24"/>
              </w:rPr>
            </w:pPr>
            <w:r w:rsidRPr="005F0029">
              <w:rPr>
                <w:b/>
                <w:bCs/>
                <w:sz w:val="24"/>
              </w:rPr>
              <w:t>States and Territories</w:t>
            </w:r>
          </w:p>
        </w:tc>
        <w:tc>
          <w:tcPr>
            <w:tcW w:w="1536" w:type="dxa"/>
            <w:shd w:val="clear" w:color="auto" w:fill="auto"/>
          </w:tcPr>
          <w:p w:rsidR="005F0029" w:rsidRPr="005F0029" w:rsidRDefault="005F0029" w:rsidP="005F0029">
            <w:pPr>
              <w:widowControl/>
              <w:rPr>
                <w:b/>
                <w:bCs/>
                <w:sz w:val="24"/>
              </w:rPr>
            </w:pPr>
            <w:r w:rsidRPr="005F0029">
              <w:rPr>
                <w:sz w:val="24"/>
              </w:rPr>
              <w:t>Title III Supplemental</w:t>
            </w:r>
          </w:p>
        </w:tc>
        <w:tc>
          <w:tcPr>
            <w:tcW w:w="1524" w:type="dxa"/>
            <w:shd w:val="clear" w:color="auto" w:fill="auto"/>
          </w:tcPr>
          <w:p w:rsidR="005F0029" w:rsidRPr="005F0029" w:rsidRDefault="005F0029" w:rsidP="005F0029">
            <w:pPr>
              <w:widowControl/>
              <w:rPr>
                <w:b/>
                <w:bCs/>
                <w:sz w:val="24"/>
              </w:rPr>
            </w:pPr>
            <w:r w:rsidRPr="005F0029">
              <w:rPr>
                <w:sz w:val="24"/>
              </w:rPr>
              <w:t>56</w:t>
            </w:r>
          </w:p>
        </w:tc>
        <w:tc>
          <w:tcPr>
            <w:tcW w:w="1350" w:type="dxa"/>
            <w:shd w:val="clear" w:color="auto" w:fill="auto"/>
          </w:tcPr>
          <w:p w:rsidR="005F0029" w:rsidRPr="005F0029" w:rsidRDefault="005F0029" w:rsidP="005F0029">
            <w:pPr>
              <w:widowControl/>
              <w:rPr>
                <w:b/>
                <w:bCs/>
                <w:sz w:val="24"/>
              </w:rPr>
            </w:pPr>
            <w:r w:rsidRPr="005F0029">
              <w:rPr>
                <w:sz w:val="24"/>
              </w:rPr>
              <w:t>2</w:t>
            </w:r>
          </w:p>
        </w:tc>
        <w:tc>
          <w:tcPr>
            <w:tcW w:w="1267" w:type="dxa"/>
            <w:shd w:val="clear" w:color="auto" w:fill="auto"/>
          </w:tcPr>
          <w:p w:rsidR="005F0029" w:rsidRPr="005F0029" w:rsidRDefault="005F0029" w:rsidP="005F0029">
            <w:pPr>
              <w:widowControl/>
              <w:rPr>
                <w:b/>
                <w:bCs/>
                <w:sz w:val="24"/>
              </w:rPr>
            </w:pPr>
            <w:r w:rsidRPr="005F0029">
              <w:rPr>
                <w:sz w:val="24"/>
              </w:rPr>
              <w:t>2</w:t>
            </w:r>
          </w:p>
        </w:tc>
        <w:tc>
          <w:tcPr>
            <w:tcW w:w="1430" w:type="dxa"/>
            <w:shd w:val="clear" w:color="auto" w:fill="auto"/>
          </w:tcPr>
          <w:p w:rsidR="005F0029" w:rsidRPr="005F0029" w:rsidRDefault="005F0029" w:rsidP="005F0029">
            <w:pPr>
              <w:widowControl/>
              <w:rPr>
                <w:b/>
                <w:bCs/>
                <w:sz w:val="24"/>
              </w:rPr>
            </w:pPr>
            <w:r w:rsidRPr="005F0029">
              <w:rPr>
                <w:sz w:val="24"/>
              </w:rPr>
              <w:t>224</w:t>
            </w:r>
          </w:p>
        </w:tc>
      </w:tr>
      <w:tr w:rsidR="00281F4B" w:rsidRPr="005F0029" w:rsidTr="002B3613">
        <w:tc>
          <w:tcPr>
            <w:tcW w:w="1440" w:type="dxa"/>
            <w:shd w:val="clear" w:color="auto" w:fill="auto"/>
          </w:tcPr>
          <w:p w:rsidR="005F0029" w:rsidRPr="005F0029" w:rsidRDefault="005F0029" w:rsidP="005F0029">
            <w:pPr>
              <w:widowControl/>
              <w:rPr>
                <w:b/>
                <w:bCs/>
                <w:sz w:val="24"/>
              </w:rPr>
            </w:pPr>
            <w:r w:rsidRPr="005F0029">
              <w:rPr>
                <w:b/>
                <w:bCs/>
                <w:sz w:val="24"/>
              </w:rPr>
              <w:t>Total</w:t>
            </w:r>
          </w:p>
        </w:tc>
        <w:tc>
          <w:tcPr>
            <w:tcW w:w="1536" w:type="dxa"/>
            <w:shd w:val="clear" w:color="auto" w:fill="auto"/>
          </w:tcPr>
          <w:p w:rsidR="005F0029" w:rsidRPr="005F0029" w:rsidRDefault="005F0029" w:rsidP="005F0029">
            <w:pPr>
              <w:widowControl/>
              <w:rPr>
                <w:sz w:val="24"/>
              </w:rPr>
            </w:pPr>
          </w:p>
        </w:tc>
        <w:tc>
          <w:tcPr>
            <w:tcW w:w="1524" w:type="dxa"/>
            <w:shd w:val="clear" w:color="auto" w:fill="auto"/>
          </w:tcPr>
          <w:p w:rsidR="005F0029" w:rsidRPr="005F0029" w:rsidRDefault="005F0029" w:rsidP="005F0029">
            <w:pPr>
              <w:widowControl/>
              <w:rPr>
                <w:sz w:val="24"/>
              </w:rPr>
            </w:pPr>
          </w:p>
        </w:tc>
        <w:tc>
          <w:tcPr>
            <w:tcW w:w="1350" w:type="dxa"/>
            <w:shd w:val="clear" w:color="auto" w:fill="auto"/>
          </w:tcPr>
          <w:p w:rsidR="005F0029" w:rsidRPr="005F0029" w:rsidRDefault="005F0029" w:rsidP="005F0029">
            <w:pPr>
              <w:widowControl/>
              <w:rPr>
                <w:sz w:val="24"/>
              </w:rPr>
            </w:pPr>
          </w:p>
        </w:tc>
        <w:tc>
          <w:tcPr>
            <w:tcW w:w="1267" w:type="dxa"/>
            <w:shd w:val="clear" w:color="auto" w:fill="auto"/>
          </w:tcPr>
          <w:p w:rsidR="005F0029" w:rsidRPr="005F0029" w:rsidRDefault="005F0029" w:rsidP="005F0029">
            <w:pPr>
              <w:widowControl/>
              <w:rPr>
                <w:sz w:val="24"/>
              </w:rPr>
            </w:pPr>
          </w:p>
        </w:tc>
        <w:tc>
          <w:tcPr>
            <w:tcW w:w="1430" w:type="dxa"/>
            <w:shd w:val="clear" w:color="auto" w:fill="auto"/>
          </w:tcPr>
          <w:p w:rsidR="005F0029" w:rsidRPr="005F0029" w:rsidRDefault="005F0029" w:rsidP="005F0029">
            <w:pPr>
              <w:widowControl/>
              <w:rPr>
                <w:sz w:val="24"/>
              </w:rPr>
            </w:pPr>
            <w:r w:rsidRPr="005F0029">
              <w:rPr>
                <w:b/>
                <w:bCs/>
                <w:sz w:val="24"/>
              </w:rPr>
              <w:t>224</w:t>
            </w:r>
          </w:p>
          <w:p w:rsidR="005F0029" w:rsidRPr="005F0029" w:rsidRDefault="005F0029" w:rsidP="005F0029">
            <w:pPr>
              <w:widowControl/>
              <w:rPr>
                <w:sz w:val="24"/>
              </w:rPr>
            </w:pPr>
          </w:p>
        </w:tc>
      </w:tr>
    </w:tbl>
    <w:p w:rsidR="00842002" w:rsidRDefault="00842002" w:rsidP="00F51D9C">
      <w:pPr>
        <w:ind w:left="720" w:hanging="720"/>
        <w:rPr>
          <w:sz w:val="24"/>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90"/>
        <w:gridCol w:w="1440"/>
        <w:gridCol w:w="1350"/>
        <w:gridCol w:w="1260"/>
        <w:gridCol w:w="1440"/>
      </w:tblGrid>
      <w:tr w:rsidR="00281F4B" w:rsidRPr="005F0029" w:rsidTr="002B3613">
        <w:tc>
          <w:tcPr>
            <w:tcW w:w="1440" w:type="dxa"/>
            <w:shd w:val="clear" w:color="auto" w:fill="auto"/>
          </w:tcPr>
          <w:p w:rsidR="00237784" w:rsidRPr="005F0029" w:rsidRDefault="00237784" w:rsidP="005F0029">
            <w:pPr>
              <w:widowControl/>
              <w:rPr>
                <w:b/>
                <w:bCs/>
                <w:sz w:val="24"/>
              </w:rPr>
            </w:pPr>
            <w:r w:rsidRPr="005F0029">
              <w:rPr>
                <w:b/>
                <w:bCs/>
                <w:sz w:val="24"/>
              </w:rPr>
              <w:t>Type of</w:t>
            </w:r>
          </w:p>
          <w:p w:rsidR="00237784" w:rsidRPr="005F0029" w:rsidRDefault="00237784" w:rsidP="005F0029">
            <w:pPr>
              <w:widowControl/>
              <w:rPr>
                <w:sz w:val="24"/>
              </w:rPr>
            </w:pPr>
            <w:r w:rsidRPr="005F0029">
              <w:rPr>
                <w:b/>
                <w:bCs/>
                <w:sz w:val="24"/>
              </w:rPr>
              <w:t>Respondent</w:t>
            </w:r>
          </w:p>
          <w:p w:rsidR="00237784" w:rsidRPr="005F0029" w:rsidRDefault="00237784" w:rsidP="005F0029">
            <w:pPr>
              <w:widowControl/>
              <w:rPr>
                <w:b/>
                <w:bCs/>
                <w:sz w:val="24"/>
              </w:rPr>
            </w:pPr>
          </w:p>
        </w:tc>
        <w:tc>
          <w:tcPr>
            <w:tcW w:w="1530" w:type="dxa"/>
            <w:shd w:val="clear" w:color="auto" w:fill="auto"/>
          </w:tcPr>
          <w:p w:rsidR="00237784" w:rsidRPr="005F0029" w:rsidRDefault="00237784" w:rsidP="005F0029">
            <w:pPr>
              <w:widowControl/>
              <w:rPr>
                <w:b/>
                <w:bCs/>
                <w:sz w:val="24"/>
              </w:rPr>
            </w:pPr>
            <w:r w:rsidRPr="005F0029">
              <w:rPr>
                <w:b/>
                <w:bCs/>
                <w:sz w:val="24"/>
              </w:rPr>
              <w:t>Total Burden</w:t>
            </w:r>
          </w:p>
          <w:p w:rsidR="00237784" w:rsidRPr="005F0029" w:rsidRDefault="00237784" w:rsidP="005F0029">
            <w:pPr>
              <w:widowControl/>
              <w:rPr>
                <w:sz w:val="24"/>
              </w:rPr>
            </w:pPr>
            <w:r w:rsidRPr="005F0029">
              <w:rPr>
                <w:b/>
                <w:bCs/>
                <w:sz w:val="24"/>
              </w:rPr>
              <w:t>Hours</w:t>
            </w:r>
          </w:p>
          <w:p w:rsidR="00237784" w:rsidRPr="005F0029" w:rsidRDefault="00237784" w:rsidP="005F0029">
            <w:pPr>
              <w:widowControl/>
              <w:rPr>
                <w:b/>
                <w:bCs/>
                <w:sz w:val="24"/>
              </w:rPr>
            </w:pPr>
          </w:p>
        </w:tc>
        <w:tc>
          <w:tcPr>
            <w:tcW w:w="1530" w:type="dxa"/>
            <w:gridSpan w:val="2"/>
            <w:shd w:val="clear" w:color="auto" w:fill="auto"/>
          </w:tcPr>
          <w:p w:rsidR="00237784" w:rsidRPr="005F0029" w:rsidRDefault="00237784" w:rsidP="005F0029">
            <w:pPr>
              <w:widowControl/>
              <w:rPr>
                <w:b/>
                <w:bCs/>
                <w:sz w:val="24"/>
              </w:rPr>
            </w:pPr>
            <w:r w:rsidRPr="005F0029">
              <w:rPr>
                <w:b/>
                <w:bCs/>
                <w:sz w:val="24"/>
              </w:rPr>
              <w:t>Hourly</w:t>
            </w:r>
          </w:p>
          <w:p w:rsidR="00237784" w:rsidRPr="005F0029" w:rsidRDefault="00237784" w:rsidP="005F0029">
            <w:pPr>
              <w:widowControl/>
              <w:rPr>
                <w:sz w:val="24"/>
              </w:rPr>
            </w:pPr>
            <w:r w:rsidRPr="005F0029">
              <w:rPr>
                <w:b/>
                <w:bCs/>
                <w:sz w:val="24"/>
              </w:rPr>
              <w:t>Wage Rate</w:t>
            </w:r>
          </w:p>
          <w:p w:rsidR="00237784" w:rsidRPr="005F0029" w:rsidRDefault="00237784" w:rsidP="005F0029">
            <w:pPr>
              <w:widowControl/>
              <w:rPr>
                <w:b/>
                <w:bCs/>
                <w:sz w:val="24"/>
              </w:rPr>
            </w:pPr>
          </w:p>
        </w:tc>
        <w:tc>
          <w:tcPr>
            <w:tcW w:w="1350" w:type="dxa"/>
            <w:shd w:val="clear" w:color="auto" w:fill="auto"/>
          </w:tcPr>
          <w:p w:rsidR="00237784" w:rsidRDefault="00237784" w:rsidP="005F0029">
            <w:pPr>
              <w:widowControl/>
              <w:rPr>
                <w:b/>
                <w:bCs/>
                <w:sz w:val="24"/>
              </w:rPr>
            </w:pPr>
            <w:r w:rsidRPr="005F0029">
              <w:rPr>
                <w:b/>
                <w:bCs/>
                <w:sz w:val="24"/>
              </w:rPr>
              <w:t xml:space="preserve">Total </w:t>
            </w:r>
          </w:p>
          <w:p w:rsidR="00237784" w:rsidRPr="005F0029" w:rsidRDefault="00237784" w:rsidP="005F0029">
            <w:pPr>
              <w:widowControl/>
              <w:rPr>
                <w:sz w:val="24"/>
              </w:rPr>
            </w:pPr>
            <w:r w:rsidRPr="005F0029">
              <w:rPr>
                <w:b/>
                <w:bCs/>
                <w:sz w:val="24"/>
              </w:rPr>
              <w:t>Costs</w:t>
            </w:r>
            <w:r w:rsidR="000B2920">
              <w:rPr>
                <w:b/>
                <w:bCs/>
                <w:sz w:val="24"/>
              </w:rPr>
              <w:t xml:space="preserve"> for Salaries</w:t>
            </w:r>
          </w:p>
          <w:p w:rsidR="00237784" w:rsidRPr="005F0029" w:rsidRDefault="00237784" w:rsidP="005F0029">
            <w:pPr>
              <w:widowControl/>
              <w:rPr>
                <w:b/>
                <w:bCs/>
                <w:sz w:val="24"/>
              </w:rPr>
            </w:pPr>
          </w:p>
        </w:tc>
        <w:tc>
          <w:tcPr>
            <w:tcW w:w="1260" w:type="dxa"/>
          </w:tcPr>
          <w:p w:rsidR="00237784" w:rsidRPr="005F0029" w:rsidRDefault="00237784" w:rsidP="005F0029">
            <w:pPr>
              <w:widowControl/>
              <w:rPr>
                <w:b/>
                <w:bCs/>
                <w:sz w:val="24"/>
              </w:rPr>
            </w:pPr>
            <w:r>
              <w:rPr>
                <w:b/>
                <w:bCs/>
                <w:sz w:val="24"/>
              </w:rPr>
              <w:t>Benefits and Overhead</w:t>
            </w:r>
          </w:p>
        </w:tc>
        <w:tc>
          <w:tcPr>
            <w:tcW w:w="1440" w:type="dxa"/>
          </w:tcPr>
          <w:p w:rsidR="00237784" w:rsidRPr="005F0029" w:rsidRDefault="00237784" w:rsidP="005F0029">
            <w:pPr>
              <w:widowControl/>
              <w:rPr>
                <w:b/>
                <w:bCs/>
                <w:sz w:val="24"/>
              </w:rPr>
            </w:pPr>
            <w:r>
              <w:rPr>
                <w:b/>
                <w:bCs/>
                <w:sz w:val="24"/>
              </w:rPr>
              <w:t>Total Respondent Costs</w:t>
            </w:r>
          </w:p>
        </w:tc>
      </w:tr>
      <w:tr w:rsidR="00281F4B" w:rsidRPr="005F0029" w:rsidTr="002B3613">
        <w:tc>
          <w:tcPr>
            <w:tcW w:w="1440" w:type="dxa"/>
            <w:shd w:val="clear" w:color="auto" w:fill="auto"/>
          </w:tcPr>
          <w:p w:rsidR="00237784" w:rsidRPr="005F0029" w:rsidRDefault="00237784" w:rsidP="00B876BD">
            <w:pPr>
              <w:rPr>
                <w:sz w:val="24"/>
              </w:rPr>
            </w:pPr>
            <w:r w:rsidRPr="005F0029">
              <w:rPr>
                <w:sz w:val="24"/>
              </w:rPr>
              <w:t>States &amp; Territories</w:t>
            </w:r>
          </w:p>
        </w:tc>
        <w:tc>
          <w:tcPr>
            <w:tcW w:w="1620" w:type="dxa"/>
            <w:gridSpan w:val="2"/>
            <w:shd w:val="clear" w:color="auto" w:fill="auto"/>
          </w:tcPr>
          <w:p w:rsidR="00237784" w:rsidRPr="005F0029" w:rsidRDefault="00237784" w:rsidP="005F0029">
            <w:pPr>
              <w:rPr>
                <w:sz w:val="24"/>
              </w:rPr>
            </w:pPr>
            <w:r w:rsidRPr="005F0029">
              <w:rPr>
                <w:sz w:val="24"/>
              </w:rPr>
              <w:t xml:space="preserve">224 </w:t>
            </w:r>
          </w:p>
        </w:tc>
        <w:tc>
          <w:tcPr>
            <w:tcW w:w="1440" w:type="dxa"/>
            <w:shd w:val="clear" w:color="auto" w:fill="auto"/>
          </w:tcPr>
          <w:p w:rsidR="00237784" w:rsidRPr="005F0029" w:rsidRDefault="00237784" w:rsidP="002B3613">
            <w:pPr>
              <w:rPr>
                <w:sz w:val="24"/>
              </w:rPr>
            </w:pPr>
            <w:r w:rsidRPr="005F0029">
              <w:rPr>
                <w:sz w:val="24"/>
              </w:rPr>
              <w:t>$3</w:t>
            </w:r>
            <w:r>
              <w:rPr>
                <w:sz w:val="24"/>
              </w:rPr>
              <w:t>2.76</w:t>
            </w:r>
          </w:p>
        </w:tc>
        <w:tc>
          <w:tcPr>
            <w:tcW w:w="1350" w:type="dxa"/>
            <w:shd w:val="clear" w:color="auto" w:fill="auto"/>
          </w:tcPr>
          <w:p w:rsidR="00237784" w:rsidRPr="005F0029" w:rsidRDefault="00237784" w:rsidP="002B3613">
            <w:pPr>
              <w:rPr>
                <w:sz w:val="24"/>
              </w:rPr>
            </w:pPr>
            <w:r w:rsidRPr="005F0029">
              <w:rPr>
                <w:sz w:val="24"/>
              </w:rPr>
              <w:t xml:space="preserve"> $</w:t>
            </w:r>
            <w:r>
              <w:rPr>
                <w:sz w:val="24"/>
              </w:rPr>
              <w:t>7,338.24</w:t>
            </w:r>
          </w:p>
        </w:tc>
        <w:tc>
          <w:tcPr>
            <w:tcW w:w="1260" w:type="dxa"/>
          </w:tcPr>
          <w:p w:rsidR="00237784" w:rsidRPr="005F0029" w:rsidRDefault="00237784" w:rsidP="002B3613">
            <w:pPr>
              <w:rPr>
                <w:sz w:val="24"/>
              </w:rPr>
            </w:pPr>
            <w:r>
              <w:rPr>
                <w:sz w:val="24"/>
              </w:rPr>
              <w:t>100%</w:t>
            </w:r>
          </w:p>
        </w:tc>
        <w:tc>
          <w:tcPr>
            <w:tcW w:w="1440" w:type="dxa"/>
          </w:tcPr>
          <w:p w:rsidR="00237784" w:rsidRDefault="00237784" w:rsidP="002B3613">
            <w:pPr>
              <w:rPr>
                <w:sz w:val="24"/>
              </w:rPr>
            </w:pPr>
            <w:r>
              <w:rPr>
                <w:sz w:val="24"/>
              </w:rPr>
              <w:t>$14,676.48</w:t>
            </w:r>
          </w:p>
          <w:p w:rsidR="00237784" w:rsidRPr="005F0029" w:rsidRDefault="00237784" w:rsidP="002B3613">
            <w:pPr>
              <w:rPr>
                <w:sz w:val="24"/>
              </w:rPr>
            </w:pPr>
          </w:p>
        </w:tc>
      </w:tr>
      <w:tr w:rsidR="00281F4B" w:rsidRPr="005F0029" w:rsidTr="002B3613">
        <w:trPr>
          <w:trHeight w:val="440"/>
        </w:trPr>
        <w:tc>
          <w:tcPr>
            <w:tcW w:w="1440" w:type="dxa"/>
            <w:shd w:val="clear" w:color="auto" w:fill="auto"/>
          </w:tcPr>
          <w:p w:rsidR="00237784" w:rsidRPr="005F0029" w:rsidRDefault="00237784" w:rsidP="005F0029">
            <w:pPr>
              <w:widowControl/>
              <w:rPr>
                <w:sz w:val="24"/>
              </w:rPr>
            </w:pPr>
            <w:r w:rsidRPr="005F0029">
              <w:rPr>
                <w:sz w:val="24"/>
              </w:rPr>
              <w:t>Total</w:t>
            </w:r>
          </w:p>
        </w:tc>
        <w:tc>
          <w:tcPr>
            <w:tcW w:w="1620" w:type="dxa"/>
            <w:gridSpan w:val="2"/>
            <w:shd w:val="clear" w:color="auto" w:fill="auto"/>
          </w:tcPr>
          <w:p w:rsidR="00237784" w:rsidRPr="005F0029" w:rsidRDefault="00237784" w:rsidP="005F0029">
            <w:pPr>
              <w:widowControl/>
              <w:rPr>
                <w:sz w:val="24"/>
              </w:rPr>
            </w:pPr>
          </w:p>
        </w:tc>
        <w:tc>
          <w:tcPr>
            <w:tcW w:w="1440" w:type="dxa"/>
            <w:shd w:val="clear" w:color="auto" w:fill="auto"/>
          </w:tcPr>
          <w:p w:rsidR="00237784" w:rsidRPr="005F0029" w:rsidRDefault="00237784" w:rsidP="005F0029">
            <w:pPr>
              <w:widowControl/>
              <w:jc w:val="right"/>
              <w:rPr>
                <w:sz w:val="24"/>
              </w:rPr>
            </w:pPr>
          </w:p>
        </w:tc>
        <w:tc>
          <w:tcPr>
            <w:tcW w:w="1350" w:type="dxa"/>
            <w:shd w:val="clear" w:color="auto" w:fill="auto"/>
          </w:tcPr>
          <w:p w:rsidR="00237784" w:rsidRPr="005F0029" w:rsidRDefault="00237784" w:rsidP="002B3613">
            <w:pPr>
              <w:widowControl/>
              <w:rPr>
                <w:sz w:val="24"/>
              </w:rPr>
            </w:pPr>
            <w:r w:rsidRPr="005F0029">
              <w:rPr>
                <w:sz w:val="24"/>
              </w:rPr>
              <w:t>$</w:t>
            </w:r>
            <w:r>
              <w:rPr>
                <w:sz w:val="24"/>
              </w:rPr>
              <w:t>7,338.24</w:t>
            </w:r>
          </w:p>
        </w:tc>
        <w:tc>
          <w:tcPr>
            <w:tcW w:w="1260" w:type="dxa"/>
          </w:tcPr>
          <w:p w:rsidR="00237784" w:rsidRPr="005F0029" w:rsidRDefault="00237784" w:rsidP="005F0029">
            <w:pPr>
              <w:widowControl/>
              <w:jc w:val="right"/>
              <w:rPr>
                <w:sz w:val="24"/>
              </w:rPr>
            </w:pPr>
          </w:p>
        </w:tc>
        <w:tc>
          <w:tcPr>
            <w:tcW w:w="1440" w:type="dxa"/>
          </w:tcPr>
          <w:p w:rsidR="000B2920" w:rsidRDefault="000B2920" w:rsidP="000B2920">
            <w:pPr>
              <w:rPr>
                <w:sz w:val="24"/>
              </w:rPr>
            </w:pPr>
            <w:r>
              <w:rPr>
                <w:sz w:val="24"/>
              </w:rPr>
              <w:t>$14,676.48</w:t>
            </w:r>
          </w:p>
          <w:p w:rsidR="00237784" w:rsidRPr="005F0029" w:rsidRDefault="00237784" w:rsidP="005F0029">
            <w:pPr>
              <w:widowControl/>
              <w:jc w:val="right"/>
              <w:rPr>
                <w:sz w:val="24"/>
              </w:rPr>
            </w:pPr>
          </w:p>
        </w:tc>
      </w:tr>
    </w:tbl>
    <w:p w:rsidR="005547E2" w:rsidRDefault="005547E2" w:rsidP="00F51D9C">
      <w:pPr>
        <w:ind w:left="720" w:hanging="720"/>
        <w:rPr>
          <w:sz w:val="24"/>
        </w:rPr>
      </w:pPr>
    </w:p>
    <w:p w:rsidR="00842002" w:rsidRDefault="00842002" w:rsidP="00842002">
      <w:pPr>
        <w:ind w:left="720" w:hanging="720"/>
        <w:rPr>
          <w:b/>
          <w:sz w:val="24"/>
        </w:rPr>
      </w:pPr>
      <w:r>
        <w:rPr>
          <w:b/>
          <w:sz w:val="24"/>
        </w:rPr>
        <w:t>13.</w:t>
      </w:r>
      <w:r>
        <w:rPr>
          <w:b/>
          <w:sz w:val="24"/>
        </w:rPr>
        <w:tab/>
        <w:t>Provide an estimate of the total annual cost burden to respondents or record keepers resulting from the collection of information. (Do not include the cost of any hour burden shown in Items 12 and 14).</w:t>
      </w:r>
    </w:p>
    <w:p w:rsidR="00842002" w:rsidRDefault="00842002" w:rsidP="00842002">
      <w:pPr>
        <w:ind w:left="720" w:hanging="720"/>
        <w:rPr>
          <w:b/>
          <w:sz w:val="24"/>
        </w:rPr>
      </w:pPr>
    </w:p>
    <w:p w:rsidR="00842002" w:rsidRDefault="00842002" w:rsidP="00842002">
      <w:pPr>
        <w:pStyle w:val="ListParagraph"/>
        <w:numPr>
          <w:ilvl w:val="0"/>
          <w:numId w:val="11"/>
        </w:numPr>
        <w:rPr>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start-p costs include, among other items, preparations for collecting information such as purchasing computers and software; monitoring, sampling, drilling and testing equipment; and acquiring and maintaining record storage facilities.</w:t>
      </w:r>
    </w:p>
    <w:p w:rsidR="00842002" w:rsidRDefault="002C09EC" w:rsidP="00842002">
      <w:pPr>
        <w:pStyle w:val="ListParagraph"/>
        <w:numPr>
          <w:ilvl w:val="0"/>
          <w:numId w:val="11"/>
        </w:numPr>
        <w:rPr>
          <w:b/>
          <w:sz w:val="24"/>
        </w:rPr>
      </w:pPr>
      <w:r>
        <w:rPr>
          <w:b/>
          <w:sz w:val="24"/>
        </w:rPr>
        <w:t>If cost estimates are expected to vary widely, agencies should present ranges of cost burdens and explain the reasons for the variance. The cost of contracting out information collection services should be a part of this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C09EC" w:rsidRDefault="00866E96" w:rsidP="00842002">
      <w:pPr>
        <w:pStyle w:val="ListParagraph"/>
        <w:numPr>
          <w:ilvl w:val="0"/>
          <w:numId w:val="11"/>
        </w:numPr>
        <w:rPr>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9921D1" w:rsidRDefault="009921D1" w:rsidP="009921D1">
      <w:pPr>
        <w:ind w:left="1080"/>
        <w:rPr>
          <w:b/>
          <w:sz w:val="24"/>
        </w:rPr>
      </w:pPr>
    </w:p>
    <w:p w:rsidR="009921D1" w:rsidRDefault="009921D1" w:rsidP="009921D1">
      <w:pPr>
        <w:ind w:left="1080"/>
        <w:rPr>
          <w:b/>
          <w:sz w:val="24"/>
        </w:rPr>
      </w:pPr>
      <w:r>
        <w:rPr>
          <w:b/>
          <w:sz w:val="24"/>
        </w:rPr>
        <w:t>Total Annualized Capital/Startup Cost:</w:t>
      </w:r>
    </w:p>
    <w:p w:rsidR="009921D1" w:rsidRDefault="009921D1" w:rsidP="009921D1">
      <w:pPr>
        <w:ind w:left="1080"/>
        <w:rPr>
          <w:b/>
          <w:sz w:val="24"/>
        </w:rPr>
      </w:pPr>
    </w:p>
    <w:p w:rsidR="009921D1" w:rsidRDefault="009921D1" w:rsidP="009921D1">
      <w:pPr>
        <w:ind w:left="1080"/>
        <w:rPr>
          <w:b/>
          <w:sz w:val="24"/>
        </w:rPr>
      </w:pPr>
      <w:r>
        <w:rPr>
          <w:b/>
          <w:sz w:val="24"/>
        </w:rPr>
        <w:t>Total Annual Costs (O&amp;M):</w:t>
      </w:r>
    </w:p>
    <w:p w:rsidR="009921D1" w:rsidRDefault="009921D1" w:rsidP="009921D1">
      <w:pPr>
        <w:ind w:left="1080"/>
        <w:rPr>
          <w:b/>
          <w:sz w:val="24"/>
        </w:rPr>
      </w:pPr>
    </w:p>
    <w:p w:rsidR="009921D1" w:rsidRDefault="009921D1" w:rsidP="009921D1">
      <w:pPr>
        <w:ind w:left="1080"/>
        <w:rPr>
          <w:b/>
          <w:sz w:val="24"/>
        </w:rPr>
      </w:pPr>
      <w:r>
        <w:rPr>
          <w:b/>
          <w:sz w:val="24"/>
        </w:rPr>
        <w:t>Total Annualized Costs Requested:</w:t>
      </w:r>
    </w:p>
    <w:p w:rsidR="009921D1" w:rsidRDefault="009921D1" w:rsidP="009921D1">
      <w:pPr>
        <w:rPr>
          <w:b/>
          <w:sz w:val="24"/>
        </w:rPr>
      </w:pPr>
      <w:r>
        <w:rPr>
          <w:b/>
          <w:sz w:val="24"/>
        </w:rPr>
        <w:tab/>
      </w:r>
    </w:p>
    <w:p w:rsidR="009921D1" w:rsidRDefault="009921D1" w:rsidP="009921D1">
      <w:pPr>
        <w:rPr>
          <w:sz w:val="24"/>
        </w:rPr>
      </w:pPr>
      <w:r>
        <w:rPr>
          <w:b/>
          <w:sz w:val="24"/>
        </w:rPr>
        <w:tab/>
      </w:r>
      <w:r w:rsidRPr="009921D1">
        <w:rPr>
          <w:sz w:val="24"/>
        </w:rPr>
        <w:t>No additional costs are incurred by respondents other than those specified in #12.</w:t>
      </w:r>
    </w:p>
    <w:p w:rsidR="009921D1" w:rsidRDefault="009921D1" w:rsidP="009921D1">
      <w:pPr>
        <w:rPr>
          <w:sz w:val="24"/>
        </w:rPr>
      </w:pPr>
    </w:p>
    <w:p w:rsidR="009921D1" w:rsidRDefault="009921D1" w:rsidP="009921D1">
      <w:pPr>
        <w:ind w:left="720" w:hanging="720"/>
        <w:rPr>
          <w:b/>
          <w:sz w:val="24"/>
        </w:rPr>
      </w:pPr>
      <w:r>
        <w:rPr>
          <w:b/>
          <w:sz w:val="24"/>
        </w:rPr>
        <w:t>14.</w:t>
      </w:r>
      <w:r>
        <w:rPr>
          <w:b/>
          <w:sz w:val="24"/>
        </w:rPr>
        <w:tab/>
        <w:t>Provide estimates of annualized cost to the Federal government. Also, provide a description of the method used to estimate cost, which should include quantification of hours, operational expenses (such as equipment, overhead, printing, and support staff), and other expense</w:t>
      </w:r>
      <w:r w:rsidR="00494EE6">
        <w:rPr>
          <w:b/>
          <w:sz w:val="24"/>
        </w:rPr>
        <w:t>s</w:t>
      </w:r>
      <w:r>
        <w:rPr>
          <w:b/>
          <w:sz w:val="24"/>
        </w:rPr>
        <w:t xml:space="preserve"> that would not have been incurred without this collection of information. Agencies also may aggregate cost estimates from Items 12, 13, and 14 in a single table.</w:t>
      </w:r>
    </w:p>
    <w:p w:rsidR="009921D1" w:rsidRDefault="009D2799" w:rsidP="009921D1">
      <w:pPr>
        <w:rPr>
          <w:b/>
          <w:sz w:val="24"/>
        </w:rPr>
      </w:pPr>
      <w:r>
        <w:rPr>
          <w:b/>
          <w:sz w:val="24"/>
        </w:rPr>
        <w:tab/>
      </w:r>
    </w:p>
    <w:p w:rsidR="00192A74" w:rsidRDefault="00494EE6" w:rsidP="0015569B">
      <w:pPr>
        <w:ind w:left="720"/>
        <w:rPr>
          <w:sz w:val="24"/>
        </w:rPr>
      </w:pPr>
      <w:r>
        <w:rPr>
          <w:sz w:val="24"/>
        </w:rPr>
        <w:t xml:space="preserve">The cost to update the </w:t>
      </w:r>
      <w:r w:rsidR="008F6DAB">
        <w:rPr>
          <w:sz w:val="24"/>
        </w:rPr>
        <w:t xml:space="preserve">ACL/AoA Supplemental Form, instructions, and request </w:t>
      </w:r>
      <w:r>
        <w:rPr>
          <w:sz w:val="24"/>
        </w:rPr>
        <w:t>for</w:t>
      </w:r>
      <w:r w:rsidR="008F6DAB">
        <w:rPr>
          <w:sz w:val="24"/>
        </w:rPr>
        <w:t xml:space="preserve"> OMB </w:t>
      </w:r>
      <w:r>
        <w:rPr>
          <w:sz w:val="24"/>
        </w:rPr>
        <w:t xml:space="preserve">review equals approximately </w:t>
      </w:r>
      <w:r w:rsidR="008F6DAB">
        <w:rPr>
          <w:sz w:val="24"/>
        </w:rPr>
        <w:t>40 hours</w:t>
      </w:r>
      <w:r>
        <w:rPr>
          <w:sz w:val="24"/>
        </w:rPr>
        <w:t>, and</w:t>
      </w:r>
      <w:r w:rsidR="008F6DAB">
        <w:rPr>
          <w:sz w:val="24"/>
        </w:rPr>
        <w:t xml:space="preserve"> </w:t>
      </w:r>
      <w:r>
        <w:rPr>
          <w:sz w:val="24"/>
        </w:rPr>
        <w:t>d</w:t>
      </w:r>
      <w:r w:rsidR="008F6DAB">
        <w:rPr>
          <w:sz w:val="24"/>
        </w:rPr>
        <w:t xml:space="preserve">isseminating reporting instructions and </w:t>
      </w:r>
      <w:r>
        <w:rPr>
          <w:sz w:val="24"/>
        </w:rPr>
        <w:t xml:space="preserve">the </w:t>
      </w:r>
      <w:r w:rsidR="008F6DAB">
        <w:rPr>
          <w:sz w:val="24"/>
        </w:rPr>
        <w:t xml:space="preserve">supplemental form to the </w:t>
      </w:r>
      <w:r w:rsidR="007308FF">
        <w:rPr>
          <w:sz w:val="24"/>
        </w:rPr>
        <w:t xml:space="preserve">State Agencies on Aging </w:t>
      </w:r>
      <w:r w:rsidR="008F6DAB">
        <w:rPr>
          <w:sz w:val="24"/>
        </w:rPr>
        <w:t xml:space="preserve">network </w:t>
      </w:r>
      <w:r>
        <w:rPr>
          <w:sz w:val="24"/>
        </w:rPr>
        <w:t>equals</w:t>
      </w:r>
      <w:r w:rsidR="008F6DAB">
        <w:rPr>
          <w:sz w:val="24"/>
        </w:rPr>
        <w:t xml:space="preserve"> 8 hours</w:t>
      </w:r>
      <w:r w:rsidR="00281F4B">
        <w:rPr>
          <w:sz w:val="24"/>
        </w:rPr>
        <w:t>.</w:t>
      </w:r>
      <w:r w:rsidR="008F6DAB">
        <w:rPr>
          <w:sz w:val="24"/>
        </w:rPr>
        <w:t xml:space="preserve"> Regional office review of</w:t>
      </w:r>
      <w:r>
        <w:rPr>
          <w:sz w:val="24"/>
        </w:rPr>
        <w:t xml:space="preserve"> the</w:t>
      </w:r>
      <w:r w:rsidR="008F6DAB">
        <w:rPr>
          <w:sz w:val="24"/>
        </w:rPr>
        <w:t xml:space="preserve"> supplemental form from each state (1/2 hour for each of the 56 State Agencies) </w:t>
      </w:r>
      <w:r w:rsidR="007308FF">
        <w:rPr>
          <w:sz w:val="24"/>
        </w:rPr>
        <w:t xml:space="preserve">equals </w:t>
      </w:r>
      <w:r w:rsidR="00192A74">
        <w:rPr>
          <w:sz w:val="24"/>
        </w:rPr>
        <w:t xml:space="preserve">56 hours (28 </w:t>
      </w:r>
      <w:r>
        <w:rPr>
          <w:sz w:val="24"/>
        </w:rPr>
        <w:t xml:space="preserve">hours </w:t>
      </w:r>
      <w:r w:rsidR="00192A74">
        <w:rPr>
          <w:sz w:val="24"/>
        </w:rPr>
        <w:t xml:space="preserve">times 2 </w:t>
      </w:r>
      <w:r>
        <w:rPr>
          <w:sz w:val="24"/>
        </w:rPr>
        <w:t xml:space="preserve">collections </w:t>
      </w:r>
      <w:r w:rsidR="00192A74">
        <w:rPr>
          <w:sz w:val="24"/>
        </w:rPr>
        <w:t>per year)</w:t>
      </w:r>
      <w:r>
        <w:rPr>
          <w:sz w:val="24"/>
        </w:rPr>
        <w:t>.</w:t>
      </w:r>
      <w:r w:rsidR="00192A74">
        <w:rPr>
          <w:sz w:val="24"/>
        </w:rPr>
        <w:t xml:space="preserve"> </w:t>
      </w:r>
      <w:r>
        <w:rPr>
          <w:sz w:val="24"/>
        </w:rPr>
        <w:t>In addition, a</w:t>
      </w:r>
      <w:r w:rsidR="00192A74">
        <w:rPr>
          <w:sz w:val="24"/>
        </w:rPr>
        <w:t xml:space="preserve">nalysis and </w:t>
      </w:r>
      <w:r w:rsidR="00935CCC">
        <w:rPr>
          <w:sz w:val="24"/>
        </w:rPr>
        <w:t>data input</w:t>
      </w:r>
      <w:r w:rsidR="00192A74">
        <w:rPr>
          <w:sz w:val="24"/>
        </w:rPr>
        <w:t xml:space="preserve"> of information submitted </w:t>
      </w:r>
      <w:r w:rsidR="007308FF">
        <w:rPr>
          <w:sz w:val="24"/>
        </w:rPr>
        <w:t xml:space="preserve">equals </w:t>
      </w:r>
      <w:r w:rsidR="00192A74">
        <w:rPr>
          <w:sz w:val="24"/>
        </w:rPr>
        <w:t>40 hours. Combined, the hours used in the calculation are a total of 144 hours</w:t>
      </w:r>
      <w:r w:rsidR="007308FF">
        <w:rPr>
          <w:sz w:val="24"/>
        </w:rPr>
        <w:t xml:space="preserve"> by Federal employees</w:t>
      </w:r>
      <w:r w:rsidR="00192A74">
        <w:rPr>
          <w:sz w:val="24"/>
        </w:rPr>
        <w:t xml:space="preserve">. </w:t>
      </w:r>
    </w:p>
    <w:p w:rsidR="00192A74" w:rsidRDefault="00192A74" w:rsidP="0015569B">
      <w:pPr>
        <w:ind w:left="720"/>
        <w:rPr>
          <w:sz w:val="24"/>
        </w:rPr>
      </w:pPr>
    </w:p>
    <w:p w:rsidR="009D2799" w:rsidRDefault="009D2799" w:rsidP="0015569B">
      <w:pPr>
        <w:ind w:left="720"/>
        <w:rPr>
          <w:sz w:val="24"/>
        </w:rPr>
      </w:pPr>
      <w:r w:rsidRPr="008D1C49">
        <w:rPr>
          <w:sz w:val="24"/>
        </w:rPr>
        <w:t>The average review and approval of a Title III Supplemental form takes approxim</w:t>
      </w:r>
      <w:r w:rsidR="0015569B" w:rsidRPr="008D1C49">
        <w:rPr>
          <w:sz w:val="24"/>
        </w:rPr>
        <w:t>ately</w:t>
      </w:r>
      <w:r w:rsidR="00A76F07" w:rsidRPr="008D1C49">
        <w:rPr>
          <w:sz w:val="24"/>
        </w:rPr>
        <w:t xml:space="preserve"> 140 hours for the GS-13-1 and 4 hours for the GS-07-1</w:t>
      </w:r>
      <w:r w:rsidR="00192A74">
        <w:rPr>
          <w:sz w:val="24"/>
        </w:rPr>
        <w:t xml:space="preserve"> for a total of 144 Government hours</w:t>
      </w:r>
      <w:r w:rsidR="00A76F07" w:rsidRPr="008D1C49">
        <w:rPr>
          <w:sz w:val="24"/>
        </w:rPr>
        <w:t>. An</w:t>
      </w:r>
      <w:r w:rsidRPr="008D1C49">
        <w:rPr>
          <w:sz w:val="24"/>
        </w:rPr>
        <w:t xml:space="preserve"> ACL </w:t>
      </w:r>
      <w:r w:rsidR="00A76F07" w:rsidRPr="008D1C49">
        <w:rPr>
          <w:sz w:val="24"/>
        </w:rPr>
        <w:t xml:space="preserve">GS-13-1 </w:t>
      </w:r>
      <w:r w:rsidRPr="008D1C49">
        <w:rPr>
          <w:sz w:val="24"/>
        </w:rPr>
        <w:t>staff reviewing the completed reports i</w:t>
      </w:r>
      <w:r w:rsidR="00A76F07" w:rsidRPr="008D1C49">
        <w:rPr>
          <w:sz w:val="24"/>
        </w:rPr>
        <w:t>s paid at an average rate of $45.42</w:t>
      </w:r>
      <w:r w:rsidRPr="008D1C49">
        <w:rPr>
          <w:sz w:val="24"/>
        </w:rPr>
        <w:t xml:space="preserve"> per hour</w:t>
      </w:r>
      <w:r w:rsidR="00A76F07" w:rsidRPr="008D1C49">
        <w:rPr>
          <w:sz w:val="24"/>
        </w:rPr>
        <w:t xml:space="preserve"> and the GS-07-1 staff reviewing the completed reports is paid at an average rate of $21.53</w:t>
      </w:r>
      <w:r w:rsidRPr="008D1C49">
        <w:rPr>
          <w:sz w:val="24"/>
        </w:rPr>
        <w:t>. The cost of the review and appr</w:t>
      </w:r>
      <w:r w:rsidR="00A76F07" w:rsidRPr="008D1C49">
        <w:rPr>
          <w:sz w:val="24"/>
        </w:rPr>
        <w:t>oval process is estimated at 140</w:t>
      </w:r>
      <w:r w:rsidRPr="008D1C49">
        <w:rPr>
          <w:sz w:val="24"/>
        </w:rPr>
        <w:t xml:space="preserve"> hour</w:t>
      </w:r>
      <w:r w:rsidR="00A76F07" w:rsidRPr="008D1C49">
        <w:rPr>
          <w:sz w:val="24"/>
        </w:rPr>
        <w:t>s x $45.42</w:t>
      </w:r>
      <w:r w:rsidRPr="008D1C49">
        <w:rPr>
          <w:sz w:val="24"/>
        </w:rPr>
        <w:t xml:space="preserve"> per </w:t>
      </w:r>
      <w:r w:rsidR="008D1C49" w:rsidRPr="008D1C49">
        <w:rPr>
          <w:sz w:val="24"/>
        </w:rPr>
        <w:t xml:space="preserve">hour </w:t>
      </w:r>
      <w:r w:rsidR="00DB2B8F">
        <w:rPr>
          <w:sz w:val="24"/>
        </w:rPr>
        <w:t xml:space="preserve">equals </w:t>
      </w:r>
      <w:r w:rsidR="00A76F07" w:rsidRPr="008D1C49">
        <w:rPr>
          <w:sz w:val="24"/>
        </w:rPr>
        <w:t>$6,358.80</w:t>
      </w:r>
      <w:r w:rsidR="008D1C49" w:rsidRPr="008D1C49">
        <w:rPr>
          <w:sz w:val="24"/>
        </w:rPr>
        <w:t xml:space="preserve"> and 4 hours x $21.53 </w:t>
      </w:r>
      <w:r w:rsidR="00DB2B8F">
        <w:rPr>
          <w:sz w:val="24"/>
        </w:rPr>
        <w:t xml:space="preserve">equals </w:t>
      </w:r>
      <w:r w:rsidR="008D1C49" w:rsidRPr="008D1C49">
        <w:rPr>
          <w:sz w:val="24"/>
        </w:rPr>
        <w:t>$86.12 for a grand total of $</w:t>
      </w:r>
      <w:r w:rsidR="008D1C49">
        <w:rPr>
          <w:sz w:val="24"/>
        </w:rPr>
        <w:t>6,444.92</w:t>
      </w:r>
      <w:r w:rsidR="008D1C49" w:rsidRPr="008D1C49">
        <w:rPr>
          <w:sz w:val="24"/>
        </w:rPr>
        <w:t>.</w:t>
      </w:r>
      <w:r w:rsidR="00935CCC">
        <w:rPr>
          <w:sz w:val="24"/>
        </w:rPr>
        <w:t xml:space="preserve"> </w:t>
      </w:r>
      <w:r w:rsidR="00935CCC" w:rsidRPr="00A76F07">
        <w:rPr>
          <w:sz w:val="24"/>
        </w:rPr>
        <w:t>Doubling this amount to take into account benefits and overhead cost</w:t>
      </w:r>
      <w:r w:rsidR="00935CCC">
        <w:rPr>
          <w:sz w:val="24"/>
        </w:rPr>
        <w:t>s brings the total to $12,889.84</w:t>
      </w:r>
      <w:r w:rsidR="00935CCC" w:rsidRPr="00A76F07">
        <w:rPr>
          <w:sz w:val="24"/>
        </w:rPr>
        <w:t>.</w:t>
      </w:r>
    </w:p>
    <w:p w:rsidR="00935CCC" w:rsidRDefault="00935CCC" w:rsidP="0015569B">
      <w:pPr>
        <w:ind w:left="720"/>
        <w:rPr>
          <w:sz w:val="24"/>
        </w:rPr>
      </w:pPr>
    </w:p>
    <w:tbl>
      <w:tblPr>
        <w:tblStyle w:val="TableGrid"/>
        <w:tblW w:w="0" w:type="auto"/>
        <w:tblInd w:w="828" w:type="dxa"/>
        <w:tblLayout w:type="fixed"/>
        <w:tblLook w:val="04A0" w:firstRow="1" w:lastRow="0" w:firstColumn="1" w:lastColumn="0" w:noHBand="0" w:noVBand="1"/>
      </w:tblPr>
      <w:tblGrid>
        <w:gridCol w:w="1530"/>
        <w:gridCol w:w="1440"/>
        <w:gridCol w:w="1350"/>
        <w:gridCol w:w="1350"/>
        <w:gridCol w:w="1440"/>
        <w:gridCol w:w="1543"/>
      </w:tblGrid>
      <w:tr w:rsidR="00281F4B" w:rsidTr="002B3613">
        <w:tc>
          <w:tcPr>
            <w:tcW w:w="1530" w:type="dxa"/>
          </w:tcPr>
          <w:p w:rsidR="00281F4B" w:rsidRPr="00935CCC" w:rsidRDefault="00281F4B" w:rsidP="00935CCC">
            <w:pPr>
              <w:jc w:val="center"/>
              <w:rPr>
                <w:b/>
                <w:sz w:val="24"/>
              </w:rPr>
            </w:pPr>
            <w:r w:rsidRPr="00935CCC">
              <w:rPr>
                <w:b/>
                <w:sz w:val="24"/>
              </w:rPr>
              <w:t>Type of Respondent</w:t>
            </w:r>
          </w:p>
        </w:tc>
        <w:tc>
          <w:tcPr>
            <w:tcW w:w="1440" w:type="dxa"/>
          </w:tcPr>
          <w:p w:rsidR="00281F4B" w:rsidRPr="00935CCC" w:rsidRDefault="00281F4B" w:rsidP="00935CCC">
            <w:pPr>
              <w:jc w:val="center"/>
              <w:rPr>
                <w:b/>
                <w:sz w:val="24"/>
              </w:rPr>
            </w:pPr>
            <w:r w:rsidRPr="00935CCC">
              <w:rPr>
                <w:b/>
                <w:sz w:val="24"/>
              </w:rPr>
              <w:t>Total Burden Hours</w:t>
            </w:r>
          </w:p>
        </w:tc>
        <w:tc>
          <w:tcPr>
            <w:tcW w:w="1350" w:type="dxa"/>
          </w:tcPr>
          <w:p w:rsidR="00281F4B" w:rsidRPr="00935CCC" w:rsidRDefault="00281F4B" w:rsidP="00935CCC">
            <w:pPr>
              <w:jc w:val="center"/>
              <w:rPr>
                <w:b/>
                <w:sz w:val="24"/>
              </w:rPr>
            </w:pPr>
            <w:r w:rsidRPr="00935CCC">
              <w:rPr>
                <w:b/>
                <w:sz w:val="24"/>
              </w:rPr>
              <w:t>Hourly Wage Rate</w:t>
            </w:r>
          </w:p>
        </w:tc>
        <w:tc>
          <w:tcPr>
            <w:tcW w:w="1350" w:type="dxa"/>
          </w:tcPr>
          <w:p w:rsidR="00281F4B" w:rsidRPr="00935CCC" w:rsidRDefault="00281F4B" w:rsidP="00281F4B">
            <w:pPr>
              <w:jc w:val="center"/>
              <w:rPr>
                <w:b/>
                <w:sz w:val="24"/>
              </w:rPr>
            </w:pPr>
            <w:r w:rsidRPr="00935CCC">
              <w:rPr>
                <w:b/>
                <w:sz w:val="24"/>
              </w:rPr>
              <w:t xml:space="preserve">Total </w:t>
            </w:r>
            <w:r>
              <w:rPr>
                <w:b/>
                <w:sz w:val="24"/>
              </w:rPr>
              <w:t>Cost of Salaries</w:t>
            </w:r>
          </w:p>
        </w:tc>
        <w:tc>
          <w:tcPr>
            <w:tcW w:w="1440" w:type="dxa"/>
          </w:tcPr>
          <w:p w:rsidR="00281F4B" w:rsidRPr="00935CCC" w:rsidRDefault="00281F4B" w:rsidP="00935CCC">
            <w:pPr>
              <w:jc w:val="center"/>
              <w:rPr>
                <w:b/>
                <w:sz w:val="24"/>
              </w:rPr>
            </w:pPr>
            <w:r>
              <w:rPr>
                <w:b/>
                <w:sz w:val="24"/>
              </w:rPr>
              <w:t>Benefits and Overhead</w:t>
            </w:r>
          </w:p>
        </w:tc>
        <w:tc>
          <w:tcPr>
            <w:tcW w:w="1543" w:type="dxa"/>
          </w:tcPr>
          <w:p w:rsidR="00281F4B" w:rsidRDefault="00281F4B" w:rsidP="00935CCC">
            <w:pPr>
              <w:jc w:val="center"/>
              <w:rPr>
                <w:b/>
                <w:sz w:val="24"/>
              </w:rPr>
            </w:pPr>
            <w:r>
              <w:rPr>
                <w:b/>
                <w:sz w:val="24"/>
              </w:rPr>
              <w:t>Total Federal Costs</w:t>
            </w:r>
          </w:p>
        </w:tc>
      </w:tr>
      <w:tr w:rsidR="00281F4B" w:rsidTr="002B3613">
        <w:tc>
          <w:tcPr>
            <w:tcW w:w="1530" w:type="dxa"/>
          </w:tcPr>
          <w:p w:rsidR="00281F4B" w:rsidRPr="00935CCC" w:rsidRDefault="00281F4B" w:rsidP="00800BC0">
            <w:pPr>
              <w:jc w:val="center"/>
              <w:rPr>
                <w:sz w:val="24"/>
              </w:rPr>
            </w:pPr>
            <w:r w:rsidRPr="00935CCC">
              <w:rPr>
                <w:sz w:val="24"/>
              </w:rPr>
              <w:t>GS-13-1</w:t>
            </w:r>
          </w:p>
        </w:tc>
        <w:tc>
          <w:tcPr>
            <w:tcW w:w="1440" w:type="dxa"/>
          </w:tcPr>
          <w:p w:rsidR="00281F4B" w:rsidRPr="00935CCC" w:rsidRDefault="00281F4B" w:rsidP="00800BC0">
            <w:pPr>
              <w:jc w:val="center"/>
              <w:rPr>
                <w:sz w:val="24"/>
              </w:rPr>
            </w:pPr>
            <w:r w:rsidRPr="00935CCC">
              <w:rPr>
                <w:sz w:val="24"/>
              </w:rPr>
              <w:t>140</w:t>
            </w:r>
          </w:p>
        </w:tc>
        <w:tc>
          <w:tcPr>
            <w:tcW w:w="1350" w:type="dxa"/>
          </w:tcPr>
          <w:p w:rsidR="00281F4B" w:rsidRPr="00935CCC" w:rsidRDefault="00281F4B" w:rsidP="00800BC0">
            <w:pPr>
              <w:jc w:val="center"/>
              <w:rPr>
                <w:sz w:val="24"/>
              </w:rPr>
            </w:pPr>
            <w:r w:rsidRPr="00935CCC">
              <w:rPr>
                <w:sz w:val="24"/>
              </w:rPr>
              <w:t>$45.42</w:t>
            </w:r>
          </w:p>
        </w:tc>
        <w:tc>
          <w:tcPr>
            <w:tcW w:w="1350" w:type="dxa"/>
          </w:tcPr>
          <w:p w:rsidR="00281F4B" w:rsidRPr="00935CCC" w:rsidRDefault="008462D3" w:rsidP="002B3613">
            <w:pPr>
              <w:rPr>
                <w:sz w:val="24"/>
              </w:rPr>
            </w:pPr>
            <w:r>
              <w:rPr>
                <w:sz w:val="24"/>
              </w:rPr>
              <w:t xml:space="preserve">  </w:t>
            </w:r>
            <w:r w:rsidR="00281F4B" w:rsidRPr="00935CCC">
              <w:rPr>
                <w:sz w:val="24"/>
              </w:rPr>
              <w:t>$6,358.80</w:t>
            </w:r>
          </w:p>
        </w:tc>
        <w:tc>
          <w:tcPr>
            <w:tcW w:w="1440" w:type="dxa"/>
          </w:tcPr>
          <w:p w:rsidR="00281F4B" w:rsidRPr="00935CCC" w:rsidRDefault="00281F4B" w:rsidP="00800BC0">
            <w:pPr>
              <w:jc w:val="center"/>
              <w:rPr>
                <w:sz w:val="24"/>
              </w:rPr>
            </w:pPr>
            <w:r>
              <w:rPr>
                <w:sz w:val="24"/>
              </w:rPr>
              <w:t>100%</w:t>
            </w:r>
          </w:p>
        </w:tc>
        <w:tc>
          <w:tcPr>
            <w:tcW w:w="1543" w:type="dxa"/>
          </w:tcPr>
          <w:p w:rsidR="00281F4B" w:rsidRDefault="008462D3" w:rsidP="00800BC0">
            <w:pPr>
              <w:jc w:val="center"/>
              <w:rPr>
                <w:sz w:val="24"/>
              </w:rPr>
            </w:pPr>
            <w:r>
              <w:rPr>
                <w:sz w:val="24"/>
              </w:rPr>
              <w:t>$12,717.60</w:t>
            </w:r>
          </w:p>
        </w:tc>
      </w:tr>
      <w:tr w:rsidR="00281F4B" w:rsidTr="002B3613">
        <w:tc>
          <w:tcPr>
            <w:tcW w:w="1530" w:type="dxa"/>
          </w:tcPr>
          <w:p w:rsidR="00281F4B" w:rsidRPr="00935CCC" w:rsidRDefault="00281F4B" w:rsidP="00800BC0">
            <w:pPr>
              <w:jc w:val="center"/>
              <w:rPr>
                <w:sz w:val="24"/>
              </w:rPr>
            </w:pPr>
            <w:r w:rsidRPr="00935CCC">
              <w:rPr>
                <w:sz w:val="24"/>
              </w:rPr>
              <w:t>GS-7-1</w:t>
            </w:r>
          </w:p>
        </w:tc>
        <w:tc>
          <w:tcPr>
            <w:tcW w:w="1440" w:type="dxa"/>
          </w:tcPr>
          <w:p w:rsidR="00281F4B" w:rsidRPr="00935CCC" w:rsidRDefault="00281F4B" w:rsidP="00800BC0">
            <w:pPr>
              <w:jc w:val="center"/>
              <w:rPr>
                <w:sz w:val="24"/>
              </w:rPr>
            </w:pPr>
            <w:r w:rsidRPr="00935CCC">
              <w:rPr>
                <w:sz w:val="24"/>
              </w:rPr>
              <w:t>4</w:t>
            </w:r>
          </w:p>
        </w:tc>
        <w:tc>
          <w:tcPr>
            <w:tcW w:w="1350" w:type="dxa"/>
          </w:tcPr>
          <w:p w:rsidR="00281F4B" w:rsidRPr="00935CCC" w:rsidRDefault="00281F4B" w:rsidP="00800BC0">
            <w:pPr>
              <w:jc w:val="center"/>
              <w:rPr>
                <w:sz w:val="24"/>
              </w:rPr>
            </w:pPr>
            <w:r w:rsidRPr="00935CCC">
              <w:rPr>
                <w:sz w:val="24"/>
              </w:rPr>
              <w:t>$21.53</w:t>
            </w:r>
          </w:p>
        </w:tc>
        <w:tc>
          <w:tcPr>
            <w:tcW w:w="1350" w:type="dxa"/>
          </w:tcPr>
          <w:p w:rsidR="00281F4B" w:rsidRPr="00935CCC" w:rsidRDefault="008462D3" w:rsidP="002B3613">
            <w:pPr>
              <w:rPr>
                <w:sz w:val="24"/>
              </w:rPr>
            </w:pPr>
            <w:r>
              <w:rPr>
                <w:sz w:val="24"/>
              </w:rPr>
              <w:t xml:space="preserve">       </w:t>
            </w:r>
            <w:r w:rsidR="00281F4B" w:rsidRPr="00935CCC">
              <w:rPr>
                <w:sz w:val="24"/>
              </w:rPr>
              <w:t>$86.12</w:t>
            </w:r>
          </w:p>
        </w:tc>
        <w:tc>
          <w:tcPr>
            <w:tcW w:w="1440" w:type="dxa"/>
          </w:tcPr>
          <w:p w:rsidR="00281F4B" w:rsidRPr="00935CCC" w:rsidRDefault="00281F4B" w:rsidP="00800BC0">
            <w:pPr>
              <w:jc w:val="center"/>
              <w:rPr>
                <w:sz w:val="24"/>
              </w:rPr>
            </w:pPr>
            <w:r>
              <w:rPr>
                <w:sz w:val="24"/>
              </w:rPr>
              <w:t>100%</w:t>
            </w:r>
          </w:p>
        </w:tc>
        <w:tc>
          <w:tcPr>
            <w:tcW w:w="1543" w:type="dxa"/>
          </w:tcPr>
          <w:p w:rsidR="008462D3" w:rsidRDefault="008462D3" w:rsidP="002B3613">
            <w:pPr>
              <w:rPr>
                <w:sz w:val="24"/>
              </w:rPr>
            </w:pPr>
            <w:r>
              <w:rPr>
                <w:sz w:val="24"/>
              </w:rPr>
              <w:t xml:space="preserve">       $172.24</w:t>
            </w:r>
          </w:p>
        </w:tc>
      </w:tr>
      <w:tr w:rsidR="00281F4B" w:rsidTr="002B3613">
        <w:tc>
          <w:tcPr>
            <w:tcW w:w="1530" w:type="dxa"/>
          </w:tcPr>
          <w:p w:rsidR="00281F4B" w:rsidRPr="00935CCC" w:rsidRDefault="00281F4B" w:rsidP="00800BC0">
            <w:pPr>
              <w:rPr>
                <w:sz w:val="24"/>
              </w:rPr>
            </w:pPr>
            <w:r>
              <w:rPr>
                <w:sz w:val="24"/>
              </w:rPr>
              <w:t xml:space="preserve">          </w:t>
            </w:r>
            <w:r w:rsidRPr="00935CCC">
              <w:rPr>
                <w:sz w:val="24"/>
              </w:rPr>
              <w:t>Total</w:t>
            </w:r>
          </w:p>
        </w:tc>
        <w:tc>
          <w:tcPr>
            <w:tcW w:w="1440" w:type="dxa"/>
          </w:tcPr>
          <w:p w:rsidR="00281F4B" w:rsidRDefault="00281F4B" w:rsidP="00800BC0"/>
        </w:tc>
        <w:tc>
          <w:tcPr>
            <w:tcW w:w="1350" w:type="dxa"/>
          </w:tcPr>
          <w:p w:rsidR="00281F4B" w:rsidRDefault="00281F4B" w:rsidP="00800BC0"/>
        </w:tc>
        <w:tc>
          <w:tcPr>
            <w:tcW w:w="1350" w:type="dxa"/>
          </w:tcPr>
          <w:p w:rsidR="00281F4B" w:rsidRPr="00935CCC" w:rsidRDefault="008462D3" w:rsidP="002B3613">
            <w:pPr>
              <w:rPr>
                <w:sz w:val="24"/>
              </w:rPr>
            </w:pPr>
            <w:r>
              <w:rPr>
                <w:sz w:val="24"/>
              </w:rPr>
              <w:t xml:space="preserve">  </w:t>
            </w:r>
            <w:r w:rsidR="00281F4B" w:rsidRPr="00935CCC">
              <w:rPr>
                <w:sz w:val="24"/>
              </w:rPr>
              <w:t>$6,444.92</w:t>
            </w:r>
          </w:p>
        </w:tc>
        <w:tc>
          <w:tcPr>
            <w:tcW w:w="1440" w:type="dxa"/>
          </w:tcPr>
          <w:p w:rsidR="00281F4B" w:rsidRPr="00935CCC" w:rsidRDefault="00281F4B" w:rsidP="00800BC0">
            <w:pPr>
              <w:jc w:val="center"/>
              <w:rPr>
                <w:sz w:val="24"/>
              </w:rPr>
            </w:pPr>
          </w:p>
        </w:tc>
        <w:tc>
          <w:tcPr>
            <w:tcW w:w="1543" w:type="dxa"/>
          </w:tcPr>
          <w:p w:rsidR="00281F4B" w:rsidRPr="00935CCC" w:rsidRDefault="008462D3" w:rsidP="00800BC0">
            <w:pPr>
              <w:jc w:val="center"/>
              <w:rPr>
                <w:sz w:val="24"/>
              </w:rPr>
            </w:pPr>
            <w:r>
              <w:rPr>
                <w:sz w:val="24"/>
              </w:rPr>
              <w:t>$12,889.84</w:t>
            </w:r>
          </w:p>
        </w:tc>
      </w:tr>
    </w:tbl>
    <w:p w:rsidR="00DB2B8F" w:rsidRPr="0015569B" w:rsidRDefault="00935CCC" w:rsidP="0015569B">
      <w:pPr>
        <w:ind w:left="720"/>
        <w:rPr>
          <w:sz w:val="24"/>
        </w:rPr>
      </w:pPr>
      <w:r>
        <w:rPr>
          <w:sz w:val="24"/>
        </w:rPr>
        <w:tab/>
      </w:r>
    </w:p>
    <w:p w:rsidR="009921D1" w:rsidRDefault="009921D1" w:rsidP="009921D1">
      <w:pPr>
        <w:ind w:left="720" w:hanging="720"/>
        <w:rPr>
          <w:b/>
          <w:sz w:val="24"/>
        </w:rPr>
      </w:pPr>
      <w:r>
        <w:rPr>
          <w:b/>
          <w:sz w:val="24"/>
        </w:rPr>
        <w:t>15.</w:t>
      </w:r>
      <w:r>
        <w:rPr>
          <w:b/>
          <w:sz w:val="24"/>
        </w:rPr>
        <w:tab/>
        <w:t xml:space="preserve">Explain the reasons for any program changes or adjustments. Generally, adjustments in burden result from re-estimating burden and/or from economic phenomenon outside of an agency’s control (e.g., correcting in a </w:t>
      </w:r>
      <w:r w:rsidR="001E0297">
        <w:rPr>
          <w:b/>
          <w:sz w:val="24"/>
        </w:rPr>
        <w:t>burden</w:t>
      </w:r>
      <w:r>
        <w:rPr>
          <w:b/>
          <w:sz w:val="24"/>
        </w:rPr>
        <w:t xml:space="preserve">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for changes in burden hours, responses and costs (if applicable).</w:t>
      </w:r>
    </w:p>
    <w:p w:rsidR="009921D1" w:rsidRDefault="009921D1" w:rsidP="009921D1">
      <w:pPr>
        <w:rPr>
          <w:b/>
          <w:sz w:val="24"/>
        </w:rPr>
      </w:pPr>
    </w:p>
    <w:p w:rsidR="009921D1" w:rsidRPr="009921D1" w:rsidRDefault="009921D1" w:rsidP="009921D1">
      <w:pPr>
        <w:ind w:firstLine="720"/>
        <w:rPr>
          <w:sz w:val="24"/>
        </w:rPr>
      </w:pPr>
      <w:r w:rsidRPr="009921D1">
        <w:rPr>
          <w:sz w:val="24"/>
        </w:rPr>
        <w:t>N/A</w:t>
      </w:r>
    </w:p>
    <w:p w:rsidR="00842002" w:rsidRPr="00842002" w:rsidRDefault="00842002" w:rsidP="00842002">
      <w:pPr>
        <w:rPr>
          <w:b/>
          <w:sz w:val="24"/>
        </w:rPr>
      </w:pPr>
    </w:p>
    <w:p w:rsidR="00F51D9C" w:rsidRDefault="001E0297" w:rsidP="001E0297">
      <w:pPr>
        <w:ind w:left="720" w:hanging="720"/>
        <w:rPr>
          <w:b/>
          <w:sz w:val="24"/>
        </w:rPr>
      </w:pPr>
      <w:r>
        <w:rPr>
          <w:b/>
          <w:sz w:val="24"/>
        </w:rPr>
        <w:t>16.</w:t>
      </w:r>
      <w:r>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569B" w:rsidRDefault="0015569B" w:rsidP="001E0297">
      <w:pPr>
        <w:ind w:left="720" w:hanging="720"/>
        <w:rPr>
          <w:b/>
          <w:sz w:val="24"/>
        </w:rPr>
      </w:pPr>
    </w:p>
    <w:p w:rsidR="0015569B" w:rsidRPr="0015569B" w:rsidRDefault="0015569B" w:rsidP="001E0297">
      <w:pPr>
        <w:ind w:left="720" w:hanging="720"/>
        <w:rPr>
          <w:sz w:val="24"/>
        </w:rPr>
      </w:pPr>
      <w:r>
        <w:rPr>
          <w:b/>
          <w:sz w:val="24"/>
        </w:rPr>
        <w:tab/>
      </w:r>
      <w:r w:rsidRPr="0015569B">
        <w:rPr>
          <w:sz w:val="24"/>
        </w:rPr>
        <w:t>Upon Office of Management and Budget approval, ACL plans to formally transmit the approved Title III Supplemental form with instructions to the</w:t>
      </w:r>
      <w:r w:rsidR="00FC629C">
        <w:rPr>
          <w:sz w:val="24"/>
        </w:rPr>
        <w:t xml:space="preserve"> State Agencies on Aging</w:t>
      </w:r>
      <w:r w:rsidRPr="0015569B">
        <w:rPr>
          <w:sz w:val="24"/>
        </w:rPr>
        <w:t xml:space="preserve"> network.</w:t>
      </w:r>
    </w:p>
    <w:p w:rsidR="001E0297" w:rsidRDefault="001E0297" w:rsidP="001E0297">
      <w:pPr>
        <w:ind w:left="720" w:hanging="720"/>
        <w:rPr>
          <w:b/>
          <w:sz w:val="24"/>
        </w:rPr>
      </w:pPr>
    </w:p>
    <w:p w:rsidR="001E0297" w:rsidRDefault="001E0297" w:rsidP="001E0297">
      <w:pPr>
        <w:ind w:left="720" w:hanging="720"/>
        <w:rPr>
          <w:b/>
          <w:sz w:val="24"/>
        </w:rPr>
      </w:pPr>
      <w:r>
        <w:rPr>
          <w:b/>
          <w:sz w:val="24"/>
        </w:rPr>
        <w:t>17.</w:t>
      </w:r>
      <w:r>
        <w:rPr>
          <w:b/>
          <w:sz w:val="24"/>
        </w:rPr>
        <w:tab/>
        <w:t>If seeking approval to not display the expiration date for OMB approval of the information collection, explain the reasons that display would be inappropriate.</w:t>
      </w:r>
    </w:p>
    <w:p w:rsidR="001E0297" w:rsidRDefault="001E0297" w:rsidP="001E0297">
      <w:pPr>
        <w:ind w:left="720" w:hanging="720"/>
        <w:rPr>
          <w:b/>
          <w:sz w:val="24"/>
        </w:rPr>
      </w:pPr>
    </w:p>
    <w:p w:rsidR="0015569B" w:rsidRPr="0015569B" w:rsidRDefault="0015569B" w:rsidP="001E0297">
      <w:pPr>
        <w:ind w:left="720" w:hanging="720"/>
        <w:rPr>
          <w:sz w:val="24"/>
        </w:rPr>
      </w:pPr>
      <w:r>
        <w:rPr>
          <w:b/>
          <w:sz w:val="24"/>
        </w:rPr>
        <w:tab/>
      </w:r>
      <w:r w:rsidRPr="0015569B">
        <w:rPr>
          <w:sz w:val="24"/>
        </w:rPr>
        <w:t xml:space="preserve">The OMB </w:t>
      </w:r>
      <w:r w:rsidR="00FC629C">
        <w:rPr>
          <w:sz w:val="24"/>
        </w:rPr>
        <w:t xml:space="preserve">approval number and </w:t>
      </w:r>
      <w:r w:rsidRPr="0015569B">
        <w:rPr>
          <w:sz w:val="24"/>
        </w:rPr>
        <w:t>expiration date will be displayed.</w:t>
      </w:r>
    </w:p>
    <w:p w:rsidR="0015569B" w:rsidRDefault="0015569B" w:rsidP="001E0297">
      <w:pPr>
        <w:ind w:left="720" w:hanging="720"/>
        <w:rPr>
          <w:b/>
          <w:sz w:val="24"/>
        </w:rPr>
      </w:pPr>
    </w:p>
    <w:p w:rsidR="001E0297" w:rsidRDefault="001E0297" w:rsidP="001E0297">
      <w:pPr>
        <w:ind w:left="720" w:hanging="720"/>
        <w:rPr>
          <w:b/>
          <w:sz w:val="24"/>
        </w:rPr>
      </w:pPr>
      <w:r>
        <w:rPr>
          <w:b/>
          <w:sz w:val="24"/>
        </w:rPr>
        <w:t>18.</w:t>
      </w:r>
      <w:r>
        <w:rPr>
          <w:b/>
          <w:sz w:val="24"/>
        </w:rPr>
        <w:tab/>
        <w:t xml:space="preserve">Explain each exception </w:t>
      </w:r>
      <w:r w:rsidR="00FC629C">
        <w:rPr>
          <w:b/>
          <w:sz w:val="24"/>
        </w:rPr>
        <w:t xml:space="preserve">to </w:t>
      </w:r>
      <w:r>
        <w:rPr>
          <w:b/>
          <w:sz w:val="24"/>
        </w:rPr>
        <w:t>the certification statement identified in the Certification of Paperwork Reduction Act.</w:t>
      </w:r>
    </w:p>
    <w:p w:rsidR="001E0297" w:rsidRDefault="001E0297" w:rsidP="001E0297">
      <w:pPr>
        <w:ind w:left="720" w:hanging="720"/>
        <w:rPr>
          <w:b/>
          <w:sz w:val="24"/>
        </w:rPr>
      </w:pPr>
    </w:p>
    <w:p w:rsidR="00F51D9C" w:rsidRPr="00391FC4" w:rsidRDefault="001E0297" w:rsidP="00FC629C">
      <w:pPr>
        <w:rPr>
          <w:b/>
          <w:sz w:val="24"/>
        </w:rPr>
      </w:pPr>
      <w:r>
        <w:rPr>
          <w:b/>
          <w:sz w:val="24"/>
        </w:rPr>
        <w:tab/>
      </w:r>
      <w:r w:rsidRPr="001E0297">
        <w:rPr>
          <w:sz w:val="24"/>
        </w:rPr>
        <w:t xml:space="preserve">There are no exceptions to the certification statement. </w:t>
      </w:r>
    </w:p>
    <w:sectPr w:rsidR="00F51D9C" w:rsidRPr="00391F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B0" w:rsidRDefault="002531B0" w:rsidP="00BC2B83">
      <w:r>
        <w:separator/>
      </w:r>
    </w:p>
  </w:endnote>
  <w:endnote w:type="continuationSeparator" w:id="0">
    <w:p w:rsidR="002531B0" w:rsidRDefault="002531B0" w:rsidP="00BC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98902"/>
      <w:docPartObj>
        <w:docPartGallery w:val="Page Numbers (Bottom of Page)"/>
        <w:docPartUnique/>
      </w:docPartObj>
    </w:sdtPr>
    <w:sdtEndPr>
      <w:rPr>
        <w:noProof/>
      </w:rPr>
    </w:sdtEndPr>
    <w:sdtContent>
      <w:p w:rsidR="00BC2B83" w:rsidRDefault="00BC2B83">
        <w:pPr>
          <w:pStyle w:val="Footer"/>
          <w:jc w:val="right"/>
        </w:pPr>
        <w:r>
          <w:fldChar w:fldCharType="begin"/>
        </w:r>
        <w:r>
          <w:instrText xml:space="preserve"> PAGE   \* MERGEFORMAT </w:instrText>
        </w:r>
        <w:r>
          <w:fldChar w:fldCharType="separate"/>
        </w:r>
        <w:r w:rsidR="00434E7A">
          <w:rPr>
            <w:noProof/>
          </w:rPr>
          <w:t>1</w:t>
        </w:r>
        <w:r>
          <w:rPr>
            <w:noProof/>
          </w:rPr>
          <w:fldChar w:fldCharType="end"/>
        </w:r>
      </w:p>
    </w:sdtContent>
  </w:sdt>
  <w:p w:rsidR="00BC2B83" w:rsidRDefault="00BC2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B0" w:rsidRDefault="002531B0" w:rsidP="00BC2B83">
      <w:r>
        <w:separator/>
      </w:r>
    </w:p>
  </w:footnote>
  <w:footnote w:type="continuationSeparator" w:id="0">
    <w:p w:rsidR="002531B0" w:rsidRDefault="002531B0" w:rsidP="00BC2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134"/>
    <w:multiLevelType w:val="hybridMultilevel"/>
    <w:tmpl w:val="2D988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B75FC"/>
    <w:multiLevelType w:val="hybridMultilevel"/>
    <w:tmpl w:val="3EBE5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35237"/>
    <w:multiLevelType w:val="hybridMultilevel"/>
    <w:tmpl w:val="93CC7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717BB"/>
    <w:multiLevelType w:val="hybridMultilevel"/>
    <w:tmpl w:val="460A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87EA4"/>
    <w:multiLevelType w:val="hybridMultilevel"/>
    <w:tmpl w:val="9372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E5B0E"/>
    <w:multiLevelType w:val="hybridMultilevel"/>
    <w:tmpl w:val="D24A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A3CE1"/>
    <w:multiLevelType w:val="hybridMultilevel"/>
    <w:tmpl w:val="03ECE126"/>
    <w:lvl w:ilvl="0" w:tplc="87DA5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5C4BCB"/>
    <w:multiLevelType w:val="hybridMultilevel"/>
    <w:tmpl w:val="EB82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BD6223"/>
    <w:multiLevelType w:val="hybridMultilevel"/>
    <w:tmpl w:val="5590F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5E635C"/>
    <w:multiLevelType w:val="hybridMultilevel"/>
    <w:tmpl w:val="F85CA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5"/>
  </w:num>
  <w:num w:numId="5">
    <w:abstractNumId w:val="9"/>
  </w:num>
  <w:num w:numId="6">
    <w:abstractNumId w:val="8"/>
  </w:num>
  <w:num w:numId="7">
    <w:abstractNumId w:val="6"/>
  </w:num>
  <w:num w:numId="8">
    <w:abstractNumId w:val="7"/>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25"/>
    <w:rsid w:val="0002471C"/>
    <w:rsid w:val="00024BF9"/>
    <w:rsid w:val="000274F7"/>
    <w:rsid w:val="0007288B"/>
    <w:rsid w:val="000B2920"/>
    <w:rsid w:val="000D04FA"/>
    <w:rsid w:val="000F0278"/>
    <w:rsid w:val="0015569B"/>
    <w:rsid w:val="00192A74"/>
    <w:rsid w:val="001E0297"/>
    <w:rsid w:val="001E5EFC"/>
    <w:rsid w:val="00204C0A"/>
    <w:rsid w:val="0023663F"/>
    <w:rsid w:val="00237784"/>
    <w:rsid w:val="002531B0"/>
    <w:rsid w:val="00281F4B"/>
    <w:rsid w:val="002B3613"/>
    <w:rsid w:val="002B6698"/>
    <w:rsid w:val="002C09EC"/>
    <w:rsid w:val="00377FF2"/>
    <w:rsid w:val="00383FE3"/>
    <w:rsid w:val="00391FC4"/>
    <w:rsid w:val="003A6B4E"/>
    <w:rsid w:val="003B2577"/>
    <w:rsid w:val="00406F18"/>
    <w:rsid w:val="0043197A"/>
    <w:rsid w:val="00434E7A"/>
    <w:rsid w:val="00494EE6"/>
    <w:rsid w:val="005547E2"/>
    <w:rsid w:val="00573DD0"/>
    <w:rsid w:val="005774D1"/>
    <w:rsid w:val="005F0029"/>
    <w:rsid w:val="0068585D"/>
    <w:rsid w:val="006A699F"/>
    <w:rsid w:val="006B05A9"/>
    <w:rsid w:val="0070196B"/>
    <w:rsid w:val="00727AF0"/>
    <w:rsid w:val="007308FF"/>
    <w:rsid w:val="00790F9E"/>
    <w:rsid w:val="007A5C1A"/>
    <w:rsid w:val="007C6C53"/>
    <w:rsid w:val="007E7B2C"/>
    <w:rsid w:val="0082642B"/>
    <w:rsid w:val="00842002"/>
    <w:rsid w:val="008462D3"/>
    <w:rsid w:val="00866E96"/>
    <w:rsid w:val="008765CB"/>
    <w:rsid w:val="008B2FAC"/>
    <w:rsid w:val="008C2E32"/>
    <w:rsid w:val="008D1C49"/>
    <w:rsid w:val="008E1497"/>
    <w:rsid w:val="008F3F6F"/>
    <w:rsid w:val="008F6DAB"/>
    <w:rsid w:val="00935CCC"/>
    <w:rsid w:val="009921D1"/>
    <w:rsid w:val="009D2799"/>
    <w:rsid w:val="00A76F07"/>
    <w:rsid w:val="00A819D1"/>
    <w:rsid w:val="00AF4C25"/>
    <w:rsid w:val="00B876BD"/>
    <w:rsid w:val="00B92256"/>
    <w:rsid w:val="00BB7292"/>
    <w:rsid w:val="00BC2B83"/>
    <w:rsid w:val="00BC7D64"/>
    <w:rsid w:val="00C04A3F"/>
    <w:rsid w:val="00C54BA5"/>
    <w:rsid w:val="00CF7B2D"/>
    <w:rsid w:val="00D03924"/>
    <w:rsid w:val="00DB2B8F"/>
    <w:rsid w:val="00DB63A1"/>
    <w:rsid w:val="00DD74E1"/>
    <w:rsid w:val="00DF2ABD"/>
    <w:rsid w:val="00E231B9"/>
    <w:rsid w:val="00E61491"/>
    <w:rsid w:val="00ED6B57"/>
    <w:rsid w:val="00F51D9C"/>
    <w:rsid w:val="00FC629C"/>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25"/>
    <w:pPr>
      <w:ind w:left="720"/>
      <w:contextualSpacing/>
    </w:pPr>
  </w:style>
  <w:style w:type="paragraph" w:styleId="Header">
    <w:name w:val="header"/>
    <w:basedOn w:val="Normal"/>
    <w:link w:val="HeaderChar"/>
    <w:uiPriority w:val="99"/>
    <w:unhideWhenUsed/>
    <w:rsid w:val="00BC2B83"/>
    <w:pPr>
      <w:tabs>
        <w:tab w:val="center" w:pos="4680"/>
        <w:tab w:val="right" w:pos="9360"/>
      </w:tabs>
    </w:pPr>
  </w:style>
  <w:style w:type="character" w:customStyle="1" w:styleId="HeaderChar">
    <w:name w:val="Header Char"/>
    <w:basedOn w:val="DefaultParagraphFont"/>
    <w:link w:val="Header"/>
    <w:uiPriority w:val="99"/>
    <w:rsid w:val="00BC2B8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C2B83"/>
    <w:pPr>
      <w:tabs>
        <w:tab w:val="center" w:pos="4680"/>
        <w:tab w:val="right" w:pos="9360"/>
      </w:tabs>
    </w:pPr>
  </w:style>
  <w:style w:type="character" w:customStyle="1" w:styleId="FooterChar">
    <w:name w:val="Footer Char"/>
    <w:basedOn w:val="DefaultParagraphFont"/>
    <w:link w:val="Footer"/>
    <w:uiPriority w:val="99"/>
    <w:rsid w:val="00BC2B8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F7B2D"/>
    <w:rPr>
      <w:sz w:val="16"/>
      <w:szCs w:val="16"/>
    </w:rPr>
  </w:style>
  <w:style w:type="paragraph" w:styleId="CommentText">
    <w:name w:val="annotation text"/>
    <w:basedOn w:val="Normal"/>
    <w:link w:val="CommentTextChar"/>
    <w:uiPriority w:val="99"/>
    <w:semiHidden/>
    <w:unhideWhenUsed/>
    <w:rsid w:val="00CF7B2D"/>
    <w:rPr>
      <w:szCs w:val="20"/>
    </w:rPr>
  </w:style>
  <w:style w:type="character" w:customStyle="1" w:styleId="CommentTextChar">
    <w:name w:val="Comment Text Char"/>
    <w:basedOn w:val="DefaultParagraphFont"/>
    <w:link w:val="CommentText"/>
    <w:uiPriority w:val="99"/>
    <w:semiHidden/>
    <w:rsid w:val="00CF7B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B2D"/>
    <w:rPr>
      <w:b/>
      <w:bCs/>
    </w:rPr>
  </w:style>
  <w:style w:type="character" w:customStyle="1" w:styleId="CommentSubjectChar">
    <w:name w:val="Comment Subject Char"/>
    <w:basedOn w:val="CommentTextChar"/>
    <w:link w:val="CommentSubject"/>
    <w:uiPriority w:val="99"/>
    <w:semiHidden/>
    <w:rsid w:val="00CF7B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7B2D"/>
    <w:rPr>
      <w:rFonts w:ascii="Tahoma" w:hAnsi="Tahoma" w:cs="Tahoma"/>
      <w:sz w:val="16"/>
      <w:szCs w:val="16"/>
    </w:rPr>
  </w:style>
  <w:style w:type="character" w:customStyle="1" w:styleId="BalloonTextChar">
    <w:name w:val="Balloon Text Char"/>
    <w:basedOn w:val="DefaultParagraphFont"/>
    <w:link w:val="BalloonText"/>
    <w:uiPriority w:val="99"/>
    <w:semiHidden/>
    <w:rsid w:val="00CF7B2D"/>
    <w:rPr>
      <w:rFonts w:ascii="Tahoma" w:eastAsia="Times New Roman" w:hAnsi="Tahoma" w:cs="Tahoma"/>
      <w:sz w:val="16"/>
      <w:szCs w:val="16"/>
    </w:rPr>
  </w:style>
  <w:style w:type="character" w:customStyle="1" w:styleId="a">
    <w:name w:val="À"/>
    <w:uiPriority w:val="99"/>
    <w:rsid w:val="005547E2"/>
    <w:rPr>
      <w:rFonts w:cs="Times New Roman"/>
    </w:rPr>
  </w:style>
  <w:style w:type="paragraph" w:customStyle="1" w:styleId="SL-FlLftSgl">
    <w:name w:val="SL-Fl Lft Sgl"/>
    <w:rsid w:val="005547E2"/>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79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25"/>
    <w:pPr>
      <w:ind w:left="720"/>
      <w:contextualSpacing/>
    </w:pPr>
  </w:style>
  <w:style w:type="paragraph" w:styleId="Header">
    <w:name w:val="header"/>
    <w:basedOn w:val="Normal"/>
    <w:link w:val="HeaderChar"/>
    <w:uiPriority w:val="99"/>
    <w:unhideWhenUsed/>
    <w:rsid w:val="00BC2B83"/>
    <w:pPr>
      <w:tabs>
        <w:tab w:val="center" w:pos="4680"/>
        <w:tab w:val="right" w:pos="9360"/>
      </w:tabs>
    </w:pPr>
  </w:style>
  <w:style w:type="character" w:customStyle="1" w:styleId="HeaderChar">
    <w:name w:val="Header Char"/>
    <w:basedOn w:val="DefaultParagraphFont"/>
    <w:link w:val="Header"/>
    <w:uiPriority w:val="99"/>
    <w:rsid w:val="00BC2B8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C2B83"/>
    <w:pPr>
      <w:tabs>
        <w:tab w:val="center" w:pos="4680"/>
        <w:tab w:val="right" w:pos="9360"/>
      </w:tabs>
    </w:pPr>
  </w:style>
  <w:style w:type="character" w:customStyle="1" w:styleId="FooterChar">
    <w:name w:val="Footer Char"/>
    <w:basedOn w:val="DefaultParagraphFont"/>
    <w:link w:val="Footer"/>
    <w:uiPriority w:val="99"/>
    <w:rsid w:val="00BC2B8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F7B2D"/>
    <w:rPr>
      <w:sz w:val="16"/>
      <w:szCs w:val="16"/>
    </w:rPr>
  </w:style>
  <w:style w:type="paragraph" w:styleId="CommentText">
    <w:name w:val="annotation text"/>
    <w:basedOn w:val="Normal"/>
    <w:link w:val="CommentTextChar"/>
    <w:uiPriority w:val="99"/>
    <w:semiHidden/>
    <w:unhideWhenUsed/>
    <w:rsid w:val="00CF7B2D"/>
    <w:rPr>
      <w:szCs w:val="20"/>
    </w:rPr>
  </w:style>
  <w:style w:type="character" w:customStyle="1" w:styleId="CommentTextChar">
    <w:name w:val="Comment Text Char"/>
    <w:basedOn w:val="DefaultParagraphFont"/>
    <w:link w:val="CommentText"/>
    <w:uiPriority w:val="99"/>
    <w:semiHidden/>
    <w:rsid w:val="00CF7B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B2D"/>
    <w:rPr>
      <w:b/>
      <w:bCs/>
    </w:rPr>
  </w:style>
  <w:style w:type="character" w:customStyle="1" w:styleId="CommentSubjectChar">
    <w:name w:val="Comment Subject Char"/>
    <w:basedOn w:val="CommentTextChar"/>
    <w:link w:val="CommentSubject"/>
    <w:uiPriority w:val="99"/>
    <w:semiHidden/>
    <w:rsid w:val="00CF7B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7B2D"/>
    <w:rPr>
      <w:rFonts w:ascii="Tahoma" w:hAnsi="Tahoma" w:cs="Tahoma"/>
      <w:sz w:val="16"/>
      <w:szCs w:val="16"/>
    </w:rPr>
  </w:style>
  <w:style w:type="character" w:customStyle="1" w:styleId="BalloonTextChar">
    <w:name w:val="Balloon Text Char"/>
    <w:basedOn w:val="DefaultParagraphFont"/>
    <w:link w:val="BalloonText"/>
    <w:uiPriority w:val="99"/>
    <w:semiHidden/>
    <w:rsid w:val="00CF7B2D"/>
    <w:rPr>
      <w:rFonts w:ascii="Tahoma" w:eastAsia="Times New Roman" w:hAnsi="Tahoma" w:cs="Tahoma"/>
      <w:sz w:val="16"/>
      <w:szCs w:val="16"/>
    </w:rPr>
  </w:style>
  <w:style w:type="character" w:customStyle="1" w:styleId="a">
    <w:name w:val="À"/>
    <w:uiPriority w:val="99"/>
    <w:rsid w:val="005547E2"/>
    <w:rPr>
      <w:rFonts w:cs="Times New Roman"/>
    </w:rPr>
  </w:style>
  <w:style w:type="paragraph" w:customStyle="1" w:styleId="SL-FlLftSgl">
    <w:name w:val="SL-Fl Lft Sgl"/>
    <w:rsid w:val="005547E2"/>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79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2017-09-12T17:55:00Z</cp:lastPrinted>
  <dcterms:created xsi:type="dcterms:W3CDTF">2017-10-17T14:35:00Z</dcterms:created>
  <dcterms:modified xsi:type="dcterms:W3CDTF">2017-10-17T14:35:00Z</dcterms:modified>
</cp:coreProperties>
</file>